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A864AC">
        <w:trPr>
          <w:cantSplit/>
          <w:trHeight w:hRule="exact" w:val="851"/>
        </w:trPr>
        <w:tc>
          <w:tcPr>
            <w:tcW w:w="1276" w:type="dxa"/>
            <w:tcBorders>
              <w:bottom w:val="single" w:sz="4" w:space="0" w:color="auto"/>
            </w:tcBorders>
            <w:vAlign w:val="bottom"/>
          </w:tcPr>
          <w:p w:rsidR="00B56E9C" w:rsidRDefault="00B56E9C" w:rsidP="00A864AC">
            <w:pPr>
              <w:spacing w:after="80"/>
            </w:pPr>
          </w:p>
        </w:tc>
        <w:tc>
          <w:tcPr>
            <w:tcW w:w="2268" w:type="dxa"/>
            <w:tcBorders>
              <w:bottom w:val="single" w:sz="4" w:space="0" w:color="auto"/>
            </w:tcBorders>
            <w:vAlign w:val="bottom"/>
          </w:tcPr>
          <w:p w:rsidR="00B56E9C" w:rsidRPr="00B97172" w:rsidRDefault="00B56E9C" w:rsidP="00A864AC">
            <w:pPr>
              <w:spacing w:after="80" w:line="300" w:lineRule="exact"/>
              <w:rPr>
                <w:b/>
                <w:sz w:val="24"/>
                <w:szCs w:val="24"/>
              </w:rPr>
            </w:pPr>
            <w:r>
              <w:rPr>
                <w:sz w:val="28"/>
                <w:szCs w:val="28"/>
              </w:rPr>
              <w:t>United</w:t>
            </w:r>
            <w:r w:rsidR="005B2A41">
              <w:rPr>
                <w:sz w:val="28"/>
                <w:szCs w:val="28"/>
              </w:rPr>
              <w:t xml:space="preserve"> </w:t>
            </w:r>
            <w:r>
              <w:rPr>
                <w:sz w:val="28"/>
                <w:szCs w:val="28"/>
              </w:rPr>
              <w:t>Nations</w:t>
            </w:r>
          </w:p>
        </w:tc>
        <w:tc>
          <w:tcPr>
            <w:tcW w:w="6095" w:type="dxa"/>
            <w:gridSpan w:val="2"/>
            <w:tcBorders>
              <w:bottom w:val="single" w:sz="4" w:space="0" w:color="auto"/>
            </w:tcBorders>
            <w:vAlign w:val="bottom"/>
          </w:tcPr>
          <w:p w:rsidR="00B56E9C" w:rsidRPr="00D47EEA" w:rsidRDefault="00E61060" w:rsidP="00E61060">
            <w:pPr>
              <w:suppressAutoHyphens w:val="0"/>
              <w:spacing w:after="20"/>
              <w:jc w:val="right"/>
            </w:pPr>
            <w:r w:rsidRPr="00E61060">
              <w:rPr>
                <w:sz w:val="40"/>
              </w:rPr>
              <w:t>HRI</w:t>
            </w:r>
            <w:r>
              <w:t>/CORE/GRC/2018</w:t>
            </w:r>
          </w:p>
        </w:tc>
      </w:tr>
      <w:tr w:rsidR="00B56E9C" w:rsidTr="00A864AC">
        <w:trPr>
          <w:cantSplit/>
          <w:trHeight w:hRule="exact" w:val="2835"/>
        </w:trPr>
        <w:tc>
          <w:tcPr>
            <w:tcW w:w="1276" w:type="dxa"/>
            <w:tcBorders>
              <w:top w:val="single" w:sz="4" w:space="0" w:color="auto"/>
              <w:bottom w:val="single" w:sz="12" w:space="0" w:color="auto"/>
            </w:tcBorders>
          </w:tcPr>
          <w:p w:rsidR="00B56E9C" w:rsidRDefault="00A2046E" w:rsidP="00A864AC">
            <w:pPr>
              <w:spacing w:before="120"/>
            </w:pPr>
            <w:r>
              <w:rPr>
                <w:noProof/>
                <w:lang w:eastAsia="zh-CN"/>
              </w:rPr>
              <w:drawing>
                <wp:inline distT="0" distB="0" distL="0" distR="0" wp14:anchorId="2B4A685A" wp14:editId="609203C9">
                  <wp:extent cx="71374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74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6E9C" w:rsidP="00A864AC">
            <w:pPr>
              <w:spacing w:before="120" w:line="380" w:lineRule="exact"/>
              <w:rPr>
                <w:sz w:val="34"/>
              </w:rPr>
            </w:pPr>
            <w:r w:rsidRPr="00267F5F">
              <w:rPr>
                <w:b/>
                <w:sz w:val="34"/>
                <w:szCs w:val="40"/>
              </w:rPr>
              <w:t>International</w:t>
            </w:r>
            <w:r w:rsidR="005B2A41">
              <w:rPr>
                <w:b/>
                <w:sz w:val="34"/>
                <w:szCs w:val="40"/>
              </w:rPr>
              <w:t xml:space="preserve"> </w:t>
            </w:r>
            <w:r w:rsidR="00584DAE">
              <w:rPr>
                <w:b/>
                <w:sz w:val="34"/>
                <w:szCs w:val="40"/>
              </w:rPr>
              <w:t>Human</w:t>
            </w:r>
            <w:r w:rsidR="005B2A41">
              <w:rPr>
                <w:b/>
                <w:sz w:val="34"/>
                <w:szCs w:val="40"/>
              </w:rPr>
              <w:t xml:space="preserve"> </w:t>
            </w:r>
            <w:r w:rsidR="00584DAE">
              <w:rPr>
                <w:b/>
                <w:sz w:val="34"/>
                <w:szCs w:val="40"/>
              </w:rPr>
              <w:t>Rights</w:t>
            </w:r>
            <w:r w:rsidR="005B2A41">
              <w:rPr>
                <w:b/>
                <w:sz w:val="34"/>
                <w:szCs w:val="40"/>
              </w:rPr>
              <w:t xml:space="preserve"> </w:t>
            </w:r>
            <w:r w:rsidR="00584DAE">
              <w:rPr>
                <w:b/>
                <w:sz w:val="34"/>
                <w:szCs w:val="40"/>
              </w:rPr>
              <w:t>Instruments</w:t>
            </w:r>
          </w:p>
        </w:tc>
        <w:tc>
          <w:tcPr>
            <w:tcW w:w="2835" w:type="dxa"/>
            <w:tcBorders>
              <w:top w:val="single" w:sz="4" w:space="0" w:color="auto"/>
              <w:bottom w:val="single" w:sz="12" w:space="0" w:color="auto"/>
            </w:tcBorders>
          </w:tcPr>
          <w:p w:rsidR="00B56E9C" w:rsidRDefault="00E61060" w:rsidP="00E61060">
            <w:pPr>
              <w:suppressAutoHyphens w:val="0"/>
              <w:spacing w:before="240"/>
            </w:pPr>
            <w:r>
              <w:t>Distr.:</w:t>
            </w:r>
            <w:r w:rsidR="005B2A41">
              <w:t xml:space="preserve"> </w:t>
            </w:r>
            <w:r>
              <w:t>General</w:t>
            </w:r>
          </w:p>
          <w:p w:rsidR="00E61060" w:rsidRDefault="003E731F" w:rsidP="00B76853">
            <w:pPr>
              <w:suppressAutoHyphens w:val="0"/>
            </w:pPr>
            <w:r>
              <w:t>2</w:t>
            </w:r>
            <w:r w:rsidR="00B76853">
              <w:t>7</w:t>
            </w:r>
            <w:r w:rsidR="005B2A41">
              <w:t xml:space="preserve"> </w:t>
            </w:r>
            <w:r w:rsidR="00E61060">
              <w:t>November</w:t>
            </w:r>
            <w:r w:rsidR="005B2A41">
              <w:t xml:space="preserve"> </w:t>
            </w:r>
            <w:r w:rsidR="00E61060">
              <w:t>2018</w:t>
            </w:r>
          </w:p>
          <w:p w:rsidR="00E61060" w:rsidRDefault="00E61060" w:rsidP="00E61060">
            <w:pPr>
              <w:suppressAutoHyphens w:val="0"/>
            </w:pPr>
          </w:p>
          <w:p w:rsidR="00E61060" w:rsidRDefault="00E61060" w:rsidP="00E61060">
            <w:pPr>
              <w:suppressAutoHyphens w:val="0"/>
            </w:pPr>
            <w:r>
              <w:t>Original:</w:t>
            </w:r>
            <w:r w:rsidR="005B2A41">
              <w:t xml:space="preserve"> </w:t>
            </w:r>
            <w:r>
              <w:t>English</w:t>
            </w:r>
          </w:p>
        </w:tc>
      </w:tr>
    </w:tbl>
    <w:p w:rsidR="00F233AB" w:rsidRPr="00B02247" w:rsidRDefault="00F233AB" w:rsidP="00F233AB">
      <w:pPr>
        <w:pStyle w:val="HMG"/>
      </w:pPr>
      <w:r w:rsidRPr="00B02247">
        <w:tab/>
      </w:r>
      <w:r w:rsidRPr="00B02247">
        <w:tab/>
        <w:t>Common</w:t>
      </w:r>
      <w:r w:rsidR="005B2A41">
        <w:t xml:space="preserve"> </w:t>
      </w:r>
      <w:r w:rsidRPr="00B02247">
        <w:t>core</w:t>
      </w:r>
      <w:r w:rsidR="005B2A41">
        <w:t xml:space="preserve"> </w:t>
      </w:r>
      <w:r w:rsidRPr="00B02247">
        <w:t>document</w:t>
      </w:r>
      <w:r w:rsidR="005B2A41">
        <w:t xml:space="preserve"> </w:t>
      </w:r>
      <w:r w:rsidRPr="00B02247">
        <w:t>forming</w:t>
      </w:r>
      <w:r w:rsidR="005B2A41">
        <w:t xml:space="preserve"> </w:t>
      </w:r>
      <w:r w:rsidRPr="00B02247">
        <w:t>part</w:t>
      </w:r>
      <w:r w:rsidR="005B2A41">
        <w:t xml:space="preserve"> </w:t>
      </w:r>
      <w:r w:rsidRPr="00B02247">
        <w:t>of</w:t>
      </w:r>
      <w:r w:rsidR="005B2A41">
        <w:t xml:space="preserve"> </w:t>
      </w:r>
      <w:r w:rsidRPr="00B02247">
        <w:t>the</w:t>
      </w:r>
      <w:r w:rsidR="005B2A41">
        <w:t xml:space="preserve"> </w:t>
      </w:r>
      <w:r w:rsidRPr="00B02247">
        <w:t>reports</w:t>
      </w:r>
      <w:r w:rsidR="005B2A41">
        <w:t xml:space="preserve"> </w:t>
      </w:r>
      <w:r w:rsidRPr="00B02247">
        <w:t>of</w:t>
      </w:r>
      <w:r w:rsidR="005B2A41">
        <w:t xml:space="preserve"> </w:t>
      </w:r>
      <w:r w:rsidRPr="00B02247">
        <w:t>States</w:t>
      </w:r>
      <w:r w:rsidR="005B2A41">
        <w:t xml:space="preserve"> </w:t>
      </w:r>
      <w:r w:rsidRPr="00B02247">
        <w:t>parties</w:t>
      </w:r>
    </w:p>
    <w:p w:rsidR="00F233AB" w:rsidRPr="00B02247" w:rsidRDefault="00F233AB" w:rsidP="00F233AB">
      <w:pPr>
        <w:pStyle w:val="HMG"/>
      </w:pPr>
      <w:r w:rsidRPr="00B02247">
        <w:tab/>
      </w:r>
      <w:r w:rsidRPr="00B02247">
        <w:tab/>
        <w:t>Greec</w:t>
      </w:r>
      <w:bookmarkStart w:id="0" w:name="_GoBack"/>
      <w:bookmarkEnd w:id="0"/>
      <w:r w:rsidRPr="00B02247">
        <w:t>e</w:t>
      </w:r>
      <w:r w:rsidRPr="00E1307D">
        <w:rPr>
          <w:rStyle w:val="FootnoteReference"/>
          <w:b w:val="0"/>
          <w:bCs/>
          <w:sz w:val="20"/>
          <w:vertAlign w:val="baseline"/>
        </w:rPr>
        <w:footnoteReference w:customMarkFollows="1" w:id="2"/>
        <w:t>*</w:t>
      </w:r>
    </w:p>
    <w:p w:rsidR="00F233AB" w:rsidRPr="00B02247" w:rsidRDefault="00F233AB" w:rsidP="00F233AB">
      <w:pPr>
        <w:pStyle w:val="SingleTxtG"/>
        <w:jc w:val="right"/>
      </w:pPr>
      <w:r w:rsidRPr="00B02247">
        <w:t>[Date</w:t>
      </w:r>
      <w:r w:rsidR="005B2A41">
        <w:t xml:space="preserve"> </w:t>
      </w:r>
      <w:r w:rsidRPr="00B02247">
        <w:t>received:</w:t>
      </w:r>
      <w:r w:rsidR="005B2A41">
        <w:t xml:space="preserve"> </w:t>
      </w:r>
      <w:r w:rsidRPr="00B02247">
        <w:t>1</w:t>
      </w:r>
      <w:r w:rsidR="005B2A41">
        <w:t xml:space="preserve"> </w:t>
      </w:r>
      <w:r w:rsidRPr="00B02247">
        <w:t>May</w:t>
      </w:r>
      <w:r w:rsidR="005B2A41">
        <w:t xml:space="preserve"> </w:t>
      </w:r>
      <w:r w:rsidRPr="00B02247">
        <w:t>2018]</w:t>
      </w:r>
    </w:p>
    <w:p w:rsidR="00E61060" w:rsidRPr="00141072" w:rsidRDefault="00E61060">
      <w:pPr>
        <w:suppressAutoHyphens w:val="0"/>
        <w:spacing w:line="240" w:lineRule="auto"/>
      </w:pPr>
      <w:r w:rsidRPr="00141072">
        <w:br w:type="page"/>
      </w:r>
    </w:p>
    <w:p w:rsidR="00F233AB" w:rsidRPr="00B02247" w:rsidRDefault="00F233AB" w:rsidP="00E1307D">
      <w:pPr>
        <w:pStyle w:val="HChG"/>
      </w:pPr>
      <w:r w:rsidRPr="00B02247">
        <w:lastRenderedPageBreak/>
        <w:tab/>
        <w:t>I.</w:t>
      </w:r>
      <w:r w:rsidRPr="00B02247">
        <w:tab/>
        <w:t>General</w:t>
      </w:r>
      <w:r w:rsidR="005B2A41">
        <w:t xml:space="preserve"> </w:t>
      </w:r>
      <w:r w:rsidRPr="00B02247">
        <w:t>information</w:t>
      </w:r>
      <w:r w:rsidR="005B2A41">
        <w:t xml:space="preserve"> </w:t>
      </w:r>
      <w:r w:rsidRPr="00B02247">
        <w:t>about</w:t>
      </w:r>
      <w:r w:rsidR="005B2A41">
        <w:t xml:space="preserve"> </w:t>
      </w:r>
      <w:r w:rsidRPr="00B02247">
        <w:t>Greece</w:t>
      </w:r>
    </w:p>
    <w:p w:rsidR="00F233AB" w:rsidRPr="00B02247" w:rsidRDefault="00F233AB" w:rsidP="00E1307D">
      <w:pPr>
        <w:pStyle w:val="H1G"/>
      </w:pPr>
      <w:bookmarkStart w:id="1" w:name="_Toc73328510"/>
      <w:bookmarkStart w:id="2" w:name="_Toc73946162"/>
      <w:bookmarkStart w:id="3" w:name="_Toc133268778"/>
      <w:r w:rsidRPr="00B02247">
        <w:tab/>
        <w:t>A.</w:t>
      </w:r>
      <w:r w:rsidRPr="00B02247">
        <w:tab/>
        <w:t>Demographic,</w:t>
      </w:r>
      <w:r w:rsidR="005B2A41">
        <w:t xml:space="preserve"> </w:t>
      </w:r>
      <w:r w:rsidRPr="00B02247">
        <w:t>economic,</w:t>
      </w:r>
      <w:r w:rsidR="005B2A41">
        <w:t xml:space="preserve"> </w:t>
      </w:r>
      <w:r w:rsidRPr="00B02247">
        <w:t>social</w:t>
      </w:r>
      <w:r w:rsidR="005B2A41">
        <w:t xml:space="preserve"> </w:t>
      </w:r>
      <w:r w:rsidRPr="00B02247">
        <w:t>and</w:t>
      </w:r>
      <w:r w:rsidR="005B2A41">
        <w:t xml:space="preserve"> </w:t>
      </w:r>
      <w:r w:rsidRPr="00B02247">
        <w:t>cultural</w:t>
      </w:r>
      <w:r w:rsidR="005B2A41">
        <w:t xml:space="preserve"> </w:t>
      </w:r>
      <w:r w:rsidRPr="00B02247">
        <w:t>characteristics</w:t>
      </w:r>
      <w:r w:rsidR="005B2A41">
        <w:t xml:space="preserve"> </w:t>
      </w:r>
      <w:r w:rsidRPr="00B02247">
        <w:t>of</w:t>
      </w:r>
      <w:r w:rsidR="005B2A41">
        <w:t xml:space="preserve"> </w:t>
      </w:r>
      <w:r w:rsidRPr="00B02247">
        <w:t>the</w:t>
      </w:r>
      <w:r w:rsidR="005B2A41">
        <w:t xml:space="preserve"> </w:t>
      </w:r>
      <w:r w:rsidRPr="00B02247">
        <w:t>State</w:t>
      </w:r>
      <w:bookmarkEnd w:id="1"/>
      <w:bookmarkEnd w:id="2"/>
      <w:bookmarkEnd w:id="3"/>
    </w:p>
    <w:p w:rsidR="00F233AB" w:rsidRPr="00B02247" w:rsidRDefault="00F233AB" w:rsidP="00E1307D">
      <w:pPr>
        <w:pStyle w:val="SingleTxtG"/>
      </w:pPr>
      <w:r w:rsidRPr="00B02247">
        <w:t>1.</w:t>
      </w:r>
      <w:r w:rsidRPr="00B02247">
        <w:tab/>
        <w:t>Greece</w:t>
      </w:r>
      <w:r w:rsidR="005B2A41">
        <w:t xml:space="preserve"> </w:t>
      </w:r>
      <w:r w:rsidRPr="00B02247">
        <w:t>is</w:t>
      </w:r>
      <w:r w:rsidR="005B2A41">
        <w:t xml:space="preserve"> </w:t>
      </w:r>
      <w:r w:rsidRPr="00B02247">
        <w:t>a</w:t>
      </w:r>
      <w:r w:rsidR="005B2A41">
        <w:t xml:space="preserve"> </w:t>
      </w:r>
      <w:r w:rsidRPr="00B02247">
        <w:t>country</w:t>
      </w:r>
      <w:r w:rsidR="005B2A41">
        <w:t xml:space="preserve"> </w:t>
      </w:r>
      <w:r w:rsidRPr="00B02247">
        <w:t>with</w:t>
      </w:r>
      <w:r w:rsidR="005B2A41">
        <w:t xml:space="preserve"> </w:t>
      </w:r>
      <w:r w:rsidRPr="00B02247">
        <w:t>a</w:t>
      </w:r>
      <w:r w:rsidR="005B2A41">
        <w:t xml:space="preserve"> </w:t>
      </w:r>
      <w:r w:rsidRPr="00B02247">
        <w:t>very</w:t>
      </w:r>
      <w:r w:rsidR="005B2A41">
        <w:t xml:space="preserve"> </w:t>
      </w:r>
      <w:r w:rsidRPr="00B02247">
        <w:t>long</w:t>
      </w:r>
      <w:r w:rsidR="005B2A41">
        <w:t xml:space="preserve"> </w:t>
      </w:r>
      <w:r w:rsidRPr="00B02247">
        <w:t>history,</w:t>
      </w:r>
      <w:r w:rsidR="005B2A41">
        <w:t xml:space="preserve"> </w:t>
      </w:r>
      <w:r w:rsidRPr="00B02247">
        <w:t>since</w:t>
      </w:r>
      <w:r w:rsidR="005B2A41">
        <w:t xml:space="preserve"> </w:t>
      </w:r>
      <w:r w:rsidRPr="00B02247">
        <w:t>ancient</w:t>
      </w:r>
      <w:r w:rsidR="005B2A41">
        <w:t xml:space="preserve"> </w:t>
      </w:r>
      <w:r w:rsidRPr="00B02247">
        <w:t>times.</w:t>
      </w:r>
      <w:r w:rsidR="005B2A41">
        <w:t xml:space="preserve"> </w:t>
      </w:r>
      <w:r w:rsidRPr="00B02247">
        <w:t>The</w:t>
      </w:r>
      <w:r w:rsidR="005B2A41">
        <w:t xml:space="preserve"> </w:t>
      </w:r>
      <w:r w:rsidRPr="00B02247">
        <w:t>Hellenic</w:t>
      </w:r>
      <w:r w:rsidR="005B2A41">
        <w:t xml:space="preserve"> </w:t>
      </w:r>
      <w:r w:rsidRPr="00B02247">
        <w:t>civilization</w:t>
      </w:r>
      <w:r w:rsidR="005B2A41">
        <w:t xml:space="preserve"> </w:t>
      </w:r>
      <w:r w:rsidRPr="00B02247">
        <w:t>and</w:t>
      </w:r>
      <w:r w:rsidR="005B2A41">
        <w:t xml:space="preserve"> </w:t>
      </w:r>
      <w:r w:rsidRPr="00B02247">
        <w:t>its</w:t>
      </w:r>
      <w:r w:rsidR="005B2A41">
        <w:t xml:space="preserve"> </w:t>
      </w:r>
      <w:r w:rsidRPr="00B02247">
        <w:t>achievements</w:t>
      </w:r>
      <w:r w:rsidR="005B2A41">
        <w:t xml:space="preserve"> </w:t>
      </w:r>
      <w:r w:rsidRPr="00B02247">
        <w:t>in</w:t>
      </w:r>
      <w:r w:rsidR="005B2A41">
        <w:t xml:space="preserve"> </w:t>
      </w:r>
      <w:r w:rsidRPr="00B02247">
        <w:t>the</w:t>
      </w:r>
      <w:r w:rsidR="005B2A41">
        <w:t xml:space="preserve"> </w:t>
      </w:r>
      <w:r w:rsidRPr="00B02247">
        <w:t>fields</w:t>
      </w:r>
      <w:r w:rsidR="005B2A41">
        <w:t xml:space="preserve"> </w:t>
      </w:r>
      <w:r w:rsidRPr="00B02247">
        <w:t>of</w:t>
      </w:r>
      <w:r w:rsidR="005B2A41">
        <w:t xml:space="preserve"> </w:t>
      </w:r>
      <w:r w:rsidRPr="00B02247">
        <w:t>democratic</w:t>
      </w:r>
      <w:r w:rsidR="005B2A41">
        <w:t xml:space="preserve"> </w:t>
      </w:r>
      <w:r w:rsidRPr="00B02247">
        <w:t>politics,</w:t>
      </w:r>
      <w:r w:rsidR="005B2A41">
        <w:t xml:space="preserve"> </w:t>
      </w:r>
      <w:r w:rsidRPr="00B02247">
        <w:t>philosophy,</w:t>
      </w:r>
      <w:r w:rsidR="005B2A41">
        <w:t xml:space="preserve"> </w:t>
      </w:r>
      <w:r w:rsidRPr="00B02247">
        <w:t>science,</w:t>
      </w:r>
      <w:r w:rsidR="005B2A41">
        <w:t xml:space="preserve"> </w:t>
      </w:r>
      <w:r w:rsidRPr="00B02247">
        <w:t>culture</w:t>
      </w:r>
      <w:r w:rsidR="005B2A41">
        <w:t xml:space="preserve"> </w:t>
      </w:r>
      <w:r w:rsidRPr="00B02247">
        <w:t>and</w:t>
      </w:r>
      <w:r w:rsidR="005B2A41">
        <w:t xml:space="preserve"> </w:t>
      </w:r>
      <w:r w:rsidRPr="00B02247">
        <w:t>the</w:t>
      </w:r>
      <w:r w:rsidR="005B2A41">
        <w:t xml:space="preserve"> </w:t>
      </w:r>
      <w:r w:rsidRPr="00B02247">
        <w:t>arts</w:t>
      </w:r>
      <w:r w:rsidR="005B2A41">
        <w:t xml:space="preserve"> </w:t>
      </w:r>
      <w:r w:rsidRPr="00B02247">
        <w:t>have</w:t>
      </w:r>
      <w:r w:rsidR="005B2A41">
        <w:t xml:space="preserve"> </w:t>
      </w:r>
      <w:r w:rsidRPr="00B02247">
        <w:t>had</w:t>
      </w:r>
      <w:r w:rsidR="005B2A41">
        <w:t xml:space="preserve"> </w:t>
      </w:r>
      <w:r w:rsidRPr="00B02247">
        <w:t>a</w:t>
      </w:r>
      <w:r w:rsidR="005B2A41">
        <w:t xml:space="preserve"> </w:t>
      </w:r>
      <w:r w:rsidRPr="00B02247">
        <w:t>profound</w:t>
      </w:r>
      <w:r w:rsidR="005B2A41">
        <w:t xml:space="preserve"> </w:t>
      </w:r>
      <w:r w:rsidRPr="00B02247">
        <w:t>impact</w:t>
      </w:r>
      <w:r w:rsidR="005B2A41">
        <w:t xml:space="preserve"> </w:t>
      </w:r>
      <w:r w:rsidRPr="00B02247">
        <w:t>worldwide</w:t>
      </w:r>
      <w:r w:rsidR="005B2A41">
        <w:t xml:space="preserve"> </w:t>
      </w:r>
      <w:r w:rsidRPr="00B02247">
        <w:t>and</w:t>
      </w:r>
      <w:r w:rsidR="005B2A41">
        <w:t xml:space="preserve"> </w:t>
      </w:r>
      <w:r w:rsidRPr="00B02247">
        <w:t>have</w:t>
      </w:r>
      <w:r w:rsidR="005B2A41">
        <w:t xml:space="preserve"> </w:t>
      </w:r>
      <w:r w:rsidRPr="00B02247">
        <w:t>greatly</w:t>
      </w:r>
      <w:r w:rsidR="005B2A41">
        <w:t xml:space="preserve"> </w:t>
      </w:r>
      <w:r w:rsidRPr="00B02247">
        <w:t>contributed</w:t>
      </w:r>
      <w:r w:rsidR="005B2A41">
        <w:t xml:space="preserve"> </w:t>
      </w:r>
      <w:r w:rsidRPr="00B02247">
        <w:t>in</w:t>
      </w:r>
      <w:r w:rsidR="005B2A41">
        <w:t xml:space="preserve"> </w:t>
      </w:r>
      <w:r w:rsidRPr="00B02247">
        <w:t>shaping</w:t>
      </w:r>
      <w:r w:rsidR="005B2A41">
        <w:t xml:space="preserve"> </w:t>
      </w:r>
      <w:r w:rsidRPr="00B02247">
        <w:t>modern</w:t>
      </w:r>
      <w:r w:rsidR="005B2A41">
        <w:t xml:space="preserve"> </w:t>
      </w:r>
      <w:r w:rsidRPr="00B02247">
        <w:t>civilization.</w:t>
      </w:r>
      <w:r w:rsidR="005B2A41">
        <w:t xml:space="preserve"> </w:t>
      </w:r>
    </w:p>
    <w:p w:rsidR="00F233AB" w:rsidRPr="00B02247" w:rsidRDefault="00F233AB" w:rsidP="00E1307D">
      <w:pPr>
        <w:pStyle w:val="SingleTxtG"/>
      </w:pPr>
      <w:r w:rsidRPr="00B02247">
        <w:t>2.</w:t>
      </w:r>
      <w:r w:rsidRPr="00B02247">
        <w:tab/>
        <w:t>Modern</w:t>
      </w:r>
      <w:r w:rsidR="005B2A41">
        <w:t xml:space="preserve"> </w:t>
      </w:r>
      <w:r w:rsidRPr="00B02247">
        <w:t>Greece</w:t>
      </w:r>
      <w:r w:rsidR="003E731F">
        <w:t>’</w:t>
      </w:r>
      <w:r w:rsidRPr="00B02247">
        <w:t>s</w:t>
      </w:r>
      <w:r w:rsidR="005B2A41">
        <w:t xml:space="preserve"> </w:t>
      </w:r>
      <w:r w:rsidRPr="00B02247">
        <w:t>political</w:t>
      </w:r>
      <w:r w:rsidR="005B2A41">
        <w:t xml:space="preserve"> </w:t>
      </w:r>
      <w:r w:rsidRPr="00B02247">
        <w:t>independence</w:t>
      </w:r>
      <w:r w:rsidR="005B2A41">
        <w:t xml:space="preserve"> </w:t>
      </w:r>
      <w:r w:rsidRPr="00B02247">
        <w:t>was</w:t>
      </w:r>
      <w:r w:rsidR="005B2A41">
        <w:t xml:space="preserve"> </w:t>
      </w:r>
      <w:r w:rsidRPr="00B02247">
        <w:t>proclaimed</w:t>
      </w:r>
      <w:r w:rsidR="005B2A41">
        <w:t xml:space="preserve"> </w:t>
      </w:r>
      <w:r w:rsidRPr="00B02247">
        <w:t>by</w:t>
      </w:r>
      <w:r w:rsidR="005B2A41">
        <w:t xml:space="preserve"> </w:t>
      </w:r>
      <w:r w:rsidRPr="00B02247">
        <w:t>the</w:t>
      </w:r>
      <w:r w:rsidR="005B2A41">
        <w:t xml:space="preserve"> </w:t>
      </w:r>
      <w:r w:rsidRPr="00B02247">
        <w:t>1830</w:t>
      </w:r>
      <w:r w:rsidR="005B2A41">
        <w:t xml:space="preserve"> </w:t>
      </w:r>
      <w:r w:rsidRPr="00B02247">
        <w:t>London</w:t>
      </w:r>
      <w:r w:rsidR="005B2A41">
        <w:t xml:space="preserve"> </w:t>
      </w:r>
      <w:r w:rsidRPr="00B02247">
        <w:t>Protocol,</w:t>
      </w:r>
      <w:r w:rsidR="005B2A41">
        <w:t xml:space="preserve"> </w:t>
      </w:r>
      <w:r w:rsidRPr="00B02247">
        <w:t>following</w:t>
      </w:r>
      <w:r w:rsidR="005B2A41">
        <w:t xml:space="preserve"> </w:t>
      </w:r>
      <w:r w:rsidRPr="00B02247">
        <w:t>the</w:t>
      </w:r>
      <w:r w:rsidR="005B2A41">
        <w:t xml:space="preserve"> </w:t>
      </w:r>
      <w:r w:rsidRPr="00B02247">
        <w:t>War</w:t>
      </w:r>
      <w:r w:rsidR="005B2A41">
        <w:t xml:space="preserve"> </w:t>
      </w:r>
      <w:r w:rsidRPr="00B02247">
        <w:t>of</w:t>
      </w:r>
      <w:r w:rsidR="005B2A41">
        <w:t xml:space="preserve"> </w:t>
      </w:r>
      <w:r w:rsidRPr="00B02247">
        <w:t>Independence</w:t>
      </w:r>
      <w:r w:rsidR="005B2A41">
        <w:t xml:space="preserve"> </w:t>
      </w:r>
      <w:r w:rsidRPr="00B02247">
        <w:t>against</w:t>
      </w:r>
      <w:r w:rsidR="005B2A41">
        <w:t xml:space="preserve"> </w:t>
      </w:r>
      <w:r w:rsidRPr="00B02247">
        <w:t>the</w:t>
      </w:r>
      <w:r w:rsidR="005B2A41">
        <w:t xml:space="preserve"> </w:t>
      </w:r>
      <w:r w:rsidRPr="00B02247">
        <w:t>Ottoman</w:t>
      </w:r>
      <w:r w:rsidR="005B2A41">
        <w:t xml:space="preserve"> </w:t>
      </w:r>
      <w:r w:rsidRPr="00B02247">
        <w:t>rule.</w:t>
      </w:r>
      <w:r w:rsidR="005B2A41">
        <w:t xml:space="preserve"> </w:t>
      </w:r>
      <w:r w:rsidRPr="00B02247">
        <w:t>The</w:t>
      </w:r>
      <w:r w:rsidR="005B2A41">
        <w:t xml:space="preserve"> </w:t>
      </w:r>
      <w:r w:rsidRPr="00B02247">
        <w:t>borders</w:t>
      </w:r>
      <w:r w:rsidR="005B2A41">
        <w:t xml:space="preserve"> </w:t>
      </w:r>
      <w:r w:rsidRPr="00B02247">
        <w:t>of</w:t>
      </w:r>
      <w:r w:rsidR="005B2A41">
        <w:t xml:space="preserve"> </w:t>
      </w:r>
      <w:r w:rsidRPr="00B02247">
        <w:t>the</w:t>
      </w:r>
      <w:r w:rsidR="005B2A41">
        <w:t xml:space="preserve"> </w:t>
      </w:r>
      <w:r w:rsidRPr="00B02247">
        <w:t>country</w:t>
      </w:r>
      <w:r w:rsidR="005B2A41">
        <w:t xml:space="preserve"> </w:t>
      </w:r>
      <w:r w:rsidRPr="00B02247">
        <w:t>have</w:t>
      </w:r>
      <w:r w:rsidR="005B2A41">
        <w:t xml:space="preserve"> </w:t>
      </w:r>
      <w:r w:rsidRPr="00B02247">
        <w:t>been</w:t>
      </w:r>
      <w:r w:rsidR="005B2A41">
        <w:t xml:space="preserve"> </w:t>
      </w:r>
      <w:r w:rsidRPr="00B02247">
        <w:t>determined</w:t>
      </w:r>
      <w:r w:rsidR="005B2A41">
        <w:t xml:space="preserve"> </w:t>
      </w:r>
      <w:r w:rsidRPr="00B02247">
        <w:t>through</w:t>
      </w:r>
      <w:r w:rsidR="005B2A41">
        <w:t xml:space="preserve"> </w:t>
      </w:r>
      <w:r w:rsidRPr="00B02247">
        <w:t>a</w:t>
      </w:r>
      <w:r w:rsidR="005B2A41">
        <w:t xml:space="preserve"> </w:t>
      </w:r>
      <w:r w:rsidRPr="00B02247">
        <w:t>series</w:t>
      </w:r>
      <w:r w:rsidR="005B2A41">
        <w:t xml:space="preserve"> </w:t>
      </w:r>
      <w:r w:rsidRPr="00B02247">
        <w:t>of</w:t>
      </w:r>
      <w:r w:rsidR="005B2A41">
        <w:t xml:space="preserve"> </w:t>
      </w:r>
      <w:r w:rsidRPr="00B02247">
        <w:t>international</w:t>
      </w:r>
      <w:r w:rsidR="005B2A41">
        <w:t xml:space="preserve"> </w:t>
      </w:r>
      <w:r w:rsidRPr="00B02247">
        <w:t>treaties</w:t>
      </w:r>
      <w:r w:rsidR="005B2A41">
        <w:t xml:space="preserve"> </w:t>
      </w:r>
      <w:r w:rsidRPr="00B02247">
        <w:t>and</w:t>
      </w:r>
      <w:r w:rsidR="005B2A41">
        <w:t xml:space="preserve"> </w:t>
      </w:r>
      <w:r w:rsidRPr="00B02247">
        <w:t>conventions,</w:t>
      </w:r>
      <w:r w:rsidR="005B2A41">
        <w:t xml:space="preserve"> </w:t>
      </w:r>
      <w:r w:rsidRPr="00B02247">
        <w:t>during</w:t>
      </w:r>
      <w:r w:rsidR="005B2A41">
        <w:t xml:space="preserve"> </w:t>
      </w:r>
      <w:r w:rsidRPr="00B02247">
        <w:t>the</w:t>
      </w:r>
      <w:r w:rsidR="005B2A41">
        <w:t xml:space="preserve"> </w:t>
      </w:r>
      <w:r w:rsidRPr="00B02247">
        <w:t>period</w:t>
      </w:r>
      <w:r w:rsidR="005B2A41">
        <w:t xml:space="preserve"> </w:t>
      </w:r>
      <w:r w:rsidRPr="00B02247">
        <w:t>1830</w:t>
      </w:r>
      <w:r w:rsidR="003A7592">
        <w:t>–</w:t>
      </w:r>
      <w:r w:rsidRPr="00B02247">
        <w:t>1947.</w:t>
      </w:r>
      <w:r w:rsidR="005B2A41">
        <w:t xml:space="preserve"> </w:t>
      </w:r>
    </w:p>
    <w:p w:rsidR="00F233AB" w:rsidRPr="00B02247" w:rsidRDefault="00F233AB" w:rsidP="00E1307D">
      <w:pPr>
        <w:pStyle w:val="SingleTxtG"/>
      </w:pPr>
      <w:r w:rsidRPr="00B02247">
        <w:t>3.</w:t>
      </w:r>
      <w:r w:rsidRPr="00B02247">
        <w:tab/>
        <w:t>After</w:t>
      </w:r>
      <w:r w:rsidR="005B2A41">
        <w:t xml:space="preserve"> </w:t>
      </w:r>
      <w:r w:rsidRPr="00B02247">
        <w:t>the</w:t>
      </w:r>
      <w:r w:rsidR="005B2A41">
        <w:t xml:space="preserve"> </w:t>
      </w:r>
      <w:r w:rsidRPr="00B02247">
        <w:t>Second</w:t>
      </w:r>
      <w:r w:rsidR="005B2A41">
        <w:t xml:space="preserve"> </w:t>
      </w:r>
      <w:r w:rsidRPr="00B02247">
        <w:t>World</w:t>
      </w:r>
      <w:r w:rsidR="005B2A41">
        <w:t xml:space="preserve"> </w:t>
      </w:r>
      <w:r w:rsidRPr="00B02247">
        <w:t>War,</w:t>
      </w:r>
      <w:r w:rsidR="005B2A41">
        <w:t xml:space="preserve"> </w:t>
      </w:r>
      <w:r w:rsidRPr="00B02247">
        <w:t>Greece</w:t>
      </w:r>
      <w:r w:rsidR="005B2A41">
        <w:t xml:space="preserve"> </w:t>
      </w:r>
      <w:r w:rsidRPr="00B02247">
        <w:t>became</w:t>
      </w:r>
      <w:r w:rsidR="005B2A41">
        <w:t xml:space="preserve"> </w:t>
      </w:r>
      <w:r w:rsidRPr="00B02247">
        <w:t>an</w:t>
      </w:r>
      <w:r w:rsidR="005B2A41">
        <w:t xml:space="preserve"> </w:t>
      </w:r>
      <w:r w:rsidRPr="00B02247">
        <w:t>active</w:t>
      </w:r>
      <w:r w:rsidR="005B2A41">
        <w:t xml:space="preserve"> </w:t>
      </w:r>
      <w:r w:rsidRPr="00B02247">
        <w:t>member</w:t>
      </w:r>
      <w:r w:rsidR="005B2A41">
        <w:t xml:space="preserve"> </w:t>
      </w:r>
      <w:r w:rsidRPr="00B02247">
        <w:t>of</w:t>
      </w:r>
      <w:r w:rsidR="005B2A41">
        <w:t xml:space="preserve"> </w:t>
      </w:r>
      <w:r w:rsidRPr="00B02247">
        <w:t>the</w:t>
      </w:r>
      <w:r w:rsidR="005B2A41">
        <w:t xml:space="preserve"> </w:t>
      </w:r>
      <w:r w:rsidRPr="00B02247">
        <w:t>new</w:t>
      </w:r>
      <w:r w:rsidR="005B2A41">
        <w:t xml:space="preserve"> </w:t>
      </w:r>
      <w:r w:rsidRPr="00B02247">
        <w:t>international</w:t>
      </w:r>
      <w:r w:rsidR="005B2A41">
        <w:t xml:space="preserve"> </w:t>
      </w:r>
      <w:r w:rsidRPr="00B02247">
        <w:t>system</w:t>
      </w:r>
      <w:r w:rsidR="005B2A41">
        <w:t xml:space="preserve"> </w:t>
      </w:r>
      <w:r w:rsidRPr="00B02247">
        <w:t>and</w:t>
      </w:r>
      <w:r w:rsidR="005B2A41">
        <w:t xml:space="preserve"> </w:t>
      </w:r>
      <w:r w:rsidRPr="00B02247">
        <w:t>was</w:t>
      </w:r>
      <w:r w:rsidR="005B2A41">
        <w:t xml:space="preserve"> </w:t>
      </w:r>
      <w:r w:rsidRPr="00B02247">
        <w:t>among</w:t>
      </w:r>
      <w:r w:rsidR="005B2A41">
        <w:t xml:space="preserve"> </w:t>
      </w:r>
      <w:r w:rsidRPr="00B02247">
        <w:t>the</w:t>
      </w:r>
      <w:r w:rsidR="005B2A41">
        <w:t xml:space="preserve"> </w:t>
      </w:r>
      <w:r w:rsidRPr="00B02247">
        <w:t>51</w:t>
      </w:r>
      <w:r w:rsidR="005B2A41">
        <w:t xml:space="preserve"> </w:t>
      </w:r>
      <w:r w:rsidRPr="00B02247">
        <w:t>founding</w:t>
      </w:r>
      <w:r w:rsidR="005B2A41">
        <w:t xml:space="preserve"> </w:t>
      </w:r>
      <w:r w:rsidRPr="00B02247">
        <w:t>members</w:t>
      </w:r>
      <w:r w:rsidR="005B2A41">
        <w:t xml:space="preserve"> </w:t>
      </w:r>
      <w:r w:rsidRPr="00B02247">
        <w:t>of</w:t>
      </w:r>
      <w:r w:rsidR="005B2A41">
        <w:t xml:space="preserve"> </w:t>
      </w:r>
      <w:r w:rsidRPr="00B02247">
        <w:t>the</w:t>
      </w:r>
      <w:r w:rsidR="005B2A41">
        <w:t xml:space="preserve"> </w:t>
      </w:r>
      <w:r w:rsidRPr="00B02247">
        <w:t>United</w:t>
      </w:r>
      <w:r w:rsidR="005B2A41">
        <w:t xml:space="preserve"> </w:t>
      </w:r>
      <w:r w:rsidRPr="00B02247">
        <w:t>Nations.</w:t>
      </w:r>
    </w:p>
    <w:p w:rsidR="00F233AB" w:rsidRPr="00B02247" w:rsidRDefault="00F233AB" w:rsidP="00E1307D">
      <w:pPr>
        <w:pStyle w:val="SingleTxtG"/>
      </w:pPr>
      <w:r w:rsidRPr="00B02247">
        <w:t>4.</w:t>
      </w:r>
      <w:r w:rsidRPr="00B02247">
        <w:tab/>
        <w:t>Following</w:t>
      </w:r>
      <w:r w:rsidR="005B2A41">
        <w:t xml:space="preserve"> </w:t>
      </w:r>
      <w:r w:rsidRPr="00B02247">
        <w:t>the</w:t>
      </w:r>
      <w:r w:rsidR="005B2A41">
        <w:t xml:space="preserve"> </w:t>
      </w:r>
      <w:r w:rsidRPr="00B02247">
        <w:t>collapse</w:t>
      </w:r>
      <w:r w:rsidR="005B2A41">
        <w:t xml:space="preserve"> </w:t>
      </w:r>
      <w:r w:rsidRPr="00B02247">
        <w:t>of</w:t>
      </w:r>
      <w:r w:rsidR="005B2A41">
        <w:t xml:space="preserve"> </w:t>
      </w:r>
      <w:r w:rsidRPr="00B02247">
        <w:t>a</w:t>
      </w:r>
      <w:r w:rsidR="005B2A41">
        <w:t xml:space="preserve"> </w:t>
      </w:r>
      <w:r w:rsidRPr="00B02247">
        <w:t>seven-year</w:t>
      </w:r>
      <w:r w:rsidR="005B2A41">
        <w:t xml:space="preserve"> </w:t>
      </w:r>
      <w:r w:rsidRPr="00B02247">
        <w:t>military</w:t>
      </w:r>
      <w:r w:rsidR="005B2A41">
        <w:t xml:space="preserve"> </w:t>
      </w:r>
      <w:r w:rsidRPr="00B02247">
        <w:t>dictatorship,</w:t>
      </w:r>
      <w:r w:rsidR="005B2A41">
        <w:t xml:space="preserve"> </w:t>
      </w:r>
      <w:r w:rsidRPr="00B02247">
        <w:t>democracy</w:t>
      </w:r>
      <w:r w:rsidR="005B2A41">
        <w:t xml:space="preserve"> </w:t>
      </w:r>
      <w:r w:rsidRPr="00B02247">
        <w:t>was</w:t>
      </w:r>
      <w:r w:rsidR="005B2A41">
        <w:t xml:space="preserve"> </w:t>
      </w:r>
      <w:r w:rsidRPr="00B02247">
        <w:t>restored</w:t>
      </w:r>
      <w:r w:rsidR="005B2A41">
        <w:t xml:space="preserve"> </w:t>
      </w:r>
      <w:r w:rsidRPr="00B02247">
        <w:t>in</w:t>
      </w:r>
      <w:r w:rsidR="005B2A41">
        <w:t xml:space="preserve"> </w:t>
      </w:r>
      <w:r w:rsidRPr="00B02247">
        <w:t>1974.</w:t>
      </w:r>
      <w:r w:rsidR="005B2A41">
        <w:t xml:space="preserve"> </w:t>
      </w:r>
      <w:r w:rsidRPr="00B02247">
        <w:t>In</w:t>
      </w:r>
      <w:r w:rsidR="005B2A41">
        <w:t xml:space="preserve"> </w:t>
      </w:r>
      <w:r w:rsidRPr="00B02247">
        <w:t>the</w:t>
      </w:r>
      <w:r w:rsidR="005B2A41">
        <w:t xml:space="preserve"> </w:t>
      </w:r>
      <w:r w:rsidRPr="00B02247">
        <w:t>same</w:t>
      </w:r>
      <w:r w:rsidR="005B2A41">
        <w:t xml:space="preserve"> </w:t>
      </w:r>
      <w:r w:rsidRPr="00B02247">
        <w:t>year,</w:t>
      </w:r>
      <w:r w:rsidR="005B2A41">
        <w:t xml:space="preserve"> </w:t>
      </w:r>
      <w:r w:rsidRPr="00B02247">
        <w:t>by</w:t>
      </w:r>
      <w:r w:rsidR="005B2A41">
        <w:t xml:space="preserve"> </w:t>
      </w:r>
      <w:r w:rsidRPr="00B02247">
        <w:t>an</w:t>
      </w:r>
      <w:r w:rsidR="005B2A41">
        <w:t xml:space="preserve"> </w:t>
      </w:r>
      <w:r w:rsidRPr="00B02247">
        <w:t>overwhelming</w:t>
      </w:r>
      <w:r w:rsidR="005B2A41">
        <w:t xml:space="preserve"> </w:t>
      </w:r>
      <w:r w:rsidRPr="00B02247">
        <w:t>majority</w:t>
      </w:r>
      <w:r w:rsidR="005B2A41">
        <w:t xml:space="preserve"> </w:t>
      </w:r>
      <w:r w:rsidRPr="00B02247">
        <w:t>in</w:t>
      </w:r>
      <w:r w:rsidR="005B2A41">
        <w:t xml:space="preserve"> </w:t>
      </w:r>
      <w:r w:rsidRPr="00B02247">
        <w:t>a</w:t>
      </w:r>
      <w:r w:rsidR="005B2A41">
        <w:t xml:space="preserve"> </w:t>
      </w:r>
      <w:r w:rsidRPr="00B02247">
        <w:t>constitutional</w:t>
      </w:r>
      <w:r w:rsidR="005B2A41">
        <w:t xml:space="preserve"> </w:t>
      </w:r>
      <w:r w:rsidRPr="00B02247">
        <w:t>referendum,</w:t>
      </w:r>
      <w:r w:rsidR="005B2A41">
        <w:t xml:space="preserve"> </w:t>
      </w:r>
      <w:r w:rsidRPr="00B02247">
        <w:t>the</w:t>
      </w:r>
      <w:r w:rsidR="005B2A41">
        <w:t xml:space="preserve"> </w:t>
      </w:r>
      <w:r w:rsidRPr="00B02247">
        <w:t>Greek</w:t>
      </w:r>
      <w:r w:rsidR="005B2A41">
        <w:t xml:space="preserve"> </w:t>
      </w:r>
      <w:r w:rsidRPr="00B02247">
        <w:t>people</w:t>
      </w:r>
      <w:r w:rsidR="005B2A41">
        <w:t xml:space="preserve"> </w:t>
      </w:r>
      <w:r w:rsidRPr="00B02247">
        <w:t>chose</w:t>
      </w:r>
      <w:r w:rsidR="005B2A41">
        <w:t xml:space="preserve"> </w:t>
      </w:r>
      <w:r w:rsidRPr="00B02247">
        <w:t>the</w:t>
      </w:r>
      <w:r w:rsidR="005B2A41">
        <w:t xml:space="preserve"> </w:t>
      </w:r>
      <w:r w:rsidRPr="00B02247">
        <w:t>republican</w:t>
      </w:r>
      <w:r w:rsidR="005B2A41">
        <w:t xml:space="preserve"> </w:t>
      </w:r>
      <w:r w:rsidRPr="00B02247">
        <w:t>form</w:t>
      </w:r>
      <w:r w:rsidR="005B2A41">
        <w:t xml:space="preserve"> </w:t>
      </w:r>
      <w:r w:rsidRPr="00B02247">
        <w:t>of</w:t>
      </w:r>
      <w:r w:rsidR="005B2A41">
        <w:t xml:space="preserve"> </w:t>
      </w:r>
      <w:r w:rsidRPr="00B02247">
        <w:t>Government.</w:t>
      </w:r>
      <w:r w:rsidR="005B2A41">
        <w:t xml:space="preserve"> </w:t>
      </w:r>
      <w:r w:rsidRPr="00B02247">
        <w:t>A</w:t>
      </w:r>
      <w:r w:rsidR="005B2A41">
        <w:t xml:space="preserve"> </w:t>
      </w:r>
      <w:r w:rsidRPr="00B02247">
        <w:t>new</w:t>
      </w:r>
      <w:r w:rsidR="005B2A41">
        <w:t xml:space="preserve"> </w:t>
      </w:r>
      <w:r w:rsidRPr="00B02247">
        <w:t>Constitution</w:t>
      </w:r>
      <w:r w:rsidR="005B2A41">
        <w:t xml:space="preserve"> </w:t>
      </w:r>
      <w:r w:rsidRPr="00B02247">
        <w:t>was</w:t>
      </w:r>
      <w:r w:rsidR="005B2A41">
        <w:t xml:space="preserve"> </w:t>
      </w:r>
      <w:r w:rsidRPr="00B02247">
        <w:t>adopted</w:t>
      </w:r>
      <w:r w:rsidR="005B2A41">
        <w:t xml:space="preserve"> </w:t>
      </w:r>
      <w:r w:rsidRPr="00B02247">
        <w:t>in</w:t>
      </w:r>
      <w:r w:rsidR="005B2A41">
        <w:t xml:space="preserve"> </w:t>
      </w:r>
      <w:r w:rsidRPr="00B02247">
        <w:t>1975</w:t>
      </w:r>
      <w:r w:rsidR="005B2A41">
        <w:t xml:space="preserve"> </w:t>
      </w:r>
      <w:r w:rsidRPr="00B02247">
        <w:t>which,</w:t>
      </w:r>
      <w:r w:rsidR="005B2A41">
        <w:t xml:space="preserve"> </w:t>
      </w:r>
      <w:r w:rsidRPr="00B02247">
        <w:t>as</w:t>
      </w:r>
      <w:r w:rsidR="005B2A41">
        <w:t xml:space="preserve"> </w:t>
      </w:r>
      <w:r w:rsidRPr="00B02247">
        <w:t>successively</w:t>
      </w:r>
      <w:r w:rsidR="005B2A41">
        <w:t xml:space="preserve"> </w:t>
      </w:r>
      <w:r w:rsidRPr="00B02247">
        <w:t>amended,</w:t>
      </w:r>
      <w:r w:rsidR="005B2A41">
        <w:t xml:space="preserve"> </w:t>
      </w:r>
      <w:r w:rsidRPr="00B02247">
        <w:t>remains</w:t>
      </w:r>
      <w:r w:rsidR="005B2A41">
        <w:t xml:space="preserve"> </w:t>
      </w:r>
      <w:r w:rsidRPr="00B02247">
        <w:t>the</w:t>
      </w:r>
      <w:r w:rsidR="005B2A41">
        <w:t xml:space="preserve"> </w:t>
      </w:r>
      <w:r w:rsidRPr="00B02247">
        <w:t>Fundamental</w:t>
      </w:r>
      <w:r w:rsidR="005B2A41">
        <w:t xml:space="preserve"> </w:t>
      </w:r>
      <w:r w:rsidRPr="00B02247">
        <w:t>Law</w:t>
      </w:r>
      <w:r w:rsidR="005B2A41">
        <w:t xml:space="preserve"> </w:t>
      </w:r>
      <w:r w:rsidRPr="00B02247">
        <w:t>of</w:t>
      </w:r>
      <w:r w:rsidR="005B2A41">
        <w:t xml:space="preserve"> </w:t>
      </w:r>
      <w:r w:rsidRPr="00B02247">
        <w:t>the</w:t>
      </w:r>
      <w:r w:rsidR="005B2A41">
        <w:t xml:space="preserve"> </w:t>
      </w:r>
      <w:r w:rsidRPr="00B02247">
        <w:t>country.</w:t>
      </w:r>
      <w:r w:rsidR="005B2A41">
        <w:t xml:space="preserve"> </w:t>
      </w:r>
    </w:p>
    <w:p w:rsidR="00F233AB" w:rsidRPr="00B02247" w:rsidRDefault="00F233AB" w:rsidP="00E1307D">
      <w:pPr>
        <w:pStyle w:val="SingleTxtG"/>
      </w:pPr>
      <w:r w:rsidRPr="00B02247">
        <w:t>5.</w:t>
      </w:r>
      <w:r w:rsidRPr="00B02247">
        <w:tab/>
        <w:t>Greece</w:t>
      </w:r>
      <w:r w:rsidR="005B2A41">
        <w:t xml:space="preserve"> </w:t>
      </w:r>
      <w:r w:rsidRPr="00B02247">
        <w:t>became</w:t>
      </w:r>
      <w:r w:rsidR="005B2A41">
        <w:t xml:space="preserve"> </w:t>
      </w:r>
      <w:r w:rsidRPr="00B02247">
        <w:t>a</w:t>
      </w:r>
      <w:r w:rsidR="005B2A41">
        <w:t xml:space="preserve"> </w:t>
      </w:r>
      <w:r w:rsidRPr="00B02247">
        <w:t>member</w:t>
      </w:r>
      <w:r w:rsidR="005B2A41">
        <w:t xml:space="preserve"> </w:t>
      </w:r>
      <w:r w:rsidRPr="00B02247">
        <w:t>of</w:t>
      </w:r>
      <w:r w:rsidR="005B2A41">
        <w:t xml:space="preserve"> </w:t>
      </w:r>
      <w:r w:rsidRPr="00B02247">
        <w:t>the</w:t>
      </w:r>
      <w:r w:rsidR="005B2A41">
        <w:t xml:space="preserve"> </w:t>
      </w:r>
      <w:r w:rsidRPr="00B02247">
        <w:t>(then)</w:t>
      </w:r>
      <w:r w:rsidR="005B2A41">
        <w:t xml:space="preserve"> </w:t>
      </w:r>
      <w:r w:rsidRPr="00B02247">
        <w:t>European</w:t>
      </w:r>
      <w:r w:rsidR="005B2A41">
        <w:t xml:space="preserve"> </w:t>
      </w:r>
      <w:r w:rsidRPr="00B02247">
        <w:t>Economic</w:t>
      </w:r>
      <w:r w:rsidR="005B2A41">
        <w:t xml:space="preserve"> </w:t>
      </w:r>
      <w:r w:rsidRPr="00B02247">
        <w:t>Community</w:t>
      </w:r>
      <w:r w:rsidR="005B2A41">
        <w:t xml:space="preserve"> </w:t>
      </w:r>
      <w:r w:rsidRPr="00B02247">
        <w:t>in</w:t>
      </w:r>
      <w:r w:rsidR="005B2A41">
        <w:t xml:space="preserve"> </w:t>
      </w:r>
      <w:r w:rsidRPr="00B02247">
        <w:t>1.1.1981</w:t>
      </w:r>
      <w:r w:rsidR="005B2A41">
        <w:t xml:space="preserve"> </w:t>
      </w:r>
      <w:r w:rsidRPr="00B02247">
        <w:t>and</w:t>
      </w:r>
      <w:r w:rsidR="005B2A41">
        <w:t xml:space="preserve"> </w:t>
      </w:r>
      <w:r w:rsidRPr="00B02247">
        <w:t>joined</w:t>
      </w:r>
      <w:r w:rsidR="005B2A41">
        <w:t xml:space="preserve"> </w:t>
      </w:r>
      <w:r w:rsidRPr="00B02247">
        <w:t>the</w:t>
      </w:r>
      <w:r w:rsidR="005B2A41">
        <w:t xml:space="preserve"> </w:t>
      </w:r>
      <w:r w:rsidRPr="00B02247">
        <w:t>Euro</w:t>
      </w:r>
      <w:r w:rsidR="005B2A41">
        <w:t xml:space="preserve"> </w:t>
      </w:r>
      <w:r w:rsidRPr="00B02247">
        <w:t>area</w:t>
      </w:r>
      <w:r w:rsidR="005B2A41">
        <w:t xml:space="preserve"> </w:t>
      </w:r>
      <w:r w:rsidRPr="00B02247">
        <w:t>on</w:t>
      </w:r>
      <w:r w:rsidR="005B2A41">
        <w:t xml:space="preserve"> </w:t>
      </w:r>
      <w:r w:rsidRPr="00B02247">
        <w:t>1.1.2001.</w:t>
      </w:r>
    </w:p>
    <w:p w:rsidR="00F233AB" w:rsidRPr="00B02247" w:rsidRDefault="00F233AB" w:rsidP="00E1307D">
      <w:pPr>
        <w:pStyle w:val="SingleTxtG"/>
      </w:pPr>
      <w:r w:rsidRPr="00B02247">
        <w:t>6.</w:t>
      </w:r>
      <w:r w:rsidRPr="00B02247">
        <w:tab/>
        <w:t>A</w:t>
      </w:r>
      <w:r w:rsidR="005B2A41">
        <w:t xml:space="preserve"> </w:t>
      </w:r>
      <w:r w:rsidRPr="00B02247">
        <w:t>country</w:t>
      </w:r>
      <w:r w:rsidR="005B2A41">
        <w:t xml:space="preserve"> </w:t>
      </w:r>
      <w:r w:rsidRPr="00B02247">
        <w:t>of</w:t>
      </w:r>
      <w:r w:rsidR="005B2A41">
        <w:t xml:space="preserve"> </w:t>
      </w:r>
      <w:r w:rsidRPr="00B02247">
        <w:t>emigration</w:t>
      </w:r>
      <w:r w:rsidR="005B2A41">
        <w:t xml:space="preserve"> </w:t>
      </w:r>
      <w:r w:rsidRPr="00B02247">
        <w:t>since</w:t>
      </w:r>
      <w:r w:rsidR="005B2A41">
        <w:t xml:space="preserve"> </w:t>
      </w:r>
      <w:r w:rsidRPr="00B02247">
        <w:t>the</w:t>
      </w:r>
      <w:r w:rsidR="005B2A41">
        <w:t xml:space="preserve"> </w:t>
      </w:r>
      <w:r w:rsidRPr="00B02247">
        <w:t>end</w:t>
      </w:r>
      <w:r w:rsidR="005B2A41">
        <w:t xml:space="preserve"> </w:t>
      </w:r>
      <w:r w:rsidRPr="00B02247">
        <w:t>of</w:t>
      </w:r>
      <w:r w:rsidR="005B2A41">
        <w:t xml:space="preserve"> </w:t>
      </w:r>
      <w:r w:rsidRPr="00B02247">
        <w:t>World</w:t>
      </w:r>
      <w:r w:rsidR="005B2A41">
        <w:t xml:space="preserve"> </w:t>
      </w:r>
      <w:r w:rsidRPr="00B02247">
        <w:t>War</w:t>
      </w:r>
      <w:r w:rsidR="005B2A41">
        <w:t xml:space="preserve"> </w:t>
      </w:r>
      <w:r w:rsidRPr="00B02247">
        <w:t>II,</w:t>
      </w:r>
      <w:r w:rsidR="005B2A41">
        <w:t xml:space="preserve"> </w:t>
      </w:r>
      <w:r w:rsidRPr="00B02247">
        <w:t>Greece</w:t>
      </w:r>
      <w:r w:rsidR="005B2A41">
        <w:t xml:space="preserve"> </w:t>
      </w:r>
      <w:r w:rsidRPr="00B02247">
        <w:t>experienced</w:t>
      </w:r>
      <w:r w:rsidR="005B2A41">
        <w:t xml:space="preserve"> </w:t>
      </w:r>
      <w:r w:rsidRPr="00B02247">
        <w:t>a</w:t>
      </w:r>
      <w:r w:rsidR="005B2A41">
        <w:t xml:space="preserve"> </w:t>
      </w:r>
      <w:r w:rsidRPr="00B02247">
        <w:t>wave</w:t>
      </w:r>
      <w:r w:rsidR="005B2A41">
        <w:t xml:space="preserve"> </w:t>
      </w:r>
      <w:r w:rsidRPr="00B02247">
        <w:t>of</w:t>
      </w:r>
      <w:r w:rsidR="005B2A41">
        <w:t xml:space="preserve"> </w:t>
      </w:r>
      <w:r w:rsidRPr="00B02247">
        <w:t>regular</w:t>
      </w:r>
      <w:r w:rsidR="005B2A41">
        <w:t xml:space="preserve"> </w:t>
      </w:r>
      <w:r w:rsidRPr="00B02247">
        <w:t>and</w:t>
      </w:r>
      <w:r w:rsidR="005B2A41">
        <w:t xml:space="preserve"> </w:t>
      </w:r>
      <w:r w:rsidRPr="00B02247">
        <w:t>irregular</w:t>
      </w:r>
      <w:r w:rsidR="005B2A41">
        <w:t xml:space="preserve"> </w:t>
      </w:r>
      <w:r w:rsidRPr="00B02247">
        <w:t>immigration</w:t>
      </w:r>
      <w:r w:rsidR="005B2A41">
        <w:t xml:space="preserve"> </w:t>
      </w:r>
      <w:r w:rsidRPr="00B02247">
        <w:t>since</w:t>
      </w:r>
      <w:r w:rsidR="005B2A41">
        <w:t xml:space="preserve"> </w:t>
      </w:r>
      <w:r w:rsidRPr="00B02247">
        <w:t>the</w:t>
      </w:r>
      <w:r w:rsidR="005B2A41">
        <w:t xml:space="preserve"> </w:t>
      </w:r>
      <w:r w:rsidRPr="00B02247">
        <w:t>1990s.</w:t>
      </w:r>
      <w:r w:rsidR="005B2A41">
        <w:t xml:space="preserve"> </w:t>
      </w:r>
      <w:r w:rsidRPr="00B02247">
        <w:t>The</w:t>
      </w:r>
      <w:r w:rsidR="005B2A41">
        <w:t xml:space="preserve"> </w:t>
      </w:r>
      <w:r w:rsidRPr="00B02247">
        <w:t>strong</w:t>
      </w:r>
      <w:r w:rsidR="005B2A41">
        <w:t xml:space="preserve"> </w:t>
      </w:r>
      <w:r w:rsidRPr="00B02247">
        <w:t>migratory</w:t>
      </w:r>
      <w:r w:rsidR="005B2A41">
        <w:t xml:space="preserve"> </w:t>
      </w:r>
      <w:r w:rsidRPr="00B02247">
        <w:t>pressure</w:t>
      </w:r>
      <w:r w:rsidR="005B2A41">
        <w:t xml:space="preserve"> </w:t>
      </w:r>
      <w:r w:rsidRPr="00B02247">
        <w:t>traditionally</w:t>
      </w:r>
      <w:r w:rsidR="005B2A41">
        <w:t xml:space="preserve"> </w:t>
      </w:r>
      <w:r w:rsidRPr="00B02247">
        <w:t>facing</w:t>
      </w:r>
      <w:r w:rsidR="005B2A41">
        <w:t xml:space="preserve"> </w:t>
      </w:r>
      <w:r w:rsidRPr="00B02247">
        <w:t>Greece</w:t>
      </w:r>
      <w:r w:rsidR="005B2A41">
        <w:t xml:space="preserve"> </w:t>
      </w:r>
      <w:r w:rsidRPr="00B02247">
        <w:t>due</w:t>
      </w:r>
      <w:r w:rsidR="005B2A41">
        <w:t xml:space="preserve"> </w:t>
      </w:r>
      <w:r w:rsidRPr="00B02247">
        <w:t>to</w:t>
      </w:r>
      <w:r w:rsidR="005B2A41">
        <w:t xml:space="preserve"> </w:t>
      </w:r>
      <w:r w:rsidRPr="00B02247">
        <w:t>its</w:t>
      </w:r>
      <w:r w:rsidR="005B2A41">
        <w:t xml:space="preserve"> </w:t>
      </w:r>
      <w:r w:rsidRPr="00B02247">
        <w:t>geographic</w:t>
      </w:r>
      <w:r w:rsidR="005B2A41">
        <w:t xml:space="preserve"> </w:t>
      </w:r>
      <w:r w:rsidRPr="00B02247">
        <w:t>position</w:t>
      </w:r>
      <w:r w:rsidR="005B2A41">
        <w:t xml:space="preserve"> </w:t>
      </w:r>
      <w:r w:rsidRPr="00B02247">
        <w:t>at</w:t>
      </w:r>
      <w:r w:rsidR="005B2A41">
        <w:t xml:space="preserve"> </w:t>
      </w:r>
      <w:r w:rsidRPr="00B02247">
        <w:t>the</w:t>
      </w:r>
      <w:r w:rsidR="005B2A41">
        <w:t xml:space="preserve"> </w:t>
      </w:r>
      <w:r w:rsidRPr="00B02247">
        <w:t>external</w:t>
      </w:r>
      <w:r w:rsidR="005B2A41">
        <w:t xml:space="preserve"> </w:t>
      </w:r>
      <w:r w:rsidRPr="00B02247">
        <w:t>border</w:t>
      </w:r>
      <w:r w:rsidR="005B2A41">
        <w:t xml:space="preserve"> </w:t>
      </w:r>
      <w:r w:rsidRPr="00B02247">
        <w:t>of</w:t>
      </w:r>
      <w:r w:rsidR="005B2A41">
        <w:t xml:space="preserve"> </w:t>
      </w:r>
      <w:r w:rsidRPr="00B02247">
        <w:t>the</w:t>
      </w:r>
      <w:r w:rsidR="005B2A41">
        <w:t xml:space="preserve"> </w:t>
      </w:r>
      <w:r w:rsidRPr="00B02247">
        <w:t>EU</w:t>
      </w:r>
      <w:r w:rsidR="005B2A41">
        <w:t xml:space="preserve"> </w:t>
      </w:r>
      <w:r w:rsidRPr="00B02247">
        <w:t>has</w:t>
      </w:r>
      <w:r w:rsidR="005B2A41">
        <w:t xml:space="preserve"> </w:t>
      </w:r>
      <w:r w:rsidRPr="00B02247">
        <w:t>evolved</w:t>
      </w:r>
      <w:r w:rsidR="005B2A41">
        <w:t xml:space="preserve"> </w:t>
      </w:r>
      <w:r w:rsidRPr="00B02247">
        <w:t>to</w:t>
      </w:r>
      <w:r w:rsidR="005B2A41">
        <w:t xml:space="preserve"> </w:t>
      </w:r>
      <w:r w:rsidRPr="00B02247">
        <w:t>a</w:t>
      </w:r>
      <w:r w:rsidR="005B2A41">
        <w:t xml:space="preserve"> </w:t>
      </w:r>
      <w:r w:rsidRPr="00B02247">
        <w:t>migration/refugee</w:t>
      </w:r>
      <w:r w:rsidR="005B2A41">
        <w:t xml:space="preserve"> </w:t>
      </w:r>
      <w:r w:rsidRPr="00B02247">
        <w:t>crisis</w:t>
      </w:r>
      <w:r w:rsidR="005B2A41">
        <w:t xml:space="preserve"> </w:t>
      </w:r>
      <w:r w:rsidRPr="00B02247">
        <w:t>in</w:t>
      </w:r>
      <w:r w:rsidR="005B2A41">
        <w:t xml:space="preserve"> </w:t>
      </w:r>
      <w:r w:rsidRPr="00B02247">
        <w:t>2015.</w:t>
      </w:r>
      <w:r w:rsidR="005B2A41">
        <w:t xml:space="preserve"> </w:t>
      </w:r>
      <w:r w:rsidRPr="00B02247">
        <w:t>Greece</w:t>
      </w:r>
      <w:r w:rsidR="005B2A41">
        <w:t xml:space="preserve"> </w:t>
      </w:r>
      <w:r w:rsidRPr="00B02247">
        <w:t>has</w:t>
      </w:r>
      <w:r w:rsidR="005B2A41">
        <w:t xml:space="preserve"> </w:t>
      </w:r>
      <w:r w:rsidRPr="00B02247">
        <w:t>made</w:t>
      </w:r>
      <w:r w:rsidR="005B2A41">
        <w:t xml:space="preserve"> </w:t>
      </w:r>
      <w:r w:rsidRPr="00B02247">
        <w:t>tremendous</w:t>
      </w:r>
      <w:r w:rsidR="005B2A41">
        <w:t xml:space="preserve"> </w:t>
      </w:r>
      <w:r w:rsidRPr="00B02247">
        <w:t>efforts</w:t>
      </w:r>
      <w:r w:rsidR="005B2A41">
        <w:t xml:space="preserve"> </w:t>
      </w:r>
      <w:r w:rsidRPr="00B02247">
        <w:t>to</w:t>
      </w:r>
      <w:r w:rsidR="005B2A41">
        <w:t xml:space="preserve"> </w:t>
      </w:r>
      <w:r w:rsidRPr="00B02247">
        <w:t>rescue</w:t>
      </w:r>
      <w:r w:rsidR="005B2A41">
        <w:t xml:space="preserve"> </w:t>
      </w:r>
      <w:r w:rsidRPr="00B02247">
        <w:t>migrants</w:t>
      </w:r>
      <w:r w:rsidR="005B2A41">
        <w:t xml:space="preserve"> </w:t>
      </w:r>
      <w:r w:rsidRPr="00B02247">
        <w:t>and</w:t>
      </w:r>
      <w:r w:rsidR="005B2A41">
        <w:t xml:space="preserve"> </w:t>
      </w:r>
      <w:r w:rsidRPr="00B02247">
        <w:t>refugees</w:t>
      </w:r>
      <w:r w:rsidR="005B2A41">
        <w:t xml:space="preserve"> </w:t>
      </w:r>
      <w:r w:rsidRPr="00B02247">
        <w:t>in</w:t>
      </w:r>
      <w:r w:rsidR="005B2A41">
        <w:t xml:space="preserve"> </w:t>
      </w:r>
      <w:r w:rsidRPr="00B02247">
        <w:t>need</w:t>
      </w:r>
      <w:r w:rsidR="005B2A41">
        <w:t xml:space="preserve"> </w:t>
      </w:r>
      <w:r w:rsidRPr="00B02247">
        <w:t>and</w:t>
      </w:r>
      <w:r w:rsidR="005B2A41">
        <w:t xml:space="preserve"> </w:t>
      </w:r>
      <w:r w:rsidRPr="00B02247">
        <w:t>to</w:t>
      </w:r>
      <w:r w:rsidR="005B2A41">
        <w:t xml:space="preserve"> </w:t>
      </w:r>
      <w:r w:rsidRPr="00B02247">
        <w:t>receive</w:t>
      </w:r>
      <w:r w:rsidR="005B2A41">
        <w:t xml:space="preserve"> </w:t>
      </w:r>
      <w:r w:rsidRPr="00B02247">
        <w:t>them</w:t>
      </w:r>
      <w:r w:rsidR="005B2A41">
        <w:t xml:space="preserve"> </w:t>
      </w:r>
      <w:r w:rsidRPr="00B02247">
        <w:t>in</w:t>
      </w:r>
      <w:r w:rsidR="005B2A41">
        <w:t xml:space="preserve"> </w:t>
      </w:r>
      <w:r w:rsidRPr="00B02247">
        <w:t>a</w:t>
      </w:r>
      <w:r w:rsidR="005B2A41">
        <w:t xml:space="preserve"> </w:t>
      </w:r>
      <w:r w:rsidRPr="00B02247">
        <w:t>humane</w:t>
      </w:r>
      <w:r w:rsidR="005B2A41">
        <w:t xml:space="preserve"> </w:t>
      </w:r>
      <w:r w:rsidRPr="00B02247">
        <w:t>way</w:t>
      </w:r>
      <w:r w:rsidR="005B2A41">
        <w:t xml:space="preserve"> </w:t>
      </w:r>
      <w:r w:rsidRPr="00B02247">
        <w:t>in</w:t>
      </w:r>
      <w:r w:rsidR="005B2A41">
        <w:t xml:space="preserve"> </w:t>
      </w:r>
      <w:r w:rsidRPr="00B02247">
        <w:t>the</w:t>
      </w:r>
      <w:r w:rsidR="005B2A41">
        <w:t xml:space="preserve"> </w:t>
      </w:r>
      <w:r w:rsidRPr="00B02247">
        <w:t>frontline</w:t>
      </w:r>
      <w:r w:rsidR="005B2A41">
        <w:t xml:space="preserve"> </w:t>
      </w:r>
      <w:r w:rsidRPr="00B02247">
        <w:t>islands,</w:t>
      </w:r>
      <w:r w:rsidR="005B2A41">
        <w:t xml:space="preserve"> </w:t>
      </w:r>
      <w:r w:rsidRPr="00B02247">
        <w:t>with</w:t>
      </w:r>
      <w:r w:rsidR="005B2A41">
        <w:t xml:space="preserve"> </w:t>
      </w:r>
      <w:r w:rsidRPr="00B02247">
        <w:t>the</w:t>
      </w:r>
      <w:r w:rsidR="005B2A41">
        <w:t xml:space="preserve"> </w:t>
      </w:r>
      <w:r w:rsidRPr="00B02247">
        <w:t>aid</w:t>
      </w:r>
      <w:r w:rsidR="005B2A41">
        <w:t xml:space="preserve"> </w:t>
      </w:r>
      <w:r w:rsidRPr="00B02247">
        <w:t>and</w:t>
      </w:r>
      <w:r w:rsidR="005B2A41">
        <w:t xml:space="preserve"> </w:t>
      </w:r>
      <w:r w:rsidRPr="00B02247">
        <w:t>mobilization</w:t>
      </w:r>
      <w:r w:rsidR="005B2A41">
        <w:t xml:space="preserve"> </w:t>
      </w:r>
      <w:r w:rsidRPr="00B02247">
        <w:t>also</w:t>
      </w:r>
      <w:r w:rsidR="005B2A41">
        <w:t xml:space="preserve"> </w:t>
      </w:r>
      <w:r w:rsidRPr="00B02247">
        <w:t>of</w:t>
      </w:r>
      <w:r w:rsidR="005B2A41">
        <w:t xml:space="preserve"> </w:t>
      </w:r>
      <w:r w:rsidRPr="00B02247">
        <w:t>the</w:t>
      </w:r>
      <w:r w:rsidR="005B2A41">
        <w:t xml:space="preserve"> </w:t>
      </w:r>
      <w:r w:rsidRPr="00B02247">
        <w:t>local</w:t>
      </w:r>
      <w:r w:rsidR="005B2A41">
        <w:t xml:space="preserve"> </w:t>
      </w:r>
      <w:r w:rsidRPr="00B02247">
        <w:t>population.</w:t>
      </w:r>
      <w:r w:rsidR="005B2A41">
        <w:t xml:space="preserve"> </w:t>
      </w:r>
      <w:r w:rsidRPr="00B02247">
        <w:t>It</w:t>
      </w:r>
      <w:r w:rsidR="005B2A41">
        <w:t xml:space="preserve"> </w:t>
      </w:r>
      <w:r w:rsidRPr="00B02247">
        <w:t>is</w:t>
      </w:r>
      <w:r w:rsidR="005B2A41">
        <w:t xml:space="preserve"> </w:t>
      </w:r>
      <w:r w:rsidRPr="00B02247">
        <w:t>clear</w:t>
      </w:r>
      <w:r w:rsidR="005B2A41">
        <w:t xml:space="preserve"> </w:t>
      </w:r>
      <w:r w:rsidRPr="00B02247">
        <w:t>that</w:t>
      </w:r>
      <w:r w:rsidR="005B2A41">
        <w:t xml:space="preserve"> </w:t>
      </w:r>
      <w:r w:rsidRPr="00B02247">
        <w:t>a</w:t>
      </w:r>
      <w:r w:rsidR="005B2A41">
        <w:t xml:space="preserve"> </w:t>
      </w:r>
      <w:r w:rsidRPr="00B02247">
        <w:t>long-term</w:t>
      </w:r>
      <w:r w:rsidR="005B2A41">
        <w:t xml:space="preserve"> </w:t>
      </w:r>
      <w:r w:rsidRPr="00B02247">
        <w:t>comprehensive</w:t>
      </w:r>
      <w:r w:rsidR="005B2A41">
        <w:t xml:space="preserve"> </w:t>
      </w:r>
      <w:r w:rsidRPr="00B02247">
        <w:t>strategy</w:t>
      </w:r>
      <w:r w:rsidR="005B2A41">
        <w:t xml:space="preserve"> </w:t>
      </w:r>
      <w:r w:rsidRPr="00B02247">
        <w:t>is</w:t>
      </w:r>
      <w:r w:rsidR="005B2A41">
        <w:t xml:space="preserve"> </w:t>
      </w:r>
      <w:r w:rsidRPr="00B02247">
        <w:t>needed</w:t>
      </w:r>
      <w:r w:rsidR="005B2A41">
        <w:t xml:space="preserve"> </w:t>
      </w:r>
      <w:r w:rsidRPr="00B02247">
        <w:t>to</w:t>
      </w:r>
      <w:r w:rsidR="005B2A41">
        <w:t xml:space="preserve"> </w:t>
      </w:r>
      <w:r w:rsidRPr="00B02247">
        <w:t>deal</w:t>
      </w:r>
      <w:r w:rsidR="005B2A41">
        <w:t xml:space="preserve"> </w:t>
      </w:r>
      <w:r w:rsidRPr="00B02247">
        <w:t>with</w:t>
      </w:r>
      <w:r w:rsidR="005B2A41">
        <w:t xml:space="preserve"> </w:t>
      </w:r>
      <w:r w:rsidRPr="00B02247">
        <w:t>all</w:t>
      </w:r>
      <w:r w:rsidR="005B2A41">
        <w:t xml:space="preserve"> </w:t>
      </w:r>
      <w:r w:rsidRPr="00B02247">
        <w:t>aspects</w:t>
      </w:r>
      <w:r w:rsidR="005B2A41">
        <w:t xml:space="preserve"> </w:t>
      </w:r>
      <w:r w:rsidRPr="00B02247">
        <w:t>of</w:t>
      </w:r>
      <w:r w:rsidR="005B2A41">
        <w:t xml:space="preserve"> </w:t>
      </w:r>
      <w:r w:rsidRPr="00B02247">
        <w:t>a</w:t>
      </w:r>
      <w:r w:rsidR="005B2A41">
        <w:t xml:space="preserve"> </w:t>
      </w:r>
      <w:r w:rsidRPr="00B02247">
        <w:t>problem,</w:t>
      </w:r>
      <w:r w:rsidR="005B2A41">
        <w:t xml:space="preserve"> </w:t>
      </w:r>
      <w:r w:rsidRPr="00B02247">
        <w:t>which</w:t>
      </w:r>
      <w:r w:rsidR="005B2A41">
        <w:t xml:space="preserve"> </w:t>
      </w:r>
      <w:r w:rsidRPr="00B02247">
        <w:t>also</w:t>
      </w:r>
      <w:r w:rsidR="005B2A41">
        <w:t xml:space="preserve"> </w:t>
      </w:r>
      <w:r w:rsidRPr="00B02247">
        <w:t>has</w:t>
      </w:r>
      <w:r w:rsidR="005B2A41">
        <w:t xml:space="preserve"> </w:t>
      </w:r>
      <w:r w:rsidRPr="00B02247">
        <w:t>a</w:t>
      </w:r>
      <w:r w:rsidR="005B2A41">
        <w:t xml:space="preserve"> </w:t>
      </w:r>
      <w:r w:rsidRPr="00B02247">
        <w:t>European</w:t>
      </w:r>
      <w:r w:rsidR="005B2A41">
        <w:t xml:space="preserve"> </w:t>
      </w:r>
      <w:r w:rsidRPr="00B02247">
        <w:t>and</w:t>
      </w:r>
      <w:r w:rsidR="005B2A41">
        <w:t xml:space="preserve"> </w:t>
      </w:r>
      <w:r w:rsidRPr="00B02247">
        <w:t>a</w:t>
      </w:r>
      <w:r w:rsidR="005B2A41">
        <w:t xml:space="preserve"> </w:t>
      </w:r>
      <w:r w:rsidRPr="00B02247">
        <w:t>global</w:t>
      </w:r>
      <w:r w:rsidR="005B2A41">
        <w:t xml:space="preserve"> </w:t>
      </w:r>
      <w:r w:rsidRPr="00B02247">
        <w:t>dimension.</w:t>
      </w:r>
      <w:r w:rsidR="005B2A41">
        <w:t xml:space="preserve"> </w:t>
      </w:r>
    </w:p>
    <w:p w:rsidR="00F233AB" w:rsidRPr="00B02247" w:rsidRDefault="00F233AB" w:rsidP="00E1307D">
      <w:pPr>
        <w:pStyle w:val="SingleTxtG"/>
      </w:pPr>
      <w:r w:rsidRPr="00B02247">
        <w:t>7.</w:t>
      </w:r>
      <w:r w:rsidRPr="00B02247">
        <w:tab/>
        <w:t>According</w:t>
      </w:r>
      <w:r w:rsidR="005B2A41">
        <w:t xml:space="preserve"> </w:t>
      </w:r>
      <w:r w:rsidRPr="00B02247">
        <w:t>to</w:t>
      </w:r>
      <w:r w:rsidR="005B2A41">
        <w:t xml:space="preserve"> </w:t>
      </w:r>
      <w:r w:rsidRPr="00B02247">
        <w:t>the</w:t>
      </w:r>
      <w:r w:rsidR="005B2A41">
        <w:t xml:space="preserve"> </w:t>
      </w:r>
      <w:r w:rsidRPr="00B02247">
        <w:t>latest</w:t>
      </w:r>
      <w:r w:rsidR="005B2A41">
        <w:t xml:space="preserve"> </w:t>
      </w:r>
      <w:r w:rsidRPr="00B02247">
        <w:t>statistical</w:t>
      </w:r>
      <w:r w:rsidR="005B2A41">
        <w:t xml:space="preserve"> </w:t>
      </w:r>
      <w:r w:rsidRPr="00B02247">
        <w:t>data</w:t>
      </w:r>
      <w:r w:rsidR="005B2A41">
        <w:t xml:space="preserve"> </w:t>
      </w:r>
      <w:r w:rsidRPr="00B02247">
        <w:t>of</w:t>
      </w:r>
      <w:r w:rsidR="005B2A41">
        <w:t xml:space="preserve"> </w:t>
      </w:r>
      <w:r w:rsidRPr="00B02247">
        <w:t>the</w:t>
      </w:r>
      <w:r w:rsidR="005B2A41">
        <w:t xml:space="preserve"> </w:t>
      </w:r>
      <w:r w:rsidRPr="00B02247">
        <w:t>Ministry</w:t>
      </w:r>
      <w:r w:rsidR="005B2A41">
        <w:t xml:space="preserve"> </w:t>
      </w:r>
      <w:r w:rsidRPr="00B02247">
        <w:t>for</w:t>
      </w:r>
      <w:r w:rsidR="005B2A41">
        <w:t xml:space="preserve"> </w:t>
      </w:r>
      <w:r w:rsidRPr="00B02247">
        <w:t>Migration</w:t>
      </w:r>
      <w:r w:rsidR="005B2A41">
        <w:t xml:space="preserve"> </w:t>
      </w:r>
      <w:r w:rsidRPr="00B02247">
        <w:t>Policy</w:t>
      </w:r>
      <w:r w:rsidR="005B2A41">
        <w:t xml:space="preserve"> </w:t>
      </w:r>
      <w:r w:rsidRPr="00B02247">
        <w:t>(February</w:t>
      </w:r>
      <w:r w:rsidR="005B2A41">
        <w:t xml:space="preserve"> </w:t>
      </w:r>
      <w:r w:rsidRPr="00B02247">
        <w:t>2018),</w:t>
      </w:r>
      <w:r w:rsidR="005B2A41">
        <w:t xml:space="preserve"> </w:t>
      </w:r>
      <w:r w:rsidRPr="00B02247">
        <w:t>the</w:t>
      </w:r>
      <w:r w:rsidR="005B2A41">
        <w:t xml:space="preserve"> </w:t>
      </w:r>
      <w:r w:rsidRPr="00B02247">
        <w:t>number</w:t>
      </w:r>
      <w:r w:rsidR="005B2A41">
        <w:t xml:space="preserve"> </w:t>
      </w:r>
      <w:r w:rsidRPr="00B02247">
        <w:t>of</w:t>
      </w:r>
      <w:r w:rsidR="005B2A41">
        <w:t xml:space="preserve"> </w:t>
      </w:r>
      <w:r w:rsidRPr="00B02247">
        <w:t>third-country</w:t>
      </w:r>
      <w:r w:rsidR="005B2A41">
        <w:t xml:space="preserve"> </w:t>
      </w:r>
      <w:r w:rsidRPr="00B02247">
        <w:t>nationals</w:t>
      </w:r>
      <w:r w:rsidR="005B2A41">
        <w:t xml:space="preserve"> </w:t>
      </w:r>
      <w:r w:rsidRPr="00B02247">
        <w:t>legally</w:t>
      </w:r>
      <w:r w:rsidR="005B2A41">
        <w:t xml:space="preserve"> </w:t>
      </w:r>
      <w:r w:rsidRPr="00B02247">
        <w:t>residing</w:t>
      </w:r>
      <w:r w:rsidR="005B2A41">
        <w:t xml:space="preserve"> </w:t>
      </w:r>
      <w:r w:rsidRPr="00B02247">
        <w:t>in</w:t>
      </w:r>
      <w:r w:rsidR="005B2A41">
        <w:t xml:space="preserve"> </w:t>
      </w:r>
      <w:r w:rsidRPr="00B02247">
        <w:t>Greece</w:t>
      </w:r>
      <w:r w:rsidR="005B2A41">
        <w:t xml:space="preserve"> </w:t>
      </w:r>
      <w:r w:rsidRPr="00B02247">
        <w:t>amounts</w:t>
      </w:r>
      <w:r w:rsidR="005B2A41">
        <w:t xml:space="preserve"> </w:t>
      </w:r>
      <w:r w:rsidRPr="00B02247">
        <w:t>to</w:t>
      </w:r>
      <w:r w:rsidR="005B2A41">
        <w:t xml:space="preserve"> </w:t>
      </w:r>
      <w:r w:rsidRPr="00B02247">
        <w:t>513,709</w:t>
      </w:r>
      <w:r w:rsidR="005B2A41">
        <w:t xml:space="preserve"> </w:t>
      </w:r>
      <w:r w:rsidRPr="00B02247">
        <w:t>(according</w:t>
      </w:r>
      <w:r w:rsidR="005B2A41">
        <w:t xml:space="preserve"> </w:t>
      </w:r>
      <w:r w:rsidRPr="00B02247">
        <w:t>to</w:t>
      </w:r>
      <w:r w:rsidR="005B2A41">
        <w:t xml:space="preserve"> </w:t>
      </w:r>
      <w:r w:rsidRPr="00B02247">
        <w:t>the</w:t>
      </w:r>
      <w:r w:rsidR="005B2A41">
        <w:t xml:space="preserve"> </w:t>
      </w:r>
      <w:r w:rsidRPr="00B02247">
        <w:t>2011</w:t>
      </w:r>
      <w:r w:rsidR="005B2A41">
        <w:t xml:space="preserve"> </w:t>
      </w:r>
      <w:r w:rsidRPr="00B02247">
        <w:t>Population-Housing</w:t>
      </w:r>
      <w:r w:rsidR="005B2A41">
        <w:t xml:space="preserve"> </w:t>
      </w:r>
      <w:r w:rsidRPr="00B02247">
        <w:t>Census,</w:t>
      </w:r>
      <w:r w:rsidR="005B2A41">
        <w:t xml:space="preserve"> </w:t>
      </w:r>
      <w:r w:rsidRPr="00B02247">
        <w:t>the</w:t>
      </w:r>
      <w:r w:rsidR="005B2A41">
        <w:t xml:space="preserve"> </w:t>
      </w:r>
      <w:r w:rsidRPr="00B02247">
        <w:t>Resident</w:t>
      </w:r>
      <w:r w:rsidR="005B2A41">
        <w:t xml:space="preserve"> </w:t>
      </w:r>
      <w:r w:rsidRPr="00B02247">
        <w:t>Population</w:t>
      </w:r>
      <w:r w:rsidR="005B2A41">
        <w:t xml:space="preserve"> </w:t>
      </w:r>
      <w:r w:rsidRPr="00B02247">
        <w:t>of</w:t>
      </w:r>
      <w:r w:rsidR="005B2A41">
        <w:t xml:space="preserve"> </w:t>
      </w:r>
      <w:r w:rsidRPr="00B02247">
        <w:t>Greece</w:t>
      </w:r>
      <w:r w:rsidR="005B2A41">
        <w:t xml:space="preserve"> </w:t>
      </w:r>
      <w:r w:rsidRPr="00B02247">
        <w:t>was</w:t>
      </w:r>
      <w:r w:rsidR="005B2A41">
        <w:t xml:space="preserve"> </w:t>
      </w:r>
      <w:r w:rsidRPr="00B02247">
        <w:t>10,816,286).</w:t>
      </w:r>
    </w:p>
    <w:p w:rsidR="00F233AB" w:rsidRPr="00B02247" w:rsidRDefault="00F233AB" w:rsidP="00E1307D">
      <w:pPr>
        <w:pStyle w:val="SingleTxtG"/>
      </w:pPr>
      <w:r w:rsidRPr="00B02247">
        <w:t>8.</w:t>
      </w:r>
      <w:r w:rsidRPr="00B02247">
        <w:tab/>
        <w:t>The</w:t>
      </w:r>
      <w:r w:rsidR="005B2A41">
        <w:t xml:space="preserve"> </w:t>
      </w:r>
      <w:r w:rsidRPr="00B02247">
        <w:t>only</w:t>
      </w:r>
      <w:r w:rsidR="005B2A41">
        <w:t xml:space="preserve"> </w:t>
      </w:r>
      <w:r w:rsidRPr="00B02247">
        <w:t>officially</w:t>
      </w:r>
      <w:r w:rsidR="005B2A41">
        <w:t xml:space="preserve"> </w:t>
      </w:r>
      <w:r w:rsidRPr="00B02247">
        <w:t>recognized</w:t>
      </w:r>
      <w:r w:rsidR="005B2A41">
        <w:t xml:space="preserve"> </w:t>
      </w:r>
      <w:r w:rsidRPr="00B02247">
        <w:t>minority</w:t>
      </w:r>
      <w:r w:rsidR="005B2A41">
        <w:t xml:space="preserve"> </w:t>
      </w:r>
      <w:r w:rsidRPr="00B02247">
        <w:t>in</w:t>
      </w:r>
      <w:r w:rsidR="005B2A41">
        <w:t xml:space="preserve"> </w:t>
      </w:r>
      <w:r w:rsidRPr="00B02247">
        <w:t>Greece</w:t>
      </w:r>
      <w:r w:rsidR="005B2A41">
        <w:t xml:space="preserve"> </w:t>
      </w:r>
      <w:r w:rsidRPr="00B02247">
        <w:t>is</w:t>
      </w:r>
      <w:r w:rsidR="005B2A41">
        <w:t xml:space="preserve"> </w:t>
      </w:r>
      <w:r w:rsidRPr="00B02247">
        <w:t>a</w:t>
      </w:r>
      <w:r w:rsidR="005B2A41">
        <w:t xml:space="preserve"> </w:t>
      </w:r>
      <w:r w:rsidRPr="00B02247">
        <w:t>religious</w:t>
      </w:r>
      <w:r w:rsidR="005B2A41">
        <w:t xml:space="preserve"> </w:t>
      </w:r>
      <w:r w:rsidRPr="00B02247">
        <w:t>minority,</w:t>
      </w:r>
      <w:r w:rsidR="005B2A41">
        <w:t xml:space="preserve"> </w:t>
      </w:r>
      <w:r w:rsidRPr="00B02247">
        <w:t>the</w:t>
      </w:r>
      <w:r w:rsidR="005B2A41">
        <w:t xml:space="preserve"> </w:t>
      </w:r>
      <w:r w:rsidRPr="00B02247">
        <w:t>Muslim</w:t>
      </w:r>
      <w:r w:rsidR="005B2A41">
        <w:t xml:space="preserve"> </w:t>
      </w:r>
      <w:r w:rsidRPr="00B02247">
        <w:t>minority</w:t>
      </w:r>
      <w:r w:rsidR="005B2A41">
        <w:t xml:space="preserve"> </w:t>
      </w:r>
      <w:r w:rsidRPr="00B02247">
        <w:t>in</w:t>
      </w:r>
      <w:r w:rsidR="005B2A41">
        <w:t xml:space="preserve"> </w:t>
      </w:r>
      <w:r w:rsidRPr="00B02247">
        <w:t>Thrace,</w:t>
      </w:r>
      <w:r w:rsidR="005B2A41">
        <w:t xml:space="preserve"> </w:t>
      </w:r>
      <w:r w:rsidRPr="00B02247">
        <w:t>whose</w:t>
      </w:r>
      <w:r w:rsidR="005B2A41">
        <w:t xml:space="preserve"> </w:t>
      </w:r>
      <w:r w:rsidRPr="00B02247">
        <w:t>status</w:t>
      </w:r>
      <w:r w:rsidR="005B2A41">
        <w:t xml:space="preserve"> </w:t>
      </w:r>
      <w:r w:rsidRPr="00B02247">
        <w:t>was</w:t>
      </w:r>
      <w:r w:rsidR="005B2A41">
        <w:t xml:space="preserve"> </w:t>
      </w:r>
      <w:r w:rsidRPr="00B02247">
        <w:t>established</w:t>
      </w:r>
      <w:r w:rsidR="005B2A41">
        <w:t xml:space="preserve"> </w:t>
      </w:r>
      <w:r w:rsidRPr="00B02247">
        <w:t>by</w:t>
      </w:r>
      <w:r w:rsidR="005B2A41">
        <w:t xml:space="preserve"> </w:t>
      </w:r>
      <w:r w:rsidRPr="00B02247">
        <w:t>the</w:t>
      </w:r>
      <w:r w:rsidR="005B2A41">
        <w:t xml:space="preserve"> </w:t>
      </w:r>
      <w:r w:rsidRPr="00B02247">
        <w:t>1923</w:t>
      </w:r>
      <w:r w:rsidR="005B2A41">
        <w:t xml:space="preserve"> </w:t>
      </w:r>
      <w:r w:rsidRPr="00B02247">
        <w:t>Treaty</w:t>
      </w:r>
      <w:r w:rsidR="005B2A41">
        <w:t xml:space="preserve"> </w:t>
      </w:r>
      <w:r w:rsidRPr="00B02247">
        <w:t>of</w:t>
      </w:r>
      <w:r w:rsidR="005B2A41">
        <w:t xml:space="preserve"> </w:t>
      </w:r>
      <w:r w:rsidRPr="00B02247">
        <w:t>Lausanne.</w:t>
      </w:r>
      <w:r w:rsidR="005B2A41">
        <w:t xml:space="preserve"> </w:t>
      </w:r>
      <w:r w:rsidRPr="00B02247">
        <w:t>The</w:t>
      </w:r>
      <w:r w:rsidR="005B2A41">
        <w:t xml:space="preserve"> </w:t>
      </w:r>
      <w:r w:rsidRPr="00B02247">
        <w:t>Muslim</w:t>
      </w:r>
      <w:r w:rsidR="005B2A41">
        <w:t xml:space="preserve"> </w:t>
      </w:r>
      <w:r w:rsidRPr="00B02247">
        <w:t>minority</w:t>
      </w:r>
      <w:r w:rsidR="005B2A41">
        <w:t xml:space="preserve"> </w:t>
      </w:r>
      <w:r w:rsidRPr="00B02247">
        <w:t>consists</w:t>
      </w:r>
      <w:r w:rsidR="005B2A41">
        <w:t xml:space="preserve"> </w:t>
      </w:r>
      <w:r w:rsidRPr="00B02247">
        <w:t>of</w:t>
      </w:r>
      <w:r w:rsidR="005B2A41">
        <w:t xml:space="preserve"> </w:t>
      </w:r>
      <w:r w:rsidRPr="00B02247">
        <w:t>three</w:t>
      </w:r>
      <w:r w:rsidR="005B2A41">
        <w:t xml:space="preserve"> </w:t>
      </w:r>
      <w:r w:rsidRPr="00B02247">
        <w:t>distinct</w:t>
      </w:r>
      <w:r w:rsidR="005B2A41">
        <w:t xml:space="preserve"> </w:t>
      </w:r>
      <w:r w:rsidRPr="00B02247">
        <w:t>groups</w:t>
      </w:r>
      <w:r w:rsidR="005B2A41">
        <w:t xml:space="preserve"> </w:t>
      </w:r>
      <w:r w:rsidRPr="00B02247">
        <w:t>whose</w:t>
      </w:r>
      <w:r w:rsidR="005B2A41">
        <w:t xml:space="preserve"> </w:t>
      </w:r>
      <w:r w:rsidRPr="00B02247">
        <w:t>members</w:t>
      </w:r>
      <w:r w:rsidR="005B2A41">
        <w:t xml:space="preserve"> </w:t>
      </w:r>
      <w:r w:rsidRPr="00B02247">
        <w:t>are</w:t>
      </w:r>
      <w:r w:rsidR="005B2A41">
        <w:t xml:space="preserve"> </w:t>
      </w:r>
      <w:r w:rsidRPr="00B02247">
        <w:t>of</w:t>
      </w:r>
      <w:r w:rsidR="005B2A41">
        <w:t xml:space="preserve"> </w:t>
      </w:r>
      <w:r w:rsidRPr="00B02247">
        <w:t>Turkish,</w:t>
      </w:r>
      <w:r w:rsidR="005B2A41">
        <w:t xml:space="preserve"> </w:t>
      </w:r>
      <w:r w:rsidRPr="00B02247">
        <w:t>Pomak</w:t>
      </w:r>
      <w:r w:rsidR="005B2A41">
        <w:t xml:space="preserve"> </w:t>
      </w:r>
      <w:r w:rsidRPr="00B02247">
        <w:t>and</w:t>
      </w:r>
      <w:r w:rsidR="005B2A41">
        <w:t xml:space="preserve"> </w:t>
      </w:r>
      <w:r w:rsidRPr="00B02247">
        <w:t>Roma</w:t>
      </w:r>
      <w:r w:rsidR="005B2A41">
        <w:t xml:space="preserve"> </w:t>
      </w:r>
      <w:r w:rsidRPr="00B02247">
        <w:t>origin,</w:t>
      </w:r>
      <w:r w:rsidR="005B2A41">
        <w:t xml:space="preserve"> </w:t>
      </w:r>
      <w:r w:rsidRPr="00B02247">
        <w:t>the</w:t>
      </w:r>
      <w:r w:rsidR="005B2A41">
        <w:t xml:space="preserve"> </w:t>
      </w:r>
      <w:r w:rsidRPr="00B02247">
        <w:t>Muslim</w:t>
      </w:r>
      <w:r w:rsidR="005B2A41">
        <w:t xml:space="preserve"> </w:t>
      </w:r>
      <w:r w:rsidRPr="00B02247">
        <w:t>faith</w:t>
      </w:r>
      <w:r w:rsidR="005B2A41">
        <w:t xml:space="preserve"> </w:t>
      </w:r>
      <w:r w:rsidRPr="00B02247">
        <w:t>being</w:t>
      </w:r>
      <w:r w:rsidR="005B2A41">
        <w:t xml:space="preserve"> </w:t>
      </w:r>
      <w:r w:rsidRPr="00B02247">
        <w:t>the</w:t>
      </w:r>
      <w:r w:rsidR="005B2A41">
        <w:t xml:space="preserve"> </w:t>
      </w:r>
      <w:r w:rsidRPr="00B02247">
        <w:t>common</w:t>
      </w:r>
      <w:r w:rsidR="005B2A41">
        <w:t xml:space="preserve"> </w:t>
      </w:r>
      <w:r w:rsidRPr="00B02247">
        <w:t>denominator</w:t>
      </w:r>
      <w:r w:rsidR="005B2A41">
        <w:t xml:space="preserve"> </w:t>
      </w:r>
      <w:r w:rsidRPr="00B02247">
        <w:t>of</w:t>
      </w:r>
      <w:r w:rsidR="005B2A41">
        <w:t xml:space="preserve"> </w:t>
      </w:r>
      <w:r w:rsidRPr="00B02247">
        <w:t>the</w:t>
      </w:r>
      <w:r w:rsidR="005B2A41">
        <w:t xml:space="preserve"> </w:t>
      </w:r>
      <w:r w:rsidRPr="00B02247">
        <w:t>aforementioned</w:t>
      </w:r>
      <w:r w:rsidR="005B2A41">
        <w:t xml:space="preserve"> </w:t>
      </w:r>
      <w:r w:rsidRPr="00B02247">
        <w:t>distinct</w:t>
      </w:r>
      <w:r w:rsidR="005B2A41">
        <w:t xml:space="preserve"> </w:t>
      </w:r>
      <w:r w:rsidRPr="00B02247">
        <w:t>components.</w:t>
      </w:r>
      <w:r w:rsidR="005B2A41">
        <w:t xml:space="preserve"> </w:t>
      </w:r>
      <w:r w:rsidRPr="00B02247">
        <w:t>Each</w:t>
      </w:r>
      <w:r w:rsidR="005B2A41">
        <w:t xml:space="preserve"> </w:t>
      </w:r>
      <w:r w:rsidRPr="00B02247">
        <w:t>of</w:t>
      </w:r>
      <w:r w:rsidR="005B2A41">
        <w:t xml:space="preserve"> </w:t>
      </w:r>
      <w:r w:rsidRPr="00B02247">
        <w:t>the</w:t>
      </w:r>
      <w:r w:rsidR="005B2A41">
        <w:t xml:space="preserve"> </w:t>
      </w:r>
      <w:r w:rsidRPr="00B02247">
        <w:t>groups</w:t>
      </w:r>
      <w:r w:rsidR="005B2A41">
        <w:t xml:space="preserve"> </w:t>
      </w:r>
      <w:r w:rsidRPr="00B02247">
        <w:t>has</w:t>
      </w:r>
      <w:r w:rsidR="005B2A41">
        <w:t xml:space="preserve"> </w:t>
      </w:r>
      <w:r w:rsidRPr="00B02247">
        <w:t>its</w:t>
      </w:r>
      <w:r w:rsidR="005B2A41">
        <w:t xml:space="preserve"> </w:t>
      </w:r>
      <w:r w:rsidRPr="00B02247">
        <w:t>own</w:t>
      </w:r>
      <w:r w:rsidR="005B2A41">
        <w:t xml:space="preserve"> </w:t>
      </w:r>
      <w:r w:rsidRPr="00B02247">
        <w:t>spoken</w:t>
      </w:r>
      <w:r w:rsidR="005B2A41">
        <w:t xml:space="preserve"> </w:t>
      </w:r>
      <w:r w:rsidRPr="00B02247">
        <w:t>language,</w:t>
      </w:r>
      <w:r w:rsidR="005B2A41">
        <w:t xml:space="preserve"> </w:t>
      </w:r>
      <w:r w:rsidRPr="00B02247">
        <w:t>cultural</w:t>
      </w:r>
      <w:r w:rsidR="005B2A41">
        <w:t xml:space="preserve"> </w:t>
      </w:r>
      <w:r w:rsidRPr="00B02247">
        <w:t>traditions</w:t>
      </w:r>
      <w:r w:rsidR="005B2A41">
        <w:t xml:space="preserve"> </w:t>
      </w:r>
      <w:r w:rsidRPr="00B02247">
        <w:t>and</w:t>
      </w:r>
      <w:r w:rsidR="005B2A41">
        <w:t xml:space="preserve"> </w:t>
      </w:r>
      <w:r w:rsidRPr="00B02247">
        <w:t>heritage,</w:t>
      </w:r>
      <w:r w:rsidR="005B2A41">
        <w:t xml:space="preserve"> </w:t>
      </w:r>
      <w:r w:rsidRPr="00B02247">
        <w:t>which</w:t>
      </w:r>
      <w:r w:rsidR="005B2A41">
        <w:t xml:space="preserve"> </w:t>
      </w:r>
      <w:r w:rsidRPr="00B02247">
        <w:t>are</w:t>
      </w:r>
      <w:r w:rsidR="005B2A41">
        <w:t xml:space="preserve"> </w:t>
      </w:r>
      <w:r w:rsidRPr="00B02247">
        <w:t>fully</w:t>
      </w:r>
      <w:r w:rsidR="005B2A41">
        <w:t xml:space="preserve"> </w:t>
      </w:r>
      <w:r w:rsidRPr="00B02247">
        <w:t>respected</w:t>
      </w:r>
      <w:r w:rsidR="005B2A41">
        <w:t xml:space="preserve"> </w:t>
      </w:r>
      <w:r w:rsidRPr="00B02247">
        <w:t>by</w:t>
      </w:r>
      <w:r w:rsidR="005B2A41">
        <w:t xml:space="preserve"> </w:t>
      </w:r>
      <w:r w:rsidRPr="00B02247">
        <w:t>the</w:t>
      </w:r>
      <w:r w:rsidR="005B2A41">
        <w:t xml:space="preserve"> </w:t>
      </w:r>
      <w:r w:rsidRPr="00B02247">
        <w:t>Greek</w:t>
      </w:r>
      <w:r w:rsidR="005B2A41">
        <w:t xml:space="preserve"> </w:t>
      </w:r>
      <w:r w:rsidRPr="00B02247">
        <w:t>state.</w:t>
      </w:r>
      <w:r w:rsidR="005B2A41">
        <w:t xml:space="preserve"> </w:t>
      </w:r>
      <w:r w:rsidRPr="00B02247">
        <w:t>Further</w:t>
      </w:r>
      <w:r w:rsidR="005B2A41">
        <w:t xml:space="preserve"> </w:t>
      </w:r>
      <w:r w:rsidRPr="00B02247">
        <w:t>to</w:t>
      </w:r>
      <w:r w:rsidR="005B2A41">
        <w:t xml:space="preserve"> </w:t>
      </w:r>
      <w:r w:rsidRPr="00B02247">
        <w:t>fully</w:t>
      </w:r>
      <w:r w:rsidR="005B2A41">
        <w:t xml:space="preserve"> </w:t>
      </w:r>
      <w:r w:rsidRPr="00B02247">
        <w:t>complying</w:t>
      </w:r>
      <w:r w:rsidR="005B2A41">
        <w:t xml:space="preserve"> </w:t>
      </w:r>
      <w:r w:rsidRPr="00B02247">
        <w:t>with</w:t>
      </w:r>
      <w:r w:rsidR="005B2A41">
        <w:t xml:space="preserve"> </w:t>
      </w:r>
      <w:r w:rsidRPr="00B02247">
        <w:t>the</w:t>
      </w:r>
      <w:r w:rsidR="005B2A41">
        <w:t xml:space="preserve"> </w:t>
      </w:r>
      <w:r w:rsidRPr="00B02247">
        <w:t>Lausanne</w:t>
      </w:r>
      <w:r w:rsidR="005B2A41">
        <w:t xml:space="preserve"> </w:t>
      </w:r>
      <w:r w:rsidRPr="00B02247">
        <w:t>Treaty,</w:t>
      </w:r>
      <w:r w:rsidR="005B2A41">
        <w:t xml:space="preserve"> </w:t>
      </w:r>
      <w:r w:rsidRPr="00B02247">
        <w:t>Greece</w:t>
      </w:r>
      <w:r w:rsidR="003E731F">
        <w:t>’</w:t>
      </w:r>
      <w:r w:rsidRPr="00B02247">
        <w:t>s</w:t>
      </w:r>
      <w:r w:rsidR="005B2A41">
        <w:t xml:space="preserve"> </w:t>
      </w:r>
      <w:r w:rsidRPr="00B02247">
        <w:t>policy</w:t>
      </w:r>
      <w:r w:rsidR="005B2A41">
        <w:t xml:space="preserve"> </w:t>
      </w:r>
      <w:r w:rsidRPr="00B02247">
        <w:t>and</w:t>
      </w:r>
      <w:r w:rsidR="005B2A41">
        <w:t xml:space="preserve"> </w:t>
      </w:r>
      <w:r w:rsidRPr="00B02247">
        <w:t>legislation</w:t>
      </w:r>
      <w:r w:rsidR="005B2A41">
        <w:t xml:space="preserve"> </w:t>
      </w:r>
      <w:r w:rsidRPr="00B02247">
        <w:t>reflect</w:t>
      </w:r>
      <w:r w:rsidR="005B2A41">
        <w:t xml:space="preserve"> </w:t>
      </w:r>
      <w:r w:rsidRPr="00B02247">
        <w:t>and</w:t>
      </w:r>
      <w:r w:rsidR="005B2A41">
        <w:t xml:space="preserve"> </w:t>
      </w:r>
      <w:r w:rsidRPr="00B02247">
        <w:t>implement</w:t>
      </w:r>
      <w:r w:rsidR="005B2A41">
        <w:t xml:space="preserve"> </w:t>
      </w:r>
      <w:r w:rsidRPr="00B02247">
        <w:t>contemporary</w:t>
      </w:r>
      <w:r w:rsidR="005B2A41">
        <w:t xml:space="preserve"> </w:t>
      </w:r>
      <w:r w:rsidRPr="00B02247">
        <w:t>human</w:t>
      </w:r>
      <w:r w:rsidR="005B2A41">
        <w:t xml:space="preserve"> </w:t>
      </w:r>
      <w:r w:rsidRPr="00B02247">
        <w:t>rights</w:t>
      </w:r>
      <w:r w:rsidR="005B2A41">
        <w:t xml:space="preserve"> </w:t>
      </w:r>
      <w:r w:rsidRPr="00B02247">
        <w:t>norms</w:t>
      </w:r>
      <w:r w:rsidR="005B2A41">
        <w:t xml:space="preserve"> </w:t>
      </w:r>
      <w:r w:rsidRPr="00B02247">
        <w:t>and</w:t>
      </w:r>
      <w:r w:rsidR="005B2A41">
        <w:t xml:space="preserve"> </w:t>
      </w:r>
      <w:r w:rsidRPr="00B02247">
        <w:t>standards.</w:t>
      </w:r>
      <w:r w:rsidR="005B2A41">
        <w:t xml:space="preserve"> </w:t>
      </w:r>
      <w:r w:rsidRPr="00B02247">
        <w:t>The</w:t>
      </w:r>
      <w:r w:rsidR="005B2A41">
        <w:t xml:space="preserve"> </w:t>
      </w:r>
      <w:r w:rsidRPr="00B02247">
        <w:t>Greek</w:t>
      </w:r>
      <w:r w:rsidR="005B2A41">
        <w:t xml:space="preserve"> </w:t>
      </w:r>
      <w:r w:rsidRPr="00B02247">
        <w:t>legislation</w:t>
      </w:r>
      <w:r w:rsidR="005B2A41">
        <w:t xml:space="preserve"> </w:t>
      </w:r>
      <w:r w:rsidRPr="00B02247">
        <w:t>provides</w:t>
      </w:r>
      <w:r w:rsidR="005B2A41">
        <w:t xml:space="preserve"> </w:t>
      </w:r>
      <w:r w:rsidRPr="00B02247">
        <w:t>for</w:t>
      </w:r>
      <w:r w:rsidR="005B2A41">
        <w:t xml:space="preserve"> </w:t>
      </w:r>
      <w:r w:rsidRPr="00B02247">
        <w:t>the</w:t>
      </w:r>
      <w:r w:rsidR="005B2A41">
        <w:t xml:space="preserve"> </w:t>
      </w:r>
      <w:r w:rsidRPr="00B02247">
        <w:t>optional</w:t>
      </w:r>
      <w:r w:rsidR="005B2A41">
        <w:t xml:space="preserve"> </w:t>
      </w:r>
      <w:r w:rsidRPr="00B02247">
        <w:t>application</w:t>
      </w:r>
      <w:r w:rsidR="005B2A41">
        <w:t xml:space="preserve"> </w:t>
      </w:r>
      <w:r w:rsidRPr="00B02247">
        <w:t>of</w:t>
      </w:r>
      <w:r w:rsidR="005B2A41">
        <w:t xml:space="preserve"> </w:t>
      </w:r>
      <w:r w:rsidRPr="00B02247">
        <w:t>the</w:t>
      </w:r>
      <w:r w:rsidR="005B2A41">
        <w:t xml:space="preserve"> </w:t>
      </w:r>
      <w:r w:rsidRPr="00B02247">
        <w:t>Sharia</w:t>
      </w:r>
      <w:r w:rsidR="005B2A41">
        <w:t xml:space="preserve"> </w:t>
      </w:r>
      <w:r w:rsidRPr="00B02247">
        <w:t>law</w:t>
      </w:r>
      <w:r w:rsidR="005B2A41">
        <w:t xml:space="preserve"> </w:t>
      </w:r>
      <w:r w:rsidRPr="00B02247">
        <w:t>in</w:t>
      </w:r>
      <w:r w:rsidR="005B2A41">
        <w:t xml:space="preserve"> </w:t>
      </w:r>
      <w:r w:rsidRPr="00B02247">
        <w:t>some</w:t>
      </w:r>
      <w:r w:rsidR="005B2A41">
        <w:t xml:space="preserve"> </w:t>
      </w:r>
      <w:r w:rsidRPr="00B02247">
        <w:t>family</w:t>
      </w:r>
      <w:r w:rsidR="005B2A41">
        <w:t xml:space="preserve"> </w:t>
      </w:r>
      <w:r w:rsidRPr="00B02247">
        <w:t>and</w:t>
      </w:r>
      <w:r w:rsidR="005B2A41">
        <w:t xml:space="preserve"> </w:t>
      </w:r>
      <w:r w:rsidRPr="00B02247">
        <w:t>inheritance</w:t>
      </w:r>
      <w:r w:rsidR="005B2A41">
        <w:t xml:space="preserve"> </w:t>
      </w:r>
      <w:r w:rsidRPr="00B02247">
        <w:t>law</w:t>
      </w:r>
      <w:r w:rsidR="005B2A41">
        <w:t xml:space="preserve"> </w:t>
      </w:r>
      <w:r w:rsidRPr="00B02247">
        <w:t>matters</w:t>
      </w:r>
      <w:r w:rsidR="005B2A41">
        <w:t xml:space="preserve"> </w:t>
      </w:r>
      <w:r w:rsidRPr="00B02247">
        <w:t>of</w:t>
      </w:r>
      <w:r w:rsidR="005B2A41">
        <w:t xml:space="preserve"> </w:t>
      </w:r>
      <w:r w:rsidRPr="00B02247">
        <w:t>the</w:t>
      </w:r>
      <w:r w:rsidR="005B2A41">
        <w:t xml:space="preserve"> </w:t>
      </w:r>
      <w:r w:rsidRPr="00B02247">
        <w:t>Muslim</w:t>
      </w:r>
      <w:r w:rsidR="005B2A41">
        <w:t xml:space="preserve"> </w:t>
      </w:r>
      <w:r w:rsidRPr="00B02247">
        <w:t>minority</w:t>
      </w:r>
      <w:r w:rsidR="005B2A41">
        <w:t xml:space="preserve"> </w:t>
      </w:r>
      <w:r w:rsidRPr="00B02247">
        <w:t>in</w:t>
      </w:r>
      <w:r w:rsidR="005B2A41">
        <w:t xml:space="preserve"> </w:t>
      </w:r>
      <w:r w:rsidRPr="00B02247">
        <w:t>Thrace.</w:t>
      </w:r>
      <w:r w:rsidR="005B2A41">
        <w:t xml:space="preserve"> </w:t>
      </w:r>
      <w:r w:rsidRPr="00B02247">
        <w:t>According</w:t>
      </w:r>
      <w:r w:rsidR="005B2A41">
        <w:t xml:space="preserve"> </w:t>
      </w:r>
      <w:r w:rsidRPr="00B02247">
        <w:t>to</w:t>
      </w:r>
      <w:r w:rsidR="005B2A41">
        <w:t xml:space="preserve"> </w:t>
      </w:r>
      <w:r w:rsidRPr="00B02247">
        <w:t>Law</w:t>
      </w:r>
      <w:r w:rsidR="005B2A41">
        <w:t xml:space="preserve"> </w:t>
      </w:r>
      <w:r w:rsidRPr="00B02247">
        <w:t>4511/2018,</w:t>
      </w:r>
      <w:r w:rsidR="005B2A41">
        <w:t xml:space="preserve"> </w:t>
      </w:r>
      <w:r w:rsidRPr="00B02247">
        <w:t>adopted</w:t>
      </w:r>
      <w:r w:rsidR="005B2A41">
        <w:t xml:space="preserve"> </w:t>
      </w:r>
      <w:r w:rsidRPr="00B02247">
        <w:t>in</w:t>
      </w:r>
      <w:r w:rsidR="005B2A41">
        <w:t xml:space="preserve"> </w:t>
      </w:r>
      <w:r w:rsidRPr="00B02247">
        <w:t>January</w:t>
      </w:r>
      <w:r w:rsidR="005B2A41">
        <w:t xml:space="preserve"> </w:t>
      </w:r>
      <w:r w:rsidRPr="00B02247">
        <w:t>2018,</w:t>
      </w:r>
      <w:r w:rsidR="005B2A41">
        <w:t xml:space="preserve"> </w:t>
      </w:r>
      <w:r w:rsidRPr="00B02247">
        <w:t>the</w:t>
      </w:r>
      <w:r w:rsidR="005B2A41">
        <w:t xml:space="preserve"> </w:t>
      </w:r>
      <w:r w:rsidRPr="00B02247">
        <w:t>abovementioned</w:t>
      </w:r>
      <w:r w:rsidR="005B2A41">
        <w:t xml:space="preserve"> </w:t>
      </w:r>
      <w:r w:rsidRPr="00B02247">
        <w:t>matters</w:t>
      </w:r>
      <w:r w:rsidR="005B2A41">
        <w:t xml:space="preserve"> </w:t>
      </w:r>
      <w:r w:rsidRPr="00B02247">
        <w:t>shall</w:t>
      </w:r>
      <w:r w:rsidR="005B2A41">
        <w:t xml:space="preserve"> </w:t>
      </w:r>
      <w:r w:rsidRPr="00B02247">
        <w:t>be</w:t>
      </w:r>
      <w:r w:rsidR="005B2A41">
        <w:t xml:space="preserve"> </w:t>
      </w:r>
      <w:r w:rsidRPr="00B02247">
        <w:t>subject</w:t>
      </w:r>
      <w:r w:rsidR="005B2A41">
        <w:t xml:space="preserve"> </w:t>
      </w:r>
      <w:r w:rsidRPr="00B02247">
        <w:t>to</w:t>
      </w:r>
      <w:r w:rsidR="005B2A41">
        <w:t xml:space="preserve"> </w:t>
      </w:r>
      <w:r w:rsidRPr="00B02247">
        <w:t>the</w:t>
      </w:r>
      <w:r w:rsidR="005B2A41">
        <w:t xml:space="preserve"> </w:t>
      </w:r>
      <w:r w:rsidRPr="00B02247">
        <w:t>jurisdiction</w:t>
      </w:r>
      <w:r w:rsidR="005B2A41">
        <w:t xml:space="preserve"> </w:t>
      </w:r>
      <w:r w:rsidRPr="00B02247">
        <w:t>of</w:t>
      </w:r>
      <w:r w:rsidR="005B2A41">
        <w:t xml:space="preserve"> </w:t>
      </w:r>
      <w:r w:rsidRPr="00B02247">
        <w:t>the</w:t>
      </w:r>
      <w:r w:rsidR="005B2A41">
        <w:t xml:space="preserve"> </w:t>
      </w:r>
      <w:r w:rsidRPr="00B02247">
        <w:t>Mufti</w:t>
      </w:r>
      <w:r w:rsidR="005B2A41">
        <w:t xml:space="preserve"> </w:t>
      </w:r>
      <w:r w:rsidRPr="00B02247">
        <w:t>only</w:t>
      </w:r>
      <w:r w:rsidR="005B2A41">
        <w:t xml:space="preserve"> </w:t>
      </w:r>
      <w:r w:rsidRPr="00B02247">
        <w:t>by</w:t>
      </w:r>
      <w:r w:rsidR="005B2A41">
        <w:t xml:space="preserve"> </w:t>
      </w:r>
      <w:r w:rsidRPr="00B02247">
        <w:t>way</w:t>
      </w:r>
      <w:r w:rsidR="005B2A41">
        <w:t xml:space="preserve"> </w:t>
      </w:r>
      <w:r w:rsidRPr="00B02247">
        <w:t>of</w:t>
      </w:r>
      <w:r w:rsidR="005B2A41">
        <w:t xml:space="preserve"> </w:t>
      </w:r>
      <w:r w:rsidRPr="00B02247">
        <w:t>exception.</w:t>
      </w:r>
      <w:r w:rsidR="005B2A41">
        <w:t xml:space="preserve"> </w:t>
      </w:r>
      <w:r w:rsidRPr="00B02247">
        <w:t>In</w:t>
      </w:r>
      <w:r w:rsidR="005B2A41">
        <w:t xml:space="preserve"> </w:t>
      </w:r>
      <w:r w:rsidRPr="00B02247">
        <w:t>any</w:t>
      </w:r>
      <w:r w:rsidR="005B2A41">
        <w:t xml:space="preserve"> </w:t>
      </w:r>
      <w:r w:rsidRPr="00B02247">
        <w:t>case,</w:t>
      </w:r>
      <w:r w:rsidR="005B2A41">
        <w:t xml:space="preserve"> </w:t>
      </w:r>
      <w:r w:rsidRPr="00B02247">
        <w:t>the</w:t>
      </w:r>
      <w:r w:rsidR="005B2A41">
        <w:t xml:space="preserve"> </w:t>
      </w:r>
      <w:r w:rsidRPr="00B02247">
        <w:t>relevant</w:t>
      </w:r>
      <w:r w:rsidR="005B2A41">
        <w:t xml:space="preserve"> </w:t>
      </w:r>
      <w:r w:rsidRPr="00B02247">
        <w:t>legislation</w:t>
      </w:r>
      <w:r w:rsidR="005B2A41">
        <w:t xml:space="preserve"> </w:t>
      </w:r>
      <w:r w:rsidRPr="00B02247">
        <w:t>provides</w:t>
      </w:r>
      <w:r w:rsidR="005B2A41">
        <w:t xml:space="preserve"> </w:t>
      </w:r>
      <w:r w:rsidRPr="00B02247">
        <w:t>that</w:t>
      </w:r>
      <w:r w:rsidR="005B2A41">
        <w:t xml:space="preserve"> </w:t>
      </w:r>
      <w:r w:rsidRPr="00B02247">
        <w:t>the</w:t>
      </w:r>
      <w:r w:rsidR="005B2A41">
        <w:t xml:space="preserve"> </w:t>
      </w:r>
      <w:r w:rsidRPr="00B02247">
        <w:t>courts</w:t>
      </w:r>
      <w:r w:rsidR="005B2A41">
        <w:t xml:space="preserve"> </w:t>
      </w:r>
      <w:r w:rsidRPr="00B02247">
        <w:t>shall</w:t>
      </w:r>
      <w:r w:rsidR="005B2A41">
        <w:t xml:space="preserve"> </w:t>
      </w:r>
      <w:r w:rsidRPr="00B02247">
        <w:t>not</w:t>
      </w:r>
      <w:r w:rsidR="005B2A41">
        <w:t xml:space="preserve"> </w:t>
      </w:r>
      <w:r w:rsidRPr="00B02247">
        <w:t>enforce</w:t>
      </w:r>
      <w:r w:rsidR="005B2A41">
        <w:t xml:space="preserve"> </w:t>
      </w:r>
      <w:r w:rsidRPr="00B02247">
        <w:t>decisions</w:t>
      </w:r>
      <w:r w:rsidR="005B2A41">
        <w:t xml:space="preserve"> </w:t>
      </w:r>
      <w:r w:rsidRPr="00B02247">
        <w:t>of</w:t>
      </w:r>
      <w:r w:rsidR="005B2A41">
        <w:t xml:space="preserve"> </w:t>
      </w:r>
      <w:r w:rsidRPr="00B02247">
        <w:t>the</w:t>
      </w:r>
      <w:r w:rsidR="005B2A41">
        <w:t xml:space="preserve"> </w:t>
      </w:r>
      <w:r w:rsidRPr="00B02247">
        <w:t>Muftis</w:t>
      </w:r>
      <w:r w:rsidR="005B2A41">
        <w:t xml:space="preserve"> </w:t>
      </w:r>
      <w:r w:rsidRPr="00B02247">
        <w:t>which</w:t>
      </w:r>
      <w:r w:rsidR="005B2A41">
        <w:t xml:space="preserve"> </w:t>
      </w:r>
      <w:r w:rsidRPr="00B02247">
        <w:t>are</w:t>
      </w:r>
      <w:r w:rsidR="005B2A41">
        <w:t xml:space="preserve"> </w:t>
      </w:r>
      <w:r w:rsidRPr="00B02247">
        <w:t>contrary</w:t>
      </w:r>
      <w:r w:rsidR="005B2A41">
        <w:t xml:space="preserve"> </w:t>
      </w:r>
      <w:r w:rsidRPr="00B02247">
        <w:t>to</w:t>
      </w:r>
      <w:r w:rsidR="005B2A41">
        <w:t xml:space="preserve"> </w:t>
      </w:r>
      <w:r w:rsidRPr="00B02247">
        <w:t>the</w:t>
      </w:r>
      <w:r w:rsidR="005B2A41">
        <w:t xml:space="preserve"> </w:t>
      </w:r>
      <w:r w:rsidRPr="00B02247">
        <w:t>Greek</w:t>
      </w:r>
      <w:r w:rsidR="005B2A41">
        <w:t xml:space="preserve"> </w:t>
      </w:r>
      <w:r w:rsidRPr="00B02247">
        <w:t>constitution.</w:t>
      </w:r>
      <w:r w:rsidR="005B2A41">
        <w:t xml:space="preserve"> </w:t>
      </w:r>
    </w:p>
    <w:p w:rsidR="00F233AB" w:rsidRPr="00B02247" w:rsidRDefault="00F233AB" w:rsidP="00E1307D">
      <w:pPr>
        <w:pStyle w:val="SingleTxtG"/>
      </w:pPr>
      <w:r w:rsidRPr="00B02247">
        <w:t>9.</w:t>
      </w:r>
      <w:r w:rsidRPr="00B02247">
        <w:tab/>
        <w:t>According</w:t>
      </w:r>
      <w:r w:rsidR="005B2A41">
        <w:t xml:space="preserve"> </w:t>
      </w:r>
      <w:r w:rsidRPr="00B02247">
        <w:t>to</w:t>
      </w:r>
      <w:r w:rsidR="005B2A41">
        <w:t xml:space="preserve"> </w:t>
      </w:r>
      <w:r w:rsidRPr="00B02247">
        <w:t>the</w:t>
      </w:r>
      <w:r w:rsidR="005B2A41">
        <w:t xml:space="preserve"> </w:t>
      </w:r>
      <w:r w:rsidRPr="00B02247">
        <w:t>latest</w:t>
      </w:r>
      <w:r w:rsidR="005B2A41">
        <w:t xml:space="preserve"> </w:t>
      </w:r>
      <w:r w:rsidRPr="00B02247">
        <w:t>UNDP</w:t>
      </w:r>
      <w:r w:rsidR="005B2A41">
        <w:t xml:space="preserve"> </w:t>
      </w:r>
      <w:r w:rsidRPr="00B02247">
        <w:t>data</w:t>
      </w:r>
      <w:r w:rsidR="005B2A41">
        <w:t xml:space="preserve"> </w:t>
      </w:r>
      <w:r w:rsidRPr="00B02247">
        <w:t>(2016),</w:t>
      </w:r>
      <w:r w:rsidR="005B2A41">
        <w:t xml:space="preserve"> </w:t>
      </w:r>
      <w:r w:rsidRPr="00B02247">
        <w:t>Greece</w:t>
      </w:r>
      <w:r w:rsidR="005B2A41">
        <w:t xml:space="preserve"> </w:t>
      </w:r>
      <w:r w:rsidRPr="00B02247">
        <w:t>belongs</w:t>
      </w:r>
      <w:r w:rsidR="005B2A41">
        <w:t xml:space="preserve"> </w:t>
      </w:r>
      <w:r w:rsidRPr="00B02247">
        <w:t>to</w:t>
      </w:r>
      <w:r w:rsidR="005B2A41">
        <w:t xml:space="preserve"> </w:t>
      </w:r>
      <w:r w:rsidRPr="00B02247">
        <w:t>the</w:t>
      </w:r>
      <w:r w:rsidR="005B2A41">
        <w:t xml:space="preserve"> </w:t>
      </w:r>
      <w:r w:rsidRPr="00B02247">
        <w:t>very</w:t>
      </w:r>
      <w:r w:rsidR="005B2A41">
        <w:t xml:space="preserve"> </w:t>
      </w:r>
      <w:r w:rsidRPr="00B02247">
        <w:t>high</w:t>
      </w:r>
      <w:r w:rsidR="005B2A41">
        <w:t xml:space="preserve"> </w:t>
      </w:r>
      <w:r w:rsidRPr="00B02247">
        <w:t>human</w:t>
      </w:r>
      <w:r w:rsidR="005B2A41">
        <w:t xml:space="preserve"> </w:t>
      </w:r>
      <w:r w:rsidRPr="00B02247">
        <w:t>development</w:t>
      </w:r>
      <w:r w:rsidR="005B2A41">
        <w:t xml:space="preserve"> </w:t>
      </w:r>
      <w:r w:rsidRPr="00B02247">
        <w:t>category,</w:t>
      </w:r>
      <w:r w:rsidR="005B2A41">
        <w:t xml:space="preserve"> </w:t>
      </w:r>
      <w:r w:rsidRPr="00B02247">
        <w:t>positioned</w:t>
      </w:r>
      <w:r w:rsidR="005B2A41">
        <w:t xml:space="preserve"> </w:t>
      </w:r>
      <w:r w:rsidRPr="00B02247">
        <w:t>at</w:t>
      </w:r>
      <w:r w:rsidR="005B2A41">
        <w:t xml:space="preserve"> </w:t>
      </w:r>
      <w:r w:rsidRPr="00B02247">
        <w:t>29</w:t>
      </w:r>
      <w:r w:rsidR="005B2A41">
        <w:t xml:space="preserve"> </w:t>
      </w:r>
      <w:r w:rsidRPr="00B02247">
        <w:t>out</w:t>
      </w:r>
      <w:r w:rsidR="005B2A41">
        <w:t xml:space="preserve"> </w:t>
      </w:r>
      <w:r w:rsidRPr="00B02247">
        <w:t>of</w:t>
      </w:r>
      <w:r w:rsidR="005B2A41">
        <w:t xml:space="preserve"> </w:t>
      </w:r>
      <w:r w:rsidRPr="00B02247">
        <w:t>188</w:t>
      </w:r>
      <w:r w:rsidR="005B2A41">
        <w:t xml:space="preserve"> </w:t>
      </w:r>
      <w:r w:rsidRPr="00B02247">
        <w:t>countries</w:t>
      </w:r>
      <w:r w:rsidR="005B2A41">
        <w:t xml:space="preserve"> </w:t>
      </w:r>
      <w:r w:rsidRPr="00B02247">
        <w:t>and</w:t>
      </w:r>
      <w:r w:rsidR="005B2A41">
        <w:t xml:space="preserve"> </w:t>
      </w:r>
      <w:r w:rsidRPr="00B02247">
        <w:t>territories.</w:t>
      </w:r>
      <w:r w:rsidR="005B2A41">
        <w:t xml:space="preserve"> </w:t>
      </w:r>
      <w:r w:rsidRPr="00B02247">
        <w:t>However,</w:t>
      </w:r>
      <w:r w:rsidR="005B2A41">
        <w:t xml:space="preserve"> </w:t>
      </w:r>
      <w:r w:rsidRPr="00B02247">
        <w:t>it</w:t>
      </w:r>
      <w:r w:rsidR="005B2A41">
        <w:t xml:space="preserve"> </w:t>
      </w:r>
      <w:r w:rsidRPr="00B02247">
        <w:t>was</w:t>
      </w:r>
      <w:r w:rsidR="005B2A41">
        <w:t xml:space="preserve"> </w:t>
      </w:r>
      <w:r w:rsidRPr="00B02247">
        <w:t>severely</w:t>
      </w:r>
      <w:r w:rsidR="005B2A41">
        <w:t xml:space="preserve"> </w:t>
      </w:r>
      <w:r w:rsidRPr="00B02247">
        <w:t>affected</w:t>
      </w:r>
      <w:r w:rsidR="005B2A41">
        <w:t xml:space="preserve"> </w:t>
      </w:r>
      <w:r w:rsidRPr="00B02247">
        <w:t>by</w:t>
      </w:r>
      <w:r w:rsidR="005B2A41">
        <w:t xml:space="preserve"> </w:t>
      </w:r>
      <w:r w:rsidRPr="00B02247">
        <w:t>the</w:t>
      </w:r>
      <w:r w:rsidR="005B2A41">
        <w:t xml:space="preserve"> </w:t>
      </w:r>
      <w:r w:rsidRPr="00B02247">
        <w:t>global</w:t>
      </w:r>
      <w:r w:rsidR="005B2A41">
        <w:t xml:space="preserve"> </w:t>
      </w:r>
      <w:r w:rsidRPr="00B02247">
        <w:t>economic</w:t>
      </w:r>
      <w:r w:rsidR="005B2A41">
        <w:t xml:space="preserve"> </w:t>
      </w:r>
      <w:r w:rsidRPr="00B02247">
        <w:t>crisis.</w:t>
      </w:r>
      <w:r w:rsidR="005B2A41">
        <w:t xml:space="preserve"> </w:t>
      </w:r>
      <w:r w:rsidRPr="00B02247">
        <w:t>The</w:t>
      </w:r>
      <w:r w:rsidR="005B2A41">
        <w:t xml:space="preserve"> </w:t>
      </w:r>
      <w:r w:rsidRPr="00B02247">
        <w:t>policy</w:t>
      </w:r>
      <w:r w:rsidR="005B2A41">
        <w:t xml:space="preserve"> </w:t>
      </w:r>
      <w:r w:rsidRPr="00B02247">
        <w:t>frameworks</w:t>
      </w:r>
      <w:r w:rsidR="005B2A41">
        <w:t xml:space="preserve"> </w:t>
      </w:r>
      <w:r w:rsidRPr="00B02247">
        <w:t>aiming</w:t>
      </w:r>
      <w:r w:rsidR="005B2A41">
        <w:t xml:space="preserve"> </w:t>
      </w:r>
      <w:r w:rsidRPr="00B02247">
        <w:t>at</w:t>
      </w:r>
      <w:r w:rsidR="005B2A41">
        <w:t xml:space="preserve"> </w:t>
      </w:r>
      <w:r w:rsidRPr="00B02247">
        <w:t>responding</w:t>
      </w:r>
      <w:r w:rsidR="005B2A41">
        <w:t xml:space="preserve"> </w:t>
      </w:r>
      <w:r w:rsidRPr="00B02247">
        <w:t>to</w:t>
      </w:r>
      <w:r w:rsidR="005B2A41">
        <w:t xml:space="preserve"> </w:t>
      </w:r>
      <w:r w:rsidRPr="00B02247">
        <w:t>the</w:t>
      </w:r>
      <w:r w:rsidR="005B2A41">
        <w:t xml:space="preserve"> </w:t>
      </w:r>
      <w:r w:rsidRPr="00B02247">
        <w:t>crisis</w:t>
      </w:r>
      <w:r w:rsidR="005B2A41">
        <w:t xml:space="preserve"> </w:t>
      </w:r>
      <w:r w:rsidRPr="00B02247">
        <w:t>consisted</w:t>
      </w:r>
      <w:r w:rsidR="005B2A41">
        <w:t xml:space="preserve"> </w:t>
      </w:r>
      <w:r w:rsidRPr="00B02247">
        <w:t>to</w:t>
      </w:r>
      <w:r w:rsidR="005B2A41">
        <w:t xml:space="preserve"> </w:t>
      </w:r>
      <w:r w:rsidRPr="00B02247">
        <w:t>a</w:t>
      </w:r>
      <w:r w:rsidR="005B2A41">
        <w:t xml:space="preserve"> </w:t>
      </w:r>
      <w:r w:rsidRPr="00B02247">
        <w:t>large</w:t>
      </w:r>
      <w:r w:rsidR="005B2A41">
        <w:t xml:space="preserve"> </w:t>
      </w:r>
      <w:r w:rsidRPr="00B02247">
        <w:t>extent</w:t>
      </w:r>
      <w:r w:rsidR="005B2A41">
        <w:t xml:space="preserve"> </w:t>
      </w:r>
      <w:r w:rsidRPr="00B02247">
        <w:t>in</w:t>
      </w:r>
      <w:r w:rsidR="005B2A41">
        <w:t xml:space="preserve"> </w:t>
      </w:r>
      <w:r w:rsidRPr="00B02247">
        <w:t>the</w:t>
      </w:r>
      <w:r w:rsidR="005B2A41">
        <w:t xml:space="preserve"> </w:t>
      </w:r>
      <w:r w:rsidRPr="00B02247">
        <w:t>adoption</w:t>
      </w:r>
      <w:r w:rsidR="005B2A41">
        <w:t xml:space="preserve"> </w:t>
      </w:r>
      <w:r w:rsidRPr="00B02247">
        <w:t>of</w:t>
      </w:r>
      <w:r w:rsidR="005B2A41">
        <w:t xml:space="preserve"> </w:t>
      </w:r>
      <w:r w:rsidRPr="00B02247">
        <w:t>austerity</w:t>
      </w:r>
      <w:r w:rsidR="005B2A41">
        <w:t xml:space="preserve"> </w:t>
      </w:r>
      <w:r w:rsidRPr="00B02247">
        <w:t>measures,</w:t>
      </w:r>
      <w:r w:rsidR="005B2A41">
        <w:t xml:space="preserve"> </w:t>
      </w:r>
      <w:r w:rsidRPr="00B02247">
        <w:t>following</w:t>
      </w:r>
      <w:r w:rsidR="005B2A41">
        <w:t xml:space="preserve"> </w:t>
      </w:r>
      <w:r w:rsidRPr="00B02247">
        <w:t>negotiations</w:t>
      </w:r>
      <w:r w:rsidR="005B2A41">
        <w:t xml:space="preserve"> </w:t>
      </w:r>
      <w:r w:rsidRPr="00B02247">
        <w:t>with</w:t>
      </w:r>
      <w:r w:rsidR="005B2A41">
        <w:t xml:space="preserve"> </w:t>
      </w:r>
      <w:r w:rsidRPr="00B02247">
        <w:t>the</w:t>
      </w:r>
      <w:r w:rsidR="005B2A41">
        <w:t xml:space="preserve"> </w:t>
      </w:r>
      <w:r w:rsidRPr="00B02247">
        <w:t>institutions</w:t>
      </w:r>
      <w:r w:rsidR="005B2A41">
        <w:t xml:space="preserve"> </w:t>
      </w:r>
      <w:r w:rsidRPr="00B02247">
        <w:t>involved,</w:t>
      </w:r>
      <w:r w:rsidR="005B2A41">
        <w:t xml:space="preserve"> </w:t>
      </w:r>
      <w:r w:rsidRPr="00B02247">
        <w:t>the</w:t>
      </w:r>
      <w:r w:rsidR="005B2A41">
        <w:t xml:space="preserve"> </w:t>
      </w:r>
      <w:r w:rsidRPr="00B02247">
        <w:t>European</w:t>
      </w:r>
      <w:r w:rsidR="005B2A41">
        <w:t xml:space="preserve"> </w:t>
      </w:r>
      <w:r w:rsidRPr="00B02247">
        <w:t>Commission,</w:t>
      </w:r>
      <w:r w:rsidR="005B2A41">
        <w:t xml:space="preserve"> </w:t>
      </w:r>
      <w:r w:rsidRPr="00B02247">
        <w:t>the</w:t>
      </w:r>
      <w:r w:rsidR="005B2A41">
        <w:t xml:space="preserve"> </w:t>
      </w:r>
      <w:r w:rsidRPr="00B02247">
        <w:t>European</w:t>
      </w:r>
      <w:r w:rsidR="005B2A41">
        <w:t xml:space="preserve"> </w:t>
      </w:r>
      <w:r w:rsidRPr="00B02247">
        <w:t>Central</w:t>
      </w:r>
      <w:r w:rsidR="005B2A41">
        <w:t xml:space="preserve"> </w:t>
      </w:r>
      <w:r w:rsidRPr="00B02247">
        <w:t>Bank</w:t>
      </w:r>
      <w:r w:rsidR="005B2A41">
        <w:t xml:space="preserve"> </w:t>
      </w:r>
      <w:r w:rsidRPr="00B02247">
        <w:t>and</w:t>
      </w:r>
      <w:r w:rsidR="005B2A41">
        <w:t xml:space="preserve"> </w:t>
      </w:r>
      <w:r w:rsidRPr="00B02247">
        <w:t>the</w:t>
      </w:r>
      <w:r w:rsidR="005B2A41">
        <w:t xml:space="preserve"> </w:t>
      </w:r>
      <w:r w:rsidRPr="00B02247">
        <w:t>International</w:t>
      </w:r>
      <w:r w:rsidR="005B2A41">
        <w:t xml:space="preserve"> </w:t>
      </w:r>
      <w:r w:rsidRPr="00B02247">
        <w:t>Monetary</w:t>
      </w:r>
      <w:r w:rsidR="005B2A41">
        <w:t xml:space="preserve"> </w:t>
      </w:r>
      <w:r w:rsidRPr="00B02247">
        <w:t>Fund.</w:t>
      </w:r>
      <w:r w:rsidR="005B2A41">
        <w:t xml:space="preserve"> </w:t>
      </w:r>
      <w:r w:rsidRPr="00B02247">
        <w:t>The</w:t>
      </w:r>
      <w:r w:rsidR="005B2A41">
        <w:t xml:space="preserve"> </w:t>
      </w:r>
      <w:r w:rsidRPr="00B02247">
        <w:t>impact</w:t>
      </w:r>
      <w:r w:rsidR="005B2A41">
        <w:t xml:space="preserve"> </w:t>
      </w:r>
      <w:r w:rsidRPr="00B02247">
        <w:t>of</w:t>
      </w:r>
      <w:r w:rsidR="005B2A41">
        <w:t xml:space="preserve"> </w:t>
      </w:r>
      <w:r w:rsidRPr="00B02247">
        <w:t>the</w:t>
      </w:r>
      <w:r w:rsidR="005B2A41">
        <w:t xml:space="preserve"> </w:t>
      </w:r>
      <w:r w:rsidRPr="00B02247">
        <w:t>economic</w:t>
      </w:r>
      <w:r w:rsidR="005B2A41">
        <w:t xml:space="preserve"> </w:t>
      </w:r>
      <w:r w:rsidRPr="00B02247">
        <w:t>recession</w:t>
      </w:r>
      <w:r w:rsidR="005B2A41">
        <w:t xml:space="preserve"> </w:t>
      </w:r>
      <w:r w:rsidRPr="00B02247">
        <w:t>has</w:t>
      </w:r>
      <w:r w:rsidR="005B2A41">
        <w:t xml:space="preserve"> </w:t>
      </w:r>
      <w:r w:rsidRPr="00B02247">
        <w:t>been</w:t>
      </w:r>
      <w:r w:rsidR="005B2A41">
        <w:t xml:space="preserve"> </w:t>
      </w:r>
      <w:r w:rsidRPr="00B02247">
        <w:t>significant,</w:t>
      </w:r>
      <w:r w:rsidR="005B2A41">
        <w:t xml:space="preserve"> </w:t>
      </w:r>
      <w:r w:rsidRPr="00B02247">
        <w:t>resulting</w:t>
      </w:r>
      <w:r w:rsidR="005B2A41">
        <w:t xml:space="preserve"> </w:t>
      </w:r>
      <w:r w:rsidRPr="00B02247">
        <w:t>in</w:t>
      </w:r>
      <w:r w:rsidR="005B2A41">
        <w:t xml:space="preserve"> </w:t>
      </w:r>
      <w:r w:rsidRPr="00B02247">
        <w:t>social</w:t>
      </w:r>
      <w:r w:rsidR="005B2A41">
        <w:t xml:space="preserve"> </w:t>
      </w:r>
      <w:r w:rsidRPr="00B02247">
        <w:t>upheavals</w:t>
      </w:r>
      <w:r w:rsidR="005B2A41">
        <w:t xml:space="preserve"> </w:t>
      </w:r>
      <w:r w:rsidRPr="00B02247">
        <w:t>and</w:t>
      </w:r>
      <w:r w:rsidR="005B2A41">
        <w:t xml:space="preserve"> </w:t>
      </w:r>
      <w:r w:rsidRPr="00B02247">
        <w:t>threatening</w:t>
      </w:r>
      <w:r w:rsidR="005B2A41">
        <w:t xml:space="preserve"> </w:t>
      </w:r>
      <w:r w:rsidRPr="00B02247">
        <w:t>the</w:t>
      </w:r>
      <w:r w:rsidR="005B2A41">
        <w:t xml:space="preserve"> </w:t>
      </w:r>
      <w:r w:rsidRPr="00B02247">
        <w:t>disruption</w:t>
      </w:r>
      <w:r w:rsidR="005B2A41">
        <w:t xml:space="preserve"> </w:t>
      </w:r>
      <w:r w:rsidRPr="00B02247">
        <w:t>of</w:t>
      </w:r>
      <w:r w:rsidR="005B2A41">
        <w:t xml:space="preserve"> </w:t>
      </w:r>
      <w:r w:rsidRPr="00B02247">
        <w:t>the</w:t>
      </w:r>
      <w:r w:rsidR="005B2A41">
        <w:t xml:space="preserve"> </w:t>
      </w:r>
      <w:r w:rsidRPr="00B02247">
        <w:t>social</w:t>
      </w:r>
      <w:r w:rsidR="005B2A41">
        <w:t xml:space="preserve"> </w:t>
      </w:r>
      <w:r w:rsidRPr="00B02247">
        <w:t>fabric,</w:t>
      </w:r>
      <w:r w:rsidR="005B2A41">
        <w:t xml:space="preserve"> </w:t>
      </w:r>
      <w:r w:rsidRPr="00B02247">
        <w:t>as</w:t>
      </w:r>
      <w:r w:rsidR="005B2A41">
        <w:t xml:space="preserve"> </w:t>
      </w:r>
      <w:r w:rsidRPr="00B02247">
        <w:t>documented,</w:t>
      </w:r>
      <w:r w:rsidR="005B2A41">
        <w:t xml:space="preserve"> </w:t>
      </w:r>
      <w:r w:rsidRPr="00B02247">
        <w:t>in</w:t>
      </w:r>
      <w:r w:rsidR="005B2A41">
        <w:t xml:space="preserve"> </w:t>
      </w:r>
      <w:r w:rsidRPr="00B02247">
        <w:t>particular,</w:t>
      </w:r>
      <w:r w:rsidR="005B2A41">
        <w:t xml:space="preserve"> </w:t>
      </w:r>
      <w:r w:rsidRPr="00B02247">
        <w:t>by</w:t>
      </w:r>
      <w:r w:rsidR="005B2A41">
        <w:t xml:space="preserve"> </w:t>
      </w:r>
      <w:r w:rsidRPr="00B02247">
        <w:t>the</w:t>
      </w:r>
      <w:r w:rsidR="005B2A41">
        <w:t xml:space="preserve"> </w:t>
      </w:r>
      <w:r w:rsidRPr="00B02247">
        <w:t>National</w:t>
      </w:r>
      <w:r w:rsidR="005B2A41">
        <w:t xml:space="preserve"> </w:t>
      </w:r>
      <w:r w:rsidRPr="00B02247">
        <w:t>Commission</w:t>
      </w:r>
      <w:r w:rsidR="005B2A41">
        <w:t xml:space="preserve"> </w:t>
      </w:r>
      <w:r w:rsidRPr="00B02247">
        <w:t>for</w:t>
      </w:r>
      <w:r w:rsidR="005B2A41">
        <w:t xml:space="preserve"> </w:t>
      </w:r>
      <w:r w:rsidRPr="00B02247">
        <w:t>Human</w:t>
      </w:r>
      <w:r w:rsidR="005B2A41">
        <w:t xml:space="preserve"> </w:t>
      </w:r>
      <w:r w:rsidRPr="00B02247">
        <w:t>Rights.</w:t>
      </w:r>
      <w:r w:rsidR="005B2A41">
        <w:t xml:space="preserve"> </w:t>
      </w:r>
      <w:r w:rsidRPr="00B02247">
        <w:t>Greece</w:t>
      </w:r>
      <w:r w:rsidR="005B2A41">
        <w:t xml:space="preserve"> </w:t>
      </w:r>
      <w:r w:rsidRPr="00B02247">
        <w:t>is</w:t>
      </w:r>
      <w:r w:rsidR="005B2A41">
        <w:t xml:space="preserve"> </w:t>
      </w:r>
      <w:r w:rsidRPr="00B02247">
        <w:t>currently</w:t>
      </w:r>
      <w:r w:rsidR="005B2A41">
        <w:t xml:space="preserve"> </w:t>
      </w:r>
      <w:r w:rsidRPr="00B02247">
        <w:t>implementing</w:t>
      </w:r>
      <w:r w:rsidR="005B2A41">
        <w:t xml:space="preserve"> </w:t>
      </w:r>
      <w:r w:rsidRPr="00B02247">
        <w:t>an</w:t>
      </w:r>
      <w:r w:rsidR="005B2A41">
        <w:t xml:space="preserve"> </w:t>
      </w:r>
      <w:r w:rsidRPr="00B02247">
        <w:t>Agreement</w:t>
      </w:r>
      <w:r w:rsidR="005B2A41">
        <w:t xml:space="preserve"> </w:t>
      </w:r>
      <w:r w:rsidRPr="00B02247">
        <w:t>reached</w:t>
      </w:r>
      <w:r w:rsidR="005B2A41">
        <w:t xml:space="preserve"> </w:t>
      </w:r>
      <w:r w:rsidRPr="00B02247">
        <w:t>with</w:t>
      </w:r>
      <w:r w:rsidR="005B2A41">
        <w:t xml:space="preserve"> </w:t>
      </w:r>
      <w:r w:rsidRPr="00B02247">
        <w:t>the</w:t>
      </w:r>
      <w:r w:rsidR="005B2A41">
        <w:t xml:space="preserve"> </w:t>
      </w:r>
      <w:r w:rsidRPr="00B02247">
        <w:t>abovementioned</w:t>
      </w:r>
      <w:r w:rsidR="005B2A41">
        <w:t xml:space="preserve"> </w:t>
      </w:r>
      <w:r w:rsidRPr="00B02247">
        <w:lastRenderedPageBreak/>
        <w:t>institutions</w:t>
      </w:r>
      <w:r w:rsidR="005B2A41">
        <w:t xml:space="preserve"> </w:t>
      </w:r>
      <w:r w:rsidRPr="00B02247">
        <w:t>in</w:t>
      </w:r>
      <w:r w:rsidR="005B2A41">
        <w:t xml:space="preserve"> </w:t>
      </w:r>
      <w:r w:rsidRPr="00B02247">
        <w:t>August</w:t>
      </w:r>
      <w:r w:rsidR="005B2A41">
        <w:t xml:space="preserve"> </w:t>
      </w:r>
      <w:r w:rsidRPr="00B02247">
        <w:t>2015</w:t>
      </w:r>
      <w:r w:rsidR="005B2A41">
        <w:t xml:space="preserve"> </w:t>
      </w:r>
      <w:r w:rsidRPr="00B02247">
        <w:t>and</w:t>
      </w:r>
      <w:r w:rsidR="005B2A41">
        <w:t xml:space="preserve"> </w:t>
      </w:r>
      <w:r w:rsidRPr="00B02247">
        <w:t>is</w:t>
      </w:r>
      <w:r w:rsidR="005B2A41">
        <w:t xml:space="preserve"> </w:t>
      </w:r>
      <w:r w:rsidRPr="00B02247">
        <w:t>striving,</w:t>
      </w:r>
      <w:r w:rsidR="005B2A41">
        <w:t xml:space="preserve"> </w:t>
      </w:r>
      <w:r w:rsidRPr="00B02247">
        <w:t>while</w:t>
      </w:r>
      <w:r w:rsidR="005B2A41">
        <w:t xml:space="preserve"> </w:t>
      </w:r>
      <w:r w:rsidRPr="00B02247">
        <w:t>implementing</w:t>
      </w:r>
      <w:r w:rsidR="005B2A41">
        <w:t xml:space="preserve"> </w:t>
      </w:r>
      <w:r w:rsidRPr="00B02247">
        <w:t>the</w:t>
      </w:r>
      <w:r w:rsidR="005B2A41">
        <w:t xml:space="preserve"> </w:t>
      </w:r>
      <w:r w:rsidRPr="00B02247">
        <w:t>Agreement,</w:t>
      </w:r>
      <w:r w:rsidR="005B2A41">
        <w:t xml:space="preserve"> </w:t>
      </w:r>
      <w:r w:rsidRPr="00B02247">
        <w:t>to</w:t>
      </w:r>
      <w:r w:rsidR="005B2A41">
        <w:t xml:space="preserve"> </w:t>
      </w:r>
      <w:r w:rsidRPr="00B02247">
        <w:t>protect</w:t>
      </w:r>
      <w:r w:rsidR="005B2A41">
        <w:t xml:space="preserve"> </w:t>
      </w:r>
      <w:r w:rsidRPr="00B02247">
        <w:t>the</w:t>
      </w:r>
      <w:r w:rsidR="005B2A41">
        <w:t xml:space="preserve"> </w:t>
      </w:r>
      <w:r w:rsidRPr="00B02247">
        <w:t>rights</w:t>
      </w:r>
      <w:r w:rsidR="005B2A41">
        <w:t xml:space="preserve"> </w:t>
      </w:r>
      <w:r w:rsidRPr="00B02247">
        <w:t>of</w:t>
      </w:r>
      <w:r w:rsidR="005B2A41">
        <w:t xml:space="preserve"> </w:t>
      </w:r>
      <w:r w:rsidRPr="00B02247">
        <w:t>those</w:t>
      </w:r>
      <w:r w:rsidR="005B2A41">
        <w:t xml:space="preserve"> </w:t>
      </w:r>
      <w:r w:rsidRPr="00B02247">
        <w:t>in</w:t>
      </w:r>
      <w:r w:rsidR="005B2A41">
        <w:t xml:space="preserve"> </w:t>
      </w:r>
      <w:r w:rsidRPr="00B02247">
        <w:t>the</w:t>
      </w:r>
      <w:r w:rsidR="005B2A41">
        <w:t xml:space="preserve"> </w:t>
      </w:r>
      <w:r w:rsidRPr="00B02247">
        <w:t>most</w:t>
      </w:r>
      <w:r w:rsidR="005B2A41">
        <w:t xml:space="preserve"> </w:t>
      </w:r>
      <w:r w:rsidRPr="00B02247">
        <w:t>vulnerable</w:t>
      </w:r>
      <w:r w:rsidR="005B2A41">
        <w:t xml:space="preserve"> </w:t>
      </w:r>
      <w:r w:rsidRPr="00B02247">
        <w:t>situations.</w:t>
      </w:r>
      <w:r w:rsidR="005B2A41">
        <w:t xml:space="preserve"> </w:t>
      </w:r>
      <w:r w:rsidRPr="00B02247">
        <w:t>At</w:t>
      </w:r>
      <w:r w:rsidR="005B2A41">
        <w:t xml:space="preserve"> </w:t>
      </w:r>
      <w:r w:rsidRPr="00B02247">
        <w:t>the</w:t>
      </w:r>
      <w:r w:rsidR="005B2A41">
        <w:t xml:space="preserve"> </w:t>
      </w:r>
      <w:r w:rsidRPr="00B02247">
        <w:t>same</w:t>
      </w:r>
      <w:r w:rsidR="005B2A41">
        <w:t xml:space="preserve"> </w:t>
      </w:r>
      <w:r w:rsidRPr="00B02247">
        <w:t>time,</w:t>
      </w:r>
      <w:r w:rsidR="005B2A41">
        <w:t xml:space="preserve"> </w:t>
      </w:r>
      <w:r w:rsidRPr="00B02247">
        <w:t>it</w:t>
      </w:r>
      <w:r w:rsidR="005B2A41">
        <w:t xml:space="preserve"> </w:t>
      </w:r>
      <w:r w:rsidRPr="00B02247">
        <w:t>maintains</w:t>
      </w:r>
      <w:r w:rsidR="005B2A41">
        <w:t xml:space="preserve"> </w:t>
      </w:r>
      <w:r w:rsidRPr="00B02247">
        <w:t>that</w:t>
      </w:r>
      <w:r w:rsidR="005B2A41">
        <w:t xml:space="preserve"> </w:t>
      </w:r>
      <w:r w:rsidRPr="00B02247">
        <w:t>the</w:t>
      </w:r>
      <w:r w:rsidR="005B2A41">
        <w:t xml:space="preserve"> </w:t>
      </w:r>
      <w:r w:rsidRPr="00B02247">
        <w:t>sustainability</w:t>
      </w:r>
      <w:r w:rsidR="005B2A41">
        <w:t xml:space="preserve"> </w:t>
      </w:r>
      <w:r w:rsidRPr="00B02247">
        <w:t>of</w:t>
      </w:r>
      <w:r w:rsidR="005B2A41">
        <w:t xml:space="preserve"> </w:t>
      </w:r>
      <w:r w:rsidRPr="00B02247">
        <w:t>the</w:t>
      </w:r>
      <w:r w:rsidR="005B2A41">
        <w:t xml:space="preserve"> </w:t>
      </w:r>
      <w:r w:rsidRPr="00B02247">
        <w:t>Greek</w:t>
      </w:r>
      <w:r w:rsidR="005B2A41">
        <w:t xml:space="preserve"> </w:t>
      </w:r>
      <w:r w:rsidRPr="00B02247">
        <w:t>public</w:t>
      </w:r>
      <w:r w:rsidR="005B2A41">
        <w:t xml:space="preserve"> </w:t>
      </w:r>
      <w:r w:rsidRPr="00B02247">
        <w:t>debt</w:t>
      </w:r>
      <w:r w:rsidR="005B2A41">
        <w:t xml:space="preserve"> </w:t>
      </w:r>
      <w:r w:rsidRPr="00B02247">
        <w:t>is</w:t>
      </w:r>
      <w:r w:rsidR="005B2A41">
        <w:t xml:space="preserve"> </w:t>
      </w:r>
      <w:r w:rsidRPr="00B02247">
        <w:t>an</w:t>
      </w:r>
      <w:r w:rsidR="005B2A41">
        <w:t xml:space="preserve"> </w:t>
      </w:r>
      <w:r w:rsidRPr="00B02247">
        <w:t>issue</w:t>
      </w:r>
      <w:r w:rsidR="005B2A41">
        <w:t xml:space="preserve"> </w:t>
      </w:r>
      <w:r w:rsidRPr="00B02247">
        <w:t>critical</w:t>
      </w:r>
      <w:r w:rsidR="005B2A41">
        <w:t xml:space="preserve"> </w:t>
      </w:r>
      <w:r w:rsidRPr="00B02247">
        <w:t>to</w:t>
      </w:r>
      <w:r w:rsidR="005B2A41">
        <w:t xml:space="preserve"> </w:t>
      </w:r>
      <w:r w:rsidRPr="00B02247">
        <w:t>the</w:t>
      </w:r>
      <w:r w:rsidR="005B2A41">
        <w:t xml:space="preserve"> </w:t>
      </w:r>
      <w:r w:rsidRPr="00B02247">
        <w:t>course</w:t>
      </w:r>
      <w:r w:rsidR="005B2A41">
        <w:t xml:space="preserve"> </w:t>
      </w:r>
      <w:r w:rsidRPr="00B02247">
        <w:t>of</w:t>
      </w:r>
      <w:r w:rsidR="005B2A41">
        <w:t xml:space="preserve"> </w:t>
      </w:r>
      <w:r w:rsidRPr="00B02247">
        <w:t>the</w:t>
      </w:r>
      <w:r w:rsidR="005B2A41">
        <w:t xml:space="preserve"> </w:t>
      </w:r>
      <w:r w:rsidRPr="00B02247">
        <w:t>Greek</w:t>
      </w:r>
      <w:r w:rsidR="005B2A41">
        <w:t xml:space="preserve"> </w:t>
      </w:r>
      <w:r w:rsidRPr="00B02247">
        <w:t>economy</w:t>
      </w:r>
      <w:r w:rsidR="005B2A41">
        <w:t xml:space="preserve"> </w:t>
      </w:r>
      <w:r w:rsidRPr="00B02247">
        <w:t>and</w:t>
      </w:r>
      <w:r w:rsidR="005B2A41">
        <w:t xml:space="preserve"> </w:t>
      </w:r>
      <w:r w:rsidRPr="00B02247">
        <w:t>the</w:t>
      </w:r>
      <w:r w:rsidR="005B2A41">
        <w:t xml:space="preserve"> </w:t>
      </w:r>
      <w:r w:rsidRPr="00B02247">
        <w:t>promotion</w:t>
      </w:r>
      <w:r w:rsidR="005B2A41">
        <w:t xml:space="preserve"> </w:t>
      </w:r>
      <w:r w:rsidRPr="00B02247">
        <w:t>and</w:t>
      </w:r>
      <w:r w:rsidR="005B2A41">
        <w:t xml:space="preserve"> </w:t>
      </w:r>
      <w:r w:rsidRPr="00B02247">
        <w:t>respect</w:t>
      </w:r>
      <w:r w:rsidR="005B2A41">
        <w:t xml:space="preserve"> </w:t>
      </w:r>
      <w:r w:rsidRPr="00B02247">
        <w:t>of</w:t>
      </w:r>
      <w:r w:rsidR="005B2A41">
        <w:t xml:space="preserve"> </w:t>
      </w:r>
      <w:r w:rsidRPr="00B02247">
        <w:t>economic,</w:t>
      </w:r>
      <w:r w:rsidR="005B2A41">
        <w:t xml:space="preserve"> </w:t>
      </w:r>
      <w:r w:rsidRPr="00B02247">
        <w:t>social</w:t>
      </w:r>
      <w:r w:rsidR="005B2A41">
        <w:t xml:space="preserve"> </w:t>
      </w:r>
      <w:r w:rsidRPr="00B02247">
        <w:t>and</w:t>
      </w:r>
      <w:r w:rsidR="005B2A41">
        <w:t xml:space="preserve"> </w:t>
      </w:r>
      <w:r w:rsidRPr="00B02247">
        <w:t>cultural</w:t>
      </w:r>
      <w:r w:rsidR="005B2A41">
        <w:t xml:space="preserve"> </w:t>
      </w:r>
      <w:r w:rsidRPr="00B02247">
        <w:t>rights.</w:t>
      </w:r>
      <w:r w:rsidR="005B2A41">
        <w:t xml:space="preserve"> </w:t>
      </w:r>
      <w:r w:rsidRPr="00B02247">
        <w:t>During</w:t>
      </w:r>
      <w:r w:rsidR="005B2A41">
        <w:t xml:space="preserve"> </w:t>
      </w:r>
      <w:r w:rsidRPr="00B02247">
        <w:t>the</w:t>
      </w:r>
      <w:r w:rsidR="005B2A41">
        <w:t xml:space="preserve"> </w:t>
      </w:r>
      <w:r w:rsidRPr="00B02247">
        <w:t>last</w:t>
      </w:r>
      <w:r w:rsidR="005B2A41">
        <w:t xml:space="preserve"> </w:t>
      </w:r>
      <w:r w:rsidRPr="00B02247">
        <w:t>years,</w:t>
      </w:r>
      <w:r w:rsidR="005B2A41">
        <w:t xml:space="preserve"> </w:t>
      </w:r>
      <w:r w:rsidRPr="00B02247">
        <w:t>the</w:t>
      </w:r>
      <w:r w:rsidR="005B2A41">
        <w:t xml:space="preserve"> </w:t>
      </w:r>
      <w:r w:rsidRPr="00B02247">
        <w:t>Greek</w:t>
      </w:r>
      <w:r w:rsidR="005B2A41">
        <w:t xml:space="preserve"> </w:t>
      </w:r>
      <w:r w:rsidRPr="00B02247">
        <w:t>economy</w:t>
      </w:r>
      <w:r w:rsidR="005B2A41">
        <w:t xml:space="preserve"> </w:t>
      </w:r>
      <w:r w:rsidRPr="00B02247">
        <w:t>has</w:t>
      </w:r>
      <w:r w:rsidR="005B2A41">
        <w:t xml:space="preserve"> </w:t>
      </w:r>
      <w:r w:rsidRPr="00B02247">
        <w:t>moved</w:t>
      </w:r>
      <w:r w:rsidR="005B2A41">
        <w:t xml:space="preserve"> </w:t>
      </w:r>
      <w:r w:rsidRPr="00B02247">
        <w:t>to</w:t>
      </w:r>
      <w:r w:rsidR="005B2A41">
        <w:t xml:space="preserve"> </w:t>
      </w:r>
      <w:r w:rsidRPr="00B02247">
        <w:t>a</w:t>
      </w:r>
      <w:r w:rsidR="005B2A41">
        <w:t xml:space="preserve"> </w:t>
      </w:r>
      <w:r w:rsidRPr="00B02247">
        <w:t>state</w:t>
      </w:r>
      <w:r w:rsidR="005B2A41">
        <w:t xml:space="preserve"> </w:t>
      </w:r>
      <w:r w:rsidRPr="00B02247">
        <w:t>of</w:t>
      </w:r>
      <w:r w:rsidR="005B2A41">
        <w:t xml:space="preserve"> </w:t>
      </w:r>
      <w:r w:rsidRPr="00B02247">
        <w:t>economic</w:t>
      </w:r>
      <w:r w:rsidR="005B2A41">
        <w:t xml:space="preserve"> </w:t>
      </w:r>
      <w:r w:rsidRPr="00B02247">
        <w:t>recovery.</w:t>
      </w:r>
      <w:r w:rsidR="005B2A41">
        <w:t xml:space="preserve"> </w:t>
      </w:r>
      <w:r w:rsidRPr="00B02247">
        <w:t>The</w:t>
      </w:r>
      <w:r w:rsidR="005B2A41">
        <w:t xml:space="preserve"> </w:t>
      </w:r>
      <w:r w:rsidRPr="00B02247">
        <w:t>2018</w:t>
      </w:r>
      <w:r w:rsidR="005B2A41">
        <w:t xml:space="preserve"> </w:t>
      </w:r>
      <w:r w:rsidRPr="00B02247">
        <w:t>budget</w:t>
      </w:r>
      <w:r w:rsidR="005B2A41">
        <w:t xml:space="preserve"> </w:t>
      </w:r>
      <w:r w:rsidRPr="00B02247">
        <w:t>is</w:t>
      </w:r>
      <w:r w:rsidR="005B2A41">
        <w:t xml:space="preserve"> </w:t>
      </w:r>
      <w:r w:rsidRPr="00B02247">
        <w:t>the</w:t>
      </w:r>
      <w:r w:rsidR="005B2A41">
        <w:t xml:space="preserve"> </w:t>
      </w:r>
      <w:r w:rsidRPr="00B02247">
        <w:t>last</w:t>
      </w:r>
      <w:r w:rsidR="005B2A41">
        <w:t xml:space="preserve"> </w:t>
      </w:r>
      <w:r w:rsidRPr="00B02247">
        <w:t>one</w:t>
      </w:r>
      <w:r w:rsidR="005B2A41">
        <w:t xml:space="preserve"> </w:t>
      </w:r>
      <w:r w:rsidRPr="00B02247">
        <w:t>to</w:t>
      </w:r>
      <w:r w:rsidR="005B2A41">
        <w:t xml:space="preserve"> </w:t>
      </w:r>
      <w:r w:rsidRPr="00B02247">
        <w:t>be</w:t>
      </w:r>
      <w:r w:rsidR="005B2A41">
        <w:t xml:space="preserve"> </w:t>
      </w:r>
      <w:r w:rsidRPr="00B02247">
        <w:t>submitted</w:t>
      </w:r>
      <w:r w:rsidR="005B2A41">
        <w:t xml:space="preserve"> </w:t>
      </w:r>
      <w:r w:rsidRPr="00B02247">
        <w:t>under</w:t>
      </w:r>
      <w:r w:rsidR="005B2A41">
        <w:t xml:space="preserve"> </w:t>
      </w:r>
      <w:r w:rsidRPr="00B02247">
        <w:t>the</w:t>
      </w:r>
      <w:r w:rsidR="005B2A41">
        <w:t xml:space="preserve"> </w:t>
      </w:r>
      <w:r w:rsidRPr="00B02247">
        <w:t>current</w:t>
      </w:r>
      <w:r w:rsidR="005B2A41">
        <w:t xml:space="preserve"> </w:t>
      </w:r>
      <w:r w:rsidRPr="00B02247">
        <w:t>financial</w:t>
      </w:r>
      <w:r w:rsidR="005B2A41">
        <w:t xml:space="preserve"> </w:t>
      </w:r>
      <w:r w:rsidRPr="00B02247">
        <w:t>adjustment</w:t>
      </w:r>
      <w:r w:rsidR="005B2A41">
        <w:t xml:space="preserve"> </w:t>
      </w:r>
      <w:r w:rsidRPr="00B02247">
        <w:t>program.</w:t>
      </w:r>
    </w:p>
    <w:p w:rsidR="00F233AB" w:rsidRPr="00B02247" w:rsidRDefault="00F233AB" w:rsidP="00CA3486">
      <w:pPr>
        <w:pStyle w:val="H1G"/>
      </w:pPr>
      <w:r w:rsidRPr="00B02247">
        <w:tab/>
        <w:t>B.</w:t>
      </w:r>
      <w:r w:rsidRPr="00B02247">
        <w:tab/>
        <w:t>Constitutional,</w:t>
      </w:r>
      <w:r w:rsidR="005B2A41">
        <w:t xml:space="preserve"> </w:t>
      </w:r>
      <w:r w:rsidRPr="00B02247">
        <w:t>political</w:t>
      </w:r>
      <w:r w:rsidR="005B2A41">
        <w:t xml:space="preserve"> </w:t>
      </w:r>
      <w:r w:rsidRPr="00B02247">
        <w:t>and</w:t>
      </w:r>
      <w:r w:rsidR="005B2A41">
        <w:t xml:space="preserve"> </w:t>
      </w:r>
      <w:r w:rsidRPr="00B02247">
        <w:t>legal</w:t>
      </w:r>
      <w:r w:rsidR="005B2A41">
        <w:t xml:space="preserve"> </w:t>
      </w:r>
      <w:r w:rsidRPr="00B02247">
        <w:t>structure</w:t>
      </w:r>
      <w:r w:rsidR="005B2A41">
        <w:t xml:space="preserve"> </w:t>
      </w:r>
      <w:r w:rsidRPr="00B02247">
        <w:t>of</w:t>
      </w:r>
      <w:r w:rsidR="005B2A41">
        <w:t xml:space="preserve"> </w:t>
      </w:r>
      <w:r w:rsidRPr="00B02247">
        <w:t>the</w:t>
      </w:r>
      <w:r w:rsidR="005B2A41">
        <w:t xml:space="preserve"> </w:t>
      </w:r>
      <w:r w:rsidRPr="00B02247">
        <w:t>State</w:t>
      </w:r>
    </w:p>
    <w:p w:rsidR="00F233AB" w:rsidRPr="00B02247" w:rsidRDefault="00F233AB" w:rsidP="00E1307D">
      <w:pPr>
        <w:pStyle w:val="SingleTxtG"/>
      </w:pPr>
      <w:r w:rsidRPr="00B02247">
        <w:t>10.</w:t>
      </w:r>
      <w:r w:rsidRPr="00B02247">
        <w:tab/>
        <w:t>According</w:t>
      </w:r>
      <w:r w:rsidR="005B2A41">
        <w:t xml:space="preserve"> </w:t>
      </w:r>
      <w:r w:rsidRPr="00B02247">
        <w:t>to</w:t>
      </w:r>
      <w:r w:rsidR="005B2A41">
        <w:t xml:space="preserve"> </w:t>
      </w:r>
      <w:r w:rsidRPr="00B02247">
        <w:t>Article</w:t>
      </w:r>
      <w:r w:rsidR="005B2A41">
        <w:t xml:space="preserve"> </w:t>
      </w:r>
      <w:r w:rsidRPr="00B02247">
        <w:t>1</w:t>
      </w:r>
      <w:r w:rsidR="005B2A41">
        <w:t xml:space="preserve"> </w:t>
      </w:r>
      <w:r w:rsidRPr="00B02247">
        <w:t>(1)</w:t>
      </w:r>
      <w:r w:rsidR="005B2A41">
        <w:t xml:space="preserve"> </w:t>
      </w:r>
      <w:r w:rsidRPr="00B02247">
        <w:t>of</w:t>
      </w:r>
      <w:r w:rsidR="005B2A41">
        <w:t xml:space="preserve"> </w:t>
      </w:r>
      <w:r w:rsidRPr="00B02247">
        <w:t>the</w:t>
      </w:r>
      <w:r w:rsidR="005B2A41">
        <w:t xml:space="preserve"> </w:t>
      </w:r>
      <w:r w:rsidRPr="00B02247">
        <w:t>Constitution,</w:t>
      </w:r>
      <w:r w:rsidR="005B2A41">
        <w:t xml:space="preserve"> </w:t>
      </w:r>
      <w:r w:rsidRPr="00B02247">
        <w:t>Greece</w:t>
      </w:r>
      <w:r w:rsidR="005B2A41">
        <w:t xml:space="preserve"> </w:t>
      </w:r>
      <w:r w:rsidRPr="00B02247">
        <w:t>is</w:t>
      </w:r>
      <w:r w:rsidR="005B2A41">
        <w:t xml:space="preserve"> </w:t>
      </w:r>
      <w:r w:rsidRPr="00B02247">
        <w:t>a</w:t>
      </w:r>
      <w:r w:rsidR="005B2A41">
        <w:t xml:space="preserve"> </w:t>
      </w:r>
      <w:r w:rsidR="003E731F">
        <w:t>“</w:t>
      </w:r>
      <w:r w:rsidRPr="00B02247">
        <w:t>presidential</w:t>
      </w:r>
      <w:r w:rsidR="005B2A41">
        <w:t xml:space="preserve"> </w:t>
      </w:r>
      <w:r w:rsidRPr="00B02247">
        <w:t>parliamentary</w:t>
      </w:r>
      <w:r w:rsidR="005B2A41">
        <w:t xml:space="preserve"> </w:t>
      </w:r>
      <w:r w:rsidRPr="00B02247">
        <w:t>republic</w:t>
      </w:r>
      <w:r w:rsidR="003E731F">
        <w:t>”</w:t>
      </w:r>
      <w:r w:rsidRPr="00B02247">
        <w:t>.</w:t>
      </w:r>
      <w:r w:rsidR="005B2A41">
        <w:t xml:space="preserve"> </w:t>
      </w:r>
      <w:r w:rsidRPr="00B02247">
        <w:t>The</w:t>
      </w:r>
      <w:r w:rsidR="005B2A41">
        <w:t xml:space="preserve"> </w:t>
      </w:r>
      <w:r w:rsidRPr="00B02247">
        <w:t>basic</w:t>
      </w:r>
      <w:r w:rsidR="005B2A41">
        <w:t xml:space="preserve"> </w:t>
      </w:r>
      <w:r w:rsidRPr="00B02247">
        <w:t>principles</w:t>
      </w:r>
      <w:r w:rsidR="005B2A41">
        <w:t xml:space="preserve"> </w:t>
      </w:r>
      <w:r w:rsidRPr="00B02247">
        <w:t>of</w:t>
      </w:r>
      <w:r w:rsidR="005B2A41">
        <w:t xml:space="preserve"> </w:t>
      </w:r>
      <w:r w:rsidRPr="00B02247">
        <w:t>the</w:t>
      </w:r>
      <w:r w:rsidR="005B2A41">
        <w:t xml:space="preserve"> </w:t>
      </w:r>
      <w:r w:rsidRPr="00B02247">
        <w:t>Greek</w:t>
      </w:r>
      <w:r w:rsidR="005B2A41">
        <w:t xml:space="preserve"> </w:t>
      </w:r>
      <w:r w:rsidRPr="00B02247">
        <w:t>form</w:t>
      </w:r>
      <w:r w:rsidR="005B2A41">
        <w:t xml:space="preserve"> </w:t>
      </w:r>
      <w:r w:rsidRPr="00B02247">
        <w:t>of</w:t>
      </w:r>
      <w:r w:rsidR="005B2A41">
        <w:t xml:space="preserve"> </w:t>
      </w:r>
      <w:r w:rsidRPr="00B02247">
        <w:t>government</w:t>
      </w:r>
      <w:r w:rsidR="005B2A41">
        <w:t xml:space="preserve"> </w:t>
      </w:r>
      <w:r w:rsidRPr="00B02247">
        <w:t>are</w:t>
      </w:r>
      <w:r w:rsidR="005B2A41">
        <w:t xml:space="preserve"> </w:t>
      </w:r>
      <w:r w:rsidRPr="00B02247">
        <w:t>the</w:t>
      </w:r>
      <w:r w:rsidR="005B2A41">
        <w:t xml:space="preserve"> </w:t>
      </w:r>
      <w:r w:rsidRPr="00B02247">
        <w:t>following:</w:t>
      </w:r>
    </w:p>
    <w:p w:rsidR="00F233AB" w:rsidRPr="00B02247" w:rsidRDefault="00F233AB" w:rsidP="00E1307D">
      <w:pPr>
        <w:pStyle w:val="SingleTxtG"/>
      </w:pPr>
      <w:r w:rsidRPr="00B02247">
        <w:tab/>
      </w:r>
      <w:r w:rsidR="00141072">
        <w:tab/>
      </w:r>
      <w:r w:rsidRPr="00B02247">
        <w:t>(a)</w:t>
      </w:r>
      <w:r w:rsidRPr="00B02247">
        <w:tab/>
        <w:t>The</w:t>
      </w:r>
      <w:r w:rsidR="005B2A41">
        <w:t xml:space="preserve"> </w:t>
      </w:r>
      <w:r w:rsidRPr="00B02247">
        <w:t>principle</w:t>
      </w:r>
      <w:r w:rsidR="005B2A41">
        <w:t xml:space="preserve"> </w:t>
      </w:r>
      <w:r w:rsidRPr="00B02247">
        <w:t>of</w:t>
      </w:r>
      <w:r w:rsidR="005B2A41">
        <w:t xml:space="preserve"> </w:t>
      </w:r>
      <w:r w:rsidRPr="00B02247">
        <w:t>popular</w:t>
      </w:r>
      <w:r w:rsidR="005B2A41">
        <w:t xml:space="preserve"> </w:t>
      </w:r>
      <w:r w:rsidRPr="00B02247">
        <w:t>sovereignty.</w:t>
      </w:r>
      <w:r w:rsidR="005B2A41">
        <w:t xml:space="preserve"> </w:t>
      </w:r>
      <w:r w:rsidRPr="00B02247">
        <w:t>According</w:t>
      </w:r>
      <w:r w:rsidR="005B2A41">
        <w:t xml:space="preserve"> </w:t>
      </w:r>
      <w:r w:rsidRPr="00B02247">
        <w:t>to</w:t>
      </w:r>
      <w:r w:rsidR="005B2A41">
        <w:t xml:space="preserve"> </w:t>
      </w:r>
      <w:r w:rsidRPr="00B02247">
        <w:t>Article</w:t>
      </w:r>
      <w:r w:rsidR="005B2A41">
        <w:t xml:space="preserve"> </w:t>
      </w:r>
      <w:r w:rsidRPr="00B02247">
        <w:t>1</w:t>
      </w:r>
      <w:r w:rsidR="005B2A41">
        <w:t xml:space="preserve"> </w:t>
      </w:r>
      <w:r w:rsidRPr="00B02247">
        <w:t>(3)</w:t>
      </w:r>
      <w:r w:rsidR="005B2A41">
        <w:t xml:space="preserve"> </w:t>
      </w:r>
      <w:r w:rsidRPr="00B02247">
        <w:t>of</w:t>
      </w:r>
      <w:r w:rsidR="005B2A41">
        <w:t xml:space="preserve"> </w:t>
      </w:r>
      <w:r w:rsidRPr="00B02247">
        <w:t>the</w:t>
      </w:r>
      <w:r w:rsidR="005B2A41">
        <w:t xml:space="preserve"> </w:t>
      </w:r>
      <w:r w:rsidRPr="00B02247">
        <w:t>Constitution,</w:t>
      </w:r>
      <w:r w:rsidR="005B2A41">
        <w:t xml:space="preserve"> </w:t>
      </w:r>
      <w:r w:rsidR="003E731F">
        <w:t>“</w:t>
      </w:r>
      <w:r w:rsidRPr="00B02247">
        <w:t>All</w:t>
      </w:r>
      <w:r w:rsidR="005B2A41">
        <w:t xml:space="preserve"> </w:t>
      </w:r>
      <w:r w:rsidRPr="00B02247">
        <w:t>powers</w:t>
      </w:r>
      <w:r w:rsidR="005B2A41">
        <w:t xml:space="preserve"> </w:t>
      </w:r>
      <w:r w:rsidRPr="00B02247">
        <w:t>derive</w:t>
      </w:r>
      <w:r w:rsidR="005B2A41">
        <w:t xml:space="preserve"> </w:t>
      </w:r>
      <w:r w:rsidRPr="00B02247">
        <w:t>from</w:t>
      </w:r>
      <w:r w:rsidR="005B2A41">
        <w:t xml:space="preserve"> </w:t>
      </w:r>
      <w:r w:rsidRPr="00B02247">
        <w:t>the</w:t>
      </w:r>
      <w:r w:rsidR="005B2A41">
        <w:t xml:space="preserve"> </w:t>
      </w:r>
      <w:r w:rsidRPr="00B02247">
        <w:t>People</w:t>
      </w:r>
      <w:r w:rsidR="005B2A41">
        <w:t xml:space="preserve"> </w:t>
      </w:r>
      <w:r w:rsidRPr="00B02247">
        <w:t>and</w:t>
      </w:r>
      <w:r w:rsidR="005B2A41">
        <w:t xml:space="preserve"> </w:t>
      </w:r>
      <w:r w:rsidRPr="00B02247">
        <w:t>exist</w:t>
      </w:r>
      <w:r w:rsidR="005B2A41">
        <w:t xml:space="preserve"> </w:t>
      </w:r>
      <w:r w:rsidRPr="00B02247">
        <w:t>for</w:t>
      </w:r>
      <w:r w:rsidR="005B2A41">
        <w:t xml:space="preserve"> </w:t>
      </w:r>
      <w:r w:rsidRPr="00B02247">
        <w:t>the</w:t>
      </w:r>
      <w:r w:rsidR="005B2A41">
        <w:t xml:space="preserve"> </w:t>
      </w:r>
      <w:r w:rsidRPr="00B02247">
        <w:t>People</w:t>
      </w:r>
      <w:r w:rsidR="005B2A41">
        <w:t xml:space="preserve"> </w:t>
      </w:r>
      <w:r w:rsidRPr="00B02247">
        <w:t>and</w:t>
      </w:r>
      <w:r w:rsidR="005B2A41">
        <w:t xml:space="preserve"> </w:t>
      </w:r>
      <w:r w:rsidRPr="00B02247">
        <w:t>the</w:t>
      </w:r>
      <w:r w:rsidR="005B2A41">
        <w:t xml:space="preserve"> </w:t>
      </w:r>
      <w:r w:rsidRPr="00B02247">
        <w:t>Nation;</w:t>
      </w:r>
      <w:r w:rsidR="005B2A41">
        <w:t xml:space="preserve"> </w:t>
      </w:r>
      <w:r w:rsidRPr="00B02247">
        <w:t>they</w:t>
      </w:r>
      <w:r w:rsidR="005B2A41">
        <w:t xml:space="preserve"> </w:t>
      </w:r>
      <w:r w:rsidRPr="00B02247">
        <w:t>shall</w:t>
      </w:r>
      <w:r w:rsidR="005B2A41">
        <w:t xml:space="preserve"> </w:t>
      </w:r>
      <w:r w:rsidRPr="00B02247">
        <w:t>be</w:t>
      </w:r>
      <w:r w:rsidR="005B2A41">
        <w:t xml:space="preserve"> </w:t>
      </w:r>
      <w:r w:rsidRPr="00B02247">
        <w:t>exercised</w:t>
      </w:r>
      <w:r w:rsidR="005B2A41">
        <w:t xml:space="preserve"> </w:t>
      </w:r>
      <w:r w:rsidRPr="00B02247">
        <w:t>as</w:t>
      </w:r>
      <w:r w:rsidR="005B2A41">
        <w:t xml:space="preserve"> </w:t>
      </w:r>
      <w:r w:rsidRPr="00B02247">
        <w:t>specified</w:t>
      </w:r>
      <w:r w:rsidR="005B2A41">
        <w:t xml:space="preserve"> </w:t>
      </w:r>
      <w:r w:rsidRPr="00B02247">
        <w:t>by</w:t>
      </w:r>
      <w:r w:rsidR="005B2A41">
        <w:t xml:space="preserve"> </w:t>
      </w:r>
      <w:r w:rsidRPr="00B02247">
        <w:t>the</w:t>
      </w:r>
      <w:r w:rsidR="005B2A41">
        <w:t xml:space="preserve"> </w:t>
      </w:r>
      <w:r w:rsidRPr="00B02247">
        <w:t>Constitution</w:t>
      </w:r>
      <w:r w:rsidR="003E731F">
        <w:t>”</w:t>
      </w:r>
      <w:r w:rsidRPr="00B02247">
        <w:t>;</w:t>
      </w:r>
    </w:p>
    <w:p w:rsidR="00F233AB" w:rsidRPr="00B02247" w:rsidRDefault="00141072" w:rsidP="00E1307D">
      <w:pPr>
        <w:pStyle w:val="SingleTxtG"/>
      </w:pPr>
      <w:r>
        <w:tab/>
      </w:r>
      <w:r w:rsidR="00F233AB" w:rsidRPr="00B02247">
        <w:tab/>
        <w:t>(b)</w:t>
      </w:r>
      <w:r w:rsidR="00F233AB" w:rsidRPr="00B02247">
        <w:tab/>
        <w:t>The</w:t>
      </w:r>
      <w:r w:rsidR="005B2A41">
        <w:t xml:space="preserve"> </w:t>
      </w:r>
      <w:r w:rsidR="00F233AB" w:rsidRPr="00B02247">
        <w:t>character</w:t>
      </w:r>
      <w:r w:rsidR="005B2A41">
        <w:t xml:space="preserve"> </w:t>
      </w:r>
      <w:r w:rsidR="00F233AB" w:rsidRPr="00B02247">
        <w:t>of</w:t>
      </w:r>
      <w:r w:rsidR="005B2A41">
        <w:t xml:space="preserve"> </w:t>
      </w:r>
      <w:r w:rsidR="00F233AB" w:rsidRPr="00B02247">
        <w:t>the</w:t>
      </w:r>
      <w:r w:rsidR="005B2A41">
        <w:t xml:space="preserve"> </w:t>
      </w:r>
      <w:r w:rsidR="00F233AB" w:rsidRPr="00B02247">
        <w:t>form</w:t>
      </w:r>
      <w:r w:rsidR="005B2A41">
        <w:t xml:space="preserve"> </w:t>
      </w:r>
      <w:r w:rsidR="00F233AB" w:rsidRPr="00B02247">
        <w:t>of</w:t>
      </w:r>
      <w:r w:rsidR="005B2A41">
        <w:t xml:space="preserve"> </w:t>
      </w:r>
      <w:r w:rsidR="00F233AB" w:rsidRPr="00B02247">
        <w:t>government</w:t>
      </w:r>
      <w:r w:rsidR="005B2A41">
        <w:t xml:space="preserve"> </w:t>
      </w:r>
      <w:r w:rsidR="00F233AB" w:rsidRPr="00B02247">
        <w:t>as</w:t>
      </w:r>
      <w:r w:rsidR="005B2A41">
        <w:t xml:space="preserve"> </w:t>
      </w:r>
      <w:r w:rsidR="00F233AB" w:rsidRPr="00B02247">
        <w:t>a</w:t>
      </w:r>
      <w:r w:rsidR="005B2A41">
        <w:t xml:space="preserve"> </w:t>
      </w:r>
      <w:r w:rsidR="003E731F">
        <w:t>“</w:t>
      </w:r>
      <w:r w:rsidR="00F233AB" w:rsidRPr="00B02247">
        <w:t>parliamentary</w:t>
      </w:r>
      <w:r w:rsidR="005B2A41">
        <w:t xml:space="preserve"> </w:t>
      </w:r>
      <w:r w:rsidR="00F233AB" w:rsidRPr="00B02247">
        <w:t>republic</w:t>
      </w:r>
      <w:r w:rsidR="003E731F">
        <w:t>”</w:t>
      </w:r>
      <w:r w:rsidR="005B2A41">
        <w:t xml:space="preserve"> </w:t>
      </w:r>
      <w:r w:rsidR="00F233AB" w:rsidRPr="00B02247">
        <w:t>(Article</w:t>
      </w:r>
      <w:r w:rsidR="005B2A41">
        <w:t xml:space="preserve"> </w:t>
      </w:r>
      <w:r w:rsidR="00F233AB" w:rsidRPr="00B02247">
        <w:t>1</w:t>
      </w:r>
      <w:r w:rsidR="005B2A41">
        <w:t xml:space="preserve"> </w:t>
      </w:r>
      <w:r w:rsidR="00F233AB" w:rsidRPr="00B02247">
        <w:t>(1)</w:t>
      </w:r>
      <w:r w:rsidR="005B2A41">
        <w:t xml:space="preserve"> </w:t>
      </w:r>
      <w:r w:rsidR="00F233AB" w:rsidRPr="00B02247">
        <w:t>of</w:t>
      </w:r>
      <w:r w:rsidR="005B2A41">
        <w:t xml:space="preserve"> </w:t>
      </w:r>
      <w:r w:rsidR="00F233AB" w:rsidRPr="00B02247">
        <w:t>the</w:t>
      </w:r>
      <w:r w:rsidR="005B2A41">
        <w:t xml:space="preserve"> </w:t>
      </w:r>
      <w:r w:rsidR="00F233AB" w:rsidRPr="00B02247">
        <w:t>Constitution),</w:t>
      </w:r>
      <w:r w:rsidR="005B2A41">
        <w:t xml:space="preserve"> </w:t>
      </w:r>
      <w:r w:rsidR="00F233AB" w:rsidRPr="00B02247">
        <w:t>a</w:t>
      </w:r>
      <w:r w:rsidR="005B2A41">
        <w:t xml:space="preserve"> </w:t>
      </w:r>
      <w:r w:rsidR="00F233AB" w:rsidRPr="00B02247">
        <w:t>provision</w:t>
      </w:r>
      <w:r w:rsidR="005B2A41">
        <w:t xml:space="preserve"> </w:t>
      </w:r>
      <w:r w:rsidR="00F233AB" w:rsidRPr="00B02247">
        <w:t>which</w:t>
      </w:r>
      <w:r w:rsidR="005B2A41">
        <w:t xml:space="preserve"> </w:t>
      </w:r>
      <w:r w:rsidR="00F233AB" w:rsidRPr="00B02247">
        <w:t>is</w:t>
      </w:r>
      <w:r w:rsidR="005B2A41">
        <w:t xml:space="preserve"> </w:t>
      </w:r>
      <w:r w:rsidR="00F233AB" w:rsidRPr="00B02247">
        <w:t>not</w:t>
      </w:r>
      <w:r w:rsidR="005B2A41">
        <w:t xml:space="preserve"> </w:t>
      </w:r>
      <w:r w:rsidR="00F233AB" w:rsidRPr="00B02247">
        <w:t>subject</w:t>
      </w:r>
      <w:r w:rsidR="005B2A41">
        <w:t xml:space="preserve"> </w:t>
      </w:r>
      <w:r w:rsidR="00F233AB" w:rsidRPr="00B02247">
        <w:t>to</w:t>
      </w:r>
      <w:r w:rsidR="005B2A41">
        <w:t xml:space="preserve"> </w:t>
      </w:r>
      <w:r w:rsidR="00F233AB" w:rsidRPr="00B02247">
        <w:t>revision,</w:t>
      </w:r>
      <w:r w:rsidR="005B2A41">
        <w:t xml:space="preserve"> </w:t>
      </w:r>
      <w:r w:rsidR="00F233AB" w:rsidRPr="00B02247">
        <w:t>according</w:t>
      </w:r>
      <w:r w:rsidR="005B2A41">
        <w:t xml:space="preserve"> </w:t>
      </w:r>
      <w:r w:rsidR="00F233AB" w:rsidRPr="00B02247">
        <w:t>to</w:t>
      </w:r>
      <w:r w:rsidR="005B2A41">
        <w:t xml:space="preserve"> </w:t>
      </w:r>
      <w:r w:rsidR="00F233AB" w:rsidRPr="00B02247">
        <w:t>article</w:t>
      </w:r>
      <w:r w:rsidR="005B2A41">
        <w:t xml:space="preserve"> </w:t>
      </w:r>
      <w:r w:rsidR="00F233AB" w:rsidRPr="00B02247">
        <w:t>110</w:t>
      </w:r>
      <w:r w:rsidR="005B2A41">
        <w:t xml:space="preserve"> </w:t>
      </w:r>
      <w:r w:rsidR="00F233AB" w:rsidRPr="00B02247">
        <w:t>(1)</w:t>
      </w:r>
      <w:r w:rsidR="005B2A41">
        <w:t xml:space="preserve"> </w:t>
      </w:r>
      <w:r w:rsidR="00F233AB" w:rsidRPr="00B02247">
        <w:t>of</w:t>
      </w:r>
      <w:r w:rsidR="005B2A41">
        <w:t xml:space="preserve"> </w:t>
      </w:r>
      <w:r w:rsidR="00F233AB" w:rsidRPr="00B02247">
        <w:t>the</w:t>
      </w:r>
      <w:r w:rsidR="005B2A41">
        <w:t xml:space="preserve"> </w:t>
      </w:r>
      <w:r w:rsidR="00F233AB" w:rsidRPr="00B02247">
        <w:t>Constitution;</w:t>
      </w:r>
    </w:p>
    <w:p w:rsidR="00F233AB" w:rsidRPr="00B02247" w:rsidRDefault="00141072" w:rsidP="00E1307D">
      <w:pPr>
        <w:pStyle w:val="SingleTxtG"/>
      </w:pPr>
      <w:r>
        <w:tab/>
      </w:r>
      <w:r w:rsidR="00F233AB" w:rsidRPr="00B02247">
        <w:tab/>
        <w:t>(c)</w:t>
      </w:r>
      <w:r w:rsidR="00F233AB" w:rsidRPr="00B02247">
        <w:tab/>
        <w:t>The</w:t>
      </w:r>
      <w:r w:rsidR="005B2A41">
        <w:t xml:space="preserve"> </w:t>
      </w:r>
      <w:r w:rsidR="00F233AB" w:rsidRPr="00B02247">
        <w:t>principle</w:t>
      </w:r>
      <w:r w:rsidR="005B2A41">
        <w:t xml:space="preserve"> </w:t>
      </w:r>
      <w:r w:rsidR="00F233AB" w:rsidRPr="00B02247">
        <w:t>of</w:t>
      </w:r>
      <w:r w:rsidR="005B2A41">
        <w:t xml:space="preserve"> </w:t>
      </w:r>
      <w:r w:rsidR="00F233AB" w:rsidRPr="00B02247">
        <w:t>representative,</w:t>
      </w:r>
      <w:r w:rsidR="005B2A41">
        <w:t xml:space="preserve"> </w:t>
      </w:r>
      <w:r w:rsidR="00F233AB" w:rsidRPr="00B02247">
        <w:t>parliamentary</w:t>
      </w:r>
      <w:r w:rsidR="005B2A41">
        <w:t xml:space="preserve"> </w:t>
      </w:r>
      <w:r w:rsidR="00F233AB" w:rsidRPr="00B02247">
        <w:t>democracy.</w:t>
      </w:r>
      <w:r w:rsidR="005B2A41">
        <w:t xml:space="preserve"> </w:t>
      </w:r>
      <w:r w:rsidR="00F233AB" w:rsidRPr="00B02247">
        <w:t>Elements</w:t>
      </w:r>
      <w:r w:rsidR="005B2A41">
        <w:t xml:space="preserve"> </w:t>
      </w:r>
      <w:r w:rsidR="00F233AB" w:rsidRPr="00B02247">
        <w:t>of</w:t>
      </w:r>
      <w:r w:rsidR="005B2A41">
        <w:t xml:space="preserve"> </w:t>
      </w:r>
      <w:r w:rsidR="00F233AB" w:rsidRPr="00B02247">
        <w:t>direct</w:t>
      </w:r>
      <w:r w:rsidR="005B2A41">
        <w:t xml:space="preserve"> </w:t>
      </w:r>
      <w:r w:rsidR="00F233AB" w:rsidRPr="00B02247">
        <w:t>democracy</w:t>
      </w:r>
      <w:r w:rsidR="005B2A41">
        <w:t xml:space="preserve"> </w:t>
      </w:r>
      <w:r w:rsidR="00F233AB" w:rsidRPr="00B02247">
        <w:t>are</w:t>
      </w:r>
      <w:r w:rsidR="005B2A41">
        <w:t xml:space="preserve"> </w:t>
      </w:r>
      <w:r w:rsidR="00F233AB" w:rsidRPr="00B02247">
        <w:t>contained</w:t>
      </w:r>
      <w:r w:rsidR="005B2A41">
        <w:t xml:space="preserve"> </w:t>
      </w:r>
      <w:r w:rsidR="00F233AB" w:rsidRPr="00B02247">
        <w:t>in</w:t>
      </w:r>
      <w:r w:rsidR="005B2A41">
        <w:t xml:space="preserve"> </w:t>
      </w:r>
      <w:r w:rsidR="00F233AB" w:rsidRPr="00B02247">
        <w:t>article</w:t>
      </w:r>
      <w:r w:rsidR="005B2A41">
        <w:t xml:space="preserve"> </w:t>
      </w:r>
      <w:r w:rsidR="00F233AB" w:rsidRPr="00B02247">
        <w:t>44</w:t>
      </w:r>
      <w:r w:rsidR="005B2A41">
        <w:t xml:space="preserve"> </w:t>
      </w:r>
      <w:r w:rsidR="00F233AB" w:rsidRPr="00B02247">
        <w:t>of</w:t>
      </w:r>
      <w:r w:rsidR="005B2A41">
        <w:t xml:space="preserve"> </w:t>
      </w:r>
      <w:r w:rsidR="00F233AB" w:rsidRPr="00B02247">
        <w:t>the</w:t>
      </w:r>
      <w:r w:rsidR="005B2A41">
        <w:t xml:space="preserve"> </w:t>
      </w:r>
      <w:r w:rsidR="00F233AB" w:rsidRPr="00B02247">
        <w:t>Constitution,</w:t>
      </w:r>
      <w:r w:rsidR="005B2A41">
        <w:t xml:space="preserve"> </w:t>
      </w:r>
      <w:r w:rsidR="00F233AB" w:rsidRPr="00B02247">
        <w:t>which</w:t>
      </w:r>
      <w:r w:rsidR="005B2A41">
        <w:t xml:space="preserve"> </w:t>
      </w:r>
      <w:r w:rsidR="00F233AB" w:rsidRPr="00B02247">
        <w:t>provides</w:t>
      </w:r>
      <w:r w:rsidR="005B2A41">
        <w:t xml:space="preserve"> </w:t>
      </w:r>
      <w:r w:rsidR="00F233AB" w:rsidRPr="00B02247">
        <w:t>for</w:t>
      </w:r>
      <w:r w:rsidR="005B2A41">
        <w:t xml:space="preserve"> </w:t>
      </w:r>
      <w:r w:rsidR="00F233AB" w:rsidRPr="00B02247">
        <w:t>the</w:t>
      </w:r>
      <w:r w:rsidR="005B2A41">
        <w:t xml:space="preserve"> </w:t>
      </w:r>
      <w:r w:rsidR="00F233AB" w:rsidRPr="00B02247">
        <w:t>institution</w:t>
      </w:r>
      <w:r w:rsidR="005B2A41">
        <w:t xml:space="preserve"> </w:t>
      </w:r>
      <w:r w:rsidR="00F233AB" w:rsidRPr="00B02247">
        <w:t>of</w:t>
      </w:r>
      <w:r w:rsidR="005B2A41">
        <w:t xml:space="preserve"> </w:t>
      </w:r>
      <w:r w:rsidR="00F233AB" w:rsidRPr="00B02247">
        <w:t>referendum;</w:t>
      </w:r>
    </w:p>
    <w:p w:rsidR="00F233AB" w:rsidRPr="00B02247" w:rsidRDefault="00141072" w:rsidP="00E1307D">
      <w:pPr>
        <w:pStyle w:val="SingleTxtG"/>
      </w:pPr>
      <w:r>
        <w:tab/>
      </w:r>
      <w:r w:rsidR="00F233AB" w:rsidRPr="00B02247">
        <w:tab/>
        <w:t>(d)</w:t>
      </w:r>
      <w:r w:rsidR="00F233AB" w:rsidRPr="00B02247">
        <w:tab/>
        <w:t>The</w:t>
      </w:r>
      <w:r w:rsidR="005B2A41">
        <w:t xml:space="preserve"> </w:t>
      </w:r>
      <w:r w:rsidR="00F233AB" w:rsidRPr="00B02247">
        <w:t>principle</w:t>
      </w:r>
      <w:r w:rsidR="005B2A41">
        <w:t xml:space="preserve"> </w:t>
      </w:r>
      <w:r w:rsidR="00F233AB" w:rsidRPr="00B02247">
        <w:t>of</w:t>
      </w:r>
      <w:r w:rsidR="005B2A41">
        <w:t xml:space="preserve"> </w:t>
      </w:r>
      <w:r w:rsidR="00F233AB" w:rsidRPr="00B02247">
        <w:t>the</w:t>
      </w:r>
      <w:r w:rsidR="005B2A41">
        <w:t xml:space="preserve"> </w:t>
      </w:r>
      <w:r w:rsidR="00F233AB" w:rsidRPr="00B02247">
        <w:t>rule</w:t>
      </w:r>
      <w:r w:rsidR="005B2A41">
        <w:t xml:space="preserve"> </w:t>
      </w:r>
      <w:r w:rsidR="00F233AB" w:rsidRPr="00B02247">
        <w:t>of</w:t>
      </w:r>
      <w:r w:rsidR="005B2A41">
        <w:t xml:space="preserve"> </w:t>
      </w:r>
      <w:r w:rsidR="00F233AB" w:rsidRPr="00B02247">
        <w:t>law.</w:t>
      </w:r>
      <w:r w:rsidR="005B2A41">
        <w:t xml:space="preserve"> </w:t>
      </w:r>
      <w:r w:rsidR="00F233AB" w:rsidRPr="00B02247">
        <w:t>The</w:t>
      </w:r>
      <w:r w:rsidR="005B2A41">
        <w:t xml:space="preserve"> </w:t>
      </w:r>
      <w:r w:rsidR="00F233AB" w:rsidRPr="00B02247">
        <w:t>Constitution</w:t>
      </w:r>
      <w:r w:rsidR="005B2A41">
        <w:t xml:space="preserve"> </w:t>
      </w:r>
      <w:r w:rsidR="00F233AB" w:rsidRPr="00B02247">
        <w:t>safeguards</w:t>
      </w:r>
      <w:r w:rsidR="005B2A41">
        <w:t xml:space="preserve"> </w:t>
      </w:r>
      <w:r w:rsidR="00F233AB" w:rsidRPr="00B02247">
        <w:t>respect</w:t>
      </w:r>
      <w:r w:rsidR="005B2A41">
        <w:t xml:space="preserve"> </w:t>
      </w:r>
      <w:r w:rsidR="00F233AB" w:rsidRPr="00B02247">
        <w:t>for</w:t>
      </w:r>
      <w:r w:rsidR="005B2A41">
        <w:t xml:space="preserve"> </w:t>
      </w:r>
      <w:r w:rsidR="00F233AB" w:rsidRPr="00B02247">
        <w:t>a</w:t>
      </w:r>
      <w:r w:rsidR="005B2A41">
        <w:t xml:space="preserve"> </w:t>
      </w:r>
      <w:r w:rsidR="00F233AB" w:rsidRPr="00B02247">
        <w:t>number</w:t>
      </w:r>
      <w:r w:rsidR="005B2A41">
        <w:t xml:space="preserve"> </w:t>
      </w:r>
      <w:r w:rsidR="00F233AB" w:rsidRPr="00B02247">
        <w:t>of</w:t>
      </w:r>
      <w:r w:rsidR="005B2A41">
        <w:t xml:space="preserve"> </w:t>
      </w:r>
      <w:r w:rsidR="00F233AB" w:rsidRPr="00B02247">
        <w:t>civil,</w:t>
      </w:r>
      <w:r w:rsidR="005B2A41">
        <w:t xml:space="preserve"> </w:t>
      </w:r>
      <w:r w:rsidR="00F233AB" w:rsidRPr="00B02247">
        <w:t>political,</w:t>
      </w:r>
      <w:r w:rsidR="005B2A41">
        <w:t xml:space="preserve"> </w:t>
      </w:r>
      <w:r w:rsidR="00F233AB" w:rsidRPr="00B02247">
        <w:t>economic,</w:t>
      </w:r>
      <w:r w:rsidR="005B2A41">
        <w:t xml:space="preserve"> </w:t>
      </w:r>
      <w:r w:rsidR="00F233AB" w:rsidRPr="00B02247">
        <w:t>social</w:t>
      </w:r>
      <w:r w:rsidR="005B2A41">
        <w:t xml:space="preserve"> </w:t>
      </w:r>
      <w:r w:rsidR="00F233AB" w:rsidRPr="00B02247">
        <w:t>and</w:t>
      </w:r>
      <w:r w:rsidR="005B2A41">
        <w:t xml:space="preserve"> </w:t>
      </w:r>
      <w:r w:rsidR="00F233AB" w:rsidRPr="00B02247">
        <w:t>cultural</w:t>
      </w:r>
      <w:r w:rsidR="005B2A41">
        <w:t xml:space="preserve"> </w:t>
      </w:r>
      <w:r w:rsidR="00F233AB" w:rsidRPr="00B02247">
        <w:t>rights</w:t>
      </w:r>
      <w:r w:rsidR="005B2A41">
        <w:t xml:space="preserve"> </w:t>
      </w:r>
      <w:r w:rsidR="00F233AB" w:rsidRPr="00B02247">
        <w:t>(Articles</w:t>
      </w:r>
      <w:r w:rsidR="005B2A41">
        <w:t xml:space="preserve"> </w:t>
      </w:r>
      <w:r w:rsidR="00F233AB" w:rsidRPr="00B02247">
        <w:t>4</w:t>
      </w:r>
      <w:r w:rsidR="003A7592">
        <w:t>–</w:t>
      </w:r>
      <w:r w:rsidR="00F233AB" w:rsidRPr="00B02247">
        <w:t>25)</w:t>
      </w:r>
      <w:r w:rsidR="005B2A41">
        <w:t xml:space="preserve"> </w:t>
      </w:r>
      <w:r w:rsidR="00F233AB" w:rsidRPr="00B02247">
        <w:t>and</w:t>
      </w:r>
      <w:r w:rsidR="005B2A41">
        <w:t xml:space="preserve"> </w:t>
      </w:r>
      <w:r w:rsidR="00F233AB" w:rsidRPr="00B02247">
        <w:t>protects</w:t>
      </w:r>
      <w:r w:rsidR="005B2A41">
        <w:t xml:space="preserve"> </w:t>
      </w:r>
      <w:r w:rsidR="00F233AB" w:rsidRPr="00B02247">
        <w:t>human</w:t>
      </w:r>
      <w:r w:rsidR="005B2A41">
        <w:t xml:space="preserve"> </w:t>
      </w:r>
      <w:r w:rsidR="00F233AB" w:rsidRPr="00B02247">
        <w:t>dignity</w:t>
      </w:r>
      <w:r w:rsidR="005B2A41">
        <w:t xml:space="preserve"> </w:t>
      </w:r>
      <w:r w:rsidR="00F233AB" w:rsidRPr="00B02247">
        <w:t>(Article</w:t>
      </w:r>
      <w:r w:rsidR="005B2A41">
        <w:t xml:space="preserve"> </w:t>
      </w:r>
      <w:r w:rsidR="00F233AB" w:rsidRPr="00B02247">
        <w:t>2).</w:t>
      </w:r>
      <w:r w:rsidR="005B2A41">
        <w:t xml:space="preserve"> </w:t>
      </w:r>
      <w:r w:rsidR="00F233AB" w:rsidRPr="00B02247">
        <w:t>It</w:t>
      </w:r>
      <w:r w:rsidR="005B2A41">
        <w:t xml:space="preserve"> </w:t>
      </w:r>
      <w:r w:rsidR="00F233AB" w:rsidRPr="00B02247">
        <w:t>also</w:t>
      </w:r>
      <w:r w:rsidR="005B2A41">
        <w:t xml:space="preserve"> </w:t>
      </w:r>
      <w:r w:rsidR="00F233AB" w:rsidRPr="00B02247">
        <w:t>proclaims</w:t>
      </w:r>
      <w:r w:rsidR="005B2A41">
        <w:t xml:space="preserve"> </w:t>
      </w:r>
      <w:r w:rsidR="00F233AB" w:rsidRPr="00B02247">
        <w:t>the</w:t>
      </w:r>
      <w:r w:rsidR="005B2A41">
        <w:t xml:space="preserve"> </w:t>
      </w:r>
      <w:r w:rsidR="00F233AB" w:rsidRPr="00B02247">
        <w:t>principle</w:t>
      </w:r>
      <w:r w:rsidR="005B2A41">
        <w:t xml:space="preserve"> </w:t>
      </w:r>
      <w:r w:rsidR="00F233AB" w:rsidRPr="00B02247">
        <w:t>of</w:t>
      </w:r>
      <w:r w:rsidR="005B2A41">
        <w:t xml:space="preserve"> </w:t>
      </w:r>
      <w:r w:rsidR="00F233AB" w:rsidRPr="00B02247">
        <w:t>separation</w:t>
      </w:r>
      <w:r w:rsidR="005B2A41">
        <w:t xml:space="preserve"> </w:t>
      </w:r>
      <w:r w:rsidR="00F233AB" w:rsidRPr="00B02247">
        <w:t>of</w:t>
      </w:r>
      <w:r w:rsidR="005B2A41">
        <w:t xml:space="preserve"> </w:t>
      </w:r>
      <w:r w:rsidR="00F233AB" w:rsidRPr="00B02247">
        <w:t>powers</w:t>
      </w:r>
      <w:r w:rsidR="005B2A41">
        <w:t xml:space="preserve"> </w:t>
      </w:r>
      <w:r w:rsidR="00F233AB" w:rsidRPr="00B02247">
        <w:t>(Article</w:t>
      </w:r>
      <w:r w:rsidR="005B2A41">
        <w:t xml:space="preserve"> </w:t>
      </w:r>
      <w:r w:rsidR="00F233AB" w:rsidRPr="00B02247">
        <w:t>26),</w:t>
      </w:r>
      <w:r w:rsidR="005B2A41">
        <w:t xml:space="preserve"> </w:t>
      </w:r>
      <w:r w:rsidR="00F233AB" w:rsidRPr="00B02247">
        <w:t>the</w:t>
      </w:r>
      <w:r w:rsidR="005B2A41">
        <w:t xml:space="preserve"> </w:t>
      </w:r>
      <w:r w:rsidR="00F233AB" w:rsidRPr="00B02247">
        <w:t>obligation</w:t>
      </w:r>
      <w:r w:rsidR="005B2A41">
        <w:t xml:space="preserve"> </w:t>
      </w:r>
      <w:r w:rsidR="00F233AB" w:rsidRPr="00B02247">
        <w:t>of</w:t>
      </w:r>
      <w:r w:rsidR="005B2A41">
        <w:t xml:space="preserve"> </w:t>
      </w:r>
      <w:r w:rsidR="00F233AB" w:rsidRPr="00B02247">
        <w:t>the</w:t>
      </w:r>
      <w:r w:rsidR="005B2A41">
        <w:t xml:space="preserve"> </w:t>
      </w:r>
      <w:r w:rsidR="00F233AB" w:rsidRPr="00B02247">
        <w:t>courts</w:t>
      </w:r>
      <w:r w:rsidR="005B2A41">
        <w:t xml:space="preserve"> </w:t>
      </w:r>
      <w:r w:rsidR="00F233AB" w:rsidRPr="00B02247">
        <w:t>not</w:t>
      </w:r>
      <w:r w:rsidR="005B2A41">
        <w:t xml:space="preserve"> </w:t>
      </w:r>
      <w:r w:rsidR="00F233AB" w:rsidRPr="00B02247">
        <w:t>to</w:t>
      </w:r>
      <w:r w:rsidR="005B2A41">
        <w:t xml:space="preserve"> </w:t>
      </w:r>
      <w:r w:rsidR="00F233AB" w:rsidRPr="00B02247">
        <w:t>apply</w:t>
      </w:r>
      <w:r w:rsidR="005B2A41">
        <w:t xml:space="preserve"> </w:t>
      </w:r>
      <w:r w:rsidR="00F233AB" w:rsidRPr="00B02247">
        <w:t>laws,</w:t>
      </w:r>
      <w:r w:rsidR="005B2A41">
        <w:t xml:space="preserve"> </w:t>
      </w:r>
      <w:r w:rsidR="00F233AB" w:rsidRPr="00B02247">
        <w:t>the</w:t>
      </w:r>
      <w:r w:rsidR="005B2A41">
        <w:t xml:space="preserve"> </w:t>
      </w:r>
      <w:r w:rsidR="00F233AB" w:rsidRPr="00B02247">
        <w:t>contents</w:t>
      </w:r>
      <w:r w:rsidR="005B2A41">
        <w:t xml:space="preserve"> </w:t>
      </w:r>
      <w:r w:rsidR="00F233AB" w:rsidRPr="00B02247">
        <w:t>of</w:t>
      </w:r>
      <w:r w:rsidR="005B2A41">
        <w:t xml:space="preserve"> </w:t>
      </w:r>
      <w:r w:rsidR="00F233AB" w:rsidRPr="00B02247">
        <w:t>which</w:t>
      </w:r>
      <w:r w:rsidR="005B2A41">
        <w:t xml:space="preserve"> </w:t>
      </w:r>
      <w:r w:rsidR="00F233AB" w:rsidRPr="00B02247">
        <w:t>are</w:t>
      </w:r>
      <w:r w:rsidR="005B2A41">
        <w:t xml:space="preserve"> </w:t>
      </w:r>
      <w:r w:rsidR="00F233AB" w:rsidRPr="00B02247">
        <w:t>contrary</w:t>
      </w:r>
      <w:r w:rsidR="005B2A41">
        <w:t xml:space="preserve"> </w:t>
      </w:r>
      <w:r w:rsidR="00F233AB" w:rsidRPr="00B02247">
        <w:t>to</w:t>
      </w:r>
      <w:r w:rsidR="005B2A41">
        <w:t xml:space="preserve"> </w:t>
      </w:r>
      <w:r w:rsidR="00F233AB" w:rsidRPr="00B02247">
        <w:t>the</w:t>
      </w:r>
      <w:r w:rsidR="005B2A41">
        <w:t xml:space="preserve"> </w:t>
      </w:r>
      <w:r w:rsidR="00F233AB" w:rsidRPr="00B02247">
        <w:t>Constitution</w:t>
      </w:r>
      <w:r w:rsidR="005B2A41">
        <w:t xml:space="preserve"> </w:t>
      </w:r>
      <w:r w:rsidR="00F233AB" w:rsidRPr="00B02247">
        <w:t>(Article</w:t>
      </w:r>
      <w:r w:rsidR="005B2A41">
        <w:t xml:space="preserve"> </w:t>
      </w:r>
      <w:r w:rsidR="00F233AB" w:rsidRPr="00B02247">
        <w:t>93</w:t>
      </w:r>
      <w:r w:rsidR="005B2A41">
        <w:t xml:space="preserve"> </w:t>
      </w:r>
      <w:r w:rsidR="00F233AB" w:rsidRPr="00B02247">
        <w:t>(4)),</w:t>
      </w:r>
      <w:r w:rsidR="005B2A41">
        <w:t xml:space="preserve"> </w:t>
      </w:r>
      <w:r w:rsidR="00F233AB" w:rsidRPr="00B02247">
        <w:t>the</w:t>
      </w:r>
      <w:r w:rsidR="005B2A41">
        <w:t xml:space="preserve"> </w:t>
      </w:r>
      <w:r w:rsidR="00F233AB" w:rsidRPr="00B02247">
        <w:t>judicial</w:t>
      </w:r>
      <w:r w:rsidR="005B2A41">
        <w:t xml:space="preserve"> </w:t>
      </w:r>
      <w:r w:rsidR="00F233AB" w:rsidRPr="00B02247">
        <w:t>review</w:t>
      </w:r>
      <w:r w:rsidR="005B2A41">
        <w:t xml:space="preserve"> </w:t>
      </w:r>
      <w:r w:rsidR="00F233AB" w:rsidRPr="00B02247">
        <w:t>of</w:t>
      </w:r>
      <w:r w:rsidR="005B2A41">
        <w:t xml:space="preserve"> </w:t>
      </w:r>
      <w:r w:rsidR="00F233AB" w:rsidRPr="00B02247">
        <w:t>administrative</w:t>
      </w:r>
      <w:r w:rsidR="005B2A41">
        <w:t xml:space="preserve"> </w:t>
      </w:r>
      <w:r w:rsidR="00F233AB" w:rsidRPr="00B02247">
        <w:t>acts</w:t>
      </w:r>
      <w:r w:rsidR="005B2A41">
        <w:t xml:space="preserve"> </w:t>
      </w:r>
      <w:r w:rsidR="00F233AB" w:rsidRPr="00B02247">
        <w:t>(Article</w:t>
      </w:r>
      <w:r w:rsidR="005B2A41">
        <w:t xml:space="preserve"> </w:t>
      </w:r>
      <w:r w:rsidR="00F233AB" w:rsidRPr="00B02247">
        <w:t>95),</w:t>
      </w:r>
      <w:r w:rsidR="005B2A41">
        <w:t xml:space="preserve"> </w:t>
      </w:r>
      <w:r w:rsidR="00F233AB" w:rsidRPr="00B02247">
        <w:t>the</w:t>
      </w:r>
      <w:r w:rsidR="005B2A41">
        <w:t xml:space="preserve"> </w:t>
      </w:r>
      <w:r w:rsidR="00F233AB" w:rsidRPr="00B02247">
        <w:t>independence</w:t>
      </w:r>
      <w:r w:rsidR="005B2A41">
        <w:t xml:space="preserve"> </w:t>
      </w:r>
      <w:r w:rsidR="00F233AB" w:rsidRPr="00B02247">
        <w:t>of</w:t>
      </w:r>
      <w:r w:rsidR="005B2A41">
        <w:t xml:space="preserve"> </w:t>
      </w:r>
      <w:r w:rsidR="00F233AB" w:rsidRPr="00B02247">
        <w:t>the</w:t>
      </w:r>
      <w:r w:rsidR="005B2A41">
        <w:t xml:space="preserve"> </w:t>
      </w:r>
      <w:r w:rsidR="00F233AB" w:rsidRPr="00B02247">
        <w:t>judiciary</w:t>
      </w:r>
      <w:r w:rsidR="005B2A41">
        <w:t xml:space="preserve"> </w:t>
      </w:r>
      <w:r w:rsidR="00F233AB" w:rsidRPr="00B02247">
        <w:t>and</w:t>
      </w:r>
      <w:r w:rsidR="005B2A41">
        <w:t xml:space="preserve"> </w:t>
      </w:r>
      <w:r w:rsidR="00F233AB" w:rsidRPr="00B02247">
        <w:t>the</w:t>
      </w:r>
      <w:r w:rsidR="005B2A41">
        <w:t xml:space="preserve"> </w:t>
      </w:r>
      <w:r w:rsidR="00F233AB" w:rsidRPr="00B02247">
        <w:t>individuals</w:t>
      </w:r>
      <w:r w:rsidR="003E731F">
        <w:t>’</w:t>
      </w:r>
      <w:r w:rsidR="005B2A41">
        <w:t xml:space="preserve"> </w:t>
      </w:r>
      <w:r w:rsidR="00F233AB" w:rsidRPr="00B02247">
        <w:t>right</w:t>
      </w:r>
      <w:r w:rsidR="005B2A41">
        <w:t xml:space="preserve"> </w:t>
      </w:r>
      <w:r w:rsidR="00F233AB" w:rsidRPr="00B02247">
        <w:t>of</w:t>
      </w:r>
      <w:r w:rsidR="005B2A41">
        <w:t xml:space="preserve"> </w:t>
      </w:r>
      <w:r w:rsidR="00F233AB" w:rsidRPr="00B02247">
        <w:t>access</w:t>
      </w:r>
      <w:r w:rsidR="005B2A41">
        <w:t xml:space="preserve"> </w:t>
      </w:r>
      <w:r w:rsidR="00F233AB" w:rsidRPr="00B02247">
        <w:t>to</w:t>
      </w:r>
      <w:r w:rsidR="005B2A41">
        <w:t xml:space="preserve"> </w:t>
      </w:r>
      <w:r w:rsidR="00F233AB" w:rsidRPr="00B02247">
        <w:t>the</w:t>
      </w:r>
      <w:r w:rsidR="005B2A41">
        <w:t xml:space="preserve"> </w:t>
      </w:r>
      <w:r w:rsidR="00F233AB" w:rsidRPr="00B02247">
        <w:t>courts</w:t>
      </w:r>
      <w:r w:rsidR="005B2A41">
        <w:t xml:space="preserve"> </w:t>
      </w:r>
      <w:r w:rsidR="00F233AB" w:rsidRPr="00B02247">
        <w:t>(Articles</w:t>
      </w:r>
      <w:r w:rsidR="005B2A41">
        <w:t xml:space="preserve"> </w:t>
      </w:r>
      <w:r w:rsidR="00F233AB" w:rsidRPr="00B02247">
        <w:t>20</w:t>
      </w:r>
      <w:r w:rsidR="005B2A41">
        <w:t xml:space="preserve"> </w:t>
      </w:r>
      <w:r w:rsidR="00F233AB" w:rsidRPr="00B02247">
        <w:t>(1),</w:t>
      </w:r>
      <w:r w:rsidR="005B2A41">
        <w:t xml:space="preserve"> </w:t>
      </w:r>
      <w:r w:rsidR="00F233AB" w:rsidRPr="00B02247">
        <w:t>26,</w:t>
      </w:r>
      <w:r w:rsidR="005B2A41">
        <w:t xml:space="preserve"> </w:t>
      </w:r>
      <w:r w:rsidR="00F233AB" w:rsidRPr="00B02247">
        <w:t>87</w:t>
      </w:r>
      <w:r w:rsidR="003A7592">
        <w:t>–</w:t>
      </w:r>
      <w:r w:rsidR="00F233AB" w:rsidRPr="00B02247">
        <w:t>100);</w:t>
      </w:r>
    </w:p>
    <w:p w:rsidR="00F233AB" w:rsidRPr="00B02247" w:rsidRDefault="00141072" w:rsidP="00E1307D">
      <w:pPr>
        <w:pStyle w:val="SingleTxtG"/>
      </w:pPr>
      <w:r>
        <w:tab/>
      </w:r>
      <w:r w:rsidR="00F233AB" w:rsidRPr="00B02247">
        <w:tab/>
        <w:t>(e)</w:t>
      </w:r>
      <w:r w:rsidR="00F233AB" w:rsidRPr="00B02247">
        <w:tab/>
        <w:t>The</w:t>
      </w:r>
      <w:r w:rsidR="005B2A41">
        <w:t xml:space="preserve"> </w:t>
      </w:r>
      <w:r w:rsidR="00F233AB" w:rsidRPr="00B02247">
        <w:t>principle</w:t>
      </w:r>
      <w:r w:rsidR="005B2A41">
        <w:t xml:space="preserve"> </w:t>
      </w:r>
      <w:r w:rsidR="00F233AB" w:rsidRPr="00B02247">
        <w:t>of</w:t>
      </w:r>
      <w:r w:rsidR="005B2A41">
        <w:t xml:space="preserve"> </w:t>
      </w:r>
      <w:r w:rsidR="00F233AB" w:rsidRPr="00B02247">
        <w:t>the</w:t>
      </w:r>
      <w:r w:rsidR="005B2A41">
        <w:t xml:space="preserve"> </w:t>
      </w:r>
      <w:r w:rsidR="00F233AB" w:rsidRPr="00B02247">
        <w:t>welfare</w:t>
      </w:r>
      <w:r w:rsidR="005B2A41">
        <w:t xml:space="preserve"> </w:t>
      </w:r>
      <w:r w:rsidR="00F233AB" w:rsidRPr="00B02247">
        <w:t>State.</w:t>
      </w:r>
      <w:r w:rsidR="005B2A41">
        <w:t xml:space="preserve"> </w:t>
      </w:r>
      <w:r w:rsidR="00F233AB" w:rsidRPr="00B02247">
        <w:t>Article</w:t>
      </w:r>
      <w:r w:rsidR="005B2A41">
        <w:t xml:space="preserve"> </w:t>
      </w:r>
      <w:r w:rsidR="00F233AB" w:rsidRPr="00B02247">
        <w:t>25</w:t>
      </w:r>
      <w:r w:rsidR="005B2A41">
        <w:t xml:space="preserve"> </w:t>
      </w:r>
      <w:r w:rsidR="00F233AB" w:rsidRPr="00B02247">
        <w:t>(1)</w:t>
      </w:r>
      <w:r w:rsidR="005B2A41">
        <w:t xml:space="preserve"> </w:t>
      </w:r>
      <w:r w:rsidR="00F233AB" w:rsidRPr="00B02247">
        <w:t>of</w:t>
      </w:r>
      <w:r w:rsidR="005B2A41">
        <w:t xml:space="preserve"> </w:t>
      </w:r>
      <w:r w:rsidR="00F233AB" w:rsidRPr="00B02247">
        <w:t>the</w:t>
      </w:r>
      <w:r w:rsidR="005B2A41">
        <w:t xml:space="preserve"> </w:t>
      </w:r>
      <w:r w:rsidR="00F233AB" w:rsidRPr="00B02247">
        <w:t>Constitution</w:t>
      </w:r>
      <w:r w:rsidR="005B2A41">
        <w:t xml:space="preserve"> </w:t>
      </w:r>
      <w:r w:rsidR="00F233AB" w:rsidRPr="00B02247">
        <w:t>establishes,</w:t>
      </w:r>
      <w:r w:rsidR="005B2A41">
        <w:t xml:space="preserve"> </w:t>
      </w:r>
      <w:r w:rsidR="00F233AB" w:rsidRPr="00B02247">
        <w:t>expressis</w:t>
      </w:r>
      <w:r w:rsidR="005B2A41">
        <w:t xml:space="preserve"> </w:t>
      </w:r>
      <w:r w:rsidR="00F233AB" w:rsidRPr="00B02247">
        <w:t>verbis,</w:t>
      </w:r>
      <w:r w:rsidR="005B2A41">
        <w:t xml:space="preserve"> </w:t>
      </w:r>
      <w:r w:rsidR="00F233AB" w:rsidRPr="00B02247">
        <w:t>the</w:t>
      </w:r>
      <w:r w:rsidR="005B2A41">
        <w:t xml:space="preserve"> </w:t>
      </w:r>
      <w:r w:rsidR="00F233AB" w:rsidRPr="00B02247">
        <w:t>principle</w:t>
      </w:r>
      <w:r w:rsidR="005B2A41">
        <w:t xml:space="preserve"> </w:t>
      </w:r>
      <w:r w:rsidR="00F233AB" w:rsidRPr="00B02247">
        <w:t>of</w:t>
      </w:r>
      <w:r w:rsidR="005B2A41">
        <w:t xml:space="preserve"> </w:t>
      </w:r>
      <w:r w:rsidR="00F233AB" w:rsidRPr="00B02247">
        <w:t>the</w:t>
      </w:r>
      <w:r w:rsidR="005B2A41">
        <w:t xml:space="preserve"> </w:t>
      </w:r>
      <w:r w:rsidR="003E731F">
        <w:t>“</w:t>
      </w:r>
      <w:r w:rsidR="00F233AB" w:rsidRPr="00B02247">
        <w:t>welfare</w:t>
      </w:r>
      <w:r w:rsidR="005B2A41">
        <w:t xml:space="preserve"> </w:t>
      </w:r>
      <w:r w:rsidR="00F233AB" w:rsidRPr="00B02247">
        <w:t>State</w:t>
      </w:r>
      <w:r w:rsidR="005B2A41">
        <w:t xml:space="preserve"> </w:t>
      </w:r>
      <w:r w:rsidR="00F233AB" w:rsidRPr="00B02247">
        <w:t>under</w:t>
      </w:r>
      <w:r w:rsidR="005B2A41">
        <w:t xml:space="preserve"> </w:t>
      </w:r>
      <w:r w:rsidR="00F233AB" w:rsidRPr="00B02247">
        <w:t>the</w:t>
      </w:r>
      <w:r w:rsidR="005B2A41">
        <w:t xml:space="preserve"> </w:t>
      </w:r>
      <w:r w:rsidR="00F233AB" w:rsidRPr="00B02247">
        <w:t>rule</w:t>
      </w:r>
      <w:r w:rsidR="005B2A41">
        <w:t xml:space="preserve"> </w:t>
      </w:r>
      <w:r w:rsidR="00F233AB" w:rsidRPr="00B02247">
        <w:t>of</w:t>
      </w:r>
      <w:r w:rsidR="005B2A41">
        <w:t xml:space="preserve"> </w:t>
      </w:r>
      <w:r w:rsidR="00F233AB" w:rsidRPr="00B02247">
        <w:t>law</w:t>
      </w:r>
      <w:r w:rsidR="003E731F">
        <w:t>”</w:t>
      </w:r>
      <w:r w:rsidR="00F233AB" w:rsidRPr="00B02247">
        <w:t>.</w:t>
      </w:r>
      <w:r w:rsidR="005B2A41">
        <w:t xml:space="preserve"> </w:t>
      </w:r>
      <w:r w:rsidR="00F233AB" w:rsidRPr="00B02247">
        <w:t>The</w:t>
      </w:r>
      <w:r w:rsidR="005B2A41">
        <w:t xml:space="preserve"> </w:t>
      </w:r>
      <w:r w:rsidR="00F233AB" w:rsidRPr="00B02247">
        <w:t>Constitution</w:t>
      </w:r>
      <w:r w:rsidR="005B2A41">
        <w:t xml:space="preserve"> </w:t>
      </w:r>
      <w:r w:rsidR="00F233AB" w:rsidRPr="00B02247">
        <w:t>safeguards</w:t>
      </w:r>
      <w:r w:rsidR="005B2A41">
        <w:t xml:space="preserve"> </w:t>
      </w:r>
      <w:r w:rsidR="00F233AB" w:rsidRPr="00B02247">
        <w:t>a</w:t>
      </w:r>
      <w:r w:rsidR="005B2A41">
        <w:t xml:space="preserve"> </w:t>
      </w:r>
      <w:r w:rsidR="00F233AB" w:rsidRPr="00B02247">
        <w:t>series</w:t>
      </w:r>
      <w:r w:rsidR="005B2A41">
        <w:t xml:space="preserve"> </w:t>
      </w:r>
      <w:r w:rsidR="00F233AB" w:rsidRPr="00B02247">
        <w:t>of</w:t>
      </w:r>
      <w:r w:rsidR="005B2A41">
        <w:t xml:space="preserve"> </w:t>
      </w:r>
      <w:r w:rsidR="00F233AB" w:rsidRPr="00B02247">
        <w:t>social</w:t>
      </w:r>
      <w:r w:rsidR="005B2A41">
        <w:t xml:space="preserve"> </w:t>
      </w:r>
      <w:r w:rsidR="00F233AB" w:rsidRPr="00B02247">
        <w:t>rights</w:t>
      </w:r>
      <w:r w:rsidR="005B2A41">
        <w:t xml:space="preserve"> </w:t>
      </w:r>
      <w:r w:rsidR="00F233AB" w:rsidRPr="00B02247">
        <w:t>(see</w:t>
      </w:r>
      <w:r w:rsidR="005B2A41">
        <w:t xml:space="preserve"> </w:t>
      </w:r>
      <w:r w:rsidR="00F233AB" w:rsidRPr="00B02247">
        <w:t>infra).</w:t>
      </w:r>
      <w:r w:rsidR="005B2A41">
        <w:t xml:space="preserve"> </w:t>
      </w:r>
      <w:r w:rsidR="00F233AB" w:rsidRPr="00B02247">
        <w:t>It</w:t>
      </w:r>
      <w:r w:rsidR="005B2A41">
        <w:t xml:space="preserve"> </w:t>
      </w:r>
      <w:r w:rsidR="00F233AB" w:rsidRPr="00B02247">
        <w:t>prohibits</w:t>
      </w:r>
      <w:r w:rsidR="005B2A41">
        <w:t xml:space="preserve"> </w:t>
      </w:r>
      <w:r w:rsidR="00F233AB" w:rsidRPr="00B02247">
        <w:t>the</w:t>
      </w:r>
      <w:r w:rsidR="005B2A41">
        <w:t xml:space="preserve"> </w:t>
      </w:r>
      <w:r w:rsidR="00F233AB" w:rsidRPr="00B02247">
        <w:t>abusive</w:t>
      </w:r>
      <w:r w:rsidR="005B2A41">
        <w:t xml:space="preserve"> </w:t>
      </w:r>
      <w:r w:rsidR="00F233AB" w:rsidRPr="00B02247">
        <w:t>exercise</w:t>
      </w:r>
      <w:r w:rsidR="005B2A41">
        <w:t xml:space="preserve"> </w:t>
      </w:r>
      <w:r w:rsidR="00F233AB" w:rsidRPr="00B02247">
        <w:t>of</w:t>
      </w:r>
      <w:r w:rsidR="005B2A41">
        <w:t xml:space="preserve"> </w:t>
      </w:r>
      <w:r w:rsidR="00F233AB" w:rsidRPr="00B02247">
        <w:t>rights</w:t>
      </w:r>
      <w:r w:rsidR="005B2A41">
        <w:t xml:space="preserve"> </w:t>
      </w:r>
      <w:r w:rsidR="00F233AB" w:rsidRPr="00B02247">
        <w:t>(Article</w:t>
      </w:r>
      <w:r w:rsidR="005B2A41">
        <w:t xml:space="preserve"> </w:t>
      </w:r>
      <w:r w:rsidR="00F233AB" w:rsidRPr="00B02247">
        <w:t>25</w:t>
      </w:r>
      <w:r w:rsidR="005B2A41">
        <w:t xml:space="preserve"> </w:t>
      </w:r>
      <w:r w:rsidR="00F233AB" w:rsidRPr="00B02247">
        <w:t>(3))</w:t>
      </w:r>
      <w:r w:rsidR="005B2A41">
        <w:t xml:space="preserve"> </w:t>
      </w:r>
      <w:r w:rsidR="00F233AB" w:rsidRPr="00B02247">
        <w:t>and</w:t>
      </w:r>
      <w:r w:rsidR="005B2A41">
        <w:t xml:space="preserve"> </w:t>
      </w:r>
      <w:r w:rsidR="00F233AB" w:rsidRPr="00B02247">
        <w:t>provides</w:t>
      </w:r>
      <w:r w:rsidR="005B2A41">
        <w:t xml:space="preserve"> </w:t>
      </w:r>
      <w:r w:rsidR="00F233AB" w:rsidRPr="00B02247">
        <w:t>that</w:t>
      </w:r>
      <w:r w:rsidR="005B2A41">
        <w:t xml:space="preserve"> </w:t>
      </w:r>
      <w:r w:rsidR="003E731F">
        <w:t>“</w:t>
      </w:r>
      <w:r w:rsidR="00F233AB" w:rsidRPr="00B02247">
        <w:t>The</w:t>
      </w:r>
      <w:r w:rsidR="005B2A41">
        <w:t xml:space="preserve"> </w:t>
      </w:r>
      <w:r w:rsidR="00F233AB" w:rsidRPr="00B02247">
        <w:t>State</w:t>
      </w:r>
      <w:r w:rsidR="005B2A41">
        <w:t xml:space="preserve"> </w:t>
      </w:r>
      <w:r w:rsidR="00F233AB" w:rsidRPr="00B02247">
        <w:t>has</w:t>
      </w:r>
      <w:r w:rsidR="005B2A41">
        <w:t xml:space="preserve"> </w:t>
      </w:r>
      <w:r w:rsidR="00F233AB" w:rsidRPr="00B02247">
        <w:t>the</w:t>
      </w:r>
      <w:r w:rsidR="005B2A41">
        <w:t xml:space="preserve"> </w:t>
      </w:r>
      <w:r w:rsidR="00F233AB" w:rsidRPr="00B02247">
        <w:t>right</w:t>
      </w:r>
      <w:r w:rsidR="005B2A41">
        <w:t xml:space="preserve"> </w:t>
      </w:r>
      <w:r w:rsidR="00F233AB" w:rsidRPr="00B02247">
        <w:t>to</w:t>
      </w:r>
      <w:r w:rsidR="005B2A41">
        <w:t xml:space="preserve"> </w:t>
      </w:r>
      <w:r w:rsidR="00F233AB" w:rsidRPr="00B02247">
        <w:t>claim</w:t>
      </w:r>
      <w:r w:rsidR="005B2A41">
        <w:t xml:space="preserve"> </w:t>
      </w:r>
      <w:r w:rsidR="00F233AB" w:rsidRPr="00B02247">
        <w:t>of</w:t>
      </w:r>
      <w:r w:rsidR="005B2A41">
        <w:t xml:space="preserve"> </w:t>
      </w:r>
      <w:r w:rsidR="00F233AB" w:rsidRPr="00B02247">
        <w:t>all</w:t>
      </w:r>
      <w:r w:rsidR="005B2A41">
        <w:t xml:space="preserve"> </w:t>
      </w:r>
      <w:r w:rsidR="00F233AB" w:rsidRPr="00B02247">
        <w:t>citizens</w:t>
      </w:r>
      <w:r w:rsidR="005B2A41">
        <w:t xml:space="preserve"> </w:t>
      </w:r>
      <w:r w:rsidR="00F233AB" w:rsidRPr="00B02247">
        <w:t>to</w:t>
      </w:r>
      <w:r w:rsidR="005B2A41">
        <w:t xml:space="preserve"> </w:t>
      </w:r>
      <w:r w:rsidR="00F233AB" w:rsidRPr="00B02247">
        <w:t>fulfil</w:t>
      </w:r>
      <w:r w:rsidR="005B2A41">
        <w:t xml:space="preserve"> </w:t>
      </w:r>
      <w:r w:rsidR="00F233AB" w:rsidRPr="00B02247">
        <w:t>the</w:t>
      </w:r>
      <w:r w:rsidR="005B2A41">
        <w:t xml:space="preserve"> </w:t>
      </w:r>
      <w:r w:rsidR="00F233AB" w:rsidRPr="00B02247">
        <w:t>duty</w:t>
      </w:r>
      <w:r w:rsidR="005B2A41">
        <w:t xml:space="preserve"> </w:t>
      </w:r>
      <w:r w:rsidR="00F233AB" w:rsidRPr="00B02247">
        <w:t>of</w:t>
      </w:r>
      <w:r w:rsidR="005B2A41">
        <w:t xml:space="preserve"> </w:t>
      </w:r>
      <w:r w:rsidR="00F233AB" w:rsidRPr="00B02247">
        <w:t>social</w:t>
      </w:r>
      <w:r w:rsidR="005B2A41">
        <w:t xml:space="preserve"> </w:t>
      </w:r>
      <w:r w:rsidR="00F233AB" w:rsidRPr="00B02247">
        <w:t>and</w:t>
      </w:r>
      <w:r w:rsidR="005B2A41">
        <w:t xml:space="preserve"> </w:t>
      </w:r>
      <w:r w:rsidR="00F233AB" w:rsidRPr="00B02247">
        <w:t>national</w:t>
      </w:r>
      <w:r w:rsidR="005B2A41">
        <w:t xml:space="preserve"> </w:t>
      </w:r>
      <w:r w:rsidR="00F233AB" w:rsidRPr="00B02247">
        <w:t>solidarity</w:t>
      </w:r>
      <w:r w:rsidR="003E731F">
        <w:t>”</w:t>
      </w:r>
      <w:r w:rsidR="005B2A41">
        <w:t xml:space="preserve"> </w:t>
      </w:r>
      <w:r w:rsidR="00F233AB" w:rsidRPr="00B02247">
        <w:t>(Article</w:t>
      </w:r>
      <w:r w:rsidR="005B2A41">
        <w:t xml:space="preserve"> </w:t>
      </w:r>
      <w:r w:rsidR="00F233AB" w:rsidRPr="00B02247">
        <w:t>25</w:t>
      </w:r>
      <w:r w:rsidR="005B2A41">
        <w:t xml:space="preserve"> </w:t>
      </w:r>
      <w:r w:rsidR="00F233AB" w:rsidRPr="00B02247">
        <w:t>(4)).</w:t>
      </w:r>
      <w:r w:rsidR="005B2A41">
        <w:t xml:space="preserve"> </w:t>
      </w:r>
      <w:r w:rsidR="00F233AB" w:rsidRPr="00B02247">
        <w:t>It</w:t>
      </w:r>
      <w:r w:rsidR="005B2A41">
        <w:t xml:space="preserve"> </w:t>
      </w:r>
      <w:r w:rsidR="00F233AB" w:rsidRPr="00B02247">
        <w:t>also</w:t>
      </w:r>
      <w:r w:rsidR="005B2A41">
        <w:t xml:space="preserve"> </w:t>
      </w:r>
      <w:r w:rsidR="00F233AB" w:rsidRPr="00B02247">
        <w:t>provides</w:t>
      </w:r>
      <w:r w:rsidR="005B2A41">
        <w:t xml:space="preserve"> </w:t>
      </w:r>
      <w:r w:rsidR="00F233AB" w:rsidRPr="00B02247">
        <w:t>for</w:t>
      </w:r>
      <w:r w:rsidR="005B2A41">
        <w:t xml:space="preserve"> </w:t>
      </w:r>
      <w:r w:rsidR="00F233AB" w:rsidRPr="00B02247">
        <w:t>social</w:t>
      </w:r>
      <w:r w:rsidR="005B2A41">
        <w:t xml:space="preserve"> </w:t>
      </w:r>
      <w:r w:rsidR="00F233AB" w:rsidRPr="00B02247">
        <w:t>restrictions</w:t>
      </w:r>
      <w:r w:rsidR="005B2A41">
        <w:t xml:space="preserve"> </w:t>
      </w:r>
      <w:r w:rsidR="00F233AB" w:rsidRPr="00B02247">
        <w:t>to</w:t>
      </w:r>
      <w:r w:rsidR="005B2A41">
        <w:t xml:space="preserve"> </w:t>
      </w:r>
      <w:r w:rsidR="00F233AB" w:rsidRPr="00B02247">
        <w:t>the</w:t>
      </w:r>
      <w:r w:rsidR="005B2A41">
        <w:t xml:space="preserve"> </w:t>
      </w:r>
      <w:r w:rsidR="00F233AB" w:rsidRPr="00B02247">
        <w:t>exercise</w:t>
      </w:r>
      <w:r w:rsidR="005B2A41">
        <w:t xml:space="preserve"> </w:t>
      </w:r>
      <w:r w:rsidR="00F233AB" w:rsidRPr="00B02247">
        <w:t>of</w:t>
      </w:r>
      <w:r w:rsidR="005B2A41">
        <w:t xml:space="preserve"> </w:t>
      </w:r>
      <w:r w:rsidR="00F233AB" w:rsidRPr="00B02247">
        <w:t>civil</w:t>
      </w:r>
      <w:r w:rsidR="005B2A41">
        <w:t xml:space="preserve"> </w:t>
      </w:r>
      <w:r w:rsidR="00F233AB" w:rsidRPr="00B02247">
        <w:t>rights,</w:t>
      </w:r>
      <w:r w:rsidR="005B2A41">
        <w:t xml:space="preserve"> </w:t>
      </w:r>
      <w:r w:rsidR="00F233AB" w:rsidRPr="00B02247">
        <w:t>(Articles</w:t>
      </w:r>
      <w:r w:rsidR="005B2A41">
        <w:t xml:space="preserve"> </w:t>
      </w:r>
      <w:r w:rsidR="00F233AB" w:rsidRPr="00B02247">
        <w:t>17</w:t>
      </w:r>
      <w:r w:rsidR="005B2A41">
        <w:t xml:space="preserve"> </w:t>
      </w:r>
      <w:r w:rsidR="00F233AB" w:rsidRPr="00B02247">
        <w:t>(1),</w:t>
      </w:r>
      <w:r w:rsidR="005B2A41">
        <w:t xml:space="preserve"> </w:t>
      </w:r>
      <w:r w:rsidR="00F233AB" w:rsidRPr="00B02247">
        <w:t>106</w:t>
      </w:r>
      <w:r w:rsidR="005B2A41">
        <w:t xml:space="preserve"> </w:t>
      </w:r>
      <w:r w:rsidR="00F233AB" w:rsidRPr="00B02247">
        <w:t>(3)).</w:t>
      </w:r>
      <w:r w:rsidR="005B2A41">
        <w:t xml:space="preserve"> </w:t>
      </w:r>
    </w:p>
    <w:p w:rsidR="00F233AB" w:rsidRPr="00B02247" w:rsidRDefault="00F233AB" w:rsidP="00E1307D">
      <w:pPr>
        <w:pStyle w:val="SingleTxtG"/>
      </w:pPr>
      <w:r w:rsidRPr="00B02247">
        <w:t>11.</w:t>
      </w:r>
      <w:r w:rsidRPr="00B02247">
        <w:tab/>
        <w:t>According</w:t>
      </w:r>
      <w:r w:rsidR="005B2A41">
        <w:t xml:space="preserve"> </w:t>
      </w:r>
      <w:r w:rsidRPr="00B02247">
        <w:t>to</w:t>
      </w:r>
      <w:r w:rsidR="005B2A41">
        <w:t xml:space="preserve"> </w:t>
      </w:r>
      <w:r w:rsidRPr="00B02247">
        <w:t>the</w:t>
      </w:r>
      <w:r w:rsidR="005B2A41">
        <w:t xml:space="preserve"> </w:t>
      </w:r>
      <w:r w:rsidRPr="00B02247">
        <w:t>Constitution,</w:t>
      </w:r>
      <w:r w:rsidR="005B2A41">
        <w:t xml:space="preserve"> </w:t>
      </w:r>
      <w:r w:rsidRPr="00B02247">
        <w:t>the</w:t>
      </w:r>
      <w:r w:rsidR="005B2A41">
        <w:t xml:space="preserve"> </w:t>
      </w:r>
      <w:r w:rsidRPr="00B02247">
        <w:t>legislative</w:t>
      </w:r>
      <w:r w:rsidR="005B2A41">
        <w:t xml:space="preserve"> </w:t>
      </w:r>
      <w:r w:rsidRPr="00B02247">
        <w:t>power</w:t>
      </w:r>
      <w:r w:rsidR="005B2A41">
        <w:t xml:space="preserve"> </w:t>
      </w:r>
      <w:r w:rsidRPr="00B02247">
        <w:t>is</w:t>
      </w:r>
      <w:r w:rsidR="005B2A41">
        <w:t xml:space="preserve"> </w:t>
      </w:r>
      <w:r w:rsidRPr="00B02247">
        <w:t>exercised</w:t>
      </w:r>
      <w:r w:rsidR="005B2A41">
        <w:t xml:space="preserve"> </w:t>
      </w:r>
      <w:r w:rsidRPr="00B02247">
        <w:t>by</w:t>
      </w:r>
      <w:r w:rsidR="005B2A41">
        <w:t xml:space="preserve"> </w:t>
      </w:r>
      <w:r w:rsidRPr="00B02247">
        <w:t>the</w:t>
      </w:r>
      <w:r w:rsidR="005B2A41">
        <w:t xml:space="preserve"> </w:t>
      </w:r>
      <w:r w:rsidRPr="00B02247">
        <w:t>Parliament</w:t>
      </w:r>
      <w:r w:rsidR="005B2A41">
        <w:t xml:space="preserve"> </w:t>
      </w:r>
      <w:r w:rsidRPr="00B02247">
        <w:t>and</w:t>
      </w:r>
      <w:r w:rsidR="005B2A41">
        <w:t xml:space="preserve"> </w:t>
      </w:r>
      <w:r w:rsidRPr="00B02247">
        <w:t>the</w:t>
      </w:r>
      <w:r w:rsidR="005B2A41">
        <w:t xml:space="preserve"> </w:t>
      </w:r>
      <w:r w:rsidRPr="00B02247">
        <w:t>President</w:t>
      </w:r>
      <w:r w:rsidR="005B2A41">
        <w:t xml:space="preserve"> </w:t>
      </w:r>
      <w:r w:rsidRPr="00B02247">
        <w:t>of</w:t>
      </w:r>
      <w:r w:rsidR="005B2A41">
        <w:t xml:space="preserve"> </w:t>
      </w:r>
      <w:r w:rsidRPr="00B02247">
        <w:t>the</w:t>
      </w:r>
      <w:r w:rsidR="005B2A41">
        <w:t xml:space="preserve"> </w:t>
      </w:r>
      <w:r w:rsidRPr="00B02247">
        <w:t>Republic</w:t>
      </w:r>
      <w:r w:rsidR="005B2A41">
        <w:t xml:space="preserve"> </w:t>
      </w:r>
      <w:r w:rsidRPr="00B02247">
        <w:t>(Article</w:t>
      </w:r>
      <w:r w:rsidR="005B2A41">
        <w:t xml:space="preserve"> </w:t>
      </w:r>
      <w:r w:rsidRPr="00B02247">
        <w:t>26</w:t>
      </w:r>
      <w:r w:rsidR="005B2A41">
        <w:t xml:space="preserve"> </w:t>
      </w:r>
      <w:r w:rsidRPr="00B02247">
        <w:t>(1)).</w:t>
      </w:r>
      <w:r w:rsidR="005B2A41">
        <w:t xml:space="preserve"> </w:t>
      </w:r>
      <w:r w:rsidRPr="00B02247">
        <w:t>The</w:t>
      </w:r>
      <w:r w:rsidR="005B2A41">
        <w:t xml:space="preserve"> </w:t>
      </w:r>
      <w:r w:rsidRPr="00B02247">
        <w:t>Parliament</w:t>
      </w:r>
      <w:r w:rsidR="005B2A41">
        <w:t xml:space="preserve"> </w:t>
      </w:r>
      <w:r w:rsidRPr="00B02247">
        <w:t>is</w:t>
      </w:r>
      <w:r w:rsidR="005B2A41">
        <w:t xml:space="preserve"> </w:t>
      </w:r>
      <w:r w:rsidRPr="00B02247">
        <w:t>entrusted</w:t>
      </w:r>
      <w:r w:rsidR="005B2A41">
        <w:t xml:space="preserve"> </w:t>
      </w:r>
      <w:r w:rsidRPr="00B02247">
        <w:t>with</w:t>
      </w:r>
      <w:r w:rsidR="005B2A41">
        <w:t xml:space="preserve"> </w:t>
      </w:r>
      <w:r w:rsidRPr="00B02247">
        <w:t>general</w:t>
      </w:r>
      <w:r w:rsidR="005B2A41">
        <w:t xml:space="preserve"> </w:t>
      </w:r>
      <w:r w:rsidRPr="00B02247">
        <w:t>legislative</w:t>
      </w:r>
      <w:r w:rsidR="005B2A41">
        <w:t xml:space="preserve"> </w:t>
      </w:r>
      <w:r w:rsidRPr="00B02247">
        <w:t>powers.</w:t>
      </w:r>
      <w:r w:rsidR="005B2A41">
        <w:t xml:space="preserve"> </w:t>
      </w:r>
      <w:r w:rsidRPr="00B02247">
        <w:t>The</w:t>
      </w:r>
      <w:r w:rsidR="005B2A41">
        <w:t xml:space="preserve"> </w:t>
      </w:r>
      <w:r w:rsidRPr="00B02247">
        <w:t>relevant</w:t>
      </w:r>
      <w:r w:rsidR="005B2A41">
        <w:t xml:space="preserve"> </w:t>
      </w:r>
      <w:r w:rsidRPr="00B02247">
        <w:t>powers</w:t>
      </w:r>
      <w:r w:rsidR="005B2A41">
        <w:t xml:space="preserve"> </w:t>
      </w:r>
      <w:r w:rsidRPr="00B02247">
        <w:t>of</w:t>
      </w:r>
      <w:r w:rsidR="005B2A41">
        <w:t xml:space="preserve"> </w:t>
      </w:r>
      <w:r w:rsidRPr="00B02247">
        <w:t>the</w:t>
      </w:r>
      <w:r w:rsidR="005B2A41">
        <w:t xml:space="preserve"> </w:t>
      </w:r>
      <w:r w:rsidRPr="00B02247">
        <w:t>President</w:t>
      </w:r>
      <w:r w:rsidR="005B2A41">
        <w:t xml:space="preserve"> </w:t>
      </w:r>
      <w:r w:rsidRPr="00B02247">
        <w:t>of</w:t>
      </w:r>
      <w:r w:rsidR="005B2A41">
        <w:t xml:space="preserve"> </w:t>
      </w:r>
      <w:r w:rsidRPr="00B02247">
        <w:t>the</w:t>
      </w:r>
      <w:r w:rsidR="005B2A41">
        <w:t xml:space="preserve"> </w:t>
      </w:r>
      <w:r w:rsidRPr="00B02247">
        <w:t>Republic</w:t>
      </w:r>
      <w:r w:rsidR="005B2A41">
        <w:t xml:space="preserve"> </w:t>
      </w:r>
      <w:r w:rsidRPr="00B02247">
        <w:t>are</w:t>
      </w:r>
      <w:r w:rsidR="005B2A41">
        <w:t xml:space="preserve"> </w:t>
      </w:r>
      <w:r w:rsidRPr="00B02247">
        <w:t>confined</w:t>
      </w:r>
      <w:r w:rsidR="005B2A41">
        <w:t xml:space="preserve"> </w:t>
      </w:r>
      <w:r w:rsidRPr="00B02247">
        <w:t>to</w:t>
      </w:r>
      <w:r w:rsidR="005B2A41">
        <w:t xml:space="preserve"> </w:t>
      </w:r>
      <w:r w:rsidRPr="00B02247">
        <w:t>promulgating</w:t>
      </w:r>
      <w:r w:rsidR="005B2A41">
        <w:t xml:space="preserve"> </w:t>
      </w:r>
      <w:r w:rsidRPr="00B02247">
        <w:t>and</w:t>
      </w:r>
      <w:r w:rsidR="005B2A41">
        <w:t xml:space="preserve"> </w:t>
      </w:r>
      <w:r w:rsidRPr="00B02247">
        <w:t>publishing</w:t>
      </w:r>
      <w:r w:rsidR="005B2A41">
        <w:t xml:space="preserve"> </w:t>
      </w:r>
      <w:r w:rsidRPr="00B02247">
        <w:t>the</w:t>
      </w:r>
      <w:r w:rsidR="005B2A41">
        <w:t xml:space="preserve"> </w:t>
      </w:r>
      <w:r w:rsidRPr="00B02247">
        <w:t>acts</w:t>
      </w:r>
      <w:r w:rsidR="005B2A41">
        <w:t xml:space="preserve"> </w:t>
      </w:r>
      <w:r w:rsidRPr="00B02247">
        <w:t>of</w:t>
      </w:r>
      <w:r w:rsidR="005B2A41">
        <w:t xml:space="preserve"> </w:t>
      </w:r>
      <w:r w:rsidRPr="00B02247">
        <w:t>the</w:t>
      </w:r>
      <w:r w:rsidR="005B2A41">
        <w:t xml:space="preserve"> </w:t>
      </w:r>
      <w:r w:rsidRPr="00B02247">
        <w:t>Parliament.</w:t>
      </w:r>
      <w:r w:rsidR="005B2A41">
        <w:t xml:space="preserve"> </w:t>
      </w:r>
      <w:r w:rsidRPr="00B02247">
        <w:t>The</w:t>
      </w:r>
      <w:r w:rsidR="005B2A41">
        <w:t xml:space="preserve"> </w:t>
      </w:r>
      <w:r w:rsidRPr="00B02247">
        <w:t>Parliament</w:t>
      </w:r>
      <w:r w:rsidR="005B2A41">
        <w:t xml:space="preserve"> </w:t>
      </w:r>
      <w:r w:rsidRPr="00B02247">
        <w:t>is</w:t>
      </w:r>
      <w:r w:rsidR="005B2A41">
        <w:t xml:space="preserve"> </w:t>
      </w:r>
      <w:r w:rsidRPr="00B02247">
        <w:t>unicameral</w:t>
      </w:r>
      <w:r w:rsidR="005B2A41">
        <w:t xml:space="preserve"> </w:t>
      </w:r>
      <w:r w:rsidRPr="00B02247">
        <w:t>and</w:t>
      </w:r>
      <w:r w:rsidR="005B2A41">
        <w:t xml:space="preserve"> </w:t>
      </w:r>
      <w:r w:rsidRPr="00B02247">
        <w:t>consists,</w:t>
      </w:r>
      <w:r w:rsidR="005B2A41">
        <w:t xml:space="preserve"> </w:t>
      </w:r>
      <w:r w:rsidRPr="00B02247">
        <w:t>according</w:t>
      </w:r>
      <w:r w:rsidR="005B2A41">
        <w:t xml:space="preserve"> </w:t>
      </w:r>
      <w:r w:rsidRPr="00B02247">
        <w:t>to</w:t>
      </w:r>
      <w:r w:rsidR="005B2A41">
        <w:t xml:space="preserve"> </w:t>
      </w:r>
      <w:r w:rsidRPr="00B02247">
        <w:t>the</w:t>
      </w:r>
      <w:r w:rsidR="005B2A41">
        <w:t xml:space="preserve"> </w:t>
      </w:r>
      <w:r w:rsidRPr="00B02247">
        <w:t>electoral</w:t>
      </w:r>
      <w:r w:rsidR="005B2A41">
        <w:t xml:space="preserve"> </w:t>
      </w:r>
      <w:r w:rsidRPr="00B02247">
        <w:t>law</w:t>
      </w:r>
      <w:r w:rsidR="005B2A41">
        <w:t xml:space="preserve"> </w:t>
      </w:r>
      <w:r w:rsidRPr="00B02247">
        <w:t>in</w:t>
      </w:r>
      <w:r w:rsidR="005B2A41">
        <w:t xml:space="preserve"> </w:t>
      </w:r>
      <w:r w:rsidRPr="00B02247">
        <w:t>force,</w:t>
      </w:r>
      <w:r w:rsidR="005B2A41">
        <w:t xml:space="preserve"> </w:t>
      </w:r>
      <w:r w:rsidRPr="00B02247">
        <w:t>of</w:t>
      </w:r>
      <w:r w:rsidR="005B2A41">
        <w:t xml:space="preserve"> </w:t>
      </w:r>
      <w:r w:rsidRPr="00B02247">
        <w:t>300</w:t>
      </w:r>
      <w:r w:rsidR="005B2A41">
        <w:t xml:space="preserve"> </w:t>
      </w:r>
      <w:r w:rsidRPr="00B02247">
        <w:t>members</w:t>
      </w:r>
      <w:r w:rsidR="005B2A41">
        <w:t xml:space="preserve"> </w:t>
      </w:r>
      <w:r w:rsidRPr="00B02247">
        <w:t>(deputies),</w:t>
      </w:r>
      <w:r w:rsidR="005B2A41">
        <w:t xml:space="preserve"> </w:t>
      </w:r>
      <w:r w:rsidRPr="00B02247">
        <w:t>elected</w:t>
      </w:r>
      <w:r w:rsidR="005B2A41">
        <w:t xml:space="preserve"> </w:t>
      </w:r>
      <w:r w:rsidRPr="00B02247">
        <w:t>for</w:t>
      </w:r>
      <w:r w:rsidR="005B2A41">
        <w:t xml:space="preserve"> </w:t>
      </w:r>
      <w:r w:rsidRPr="00B02247">
        <w:t>a</w:t>
      </w:r>
      <w:r w:rsidR="005B2A41">
        <w:t xml:space="preserve"> </w:t>
      </w:r>
      <w:r w:rsidRPr="00B02247">
        <w:t>term</w:t>
      </w:r>
      <w:r w:rsidR="005B2A41">
        <w:t xml:space="preserve"> </w:t>
      </w:r>
      <w:r w:rsidRPr="00B02247">
        <w:t>of</w:t>
      </w:r>
      <w:r w:rsidR="005B2A41">
        <w:t xml:space="preserve"> </w:t>
      </w:r>
      <w:r w:rsidRPr="00B02247">
        <w:t>four</w:t>
      </w:r>
      <w:r w:rsidR="005B2A41">
        <w:t xml:space="preserve"> </w:t>
      </w:r>
      <w:r w:rsidRPr="00B02247">
        <w:t>years</w:t>
      </w:r>
      <w:r w:rsidR="005B2A41">
        <w:t xml:space="preserve"> </w:t>
      </w:r>
      <w:r w:rsidRPr="00B02247">
        <w:t>through</w:t>
      </w:r>
      <w:r w:rsidR="005B2A41">
        <w:t xml:space="preserve"> </w:t>
      </w:r>
      <w:r w:rsidRPr="00B02247">
        <w:t>a</w:t>
      </w:r>
      <w:r w:rsidR="005B2A41">
        <w:t xml:space="preserve"> </w:t>
      </w:r>
      <w:r w:rsidRPr="00B02247">
        <w:t>direct</w:t>
      </w:r>
      <w:r w:rsidR="005B2A41">
        <w:t xml:space="preserve"> </w:t>
      </w:r>
      <w:r w:rsidRPr="00B02247">
        <w:t>and</w:t>
      </w:r>
      <w:r w:rsidR="005B2A41">
        <w:t xml:space="preserve"> </w:t>
      </w:r>
      <w:r w:rsidRPr="00B02247">
        <w:t>universal</w:t>
      </w:r>
      <w:r w:rsidR="005B2A41">
        <w:t xml:space="preserve"> </w:t>
      </w:r>
      <w:r w:rsidRPr="00B02247">
        <w:t>ballot</w:t>
      </w:r>
      <w:r w:rsidR="005B2A41">
        <w:t xml:space="preserve"> </w:t>
      </w:r>
      <w:r w:rsidRPr="00B02247">
        <w:t>(Article</w:t>
      </w:r>
      <w:r w:rsidR="005B2A41">
        <w:t xml:space="preserve"> </w:t>
      </w:r>
      <w:r w:rsidRPr="00B02247">
        <w:t>51</w:t>
      </w:r>
      <w:r w:rsidR="005B2A41">
        <w:t xml:space="preserve"> </w:t>
      </w:r>
      <w:r w:rsidRPr="00B02247">
        <w:t>(3)</w:t>
      </w:r>
      <w:r w:rsidR="005B2A41">
        <w:t xml:space="preserve"> </w:t>
      </w:r>
      <w:r w:rsidRPr="00B02247">
        <w:t>provides</w:t>
      </w:r>
      <w:r w:rsidR="005B2A41">
        <w:t xml:space="preserve"> </w:t>
      </w:r>
      <w:r w:rsidRPr="00B02247">
        <w:t>that</w:t>
      </w:r>
      <w:r w:rsidR="005B2A41">
        <w:t xml:space="preserve"> </w:t>
      </w:r>
      <w:r w:rsidRPr="00B02247">
        <w:t>the</w:t>
      </w:r>
      <w:r w:rsidR="005B2A41">
        <w:t xml:space="preserve"> </w:t>
      </w:r>
      <w:r w:rsidRPr="00B02247">
        <w:t>members</w:t>
      </w:r>
      <w:r w:rsidR="005B2A41">
        <w:t xml:space="preserve"> </w:t>
      </w:r>
      <w:r w:rsidRPr="00B02247">
        <w:t>of</w:t>
      </w:r>
      <w:r w:rsidR="005B2A41">
        <w:t xml:space="preserve"> </w:t>
      </w:r>
      <w:r w:rsidRPr="00B02247">
        <w:t>the</w:t>
      </w:r>
      <w:r w:rsidR="005B2A41">
        <w:t xml:space="preserve"> </w:t>
      </w:r>
      <w:r w:rsidRPr="00B02247">
        <w:t>Parliament</w:t>
      </w:r>
      <w:r w:rsidR="005B2A41">
        <w:t xml:space="preserve"> </w:t>
      </w:r>
      <w:r w:rsidRPr="00B02247">
        <w:t>cannot</w:t>
      </w:r>
      <w:r w:rsidR="005B2A41">
        <w:t xml:space="preserve"> </w:t>
      </w:r>
      <w:r w:rsidRPr="00B02247">
        <w:t>be</w:t>
      </w:r>
      <w:r w:rsidR="005B2A41">
        <w:t xml:space="preserve"> </w:t>
      </w:r>
      <w:r w:rsidRPr="00B02247">
        <w:t>below</w:t>
      </w:r>
      <w:r w:rsidR="005B2A41">
        <w:t xml:space="preserve"> </w:t>
      </w:r>
      <w:r w:rsidRPr="00B02247">
        <w:t>200</w:t>
      </w:r>
      <w:r w:rsidR="005B2A41">
        <w:t xml:space="preserve"> </w:t>
      </w:r>
      <w:r w:rsidRPr="00B02247">
        <w:t>or</w:t>
      </w:r>
      <w:r w:rsidR="005B2A41">
        <w:t xml:space="preserve"> </w:t>
      </w:r>
      <w:r w:rsidRPr="00B02247">
        <w:t>over</w:t>
      </w:r>
      <w:r w:rsidR="005B2A41">
        <w:t xml:space="preserve"> </w:t>
      </w:r>
      <w:r w:rsidRPr="00B02247">
        <w:t>300).</w:t>
      </w:r>
      <w:r w:rsidR="005B2A41">
        <w:t xml:space="preserve"> </w:t>
      </w:r>
    </w:p>
    <w:p w:rsidR="00F233AB" w:rsidRPr="00B02247" w:rsidRDefault="00F233AB" w:rsidP="00E1307D">
      <w:pPr>
        <w:pStyle w:val="SingleTxtG"/>
      </w:pPr>
      <w:r w:rsidRPr="00B02247">
        <w:t>12.</w:t>
      </w:r>
      <w:r w:rsidRPr="00B02247">
        <w:tab/>
        <w:t>The</w:t>
      </w:r>
      <w:r w:rsidR="005B2A41">
        <w:t xml:space="preserve"> </w:t>
      </w:r>
      <w:r w:rsidRPr="00B02247">
        <w:t>Greek</w:t>
      </w:r>
      <w:r w:rsidR="005B2A41">
        <w:t xml:space="preserve"> </w:t>
      </w:r>
      <w:r w:rsidRPr="00B02247">
        <w:t>electoral</w:t>
      </w:r>
      <w:r w:rsidR="005B2A41">
        <w:t xml:space="preserve"> </w:t>
      </w:r>
      <w:r w:rsidRPr="00B02247">
        <w:t>system</w:t>
      </w:r>
      <w:r w:rsidR="005B2A41">
        <w:t xml:space="preserve"> </w:t>
      </w:r>
      <w:r w:rsidRPr="00B02247">
        <w:t>could</w:t>
      </w:r>
      <w:r w:rsidR="005B2A41">
        <w:t xml:space="preserve"> </w:t>
      </w:r>
      <w:r w:rsidRPr="00B02247">
        <w:t>be</w:t>
      </w:r>
      <w:r w:rsidR="005B2A41">
        <w:t xml:space="preserve"> </w:t>
      </w:r>
      <w:r w:rsidRPr="00B02247">
        <w:t>described</w:t>
      </w:r>
      <w:r w:rsidR="005B2A41">
        <w:t xml:space="preserve"> </w:t>
      </w:r>
      <w:r w:rsidRPr="00B02247">
        <w:t>as</w:t>
      </w:r>
      <w:r w:rsidR="005B2A41">
        <w:t xml:space="preserve"> </w:t>
      </w:r>
      <w:r w:rsidRPr="00B02247">
        <w:t>a</w:t>
      </w:r>
      <w:r w:rsidR="005B2A41">
        <w:t xml:space="preserve"> </w:t>
      </w:r>
      <w:r w:rsidRPr="00B02247">
        <w:t>system</w:t>
      </w:r>
      <w:r w:rsidR="005B2A41">
        <w:t xml:space="preserve"> </w:t>
      </w:r>
      <w:r w:rsidRPr="00B02247">
        <w:t>of</w:t>
      </w:r>
      <w:r w:rsidR="005B2A41">
        <w:t xml:space="preserve"> </w:t>
      </w:r>
      <w:r w:rsidR="003E731F">
        <w:t>“</w:t>
      </w:r>
      <w:r w:rsidRPr="00B02247">
        <w:t>reinforced</w:t>
      </w:r>
      <w:r w:rsidR="005B2A41">
        <w:t xml:space="preserve"> </w:t>
      </w:r>
      <w:r w:rsidRPr="00B02247">
        <w:t>proportionality</w:t>
      </w:r>
      <w:r w:rsidR="003E731F">
        <w:t>”</w:t>
      </w:r>
      <w:r w:rsidRPr="00B02247">
        <w:t>,</w:t>
      </w:r>
      <w:r w:rsidR="005B2A41">
        <w:t xml:space="preserve"> </w:t>
      </w:r>
      <w:r w:rsidRPr="00B02247">
        <w:t>a</w:t>
      </w:r>
      <w:r w:rsidR="005B2A41">
        <w:t xml:space="preserve"> </w:t>
      </w:r>
      <w:r w:rsidRPr="00B02247">
        <w:t>form</w:t>
      </w:r>
      <w:r w:rsidR="005B2A41">
        <w:t xml:space="preserve"> </w:t>
      </w:r>
      <w:r w:rsidRPr="00B02247">
        <w:t>of</w:t>
      </w:r>
      <w:r w:rsidR="005B2A41">
        <w:t xml:space="preserve"> </w:t>
      </w:r>
      <w:r w:rsidRPr="00B02247">
        <w:t>semi-proportional</w:t>
      </w:r>
      <w:r w:rsidR="005B2A41">
        <w:t xml:space="preserve"> </w:t>
      </w:r>
      <w:r w:rsidRPr="00B02247">
        <w:t>representation</w:t>
      </w:r>
      <w:r w:rsidR="005B2A41">
        <w:t xml:space="preserve"> </w:t>
      </w:r>
      <w:r w:rsidRPr="00B02247">
        <w:t>with</w:t>
      </w:r>
      <w:r w:rsidR="005B2A41">
        <w:t xml:space="preserve"> </w:t>
      </w:r>
      <w:r w:rsidRPr="00B02247">
        <w:t>a</w:t>
      </w:r>
      <w:r w:rsidR="005B2A41">
        <w:t xml:space="preserve"> </w:t>
      </w:r>
      <w:r w:rsidRPr="00B02247">
        <w:t>majority</w:t>
      </w:r>
      <w:r w:rsidR="005B2A41">
        <w:t xml:space="preserve"> </w:t>
      </w:r>
      <w:r w:rsidRPr="00B02247">
        <w:t>bonus:</w:t>
      </w:r>
      <w:r w:rsidR="005B2A41">
        <w:t xml:space="preserve"> </w:t>
      </w:r>
      <w:r w:rsidRPr="00B02247">
        <w:t>The</w:t>
      </w:r>
      <w:r w:rsidR="005B2A41">
        <w:t xml:space="preserve"> </w:t>
      </w:r>
      <w:r w:rsidRPr="00B02247">
        <w:t>party</w:t>
      </w:r>
      <w:r w:rsidR="005B2A41">
        <w:t xml:space="preserve"> </w:t>
      </w:r>
      <w:r w:rsidRPr="00B02247">
        <w:t>that</w:t>
      </w:r>
      <w:r w:rsidR="005B2A41">
        <w:t xml:space="preserve"> </w:t>
      </w:r>
      <w:r w:rsidRPr="00B02247">
        <w:t>wins</w:t>
      </w:r>
      <w:r w:rsidR="005B2A41">
        <w:t xml:space="preserve"> </w:t>
      </w:r>
      <w:r w:rsidRPr="00B02247">
        <w:t>a</w:t>
      </w:r>
      <w:r w:rsidR="005B2A41">
        <w:t xml:space="preserve"> </w:t>
      </w:r>
      <w:r w:rsidRPr="00B02247">
        <w:t>plurality</w:t>
      </w:r>
      <w:r w:rsidR="005B2A41">
        <w:t xml:space="preserve"> </w:t>
      </w:r>
      <w:r w:rsidRPr="00B02247">
        <w:t>of</w:t>
      </w:r>
      <w:r w:rsidR="005B2A41">
        <w:t xml:space="preserve"> </w:t>
      </w:r>
      <w:r w:rsidRPr="00B02247">
        <w:t>votes</w:t>
      </w:r>
      <w:r w:rsidR="005B2A41">
        <w:t xml:space="preserve"> </w:t>
      </w:r>
      <w:r w:rsidRPr="00B02247">
        <w:t>cast</w:t>
      </w:r>
      <w:r w:rsidR="005B2A41">
        <w:t xml:space="preserve"> </w:t>
      </w:r>
      <w:r w:rsidRPr="00B02247">
        <w:t>is</w:t>
      </w:r>
      <w:r w:rsidR="005B2A41">
        <w:t xml:space="preserve"> </w:t>
      </w:r>
      <w:r w:rsidRPr="00B02247">
        <w:t>awarded</w:t>
      </w:r>
      <w:r w:rsidR="005B2A41">
        <w:t xml:space="preserve"> </w:t>
      </w:r>
      <w:r w:rsidRPr="00B02247">
        <w:t>an</w:t>
      </w:r>
      <w:r w:rsidR="005B2A41">
        <w:t xml:space="preserve"> </w:t>
      </w:r>
      <w:r w:rsidRPr="00B02247">
        <w:t>extra</w:t>
      </w:r>
      <w:r w:rsidR="005B2A41">
        <w:t xml:space="preserve"> </w:t>
      </w:r>
      <w:r w:rsidRPr="00B02247">
        <w:t>50</w:t>
      </w:r>
      <w:r w:rsidR="005B2A41">
        <w:t xml:space="preserve"> </w:t>
      </w:r>
      <w:r w:rsidRPr="00B02247">
        <w:t>seats.</w:t>
      </w:r>
      <w:r w:rsidR="005B2A41">
        <w:t xml:space="preserve"> </w:t>
      </w:r>
      <w:r w:rsidRPr="00B02247">
        <w:t>Small</w:t>
      </w:r>
      <w:r w:rsidR="005B2A41">
        <w:t xml:space="preserve"> </w:t>
      </w:r>
      <w:r w:rsidRPr="00B02247">
        <w:t>parties</w:t>
      </w:r>
      <w:r w:rsidR="005B2A41">
        <w:t xml:space="preserve"> </w:t>
      </w:r>
      <w:r w:rsidRPr="00B02247">
        <w:t>on</w:t>
      </w:r>
      <w:r w:rsidR="005B2A41">
        <w:t xml:space="preserve"> </w:t>
      </w:r>
      <w:r w:rsidRPr="00B02247">
        <w:t>the</w:t>
      </w:r>
      <w:r w:rsidR="005B2A41">
        <w:t xml:space="preserve"> </w:t>
      </w:r>
      <w:r w:rsidRPr="00B02247">
        <w:t>other</w:t>
      </w:r>
      <w:r w:rsidR="005B2A41">
        <w:t xml:space="preserve"> </w:t>
      </w:r>
      <w:r w:rsidRPr="00B02247">
        <w:t>hand</w:t>
      </w:r>
      <w:r w:rsidR="005B2A41">
        <w:t xml:space="preserve"> </w:t>
      </w:r>
      <w:r w:rsidRPr="00B02247">
        <w:t>need</w:t>
      </w:r>
      <w:r w:rsidR="005B2A41">
        <w:t xml:space="preserve"> </w:t>
      </w:r>
      <w:r w:rsidRPr="00B02247">
        <w:t>to</w:t>
      </w:r>
      <w:r w:rsidR="005B2A41">
        <w:t xml:space="preserve"> </w:t>
      </w:r>
      <w:r w:rsidRPr="00B02247">
        <w:t>reach</w:t>
      </w:r>
      <w:r w:rsidR="005B2A41">
        <w:t xml:space="preserve"> </w:t>
      </w:r>
      <w:r w:rsidRPr="00B02247">
        <w:t>an</w:t>
      </w:r>
      <w:r w:rsidR="005B2A41">
        <w:t xml:space="preserve"> </w:t>
      </w:r>
      <w:r w:rsidRPr="00B02247">
        <w:t>electoral</w:t>
      </w:r>
      <w:r w:rsidR="005B2A41">
        <w:t xml:space="preserve"> </w:t>
      </w:r>
      <w:r w:rsidRPr="00B02247">
        <w:t>threshold</w:t>
      </w:r>
      <w:r w:rsidR="005B2A41">
        <w:t xml:space="preserve"> </w:t>
      </w:r>
      <w:r w:rsidRPr="00B02247">
        <w:t>of</w:t>
      </w:r>
      <w:r w:rsidR="005B2A41">
        <w:t xml:space="preserve"> </w:t>
      </w:r>
      <w:r w:rsidRPr="00B02247">
        <w:t>3%</w:t>
      </w:r>
      <w:r w:rsidR="005B2A41">
        <w:t xml:space="preserve"> </w:t>
      </w:r>
      <w:r w:rsidRPr="00B02247">
        <w:t>in</w:t>
      </w:r>
      <w:r w:rsidR="005B2A41">
        <w:t xml:space="preserve"> </w:t>
      </w:r>
      <w:r w:rsidRPr="00B02247">
        <w:t>order</w:t>
      </w:r>
      <w:r w:rsidR="005B2A41">
        <w:t xml:space="preserve"> </w:t>
      </w:r>
      <w:r w:rsidRPr="00B02247">
        <w:t>to</w:t>
      </w:r>
      <w:r w:rsidR="005B2A41">
        <w:t xml:space="preserve"> </w:t>
      </w:r>
      <w:r w:rsidRPr="00B02247">
        <w:t>be</w:t>
      </w:r>
      <w:r w:rsidR="005B2A41">
        <w:t xml:space="preserve"> </w:t>
      </w:r>
      <w:r w:rsidRPr="00B02247">
        <w:t>represented</w:t>
      </w:r>
      <w:r w:rsidR="005B2A41">
        <w:t xml:space="preserve"> </w:t>
      </w:r>
      <w:r w:rsidRPr="00B02247">
        <w:t>in</w:t>
      </w:r>
      <w:r w:rsidR="005B2A41">
        <w:t xml:space="preserve"> </w:t>
      </w:r>
      <w:r w:rsidRPr="00B02247">
        <w:t>parliament.</w:t>
      </w:r>
      <w:r w:rsidR="005B2A41">
        <w:t xml:space="preserve"> </w:t>
      </w:r>
      <w:r w:rsidRPr="00B02247">
        <w:t>These</w:t>
      </w:r>
      <w:r w:rsidR="005B2A41">
        <w:t xml:space="preserve"> </w:t>
      </w:r>
      <w:r w:rsidRPr="00B02247">
        <w:t>provisions</w:t>
      </w:r>
      <w:r w:rsidR="005B2A41">
        <w:t xml:space="preserve"> </w:t>
      </w:r>
      <w:r w:rsidRPr="00B02247">
        <w:t>help</w:t>
      </w:r>
      <w:r w:rsidR="005B2A41">
        <w:t xml:space="preserve"> </w:t>
      </w:r>
      <w:r w:rsidRPr="00B02247">
        <w:t>the</w:t>
      </w:r>
      <w:r w:rsidR="005B2A41">
        <w:t xml:space="preserve"> </w:t>
      </w:r>
      <w:r w:rsidRPr="00B02247">
        <w:t>party</w:t>
      </w:r>
      <w:r w:rsidR="005B2A41">
        <w:t xml:space="preserve"> </w:t>
      </w:r>
      <w:r w:rsidRPr="00B02247">
        <w:t>or</w:t>
      </w:r>
      <w:r w:rsidR="005B2A41">
        <w:t xml:space="preserve"> </w:t>
      </w:r>
      <w:r w:rsidRPr="00B02247">
        <w:t>coalition</w:t>
      </w:r>
      <w:r w:rsidR="005B2A41">
        <w:t xml:space="preserve"> </w:t>
      </w:r>
      <w:r w:rsidRPr="00B02247">
        <w:t>that</w:t>
      </w:r>
      <w:r w:rsidR="005B2A41">
        <w:t xml:space="preserve"> </w:t>
      </w:r>
      <w:r w:rsidRPr="00B02247">
        <w:t>wins</w:t>
      </w:r>
      <w:r w:rsidR="005B2A41">
        <w:t xml:space="preserve"> </w:t>
      </w:r>
      <w:r w:rsidRPr="00B02247">
        <w:t>a</w:t>
      </w:r>
      <w:r w:rsidR="005B2A41">
        <w:t xml:space="preserve"> </w:t>
      </w:r>
      <w:r w:rsidRPr="00B02247">
        <w:t>relative</w:t>
      </w:r>
      <w:r w:rsidR="005B2A41">
        <w:t xml:space="preserve"> </w:t>
      </w:r>
      <w:r w:rsidRPr="00B02247">
        <w:t>majority</w:t>
      </w:r>
      <w:r w:rsidR="005B2A41">
        <w:t xml:space="preserve"> </w:t>
      </w:r>
      <w:r w:rsidRPr="00B02247">
        <w:t>to</w:t>
      </w:r>
      <w:r w:rsidR="005B2A41">
        <w:t xml:space="preserve"> </w:t>
      </w:r>
      <w:r w:rsidRPr="00B02247">
        <w:t>achieve</w:t>
      </w:r>
      <w:r w:rsidR="005B2A41">
        <w:t xml:space="preserve"> </w:t>
      </w:r>
      <w:r w:rsidRPr="00B02247">
        <w:t>an</w:t>
      </w:r>
      <w:r w:rsidR="005B2A41">
        <w:t xml:space="preserve"> </w:t>
      </w:r>
      <w:r w:rsidRPr="00B02247">
        <w:t>absolute</w:t>
      </w:r>
      <w:r w:rsidR="005B2A41">
        <w:t xml:space="preserve"> </w:t>
      </w:r>
      <w:r w:rsidRPr="00B02247">
        <w:t>majority</w:t>
      </w:r>
      <w:r w:rsidR="005B2A41">
        <w:t xml:space="preserve"> </w:t>
      </w:r>
      <w:r w:rsidRPr="00B02247">
        <w:t>(151</w:t>
      </w:r>
      <w:r w:rsidR="005B2A41">
        <w:t xml:space="preserve"> </w:t>
      </w:r>
      <w:r w:rsidRPr="00B02247">
        <w:t>out</w:t>
      </w:r>
      <w:r w:rsidR="005B2A41">
        <w:t xml:space="preserve"> </w:t>
      </w:r>
      <w:r w:rsidRPr="00B02247">
        <w:t>of</w:t>
      </w:r>
      <w:r w:rsidR="005B2A41">
        <w:t xml:space="preserve"> </w:t>
      </w:r>
      <w:r w:rsidRPr="00B02247">
        <w:t>300</w:t>
      </w:r>
      <w:r w:rsidR="005B2A41">
        <w:t xml:space="preserve"> </w:t>
      </w:r>
      <w:r w:rsidRPr="00B02247">
        <w:t>parliamentary</w:t>
      </w:r>
      <w:r w:rsidR="005B2A41">
        <w:t xml:space="preserve"> </w:t>
      </w:r>
      <w:r w:rsidRPr="00B02247">
        <w:t>seats);</w:t>
      </w:r>
      <w:r w:rsidR="005B2A41">
        <w:t xml:space="preserve"> </w:t>
      </w:r>
      <w:r w:rsidRPr="00B02247">
        <w:t>this</w:t>
      </w:r>
      <w:r w:rsidR="005B2A41">
        <w:t xml:space="preserve"> </w:t>
      </w:r>
      <w:r w:rsidRPr="00B02247">
        <w:t>is</w:t>
      </w:r>
      <w:r w:rsidR="005B2A41">
        <w:t xml:space="preserve"> </w:t>
      </w:r>
      <w:r w:rsidRPr="00B02247">
        <w:t>intended</w:t>
      </w:r>
      <w:r w:rsidR="005B2A41">
        <w:t xml:space="preserve"> </w:t>
      </w:r>
      <w:r w:rsidRPr="00B02247">
        <w:t>to</w:t>
      </w:r>
      <w:r w:rsidR="005B2A41">
        <w:t xml:space="preserve"> </w:t>
      </w:r>
      <w:r w:rsidRPr="00B02247">
        <w:t>enhance</w:t>
      </w:r>
      <w:r w:rsidR="005B2A41">
        <w:t xml:space="preserve"> </w:t>
      </w:r>
      <w:r w:rsidRPr="00B02247">
        <w:t>governmental</w:t>
      </w:r>
      <w:r w:rsidR="005B2A41">
        <w:t xml:space="preserve"> </w:t>
      </w:r>
      <w:r w:rsidRPr="00B02247">
        <w:t>stability.</w:t>
      </w:r>
      <w:r w:rsidR="005B2A41">
        <w:t xml:space="preserve"> </w:t>
      </w:r>
      <w:r w:rsidRPr="00B02247">
        <w:t>The</w:t>
      </w:r>
      <w:r w:rsidR="005B2A41">
        <w:t xml:space="preserve"> </w:t>
      </w:r>
      <w:r w:rsidRPr="00B02247">
        <w:t>current</w:t>
      </w:r>
      <w:r w:rsidR="005B2A41">
        <w:t xml:space="preserve"> </w:t>
      </w:r>
      <w:r w:rsidRPr="00B02247">
        <w:t>electoral</w:t>
      </w:r>
      <w:r w:rsidR="005B2A41">
        <w:t xml:space="preserve"> </w:t>
      </w:r>
      <w:r w:rsidRPr="00B02247">
        <w:t>law</w:t>
      </w:r>
      <w:r w:rsidR="005B2A41">
        <w:t xml:space="preserve"> </w:t>
      </w:r>
      <w:r w:rsidRPr="00B02247">
        <w:t>was</w:t>
      </w:r>
      <w:r w:rsidR="005B2A41">
        <w:t xml:space="preserve"> </w:t>
      </w:r>
      <w:r w:rsidRPr="00B02247">
        <w:t>used</w:t>
      </w:r>
      <w:r w:rsidR="005B2A41">
        <w:t xml:space="preserve"> </w:t>
      </w:r>
      <w:r w:rsidRPr="00B02247">
        <w:t>for</w:t>
      </w:r>
      <w:r w:rsidR="005B2A41">
        <w:t xml:space="preserve"> </w:t>
      </w:r>
      <w:r w:rsidRPr="00B02247">
        <w:t>the</w:t>
      </w:r>
      <w:r w:rsidR="005B2A41">
        <w:t xml:space="preserve"> </w:t>
      </w:r>
      <w:r w:rsidRPr="00B02247">
        <w:t>first</w:t>
      </w:r>
      <w:r w:rsidR="005B2A41">
        <w:t xml:space="preserve"> </w:t>
      </w:r>
      <w:r w:rsidRPr="00B02247">
        <w:t>time</w:t>
      </w:r>
      <w:r w:rsidR="005B2A41">
        <w:t xml:space="preserve"> </w:t>
      </w:r>
      <w:r w:rsidRPr="00B02247">
        <w:t>in</w:t>
      </w:r>
      <w:r w:rsidR="005B2A41">
        <w:t xml:space="preserve"> </w:t>
      </w:r>
      <w:r w:rsidRPr="00B02247">
        <w:t>the</w:t>
      </w:r>
      <w:r w:rsidR="005B2A41">
        <w:t xml:space="preserve"> </w:t>
      </w:r>
      <w:r w:rsidRPr="00B02247">
        <w:t>May</w:t>
      </w:r>
      <w:r w:rsidR="005B2A41">
        <w:t xml:space="preserve"> </w:t>
      </w:r>
      <w:r w:rsidRPr="00B02247">
        <w:t>2012</w:t>
      </w:r>
      <w:r w:rsidR="005B2A41">
        <w:t xml:space="preserve"> </w:t>
      </w:r>
      <w:r w:rsidRPr="00B02247">
        <w:t>elections.</w:t>
      </w:r>
      <w:r w:rsidR="005B2A41">
        <w:t xml:space="preserve"> </w:t>
      </w:r>
      <w:r w:rsidRPr="00B02247">
        <w:t>It</w:t>
      </w:r>
      <w:r w:rsidR="005B2A41">
        <w:t xml:space="preserve"> </w:t>
      </w:r>
      <w:r w:rsidRPr="00B02247">
        <w:t>reserves</w:t>
      </w:r>
      <w:r w:rsidR="005B2A41">
        <w:t xml:space="preserve"> </w:t>
      </w:r>
      <w:r w:rsidRPr="00B02247">
        <w:t>50</w:t>
      </w:r>
      <w:r w:rsidR="005B2A41">
        <w:t xml:space="preserve"> </w:t>
      </w:r>
      <w:r w:rsidRPr="00B02247">
        <w:t>parliamentary</w:t>
      </w:r>
      <w:r w:rsidR="005B2A41">
        <w:t xml:space="preserve"> </w:t>
      </w:r>
      <w:r w:rsidRPr="00B02247">
        <w:t>seats</w:t>
      </w:r>
      <w:r w:rsidR="005B2A41">
        <w:t xml:space="preserve"> </w:t>
      </w:r>
      <w:r w:rsidRPr="00B02247">
        <w:t>for</w:t>
      </w:r>
      <w:r w:rsidR="005B2A41">
        <w:t xml:space="preserve"> </w:t>
      </w:r>
      <w:r w:rsidRPr="00B02247">
        <w:t>the</w:t>
      </w:r>
      <w:r w:rsidR="005B2A41">
        <w:t xml:space="preserve"> </w:t>
      </w:r>
      <w:r w:rsidRPr="00B02247">
        <w:t>party</w:t>
      </w:r>
      <w:r w:rsidR="005B2A41">
        <w:t xml:space="preserve"> </w:t>
      </w:r>
      <w:r w:rsidRPr="00B02247">
        <w:t>or</w:t>
      </w:r>
      <w:r w:rsidR="005B2A41">
        <w:t xml:space="preserve"> </w:t>
      </w:r>
      <w:r w:rsidRPr="00B02247">
        <w:t>coalition</w:t>
      </w:r>
      <w:r w:rsidR="005B2A41">
        <w:t xml:space="preserve"> </w:t>
      </w:r>
      <w:r w:rsidRPr="00B02247">
        <w:t>of</w:t>
      </w:r>
      <w:r w:rsidR="005B2A41">
        <w:t xml:space="preserve"> </w:t>
      </w:r>
      <w:r w:rsidRPr="00B02247">
        <w:t>parties</w:t>
      </w:r>
      <w:r w:rsidR="005B2A41">
        <w:t xml:space="preserve"> </w:t>
      </w:r>
      <w:r w:rsidRPr="00B02247">
        <w:t>that</w:t>
      </w:r>
      <w:r w:rsidR="005B2A41">
        <w:t xml:space="preserve"> </w:t>
      </w:r>
      <w:r w:rsidRPr="00B02247">
        <w:t>is</w:t>
      </w:r>
      <w:r w:rsidR="005B2A41">
        <w:t xml:space="preserve"> </w:t>
      </w:r>
      <w:r w:rsidRPr="00B02247">
        <w:t>supported</w:t>
      </w:r>
      <w:r w:rsidR="005B2A41">
        <w:t xml:space="preserve"> </w:t>
      </w:r>
      <w:r w:rsidRPr="00B02247">
        <w:t>by</w:t>
      </w:r>
      <w:r w:rsidR="005B2A41">
        <w:t xml:space="preserve"> </w:t>
      </w:r>
      <w:r w:rsidRPr="00B02247">
        <w:t>a</w:t>
      </w:r>
      <w:r w:rsidR="005B2A41">
        <w:t xml:space="preserve"> </w:t>
      </w:r>
      <w:r w:rsidRPr="00B02247">
        <w:t>plurality</w:t>
      </w:r>
      <w:r w:rsidR="005B2A41">
        <w:t xml:space="preserve"> </w:t>
      </w:r>
      <w:r w:rsidRPr="00B02247">
        <w:t>of</w:t>
      </w:r>
      <w:r w:rsidR="005B2A41">
        <w:t xml:space="preserve"> </w:t>
      </w:r>
      <w:r w:rsidRPr="00B02247">
        <w:t>votes</w:t>
      </w:r>
      <w:r w:rsidR="005B2A41">
        <w:t xml:space="preserve"> </w:t>
      </w:r>
      <w:r w:rsidRPr="00B02247">
        <w:t>cast.</w:t>
      </w:r>
      <w:r w:rsidR="005B2A41">
        <w:t xml:space="preserve"> </w:t>
      </w:r>
      <w:r w:rsidRPr="00B02247">
        <w:t>If</w:t>
      </w:r>
      <w:r w:rsidR="005B2A41">
        <w:t xml:space="preserve"> </w:t>
      </w:r>
      <w:r w:rsidRPr="00B02247">
        <w:t>the</w:t>
      </w:r>
      <w:r w:rsidR="005B2A41">
        <w:t xml:space="preserve"> </w:t>
      </w:r>
      <w:r w:rsidRPr="00B02247">
        <w:t>largest</w:t>
      </w:r>
      <w:r w:rsidR="005B2A41">
        <w:t xml:space="preserve"> </w:t>
      </w:r>
      <w:r w:rsidRPr="00B02247">
        <w:t>party</w:t>
      </w:r>
      <w:r w:rsidR="005B2A41">
        <w:t xml:space="preserve"> </w:t>
      </w:r>
      <w:r w:rsidRPr="00B02247">
        <w:t>or</w:t>
      </w:r>
      <w:r w:rsidR="005B2A41">
        <w:t xml:space="preserve"> </w:t>
      </w:r>
      <w:r w:rsidRPr="00B02247">
        <w:t>coalition</w:t>
      </w:r>
      <w:r w:rsidR="005B2A41">
        <w:t xml:space="preserve"> </w:t>
      </w:r>
      <w:r w:rsidRPr="00B02247">
        <w:t>has</w:t>
      </w:r>
      <w:r w:rsidR="005B2A41">
        <w:t xml:space="preserve"> </w:t>
      </w:r>
      <w:r w:rsidRPr="00B02247">
        <w:t>won</w:t>
      </w:r>
      <w:r w:rsidR="005B2A41">
        <w:t xml:space="preserve"> </w:t>
      </w:r>
      <w:r w:rsidRPr="00B02247">
        <w:t>at</w:t>
      </w:r>
      <w:r w:rsidR="005B2A41">
        <w:t xml:space="preserve"> </w:t>
      </w:r>
      <w:r w:rsidRPr="00B02247">
        <w:t>least</w:t>
      </w:r>
      <w:r w:rsidR="005B2A41">
        <w:t xml:space="preserve"> </w:t>
      </w:r>
      <w:r w:rsidRPr="00B02247">
        <w:t>40.4%</w:t>
      </w:r>
      <w:r w:rsidR="005B2A41">
        <w:t xml:space="preserve"> </w:t>
      </w:r>
      <w:r w:rsidRPr="00B02247">
        <w:t>of</w:t>
      </w:r>
      <w:r w:rsidR="005B2A41">
        <w:t xml:space="preserve"> </w:t>
      </w:r>
      <w:r w:rsidRPr="00B02247">
        <w:t>the</w:t>
      </w:r>
      <w:r w:rsidR="005B2A41">
        <w:t xml:space="preserve"> </w:t>
      </w:r>
      <w:r w:rsidRPr="00B02247">
        <w:t>vote,</w:t>
      </w:r>
      <w:r w:rsidR="005B2A41">
        <w:t xml:space="preserve"> </w:t>
      </w:r>
      <w:r w:rsidRPr="00B02247">
        <w:t>these</w:t>
      </w:r>
      <w:r w:rsidR="005B2A41">
        <w:t xml:space="preserve"> </w:t>
      </w:r>
      <w:r w:rsidRPr="00B02247">
        <w:t>extra</w:t>
      </w:r>
      <w:r w:rsidR="005B2A41">
        <w:t xml:space="preserve"> </w:t>
      </w:r>
      <w:r w:rsidRPr="00B02247">
        <w:t>reserved</w:t>
      </w:r>
      <w:r w:rsidR="005B2A41">
        <w:t xml:space="preserve"> </w:t>
      </w:r>
      <w:r w:rsidRPr="00B02247">
        <w:t>seats</w:t>
      </w:r>
      <w:r w:rsidR="005B2A41">
        <w:t xml:space="preserve"> </w:t>
      </w:r>
      <w:r w:rsidRPr="00B02247">
        <w:t>will</w:t>
      </w:r>
      <w:r w:rsidR="005B2A41">
        <w:t xml:space="preserve"> </w:t>
      </w:r>
      <w:r w:rsidRPr="00B02247">
        <w:t>be</w:t>
      </w:r>
      <w:r w:rsidR="005B2A41">
        <w:t xml:space="preserve"> </w:t>
      </w:r>
      <w:r w:rsidRPr="00B02247">
        <w:t>sufficient</w:t>
      </w:r>
      <w:r w:rsidR="005B2A41">
        <w:t xml:space="preserve"> </w:t>
      </w:r>
      <w:r w:rsidRPr="00B02247">
        <w:t>to</w:t>
      </w:r>
      <w:r w:rsidR="005B2A41">
        <w:t xml:space="preserve"> </w:t>
      </w:r>
      <w:r w:rsidRPr="00B02247">
        <w:t>ensure</w:t>
      </w:r>
      <w:r w:rsidR="005B2A41">
        <w:t xml:space="preserve"> </w:t>
      </w:r>
      <w:r w:rsidRPr="00B02247">
        <w:t>majority</w:t>
      </w:r>
      <w:r w:rsidR="005B2A41">
        <w:t xml:space="preserve"> </w:t>
      </w:r>
      <w:r w:rsidRPr="00B02247">
        <w:t>in</w:t>
      </w:r>
      <w:r w:rsidR="005B2A41">
        <w:t xml:space="preserve"> </w:t>
      </w:r>
      <w:r w:rsidRPr="00B02247">
        <w:t>parliament.</w:t>
      </w:r>
      <w:r w:rsidR="005B2A41">
        <w:t xml:space="preserve"> </w:t>
      </w:r>
      <w:r w:rsidRPr="00B02247">
        <w:t>The</w:t>
      </w:r>
      <w:r w:rsidR="005B2A41">
        <w:t xml:space="preserve"> </w:t>
      </w:r>
      <w:r w:rsidRPr="00B02247">
        <w:t>remaining</w:t>
      </w:r>
      <w:r w:rsidR="005B2A41">
        <w:t xml:space="preserve"> </w:t>
      </w:r>
      <w:r w:rsidRPr="00B02247">
        <w:t>250</w:t>
      </w:r>
      <w:r w:rsidR="005B2A41">
        <w:t xml:space="preserve"> </w:t>
      </w:r>
      <w:r w:rsidRPr="00B02247">
        <w:t>seats</w:t>
      </w:r>
      <w:r w:rsidR="005B2A41">
        <w:t xml:space="preserve"> </w:t>
      </w:r>
      <w:r w:rsidRPr="00B02247">
        <w:t>are</w:t>
      </w:r>
      <w:r w:rsidR="005B2A41">
        <w:t xml:space="preserve"> </w:t>
      </w:r>
      <w:r w:rsidRPr="00B02247">
        <w:t>divided</w:t>
      </w:r>
      <w:r w:rsidR="005B2A41">
        <w:t xml:space="preserve"> </w:t>
      </w:r>
      <w:r w:rsidRPr="00B02247">
        <w:t>proportionally</w:t>
      </w:r>
      <w:r w:rsidR="005B2A41">
        <w:t xml:space="preserve"> </w:t>
      </w:r>
      <w:r w:rsidRPr="00B02247">
        <w:t>according</w:t>
      </w:r>
      <w:r w:rsidR="005B2A41">
        <w:t xml:space="preserve"> </w:t>
      </w:r>
      <w:r w:rsidRPr="00B02247">
        <w:t>to</w:t>
      </w:r>
      <w:r w:rsidR="005B2A41">
        <w:t xml:space="preserve"> </w:t>
      </w:r>
      <w:r w:rsidRPr="00B02247">
        <w:t>each</w:t>
      </w:r>
      <w:r w:rsidR="005B2A41">
        <w:t xml:space="preserve"> </w:t>
      </w:r>
      <w:r w:rsidRPr="00B02247">
        <w:t>party</w:t>
      </w:r>
      <w:r w:rsidR="003E731F">
        <w:t>’</w:t>
      </w:r>
      <w:r w:rsidRPr="00B02247">
        <w:t>s</w:t>
      </w:r>
      <w:r w:rsidR="005B2A41">
        <w:t xml:space="preserve"> </w:t>
      </w:r>
      <w:r w:rsidRPr="00B02247">
        <w:t>total</w:t>
      </w:r>
      <w:r w:rsidR="005B2A41">
        <w:t xml:space="preserve"> </w:t>
      </w:r>
      <w:r w:rsidRPr="00B02247">
        <w:t>valid</w:t>
      </w:r>
      <w:r w:rsidR="005B2A41">
        <w:t xml:space="preserve"> </w:t>
      </w:r>
      <w:r w:rsidRPr="00B02247">
        <w:t>vote</w:t>
      </w:r>
      <w:r w:rsidR="005B2A41">
        <w:t xml:space="preserve"> </w:t>
      </w:r>
      <w:r w:rsidRPr="00B02247">
        <w:t>percentage.</w:t>
      </w:r>
      <w:r w:rsidR="005B2A41">
        <w:t xml:space="preserve"> </w:t>
      </w:r>
      <w:r w:rsidRPr="00B02247">
        <w:t>Law</w:t>
      </w:r>
      <w:r w:rsidR="005B2A41">
        <w:t xml:space="preserve"> </w:t>
      </w:r>
      <w:r w:rsidRPr="00B02247">
        <w:t>4406/2016,</w:t>
      </w:r>
      <w:r w:rsidR="005B2A41">
        <w:t xml:space="preserve"> </w:t>
      </w:r>
      <w:r w:rsidRPr="00B02247">
        <w:t>adopted</w:t>
      </w:r>
      <w:r w:rsidR="005B2A41">
        <w:t xml:space="preserve"> </w:t>
      </w:r>
      <w:r w:rsidRPr="00B02247">
        <w:t>in</w:t>
      </w:r>
      <w:r w:rsidR="005B2A41">
        <w:t xml:space="preserve"> </w:t>
      </w:r>
      <w:r w:rsidRPr="00B02247">
        <w:t>July</w:t>
      </w:r>
      <w:r w:rsidR="005B2A41">
        <w:t xml:space="preserve"> </w:t>
      </w:r>
      <w:r w:rsidRPr="00B02247">
        <w:t>2016,</w:t>
      </w:r>
      <w:r w:rsidR="005B2A41">
        <w:t xml:space="preserve"> </w:t>
      </w:r>
      <w:r w:rsidRPr="00B02247">
        <w:t>abolished</w:t>
      </w:r>
      <w:r w:rsidR="005B2A41">
        <w:t xml:space="preserve"> </w:t>
      </w:r>
      <w:r w:rsidRPr="00B02247">
        <w:t>the</w:t>
      </w:r>
      <w:r w:rsidR="005B2A41">
        <w:t xml:space="preserve"> </w:t>
      </w:r>
      <w:r w:rsidRPr="00B02247">
        <w:t>abovementioned</w:t>
      </w:r>
      <w:r w:rsidR="005B2A41">
        <w:t xml:space="preserve"> </w:t>
      </w:r>
      <w:r w:rsidRPr="00B02247">
        <w:t>majority</w:t>
      </w:r>
      <w:r w:rsidR="005B2A41">
        <w:t xml:space="preserve"> </w:t>
      </w:r>
      <w:r w:rsidRPr="00B02247">
        <w:t>bonus,</w:t>
      </w:r>
      <w:r w:rsidR="005B2A41">
        <w:t xml:space="preserve"> </w:t>
      </w:r>
      <w:r w:rsidRPr="00B02247">
        <w:t>by</w:t>
      </w:r>
      <w:r w:rsidR="005B2A41">
        <w:t xml:space="preserve"> </w:t>
      </w:r>
      <w:r w:rsidRPr="00B02247">
        <w:t>virtue</w:t>
      </w:r>
      <w:r w:rsidR="005B2A41">
        <w:t xml:space="preserve"> </w:t>
      </w:r>
      <w:r w:rsidRPr="00B02247">
        <w:t>of</w:t>
      </w:r>
      <w:r w:rsidR="005B2A41">
        <w:t xml:space="preserve"> </w:t>
      </w:r>
      <w:r w:rsidRPr="00B02247">
        <w:t>a</w:t>
      </w:r>
      <w:r w:rsidR="005B2A41">
        <w:t xml:space="preserve"> </w:t>
      </w:r>
      <w:r w:rsidRPr="00B02247">
        <w:t>provision</w:t>
      </w:r>
      <w:r w:rsidR="005B2A41">
        <w:t xml:space="preserve"> </w:t>
      </w:r>
      <w:r w:rsidRPr="00B02247">
        <w:t>which</w:t>
      </w:r>
      <w:r w:rsidR="005B2A41">
        <w:t xml:space="preserve"> </w:t>
      </w:r>
      <w:r w:rsidRPr="00B02247">
        <w:t>will</w:t>
      </w:r>
      <w:r w:rsidR="005B2A41">
        <w:t xml:space="preserve"> </w:t>
      </w:r>
      <w:r w:rsidRPr="00B02247">
        <w:t>enter</w:t>
      </w:r>
      <w:r w:rsidR="005B2A41">
        <w:t xml:space="preserve"> </w:t>
      </w:r>
      <w:r w:rsidRPr="00B02247">
        <w:t>into</w:t>
      </w:r>
      <w:r w:rsidR="005B2A41">
        <w:t xml:space="preserve"> </w:t>
      </w:r>
      <w:r w:rsidRPr="00B02247">
        <w:t>force</w:t>
      </w:r>
      <w:r w:rsidR="005B2A41">
        <w:t xml:space="preserve"> </w:t>
      </w:r>
      <w:r w:rsidRPr="00B02247">
        <w:t>in</w:t>
      </w:r>
      <w:r w:rsidR="005B2A41">
        <w:t xml:space="preserve"> </w:t>
      </w:r>
      <w:r w:rsidRPr="00B02247">
        <w:t>the</w:t>
      </w:r>
      <w:r w:rsidR="005B2A41">
        <w:t xml:space="preserve"> </w:t>
      </w:r>
      <w:r w:rsidRPr="00B02247">
        <w:lastRenderedPageBreak/>
        <w:t>next-but-one</w:t>
      </w:r>
      <w:r w:rsidR="005B2A41">
        <w:t xml:space="preserve"> </w:t>
      </w:r>
      <w:r w:rsidRPr="00B02247">
        <w:t>elections,</w:t>
      </w:r>
      <w:r w:rsidR="005B2A41">
        <w:t xml:space="preserve"> </w:t>
      </w:r>
      <w:r w:rsidRPr="00B02247">
        <w:t>following</w:t>
      </w:r>
      <w:r w:rsidR="005B2A41">
        <w:t xml:space="preserve"> </w:t>
      </w:r>
      <w:r w:rsidRPr="00B02247">
        <w:t>the</w:t>
      </w:r>
      <w:r w:rsidR="005B2A41">
        <w:t xml:space="preserve"> </w:t>
      </w:r>
      <w:r w:rsidRPr="00B02247">
        <w:t>adoption</w:t>
      </w:r>
      <w:r w:rsidR="005B2A41">
        <w:t xml:space="preserve"> </w:t>
      </w:r>
      <w:r w:rsidRPr="00B02247">
        <w:t>of</w:t>
      </w:r>
      <w:r w:rsidR="005B2A41">
        <w:t xml:space="preserve"> </w:t>
      </w:r>
      <w:r w:rsidRPr="00B02247">
        <w:t>the</w:t>
      </w:r>
      <w:r w:rsidR="005B2A41">
        <w:t xml:space="preserve"> </w:t>
      </w:r>
      <w:r w:rsidRPr="00B02247">
        <w:t>Law.</w:t>
      </w:r>
      <w:r w:rsidR="005B2A41">
        <w:t xml:space="preserve"> </w:t>
      </w:r>
      <w:r w:rsidRPr="00B02247">
        <w:t>Moreover,</w:t>
      </w:r>
      <w:r w:rsidR="005B2A41">
        <w:t xml:space="preserve"> </w:t>
      </w:r>
      <w:r w:rsidRPr="00B02247">
        <w:t>the</w:t>
      </w:r>
      <w:r w:rsidR="005B2A41">
        <w:t xml:space="preserve"> </w:t>
      </w:r>
      <w:r w:rsidRPr="00B02247">
        <w:t>same</w:t>
      </w:r>
      <w:r w:rsidR="005B2A41">
        <w:t xml:space="preserve"> </w:t>
      </w:r>
      <w:r w:rsidRPr="00B02247">
        <w:t>low</w:t>
      </w:r>
      <w:r w:rsidR="005B2A41">
        <w:t xml:space="preserve"> </w:t>
      </w:r>
      <w:r w:rsidRPr="00B02247">
        <w:t>lowered</w:t>
      </w:r>
      <w:r w:rsidR="005B2A41">
        <w:t xml:space="preserve"> </w:t>
      </w:r>
      <w:r w:rsidRPr="00B02247">
        <w:t>the</w:t>
      </w:r>
      <w:r w:rsidR="005B2A41">
        <w:t xml:space="preserve"> </w:t>
      </w:r>
      <w:r w:rsidRPr="00B02247">
        <w:t>voting</w:t>
      </w:r>
      <w:r w:rsidR="005B2A41">
        <w:t xml:space="preserve"> </w:t>
      </w:r>
      <w:r w:rsidRPr="00B02247">
        <w:t>age</w:t>
      </w:r>
      <w:r w:rsidR="005B2A41">
        <w:t xml:space="preserve"> </w:t>
      </w:r>
      <w:r w:rsidRPr="00B02247">
        <w:t>to</w:t>
      </w:r>
      <w:r w:rsidR="005B2A41">
        <w:t xml:space="preserve"> </w:t>
      </w:r>
      <w:r w:rsidRPr="00B02247">
        <w:t>17</w:t>
      </w:r>
      <w:r w:rsidR="005B2A41">
        <w:t xml:space="preserve"> </w:t>
      </w:r>
      <w:r w:rsidRPr="00B02247">
        <w:t>years.</w:t>
      </w:r>
      <w:r w:rsidR="005B2A41">
        <w:t xml:space="preserve"> </w:t>
      </w:r>
    </w:p>
    <w:p w:rsidR="00F233AB" w:rsidRPr="00B02247" w:rsidRDefault="00F233AB" w:rsidP="00E1307D">
      <w:pPr>
        <w:pStyle w:val="SingleTxtG"/>
      </w:pPr>
      <w:r w:rsidRPr="00B02247">
        <w:t>13.</w:t>
      </w:r>
      <w:r w:rsidRPr="00B02247">
        <w:tab/>
        <w:t>Although</w:t>
      </w:r>
      <w:r w:rsidR="005B2A41">
        <w:t xml:space="preserve"> </w:t>
      </w:r>
      <w:r w:rsidRPr="00B02247">
        <w:t>the</w:t>
      </w:r>
      <w:r w:rsidR="005B2A41">
        <w:t xml:space="preserve"> </w:t>
      </w:r>
      <w:r w:rsidRPr="00B02247">
        <w:t>Constitution</w:t>
      </w:r>
      <w:r w:rsidR="005B2A41">
        <w:t xml:space="preserve"> </w:t>
      </w:r>
      <w:r w:rsidRPr="00B02247">
        <w:t>allows,</w:t>
      </w:r>
      <w:r w:rsidR="005B2A41">
        <w:t xml:space="preserve"> </w:t>
      </w:r>
      <w:r w:rsidRPr="00B02247">
        <w:t>under</w:t>
      </w:r>
      <w:r w:rsidR="005B2A41">
        <w:t xml:space="preserve"> </w:t>
      </w:r>
      <w:r w:rsidRPr="00B02247">
        <w:t>certain</w:t>
      </w:r>
      <w:r w:rsidR="005B2A41">
        <w:t xml:space="preserve"> </w:t>
      </w:r>
      <w:r w:rsidRPr="00B02247">
        <w:t>conditions,</w:t>
      </w:r>
      <w:r w:rsidR="005B2A41">
        <w:t xml:space="preserve"> </w:t>
      </w:r>
      <w:r w:rsidRPr="00B02247">
        <w:t>the</w:t>
      </w:r>
      <w:r w:rsidR="005B2A41">
        <w:t xml:space="preserve"> </w:t>
      </w:r>
      <w:r w:rsidRPr="00B02247">
        <w:t>delegation</w:t>
      </w:r>
      <w:r w:rsidR="005B2A41">
        <w:t xml:space="preserve"> </w:t>
      </w:r>
      <w:r w:rsidRPr="00B02247">
        <w:t>of</w:t>
      </w:r>
      <w:r w:rsidR="005B2A41">
        <w:t xml:space="preserve"> </w:t>
      </w:r>
      <w:r w:rsidRPr="00B02247">
        <w:t>legislative</w:t>
      </w:r>
      <w:r w:rsidR="005B2A41">
        <w:t xml:space="preserve"> </w:t>
      </w:r>
      <w:r w:rsidRPr="00B02247">
        <w:t>power</w:t>
      </w:r>
      <w:r w:rsidR="005B2A41">
        <w:t xml:space="preserve"> </w:t>
      </w:r>
      <w:r w:rsidRPr="00B02247">
        <w:t>and</w:t>
      </w:r>
      <w:r w:rsidR="005B2A41">
        <w:t xml:space="preserve"> </w:t>
      </w:r>
      <w:r w:rsidRPr="00B02247">
        <w:t>the</w:t>
      </w:r>
      <w:r w:rsidR="005B2A41">
        <w:t xml:space="preserve"> </w:t>
      </w:r>
      <w:r w:rsidRPr="00B02247">
        <w:t>adoption</w:t>
      </w:r>
      <w:r w:rsidR="005B2A41">
        <w:t xml:space="preserve"> </w:t>
      </w:r>
      <w:r w:rsidRPr="00B02247">
        <w:t>of</w:t>
      </w:r>
      <w:r w:rsidR="005B2A41">
        <w:t xml:space="preserve"> </w:t>
      </w:r>
      <w:r w:rsidRPr="00B02247">
        <w:t>administrative</w:t>
      </w:r>
      <w:r w:rsidR="005B2A41">
        <w:t xml:space="preserve"> </w:t>
      </w:r>
      <w:r w:rsidRPr="00B02247">
        <w:t>regulatory</w:t>
      </w:r>
      <w:r w:rsidR="005B2A41">
        <w:t xml:space="preserve"> </w:t>
      </w:r>
      <w:r w:rsidRPr="00B02247">
        <w:t>acts,</w:t>
      </w:r>
      <w:r w:rsidR="005B2A41">
        <w:t xml:space="preserve"> </w:t>
      </w:r>
      <w:r w:rsidRPr="00B02247">
        <w:t>a</w:t>
      </w:r>
      <w:r w:rsidR="005B2A41">
        <w:t xml:space="preserve"> </w:t>
      </w:r>
      <w:r w:rsidRPr="00B02247">
        <w:t>formal</w:t>
      </w:r>
      <w:r w:rsidR="005B2A41">
        <w:t xml:space="preserve"> </w:t>
      </w:r>
      <w:r w:rsidRPr="00B02247">
        <w:t>law</w:t>
      </w:r>
      <w:r w:rsidR="005B2A41">
        <w:t xml:space="preserve"> </w:t>
      </w:r>
      <w:r w:rsidRPr="00B02247">
        <w:t>(i.e.</w:t>
      </w:r>
      <w:r w:rsidR="005B2A41">
        <w:t xml:space="preserve"> </w:t>
      </w:r>
      <w:r w:rsidRPr="00B02247">
        <w:t>a</w:t>
      </w:r>
      <w:r w:rsidR="005B2A41">
        <w:t xml:space="preserve"> </w:t>
      </w:r>
      <w:r w:rsidRPr="00B02247">
        <w:t>law</w:t>
      </w:r>
      <w:r w:rsidR="005B2A41">
        <w:t xml:space="preserve"> </w:t>
      </w:r>
      <w:r w:rsidRPr="00B02247">
        <w:t>adopted</w:t>
      </w:r>
      <w:r w:rsidR="005B2A41">
        <w:t xml:space="preserve"> </w:t>
      </w:r>
      <w:r w:rsidRPr="00B02247">
        <w:t>by</w:t>
      </w:r>
      <w:r w:rsidR="005B2A41">
        <w:t xml:space="preserve"> </w:t>
      </w:r>
      <w:r w:rsidRPr="00B02247">
        <w:t>Parliament)</w:t>
      </w:r>
      <w:r w:rsidR="005B2A41">
        <w:t xml:space="preserve"> </w:t>
      </w:r>
      <w:r w:rsidRPr="00B02247">
        <w:t>is</w:t>
      </w:r>
      <w:r w:rsidR="005B2A41">
        <w:t xml:space="preserve"> </w:t>
      </w:r>
      <w:r w:rsidRPr="00B02247">
        <w:t>required</w:t>
      </w:r>
      <w:r w:rsidR="005B2A41">
        <w:t xml:space="preserve"> </w:t>
      </w:r>
      <w:r w:rsidRPr="00B02247">
        <w:t>for</w:t>
      </w:r>
      <w:r w:rsidR="005B2A41">
        <w:t xml:space="preserve"> </w:t>
      </w:r>
      <w:r w:rsidRPr="00B02247">
        <w:t>the</w:t>
      </w:r>
      <w:r w:rsidR="005B2A41">
        <w:t xml:space="preserve"> </w:t>
      </w:r>
      <w:r w:rsidRPr="00B02247">
        <w:t>regulation</w:t>
      </w:r>
      <w:r w:rsidR="005B2A41">
        <w:t xml:space="preserve"> </w:t>
      </w:r>
      <w:r w:rsidRPr="00B02247">
        <w:t>of</w:t>
      </w:r>
      <w:r w:rsidR="005B2A41">
        <w:t xml:space="preserve"> </w:t>
      </w:r>
      <w:r w:rsidRPr="00B02247">
        <w:t>a</w:t>
      </w:r>
      <w:r w:rsidR="005B2A41">
        <w:t xml:space="preserve"> </w:t>
      </w:r>
      <w:r w:rsidRPr="00B02247">
        <w:t>number</w:t>
      </w:r>
      <w:r w:rsidR="005B2A41">
        <w:t xml:space="preserve"> </w:t>
      </w:r>
      <w:r w:rsidRPr="00B02247">
        <w:t>of</w:t>
      </w:r>
      <w:r w:rsidR="005B2A41">
        <w:t xml:space="preserve"> </w:t>
      </w:r>
      <w:r w:rsidRPr="00B02247">
        <w:t>issues</w:t>
      </w:r>
      <w:r w:rsidR="005B2A41">
        <w:t xml:space="preserve"> </w:t>
      </w:r>
      <w:r w:rsidRPr="00B02247">
        <w:t>including</w:t>
      </w:r>
      <w:r w:rsidR="005B2A41">
        <w:t xml:space="preserve"> </w:t>
      </w:r>
      <w:r w:rsidRPr="00B02247">
        <w:t>the</w:t>
      </w:r>
      <w:r w:rsidR="005B2A41">
        <w:t xml:space="preserve"> </w:t>
      </w:r>
      <w:r w:rsidRPr="00B02247">
        <w:t>exercise</w:t>
      </w:r>
      <w:r w:rsidR="005B2A41">
        <w:t xml:space="preserve"> </w:t>
      </w:r>
      <w:r w:rsidRPr="00B02247">
        <w:t>and</w:t>
      </w:r>
      <w:r w:rsidR="005B2A41">
        <w:t xml:space="preserve"> </w:t>
      </w:r>
      <w:r w:rsidRPr="00B02247">
        <w:t>protection</w:t>
      </w:r>
      <w:r w:rsidR="005B2A41">
        <w:t xml:space="preserve"> </w:t>
      </w:r>
      <w:r w:rsidRPr="00B02247">
        <w:t>of</w:t>
      </w:r>
      <w:r w:rsidR="005B2A41">
        <w:t xml:space="preserve"> </w:t>
      </w:r>
      <w:r w:rsidRPr="00B02247">
        <w:t>civil</w:t>
      </w:r>
      <w:r w:rsidR="005B2A41">
        <w:t xml:space="preserve"> </w:t>
      </w:r>
      <w:r w:rsidRPr="00B02247">
        <w:t>rights</w:t>
      </w:r>
      <w:r w:rsidR="005B2A41">
        <w:t xml:space="preserve"> </w:t>
      </w:r>
      <w:r w:rsidRPr="00B02247">
        <w:t>(Article</w:t>
      </w:r>
      <w:r w:rsidR="005B2A41">
        <w:t xml:space="preserve"> </w:t>
      </w:r>
      <w:r w:rsidRPr="00B02247">
        <w:t>72</w:t>
      </w:r>
      <w:r w:rsidR="005B2A41">
        <w:t xml:space="preserve"> </w:t>
      </w:r>
      <w:r w:rsidRPr="00B02247">
        <w:t>(1)).</w:t>
      </w:r>
      <w:r w:rsidR="005B2A41">
        <w:t xml:space="preserve"> </w:t>
      </w:r>
    </w:p>
    <w:p w:rsidR="00F233AB" w:rsidRPr="00B02247" w:rsidRDefault="00F233AB" w:rsidP="00E1307D">
      <w:pPr>
        <w:pStyle w:val="SingleTxtG"/>
      </w:pPr>
      <w:r w:rsidRPr="00B02247">
        <w:t>14.</w:t>
      </w:r>
      <w:r w:rsidRPr="00B02247">
        <w:tab/>
        <w:t>Article</w:t>
      </w:r>
      <w:r w:rsidR="005B2A41">
        <w:t xml:space="preserve"> </w:t>
      </w:r>
      <w:r w:rsidRPr="00B02247">
        <w:t>29</w:t>
      </w:r>
      <w:r w:rsidR="005B2A41">
        <w:t xml:space="preserve"> </w:t>
      </w:r>
      <w:r w:rsidRPr="00B02247">
        <w:t>of</w:t>
      </w:r>
      <w:r w:rsidR="005B2A41">
        <w:t xml:space="preserve"> </w:t>
      </w:r>
      <w:r w:rsidRPr="00B02247">
        <w:t>the</w:t>
      </w:r>
      <w:r w:rsidR="005B2A41">
        <w:t xml:space="preserve"> </w:t>
      </w:r>
      <w:r w:rsidRPr="00B02247">
        <w:t>Constitution</w:t>
      </w:r>
      <w:r w:rsidR="005B2A41">
        <w:t xml:space="preserve"> </w:t>
      </w:r>
      <w:r w:rsidRPr="00B02247">
        <w:t>safeguards</w:t>
      </w:r>
      <w:r w:rsidR="005B2A41">
        <w:t xml:space="preserve"> </w:t>
      </w:r>
      <w:r w:rsidRPr="00B02247">
        <w:t>the</w:t>
      </w:r>
      <w:r w:rsidR="005B2A41">
        <w:t xml:space="preserve"> </w:t>
      </w:r>
      <w:r w:rsidRPr="00B02247">
        <w:t>right</w:t>
      </w:r>
      <w:r w:rsidR="005B2A41">
        <w:t xml:space="preserve"> </w:t>
      </w:r>
      <w:r w:rsidRPr="00B02247">
        <w:t>to</w:t>
      </w:r>
      <w:r w:rsidR="005B2A41">
        <w:t xml:space="preserve"> </w:t>
      </w:r>
      <w:r w:rsidRPr="00B02247">
        <w:t>freely</w:t>
      </w:r>
      <w:r w:rsidR="005B2A41">
        <w:t xml:space="preserve"> </w:t>
      </w:r>
      <w:r w:rsidRPr="00B02247">
        <w:t>found</w:t>
      </w:r>
      <w:r w:rsidR="005B2A41">
        <w:t xml:space="preserve"> </w:t>
      </w:r>
      <w:r w:rsidRPr="00B02247">
        <w:t>and</w:t>
      </w:r>
      <w:r w:rsidR="005B2A41">
        <w:t xml:space="preserve"> </w:t>
      </w:r>
      <w:r w:rsidRPr="00B02247">
        <w:t>join</w:t>
      </w:r>
      <w:r w:rsidR="005B2A41">
        <w:t xml:space="preserve"> </w:t>
      </w:r>
      <w:r w:rsidRPr="00B02247">
        <w:t>political</w:t>
      </w:r>
      <w:r w:rsidR="005B2A41">
        <w:t xml:space="preserve"> </w:t>
      </w:r>
      <w:r w:rsidRPr="00B02247">
        <w:t>parties,</w:t>
      </w:r>
      <w:r w:rsidR="005B2A41">
        <w:t xml:space="preserve"> </w:t>
      </w:r>
      <w:r w:rsidRPr="00B02247">
        <w:t>the</w:t>
      </w:r>
      <w:r w:rsidR="005B2A41">
        <w:t xml:space="preserve"> </w:t>
      </w:r>
      <w:r w:rsidRPr="00B02247">
        <w:t>organization</w:t>
      </w:r>
      <w:r w:rsidR="005B2A41">
        <w:t xml:space="preserve"> </w:t>
      </w:r>
      <w:r w:rsidRPr="00B02247">
        <w:t>and</w:t>
      </w:r>
      <w:r w:rsidR="005B2A41">
        <w:t xml:space="preserve"> </w:t>
      </w:r>
      <w:r w:rsidRPr="00B02247">
        <w:t>activity</w:t>
      </w:r>
      <w:r w:rsidR="005B2A41">
        <w:t xml:space="preserve"> </w:t>
      </w:r>
      <w:r w:rsidRPr="00B02247">
        <w:t>of</w:t>
      </w:r>
      <w:r w:rsidR="005B2A41">
        <w:t xml:space="preserve"> </w:t>
      </w:r>
      <w:r w:rsidRPr="00B02247">
        <w:t>which</w:t>
      </w:r>
      <w:r w:rsidR="005B2A41">
        <w:t xml:space="preserve"> </w:t>
      </w:r>
      <w:r w:rsidRPr="00B02247">
        <w:t>must</w:t>
      </w:r>
      <w:r w:rsidR="005B2A41">
        <w:t xml:space="preserve"> </w:t>
      </w:r>
      <w:r w:rsidRPr="00B02247">
        <w:t>serve</w:t>
      </w:r>
      <w:r w:rsidR="005B2A41">
        <w:t xml:space="preserve"> </w:t>
      </w:r>
      <w:r w:rsidRPr="00B02247">
        <w:t>the</w:t>
      </w:r>
      <w:r w:rsidR="005B2A41">
        <w:t xml:space="preserve"> </w:t>
      </w:r>
      <w:r w:rsidRPr="00B02247">
        <w:t>free</w:t>
      </w:r>
      <w:r w:rsidR="005B2A41">
        <w:t xml:space="preserve"> </w:t>
      </w:r>
      <w:r w:rsidRPr="00B02247">
        <w:t>functioning</w:t>
      </w:r>
      <w:r w:rsidR="005B2A41">
        <w:t xml:space="preserve"> </w:t>
      </w:r>
      <w:r w:rsidRPr="00B02247">
        <w:t>of</w:t>
      </w:r>
      <w:r w:rsidR="005B2A41">
        <w:t xml:space="preserve"> </w:t>
      </w:r>
      <w:r w:rsidRPr="00B02247">
        <w:t>democratic</w:t>
      </w:r>
      <w:r w:rsidR="005B2A41">
        <w:t xml:space="preserve"> </w:t>
      </w:r>
      <w:r w:rsidRPr="00B02247">
        <w:t>Government.</w:t>
      </w:r>
      <w:r w:rsidR="005B2A41">
        <w:t xml:space="preserve"> </w:t>
      </w:r>
      <w:r w:rsidRPr="00B02247">
        <w:t>According</w:t>
      </w:r>
      <w:r w:rsidR="005B2A41">
        <w:t xml:space="preserve"> </w:t>
      </w:r>
      <w:r w:rsidRPr="00B02247">
        <w:t>to</w:t>
      </w:r>
      <w:r w:rsidR="005B2A41">
        <w:t xml:space="preserve"> </w:t>
      </w:r>
      <w:r w:rsidRPr="00B02247">
        <w:t>the</w:t>
      </w:r>
      <w:r w:rsidR="005B2A41">
        <w:t xml:space="preserve"> </w:t>
      </w:r>
      <w:r w:rsidRPr="00B02247">
        <w:t>same</w:t>
      </w:r>
      <w:r w:rsidR="005B2A41">
        <w:t xml:space="preserve"> </w:t>
      </w:r>
      <w:r w:rsidRPr="00B02247">
        <w:t>Article,</w:t>
      </w:r>
      <w:r w:rsidR="005B2A41">
        <w:t xml:space="preserve"> </w:t>
      </w:r>
      <w:r w:rsidRPr="00B02247">
        <w:t>political</w:t>
      </w:r>
      <w:r w:rsidR="005B2A41">
        <w:t xml:space="preserve"> </w:t>
      </w:r>
      <w:r w:rsidRPr="00B02247">
        <w:t>parties</w:t>
      </w:r>
      <w:r w:rsidR="005B2A41">
        <w:t xml:space="preserve"> </w:t>
      </w:r>
      <w:r w:rsidRPr="00B02247">
        <w:t>are</w:t>
      </w:r>
      <w:r w:rsidR="005B2A41">
        <w:t xml:space="preserve"> </w:t>
      </w:r>
      <w:r w:rsidRPr="00B02247">
        <w:t>entitled</w:t>
      </w:r>
      <w:r w:rsidR="005B2A41">
        <w:t xml:space="preserve"> </w:t>
      </w:r>
      <w:r w:rsidRPr="00B02247">
        <w:t>to</w:t>
      </w:r>
      <w:r w:rsidR="005B2A41">
        <w:t xml:space="preserve"> </w:t>
      </w:r>
      <w:r w:rsidRPr="00B02247">
        <w:t>receive</w:t>
      </w:r>
      <w:r w:rsidR="005B2A41">
        <w:t xml:space="preserve"> </w:t>
      </w:r>
      <w:r w:rsidRPr="00B02247">
        <w:t>financial</w:t>
      </w:r>
      <w:r w:rsidR="005B2A41">
        <w:t xml:space="preserve"> </w:t>
      </w:r>
      <w:r w:rsidRPr="00B02247">
        <w:t>support</w:t>
      </w:r>
      <w:r w:rsidR="005B2A41">
        <w:t xml:space="preserve"> </w:t>
      </w:r>
      <w:r w:rsidRPr="00B02247">
        <w:t>by</w:t>
      </w:r>
      <w:r w:rsidR="005B2A41">
        <w:t xml:space="preserve"> </w:t>
      </w:r>
      <w:r w:rsidRPr="00B02247">
        <w:t>the</w:t>
      </w:r>
      <w:r w:rsidR="005B2A41">
        <w:t xml:space="preserve"> </w:t>
      </w:r>
      <w:r w:rsidRPr="00B02247">
        <w:t>State</w:t>
      </w:r>
      <w:r w:rsidR="005B2A41">
        <w:t xml:space="preserve"> </w:t>
      </w:r>
      <w:r w:rsidRPr="00B02247">
        <w:t>for</w:t>
      </w:r>
      <w:r w:rsidR="005B2A41">
        <w:t xml:space="preserve"> </w:t>
      </w:r>
      <w:r w:rsidRPr="00B02247">
        <w:t>their</w:t>
      </w:r>
      <w:r w:rsidR="005B2A41">
        <w:t xml:space="preserve"> </w:t>
      </w:r>
      <w:r w:rsidRPr="00B02247">
        <w:t>electoral</w:t>
      </w:r>
      <w:r w:rsidR="005B2A41">
        <w:t xml:space="preserve"> </w:t>
      </w:r>
      <w:r w:rsidRPr="00B02247">
        <w:t>and</w:t>
      </w:r>
      <w:r w:rsidR="005B2A41">
        <w:t xml:space="preserve"> </w:t>
      </w:r>
      <w:r w:rsidRPr="00B02247">
        <w:t>operating</w:t>
      </w:r>
      <w:r w:rsidR="005B2A41">
        <w:t xml:space="preserve"> </w:t>
      </w:r>
      <w:r w:rsidRPr="00B02247">
        <w:t>expenses,</w:t>
      </w:r>
      <w:r w:rsidR="005B2A41">
        <w:t xml:space="preserve"> </w:t>
      </w:r>
      <w:r w:rsidRPr="00B02247">
        <w:t>as</w:t>
      </w:r>
      <w:r w:rsidR="005B2A41">
        <w:t xml:space="preserve"> </w:t>
      </w:r>
      <w:r w:rsidRPr="00B02247">
        <w:t>specified</w:t>
      </w:r>
      <w:r w:rsidR="005B2A41">
        <w:t xml:space="preserve"> </w:t>
      </w:r>
      <w:r w:rsidRPr="00B02247">
        <w:t>by</w:t>
      </w:r>
      <w:r w:rsidR="005B2A41">
        <w:t xml:space="preserve"> </w:t>
      </w:r>
      <w:r w:rsidRPr="00B02247">
        <w:t>law.</w:t>
      </w:r>
      <w:r w:rsidR="005B2A41">
        <w:t xml:space="preserve"> </w:t>
      </w:r>
      <w:r w:rsidRPr="00B02247">
        <w:t>A</w:t>
      </w:r>
      <w:r w:rsidR="005B2A41">
        <w:t xml:space="preserve"> </w:t>
      </w:r>
      <w:r w:rsidRPr="00B02247">
        <w:t>statute</w:t>
      </w:r>
      <w:r w:rsidR="005B2A41">
        <w:t xml:space="preserve"> </w:t>
      </w:r>
      <w:r w:rsidRPr="00B02247">
        <w:t>shall</w:t>
      </w:r>
      <w:r w:rsidR="005B2A41">
        <w:t xml:space="preserve"> </w:t>
      </w:r>
      <w:r w:rsidRPr="00B02247">
        <w:t>specify</w:t>
      </w:r>
      <w:r w:rsidR="005B2A41">
        <w:t xml:space="preserve"> </w:t>
      </w:r>
      <w:r w:rsidRPr="00B02247">
        <w:t>the</w:t>
      </w:r>
      <w:r w:rsidR="005B2A41">
        <w:t xml:space="preserve"> </w:t>
      </w:r>
      <w:r w:rsidRPr="00B02247">
        <w:t>guarantees</w:t>
      </w:r>
      <w:r w:rsidR="005B2A41">
        <w:t xml:space="preserve"> </w:t>
      </w:r>
      <w:r w:rsidRPr="00B02247">
        <w:t>of</w:t>
      </w:r>
      <w:r w:rsidR="005B2A41">
        <w:t xml:space="preserve"> </w:t>
      </w:r>
      <w:r w:rsidRPr="00B02247">
        <w:t>transparency</w:t>
      </w:r>
      <w:r w:rsidR="005B2A41">
        <w:t xml:space="preserve"> </w:t>
      </w:r>
      <w:r w:rsidRPr="00B02247">
        <w:t>concerning</w:t>
      </w:r>
      <w:r w:rsidR="005B2A41">
        <w:t xml:space="preserve"> </w:t>
      </w:r>
      <w:r w:rsidRPr="00B02247">
        <w:t>electoral</w:t>
      </w:r>
      <w:r w:rsidR="005B2A41">
        <w:t xml:space="preserve"> </w:t>
      </w:r>
      <w:r w:rsidRPr="00B02247">
        <w:t>expenses.</w:t>
      </w:r>
    </w:p>
    <w:p w:rsidR="00F233AB" w:rsidRPr="00B02247" w:rsidRDefault="00F233AB" w:rsidP="00E1307D">
      <w:pPr>
        <w:pStyle w:val="SingleTxtG"/>
      </w:pPr>
      <w:r w:rsidRPr="00B02247">
        <w:t>15.</w:t>
      </w:r>
      <w:r w:rsidRPr="00B02247">
        <w:tab/>
        <w:t>The</w:t>
      </w:r>
      <w:r w:rsidR="005B2A41">
        <w:t xml:space="preserve"> </w:t>
      </w:r>
      <w:r w:rsidRPr="00B02247">
        <w:t>executive</w:t>
      </w:r>
      <w:r w:rsidR="005B2A41">
        <w:t xml:space="preserve"> </w:t>
      </w:r>
      <w:r w:rsidRPr="00B02247">
        <w:t>power</w:t>
      </w:r>
      <w:r w:rsidR="005B2A41">
        <w:t xml:space="preserve"> </w:t>
      </w:r>
      <w:r w:rsidRPr="00B02247">
        <w:t>is</w:t>
      </w:r>
      <w:r w:rsidR="005B2A41">
        <w:t xml:space="preserve"> </w:t>
      </w:r>
      <w:r w:rsidRPr="00B02247">
        <w:t>exercised</w:t>
      </w:r>
      <w:r w:rsidR="005B2A41">
        <w:t xml:space="preserve"> </w:t>
      </w:r>
      <w:r w:rsidRPr="00B02247">
        <w:t>jointly</w:t>
      </w:r>
      <w:r w:rsidR="005B2A41">
        <w:t xml:space="preserve"> </w:t>
      </w:r>
      <w:r w:rsidRPr="00B02247">
        <w:t>by</w:t>
      </w:r>
      <w:r w:rsidR="005B2A41">
        <w:t xml:space="preserve"> </w:t>
      </w:r>
      <w:r w:rsidRPr="00B02247">
        <w:t>the</w:t>
      </w:r>
      <w:r w:rsidR="005B2A41">
        <w:t xml:space="preserve"> </w:t>
      </w:r>
      <w:r w:rsidRPr="00B02247">
        <w:t>President</w:t>
      </w:r>
      <w:r w:rsidR="005B2A41">
        <w:t xml:space="preserve"> </w:t>
      </w:r>
      <w:r w:rsidRPr="00B02247">
        <w:t>of</w:t>
      </w:r>
      <w:r w:rsidR="005B2A41">
        <w:t xml:space="preserve"> </w:t>
      </w:r>
      <w:r w:rsidRPr="00B02247">
        <w:t>the</w:t>
      </w:r>
      <w:r w:rsidR="005B2A41">
        <w:t xml:space="preserve"> </w:t>
      </w:r>
      <w:r w:rsidRPr="00B02247">
        <w:t>Republic</w:t>
      </w:r>
      <w:r w:rsidR="005B2A41">
        <w:t xml:space="preserve"> </w:t>
      </w:r>
      <w:r w:rsidRPr="00B02247">
        <w:t>and</w:t>
      </w:r>
      <w:r w:rsidR="005B2A41">
        <w:t xml:space="preserve"> </w:t>
      </w:r>
      <w:r w:rsidRPr="00B02247">
        <w:t>the</w:t>
      </w:r>
      <w:r w:rsidR="005B2A41">
        <w:t xml:space="preserve"> </w:t>
      </w:r>
      <w:r w:rsidRPr="00B02247">
        <w:t>Government.</w:t>
      </w:r>
      <w:r w:rsidR="005B2A41">
        <w:t xml:space="preserve"> </w:t>
      </w:r>
      <w:r w:rsidRPr="00B02247">
        <w:t>The</w:t>
      </w:r>
      <w:r w:rsidR="005B2A41">
        <w:t xml:space="preserve"> </w:t>
      </w:r>
      <w:r w:rsidRPr="00B02247">
        <w:t>President</w:t>
      </w:r>
      <w:r w:rsidR="005B2A41">
        <w:t xml:space="preserve"> </w:t>
      </w:r>
      <w:r w:rsidRPr="00B02247">
        <w:t>of</w:t>
      </w:r>
      <w:r w:rsidR="005B2A41">
        <w:t xml:space="preserve"> </w:t>
      </w:r>
      <w:r w:rsidRPr="00B02247">
        <w:t>the</w:t>
      </w:r>
      <w:r w:rsidR="005B2A41">
        <w:t xml:space="preserve"> </w:t>
      </w:r>
      <w:r w:rsidRPr="00B02247">
        <w:t>Republic</w:t>
      </w:r>
      <w:r w:rsidR="005B2A41">
        <w:t xml:space="preserve"> </w:t>
      </w:r>
      <w:r w:rsidRPr="00B02247">
        <w:t>regulates</w:t>
      </w:r>
      <w:r w:rsidR="005B2A41">
        <w:t xml:space="preserve"> </w:t>
      </w:r>
      <w:r w:rsidRPr="00B02247">
        <w:t>the</w:t>
      </w:r>
      <w:r w:rsidR="005B2A41">
        <w:t xml:space="preserve"> </w:t>
      </w:r>
      <w:r w:rsidRPr="00B02247">
        <w:t>function</w:t>
      </w:r>
      <w:r w:rsidR="005B2A41">
        <w:t xml:space="preserve"> </w:t>
      </w:r>
      <w:r w:rsidRPr="00B02247">
        <w:t>of</w:t>
      </w:r>
      <w:r w:rsidR="005B2A41">
        <w:t xml:space="preserve"> </w:t>
      </w:r>
      <w:r w:rsidRPr="00B02247">
        <w:t>the</w:t>
      </w:r>
      <w:r w:rsidR="005B2A41">
        <w:t xml:space="preserve"> </w:t>
      </w:r>
      <w:r w:rsidRPr="00B02247">
        <w:t>institutions</w:t>
      </w:r>
      <w:r w:rsidR="005B2A41">
        <w:t xml:space="preserve"> </w:t>
      </w:r>
      <w:r w:rsidRPr="00B02247">
        <w:t>of</w:t>
      </w:r>
      <w:r w:rsidR="005B2A41">
        <w:t xml:space="preserve"> </w:t>
      </w:r>
      <w:r w:rsidRPr="00B02247">
        <w:t>the</w:t>
      </w:r>
      <w:r w:rsidR="005B2A41">
        <w:t xml:space="preserve"> </w:t>
      </w:r>
      <w:r w:rsidRPr="00B02247">
        <w:t>Republic</w:t>
      </w:r>
      <w:r w:rsidR="005B2A41">
        <w:t xml:space="preserve"> </w:t>
      </w:r>
      <w:r w:rsidRPr="00B02247">
        <w:t>(Article</w:t>
      </w:r>
      <w:r w:rsidR="005B2A41">
        <w:t xml:space="preserve"> </w:t>
      </w:r>
      <w:r w:rsidRPr="00B02247">
        <w:t>30</w:t>
      </w:r>
      <w:r w:rsidR="005B2A41">
        <w:t xml:space="preserve"> </w:t>
      </w:r>
      <w:r w:rsidRPr="00B02247">
        <w:t>of</w:t>
      </w:r>
      <w:r w:rsidR="005B2A41">
        <w:t xml:space="preserve"> </w:t>
      </w:r>
      <w:r w:rsidRPr="00B02247">
        <w:t>the</w:t>
      </w:r>
      <w:r w:rsidR="005B2A41">
        <w:t xml:space="preserve"> </w:t>
      </w:r>
      <w:r w:rsidRPr="00B02247">
        <w:t>Constitution).</w:t>
      </w:r>
      <w:r w:rsidR="005B2A41">
        <w:t xml:space="preserve"> </w:t>
      </w:r>
      <w:r w:rsidRPr="00B02247">
        <w:t>He</w:t>
      </w:r>
      <w:r w:rsidR="005B2A41">
        <w:t xml:space="preserve"> </w:t>
      </w:r>
      <w:r w:rsidRPr="00B02247">
        <w:t>/she</w:t>
      </w:r>
      <w:r w:rsidR="005B2A41">
        <w:t xml:space="preserve"> </w:t>
      </w:r>
      <w:r w:rsidRPr="00B02247">
        <w:t>is</w:t>
      </w:r>
      <w:r w:rsidR="005B2A41">
        <w:t xml:space="preserve"> </w:t>
      </w:r>
      <w:r w:rsidRPr="00B02247">
        <w:t>elected</w:t>
      </w:r>
      <w:r w:rsidR="005B2A41">
        <w:t xml:space="preserve"> </w:t>
      </w:r>
      <w:r w:rsidRPr="00B02247">
        <w:t>by</w:t>
      </w:r>
      <w:r w:rsidR="005B2A41">
        <w:t xml:space="preserve"> </w:t>
      </w:r>
      <w:r w:rsidRPr="00B02247">
        <w:t>the</w:t>
      </w:r>
      <w:r w:rsidR="005B2A41">
        <w:t xml:space="preserve"> </w:t>
      </w:r>
      <w:r w:rsidRPr="00B02247">
        <w:t>Parliament</w:t>
      </w:r>
      <w:r w:rsidR="005B2A41">
        <w:t xml:space="preserve"> </w:t>
      </w:r>
      <w:r w:rsidRPr="00B02247">
        <w:t>for</w:t>
      </w:r>
      <w:r w:rsidR="005B2A41">
        <w:t xml:space="preserve"> </w:t>
      </w:r>
      <w:r w:rsidRPr="00B02247">
        <w:t>a</w:t>
      </w:r>
      <w:r w:rsidR="005B2A41">
        <w:t xml:space="preserve"> </w:t>
      </w:r>
      <w:r w:rsidRPr="00B02247">
        <w:t>term</w:t>
      </w:r>
      <w:r w:rsidR="005B2A41">
        <w:t xml:space="preserve"> </w:t>
      </w:r>
      <w:r w:rsidRPr="00B02247">
        <w:t>of</w:t>
      </w:r>
      <w:r w:rsidR="005B2A41">
        <w:t xml:space="preserve"> </w:t>
      </w:r>
      <w:r w:rsidRPr="00B02247">
        <w:t>five</w:t>
      </w:r>
      <w:r w:rsidR="005B2A41">
        <w:t xml:space="preserve"> </w:t>
      </w:r>
      <w:r w:rsidRPr="00B02247">
        <w:t>years,</w:t>
      </w:r>
      <w:r w:rsidR="005B2A41">
        <w:t xml:space="preserve"> </w:t>
      </w:r>
      <w:r w:rsidRPr="00B02247">
        <w:t>but</w:t>
      </w:r>
      <w:r w:rsidR="005B2A41">
        <w:t xml:space="preserve"> </w:t>
      </w:r>
      <w:r w:rsidRPr="00B02247">
        <w:t>is</w:t>
      </w:r>
      <w:r w:rsidR="005B2A41">
        <w:t xml:space="preserve"> </w:t>
      </w:r>
      <w:r w:rsidRPr="00B02247">
        <w:t>not</w:t>
      </w:r>
      <w:r w:rsidR="005B2A41">
        <w:t xml:space="preserve"> </w:t>
      </w:r>
      <w:r w:rsidRPr="00B02247">
        <w:t>politically</w:t>
      </w:r>
      <w:r w:rsidR="005B2A41">
        <w:t xml:space="preserve"> </w:t>
      </w:r>
      <w:r w:rsidRPr="00B02247">
        <w:t>accountable</w:t>
      </w:r>
      <w:r w:rsidR="005B2A41">
        <w:t xml:space="preserve"> </w:t>
      </w:r>
      <w:r w:rsidRPr="00B02247">
        <w:t>to</w:t>
      </w:r>
      <w:r w:rsidR="005B2A41">
        <w:t xml:space="preserve"> </w:t>
      </w:r>
      <w:r w:rsidRPr="00B02247">
        <w:t>it</w:t>
      </w:r>
      <w:r w:rsidR="005B2A41">
        <w:t xml:space="preserve"> </w:t>
      </w:r>
      <w:r w:rsidRPr="00B02247">
        <w:t>or</w:t>
      </w:r>
      <w:r w:rsidR="005B2A41">
        <w:t xml:space="preserve"> </w:t>
      </w:r>
      <w:r w:rsidRPr="00B02247">
        <w:t>dependent</w:t>
      </w:r>
      <w:r w:rsidR="005B2A41">
        <w:t xml:space="preserve"> </w:t>
      </w:r>
      <w:r w:rsidRPr="00B02247">
        <w:t>upon</w:t>
      </w:r>
      <w:r w:rsidR="005B2A41">
        <w:t xml:space="preserve"> </w:t>
      </w:r>
      <w:r w:rsidRPr="00B02247">
        <w:t>its</w:t>
      </w:r>
      <w:r w:rsidR="005B2A41">
        <w:t xml:space="preserve"> </w:t>
      </w:r>
      <w:r w:rsidRPr="00B02247">
        <w:t>confidence.</w:t>
      </w:r>
      <w:r w:rsidR="005B2A41">
        <w:t xml:space="preserve"> </w:t>
      </w:r>
      <w:r w:rsidRPr="00B02247">
        <w:t>A</w:t>
      </w:r>
      <w:r w:rsidR="005B2A41">
        <w:t xml:space="preserve"> </w:t>
      </w:r>
      <w:r w:rsidRPr="00B02247">
        <w:t>qualified</w:t>
      </w:r>
      <w:r w:rsidR="005B2A41">
        <w:t xml:space="preserve"> </w:t>
      </w:r>
      <w:r w:rsidRPr="00B02247">
        <w:t>majority</w:t>
      </w:r>
      <w:r w:rsidR="005B2A41">
        <w:t xml:space="preserve"> </w:t>
      </w:r>
      <w:r w:rsidRPr="00B02247">
        <w:t>of</w:t>
      </w:r>
      <w:r w:rsidR="005B2A41">
        <w:t xml:space="preserve"> </w:t>
      </w:r>
      <w:r w:rsidRPr="00B02247">
        <w:t>two-thirds</w:t>
      </w:r>
      <w:r w:rsidR="005B2A41">
        <w:t xml:space="preserve"> </w:t>
      </w:r>
      <w:r w:rsidRPr="00B02247">
        <w:t>(in</w:t>
      </w:r>
      <w:r w:rsidR="005B2A41">
        <w:t xml:space="preserve"> </w:t>
      </w:r>
      <w:r w:rsidRPr="00B02247">
        <w:t>the</w:t>
      </w:r>
      <w:r w:rsidR="005B2A41">
        <w:t xml:space="preserve"> </w:t>
      </w:r>
      <w:r w:rsidRPr="00B02247">
        <w:t>first</w:t>
      </w:r>
      <w:r w:rsidR="005B2A41">
        <w:t xml:space="preserve"> </w:t>
      </w:r>
      <w:r w:rsidRPr="00B02247">
        <w:t>two</w:t>
      </w:r>
      <w:r w:rsidR="005B2A41">
        <w:t xml:space="preserve"> </w:t>
      </w:r>
      <w:r w:rsidRPr="00B02247">
        <w:t>stages)</w:t>
      </w:r>
      <w:r w:rsidR="005B2A41">
        <w:t xml:space="preserve"> </w:t>
      </w:r>
      <w:r w:rsidRPr="00B02247">
        <w:t>and</w:t>
      </w:r>
      <w:r w:rsidR="005B2A41">
        <w:t xml:space="preserve"> </w:t>
      </w:r>
      <w:r w:rsidRPr="00B02247">
        <w:t>three-fifths</w:t>
      </w:r>
      <w:r w:rsidR="005B2A41">
        <w:t xml:space="preserve"> </w:t>
      </w:r>
      <w:r w:rsidRPr="00B02247">
        <w:t>(in</w:t>
      </w:r>
      <w:r w:rsidR="005B2A41">
        <w:t xml:space="preserve"> </w:t>
      </w:r>
      <w:r w:rsidRPr="00B02247">
        <w:t>the</w:t>
      </w:r>
      <w:r w:rsidR="005B2A41">
        <w:t xml:space="preserve"> </w:t>
      </w:r>
      <w:r w:rsidRPr="00B02247">
        <w:t>third</w:t>
      </w:r>
      <w:r w:rsidR="005B2A41">
        <w:t xml:space="preserve"> </w:t>
      </w:r>
      <w:r w:rsidRPr="00B02247">
        <w:t>stage)</w:t>
      </w:r>
      <w:r w:rsidR="005B2A41">
        <w:t xml:space="preserve"> </w:t>
      </w:r>
      <w:r w:rsidRPr="00B02247">
        <w:t>of</w:t>
      </w:r>
      <w:r w:rsidR="005B2A41">
        <w:t xml:space="preserve"> </w:t>
      </w:r>
      <w:r w:rsidRPr="00B02247">
        <w:t>the</w:t>
      </w:r>
      <w:r w:rsidR="005B2A41">
        <w:t xml:space="preserve"> </w:t>
      </w:r>
      <w:r w:rsidRPr="00B02247">
        <w:t>Members</w:t>
      </w:r>
      <w:r w:rsidR="005B2A41">
        <w:t xml:space="preserve"> </w:t>
      </w:r>
      <w:r w:rsidRPr="00B02247">
        <w:t>of</w:t>
      </w:r>
      <w:r w:rsidR="005B2A41">
        <w:t xml:space="preserve"> </w:t>
      </w:r>
      <w:r w:rsidRPr="00B02247">
        <w:t>Parliament</w:t>
      </w:r>
      <w:r w:rsidR="005B2A41">
        <w:t xml:space="preserve"> </w:t>
      </w:r>
      <w:r w:rsidRPr="00B02247">
        <w:t>is</w:t>
      </w:r>
      <w:r w:rsidR="005B2A41">
        <w:t xml:space="preserve"> </w:t>
      </w:r>
      <w:r w:rsidRPr="00B02247">
        <w:t>required;</w:t>
      </w:r>
      <w:r w:rsidR="005B2A41">
        <w:t xml:space="preserve"> </w:t>
      </w:r>
      <w:r w:rsidRPr="00B02247">
        <w:t>if</w:t>
      </w:r>
      <w:r w:rsidR="005B2A41">
        <w:t xml:space="preserve"> </w:t>
      </w:r>
      <w:r w:rsidRPr="00B02247">
        <w:t>the</w:t>
      </w:r>
      <w:r w:rsidR="005B2A41">
        <w:t xml:space="preserve"> </w:t>
      </w:r>
      <w:r w:rsidRPr="00B02247">
        <w:t>required</w:t>
      </w:r>
      <w:r w:rsidR="005B2A41">
        <w:t xml:space="preserve"> </w:t>
      </w:r>
      <w:r w:rsidRPr="00B02247">
        <w:t>majority</w:t>
      </w:r>
      <w:r w:rsidR="005B2A41">
        <w:t xml:space="preserve"> </w:t>
      </w:r>
      <w:r w:rsidRPr="00B02247">
        <w:t>is</w:t>
      </w:r>
      <w:r w:rsidR="005B2A41">
        <w:t xml:space="preserve"> </w:t>
      </w:r>
      <w:r w:rsidRPr="00B02247">
        <w:t>not</w:t>
      </w:r>
      <w:r w:rsidR="005B2A41">
        <w:t xml:space="preserve"> </w:t>
      </w:r>
      <w:r w:rsidRPr="00B02247">
        <w:t>attained,</w:t>
      </w:r>
      <w:r w:rsidR="005B2A41">
        <w:t xml:space="preserve"> </w:t>
      </w:r>
      <w:r w:rsidRPr="00B02247">
        <w:t>Parliament</w:t>
      </w:r>
      <w:r w:rsidR="005B2A41">
        <w:t xml:space="preserve"> </w:t>
      </w:r>
      <w:r w:rsidRPr="00B02247">
        <w:t>is</w:t>
      </w:r>
      <w:r w:rsidR="005B2A41">
        <w:t xml:space="preserve"> </w:t>
      </w:r>
      <w:r w:rsidRPr="00B02247">
        <w:t>dissolved</w:t>
      </w:r>
      <w:r w:rsidR="005B2A41">
        <w:t xml:space="preserve"> </w:t>
      </w:r>
      <w:r w:rsidRPr="00B02247">
        <w:t>and</w:t>
      </w:r>
      <w:r w:rsidR="005B2A41">
        <w:t xml:space="preserve"> </w:t>
      </w:r>
      <w:r w:rsidRPr="00B02247">
        <w:t>the</w:t>
      </w:r>
      <w:r w:rsidR="005B2A41">
        <w:t xml:space="preserve"> </w:t>
      </w:r>
      <w:r w:rsidRPr="00B02247">
        <w:t>new</w:t>
      </w:r>
      <w:r w:rsidR="005B2A41">
        <w:t xml:space="preserve"> </w:t>
      </w:r>
      <w:r w:rsidRPr="00B02247">
        <w:t>Parliament</w:t>
      </w:r>
      <w:r w:rsidR="005B2A41">
        <w:t xml:space="preserve"> </w:t>
      </w:r>
      <w:r w:rsidRPr="00B02247">
        <w:t>shall</w:t>
      </w:r>
      <w:r w:rsidR="005B2A41">
        <w:t xml:space="preserve"> </w:t>
      </w:r>
      <w:r w:rsidRPr="00B02247">
        <w:t>elect</w:t>
      </w:r>
      <w:r w:rsidR="005B2A41">
        <w:t xml:space="preserve"> </w:t>
      </w:r>
      <w:r w:rsidRPr="00B02247">
        <w:t>the</w:t>
      </w:r>
      <w:r w:rsidR="005B2A41">
        <w:t xml:space="preserve"> </w:t>
      </w:r>
      <w:r w:rsidRPr="00B02247">
        <w:t>President</w:t>
      </w:r>
      <w:r w:rsidR="005B2A41">
        <w:t xml:space="preserve"> </w:t>
      </w:r>
      <w:r w:rsidRPr="00B02247">
        <w:t>of</w:t>
      </w:r>
      <w:r w:rsidR="005B2A41">
        <w:t xml:space="preserve"> </w:t>
      </w:r>
      <w:r w:rsidRPr="00B02247">
        <w:t>the</w:t>
      </w:r>
      <w:r w:rsidR="005B2A41">
        <w:t xml:space="preserve"> </w:t>
      </w:r>
      <w:r w:rsidRPr="00B02247">
        <w:t>Republic</w:t>
      </w:r>
      <w:r w:rsidR="005B2A41">
        <w:t xml:space="preserve"> </w:t>
      </w:r>
      <w:r w:rsidRPr="00B02247">
        <w:t>with</w:t>
      </w:r>
      <w:r w:rsidR="005B2A41">
        <w:t xml:space="preserve"> </w:t>
      </w:r>
      <w:r w:rsidRPr="00B02247">
        <w:t>a</w:t>
      </w:r>
      <w:r w:rsidR="005B2A41">
        <w:t xml:space="preserve"> </w:t>
      </w:r>
      <w:r w:rsidRPr="00B02247">
        <w:t>majority</w:t>
      </w:r>
      <w:r w:rsidR="005B2A41">
        <w:t xml:space="preserve"> </w:t>
      </w:r>
      <w:r w:rsidRPr="00B02247">
        <w:t>of</w:t>
      </w:r>
      <w:r w:rsidR="005B2A41">
        <w:t xml:space="preserve"> </w:t>
      </w:r>
      <w:r w:rsidRPr="00B02247">
        <w:t>three-fifths</w:t>
      </w:r>
      <w:r w:rsidR="005B2A41">
        <w:t xml:space="preserve"> </w:t>
      </w:r>
      <w:r w:rsidRPr="00B02247">
        <w:t>of</w:t>
      </w:r>
      <w:r w:rsidR="005B2A41">
        <w:t xml:space="preserve"> </w:t>
      </w:r>
      <w:r w:rsidRPr="00B02247">
        <w:t>the</w:t>
      </w:r>
      <w:r w:rsidR="005B2A41">
        <w:t xml:space="preserve"> </w:t>
      </w:r>
      <w:r w:rsidRPr="00B02247">
        <w:t>MPs</w:t>
      </w:r>
      <w:r w:rsidR="005B2A41">
        <w:t xml:space="preserve"> </w:t>
      </w:r>
      <w:r w:rsidRPr="00B02247">
        <w:t>or,</w:t>
      </w:r>
      <w:r w:rsidR="005B2A41">
        <w:t xml:space="preserve"> </w:t>
      </w:r>
      <w:r w:rsidRPr="00B02247">
        <w:t>if</w:t>
      </w:r>
      <w:r w:rsidR="005B2A41">
        <w:t xml:space="preserve"> </w:t>
      </w:r>
      <w:r w:rsidRPr="00B02247">
        <w:t>such</w:t>
      </w:r>
      <w:r w:rsidR="005B2A41">
        <w:t xml:space="preserve"> </w:t>
      </w:r>
      <w:r w:rsidRPr="00B02247">
        <w:t>majority</w:t>
      </w:r>
      <w:r w:rsidR="005B2A41">
        <w:t xml:space="preserve"> </w:t>
      </w:r>
      <w:r w:rsidRPr="00B02247">
        <w:t>is</w:t>
      </w:r>
      <w:r w:rsidR="005B2A41">
        <w:t xml:space="preserve"> </w:t>
      </w:r>
      <w:r w:rsidRPr="00B02247">
        <w:t>not</w:t>
      </w:r>
      <w:r w:rsidR="005B2A41">
        <w:t xml:space="preserve"> </w:t>
      </w:r>
      <w:r w:rsidRPr="00B02247">
        <w:t>attained,</w:t>
      </w:r>
      <w:r w:rsidR="005B2A41">
        <w:t xml:space="preserve"> </w:t>
      </w:r>
      <w:r w:rsidRPr="00B02247">
        <w:t>with</w:t>
      </w:r>
      <w:r w:rsidR="005B2A41">
        <w:t xml:space="preserve"> </w:t>
      </w:r>
      <w:r w:rsidRPr="00B02247">
        <w:t>the</w:t>
      </w:r>
      <w:r w:rsidR="005B2A41">
        <w:t xml:space="preserve"> </w:t>
      </w:r>
      <w:r w:rsidRPr="00B02247">
        <w:t>absolute</w:t>
      </w:r>
      <w:r w:rsidR="005B2A41">
        <w:t xml:space="preserve"> </w:t>
      </w:r>
      <w:r w:rsidRPr="00B02247">
        <w:t>or,</w:t>
      </w:r>
      <w:r w:rsidR="005B2A41">
        <w:t xml:space="preserve"> </w:t>
      </w:r>
      <w:r w:rsidRPr="00B02247">
        <w:t>ultimately,</w:t>
      </w:r>
      <w:r w:rsidR="005B2A41">
        <w:t xml:space="preserve"> </w:t>
      </w:r>
      <w:r w:rsidRPr="00B02247">
        <w:t>the</w:t>
      </w:r>
      <w:r w:rsidR="005B2A41">
        <w:t xml:space="preserve"> </w:t>
      </w:r>
      <w:r w:rsidRPr="00B02247">
        <w:t>relative</w:t>
      </w:r>
      <w:r w:rsidR="005B2A41">
        <w:t xml:space="preserve"> </w:t>
      </w:r>
      <w:r w:rsidRPr="00B02247">
        <w:t>majority</w:t>
      </w:r>
      <w:r w:rsidR="005B2A41">
        <w:t xml:space="preserve"> </w:t>
      </w:r>
      <w:r w:rsidRPr="00B02247">
        <w:t>of</w:t>
      </w:r>
      <w:r w:rsidR="005B2A41">
        <w:t xml:space="preserve"> </w:t>
      </w:r>
      <w:r w:rsidRPr="00B02247">
        <w:t>the</w:t>
      </w:r>
      <w:r w:rsidR="005B2A41">
        <w:t xml:space="preserve"> </w:t>
      </w:r>
      <w:r w:rsidRPr="00B02247">
        <w:t>MPs.</w:t>
      </w:r>
      <w:r w:rsidR="005B2A41">
        <w:t xml:space="preserve"> </w:t>
      </w:r>
      <w:r w:rsidRPr="00B02247">
        <w:t>The</w:t>
      </w:r>
      <w:r w:rsidR="005B2A41">
        <w:t xml:space="preserve"> </w:t>
      </w:r>
      <w:r w:rsidRPr="00B02247">
        <w:t>President</w:t>
      </w:r>
      <w:r w:rsidR="005B2A41">
        <w:t xml:space="preserve"> </w:t>
      </w:r>
      <w:r w:rsidRPr="00B02247">
        <w:t>of</w:t>
      </w:r>
      <w:r w:rsidR="005B2A41">
        <w:t xml:space="preserve"> </w:t>
      </w:r>
      <w:r w:rsidRPr="00B02247">
        <w:t>the</w:t>
      </w:r>
      <w:r w:rsidR="005B2A41">
        <w:t xml:space="preserve"> </w:t>
      </w:r>
      <w:r w:rsidRPr="00B02247">
        <w:t>Republic</w:t>
      </w:r>
      <w:r w:rsidR="005B2A41">
        <w:t xml:space="preserve"> </w:t>
      </w:r>
      <w:r w:rsidRPr="00B02247">
        <w:t>represents</w:t>
      </w:r>
      <w:r w:rsidR="005B2A41">
        <w:t xml:space="preserve"> </w:t>
      </w:r>
      <w:r w:rsidRPr="00B02247">
        <w:t>the</w:t>
      </w:r>
      <w:r w:rsidR="005B2A41">
        <w:t xml:space="preserve"> </w:t>
      </w:r>
      <w:r w:rsidRPr="00B02247">
        <w:t>State</w:t>
      </w:r>
      <w:r w:rsidR="005B2A41">
        <w:t xml:space="preserve"> </w:t>
      </w:r>
      <w:r w:rsidRPr="00B02247">
        <w:t>internationally.</w:t>
      </w:r>
      <w:r w:rsidR="005B2A41">
        <w:t xml:space="preserve"> </w:t>
      </w:r>
      <w:r w:rsidRPr="00B02247">
        <w:t>Through</w:t>
      </w:r>
      <w:r w:rsidR="005B2A41">
        <w:t xml:space="preserve"> </w:t>
      </w:r>
      <w:r w:rsidRPr="00B02247">
        <w:t>a</w:t>
      </w:r>
      <w:r w:rsidR="005B2A41">
        <w:t xml:space="preserve"> </w:t>
      </w:r>
      <w:r w:rsidRPr="00B02247">
        <w:t>procedure</w:t>
      </w:r>
      <w:r w:rsidR="005B2A41">
        <w:t xml:space="preserve"> </w:t>
      </w:r>
      <w:r w:rsidRPr="00B02247">
        <w:t>of</w:t>
      </w:r>
      <w:r w:rsidR="005B2A41">
        <w:t xml:space="preserve"> </w:t>
      </w:r>
      <w:r w:rsidRPr="00B02247">
        <w:t>exploratory</w:t>
      </w:r>
      <w:r w:rsidR="005B2A41">
        <w:t xml:space="preserve"> </w:t>
      </w:r>
      <w:r w:rsidRPr="00B02247">
        <w:t>mandates,</w:t>
      </w:r>
      <w:r w:rsidR="005B2A41">
        <w:t xml:space="preserve"> </w:t>
      </w:r>
      <w:r w:rsidRPr="00B02247">
        <w:t>which</w:t>
      </w:r>
      <w:r w:rsidR="005B2A41">
        <w:t xml:space="preserve"> </w:t>
      </w:r>
      <w:r w:rsidRPr="00B02247">
        <w:t>ensure</w:t>
      </w:r>
      <w:r w:rsidR="005B2A41">
        <w:t xml:space="preserve"> </w:t>
      </w:r>
      <w:r w:rsidRPr="00B02247">
        <w:t>respect</w:t>
      </w:r>
      <w:r w:rsidR="005B2A41">
        <w:t xml:space="preserve"> </w:t>
      </w:r>
      <w:r w:rsidRPr="00B02247">
        <w:t>for</w:t>
      </w:r>
      <w:r w:rsidR="005B2A41">
        <w:t xml:space="preserve"> </w:t>
      </w:r>
      <w:r w:rsidRPr="00B02247">
        <w:t>the</w:t>
      </w:r>
      <w:r w:rsidR="005B2A41">
        <w:t xml:space="preserve"> </w:t>
      </w:r>
      <w:r w:rsidRPr="00B02247">
        <w:t>principle</w:t>
      </w:r>
      <w:r w:rsidR="005B2A41">
        <w:t xml:space="preserve"> </w:t>
      </w:r>
      <w:r w:rsidRPr="00B02247">
        <w:t>of</w:t>
      </w:r>
      <w:r w:rsidR="005B2A41">
        <w:t xml:space="preserve"> </w:t>
      </w:r>
      <w:r w:rsidRPr="00B02247">
        <w:t>majority,</w:t>
      </w:r>
      <w:r w:rsidR="005B2A41">
        <w:t xml:space="preserve"> </w:t>
      </w:r>
      <w:r w:rsidRPr="00B02247">
        <w:t>he/she</w:t>
      </w:r>
      <w:r w:rsidR="005B2A41">
        <w:t xml:space="preserve"> </w:t>
      </w:r>
      <w:r w:rsidRPr="00B02247">
        <w:t>appoints</w:t>
      </w:r>
      <w:r w:rsidR="005B2A41">
        <w:t xml:space="preserve"> </w:t>
      </w:r>
      <w:r w:rsidRPr="00B02247">
        <w:t>the</w:t>
      </w:r>
      <w:r w:rsidR="005B2A41">
        <w:t xml:space="preserve"> </w:t>
      </w:r>
      <w:r w:rsidRPr="00B02247">
        <w:t>Prime</w:t>
      </w:r>
      <w:r w:rsidR="005B2A41">
        <w:t xml:space="preserve"> </w:t>
      </w:r>
      <w:r w:rsidRPr="00B02247">
        <w:t>Minister.</w:t>
      </w:r>
      <w:r w:rsidR="005B2A41">
        <w:t xml:space="preserve"> </w:t>
      </w:r>
      <w:r w:rsidRPr="00B02247">
        <w:t>In</w:t>
      </w:r>
      <w:r w:rsidR="005B2A41">
        <w:t xml:space="preserve"> </w:t>
      </w:r>
      <w:r w:rsidRPr="00B02247">
        <w:t>accordance</w:t>
      </w:r>
      <w:r w:rsidR="005B2A41">
        <w:t xml:space="preserve"> </w:t>
      </w:r>
      <w:r w:rsidRPr="00B02247">
        <w:t>with</w:t>
      </w:r>
      <w:r w:rsidR="005B2A41">
        <w:t xml:space="preserve"> </w:t>
      </w:r>
      <w:r w:rsidRPr="00B02247">
        <w:t>article</w:t>
      </w:r>
      <w:r w:rsidR="005B2A41">
        <w:t xml:space="preserve"> </w:t>
      </w:r>
      <w:r w:rsidRPr="00B02247">
        <w:t>41</w:t>
      </w:r>
      <w:r w:rsidR="005B2A41">
        <w:t xml:space="preserve"> </w:t>
      </w:r>
      <w:r w:rsidRPr="00B02247">
        <w:t>of</w:t>
      </w:r>
      <w:r w:rsidR="005B2A41">
        <w:t xml:space="preserve"> </w:t>
      </w:r>
      <w:r w:rsidRPr="00B02247">
        <w:t>the</w:t>
      </w:r>
      <w:r w:rsidR="005B2A41">
        <w:t xml:space="preserve"> </w:t>
      </w:r>
      <w:r w:rsidRPr="00B02247">
        <w:t>Constitution,</w:t>
      </w:r>
      <w:r w:rsidR="005B2A41">
        <w:t xml:space="preserve"> </w:t>
      </w:r>
      <w:r w:rsidRPr="00B02247">
        <w:t>the</w:t>
      </w:r>
      <w:r w:rsidR="005B2A41">
        <w:t xml:space="preserve"> </w:t>
      </w:r>
      <w:r w:rsidRPr="00B02247">
        <w:t>President</w:t>
      </w:r>
      <w:r w:rsidR="005B2A41">
        <w:t xml:space="preserve"> </w:t>
      </w:r>
      <w:r w:rsidRPr="00B02247">
        <w:t>of</w:t>
      </w:r>
      <w:r w:rsidR="005B2A41">
        <w:t xml:space="preserve"> </w:t>
      </w:r>
      <w:r w:rsidRPr="00B02247">
        <w:t>the</w:t>
      </w:r>
      <w:r w:rsidR="005B2A41">
        <w:t xml:space="preserve"> </w:t>
      </w:r>
      <w:r w:rsidRPr="00B02247">
        <w:t>Republic</w:t>
      </w:r>
      <w:r w:rsidR="005B2A41">
        <w:t xml:space="preserve"> </w:t>
      </w:r>
      <w:r w:rsidRPr="00B02247">
        <w:t>may</w:t>
      </w:r>
      <w:r w:rsidR="005B2A41">
        <w:t xml:space="preserve"> </w:t>
      </w:r>
      <w:r w:rsidRPr="00B02247">
        <w:t>and</w:t>
      </w:r>
      <w:r w:rsidR="005B2A41">
        <w:t xml:space="preserve"> </w:t>
      </w:r>
      <w:r w:rsidRPr="00B02247">
        <w:t>is</w:t>
      </w:r>
      <w:r w:rsidR="005B2A41">
        <w:t xml:space="preserve"> </w:t>
      </w:r>
      <w:r w:rsidRPr="00B02247">
        <w:t>bound</w:t>
      </w:r>
      <w:r w:rsidR="005B2A41">
        <w:t xml:space="preserve"> </w:t>
      </w:r>
      <w:r w:rsidRPr="00B02247">
        <w:t>to</w:t>
      </w:r>
      <w:r w:rsidR="005B2A41">
        <w:t xml:space="preserve"> </w:t>
      </w:r>
      <w:r w:rsidRPr="00B02247">
        <w:t>dissolve</w:t>
      </w:r>
      <w:r w:rsidR="005B2A41">
        <w:t xml:space="preserve"> </w:t>
      </w:r>
      <w:r w:rsidRPr="00B02247">
        <w:t>Parliament</w:t>
      </w:r>
      <w:r w:rsidR="005B2A41">
        <w:t xml:space="preserve"> </w:t>
      </w:r>
      <w:r w:rsidRPr="00B02247">
        <w:t>under</w:t>
      </w:r>
      <w:r w:rsidR="005B2A41">
        <w:t xml:space="preserve"> </w:t>
      </w:r>
      <w:r w:rsidRPr="00B02247">
        <w:t>special</w:t>
      </w:r>
      <w:r w:rsidR="005B2A41">
        <w:t xml:space="preserve"> </w:t>
      </w:r>
      <w:r w:rsidRPr="00B02247">
        <w:t>circumstances.</w:t>
      </w:r>
      <w:r w:rsidR="005B2A41">
        <w:t xml:space="preserve"> </w:t>
      </w:r>
      <w:r w:rsidRPr="00B02247">
        <w:t>This</w:t>
      </w:r>
      <w:r w:rsidR="005B2A41">
        <w:t xml:space="preserve"> </w:t>
      </w:r>
      <w:r w:rsidRPr="00B02247">
        <w:t>power</w:t>
      </w:r>
      <w:r w:rsidR="005B2A41">
        <w:t xml:space="preserve"> </w:t>
      </w:r>
      <w:r w:rsidRPr="00B02247">
        <w:t>is</w:t>
      </w:r>
      <w:r w:rsidR="005B2A41">
        <w:t xml:space="preserve"> </w:t>
      </w:r>
      <w:r w:rsidRPr="00B02247">
        <w:t>rigidly</w:t>
      </w:r>
      <w:r w:rsidR="005B2A41">
        <w:t xml:space="preserve"> </w:t>
      </w:r>
      <w:r w:rsidRPr="00B02247">
        <w:t>delineated</w:t>
      </w:r>
      <w:r w:rsidR="005B2A41">
        <w:t xml:space="preserve"> </w:t>
      </w:r>
      <w:r w:rsidRPr="00B02247">
        <w:t>so</w:t>
      </w:r>
      <w:r w:rsidR="005B2A41">
        <w:t xml:space="preserve"> </w:t>
      </w:r>
      <w:r w:rsidRPr="00B02247">
        <w:t>that</w:t>
      </w:r>
      <w:r w:rsidR="005B2A41">
        <w:t xml:space="preserve"> </w:t>
      </w:r>
      <w:r w:rsidRPr="00B02247">
        <w:t>the</w:t>
      </w:r>
      <w:r w:rsidR="005B2A41">
        <w:t xml:space="preserve"> </w:t>
      </w:r>
      <w:r w:rsidRPr="00B02247">
        <w:t>principle</w:t>
      </w:r>
      <w:r w:rsidR="005B2A41">
        <w:t xml:space="preserve"> </w:t>
      </w:r>
      <w:r w:rsidRPr="00B02247">
        <w:t>of</w:t>
      </w:r>
      <w:r w:rsidR="005B2A41">
        <w:t xml:space="preserve"> </w:t>
      </w:r>
      <w:r w:rsidRPr="00B02247">
        <w:t>popular</w:t>
      </w:r>
      <w:r w:rsidR="005B2A41">
        <w:t xml:space="preserve"> </w:t>
      </w:r>
      <w:r w:rsidRPr="00B02247">
        <w:t>sovereignty</w:t>
      </w:r>
      <w:r w:rsidR="005B2A41">
        <w:t xml:space="preserve"> </w:t>
      </w:r>
      <w:r w:rsidRPr="00B02247">
        <w:t>should</w:t>
      </w:r>
      <w:r w:rsidR="005B2A41">
        <w:t xml:space="preserve"> </w:t>
      </w:r>
      <w:r w:rsidRPr="00B02247">
        <w:t>not</w:t>
      </w:r>
      <w:r w:rsidR="005B2A41">
        <w:t xml:space="preserve"> </w:t>
      </w:r>
      <w:r w:rsidRPr="00B02247">
        <w:t>be</w:t>
      </w:r>
      <w:r w:rsidR="005B2A41">
        <w:t xml:space="preserve"> </w:t>
      </w:r>
      <w:r w:rsidRPr="00B02247">
        <w:t>abused.</w:t>
      </w:r>
      <w:r w:rsidR="005B2A41">
        <w:t xml:space="preserve"> </w:t>
      </w:r>
      <w:r w:rsidRPr="00B02247">
        <w:t>Under</w:t>
      </w:r>
      <w:r w:rsidR="005B2A41">
        <w:t xml:space="preserve"> </w:t>
      </w:r>
      <w:r w:rsidRPr="00B02247">
        <w:t>urgent</w:t>
      </w:r>
      <w:r w:rsidR="005B2A41">
        <w:t xml:space="preserve"> </w:t>
      </w:r>
      <w:r w:rsidRPr="00B02247">
        <w:t>and</w:t>
      </w:r>
      <w:r w:rsidR="005B2A41">
        <w:t xml:space="preserve"> </w:t>
      </w:r>
      <w:r w:rsidRPr="00B02247">
        <w:t>unforeseeable</w:t>
      </w:r>
      <w:r w:rsidR="005B2A41">
        <w:t xml:space="preserve"> </w:t>
      </w:r>
      <w:r w:rsidRPr="00B02247">
        <w:t>circumstances,</w:t>
      </w:r>
      <w:r w:rsidR="005B2A41">
        <w:t xml:space="preserve"> </w:t>
      </w:r>
      <w:r w:rsidRPr="00B02247">
        <w:t>the</w:t>
      </w:r>
      <w:r w:rsidR="005B2A41">
        <w:t xml:space="preserve"> </w:t>
      </w:r>
      <w:r w:rsidRPr="00B02247">
        <w:t>President</w:t>
      </w:r>
      <w:r w:rsidR="005B2A41">
        <w:t xml:space="preserve"> </w:t>
      </w:r>
      <w:r w:rsidRPr="00B02247">
        <w:t>of</w:t>
      </w:r>
      <w:r w:rsidR="005B2A41">
        <w:t xml:space="preserve"> </w:t>
      </w:r>
      <w:r w:rsidRPr="00B02247">
        <w:t>the</w:t>
      </w:r>
      <w:r w:rsidR="005B2A41">
        <w:t xml:space="preserve"> </w:t>
      </w:r>
      <w:r w:rsidRPr="00B02247">
        <w:t>Republic</w:t>
      </w:r>
      <w:r w:rsidR="005B2A41">
        <w:t xml:space="preserve"> </w:t>
      </w:r>
      <w:r w:rsidRPr="00B02247">
        <w:t>may,</w:t>
      </w:r>
      <w:r w:rsidR="005B2A41">
        <w:t xml:space="preserve"> </w:t>
      </w:r>
      <w:r w:rsidRPr="00B02247">
        <w:t>on</w:t>
      </w:r>
      <w:r w:rsidR="005B2A41">
        <w:t xml:space="preserve"> </w:t>
      </w:r>
      <w:r w:rsidRPr="00B02247">
        <w:t>the</w:t>
      </w:r>
      <w:r w:rsidR="005B2A41">
        <w:t xml:space="preserve"> </w:t>
      </w:r>
      <w:r w:rsidRPr="00B02247">
        <w:t>proposal</w:t>
      </w:r>
      <w:r w:rsidR="005B2A41">
        <w:t xml:space="preserve"> </w:t>
      </w:r>
      <w:r w:rsidRPr="00B02247">
        <w:t>of</w:t>
      </w:r>
      <w:r w:rsidR="005B2A41">
        <w:t xml:space="preserve"> </w:t>
      </w:r>
      <w:r w:rsidRPr="00B02247">
        <w:t>the</w:t>
      </w:r>
      <w:r w:rsidR="005B2A41">
        <w:t xml:space="preserve"> </w:t>
      </w:r>
      <w:r w:rsidRPr="00B02247">
        <w:t>Cabinet,</w:t>
      </w:r>
      <w:r w:rsidR="005B2A41">
        <w:t xml:space="preserve"> </w:t>
      </w:r>
      <w:r w:rsidRPr="00B02247">
        <w:t>issue</w:t>
      </w:r>
      <w:r w:rsidR="005B2A41">
        <w:t xml:space="preserve"> </w:t>
      </w:r>
      <w:r w:rsidRPr="00B02247">
        <w:t>acts</w:t>
      </w:r>
      <w:r w:rsidR="005B2A41">
        <w:t xml:space="preserve"> </w:t>
      </w:r>
      <w:r w:rsidRPr="00B02247">
        <w:t>of</w:t>
      </w:r>
      <w:r w:rsidR="005B2A41">
        <w:t xml:space="preserve"> </w:t>
      </w:r>
      <w:r w:rsidRPr="00B02247">
        <w:t>legislative</w:t>
      </w:r>
      <w:r w:rsidR="005B2A41">
        <w:t xml:space="preserve"> </w:t>
      </w:r>
      <w:r w:rsidRPr="00B02247">
        <w:t>content,</w:t>
      </w:r>
      <w:r w:rsidR="005B2A41">
        <w:t xml:space="preserve"> </w:t>
      </w:r>
      <w:r w:rsidRPr="00B02247">
        <w:t>subject</w:t>
      </w:r>
      <w:r w:rsidR="005B2A41">
        <w:t xml:space="preserve"> </w:t>
      </w:r>
      <w:r w:rsidRPr="00B02247">
        <w:t>to</w:t>
      </w:r>
      <w:r w:rsidR="005B2A41">
        <w:t xml:space="preserve"> </w:t>
      </w:r>
      <w:r w:rsidRPr="00B02247">
        <w:t>the</w:t>
      </w:r>
      <w:r w:rsidR="005B2A41">
        <w:t xml:space="preserve"> </w:t>
      </w:r>
      <w:r w:rsidRPr="00B02247">
        <w:t>subsequent</w:t>
      </w:r>
      <w:r w:rsidR="005B2A41">
        <w:t xml:space="preserve"> </w:t>
      </w:r>
      <w:r w:rsidRPr="00B02247">
        <w:t>approval</w:t>
      </w:r>
      <w:r w:rsidR="005B2A41">
        <w:t xml:space="preserve"> </w:t>
      </w:r>
      <w:r w:rsidRPr="00B02247">
        <w:t>of</w:t>
      </w:r>
      <w:r w:rsidR="005B2A41">
        <w:t xml:space="preserve"> </w:t>
      </w:r>
      <w:r w:rsidRPr="00B02247">
        <w:t>the</w:t>
      </w:r>
      <w:r w:rsidR="005B2A41">
        <w:t xml:space="preserve"> </w:t>
      </w:r>
      <w:r w:rsidRPr="00B02247">
        <w:t>Parliament</w:t>
      </w:r>
      <w:r w:rsidR="005B2A41">
        <w:t xml:space="preserve"> </w:t>
      </w:r>
      <w:r w:rsidRPr="00B02247">
        <w:t>(Article</w:t>
      </w:r>
      <w:r w:rsidR="005B2A41">
        <w:t xml:space="preserve"> </w:t>
      </w:r>
      <w:r w:rsidRPr="00B02247">
        <w:t>44</w:t>
      </w:r>
      <w:r w:rsidR="005B2A41">
        <w:t xml:space="preserve"> </w:t>
      </w:r>
      <w:r w:rsidRPr="00B02247">
        <w:t>(1)).</w:t>
      </w:r>
      <w:r w:rsidR="005B2A41">
        <w:t xml:space="preserve"> </w:t>
      </w:r>
      <w:r w:rsidRPr="00B02247">
        <w:t>He/she</w:t>
      </w:r>
      <w:r w:rsidR="005B2A41">
        <w:t xml:space="preserve"> </w:t>
      </w:r>
      <w:r w:rsidRPr="00B02247">
        <w:t>may</w:t>
      </w:r>
      <w:r w:rsidR="005B2A41">
        <w:t xml:space="preserve"> </w:t>
      </w:r>
      <w:r w:rsidRPr="00B02247">
        <w:t>also</w:t>
      </w:r>
      <w:r w:rsidR="005B2A41">
        <w:t xml:space="preserve"> </w:t>
      </w:r>
      <w:r w:rsidRPr="00B02247">
        <w:t>proclaim</w:t>
      </w:r>
      <w:r w:rsidR="005B2A41">
        <w:t xml:space="preserve"> </w:t>
      </w:r>
      <w:r w:rsidRPr="00B02247">
        <w:t>a</w:t>
      </w:r>
      <w:r w:rsidR="005B2A41">
        <w:t xml:space="preserve"> </w:t>
      </w:r>
      <w:r w:rsidRPr="00B02247">
        <w:t>referendum</w:t>
      </w:r>
      <w:r w:rsidR="005B2A41">
        <w:t xml:space="preserve"> </w:t>
      </w:r>
      <w:r w:rsidRPr="00B02247">
        <w:t>following</w:t>
      </w:r>
      <w:r w:rsidR="005B2A41">
        <w:t xml:space="preserve"> </w:t>
      </w:r>
      <w:r w:rsidRPr="00B02247">
        <w:t>a</w:t>
      </w:r>
      <w:r w:rsidR="005B2A41">
        <w:t xml:space="preserve"> </w:t>
      </w:r>
      <w:r w:rsidRPr="00B02247">
        <w:t>decision</w:t>
      </w:r>
      <w:r w:rsidR="005B2A41">
        <w:t xml:space="preserve"> </w:t>
      </w:r>
      <w:r w:rsidRPr="00B02247">
        <w:t>by</w:t>
      </w:r>
      <w:r w:rsidR="005B2A41">
        <w:t xml:space="preserve"> </w:t>
      </w:r>
      <w:r w:rsidRPr="00B02247">
        <w:t>the</w:t>
      </w:r>
      <w:r w:rsidR="005B2A41">
        <w:t xml:space="preserve"> </w:t>
      </w:r>
      <w:r w:rsidRPr="00B02247">
        <w:t>Parliament</w:t>
      </w:r>
      <w:r w:rsidR="005B2A41">
        <w:t xml:space="preserve"> </w:t>
      </w:r>
      <w:r w:rsidRPr="00B02247">
        <w:t>(Article</w:t>
      </w:r>
      <w:r w:rsidR="005B2A41">
        <w:t xml:space="preserve"> </w:t>
      </w:r>
      <w:r w:rsidRPr="00B02247">
        <w:t>44(2)).</w:t>
      </w:r>
      <w:r w:rsidR="005B2A41">
        <w:t xml:space="preserve"> </w:t>
      </w:r>
      <w:r w:rsidRPr="00B02247">
        <w:t>He/she</w:t>
      </w:r>
      <w:r w:rsidR="005B2A41">
        <w:t xml:space="preserve"> </w:t>
      </w:r>
      <w:r w:rsidRPr="00B02247">
        <w:t>has</w:t>
      </w:r>
      <w:r w:rsidR="005B2A41">
        <w:t xml:space="preserve"> </w:t>
      </w:r>
      <w:r w:rsidRPr="00B02247">
        <w:t>the</w:t>
      </w:r>
      <w:r w:rsidR="005B2A41">
        <w:t xml:space="preserve"> </w:t>
      </w:r>
      <w:r w:rsidRPr="00B02247">
        <w:t>right</w:t>
      </w:r>
      <w:r w:rsidR="005B2A41">
        <w:t xml:space="preserve"> </w:t>
      </w:r>
      <w:r w:rsidRPr="00B02247">
        <w:t>to</w:t>
      </w:r>
      <w:r w:rsidR="005B2A41">
        <w:t xml:space="preserve"> </w:t>
      </w:r>
      <w:r w:rsidRPr="00B02247">
        <w:t>grant</w:t>
      </w:r>
      <w:r w:rsidR="005B2A41">
        <w:t xml:space="preserve"> </w:t>
      </w:r>
      <w:r w:rsidRPr="00B02247">
        <w:t>pardon</w:t>
      </w:r>
      <w:r w:rsidR="005B2A41">
        <w:t xml:space="preserve"> </w:t>
      </w:r>
      <w:r w:rsidRPr="00B02247">
        <w:t>and</w:t>
      </w:r>
      <w:r w:rsidR="005B2A41">
        <w:t xml:space="preserve"> </w:t>
      </w:r>
      <w:r w:rsidRPr="00B02247">
        <w:t>provide</w:t>
      </w:r>
      <w:r w:rsidR="005B2A41">
        <w:t xml:space="preserve"> </w:t>
      </w:r>
      <w:r w:rsidRPr="00B02247">
        <w:t>amnesty.</w:t>
      </w:r>
      <w:r w:rsidR="005B2A41">
        <w:t xml:space="preserve"> </w:t>
      </w:r>
      <w:r w:rsidRPr="00B02247">
        <w:t>No</w:t>
      </w:r>
      <w:r w:rsidR="005B2A41">
        <w:t xml:space="preserve"> </w:t>
      </w:r>
      <w:r w:rsidRPr="00B02247">
        <w:t>act</w:t>
      </w:r>
      <w:r w:rsidR="005B2A41">
        <w:t xml:space="preserve"> </w:t>
      </w:r>
      <w:r w:rsidRPr="00B02247">
        <w:t>of</w:t>
      </w:r>
      <w:r w:rsidR="005B2A41">
        <w:t xml:space="preserve"> </w:t>
      </w:r>
      <w:r w:rsidRPr="00B02247">
        <w:t>the</w:t>
      </w:r>
      <w:r w:rsidR="005B2A41">
        <w:t xml:space="preserve"> </w:t>
      </w:r>
      <w:r w:rsidRPr="00B02247">
        <w:t>President</w:t>
      </w:r>
      <w:r w:rsidR="005B2A41">
        <w:t xml:space="preserve"> </w:t>
      </w:r>
      <w:r w:rsidRPr="00B02247">
        <w:t>of</w:t>
      </w:r>
      <w:r w:rsidR="005B2A41">
        <w:t xml:space="preserve"> </w:t>
      </w:r>
      <w:r w:rsidRPr="00B02247">
        <w:t>the</w:t>
      </w:r>
      <w:r w:rsidR="005B2A41">
        <w:t xml:space="preserve"> </w:t>
      </w:r>
      <w:r w:rsidRPr="00B02247">
        <w:t>Republic</w:t>
      </w:r>
      <w:r w:rsidR="005B2A41">
        <w:t xml:space="preserve"> </w:t>
      </w:r>
      <w:r w:rsidRPr="00B02247">
        <w:t>shall</w:t>
      </w:r>
      <w:r w:rsidR="005B2A41">
        <w:t xml:space="preserve"> </w:t>
      </w:r>
      <w:r w:rsidRPr="00B02247">
        <w:t>be</w:t>
      </w:r>
      <w:r w:rsidR="005B2A41">
        <w:t xml:space="preserve"> </w:t>
      </w:r>
      <w:r w:rsidRPr="00B02247">
        <w:t>valid</w:t>
      </w:r>
      <w:r w:rsidR="005B2A41">
        <w:t xml:space="preserve"> </w:t>
      </w:r>
      <w:r w:rsidRPr="00B02247">
        <w:t>unless</w:t>
      </w:r>
      <w:r w:rsidR="005B2A41">
        <w:t xml:space="preserve"> </w:t>
      </w:r>
      <w:r w:rsidRPr="00B02247">
        <w:t>it</w:t>
      </w:r>
      <w:r w:rsidR="005B2A41">
        <w:t xml:space="preserve"> </w:t>
      </w:r>
      <w:r w:rsidRPr="00B02247">
        <w:t>has</w:t>
      </w:r>
      <w:r w:rsidR="005B2A41">
        <w:t xml:space="preserve"> </w:t>
      </w:r>
      <w:r w:rsidRPr="00B02247">
        <w:t>been</w:t>
      </w:r>
      <w:r w:rsidR="005B2A41">
        <w:t xml:space="preserve"> </w:t>
      </w:r>
      <w:r w:rsidRPr="00B02247">
        <w:t>countersigned</w:t>
      </w:r>
      <w:r w:rsidR="005B2A41">
        <w:t xml:space="preserve"> </w:t>
      </w:r>
      <w:r w:rsidRPr="00B02247">
        <w:t>by</w:t>
      </w:r>
      <w:r w:rsidR="005B2A41">
        <w:t xml:space="preserve"> </w:t>
      </w:r>
      <w:r w:rsidRPr="00B02247">
        <w:t>the</w:t>
      </w:r>
      <w:r w:rsidR="005B2A41">
        <w:t xml:space="preserve"> </w:t>
      </w:r>
      <w:r w:rsidRPr="00B02247">
        <w:t>competent</w:t>
      </w:r>
      <w:r w:rsidR="005B2A41">
        <w:t xml:space="preserve"> </w:t>
      </w:r>
      <w:r w:rsidRPr="00B02247">
        <w:t>minister.</w:t>
      </w:r>
    </w:p>
    <w:p w:rsidR="00F233AB" w:rsidRPr="00B02247" w:rsidRDefault="00F233AB" w:rsidP="00E1307D">
      <w:pPr>
        <w:pStyle w:val="SingleTxtG"/>
      </w:pPr>
      <w:r w:rsidRPr="00B02247">
        <w:t>16.</w:t>
      </w:r>
      <w:r w:rsidRPr="00B02247">
        <w:tab/>
        <w:t>The</w:t>
      </w:r>
      <w:r w:rsidR="005B2A41">
        <w:t xml:space="preserve"> </w:t>
      </w:r>
      <w:r w:rsidRPr="00B02247">
        <w:t>Constitution</w:t>
      </w:r>
      <w:r w:rsidR="005B2A41">
        <w:t xml:space="preserve"> </w:t>
      </w:r>
      <w:r w:rsidRPr="00B02247">
        <w:t>also</w:t>
      </w:r>
      <w:r w:rsidR="005B2A41">
        <w:t xml:space="preserve"> </w:t>
      </w:r>
      <w:r w:rsidRPr="00B02247">
        <w:t>introduces</w:t>
      </w:r>
      <w:r w:rsidR="005B2A41">
        <w:t xml:space="preserve"> </w:t>
      </w:r>
      <w:r w:rsidRPr="00B02247">
        <w:t>a</w:t>
      </w:r>
      <w:r w:rsidR="005B2A41">
        <w:t xml:space="preserve"> </w:t>
      </w:r>
      <w:r w:rsidRPr="00B02247">
        <w:t>system</w:t>
      </w:r>
      <w:r w:rsidR="005B2A41">
        <w:t xml:space="preserve"> </w:t>
      </w:r>
      <w:r w:rsidRPr="00B02247">
        <w:t>of</w:t>
      </w:r>
      <w:r w:rsidR="005B2A41">
        <w:t xml:space="preserve"> </w:t>
      </w:r>
      <w:r w:rsidRPr="00B02247">
        <w:t>decentralized</w:t>
      </w:r>
      <w:r w:rsidR="005B2A41">
        <w:t xml:space="preserve"> </w:t>
      </w:r>
      <w:r w:rsidRPr="00B02247">
        <w:t>State</w:t>
      </w:r>
      <w:r w:rsidR="005B2A41">
        <w:t xml:space="preserve"> </w:t>
      </w:r>
      <w:r w:rsidRPr="00B02247">
        <w:t>administration</w:t>
      </w:r>
      <w:r w:rsidR="005B2A41">
        <w:t xml:space="preserve"> </w:t>
      </w:r>
      <w:r w:rsidRPr="00B02247">
        <w:t>(Article</w:t>
      </w:r>
      <w:r w:rsidR="005B2A41">
        <w:t xml:space="preserve"> </w:t>
      </w:r>
      <w:r w:rsidRPr="00B02247">
        <w:t>101)</w:t>
      </w:r>
      <w:r w:rsidR="005B2A41">
        <w:t xml:space="preserve"> </w:t>
      </w:r>
      <w:r w:rsidRPr="00B02247">
        <w:t>and</w:t>
      </w:r>
      <w:r w:rsidR="005B2A41">
        <w:t xml:space="preserve"> </w:t>
      </w:r>
      <w:r w:rsidRPr="00B02247">
        <w:t>safeguards</w:t>
      </w:r>
      <w:r w:rsidR="005B2A41">
        <w:t xml:space="preserve"> </w:t>
      </w:r>
      <w:r w:rsidRPr="00B02247">
        <w:t>the</w:t>
      </w:r>
      <w:r w:rsidR="005B2A41">
        <w:t xml:space="preserve"> </w:t>
      </w:r>
      <w:r w:rsidRPr="00B02247">
        <w:t>existence</w:t>
      </w:r>
      <w:r w:rsidR="005B2A41">
        <w:t xml:space="preserve"> </w:t>
      </w:r>
      <w:r w:rsidRPr="00B02247">
        <w:t>and</w:t>
      </w:r>
      <w:r w:rsidR="005B2A41">
        <w:t xml:space="preserve"> </w:t>
      </w:r>
      <w:r w:rsidRPr="00B02247">
        <w:t>operation</w:t>
      </w:r>
      <w:r w:rsidR="005B2A41">
        <w:t xml:space="preserve"> </w:t>
      </w:r>
      <w:r w:rsidRPr="00B02247">
        <w:t>of</w:t>
      </w:r>
      <w:r w:rsidR="005B2A41">
        <w:t xml:space="preserve"> </w:t>
      </w:r>
      <w:r w:rsidRPr="00B02247">
        <w:t>local</w:t>
      </w:r>
      <w:r w:rsidR="005B2A41">
        <w:t xml:space="preserve"> </w:t>
      </w:r>
      <w:r w:rsidRPr="00B02247">
        <w:t>government</w:t>
      </w:r>
      <w:r w:rsidR="005B2A41">
        <w:t xml:space="preserve"> </w:t>
      </w:r>
      <w:r w:rsidRPr="00B02247">
        <w:t>authorities</w:t>
      </w:r>
      <w:r w:rsidR="005B2A41">
        <w:t xml:space="preserve"> </w:t>
      </w:r>
      <w:r w:rsidRPr="00B02247">
        <w:t>of</w:t>
      </w:r>
      <w:r w:rsidR="005B2A41">
        <w:t xml:space="preserve"> </w:t>
      </w:r>
      <w:r w:rsidRPr="00B02247">
        <w:t>first</w:t>
      </w:r>
      <w:r w:rsidR="005B2A41">
        <w:t xml:space="preserve"> </w:t>
      </w:r>
      <w:r w:rsidRPr="00B02247">
        <w:t>and</w:t>
      </w:r>
      <w:r w:rsidR="005B2A41">
        <w:t xml:space="preserve"> </w:t>
      </w:r>
      <w:r w:rsidRPr="00B02247">
        <w:t>second</w:t>
      </w:r>
      <w:r w:rsidR="005B2A41">
        <w:t xml:space="preserve"> </w:t>
      </w:r>
      <w:r w:rsidRPr="00B02247">
        <w:t>level</w:t>
      </w:r>
      <w:r w:rsidR="005B2A41">
        <w:t xml:space="preserve"> </w:t>
      </w:r>
      <w:r w:rsidRPr="00B02247">
        <w:t>(Article</w:t>
      </w:r>
      <w:r w:rsidR="005B2A41">
        <w:t xml:space="preserve"> </w:t>
      </w:r>
      <w:r w:rsidRPr="00B02247">
        <w:t>102).</w:t>
      </w:r>
      <w:r w:rsidR="005B2A41">
        <w:t xml:space="preserve"> </w:t>
      </w:r>
      <w:r w:rsidRPr="00B02247">
        <w:t>Under</w:t>
      </w:r>
      <w:r w:rsidR="005B2A41">
        <w:t xml:space="preserve"> </w:t>
      </w:r>
      <w:r w:rsidRPr="00B02247">
        <w:t>the</w:t>
      </w:r>
      <w:r w:rsidR="005B2A41">
        <w:t xml:space="preserve"> </w:t>
      </w:r>
      <w:r w:rsidR="003E731F">
        <w:t>“</w:t>
      </w:r>
      <w:r w:rsidRPr="00B02247">
        <w:t>Kallikratis</w:t>
      </w:r>
      <w:r w:rsidR="003E731F">
        <w:t>”</w:t>
      </w:r>
      <w:r w:rsidR="005B2A41">
        <w:t xml:space="preserve"> </w:t>
      </w:r>
      <w:r w:rsidRPr="00B02247">
        <w:t>programme</w:t>
      </w:r>
      <w:r w:rsidR="005B2A41">
        <w:t xml:space="preserve"> </w:t>
      </w:r>
      <w:r w:rsidRPr="00B02247">
        <w:t>on</w:t>
      </w:r>
      <w:r w:rsidR="005B2A41">
        <w:t xml:space="preserve"> </w:t>
      </w:r>
      <w:r w:rsidRPr="00B02247">
        <w:t>the</w:t>
      </w:r>
      <w:r w:rsidR="005B2A41">
        <w:t xml:space="preserve"> </w:t>
      </w:r>
      <w:r w:rsidR="003E731F">
        <w:t>“</w:t>
      </w:r>
      <w:r w:rsidRPr="00B02247">
        <w:t>New</w:t>
      </w:r>
      <w:r w:rsidR="005B2A41">
        <w:t xml:space="preserve"> </w:t>
      </w:r>
      <w:r w:rsidRPr="00B02247">
        <w:t>Architecture</w:t>
      </w:r>
      <w:r w:rsidR="005B2A41">
        <w:t xml:space="preserve"> </w:t>
      </w:r>
      <w:r w:rsidRPr="00B02247">
        <w:t>for</w:t>
      </w:r>
      <w:r w:rsidR="005B2A41">
        <w:t xml:space="preserve"> </w:t>
      </w:r>
      <w:r w:rsidRPr="00B02247">
        <w:t>Self-Government</w:t>
      </w:r>
      <w:r w:rsidR="005B2A41">
        <w:t xml:space="preserve"> </w:t>
      </w:r>
      <w:r w:rsidRPr="00B02247">
        <w:t>and</w:t>
      </w:r>
      <w:r w:rsidR="005B2A41">
        <w:t xml:space="preserve"> </w:t>
      </w:r>
      <w:r w:rsidRPr="00B02247">
        <w:t>Decentralization</w:t>
      </w:r>
      <w:r w:rsidR="003E731F">
        <w:t>”</w:t>
      </w:r>
      <w:r w:rsidRPr="00B02247">
        <w:t>,</w:t>
      </w:r>
      <w:r w:rsidR="005B2A41">
        <w:t xml:space="preserve"> </w:t>
      </w:r>
      <w:r w:rsidRPr="00B02247">
        <w:t>in</w:t>
      </w:r>
      <w:r w:rsidR="005B2A41">
        <w:t xml:space="preserve"> </w:t>
      </w:r>
      <w:r w:rsidRPr="00B02247">
        <w:t>force</w:t>
      </w:r>
      <w:r w:rsidR="005B2A41">
        <w:t xml:space="preserve"> </w:t>
      </w:r>
      <w:r w:rsidRPr="00B02247">
        <w:t>since</w:t>
      </w:r>
      <w:r w:rsidR="005B2A41">
        <w:t xml:space="preserve"> </w:t>
      </w:r>
      <w:r w:rsidRPr="00B02247">
        <w:t>January</w:t>
      </w:r>
      <w:r w:rsidR="005B2A41">
        <w:t xml:space="preserve"> </w:t>
      </w:r>
      <w:r w:rsidRPr="00B02247">
        <w:t>2011,</w:t>
      </w:r>
      <w:r w:rsidR="005B2A41">
        <w:t xml:space="preserve"> </w:t>
      </w:r>
      <w:r w:rsidRPr="00B02247">
        <w:t>the</w:t>
      </w:r>
      <w:r w:rsidR="005B2A41">
        <w:t xml:space="preserve"> </w:t>
      </w:r>
      <w:r w:rsidRPr="00B02247">
        <w:t>decentralized</w:t>
      </w:r>
      <w:r w:rsidR="005B2A41">
        <w:t xml:space="preserve"> </w:t>
      </w:r>
      <w:r w:rsidRPr="00B02247">
        <w:t>administration</w:t>
      </w:r>
      <w:r w:rsidR="005B2A41">
        <w:t xml:space="preserve"> </w:t>
      </w:r>
      <w:r w:rsidRPr="00B02247">
        <w:t>has</w:t>
      </w:r>
      <w:r w:rsidR="005B2A41">
        <w:t xml:space="preserve"> </w:t>
      </w:r>
      <w:r w:rsidRPr="00B02247">
        <w:t>been</w:t>
      </w:r>
      <w:r w:rsidR="005B2A41">
        <w:t xml:space="preserve"> </w:t>
      </w:r>
      <w:r w:rsidRPr="00B02247">
        <w:t>restructured</w:t>
      </w:r>
      <w:r w:rsidR="005B2A41">
        <w:t xml:space="preserve"> </w:t>
      </w:r>
      <w:r w:rsidRPr="00B02247">
        <w:t>and</w:t>
      </w:r>
      <w:r w:rsidR="005B2A41">
        <w:t xml:space="preserve"> </w:t>
      </w:r>
      <w:r w:rsidRPr="00B02247">
        <w:t>the</w:t>
      </w:r>
      <w:r w:rsidR="005B2A41">
        <w:t xml:space="preserve"> </w:t>
      </w:r>
      <w:r w:rsidRPr="00B02247">
        <w:t>number</w:t>
      </w:r>
      <w:r w:rsidR="005B2A41">
        <w:t xml:space="preserve"> </w:t>
      </w:r>
      <w:r w:rsidRPr="00B02247">
        <w:t>of</w:t>
      </w:r>
      <w:r w:rsidR="005B2A41">
        <w:t xml:space="preserve"> </w:t>
      </w:r>
      <w:r w:rsidRPr="00B02247">
        <w:t>municipalities</w:t>
      </w:r>
      <w:r w:rsidR="005B2A41">
        <w:t xml:space="preserve"> </w:t>
      </w:r>
      <w:r w:rsidRPr="00B02247">
        <w:t>has</w:t>
      </w:r>
      <w:r w:rsidR="005B2A41">
        <w:t xml:space="preserve"> </w:t>
      </w:r>
      <w:r w:rsidRPr="00B02247">
        <w:t>been</w:t>
      </w:r>
      <w:r w:rsidR="005B2A41">
        <w:t xml:space="preserve"> </w:t>
      </w:r>
      <w:r w:rsidRPr="00B02247">
        <w:t>reduced,</w:t>
      </w:r>
      <w:r w:rsidR="005B2A41">
        <w:t xml:space="preserve"> </w:t>
      </w:r>
      <w:r w:rsidRPr="00B02247">
        <w:t>while</w:t>
      </w:r>
      <w:r w:rsidR="005B2A41">
        <w:t xml:space="preserve"> </w:t>
      </w:r>
      <w:r w:rsidRPr="00B02247">
        <w:t>powers</w:t>
      </w:r>
      <w:r w:rsidR="005B2A41">
        <w:t xml:space="preserve"> </w:t>
      </w:r>
      <w:r w:rsidRPr="00B02247">
        <w:t>were</w:t>
      </w:r>
      <w:r w:rsidR="005B2A41">
        <w:t xml:space="preserve"> </w:t>
      </w:r>
      <w:r w:rsidRPr="00B02247">
        <w:t>transferred</w:t>
      </w:r>
      <w:r w:rsidR="005B2A41">
        <w:t xml:space="preserve"> </w:t>
      </w:r>
      <w:r w:rsidRPr="00B02247">
        <w:t>to</w:t>
      </w:r>
      <w:r w:rsidR="005B2A41">
        <w:t xml:space="preserve"> </w:t>
      </w:r>
      <w:r w:rsidRPr="00B02247">
        <w:t>the</w:t>
      </w:r>
      <w:r w:rsidR="005B2A41">
        <w:t xml:space="preserve"> </w:t>
      </w:r>
      <w:r w:rsidRPr="00B02247">
        <w:t>local</w:t>
      </w:r>
      <w:r w:rsidR="005B2A41">
        <w:t xml:space="preserve"> </w:t>
      </w:r>
      <w:r w:rsidRPr="00B02247">
        <w:t>level.</w:t>
      </w:r>
      <w:r w:rsidR="005B2A41">
        <w:t xml:space="preserve"> </w:t>
      </w:r>
      <w:r w:rsidRPr="00B02247">
        <w:t>Currently,</w:t>
      </w:r>
      <w:r w:rsidR="005B2A41">
        <w:t xml:space="preserve"> </w:t>
      </w:r>
      <w:r w:rsidRPr="00B02247">
        <w:t>there</w:t>
      </w:r>
      <w:r w:rsidR="005B2A41">
        <w:t xml:space="preserve"> </w:t>
      </w:r>
      <w:r w:rsidRPr="00B02247">
        <w:t>are</w:t>
      </w:r>
      <w:r w:rsidR="005B2A41">
        <w:t xml:space="preserve"> </w:t>
      </w:r>
      <w:r w:rsidRPr="00B02247">
        <w:t>325</w:t>
      </w:r>
      <w:r w:rsidR="005B2A41">
        <w:t xml:space="preserve"> </w:t>
      </w:r>
      <w:r w:rsidRPr="00B02247">
        <w:t>municipalities</w:t>
      </w:r>
      <w:r w:rsidR="005B2A41">
        <w:t xml:space="preserve"> </w:t>
      </w:r>
      <w:r w:rsidRPr="00B02247">
        <w:t>(first</w:t>
      </w:r>
      <w:r w:rsidR="005B2A41">
        <w:t xml:space="preserve"> </w:t>
      </w:r>
      <w:r w:rsidRPr="00B02247">
        <w:t>level</w:t>
      </w:r>
      <w:r w:rsidR="005B2A41">
        <w:t xml:space="preserve"> </w:t>
      </w:r>
      <w:r w:rsidRPr="00B02247">
        <w:t>local</w:t>
      </w:r>
      <w:r w:rsidR="005B2A41">
        <w:t xml:space="preserve"> </w:t>
      </w:r>
      <w:r w:rsidRPr="00B02247">
        <w:t>authorities)</w:t>
      </w:r>
      <w:r w:rsidR="005B2A41">
        <w:t xml:space="preserve"> </w:t>
      </w:r>
      <w:r w:rsidRPr="00B02247">
        <w:t>and</w:t>
      </w:r>
      <w:r w:rsidR="005B2A41">
        <w:t xml:space="preserve"> </w:t>
      </w:r>
      <w:r w:rsidRPr="00B02247">
        <w:t>13</w:t>
      </w:r>
      <w:r w:rsidR="005B2A41">
        <w:t xml:space="preserve"> </w:t>
      </w:r>
      <w:r w:rsidRPr="00B02247">
        <w:t>regions</w:t>
      </w:r>
      <w:r w:rsidR="005B2A41">
        <w:t xml:space="preserve"> </w:t>
      </w:r>
      <w:r w:rsidRPr="00B02247">
        <w:t>(second</w:t>
      </w:r>
      <w:r w:rsidR="005B2A41">
        <w:t xml:space="preserve"> </w:t>
      </w:r>
      <w:r w:rsidRPr="00B02247">
        <w:t>level</w:t>
      </w:r>
      <w:r w:rsidR="005B2A41">
        <w:t xml:space="preserve"> </w:t>
      </w:r>
      <w:r w:rsidRPr="00B02247">
        <w:t>local</w:t>
      </w:r>
      <w:r w:rsidR="005B2A41">
        <w:t xml:space="preserve"> </w:t>
      </w:r>
      <w:r w:rsidRPr="00B02247">
        <w:t>authorities).</w:t>
      </w:r>
      <w:r w:rsidR="005B2A41">
        <w:t xml:space="preserve"> </w:t>
      </w:r>
      <w:r w:rsidRPr="00B02247">
        <w:t>First</w:t>
      </w:r>
      <w:r w:rsidR="005B2A41">
        <w:t xml:space="preserve"> </w:t>
      </w:r>
      <w:r w:rsidRPr="00B02247">
        <w:t>and</w:t>
      </w:r>
      <w:r w:rsidR="005B2A41">
        <w:t xml:space="preserve"> </w:t>
      </w:r>
      <w:r w:rsidRPr="00B02247">
        <w:t>second</w:t>
      </w:r>
      <w:r w:rsidR="005B2A41">
        <w:t xml:space="preserve"> </w:t>
      </w:r>
      <w:r w:rsidRPr="00B02247">
        <w:t>level</w:t>
      </w:r>
      <w:r w:rsidR="005B2A41">
        <w:t xml:space="preserve"> </w:t>
      </w:r>
      <w:r w:rsidRPr="00B02247">
        <w:t>local</w:t>
      </w:r>
      <w:r w:rsidR="005B2A41">
        <w:t xml:space="preserve"> </w:t>
      </w:r>
      <w:r w:rsidRPr="00B02247">
        <w:t>authorities</w:t>
      </w:r>
      <w:r w:rsidR="005B2A41">
        <w:t xml:space="preserve"> </w:t>
      </w:r>
      <w:r w:rsidRPr="00B02247">
        <w:t>are</w:t>
      </w:r>
      <w:r w:rsidR="005B2A41">
        <w:t xml:space="preserve"> </w:t>
      </w:r>
      <w:r w:rsidRPr="00B02247">
        <w:t>elected</w:t>
      </w:r>
      <w:r w:rsidR="005B2A41">
        <w:t xml:space="preserve"> </w:t>
      </w:r>
      <w:r w:rsidRPr="00B02247">
        <w:t>by</w:t>
      </w:r>
      <w:r w:rsidR="005B2A41">
        <w:t xml:space="preserve"> </w:t>
      </w:r>
      <w:r w:rsidRPr="00B02247">
        <w:t>direct</w:t>
      </w:r>
      <w:r w:rsidR="005B2A41">
        <w:t xml:space="preserve"> </w:t>
      </w:r>
      <w:r w:rsidRPr="00B02247">
        <w:t>universal</w:t>
      </w:r>
      <w:r w:rsidR="005B2A41">
        <w:t xml:space="preserve"> </w:t>
      </w:r>
      <w:r w:rsidRPr="00B02247">
        <w:t>suffrage</w:t>
      </w:r>
      <w:r w:rsidR="005B2A41">
        <w:t xml:space="preserve"> </w:t>
      </w:r>
      <w:r w:rsidRPr="00B02247">
        <w:t>every</w:t>
      </w:r>
      <w:r w:rsidR="005B2A41">
        <w:t xml:space="preserve"> </w:t>
      </w:r>
      <w:r w:rsidRPr="00B02247">
        <w:t>five</w:t>
      </w:r>
      <w:r w:rsidR="005B2A41">
        <w:t xml:space="preserve"> </w:t>
      </w:r>
      <w:r w:rsidRPr="00B02247">
        <w:t>(5)</w:t>
      </w:r>
      <w:r w:rsidR="005B2A41">
        <w:t xml:space="preserve"> </w:t>
      </w:r>
      <w:r w:rsidRPr="00B02247">
        <w:t>years.</w:t>
      </w:r>
      <w:r w:rsidR="005B2A41">
        <w:t xml:space="preserve"> </w:t>
      </w:r>
    </w:p>
    <w:p w:rsidR="00F233AB" w:rsidRPr="00B02247" w:rsidRDefault="00F233AB" w:rsidP="00E1307D">
      <w:pPr>
        <w:pStyle w:val="SingleTxtG"/>
      </w:pPr>
      <w:r w:rsidRPr="00B02247">
        <w:t>17.</w:t>
      </w:r>
      <w:r w:rsidRPr="00B02247">
        <w:tab/>
        <w:t>The</w:t>
      </w:r>
      <w:r w:rsidR="005B2A41">
        <w:t xml:space="preserve"> </w:t>
      </w:r>
      <w:r w:rsidRPr="00B02247">
        <w:t>judicial</w:t>
      </w:r>
      <w:r w:rsidR="005B2A41">
        <w:t xml:space="preserve"> </w:t>
      </w:r>
      <w:r w:rsidRPr="00B02247">
        <w:t>power</w:t>
      </w:r>
      <w:r w:rsidR="005B2A41">
        <w:t xml:space="preserve"> </w:t>
      </w:r>
      <w:r w:rsidRPr="00B02247">
        <w:t>is</w:t>
      </w:r>
      <w:r w:rsidR="005B2A41">
        <w:t xml:space="preserve"> </w:t>
      </w:r>
      <w:r w:rsidRPr="00B02247">
        <w:t>exercised</w:t>
      </w:r>
      <w:r w:rsidR="005B2A41">
        <w:t xml:space="preserve"> </w:t>
      </w:r>
      <w:r w:rsidRPr="00B02247">
        <w:t>by</w:t>
      </w:r>
      <w:r w:rsidR="005B2A41">
        <w:t xml:space="preserve"> </w:t>
      </w:r>
      <w:r w:rsidRPr="00B02247">
        <w:t>courts</w:t>
      </w:r>
      <w:r w:rsidR="005B2A41">
        <w:t xml:space="preserve"> </w:t>
      </w:r>
      <w:r w:rsidRPr="00B02247">
        <w:t>composed</w:t>
      </w:r>
      <w:r w:rsidR="005B2A41">
        <w:t xml:space="preserve"> </w:t>
      </w:r>
      <w:r w:rsidRPr="00B02247">
        <w:t>of</w:t>
      </w:r>
      <w:r w:rsidR="005B2A41">
        <w:t xml:space="preserve"> </w:t>
      </w:r>
      <w:r w:rsidRPr="00B02247">
        <w:t>regular</w:t>
      </w:r>
      <w:r w:rsidR="005B2A41">
        <w:t xml:space="preserve"> </w:t>
      </w:r>
      <w:r w:rsidRPr="00B02247">
        <w:t>judges</w:t>
      </w:r>
      <w:r w:rsidR="005B2A41">
        <w:t xml:space="preserve"> </w:t>
      </w:r>
      <w:r w:rsidRPr="00B02247">
        <w:t>who</w:t>
      </w:r>
      <w:r w:rsidR="005B2A41">
        <w:t xml:space="preserve"> </w:t>
      </w:r>
      <w:r w:rsidRPr="00B02247">
        <w:t>enjoy</w:t>
      </w:r>
      <w:r w:rsidR="005B2A41">
        <w:t xml:space="preserve"> </w:t>
      </w:r>
      <w:r w:rsidRPr="00B02247">
        <w:t>functional</w:t>
      </w:r>
      <w:r w:rsidR="005B2A41">
        <w:t xml:space="preserve"> </w:t>
      </w:r>
      <w:r w:rsidRPr="00B02247">
        <w:t>and</w:t>
      </w:r>
      <w:r w:rsidR="005B2A41">
        <w:t xml:space="preserve"> </w:t>
      </w:r>
      <w:r w:rsidRPr="00B02247">
        <w:t>personal</w:t>
      </w:r>
      <w:r w:rsidR="005B2A41">
        <w:t xml:space="preserve"> </w:t>
      </w:r>
      <w:r w:rsidRPr="00B02247">
        <w:t>independence.</w:t>
      </w:r>
      <w:r w:rsidR="005B2A41">
        <w:t xml:space="preserve"> </w:t>
      </w:r>
      <w:r w:rsidRPr="00B02247">
        <w:t>The</w:t>
      </w:r>
      <w:r w:rsidR="005B2A41">
        <w:t xml:space="preserve"> </w:t>
      </w:r>
      <w:r w:rsidRPr="00B02247">
        <w:t>courts</w:t>
      </w:r>
      <w:r w:rsidR="005B2A41">
        <w:t xml:space="preserve"> </w:t>
      </w:r>
      <w:r w:rsidRPr="00B02247">
        <w:t>are</w:t>
      </w:r>
      <w:r w:rsidR="005B2A41">
        <w:t xml:space="preserve"> </w:t>
      </w:r>
      <w:r w:rsidRPr="00B02247">
        <w:t>bound</w:t>
      </w:r>
      <w:r w:rsidR="005B2A41">
        <w:t xml:space="preserve"> </w:t>
      </w:r>
      <w:r w:rsidRPr="00B02247">
        <w:t>not</w:t>
      </w:r>
      <w:r w:rsidR="005B2A41">
        <w:t xml:space="preserve"> </w:t>
      </w:r>
      <w:r w:rsidRPr="00B02247">
        <w:t>to</w:t>
      </w:r>
      <w:r w:rsidR="005B2A41">
        <w:t xml:space="preserve"> </w:t>
      </w:r>
      <w:r w:rsidRPr="00B02247">
        <w:t>apply,</w:t>
      </w:r>
      <w:r w:rsidR="005B2A41">
        <w:t xml:space="preserve"> </w:t>
      </w:r>
      <w:r w:rsidRPr="00B02247">
        <w:t>in</w:t>
      </w:r>
      <w:r w:rsidR="005B2A41">
        <w:t xml:space="preserve"> </w:t>
      </w:r>
      <w:r w:rsidRPr="00B02247">
        <w:t>a</w:t>
      </w:r>
      <w:r w:rsidR="005B2A41">
        <w:t xml:space="preserve"> </w:t>
      </w:r>
      <w:r w:rsidRPr="00B02247">
        <w:t>specific</w:t>
      </w:r>
      <w:r w:rsidR="005B2A41">
        <w:t xml:space="preserve"> </w:t>
      </w:r>
      <w:r w:rsidRPr="00B02247">
        <w:t>case</w:t>
      </w:r>
      <w:r w:rsidR="005B2A41">
        <w:t xml:space="preserve"> </w:t>
      </w:r>
      <w:r w:rsidRPr="00B02247">
        <w:t>before</w:t>
      </w:r>
      <w:r w:rsidR="005B2A41">
        <w:t xml:space="preserve"> </w:t>
      </w:r>
      <w:r w:rsidRPr="00B02247">
        <w:t>them,</w:t>
      </w:r>
      <w:r w:rsidR="005B2A41">
        <w:t xml:space="preserve"> </w:t>
      </w:r>
      <w:r w:rsidRPr="00B02247">
        <w:t>a</w:t>
      </w:r>
      <w:r w:rsidR="005B2A41">
        <w:t xml:space="preserve"> </w:t>
      </w:r>
      <w:r w:rsidRPr="00B02247">
        <w:t>law,</w:t>
      </w:r>
      <w:r w:rsidR="005B2A41">
        <w:t xml:space="preserve"> </w:t>
      </w:r>
      <w:r w:rsidRPr="00B02247">
        <w:t>the</w:t>
      </w:r>
      <w:r w:rsidR="005B2A41">
        <w:t xml:space="preserve"> </w:t>
      </w:r>
      <w:r w:rsidRPr="00B02247">
        <w:t>contents</w:t>
      </w:r>
      <w:r w:rsidR="005B2A41">
        <w:t xml:space="preserve"> </w:t>
      </w:r>
      <w:r w:rsidRPr="00B02247">
        <w:t>of</w:t>
      </w:r>
      <w:r w:rsidR="005B2A41">
        <w:t xml:space="preserve"> </w:t>
      </w:r>
      <w:r w:rsidRPr="00B02247">
        <w:t>which</w:t>
      </w:r>
      <w:r w:rsidR="005B2A41">
        <w:t xml:space="preserve"> </w:t>
      </w:r>
      <w:r w:rsidRPr="00B02247">
        <w:t>are</w:t>
      </w:r>
      <w:r w:rsidR="005B2A41">
        <w:t xml:space="preserve"> </w:t>
      </w:r>
      <w:r w:rsidRPr="00B02247">
        <w:t>contrary</w:t>
      </w:r>
      <w:r w:rsidR="005B2A41">
        <w:t xml:space="preserve"> </w:t>
      </w:r>
      <w:r w:rsidRPr="00B02247">
        <w:t>to</w:t>
      </w:r>
      <w:r w:rsidR="005B2A41">
        <w:t xml:space="preserve"> </w:t>
      </w:r>
      <w:r w:rsidRPr="00B02247">
        <w:t>the</w:t>
      </w:r>
      <w:r w:rsidR="005B2A41">
        <w:t xml:space="preserve"> </w:t>
      </w:r>
      <w:r w:rsidRPr="00B02247">
        <w:t>Constitution;</w:t>
      </w:r>
      <w:r w:rsidR="005B2A41">
        <w:t xml:space="preserve"> </w:t>
      </w:r>
      <w:r w:rsidRPr="00B02247">
        <w:t>however,</w:t>
      </w:r>
      <w:r w:rsidR="005B2A41">
        <w:t xml:space="preserve"> </w:t>
      </w:r>
      <w:r w:rsidRPr="00B02247">
        <w:t>only</w:t>
      </w:r>
      <w:r w:rsidR="005B2A41">
        <w:t xml:space="preserve"> </w:t>
      </w:r>
      <w:r w:rsidRPr="00B02247">
        <w:t>legislative</w:t>
      </w:r>
      <w:r w:rsidR="005B2A41">
        <w:t xml:space="preserve"> </w:t>
      </w:r>
      <w:r w:rsidRPr="00B02247">
        <w:t>provisions</w:t>
      </w:r>
      <w:r w:rsidR="005B2A41">
        <w:t xml:space="preserve"> </w:t>
      </w:r>
      <w:r w:rsidRPr="00B02247">
        <w:t>declared</w:t>
      </w:r>
      <w:r w:rsidR="005B2A41">
        <w:t xml:space="preserve"> </w:t>
      </w:r>
      <w:r w:rsidRPr="00B02247">
        <w:t>unconstitutional</w:t>
      </w:r>
      <w:r w:rsidR="005B2A41">
        <w:t xml:space="preserve"> </w:t>
      </w:r>
      <w:r w:rsidRPr="00B02247">
        <w:t>by</w:t>
      </w:r>
      <w:r w:rsidR="005B2A41">
        <w:t xml:space="preserve"> </w:t>
      </w:r>
      <w:r w:rsidRPr="00B02247">
        <w:t>the</w:t>
      </w:r>
      <w:r w:rsidR="005B2A41">
        <w:t xml:space="preserve"> </w:t>
      </w:r>
      <w:r w:rsidRPr="00B02247">
        <w:t>Special</w:t>
      </w:r>
      <w:r w:rsidR="005B2A41">
        <w:t xml:space="preserve"> </w:t>
      </w:r>
      <w:r w:rsidRPr="00B02247">
        <w:t>Supreme</w:t>
      </w:r>
      <w:r w:rsidR="005B2A41">
        <w:t xml:space="preserve"> </w:t>
      </w:r>
      <w:r w:rsidRPr="00B02247">
        <w:t>Court</w:t>
      </w:r>
      <w:r w:rsidR="005B2A41">
        <w:t xml:space="preserve"> </w:t>
      </w:r>
      <w:r w:rsidRPr="00B02247">
        <w:t>(in</w:t>
      </w:r>
      <w:r w:rsidR="005B2A41">
        <w:t xml:space="preserve"> </w:t>
      </w:r>
      <w:r w:rsidRPr="00B02247">
        <w:t>case</w:t>
      </w:r>
      <w:r w:rsidR="005B2A41">
        <w:t xml:space="preserve"> </w:t>
      </w:r>
      <w:r w:rsidRPr="00B02247">
        <w:t>of</w:t>
      </w:r>
      <w:r w:rsidR="005B2A41">
        <w:t xml:space="preserve"> </w:t>
      </w:r>
      <w:r w:rsidRPr="00B02247">
        <w:t>conflicting</w:t>
      </w:r>
      <w:r w:rsidR="005B2A41">
        <w:t xml:space="preserve"> </w:t>
      </w:r>
      <w:r w:rsidRPr="00B02247">
        <w:t>judgments</w:t>
      </w:r>
      <w:r w:rsidR="005B2A41">
        <w:t xml:space="preserve"> </w:t>
      </w:r>
      <w:r w:rsidRPr="00B02247">
        <w:t>by</w:t>
      </w:r>
      <w:r w:rsidR="005B2A41">
        <w:t xml:space="preserve"> </w:t>
      </w:r>
      <w:r w:rsidRPr="00B02247">
        <w:t>the</w:t>
      </w:r>
      <w:r w:rsidR="005B2A41">
        <w:t xml:space="preserve"> </w:t>
      </w:r>
      <w:r w:rsidRPr="00B02247">
        <w:t>supreme</w:t>
      </w:r>
      <w:r w:rsidR="005B2A41">
        <w:t xml:space="preserve"> </w:t>
      </w:r>
      <w:r w:rsidRPr="00B02247">
        <w:t>courts</w:t>
      </w:r>
      <w:r w:rsidR="005B2A41">
        <w:t xml:space="preserve"> </w:t>
      </w:r>
      <w:r w:rsidRPr="00B02247">
        <w:t>on</w:t>
      </w:r>
      <w:r w:rsidR="005B2A41">
        <w:t xml:space="preserve"> </w:t>
      </w:r>
      <w:r w:rsidRPr="00B02247">
        <w:t>the</w:t>
      </w:r>
      <w:r w:rsidR="005B2A41">
        <w:t xml:space="preserve"> </w:t>
      </w:r>
      <w:r w:rsidRPr="00B02247">
        <w:t>constitutionality</w:t>
      </w:r>
      <w:r w:rsidR="005B2A41">
        <w:t xml:space="preserve"> </w:t>
      </w:r>
      <w:r w:rsidRPr="00B02247">
        <w:t>of</w:t>
      </w:r>
      <w:r w:rsidR="005B2A41">
        <w:t xml:space="preserve"> </w:t>
      </w:r>
      <w:r w:rsidRPr="00B02247">
        <w:t>the</w:t>
      </w:r>
      <w:r w:rsidR="005B2A41">
        <w:t xml:space="preserve"> </w:t>
      </w:r>
      <w:r w:rsidRPr="00B02247">
        <w:t>abovementioned</w:t>
      </w:r>
      <w:r w:rsidR="005B2A41">
        <w:t xml:space="preserve"> </w:t>
      </w:r>
      <w:r w:rsidRPr="00B02247">
        <w:t>provisions)</w:t>
      </w:r>
      <w:r w:rsidR="005B2A41">
        <w:t xml:space="preserve"> </w:t>
      </w:r>
      <w:r w:rsidRPr="00B02247">
        <w:t>shall</w:t>
      </w:r>
      <w:r w:rsidR="005B2A41">
        <w:t xml:space="preserve"> </w:t>
      </w:r>
      <w:r w:rsidRPr="00B02247">
        <w:t>be</w:t>
      </w:r>
      <w:r w:rsidR="005B2A41">
        <w:t xml:space="preserve"> </w:t>
      </w:r>
      <w:r w:rsidRPr="00B02247">
        <w:t>invalid</w:t>
      </w:r>
      <w:r w:rsidR="005B2A41">
        <w:t xml:space="preserve"> </w:t>
      </w:r>
      <w:r w:rsidRPr="00B02247">
        <w:t>as</w:t>
      </w:r>
      <w:r w:rsidR="005B2A41">
        <w:t xml:space="preserve"> </w:t>
      </w:r>
      <w:r w:rsidRPr="00B02247">
        <w:t>of</w:t>
      </w:r>
      <w:r w:rsidR="005B2A41">
        <w:t xml:space="preserve"> </w:t>
      </w:r>
      <w:r w:rsidRPr="00B02247">
        <w:t>the</w:t>
      </w:r>
      <w:r w:rsidR="005B2A41">
        <w:t xml:space="preserve"> </w:t>
      </w:r>
      <w:r w:rsidRPr="00B02247">
        <w:t>date</w:t>
      </w:r>
      <w:r w:rsidR="005B2A41">
        <w:t xml:space="preserve"> </w:t>
      </w:r>
      <w:r w:rsidRPr="00B02247">
        <w:t>of</w:t>
      </w:r>
      <w:r w:rsidR="005B2A41">
        <w:t xml:space="preserve"> </w:t>
      </w:r>
      <w:r w:rsidRPr="00B02247">
        <w:t>publication</w:t>
      </w:r>
      <w:r w:rsidR="005B2A41">
        <w:t xml:space="preserve"> </w:t>
      </w:r>
      <w:r w:rsidRPr="00B02247">
        <w:t>of</w:t>
      </w:r>
      <w:r w:rsidR="005B2A41">
        <w:t xml:space="preserve"> </w:t>
      </w:r>
      <w:r w:rsidRPr="00B02247">
        <w:t>the</w:t>
      </w:r>
      <w:r w:rsidR="005B2A41">
        <w:t xml:space="preserve"> </w:t>
      </w:r>
      <w:r w:rsidRPr="00B02247">
        <w:t>respective</w:t>
      </w:r>
      <w:r w:rsidR="005B2A41">
        <w:t xml:space="preserve"> </w:t>
      </w:r>
      <w:r w:rsidRPr="00B02247">
        <w:t>judgment,</w:t>
      </w:r>
      <w:r w:rsidR="005B2A41">
        <w:t xml:space="preserve"> </w:t>
      </w:r>
      <w:r w:rsidRPr="00B02247">
        <w:t>or</w:t>
      </w:r>
      <w:r w:rsidR="005B2A41">
        <w:t xml:space="preserve"> </w:t>
      </w:r>
      <w:r w:rsidRPr="00B02247">
        <w:t>as</w:t>
      </w:r>
      <w:r w:rsidR="005B2A41">
        <w:t xml:space="preserve"> </w:t>
      </w:r>
      <w:r w:rsidRPr="00B02247">
        <w:t>of</w:t>
      </w:r>
      <w:r w:rsidR="005B2A41">
        <w:t xml:space="preserve"> </w:t>
      </w:r>
      <w:r w:rsidRPr="00B02247">
        <w:t>the</w:t>
      </w:r>
      <w:r w:rsidR="005B2A41">
        <w:t xml:space="preserve"> </w:t>
      </w:r>
      <w:r w:rsidRPr="00B02247">
        <w:t>date</w:t>
      </w:r>
      <w:r w:rsidR="005B2A41">
        <w:t xml:space="preserve"> </w:t>
      </w:r>
      <w:r w:rsidRPr="00B02247">
        <w:t>specified</w:t>
      </w:r>
      <w:r w:rsidR="005B2A41">
        <w:t xml:space="preserve"> </w:t>
      </w:r>
      <w:r w:rsidRPr="00B02247">
        <w:t>by</w:t>
      </w:r>
      <w:r w:rsidR="005B2A41">
        <w:t xml:space="preserve"> </w:t>
      </w:r>
      <w:r w:rsidRPr="00B02247">
        <w:t>the</w:t>
      </w:r>
      <w:r w:rsidR="005B2A41">
        <w:t xml:space="preserve"> </w:t>
      </w:r>
      <w:r w:rsidRPr="00B02247">
        <w:t>ruling.</w:t>
      </w:r>
      <w:r w:rsidR="005B2A41">
        <w:t xml:space="preserve"> </w:t>
      </w:r>
      <w:r w:rsidRPr="00B02247">
        <w:t>Article</w:t>
      </w:r>
      <w:r w:rsidR="005B2A41">
        <w:t xml:space="preserve"> </w:t>
      </w:r>
      <w:r w:rsidRPr="00B02247">
        <w:t>8</w:t>
      </w:r>
      <w:r w:rsidR="005B2A41">
        <w:t xml:space="preserve"> </w:t>
      </w:r>
      <w:r w:rsidRPr="00B02247">
        <w:t>of</w:t>
      </w:r>
      <w:r w:rsidR="005B2A41">
        <w:t xml:space="preserve"> </w:t>
      </w:r>
      <w:r w:rsidRPr="00B02247">
        <w:t>the</w:t>
      </w:r>
      <w:r w:rsidR="005B2A41">
        <w:t xml:space="preserve"> </w:t>
      </w:r>
      <w:r w:rsidRPr="00B02247">
        <w:t>Constitution</w:t>
      </w:r>
      <w:r w:rsidR="005B2A41">
        <w:t xml:space="preserve"> </w:t>
      </w:r>
      <w:r w:rsidRPr="00B02247">
        <w:t>introduces</w:t>
      </w:r>
      <w:r w:rsidR="005B2A41">
        <w:t xml:space="preserve"> </w:t>
      </w:r>
      <w:r w:rsidRPr="00B02247">
        <w:t>the</w:t>
      </w:r>
      <w:r w:rsidR="005B2A41">
        <w:t xml:space="preserve"> </w:t>
      </w:r>
      <w:r w:rsidRPr="00B02247">
        <w:t>principle</w:t>
      </w:r>
      <w:r w:rsidR="005B2A41">
        <w:t xml:space="preserve"> </w:t>
      </w:r>
      <w:r w:rsidRPr="00B02247">
        <w:t>of</w:t>
      </w:r>
      <w:r w:rsidR="005B2A41">
        <w:t xml:space="preserve"> </w:t>
      </w:r>
      <w:r w:rsidRPr="00B02247">
        <w:t>the</w:t>
      </w:r>
      <w:r w:rsidR="005B2A41">
        <w:t xml:space="preserve"> </w:t>
      </w:r>
      <w:r w:rsidR="003E731F">
        <w:t>“</w:t>
      </w:r>
      <w:r w:rsidRPr="00B02247">
        <w:t>natural</w:t>
      </w:r>
      <w:r w:rsidR="005B2A41">
        <w:t xml:space="preserve"> </w:t>
      </w:r>
      <w:r w:rsidRPr="00B02247">
        <w:t>judge</w:t>
      </w:r>
      <w:r w:rsidR="003E731F">
        <w:t>”</w:t>
      </w:r>
      <w:r w:rsidRPr="00B02247">
        <w:t>,</w:t>
      </w:r>
      <w:r w:rsidR="005B2A41">
        <w:t xml:space="preserve"> </w:t>
      </w:r>
      <w:r w:rsidRPr="00B02247">
        <w:t>meaning</w:t>
      </w:r>
      <w:r w:rsidR="005B2A41">
        <w:t xml:space="preserve"> </w:t>
      </w:r>
      <w:r w:rsidRPr="00B02247">
        <w:t>that</w:t>
      </w:r>
      <w:r w:rsidR="005B2A41">
        <w:t xml:space="preserve"> </w:t>
      </w:r>
      <w:r w:rsidRPr="00B02247">
        <w:t>no</w:t>
      </w:r>
      <w:r w:rsidR="005B2A41">
        <w:t xml:space="preserve"> </w:t>
      </w:r>
      <w:r w:rsidRPr="00B02247">
        <w:t>person</w:t>
      </w:r>
      <w:r w:rsidR="005B2A41">
        <w:t xml:space="preserve"> </w:t>
      </w:r>
      <w:r w:rsidRPr="00B02247">
        <w:t>shall</w:t>
      </w:r>
      <w:r w:rsidR="005B2A41">
        <w:t xml:space="preserve"> </w:t>
      </w:r>
      <w:r w:rsidRPr="00B02247">
        <w:t>be</w:t>
      </w:r>
      <w:r w:rsidR="005B2A41">
        <w:t xml:space="preserve"> </w:t>
      </w:r>
      <w:r w:rsidRPr="00B02247">
        <w:t>deprived</w:t>
      </w:r>
      <w:r w:rsidR="005B2A41">
        <w:t xml:space="preserve"> </w:t>
      </w:r>
      <w:r w:rsidRPr="00B02247">
        <w:t>of</w:t>
      </w:r>
      <w:r w:rsidR="005B2A41">
        <w:t xml:space="preserve"> </w:t>
      </w:r>
      <w:r w:rsidRPr="00B02247">
        <w:t>the</w:t>
      </w:r>
      <w:r w:rsidR="005B2A41">
        <w:t xml:space="preserve"> </w:t>
      </w:r>
      <w:r w:rsidRPr="00B02247">
        <w:t>judge</w:t>
      </w:r>
      <w:r w:rsidR="005B2A41">
        <w:t xml:space="preserve"> </w:t>
      </w:r>
      <w:r w:rsidRPr="00B02247">
        <w:t>assigned</w:t>
      </w:r>
      <w:r w:rsidR="005B2A41">
        <w:t xml:space="preserve"> </w:t>
      </w:r>
      <w:r w:rsidRPr="00B02247">
        <w:t>to</w:t>
      </w:r>
      <w:r w:rsidR="005B2A41">
        <w:t xml:space="preserve"> </w:t>
      </w:r>
      <w:r w:rsidRPr="00B02247">
        <w:t>him</w:t>
      </w:r>
      <w:r w:rsidR="005B2A41">
        <w:t xml:space="preserve"> </w:t>
      </w:r>
      <w:r w:rsidRPr="00B02247">
        <w:t>or</w:t>
      </w:r>
      <w:r w:rsidR="005B2A41">
        <w:t xml:space="preserve"> </w:t>
      </w:r>
      <w:r w:rsidRPr="00B02247">
        <w:t>her</w:t>
      </w:r>
      <w:r w:rsidR="005B2A41">
        <w:t xml:space="preserve"> </w:t>
      </w:r>
      <w:r w:rsidRPr="00B02247">
        <w:t>by</w:t>
      </w:r>
      <w:r w:rsidR="005B2A41">
        <w:t xml:space="preserve"> </w:t>
      </w:r>
      <w:r w:rsidRPr="00B02247">
        <w:t>law</w:t>
      </w:r>
      <w:r w:rsidR="005B2A41">
        <w:t xml:space="preserve"> </w:t>
      </w:r>
      <w:r w:rsidRPr="00B02247">
        <w:t>against</w:t>
      </w:r>
      <w:r w:rsidR="005B2A41">
        <w:t xml:space="preserve"> </w:t>
      </w:r>
      <w:r w:rsidRPr="00B02247">
        <w:t>his</w:t>
      </w:r>
      <w:r w:rsidR="005B2A41">
        <w:t xml:space="preserve"> </w:t>
      </w:r>
      <w:r w:rsidRPr="00B02247">
        <w:t>or</w:t>
      </w:r>
      <w:r w:rsidR="005B2A41">
        <w:t xml:space="preserve"> </w:t>
      </w:r>
      <w:r w:rsidRPr="00B02247">
        <w:t>her</w:t>
      </w:r>
      <w:r w:rsidR="005B2A41">
        <w:t xml:space="preserve"> </w:t>
      </w:r>
      <w:r w:rsidRPr="00B02247">
        <w:t>will,</w:t>
      </w:r>
      <w:r w:rsidR="005B2A41">
        <w:t xml:space="preserve"> </w:t>
      </w:r>
      <w:r w:rsidRPr="00B02247">
        <w:t>and</w:t>
      </w:r>
      <w:r w:rsidR="005B2A41">
        <w:t xml:space="preserve"> </w:t>
      </w:r>
      <w:r w:rsidRPr="00B02247">
        <w:t>prohibits</w:t>
      </w:r>
      <w:r w:rsidR="005B2A41">
        <w:t xml:space="preserve"> </w:t>
      </w:r>
      <w:r w:rsidRPr="00B02247">
        <w:t>the</w:t>
      </w:r>
      <w:r w:rsidR="005B2A41">
        <w:t xml:space="preserve"> </w:t>
      </w:r>
      <w:r w:rsidRPr="00B02247">
        <w:t>constitution</w:t>
      </w:r>
      <w:r w:rsidR="005B2A41">
        <w:t xml:space="preserve"> </w:t>
      </w:r>
      <w:r w:rsidRPr="00B02247">
        <w:t>and</w:t>
      </w:r>
      <w:r w:rsidR="005B2A41">
        <w:t xml:space="preserve"> </w:t>
      </w:r>
      <w:r w:rsidRPr="00B02247">
        <w:t>setting</w:t>
      </w:r>
      <w:r w:rsidR="005B2A41">
        <w:t xml:space="preserve"> </w:t>
      </w:r>
      <w:r w:rsidRPr="00B02247">
        <w:t>up</w:t>
      </w:r>
      <w:r w:rsidR="005B2A41">
        <w:t xml:space="preserve"> </w:t>
      </w:r>
      <w:r w:rsidRPr="00B02247">
        <w:t>of</w:t>
      </w:r>
      <w:r w:rsidR="005B2A41">
        <w:t xml:space="preserve"> </w:t>
      </w:r>
      <w:r w:rsidRPr="00B02247">
        <w:t>judicial</w:t>
      </w:r>
      <w:r w:rsidR="005B2A41">
        <w:t xml:space="preserve"> </w:t>
      </w:r>
      <w:r w:rsidRPr="00B02247">
        <w:t>committees</w:t>
      </w:r>
      <w:r w:rsidR="005B2A41">
        <w:t xml:space="preserve"> </w:t>
      </w:r>
      <w:r w:rsidRPr="00B02247">
        <w:t>and</w:t>
      </w:r>
      <w:r w:rsidR="005B2A41">
        <w:t xml:space="preserve"> </w:t>
      </w:r>
      <w:r w:rsidRPr="00B02247">
        <w:t>extraordinary</w:t>
      </w:r>
      <w:r w:rsidR="005B2A41">
        <w:t xml:space="preserve"> </w:t>
      </w:r>
      <w:r w:rsidRPr="00B02247">
        <w:t>courts.</w:t>
      </w:r>
    </w:p>
    <w:p w:rsidR="00F233AB" w:rsidRPr="00B02247" w:rsidRDefault="00F233AB" w:rsidP="00E1307D">
      <w:pPr>
        <w:pStyle w:val="SingleTxtG"/>
      </w:pPr>
      <w:r w:rsidRPr="00B02247">
        <w:t>18.</w:t>
      </w:r>
      <w:r w:rsidRPr="00B02247">
        <w:tab/>
        <w:t>The</w:t>
      </w:r>
      <w:r w:rsidR="005B2A41">
        <w:t xml:space="preserve"> </w:t>
      </w:r>
      <w:r w:rsidRPr="00B02247">
        <w:t>Constitution</w:t>
      </w:r>
      <w:r w:rsidR="005B2A41">
        <w:t xml:space="preserve"> </w:t>
      </w:r>
      <w:r w:rsidRPr="00B02247">
        <w:t>establishes</w:t>
      </w:r>
      <w:r w:rsidR="005B2A41">
        <w:t xml:space="preserve"> </w:t>
      </w:r>
      <w:r w:rsidRPr="00B02247">
        <w:t>civil,</w:t>
      </w:r>
      <w:r w:rsidR="005B2A41">
        <w:t xml:space="preserve"> </w:t>
      </w:r>
      <w:r w:rsidRPr="00B02247">
        <w:t>criminal</w:t>
      </w:r>
      <w:r w:rsidR="005B2A41">
        <w:t xml:space="preserve"> </w:t>
      </w:r>
      <w:r w:rsidRPr="00B02247">
        <w:t>and</w:t>
      </w:r>
      <w:r w:rsidR="005B2A41">
        <w:t xml:space="preserve"> </w:t>
      </w:r>
      <w:r w:rsidRPr="00B02247">
        <w:t>administrative</w:t>
      </w:r>
      <w:r w:rsidR="005B2A41">
        <w:t xml:space="preserve"> </w:t>
      </w:r>
      <w:r w:rsidRPr="00B02247">
        <w:t>courts.</w:t>
      </w:r>
      <w:r w:rsidR="005B2A41">
        <w:t xml:space="preserve"> </w:t>
      </w:r>
    </w:p>
    <w:p w:rsidR="00F233AB" w:rsidRPr="00B02247" w:rsidRDefault="00F233AB" w:rsidP="00E1307D">
      <w:pPr>
        <w:pStyle w:val="SingleTxtG"/>
      </w:pPr>
      <w:r w:rsidRPr="00B02247">
        <w:t>19.</w:t>
      </w:r>
      <w:r w:rsidRPr="00B02247">
        <w:tab/>
        <w:t>First-</w:t>
      </w:r>
      <w:r w:rsidR="005B2A41">
        <w:t xml:space="preserve"> </w:t>
      </w:r>
      <w:r w:rsidRPr="00B02247">
        <w:t>and</w:t>
      </w:r>
      <w:r w:rsidR="005B2A41">
        <w:t xml:space="preserve"> </w:t>
      </w:r>
      <w:r w:rsidRPr="00B02247">
        <w:t>second</w:t>
      </w:r>
      <w:r w:rsidR="005B2A41">
        <w:t xml:space="preserve"> </w:t>
      </w:r>
      <w:r w:rsidRPr="00B02247">
        <w:t>instance</w:t>
      </w:r>
      <w:r w:rsidR="005B2A41">
        <w:t xml:space="preserve"> </w:t>
      </w:r>
      <w:r w:rsidRPr="00B02247">
        <w:t>civil</w:t>
      </w:r>
      <w:r w:rsidR="005B2A41">
        <w:t xml:space="preserve"> </w:t>
      </w:r>
      <w:r w:rsidRPr="00B02247">
        <w:t>courts</w:t>
      </w:r>
      <w:r w:rsidR="005B2A41">
        <w:t xml:space="preserve"> </w:t>
      </w:r>
      <w:r w:rsidRPr="00B02247">
        <w:t>are</w:t>
      </w:r>
      <w:r w:rsidR="005B2A41">
        <w:t xml:space="preserve"> </w:t>
      </w:r>
      <w:r w:rsidRPr="00B02247">
        <w:t>the</w:t>
      </w:r>
      <w:r w:rsidR="005B2A41">
        <w:t xml:space="preserve"> </w:t>
      </w:r>
      <w:r w:rsidRPr="00B02247">
        <w:t>district</w:t>
      </w:r>
      <w:r w:rsidR="005B2A41">
        <w:t xml:space="preserve"> </w:t>
      </w:r>
      <w:r w:rsidRPr="00B02247">
        <w:t>civil</w:t>
      </w:r>
      <w:r w:rsidR="005B2A41">
        <w:t xml:space="preserve"> </w:t>
      </w:r>
      <w:r w:rsidRPr="00B02247">
        <w:t>courts,</w:t>
      </w:r>
      <w:r w:rsidR="005B2A41">
        <w:t xml:space="preserve"> </w:t>
      </w:r>
      <w:r w:rsidRPr="00B02247">
        <w:t>the</w:t>
      </w:r>
      <w:r w:rsidR="005B2A41">
        <w:t xml:space="preserve"> </w:t>
      </w:r>
      <w:r w:rsidRPr="00B02247">
        <w:t>courts</w:t>
      </w:r>
      <w:r w:rsidR="005B2A41">
        <w:t xml:space="preserve"> </w:t>
      </w:r>
      <w:r w:rsidRPr="00B02247">
        <w:t>of</w:t>
      </w:r>
      <w:r w:rsidR="005B2A41">
        <w:t xml:space="preserve"> </w:t>
      </w:r>
      <w:r w:rsidRPr="00B02247">
        <w:t>first</w:t>
      </w:r>
      <w:r w:rsidR="005B2A41">
        <w:t xml:space="preserve"> </w:t>
      </w:r>
      <w:r w:rsidRPr="00B02247">
        <w:t>instance</w:t>
      </w:r>
      <w:r w:rsidR="005B2A41">
        <w:t xml:space="preserve"> </w:t>
      </w:r>
      <w:r w:rsidRPr="00B02247">
        <w:t>(one-member</w:t>
      </w:r>
      <w:r w:rsidR="005B2A41">
        <w:t xml:space="preserve"> </w:t>
      </w:r>
      <w:r w:rsidRPr="00B02247">
        <w:t>courts</w:t>
      </w:r>
      <w:r w:rsidR="005B2A41">
        <w:t xml:space="preserve"> </w:t>
      </w:r>
      <w:r w:rsidRPr="00B02247">
        <w:t>and</w:t>
      </w:r>
      <w:r w:rsidR="005B2A41">
        <w:t xml:space="preserve"> </w:t>
      </w:r>
      <w:r w:rsidRPr="00B02247">
        <w:t>courts</w:t>
      </w:r>
      <w:r w:rsidR="005B2A41">
        <w:t xml:space="preserve"> </w:t>
      </w:r>
      <w:r w:rsidRPr="00B02247">
        <w:t>with</w:t>
      </w:r>
      <w:r w:rsidR="005B2A41">
        <w:t xml:space="preserve"> </w:t>
      </w:r>
      <w:r w:rsidRPr="00B02247">
        <w:t>several</w:t>
      </w:r>
      <w:r w:rsidR="005B2A41">
        <w:t xml:space="preserve"> </w:t>
      </w:r>
      <w:r w:rsidRPr="00B02247">
        <w:t>judges)</w:t>
      </w:r>
      <w:r w:rsidR="005B2A41">
        <w:t xml:space="preserve"> </w:t>
      </w:r>
      <w:r w:rsidRPr="00B02247">
        <w:t>and</w:t>
      </w:r>
      <w:r w:rsidR="005B2A41">
        <w:t xml:space="preserve"> </w:t>
      </w:r>
      <w:r w:rsidRPr="00B02247">
        <w:t>the</w:t>
      </w:r>
      <w:r w:rsidR="005B2A41">
        <w:t xml:space="preserve"> </w:t>
      </w:r>
      <w:r w:rsidRPr="00B02247">
        <w:t>courts</w:t>
      </w:r>
      <w:r w:rsidR="005B2A41">
        <w:t xml:space="preserve"> </w:t>
      </w:r>
      <w:r w:rsidRPr="00B02247">
        <w:t>of</w:t>
      </w:r>
      <w:r w:rsidR="005B2A41">
        <w:t xml:space="preserve"> </w:t>
      </w:r>
      <w:r w:rsidRPr="00B02247">
        <w:t>appeal.</w:t>
      </w:r>
    </w:p>
    <w:p w:rsidR="00F233AB" w:rsidRPr="00B02247" w:rsidRDefault="00F233AB" w:rsidP="00E1307D">
      <w:pPr>
        <w:pStyle w:val="SingleTxtG"/>
      </w:pPr>
      <w:r w:rsidRPr="00B02247">
        <w:t>20.</w:t>
      </w:r>
      <w:r w:rsidRPr="00B02247">
        <w:tab/>
        <w:t>First-</w:t>
      </w:r>
      <w:r w:rsidR="005B2A41">
        <w:t xml:space="preserve"> </w:t>
      </w:r>
      <w:r w:rsidRPr="00B02247">
        <w:t>and</w:t>
      </w:r>
      <w:r w:rsidR="005B2A41">
        <w:t xml:space="preserve"> </w:t>
      </w:r>
      <w:r w:rsidRPr="00B02247">
        <w:t>second</w:t>
      </w:r>
      <w:r w:rsidR="005B2A41">
        <w:t xml:space="preserve"> </w:t>
      </w:r>
      <w:r w:rsidRPr="00B02247">
        <w:t>instance</w:t>
      </w:r>
      <w:r w:rsidR="005B2A41">
        <w:t xml:space="preserve"> </w:t>
      </w:r>
      <w:r w:rsidRPr="00B02247">
        <w:t>criminal</w:t>
      </w:r>
      <w:r w:rsidR="005B2A41">
        <w:t xml:space="preserve"> </w:t>
      </w:r>
      <w:r w:rsidRPr="00B02247">
        <w:t>courts</w:t>
      </w:r>
      <w:r w:rsidR="005B2A41">
        <w:t xml:space="preserve"> </w:t>
      </w:r>
      <w:r w:rsidRPr="00B02247">
        <w:t>are</w:t>
      </w:r>
      <w:r w:rsidR="005B2A41">
        <w:t xml:space="preserve"> </w:t>
      </w:r>
      <w:r w:rsidRPr="00B02247">
        <w:t>the</w:t>
      </w:r>
      <w:r w:rsidR="005B2A41">
        <w:t xml:space="preserve"> </w:t>
      </w:r>
      <w:r w:rsidRPr="00B02247">
        <w:t>district</w:t>
      </w:r>
      <w:r w:rsidR="005B2A41">
        <w:t xml:space="preserve"> </w:t>
      </w:r>
      <w:r w:rsidRPr="00B02247">
        <w:t>criminal</w:t>
      </w:r>
      <w:r w:rsidR="005B2A41">
        <w:t xml:space="preserve"> </w:t>
      </w:r>
      <w:r w:rsidRPr="00B02247">
        <w:t>courts,</w:t>
      </w:r>
      <w:r w:rsidR="005B2A41">
        <w:t xml:space="preserve"> </w:t>
      </w:r>
      <w:r w:rsidRPr="00B02247">
        <w:t>the</w:t>
      </w:r>
      <w:r w:rsidR="005B2A41">
        <w:t xml:space="preserve"> </w:t>
      </w:r>
      <w:r w:rsidRPr="00B02247">
        <w:t>magistrates</w:t>
      </w:r>
      <w:r w:rsidR="003E731F">
        <w:t>’</w:t>
      </w:r>
      <w:r w:rsidR="005B2A41">
        <w:t xml:space="preserve"> </w:t>
      </w:r>
      <w:r w:rsidRPr="00B02247">
        <w:t>courts</w:t>
      </w:r>
      <w:r w:rsidR="005B2A41">
        <w:t xml:space="preserve"> </w:t>
      </w:r>
      <w:r w:rsidRPr="00B02247">
        <w:t>(one-member</w:t>
      </w:r>
      <w:r w:rsidR="005B2A41">
        <w:t xml:space="preserve"> </w:t>
      </w:r>
      <w:r w:rsidRPr="00B02247">
        <w:t>and</w:t>
      </w:r>
      <w:r w:rsidR="005B2A41">
        <w:t xml:space="preserve"> </w:t>
      </w:r>
      <w:r w:rsidRPr="00B02247">
        <w:t>three-member),</w:t>
      </w:r>
      <w:r w:rsidR="005B2A41">
        <w:t xml:space="preserve"> </w:t>
      </w:r>
      <w:r w:rsidRPr="00B02247">
        <w:t>the</w:t>
      </w:r>
      <w:r w:rsidR="005B2A41">
        <w:t xml:space="preserve"> </w:t>
      </w:r>
      <w:r w:rsidRPr="00B02247">
        <w:t>courts</w:t>
      </w:r>
      <w:r w:rsidR="005B2A41">
        <w:t xml:space="preserve"> </w:t>
      </w:r>
      <w:r w:rsidRPr="00B02247">
        <w:t>of</w:t>
      </w:r>
      <w:r w:rsidR="005B2A41">
        <w:t xml:space="preserve"> </w:t>
      </w:r>
      <w:r w:rsidRPr="00B02247">
        <w:t>appeal</w:t>
      </w:r>
      <w:r w:rsidR="005B2A41">
        <w:t xml:space="preserve"> </w:t>
      </w:r>
      <w:r w:rsidRPr="00B02247">
        <w:t>(three-member</w:t>
      </w:r>
      <w:r w:rsidR="005B2A41">
        <w:t xml:space="preserve"> </w:t>
      </w:r>
      <w:r w:rsidRPr="00B02247">
        <w:lastRenderedPageBreak/>
        <w:t>and</w:t>
      </w:r>
      <w:r w:rsidR="005B2A41">
        <w:t xml:space="preserve"> </w:t>
      </w:r>
      <w:r w:rsidRPr="00B02247">
        <w:t>five-member),</w:t>
      </w:r>
      <w:r w:rsidR="005B2A41">
        <w:t xml:space="preserve"> </w:t>
      </w:r>
      <w:r w:rsidRPr="00B02247">
        <w:t>the</w:t>
      </w:r>
      <w:r w:rsidR="005B2A41">
        <w:t xml:space="preserve"> </w:t>
      </w:r>
      <w:r w:rsidRPr="00B02247">
        <w:t>mixed</w:t>
      </w:r>
      <w:r w:rsidR="005B2A41">
        <w:t xml:space="preserve"> </w:t>
      </w:r>
      <w:r w:rsidRPr="00B02247">
        <w:t>jury</w:t>
      </w:r>
      <w:r w:rsidR="005B2A41">
        <w:t xml:space="preserve"> </w:t>
      </w:r>
      <w:r w:rsidRPr="00B02247">
        <w:t>courts</w:t>
      </w:r>
      <w:r w:rsidR="005B2A41">
        <w:t xml:space="preserve"> </w:t>
      </w:r>
      <w:r w:rsidRPr="00B02247">
        <w:t>and</w:t>
      </w:r>
      <w:r w:rsidR="005B2A41">
        <w:t xml:space="preserve"> </w:t>
      </w:r>
      <w:r w:rsidRPr="00B02247">
        <w:t>the</w:t>
      </w:r>
      <w:r w:rsidR="005B2A41">
        <w:t xml:space="preserve"> </w:t>
      </w:r>
      <w:r w:rsidRPr="00B02247">
        <w:t>mixed</w:t>
      </w:r>
      <w:r w:rsidR="005B2A41">
        <w:t xml:space="preserve"> </w:t>
      </w:r>
      <w:r w:rsidRPr="00B02247">
        <w:t>jury</w:t>
      </w:r>
      <w:r w:rsidR="005B2A41">
        <w:t xml:space="preserve"> </w:t>
      </w:r>
      <w:r w:rsidRPr="00B02247">
        <w:t>courts</w:t>
      </w:r>
      <w:r w:rsidR="005B2A41">
        <w:t xml:space="preserve"> </w:t>
      </w:r>
      <w:r w:rsidRPr="00B02247">
        <w:t>of</w:t>
      </w:r>
      <w:r w:rsidR="005B2A41">
        <w:t xml:space="preserve"> </w:t>
      </w:r>
      <w:r w:rsidRPr="00B02247">
        <w:t>appeal</w:t>
      </w:r>
      <w:r w:rsidR="005B2A41">
        <w:t xml:space="preserve"> </w:t>
      </w:r>
      <w:r w:rsidRPr="00B02247">
        <w:t>and</w:t>
      </w:r>
      <w:r w:rsidR="005B2A41">
        <w:t xml:space="preserve"> </w:t>
      </w:r>
      <w:r w:rsidRPr="00B02247">
        <w:t>the</w:t>
      </w:r>
      <w:r w:rsidR="005B2A41">
        <w:t xml:space="preserve"> </w:t>
      </w:r>
      <w:r w:rsidRPr="00B02247">
        <w:t>juvenile</w:t>
      </w:r>
      <w:r w:rsidR="005B2A41">
        <w:t xml:space="preserve"> </w:t>
      </w:r>
      <w:r w:rsidRPr="00B02247">
        <w:t>courts.</w:t>
      </w:r>
      <w:r w:rsidR="005B2A41">
        <w:t xml:space="preserve"> </w:t>
      </w:r>
    </w:p>
    <w:p w:rsidR="00F233AB" w:rsidRPr="00B02247" w:rsidRDefault="00F233AB" w:rsidP="00E1307D">
      <w:pPr>
        <w:pStyle w:val="SingleTxtG"/>
      </w:pPr>
      <w:r w:rsidRPr="00B02247">
        <w:t>21.</w:t>
      </w:r>
      <w:r w:rsidRPr="00B02247">
        <w:tab/>
        <w:t>First-</w:t>
      </w:r>
      <w:r w:rsidR="005B2A41">
        <w:t xml:space="preserve"> </w:t>
      </w:r>
      <w:r w:rsidRPr="00B02247">
        <w:t>and</w:t>
      </w:r>
      <w:r w:rsidR="005B2A41">
        <w:t xml:space="preserve"> </w:t>
      </w:r>
      <w:r w:rsidRPr="00B02247">
        <w:t>second</w:t>
      </w:r>
      <w:r w:rsidR="005B2A41">
        <w:t xml:space="preserve"> </w:t>
      </w:r>
      <w:r w:rsidRPr="00B02247">
        <w:t>instance</w:t>
      </w:r>
      <w:r w:rsidR="005B2A41">
        <w:t xml:space="preserve"> </w:t>
      </w:r>
      <w:r w:rsidRPr="00B02247">
        <w:t>administrative</w:t>
      </w:r>
      <w:r w:rsidR="005B2A41">
        <w:t xml:space="preserve"> </w:t>
      </w:r>
      <w:r w:rsidRPr="00B02247">
        <w:t>courts</w:t>
      </w:r>
      <w:r w:rsidR="005B2A41">
        <w:t xml:space="preserve"> </w:t>
      </w:r>
      <w:r w:rsidRPr="00B02247">
        <w:t>are</w:t>
      </w:r>
      <w:r w:rsidR="005B2A41">
        <w:t xml:space="preserve"> </w:t>
      </w:r>
      <w:r w:rsidRPr="00B02247">
        <w:t>the</w:t>
      </w:r>
      <w:r w:rsidR="005B2A41">
        <w:t xml:space="preserve"> </w:t>
      </w:r>
      <w:r w:rsidRPr="00B02247">
        <w:t>administrative</w:t>
      </w:r>
      <w:r w:rsidR="005B2A41">
        <w:t xml:space="preserve"> </w:t>
      </w:r>
      <w:r w:rsidRPr="00B02247">
        <w:t>courts</w:t>
      </w:r>
      <w:r w:rsidR="005B2A41">
        <w:t xml:space="preserve"> </w:t>
      </w:r>
      <w:r w:rsidRPr="00B02247">
        <w:t>of</w:t>
      </w:r>
      <w:r w:rsidR="005B2A41">
        <w:t xml:space="preserve"> </w:t>
      </w:r>
      <w:r w:rsidRPr="00B02247">
        <w:t>first</w:t>
      </w:r>
      <w:r w:rsidR="005B2A41">
        <w:t xml:space="preserve"> </w:t>
      </w:r>
      <w:r w:rsidRPr="00B02247">
        <w:t>instance</w:t>
      </w:r>
      <w:r w:rsidR="005B2A41">
        <w:t xml:space="preserve"> </w:t>
      </w:r>
      <w:r w:rsidRPr="00B02247">
        <w:t>(one-</w:t>
      </w:r>
      <w:r w:rsidR="005B2A41">
        <w:t xml:space="preserve"> </w:t>
      </w:r>
      <w:r w:rsidRPr="00B02247">
        <w:t>and</w:t>
      </w:r>
      <w:r w:rsidR="005B2A41">
        <w:t xml:space="preserve"> </w:t>
      </w:r>
      <w:r w:rsidRPr="00B02247">
        <w:t>three-member)</w:t>
      </w:r>
      <w:r w:rsidR="005B2A41">
        <w:t xml:space="preserve"> </w:t>
      </w:r>
      <w:r w:rsidRPr="00B02247">
        <w:t>and</w:t>
      </w:r>
      <w:r w:rsidR="005B2A41">
        <w:t xml:space="preserve"> </w:t>
      </w:r>
      <w:r w:rsidRPr="00B02247">
        <w:t>the</w:t>
      </w:r>
      <w:r w:rsidR="005B2A41">
        <w:t xml:space="preserve"> </w:t>
      </w:r>
      <w:r w:rsidRPr="00B02247">
        <w:t>administrative</w:t>
      </w:r>
      <w:r w:rsidR="005B2A41">
        <w:t xml:space="preserve"> </w:t>
      </w:r>
      <w:r w:rsidRPr="00B02247">
        <w:t>courts</w:t>
      </w:r>
      <w:r w:rsidR="005B2A41">
        <w:t xml:space="preserve"> </w:t>
      </w:r>
      <w:r w:rsidRPr="00B02247">
        <w:t>of</w:t>
      </w:r>
      <w:r w:rsidR="005B2A41">
        <w:t xml:space="preserve"> </w:t>
      </w:r>
      <w:r w:rsidRPr="00B02247">
        <w:t>appeal.</w:t>
      </w:r>
    </w:p>
    <w:p w:rsidR="00F233AB" w:rsidRPr="00B02247" w:rsidRDefault="00F233AB" w:rsidP="00E1307D">
      <w:pPr>
        <w:pStyle w:val="SingleTxtG"/>
      </w:pPr>
      <w:r w:rsidRPr="00B02247">
        <w:t>22.</w:t>
      </w:r>
      <w:r w:rsidRPr="00B02247">
        <w:tab/>
        <w:t>The</w:t>
      </w:r>
      <w:r w:rsidR="005B2A41">
        <w:t xml:space="preserve"> </w:t>
      </w:r>
      <w:r w:rsidRPr="00B02247">
        <w:t>three</w:t>
      </w:r>
      <w:r w:rsidR="005B2A41">
        <w:t xml:space="preserve"> </w:t>
      </w:r>
      <w:r w:rsidRPr="00B02247">
        <w:t>Supreme</w:t>
      </w:r>
      <w:r w:rsidR="005B2A41">
        <w:t xml:space="preserve"> </w:t>
      </w:r>
      <w:r w:rsidRPr="00B02247">
        <w:t>Courts</w:t>
      </w:r>
      <w:r w:rsidR="005B2A41">
        <w:t xml:space="preserve"> </w:t>
      </w:r>
      <w:r w:rsidRPr="00B02247">
        <w:t>are</w:t>
      </w:r>
      <w:r w:rsidR="005B2A41">
        <w:t xml:space="preserve"> </w:t>
      </w:r>
      <w:r w:rsidRPr="00B02247">
        <w:t>the</w:t>
      </w:r>
      <w:r w:rsidR="005B2A41">
        <w:t xml:space="preserve"> </w:t>
      </w:r>
      <w:r w:rsidRPr="00B02247">
        <w:t>Supreme</w:t>
      </w:r>
      <w:r w:rsidR="005B2A41">
        <w:t xml:space="preserve"> </w:t>
      </w:r>
      <w:r w:rsidRPr="00B02247">
        <w:t>Civil</w:t>
      </w:r>
      <w:r w:rsidR="005B2A41">
        <w:t xml:space="preserve"> </w:t>
      </w:r>
      <w:r w:rsidRPr="00B02247">
        <w:t>and</w:t>
      </w:r>
      <w:r w:rsidR="005B2A41">
        <w:t xml:space="preserve"> </w:t>
      </w:r>
      <w:r w:rsidRPr="00B02247">
        <w:t>Criminal</w:t>
      </w:r>
      <w:r w:rsidR="005B2A41">
        <w:t xml:space="preserve"> </w:t>
      </w:r>
      <w:r w:rsidRPr="00B02247">
        <w:t>Court</w:t>
      </w:r>
      <w:r w:rsidR="005B2A41">
        <w:t xml:space="preserve"> </w:t>
      </w:r>
      <w:r w:rsidRPr="00B02247">
        <w:t>(Areios</w:t>
      </w:r>
      <w:r w:rsidR="005B2A41">
        <w:t xml:space="preserve"> </w:t>
      </w:r>
      <w:r w:rsidRPr="00B02247">
        <w:t>Pagos),</w:t>
      </w:r>
      <w:r w:rsidR="005B2A41">
        <w:t xml:space="preserve"> </w:t>
      </w:r>
      <w:r w:rsidRPr="00B02247">
        <w:t>which</w:t>
      </w:r>
      <w:r w:rsidR="005B2A41">
        <w:t xml:space="preserve"> </w:t>
      </w:r>
      <w:r w:rsidRPr="00B02247">
        <w:t>delivers</w:t>
      </w:r>
      <w:r w:rsidR="005B2A41">
        <w:t xml:space="preserve"> </w:t>
      </w:r>
      <w:r w:rsidRPr="00B02247">
        <w:t>judgements</w:t>
      </w:r>
      <w:r w:rsidR="005B2A41">
        <w:t xml:space="preserve"> </w:t>
      </w:r>
      <w:r w:rsidRPr="00B02247">
        <w:t>on</w:t>
      </w:r>
      <w:r w:rsidR="005B2A41">
        <w:t xml:space="preserve"> </w:t>
      </w:r>
      <w:r w:rsidRPr="00B02247">
        <w:t>appeals</w:t>
      </w:r>
      <w:r w:rsidR="005B2A41">
        <w:t xml:space="preserve"> </w:t>
      </w:r>
      <w:r w:rsidRPr="00B02247">
        <w:t>on</w:t>
      </w:r>
      <w:r w:rsidR="005B2A41">
        <w:t xml:space="preserve"> </w:t>
      </w:r>
      <w:r w:rsidRPr="00B02247">
        <w:t>points</w:t>
      </w:r>
      <w:r w:rsidR="005B2A41">
        <w:t xml:space="preserve"> </w:t>
      </w:r>
      <w:r w:rsidRPr="00B02247">
        <w:t>of</w:t>
      </w:r>
      <w:r w:rsidR="005B2A41">
        <w:t xml:space="preserve"> </w:t>
      </w:r>
      <w:r w:rsidRPr="00B02247">
        <w:t>law,</w:t>
      </w:r>
      <w:r w:rsidR="005B2A41">
        <w:t xml:space="preserve"> </w:t>
      </w:r>
      <w:r w:rsidRPr="00B02247">
        <w:t>both</w:t>
      </w:r>
      <w:r w:rsidR="005B2A41">
        <w:t xml:space="preserve"> </w:t>
      </w:r>
      <w:r w:rsidRPr="00B02247">
        <w:t>in</w:t>
      </w:r>
      <w:r w:rsidR="005B2A41">
        <w:t xml:space="preserve"> </w:t>
      </w:r>
      <w:r w:rsidRPr="00B02247">
        <w:t>civil</w:t>
      </w:r>
      <w:r w:rsidR="005B2A41">
        <w:t xml:space="preserve"> </w:t>
      </w:r>
      <w:r w:rsidRPr="00B02247">
        <w:t>and</w:t>
      </w:r>
      <w:r w:rsidR="005B2A41">
        <w:t xml:space="preserve"> </w:t>
      </w:r>
      <w:r w:rsidRPr="00B02247">
        <w:t>criminal</w:t>
      </w:r>
      <w:r w:rsidR="005B2A41">
        <w:t xml:space="preserve"> </w:t>
      </w:r>
      <w:r w:rsidRPr="00B02247">
        <w:t>cases;</w:t>
      </w:r>
      <w:r w:rsidR="005B2A41">
        <w:t xml:space="preserve"> </w:t>
      </w:r>
      <w:r w:rsidRPr="00B02247">
        <w:t>the</w:t>
      </w:r>
      <w:r w:rsidR="005B2A41">
        <w:t xml:space="preserve"> </w:t>
      </w:r>
      <w:r w:rsidRPr="00B02247">
        <w:t>Council</w:t>
      </w:r>
      <w:r w:rsidR="005B2A41">
        <w:t xml:space="preserve"> </w:t>
      </w:r>
      <w:r w:rsidRPr="00B02247">
        <w:t>of</w:t>
      </w:r>
      <w:r w:rsidR="005B2A41">
        <w:t xml:space="preserve"> </w:t>
      </w:r>
      <w:r w:rsidRPr="00B02247">
        <w:t>State,</w:t>
      </w:r>
      <w:r w:rsidR="005B2A41">
        <w:t xml:space="preserve"> </w:t>
      </w:r>
      <w:r w:rsidRPr="00B02247">
        <w:t>which</w:t>
      </w:r>
      <w:r w:rsidR="005B2A41">
        <w:t xml:space="preserve"> </w:t>
      </w:r>
      <w:r w:rsidRPr="00B02247">
        <w:t>is</w:t>
      </w:r>
      <w:r w:rsidR="005B2A41">
        <w:t xml:space="preserve"> </w:t>
      </w:r>
      <w:r w:rsidRPr="00B02247">
        <w:t>the</w:t>
      </w:r>
      <w:r w:rsidR="005B2A41">
        <w:t xml:space="preserve"> </w:t>
      </w:r>
      <w:r w:rsidRPr="00B02247">
        <w:t>Supreme</w:t>
      </w:r>
      <w:r w:rsidR="005B2A41">
        <w:t xml:space="preserve"> </w:t>
      </w:r>
      <w:r w:rsidRPr="00B02247">
        <w:t>Administrative</w:t>
      </w:r>
      <w:r w:rsidR="005B2A41">
        <w:t xml:space="preserve"> </w:t>
      </w:r>
      <w:r w:rsidRPr="00B02247">
        <w:t>Court</w:t>
      </w:r>
      <w:r w:rsidR="005B2A41">
        <w:t xml:space="preserve"> </w:t>
      </w:r>
      <w:r w:rsidRPr="00B02247">
        <w:t>and</w:t>
      </w:r>
      <w:r w:rsidR="005B2A41">
        <w:t xml:space="preserve"> </w:t>
      </w:r>
      <w:r w:rsidRPr="00B02247">
        <w:t>decides</w:t>
      </w:r>
      <w:r w:rsidR="005B2A41">
        <w:t xml:space="preserve"> </w:t>
      </w:r>
      <w:r w:rsidRPr="00B02247">
        <w:t>on</w:t>
      </w:r>
      <w:r w:rsidR="005B2A41">
        <w:t xml:space="preserve"> </w:t>
      </w:r>
      <w:r w:rsidRPr="00B02247">
        <w:t>administrative</w:t>
      </w:r>
      <w:r w:rsidR="005B2A41">
        <w:t xml:space="preserve"> </w:t>
      </w:r>
      <w:r w:rsidRPr="00B02247">
        <w:t>law</w:t>
      </w:r>
      <w:r w:rsidR="005B2A41">
        <w:t xml:space="preserve"> </w:t>
      </w:r>
      <w:r w:rsidRPr="00B02247">
        <w:t>disputes,</w:t>
      </w:r>
      <w:r w:rsidR="005B2A41">
        <w:t xml:space="preserve"> </w:t>
      </w:r>
      <w:r w:rsidRPr="00B02247">
        <w:t>and</w:t>
      </w:r>
      <w:r w:rsidR="005B2A41">
        <w:t xml:space="preserve"> </w:t>
      </w:r>
      <w:r w:rsidRPr="00B02247">
        <w:t>the</w:t>
      </w:r>
      <w:r w:rsidR="005B2A41">
        <w:t xml:space="preserve"> </w:t>
      </w:r>
      <w:r w:rsidRPr="00B02247">
        <w:t>Court</w:t>
      </w:r>
      <w:r w:rsidR="005B2A41">
        <w:t xml:space="preserve"> </w:t>
      </w:r>
      <w:r w:rsidRPr="00B02247">
        <w:t>of</w:t>
      </w:r>
      <w:r w:rsidR="005B2A41">
        <w:t xml:space="preserve"> </w:t>
      </w:r>
      <w:r w:rsidRPr="00B02247">
        <w:t>Auditors,</w:t>
      </w:r>
      <w:r w:rsidR="005B2A41">
        <w:t xml:space="preserve"> </w:t>
      </w:r>
      <w:r w:rsidRPr="00B02247">
        <w:t>which</w:t>
      </w:r>
      <w:r w:rsidR="005B2A41">
        <w:t xml:space="preserve"> </w:t>
      </w:r>
      <w:r w:rsidRPr="00B02247">
        <w:t>is</w:t>
      </w:r>
      <w:r w:rsidR="005B2A41">
        <w:t xml:space="preserve"> </w:t>
      </w:r>
      <w:r w:rsidRPr="00B02247">
        <w:t>responsible</w:t>
      </w:r>
      <w:r w:rsidR="005B2A41">
        <w:t xml:space="preserve"> </w:t>
      </w:r>
      <w:r w:rsidRPr="00B02247">
        <w:t>for</w:t>
      </w:r>
      <w:r w:rsidR="005B2A41">
        <w:t xml:space="preserve"> </w:t>
      </w:r>
      <w:r w:rsidRPr="00B02247">
        <w:t>the</w:t>
      </w:r>
      <w:r w:rsidR="005B2A41">
        <w:t xml:space="preserve"> </w:t>
      </w:r>
      <w:r w:rsidRPr="00B02247">
        <w:t>audit</w:t>
      </w:r>
      <w:r w:rsidR="005B2A41">
        <w:t xml:space="preserve"> </w:t>
      </w:r>
      <w:r w:rsidRPr="00B02247">
        <w:t>of</w:t>
      </w:r>
      <w:r w:rsidR="005B2A41">
        <w:t xml:space="preserve"> </w:t>
      </w:r>
      <w:r w:rsidRPr="00B02247">
        <w:t>the</w:t>
      </w:r>
      <w:r w:rsidR="005B2A41">
        <w:t xml:space="preserve"> </w:t>
      </w:r>
      <w:r w:rsidRPr="00B02247">
        <w:t>expenditures</w:t>
      </w:r>
      <w:r w:rsidR="005B2A41">
        <w:t xml:space="preserve"> </w:t>
      </w:r>
      <w:r w:rsidRPr="00B02247">
        <w:t>of</w:t>
      </w:r>
      <w:r w:rsidR="005B2A41">
        <w:t xml:space="preserve"> </w:t>
      </w:r>
      <w:r w:rsidRPr="00B02247">
        <w:t>the</w:t>
      </w:r>
      <w:r w:rsidR="005B2A41">
        <w:t xml:space="preserve"> </w:t>
      </w:r>
      <w:r w:rsidRPr="00B02247">
        <w:t>State,</w:t>
      </w:r>
      <w:r w:rsidR="005B2A41">
        <w:t xml:space="preserve"> </w:t>
      </w:r>
      <w:r w:rsidRPr="00B02247">
        <w:t>local</w:t>
      </w:r>
      <w:r w:rsidR="005B2A41">
        <w:t xml:space="preserve"> </w:t>
      </w:r>
      <w:r w:rsidRPr="00B02247">
        <w:t>government</w:t>
      </w:r>
      <w:r w:rsidR="005B2A41">
        <w:t xml:space="preserve"> </w:t>
      </w:r>
      <w:r w:rsidRPr="00B02247">
        <w:t>agencies</w:t>
      </w:r>
      <w:r w:rsidR="005B2A41">
        <w:t xml:space="preserve"> </w:t>
      </w:r>
      <w:r w:rsidRPr="00B02247">
        <w:t>and</w:t>
      </w:r>
      <w:r w:rsidR="005B2A41">
        <w:t xml:space="preserve"> </w:t>
      </w:r>
      <w:r w:rsidRPr="00B02247">
        <w:t>other</w:t>
      </w:r>
      <w:r w:rsidR="005B2A41">
        <w:t xml:space="preserve"> </w:t>
      </w:r>
      <w:r w:rsidRPr="00B02247">
        <w:t>legal</w:t>
      </w:r>
      <w:r w:rsidR="005B2A41">
        <w:t xml:space="preserve"> </w:t>
      </w:r>
      <w:r w:rsidRPr="00B02247">
        <w:t>entities</w:t>
      </w:r>
      <w:r w:rsidR="005B2A41">
        <w:t xml:space="preserve"> </w:t>
      </w:r>
      <w:r w:rsidRPr="00B02247">
        <w:t>and</w:t>
      </w:r>
      <w:r w:rsidR="005B2A41">
        <w:t xml:space="preserve"> </w:t>
      </w:r>
      <w:r w:rsidRPr="00B02247">
        <w:t>exercises</w:t>
      </w:r>
      <w:r w:rsidR="005B2A41">
        <w:t xml:space="preserve"> </w:t>
      </w:r>
      <w:r w:rsidRPr="00B02247">
        <w:t>jurisdiction</w:t>
      </w:r>
      <w:r w:rsidR="005B2A41">
        <w:t xml:space="preserve"> </w:t>
      </w:r>
      <w:r w:rsidRPr="00B02247">
        <w:t>on</w:t>
      </w:r>
      <w:r w:rsidR="005B2A41">
        <w:t xml:space="preserve"> </w:t>
      </w:r>
      <w:r w:rsidRPr="00B02247">
        <w:t>pension</w:t>
      </w:r>
      <w:r w:rsidR="005B2A41">
        <w:t xml:space="preserve"> </w:t>
      </w:r>
      <w:r w:rsidRPr="00B02247">
        <w:t>cases.</w:t>
      </w:r>
      <w:r w:rsidR="005B2A41">
        <w:t xml:space="preserve"> </w:t>
      </w:r>
      <w:r w:rsidRPr="00B02247">
        <w:t>The</w:t>
      </w:r>
      <w:r w:rsidR="005B2A41">
        <w:t xml:space="preserve"> </w:t>
      </w:r>
      <w:r w:rsidRPr="00B02247">
        <w:t>jurisdiction</w:t>
      </w:r>
      <w:r w:rsidR="005B2A41">
        <w:t xml:space="preserve"> </w:t>
      </w:r>
      <w:r w:rsidRPr="00B02247">
        <w:t>of</w:t>
      </w:r>
      <w:r w:rsidR="005B2A41">
        <w:t xml:space="preserve"> </w:t>
      </w:r>
      <w:r w:rsidRPr="00B02247">
        <w:t>the</w:t>
      </w:r>
      <w:r w:rsidR="005B2A41">
        <w:t xml:space="preserve"> </w:t>
      </w:r>
      <w:r w:rsidRPr="00B02247">
        <w:t>Special</w:t>
      </w:r>
      <w:r w:rsidR="005B2A41">
        <w:t xml:space="preserve"> </w:t>
      </w:r>
      <w:r w:rsidRPr="00B02247">
        <w:t>Supreme</w:t>
      </w:r>
      <w:r w:rsidR="005B2A41">
        <w:t xml:space="preserve"> </w:t>
      </w:r>
      <w:r w:rsidRPr="00B02247">
        <w:t>Court,</w:t>
      </w:r>
      <w:r w:rsidR="005B2A41">
        <w:t xml:space="preserve"> </w:t>
      </w:r>
      <w:r w:rsidRPr="00B02247">
        <w:t>composed</w:t>
      </w:r>
      <w:r w:rsidR="005B2A41">
        <w:t xml:space="preserve"> </w:t>
      </w:r>
      <w:r w:rsidRPr="00B02247">
        <w:t>of</w:t>
      </w:r>
      <w:r w:rsidR="005B2A41">
        <w:t xml:space="preserve"> </w:t>
      </w:r>
      <w:r w:rsidRPr="00B02247">
        <w:t>judges</w:t>
      </w:r>
      <w:r w:rsidR="005B2A41">
        <w:t xml:space="preserve"> </w:t>
      </w:r>
      <w:r w:rsidRPr="00B02247">
        <w:t>from</w:t>
      </w:r>
      <w:r w:rsidR="005B2A41">
        <w:t xml:space="preserve"> </w:t>
      </w:r>
      <w:r w:rsidRPr="00B02247">
        <w:t>the</w:t>
      </w:r>
      <w:r w:rsidR="005B2A41">
        <w:t xml:space="preserve"> </w:t>
      </w:r>
      <w:r w:rsidRPr="00B02247">
        <w:t>three</w:t>
      </w:r>
      <w:r w:rsidR="005B2A41">
        <w:t xml:space="preserve"> </w:t>
      </w:r>
      <w:r w:rsidRPr="00B02247">
        <w:t>Supreme</w:t>
      </w:r>
      <w:r w:rsidR="005B2A41">
        <w:t xml:space="preserve"> </w:t>
      </w:r>
      <w:r w:rsidRPr="00B02247">
        <w:t>Courts</w:t>
      </w:r>
      <w:r w:rsidR="005B2A41">
        <w:t xml:space="preserve"> </w:t>
      </w:r>
      <w:r w:rsidRPr="00B02247">
        <w:t>and,</w:t>
      </w:r>
      <w:r w:rsidR="005B2A41">
        <w:t xml:space="preserve"> </w:t>
      </w:r>
      <w:r w:rsidRPr="00B02247">
        <w:t>in</w:t>
      </w:r>
      <w:r w:rsidR="005B2A41">
        <w:t xml:space="preserve"> </w:t>
      </w:r>
      <w:r w:rsidRPr="00B02247">
        <w:t>some</w:t>
      </w:r>
      <w:r w:rsidR="005B2A41">
        <w:t xml:space="preserve"> </w:t>
      </w:r>
      <w:r w:rsidRPr="00B02247">
        <w:t>specific</w:t>
      </w:r>
      <w:r w:rsidR="005B2A41">
        <w:t xml:space="preserve"> </w:t>
      </w:r>
      <w:r w:rsidRPr="00B02247">
        <w:t>categories</w:t>
      </w:r>
      <w:r w:rsidR="005B2A41">
        <w:t xml:space="preserve"> </w:t>
      </w:r>
      <w:r w:rsidRPr="00B02247">
        <w:t>of</w:t>
      </w:r>
      <w:r w:rsidR="005B2A41">
        <w:t xml:space="preserve"> </w:t>
      </w:r>
      <w:r w:rsidRPr="00B02247">
        <w:t>cases,</w:t>
      </w:r>
      <w:r w:rsidR="005B2A41">
        <w:t xml:space="preserve"> </w:t>
      </w:r>
      <w:r w:rsidRPr="00B02247">
        <w:t>law</w:t>
      </w:r>
      <w:r w:rsidR="005B2A41">
        <w:t xml:space="preserve"> </w:t>
      </w:r>
      <w:r w:rsidRPr="00B02247">
        <w:t>professors,</w:t>
      </w:r>
      <w:r w:rsidR="005B2A41">
        <w:t xml:space="preserve"> </w:t>
      </w:r>
      <w:r w:rsidRPr="00B02247">
        <w:t>includes</w:t>
      </w:r>
      <w:r w:rsidR="005B2A41">
        <w:t xml:space="preserve"> </w:t>
      </w:r>
      <w:r w:rsidRPr="00B02247">
        <w:t>review</w:t>
      </w:r>
      <w:r w:rsidR="005B2A41">
        <w:t xml:space="preserve"> </w:t>
      </w:r>
      <w:r w:rsidRPr="00B02247">
        <w:t>of</w:t>
      </w:r>
      <w:r w:rsidR="005B2A41">
        <w:t xml:space="preserve"> </w:t>
      </w:r>
      <w:r w:rsidRPr="00B02247">
        <w:t>parliamentary</w:t>
      </w:r>
      <w:r w:rsidR="005B2A41">
        <w:t xml:space="preserve"> </w:t>
      </w:r>
      <w:r w:rsidRPr="00B02247">
        <w:t>elections</w:t>
      </w:r>
      <w:r w:rsidR="005B2A41">
        <w:t xml:space="preserve"> </w:t>
      </w:r>
      <w:r w:rsidRPr="00B02247">
        <w:t>and</w:t>
      </w:r>
      <w:r w:rsidR="005B2A41">
        <w:t xml:space="preserve"> </w:t>
      </w:r>
      <w:r w:rsidRPr="00B02247">
        <w:t>referenda;</w:t>
      </w:r>
      <w:r w:rsidR="005B2A41">
        <w:t xml:space="preserve"> </w:t>
      </w:r>
      <w:r w:rsidRPr="00B02247">
        <w:t>review</w:t>
      </w:r>
      <w:r w:rsidR="005B2A41">
        <w:t xml:space="preserve"> </w:t>
      </w:r>
      <w:r w:rsidRPr="00B02247">
        <w:t>of</w:t>
      </w:r>
      <w:r w:rsidR="005B2A41">
        <w:t xml:space="preserve"> </w:t>
      </w:r>
      <w:r w:rsidRPr="00B02247">
        <w:t>the</w:t>
      </w:r>
      <w:r w:rsidR="005B2A41">
        <w:t xml:space="preserve"> </w:t>
      </w:r>
      <w:r w:rsidRPr="00B02247">
        <w:t>substantive</w:t>
      </w:r>
      <w:r w:rsidR="005B2A41">
        <w:t xml:space="preserve"> </w:t>
      </w:r>
      <w:r w:rsidRPr="00B02247">
        <w:t>constitutionality</w:t>
      </w:r>
      <w:r w:rsidR="005B2A41">
        <w:t xml:space="preserve"> </w:t>
      </w:r>
      <w:r w:rsidRPr="00B02247">
        <w:t>or</w:t>
      </w:r>
      <w:r w:rsidR="005B2A41">
        <w:t xml:space="preserve"> </w:t>
      </w:r>
      <w:r w:rsidRPr="00B02247">
        <w:t>interpretation</w:t>
      </w:r>
      <w:r w:rsidR="005B2A41">
        <w:t xml:space="preserve"> </w:t>
      </w:r>
      <w:r w:rsidRPr="00B02247">
        <w:t>of</w:t>
      </w:r>
      <w:r w:rsidR="005B2A41">
        <w:t xml:space="preserve"> </w:t>
      </w:r>
      <w:r w:rsidRPr="00B02247">
        <w:t>provisions</w:t>
      </w:r>
      <w:r w:rsidR="005B2A41">
        <w:t xml:space="preserve"> </w:t>
      </w:r>
      <w:r w:rsidRPr="00B02247">
        <w:t>of</w:t>
      </w:r>
      <w:r w:rsidR="005B2A41">
        <w:t xml:space="preserve"> </w:t>
      </w:r>
      <w:r w:rsidR="003E731F">
        <w:t>“</w:t>
      </w:r>
      <w:r w:rsidRPr="00B02247">
        <w:t>formal</w:t>
      </w:r>
      <w:r w:rsidR="005B2A41">
        <w:t xml:space="preserve"> </w:t>
      </w:r>
      <w:r w:rsidRPr="00B02247">
        <w:t>laws</w:t>
      </w:r>
      <w:r w:rsidR="003E731F">
        <w:t>”</w:t>
      </w:r>
      <w:r w:rsidR="005B2A41">
        <w:t xml:space="preserve"> </w:t>
      </w:r>
      <w:r w:rsidRPr="00B02247">
        <w:t>(acts</w:t>
      </w:r>
      <w:r w:rsidR="005B2A41">
        <w:t xml:space="preserve"> </w:t>
      </w:r>
      <w:r w:rsidRPr="00B02247">
        <w:t>of</w:t>
      </w:r>
      <w:r w:rsidR="005B2A41">
        <w:t xml:space="preserve"> </w:t>
      </w:r>
      <w:r w:rsidRPr="00B02247">
        <w:t>Parliament)</w:t>
      </w:r>
      <w:r w:rsidR="005B2A41">
        <w:t xml:space="preserve"> </w:t>
      </w:r>
      <w:r w:rsidRPr="00B02247">
        <w:t>in</w:t>
      </w:r>
      <w:r w:rsidR="005B2A41">
        <w:t xml:space="preserve"> </w:t>
      </w:r>
      <w:r w:rsidRPr="00B02247">
        <w:t>case</w:t>
      </w:r>
      <w:r w:rsidR="005B2A41">
        <w:t xml:space="preserve"> </w:t>
      </w:r>
      <w:r w:rsidRPr="00B02247">
        <w:t>of</w:t>
      </w:r>
      <w:r w:rsidR="005B2A41">
        <w:t xml:space="preserve"> </w:t>
      </w:r>
      <w:r w:rsidRPr="00B02247">
        <w:t>disagreement</w:t>
      </w:r>
      <w:r w:rsidR="005B2A41">
        <w:t xml:space="preserve"> </w:t>
      </w:r>
      <w:r w:rsidRPr="00B02247">
        <w:t>between</w:t>
      </w:r>
      <w:r w:rsidR="005B2A41">
        <w:t xml:space="preserve"> </w:t>
      </w:r>
      <w:r w:rsidRPr="00B02247">
        <w:t>the</w:t>
      </w:r>
      <w:r w:rsidR="005B2A41">
        <w:t xml:space="preserve"> </w:t>
      </w:r>
      <w:r w:rsidRPr="00B02247">
        <w:t>three</w:t>
      </w:r>
      <w:r w:rsidR="005B2A41">
        <w:t xml:space="preserve"> </w:t>
      </w:r>
      <w:r w:rsidRPr="00B02247">
        <w:t>Supreme</w:t>
      </w:r>
      <w:r w:rsidR="005B2A41">
        <w:t xml:space="preserve"> </w:t>
      </w:r>
      <w:r w:rsidRPr="00B02247">
        <w:t>Courts;</w:t>
      </w:r>
      <w:r w:rsidR="005B2A41">
        <w:t xml:space="preserve"> </w:t>
      </w:r>
      <w:r w:rsidRPr="00B02247">
        <w:t>and</w:t>
      </w:r>
      <w:r w:rsidR="005B2A41">
        <w:t xml:space="preserve"> </w:t>
      </w:r>
      <w:r w:rsidRPr="00B02247">
        <w:t>the</w:t>
      </w:r>
      <w:r w:rsidR="005B2A41">
        <w:t xml:space="preserve"> </w:t>
      </w:r>
      <w:r w:rsidRPr="00B02247">
        <w:t>resolution</w:t>
      </w:r>
      <w:r w:rsidR="005B2A41">
        <w:t xml:space="preserve"> </w:t>
      </w:r>
      <w:r w:rsidRPr="00B02247">
        <w:t>of</w:t>
      </w:r>
      <w:r w:rsidR="005B2A41">
        <w:t xml:space="preserve"> </w:t>
      </w:r>
      <w:r w:rsidRPr="00B02247">
        <w:t>disputes</w:t>
      </w:r>
      <w:r w:rsidR="005B2A41">
        <w:t xml:space="preserve"> </w:t>
      </w:r>
      <w:r w:rsidRPr="00B02247">
        <w:t>concerning</w:t>
      </w:r>
      <w:r w:rsidR="005B2A41">
        <w:t xml:space="preserve"> </w:t>
      </w:r>
      <w:r w:rsidRPr="00B02247">
        <w:t>the</w:t>
      </w:r>
      <w:r w:rsidR="005B2A41">
        <w:t xml:space="preserve"> </w:t>
      </w:r>
      <w:r w:rsidRPr="00B02247">
        <w:t>qualification</w:t>
      </w:r>
      <w:r w:rsidR="005B2A41">
        <w:t xml:space="preserve"> </w:t>
      </w:r>
      <w:r w:rsidRPr="00B02247">
        <w:t>of</w:t>
      </w:r>
      <w:r w:rsidR="005B2A41">
        <w:t xml:space="preserve"> </w:t>
      </w:r>
      <w:r w:rsidRPr="00B02247">
        <w:t>a</w:t>
      </w:r>
      <w:r w:rsidR="005B2A41">
        <w:t xml:space="preserve"> </w:t>
      </w:r>
      <w:r w:rsidRPr="00B02247">
        <w:t>rule</w:t>
      </w:r>
      <w:r w:rsidR="005B2A41">
        <w:t xml:space="preserve"> </w:t>
      </w:r>
      <w:r w:rsidRPr="00B02247">
        <w:t>of</w:t>
      </w:r>
      <w:r w:rsidR="005B2A41">
        <w:t xml:space="preserve"> </w:t>
      </w:r>
      <w:r w:rsidRPr="00B02247">
        <w:t>international</w:t>
      </w:r>
      <w:r w:rsidR="005B2A41">
        <w:t xml:space="preserve"> </w:t>
      </w:r>
      <w:r w:rsidRPr="00B02247">
        <w:t>law</w:t>
      </w:r>
      <w:r w:rsidR="005B2A41">
        <w:t xml:space="preserve"> </w:t>
      </w:r>
      <w:r w:rsidRPr="00B02247">
        <w:t>as</w:t>
      </w:r>
      <w:r w:rsidR="005B2A41">
        <w:t xml:space="preserve"> </w:t>
      </w:r>
      <w:r w:rsidR="003E731F">
        <w:t>“</w:t>
      </w:r>
      <w:r w:rsidRPr="00B02247">
        <w:t>a</w:t>
      </w:r>
      <w:r w:rsidR="005B2A41">
        <w:t xml:space="preserve"> </w:t>
      </w:r>
      <w:r w:rsidRPr="00B02247">
        <w:t>generally</w:t>
      </w:r>
      <w:r w:rsidR="005B2A41">
        <w:t xml:space="preserve"> </w:t>
      </w:r>
      <w:r w:rsidRPr="00B02247">
        <w:t>accepted</w:t>
      </w:r>
      <w:r w:rsidR="003E731F">
        <w:t>”</w:t>
      </w:r>
      <w:r w:rsidR="005B2A41">
        <w:t xml:space="preserve"> </w:t>
      </w:r>
      <w:r w:rsidRPr="00B02247">
        <w:t>one.</w:t>
      </w:r>
      <w:r w:rsidR="005B2A41">
        <w:t xml:space="preserve"> </w:t>
      </w:r>
    </w:p>
    <w:p w:rsidR="00F233AB" w:rsidRPr="00B02247" w:rsidRDefault="00F233AB" w:rsidP="00E1307D">
      <w:pPr>
        <w:pStyle w:val="SingleTxtG"/>
      </w:pPr>
      <w:r w:rsidRPr="00B02247">
        <w:t>23.</w:t>
      </w:r>
      <w:r w:rsidRPr="00B02247">
        <w:tab/>
        <w:t>Apart</w:t>
      </w:r>
      <w:r w:rsidR="005B2A41">
        <w:t xml:space="preserve"> </w:t>
      </w:r>
      <w:r w:rsidRPr="00B02247">
        <w:t>from</w:t>
      </w:r>
      <w:r w:rsidR="005B2A41">
        <w:t xml:space="preserve"> </w:t>
      </w:r>
      <w:r w:rsidRPr="00B02247">
        <w:t>the</w:t>
      </w:r>
      <w:r w:rsidR="005B2A41">
        <w:t xml:space="preserve"> </w:t>
      </w:r>
      <w:r w:rsidRPr="00B02247">
        <w:t>three</w:t>
      </w:r>
      <w:r w:rsidR="005B2A41">
        <w:t xml:space="preserve"> </w:t>
      </w:r>
      <w:r w:rsidRPr="00B02247">
        <w:t>Supreme</w:t>
      </w:r>
      <w:r w:rsidR="005B2A41">
        <w:t xml:space="preserve"> </w:t>
      </w:r>
      <w:r w:rsidRPr="00B02247">
        <w:t>Courts</w:t>
      </w:r>
      <w:r w:rsidR="005B2A41">
        <w:t xml:space="preserve"> </w:t>
      </w:r>
      <w:r w:rsidRPr="00B02247">
        <w:t>and</w:t>
      </w:r>
      <w:r w:rsidR="005B2A41">
        <w:t xml:space="preserve"> </w:t>
      </w:r>
      <w:r w:rsidRPr="00B02247">
        <w:t>the</w:t>
      </w:r>
      <w:r w:rsidR="005B2A41">
        <w:t xml:space="preserve"> </w:t>
      </w:r>
      <w:r w:rsidRPr="00B02247">
        <w:t>Special</w:t>
      </w:r>
      <w:r w:rsidR="005B2A41">
        <w:t xml:space="preserve"> </w:t>
      </w:r>
      <w:r w:rsidRPr="00B02247">
        <w:t>Supreme</w:t>
      </w:r>
      <w:r w:rsidR="005B2A41">
        <w:t xml:space="preserve"> </w:t>
      </w:r>
      <w:r w:rsidRPr="00B02247">
        <w:t>Court,</w:t>
      </w:r>
      <w:r w:rsidR="005B2A41">
        <w:t xml:space="preserve"> </w:t>
      </w:r>
      <w:r w:rsidRPr="00B02247">
        <w:t>the</w:t>
      </w:r>
      <w:r w:rsidR="005B2A41">
        <w:t xml:space="preserve"> </w:t>
      </w:r>
      <w:r w:rsidRPr="00B02247">
        <w:t>Constitution</w:t>
      </w:r>
      <w:r w:rsidR="005B2A41">
        <w:t xml:space="preserve"> </w:t>
      </w:r>
      <w:r w:rsidRPr="00B02247">
        <w:t>also</w:t>
      </w:r>
      <w:r w:rsidR="005B2A41">
        <w:t xml:space="preserve"> </w:t>
      </w:r>
      <w:r w:rsidRPr="00B02247">
        <w:t>provides</w:t>
      </w:r>
      <w:r w:rsidR="005B2A41">
        <w:t xml:space="preserve"> </w:t>
      </w:r>
      <w:r w:rsidRPr="00B02247">
        <w:t>for</w:t>
      </w:r>
      <w:r w:rsidR="005B2A41">
        <w:t xml:space="preserve"> </w:t>
      </w:r>
      <w:r w:rsidRPr="00B02247">
        <w:t>a</w:t>
      </w:r>
      <w:r w:rsidR="005B2A41">
        <w:t xml:space="preserve"> </w:t>
      </w:r>
      <w:r w:rsidRPr="00B02247">
        <w:t>special</w:t>
      </w:r>
      <w:r w:rsidR="005B2A41">
        <w:t xml:space="preserve"> </w:t>
      </w:r>
      <w:r w:rsidRPr="00B02247">
        <w:t>court</w:t>
      </w:r>
      <w:r w:rsidR="005B2A41">
        <w:t xml:space="preserve"> </w:t>
      </w:r>
      <w:r w:rsidRPr="00B02247">
        <w:t>ruling</w:t>
      </w:r>
      <w:r w:rsidR="005B2A41">
        <w:t xml:space="preserve"> </w:t>
      </w:r>
      <w:r w:rsidRPr="00B02247">
        <w:t>on</w:t>
      </w:r>
      <w:r w:rsidR="005B2A41">
        <w:t xml:space="preserve"> </w:t>
      </w:r>
      <w:r w:rsidRPr="00B02247">
        <w:t>suits</w:t>
      </w:r>
      <w:r w:rsidR="005B2A41">
        <w:t xml:space="preserve"> </w:t>
      </w:r>
      <w:r w:rsidRPr="00B02247">
        <w:t>for</w:t>
      </w:r>
      <w:r w:rsidR="005B2A41">
        <w:t xml:space="preserve"> </w:t>
      </w:r>
      <w:r w:rsidRPr="00B02247">
        <w:t>faulty</w:t>
      </w:r>
      <w:r w:rsidR="005B2A41">
        <w:t xml:space="preserve"> </w:t>
      </w:r>
      <w:r w:rsidRPr="00B02247">
        <w:t>wrongful</w:t>
      </w:r>
      <w:r w:rsidR="005B2A41">
        <w:t xml:space="preserve"> </w:t>
      </w:r>
      <w:r w:rsidRPr="00B02247">
        <w:t>judgment</w:t>
      </w:r>
      <w:r w:rsidR="005B2A41">
        <w:t xml:space="preserve"> </w:t>
      </w:r>
      <w:r w:rsidRPr="00B02247">
        <w:t>and</w:t>
      </w:r>
      <w:r w:rsidR="005B2A41">
        <w:t xml:space="preserve"> </w:t>
      </w:r>
      <w:r w:rsidRPr="00B02247">
        <w:t>on</w:t>
      </w:r>
      <w:r w:rsidR="005B2A41">
        <w:t xml:space="preserve"> </w:t>
      </w:r>
      <w:r w:rsidRPr="00B02247">
        <w:t>disputes</w:t>
      </w:r>
      <w:r w:rsidR="005B2A41">
        <w:t xml:space="preserve"> </w:t>
      </w:r>
      <w:r w:rsidRPr="00B02247">
        <w:t>concerning</w:t>
      </w:r>
      <w:r w:rsidR="005B2A41">
        <w:t xml:space="preserve"> </w:t>
      </w:r>
      <w:r w:rsidRPr="00B02247">
        <w:t>all</w:t>
      </w:r>
      <w:r w:rsidR="005B2A41">
        <w:t xml:space="preserve"> </w:t>
      </w:r>
      <w:r w:rsidRPr="00B02247">
        <w:t>kinds</w:t>
      </w:r>
      <w:r w:rsidR="005B2A41">
        <w:t xml:space="preserve"> </w:t>
      </w:r>
      <w:r w:rsidRPr="00B02247">
        <w:t>of</w:t>
      </w:r>
      <w:r w:rsidR="005B2A41">
        <w:t xml:space="preserve"> </w:t>
      </w:r>
      <w:r w:rsidRPr="00B02247">
        <w:t>remuneration</w:t>
      </w:r>
      <w:r w:rsidR="005B2A41">
        <w:t xml:space="preserve"> </w:t>
      </w:r>
      <w:r w:rsidRPr="00B02247">
        <w:t>and</w:t>
      </w:r>
      <w:r w:rsidR="005B2A41">
        <w:t xml:space="preserve"> </w:t>
      </w:r>
      <w:r w:rsidRPr="00B02247">
        <w:t>pensions</w:t>
      </w:r>
      <w:r w:rsidR="005B2A41">
        <w:t xml:space="preserve"> </w:t>
      </w:r>
      <w:r w:rsidRPr="00B02247">
        <w:t>of</w:t>
      </w:r>
      <w:r w:rsidR="005B2A41">
        <w:t xml:space="preserve"> </w:t>
      </w:r>
      <w:r w:rsidRPr="00B02247">
        <w:t>magistrates</w:t>
      </w:r>
      <w:r w:rsidR="005B2A41">
        <w:t xml:space="preserve"> </w:t>
      </w:r>
      <w:r w:rsidRPr="00B02247">
        <w:t>(Article</w:t>
      </w:r>
      <w:r w:rsidR="005B2A41">
        <w:t xml:space="preserve"> </w:t>
      </w:r>
      <w:r w:rsidRPr="00B02247">
        <w:t>99</w:t>
      </w:r>
      <w:r w:rsidR="005B2A41">
        <w:t xml:space="preserve"> </w:t>
      </w:r>
      <w:r w:rsidRPr="00B02247">
        <w:t>&amp;</w:t>
      </w:r>
      <w:r w:rsidR="005B2A41">
        <w:t xml:space="preserve"> </w:t>
      </w:r>
      <w:r w:rsidRPr="00B02247">
        <w:t>88</w:t>
      </w:r>
      <w:r w:rsidR="005B2A41">
        <w:t xml:space="preserve"> </w:t>
      </w:r>
      <w:r w:rsidRPr="00B02247">
        <w:t>(2)),</w:t>
      </w:r>
      <w:r w:rsidR="005B2A41">
        <w:t xml:space="preserve"> </w:t>
      </w:r>
      <w:r w:rsidRPr="00B02247">
        <w:t>as</w:t>
      </w:r>
      <w:r w:rsidR="005B2A41">
        <w:t xml:space="preserve"> </w:t>
      </w:r>
      <w:r w:rsidRPr="00B02247">
        <w:t>well</w:t>
      </w:r>
      <w:r w:rsidR="005B2A41">
        <w:t xml:space="preserve"> </w:t>
      </w:r>
      <w:r w:rsidRPr="00B02247">
        <w:t>as</w:t>
      </w:r>
      <w:r w:rsidR="005B2A41">
        <w:t xml:space="preserve"> </w:t>
      </w:r>
      <w:r w:rsidRPr="00B02247">
        <w:t>for</w:t>
      </w:r>
      <w:r w:rsidR="005B2A41">
        <w:t xml:space="preserve"> </w:t>
      </w:r>
      <w:r w:rsidRPr="00B02247">
        <w:t>a</w:t>
      </w:r>
      <w:r w:rsidR="005B2A41">
        <w:t xml:space="preserve"> </w:t>
      </w:r>
      <w:r w:rsidRPr="00B02247">
        <w:t>special</w:t>
      </w:r>
      <w:r w:rsidR="005B2A41">
        <w:t xml:space="preserve"> </w:t>
      </w:r>
      <w:r w:rsidRPr="00B02247">
        <w:t>court</w:t>
      </w:r>
      <w:r w:rsidR="005B2A41">
        <w:t xml:space="preserve"> </w:t>
      </w:r>
      <w:r w:rsidRPr="00B02247">
        <w:t>to</w:t>
      </w:r>
      <w:r w:rsidR="005B2A41">
        <w:t xml:space="preserve"> </w:t>
      </w:r>
      <w:r w:rsidRPr="00B02247">
        <w:t>hear</w:t>
      </w:r>
      <w:r w:rsidR="005B2A41">
        <w:t xml:space="preserve"> </w:t>
      </w:r>
      <w:r w:rsidRPr="00B02247">
        <w:t>charges</w:t>
      </w:r>
      <w:r w:rsidR="005B2A41">
        <w:t xml:space="preserve"> </w:t>
      </w:r>
      <w:r w:rsidRPr="00B02247">
        <w:t>against</w:t>
      </w:r>
      <w:r w:rsidR="005B2A41">
        <w:t xml:space="preserve"> </w:t>
      </w:r>
      <w:r w:rsidRPr="00B02247">
        <w:t>ministers</w:t>
      </w:r>
      <w:r w:rsidR="005B2A41">
        <w:t xml:space="preserve"> </w:t>
      </w:r>
      <w:r w:rsidRPr="00B02247">
        <w:t>or</w:t>
      </w:r>
      <w:r w:rsidR="005B2A41">
        <w:t xml:space="preserve"> </w:t>
      </w:r>
      <w:r w:rsidRPr="00B02247">
        <w:t>against</w:t>
      </w:r>
      <w:r w:rsidR="005B2A41">
        <w:t xml:space="preserve"> </w:t>
      </w:r>
      <w:r w:rsidRPr="00B02247">
        <w:t>the</w:t>
      </w:r>
      <w:r w:rsidR="005B2A41">
        <w:t xml:space="preserve"> </w:t>
      </w:r>
      <w:r w:rsidRPr="00B02247">
        <w:t>President</w:t>
      </w:r>
      <w:r w:rsidR="005B2A41">
        <w:t xml:space="preserve"> </w:t>
      </w:r>
      <w:r w:rsidRPr="00B02247">
        <w:t>of</w:t>
      </w:r>
      <w:r w:rsidR="005B2A41">
        <w:t xml:space="preserve"> </w:t>
      </w:r>
      <w:r w:rsidRPr="00B02247">
        <w:t>the</w:t>
      </w:r>
      <w:r w:rsidR="005B2A41">
        <w:t xml:space="preserve"> </w:t>
      </w:r>
      <w:r w:rsidRPr="00B02247">
        <w:t>Republic</w:t>
      </w:r>
      <w:r w:rsidR="005B2A41">
        <w:t xml:space="preserve"> </w:t>
      </w:r>
      <w:r w:rsidRPr="00B02247">
        <w:t>(Article</w:t>
      </w:r>
      <w:r w:rsidR="005B2A41">
        <w:t xml:space="preserve"> </w:t>
      </w:r>
      <w:r w:rsidRPr="00B02247">
        <w:t>86</w:t>
      </w:r>
      <w:r w:rsidR="005B2A41">
        <w:t xml:space="preserve"> </w:t>
      </w:r>
      <w:r w:rsidRPr="00B02247">
        <w:t>&amp;</w:t>
      </w:r>
      <w:r w:rsidR="005B2A41">
        <w:t xml:space="preserve"> </w:t>
      </w:r>
      <w:r w:rsidRPr="00B02247">
        <w:t>49</w:t>
      </w:r>
      <w:r w:rsidR="005B2A41">
        <w:t xml:space="preserve"> </w:t>
      </w:r>
      <w:r w:rsidRPr="00B02247">
        <w:t>(3)).</w:t>
      </w:r>
    </w:p>
    <w:p w:rsidR="00F233AB" w:rsidRPr="00B02247" w:rsidRDefault="00F233AB" w:rsidP="00E1307D">
      <w:pPr>
        <w:pStyle w:val="SingleTxtG"/>
      </w:pPr>
      <w:r w:rsidRPr="00B02247">
        <w:t>24.</w:t>
      </w:r>
      <w:r w:rsidRPr="00B02247">
        <w:tab/>
        <w:t>Courts</w:t>
      </w:r>
      <w:r w:rsidR="005B2A41">
        <w:t xml:space="preserve"> </w:t>
      </w:r>
      <w:r w:rsidRPr="00B02247">
        <w:t>martial,</w:t>
      </w:r>
      <w:r w:rsidR="005B2A41">
        <w:t xml:space="preserve"> </w:t>
      </w:r>
      <w:r w:rsidRPr="00B02247">
        <w:t>naval</w:t>
      </w:r>
      <w:r w:rsidR="005B2A41">
        <w:t xml:space="preserve"> </w:t>
      </w:r>
      <w:r w:rsidRPr="00B02247">
        <w:t>courts</w:t>
      </w:r>
      <w:r w:rsidR="005B2A41">
        <w:t xml:space="preserve"> </w:t>
      </w:r>
      <w:r w:rsidRPr="00B02247">
        <w:t>and</w:t>
      </w:r>
      <w:r w:rsidR="005B2A41">
        <w:t xml:space="preserve"> </w:t>
      </w:r>
      <w:r w:rsidRPr="00B02247">
        <w:t>air</w:t>
      </w:r>
      <w:r w:rsidR="005B2A41">
        <w:t xml:space="preserve"> </w:t>
      </w:r>
      <w:r w:rsidRPr="00B02247">
        <w:t>force</w:t>
      </w:r>
      <w:r w:rsidR="005B2A41">
        <w:t xml:space="preserve"> </w:t>
      </w:r>
      <w:r w:rsidRPr="00B02247">
        <w:t>courts</w:t>
      </w:r>
      <w:r w:rsidR="005B2A41">
        <w:t xml:space="preserve"> </w:t>
      </w:r>
      <w:r w:rsidRPr="00B02247">
        <w:t>are</w:t>
      </w:r>
      <w:r w:rsidR="005B2A41">
        <w:t xml:space="preserve"> </w:t>
      </w:r>
      <w:r w:rsidRPr="00B02247">
        <w:t>competent</w:t>
      </w:r>
      <w:r w:rsidR="005B2A41">
        <w:t xml:space="preserve"> </w:t>
      </w:r>
      <w:r w:rsidRPr="00B02247">
        <w:t>for</w:t>
      </w:r>
      <w:r w:rsidR="005B2A41">
        <w:t xml:space="preserve"> </w:t>
      </w:r>
      <w:r w:rsidRPr="00B02247">
        <w:t>crimes</w:t>
      </w:r>
      <w:r w:rsidR="005B2A41">
        <w:t xml:space="preserve"> </w:t>
      </w:r>
      <w:r w:rsidRPr="00B02247">
        <w:t>committed</w:t>
      </w:r>
      <w:r w:rsidR="005B2A41">
        <w:t xml:space="preserve"> </w:t>
      </w:r>
      <w:r w:rsidRPr="00B02247">
        <w:t>by</w:t>
      </w:r>
      <w:r w:rsidR="005B2A41">
        <w:t xml:space="preserve"> </w:t>
      </w:r>
      <w:r w:rsidRPr="00B02247">
        <w:t>military</w:t>
      </w:r>
      <w:r w:rsidR="005B2A41">
        <w:t xml:space="preserve"> </w:t>
      </w:r>
      <w:r w:rsidRPr="00B02247">
        <w:t>personnel,</w:t>
      </w:r>
      <w:r w:rsidR="005B2A41">
        <w:t xml:space="preserve"> </w:t>
      </w:r>
      <w:r w:rsidRPr="00B02247">
        <w:t>save</w:t>
      </w:r>
      <w:r w:rsidR="005B2A41">
        <w:t xml:space="preserve"> </w:t>
      </w:r>
      <w:r w:rsidRPr="00B02247">
        <w:t>for</w:t>
      </w:r>
      <w:r w:rsidR="005B2A41">
        <w:t xml:space="preserve"> </w:t>
      </w:r>
      <w:r w:rsidRPr="00B02247">
        <w:t>those</w:t>
      </w:r>
      <w:r w:rsidR="005B2A41">
        <w:t xml:space="preserve"> </w:t>
      </w:r>
      <w:r w:rsidRPr="00B02247">
        <w:t>which,</w:t>
      </w:r>
      <w:r w:rsidR="005B2A41">
        <w:t xml:space="preserve"> </w:t>
      </w:r>
      <w:r w:rsidRPr="00B02247">
        <w:t>in</w:t>
      </w:r>
      <w:r w:rsidR="005B2A41">
        <w:t xml:space="preserve"> </w:t>
      </w:r>
      <w:r w:rsidRPr="00B02247">
        <w:t>accordance</w:t>
      </w:r>
      <w:r w:rsidR="005B2A41">
        <w:t xml:space="preserve"> </w:t>
      </w:r>
      <w:r w:rsidRPr="00B02247">
        <w:t>with</w:t>
      </w:r>
      <w:r w:rsidR="005B2A41">
        <w:t xml:space="preserve"> </w:t>
      </w:r>
      <w:r w:rsidRPr="00B02247">
        <w:t>the</w:t>
      </w:r>
      <w:r w:rsidR="005B2A41">
        <w:t xml:space="preserve"> </w:t>
      </w:r>
      <w:r w:rsidRPr="00B02247">
        <w:t>provisions</w:t>
      </w:r>
      <w:r w:rsidR="005B2A41">
        <w:t xml:space="preserve"> </w:t>
      </w:r>
      <w:r w:rsidRPr="00B02247">
        <w:t>of</w:t>
      </w:r>
      <w:r w:rsidR="005B2A41">
        <w:t xml:space="preserve"> </w:t>
      </w:r>
      <w:r w:rsidRPr="00B02247">
        <w:t>the</w:t>
      </w:r>
      <w:r w:rsidR="005B2A41">
        <w:t xml:space="preserve"> </w:t>
      </w:r>
      <w:r w:rsidRPr="00B02247">
        <w:t>Military</w:t>
      </w:r>
      <w:r w:rsidR="005B2A41">
        <w:t xml:space="preserve"> </w:t>
      </w:r>
      <w:r w:rsidRPr="00B02247">
        <w:t>Penal</w:t>
      </w:r>
      <w:r w:rsidR="005B2A41">
        <w:t xml:space="preserve"> </w:t>
      </w:r>
      <w:r w:rsidRPr="00B02247">
        <w:t>Code</w:t>
      </w:r>
      <w:r w:rsidR="005B2A41">
        <w:t xml:space="preserve"> </w:t>
      </w:r>
      <w:r w:rsidRPr="00B02247">
        <w:t>or</w:t>
      </w:r>
      <w:r w:rsidR="005B2A41">
        <w:t xml:space="preserve"> </w:t>
      </w:r>
      <w:r w:rsidRPr="00B02247">
        <w:t>special</w:t>
      </w:r>
      <w:r w:rsidR="005B2A41">
        <w:t xml:space="preserve"> </w:t>
      </w:r>
      <w:r w:rsidRPr="00B02247">
        <w:t>laws,</w:t>
      </w:r>
      <w:r w:rsidR="005B2A41">
        <w:t xml:space="preserve"> </w:t>
      </w:r>
      <w:r w:rsidRPr="00B02247">
        <w:t>are</w:t>
      </w:r>
      <w:r w:rsidR="005B2A41">
        <w:t xml:space="preserve"> </w:t>
      </w:r>
      <w:r w:rsidRPr="00B02247">
        <w:t>subject</w:t>
      </w:r>
      <w:r w:rsidR="005B2A41">
        <w:t xml:space="preserve"> </w:t>
      </w:r>
      <w:r w:rsidRPr="00B02247">
        <w:t>to</w:t>
      </w:r>
      <w:r w:rsidR="005B2A41">
        <w:t xml:space="preserve"> </w:t>
      </w:r>
      <w:r w:rsidRPr="00B02247">
        <w:t>the</w:t>
      </w:r>
      <w:r w:rsidR="005B2A41">
        <w:t xml:space="preserve"> </w:t>
      </w:r>
      <w:r w:rsidRPr="00B02247">
        <w:t>jurisdiction</w:t>
      </w:r>
      <w:r w:rsidR="005B2A41">
        <w:t xml:space="preserve"> </w:t>
      </w:r>
      <w:r w:rsidRPr="00B02247">
        <w:t>of</w:t>
      </w:r>
      <w:r w:rsidR="005B2A41">
        <w:t xml:space="preserve"> </w:t>
      </w:r>
      <w:r w:rsidRPr="00B02247">
        <w:t>ordinary</w:t>
      </w:r>
      <w:r w:rsidR="005B2A41">
        <w:t xml:space="preserve"> </w:t>
      </w:r>
      <w:r w:rsidRPr="00B02247">
        <w:t>criminal</w:t>
      </w:r>
      <w:r w:rsidR="005B2A41">
        <w:t xml:space="preserve"> </w:t>
      </w:r>
      <w:r w:rsidRPr="00B02247">
        <w:t>courts.</w:t>
      </w:r>
      <w:r w:rsidR="005B2A41">
        <w:t xml:space="preserve"> </w:t>
      </w:r>
      <w:r w:rsidRPr="00B02247">
        <w:t>Pursuant</w:t>
      </w:r>
      <w:r w:rsidR="005B2A41">
        <w:t xml:space="preserve"> </w:t>
      </w:r>
      <w:r w:rsidRPr="00B02247">
        <w:t>to</w:t>
      </w:r>
      <w:r w:rsidR="005B2A41">
        <w:t xml:space="preserve"> </w:t>
      </w:r>
      <w:r w:rsidRPr="00B02247">
        <w:t>Article</w:t>
      </w:r>
      <w:r w:rsidR="005B2A41">
        <w:t xml:space="preserve"> </w:t>
      </w:r>
      <w:r w:rsidRPr="00B02247">
        <w:t>96</w:t>
      </w:r>
      <w:r w:rsidR="005B2A41">
        <w:t xml:space="preserve"> </w:t>
      </w:r>
      <w:r w:rsidRPr="00B02247">
        <w:t>(4)),</w:t>
      </w:r>
      <w:r w:rsidR="005B2A41">
        <w:t xml:space="preserve"> </w:t>
      </w:r>
      <w:r w:rsidRPr="00B02247">
        <w:t>of</w:t>
      </w:r>
      <w:r w:rsidR="005B2A41">
        <w:t xml:space="preserve"> </w:t>
      </w:r>
      <w:r w:rsidRPr="00B02247">
        <w:t>the</w:t>
      </w:r>
      <w:r w:rsidR="005B2A41">
        <w:t xml:space="preserve"> </w:t>
      </w:r>
      <w:r w:rsidRPr="00B02247">
        <w:t>Constitution,</w:t>
      </w:r>
      <w:r w:rsidR="005B2A41">
        <w:t xml:space="preserve"> </w:t>
      </w:r>
      <w:r w:rsidRPr="00B02247">
        <w:t>military</w:t>
      </w:r>
      <w:r w:rsidR="005B2A41">
        <w:t xml:space="preserve"> </w:t>
      </w:r>
      <w:r w:rsidRPr="00B02247">
        <w:t>courts</w:t>
      </w:r>
      <w:r w:rsidR="005B2A41">
        <w:t xml:space="preserve"> </w:t>
      </w:r>
      <w:r w:rsidRPr="00B02247">
        <w:t>shall</w:t>
      </w:r>
      <w:r w:rsidR="005B2A41">
        <w:t xml:space="preserve"> </w:t>
      </w:r>
      <w:r w:rsidRPr="00B02247">
        <w:t>have</w:t>
      </w:r>
      <w:r w:rsidR="005B2A41">
        <w:t xml:space="preserve"> </w:t>
      </w:r>
      <w:r w:rsidRPr="00B02247">
        <w:t>no</w:t>
      </w:r>
      <w:r w:rsidR="005B2A41">
        <w:t xml:space="preserve"> </w:t>
      </w:r>
      <w:r w:rsidRPr="00B02247">
        <w:t>jurisdiction</w:t>
      </w:r>
      <w:r w:rsidR="005B2A41">
        <w:t xml:space="preserve"> </w:t>
      </w:r>
      <w:r w:rsidRPr="00B02247">
        <w:t>over</w:t>
      </w:r>
      <w:r w:rsidR="005B2A41">
        <w:t xml:space="preserve"> </w:t>
      </w:r>
      <w:r w:rsidRPr="00B02247">
        <w:t>civilians.</w:t>
      </w:r>
      <w:r w:rsidR="005B2A41">
        <w:t xml:space="preserve"> </w:t>
      </w:r>
      <w:r w:rsidRPr="00B02247">
        <w:t>Military</w:t>
      </w:r>
      <w:r w:rsidR="005B2A41">
        <w:t xml:space="preserve"> </w:t>
      </w:r>
      <w:r w:rsidRPr="00B02247">
        <w:t>judges</w:t>
      </w:r>
      <w:r w:rsidR="005B2A41">
        <w:t xml:space="preserve"> </w:t>
      </w:r>
      <w:r w:rsidRPr="00B02247">
        <w:t>enjoy</w:t>
      </w:r>
      <w:r w:rsidR="005B2A41">
        <w:t xml:space="preserve"> </w:t>
      </w:r>
      <w:r w:rsidRPr="00B02247">
        <w:t>functional</w:t>
      </w:r>
      <w:r w:rsidR="005B2A41">
        <w:t xml:space="preserve"> </w:t>
      </w:r>
      <w:r w:rsidRPr="00B02247">
        <w:t>and</w:t>
      </w:r>
      <w:r w:rsidR="005B2A41">
        <w:t xml:space="preserve"> </w:t>
      </w:r>
      <w:r w:rsidRPr="00B02247">
        <w:t>personal</w:t>
      </w:r>
      <w:r w:rsidR="005B2A41">
        <w:t xml:space="preserve"> </w:t>
      </w:r>
      <w:r w:rsidRPr="00B02247">
        <w:t>independence.</w:t>
      </w:r>
    </w:p>
    <w:p w:rsidR="00F233AB" w:rsidRPr="00B02247" w:rsidRDefault="00F233AB" w:rsidP="00E1307D">
      <w:pPr>
        <w:pStyle w:val="SingleTxtG"/>
      </w:pPr>
      <w:r w:rsidRPr="00B02247">
        <w:t>25.</w:t>
      </w:r>
      <w:r w:rsidRPr="00B02247">
        <w:tab/>
        <w:t>There</w:t>
      </w:r>
      <w:r w:rsidR="005B2A41">
        <w:t xml:space="preserve"> </w:t>
      </w:r>
      <w:r w:rsidRPr="00B02247">
        <w:t>is</w:t>
      </w:r>
      <w:r w:rsidR="005B2A41">
        <w:t xml:space="preserve"> </w:t>
      </w:r>
      <w:r w:rsidRPr="00B02247">
        <w:t>no</w:t>
      </w:r>
      <w:r w:rsidR="005B2A41">
        <w:t xml:space="preserve"> </w:t>
      </w:r>
      <w:r w:rsidRPr="00B02247">
        <w:t>specific</w:t>
      </w:r>
      <w:r w:rsidR="005B2A41">
        <w:t xml:space="preserve"> </w:t>
      </w:r>
      <w:r w:rsidRPr="00B02247">
        <w:t>legislation</w:t>
      </w:r>
      <w:r w:rsidR="005B2A41">
        <w:t xml:space="preserve"> </w:t>
      </w:r>
      <w:r w:rsidRPr="00B02247">
        <w:t>regulating</w:t>
      </w:r>
      <w:r w:rsidR="005B2A41">
        <w:t xml:space="preserve"> </w:t>
      </w:r>
      <w:r w:rsidRPr="00B02247">
        <w:t>NGOs,</w:t>
      </w:r>
      <w:r w:rsidR="005B2A41">
        <w:t xml:space="preserve"> </w:t>
      </w:r>
      <w:r w:rsidRPr="00B02247">
        <w:t>which</w:t>
      </w:r>
      <w:r w:rsidR="005B2A41">
        <w:t xml:space="preserve"> </w:t>
      </w:r>
      <w:r w:rsidRPr="00B02247">
        <w:t>may</w:t>
      </w:r>
      <w:r w:rsidR="005B2A41">
        <w:t xml:space="preserve"> </w:t>
      </w:r>
      <w:r w:rsidRPr="00B02247">
        <w:t>choose</w:t>
      </w:r>
      <w:r w:rsidR="005B2A41">
        <w:t xml:space="preserve"> </w:t>
      </w:r>
      <w:r w:rsidRPr="00B02247">
        <w:t>one</w:t>
      </w:r>
      <w:r w:rsidR="005B2A41">
        <w:t xml:space="preserve"> </w:t>
      </w:r>
      <w:r w:rsidRPr="00B02247">
        <w:t>of</w:t>
      </w:r>
      <w:r w:rsidR="005B2A41">
        <w:t xml:space="preserve"> </w:t>
      </w:r>
      <w:r w:rsidRPr="00B02247">
        <w:t>the</w:t>
      </w:r>
      <w:r w:rsidR="005B2A41">
        <w:t xml:space="preserve"> </w:t>
      </w:r>
      <w:r w:rsidRPr="00B02247">
        <w:t>forms</w:t>
      </w:r>
      <w:r w:rsidR="005B2A41">
        <w:t xml:space="preserve"> </w:t>
      </w:r>
      <w:r w:rsidRPr="00B02247">
        <w:t>of</w:t>
      </w:r>
      <w:r w:rsidR="005B2A41">
        <w:t xml:space="preserve"> </w:t>
      </w:r>
      <w:r w:rsidRPr="00B02247">
        <w:t>legal</w:t>
      </w:r>
      <w:r w:rsidR="005B2A41">
        <w:t xml:space="preserve"> </w:t>
      </w:r>
      <w:r w:rsidRPr="00B02247">
        <w:t>personality</w:t>
      </w:r>
      <w:r w:rsidR="005B2A41">
        <w:t xml:space="preserve"> </w:t>
      </w:r>
      <w:r w:rsidRPr="00B02247">
        <w:t>provided</w:t>
      </w:r>
      <w:r w:rsidR="005B2A41">
        <w:t xml:space="preserve"> </w:t>
      </w:r>
      <w:r w:rsidRPr="00B02247">
        <w:t>for</w:t>
      </w:r>
      <w:r w:rsidR="005B2A41">
        <w:t xml:space="preserve"> </w:t>
      </w:r>
      <w:r w:rsidRPr="00B02247">
        <w:t>in</w:t>
      </w:r>
      <w:r w:rsidR="005B2A41">
        <w:t xml:space="preserve"> </w:t>
      </w:r>
      <w:r w:rsidRPr="00B02247">
        <w:t>the</w:t>
      </w:r>
      <w:r w:rsidR="005B2A41">
        <w:t xml:space="preserve"> </w:t>
      </w:r>
      <w:r w:rsidRPr="00B02247">
        <w:t>Civil</w:t>
      </w:r>
      <w:r w:rsidR="005B2A41">
        <w:t xml:space="preserve"> </w:t>
      </w:r>
      <w:r w:rsidRPr="00B02247">
        <w:t>Code</w:t>
      </w:r>
      <w:r w:rsidR="005B2A41">
        <w:t xml:space="preserve"> </w:t>
      </w:r>
      <w:r w:rsidRPr="00B02247">
        <w:t>(such</w:t>
      </w:r>
      <w:r w:rsidR="005B2A41">
        <w:t xml:space="preserve"> </w:t>
      </w:r>
      <w:r w:rsidRPr="00B02247">
        <w:t>as</w:t>
      </w:r>
      <w:r w:rsidR="005B2A41">
        <w:t xml:space="preserve"> </w:t>
      </w:r>
      <w:r w:rsidRPr="00B02247">
        <w:t>association,</w:t>
      </w:r>
      <w:r w:rsidR="005B2A41">
        <w:t xml:space="preserve"> </w:t>
      </w:r>
      <w:r w:rsidRPr="00B02247">
        <w:t>foundation,</w:t>
      </w:r>
      <w:r w:rsidR="005B2A41">
        <w:t xml:space="preserve"> </w:t>
      </w:r>
      <w:r w:rsidRPr="00B02247">
        <w:t>civil</w:t>
      </w:r>
      <w:r w:rsidR="005B2A41">
        <w:t xml:space="preserve"> </w:t>
      </w:r>
      <w:r w:rsidRPr="00B02247">
        <w:t>(non-commercial)</w:t>
      </w:r>
      <w:r w:rsidR="005B2A41">
        <w:t xml:space="preserve"> </w:t>
      </w:r>
      <w:r w:rsidRPr="00B02247">
        <w:t>company)</w:t>
      </w:r>
      <w:r w:rsidR="005B2A41">
        <w:t xml:space="preserve"> </w:t>
      </w:r>
      <w:r w:rsidRPr="00B02247">
        <w:t>or</w:t>
      </w:r>
      <w:r w:rsidR="005B2A41">
        <w:t xml:space="preserve"> </w:t>
      </w:r>
      <w:r w:rsidRPr="00B02247">
        <w:t>operate</w:t>
      </w:r>
      <w:r w:rsidR="005B2A41">
        <w:t xml:space="preserve"> </w:t>
      </w:r>
      <w:r w:rsidRPr="00B02247">
        <w:t>as</w:t>
      </w:r>
      <w:r w:rsidR="005B2A41">
        <w:t xml:space="preserve"> </w:t>
      </w:r>
      <w:r w:rsidRPr="00B02247">
        <w:t>a</w:t>
      </w:r>
      <w:r w:rsidR="005B2A41">
        <w:t xml:space="preserve"> </w:t>
      </w:r>
      <w:r w:rsidRPr="00B02247">
        <w:t>union</w:t>
      </w:r>
      <w:r w:rsidR="005B2A41">
        <w:t xml:space="preserve"> </w:t>
      </w:r>
      <w:r w:rsidRPr="00B02247">
        <w:t>of</w:t>
      </w:r>
      <w:r w:rsidR="005B2A41">
        <w:t xml:space="preserve"> </w:t>
      </w:r>
      <w:r w:rsidRPr="00B02247">
        <w:t>persons.</w:t>
      </w:r>
      <w:r w:rsidR="005B2A41">
        <w:t xml:space="preserve"> </w:t>
      </w:r>
      <w:r w:rsidRPr="00B02247">
        <w:t>It</w:t>
      </w:r>
      <w:r w:rsidR="005B2A41">
        <w:t xml:space="preserve"> </w:t>
      </w:r>
      <w:r w:rsidRPr="00B02247">
        <w:t>is</w:t>
      </w:r>
      <w:r w:rsidR="005B2A41">
        <w:t xml:space="preserve"> </w:t>
      </w:r>
      <w:r w:rsidRPr="00B02247">
        <w:t>to</w:t>
      </w:r>
      <w:r w:rsidR="005B2A41">
        <w:t xml:space="preserve"> </w:t>
      </w:r>
      <w:r w:rsidRPr="00B02247">
        <w:t>be</w:t>
      </w:r>
      <w:r w:rsidR="005B2A41">
        <w:t xml:space="preserve"> </w:t>
      </w:r>
      <w:r w:rsidRPr="00B02247">
        <w:t>noted</w:t>
      </w:r>
      <w:r w:rsidR="005B2A41">
        <w:t xml:space="preserve"> </w:t>
      </w:r>
      <w:r w:rsidRPr="00B02247">
        <w:t>that</w:t>
      </w:r>
      <w:r w:rsidR="005B2A41">
        <w:t xml:space="preserve"> </w:t>
      </w:r>
      <w:r w:rsidRPr="00B02247">
        <w:t>the</w:t>
      </w:r>
      <w:r w:rsidR="005B2A41">
        <w:t xml:space="preserve"> </w:t>
      </w:r>
      <w:r w:rsidRPr="00B02247">
        <w:t>registration</w:t>
      </w:r>
      <w:r w:rsidR="005B2A41">
        <w:t xml:space="preserve"> </w:t>
      </w:r>
      <w:r w:rsidRPr="00B02247">
        <w:t>of</w:t>
      </w:r>
      <w:r w:rsidR="005B2A41">
        <w:t xml:space="preserve"> </w:t>
      </w:r>
      <w:r w:rsidRPr="00B02247">
        <w:t>an</w:t>
      </w:r>
      <w:r w:rsidR="005B2A41">
        <w:t xml:space="preserve"> </w:t>
      </w:r>
      <w:r w:rsidRPr="00B02247">
        <w:t>association</w:t>
      </w:r>
      <w:r w:rsidR="005B2A41">
        <w:t xml:space="preserve"> </w:t>
      </w:r>
      <w:r w:rsidRPr="00B02247">
        <w:t>falls</w:t>
      </w:r>
      <w:r w:rsidR="005B2A41">
        <w:t xml:space="preserve"> </w:t>
      </w:r>
      <w:r w:rsidRPr="00B02247">
        <w:t>within</w:t>
      </w:r>
      <w:r w:rsidR="005B2A41">
        <w:t xml:space="preserve"> </w:t>
      </w:r>
      <w:r w:rsidRPr="00B02247">
        <w:t>the</w:t>
      </w:r>
      <w:r w:rsidR="005B2A41">
        <w:t xml:space="preserve"> </w:t>
      </w:r>
      <w:r w:rsidRPr="00B02247">
        <w:t>competence</w:t>
      </w:r>
      <w:r w:rsidR="005B2A41">
        <w:t xml:space="preserve"> </w:t>
      </w:r>
      <w:r w:rsidRPr="00B02247">
        <w:t>of</w:t>
      </w:r>
      <w:r w:rsidR="005B2A41">
        <w:t xml:space="preserve"> </w:t>
      </w:r>
      <w:r w:rsidRPr="00B02247">
        <w:t>the</w:t>
      </w:r>
      <w:r w:rsidR="005B2A41">
        <w:t xml:space="preserve"> </w:t>
      </w:r>
      <w:r w:rsidRPr="00B02247">
        <w:t>courts,</w:t>
      </w:r>
      <w:r w:rsidR="005B2A41">
        <w:t xml:space="preserve"> </w:t>
      </w:r>
      <w:r w:rsidRPr="00B02247">
        <w:t>with</w:t>
      </w:r>
      <w:r w:rsidR="005B2A41">
        <w:t xml:space="preserve"> </w:t>
      </w:r>
      <w:r w:rsidRPr="00B02247">
        <w:t>no</w:t>
      </w:r>
      <w:r w:rsidR="005B2A41">
        <w:t xml:space="preserve"> </w:t>
      </w:r>
      <w:r w:rsidRPr="00B02247">
        <w:t>involvement</w:t>
      </w:r>
      <w:r w:rsidR="005B2A41">
        <w:t xml:space="preserve"> </w:t>
      </w:r>
      <w:r w:rsidRPr="00B02247">
        <w:t>on</w:t>
      </w:r>
      <w:r w:rsidR="005B2A41">
        <w:t xml:space="preserve"> </w:t>
      </w:r>
      <w:r w:rsidRPr="00B02247">
        <w:t>the</w:t>
      </w:r>
      <w:r w:rsidR="005B2A41">
        <w:t xml:space="preserve"> </w:t>
      </w:r>
      <w:r w:rsidRPr="00B02247">
        <w:t>part</w:t>
      </w:r>
      <w:r w:rsidR="005B2A41">
        <w:t xml:space="preserve"> </w:t>
      </w:r>
      <w:r w:rsidRPr="00B02247">
        <w:t>of</w:t>
      </w:r>
      <w:r w:rsidR="005B2A41">
        <w:t xml:space="preserve"> </w:t>
      </w:r>
      <w:r w:rsidRPr="00B02247">
        <w:t>the</w:t>
      </w:r>
      <w:r w:rsidR="005B2A41">
        <w:t xml:space="preserve"> </w:t>
      </w:r>
      <w:r w:rsidRPr="00B02247">
        <w:t>administrative</w:t>
      </w:r>
      <w:r w:rsidR="005B2A41">
        <w:t xml:space="preserve"> </w:t>
      </w:r>
      <w:r w:rsidRPr="00B02247">
        <w:t>authorities.</w:t>
      </w:r>
      <w:r w:rsidR="005B2A41">
        <w:t xml:space="preserve"> </w:t>
      </w:r>
      <w:r w:rsidRPr="00B02247">
        <w:t>In</w:t>
      </w:r>
      <w:r w:rsidR="005B2A41">
        <w:t xml:space="preserve"> </w:t>
      </w:r>
      <w:r w:rsidRPr="00B02247">
        <w:t>this</w:t>
      </w:r>
      <w:r w:rsidR="005B2A41">
        <w:t xml:space="preserve"> </w:t>
      </w:r>
      <w:r w:rsidRPr="00B02247">
        <w:t>respect,</w:t>
      </w:r>
      <w:r w:rsidR="005B2A41">
        <w:t xml:space="preserve"> </w:t>
      </w:r>
      <w:r w:rsidRPr="00B02247">
        <w:t>the</w:t>
      </w:r>
      <w:r w:rsidR="005B2A41">
        <w:t xml:space="preserve"> </w:t>
      </w:r>
      <w:r w:rsidRPr="00B02247">
        <w:t>courts</w:t>
      </w:r>
      <w:r w:rsidR="003E731F">
        <w:t>’</w:t>
      </w:r>
      <w:r w:rsidR="005B2A41">
        <w:t xml:space="preserve"> </w:t>
      </w:r>
      <w:r w:rsidRPr="00B02247">
        <w:t>scrutiny</w:t>
      </w:r>
      <w:r w:rsidR="005B2A41">
        <w:t xml:space="preserve"> </w:t>
      </w:r>
      <w:r w:rsidRPr="00B02247">
        <w:t>is</w:t>
      </w:r>
      <w:r w:rsidR="005B2A41">
        <w:t xml:space="preserve"> </w:t>
      </w:r>
      <w:r w:rsidRPr="00B02247">
        <w:t>limited</w:t>
      </w:r>
      <w:r w:rsidR="005B2A41">
        <w:t xml:space="preserve"> </w:t>
      </w:r>
      <w:r w:rsidRPr="00B02247">
        <w:t>to</w:t>
      </w:r>
      <w:r w:rsidR="005B2A41">
        <w:t xml:space="preserve"> </w:t>
      </w:r>
      <w:r w:rsidRPr="00B02247">
        <w:t>ascertaining</w:t>
      </w:r>
      <w:r w:rsidR="005B2A41">
        <w:t xml:space="preserve"> </w:t>
      </w:r>
      <w:r w:rsidRPr="00B02247">
        <w:t>whether</w:t>
      </w:r>
      <w:r w:rsidR="005B2A41">
        <w:t xml:space="preserve"> </w:t>
      </w:r>
      <w:r w:rsidRPr="00B02247">
        <w:t>or</w:t>
      </w:r>
      <w:r w:rsidR="005B2A41">
        <w:t xml:space="preserve"> </w:t>
      </w:r>
      <w:r w:rsidRPr="00B02247">
        <w:t>not</w:t>
      </w:r>
      <w:r w:rsidR="005B2A41">
        <w:t xml:space="preserve"> </w:t>
      </w:r>
      <w:r w:rsidRPr="00B02247">
        <w:t>the</w:t>
      </w:r>
      <w:r w:rsidR="005B2A41">
        <w:t xml:space="preserve"> </w:t>
      </w:r>
      <w:r w:rsidRPr="00B02247">
        <w:t>legal</w:t>
      </w:r>
      <w:r w:rsidR="005B2A41">
        <w:t xml:space="preserve"> </w:t>
      </w:r>
      <w:r w:rsidRPr="00B02247">
        <w:t>requirements</w:t>
      </w:r>
      <w:r w:rsidR="005B2A41">
        <w:t xml:space="preserve"> </w:t>
      </w:r>
      <w:r w:rsidRPr="00B02247">
        <w:t>for</w:t>
      </w:r>
      <w:r w:rsidR="005B2A41">
        <w:t xml:space="preserve"> </w:t>
      </w:r>
      <w:r w:rsidRPr="00B02247">
        <w:t>the</w:t>
      </w:r>
      <w:r w:rsidR="005B2A41">
        <w:t xml:space="preserve"> </w:t>
      </w:r>
      <w:r w:rsidRPr="00B02247">
        <w:t>registration</w:t>
      </w:r>
      <w:r w:rsidR="005B2A41">
        <w:t xml:space="preserve"> </w:t>
      </w:r>
      <w:r w:rsidRPr="00B02247">
        <w:t>of</w:t>
      </w:r>
      <w:r w:rsidR="005B2A41">
        <w:t xml:space="preserve"> </w:t>
      </w:r>
      <w:r w:rsidRPr="00B02247">
        <w:t>an</w:t>
      </w:r>
      <w:r w:rsidR="005B2A41">
        <w:t xml:space="preserve"> </w:t>
      </w:r>
      <w:r w:rsidRPr="00B02247">
        <w:t>association</w:t>
      </w:r>
      <w:r w:rsidR="005B2A41">
        <w:t xml:space="preserve"> </w:t>
      </w:r>
      <w:r w:rsidRPr="00B02247">
        <w:t>have</w:t>
      </w:r>
      <w:r w:rsidR="005B2A41">
        <w:t xml:space="preserve"> </w:t>
      </w:r>
      <w:r w:rsidRPr="00B02247">
        <w:t>been</w:t>
      </w:r>
      <w:r w:rsidR="005B2A41">
        <w:t xml:space="preserve"> </w:t>
      </w:r>
      <w:r w:rsidRPr="00B02247">
        <w:t>fulfilled.</w:t>
      </w:r>
      <w:r w:rsidR="005B2A41">
        <w:t xml:space="preserve"> </w:t>
      </w:r>
    </w:p>
    <w:p w:rsidR="00F233AB" w:rsidRPr="00B02247" w:rsidRDefault="00F233AB" w:rsidP="00C23C13">
      <w:pPr>
        <w:pStyle w:val="HChG"/>
      </w:pPr>
      <w:r w:rsidRPr="00B02247">
        <w:tab/>
        <w:t>II.</w:t>
      </w:r>
      <w:r w:rsidRPr="00B02247">
        <w:tab/>
        <w:t>General</w:t>
      </w:r>
      <w:r w:rsidR="005B2A41">
        <w:t xml:space="preserve"> </w:t>
      </w:r>
      <w:r w:rsidRPr="00B02247">
        <w:t>framework</w:t>
      </w:r>
      <w:r w:rsidR="005B2A41">
        <w:t xml:space="preserve"> </w:t>
      </w:r>
      <w:r w:rsidRPr="00B02247">
        <w:t>for</w:t>
      </w:r>
      <w:r w:rsidR="005B2A41">
        <w:t xml:space="preserve"> </w:t>
      </w:r>
      <w:r w:rsidRPr="00B02247">
        <w:t>the</w:t>
      </w:r>
      <w:r w:rsidR="005B2A41">
        <w:t xml:space="preserve"> </w:t>
      </w:r>
      <w:r w:rsidRPr="00B02247">
        <w:t>protection</w:t>
      </w:r>
      <w:r w:rsidR="005B2A41">
        <w:t xml:space="preserve"> </w:t>
      </w:r>
      <w:r w:rsidRPr="00B02247">
        <w:t>and</w:t>
      </w:r>
      <w:r w:rsidR="005B2A41">
        <w:t xml:space="preserve"> </w:t>
      </w:r>
      <w:r w:rsidRPr="00B02247">
        <w:t>promotion</w:t>
      </w:r>
      <w:r w:rsidR="005B2A41">
        <w:t xml:space="preserve"> </w:t>
      </w:r>
      <w:r w:rsidRPr="00B02247">
        <w:t>of</w:t>
      </w:r>
      <w:r w:rsidR="005B2A41">
        <w:t xml:space="preserve"> </w:t>
      </w:r>
      <w:r w:rsidRPr="00B02247">
        <w:t>human</w:t>
      </w:r>
      <w:r w:rsidR="005B2A41">
        <w:t xml:space="preserve"> </w:t>
      </w:r>
      <w:r w:rsidRPr="00B02247">
        <w:t>rights</w:t>
      </w:r>
    </w:p>
    <w:p w:rsidR="00F233AB" w:rsidRPr="00B02247" w:rsidRDefault="00F233AB" w:rsidP="00C23C13">
      <w:pPr>
        <w:pStyle w:val="H1G"/>
      </w:pPr>
      <w:r w:rsidRPr="00B02247">
        <w:tab/>
        <w:t>A.</w:t>
      </w:r>
      <w:r w:rsidRPr="00B02247">
        <w:tab/>
        <w:t>Acceptance</w:t>
      </w:r>
      <w:r w:rsidR="005B2A41">
        <w:t xml:space="preserve"> </w:t>
      </w:r>
      <w:r w:rsidRPr="00B02247">
        <w:t>of</w:t>
      </w:r>
      <w:r w:rsidR="005B2A41">
        <w:t xml:space="preserve"> </w:t>
      </w:r>
      <w:r w:rsidRPr="00B02247">
        <w:t>international</w:t>
      </w:r>
      <w:r w:rsidR="005B2A41">
        <w:t xml:space="preserve"> </w:t>
      </w:r>
      <w:r w:rsidRPr="00B02247">
        <w:t>human</w:t>
      </w:r>
      <w:r w:rsidR="005B2A41">
        <w:t xml:space="preserve"> </w:t>
      </w:r>
      <w:r w:rsidRPr="00B02247">
        <w:t>rights</w:t>
      </w:r>
      <w:r w:rsidR="005B2A41">
        <w:t xml:space="preserve"> </w:t>
      </w:r>
      <w:r w:rsidRPr="00B02247">
        <w:t>norms</w:t>
      </w:r>
      <w:r w:rsidR="005B2A41">
        <w:t xml:space="preserve"> </w:t>
      </w:r>
      <w:r w:rsidRPr="00B02247">
        <w:t>(Appendix</w:t>
      </w:r>
      <w:r w:rsidR="005B2A41">
        <w:t xml:space="preserve"> </w:t>
      </w:r>
      <w:r w:rsidRPr="00B02247">
        <w:t>2</w:t>
      </w:r>
      <w:r w:rsidR="005B2A41">
        <w:t xml:space="preserve"> </w:t>
      </w:r>
      <w:r w:rsidRPr="00B02247">
        <w:t>of</w:t>
      </w:r>
      <w:r w:rsidR="005B2A41">
        <w:t xml:space="preserve"> </w:t>
      </w:r>
      <w:r w:rsidRPr="00B02247">
        <w:t>Harmonized</w:t>
      </w:r>
      <w:r w:rsidR="005B2A41">
        <w:t xml:space="preserve"> </w:t>
      </w:r>
      <w:r w:rsidRPr="00B02247">
        <w:t>Guidelines)</w:t>
      </w:r>
    </w:p>
    <w:p w:rsidR="00F233AB" w:rsidRPr="00B02247" w:rsidRDefault="00F233AB" w:rsidP="00E1307D">
      <w:pPr>
        <w:pStyle w:val="SingleTxtG"/>
      </w:pPr>
      <w:r w:rsidRPr="00B02247">
        <w:t>26.</w:t>
      </w:r>
      <w:r w:rsidRPr="00B02247">
        <w:tab/>
        <w:t>Greece</w:t>
      </w:r>
      <w:r w:rsidR="005B2A41">
        <w:t xml:space="preserve"> </w:t>
      </w:r>
      <w:r w:rsidRPr="00B02247">
        <w:t>has</w:t>
      </w:r>
      <w:r w:rsidR="005B2A41">
        <w:t xml:space="preserve"> </w:t>
      </w:r>
      <w:r w:rsidRPr="00B02247">
        <w:t>ratified</w:t>
      </w:r>
      <w:r w:rsidR="005B2A41">
        <w:t xml:space="preserve"> </w:t>
      </w:r>
      <w:r w:rsidRPr="00B02247">
        <w:t>all</w:t>
      </w:r>
      <w:r w:rsidR="005B2A41">
        <w:t xml:space="preserve"> </w:t>
      </w:r>
      <w:r w:rsidRPr="00B02247">
        <w:t>major</w:t>
      </w:r>
      <w:r w:rsidR="005B2A41">
        <w:t xml:space="preserve"> </w:t>
      </w:r>
      <w:r w:rsidRPr="00B02247">
        <w:t>human</w:t>
      </w:r>
      <w:r w:rsidR="005B2A41">
        <w:t xml:space="preserve"> </w:t>
      </w:r>
      <w:r w:rsidRPr="00B02247">
        <w:t>rights</w:t>
      </w:r>
      <w:r w:rsidR="005B2A41">
        <w:t xml:space="preserve"> </w:t>
      </w:r>
      <w:r w:rsidRPr="00B02247">
        <w:t>treaties</w:t>
      </w:r>
      <w:r w:rsidR="005B2A41">
        <w:t xml:space="preserve"> </w:t>
      </w:r>
      <w:r w:rsidRPr="00B02247">
        <w:t>in</w:t>
      </w:r>
      <w:r w:rsidR="005B2A41">
        <w:t xml:space="preserve"> </w:t>
      </w:r>
      <w:r w:rsidRPr="00B02247">
        <w:t>the</w:t>
      </w:r>
      <w:r w:rsidR="005B2A41">
        <w:t xml:space="preserve"> </w:t>
      </w:r>
      <w:r w:rsidRPr="00B02247">
        <w:t>framework</w:t>
      </w:r>
      <w:r w:rsidR="005B2A41">
        <w:t xml:space="preserve"> </w:t>
      </w:r>
      <w:r w:rsidRPr="00B02247">
        <w:t>of</w:t>
      </w:r>
      <w:r w:rsidR="005B2A41">
        <w:t xml:space="preserve"> </w:t>
      </w:r>
      <w:r w:rsidRPr="00B02247">
        <w:t>the</w:t>
      </w:r>
      <w:r w:rsidR="005B2A41">
        <w:t xml:space="preserve"> </w:t>
      </w:r>
      <w:r w:rsidRPr="00B02247">
        <w:t>United</w:t>
      </w:r>
      <w:r w:rsidR="005B2A41">
        <w:t xml:space="preserve"> </w:t>
      </w:r>
      <w:r w:rsidRPr="00B02247">
        <w:t>Nations</w:t>
      </w:r>
      <w:r w:rsidR="005B2A41">
        <w:t xml:space="preserve"> </w:t>
      </w:r>
      <w:r w:rsidRPr="00B02247">
        <w:t>(see</w:t>
      </w:r>
      <w:r w:rsidR="005B2A41">
        <w:t xml:space="preserve"> </w:t>
      </w:r>
      <w:r w:rsidRPr="00B02247">
        <w:t>Appendix</w:t>
      </w:r>
      <w:r w:rsidR="005B2A41">
        <w:t xml:space="preserve"> </w:t>
      </w:r>
      <w:r w:rsidRPr="00B02247">
        <w:t>2</w:t>
      </w:r>
      <w:r w:rsidR="005B2A41">
        <w:t xml:space="preserve"> </w:t>
      </w:r>
      <w:r w:rsidRPr="00B02247">
        <w:t>of</w:t>
      </w:r>
      <w:r w:rsidR="005B2A41">
        <w:t xml:space="preserve"> </w:t>
      </w:r>
      <w:r w:rsidRPr="00B02247">
        <w:t>the</w:t>
      </w:r>
      <w:r w:rsidR="005B2A41">
        <w:t xml:space="preserve"> </w:t>
      </w:r>
      <w:r w:rsidRPr="00B02247">
        <w:t>Guidelines</w:t>
      </w:r>
      <w:r w:rsidR="005B2A41">
        <w:t xml:space="preserve"> </w:t>
      </w:r>
      <w:r w:rsidRPr="00B02247">
        <w:t>on</w:t>
      </w:r>
      <w:r w:rsidR="005B2A41">
        <w:t xml:space="preserve"> </w:t>
      </w:r>
      <w:r w:rsidRPr="00B02247">
        <w:t>the</w:t>
      </w:r>
      <w:r w:rsidR="005B2A41">
        <w:t xml:space="preserve"> </w:t>
      </w:r>
      <w:r w:rsidRPr="00B02247">
        <w:t>form</w:t>
      </w:r>
      <w:r w:rsidR="005B2A41">
        <w:t xml:space="preserve"> </w:t>
      </w:r>
      <w:r w:rsidRPr="00B02247">
        <w:t>and</w:t>
      </w:r>
      <w:r w:rsidR="005B2A41">
        <w:t xml:space="preserve"> </w:t>
      </w:r>
      <w:r w:rsidRPr="00B02247">
        <w:t>content</w:t>
      </w:r>
      <w:r w:rsidR="005B2A41">
        <w:t xml:space="preserve"> </w:t>
      </w:r>
      <w:r w:rsidRPr="00B02247">
        <w:t>of</w:t>
      </w:r>
      <w:r w:rsidR="005B2A41">
        <w:t xml:space="preserve"> </w:t>
      </w:r>
      <w:r w:rsidRPr="00B02247">
        <w:t>the</w:t>
      </w:r>
      <w:r w:rsidR="005B2A41">
        <w:t xml:space="preserve"> </w:t>
      </w:r>
      <w:r w:rsidRPr="00B02247">
        <w:t>core</w:t>
      </w:r>
      <w:r w:rsidR="005B2A41">
        <w:t xml:space="preserve"> </w:t>
      </w:r>
      <w:r w:rsidRPr="00B02247">
        <w:t>document),</w:t>
      </w:r>
      <w:r w:rsidR="005B2A41">
        <w:t xml:space="preserve"> </w:t>
      </w:r>
      <w:r w:rsidRPr="00B02247">
        <w:t>namely:</w:t>
      </w:r>
    </w:p>
    <w:p w:rsidR="00F233AB" w:rsidRPr="00B02247" w:rsidRDefault="00F233AB" w:rsidP="005B2A41">
      <w:pPr>
        <w:pStyle w:val="H23G"/>
      </w:pPr>
      <w:r w:rsidRPr="00B02247">
        <w:tab/>
        <w:t>1.</w:t>
      </w:r>
      <w:r w:rsidRPr="00B02247">
        <w:tab/>
        <w:t>Main</w:t>
      </w:r>
      <w:r w:rsidR="005B2A41">
        <w:t xml:space="preserve"> </w:t>
      </w:r>
      <w:r w:rsidRPr="00B02247">
        <w:t>international</w:t>
      </w:r>
      <w:r w:rsidR="005B2A41">
        <w:t xml:space="preserve"> </w:t>
      </w:r>
      <w:r w:rsidRPr="00B02247">
        <w:t>human</w:t>
      </w:r>
      <w:r w:rsidR="005B2A41">
        <w:t xml:space="preserve"> </w:t>
      </w:r>
      <w:r w:rsidRPr="00B02247">
        <w:t>rights</w:t>
      </w:r>
      <w:r w:rsidR="005B2A41">
        <w:t xml:space="preserve"> </w:t>
      </w:r>
      <w:r w:rsidRPr="00B02247">
        <w:t>conventions</w:t>
      </w:r>
      <w:r w:rsidR="005B2A41">
        <w:t xml:space="preserve"> </w:t>
      </w:r>
      <w:r w:rsidRPr="00B02247">
        <w:t>and</w:t>
      </w:r>
      <w:r w:rsidR="005B2A41">
        <w:t xml:space="preserve"> </w:t>
      </w:r>
      <w:r w:rsidRPr="00B02247">
        <w:t>protocols</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International</w:t>
      </w:r>
      <w:r w:rsidR="005B2A41">
        <w:t xml:space="preserve"> </w:t>
      </w:r>
      <w:r w:rsidR="00F233AB" w:rsidRPr="00B02247">
        <w:t>Covenant</w:t>
      </w:r>
      <w:r w:rsidR="005B2A41">
        <w:t xml:space="preserve"> </w:t>
      </w:r>
      <w:r w:rsidR="00F233AB" w:rsidRPr="00B02247">
        <w:t>on</w:t>
      </w:r>
      <w:r w:rsidR="005B2A41">
        <w:t xml:space="preserve"> </w:t>
      </w:r>
      <w:r w:rsidR="00F233AB" w:rsidRPr="00B02247">
        <w:t>Economic,</w:t>
      </w:r>
      <w:r w:rsidR="005B2A41">
        <w:t xml:space="preserve"> </w:t>
      </w:r>
      <w:r w:rsidR="00F233AB" w:rsidRPr="00B02247">
        <w:t>Social</w:t>
      </w:r>
      <w:r w:rsidR="005B2A41">
        <w:t xml:space="preserve"> </w:t>
      </w:r>
      <w:r w:rsidR="00F233AB" w:rsidRPr="00B02247">
        <w:t>and</w:t>
      </w:r>
      <w:r w:rsidR="005B2A41">
        <w:t xml:space="preserve"> </w:t>
      </w:r>
      <w:r w:rsidR="00F233AB" w:rsidRPr="00B02247">
        <w:t>Cultural</w:t>
      </w:r>
      <w:r w:rsidR="005B2A41">
        <w:t xml:space="preserve"> </w:t>
      </w:r>
      <w:r w:rsidR="00F233AB" w:rsidRPr="00B02247">
        <w:t>Rights</w:t>
      </w:r>
      <w:r w:rsidR="005B2A41">
        <w:t xml:space="preserve"> </w:t>
      </w:r>
      <w:r w:rsidR="00F233AB" w:rsidRPr="00B02247">
        <w:t>(ICESCR,</w:t>
      </w:r>
      <w:r w:rsidR="005B2A41">
        <w:t xml:space="preserve"> </w:t>
      </w:r>
      <w:r w:rsidR="00F233AB" w:rsidRPr="00B02247">
        <w:t>Law</w:t>
      </w:r>
      <w:r w:rsidR="005B2A41">
        <w:t xml:space="preserve"> </w:t>
      </w:r>
      <w:r w:rsidR="00F233AB" w:rsidRPr="00B02247">
        <w:t>1532/1985);</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International</w:t>
      </w:r>
      <w:r w:rsidR="005B2A41">
        <w:t xml:space="preserve"> </w:t>
      </w:r>
      <w:r w:rsidR="00F233AB" w:rsidRPr="00B02247">
        <w:t>Covenant</w:t>
      </w:r>
      <w:r w:rsidR="005B2A41">
        <w:t xml:space="preserve"> </w:t>
      </w:r>
      <w:r w:rsidR="00F233AB" w:rsidRPr="00B02247">
        <w:t>on</w:t>
      </w:r>
      <w:r w:rsidR="005B2A41">
        <w:t xml:space="preserve"> </w:t>
      </w:r>
      <w:r w:rsidR="00F233AB" w:rsidRPr="00B02247">
        <w:t>Civil</w:t>
      </w:r>
      <w:r w:rsidR="005B2A41">
        <w:t xml:space="preserve"> </w:t>
      </w:r>
      <w:r w:rsidR="00F233AB" w:rsidRPr="00B02247">
        <w:t>and</w:t>
      </w:r>
      <w:r w:rsidR="005B2A41">
        <w:t xml:space="preserve"> </w:t>
      </w:r>
      <w:r w:rsidR="00F233AB" w:rsidRPr="00B02247">
        <w:t>Political</w:t>
      </w:r>
      <w:r w:rsidR="005B2A41">
        <w:t xml:space="preserve"> </w:t>
      </w:r>
      <w:r w:rsidR="00F233AB" w:rsidRPr="00B02247">
        <w:t>Rights</w:t>
      </w:r>
      <w:r w:rsidR="005B2A41">
        <w:t xml:space="preserve"> </w:t>
      </w:r>
      <w:r w:rsidR="00F233AB" w:rsidRPr="00B02247">
        <w:t>(ICCPR,</w:t>
      </w:r>
      <w:r w:rsidR="005B2A41">
        <w:t xml:space="preserve"> </w:t>
      </w:r>
      <w:r w:rsidR="00F233AB" w:rsidRPr="00B02247">
        <w:t>Law</w:t>
      </w:r>
      <w:r w:rsidR="005B2A41">
        <w:t xml:space="preserve"> </w:t>
      </w:r>
      <w:r w:rsidR="00F233AB" w:rsidRPr="00B02247">
        <w:t>2462/1997);</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Optional</w:t>
      </w:r>
      <w:r w:rsidR="005B2A41">
        <w:t xml:space="preserve"> </w:t>
      </w:r>
      <w:r w:rsidR="00F233AB" w:rsidRPr="00B02247">
        <w:t>Protocol</w:t>
      </w:r>
      <w:r w:rsidR="005B2A41">
        <w:t xml:space="preserve"> </w:t>
      </w:r>
      <w:r w:rsidR="00F233AB" w:rsidRPr="00B02247">
        <w:t>to</w:t>
      </w:r>
      <w:r w:rsidR="005B2A41">
        <w:t xml:space="preserve"> </w:t>
      </w:r>
      <w:r w:rsidR="00F233AB" w:rsidRPr="00B02247">
        <w:t>the</w:t>
      </w:r>
      <w:r w:rsidR="005B2A41">
        <w:t xml:space="preserve"> </w:t>
      </w:r>
      <w:r w:rsidR="00F233AB" w:rsidRPr="00B02247">
        <w:t>ICCPR,</w:t>
      </w:r>
      <w:r w:rsidR="005B2A41">
        <w:t xml:space="preserve"> </w:t>
      </w:r>
      <w:r w:rsidR="00F233AB" w:rsidRPr="00B02247">
        <w:t>concerning</w:t>
      </w:r>
      <w:r w:rsidR="005B2A41">
        <w:t xml:space="preserve"> </w:t>
      </w:r>
      <w:r w:rsidR="00F233AB" w:rsidRPr="00B02247">
        <w:t>individual</w:t>
      </w:r>
      <w:r w:rsidR="005B2A41">
        <w:t xml:space="preserve"> </w:t>
      </w:r>
      <w:r w:rsidR="00F233AB" w:rsidRPr="00B02247">
        <w:t>communications</w:t>
      </w:r>
      <w:r w:rsidR="005B2A41">
        <w:t xml:space="preserve"> </w:t>
      </w:r>
      <w:r w:rsidR="00F233AB" w:rsidRPr="00B02247">
        <w:t>(Law</w:t>
      </w:r>
      <w:r w:rsidR="005B2A41">
        <w:t xml:space="preserve"> </w:t>
      </w:r>
      <w:r w:rsidR="00F233AB" w:rsidRPr="00B02247">
        <w:t>2462/1997);</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Second</w:t>
      </w:r>
      <w:r w:rsidR="005B2A41">
        <w:t xml:space="preserve"> </w:t>
      </w:r>
      <w:r w:rsidR="00F233AB" w:rsidRPr="00B02247">
        <w:t>Optional</w:t>
      </w:r>
      <w:r w:rsidR="005B2A41">
        <w:t xml:space="preserve"> </w:t>
      </w:r>
      <w:r w:rsidR="00F233AB" w:rsidRPr="00B02247">
        <w:t>Protocol</w:t>
      </w:r>
      <w:r w:rsidR="005B2A41">
        <w:t xml:space="preserve"> </w:t>
      </w:r>
      <w:r w:rsidR="00F233AB" w:rsidRPr="00B02247">
        <w:t>to</w:t>
      </w:r>
      <w:r w:rsidR="005B2A41">
        <w:t xml:space="preserve"> </w:t>
      </w:r>
      <w:r w:rsidR="00F233AB" w:rsidRPr="00B02247">
        <w:t>ICCPR,</w:t>
      </w:r>
      <w:r w:rsidR="005B2A41">
        <w:t xml:space="preserve"> </w:t>
      </w:r>
      <w:r w:rsidR="00F233AB" w:rsidRPr="00B02247">
        <w:t>concerning</w:t>
      </w:r>
      <w:r w:rsidR="005B2A41">
        <w:t xml:space="preserve"> </w:t>
      </w:r>
      <w:r w:rsidR="00F233AB" w:rsidRPr="00B02247">
        <w:t>abolition</w:t>
      </w:r>
      <w:r w:rsidR="005B2A41">
        <w:t xml:space="preserve"> </w:t>
      </w:r>
      <w:r w:rsidR="00F233AB" w:rsidRPr="00B02247">
        <w:t>of</w:t>
      </w:r>
      <w:r w:rsidR="005B2A41">
        <w:t xml:space="preserve"> </w:t>
      </w:r>
      <w:r w:rsidR="00F233AB" w:rsidRPr="00B02247">
        <w:t>the</w:t>
      </w:r>
      <w:r w:rsidR="005B2A41">
        <w:t xml:space="preserve"> </w:t>
      </w:r>
      <w:r w:rsidR="00F233AB" w:rsidRPr="00B02247">
        <w:t>death</w:t>
      </w:r>
      <w:r w:rsidR="005B2A41">
        <w:t xml:space="preserve"> </w:t>
      </w:r>
      <w:r w:rsidR="00F233AB" w:rsidRPr="00B02247">
        <w:t>penalty</w:t>
      </w:r>
      <w:r w:rsidR="005B2A41">
        <w:t xml:space="preserve"> </w:t>
      </w:r>
      <w:r w:rsidR="00F233AB" w:rsidRPr="00B02247">
        <w:t>(Law</w:t>
      </w:r>
      <w:r w:rsidR="005B2A41">
        <w:t xml:space="preserve"> </w:t>
      </w:r>
      <w:r w:rsidR="00F233AB" w:rsidRPr="00B02247">
        <w:t>2462/1997);</w:t>
      </w:r>
    </w:p>
    <w:p w:rsidR="00F233AB" w:rsidRPr="00B02247" w:rsidRDefault="00102678" w:rsidP="00102678">
      <w:pPr>
        <w:pStyle w:val="Bullet1G"/>
        <w:numPr>
          <w:ilvl w:val="0"/>
          <w:numId w:val="0"/>
        </w:numPr>
        <w:tabs>
          <w:tab w:val="left" w:pos="1701"/>
        </w:tabs>
        <w:ind w:left="1701" w:hanging="170"/>
      </w:pPr>
      <w:r w:rsidRPr="00B02247">
        <w:lastRenderedPageBreak/>
        <w:t>•</w:t>
      </w:r>
      <w:r w:rsidRPr="00B02247">
        <w:tab/>
      </w:r>
      <w:r w:rsidR="00F233AB" w:rsidRPr="00B02247">
        <w:t>International</w:t>
      </w:r>
      <w:r w:rsidR="005B2A41">
        <w:t xml:space="preserve"> </w:t>
      </w:r>
      <w:r w:rsidR="00F233AB" w:rsidRPr="00B02247">
        <w:t>Convention</w:t>
      </w:r>
      <w:r w:rsidR="005B2A41">
        <w:t xml:space="preserve"> </w:t>
      </w:r>
      <w:r w:rsidR="00F233AB" w:rsidRPr="00B02247">
        <w:t>on</w:t>
      </w:r>
      <w:r w:rsidR="005B2A41">
        <w:t xml:space="preserve"> </w:t>
      </w:r>
      <w:r w:rsidR="00F233AB" w:rsidRPr="00B02247">
        <w:t>the</w:t>
      </w:r>
      <w:r w:rsidR="005B2A41">
        <w:t xml:space="preserve"> </w:t>
      </w:r>
      <w:r w:rsidR="00F233AB" w:rsidRPr="00B02247">
        <w:t>Elimination</w:t>
      </w:r>
      <w:r w:rsidR="005B2A41">
        <w:t xml:space="preserve"> </w:t>
      </w:r>
      <w:r w:rsidR="00F233AB" w:rsidRPr="00B02247">
        <w:t>of</w:t>
      </w:r>
      <w:r w:rsidR="005B2A41">
        <w:t xml:space="preserve"> </w:t>
      </w:r>
      <w:r w:rsidR="00F233AB" w:rsidRPr="00B02247">
        <w:t>All</w:t>
      </w:r>
      <w:r w:rsidR="005B2A41">
        <w:t xml:space="preserve"> </w:t>
      </w:r>
      <w:r w:rsidR="00F233AB" w:rsidRPr="00B02247">
        <w:t>Forms</w:t>
      </w:r>
      <w:r w:rsidR="005B2A41">
        <w:t xml:space="preserve"> </w:t>
      </w:r>
      <w:r w:rsidR="00F233AB" w:rsidRPr="00B02247">
        <w:t>of</w:t>
      </w:r>
      <w:r w:rsidR="005B2A41">
        <w:t xml:space="preserve"> </w:t>
      </w:r>
      <w:r w:rsidR="00F233AB" w:rsidRPr="00B02247">
        <w:t>Racial</w:t>
      </w:r>
      <w:r w:rsidR="005B2A41">
        <w:t xml:space="preserve"> </w:t>
      </w:r>
      <w:r w:rsidR="00F233AB" w:rsidRPr="00B02247">
        <w:t>Discrimination</w:t>
      </w:r>
      <w:r w:rsidR="005B2A41">
        <w:t xml:space="preserve"> </w:t>
      </w:r>
      <w:r w:rsidR="00F233AB" w:rsidRPr="00B02247">
        <w:t>(ICERD,</w:t>
      </w:r>
      <w:r w:rsidR="005B2A41">
        <w:t xml:space="preserve"> </w:t>
      </w:r>
      <w:r w:rsidR="00F233AB" w:rsidRPr="00B02247">
        <w:t>legislative</w:t>
      </w:r>
      <w:r w:rsidR="005B2A41">
        <w:t xml:space="preserve"> </w:t>
      </w:r>
      <w:r w:rsidR="00F233AB" w:rsidRPr="00B02247">
        <w:t>decree</w:t>
      </w:r>
      <w:r w:rsidR="005B2A41">
        <w:t xml:space="preserve"> </w:t>
      </w:r>
      <w:r w:rsidR="00F233AB" w:rsidRPr="00B02247">
        <w:t>494/1970);</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Convention</w:t>
      </w:r>
      <w:r w:rsidR="005B2A41">
        <w:t xml:space="preserve"> </w:t>
      </w:r>
      <w:r w:rsidR="00F233AB" w:rsidRPr="00B02247">
        <w:t>on</w:t>
      </w:r>
      <w:r w:rsidR="005B2A41">
        <w:t xml:space="preserve"> </w:t>
      </w:r>
      <w:r w:rsidR="00F233AB" w:rsidRPr="00B02247">
        <w:t>the</w:t>
      </w:r>
      <w:r w:rsidR="005B2A41">
        <w:t xml:space="preserve"> </w:t>
      </w:r>
      <w:r w:rsidR="00F233AB" w:rsidRPr="00B02247">
        <w:t>Elimination</w:t>
      </w:r>
      <w:r w:rsidR="005B2A41">
        <w:t xml:space="preserve"> </w:t>
      </w:r>
      <w:r w:rsidR="00F233AB" w:rsidRPr="00B02247">
        <w:t>of</w:t>
      </w:r>
      <w:r w:rsidR="005B2A41">
        <w:t xml:space="preserve"> </w:t>
      </w:r>
      <w:r w:rsidR="00F233AB" w:rsidRPr="00B02247">
        <w:t>All</w:t>
      </w:r>
      <w:r w:rsidR="005B2A41">
        <w:t xml:space="preserve"> </w:t>
      </w:r>
      <w:r w:rsidR="00F233AB" w:rsidRPr="00B02247">
        <w:t>Forms</w:t>
      </w:r>
      <w:r w:rsidR="005B2A41">
        <w:t xml:space="preserve"> </w:t>
      </w:r>
      <w:r w:rsidR="00F233AB" w:rsidRPr="00B02247">
        <w:t>of</w:t>
      </w:r>
      <w:r w:rsidR="005B2A41">
        <w:t xml:space="preserve"> </w:t>
      </w:r>
      <w:r w:rsidR="00F233AB" w:rsidRPr="00B02247">
        <w:t>Discrimination</w:t>
      </w:r>
      <w:r w:rsidR="005B2A41">
        <w:t xml:space="preserve"> </w:t>
      </w:r>
      <w:r w:rsidR="00F233AB" w:rsidRPr="00B02247">
        <w:t>against</w:t>
      </w:r>
      <w:r w:rsidR="005B2A41">
        <w:t xml:space="preserve"> </w:t>
      </w:r>
      <w:r w:rsidR="00F233AB" w:rsidRPr="00B02247">
        <w:t>Women</w:t>
      </w:r>
      <w:r w:rsidR="005B2A41">
        <w:t xml:space="preserve"> </w:t>
      </w:r>
      <w:r w:rsidR="00F233AB" w:rsidRPr="00B02247">
        <w:t>(CEDAW,</w:t>
      </w:r>
      <w:r w:rsidR="005B2A41">
        <w:t xml:space="preserve"> </w:t>
      </w:r>
      <w:r w:rsidR="00F233AB" w:rsidRPr="00B02247">
        <w:t>Law</w:t>
      </w:r>
      <w:r w:rsidR="005B2A41">
        <w:t xml:space="preserve"> </w:t>
      </w:r>
      <w:r w:rsidR="00F233AB" w:rsidRPr="00B02247">
        <w:t>1342/1983);</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Optional</w:t>
      </w:r>
      <w:r w:rsidR="005B2A41">
        <w:t xml:space="preserve"> </w:t>
      </w:r>
      <w:r w:rsidR="00F233AB" w:rsidRPr="00B02247">
        <w:t>Protocol</w:t>
      </w:r>
      <w:r w:rsidR="005B2A41">
        <w:t xml:space="preserve"> </w:t>
      </w:r>
      <w:r w:rsidR="00F233AB" w:rsidRPr="00B02247">
        <w:t>to</w:t>
      </w:r>
      <w:r w:rsidR="005B2A41">
        <w:t xml:space="preserve"> </w:t>
      </w:r>
      <w:r w:rsidR="00F233AB" w:rsidRPr="00B02247">
        <w:t>the</w:t>
      </w:r>
      <w:r w:rsidR="005B2A41">
        <w:t xml:space="preserve"> </w:t>
      </w:r>
      <w:r w:rsidR="00F233AB" w:rsidRPr="00B02247">
        <w:t>Convention</w:t>
      </w:r>
      <w:r w:rsidR="005B2A41">
        <w:t xml:space="preserve"> </w:t>
      </w:r>
      <w:r w:rsidR="00F233AB" w:rsidRPr="00B02247">
        <w:t>on</w:t>
      </w:r>
      <w:r w:rsidR="005B2A41">
        <w:t xml:space="preserve"> </w:t>
      </w:r>
      <w:r w:rsidR="00F233AB" w:rsidRPr="00B02247">
        <w:t>the</w:t>
      </w:r>
      <w:r w:rsidR="005B2A41">
        <w:t xml:space="preserve"> </w:t>
      </w:r>
      <w:r w:rsidR="00F233AB" w:rsidRPr="00B02247">
        <w:t>Elimination</w:t>
      </w:r>
      <w:r w:rsidR="005B2A41">
        <w:t xml:space="preserve"> </w:t>
      </w:r>
      <w:r w:rsidR="00F233AB" w:rsidRPr="00B02247">
        <w:t>of</w:t>
      </w:r>
      <w:r w:rsidR="005B2A41">
        <w:t xml:space="preserve"> </w:t>
      </w:r>
      <w:r w:rsidR="00F233AB" w:rsidRPr="00B02247">
        <w:t>All</w:t>
      </w:r>
      <w:r w:rsidR="005B2A41">
        <w:t xml:space="preserve"> </w:t>
      </w:r>
      <w:r w:rsidR="00F233AB" w:rsidRPr="00B02247">
        <w:t>Forms</w:t>
      </w:r>
      <w:r w:rsidR="005B2A41">
        <w:t xml:space="preserve"> </w:t>
      </w:r>
      <w:r w:rsidR="00F233AB" w:rsidRPr="00B02247">
        <w:t>of</w:t>
      </w:r>
      <w:r w:rsidR="005B2A41">
        <w:t xml:space="preserve"> </w:t>
      </w:r>
      <w:r w:rsidR="00F233AB" w:rsidRPr="00B02247">
        <w:t>Discrimination</w:t>
      </w:r>
      <w:r w:rsidR="005B2A41">
        <w:t xml:space="preserve"> </w:t>
      </w:r>
      <w:r w:rsidR="00F233AB" w:rsidRPr="00B02247">
        <w:t>against</w:t>
      </w:r>
      <w:r w:rsidR="005B2A41">
        <w:t xml:space="preserve"> </w:t>
      </w:r>
      <w:r w:rsidR="00F233AB" w:rsidRPr="00B02247">
        <w:t>Women</w:t>
      </w:r>
      <w:r w:rsidR="005B2A41">
        <w:t xml:space="preserve"> </w:t>
      </w:r>
      <w:r w:rsidR="00F233AB" w:rsidRPr="00B02247">
        <w:t>concerning</w:t>
      </w:r>
      <w:r w:rsidR="005B2A41">
        <w:t xml:space="preserve"> </w:t>
      </w:r>
      <w:r w:rsidR="00F233AB" w:rsidRPr="00B02247">
        <w:t>individual</w:t>
      </w:r>
      <w:r w:rsidR="005B2A41">
        <w:t xml:space="preserve"> </w:t>
      </w:r>
      <w:r w:rsidR="00F233AB" w:rsidRPr="00B02247">
        <w:t>complaints</w:t>
      </w:r>
      <w:r w:rsidR="005B2A41">
        <w:t xml:space="preserve"> </w:t>
      </w:r>
      <w:r w:rsidR="00F233AB" w:rsidRPr="00B02247">
        <w:t>and</w:t>
      </w:r>
      <w:r w:rsidR="005B2A41">
        <w:t xml:space="preserve"> </w:t>
      </w:r>
      <w:r w:rsidR="00F233AB" w:rsidRPr="00B02247">
        <w:t>inquiry</w:t>
      </w:r>
      <w:r w:rsidR="005B2A41">
        <w:t xml:space="preserve"> </w:t>
      </w:r>
      <w:r w:rsidR="00F233AB" w:rsidRPr="00B02247">
        <w:t>procedures</w:t>
      </w:r>
      <w:r w:rsidR="005B2A41">
        <w:t xml:space="preserve"> </w:t>
      </w:r>
      <w:r w:rsidR="00F233AB" w:rsidRPr="00B02247">
        <w:t>(Law</w:t>
      </w:r>
      <w:r w:rsidR="005B2A41">
        <w:t xml:space="preserve"> </w:t>
      </w:r>
      <w:r w:rsidR="00F233AB" w:rsidRPr="00B02247">
        <w:t>2952/2001);</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Convention</w:t>
      </w:r>
      <w:r w:rsidR="005B2A41">
        <w:t xml:space="preserve"> </w:t>
      </w:r>
      <w:r w:rsidR="00F233AB" w:rsidRPr="00B02247">
        <w:t>against</w:t>
      </w:r>
      <w:r w:rsidR="005B2A41">
        <w:t xml:space="preserve"> </w:t>
      </w:r>
      <w:r w:rsidR="00F233AB" w:rsidRPr="00B02247">
        <w:t>Torture</w:t>
      </w:r>
      <w:r w:rsidR="005B2A41">
        <w:t xml:space="preserve"> </w:t>
      </w:r>
      <w:r w:rsidR="00F233AB" w:rsidRPr="00B02247">
        <w:t>and</w:t>
      </w:r>
      <w:r w:rsidR="005B2A41">
        <w:t xml:space="preserve"> </w:t>
      </w:r>
      <w:r w:rsidR="00F233AB" w:rsidRPr="00B02247">
        <w:t>Other</w:t>
      </w:r>
      <w:r w:rsidR="005B2A41">
        <w:t xml:space="preserve"> </w:t>
      </w:r>
      <w:r w:rsidR="00F233AB" w:rsidRPr="00B02247">
        <w:t>Cruel,</w:t>
      </w:r>
      <w:r w:rsidR="005B2A41">
        <w:t xml:space="preserve"> </w:t>
      </w:r>
      <w:r w:rsidR="00F233AB" w:rsidRPr="00B02247">
        <w:t>Inhuman</w:t>
      </w:r>
      <w:r w:rsidR="005B2A41">
        <w:t xml:space="preserve"> </w:t>
      </w:r>
      <w:r w:rsidR="00F233AB" w:rsidRPr="00B02247">
        <w:t>or</w:t>
      </w:r>
      <w:r w:rsidR="005B2A41">
        <w:t xml:space="preserve"> </w:t>
      </w:r>
      <w:r w:rsidR="00F233AB" w:rsidRPr="00B02247">
        <w:t>Degrading</w:t>
      </w:r>
      <w:r w:rsidR="005B2A41">
        <w:t xml:space="preserve"> </w:t>
      </w:r>
      <w:r w:rsidR="00F233AB" w:rsidRPr="00B02247">
        <w:t>Treatment</w:t>
      </w:r>
      <w:r w:rsidR="005B2A41">
        <w:t xml:space="preserve"> </w:t>
      </w:r>
      <w:r w:rsidR="00F233AB" w:rsidRPr="00B02247">
        <w:t>or</w:t>
      </w:r>
      <w:r w:rsidR="005B2A41">
        <w:t xml:space="preserve"> </w:t>
      </w:r>
      <w:r w:rsidR="00F233AB" w:rsidRPr="00B02247">
        <w:t>Punishment</w:t>
      </w:r>
      <w:r w:rsidR="005B2A41">
        <w:t xml:space="preserve"> </w:t>
      </w:r>
      <w:r w:rsidR="00F233AB" w:rsidRPr="00B02247">
        <w:t>(CAT,</w:t>
      </w:r>
      <w:r w:rsidR="005B2A41">
        <w:t xml:space="preserve"> </w:t>
      </w:r>
      <w:r w:rsidR="00F233AB" w:rsidRPr="00B02247">
        <w:t>Law</w:t>
      </w:r>
      <w:r w:rsidR="005B2A41">
        <w:t xml:space="preserve"> </w:t>
      </w:r>
      <w:r w:rsidR="00F233AB" w:rsidRPr="00B02247">
        <w:t>1782/1988);</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Optional</w:t>
      </w:r>
      <w:r w:rsidR="005B2A41">
        <w:t xml:space="preserve"> </w:t>
      </w:r>
      <w:r w:rsidR="00F233AB" w:rsidRPr="00B02247">
        <w:t>Protocol</w:t>
      </w:r>
      <w:r w:rsidR="005B2A41">
        <w:t xml:space="preserve"> </w:t>
      </w:r>
      <w:r w:rsidR="00F233AB" w:rsidRPr="00B02247">
        <w:t>to</w:t>
      </w:r>
      <w:r w:rsidR="005B2A41">
        <w:t xml:space="preserve"> </w:t>
      </w:r>
      <w:r w:rsidR="00F233AB" w:rsidRPr="00B02247">
        <w:t>CAT,</w:t>
      </w:r>
      <w:r w:rsidR="005B2A41">
        <w:t xml:space="preserve"> </w:t>
      </w:r>
      <w:r w:rsidR="00F233AB" w:rsidRPr="00B02247">
        <w:t>concerning</w:t>
      </w:r>
      <w:r w:rsidR="005B2A41">
        <w:t xml:space="preserve"> </w:t>
      </w:r>
      <w:r w:rsidR="00F233AB" w:rsidRPr="00B02247">
        <w:t>regular</w:t>
      </w:r>
      <w:r w:rsidR="005B2A41">
        <w:t xml:space="preserve"> </w:t>
      </w:r>
      <w:r w:rsidR="00F233AB" w:rsidRPr="00B02247">
        <w:t>visits</w:t>
      </w:r>
      <w:r w:rsidR="005B2A41">
        <w:t xml:space="preserve"> </w:t>
      </w:r>
      <w:r w:rsidR="00F233AB" w:rsidRPr="00B02247">
        <w:t>by</w:t>
      </w:r>
      <w:r w:rsidR="005B2A41">
        <w:t xml:space="preserve"> </w:t>
      </w:r>
      <w:r w:rsidR="00F233AB" w:rsidRPr="00B02247">
        <w:t>national</w:t>
      </w:r>
      <w:r w:rsidR="005B2A41">
        <w:t xml:space="preserve"> </w:t>
      </w:r>
      <w:r w:rsidR="00F233AB" w:rsidRPr="00B02247">
        <w:t>and</w:t>
      </w:r>
      <w:r w:rsidR="005B2A41">
        <w:t xml:space="preserve"> </w:t>
      </w:r>
      <w:r w:rsidR="00F233AB" w:rsidRPr="00B02247">
        <w:t>international</w:t>
      </w:r>
      <w:r w:rsidR="005B2A41">
        <w:t xml:space="preserve"> </w:t>
      </w:r>
      <w:r w:rsidR="00F233AB" w:rsidRPr="00B02247">
        <w:t>institutions</w:t>
      </w:r>
      <w:r w:rsidR="005B2A41">
        <w:t xml:space="preserve"> </w:t>
      </w:r>
      <w:r w:rsidR="00F233AB" w:rsidRPr="00B02247">
        <w:t>(Law</w:t>
      </w:r>
      <w:r w:rsidR="005B2A41">
        <w:t xml:space="preserve"> </w:t>
      </w:r>
      <w:r w:rsidR="00F233AB" w:rsidRPr="00B02247">
        <w:t>4228/2014);</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Convention</w:t>
      </w:r>
      <w:r w:rsidR="005B2A41">
        <w:t xml:space="preserve"> </w:t>
      </w:r>
      <w:r w:rsidR="00F233AB" w:rsidRPr="00B02247">
        <w:t>on</w:t>
      </w:r>
      <w:r w:rsidR="005B2A41">
        <w:t xml:space="preserve"> </w:t>
      </w:r>
      <w:r w:rsidR="00F233AB" w:rsidRPr="00B02247">
        <w:t>the</w:t>
      </w:r>
      <w:r w:rsidR="005B2A41">
        <w:t xml:space="preserve"> </w:t>
      </w:r>
      <w:r w:rsidR="00F233AB" w:rsidRPr="00B02247">
        <w:t>Rights</w:t>
      </w:r>
      <w:r w:rsidR="005B2A41">
        <w:t xml:space="preserve"> </w:t>
      </w:r>
      <w:r w:rsidR="00F233AB" w:rsidRPr="00B02247">
        <w:t>of</w:t>
      </w:r>
      <w:r w:rsidR="005B2A41">
        <w:t xml:space="preserve"> </w:t>
      </w:r>
      <w:r w:rsidR="00F233AB" w:rsidRPr="00B02247">
        <w:t>the</w:t>
      </w:r>
      <w:r w:rsidR="005B2A41">
        <w:t xml:space="preserve"> </w:t>
      </w:r>
      <w:r w:rsidR="00F233AB" w:rsidRPr="00B02247">
        <w:t>Child</w:t>
      </w:r>
      <w:r w:rsidR="005B2A41">
        <w:t xml:space="preserve"> </w:t>
      </w:r>
      <w:r w:rsidR="00F233AB" w:rsidRPr="00B02247">
        <w:t>(Law</w:t>
      </w:r>
      <w:r w:rsidR="005B2A41">
        <w:t xml:space="preserve"> </w:t>
      </w:r>
      <w:r w:rsidR="00F233AB" w:rsidRPr="00B02247">
        <w:t>2101/1992);</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Optional</w:t>
      </w:r>
      <w:r w:rsidR="005B2A41">
        <w:t xml:space="preserve"> </w:t>
      </w:r>
      <w:r w:rsidR="00F233AB" w:rsidRPr="00B02247">
        <w:t>Protocol</w:t>
      </w:r>
      <w:r w:rsidR="005B2A41">
        <w:t xml:space="preserve"> </w:t>
      </w:r>
      <w:r w:rsidR="00F233AB" w:rsidRPr="00B02247">
        <w:t>to</w:t>
      </w:r>
      <w:r w:rsidR="005B2A41">
        <w:t xml:space="preserve"> </w:t>
      </w:r>
      <w:r w:rsidR="00F233AB" w:rsidRPr="00B02247">
        <w:t>the</w:t>
      </w:r>
      <w:r w:rsidR="005B2A41">
        <w:t xml:space="preserve"> </w:t>
      </w:r>
      <w:r w:rsidR="00F233AB" w:rsidRPr="00B02247">
        <w:t>CRC</w:t>
      </w:r>
      <w:r w:rsidR="005B2A41">
        <w:t xml:space="preserve"> </w:t>
      </w:r>
      <w:r w:rsidR="00F233AB" w:rsidRPr="00B02247">
        <w:t>on</w:t>
      </w:r>
      <w:r w:rsidR="005B2A41">
        <w:t xml:space="preserve"> </w:t>
      </w:r>
      <w:r w:rsidR="00F233AB" w:rsidRPr="00B02247">
        <w:t>the</w:t>
      </w:r>
      <w:r w:rsidR="005B2A41">
        <w:t xml:space="preserve"> </w:t>
      </w:r>
      <w:r w:rsidR="00F233AB" w:rsidRPr="00B02247">
        <w:t>involvement</w:t>
      </w:r>
      <w:r w:rsidR="005B2A41">
        <w:t xml:space="preserve"> </w:t>
      </w:r>
      <w:r w:rsidR="00F233AB" w:rsidRPr="00B02247">
        <w:t>of</w:t>
      </w:r>
      <w:r w:rsidR="005B2A41">
        <w:t xml:space="preserve"> </w:t>
      </w:r>
      <w:r w:rsidR="00F233AB" w:rsidRPr="00B02247">
        <w:t>children</w:t>
      </w:r>
      <w:r w:rsidR="005B2A41">
        <w:t xml:space="preserve"> </w:t>
      </w:r>
      <w:r w:rsidR="00F233AB" w:rsidRPr="00B02247">
        <w:t>in</w:t>
      </w:r>
      <w:r w:rsidR="005B2A41">
        <w:t xml:space="preserve"> </w:t>
      </w:r>
      <w:r w:rsidR="00F233AB" w:rsidRPr="00B02247">
        <w:t>armed</w:t>
      </w:r>
      <w:r w:rsidR="005B2A41">
        <w:t xml:space="preserve"> </w:t>
      </w:r>
      <w:r w:rsidR="00F233AB" w:rsidRPr="00B02247">
        <w:t>conflict</w:t>
      </w:r>
      <w:r w:rsidR="005B2A41">
        <w:t xml:space="preserve"> </w:t>
      </w:r>
      <w:r w:rsidR="00F233AB" w:rsidRPr="00B02247">
        <w:t>(Law</w:t>
      </w:r>
      <w:r w:rsidR="005B2A41">
        <w:t xml:space="preserve"> </w:t>
      </w:r>
      <w:r w:rsidR="00F233AB" w:rsidRPr="00B02247">
        <w:t>3080/2002);</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Optional</w:t>
      </w:r>
      <w:r w:rsidR="005B2A41">
        <w:t xml:space="preserve"> </w:t>
      </w:r>
      <w:r w:rsidR="00F233AB" w:rsidRPr="00B02247">
        <w:t>Protocol</w:t>
      </w:r>
      <w:r w:rsidR="005B2A41">
        <w:t xml:space="preserve"> </w:t>
      </w:r>
      <w:r w:rsidR="00F233AB" w:rsidRPr="00B02247">
        <w:t>to</w:t>
      </w:r>
      <w:r w:rsidR="005B2A41">
        <w:t xml:space="preserve"> </w:t>
      </w:r>
      <w:r w:rsidR="00F233AB" w:rsidRPr="00B02247">
        <w:t>the</w:t>
      </w:r>
      <w:r w:rsidR="005B2A41">
        <w:t xml:space="preserve"> </w:t>
      </w:r>
      <w:r w:rsidR="00F233AB" w:rsidRPr="00B02247">
        <w:t>CRC</w:t>
      </w:r>
      <w:r w:rsidR="005B2A41">
        <w:t xml:space="preserve"> </w:t>
      </w:r>
      <w:r w:rsidR="00F233AB" w:rsidRPr="00B02247">
        <w:t>on</w:t>
      </w:r>
      <w:r w:rsidR="005B2A41">
        <w:t xml:space="preserve"> </w:t>
      </w:r>
      <w:r w:rsidR="00F233AB" w:rsidRPr="00B02247">
        <w:t>the</w:t>
      </w:r>
      <w:r w:rsidR="005B2A41">
        <w:t xml:space="preserve"> </w:t>
      </w:r>
      <w:r w:rsidR="00F233AB" w:rsidRPr="00B02247">
        <w:t>sale</w:t>
      </w:r>
      <w:r w:rsidR="005B2A41">
        <w:t xml:space="preserve"> </w:t>
      </w:r>
      <w:r w:rsidR="00F233AB" w:rsidRPr="00B02247">
        <w:t>of</w:t>
      </w:r>
      <w:r w:rsidR="005B2A41">
        <w:t xml:space="preserve"> </w:t>
      </w:r>
      <w:r w:rsidR="00F233AB" w:rsidRPr="00B02247">
        <w:t>children,</w:t>
      </w:r>
      <w:r w:rsidR="005B2A41">
        <w:t xml:space="preserve"> </w:t>
      </w:r>
      <w:r w:rsidR="00F233AB" w:rsidRPr="00B02247">
        <w:t>child</w:t>
      </w:r>
      <w:r w:rsidR="005B2A41">
        <w:t xml:space="preserve"> </w:t>
      </w:r>
      <w:r w:rsidR="00F233AB" w:rsidRPr="00B02247">
        <w:t>prostitution,</w:t>
      </w:r>
      <w:r w:rsidR="005B2A41">
        <w:t xml:space="preserve"> </w:t>
      </w:r>
      <w:r w:rsidR="00F233AB" w:rsidRPr="00B02247">
        <w:t>and</w:t>
      </w:r>
      <w:r w:rsidR="005B2A41">
        <w:t xml:space="preserve"> </w:t>
      </w:r>
      <w:r w:rsidR="00F233AB" w:rsidRPr="00B02247">
        <w:t>child</w:t>
      </w:r>
      <w:r w:rsidR="005B2A41">
        <w:t xml:space="preserve"> </w:t>
      </w:r>
      <w:r w:rsidR="00F233AB" w:rsidRPr="00B02247">
        <w:t>pornography</w:t>
      </w:r>
      <w:r w:rsidR="005B2A41">
        <w:t xml:space="preserve"> </w:t>
      </w:r>
      <w:r w:rsidR="00F233AB" w:rsidRPr="00B02247">
        <w:t>(Law</w:t>
      </w:r>
      <w:r w:rsidR="005B2A41">
        <w:t xml:space="preserve"> </w:t>
      </w:r>
      <w:r w:rsidR="00F233AB" w:rsidRPr="00B02247">
        <w:t>3625/2007);</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Convention</w:t>
      </w:r>
      <w:r w:rsidR="005B2A41">
        <w:t xml:space="preserve"> </w:t>
      </w:r>
      <w:r w:rsidR="00F233AB" w:rsidRPr="00B02247">
        <w:t>on</w:t>
      </w:r>
      <w:r w:rsidR="005B2A41">
        <w:t xml:space="preserve"> </w:t>
      </w:r>
      <w:r w:rsidR="00F233AB" w:rsidRPr="00B02247">
        <w:t>the</w:t>
      </w:r>
      <w:r w:rsidR="005B2A41">
        <w:t xml:space="preserve"> </w:t>
      </w:r>
      <w:r w:rsidR="00F233AB" w:rsidRPr="00B02247">
        <w:t>Rights</w:t>
      </w:r>
      <w:r w:rsidR="005B2A41">
        <w:t xml:space="preserve"> </w:t>
      </w:r>
      <w:r w:rsidR="00F233AB" w:rsidRPr="00B02247">
        <w:t>of</w:t>
      </w:r>
      <w:r w:rsidR="005B2A41">
        <w:t xml:space="preserve"> </w:t>
      </w:r>
      <w:r w:rsidR="00F233AB" w:rsidRPr="00B02247">
        <w:t>Persons</w:t>
      </w:r>
      <w:r w:rsidR="005B2A41">
        <w:t xml:space="preserve"> </w:t>
      </w:r>
      <w:r w:rsidR="00F233AB" w:rsidRPr="00B02247">
        <w:t>with</w:t>
      </w:r>
      <w:r w:rsidR="005B2A41">
        <w:t xml:space="preserve"> </w:t>
      </w:r>
      <w:r w:rsidR="00F233AB" w:rsidRPr="00B02247">
        <w:t>Disabilities</w:t>
      </w:r>
      <w:r w:rsidR="005B2A41">
        <w:t xml:space="preserve"> </w:t>
      </w:r>
      <w:r w:rsidR="00F233AB" w:rsidRPr="00B02247">
        <w:t>(Law</w:t>
      </w:r>
      <w:r w:rsidR="005B2A41">
        <w:t xml:space="preserve"> </w:t>
      </w:r>
      <w:r w:rsidR="00F233AB" w:rsidRPr="00B02247">
        <w:t>4074/2012);</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Optional</w:t>
      </w:r>
      <w:r w:rsidR="005B2A41">
        <w:t xml:space="preserve"> </w:t>
      </w:r>
      <w:r w:rsidR="00F233AB" w:rsidRPr="00B02247">
        <w:t>protocol</w:t>
      </w:r>
      <w:r w:rsidR="005B2A41">
        <w:t xml:space="preserve"> </w:t>
      </w:r>
      <w:r w:rsidR="00F233AB" w:rsidRPr="00B02247">
        <w:t>to</w:t>
      </w:r>
      <w:r w:rsidR="005B2A41">
        <w:t xml:space="preserve"> </w:t>
      </w:r>
      <w:r w:rsidR="00F233AB" w:rsidRPr="00B02247">
        <w:t>the</w:t>
      </w:r>
      <w:r w:rsidR="005B2A41">
        <w:t xml:space="preserve"> </w:t>
      </w:r>
      <w:r w:rsidR="00F233AB" w:rsidRPr="00B02247">
        <w:t>Convention</w:t>
      </w:r>
      <w:r w:rsidR="005B2A41">
        <w:t xml:space="preserve"> </w:t>
      </w:r>
      <w:r w:rsidR="00F233AB" w:rsidRPr="00B02247">
        <w:t>on</w:t>
      </w:r>
      <w:r w:rsidR="005B2A41">
        <w:t xml:space="preserve"> </w:t>
      </w:r>
      <w:r w:rsidR="00F233AB" w:rsidRPr="00B02247">
        <w:t>the</w:t>
      </w:r>
      <w:r w:rsidR="005B2A41">
        <w:t xml:space="preserve"> </w:t>
      </w:r>
      <w:r w:rsidR="00F233AB" w:rsidRPr="00B02247">
        <w:t>Rights</w:t>
      </w:r>
      <w:r w:rsidR="005B2A41">
        <w:t xml:space="preserve"> </w:t>
      </w:r>
      <w:r w:rsidR="00F233AB" w:rsidRPr="00B02247">
        <w:t>of</w:t>
      </w:r>
      <w:r w:rsidR="005B2A41">
        <w:t xml:space="preserve"> </w:t>
      </w:r>
      <w:r w:rsidR="00F233AB" w:rsidRPr="00B02247">
        <w:t>Persons</w:t>
      </w:r>
      <w:r w:rsidR="005B2A41">
        <w:t xml:space="preserve"> </w:t>
      </w:r>
      <w:r w:rsidR="00F233AB" w:rsidRPr="00B02247">
        <w:t>with</w:t>
      </w:r>
      <w:r w:rsidR="005B2A41">
        <w:t xml:space="preserve"> </w:t>
      </w:r>
      <w:r w:rsidR="00F233AB" w:rsidRPr="00B02247">
        <w:t>Disabilities</w:t>
      </w:r>
      <w:r w:rsidR="005B2A41">
        <w:t xml:space="preserve"> </w:t>
      </w:r>
      <w:r w:rsidR="00F233AB" w:rsidRPr="00B02247">
        <w:t>(Law</w:t>
      </w:r>
      <w:r w:rsidR="005B2A41">
        <w:t xml:space="preserve"> </w:t>
      </w:r>
      <w:r w:rsidR="00F233AB" w:rsidRPr="00B02247">
        <w:t>4074/2012);</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Convention</w:t>
      </w:r>
      <w:r w:rsidR="005B2A41">
        <w:t xml:space="preserve"> </w:t>
      </w:r>
      <w:r w:rsidR="00F233AB" w:rsidRPr="00B02247">
        <w:t>for</w:t>
      </w:r>
      <w:r w:rsidR="005B2A41">
        <w:t xml:space="preserve"> </w:t>
      </w:r>
      <w:r w:rsidR="00F233AB" w:rsidRPr="00B02247">
        <w:t>the</w:t>
      </w:r>
      <w:r w:rsidR="005B2A41">
        <w:t xml:space="preserve"> </w:t>
      </w:r>
      <w:r w:rsidR="00F233AB" w:rsidRPr="00B02247">
        <w:t>Protection</w:t>
      </w:r>
      <w:r w:rsidR="005B2A41">
        <w:t xml:space="preserve"> </w:t>
      </w:r>
      <w:r w:rsidR="00F233AB" w:rsidRPr="00B02247">
        <w:t>of</w:t>
      </w:r>
      <w:r w:rsidR="005B2A41">
        <w:t xml:space="preserve"> </w:t>
      </w:r>
      <w:r w:rsidR="00F233AB" w:rsidRPr="00B02247">
        <w:t>All</w:t>
      </w:r>
      <w:r w:rsidR="005B2A41">
        <w:t xml:space="preserve"> </w:t>
      </w:r>
      <w:r w:rsidR="00F233AB" w:rsidRPr="00B02247">
        <w:t>Persons</w:t>
      </w:r>
      <w:r w:rsidR="005B2A41">
        <w:t xml:space="preserve"> </w:t>
      </w:r>
      <w:r w:rsidR="00F233AB" w:rsidRPr="00B02247">
        <w:t>from</w:t>
      </w:r>
      <w:r w:rsidR="005B2A41">
        <w:t xml:space="preserve"> </w:t>
      </w:r>
      <w:r w:rsidR="00F233AB" w:rsidRPr="00B02247">
        <w:t>Enforced</w:t>
      </w:r>
      <w:r w:rsidR="005B2A41">
        <w:t xml:space="preserve"> </w:t>
      </w:r>
      <w:r w:rsidR="00F233AB" w:rsidRPr="00B02247">
        <w:t>Disappearance</w:t>
      </w:r>
      <w:r w:rsidR="005B2A41">
        <w:t xml:space="preserve"> </w:t>
      </w:r>
      <w:r w:rsidR="00F233AB" w:rsidRPr="00B02247">
        <w:t>(Law</w:t>
      </w:r>
      <w:r w:rsidR="005B2A41">
        <w:t xml:space="preserve"> </w:t>
      </w:r>
      <w:r w:rsidR="00F233AB" w:rsidRPr="00B02247">
        <w:t>428/2014).</w:t>
      </w:r>
    </w:p>
    <w:p w:rsidR="00F233AB" w:rsidRPr="00B02247" w:rsidRDefault="00F233AB" w:rsidP="00E1307D">
      <w:pPr>
        <w:pStyle w:val="SingleTxtG"/>
      </w:pPr>
      <w:r w:rsidRPr="00B02247">
        <w:t>27.</w:t>
      </w:r>
      <w:r w:rsidRPr="00B02247">
        <w:tab/>
        <w:t>With</w:t>
      </w:r>
      <w:r w:rsidR="005B2A41">
        <w:t xml:space="preserve"> </w:t>
      </w:r>
      <w:r w:rsidRPr="00B02247">
        <w:t>regard</w:t>
      </w:r>
      <w:r w:rsidR="005B2A41">
        <w:t xml:space="preserve"> </w:t>
      </w:r>
      <w:r w:rsidRPr="00B02247">
        <w:t>to</w:t>
      </w:r>
      <w:r w:rsidR="005B2A41">
        <w:t xml:space="preserve"> </w:t>
      </w:r>
      <w:r w:rsidRPr="00B02247">
        <w:t>the</w:t>
      </w:r>
      <w:r w:rsidR="005B2A41">
        <w:t xml:space="preserve"> </w:t>
      </w:r>
      <w:r w:rsidRPr="00B02247">
        <w:t>different</w:t>
      </w:r>
      <w:r w:rsidR="005B2A41">
        <w:t xml:space="preserve"> </w:t>
      </w:r>
      <w:r w:rsidRPr="00B02247">
        <w:t>individual</w:t>
      </w:r>
      <w:r w:rsidR="005B2A41">
        <w:t xml:space="preserve"> </w:t>
      </w:r>
      <w:r w:rsidRPr="00B02247">
        <w:t>communications</w:t>
      </w:r>
      <w:r w:rsidR="005B2A41">
        <w:t xml:space="preserve"> </w:t>
      </w:r>
      <w:r w:rsidRPr="00B02247">
        <w:t>procedures,</w:t>
      </w:r>
      <w:r w:rsidR="005B2A41">
        <w:t xml:space="preserve"> </w:t>
      </w:r>
      <w:r w:rsidRPr="00B02247">
        <w:t>Greece</w:t>
      </w:r>
      <w:r w:rsidR="005B2A41">
        <w:t xml:space="preserve"> </w:t>
      </w:r>
      <w:r w:rsidRPr="00B02247">
        <w:t>has</w:t>
      </w:r>
      <w:r w:rsidR="005B2A41">
        <w:t xml:space="preserve"> </w:t>
      </w:r>
      <w:r w:rsidRPr="00B02247">
        <w:t>ratified</w:t>
      </w:r>
      <w:r w:rsidR="005B2A41">
        <w:t xml:space="preserve"> </w:t>
      </w:r>
      <w:r w:rsidRPr="00B02247">
        <w:t>the</w:t>
      </w:r>
      <w:r w:rsidR="005B2A41">
        <w:t xml:space="preserve"> </w:t>
      </w:r>
      <w:r w:rsidRPr="00B02247">
        <w:t>Optional</w:t>
      </w:r>
      <w:r w:rsidR="005B2A41">
        <w:t xml:space="preserve"> </w:t>
      </w:r>
      <w:r w:rsidRPr="00B02247">
        <w:t>Protocol</w:t>
      </w:r>
      <w:r w:rsidR="005B2A41">
        <w:t xml:space="preserve"> </w:t>
      </w:r>
      <w:r w:rsidRPr="00B02247">
        <w:t>to</w:t>
      </w:r>
      <w:r w:rsidR="005B2A41">
        <w:t xml:space="preserve"> </w:t>
      </w:r>
      <w:r w:rsidRPr="00B02247">
        <w:t>the</w:t>
      </w:r>
      <w:r w:rsidR="005B2A41">
        <w:t xml:space="preserve"> </w:t>
      </w:r>
      <w:r w:rsidRPr="00B02247">
        <w:t>International</w:t>
      </w:r>
      <w:r w:rsidR="005B2A41">
        <w:t xml:space="preserve"> </w:t>
      </w:r>
      <w:r w:rsidRPr="00B02247">
        <w:t>Covenant</w:t>
      </w:r>
      <w:r w:rsidR="005B2A41">
        <w:t xml:space="preserve"> </w:t>
      </w:r>
      <w:r w:rsidRPr="00B02247">
        <w:t>on</w:t>
      </w:r>
      <w:r w:rsidR="005B2A41">
        <w:t xml:space="preserve"> </w:t>
      </w:r>
      <w:r w:rsidRPr="00B02247">
        <w:t>Civil</w:t>
      </w:r>
      <w:r w:rsidR="005B2A41">
        <w:t xml:space="preserve"> </w:t>
      </w:r>
      <w:r w:rsidRPr="00B02247">
        <w:t>and</w:t>
      </w:r>
      <w:r w:rsidR="005B2A41">
        <w:t xml:space="preserve"> </w:t>
      </w:r>
      <w:r w:rsidRPr="00B02247">
        <w:t>Political</w:t>
      </w:r>
      <w:r w:rsidR="005B2A41">
        <w:t xml:space="preserve"> </w:t>
      </w:r>
      <w:r w:rsidRPr="00B02247">
        <w:t>Rights,</w:t>
      </w:r>
      <w:r w:rsidR="005B2A41">
        <w:t xml:space="preserve"> </w:t>
      </w:r>
      <w:r w:rsidRPr="00B02247">
        <w:t>the</w:t>
      </w:r>
      <w:r w:rsidR="005B2A41">
        <w:t xml:space="preserve"> </w:t>
      </w:r>
      <w:r w:rsidRPr="00B02247">
        <w:t>Optional</w:t>
      </w:r>
      <w:r w:rsidR="005B2A41">
        <w:t xml:space="preserve"> </w:t>
      </w:r>
      <w:r w:rsidRPr="00B02247">
        <w:t>Protocol</w:t>
      </w:r>
      <w:r w:rsidR="005B2A41">
        <w:t xml:space="preserve"> </w:t>
      </w:r>
      <w:r w:rsidRPr="00B02247">
        <w:t>to</w:t>
      </w:r>
      <w:r w:rsidR="005B2A41">
        <w:t xml:space="preserve"> </w:t>
      </w:r>
      <w:r w:rsidRPr="00B02247">
        <w:t>the</w:t>
      </w:r>
      <w:r w:rsidR="005B2A41">
        <w:t xml:space="preserve"> </w:t>
      </w:r>
      <w:r w:rsidRPr="00B02247">
        <w:t>Convention</w:t>
      </w:r>
      <w:r w:rsidR="005B2A41">
        <w:t xml:space="preserve"> </w:t>
      </w:r>
      <w:r w:rsidRPr="00B02247">
        <w:t>on</w:t>
      </w:r>
      <w:r w:rsidR="005B2A41">
        <w:t xml:space="preserve"> </w:t>
      </w:r>
      <w:r w:rsidRPr="00B02247">
        <w:t>the</w:t>
      </w:r>
      <w:r w:rsidR="005B2A41">
        <w:t xml:space="preserve"> </w:t>
      </w:r>
      <w:r w:rsidRPr="00B02247">
        <w:t>Elimination</w:t>
      </w:r>
      <w:r w:rsidR="005B2A41">
        <w:t xml:space="preserve"> </w:t>
      </w:r>
      <w:r w:rsidRPr="00B02247">
        <w:t>of</w:t>
      </w:r>
      <w:r w:rsidR="005B2A41">
        <w:t xml:space="preserve"> </w:t>
      </w:r>
      <w:r w:rsidRPr="00B02247">
        <w:t>All</w:t>
      </w:r>
      <w:r w:rsidR="005B2A41">
        <w:t xml:space="preserve"> </w:t>
      </w:r>
      <w:r w:rsidRPr="00B02247">
        <w:t>Forms</w:t>
      </w:r>
      <w:r w:rsidR="005B2A41">
        <w:t xml:space="preserve"> </w:t>
      </w:r>
      <w:r w:rsidRPr="00B02247">
        <w:t>of</w:t>
      </w:r>
      <w:r w:rsidR="005B2A41">
        <w:t xml:space="preserve"> </w:t>
      </w:r>
      <w:r w:rsidRPr="00B02247">
        <w:t>Discrimination</w:t>
      </w:r>
      <w:r w:rsidR="005B2A41">
        <w:t xml:space="preserve"> </w:t>
      </w:r>
      <w:r w:rsidRPr="00B02247">
        <w:t>against</w:t>
      </w:r>
      <w:r w:rsidR="005B2A41">
        <w:t xml:space="preserve"> </w:t>
      </w:r>
      <w:r w:rsidRPr="00B02247">
        <w:t>Women</w:t>
      </w:r>
      <w:r w:rsidR="005B2A41">
        <w:t xml:space="preserve"> </w:t>
      </w:r>
      <w:r w:rsidRPr="00B02247">
        <w:t>and</w:t>
      </w:r>
      <w:r w:rsidR="005B2A41">
        <w:t xml:space="preserve"> </w:t>
      </w:r>
      <w:r w:rsidRPr="00B02247">
        <w:t>the</w:t>
      </w:r>
      <w:r w:rsidR="005B2A41">
        <w:t xml:space="preserve"> </w:t>
      </w:r>
      <w:r w:rsidRPr="00B02247">
        <w:t>Optional</w:t>
      </w:r>
      <w:r w:rsidR="005B2A41">
        <w:t xml:space="preserve"> </w:t>
      </w:r>
      <w:r w:rsidRPr="00B02247">
        <w:t>protocol</w:t>
      </w:r>
      <w:r w:rsidR="005B2A41">
        <w:t xml:space="preserve"> </w:t>
      </w:r>
      <w:r w:rsidRPr="00B02247">
        <w:t>to</w:t>
      </w:r>
      <w:r w:rsidR="005B2A41">
        <w:t xml:space="preserve"> </w:t>
      </w:r>
      <w:r w:rsidRPr="00B02247">
        <w:t>the</w:t>
      </w:r>
      <w:r w:rsidR="005B2A41">
        <w:t xml:space="preserve"> </w:t>
      </w:r>
      <w:r w:rsidRPr="00B02247">
        <w:t>Convention</w:t>
      </w:r>
      <w:r w:rsidR="005B2A41">
        <w:t xml:space="preserve"> </w:t>
      </w:r>
      <w:r w:rsidRPr="00B02247">
        <w:t>on</w:t>
      </w:r>
      <w:r w:rsidR="005B2A41">
        <w:t xml:space="preserve"> </w:t>
      </w:r>
      <w:r w:rsidRPr="00B02247">
        <w:t>the</w:t>
      </w:r>
      <w:r w:rsidR="005B2A41">
        <w:t xml:space="preserve"> </w:t>
      </w:r>
      <w:r w:rsidRPr="00B02247">
        <w:t>Rights</w:t>
      </w:r>
      <w:r w:rsidR="005B2A41">
        <w:t xml:space="preserve"> </w:t>
      </w:r>
      <w:r w:rsidRPr="00B02247">
        <w:t>of</w:t>
      </w:r>
      <w:r w:rsidR="005B2A41">
        <w:t xml:space="preserve"> </w:t>
      </w:r>
      <w:r w:rsidRPr="00B02247">
        <w:t>Persons</w:t>
      </w:r>
      <w:r w:rsidR="005B2A41">
        <w:t xml:space="preserve"> </w:t>
      </w:r>
      <w:r w:rsidRPr="00B02247">
        <w:t>with</w:t>
      </w:r>
      <w:r w:rsidR="005B2A41">
        <w:t xml:space="preserve"> </w:t>
      </w:r>
      <w:r w:rsidRPr="00B02247">
        <w:t>Disabilities,</w:t>
      </w:r>
      <w:r w:rsidR="005B2A41">
        <w:t xml:space="preserve"> </w:t>
      </w:r>
      <w:r w:rsidRPr="00B02247">
        <w:t>and</w:t>
      </w:r>
      <w:r w:rsidR="005B2A41">
        <w:t xml:space="preserve"> </w:t>
      </w:r>
      <w:r w:rsidRPr="00B02247">
        <w:t>has</w:t>
      </w:r>
      <w:r w:rsidR="005B2A41">
        <w:t xml:space="preserve"> </w:t>
      </w:r>
      <w:r w:rsidRPr="00B02247">
        <w:t>accepted</w:t>
      </w:r>
      <w:r w:rsidR="005B2A41">
        <w:t xml:space="preserve"> </w:t>
      </w:r>
      <w:r w:rsidRPr="00B02247">
        <w:t>the</w:t>
      </w:r>
      <w:r w:rsidR="005B2A41">
        <w:t xml:space="preserve"> </w:t>
      </w:r>
      <w:r w:rsidRPr="00B02247">
        <w:t>individual</w:t>
      </w:r>
      <w:r w:rsidR="005B2A41">
        <w:t xml:space="preserve"> </w:t>
      </w:r>
      <w:r w:rsidRPr="00B02247">
        <w:t>communications</w:t>
      </w:r>
      <w:r w:rsidR="005B2A41">
        <w:t xml:space="preserve"> </w:t>
      </w:r>
      <w:r w:rsidRPr="00B02247">
        <w:t>procedure</w:t>
      </w:r>
      <w:r w:rsidR="005B2A41">
        <w:t xml:space="preserve"> </w:t>
      </w:r>
      <w:r w:rsidRPr="00B02247">
        <w:t>under</w:t>
      </w:r>
      <w:r w:rsidR="005B2A41">
        <w:t xml:space="preserve"> </w:t>
      </w:r>
      <w:r w:rsidRPr="00B02247">
        <w:t>Art.</w:t>
      </w:r>
      <w:r w:rsidR="005B2A41">
        <w:t xml:space="preserve"> </w:t>
      </w:r>
      <w:r w:rsidRPr="00B02247">
        <w:t>22</w:t>
      </w:r>
      <w:r w:rsidR="005B2A41">
        <w:t xml:space="preserve"> </w:t>
      </w:r>
      <w:r w:rsidRPr="00B02247">
        <w:t>of</w:t>
      </w:r>
      <w:r w:rsidR="005B2A41">
        <w:t xml:space="preserve"> </w:t>
      </w:r>
      <w:r w:rsidRPr="00B02247">
        <w:t>the</w:t>
      </w:r>
      <w:r w:rsidR="005B2A41">
        <w:t xml:space="preserve"> </w:t>
      </w:r>
      <w:r w:rsidRPr="00B02247">
        <w:t>Convention</w:t>
      </w:r>
      <w:r w:rsidR="005B2A41">
        <w:t xml:space="preserve"> </w:t>
      </w:r>
      <w:r w:rsidRPr="00B02247">
        <w:t>against</w:t>
      </w:r>
      <w:r w:rsidR="005B2A41">
        <w:t xml:space="preserve"> </w:t>
      </w:r>
      <w:r w:rsidRPr="00B02247">
        <w:t>Torture.</w:t>
      </w:r>
    </w:p>
    <w:p w:rsidR="00F233AB" w:rsidRPr="00B02247" w:rsidRDefault="00F233AB" w:rsidP="005B2A41">
      <w:pPr>
        <w:pStyle w:val="H23G"/>
      </w:pPr>
      <w:r w:rsidRPr="00B02247">
        <w:tab/>
        <w:t>2.</w:t>
      </w:r>
      <w:r w:rsidRPr="00B02247">
        <w:tab/>
        <w:t>Other</w:t>
      </w:r>
      <w:r w:rsidR="005B2A41">
        <w:t xml:space="preserve"> </w:t>
      </w:r>
      <w:r w:rsidRPr="00B02247">
        <w:t>United</w:t>
      </w:r>
      <w:r w:rsidR="005B2A41">
        <w:t xml:space="preserve"> </w:t>
      </w:r>
      <w:r w:rsidRPr="00B02247">
        <w:t>Nations</w:t>
      </w:r>
      <w:r w:rsidR="005B2A41">
        <w:t xml:space="preserve"> </w:t>
      </w:r>
      <w:r w:rsidRPr="00B02247">
        <w:t>human</w:t>
      </w:r>
      <w:r w:rsidR="005B2A41">
        <w:t xml:space="preserve"> </w:t>
      </w:r>
      <w:r w:rsidRPr="00B02247">
        <w:t>rights</w:t>
      </w:r>
      <w:r w:rsidR="005B2A41">
        <w:t xml:space="preserve"> </w:t>
      </w:r>
      <w:r w:rsidRPr="00B02247">
        <w:t>and</w:t>
      </w:r>
      <w:r w:rsidR="005B2A41">
        <w:t xml:space="preserve"> </w:t>
      </w:r>
      <w:r w:rsidRPr="00B02247">
        <w:t>related</w:t>
      </w:r>
      <w:r w:rsidR="005B2A41">
        <w:t xml:space="preserve"> </w:t>
      </w:r>
      <w:r w:rsidRPr="00B02247">
        <w:t>conventions</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Convention</w:t>
      </w:r>
      <w:r w:rsidR="005B2A41">
        <w:t xml:space="preserve"> </w:t>
      </w:r>
      <w:r w:rsidR="00F233AB" w:rsidRPr="00B02247">
        <w:t>on</w:t>
      </w:r>
      <w:r w:rsidR="005B2A41">
        <w:t xml:space="preserve"> </w:t>
      </w:r>
      <w:r w:rsidR="00F233AB" w:rsidRPr="00B02247">
        <w:t>the</w:t>
      </w:r>
      <w:r w:rsidR="005B2A41">
        <w:t xml:space="preserve"> </w:t>
      </w:r>
      <w:r w:rsidR="00F233AB" w:rsidRPr="00B02247">
        <w:t>Prevention</w:t>
      </w:r>
      <w:r w:rsidR="005B2A41">
        <w:t xml:space="preserve"> </w:t>
      </w:r>
      <w:r w:rsidR="00F233AB" w:rsidRPr="00B02247">
        <w:t>and</w:t>
      </w:r>
      <w:r w:rsidR="005B2A41">
        <w:t xml:space="preserve"> </w:t>
      </w:r>
      <w:r w:rsidR="00F233AB" w:rsidRPr="00B02247">
        <w:t>Punishment</w:t>
      </w:r>
      <w:r w:rsidR="005B2A41">
        <w:t xml:space="preserve"> </w:t>
      </w:r>
      <w:r w:rsidR="00F233AB" w:rsidRPr="00B02247">
        <w:t>of</w:t>
      </w:r>
      <w:r w:rsidR="005B2A41">
        <w:t xml:space="preserve"> </w:t>
      </w:r>
      <w:r w:rsidR="00F233AB" w:rsidRPr="00B02247">
        <w:t>the</w:t>
      </w:r>
      <w:r w:rsidR="005B2A41">
        <w:t xml:space="preserve"> </w:t>
      </w:r>
      <w:r w:rsidR="00F233AB" w:rsidRPr="00B02247">
        <w:t>Crime</w:t>
      </w:r>
      <w:r w:rsidR="005B2A41">
        <w:t xml:space="preserve"> </w:t>
      </w:r>
      <w:r w:rsidR="00F233AB" w:rsidRPr="00B02247">
        <w:t>of</w:t>
      </w:r>
      <w:r w:rsidR="005B2A41">
        <w:t xml:space="preserve"> </w:t>
      </w:r>
      <w:r w:rsidR="00F233AB" w:rsidRPr="00B02247">
        <w:t>Genocide,</w:t>
      </w:r>
      <w:r w:rsidR="005B2A41">
        <w:t xml:space="preserve"> </w:t>
      </w:r>
      <w:r w:rsidR="00F233AB" w:rsidRPr="00B02247">
        <w:t>(legislative</w:t>
      </w:r>
      <w:r w:rsidR="005B2A41">
        <w:t xml:space="preserve"> </w:t>
      </w:r>
      <w:r w:rsidR="00F233AB" w:rsidRPr="00B02247">
        <w:t>decree</w:t>
      </w:r>
      <w:r w:rsidR="005B2A41">
        <w:t xml:space="preserve"> </w:t>
      </w:r>
      <w:r w:rsidR="00F233AB" w:rsidRPr="00B02247">
        <w:t>3091/1954);</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Slavery</w:t>
      </w:r>
      <w:r w:rsidR="005B2A41">
        <w:t xml:space="preserve"> </w:t>
      </w:r>
      <w:r w:rsidR="00F233AB" w:rsidRPr="00B02247">
        <w:t>Convention,</w:t>
      </w:r>
      <w:r w:rsidR="005B2A41">
        <w:t xml:space="preserve"> </w:t>
      </w:r>
      <w:r w:rsidR="00F233AB" w:rsidRPr="00B02247">
        <w:t>1923</w:t>
      </w:r>
      <w:r w:rsidR="005B2A41">
        <w:t xml:space="preserve"> </w:t>
      </w:r>
      <w:r w:rsidR="00F233AB" w:rsidRPr="00B02247">
        <w:t>as</w:t>
      </w:r>
      <w:r w:rsidR="005B2A41">
        <w:t xml:space="preserve"> </w:t>
      </w:r>
      <w:r w:rsidR="00F233AB" w:rsidRPr="00B02247">
        <w:t>amended</w:t>
      </w:r>
      <w:r w:rsidR="005B2A41">
        <w:t xml:space="preserve"> </w:t>
      </w:r>
      <w:r w:rsidR="00F233AB" w:rsidRPr="00B02247">
        <w:t>in</w:t>
      </w:r>
      <w:r w:rsidR="005B2A41">
        <w:t xml:space="preserve"> </w:t>
      </w:r>
      <w:r w:rsidR="00F233AB" w:rsidRPr="00B02247">
        <w:t>1955</w:t>
      </w:r>
      <w:r w:rsidR="005B2A41">
        <w:t xml:space="preserve"> </w:t>
      </w:r>
      <w:r w:rsidR="00F233AB" w:rsidRPr="00B02247">
        <w:t>(legislative</w:t>
      </w:r>
      <w:r w:rsidR="005B2A41">
        <w:t xml:space="preserve"> </w:t>
      </w:r>
      <w:r w:rsidR="00F233AB" w:rsidRPr="00B02247">
        <w:t>decree</w:t>
      </w:r>
      <w:r w:rsidR="005B2A41">
        <w:t xml:space="preserve"> </w:t>
      </w:r>
      <w:r w:rsidR="00F233AB" w:rsidRPr="00B02247">
        <w:t>2965/1954);</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Convention</w:t>
      </w:r>
      <w:r w:rsidR="005B2A41">
        <w:t xml:space="preserve"> </w:t>
      </w:r>
      <w:r w:rsidR="00F233AB" w:rsidRPr="00B02247">
        <w:t>relating</w:t>
      </w:r>
      <w:r w:rsidR="005B2A41">
        <w:t xml:space="preserve"> </w:t>
      </w:r>
      <w:r w:rsidR="00F233AB" w:rsidRPr="00B02247">
        <w:t>to</w:t>
      </w:r>
      <w:r w:rsidR="005B2A41">
        <w:t xml:space="preserve"> </w:t>
      </w:r>
      <w:r w:rsidR="00F233AB" w:rsidRPr="00B02247">
        <w:t>the</w:t>
      </w:r>
      <w:r w:rsidR="005B2A41">
        <w:t xml:space="preserve"> </w:t>
      </w:r>
      <w:r w:rsidR="00F233AB" w:rsidRPr="00B02247">
        <w:t>Status</w:t>
      </w:r>
      <w:r w:rsidR="005B2A41">
        <w:t xml:space="preserve"> </w:t>
      </w:r>
      <w:r w:rsidR="00F233AB" w:rsidRPr="00B02247">
        <w:t>of</w:t>
      </w:r>
      <w:r w:rsidR="005B2A41">
        <w:t xml:space="preserve"> </w:t>
      </w:r>
      <w:r w:rsidR="00F233AB" w:rsidRPr="00B02247">
        <w:t>Refugees,</w:t>
      </w:r>
      <w:r w:rsidR="005B2A41">
        <w:t xml:space="preserve"> </w:t>
      </w:r>
      <w:r w:rsidR="00F233AB" w:rsidRPr="00B02247">
        <w:t>1951,</w:t>
      </w:r>
      <w:r w:rsidR="005B2A41">
        <w:t xml:space="preserve"> </w:t>
      </w:r>
      <w:r w:rsidR="00F233AB" w:rsidRPr="00B02247">
        <w:t>(legislative</w:t>
      </w:r>
      <w:r w:rsidR="005B2A41">
        <w:t xml:space="preserve"> </w:t>
      </w:r>
      <w:r w:rsidR="00F233AB" w:rsidRPr="00B02247">
        <w:t>decree</w:t>
      </w:r>
      <w:r w:rsidR="005B2A41">
        <w:t xml:space="preserve"> </w:t>
      </w:r>
      <w:r w:rsidR="00F233AB" w:rsidRPr="00B02247">
        <w:t>3989/1959)</w:t>
      </w:r>
      <w:r w:rsidR="005B2A41">
        <w:t xml:space="preserve"> </w:t>
      </w:r>
      <w:r w:rsidR="00F233AB" w:rsidRPr="00B02247">
        <w:t>and</w:t>
      </w:r>
      <w:r w:rsidR="005B2A41">
        <w:t xml:space="preserve"> </w:t>
      </w:r>
      <w:r w:rsidR="00F233AB" w:rsidRPr="00B02247">
        <w:t>its</w:t>
      </w:r>
      <w:r w:rsidR="005B2A41">
        <w:t xml:space="preserve"> </w:t>
      </w:r>
      <w:r w:rsidR="00F233AB" w:rsidRPr="00B02247">
        <w:t>1967</w:t>
      </w:r>
      <w:r w:rsidR="005B2A41">
        <w:t xml:space="preserve"> </w:t>
      </w:r>
      <w:r w:rsidR="00F233AB" w:rsidRPr="00B02247">
        <w:t>Protocol</w:t>
      </w:r>
      <w:r w:rsidR="005B2A41">
        <w:t xml:space="preserve"> </w:t>
      </w:r>
      <w:r w:rsidR="00F233AB" w:rsidRPr="00B02247">
        <w:t>(emergency</w:t>
      </w:r>
      <w:r w:rsidR="005B2A41">
        <w:t xml:space="preserve"> </w:t>
      </w:r>
      <w:r w:rsidR="00F233AB" w:rsidRPr="00B02247">
        <w:t>law</w:t>
      </w:r>
      <w:r w:rsidR="005B2A41">
        <w:t xml:space="preserve"> </w:t>
      </w:r>
      <w:r w:rsidR="00F233AB" w:rsidRPr="00B02247">
        <w:t>389/1968);</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Convention</w:t>
      </w:r>
      <w:r w:rsidR="005B2A41">
        <w:t xml:space="preserve"> </w:t>
      </w:r>
      <w:r w:rsidR="00F233AB" w:rsidRPr="00B02247">
        <w:t>relating</w:t>
      </w:r>
      <w:r w:rsidR="005B2A41">
        <w:t xml:space="preserve"> </w:t>
      </w:r>
      <w:r w:rsidR="00F233AB" w:rsidRPr="00B02247">
        <w:t>to</w:t>
      </w:r>
      <w:r w:rsidR="005B2A41">
        <w:t xml:space="preserve"> </w:t>
      </w:r>
      <w:r w:rsidR="00F233AB" w:rsidRPr="00B02247">
        <w:t>the</w:t>
      </w:r>
      <w:r w:rsidR="005B2A41">
        <w:t xml:space="preserve"> </w:t>
      </w:r>
      <w:r w:rsidR="00F233AB" w:rsidRPr="00B02247">
        <w:t>Status</w:t>
      </w:r>
      <w:r w:rsidR="005B2A41">
        <w:t xml:space="preserve"> </w:t>
      </w:r>
      <w:r w:rsidR="00F233AB" w:rsidRPr="00B02247">
        <w:t>of</w:t>
      </w:r>
      <w:r w:rsidR="005B2A41">
        <w:t xml:space="preserve"> </w:t>
      </w:r>
      <w:r w:rsidR="00F233AB" w:rsidRPr="00B02247">
        <w:t>Stateless</w:t>
      </w:r>
      <w:r w:rsidR="005B2A41">
        <w:t xml:space="preserve"> </w:t>
      </w:r>
      <w:r w:rsidR="00F233AB" w:rsidRPr="00B02247">
        <w:t>Persons,</w:t>
      </w:r>
      <w:r w:rsidR="005B2A41">
        <w:t xml:space="preserve"> </w:t>
      </w:r>
      <w:r w:rsidR="00F233AB" w:rsidRPr="00B02247">
        <w:t>1954</w:t>
      </w:r>
      <w:r w:rsidR="005B2A41">
        <w:t xml:space="preserve"> </w:t>
      </w:r>
      <w:r w:rsidR="00F233AB" w:rsidRPr="00B02247">
        <w:t>(law</w:t>
      </w:r>
      <w:r w:rsidR="005B2A41">
        <w:t xml:space="preserve"> </w:t>
      </w:r>
      <w:r w:rsidR="00F233AB" w:rsidRPr="00B02247">
        <w:t>139/1975);</w:t>
      </w:r>
      <w:r w:rsidR="005B2A41">
        <w:t xml:space="preserve"> </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Rome</w:t>
      </w:r>
      <w:r w:rsidR="005B2A41">
        <w:t xml:space="preserve"> </w:t>
      </w:r>
      <w:r w:rsidR="00F233AB" w:rsidRPr="00B02247">
        <w:t>Statute</w:t>
      </w:r>
      <w:r w:rsidR="005B2A41">
        <w:t xml:space="preserve"> </w:t>
      </w:r>
      <w:r w:rsidR="00F233AB" w:rsidRPr="00B02247">
        <w:t>of</w:t>
      </w:r>
      <w:r w:rsidR="005B2A41">
        <w:t xml:space="preserve"> </w:t>
      </w:r>
      <w:r w:rsidR="00F233AB" w:rsidRPr="00B02247">
        <w:t>the</w:t>
      </w:r>
      <w:r w:rsidR="005B2A41">
        <w:t xml:space="preserve"> </w:t>
      </w:r>
      <w:r w:rsidR="00F233AB" w:rsidRPr="00B02247">
        <w:t>International</w:t>
      </w:r>
      <w:r w:rsidR="005B2A41">
        <w:t xml:space="preserve"> </w:t>
      </w:r>
      <w:r w:rsidR="00F233AB" w:rsidRPr="00B02247">
        <w:t>Criminal</w:t>
      </w:r>
      <w:r w:rsidR="005B2A41">
        <w:t xml:space="preserve"> </w:t>
      </w:r>
      <w:r w:rsidR="00F233AB" w:rsidRPr="00B02247">
        <w:t>Court</w:t>
      </w:r>
      <w:r w:rsidR="005B2A41">
        <w:t xml:space="preserve"> </w:t>
      </w:r>
      <w:r w:rsidR="00F233AB" w:rsidRPr="00B02247">
        <w:t>(law</w:t>
      </w:r>
      <w:r w:rsidR="005B2A41">
        <w:t xml:space="preserve"> </w:t>
      </w:r>
      <w:r w:rsidR="00F233AB" w:rsidRPr="00B02247">
        <w:t>3003/2202);</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United</w:t>
      </w:r>
      <w:r w:rsidR="005B2A41">
        <w:t xml:space="preserve"> </w:t>
      </w:r>
      <w:r w:rsidR="00F233AB" w:rsidRPr="00B02247">
        <w:t>Nations</w:t>
      </w:r>
      <w:r w:rsidR="005B2A41">
        <w:t xml:space="preserve"> </w:t>
      </w:r>
      <w:r w:rsidR="00F233AB" w:rsidRPr="00B02247">
        <w:t>Convention</w:t>
      </w:r>
      <w:r w:rsidR="005B2A41">
        <w:t xml:space="preserve"> </w:t>
      </w:r>
      <w:r w:rsidR="00F233AB" w:rsidRPr="00B02247">
        <w:t>against</w:t>
      </w:r>
      <w:r w:rsidR="005B2A41">
        <w:t xml:space="preserve"> </w:t>
      </w:r>
      <w:r w:rsidR="00F233AB" w:rsidRPr="00B02247">
        <w:t>Transnational</w:t>
      </w:r>
      <w:r w:rsidR="005B2A41">
        <w:t xml:space="preserve"> </w:t>
      </w:r>
      <w:r w:rsidR="00F233AB" w:rsidRPr="00B02247">
        <w:t>Organized</w:t>
      </w:r>
      <w:r w:rsidR="005B2A41">
        <w:t xml:space="preserve"> </w:t>
      </w:r>
      <w:r w:rsidR="00F233AB" w:rsidRPr="00B02247">
        <w:t>Crime,</w:t>
      </w:r>
      <w:r w:rsidR="005B2A41">
        <w:t xml:space="preserve"> </w:t>
      </w:r>
      <w:r w:rsidR="00F233AB" w:rsidRPr="00B02247">
        <w:t>2000,</w:t>
      </w:r>
      <w:r w:rsidR="005B2A41">
        <w:t xml:space="preserve"> </w:t>
      </w:r>
      <w:r w:rsidR="00F233AB" w:rsidRPr="00B02247">
        <w:t>and</w:t>
      </w:r>
      <w:r w:rsidR="005B2A41">
        <w:t xml:space="preserve"> </w:t>
      </w:r>
      <w:r w:rsidR="00F233AB" w:rsidRPr="00B02247">
        <w:t>its</w:t>
      </w:r>
      <w:r w:rsidR="005B2A41">
        <w:t xml:space="preserve"> </w:t>
      </w:r>
      <w:r w:rsidR="00F233AB" w:rsidRPr="00B02247">
        <w:t>Protocols</w:t>
      </w:r>
      <w:r w:rsidR="005B2A41">
        <w:t xml:space="preserve"> </w:t>
      </w:r>
      <w:r w:rsidR="00F233AB" w:rsidRPr="00B02247">
        <w:t>against</w:t>
      </w:r>
      <w:r w:rsidR="005B2A41">
        <w:t xml:space="preserve"> </w:t>
      </w:r>
      <w:r w:rsidR="00F233AB" w:rsidRPr="00B02247">
        <w:t>the</w:t>
      </w:r>
      <w:r w:rsidR="005B2A41">
        <w:t xml:space="preserve"> </w:t>
      </w:r>
      <w:r w:rsidR="00F233AB" w:rsidRPr="00B02247">
        <w:t>smuggling</w:t>
      </w:r>
      <w:r w:rsidR="005B2A41">
        <w:t xml:space="preserve"> </w:t>
      </w:r>
      <w:r w:rsidR="00F233AB" w:rsidRPr="00B02247">
        <w:t>of</w:t>
      </w:r>
      <w:r w:rsidR="005B2A41">
        <w:t xml:space="preserve"> </w:t>
      </w:r>
      <w:r w:rsidR="00F233AB" w:rsidRPr="00B02247">
        <w:t>migrants</w:t>
      </w:r>
      <w:r w:rsidR="005B2A41">
        <w:t xml:space="preserve"> </w:t>
      </w:r>
      <w:r w:rsidR="00F233AB" w:rsidRPr="00B02247">
        <w:t>by</w:t>
      </w:r>
      <w:r w:rsidR="005B2A41">
        <w:t xml:space="preserve"> </w:t>
      </w:r>
      <w:r w:rsidR="00F233AB" w:rsidRPr="00B02247">
        <w:t>land,</w:t>
      </w:r>
      <w:r w:rsidR="005B2A41">
        <w:t xml:space="preserve"> </w:t>
      </w:r>
      <w:r w:rsidR="00F233AB" w:rsidRPr="00B02247">
        <w:t>sea</w:t>
      </w:r>
      <w:r w:rsidR="005B2A41">
        <w:t xml:space="preserve"> </w:t>
      </w:r>
      <w:r w:rsidR="00F233AB" w:rsidRPr="00B02247">
        <w:t>and</w:t>
      </w:r>
      <w:r w:rsidR="005B2A41">
        <w:t xml:space="preserve"> </w:t>
      </w:r>
      <w:r w:rsidR="00F233AB" w:rsidRPr="00B02247">
        <w:t>air,</w:t>
      </w:r>
      <w:r w:rsidR="005B2A41">
        <w:t xml:space="preserve"> </w:t>
      </w:r>
      <w:r w:rsidR="00F233AB" w:rsidRPr="00B02247">
        <w:t>and</w:t>
      </w:r>
      <w:r w:rsidR="005B2A41">
        <w:t xml:space="preserve"> </w:t>
      </w:r>
      <w:r w:rsidR="00F233AB" w:rsidRPr="00B02247">
        <w:t>to</w:t>
      </w:r>
      <w:r w:rsidR="005B2A41">
        <w:t xml:space="preserve"> </w:t>
      </w:r>
      <w:r w:rsidR="00F233AB" w:rsidRPr="00B02247">
        <w:t>prevent,</w:t>
      </w:r>
      <w:r w:rsidR="005B2A41">
        <w:t xml:space="preserve"> </w:t>
      </w:r>
      <w:r w:rsidR="00F233AB" w:rsidRPr="00B02247">
        <w:t>suppress</w:t>
      </w:r>
      <w:r w:rsidR="005B2A41">
        <w:t xml:space="preserve"> </w:t>
      </w:r>
      <w:r w:rsidR="00F233AB" w:rsidRPr="00B02247">
        <w:t>and</w:t>
      </w:r>
      <w:r w:rsidR="005B2A41">
        <w:t xml:space="preserve"> </w:t>
      </w:r>
      <w:r w:rsidR="00F233AB" w:rsidRPr="00B02247">
        <w:t>punish</w:t>
      </w:r>
      <w:r w:rsidR="005B2A41">
        <w:t xml:space="preserve"> </w:t>
      </w:r>
      <w:r w:rsidR="00F233AB" w:rsidRPr="00B02247">
        <w:t>trafficking</w:t>
      </w:r>
      <w:r w:rsidR="005B2A41">
        <w:t xml:space="preserve"> </w:t>
      </w:r>
      <w:r w:rsidR="00F233AB" w:rsidRPr="00B02247">
        <w:t>in</w:t>
      </w:r>
      <w:r w:rsidR="005B2A41">
        <w:t xml:space="preserve"> </w:t>
      </w:r>
      <w:r w:rsidR="00F233AB" w:rsidRPr="00B02247">
        <w:t>persons,</w:t>
      </w:r>
      <w:r w:rsidR="005B2A41">
        <w:t xml:space="preserve"> </w:t>
      </w:r>
      <w:r w:rsidR="00F233AB" w:rsidRPr="00B02247">
        <w:t>especially</w:t>
      </w:r>
      <w:r w:rsidR="005B2A41">
        <w:t xml:space="preserve"> </w:t>
      </w:r>
      <w:r w:rsidR="00F233AB" w:rsidRPr="00B02247">
        <w:t>women</w:t>
      </w:r>
      <w:r w:rsidR="005B2A41">
        <w:t xml:space="preserve"> </w:t>
      </w:r>
      <w:r w:rsidR="00F233AB" w:rsidRPr="00B02247">
        <w:t>and</w:t>
      </w:r>
      <w:r w:rsidR="005B2A41">
        <w:t xml:space="preserve"> </w:t>
      </w:r>
      <w:r w:rsidR="00F233AB" w:rsidRPr="00B02247">
        <w:t>children</w:t>
      </w:r>
      <w:r w:rsidR="005B2A41">
        <w:t xml:space="preserve"> </w:t>
      </w:r>
      <w:r w:rsidR="00F233AB" w:rsidRPr="00B02247">
        <w:t>(law</w:t>
      </w:r>
      <w:r w:rsidR="005B2A41">
        <w:t xml:space="preserve"> </w:t>
      </w:r>
      <w:r w:rsidR="00F233AB" w:rsidRPr="00B02247">
        <w:t>3875/2010).</w:t>
      </w:r>
    </w:p>
    <w:p w:rsidR="00F233AB" w:rsidRPr="00B02247" w:rsidRDefault="00F233AB" w:rsidP="007439E9">
      <w:pPr>
        <w:pStyle w:val="H23G"/>
      </w:pPr>
      <w:r w:rsidRPr="00B02247">
        <w:tab/>
        <w:t>3.</w:t>
      </w:r>
      <w:r w:rsidRPr="00B02247">
        <w:tab/>
        <w:t>Conventions</w:t>
      </w:r>
      <w:r w:rsidR="005B2A41">
        <w:t xml:space="preserve"> </w:t>
      </w:r>
      <w:r w:rsidRPr="00B02247">
        <w:t>of</w:t>
      </w:r>
      <w:r w:rsidR="005B2A41">
        <w:t xml:space="preserve"> </w:t>
      </w:r>
      <w:r w:rsidRPr="00B02247">
        <w:t>the</w:t>
      </w:r>
      <w:r w:rsidR="005B2A41">
        <w:t xml:space="preserve"> </w:t>
      </w:r>
      <w:r w:rsidRPr="00B02247">
        <w:t>International</w:t>
      </w:r>
      <w:r w:rsidR="005B2A41">
        <w:t xml:space="preserve"> </w:t>
      </w:r>
      <w:r w:rsidRPr="00B02247">
        <w:t>Labour</w:t>
      </w:r>
      <w:r w:rsidR="005B2A41">
        <w:t xml:space="preserve"> </w:t>
      </w:r>
      <w:r w:rsidRPr="00B02247">
        <w:t>Organizations</w:t>
      </w:r>
    </w:p>
    <w:p w:rsidR="00F233AB" w:rsidRPr="00B02247" w:rsidRDefault="00F233AB" w:rsidP="00E1307D">
      <w:pPr>
        <w:pStyle w:val="SingleTxtG"/>
      </w:pPr>
      <w:r w:rsidRPr="00B02247">
        <w:t>28.</w:t>
      </w:r>
      <w:r w:rsidRPr="00B02247">
        <w:tab/>
        <w:t>Greece</w:t>
      </w:r>
      <w:r w:rsidR="005B2A41">
        <w:t xml:space="preserve"> </w:t>
      </w:r>
      <w:r w:rsidRPr="00B02247">
        <w:t>has</w:t>
      </w:r>
      <w:r w:rsidR="005B2A41">
        <w:t xml:space="preserve"> </w:t>
      </w:r>
      <w:r w:rsidRPr="00B02247">
        <w:t>ratified</w:t>
      </w:r>
      <w:r w:rsidR="005B2A41">
        <w:t xml:space="preserve"> </w:t>
      </w:r>
      <w:r w:rsidRPr="00B02247">
        <w:t>the</w:t>
      </w:r>
      <w:r w:rsidR="005B2A41">
        <w:t xml:space="preserve"> </w:t>
      </w:r>
      <w:r w:rsidRPr="00B02247">
        <w:t>eight</w:t>
      </w:r>
      <w:r w:rsidR="005B2A41">
        <w:t xml:space="preserve"> </w:t>
      </w:r>
      <w:r w:rsidR="003E731F">
        <w:t>“</w:t>
      </w:r>
      <w:r w:rsidRPr="00B02247">
        <w:t>Fundamental</w:t>
      </w:r>
      <w:r w:rsidR="005B2A41">
        <w:t xml:space="preserve"> </w:t>
      </w:r>
      <w:r w:rsidRPr="00B02247">
        <w:t>Conventions</w:t>
      </w:r>
      <w:r w:rsidR="003E731F">
        <w:t>”</w:t>
      </w:r>
      <w:r w:rsidR="005B2A41">
        <w:t xml:space="preserve"> </w:t>
      </w:r>
      <w:r w:rsidRPr="00B02247">
        <w:t>and</w:t>
      </w:r>
      <w:r w:rsidR="005B2A41">
        <w:t xml:space="preserve"> </w:t>
      </w:r>
      <w:r w:rsidRPr="00B02247">
        <w:t>three</w:t>
      </w:r>
      <w:r w:rsidR="005B2A41">
        <w:t xml:space="preserve"> </w:t>
      </w:r>
      <w:r w:rsidRPr="00B02247">
        <w:t>out</w:t>
      </w:r>
      <w:r w:rsidR="005B2A41">
        <w:t xml:space="preserve"> </w:t>
      </w:r>
      <w:r w:rsidRPr="00B02247">
        <w:t>of</w:t>
      </w:r>
      <w:r w:rsidR="005B2A41">
        <w:t xml:space="preserve"> </w:t>
      </w:r>
      <w:r w:rsidRPr="00B02247">
        <w:t>four</w:t>
      </w:r>
      <w:r w:rsidR="005B2A41">
        <w:t xml:space="preserve"> </w:t>
      </w:r>
      <w:r w:rsidR="003E731F">
        <w:t>“</w:t>
      </w:r>
      <w:r w:rsidRPr="00B02247">
        <w:t>Governance</w:t>
      </w:r>
      <w:r w:rsidR="005B2A41">
        <w:t xml:space="preserve"> </w:t>
      </w:r>
      <w:r w:rsidRPr="00B02247">
        <w:t>Conventions</w:t>
      </w:r>
      <w:r w:rsidR="003E731F">
        <w:t>”</w:t>
      </w:r>
      <w:r w:rsidRPr="00B02247">
        <w:t>,</w:t>
      </w:r>
      <w:r w:rsidR="005B2A41">
        <w:t xml:space="preserve"> </w:t>
      </w:r>
      <w:r w:rsidRPr="00B02247">
        <w:t>including</w:t>
      </w:r>
      <w:r w:rsidR="005B2A41">
        <w:t xml:space="preserve"> </w:t>
      </w:r>
      <w:r w:rsidRPr="00B02247">
        <w:t>the</w:t>
      </w:r>
      <w:r w:rsidR="005B2A41">
        <w:t xml:space="preserve"> </w:t>
      </w:r>
      <w:r w:rsidRPr="00B02247">
        <w:t>Tripartite</w:t>
      </w:r>
      <w:r w:rsidR="005B2A41">
        <w:t xml:space="preserve"> </w:t>
      </w:r>
      <w:r w:rsidRPr="00B02247">
        <w:t>Consultation</w:t>
      </w:r>
      <w:r w:rsidR="005B2A41">
        <w:t xml:space="preserve"> </w:t>
      </w:r>
      <w:r w:rsidRPr="00B02247">
        <w:t>(International</w:t>
      </w:r>
      <w:r w:rsidR="005B2A41">
        <w:t xml:space="preserve"> </w:t>
      </w:r>
      <w:r w:rsidRPr="00B02247">
        <w:t>Labour</w:t>
      </w:r>
      <w:r w:rsidR="005B2A41">
        <w:t xml:space="preserve"> </w:t>
      </w:r>
      <w:r w:rsidRPr="00B02247">
        <w:t>Standards)</w:t>
      </w:r>
      <w:r w:rsidR="005B2A41">
        <w:t xml:space="preserve"> </w:t>
      </w:r>
      <w:r w:rsidRPr="00B02247">
        <w:t>Convention</w:t>
      </w:r>
      <w:r w:rsidR="005B2A41">
        <w:t xml:space="preserve"> </w:t>
      </w:r>
      <w:r w:rsidRPr="00B02247">
        <w:t>1976</w:t>
      </w:r>
      <w:r w:rsidR="005B2A41">
        <w:t xml:space="preserve"> </w:t>
      </w:r>
      <w:r w:rsidRPr="00B02247">
        <w:t>(No.</w:t>
      </w:r>
      <w:r w:rsidR="005B2A41">
        <w:t xml:space="preserve"> </w:t>
      </w:r>
      <w:r w:rsidRPr="00B02247">
        <w:t>144),</w:t>
      </w:r>
      <w:r w:rsidR="005B2A41">
        <w:t xml:space="preserve"> </w:t>
      </w:r>
      <w:r w:rsidRPr="00B02247">
        <w:t>Law</w:t>
      </w:r>
      <w:r w:rsidR="005B2A41">
        <w:t xml:space="preserve"> </w:t>
      </w:r>
      <w:r w:rsidRPr="00B02247">
        <w:t>1176/1981</w:t>
      </w:r>
      <w:r w:rsidR="005B2A41">
        <w:t xml:space="preserve"> </w:t>
      </w:r>
      <w:r w:rsidRPr="00B02247">
        <w:t>(ratification</w:t>
      </w:r>
      <w:r w:rsidR="005B2A41">
        <w:t xml:space="preserve"> </w:t>
      </w:r>
      <w:r w:rsidRPr="00B02247">
        <w:t>of</w:t>
      </w:r>
      <w:r w:rsidR="005B2A41">
        <w:t xml:space="preserve"> </w:t>
      </w:r>
      <w:r w:rsidRPr="00B02247">
        <w:t>ILO</w:t>
      </w:r>
      <w:r w:rsidR="005B2A41">
        <w:t xml:space="preserve"> </w:t>
      </w:r>
      <w:r w:rsidRPr="00B02247">
        <w:t>Convention</w:t>
      </w:r>
      <w:r w:rsidR="005B2A41">
        <w:t xml:space="preserve"> </w:t>
      </w:r>
      <w:r w:rsidRPr="00B02247">
        <w:t>no.</w:t>
      </w:r>
      <w:r w:rsidR="005B2A41">
        <w:t xml:space="preserve"> </w:t>
      </w:r>
      <w:r w:rsidRPr="00B02247">
        <w:t>129</w:t>
      </w:r>
      <w:r w:rsidR="005B2A41">
        <w:t xml:space="preserve"> </w:t>
      </w:r>
      <w:r w:rsidRPr="00B02247">
        <w:t>is</w:t>
      </w:r>
      <w:r w:rsidR="005B2A41">
        <w:t xml:space="preserve"> </w:t>
      </w:r>
      <w:r w:rsidRPr="00B02247">
        <w:t>still</w:t>
      </w:r>
      <w:r w:rsidR="005B2A41">
        <w:t xml:space="preserve"> </w:t>
      </w:r>
      <w:r w:rsidRPr="00B02247">
        <w:t>pending).</w:t>
      </w:r>
      <w:r w:rsidR="005B2A41">
        <w:t xml:space="preserve"> </w:t>
      </w:r>
      <w:r w:rsidRPr="00B02247">
        <w:t>In</w:t>
      </w:r>
      <w:r w:rsidR="005B2A41">
        <w:t xml:space="preserve"> </w:t>
      </w:r>
      <w:r w:rsidRPr="00B02247">
        <w:t>addition,</w:t>
      </w:r>
      <w:r w:rsidR="005B2A41">
        <w:t xml:space="preserve"> </w:t>
      </w:r>
      <w:r w:rsidRPr="00B02247">
        <w:t>Greece</w:t>
      </w:r>
      <w:r w:rsidR="005B2A41">
        <w:t xml:space="preserve"> </w:t>
      </w:r>
      <w:r w:rsidRPr="00B02247">
        <w:t>has</w:t>
      </w:r>
      <w:r w:rsidR="005B2A41">
        <w:t xml:space="preserve"> </w:t>
      </w:r>
      <w:r w:rsidRPr="00B02247">
        <w:t>ratified</w:t>
      </w:r>
      <w:r w:rsidR="005B2A41">
        <w:t xml:space="preserve"> </w:t>
      </w:r>
      <w:r w:rsidRPr="00B02247">
        <w:t>60</w:t>
      </w:r>
      <w:r w:rsidR="005B2A41">
        <w:t xml:space="preserve"> </w:t>
      </w:r>
      <w:r w:rsidRPr="00B02247">
        <w:t>ILO</w:t>
      </w:r>
      <w:r w:rsidR="005B2A41">
        <w:t xml:space="preserve"> </w:t>
      </w:r>
      <w:r w:rsidRPr="00B02247">
        <w:t>Conventions,</w:t>
      </w:r>
      <w:r w:rsidR="005B2A41">
        <w:t xml:space="preserve"> </w:t>
      </w:r>
      <w:r w:rsidRPr="00B02247">
        <w:t>out</w:t>
      </w:r>
      <w:r w:rsidR="005B2A41">
        <w:t xml:space="preserve"> </w:t>
      </w:r>
      <w:r w:rsidRPr="00B02247">
        <w:t>of</w:t>
      </w:r>
      <w:r w:rsidR="005B2A41">
        <w:t xml:space="preserve"> </w:t>
      </w:r>
      <w:r w:rsidRPr="00B02247">
        <w:t>which</w:t>
      </w:r>
      <w:r w:rsidR="005B2A41">
        <w:t xml:space="preserve"> </w:t>
      </w:r>
      <w:r w:rsidRPr="00B02247">
        <w:t>51</w:t>
      </w:r>
      <w:r w:rsidR="005B2A41">
        <w:t xml:space="preserve"> </w:t>
      </w:r>
      <w:r w:rsidRPr="00B02247">
        <w:t>are</w:t>
      </w:r>
      <w:r w:rsidR="005B2A41">
        <w:t xml:space="preserve"> </w:t>
      </w:r>
      <w:r w:rsidRPr="00B02247">
        <w:t>still</w:t>
      </w:r>
      <w:r w:rsidR="005B2A41">
        <w:t xml:space="preserve"> </w:t>
      </w:r>
      <w:r w:rsidRPr="00B02247">
        <w:t>applicable.</w:t>
      </w:r>
    </w:p>
    <w:p w:rsidR="00F233AB" w:rsidRPr="00B02247" w:rsidRDefault="00F233AB" w:rsidP="007439E9">
      <w:pPr>
        <w:pStyle w:val="SingleTxtG"/>
        <w:keepNext/>
      </w:pPr>
      <w:r w:rsidRPr="00B02247">
        <w:lastRenderedPageBreak/>
        <w:t>29.</w:t>
      </w:r>
      <w:r w:rsidRPr="00B02247">
        <w:tab/>
        <w:t>Among</w:t>
      </w:r>
      <w:r w:rsidR="005B2A41">
        <w:t xml:space="preserve"> </w:t>
      </w:r>
      <w:r w:rsidRPr="00B02247">
        <w:t>the</w:t>
      </w:r>
      <w:r w:rsidR="005B2A41">
        <w:t xml:space="preserve"> </w:t>
      </w:r>
      <w:r w:rsidRPr="00B02247">
        <w:t>ILO</w:t>
      </w:r>
      <w:r w:rsidR="005B2A41">
        <w:t xml:space="preserve"> </w:t>
      </w:r>
      <w:r w:rsidRPr="00B02247">
        <w:t>Conventions</w:t>
      </w:r>
      <w:r w:rsidR="005B2A41">
        <w:t xml:space="preserve"> </w:t>
      </w:r>
      <w:r w:rsidRPr="00B02247">
        <w:t>mentioned</w:t>
      </w:r>
      <w:r w:rsidR="005B2A41">
        <w:t xml:space="preserve"> </w:t>
      </w:r>
      <w:r w:rsidRPr="00B02247">
        <w:t>in</w:t>
      </w:r>
      <w:r w:rsidR="005B2A41">
        <w:t xml:space="preserve"> </w:t>
      </w:r>
      <w:r w:rsidRPr="00B02247">
        <w:t>Appendix</w:t>
      </w:r>
      <w:r w:rsidR="005B2A41">
        <w:t xml:space="preserve"> </w:t>
      </w:r>
      <w:r w:rsidRPr="00B02247">
        <w:t>2</w:t>
      </w:r>
      <w:r w:rsidR="005B2A41">
        <w:t xml:space="preserve"> </w:t>
      </w:r>
      <w:r w:rsidRPr="00B02247">
        <w:t>C</w:t>
      </w:r>
      <w:r w:rsidR="005B2A41">
        <w:t xml:space="preserve"> </w:t>
      </w:r>
      <w:r w:rsidRPr="00B02247">
        <w:t>of</w:t>
      </w:r>
      <w:r w:rsidR="005B2A41">
        <w:t xml:space="preserve"> </w:t>
      </w:r>
      <w:r w:rsidRPr="00B02247">
        <w:t>the</w:t>
      </w:r>
      <w:r w:rsidR="005B2A41">
        <w:t xml:space="preserve"> </w:t>
      </w:r>
      <w:r w:rsidRPr="00B02247">
        <w:t>Guidelines,</w:t>
      </w:r>
      <w:r w:rsidR="005B2A41">
        <w:t xml:space="preserve"> </w:t>
      </w:r>
      <w:r w:rsidRPr="00B02247">
        <w:t>Greece</w:t>
      </w:r>
      <w:r w:rsidR="005B2A41">
        <w:t xml:space="preserve"> </w:t>
      </w:r>
      <w:r w:rsidRPr="00B02247">
        <w:t>has</w:t>
      </w:r>
      <w:r w:rsidR="005B2A41">
        <w:t xml:space="preserve"> </w:t>
      </w:r>
      <w:r w:rsidRPr="00B02247">
        <w:t>ratified</w:t>
      </w:r>
      <w:r w:rsidR="005B2A41">
        <w:t xml:space="preserve"> </w:t>
      </w:r>
      <w:r w:rsidRPr="00B02247">
        <w:t>the</w:t>
      </w:r>
      <w:r w:rsidR="005B2A41">
        <w:t xml:space="preserve"> </w:t>
      </w:r>
      <w:r w:rsidRPr="00B02247">
        <w:t>following:</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Weekly</w:t>
      </w:r>
      <w:r w:rsidR="005B2A41">
        <w:t xml:space="preserve"> </w:t>
      </w:r>
      <w:r w:rsidR="00F233AB" w:rsidRPr="00B02247">
        <w:t>Rest</w:t>
      </w:r>
      <w:r w:rsidR="005B2A41">
        <w:t xml:space="preserve"> </w:t>
      </w:r>
      <w:r w:rsidR="00F233AB" w:rsidRPr="00B02247">
        <w:t>(Industry)</w:t>
      </w:r>
      <w:r w:rsidR="005B2A41">
        <w:t xml:space="preserve"> </w:t>
      </w:r>
      <w:r w:rsidR="00F233AB" w:rsidRPr="00B02247">
        <w:t>Convention,</w:t>
      </w:r>
      <w:r w:rsidR="005B2A41">
        <w:t xml:space="preserve"> </w:t>
      </w:r>
      <w:r w:rsidR="00F233AB" w:rsidRPr="00B02247">
        <w:t>1921</w:t>
      </w:r>
      <w:r w:rsidR="005B2A41">
        <w:t xml:space="preserve"> </w:t>
      </w:r>
      <w:r w:rsidR="00F233AB" w:rsidRPr="00B02247">
        <w:t>(No.</w:t>
      </w:r>
      <w:r w:rsidR="005B2A41">
        <w:t xml:space="preserve"> </w:t>
      </w:r>
      <w:r w:rsidR="00F233AB" w:rsidRPr="00B02247">
        <w:t>14);</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Forced</w:t>
      </w:r>
      <w:r w:rsidR="005B2A41">
        <w:t xml:space="preserve"> </w:t>
      </w:r>
      <w:r w:rsidR="00F233AB" w:rsidRPr="00B02247">
        <w:t>or</w:t>
      </w:r>
      <w:r w:rsidR="005B2A41">
        <w:t xml:space="preserve"> </w:t>
      </w:r>
      <w:r w:rsidR="00F233AB" w:rsidRPr="00B02247">
        <w:t>Compulsory</w:t>
      </w:r>
      <w:r w:rsidR="005B2A41">
        <w:t xml:space="preserve"> </w:t>
      </w:r>
      <w:r w:rsidR="00F233AB" w:rsidRPr="00B02247">
        <w:t>Labour</w:t>
      </w:r>
      <w:r w:rsidR="005B2A41">
        <w:t xml:space="preserve"> </w:t>
      </w:r>
      <w:r w:rsidR="00F233AB" w:rsidRPr="00B02247">
        <w:t>Convention,</w:t>
      </w:r>
      <w:r w:rsidR="005B2A41">
        <w:t xml:space="preserve"> </w:t>
      </w:r>
      <w:r w:rsidR="00F233AB" w:rsidRPr="00B02247">
        <w:t>1930</w:t>
      </w:r>
      <w:r w:rsidR="005B2A41">
        <w:t xml:space="preserve"> </w:t>
      </w:r>
      <w:r w:rsidR="00F233AB" w:rsidRPr="00B02247">
        <w:t>(No.</w:t>
      </w:r>
      <w:r w:rsidR="005B2A41">
        <w:t xml:space="preserve"> </w:t>
      </w:r>
      <w:r w:rsidR="00F233AB" w:rsidRPr="00B02247">
        <w:t>29),</w:t>
      </w:r>
      <w:r w:rsidR="005B2A41">
        <w:t xml:space="preserve"> </w:t>
      </w:r>
      <w:r w:rsidR="00F233AB" w:rsidRPr="00B02247">
        <w:t>law</w:t>
      </w:r>
      <w:r w:rsidR="005B2A41">
        <w:t xml:space="preserve"> </w:t>
      </w:r>
      <w:r w:rsidR="00F233AB" w:rsidRPr="00B02247">
        <w:t>2079/195;</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Labour</w:t>
      </w:r>
      <w:r w:rsidR="005B2A41">
        <w:t xml:space="preserve"> </w:t>
      </w:r>
      <w:r w:rsidR="00F233AB" w:rsidRPr="00B02247">
        <w:t>Inspection</w:t>
      </w:r>
      <w:r w:rsidR="005B2A41">
        <w:t xml:space="preserve"> </w:t>
      </w:r>
      <w:r w:rsidR="00F233AB" w:rsidRPr="00B02247">
        <w:t>Convention,</w:t>
      </w:r>
      <w:r w:rsidR="005B2A41">
        <w:t xml:space="preserve"> </w:t>
      </w:r>
      <w:r w:rsidR="00F233AB" w:rsidRPr="00B02247">
        <w:t>1947</w:t>
      </w:r>
      <w:r w:rsidR="005B2A41">
        <w:t xml:space="preserve"> </w:t>
      </w:r>
      <w:r w:rsidR="00F233AB" w:rsidRPr="00B02247">
        <w:t>(No.</w:t>
      </w:r>
      <w:r w:rsidR="005B2A41">
        <w:t xml:space="preserve"> </w:t>
      </w:r>
      <w:r w:rsidR="00F233AB" w:rsidRPr="00B02247">
        <w:t>81),</w:t>
      </w:r>
      <w:r w:rsidR="005B2A41">
        <w:t xml:space="preserve"> </w:t>
      </w:r>
      <w:r w:rsidR="00F233AB" w:rsidRPr="00B02247">
        <w:t>law</w:t>
      </w:r>
      <w:r w:rsidR="005B2A41">
        <w:t xml:space="preserve"> </w:t>
      </w:r>
      <w:r w:rsidR="00F233AB" w:rsidRPr="00B02247">
        <w:t>3249/1955;</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Freedom</w:t>
      </w:r>
      <w:r w:rsidR="005B2A41">
        <w:t xml:space="preserve"> </w:t>
      </w:r>
      <w:r w:rsidR="00F233AB" w:rsidRPr="00B02247">
        <w:t>of</w:t>
      </w:r>
      <w:r w:rsidR="005B2A41">
        <w:t xml:space="preserve"> </w:t>
      </w:r>
      <w:r w:rsidR="00F233AB" w:rsidRPr="00B02247">
        <w:t>Association</w:t>
      </w:r>
      <w:r w:rsidR="005B2A41">
        <w:t xml:space="preserve"> </w:t>
      </w:r>
      <w:r w:rsidR="00F233AB" w:rsidRPr="00B02247">
        <w:t>and</w:t>
      </w:r>
      <w:r w:rsidR="005B2A41">
        <w:t xml:space="preserve"> </w:t>
      </w:r>
      <w:r w:rsidR="00F233AB" w:rsidRPr="00B02247">
        <w:t>Protection</w:t>
      </w:r>
      <w:r w:rsidR="005B2A41">
        <w:t xml:space="preserve"> </w:t>
      </w:r>
      <w:r w:rsidR="00F233AB" w:rsidRPr="00B02247">
        <w:t>of</w:t>
      </w:r>
      <w:r w:rsidR="005B2A41">
        <w:t xml:space="preserve"> </w:t>
      </w:r>
      <w:r w:rsidR="00F233AB" w:rsidRPr="00B02247">
        <w:t>the</w:t>
      </w:r>
      <w:r w:rsidR="005B2A41">
        <w:t xml:space="preserve"> </w:t>
      </w:r>
      <w:r w:rsidR="00F233AB" w:rsidRPr="00B02247">
        <w:t>Right</w:t>
      </w:r>
      <w:r w:rsidR="005B2A41">
        <w:t xml:space="preserve"> </w:t>
      </w:r>
      <w:r w:rsidR="00F233AB" w:rsidRPr="00B02247">
        <w:t>to</w:t>
      </w:r>
      <w:r w:rsidR="005B2A41">
        <w:t xml:space="preserve"> </w:t>
      </w:r>
      <w:r w:rsidR="00F233AB" w:rsidRPr="00B02247">
        <w:t>Organise</w:t>
      </w:r>
      <w:r w:rsidR="005B2A41">
        <w:t xml:space="preserve"> </w:t>
      </w:r>
      <w:r w:rsidR="00F233AB" w:rsidRPr="00B02247">
        <w:t>Convention,</w:t>
      </w:r>
      <w:r w:rsidR="005B2A41">
        <w:t xml:space="preserve"> </w:t>
      </w:r>
      <w:r w:rsidR="00F233AB" w:rsidRPr="00B02247">
        <w:t>1948</w:t>
      </w:r>
      <w:r w:rsidR="005B2A41">
        <w:t xml:space="preserve"> </w:t>
      </w:r>
      <w:r w:rsidR="00F233AB" w:rsidRPr="00B02247">
        <w:t>(No.</w:t>
      </w:r>
      <w:r w:rsidR="005B2A41">
        <w:t xml:space="preserve"> </w:t>
      </w:r>
      <w:r w:rsidR="00F233AB" w:rsidRPr="00B02247">
        <w:t>87),</w:t>
      </w:r>
      <w:r w:rsidR="005B2A41">
        <w:t xml:space="preserve"> </w:t>
      </w:r>
      <w:r w:rsidR="00F233AB" w:rsidRPr="00B02247">
        <w:t>legislative</w:t>
      </w:r>
      <w:r w:rsidR="005B2A41">
        <w:t xml:space="preserve"> </w:t>
      </w:r>
      <w:r w:rsidR="00F233AB" w:rsidRPr="00B02247">
        <w:t>decree</w:t>
      </w:r>
      <w:r w:rsidR="005B2A41">
        <w:t xml:space="preserve"> </w:t>
      </w:r>
      <w:r w:rsidR="00F233AB" w:rsidRPr="00B02247">
        <w:t>4204/1961;</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Right</w:t>
      </w:r>
      <w:r w:rsidR="005B2A41">
        <w:t xml:space="preserve"> </w:t>
      </w:r>
      <w:r w:rsidR="00F233AB" w:rsidRPr="00B02247">
        <w:t>to</w:t>
      </w:r>
      <w:r w:rsidR="005B2A41">
        <w:t xml:space="preserve"> </w:t>
      </w:r>
      <w:r w:rsidR="00F233AB" w:rsidRPr="00B02247">
        <w:t>Organize</w:t>
      </w:r>
      <w:r w:rsidR="005B2A41">
        <w:t xml:space="preserve"> </w:t>
      </w:r>
      <w:r w:rsidR="00F233AB" w:rsidRPr="00B02247">
        <w:t>and</w:t>
      </w:r>
      <w:r w:rsidR="005B2A41">
        <w:t xml:space="preserve"> </w:t>
      </w:r>
      <w:r w:rsidR="00F233AB" w:rsidRPr="00B02247">
        <w:t>Collective</w:t>
      </w:r>
      <w:r w:rsidR="005B2A41">
        <w:t xml:space="preserve"> </w:t>
      </w:r>
      <w:r w:rsidR="00F233AB" w:rsidRPr="00B02247">
        <w:t>Bargaining</w:t>
      </w:r>
      <w:r w:rsidR="005B2A41">
        <w:t xml:space="preserve"> </w:t>
      </w:r>
      <w:r w:rsidR="00F233AB" w:rsidRPr="00B02247">
        <w:t>Convention,</w:t>
      </w:r>
      <w:r w:rsidR="005B2A41">
        <w:t xml:space="preserve"> </w:t>
      </w:r>
      <w:r w:rsidR="00F233AB" w:rsidRPr="00B02247">
        <w:t>1949</w:t>
      </w:r>
      <w:r w:rsidR="005B2A41">
        <w:t xml:space="preserve"> </w:t>
      </w:r>
      <w:r w:rsidR="00F233AB" w:rsidRPr="00B02247">
        <w:t>(No.</w:t>
      </w:r>
      <w:r w:rsidR="005B2A41">
        <w:t xml:space="preserve"> </w:t>
      </w:r>
      <w:r w:rsidR="00F233AB" w:rsidRPr="00B02247">
        <w:t>98),</w:t>
      </w:r>
      <w:r w:rsidR="005B2A41">
        <w:t xml:space="preserve"> </w:t>
      </w:r>
      <w:r w:rsidR="00F233AB" w:rsidRPr="00B02247">
        <w:t>legislative</w:t>
      </w:r>
      <w:r w:rsidR="005B2A41">
        <w:t xml:space="preserve"> </w:t>
      </w:r>
      <w:r w:rsidR="00F233AB" w:rsidRPr="00B02247">
        <w:t>decree</w:t>
      </w:r>
      <w:r w:rsidR="005B2A41">
        <w:t xml:space="preserve"> </w:t>
      </w:r>
      <w:r w:rsidR="00F233AB" w:rsidRPr="00B02247">
        <w:t>4205/1961;</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Equal</w:t>
      </w:r>
      <w:r w:rsidR="005B2A41">
        <w:t xml:space="preserve"> </w:t>
      </w:r>
      <w:r w:rsidR="00F233AB" w:rsidRPr="00B02247">
        <w:t>Remuneration</w:t>
      </w:r>
      <w:r w:rsidR="005B2A41">
        <w:t xml:space="preserve"> </w:t>
      </w:r>
      <w:r w:rsidR="00F233AB" w:rsidRPr="00B02247">
        <w:t>Convention</w:t>
      </w:r>
      <w:r w:rsidR="005B2A41">
        <w:t xml:space="preserve"> </w:t>
      </w:r>
      <w:r w:rsidR="00F233AB" w:rsidRPr="00B02247">
        <w:t>1951</w:t>
      </w:r>
      <w:r w:rsidR="005B2A41">
        <w:t xml:space="preserve"> </w:t>
      </w:r>
      <w:r w:rsidR="00F233AB" w:rsidRPr="00B02247">
        <w:t>(No.</w:t>
      </w:r>
      <w:r w:rsidR="005B2A41">
        <w:t xml:space="preserve"> </w:t>
      </w:r>
      <w:r w:rsidR="00F233AB" w:rsidRPr="00B02247">
        <w:t>100),</w:t>
      </w:r>
      <w:r w:rsidR="005B2A41">
        <w:t xml:space="preserve"> </w:t>
      </w:r>
      <w:r w:rsidR="00F233AB" w:rsidRPr="00B02247">
        <w:t>law</w:t>
      </w:r>
      <w:r w:rsidR="005B2A41">
        <w:t xml:space="preserve"> </w:t>
      </w:r>
      <w:r w:rsidR="00F233AB" w:rsidRPr="00B02247">
        <w:t>46/1975;</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Social</w:t>
      </w:r>
      <w:r w:rsidR="005B2A41">
        <w:t xml:space="preserve"> </w:t>
      </w:r>
      <w:r w:rsidR="00F233AB" w:rsidRPr="00B02247">
        <w:t>Security</w:t>
      </w:r>
      <w:r w:rsidR="005B2A41">
        <w:t xml:space="preserve"> </w:t>
      </w:r>
      <w:r w:rsidR="00F233AB" w:rsidRPr="00B02247">
        <w:t>(Minimum</w:t>
      </w:r>
      <w:r w:rsidR="005B2A41">
        <w:t xml:space="preserve"> </w:t>
      </w:r>
      <w:r w:rsidR="00F233AB" w:rsidRPr="00B02247">
        <w:t>Standards)</w:t>
      </w:r>
      <w:r w:rsidR="005B2A41">
        <w:t xml:space="preserve"> </w:t>
      </w:r>
      <w:r w:rsidR="00F233AB" w:rsidRPr="00B02247">
        <w:t>Convention,</w:t>
      </w:r>
      <w:r w:rsidR="005B2A41">
        <w:t xml:space="preserve"> </w:t>
      </w:r>
      <w:r w:rsidR="00F233AB" w:rsidRPr="00B02247">
        <w:t>1952</w:t>
      </w:r>
      <w:r w:rsidR="005B2A41">
        <w:t xml:space="preserve"> </w:t>
      </w:r>
      <w:r w:rsidR="00F233AB" w:rsidRPr="00B02247">
        <w:t>(No.</w:t>
      </w:r>
      <w:r w:rsidR="005B2A41">
        <w:t xml:space="preserve"> </w:t>
      </w:r>
      <w:r w:rsidR="00F233AB" w:rsidRPr="00B02247">
        <w:t>102),</w:t>
      </w:r>
      <w:r w:rsidR="005B2A41">
        <w:t xml:space="preserve"> </w:t>
      </w:r>
      <w:r w:rsidR="00F233AB" w:rsidRPr="00B02247">
        <w:t>law</w:t>
      </w:r>
      <w:r w:rsidR="005B2A41">
        <w:t xml:space="preserve"> </w:t>
      </w:r>
      <w:r w:rsidR="00F233AB" w:rsidRPr="00B02247">
        <w:t>3251/1955;</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Abolition</w:t>
      </w:r>
      <w:r w:rsidR="005B2A41">
        <w:t xml:space="preserve"> </w:t>
      </w:r>
      <w:r w:rsidR="00F233AB" w:rsidRPr="00B02247">
        <w:t>of</w:t>
      </w:r>
      <w:r w:rsidR="005B2A41">
        <w:t xml:space="preserve"> </w:t>
      </w:r>
      <w:r w:rsidR="00F233AB" w:rsidRPr="00B02247">
        <w:t>Forced</w:t>
      </w:r>
      <w:r w:rsidR="005B2A41">
        <w:t xml:space="preserve"> </w:t>
      </w:r>
      <w:r w:rsidR="00F233AB" w:rsidRPr="00B02247">
        <w:t>Labour</w:t>
      </w:r>
      <w:r w:rsidR="005B2A41">
        <w:t xml:space="preserve"> </w:t>
      </w:r>
      <w:r w:rsidR="00F233AB" w:rsidRPr="00B02247">
        <w:t>Convention,</w:t>
      </w:r>
      <w:r w:rsidR="005B2A41">
        <w:t xml:space="preserve"> </w:t>
      </w:r>
      <w:r w:rsidR="00F233AB" w:rsidRPr="00B02247">
        <w:t>1957</w:t>
      </w:r>
      <w:r w:rsidR="005B2A41">
        <w:t xml:space="preserve"> </w:t>
      </w:r>
      <w:r w:rsidR="00F233AB" w:rsidRPr="00B02247">
        <w:t>(No.</w:t>
      </w:r>
      <w:r w:rsidR="005B2A41">
        <w:t xml:space="preserve"> </w:t>
      </w:r>
      <w:r w:rsidR="00F233AB" w:rsidRPr="00B02247">
        <w:t>105),</w:t>
      </w:r>
      <w:r w:rsidR="005B2A41">
        <w:t xml:space="preserve"> </w:t>
      </w:r>
      <w:r w:rsidR="00F233AB" w:rsidRPr="00B02247">
        <w:t>legislative</w:t>
      </w:r>
      <w:r w:rsidR="005B2A41">
        <w:t xml:space="preserve"> </w:t>
      </w:r>
      <w:r w:rsidR="00F233AB" w:rsidRPr="00B02247">
        <w:t>decree</w:t>
      </w:r>
      <w:r w:rsidR="005B2A41">
        <w:t xml:space="preserve"> </w:t>
      </w:r>
      <w:r w:rsidR="00F233AB" w:rsidRPr="00B02247">
        <w:t>4221/1961;</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Weekly</w:t>
      </w:r>
      <w:r w:rsidR="005B2A41">
        <w:t xml:space="preserve"> </w:t>
      </w:r>
      <w:r w:rsidR="00F233AB" w:rsidRPr="00B02247">
        <w:t>Rest</w:t>
      </w:r>
      <w:r w:rsidR="005B2A41">
        <w:t xml:space="preserve"> </w:t>
      </w:r>
      <w:r w:rsidR="00F233AB" w:rsidRPr="00B02247">
        <w:t>(Commerce</w:t>
      </w:r>
      <w:r w:rsidR="005B2A41">
        <w:t xml:space="preserve"> </w:t>
      </w:r>
      <w:r w:rsidR="00F233AB" w:rsidRPr="00B02247">
        <w:t>and</w:t>
      </w:r>
      <w:r w:rsidR="005B2A41">
        <w:t xml:space="preserve"> </w:t>
      </w:r>
      <w:r w:rsidR="00F233AB" w:rsidRPr="00B02247">
        <w:t>Offices)</w:t>
      </w:r>
      <w:r w:rsidR="005B2A41">
        <w:t xml:space="preserve"> </w:t>
      </w:r>
      <w:r w:rsidR="00F233AB" w:rsidRPr="00B02247">
        <w:t>Convention,</w:t>
      </w:r>
      <w:r w:rsidR="005B2A41">
        <w:t xml:space="preserve"> </w:t>
      </w:r>
      <w:r w:rsidR="00F233AB" w:rsidRPr="00B02247">
        <w:t>1957</w:t>
      </w:r>
      <w:r w:rsidR="005B2A41">
        <w:t xml:space="preserve"> </w:t>
      </w:r>
      <w:r w:rsidR="00F233AB" w:rsidRPr="00B02247">
        <w:t>(No.</w:t>
      </w:r>
      <w:r w:rsidR="005B2A41">
        <w:t xml:space="preserve"> </w:t>
      </w:r>
      <w:r w:rsidR="00F233AB" w:rsidRPr="00B02247">
        <w:t>106),</w:t>
      </w:r>
      <w:r w:rsidR="005B2A41">
        <w:t xml:space="preserve"> </w:t>
      </w:r>
      <w:r w:rsidR="00F233AB" w:rsidRPr="00B02247">
        <w:t>law</w:t>
      </w:r>
      <w:r w:rsidR="005B2A41">
        <w:t xml:space="preserve"> </w:t>
      </w:r>
      <w:r w:rsidR="00F233AB" w:rsidRPr="00B02247">
        <w:t>1174/1981;</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Discrimination</w:t>
      </w:r>
      <w:r w:rsidR="005B2A41">
        <w:t xml:space="preserve"> </w:t>
      </w:r>
      <w:r w:rsidR="00F233AB" w:rsidRPr="00B02247">
        <w:t>(Employment</w:t>
      </w:r>
      <w:r w:rsidR="005B2A41">
        <w:t xml:space="preserve"> </w:t>
      </w:r>
      <w:r w:rsidR="00F233AB" w:rsidRPr="00B02247">
        <w:t>and</w:t>
      </w:r>
      <w:r w:rsidR="005B2A41">
        <w:t xml:space="preserve"> </w:t>
      </w:r>
      <w:r w:rsidR="00F233AB" w:rsidRPr="00B02247">
        <w:t>Occupation)</w:t>
      </w:r>
      <w:r w:rsidR="005B2A41">
        <w:t xml:space="preserve"> </w:t>
      </w:r>
      <w:r w:rsidR="00F233AB" w:rsidRPr="00B02247">
        <w:t>Convention,</w:t>
      </w:r>
      <w:r w:rsidR="005B2A41">
        <w:t xml:space="preserve"> </w:t>
      </w:r>
      <w:r w:rsidR="00F233AB" w:rsidRPr="00B02247">
        <w:t>1958</w:t>
      </w:r>
      <w:r w:rsidR="005B2A41">
        <w:t xml:space="preserve"> </w:t>
      </w:r>
      <w:r w:rsidR="00F233AB" w:rsidRPr="00B02247">
        <w:t>(No.</w:t>
      </w:r>
      <w:r w:rsidR="005B2A41">
        <w:t xml:space="preserve"> </w:t>
      </w:r>
      <w:r w:rsidR="00F233AB" w:rsidRPr="00B02247">
        <w:t>111),</w:t>
      </w:r>
      <w:r w:rsidR="005B2A41">
        <w:t xml:space="preserve"> </w:t>
      </w:r>
      <w:r w:rsidR="00F233AB" w:rsidRPr="00B02247">
        <w:t>law</w:t>
      </w:r>
      <w:r w:rsidR="005B2A41">
        <w:t xml:space="preserve"> </w:t>
      </w:r>
      <w:r w:rsidR="00F233AB" w:rsidRPr="00B02247">
        <w:t>1424/1984;</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Employment</w:t>
      </w:r>
      <w:r w:rsidR="005B2A41">
        <w:t xml:space="preserve"> </w:t>
      </w:r>
      <w:r w:rsidR="00F233AB" w:rsidRPr="00B02247">
        <w:t>Policy</w:t>
      </w:r>
      <w:r w:rsidR="005B2A41">
        <w:t xml:space="preserve"> </w:t>
      </w:r>
      <w:r w:rsidR="00F233AB" w:rsidRPr="00B02247">
        <w:t>Convention,</w:t>
      </w:r>
      <w:r w:rsidR="005B2A41">
        <w:t xml:space="preserve"> </w:t>
      </w:r>
      <w:r w:rsidR="00F233AB" w:rsidRPr="00B02247">
        <w:t>1964</w:t>
      </w:r>
      <w:r w:rsidR="005B2A41">
        <w:t xml:space="preserve"> </w:t>
      </w:r>
      <w:r w:rsidR="00F233AB" w:rsidRPr="00B02247">
        <w:t>(No.</w:t>
      </w:r>
      <w:r w:rsidR="005B2A41">
        <w:t xml:space="preserve"> </w:t>
      </w:r>
      <w:r w:rsidR="00F233AB" w:rsidRPr="00B02247">
        <w:t>122),</w:t>
      </w:r>
      <w:r w:rsidR="005B2A41">
        <w:t xml:space="preserve"> </w:t>
      </w:r>
      <w:r w:rsidR="00F233AB" w:rsidRPr="00B02247">
        <w:t>law</w:t>
      </w:r>
      <w:r w:rsidR="005B2A41">
        <w:t xml:space="preserve"> </w:t>
      </w:r>
      <w:r w:rsidR="00F233AB" w:rsidRPr="00B02247">
        <w:t>1423/1984;</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Minimum</w:t>
      </w:r>
      <w:r w:rsidR="005B2A41">
        <w:t xml:space="preserve"> </w:t>
      </w:r>
      <w:r w:rsidR="00F233AB" w:rsidRPr="00B02247">
        <w:t>Age</w:t>
      </w:r>
      <w:r w:rsidR="005B2A41">
        <w:t xml:space="preserve"> </w:t>
      </w:r>
      <w:r w:rsidR="00F233AB" w:rsidRPr="00B02247">
        <w:t>Convention,</w:t>
      </w:r>
      <w:r w:rsidR="005B2A41">
        <w:t xml:space="preserve"> </w:t>
      </w:r>
      <w:r w:rsidR="00F233AB" w:rsidRPr="00B02247">
        <w:t>1973</w:t>
      </w:r>
      <w:r w:rsidR="005B2A41">
        <w:t xml:space="preserve"> </w:t>
      </w:r>
      <w:r w:rsidR="00F233AB" w:rsidRPr="00B02247">
        <w:t>(No.</w:t>
      </w:r>
      <w:r w:rsidR="005B2A41">
        <w:t xml:space="preserve"> </w:t>
      </w:r>
      <w:r w:rsidR="00F233AB" w:rsidRPr="00B02247">
        <w:t>138),</w:t>
      </w:r>
      <w:r w:rsidR="005B2A41">
        <w:t xml:space="preserve"> </w:t>
      </w:r>
      <w:r w:rsidR="00F233AB" w:rsidRPr="00B02247">
        <w:t>Law</w:t>
      </w:r>
      <w:r w:rsidR="005B2A41">
        <w:t xml:space="preserve"> </w:t>
      </w:r>
      <w:r w:rsidR="00F233AB" w:rsidRPr="00B02247">
        <w:t>1182/1981;</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Labour</w:t>
      </w:r>
      <w:r w:rsidR="005B2A41">
        <w:t xml:space="preserve"> </w:t>
      </w:r>
      <w:r w:rsidR="00F233AB" w:rsidRPr="00B02247">
        <w:t>Relations</w:t>
      </w:r>
      <w:r w:rsidR="005B2A41">
        <w:t xml:space="preserve"> </w:t>
      </w:r>
      <w:r w:rsidR="00F233AB" w:rsidRPr="00B02247">
        <w:t>(Public</w:t>
      </w:r>
      <w:r w:rsidR="005B2A41">
        <w:t xml:space="preserve"> </w:t>
      </w:r>
      <w:r w:rsidR="00F233AB" w:rsidRPr="00B02247">
        <w:t>Service)</w:t>
      </w:r>
      <w:r w:rsidR="005B2A41">
        <w:t xml:space="preserve"> </w:t>
      </w:r>
      <w:r w:rsidR="00F233AB" w:rsidRPr="00B02247">
        <w:t>Convention,</w:t>
      </w:r>
      <w:r w:rsidR="005B2A41">
        <w:t xml:space="preserve"> </w:t>
      </w:r>
      <w:r w:rsidR="00F233AB" w:rsidRPr="00B02247">
        <w:t>1978</w:t>
      </w:r>
      <w:r w:rsidR="005B2A41">
        <w:t xml:space="preserve"> </w:t>
      </w:r>
      <w:r w:rsidR="00F233AB" w:rsidRPr="00B02247">
        <w:t>(No.</w:t>
      </w:r>
      <w:r w:rsidR="005B2A41">
        <w:t xml:space="preserve"> </w:t>
      </w:r>
      <w:r w:rsidR="00F233AB" w:rsidRPr="00B02247">
        <w:t>151),</w:t>
      </w:r>
      <w:r w:rsidR="005B2A41">
        <w:t xml:space="preserve"> </w:t>
      </w:r>
      <w:r w:rsidR="00F233AB" w:rsidRPr="00B02247">
        <w:t>Law</w:t>
      </w:r>
      <w:r w:rsidR="005B2A41">
        <w:t xml:space="preserve"> </w:t>
      </w:r>
      <w:r w:rsidR="00F233AB" w:rsidRPr="00B02247">
        <w:t>2405/1996;</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Equal</w:t>
      </w:r>
      <w:r w:rsidR="005B2A41">
        <w:t xml:space="preserve"> </w:t>
      </w:r>
      <w:r w:rsidR="00F233AB" w:rsidRPr="00B02247">
        <w:t>Opportunities</w:t>
      </w:r>
      <w:r w:rsidR="005B2A41">
        <w:t xml:space="preserve"> </w:t>
      </w:r>
      <w:r w:rsidR="00F233AB" w:rsidRPr="00B02247">
        <w:t>and</w:t>
      </w:r>
      <w:r w:rsidR="005B2A41">
        <w:t xml:space="preserve"> </w:t>
      </w:r>
      <w:r w:rsidR="00F233AB" w:rsidRPr="00B02247">
        <w:t>Equal</w:t>
      </w:r>
      <w:r w:rsidR="005B2A41">
        <w:t xml:space="preserve"> </w:t>
      </w:r>
      <w:r w:rsidR="00F233AB" w:rsidRPr="00B02247">
        <w:t>Treatment</w:t>
      </w:r>
      <w:r w:rsidR="005B2A41">
        <w:t xml:space="preserve"> </w:t>
      </w:r>
      <w:r w:rsidR="00F233AB" w:rsidRPr="00B02247">
        <w:t>for</w:t>
      </w:r>
      <w:r w:rsidR="005B2A41">
        <w:t xml:space="preserve"> </w:t>
      </w:r>
      <w:r w:rsidR="00F233AB" w:rsidRPr="00B02247">
        <w:t>Men</w:t>
      </w:r>
      <w:r w:rsidR="005B2A41">
        <w:t xml:space="preserve"> </w:t>
      </w:r>
      <w:r w:rsidR="00F233AB" w:rsidRPr="00B02247">
        <w:t>and</w:t>
      </w:r>
      <w:r w:rsidR="005B2A41">
        <w:t xml:space="preserve"> </w:t>
      </w:r>
      <w:r w:rsidR="00F233AB" w:rsidRPr="00B02247">
        <w:t>Women</w:t>
      </w:r>
      <w:r w:rsidR="005B2A41">
        <w:t xml:space="preserve"> </w:t>
      </w:r>
      <w:r w:rsidR="00F233AB" w:rsidRPr="00B02247">
        <w:t>Workers:</w:t>
      </w:r>
      <w:r w:rsidR="005B2A41">
        <w:t xml:space="preserve"> </w:t>
      </w:r>
      <w:r w:rsidR="00F233AB" w:rsidRPr="00B02247">
        <w:t>Workers</w:t>
      </w:r>
      <w:r w:rsidR="005B2A41">
        <w:t xml:space="preserve"> </w:t>
      </w:r>
      <w:r w:rsidR="00F233AB" w:rsidRPr="00B02247">
        <w:t>with</w:t>
      </w:r>
      <w:r w:rsidR="005B2A41">
        <w:t xml:space="preserve"> </w:t>
      </w:r>
      <w:r w:rsidR="00F233AB" w:rsidRPr="00B02247">
        <w:t>Family</w:t>
      </w:r>
      <w:r w:rsidR="005B2A41">
        <w:t xml:space="preserve"> </w:t>
      </w:r>
      <w:r w:rsidR="00F233AB" w:rsidRPr="00B02247">
        <w:t>Responsibilities</w:t>
      </w:r>
      <w:r w:rsidR="005B2A41">
        <w:t xml:space="preserve"> </w:t>
      </w:r>
      <w:r w:rsidR="00F233AB" w:rsidRPr="00B02247">
        <w:t>Convention,</w:t>
      </w:r>
      <w:r w:rsidR="005B2A41">
        <w:t xml:space="preserve"> </w:t>
      </w:r>
      <w:r w:rsidR="00F233AB" w:rsidRPr="00B02247">
        <w:t>1981</w:t>
      </w:r>
      <w:r w:rsidR="005B2A41">
        <w:t xml:space="preserve"> </w:t>
      </w:r>
      <w:r w:rsidR="00F233AB" w:rsidRPr="00B02247">
        <w:t>(No.</w:t>
      </w:r>
      <w:r w:rsidR="005B2A41">
        <w:t xml:space="preserve"> </w:t>
      </w:r>
      <w:r w:rsidR="00F233AB" w:rsidRPr="00B02247">
        <w:t>156),</w:t>
      </w:r>
      <w:r w:rsidR="005B2A41">
        <w:t xml:space="preserve"> </w:t>
      </w:r>
      <w:r w:rsidR="00F233AB" w:rsidRPr="00B02247">
        <w:t>Law</w:t>
      </w:r>
      <w:r w:rsidR="005B2A41">
        <w:t xml:space="preserve"> </w:t>
      </w:r>
      <w:r w:rsidR="00F233AB" w:rsidRPr="00B02247">
        <w:t>1576/1985;</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Worst</w:t>
      </w:r>
      <w:r w:rsidR="005B2A41">
        <w:t xml:space="preserve"> </w:t>
      </w:r>
      <w:r w:rsidR="00F233AB" w:rsidRPr="00B02247">
        <w:t>Forms</w:t>
      </w:r>
      <w:r w:rsidR="005B2A41">
        <w:t xml:space="preserve"> </w:t>
      </w:r>
      <w:r w:rsidR="00F233AB" w:rsidRPr="00B02247">
        <w:t>of</w:t>
      </w:r>
      <w:r w:rsidR="005B2A41">
        <w:t xml:space="preserve"> </w:t>
      </w:r>
      <w:r w:rsidR="00F233AB" w:rsidRPr="00B02247">
        <w:t>Child</w:t>
      </w:r>
      <w:r w:rsidR="005B2A41">
        <w:t xml:space="preserve"> </w:t>
      </w:r>
      <w:r w:rsidR="00F233AB" w:rsidRPr="00B02247">
        <w:t>Labour</w:t>
      </w:r>
      <w:r w:rsidR="005B2A41">
        <w:t xml:space="preserve"> </w:t>
      </w:r>
      <w:r w:rsidR="00F233AB" w:rsidRPr="00B02247">
        <w:t>Convention,</w:t>
      </w:r>
      <w:r w:rsidR="005B2A41">
        <w:t xml:space="preserve"> </w:t>
      </w:r>
      <w:r w:rsidR="00F233AB" w:rsidRPr="00B02247">
        <w:t>1999</w:t>
      </w:r>
      <w:r w:rsidR="005B2A41">
        <w:t xml:space="preserve"> </w:t>
      </w:r>
      <w:r w:rsidR="00F233AB" w:rsidRPr="00B02247">
        <w:t>(No.</w:t>
      </w:r>
      <w:r w:rsidR="005B2A41">
        <w:t xml:space="preserve"> </w:t>
      </w:r>
      <w:r w:rsidR="00F233AB" w:rsidRPr="00B02247">
        <w:t>182),</w:t>
      </w:r>
      <w:r w:rsidR="005B2A41">
        <w:t xml:space="preserve"> </w:t>
      </w:r>
      <w:r w:rsidR="00F233AB" w:rsidRPr="00B02247">
        <w:t>Law</w:t>
      </w:r>
      <w:r w:rsidR="005B2A41">
        <w:t xml:space="preserve"> </w:t>
      </w:r>
      <w:r w:rsidR="00F233AB" w:rsidRPr="00B02247">
        <w:t>2918/2001.</w:t>
      </w:r>
    </w:p>
    <w:p w:rsidR="00F233AB" w:rsidRPr="00B02247" w:rsidRDefault="00F233AB" w:rsidP="00F20016">
      <w:pPr>
        <w:pStyle w:val="H23G"/>
      </w:pPr>
      <w:bookmarkStart w:id="4" w:name="_Toc133268797"/>
      <w:r w:rsidRPr="00B02247">
        <w:tab/>
        <w:t>4.</w:t>
      </w:r>
      <w:r w:rsidRPr="00B02247">
        <w:tab/>
        <w:t>Conventions</w:t>
      </w:r>
      <w:r w:rsidR="005B2A41">
        <w:t xml:space="preserve"> </w:t>
      </w:r>
      <w:r w:rsidRPr="00B02247">
        <w:t>of</w:t>
      </w:r>
      <w:r w:rsidR="005B2A41">
        <w:t xml:space="preserve"> </w:t>
      </w:r>
      <w:r w:rsidRPr="00B02247">
        <w:t>the</w:t>
      </w:r>
      <w:r w:rsidR="005B2A41">
        <w:t xml:space="preserve"> </w:t>
      </w:r>
      <w:r w:rsidRPr="00B02247">
        <w:t>Hague</w:t>
      </w:r>
      <w:r w:rsidR="005B2A41">
        <w:t xml:space="preserve"> </w:t>
      </w:r>
      <w:r w:rsidRPr="00B02247">
        <w:t>Conference</w:t>
      </w:r>
      <w:r w:rsidR="005B2A41">
        <w:t xml:space="preserve"> </w:t>
      </w:r>
      <w:r w:rsidRPr="00B02247">
        <w:t>on</w:t>
      </w:r>
      <w:r w:rsidR="005B2A41">
        <w:t xml:space="preserve"> </w:t>
      </w:r>
      <w:r w:rsidRPr="00B02247">
        <w:t>Private</w:t>
      </w:r>
      <w:r w:rsidR="005B2A41">
        <w:t xml:space="preserve"> </w:t>
      </w:r>
      <w:r w:rsidRPr="00B02247">
        <w:t>International</w:t>
      </w:r>
      <w:r w:rsidR="005B2A41">
        <w:t xml:space="preserve"> </w:t>
      </w:r>
      <w:r w:rsidRPr="00B02247">
        <w:t>Law</w:t>
      </w:r>
      <w:bookmarkEnd w:id="4"/>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Convention</w:t>
      </w:r>
      <w:r w:rsidR="005B2A41">
        <w:t xml:space="preserve"> </w:t>
      </w:r>
      <w:r w:rsidR="00F233AB" w:rsidRPr="00B02247">
        <w:t>on</w:t>
      </w:r>
      <w:r w:rsidR="005B2A41">
        <w:t xml:space="preserve"> </w:t>
      </w:r>
      <w:r w:rsidR="00F233AB" w:rsidRPr="00B02247">
        <w:t>the</w:t>
      </w:r>
      <w:r w:rsidR="005B2A41">
        <w:t xml:space="preserve"> </w:t>
      </w:r>
      <w:r w:rsidR="00F233AB" w:rsidRPr="00B02247">
        <w:t>Law</w:t>
      </w:r>
      <w:r w:rsidR="005B2A41">
        <w:t xml:space="preserve"> </w:t>
      </w:r>
      <w:r w:rsidR="00F233AB" w:rsidRPr="00B02247">
        <w:t>Applicable</w:t>
      </w:r>
      <w:r w:rsidR="005B2A41">
        <w:t xml:space="preserve"> </w:t>
      </w:r>
      <w:r w:rsidR="00F233AB" w:rsidRPr="00B02247">
        <w:t>to</w:t>
      </w:r>
      <w:r w:rsidR="005B2A41">
        <w:t xml:space="preserve"> </w:t>
      </w:r>
      <w:r w:rsidR="00F233AB" w:rsidRPr="00B02247">
        <w:t>Maintenance</w:t>
      </w:r>
      <w:r w:rsidR="005B2A41">
        <w:t xml:space="preserve"> </w:t>
      </w:r>
      <w:r w:rsidR="00F233AB" w:rsidRPr="00B02247">
        <w:t>Obligations,</w:t>
      </w:r>
      <w:r w:rsidR="005B2A41">
        <w:t xml:space="preserve"> </w:t>
      </w:r>
      <w:r w:rsidR="00F233AB" w:rsidRPr="00B02247">
        <w:t>1973;</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Convention</w:t>
      </w:r>
      <w:r w:rsidR="005B2A41">
        <w:t xml:space="preserve"> </w:t>
      </w:r>
      <w:r w:rsidR="00F233AB" w:rsidRPr="00B02247">
        <w:t>on</w:t>
      </w:r>
      <w:r w:rsidR="005B2A41">
        <w:t xml:space="preserve"> </w:t>
      </w:r>
      <w:r w:rsidR="00F233AB" w:rsidRPr="00B02247">
        <w:t>the</w:t>
      </w:r>
      <w:r w:rsidR="005B2A41">
        <w:t xml:space="preserve"> </w:t>
      </w:r>
      <w:r w:rsidR="00F233AB" w:rsidRPr="00B02247">
        <w:t>Recognition</w:t>
      </w:r>
      <w:r w:rsidR="005B2A41">
        <w:t xml:space="preserve"> </w:t>
      </w:r>
      <w:r w:rsidR="00F233AB" w:rsidRPr="00B02247">
        <w:t>and</w:t>
      </w:r>
      <w:r w:rsidR="005B2A41">
        <w:t xml:space="preserve"> </w:t>
      </w:r>
      <w:r w:rsidR="00F233AB" w:rsidRPr="00B02247">
        <w:t>Enforcement</w:t>
      </w:r>
      <w:r w:rsidR="005B2A41">
        <w:t xml:space="preserve"> </w:t>
      </w:r>
      <w:r w:rsidR="00F233AB" w:rsidRPr="00B02247">
        <w:t>of</w:t>
      </w:r>
      <w:r w:rsidR="005B2A41">
        <w:t xml:space="preserve"> </w:t>
      </w:r>
      <w:r w:rsidR="00F233AB" w:rsidRPr="00B02247">
        <w:t>Decisions</w:t>
      </w:r>
      <w:r w:rsidR="005B2A41">
        <w:t xml:space="preserve"> </w:t>
      </w:r>
      <w:r w:rsidR="00F233AB" w:rsidRPr="00B02247">
        <w:t>relating</w:t>
      </w:r>
      <w:r w:rsidR="005B2A41">
        <w:t xml:space="preserve"> </w:t>
      </w:r>
      <w:r w:rsidR="00F233AB" w:rsidRPr="00B02247">
        <w:t>to</w:t>
      </w:r>
      <w:r w:rsidR="005B2A41">
        <w:t xml:space="preserve"> </w:t>
      </w:r>
      <w:r w:rsidR="00F233AB" w:rsidRPr="00B02247">
        <w:t>Maintenance</w:t>
      </w:r>
      <w:r w:rsidR="005B2A41">
        <w:t xml:space="preserve"> </w:t>
      </w:r>
      <w:r w:rsidR="00F233AB" w:rsidRPr="00B02247">
        <w:t>Obligations,</w:t>
      </w:r>
      <w:r w:rsidR="005B2A41">
        <w:t xml:space="preserve"> </w:t>
      </w:r>
      <w:r w:rsidR="00F233AB" w:rsidRPr="00B02247">
        <w:t>1973;</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Convention</w:t>
      </w:r>
      <w:r w:rsidR="005B2A41">
        <w:t xml:space="preserve"> </w:t>
      </w:r>
      <w:r w:rsidR="00F233AB" w:rsidRPr="00B02247">
        <w:t>on</w:t>
      </w:r>
      <w:r w:rsidR="005B2A41">
        <w:t xml:space="preserve"> </w:t>
      </w:r>
      <w:r w:rsidR="00F233AB" w:rsidRPr="00B02247">
        <w:t>the</w:t>
      </w:r>
      <w:r w:rsidR="005B2A41">
        <w:t xml:space="preserve"> </w:t>
      </w:r>
      <w:r w:rsidR="00F233AB" w:rsidRPr="00B02247">
        <w:t>Civil</w:t>
      </w:r>
      <w:r w:rsidR="005B2A41">
        <w:t xml:space="preserve"> </w:t>
      </w:r>
      <w:r w:rsidR="00F233AB" w:rsidRPr="00B02247">
        <w:t>Aspects</w:t>
      </w:r>
      <w:r w:rsidR="005B2A41">
        <w:t xml:space="preserve"> </w:t>
      </w:r>
      <w:r w:rsidR="00F233AB" w:rsidRPr="00B02247">
        <w:t>of</w:t>
      </w:r>
      <w:r w:rsidR="005B2A41">
        <w:t xml:space="preserve"> </w:t>
      </w:r>
      <w:r w:rsidR="00F233AB" w:rsidRPr="00B02247">
        <w:t>International</w:t>
      </w:r>
      <w:r w:rsidR="005B2A41">
        <w:t xml:space="preserve"> </w:t>
      </w:r>
      <w:r w:rsidR="00F233AB" w:rsidRPr="00B02247">
        <w:t>Child</w:t>
      </w:r>
      <w:r w:rsidR="005B2A41">
        <w:t xml:space="preserve"> </w:t>
      </w:r>
      <w:r w:rsidR="00F233AB" w:rsidRPr="00B02247">
        <w:t>Abduction,</w:t>
      </w:r>
      <w:r w:rsidR="005B2A41">
        <w:t xml:space="preserve"> </w:t>
      </w:r>
      <w:r w:rsidR="00F233AB" w:rsidRPr="00B02247">
        <w:t>1980;</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Convention</w:t>
      </w:r>
      <w:r w:rsidR="005B2A41">
        <w:t xml:space="preserve"> </w:t>
      </w:r>
      <w:r w:rsidR="00F233AB" w:rsidRPr="00B02247">
        <w:t>on</w:t>
      </w:r>
      <w:r w:rsidR="005B2A41">
        <w:t xml:space="preserve"> </w:t>
      </w:r>
      <w:r w:rsidR="00F233AB" w:rsidRPr="00B02247">
        <w:t>Protection</w:t>
      </w:r>
      <w:r w:rsidR="005B2A41">
        <w:t xml:space="preserve"> </w:t>
      </w:r>
      <w:r w:rsidR="00F233AB" w:rsidRPr="00B02247">
        <w:t>of</w:t>
      </w:r>
      <w:r w:rsidR="005B2A41">
        <w:t xml:space="preserve"> </w:t>
      </w:r>
      <w:r w:rsidR="00F233AB" w:rsidRPr="00B02247">
        <w:t>Children</w:t>
      </w:r>
      <w:r w:rsidR="005B2A41">
        <w:t xml:space="preserve"> </w:t>
      </w:r>
      <w:r w:rsidR="00F233AB" w:rsidRPr="00B02247">
        <w:t>and</w:t>
      </w:r>
      <w:r w:rsidR="005B2A41">
        <w:t xml:space="preserve"> </w:t>
      </w:r>
      <w:r w:rsidR="00F233AB" w:rsidRPr="00B02247">
        <w:t>Co</w:t>
      </w:r>
      <w:r w:rsidR="00F233AB" w:rsidRPr="00B02247">
        <w:noBreakHyphen/>
        <w:t>operation</w:t>
      </w:r>
      <w:r w:rsidR="005B2A41">
        <w:t xml:space="preserve"> </w:t>
      </w:r>
      <w:r w:rsidR="00F233AB" w:rsidRPr="00B02247">
        <w:t>in</w:t>
      </w:r>
      <w:r w:rsidR="005B2A41">
        <w:t xml:space="preserve"> </w:t>
      </w:r>
      <w:r w:rsidR="00F233AB" w:rsidRPr="00B02247">
        <w:t>respect</w:t>
      </w:r>
      <w:r w:rsidR="005B2A41">
        <w:t xml:space="preserve"> </w:t>
      </w:r>
      <w:r w:rsidR="00F233AB" w:rsidRPr="00B02247">
        <w:t>of</w:t>
      </w:r>
      <w:r w:rsidR="005B2A41">
        <w:t xml:space="preserve"> </w:t>
      </w:r>
      <w:r w:rsidR="00F233AB" w:rsidRPr="00B02247">
        <w:t>Intercountry</w:t>
      </w:r>
      <w:r w:rsidR="005B2A41">
        <w:t xml:space="preserve"> </w:t>
      </w:r>
      <w:r w:rsidR="00F233AB" w:rsidRPr="00B02247">
        <w:t>Adoption,</w:t>
      </w:r>
      <w:r w:rsidR="005B2A41">
        <w:t xml:space="preserve"> </w:t>
      </w:r>
      <w:r w:rsidR="00F233AB" w:rsidRPr="00B02247">
        <w:t>1993;</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Convention</w:t>
      </w:r>
      <w:r w:rsidR="005B2A41">
        <w:t xml:space="preserve"> </w:t>
      </w:r>
      <w:r w:rsidR="00F233AB" w:rsidRPr="00B02247">
        <w:t>on</w:t>
      </w:r>
      <w:r w:rsidR="005B2A41">
        <w:t xml:space="preserve"> </w:t>
      </w:r>
      <w:r w:rsidR="00F233AB" w:rsidRPr="00B02247">
        <w:t>Jurisdiction,</w:t>
      </w:r>
      <w:r w:rsidR="005B2A41">
        <w:t xml:space="preserve"> </w:t>
      </w:r>
      <w:r w:rsidR="00F233AB" w:rsidRPr="00B02247">
        <w:t>Applicable</w:t>
      </w:r>
      <w:r w:rsidR="005B2A41">
        <w:t xml:space="preserve"> </w:t>
      </w:r>
      <w:r w:rsidR="00F233AB" w:rsidRPr="00B02247">
        <w:t>Law,</w:t>
      </w:r>
      <w:r w:rsidR="005B2A41">
        <w:t xml:space="preserve"> </w:t>
      </w:r>
      <w:r w:rsidR="00F233AB" w:rsidRPr="00B02247">
        <w:t>Recognition,</w:t>
      </w:r>
      <w:r w:rsidR="005B2A41">
        <w:t xml:space="preserve"> </w:t>
      </w:r>
      <w:r w:rsidR="00F233AB" w:rsidRPr="00B02247">
        <w:t>Enforcement</w:t>
      </w:r>
      <w:r w:rsidR="005B2A41">
        <w:t xml:space="preserve"> </w:t>
      </w:r>
      <w:r w:rsidR="00F233AB" w:rsidRPr="00B02247">
        <w:t>and</w:t>
      </w:r>
      <w:r w:rsidR="005B2A41">
        <w:t xml:space="preserve"> </w:t>
      </w:r>
      <w:r w:rsidR="00F233AB" w:rsidRPr="00B02247">
        <w:t>Co</w:t>
      </w:r>
      <w:r w:rsidR="00F233AB" w:rsidRPr="00B02247">
        <w:noBreakHyphen/>
        <w:t>operation</w:t>
      </w:r>
      <w:r w:rsidR="005B2A41">
        <w:t xml:space="preserve"> </w:t>
      </w:r>
      <w:r w:rsidR="00F233AB" w:rsidRPr="00B02247">
        <w:t>in</w:t>
      </w:r>
      <w:r w:rsidR="005B2A41">
        <w:t xml:space="preserve"> </w:t>
      </w:r>
      <w:r w:rsidR="00F233AB" w:rsidRPr="00B02247">
        <w:t>respect</w:t>
      </w:r>
      <w:r w:rsidR="005B2A41">
        <w:t xml:space="preserve"> </w:t>
      </w:r>
      <w:r w:rsidR="00F233AB" w:rsidRPr="00B02247">
        <w:t>of</w:t>
      </w:r>
      <w:r w:rsidR="005B2A41">
        <w:t xml:space="preserve"> </w:t>
      </w:r>
      <w:r w:rsidR="00F233AB" w:rsidRPr="00B02247">
        <w:t>Parental</w:t>
      </w:r>
      <w:r w:rsidR="005B2A41">
        <w:t xml:space="preserve"> </w:t>
      </w:r>
      <w:r w:rsidR="00F233AB" w:rsidRPr="00B02247">
        <w:t>Responsibility</w:t>
      </w:r>
      <w:r w:rsidR="005B2A41">
        <w:t xml:space="preserve"> </w:t>
      </w:r>
      <w:r w:rsidR="00F233AB" w:rsidRPr="00B02247">
        <w:t>and</w:t>
      </w:r>
      <w:r w:rsidR="005B2A41">
        <w:t xml:space="preserve"> </w:t>
      </w:r>
      <w:r w:rsidR="00F233AB" w:rsidRPr="00B02247">
        <w:t>Measures</w:t>
      </w:r>
      <w:r w:rsidR="005B2A41">
        <w:t xml:space="preserve"> </w:t>
      </w:r>
      <w:r w:rsidR="00F233AB" w:rsidRPr="00B02247">
        <w:t>for</w:t>
      </w:r>
      <w:r w:rsidR="005B2A41">
        <w:t xml:space="preserve"> </w:t>
      </w:r>
      <w:r w:rsidR="00F233AB" w:rsidRPr="00B02247">
        <w:t>the</w:t>
      </w:r>
      <w:r w:rsidR="005B2A41">
        <w:t xml:space="preserve"> </w:t>
      </w:r>
      <w:r w:rsidR="00F233AB" w:rsidRPr="00B02247">
        <w:t>Protection</w:t>
      </w:r>
      <w:r w:rsidR="005B2A41">
        <w:t xml:space="preserve"> </w:t>
      </w:r>
      <w:r w:rsidR="00F233AB" w:rsidRPr="00B02247">
        <w:t>of</w:t>
      </w:r>
      <w:r w:rsidR="005B2A41">
        <w:t xml:space="preserve"> </w:t>
      </w:r>
      <w:r w:rsidR="00F233AB" w:rsidRPr="00B02247">
        <w:t>Children,</w:t>
      </w:r>
      <w:r w:rsidR="005B2A41">
        <w:t xml:space="preserve"> </w:t>
      </w:r>
      <w:r w:rsidR="00F233AB" w:rsidRPr="00B02247">
        <w:t>1996</w:t>
      </w:r>
    </w:p>
    <w:p w:rsidR="00F233AB" w:rsidRPr="00B02247" w:rsidRDefault="00F233AB" w:rsidP="00F20016">
      <w:pPr>
        <w:pStyle w:val="H23G"/>
      </w:pPr>
      <w:bookmarkStart w:id="5" w:name="_Toc73946181"/>
      <w:bookmarkStart w:id="6" w:name="_Toc133268798"/>
      <w:r w:rsidRPr="00B02247">
        <w:tab/>
        <w:t>5.</w:t>
      </w:r>
      <w:r w:rsidRPr="00B02247">
        <w:tab/>
        <w:t>Geneva</w:t>
      </w:r>
      <w:r w:rsidR="005B2A41">
        <w:t xml:space="preserve"> </w:t>
      </w:r>
      <w:r w:rsidRPr="00B02247">
        <w:t>Conventions</w:t>
      </w:r>
      <w:r w:rsidR="005B2A41">
        <w:t xml:space="preserve"> </w:t>
      </w:r>
      <w:r w:rsidRPr="00B02247">
        <w:t>and</w:t>
      </w:r>
      <w:r w:rsidR="005B2A41">
        <w:t xml:space="preserve"> </w:t>
      </w:r>
      <w:r w:rsidRPr="00B02247">
        <w:t>other</w:t>
      </w:r>
      <w:r w:rsidR="005B2A41">
        <w:t xml:space="preserve"> </w:t>
      </w:r>
      <w:r w:rsidRPr="00B02247">
        <w:t>treaties</w:t>
      </w:r>
      <w:r w:rsidR="005B2A41">
        <w:t xml:space="preserve"> </w:t>
      </w:r>
      <w:r w:rsidRPr="00B02247">
        <w:t>on</w:t>
      </w:r>
      <w:r w:rsidR="005B2A41">
        <w:t xml:space="preserve"> </w:t>
      </w:r>
      <w:r w:rsidRPr="00B02247">
        <w:t>international</w:t>
      </w:r>
      <w:r w:rsidR="005B2A41">
        <w:t xml:space="preserve"> </w:t>
      </w:r>
      <w:r w:rsidRPr="00B02247">
        <w:t>humanitarian</w:t>
      </w:r>
      <w:r w:rsidR="005B2A41">
        <w:t xml:space="preserve"> </w:t>
      </w:r>
      <w:r w:rsidRPr="00B02247">
        <w:t>law</w:t>
      </w:r>
      <w:bookmarkEnd w:id="5"/>
      <w:bookmarkEnd w:id="6"/>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Geneva</w:t>
      </w:r>
      <w:r w:rsidR="005B2A41">
        <w:t xml:space="preserve"> </w:t>
      </w:r>
      <w:r w:rsidR="00F233AB" w:rsidRPr="00B02247">
        <w:t>Convention</w:t>
      </w:r>
      <w:r w:rsidR="005B2A41">
        <w:t xml:space="preserve"> </w:t>
      </w:r>
      <w:r w:rsidR="00F233AB" w:rsidRPr="00B02247">
        <w:t>(I)</w:t>
      </w:r>
      <w:r w:rsidR="005B2A41">
        <w:t xml:space="preserve"> </w:t>
      </w:r>
      <w:r w:rsidR="00F233AB" w:rsidRPr="00B02247">
        <w:t>for</w:t>
      </w:r>
      <w:r w:rsidR="005B2A41">
        <w:t xml:space="preserve"> </w:t>
      </w:r>
      <w:r w:rsidR="00F233AB" w:rsidRPr="00B02247">
        <w:t>the</w:t>
      </w:r>
      <w:r w:rsidR="005B2A41">
        <w:t xml:space="preserve"> </w:t>
      </w:r>
      <w:r w:rsidR="00F233AB" w:rsidRPr="00B02247">
        <w:t>Amelioration</w:t>
      </w:r>
      <w:r w:rsidR="005B2A41">
        <w:t xml:space="preserve"> </w:t>
      </w:r>
      <w:r w:rsidR="00F233AB" w:rsidRPr="00B02247">
        <w:t>of</w:t>
      </w:r>
      <w:r w:rsidR="005B2A41">
        <w:t xml:space="preserve"> </w:t>
      </w:r>
      <w:r w:rsidR="00F233AB" w:rsidRPr="00B02247">
        <w:t>the</w:t>
      </w:r>
      <w:r w:rsidR="005B2A41">
        <w:t xml:space="preserve"> </w:t>
      </w:r>
      <w:r w:rsidR="00F233AB" w:rsidRPr="00B02247">
        <w:t>Condition</w:t>
      </w:r>
      <w:r w:rsidR="005B2A41">
        <w:t xml:space="preserve"> </w:t>
      </w:r>
      <w:r w:rsidR="00F233AB" w:rsidRPr="00B02247">
        <w:t>of</w:t>
      </w:r>
      <w:r w:rsidR="005B2A41">
        <w:t xml:space="preserve"> </w:t>
      </w:r>
      <w:r w:rsidR="00F233AB" w:rsidRPr="00B02247">
        <w:t>the</w:t>
      </w:r>
      <w:r w:rsidR="005B2A41">
        <w:t xml:space="preserve"> </w:t>
      </w:r>
      <w:r w:rsidR="00F233AB" w:rsidRPr="00B02247">
        <w:t>Wounded</w:t>
      </w:r>
      <w:r w:rsidR="005B2A41">
        <w:t xml:space="preserve"> </w:t>
      </w:r>
      <w:r w:rsidR="00F233AB" w:rsidRPr="00B02247">
        <w:t>and</w:t>
      </w:r>
      <w:r w:rsidR="005B2A41">
        <w:t xml:space="preserve"> </w:t>
      </w:r>
      <w:r w:rsidR="00F233AB" w:rsidRPr="00B02247">
        <w:t>Sick</w:t>
      </w:r>
      <w:r w:rsidR="005B2A41">
        <w:t xml:space="preserve"> </w:t>
      </w:r>
      <w:r w:rsidR="00F233AB" w:rsidRPr="00B02247">
        <w:t>in</w:t>
      </w:r>
      <w:r w:rsidR="005B2A41">
        <w:t xml:space="preserve"> </w:t>
      </w:r>
      <w:r w:rsidR="00F233AB" w:rsidRPr="00B02247">
        <w:t>Armed</w:t>
      </w:r>
      <w:r w:rsidR="005B2A41">
        <w:t xml:space="preserve"> </w:t>
      </w:r>
      <w:r w:rsidR="00F233AB" w:rsidRPr="00B02247">
        <w:t>Forces</w:t>
      </w:r>
      <w:r w:rsidR="005B2A41">
        <w:t xml:space="preserve"> </w:t>
      </w:r>
      <w:r w:rsidR="00F233AB" w:rsidRPr="00B02247">
        <w:t>in</w:t>
      </w:r>
      <w:r w:rsidR="005B2A41">
        <w:t xml:space="preserve"> </w:t>
      </w:r>
      <w:r w:rsidR="00F233AB" w:rsidRPr="00B02247">
        <w:t>the</w:t>
      </w:r>
      <w:r w:rsidR="005B2A41">
        <w:t xml:space="preserve"> </w:t>
      </w:r>
      <w:r w:rsidR="00F233AB" w:rsidRPr="00B02247">
        <w:t>Field,</w:t>
      </w:r>
      <w:r w:rsidR="005B2A41">
        <w:t xml:space="preserve"> </w:t>
      </w:r>
      <w:r w:rsidR="00F233AB" w:rsidRPr="00B02247">
        <w:t>1949</w:t>
      </w:r>
      <w:r w:rsidR="005B2A41">
        <w:t xml:space="preserve"> </w:t>
      </w:r>
      <w:r w:rsidR="00F233AB" w:rsidRPr="00B02247">
        <w:t>(Law</w:t>
      </w:r>
      <w:r w:rsidR="005B2A41">
        <w:t xml:space="preserve"> </w:t>
      </w:r>
      <w:r w:rsidR="00F233AB" w:rsidRPr="00B02247">
        <w:t>3481/1956);</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Geneva</w:t>
      </w:r>
      <w:r w:rsidR="005B2A41">
        <w:t xml:space="preserve"> </w:t>
      </w:r>
      <w:r w:rsidR="00F233AB" w:rsidRPr="00B02247">
        <w:t>Convention</w:t>
      </w:r>
      <w:r w:rsidR="005B2A41">
        <w:t xml:space="preserve"> </w:t>
      </w:r>
      <w:r w:rsidR="00F233AB" w:rsidRPr="00B02247">
        <w:t>(II)</w:t>
      </w:r>
      <w:r w:rsidR="005B2A41">
        <w:t xml:space="preserve"> </w:t>
      </w:r>
      <w:r w:rsidR="00F233AB" w:rsidRPr="00B02247">
        <w:t>for</w:t>
      </w:r>
      <w:r w:rsidR="005B2A41">
        <w:t xml:space="preserve"> </w:t>
      </w:r>
      <w:r w:rsidR="00F233AB" w:rsidRPr="00B02247">
        <w:t>the</w:t>
      </w:r>
      <w:r w:rsidR="005B2A41">
        <w:t xml:space="preserve"> </w:t>
      </w:r>
      <w:r w:rsidR="00F233AB" w:rsidRPr="00B02247">
        <w:t>Amelioration</w:t>
      </w:r>
      <w:r w:rsidR="005B2A41">
        <w:t xml:space="preserve"> </w:t>
      </w:r>
      <w:r w:rsidR="00F233AB" w:rsidRPr="00B02247">
        <w:t>of</w:t>
      </w:r>
      <w:r w:rsidR="005B2A41">
        <w:t xml:space="preserve"> </w:t>
      </w:r>
      <w:r w:rsidR="00F233AB" w:rsidRPr="00B02247">
        <w:t>the</w:t>
      </w:r>
      <w:r w:rsidR="005B2A41">
        <w:t xml:space="preserve"> </w:t>
      </w:r>
      <w:r w:rsidR="00F233AB" w:rsidRPr="00B02247">
        <w:t>Condition</w:t>
      </w:r>
      <w:r w:rsidR="005B2A41">
        <w:t xml:space="preserve"> </w:t>
      </w:r>
      <w:r w:rsidR="00F233AB" w:rsidRPr="00B02247">
        <w:t>of</w:t>
      </w:r>
      <w:r w:rsidR="005B2A41">
        <w:t xml:space="preserve"> </w:t>
      </w:r>
      <w:r w:rsidR="00F233AB" w:rsidRPr="00B02247">
        <w:t>Wounded,</w:t>
      </w:r>
      <w:r w:rsidR="005B2A41">
        <w:t xml:space="preserve"> </w:t>
      </w:r>
      <w:r w:rsidR="00F233AB" w:rsidRPr="00B02247">
        <w:t>Sick</w:t>
      </w:r>
      <w:r w:rsidR="005B2A41">
        <w:t xml:space="preserve"> </w:t>
      </w:r>
      <w:r w:rsidR="00F233AB" w:rsidRPr="00B02247">
        <w:t>and</w:t>
      </w:r>
      <w:r w:rsidR="005B2A41">
        <w:t xml:space="preserve"> </w:t>
      </w:r>
      <w:r w:rsidR="00F233AB" w:rsidRPr="00B02247">
        <w:t>Shipwrecked</w:t>
      </w:r>
      <w:r w:rsidR="005B2A41">
        <w:t xml:space="preserve"> </w:t>
      </w:r>
      <w:r w:rsidR="00F233AB" w:rsidRPr="00B02247">
        <w:t>Members</w:t>
      </w:r>
      <w:r w:rsidR="005B2A41">
        <w:t xml:space="preserve"> </w:t>
      </w:r>
      <w:r w:rsidR="00F233AB" w:rsidRPr="00B02247">
        <w:t>of</w:t>
      </w:r>
      <w:r w:rsidR="005B2A41">
        <w:t xml:space="preserve"> </w:t>
      </w:r>
      <w:r w:rsidR="00F233AB" w:rsidRPr="00B02247">
        <w:t>Armed</w:t>
      </w:r>
      <w:r w:rsidR="005B2A41">
        <w:t xml:space="preserve"> </w:t>
      </w:r>
      <w:r w:rsidR="00F233AB" w:rsidRPr="00B02247">
        <w:t>Forces</w:t>
      </w:r>
      <w:r w:rsidR="005B2A41">
        <w:t xml:space="preserve"> </w:t>
      </w:r>
      <w:r w:rsidR="00F233AB" w:rsidRPr="00B02247">
        <w:t>at</w:t>
      </w:r>
      <w:r w:rsidR="005B2A41">
        <w:t xml:space="preserve"> </w:t>
      </w:r>
      <w:r w:rsidR="00F233AB" w:rsidRPr="00B02247">
        <w:t>Sea,</w:t>
      </w:r>
      <w:r w:rsidR="005B2A41">
        <w:t xml:space="preserve"> </w:t>
      </w:r>
      <w:r w:rsidR="00F233AB" w:rsidRPr="00B02247">
        <w:t>1949</w:t>
      </w:r>
      <w:r w:rsidR="005B2A41">
        <w:t xml:space="preserve"> </w:t>
      </w:r>
      <w:r w:rsidR="00F233AB" w:rsidRPr="00B02247">
        <w:t>(Law</w:t>
      </w:r>
      <w:r w:rsidR="005B2A41">
        <w:t xml:space="preserve"> </w:t>
      </w:r>
      <w:r w:rsidR="00F233AB" w:rsidRPr="00B02247">
        <w:t>3481/1956);</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Geneva</w:t>
      </w:r>
      <w:r w:rsidR="005B2A41">
        <w:t xml:space="preserve"> </w:t>
      </w:r>
      <w:r w:rsidR="00F233AB" w:rsidRPr="00B02247">
        <w:t>Convention</w:t>
      </w:r>
      <w:r w:rsidR="005B2A41">
        <w:t xml:space="preserve"> </w:t>
      </w:r>
      <w:r w:rsidR="00F233AB" w:rsidRPr="00B02247">
        <w:t>(III)</w:t>
      </w:r>
      <w:r w:rsidR="005B2A41">
        <w:t xml:space="preserve"> </w:t>
      </w:r>
      <w:r w:rsidR="00F233AB" w:rsidRPr="00B02247">
        <w:t>relative</w:t>
      </w:r>
      <w:r w:rsidR="005B2A41">
        <w:t xml:space="preserve"> </w:t>
      </w:r>
      <w:r w:rsidR="00F233AB" w:rsidRPr="00B02247">
        <w:t>to</w:t>
      </w:r>
      <w:r w:rsidR="005B2A41">
        <w:t xml:space="preserve"> </w:t>
      </w:r>
      <w:r w:rsidR="00F233AB" w:rsidRPr="00B02247">
        <w:t>the</w:t>
      </w:r>
      <w:r w:rsidR="005B2A41">
        <w:t xml:space="preserve"> </w:t>
      </w:r>
      <w:r w:rsidR="00F233AB" w:rsidRPr="00B02247">
        <w:t>Treatment</w:t>
      </w:r>
      <w:r w:rsidR="005B2A41">
        <w:t xml:space="preserve"> </w:t>
      </w:r>
      <w:r w:rsidR="00F233AB" w:rsidRPr="00B02247">
        <w:t>of</w:t>
      </w:r>
      <w:r w:rsidR="005B2A41">
        <w:t xml:space="preserve"> </w:t>
      </w:r>
      <w:r w:rsidR="00F233AB" w:rsidRPr="00B02247">
        <w:t>Prisoners</w:t>
      </w:r>
      <w:r w:rsidR="005B2A41">
        <w:t xml:space="preserve"> </w:t>
      </w:r>
      <w:r w:rsidR="00F233AB" w:rsidRPr="00B02247">
        <w:t>of</w:t>
      </w:r>
      <w:r w:rsidR="005B2A41">
        <w:t xml:space="preserve"> </w:t>
      </w:r>
      <w:r w:rsidR="00F233AB" w:rsidRPr="00B02247">
        <w:t>War,</w:t>
      </w:r>
      <w:r w:rsidR="005B2A41">
        <w:t xml:space="preserve"> </w:t>
      </w:r>
      <w:r w:rsidR="00F233AB" w:rsidRPr="00B02247">
        <w:t>1949</w:t>
      </w:r>
      <w:r w:rsidR="005B2A41">
        <w:t xml:space="preserve"> </w:t>
      </w:r>
      <w:r w:rsidR="00F233AB" w:rsidRPr="00B02247">
        <w:t>(Law</w:t>
      </w:r>
      <w:r w:rsidR="005B2A41">
        <w:t xml:space="preserve"> </w:t>
      </w:r>
      <w:r w:rsidR="00F233AB" w:rsidRPr="00B02247">
        <w:t>3481/195);</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Geneva</w:t>
      </w:r>
      <w:r w:rsidR="005B2A41">
        <w:t xml:space="preserve"> </w:t>
      </w:r>
      <w:r w:rsidR="00F233AB" w:rsidRPr="00B02247">
        <w:t>Convention</w:t>
      </w:r>
      <w:r w:rsidR="005B2A41">
        <w:t xml:space="preserve"> </w:t>
      </w:r>
      <w:r w:rsidR="00F233AB" w:rsidRPr="00B02247">
        <w:t>(IV)</w:t>
      </w:r>
      <w:r w:rsidR="005B2A41">
        <w:t xml:space="preserve"> </w:t>
      </w:r>
      <w:r w:rsidR="00F233AB" w:rsidRPr="00B02247">
        <w:t>relative</w:t>
      </w:r>
      <w:r w:rsidR="005B2A41">
        <w:t xml:space="preserve"> </w:t>
      </w:r>
      <w:r w:rsidR="00F233AB" w:rsidRPr="00B02247">
        <w:t>to</w:t>
      </w:r>
      <w:r w:rsidR="005B2A41">
        <w:t xml:space="preserve"> </w:t>
      </w:r>
      <w:r w:rsidR="00F233AB" w:rsidRPr="00B02247">
        <w:t>the</w:t>
      </w:r>
      <w:r w:rsidR="005B2A41">
        <w:t xml:space="preserve"> </w:t>
      </w:r>
      <w:r w:rsidR="00F233AB" w:rsidRPr="00B02247">
        <w:t>Protection</w:t>
      </w:r>
      <w:r w:rsidR="005B2A41">
        <w:t xml:space="preserve"> </w:t>
      </w:r>
      <w:r w:rsidR="00F233AB" w:rsidRPr="00B02247">
        <w:t>of</w:t>
      </w:r>
      <w:r w:rsidR="005B2A41">
        <w:t xml:space="preserve"> </w:t>
      </w:r>
      <w:r w:rsidR="00F233AB" w:rsidRPr="00B02247">
        <w:t>Civilian</w:t>
      </w:r>
      <w:r w:rsidR="005B2A41">
        <w:t xml:space="preserve"> </w:t>
      </w:r>
      <w:r w:rsidR="00F233AB" w:rsidRPr="00B02247">
        <w:t>Persons</w:t>
      </w:r>
      <w:r w:rsidR="005B2A41">
        <w:t xml:space="preserve"> </w:t>
      </w:r>
      <w:r w:rsidR="00F233AB" w:rsidRPr="00B02247">
        <w:t>in</w:t>
      </w:r>
      <w:r w:rsidR="005B2A41">
        <w:t xml:space="preserve"> </w:t>
      </w:r>
      <w:r w:rsidR="00F233AB" w:rsidRPr="00B02247">
        <w:t>Time</w:t>
      </w:r>
      <w:r w:rsidR="005B2A41">
        <w:t xml:space="preserve"> </w:t>
      </w:r>
      <w:r w:rsidR="00F233AB" w:rsidRPr="00B02247">
        <w:t>of</w:t>
      </w:r>
      <w:r w:rsidR="005B2A41">
        <w:t xml:space="preserve"> </w:t>
      </w:r>
      <w:r w:rsidR="00F233AB" w:rsidRPr="00B02247">
        <w:t>War,</w:t>
      </w:r>
      <w:r w:rsidR="005B2A41">
        <w:t xml:space="preserve"> </w:t>
      </w:r>
      <w:r w:rsidR="00F233AB" w:rsidRPr="00B02247">
        <w:t>1949,</w:t>
      </w:r>
      <w:r w:rsidR="005B2A41">
        <w:t xml:space="preserve"> </w:t>
      </w:r>
      <w:r w:rsidR="00F233AB" w:rsidRPr="00B02247">
        <w:t>(Law</w:t>
      </w:r>
      <w:r w:rsidR="005B2A41">
        <w:t xml:space="preserve"> </w:t>
      </w:r>
      <w:r w:rsidR="00F233AB" w:rsidRPr="00B02247">
        <w:t>3481/1956);</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Protocol</w:t>
      </w:r>
      <w:r w:rsidR="005B2A41">
        <w:t xml:space="preserve"> </w:t>
      </w:r>
      <w:r w:rsidR="00F233AB" w:rsidRPr="00B02247">
        <w:t>Additional</w:t>
      </w:r>
      <w:r w:rsidR="005B2A41">
        <w:t xml:space="preserve"> </w:t>
      </w:r>
      <w:r w:rsidR="00F233AB" w:rsidRPr="00B02247">
        <w:t>to</w:t>
      </w:r>
      <w:r w:rsidR="005B2A41">
        <w:t xml:space="preserve"> </w:t>
      </w:r>
      <w:r w:rsidR="00F233AB" w:rsidRPr="00B02247">
        <w:t>the</w:t>
      </w:r>
      <w:r w:rsidR="005B2A41">
        <w:t xml:space="preserve"> </w:t>
      </w:r>
      <w:r w:rsidR="00F233AB" w:rsidRPr="00B02247">
        <w:t>Geneva</w:t>
      </w:r>
      <w:r w:rsidR="005B2A41">
        <w:t xml:space="preserve"> </w:t>
      </w:r>
      <w:r w:rsidR="00F233AB" w:rsidRPr="00B02247">
        <w:t>Conventions</w:t>
      </w:r>
      <w:r w:rsidR="005B2A41">
        <w:t xml:space="preserve"> </w:t>
      </w:r>
      <w:r w:rsidR="00F233AB" w:rsidRPr="00B02247">
        <w:t>of</w:t>
      </w:r>
      <w:r w:rsidR="005B2A41">
        <w:t xml:space="preserve"> </w:t>
      </w:r>
      <w:r w:rsidR="00F233AB" w:rsidRPr="00B02247">
        <w:t>12</w:t>
      </w:r>
      <w:r w:rsidR="005B2A41">
        <w:t xml:space="preserve"> </w:t>
      </w:r>
      <w:r w:rsidR="00F233AB" w:rsidRPr="00B02247">
        <w:t>August</w:t>
      </w:r>
      <w:r w:rsidR="005B2A41">
        <w:t xml:space="preserve"> </w:t>
      </w:r>
      <w:r w:rsidR="00F233AB" w:rsidRPr="00B02247">
        <w:t>1949,</w:t>
      </w:r>
      <w:r w:rsidR="005B2A41">
        <w:t xml:space="preserve"> </w:t>
      </w:r>
      <w:r w:rsidR="00F233AB" w:rsidRPr="00B02247">
        <w:t>and</w:t>
      </w:r>
      <w:r w:rsidR="005B2A41">
        <w:t xml:space="preserve"> </w:t>
      </w:r>
      <w:r w:rsidR="00F233AB" w:rsidRPr="00B02247">
        <w:t>relating</w:t>
      </w:r>
      <w:r w:rsidR="005B2A41">
        <w:t xml:space="preserve"> </w:t>
      </w:r>
      <w:r w:rsidR="00F233AB" w:rsidRPr="00B02247">
        <w:t>to</w:t>
      </w:r>
      <w:r w:rsidR="005B2A41">
        <w:t xml:space="preserve"> </w:t>
      </w:r>
      <w:r w:rsidR="00F233AB" w:rsidRPr="00B02247">
        <w:t>the</w:t>
      </w:r>
      <w:r w:rsidR="005B2A41">
        <w:t xml:space="preserve"> </w:t>
      </w:r>
      <w:r w:rsidR="00F233AB" w:rsidRPr="00B02247">
        <w:t>Protection</w:t>
      </w:r>
      <w:r w:rsidR="005B2A41">
        <w:t xml:space="preserve"> </w:t>
      </w:r>
      <w:r w:rsidR="00F233AB" w:rsidRPr="00B02247">
        <w:t>of</w:t>
      </w:r>
      <w:r w:rsidR="005B2A41">
        <w:t xml:space="preserve"> </w:t>
      </w:r>
      <w:r w:rsidR="00F233AB" w:rsidRPr="00B02247">
        <w:t>Victims</w:t>
      </w:r>
      <w:r w:rsidR="005B2A41">
        <w:t xml:space="preserve"> </w:t>
      </w:r>
      <w:r w:rsidR="00F233AB" w:rsidRPr="00B02247">
        <w:t>of</w:t>
      </w:r>
      <w:r w:rsidR="005B2A41">
        <w:t xml:space="preserve"> </w:t>
      </w:r>
      <w:r w:rsidR="00F233AB" w:rsidRPr="00B02247">
        <w:t>International</w:t>
      </w:r>
      <w:r w:rsidR="005B2A41">
        <w:t xml:space="preserve"> </w:t>
      </w:r>
      <w:r w:rsidR="00F233AB" w:rsidRPr="00B02247">
        <w:t>Armed</w:t>
      </w:r>
      <w:r w:rsidR="005B2A41">
        <w:t xml:space="preserve"> </w:t>
      </w:r>
      <w:r w:rsidR="00F233AB" w:rsidRPr="00B02247">
        <w:t>Conflicts</w:t>
      </w:r>
      <w:r w:rsidR="005B2A41">
        <w:t xml:space="preserve"> </w:t>
      </w:r>
      <w:r w:rsidR="00F233AB" w:rsidRPr="00B02247">
        <w:t>(Protocol</w:t>
      </w:r>
      <w:r w:rsidR="005B2A41">
        <w:t xml:space="preserve"> </w:t>
      </w:r>
      <w:r w:rsidR="00F233AB" w:rsidRPr="00B02247">
        <w:t>I),</w:t>
      </w:r>
      <w:r w:rsidR="005B2A41">
        <w:t xml:space="preserve"> </w:t>
      </w:r>
      <w:r w:rsidR="00F233AB" w:rsidRPr="00B02247">
        <w:t>1977</w:t>
      </w:r>
      <w:r w:rsidR="005B2A41">
        <w:t xml:space="preserve"> </w:t>
      </w:r>
      <w:r w:rsidR="00F233AB" w:rsidRPr="00B02247">
        <w:t>(Law</w:t>
      </w:r>
      <w:r w:rsidR="005B2A41">
        <w:t xml:space="preserve"> </w:t>
      </w:r>
      <w:r w:rsidR="00F233AB" w:rsidRPr="00B02247">
        <w:t>1786/1198);</w:t>
      </w:r>
    </w:p>
    <w:p w:rsidR="00F233AB" w:rsidRPr="00B02247" w:rsidRDefault="00102678" w:rsidP="00102678">
      <w:pPr>
        <w:pStyle w:val="Bullet1G"/>
        <w:numPr>
          <w:ilvl w:val="0"/>
          <w:numId w:val="0"/>
        </w:numPr>
        <w:tabs>
          <w:tab w:val="left" w:pos="1701"/>
        </w:tabs>
        <w:ind w:left="1701" w:hanging="170"/>
      </w:pPr>
      <w:r w:rsidRPr="00B02247">
        <w:lastRenderedPageBreak/>
        <w:t>•</w:t>
      </w:r>
      <w:r w:rsidRPr="00B02247">
        <w:tab/>
      </w:r>
      <w:r w:rsidR="00F233AB" w:rsidRPr="00B02247">
        <w:t>Protocol</w:t>
      </w:r>
      <w:r w:rsidR="005B2A41">
        <w:t xml:space="preserve"> </w:t>
      </w:r>
      <w:r w:rsidR="00F233AB" w:rsidRPr="00B02247">
        <w:t>Additional</w:t>
      </w:r>
      <w:r w:rsidR="005B2A41">
        <w:t xml:space="preserve"> </w:t>
      </w:r>
      <w:r w:rsidR="00F233AB" w:rsidRPr="00B02247">
        <w:t>to</w:t>
      </w:r>
      <w:r w:rsidR="005B2A41">
        <w:t xml:space="preserve"> </w:t>
      </w:r>
      <w:r w:rsidR="00F233AB" w:rsidRPr="00B02247">
        <w:t>the</w:t>
      </w:r>
      <w:r w:rsidR="005B2A41">
        <w:t xml:space="preserve"> </w:t>
      </w:r>
      <w:r w:rsidR="00F233AB" w:rsidRPr="00B02247">
        <w:t>Geneva</w:t>
      </w:r>
      <w:r w:rsidR="005B2A41">
        <w:t xml:space="preserve"> </w:t>
      </w:r>
      <w:r w:rsidR="00F233AB" w:rsidRPr="00B02247">
        <w:t>Conventions</w:t>
      </w:r>
      <w:r w:rsidR="005B2A41">
        <w:t xml:space="preserve"> </w:t>
      </w:r>
      <w:r w:rsidR="00F233AB" w:rsidRPr="00B02247">
        <w:t>of</w:t>
      </w:r>
      <w:r w:rsidR="005B2A41">
        <w:t xml:space="preserve"> </w:t>
      </w:r>
      <w:r w:rsidR="00F233AB" w:rsidRPr="00B02247">
        <w:t>12</w:t>
      </w:r>
      <w:r w:rsidR="005B2A41">
        <w:t xml:space="preserve"> </w:t>
      </w:r>
      <w:r w:rsidR="00F233AB" w:rsidRPr="00B02247">
        <w:t>August</w:t>
      </w:r>
      <w:r w:rsidR="005B2A41">
        <w:t xml:space="preserve"> </w:t>
      </w:r>
      <w:r w:rsidR="00F233AB" w:rsidRPr="00B02247">
        <w:t>1949,</w:t>
      </w:r>
      <w:r w:rsidR="005B2A41">
        <w:t xml:space="preserve"> </w:t>
      </w:r>
      <w:r w:rsidR="00F233AB" w:rsidRPr="00B02247">
        <w:t>and</w:t>
      </w:r>
      <w:r w:rsidR="005B2A41">
        <w:t xml:space="preserve"> </w:t>
      </w:r>
      <w:r w:rsidR="00F233AB" w:rsidRPr="00B02247">
        <w:t>relating</w:t>
      </w:r>
      <w:r w:rsidR="005B2A41">
        <w:t xml:space="preserve"> </w:t>
      </w:r>
      <w:r w:rsidR="00F233AB" w:rsidRPr="00B02247">
        <w:t>to</w:t>
      </w:r>
      <w:r w:rsidR="005B2A41">
        <w:t xml:space="preserve"> </w:t>
      </w:r>
      <w:r w:rsidR="00F233AB" w:rsidRPr="00B02247">
        <w:t>the</w:t>
      </w:r>
      <w:r w:rsidR="005B2A41">
        <w:t xml:space="preserve"> </w:t>
      </w:r>
      <w:r w:rsidR="00F233AB" w:rsidRPr="00B02247">
        <w:t>Protection</w:t>
      </w:r>
      <w:r w:rsidR="005B2A41">
        <w:t xml:space="preserve"> </w:t>
      </w:r>
      <w:r w:rsidR="00F233AB" w:rsidRPr="00B02247">
        <w:t>of</w:t>
      </w:r>
      <w:r w:rsidR="005B2A41">
        <w:t xml:space="preserve"> </w:t>
      </w:r>
      <w:r w:rsidR="00F233AB" w:rsidRPr="00B02247">
        <w:t>Victims</w:t>
      </w:r>
      <w:r w:rsidR="005B2A41">
        <w:t xml:space="preserve"> </w:t>
      </w:r>
      <w:r w:rsidR="00F233AB" w:rsidRPr="00B02247">
        <w:t>of</w:t>
      </w:r>
      <w:r w:rsidR="005B2A41">
        <w:t xml:space="preserve"> </w:t>
      </w:r>
      <w:r w:rsidR="00F233AB" w:rsidRPr="00B02247">
        <w:t>Non</w:t>
      </w:r>
      <w:r w:rsidR="00F233AB" w:rsidRPr="00B02247">
        <w:noBreakHyphen/>
        <w:t>International</w:t>
      </w:r>
      <w:r w:rsidR="005B2A41">
        <w:t xml:space="preserve"> </w:t>
      </w:r>
      <w:r w:rsidR="00F233AB" w:rsidRPr="00B02247">
        <w:t>Armed</w:t>
      </w:r>
      <w:r w:rsidR="005B2A41">
        <w:t xml:space="preserve"> </w:t>
      </w:r>
      <w:r w:rsidR="00F233AB" w:rsidRPr="00B02247">
        <w:t>Conflicts</w:t>
      </w:r>
      <w:r w:rsidR="005B2A41">
        <w:t xml:space="preserve"> </w:t>
      </w:r>
      <w:r w:rsidR="00F233AB" w:rsidRPr="00B02247">
        <w:t>(Protocol</w:t>
      </w:r>
      <w:r w:rsidR="005B2A41">
        <w:t xml:space="preserve"> </w:t>
      </w:r>
      <w:r w:rsidR="00F233AB" w:rsidRPr="00B02247">
        <w:t>II),</w:t>
      </w:r>
      <w:r w:rsidR="005B2A41">
        <w:t xml:space="preserve"> </w:t>
      </w:r>
      <w:r w:rsidR="00F233AB" w:rsidRPr="00B02247">
        <w:t>1977</w:t>
      </w:r>
      <w:r w:rsidR="005B2A41">
        <w:t xml:space="preserve"> </w:t>
      </w:r>
      <w:r w:rsidR="00F233AB" w:rsidRPr="00B02247">
        <w:t>(Law</w:t>
      </w:r>
      <w:r w:rsidR="005B2A41">
        <w:t xml:space="preserve"> </w:t>
      </w:r>
      <w:r w:rsidR="00F233AB" w:rsidRPr="00B02247">
        <w:t>2105/1992);</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Ottawa</w:t>
      </w:r>
      <w:r w:rsidR="005B2A41">
        <w:t xml:space="preserve"> </w:t>
      </w:r>
      <w:r w:rsidR="00F233AB" w:rsidRPr="00B02247">
        <w:t>Convention</w:t>
      </w:r>
      <w:r w:rsidR="005B2A41">
        <w:t xml:space="preserve"> </w:t>
      </w:r>
      <w:r w:rsidR="00F233AB" w:rsidRPr="00B02247">
        <w:t>on</w:t>
      </w:r>
      <w:r w:rsidR="005B2A41">
        <w:t xml:space="preserve"> </w:t>
      </w:r>
      <w:r w:rsidR="00F233AB" w:rsidRPr="00B02247">
        <w:t>the</w:t>
      </w:r>
      <w:r w:rsidR="005B2A41">
        <w:t xml:space="preserve"> </w:t>
      </w:r>
      <w:r w:rsidR="00F233AB" w:rsidRPr="00B02247">
        <w:t>Prohibition</w:t>
      </w:r>
      <w:r w:rsidR="005B2A41">
        <w:t xml:space="preserve"> </w:t>
      </w:r>
      <w:r w:rsidR="00F233AB" w:rsidRPr="00B02247">
        <w:t>of</w:t>
      </w:r>
      <w:r w:rsidR="005B2A41">
        <w:t xml:space="preserve"> </w:t>
      </w:r>
      <w:r w:rsidR="00F233AB" w:rsidRPr="00B02247">
        <w:t>the</w:t>
      </w:r>
      <w:r w:rsidR="005B2A41">
        <w:t xml:space="preserve"> </w:t>
      </w:r>
      <w:r w:rsidR="00F233AB" w:rsidRPr="00B02247">
        <w:t>Use,</w:t>
      </w:r>
      <w:r w:rsidR="005B2A41">
        <w:t xml:space="preserve"> </w:t>
      </w:r>
      <w:r w:rsidR="00F233AB" w:rsidRPr="00B02247">
        <w:t>Stockpiling,</w:t>
      </w:r>
      <w:r w:rsidR="005B2A41">
        <w:t xml:space="preserve"> </w:t>
      </w:r>
      <w:r w:rsidR="00F233AB" w:rsidRPr="00B02247">
        <w:t>Production</w:t>
      </w:r>
      <w:r w:rsidR="005B2A41">
        <w:t xml:space="preserve"> </w:t>
      </w:r>
      <w:r w:rsidR="00F233AB" w:rsidRPr="00B02247">
        <w:t>and</w:t>
      </w:r>
      <w:r w:rsidR="005B2A41">
        <w:t xml:space="preserve"> </w:t>
      </w:r>
      <w:r w:rsidR="00F233AB" w:rsidRPr="00B02247">
        <w:t>Transfer</w:t>
      </w:r>
      <w:r w:rsidR="005B2A41">
        <w:t xml:space="preserve"> </w:t>
      </w:r>
      <w:r w:rsidR="00F233AB" w:rsidRPr="00B02247">
        <w:t>of</w:t>
      </w:r>
      <w:r w:rsidR="005B2A41">
        <w:t xml:space="preserve"> </w:t>
      </w:r>
      <w:r w:rsidR="00F233AB" w:rsidRPr="00B02247">
        <w:t>Anti</w:t>
      </w:r>
      <w:r w:rsidR="00F233AB" w:rsidRPr="00B02247">
        <w:noBreakHyphen/>
        <w:t>Personnel</w:t>
      </w:r>
      <w:r w:rsidR="005B2A41">
        <w:t xml:space="preserve"> </w:t>
      </w:r>
      <w:r w:rsidR="00F233AB" w:rsidRPr="00B02247">
        <w:t>Mines</w:t>
      </w:r>
      <w:r w:rsidR="005B2A41">
        <w:t xml:space="preserve"> </w:t>
      </w:r>
      <w:r w:rsidR="00F233AB" w:rsidRPr="00B02247">
        <w:t>and</w:t>
      </w:r>
      <w:r w:rsidR="005B2A41">
        <w:t xml:space="preserve"> </w:t>
      </w:r>
      <w:r w:rsidR="00F233AB" w:rsidRPr="00B02247">
        <w:t>On</w:t>
      </w:r>
      <w:r w:rsidR="005B2A41">
        <w:t xml:space="preserve"> </w:t>
      </w:r>
      <w:r w:rsidR="00F233AB" w:rsidRPr="00B02247">
        <w:t>Their</w:t>
      </w:r>
      <w:r w:rsidR="005B2A41">
        <w:t xml:space="preserve"> </w:t>
      </w:r>
      <w:r w:rsidR="00F233AB" w:rsidRPr="00B02247">
        <w:t>Destruction,</w:t>
      </w:r>
      <w:r w:rsidR="005B2A41">
        <w:t xml:space="preserve"> </w:t>
      </w:r>
      <w:r w:rsidR="00F233AB" w:rsidRPr="00B02247">
        <w:t>1987</w:t>
      </w:r>
      <w:r w:rsidR="005B2A41">
        <w:t xml:space="preserve"> </w:t>
      </w:r>
      <w:r w:rsidR="00F233AB" w:rsidRPr="00B02247">
        <w:t>(Law</w:t>
      </w:r>
      <w:r w:rsidR="005B2A41">
        <w:t xml:space="preserve"> </w:t>
      </w:r>
      <w:r w:rsidR="00F233AB" w:rsidRPr="00B02247">
        <w:t>2999/2002).</w:t>
      </w:r>
    </w:p>
    <w:p w:rsidR="00F233AB" w:rsidRPr="00B02247" w:rsidRDefault="00F233AB" w:rsidP="0051662F">
      <w:pPr>
        <w:pStyle w:val="SingleTxtG"/>
      </w:pPr>
      <w:r w:rsidRPr="00B02247">
        <w:t>30.</w:t>
      </w:r>
      <w:r w:rsidRPr="00B02247">
        <w:tab/>
        <w:t>In</w:t>
      </w:r>
      <w:r w:rsidR="005B2A41">
        <w:t xml:space="preserve"> </w:t>
      </w:r>
      <w:r w:rsidRPr="00B02247">
        <w:t>the</w:t>
      </w:r>
      <w:r w:rsidR="005B2A41">
        <w:t xml:space="preserve"> </w:t>
      </w:r>
      <w:r w:rsidRPr="00B02247">
        <w:t>framework</w:t>
      </w:r>
      <w:r w:rsidR="005B2A41">
        <w:t xml:space="preserve"> </w:t>
      </w:r>
      <w:r w:rsidRPr="00B02247">
        <w:t>of</w:t>
      </w:r>
      <w:r w:rsidR="005B2A41">
        <w:t xml:space="preserve"> </w:t>
      </w:r>
      <w:r w:rsidRPr="00B02247">
        <w:t>the</w:t>
      </w:r>
      <w:r w:rsidR="005B2A41">
        <w:t xml:space="preserve"> </w:t>
      </w:r>
      <w:r w:rsidRPr="00B02247">
        <w:t>Council</w:t>
      </w:r>
      <w:r w:rsidR="005B2A41">
        <w:t xml:space="preserve"> </w:t>
      </w:r>
      <w:r w:rsidRPr="00B02247">
        <w:t>of</w:t>
      </w:r>
      <w:r w:rsidR="005B2A41">
        <w:t xml:space="preserve"> </w:t>
      </w:r>
      <w:r w:rsidRPr="00B02247">
        <w:t>Europe,</w:t>
      </w:r>
      <w:r w:rsidR="005B2A41">
        <w:t xml:space="preserve"> </w:t>
      </w:r>
      <w:r w:rsidRPr="00B02247">
        <w:t>Greece</w:t>
      </w:r>
      <w:r w:rsidR="005B2A41">
        <w:t xml:space="preserve"> </w:t>
      </w:r>
      <w:r w:rsidRPr="00B02247">
        <w:t>has</w:t>
      </w:r>
      <w:r w:rsidR="005B2A41">
        <w:t xml:space="preserve"> </w:t>
      </w:r>
      <w:r w:rsidRPr="00B02247">
        <w:t>ratified</w:t>
      </w:r>
      <w:r w:rsidR="005B2A41">
        <w:t xml:space="preserve"> </w:t>
      </w:r>
      <w:r w:rsidRPr="00B02247">
        <w:t>a</w:t>
      </w:r>
      <w:r w:rsidR="005B2A41">
        <w:t xml:space="preserve"> </w:t>
      </w:r>
      <w:r w:rsidRPr="00B02247">
        <w:t>series</w:t>
      </w:r>
      <w:r w:rsidR="005B2A41">
        <w:t xml:space="preserve"> </w:t>
      </w:r>
      <w:r w:rsidRPr="00B02247">
        <w:t>of</w:t>
      </w:r>
      <w:r w:rsidR="005B2A41">
        <w:t xml:space="preserve"> </w:t>
      </w:r>
      <w:r w:rsidRPr="00B02247">
        <w:t>important</w:t>
      </w:r>
      <w:r w:rsidR="005B2A41">
        <w:t xml:space="preserve"> </w:t>
      </w:r>
      <w:r w:rsidRPr="00B02247">
        <w:t>treaties:</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European</w:t>
      </w:r>
      <w:r w:rsidR="005B2A41">
        <w:t xml:space="preserve"> </w:t>
      </w:r>
      <w:r w:rsidR="00F233AB" w:rsidRPr="00B02247">
        <w:t>Convention</w:t>
      </w:r>
      <w:r w:rsidR="005B2A41">
        <w:t xml:space="preserve"> </w:t>
      </w:r>
      <w:r w:rsidR="00F233AB" w:rsidRPr="00B02247">
        <w:t>on</w:t>
      </w:r>
      <w:r w:rsidR="005B2A41">
        <w:t xml:space="preserve"> </w:t>
      </w:r>
      <w:r w:rsidR="00F233AB" w:rsidRPr="00B02247">
        <w:t>Human</w:t>
      </w:r>
      <w:r w:rsidR="005B2A41">
        <w:t xml:space="preserve"> </w:t>
      </w:r>
      <w:r w:rsidR="00F233AB" w:rsidRPr="00B02247">
        <w:t>Rights</w:t>
      </w:r>
      <w:r w:rsidR="005B2A41">
        <w:t xml:space="preserve"> </w:t>
      </w:r>
      <w:r w:rsidR="00F233AB" w:rsidRPr="00B02247">
        <w:t>and</w:t>
      </w:r>
      <w:r w:rsidR="005B2A41">
        <w:t xml:space="preserve"> </w:t>
      </w:r>
      <w:r w:rsidR="00F233AB" w:rsidRPr="00B02247">
        <w:t>its</w:t>
      </w:r>
      <w:r w:rsidR="005B2A41">
        <w:t xml:space="preserve"> </w:t>
      </w:r>
      <w:r w:rsidR="00F233AB" w:rsidRPr="00B02247">
        <w:t>Protocols</w:t>
      </w:r>
      <w:r w:rsidR="005B2A41">
        <w:t xml:space="preserve"> </w:t>
      </w:r>
      <w:r w:rsidR="000F466F">
        <w:t>N</w:t>
      </w:r>
      <w:r w:rsidR="00F233AB" w:rsidRPr="00B02247">
        <w:t>os</w:t>
      </w:r>
      <w:r w:rsidR="000F466F">
        <w:t>.</w:t>
      </w:r>
      <w:r w:rsidR="005B2A41">
        <w:t xml:space="preserve"> </w:t>
      </w:r>
      <w:r w:rsidR="00F233AB" w:rsidRPr="00B02247">
        <w:t>1,</w:t>
      </w:r>
      <w:r w:rsidR="005B2A41">
        <w:t xml:space="preserve"> </w:t>
      </w:r>
      <w:r w:rsidR="00F233AB" w:rsidRPr="00B02247">
        <w:t>2,</w:t>
      </w:r>
      <w:r w:rsidR="005B2A41">
        <w:t xml:space="preserve"> </w:t>
      </w:r>
      <w:r w:rsidR="00F233AB" w:rsidRPr="00B02247">
        <w:t>3,</w:t>
      </w:r>
      <w:r w:rsidR="005B2A41">
        <w:t xml:space="preserve"> </w:t>
      </w:r>
      <w:r w:rsidR="00F233AB" w:rsidRPr="00B02247">
        <w:t>5,</w:t>
      </w:r>
      <w:r w:rsidR="005B2A41">
        <w:t xml:space="preserve"> </w:t>
      </w:r>
      <w:r w:rsidR="00F233AB" w:rsidRPr="00B02247">
        <w:t>6,</w:t>
      </w:r>
      <w:r w:rsidR="005B2A41">
        <w:t xml:space="preserve"> </w:t>
      </w:r>
      <w:r w:rsidR="00F233AB" w:rsidRPr="00B02247">
        <w:t>7,</w:t>
      </w:r>
      <w:r w:rsidR="005B2A41">
        <w:t xml:space="preserve"> </w:t>
      </w:r>
      <w:r w:rsidR="00F233AB" w:rsidRPr="00B02247">
        <w:t>8,</w:t>
      </w:r>
      <w:r w:rsidR="005B2A41">
        <w:t xml:space="preserve"> </w:t>
      </w:r>
      <w:r w:rsidR="00F233AB" w:rsidRPr="00B02247">
        <w:t>11,</w:t>
      </w:r>
      <w:r w:rsidR="005B2A41">
        <w:t xml:space="preserve"> </w:t>
      </w:r>
      <w:r w:rsidR="00F233AB" w:rsidRPr="00B02247">
        <w:t>13,</w:t>
      </w:r>
      <w:r w:rsidR="005B2A41">
        <w:t xml:space="preserve"> </w:t>
      </w:r>
      <w:r w:rsidR="00F233AB" w:rsidRPr="00B02247">
        <w:t>14;</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European</w:t>
      </w:r>
      <w:r w:rsidR="005B2A41">
        <w:t xml:space="preserve"> </w:t>
      </w:r>
      <w:r w:rsidR="00F233AB" w:rsidRPr="00B02247">
        <w:t>Social</w:t>
      </w:r>
      <w:r w:rsidR="005B2A41">
        <w:t xml:space="preserve"> </w:t>
      </w:r>
      <w:r w:rsidR="00F233AB" w:rsidRPr="00B02247">
        <w:t>Charter</w:t>
      </w:r>
      <w:r w:rsidR="005B2A41">
        <w:t xml:space="preserve"> </w:t>
      </w:r>
      <w:r w:rsidR="00F233AB" w:rsidRPr="00B02247">
        <w:t>(Law</w:t>
      </w:r>
      <w:r w:rsidR="005B2A41">
        <w:t xml:space="preserve"> </w:t>
      </w:r>
      <w:r w:rsidR="00F233AB" w:rsidRPr="00B02247">
        <w:t>1426/1984);</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Additional</w:t>
      </w:r>
      <w:r w:rsidR="005B2A41">
        <w:t xml:space="preserve"> </w:t>
      </w:r>
      <w:r w:rsidR="00F233AB" w:rsidRPr="00B02247">
        <w:t>Protocol</w:t>
      </w:r>
      <w:r w:rsidR="005B2A41">
        <w:t xml:space="preserve"> </w:t>
      </w:r>
      <w:r w:rsidR="00F233AB" w:rsidRPr="00B02247">
        <w:t>to</w:t>
      </w:r>
      <w:r w:rsidR="005B2A41">
        <w:t xml:space="preserve"> </w:t>
      </w:r>
      <w:r w:rsidR="00F233AB" w:rsidRPr="00B02247">
        <w:t>the</w:t>
      </w:r>
      <w:r w:rsidR="005B2A41">
        <w:t xml:space="preserve"> </w:t>
      </w:r>
      <w:r w:rsidR="00F233AB" w:rsidRPr="00B02247">
        <w:t>European</w:t>
      </w:r>
      <w:r w:rsidR="005B2A41">
        <w:t xml:space="preserve"> </w:t>
      </w:r>
      <w:r w:rsidR="00F233AB" w:rsidRPr="00B02247">
        <w:t>Social</w:t>
      </w:r>
      <w:r w:rsidR="005B2A41">
        <w:t xml:space="preserve"> </w:t>
      </w:r>
      <w:r w:rsidR="00F233AB" w:rsidRPr="00B02247">
        <w:t>Charter</w:t>
      </w:r>
      <w:r w:rsidR="005B2A41">
        <w:t xml:space="preserve"> </w:t>
      </w:r>
      <w:r w:rsidR="00F233AB" w:rsidRPr="00B02247">
        <w:t>(Law</w:t>
      </w:r>
      <w:r w:rsidR="005B2A41">
        <w:t xml:space="preserve"> </w:t>
      </w:r>
      <w:r w:rsidR="00F233AB" w:rsidRPr="00B02247">
        <w:t>2595/1998);</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Protocol</w:t>
      </w:r>
      <w:r w:rsidR="005B2A41">
        <w:t xml:space="preserve"> </w:t>
      </w:r>
      <w:r w:rsidR="00F233AB" w:rsidRPr="00B02247">
        <w:t>amending</w:t>
      </w:r>
      <w:r w:rsidR="005B2A41">
        <w:t xml:space="preserve"> </w:t>
      </w:r>
      <w:r w:rsidR="00F233AB" w:rsidRPr="00B02247">
        <w:t>the</w:t>
      </w:r>
      <w:r w:rsidR="005B2A41">
        <w:t xml:space="preserve"> </w:t>
      </w:r>
      <w:r w:rsidR="00F233AB" w:rsidRPr="00B02247">
        <w:t>European</w:t>
      </w:r>
      <w:r w:rsidR="005B2A41">
        <w:t xml:space="preserve"> </w:t>
      </w:r>
      <w:r w:rsidR="00F233AB" w:rsidRPr="00B02247">
        <w:t>Social</w:t>
      </w:r>
      <w:r w:rsidR="005B2A41">
        <w:t xml:space="preserve"> </w:t>
      </w:r>
      <w:r w:rsidR="00F233AB" w:rsidRPr="00B02247">
        <w:t>Charter</w:t>
      </w:r>
      <w:r w:rsidR="005B2A41">
        <w:t xml:space="preserve"> </w:t>
      </w:r>
      <w:r w:rsidR="00F233AB" w:rsidRPr="00B02247">
        <w:t>(Law</w:t>
      </w:r>
      <w:r w:rsidR="005B2A41">
        <w:t xml:space="preserve"> </w:t>
      </w:r>
      <w:r w:rsidR="00F233AB" w:rsidRPr="00B02247">
        <w:t>2422/1996);</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Additional</w:t>
      </w:r>
      <w:r w:rsidR="005B2A41">
        <w:t xml:space="preserve"> </w:t>
      </w:r>
      <w:r w:rsidR="00F233AB" w:rsidRPr="00B02247">
        <w:t>Protocol</w:t>
      </w:r>
      <w:r w:rsidR="005B2A41">
        <w:t xml:space="preserve"> </w:t>
      </w:r>
      <w:r w:rsidR="00F233AB" w:rsidRPr="00B02247">
        <w:t>to</w:t>
      </w:r>
      <w:r w:rsidR="005B2A41">
        <w:t xml:space="preserve"> </w:t>
      </w:r>
      <w:r w:rsidR="00F233AB" w:rsidRPr="00B02247">
        <w:t>the</w:t>
      </w:r>
      <w:r w:rsidR="005B2A41">
        <w:t xml:space="preserve"> </w:t>
      </w:r>
      <w:r w:rsidR="00F233AB" w:rsidRPr="00B02247">
        <w:t>European</w:t>
      </w:r>
      <w:r w:rsidR="005B2A41">
        <w:t xml:space="preserve"> </w:t>
      </w:r>
      <w:r w:rsidR="00F233AB" w:rsidRPr="00B02247">
        <w:t>Social</w:t>
      </w:r>
      <w:r w:rsidR="005B2A41">
        <w:t xml:space="preserve"> </w:t>
      </w:r>
      <w:r w:rsidR="00F233AB" w:rsidRPr="00B02247">
        <w:t>Charter</w:t>
      </w:r>
      <w:r w:rsidR="005B2A41">
        <w:t xml:space="preserve"> </w:t>
      </w:r>
      <w:r w:rsidR="00F233AB" w:rsidRPr="00B02247">
        <w:t>providing</w:t>
      </w:r>
      <w:r w:rsidR="005B2A41">
        <w:t xml:space="preserve"> </w:t>
      </w:r>
      <w:r w:rsidR="00F233AB" w:rsidRPr="00B02247">
        <w:t>for</w:t>
      </w:r>
      <w:r w:rsidR="005B2A41">
        <w:t xml:space="preserve"> </w:t>
      </w:r>
      <w:r w:rsidR="00F233AB" w:rsidRPr="00B02247">
        <w:t>a</w:t>
      </w:r>
      <w:r w:rsidR="005B2A41">
        <w:t xml:space="preserve"> </w:t>
      </w:r>
      <w:r w:rsidR="00F233AB" w:rsidRPr="00B02247">
        <w:t>system</w:t>
      </w:r>
      <w:r w:rsidR="005B2A41">
        <w:t xml:space="preserve"> </w:t>
      </w:r>
      <w:r w:rsidR="00F233AB" w:rsidRPr="00B02247">
        <w:t>of</w:t>
      </w:r>
      <w:r w:rsidR="005B2A41">
        <w:t xml:space="preserve"> </w:t>
      </w:r>
      <w:r w:rsidR="00F233AB" w:rsidRPr="00B02247">
        <w:t>collective</w:t>
      </w:r>
      <w:r w:rsidR="005B2A41">
        <w:t xml:space="preserve"> </w:t>
      </w:r>
      <w:r w:rsidR="00F233AB" w:rsidRPr="00B02247">
        <w:t>complaints</w:t>
      </w:r>
      <w:r w:rsidR="005B2A41">
        <w:t xml:space="preserve"> </w:t>
      </w:r>
      <w:r w:rsidR="00F233AB" w:rsidRPr="00B02247">
        <w:t>(Law</w:t>
      </w:r>
      <w:r w:rsidR="005B2A41">
        <w:t xml:space="preserve"> </w:t>
      </w:r>
      <w:r w:rsidR="00F233AB" w:rsidRPr="00B02247">
        <w:t>2595/1998);</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European</w:t>
      </w:r>
      <w:r w:rsidR="005B2A41">
        <w:t xml:space="preserve"> </w:t>
      </w:r>
      <w:r w:rsidR="00F233AB" w:rsidRPr="00B02247">
        <w:t>Social</w:t>
      </w:r>
      <w:r w:rsidR="005B2A41">
        <w:t xml:space="preserve"> </w:t>
      </w:r>
      <w:r w:rsidR="00F233AB" w:rsidRPr="00B02247">
        <w:t>Charter</w:t>
      </w:r>
      <w:r w:rsidR="005B2A41">
        <w:t xml:space="preserve"> </w:t>
      </w:r>
      <w:r w:rsidR="00F233AB" w:rsidRPr="00B02247">
        <w:t>(revised)</w:t>
      </w:r>
      <w:r w:rsidR="005B2A41">
        <w:t xml:space="preserve"> </w:t>
      </w:r>
      <w:r w:rsidR="00F233AB" w:rsidRPr="00B02247">
        <w:t>(Law</w:t>
      </w:r>
      <w:r w:rsidR="005B2A41">
        <w:t xml:space="preserve"> </w:t>
      </w:r>
      <w:r w:rsidR="00F233AB" w:rsidRPr="00B02247">
        <w:t>4359/2016);</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European</w:t>
      </w:r>
      <w:r w:rsidR="005B2A41">
        <w:t xml:space="preserve"> </w:t>
      </w:r>
      <w:r w:rsidR="00F233AB" w:rsidRPr="00B02247">
        <w:t>Convention</w:t>
      </w:r>
      <w:r w:rsidR="005B2A41">
        <w:t xml:space="preserve"> </w:t>
      </w:r>
      <w:r w:rsidR="00F233AB" w:rsidRPr="00B02247">
        <w:t>for</w:t>
      </w:r>
      <w:r w:rsidR="005B2A41">
        <w:t xml:space="preserve"> </w:t>
      </w:r>
      <w:r w:rsidR="00F233AB" w:rsidRPr="00B02247">
        <w:t>the</w:t>
      </w:r>
      <w:r w:rsidR="005B2A41">
        <w:t xml:space="preserve"> </w:t>
      </w:r>
      <w:r w:rsidR="00F233AB" w:rsidRPr="00B02247">
        <w:t>Prevention</w:t>
      </w:r>
      <w:r w:rsidR="005B2A41">
        <w:t xml:space="preserve"> </w:t>
      </w:r>
      <w:r w:rsidR="00F233AB" w:rsidRPr="00B02247">
        <w:t>of</w:t>
      </w:r>
      <w:r w:rsidR="005B2A41">
        <w:t xml:space="preserve"> </w:t>
      </w:r>
      <w:r w:rsidR="00F233AB" w:rsidRPr="00B02247">
        <w:t>Torture</w:t>
      </w:r>
      <w:r w:rsidR="005B2A41">
        <w:t xml:space="preserve"> </w:t>
      </w:r>
      <w:r w:rsidR="00F233AB" w:rsidRPr="00B02247">
        <w:t>and</w:t>
      </w:r>
      <w:r w:rsidR="005B2A41">
        <w:t xml:space="preserve"> </w:t>
      </w:r>
      <w:r w:rsidR="00F233AB" w:rsidRPr="00B02247">
        <w:t>Inhuman</w:t>
      </w:r>
      <w:r w:rsidR="005B2A41">
        <w:t xml:space="preserve"> </w:t>
      </w:r>
      <w:r w:rsidR="00F233AB" w:rsidRPr="00B02247">
        <w:t>or</w:t>
      </w:r>
      <w:r w:rsidR="005B2A41">
        <w:t xml:space="preserve"> </w:t>
      </w:r>
      <w:r w:rsidR="00F233AB" w:rsidRPr="00B02247">
        <w:t>Degrading</w:t>
      </w:r>
      <w:r w:rsidR="005B2A41">
        <w:t xml:space="preserve"> </w:t>
      </w:r>
      <w:r w:rsidR="00F233AB" w:rsidRPr="00B02247">
        <w:t>Treatment</w:t>
      </w:r>
      <w:r w:rsidR="005B2A41">
        <w:t xml:space="preserve"> </w:t>
      </w:r>
      <w:r w:rsidR="00F233AB" w:rsidRPr="00B02247">
        <w:t>or</w:t>
      </w:r>
      <w:r w:rsidR="005B2A41">
        <w:t xml:space="preserve"> </w:t>
      </w:r>
      <w:r w:rsidR="00F233AB" w:rsidRPr="00B02247">
        <w:t>Punishment</w:t>
      </w:r>
      <w:r w:rsidR="005B2A41">
        <w:t xml:space="preserve"> </w:t>
      </w:r>
      <w:r w:rsidR="00F233AB" w:rsidRPr="00B02247">
        <w:t>(Law</w:t>
      </w:r>
      <w:r w:rsidR="005B2A41">
        <w:t xml:space="preserve"> </w:t>
      </w:r>
      <w:r w:rsidR="00F233AB" w:rsidRPr="00B02247">
        <w:t>1949/1991);</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Convention</w:t>
      </w:r>
      <w:r w:rsidR="005B2A41">
        <w:t xml:space="preserve"> </w:t>
      </w:r>
      <w:r w:rsidR="00F233AB" w:rsidRPr="00B02247">
        <w:t>for</w:t>
      </w:r>
      <w:r w:rsidR="005B2A41">
        <w:t xml:space="preserve"> </w:t>
      </w:r>
      <w:r w:rsidR="00F233AB" w:rsidRPr="00B02247">
        <w:t>the</w:t>
      </w:r>
      <w:r w:rsidR="005B2A41">
        <w:t xml:space="preserve"> </w:t>
      </w:r>
      <w:r w:rsidR="00F233AB" w:rsidRPr="00B02247">
        <w:t>Protection</w:t>
      </w:r>
      <w:r w:rsidR="005B2A41">
        <w:t xml:space="preserve"> </w:t>
      </w:r>
      <w:r w:rsidR="00F233AB" w:rsidRPr="00B02247">
        <w:t>of</w:t>
      </w:r>
      <w:r w:rsidR="005B2A41">
        <w:t xml:space="preserve"> </w:t>
      </w:r>
      <w:r w:rsidR="00F233AB" w:rsidRPr="00B02247">
        <w:t>Individuals</w:t>
      </w:r>
      <w:r w:rsidR="005B2A41">
        <w:t xml:space="preserve"> </w:t>
      </w:r>
      <w:r w:rsidR="00F233AB" w:rsidRPr="00B02247">
        <w:t>with</w:t>
      </w:r>
      <w:r w:rsidR="005B2A41">
        <w:t xml:space="preserve"> </w:t>
      </w:r>
      <w:r w:rsidR="00F233AB" w:rsidRPr="00B02247">
        <w:t>Regard</w:t>
      </w:r>
      <w:r w:rsidR="005B2A41">
        <w:t xml:space="preserve"> </w:t>
      </w:r>
      <w:r w:rsidR="00F233AB" w:rsidRPr="00B02247">
        <w:t>to</w:t>
      </w:r>
      <w:r w:rsidR="005B2A41">
        <w:t xml:space="preserve"> </w:t>
      </w:r>
      <w:r w:rsidR="00F233AB" w:rsidRPr="00B02247">
        <w:t>Automatic</w:t>
      </w:r>
      <w:r w:rsidR="005B2A41">
        <w:t xml:space="preserve"> </w:t>
      </w:r>
      <w:r w:rsidR="00F233AB" w:rsidRPr="00B02247">
        <w:t>Processing</w:t>
      </w:r>
      <w:r w:rsidR="005B2A41">
        <w:t xml:space="preserve"> </w:t>
      </w:r>
      <w:r w:rsidR="00F233AB" w:rsidRPr="00B02247">
        <w:t>of</w:t>
      </w:r>
      <w:r w:rsidR="005B2A41">
        <w:t xml:space="preserve"> </w:t>
      </w:r>
      <w:r w:rsidR="00F233AB" w:rsidRPr="00B02247">
        <w:t>Personal</w:t>
      </w:r>
      <w:r w:rsidR="005B2A41">
        <w:t xml:space="preserve"> </w:t>
      </w:r>
      <w:r w:rsidR="00F233AB" w:rsidRPr="00B02247">
        <w:t>Data</w:t>
      </w:r>
      <w:r w:rsidR="005B2A41">
        <w:t xml:space="preserve"> </w:t>
      </w:r>
      <w:r w:rsidR="00F233AB" w:rsidRPr="00B02247">
        <w:t>(Law</w:t>
      </w:r>
      <w:r w:rsidR="005B2A41">
        <w:t xml:space="preserve"> </w:t>
      </w:r>
      <w:r w:rsidR="00F233AB" w:rsidRPr="00B02247">
        <w:t>2068/1992);</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Convention</w:t>
      </w:r>
      <w:r w:rsidR="005B2A41">
        <w:t xml:space="preserve"> </w:t>
      </w:r>
      <w:r w:rsidR="00F233AB" w:rsidRPr="00B02247">
        <w:t>for</w:t>
      </w:r>
      <w:r w:rsidR="005B2A41">
        <w:t xml:space="preserve"> </w:t>
      </w:r>
      <w:r w:rsidR="00F233AB" w:rsidRPr="00B02247">
        <w:t>the</w:t>
      </w:r>
      <w:r w:rsidR="005B2A41">
        <w:t xml:space="preserve"> </w:t>
      </w:r>
      <w:r w:rsidR="00F233AB" w:rsidRPr="00B02247">
        <w:t>Protection</w:t>
      </w:r>
      <w:r w:rsidR="005B2A41">
        <w:t xml:space="preserve"> </w:t>
      </w:r>
      <w:r w:rsidR="00F233AB" w:rsidRPr="00B02247">
        <w:t>of</w:t>
      </w:r>
      <w:r w:rsidR="005B2A41">
        <w:t xml:space="preserve"> </w:t>
      </w:r>
      <w:r w:rsidR="00F233AB" w:rsidRPr="00B02247">
        <w:t>Human</w:t>
      </w:r>
      <w:r w:rsidR="005B2A41">
        <w:t xml:space="preserve"> </w:t>
      </w:r>
      <w:r w:rsidR="00F233AB" w:rsidRPr="00B02247">
        <w:t>Rights</w:t>
      </w:r>
      <w:r w:rsidR="005B2A41">
        <w:t xml:space="preserve"> </w:t>
      </w:r>
      <w:r w:rsidR="00F233AB" w:rsidRPr="00B02247">
        <w:t>and</w:t>
      </w:r>
      <w:r w:rsidR="005B2A41">
        <w:t xml:space="preserve"> </w:t>
      </w:r>
      <w:r w:rsidR="00F233AB" w:rsidRPr="00B02247">
        <w:t>Dignity</w:t>
      </w:r>
      <w:r w:rsidR="005B2A41">
        <w:t xml:space="preserve"> </w:t>
      </w:r>
      <w:r w:rsidR="00F233AB" w:rsidRPr="00B02247">
        <w:t>of</w:t>
      </w:r>
      <w:r w:rsidR="005B2A41">
        <w:t xml:space="preserve"> </w:t>
      </w:r>
      <w:r w:rsidR="00F233AB" w:rsidRPr="00B02247">
        <w:t>the</w:t>
      </w:r>
      <w:r w:rsidR="005B2A41">
        <w:t xml:space="preserve"> </w:t>
      </w:r>
      <w:r w:rsidR="00F233AB" w:rsidRPr="00B02247">
        <w:t>Human</w:t>
      </w:r>
      <w:r w:rsidR="005B2A41">
        <w:t xml:space="preserve"> </w:t>
      </w:r>
      <w:r w:rsidR="00F233AB" w:rsidRPr="00B02247">
        <w:t>Being</w:t>
      </w:r>
      <w:r w:rsidR="005B2A41">
        <w:t xml:space="preserve"> </w:t>
      </w:r>
      <w:r w:rsidR="00F233AB" w:rsidRPr="00B02247">
        <w:t>with</w:t>
      </w:r>
      <w:r w:rsidR="005B2A41">
        <w:t xml:space="preserve"> </w:t>
      </w:r>
      <w:r w:rsidR="00F233AB" w:rsidRPr="00B02247">
        <w:t>regard</w:t>
      </w:r>
      <w:r w:rsidR="005B2A41">
        <w:t xml:space="preserve"> </w:t>
      </w:r>
      <w:r w:rsidR="00F233AB" w:rsidRPr="00B02247">
        <w:t>to</w:t>
      </w:r>
      <w:r w:rsidR="005B2A41">
        <w:t xml:space="preserve"> </w:t>
      </w:r>
      <w:r w:rsidR="00F233AB" w:rsidRPr="00B02247">
        <w:t>the</w:t>
      </w:r>
      <w:r w:rsidR="005B2A41">
        <w:t xml:space="preserve"> </w:t>
      </w:r>
      <w:r w:rsidR="00F233AB" w:rsidRPr="00B02247">
        <w:t>application</w:t>
      </w:r>
      <w:r w:rsidR="005B2A41">
        <w:t xml:space="preserve"> </w:t>
      </w:r>
      <w:r w:rsidR="00F233AB" w:rsidRPr="00B02247">
        <w:t>of</w:t>
      </w:r>
      <w:r w:rsidR="005B2A41">
        <w:t xml:space="preserve"> </w:t>
      </w:r>
      <w:r w:rsidR="00F233AB" w:rsidRPr="00B02247">
        <w:t>Biology</w:t>
      </w:r>
      <w:r w:rsidR="005B2A41">
        <w:t xml:space="preserve"> </w:t>
      </w:r>
      <w:r w:rsidR="00F233AB" w:rsidRPr="00B02247">
        <w:t>and</w:t>
      </w:r>
      <w:r w:rsidR="005B2A41">
        <w:t xml:space="preserve"> </w:t>
      </w:r>
      <w:r w:rsidR="00F233AB" w:rsidRPr="00B02247">
        <w:t>Medicine:</w:t>
      </w:r>
      <w:r w:rsidR="005B2A41">
        <w:t xml:space="preserve"> </w:t>
      </w:r>
      <w:r w:rsidR="00F233AB" w:rsidRPr="00B02247">
        <w:t>Convention</w:t>
      </w:r>
      <w:r w:rsidR="005B2A41">
        <w:t xml:space="preserve"> </w:t>
      </w:r>
      <w:r w:rsidR="00F233AB" w:rsidRPr="00B02247">
        <w:t>on</w:t>
      </w:r>
      <w:r w:rsidR="005B2A41">
        <w:t xml:space="preserve"> </w:t>
      </w:r>
      <w:r w:rsidR="00F233AB" w:rsidRPr="00B02247">
        <w:t>Human</w:t>
      </w:r>
      <w:r w:rsidR="005B2A41">
        <w:t xml:space="preserve"> </w:t>
      </w:r>
      <w:r w:rsidR="00F233AB" w:rsidRPr="00B02247">
        <w:t>Rights</w:t>
      </w:r>
      <w:r w:rsidR="005B2A41">
        <w:t xml:space="preserve"> </w:t>
      </w:r>
      <w:r w:rsidR="00F233AB" w:rsidRPr="00B02247">
        <w:t>and</w:t>
      </w:r>
      <w:r w:rsidR="005B2A41">
        <w:t xml:space="preserve"> </w:t>
      </w:r>
      <w:r w:rsidR="00F233AB" w:rsidRPr="00B02247">
        <w:t>Biomedicine</w:t>
      </w:r>
      <w:r w:rsidR="005B2A41">
        <w:t xml:space="preserve"> </w:t>
      </w:r>
      <w:r w:rsidR="00F233AB" w:rsidRPr="00B02247">
        <w:t>(Law</w:t>
      </w:r>
      <w:r w:rsidR="005B2A41">
        <w:t xml:space="preserve"> </w:t>
      </w:r>
      <w:r w:rsidR="00F233AB" w:rsidRPr="00B02247">
        <w:t>2619/1998);</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Additional</w:t>
      </w:r>
      <w:r w:rsidR="005B2A41">
        <w:t xml:space="preserve"> </w:t>
      </w:r>
      <w:r w:rsidR="00F233AB" w:rsidRPr="00B02247">
        <w:t>Protocol</w:t>
      </w:r>
      <w:r w:rsidR="005B2A41">
        <w:t xml:space="preserve"> </w:t>
      </w:r>
      <w:r w:rsidR="00F233AB" w:rsidRPr="00B02247">
        <w:t>to</w:t>
      </w:r>
      <w:r w:rsidR="005B2A41">
        <w:t xml:space="preserve"> </w:t>
      </w:r>
      <w:r w:rsidR="00F233AB" w:rsidRPr="00B02247">
        <w:t>the</w:t>
      </w:r>
      <w:r w:rsidR="005B2A41">
        <w:t xml:space="preserve"> </w:t>
      </w:r>
      <w:r w:rsidR="00F233AB" w:rsidRPr="00B02247">
        <w:t>Convention</w:t>
      </w:r>
      <w:r w:rsidR="005B2A41">
        <w:t xml:space="preserve"> </w:t>
      </w:r>
      <w:r w:rsidR="00F233AB" w:rsidRPr="00B02247">
        <w:t>for</w:t>
      </w:r>
      <w:r w:rsidR="005B2A41">
        <w:t xml:space="preserve"> </w:t>
      </w:r>
      <w:r w:rsidR="00F233AB" w:rsidRPr="00B02247">
        <w:t>the</w:t>
      </w:r>
      <w:r w:rsidR="005B2A41">
        <w:t xml:space="preserve"> </w:t>
      </w:r>
      <w:r w:rsidR="00F233AB" w:rsidRPr="00B02247">
        <w:t>Protection</w:t>
      </w:r>
      <w:r w:rsidR="005B2A41">
        <w:t xml:space="preserve"> </w:t>
      </w:r>
      <w:r w:rsidR="00F233AB" w:rsidRPr="00B02247">
        <w:t>of</w:t>
      </w:r>
      <w:r w:rsidR="005B2A41">
        <w:t xml:space="preserve"> </w:t>
      </w:r>
      <w:r w:rsidR="00F233AB" w:rsidRPr="00B02247">
        <w:t>Human</w:t>
      </w:r>
      <w:r w:rsidR="005B2A41">
        <w:t xml:space="preserve"> </w:t>
      </w:r>
      <w:r w:rsidR="00F233AB" w:rsidRPr="00B02247">
        <w:t>Rights</w:t>
      </w:r>
      <w:r w:rsidR="005B2A41">
        <w:t xml:space="preserve"> </w:t>
      </w:r>
      <w:r w:rsidR="00F233AB" w:rsidRPr="00B02247">
        <w:t>and</w:t>
      </w:r>
      <w:r w:rsidR="005B2A41">
        <w:t xml:space="preserve"> </w:t>
      </w:r>
      <w:r w:rsidR="00F233AB" w:rsidRPr="00B02247">
        <w:t>Dignity</w:t>
      </w:r>
      <w:r w:rsidR="005B2A41">
        <w:t xml:space="preserve"> </w:t>
      </w:r>
      <w:r w:rsidR="00F233AB" w:rsidRPr="00B02247">
        <w:t>of</w:t>
      </w:r>
      <w:r w:rsidR="005B2A41">
        <w:t xml:space="preserve"> </w:t>
      </w:r>
      <w:r w:rsidR="00F233AB" w:rsidRPr="00B02247">
        <w:t>the</w:t>
      </w:r>
      <w:r w:rsidR="005B2A41">
        <w:t xml:space="preserve"> </w:t>
      </w:r>
      <w:r w:rsidR="00F233AB" w:rsidRPr="00B02247">
        <w:t>Human</w:t>
      </w:r>
      <w:r w:rsidR="005B2A41">
        <w:t xml:space="preserve"> </w:t>
      </w:r>
      <w:r w:rsidR="00F233AB" w:rsidRPr="00B02247">
        <w:t>Being</w:t>
      </w:r>
      <w:r w:rsidR="005B2A41">
        <w:t xml:space="preserve"> </w:t>
      </w:r>
      <w:r w:rsidR="00F233AB" w:rsidRPr="00B02247">
        <w:t>with</w:t>
      </w:r>
      <w:r w:rsidR="005B2A41">
        <w:t xml:space="preserve"> </w:t>
      </w:r>
      <w:r w:rsidR="00F233AB" w:rsidRPr="00B02247">
        <w:t>regard</w:t>
      </w:r>
      <w:r w:rsidR="005B2A41">
        <w:t xml:space="preserve"> </w:t>
      </w:r>
      <w:r w:rsidR="00F233AB" w:rsidRPr="00B02247">
        <w:t>to</w:t>
      </w:r>
      <w:r w:rsidR="005B2A41">
        <w:t xml:space="preserve"> </w:t>
      </w:r>
      <w:r w:rsidR="00F233AB" w:rsidRPr="00B02247">
        <w:t>the</w:t>
      </w:r>
      <w:r w:rsidR="005B2A41">
        <w:t xml:space="preserve"> </w:t>
      </w:r>
      <w:r w:rsidR="00F233AB" w:rsidRPr="00B02247">
        <w:t>Application</w:t>
      </w:r>
      <w:r w:rsidR="005B2A41">
        <w:t xml:space="preserve"> </w:t>
      </w:r>
      <w:r w:rsidR="00F233AB" w:rsidRPr="00B02247">
        <w:t>of</w:t>
      </w:r>
      <w:r w:rsidR="005B2A41">
        <w:t xml:space="preserve"> </w:t>
      </w:r>
      <w:r w:rsidR="00F233AB" w:rsidRPr="00B02247">
        <w:t>Biology</w:t>
      </w:r>
      <w:r w:rsidR="005B2A41">
        <w:t xml:space="preserve"> </w:t>
      </w:r>
      <w:r w:rsidR="00F233AB" w:rsidRPr="00B02247">
        <w:t>and</w:t>
      </w:r>
      <w:r w:rsidR="005B2A41">
        <w:t xml:space="preserve"> </w:t>
      </w:r>
      <w:r w:rsidR="00F233AB" w:rsidRPr="00B02247">
        <w:t>Medicine</w:t>
      </w:r>
      <w:r w:rsidR="005B2A41">
        <w:t xml:space="preserve"> </w:t>
      </w:r>
      <w:r w:rsidR="00F233AB" w:rsidRPr="00B02247">
        <w:t>on</w:t>
      </w:r>
      <w:r w:rsidR="005B2A41">
        <w:t xml:space="preserve"> </w:t>
      </w:r>
      <w:r w:rsidR="00F233AB" w:rsidRPr="00B02247">
        <w:t>the</w:t>
      </w:r>
      <w:r w:rsidR="005B2A41">
        <w:t xml:space="preserve"> </w:t>
      </w:r>
      <w:r w:rsidR="00F233AB" w:rsidRPr="00B02247">
        <w:t>Prohibition</w:t>
      </w:r>
      <w:r w:rsidR="005B2A41">
        <w:t xml:space="preserve"> </w:t>
      </w:r>
      <w:r w:rsidR="00F233AB" w:rsidRPr="00B02247">
        <w:t>of</w:t>
      </w:r>
      <w:r w:rsidR="005B2A41">
        <w:t xml:space="preserve"> </w:t>
      </w:r>
      <w:r w:rsidR="00F233AB" w:rsidRPr="00B02247">
        <w:t>Cloning</w:t>
      </w:r>
      <w:r w:rsidR="005B2A41">
        <w:t xml:space="preserve"> </w:t>
      </w:r>
      <w:r w:rsidR="00F233AB" w:rsidRPr="00B02247">
        <w:t>Human</w:t>
      </w:r>
      <w:r w:rsidR="005B2A41">
        <w:t xml:space="preserve"> </w:t>
      </w:r>
      <w:r w:rsidR="00F233AB" w:rsidRPr="00B02247">
        <w:t>Beings</w:t>
      </w:r>
      <w:r w:rsidR="005B2A41">
        <w:t xml:space="preserve"> </w:t>
      </w:r>
      <w:r w:rsidR="00F233AB" w:rsidRPr="00B02247">
        <w:t>(ministerial</w:t>
      </w:r>
      <w:r w:rsidR="005B2A41">
        <w:t xml:space="preserve"> </w:t>
      </w:r>
      <w:r w:rsidR="00F233AB" w:rsidRPr="00B02247">
        <w:t>decision</w:t>
      </w:r>
      <w:r w:rsidR="005B2A41">
        <w:t xml:space="preserve"> </w:t>
      </w:r>
      <w:r w:rsidR="00F233AB" w:rsidRPr="00B02247">
        <w:t>4898/21.10.1998);</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European</w:t>
      </w:r>
      <w:r w:rsidR="005B2A41">
        <w:t xml:space="preserve"> </w:t>
      </w:r>
      <w:r w:rsidR="00F233AB" w:rsidRPr="00B02247">
        <w:t>Convention</w:t>
      </w:r>
      <w:r w:rsidR="005B2A41">
        <w:t xml:space="preserve"> </w:t>
      </w:r>
      <w:r w:rsidR="00F233AB" w:rsidRPr="00B02247">
        <w:t>on</w:t>
      </w:r>
      <w:r w:rsidR="005B2A41">
        <w:t xml:space="preserve"> </w:t>
      </w:r>
      <w:r w:rsidR="00F233AB" w:rsidRPr="00B02247">
        <w:t>the</w:t>
      </w:r>
      <w:r w:rsidR="005B2A41">
        <w:t xml:space="preserve"> </w:t>
      </w:r>
      <w:r w:rsidR="00F233AB" w:rsidRPr="00B02247">
        <w:t>Exercise</w:t>
      </w:r>
      <w:r w:rsidR="005B2A41">
        <w:t xml:space="preserve"> </w:t>
      </w:r>
      <w:r w:rsidR="00F233AB" w:rsidRPr="00B02247">
        <w:t>of</w:t>
      </w:r>
      <w:r w:rsidR="005B2A41">
        <w:t xml:space="preserve"> </w:t>
      </w:r>
      <w:r w:rsidR="00F233AB" w:rsidRPr="00B02247">
        <w:t>Children</w:t>
      </w:r>
      <w:r w:rsidR="003E731F">
        <w:t>’</w:t>
      </w:r>
      <w:r w:rsidR="00F233AB" w:rsidRPr="00B02247">
        <w:t>s</w:t>
      </w:r>
      <w:r w:rsidR="005B2A41">
        <w:t xml:space="preserve"> </w:t>
      </w:r>
      <w:r w:rsidR="00F233AB" w:rsidRPr="00B02247">
        <w:t>Rights</w:t>
      </w:r>
      <w:r w:rsidR="005B2A41">
        <w:t xml:space="preserve"> </w:t>
      </w:r>
      <w:r w:rsidR="00F233AB" w:rsidRPr="00B02247">
        <w:t>(Law</w:t>
      </w:r>
      <w:r w:rsidR="005B2A41">
        <w:t xml:space="preserve"> </w:t>
      </w:r>
      <w:r w:rsidR="00F233AB" w:rsidRPr="00B02247">
        <w:t>2502/1997);</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Convention</w:t>
      </w:r>
      <w:r w:rsidR="005B2A41">
        <w:t xml:space="preserve"> </w:t>
      </w:r>
      <w:r w:rsidR="00F233AB" w:rsidRPr="00B02247">
        <w:t>on</w:t>
      </w:r>
      <w:r w:rsidR="005B2A41">
        <w:t xml:space="preserve"> </w:t>
      </w:r>
      <w:r w:rsidR="00F233AB" w:rsidRPr="00B02247">
        <w:t>the</w:t>
      </w:r>
      <w:r w:rsidR="005B2A41">
        <w:t xml:space="preserve"> </w:t>
      </w:r>
      <w:r w:rsidR="00F233AB" w:rsidRPr="00B02247">
        <w:t>Protection</w:t>
      </w:r>
      <w:r w:rsidR="005B2A41">
        <w:t xml:space="preserve"> </w:t>
      </w:r>
      <w:r w:rsidR="00F233AB" w:rsidRPr="00B02247">
        <w:t>of</w:t>
      </w:r>
      <w:r w:rsidR="005B2A41">
        <w:t xml:space="preserve"> </w:t>
      </w:r>
      <w:r w:rsidR="00F233AB" w:rsidRPr="00B02247">
        <w:t>Children</w:t>
      </w:r>
      <w:r w:rsidR="005B2A41">
        <w:t xml:space="preserve"> </w:t>
      </w:r>
      <w:r w:rsidR="00F233AB" w:rsidRPr="00B02247">
        <w:t>against</w:t>
      </w:r>
      <w:r w:rsidR="005B2A41">
        <w:t xml:space="preserve"> </w:t>
      </w:r>
      <w:r w:rsidR="00F233AB" w:rsidRPr="00B02247">
        <w:t>Sexual</w:t>
      </w:r>
      <w:r w:rsidR="005B2A41">
        <w:t xml:space="preserve"> </w:t>
      </w:r>
      <w:r w:rsidR="00F233AB" w:rsidRPr="00B02247">
        <w:t>Exploitation</w:t>
      </w:r>
      <w:r w:rsidR="005B2A41">
        <w:t xml:space="preserve"> </w:t>
      </w:r>
      <w:r w:rsidR="00F233AB" w:rsidRPr="00B02247">
        <w:t>and</w:t>
      </w:r>
      <w:r w:rsidR="005B2A41">
        <w:t xml:space="preserve"> </w:t>
      </w:r>
      <w:r w:rsidR="00F233AB" w:rsidRPr="00B02247">
        <w:t>Sexual</w:t>
      </w:r>
      <w:r w:rsidR="005B2A41">
        <w:t xml:space="preserve"> </w:t>
      </w:r>
      <w:r w:rsidR="00F233AB" w:rsidRPr="00B02247">
        <w:t>Abuse</w:t>
      </w:r>
      <w:r w:rsidR="005B2A41">
        <w:t xml:space="preserve"> </w:t>
      </w:r>
      <w:r w:rsidR="00F233AB" w:rsidRPr="00B02247">
        <w:t>(Law</w:t>
      </w:r>
      <w:r w:rsidR="005B2A41">
        <w:t xml:space="preserve"> </w:t>
      </w:r>
      <w:r w:rsidR="00F233AB" w:rsidRPr="00B02247">
        <w:t>3727/2008);</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Convention</w:t>
      </w:r>
      <w:r w:rsidR="005B2A41">
        <w:t xml:space="preserve"> </w:t>
      </w:r>
      <w:r w:rsidR="00F233AB" w:rsidRPr="00B02247">
        <w:t>on</w:t>
      </w:r>
      <w:r w:rsidR="005B2A41">
        <w:t xml:space="preserve"> </w:t>
      </w:r>
      <w:r w:rsidR="00F233AB" w:rsidRPr="00B02247">
        <w:t>Action</w:t>
      </w:r>
      <w:r w:rsidR="005B2A41">
        <w:t xml:space="preserve"> </w:t>
      </w:r>
      <w:r w:rsidR="00F233AB" w:rsidRPr="00B02247">
        <w:t>against</w:t>
      </w:r>
      <w:r w:rsidR="005B2A41">
        <w:t xml:space="preserve"> </w:t>
      </w:r>
      <w:r w:rsidR="00F233AB" w:rsidRPr="00B02247">
        <w:t>Trafficking</w:t>
      </w:r>
      <w:r w:rsidR="005B2A41">
        <w:t xml:space="preserve"> </w:t>
      </w:r>
      <w:r w:rsidR="00F233AB" w:rsidRPr="00B02247">
        <w:t>in</w:t>
      </w:r>
      <w:r w:rsidR="005B2A41">
        <w:t xml:space="preserve"> </w:t>
      </w:r>
      <w:r w:rsidR="00F233AB" w:rsidRPr="00B02247">
        <w:t>Human</w:t>
      </w:r>
      <w:r w:rsidR="005B2A41">
        <w:t xml:space="preserve"> </w:t>
      </w:r>
      <w:r w:rsidR="00F233AB" w:rsidRPr="00B02247">
        <w:t>Beings</w:t>
      </w:r>
      <w:r w:rsidR="005B2A41">
        <w:t xml:space="preserve"> </w:t>
      </w:r>
      <w:r w:rsidR="00F233AB" w:rsidRPr="00B02247">
        <w:t>(Law</w:t>
      </w:r>
      <w:r w:rsidR="005B2A41">
        <w:t xml:space="preserve"> </w:t>
      </w:r>
      <w:r w:rsidR="00F233AB" w:rsidRPr="00B02247">
        <w:t>4216/2013).</w:t>
      </w:r>
    </w:p>
    <w:p w:rsidR="00F233AB" w:rsidRPr="00B02247" w:rsidRDefault="00F233AB" w:rsidP="00E1307D">
      <w:pPr>
        <w:pStyle w:val="SingleTxtG"/>
      </w:pPr>
      <w:r w:rsidRPr="00B02247">
        <w:t>31.</w:t>
      </w:r>
      <w:r w:rsidRPr="00B02247">
        <w:tab/>
        <w:t>In</w:t>
      </w:r>
      <w:r w:rsidR="005B2A41">
        <w:t xml:space="preserve"> </w:t>
      </w:r>
      <w:r w:rsidRPr="00B02247">
        <w:t>addition,</w:t>
      </w:r>
      <w:r w:rsidR="005B2A41">
        <w:t xml:space="preserve"> </w:t>
      </w:r>
      <w:r w:rsidRPr="00B02247">
        <w:t>as</w:t>
      </w:r>
      <w:r w:rsidR="005B2A41">
        <w:t xml:space="preserve"> </w:t>
      </w:r>
      <w:r w:rsidRPr="00B02247">
        <w:t>a</w:t>
      </w:r>
      <w:r w:rsidR="005B2A41">
        <w:t xml:space="preserve"> </w:t>
      </w:r>
      <w:r w:rsidRPr="00B02247">
        <w:t>member</w:t>
      </w:r>
      <w:r w:rsidR="005B2A41">
        <w:t xml:space="preserve"> </w:t>
      </w:r>
      <w:r w:rsidRPr="00B02247">
        <w:t>of</w:t>
      </w:r>
      <w:r w:rsidR="005B2A41">
        <w:t xml:space="preserve"> </w:t>
      </w:r>
      <w:r w:rsidRPr="00B02247">
        <w:t>the</w:t>
      </w:r>
      <w:r w:rsidR="005B2A41">
        <w:t xml:space="preserve"> </w:t>
      </w:r>
      <w:r w:rsidRPr="00B02247">
        <w:t>European</w:t>
      </w:r>
      <w:r w:rsidR="005B2A41">
        <w:t xml:space="preserve"> </w:t>
      </w:r>
      <w:r w:rsidRPr="00B02247">
        <w:t>Union,</w:t>
      </w:r>
      <w:r w:rsidR="005B2A41">
        <w:t xml:space="preserve"> </w:t>
      </w:r>
      <w:r w:rsidRPr="00B02247">
        <w:t>Greece</w:t>
      </w:r>
      <w:r w:rsidR="005B2A41">
        <w:t xml:space="preserve"> </w:t>
      </w:r>
      <w:r w:rsidRPr="00B02247">
        <w:t>is</w:t>
      </w:r>
      <w:r w:rsidR="005B2A41">
        <w:t xml:space="preserve"> </w:t>
      </w:r>
      <w:r w:rsidRPr="00B02247">
        <w:t>legally</w:t>
      </w:r>
      <w:r w:rsidR="005B2A41">
        <w:t xml:space="preserve"> </w:t>
      </w:r>
      <w:r w:rsidRPr="00B02247">
        <w:t>bound</w:t>
      </w:r>
      <w:r w:rsidR="005B2A41">
        <w:t xml:space="preserve"> </w:t>
      </w:r>
      <w:r w:rsidRPr="00B02247">
        <w:t>by</w:t>
      </w:r>
      <w:r w:rsidR="005B2A41">
        <w:t xml:space="preserve"> </w:t>
      </w:r>
      <w:r w:rsidRPr="00B02247">
        <w:t>the</w:t>
      </w:r>
      <w:r w:rsidR="005B2A41">
        <w:t xml:space="preserve"> </w:t>
      </w:r>
      <w:r w:rsidRPr="00B02247">
        <w:t>EU</w:t>
      </w:r>
      <w:r w:rsidR="005B2A41">
        <w:t xml:space="preserve"> </w:t>
      </w:r>
      <w:r w:rsidRPr="00B02247">
        <w:t>Charter</w:t>
      </w:r>
      <w:r w:rsidR="005B2A41">
        <w:t xml:space="preserve"> </w:t>
      </w:r>
      <w:r w:rsidRPr="00B02247">
        <w:t>of</w:t>
      </w:r>
      <w:r w:rsidR="005B2A41">
        <w:t xml:space="preserve"> </w:t>
      </w:r>
      <w:r w:rsidRPr="00B02247">
        <w:t>Fundamental</w:t>
      </w:r>
      <w:r w:rsidR="005B2A41">
        <w:t xml:space="preserve"> </w:t>
      </w:r>
      <w:r w:rsidRPr="00B02247">
        <w:t>Rights</w:t>
      </w:r>
      <w:r w:rsidR="005B2A41">
        <w:t xml:space="preserve"> </w:t>
      </w:r>
      <w:r w:rsidRPr="00B02247">
        <w:t>and</w:t>
      </w:r>
      <w:r w:rsidR="005B2A41">
        <w:t xml:space="preserve"> </w:t>
      </w:r>
      <w:r w:rsidRPr="00B02247">
        <w:t>fully</w:t>
      </w:r>
      <w:r w:rsidR="005B2A41">
        <w:t xml:space="preserve"> </w:t>
      </w:r>
      <w:r w:rsidRPr="00B02247">
        <w:t>applies</w:t>
      </w:r>
      <w:r w:rsidR="005B2A41">
        <w:t xml:space="preserve"> </w:t>
      </w:r>
      <w:r w:rsidRPr="00B02247">
        <w:t>the</w:t>
      </w:r>
      <w:r w:rsidR="005B2A41">
        <w:t xml:space="preserve"> </w:t>
      </w:r>
      <w:r w:rsidRPr="000874E7">
        <w:rPr>
          <w:i/>
          <w:iCs/>
        </w:rPr>
        <w:t>acquis</w:t>
      </w:r>
      <w:r w:rsidR="005B2A41" w:rsidRPr="000874E7">
        <w:rPr>
          <w:i/>
          <w:iCs/>
        </w:rPr>
        <w:t xml:space="preserve"> </w:t>
      </w:r>
      <w:r w:rsidRPr="000874E7">
        <w:rPr>
          <w:i/>
          <w:iCs/>
        </w:rPr>
        <w:t>communautaire</w:t>
      </w:r>
      <w:r w:rsidR="005B2A41">
        <w:t xml:space="preserve"> </w:t>
      </w:r>
      <w:r w:rsidRPr="00B02247">
        <w:t>in</w:t>
      </w:r>
      <w:r w:rsidR="005B2A41">
        <w:t xml:space="preserve"> </w:t>
      </w:r>
      <w:r w:rsidRPr="00B02247">
        <w:t>the</w:t>
      </w:r>
      <w:r w:rsidR="005B2A41">
        <w:t xml:space="preserve"> </w:t>
      </w:r>
      <w:r w:rsidRPr="00B02247">
        <w:t>field</w:t>
      </w:r>
      <w:r w:rsidR="005B2A41">
        <w:t xml:space="preserve"> </w:t>
      </w:r>
      <w:r w:rsidRPr="00B02247">
        <w:t>of</w:t>
      </w:r>
      <w:r w:rsidR="005B2A41">
        <w:t xml:space="preserve"> </w:t>
      </w:r>
      <w:r w:rsidRPr="00B02247">
        <w:t>human</w:t>
      </w:r>
      <w:r w:rsidR="005B2A41">
        <w:t xml:space="preserve"> </w:t>
      </w:r>
      <w:r w:rsidRPr="00B02247">
        <w:t>rights.</w:t>
      </w:r>
    </w:p>
    <w:p w:rsidR="00F233AB" w:rsidRPr="00B02247" w:rsidRDefault="00F233AB" w:rsidP="00E1307D">
      <w:pPr>
        <w:pStyle w:val="SingleTxtG"/>
      </w:pPr>
      <w:r w:rsidRPr="00B02247">
        <w:t>32.</w:t>
      </w:r>
      <w:r w:rsidRPr="00B02247">
        <w:tab/>
        <w:t>Finally,</w:t>
      </w:r>
      <w:r w:rsidR="005B2A41">
        <w:t xml:space="preserve"> </w:t>
      </w:r>
      <w:r w:rsidRPr="00B02247">
        <w:t>Greece</w:t>
      </w:r>
      <w:r w:rsidR="005B2A41">
        <w:t xml:space="preserve"> </w:t>
      </w:r>
      <w:r w:rsidRPr="00B02247">
        <w:t>fully</w:t>
      </w:r>
      <w:r w:rsidR="005B2A41">
        <w:t xml:space="preserve"> </w:t>
      </w:r>
      <w:r w:rsidRPr="00B02247">
        <w:t>respects</w:t>
      </w:r>
      <w:r w:rsidR="005B2A41">
        <w:t xml:space="preserve"> </w:t>
      </w:r>
      <w:r w:rsidRPr="00B02247">
        <w:t>participating</w:t>
      </w:r>
      <w:r w:rsidR="005B2A41">
        <w:t xml:space="preserve"> </w:t>
      </w:r>
      <w:r w:rsidRPr="00B02247">
        <w:t>States</w:t>
      </w:r>
      <w:r w:rsidR="003E731F">
        <w:t>’</w:t>
      </w:r>
      <w:r w:rsidR="005B2A41">
        <w:t xml:space="preserve"> </w:t>
      </w:r>
      <w:r w:rsidRPr="00B02247">
        <w:t>commitments</w:t>
      </w:r>
      <w:r w:rsidR="005B2A41">
        <w:t xml:space="preserve"> </w:t>
      </w:r>
      <w:r w:rsidRPr="00B02247">
        <w:t>under</w:t>
      </w:r>
      <w:r w:rsidR="005B2A41">
        <w:t xml:space="preserve"> </w:t>
      </w:r>
      <w:r w:rsidRPr="00B02247">
        <w:t>the</w:t>
      </w:r>
      <w:r w:rsidR="005B2A41">
        <w:t xml:space="preserve"> </w:t>
      </w:r>
      <w:r w:rsidR="003E731F">
        <w:t>“</w:t>
      </w:r>
      <w:r w:rsidRPr="00B02247">
        <w:t>Human</w:t>
      </w:r>
      <w:r w:rsidR="005B2A41">
        <w:t xml:space="preserve"> </w:t>
      </w:r>
      <w:r w:rsidRPr="00B02247">
        <w:t>Dimension</w:t>
      </w:r>
      <w:r w:rsidR="003E731F">
        <w:t>”</w:t>
      </w:r>
      <w:r w:rsidR="005B2A41">
        <w:t xml:space="preserve"> </w:t>
      </w:r>
      <w:r w:rsidRPr="00B02247">
        <w:t>of</w:t>
      </w:r>
      <w:r w:rsidR="005B2A41">
        <w:t xml:space="preserve"> </w:t>
      </w:r>
      <w:r w:rsidRPr="00B02247">
        <w:t>the</w:t>
      </w:r>
      <w:r w:rsidR="005B2A41">
        <w:t xml:space="preserve"> </w:t>
      </w:r>
      <w:r w:rsidRPr="00B02247">
        <w:t>Organisation</w:t>
      </w:r>
      <w:r w:rsidR="005B2A41">
        <w:t xml:space="preserve"> </w:t>
      </w:r>
      <w:r w:rsidRPr="00B02247">
        <w:t>for</w:t>
      </w:r>
      <w:r w:rsidR="005B2A41">
        <w:t xml:space="preserve"> </w:t>
      </w:r>
      <w:r w:rsidRPr="00B02247">
        <w:t>Security</w:t>
      </w:r>
      <w:r w:rsidR="005B2A41">
        <w:t xml:space="preserve"> </w:t>
      </w:r>
      <w:r w:rsidRPr="00B02247">
        <w:t>and</w:t>
      </w:r>
      <w:r w:rsidR="005B2A41">
        <w:t xml:space="preserve"> </w:t>
      </w:r>
      <w:r w:rsidRPr="00B02247">
        <w:t>Cooperation</w:t>
      </w:r>
      <w:r w:rsidR="005B2A41">
        <w:t xml:space="preserve"> </w:t>
      </w:r>
      <w:r w:rsidRPr="00B02247">
        <w:t>in</w:t>
      </w:r>
      <w:r w:rsidR="005B2A41">
        <w:t xml:space="preserve"> </w:t>
      </w:r>
      <w:r w:rsidRPr="00B02247">
        <w:t>Europe</w:t>
      </w:r>
      <w:r w:rsidR="005B2A41">
        <w:t xml:space="preserve"> </w:t>
      </w:r>
      <w:r w:rsidRPr="00B02247">
        <w:t>(OSCE).</w:t>
      </w:r>
      <w:r w:rsidR="005B2A41">
        <w:t xml:space="preserve"> </w:t>
      </w:r>
    </w:p>
    <w:p w:rsidR="00F233AB" w:rsidRPr="00B02247" w:rsidRDefault="00F233AB" w:rsidP="00F20016">
      <w:pPr>
        <w:pStyle w:val="H1G"/>
      </w:pPr>
      <w:r w:rsidRPr="00B02247">
        <w:tab/>
        <w:t>D.</w:t>
      </w:r>
      <w:r w:rsidRPr="00B02247">
        <w:tab/>
        <w:t>Legal</w:t>
      </w:r>
      <w:r w:rsidR="005B2A41">
        <w:t xml:space="preserve"> </w:t>
      </w:r>
      <w:r w:rsidRPr="00B02247">
        <w:t>framework</w:t>
      </w:r>
      <w:r w:rsidR="005B2A41">
        <w:t xml:space="preserve"> </w:t>
      </w:r>
      <w:r w:rsidRPr="00B02247">
        <w:t>for</w:t>
      </w:r>
      <w:r w:rsidR="005B2A41">
        <w:t xml:space="preserve"> </w:t>
      </w:r>
      <w:r w:rsidRPr="00B02247">
        <w:t>the</w:t>
      </w:r>
      <w:r w:rsidR="005B2A41">
        <w:t xml:space="preserve"> </w:t>
      </w:r>
      <w:r w:rsidRPr="00B02247">
        <w:t>protection</w:t>
      </w:r>
      <w:r w:rsidR="005B2A41">
        <w:t xml:space="preserve"> </w:t>
      </w:r>
      <w:r w:rsidRPr="00B02247">
        <w:t>of</w:t>
      </w:r>
      <w:r w:rsidR="005B2A41">
        <w:t xml:space="preserve"> </w:t>
      </w:r>
      <w:r w:rsidRPr="00B02247">
        <w:t>human</w:t>
      </w:r>
      <w:r w:rsidR="005B2A41">
        <w:t xml:space="preserve"> </w:t>
      </w:r>
      <w:r w:rsidRPr="00B02247">
        <w:t>rights</w:t>
      </w:r>
      <w:r w:rsidR="005B2A41">
        <w:t xml:space="preserve"> </w:t>
      </w:r>
      <w:r w:rsidRPr="00B02247">
        <w:t>at</w:t>
      </w:r>
      <w:r w:rsidR="005B2A41">
        <w:t xml:space="preserve"> </w:t>
      </w:r>
      <w:r w:rsidRPr="00B02247">
        <w:t>the</w:t>
      </w:r>
      <w:r w:rsidR="005B2A41">
        <w:t xml:space="preserve"> </w:t>
      </w:r>
      <w:r w:rsidRPr="00B02247">
        <w:t>national</w:t>
      </w:r>
      <w:r w:rsidR="005B2A41">
        <w:t xml:space="preserve"> </w:t>
      </w:r>
      <w:r w:rsidRPr="00B02247">
        <w:t>level</w:t>
      </w:r>
    </w:p>
    <w:p w:rsidR="00F233AB" w:rsidRPr="00B02247" w:rsidRDefault="00F233AB" w:rsidP="00F20016">
      <w:pPr>
        <w:pStyle w:val="H23G"/>
      </w:pPr>
      <w:r w:rsidRPr="00B02247">
        <w:tab/>
        <w:t>1.</w:t>
      </w:r>
      <w:r w:rsidRPr="00B02247">
        <w:tab/>
        <w:t>Human</w:t>
      </w:r>
      <w:r w:rsidR="005B2A41">
        <w:t xml:space="preserve"> </w:t>
      </w:r>
      <w:r w:rsidRPr="00B02247">
        <w:t>rights</w:t>
      </w:r>
      <w:r w:rsidR="005B2A41">
        <w:t xml:space="preserve"> </w:t>
      </w:r>
      <w:r w:rsidRPr="00B02247">
        <w:t>enshrined</w:t>
      </w:r>
      <w:r w:rsidR="005B2A41">
        <w:t xml:space="preserve"> </w:t>
      </w:r>
      <w:r w:rsidRPr="00B02247">
        <w:t>in</w:t>
      </w:r>
      <w:r w:rsidR="005B2A41">
        <w:t xml:space="preserve"> </w:t>
      </w:r>
      <w:r w:rsidRPr="00B02247">
        <w:t>the</w:t>
      </w:r>
      <w:r w:rsidR="005B2A41">
        <w:t xml:space="preserve"> </w:t>
      </w:r>
      <w:r w:rsidRPr="00B02247">
        <w:t>Constitution</w:t>
      </w:r>
    </w:p>
    <w:p w:rsidR="00F233AB" w:rsidRPr="00B02247" w:rsidRDefault="00F233AB" w:rsidP="00E1307D">
      <w:pPr>
        <w:pStyle w:val="SingleTxtG"/>
      </w:pPr>
      <w:r w:rsidRPr="00B02247">
        <w:t>33.</w:t>
      </w:r>
      <w:r w:rsidRPr="00B02247">
        <w:tab/>
        <w:t>The</w:t>
      </w:r>
      <w:r w:rsidR="005B2A41">
        <w:t xml:space="preserve"> </w:t>
      </w:r>
      <w:r w:rsidRPr="00B02247">
        <w:t>Greek</w:t>
      </w:r>
      <w:r w:rsidR="005B2A41">
        <w:t xml:space="preserve"> </w:t>
      </w:r>
      <w:r w:rsidRPr="00B02247">
        <w:t>Constitution</w:t>
      </w:r>
      <w:r w:rsidR="005B2A41">
        <w:t xml:space="preserve"> </w:t>
      </w:r>
      <w:r w:rsidRPr="00B02247">
        <w:t>contains</w:t>
      </w:r>
      <w:r w:rsidR="005B2A41">
        <w:t xml:space="preserve"> </w:t>
      </w:r>
      <w:r w:rsidRPr="00B02247">
        <w:t>a</w:t>
      </w:r>
      <w:r w:rsidR="005B2A41">
        <w:t xml:space="preserve"> </w:t>
      </w:r>
      <w:r w:rsidRPr="00B02247">
        <w:t>comprehensive</w:t>
      </w:r>
      <w:r w:rsidR="005B2A41">
        <w:t xml:space="preserve"> </w:t>
      </w:r>
      <w:r w:rsidRPr="00B02247">
        <w:t>set</w:t>
      </w:r>
      <w:r w:rsidR="005B2A41">
        <w:t xml:space="preserve"> </w:t>
      </w:r>
      <w:r w:rsidRPr="00B02247">
        <w:t>of</w:t>
      </w:r>
      <w:r w:rsidR="005B2A41">
        <w:t xml:space="preserve"> </w:t>
      </w:r>
      <w:r w:rsidRPr="00B02247">
        <w:t>civil</w:t>
      </w:r>
      <w:r w:rsidR="005B2A41">
        <w:t xml:space="preserve"> </w:t>
      </w:r>
      <w:r w:rsidRPr="00B02247">
        <w:t>and</w:t>
      </w:r>
      <w:r w:rsidR="005B2A41">
        <w:t xml:space="preserve"> </w:t>
      </w:r>
      <w:r w:rsidRPr="00B02247">
        <w:t>political,</w:t>
      </w:r>
      <w:r w:rsidR="005B2A41">
        <w:t xml:space="preserve"> </w:t>
      </w:r>
      <w:r w:rsidRPr="00B02247">
        <w:t>economic,</w:t>
      </w:r>
      <w:r w:rsidR="005B2A41">
        <w:t xml:space="preserve"> </w:t>
      </w:r>
      <w:r w:rsidRPr="00B02247">
        <w:t>social</w:t>
      </w:r>
      <w:r w:rsidR="005B2A41">
        <w:t xml:space="preserve"> </w:t>
      </w:r>
      <w:r w:rsidRPr="00B02247">
        <w:t>and</w:t>
      </w:r>
      <w:r w:rsidR="005B2A41">
        <w:t xml:space="preserve"> </w:t>
      </w:r>
      <w:r w:rsidRPr="00B02247">
        <w:t>cultural</w:t>
      </w:r>
      <w:r w:rsidR="005B2A41">
        <w:t xml:space="preserve"> </w:t>
      </w:r>
      <w:r w:rsidRPr="00B02247">
        <w:t>rights</w:t>
      </w:r>
      <w:r w:rsidR="005B2A41">
        <w:t xml:space="preserve"> </w:t>
      </w:r>
      <w:r w:rsidRPr="00B02247">
        <w:t>and</w:t>
      </w:r>
      <w:r w:rsidR="005B2A41">
        <w:t xml:space="preserve"> </w:t>
      </w:r>
      <w:r w:rsidRPr="00B02247">
        <w:t>freedoms,</w:t>
      </w:r>
      <w:r w:rsidR="005B2A41">
        <w:t xml:space="preserve"> </w:t>
      </w:r>
      <w:r w:rsidRPr="00B02247">
        <w:t>covering</w:t>
      </w:r>
      <w:r w:rsidR="005B2A41">
        <w:t xml:space="preserve"> </w:t>
      </w:r>
      <w:r w:rsidRPr="00B02247">
        <w:t>in</w:t>
      </w:r>
      <w:r w:rsidR="005B2A41">
        <w:t xml:space="preserve"> </w:t>
      </w:r>
      <w:r w:rsidRPr="00B02247">
        <w:t>practice</w:t>
      </w:r>
      <w:r w:rsidR="005B2A41">
        <w:t xml:space="preserve"> </w:t>
      </w:r>
      <w:r w:rsidRPr="00B02247">
        <w:t>all</w:t>
      </w:r>
      <w:r w:rsidR="005B2A41">
        <w:t xml:space="preserve"> </w:t>
      </w:r>
      <w:r w:rsidRPr="00B02247">
        <w:t>human</w:t>
      </w:r>
      <w:r w:rsidR="005B2A41">
        <w:t xml:space="preserve"> </w:t>
      </w:r>
      <w:r w:rsidRPr="00B02247">
        <w:t>rights</w:t>
      </w:r>
      <w:r w:rsidR="005B2A41">
        <w:t xml:space="preserve"> </w:t>
      </w:r>
      <w:r w:rsidRPr="00B02247">
        <w:t>incorporated</w:t>
      </w:r>
      <w:r w:rsidR="005B2A41">
        <w:t xml:space="preserve"> </w:t>
      </w:r>
      <w:r w:rsidRPr="00B02247">
        <w:t>in</w:t>
      </w:r>
      <w:r w:rsidR="005B2A41">
        <w:t xml:space="preserve"> </w:t>
      </w:r>
      <w:r w:rsidRPr="00B02247">
        <w:t>international</w:t>
      </w:r>
      <w:r w:rsidR="005B2A41">
        <w:t xml:space="preserve"> </w:t>
      </w:r>
      <w:r w:rsidRPr="00B02247">
        <w:t>human</w:t>
      </w:r>
      <w:r w:rsidR="005B2A41">
        <w:t xml:space="preserve"> </w:t>
      </w:r>
      <w:r w:rsidRPr="00B02247">
        <w:t>rights</w:t>
      </w:r>
      <w:r w:rsidR="005B2A41">
        <w:t xml:space="preserve"> </w:t>
      </w:r>
      <w:r w:rsidRPr="00B02247">
        <w:t>treaties.</w:t>
      </w:r>
      <w:r w:rsidR="005B2A41">
        <w:t xml:space="preserve"> </w:t>
      </w:r>
    </w:p>
    <w:p w:rsidR="00F233AB" w:rsidRPr="00B02247" w:rsidRDefault="00F233AB" w:rsidP="00E1307D">
      <w:pPr>
        <w:pStyle w:val="SingleTxtG"/>
      </w:pPr>
      <w:r w:rsidRPr="00B02247">
        <w:t>34.</w:t>
      </w:r>
      <w:r w:rsidRPr="00B02247">
        <w:tab/>
        <w:t>More</w:t>
      </w:r>
      <w:r w:rsidR="005B2A41">
        <w:t xml:space="preserve"> </w:t>
      </w:r>
      <w:r w:rsidRPr="00B02247">
        <w:t>specifically,</w:t>
      </w:r>
      <w:r w:rsidR="005B2A41">
        <w:t xml:space="preserve"> </w:t>
      </w:r>
      <w:r w:rsidRPr="00B02247">
        <w:t>the</w:t>
      </w:r>
      <w:r w:rsidR="005B2A41">
        <w:t xml:space="preserve"> </w:t>
      </w:r>
      <w:r w:rsidRPr="00B02247">
        <w:t>civil</w:t>
      </w:r>
      <w:r w:rsidR="005B2A41">
        <w:t xml:space="preserve"> </w:t>
      </w:r>
      <w:r w:rsidRPr="00B02247">
        <w:t>and</w:t>
      </w:r>
      <w:r w:rsidR="005B2A41">
        <w:t xml:space="preserve"> </w:t>
      </w:r>
      <w:r w:rsidRPr="00B02247">
        <w:t>political</w:t>
      </w:r>
      <w:r w:rsidR="005B2A41">
        <w:t xml:space="preserve"> </w:t>
      </w:r>
      <w:r w:rsidRPr="00B02247">
        <w:t>rights</w:t>
      </w:r>
      <w:r w:rsidR="005B2A41">
        <w:t xml:space="preserve"> </w:t>
      </w:r>
      <w:r w:rsidRPr="00B02247">
        <w:t>enshrined</w:t>
      </w:r>
      <w:r w:rsidR="005B2A41">
        <w:t xml:space="preserve"> </w:t>
      </w:r>
      <w:r w:rsidRPr="00B02247">
        <w:t>in</w:t>
      </w:r>
      <w:r w:rsidR="005B2A41">
        <w:t xml:space="preserve"> </w:t>
      </w:r>
      <w:r w:rsidRPr="00B02247">
        <w:t>the</w:t>
      </w:r>
      <w:r w:rsidR="005B2A41">
        <w:t xml:space="preserve"> </w:t>
      </w:r>
      <w:r w:rsidRPr="00B02247">
        <w:t>Constitution</w:t>
      </w:r>
      <w:r w:rsidR="005B2A41">
        <w:t xml:space="preserve"> </w:t>
      </w:r>
      <w:r w:rsidRPr="00B02247">
        <w:t>are</w:t>
      </w:r>
      <w:r w:rsidR="005B2A41">
        <w:t xml:space="preserve"> </w:t>
      </w:r>
      <w:r w:rsidRPr="00B02247">
        <w:t>the</w:t>
      </w:r>
      <w:r w:rsidR="005B2A41">
        <w:t xml:space="preserve"> </w:t>
      </w:r>
      <w:r w:rsidRPr="00B02247">
        <w:t>following:</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equality</w:t>
      </w:r>
      <w:r w:rsidR="005B2A41">
        <w:t xml:space="preserve"> </w:t>
      </w:r>
      <w:r w:rsidR="00F233AB" w:rsidRPr="00B02247">
        <w:t>before</w:t>
      </w:r>
      <w:r w:rsidR="005B2A41">
        <w:t xml:space="preserve"> </w:t>
      </w:r>
      <w:r w:rsidR="00F233AB" w:rsidRPr="00B02247">
        <w:t>the</w:t>
      </w:r>
      <w:r w:rsidR="005B2A41">
        <w:t xml:space="preserve"> </w:t>
      </w:r>
      <w:r w:rsidR="00F233AB" w:rsidRPr="00B02247">
        <w:t>law</w:t>
      </w:r>
      <w:r w:rsidR="005B2A41">
        <w:t xml:space="preserve"> </w:t>
      </w:r>
      <w:r w:rsidR="00F233AB" w:rsidRPr="00B02247">
        <w:t>(Article</w:t>
      </w:r>
      <w:r w:rsidR="005B2A41">
        <w:t xml:space="preserve"> </w:t>
      </w:r>
      <w:r w:rsidR="00F233AB" w:rsidRPr="00B02247">
        <w:t>4(1));</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gender</w:t>
      </w:r>
      <w:r w:rsidR="005B2A41">
        <w:t xml:space="preserve"> </w:t>
      </w:r>
      <w:r w:rsidR="00F233AB" w:rsidRPr="00B02247">
        <w:t>equality</w:t>
      </w:r>
      <w:r w:rsidR="005B2A41">
        <w:t xml:space="preserve"> </w:t>
      </w:r>
      <w:r w:rsidR="00F233AB" w:rsidRPr="00B02247">
        <w:t>(Article</w:t>
      </w:r>
      <w:r w:rsidR="005B2A41">
        <w:t xml:space="preserve"> </w:t>
      </w:r>
      <w:r w:rsidR="00F233AB" w:rsidRPr="00B02247">
        <w:t>4(2))</w:t>
      </w:r>
      <w:r w:rsidR="005B2A41">
        <w:t xml:space="preserve"> </w:t>
      </w:r>
      <w:r w:rsidR="00F233AB" w:rsidRPr="00B02247">
        <w:t>and</w:t>
      </w:r>
      <w:r w:rsidR="005B2A41">
        <w:t xml:space="preserve"> </w:t>
      </w:r>
      <w:r w:rsidR="00F233AB" w:rsidRPr="00B02247">
        <w:t>the</w:t>
      </w:r>
      <w:r w:rsidR="005B2A41">
        <w:t xml:space="preserve"> </w:t>
      </w:r>
      <w:r w:rsidR="00F233AB" w:rsidRPr="00B02247">
        <w:t>adoption</w:t>
      </w:r>
      <w:r w:rsidR="005B2A41">
        <w:t xml:space="preserve"> </w:t>
      </w:r>
      <w:r w:rsidR="00F233AB" w:rsidRPr="00B02247">
        <w:t>of</w:t>
      </w:r>
      <w:r w:rsidR="005B2A41">
        <w:t xml:space="preserve"> </w:t>
      </w:r>
      <w:r w:rsidR="00F233AB" w:rsidRPr="00B02247">
        <w:t>special</w:t>
      </w:r>
      <w:r w:rsidR="005B2A41">
        <w:t xml:space="preserve"> </w:t>
      </w:r>
      <w:r w:rsidR="00F233AB" w:rsidRPr="00B02247">
        <w:t>measures</w:t>
      </w:r>
      <w:r w:rsidR="005B2A41">
        <w:t xml:space="preserve"> </w:t>
      </w:r>
      <w:r w:rsidR="00F233AB" w:rsidRPr="00B02247">
        <w:t>for</w:t>
      </w:r>
      <w:r w:rsidR="005B2A41">
        <w:t xml:space="preserve"> </w:t>
      </w:r>
      <w:r w:rsidR="00F233AB" w:rsidRPr="00B02247">
        <w:t>promoting</w:t>
      </w:r>
      <w:r w:rsidR="005B2A41">
        <w:t xml:space="preserve"> </w:t>
      </w:r>
      <w:r w:rsidR="00F233AB" w:rsidRPr="00B02247">
        <w:t>equality</w:t>
      </w:r>
      <w:r w:rsidR="005B2A41">
        <w:t xml:space="preserve"> </w:t>
      </w:r>
      <w:r w:rsidR="00F233AB" w:rsidRPr="00B02247">
        <w:t>between</w:t>
      </w:r>
      <w:r w:rsidR="005B2A41">
        <w:t xml:space="preserve"> </w:t>
      </w:r>
      <w:r w:rsidR="00F233AB" w:rsidRPr="00B02247">
        <w:t>men</w:t>
      </w:r>
      <w:r w:rsidR="005B2A41">
        <w:t xml:space="preserve"> </w:t>
      </w:r>
      <w:r w:rsidR="00F233AB" w:rsidRPr="00B02247">
        <w:t>and</w:t>
      </w:r>
      <w:r w:rsidR="005B2A41">
        <w:t xml:space="preserve"> </w:t>
      </w:r>
      <w:r w:rsidR="00F233AB" w:rsidRPr="00B02247">
        <w:t>women</w:t>
      </w:r>
      <w:r w:rsidR="005B2A41">
        <w:t xml:space="preserve"> </w:t>
      </w:r>
      <w:r w:rsidR="00F233AB" w:rsidRPr="00B02247">
        <w:t>(Article</w:t>
      </w:r>
      <w:r w:rsidR="005B2A41">
        <w:t xml:space="preserve"> </w:t>
      </w:r>
      <w:r w:rsidR="00F233AB" w:rsidRPr="00B02247">
        <w:t>116</w:t>
      </w:r>
      <w:r w:rsidR="005B2A41">
        <w:t xml:space="preserve"> </w:t>
      </w:r>
      <w:r w:rsidR="00F233AB" w:rsidRPr="00B02247">
        <w:t>(2));</w:t>
      </w:r>
    </w:p>
    <w:p w:rsidR="00F233AB" w:rsidRPr="00B02247" w:rsidRDefault="00102678" w:rsidP="00102678">
      <w:pPr>
        <w:pStyle w:val="Bullet1G"/>
        <w:numPr>
          <w:ilvl w:val="0"/>
          <w:numId w:val="0"/>
        </w:numPr>
        <w:tabs>
          <w:tab w:val="left" w:pos="1701"/>
        </w:tabs>
        <w:ind w:left="1701" w:hanging="170"/>
      </w:pPr>
      <w:r w:rsidRPr="00B02247">
        <w:lastRenderedPageBreak/>
        <w:t>•</w:t>
      </w:r>
      <w:r w:rsidRPr="00B02247">
        <w:tab/>
      </w:r>
      <w:r w:rsidR="00F233AB" w:rsidRPr="00B02247">
        <w:t>equal</w:t>
      </w:r>
      <w:r w:rsidR="005B2A41">
        <w:t xml:space="preserve"> </w:t>
      </w:r>
      <w:r w:rsidR="00F233AB" w:rsidRPr="00B02247">
        <w:t>eligibility</w:t>
      </w:r>
      <w:r w:rsidR="005B2A41">
        <w:t xml:space="preserve"> </w:t>
      </w:r>
      <w:r w:rsidR="00F233AB" w:rsidRPr="00B02247">
        <w:t>for</w:t>
      </w:r>
      <w:r w:rsidR="005B2A41">
        <w:t xml:space="preserve"> </w:t>
      </w:r>
      <w:r w:rsidR="00F233AB" w:rsidRPr="00B02247">
        <w:t>civil</w:t>
      </w:r>
      <w:r w:rsidR="005B2A41">
        <w:t xml:space="preserve"> </w:t>
      </w:r>
      <w:r w:rsidR="00F233AB" w:rsidRPr="00B02247">
        <w:t>service</w:t>
      </w:r>
      <w:r w:rsidR="005B2A41">
        <w:t xml:space="preserve"> </w:t>
      </w:r>
      <w:r w:rsidR="00F233AB" w:rsidRPr="00B02247">
        <w:t>posts</w:t>
      </w:r>
      <w:r w:rsidR="005B2A41">
        <w:t xml:space="preserve"> </w:t>
      </w:r>
      <w:r w:rsidR="00F233AB" w:rsidRPr="00B02247">
        <w:t>(Article</w:t>
      </w:r>
      <w:r w:rsidR="005B2A41">
        <w:t xml:space="preserve"> </w:t>
      </w:r>
      <w:r w:rsidR="00F233AB" w:rsidRPr="00B02247">
        <w:t>4</w:t>
      </w:r>
      <w:r w:rsidR="005B2A41">
        <w:t xml:space="preserve"> </w:t>
      </w:r>
      <w:r w:rsidR="00F233AB" w:rsidRPr="00B02247">
        <w:t>(4));</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non-discriminatory</w:t>
      </w:r>
      <w:r w:rsidR="005B2A41">
        <w:t xml:space="preserve"> </w:t>
      </w:r>
      <w:r w:rsidR="00F233AB" w:rsidRPr="00B02247">
        <w:t>but</w:t>
      </w:r>
      <w:r w:rsidR="005B2A41">
        <w:t xml:space="preserve"> </w:t>
      </w:r>
      <w:r w:rsidR="00F233AB" w:rsidRPr="00B02247">
        <w:t>proportional</w:t>
      </w:r>
      <w:r w:rsidR="005B2A41">
        <w:t xml:space="preserve"> </w:t>
      </w:r>
      <w:r w:rsidR="00F233AB" w:rsidRPr="00B02247">
        <w:t>contribution</w:t>
      </w:r>
      <w:r w:rsidR="005B2A41">
        <w:t xml:space="preserve"> </w:t>
      </w:r>
      <w:r w:rsidR="00F233AB" w:rsidRPr="00B02247">
        <w:t>to</w:t>
      </w:r>
      <w:r w:rsidR="005B2A41">
        <w:t xml:space="preserve"> </w:t>
      </w:r>
      <w:r w:rsidR="00F233AB" w:rsidRPr="00B02247">
        <w:t>public</w:t>
      </w:r>
      <w:r w:rsidR="005B2A41">
        <w:t xml:space="preserve"> </w:t>
      </w:r>
      <w:r w:rsidR="00F233AB" w:rsidRPr="00B02247">
        <w:t>charges</w:t>
      </w:r>
      <w:r w:rsidR="005B2A41">
        <w:t xml:space="preserve"> </w:t>
      </w:r>
      <w:r w:rsidR="00F233AB" w:rsidRPr="00B02247">
        <w:t>(Article</w:t>
      </w:r>
      <w:r w:rsidR="005B2A41">
        <w:t xml:space="preserve"> </w:t>
      </w:r>
      <w:r w:rsidR="00F233AB" w:rsidRPr="00B02247">
        <w:t>4</w:t>
      </w:r>
      <w:r w:rsidR="005B2A41">
        <w:t xml:space="preserve"> </w:t>
      </w:r>
      <w:r w:rsidR="00F233AB" w:rsidRPr="00B02247">
        <w:t>(5));</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equality</w:t>
      </w:r>
      <w:r w:rsidR="005B2A41">
        <w:t xml:space="preserve"> </w:t>
      </w:r>
      <w:r w:rsidR="00F233AB" w:rsidRPr="00B02247">
        <w:t>in</w:t>
      </w:r>
      <w:r w:rsidR="005B2A41">
        <w:t xml:space="preserve"> </w:t>
      </w:r>
      <w:r w:rsidR="00F233AB" w:rsidRPr="00B02247">
        <w:t>performing</w:t>
      </w:r>
      <w:r w:rsidR="005B2A41">
        <w:t xml:space="preserve"> </w:t>
      </w:r>
      <w:r w:rsidR="00F233AB" w:rsidRPr="00B02247">
        <w:t>military</w:t>
      </w:r>
      <w:r w:rsidR="005B2A41">
        <w:t xml:space="preserve"> </w:t>
      </w:r>
      <w:r w:rsidR="00F233AB" w:rsidRPr="00B02247">
        <w:t>obligations</w:t>
      </w:r>
      <w:r w:rsidR="005B2A41">
        <w:t xml:space="preserve"> </w:t>
      </w:r>
      <w:r w:rsidR="00F233AB" w:rsidRPr="00B02247">
        <w:t>(Article</w:t>
      </w:r>
      <w:r w:rsidR="005B2A41">
        <w:t xml:space="preserve"> </w:t>
      </w:r>
      <w:r w:rsidR="00F233AB" w:rsidRPr="00B02247">
        <w:t>4</w:t>
      </w:r>
      <w:r w:rsidR="005B2A41">
        <w:t xml:space="preserve"> </w:t>
      </w:r>
      <w:r w:rsidR="00F233AB" w:rsidRPr="00B02247">
        <w:t>(6));</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performance</w:t>
      </w:r>
      <w:r w:rsidR="005B2A41">
        <w:t xml:space="preserve"> </w:t>
      </w:r>
      <w:r w:rsidR="00F233AB" w:rsidRPr="00B02247">
        <w:t>of</w:t>
      </w:r>
      <w:r w:rsidR="005B2A41">
        <w:t xml:space="preserve"> </w:t>
      </w:r>
      <w:r w:rsidR="00F233AB" w:rsidRPr="00B02247">
        <w:t>alternative</w:t>
      </w:r>
      <w:r w:rsidR="005B2A41">
        <w:t xml:space="preserve"> </w:t>
      </w:r>
      <w:r w:rsidR="00F233AB" w:rsidRPr="00B02247">
        <w:t>service</w:t>
      </w:r>
      <w:r w:rsidR="005B2A41">
        <w:t xml:space="preserve"> </w:t>
      </w:r>
      <w:r w:rsidR="00F233AB" w:rsidRPr="00B02247">
        <w:t>for</w:t>
      </w:r>
      <w:r w:rsidR="005B2A41">
        <w:t xml:space="preserve"> </w:t>
      </w:r>
      <w:r w:rsidR="00F233AB" w:rsidRPr="00B02247">
        <w:t>conscientious</w:t>
      </w:r>
      <w:r w:rsidR="005B2A41">
        <w:t xml:space="preserve"> </w:t>
      </w:r>
      <w:r w:rsidR="00F233AB" w:rsidRPr="00B02247">
        <w:t>objectors</w:t>
      </w:r>
      <w:r w:rsidR="005B2A41">
        <w:t xml:space="preserve"> </w:t>
      </w:r>
      <w:r w:rsidR="00F233AB" w:rsidRPr="00B02247">
        <w:t>(interpretative</w:t>
      </w:r>
      <w:r w:rsidR="005B2A41">
        <w:t xml:space="preserve"> </w:t>
      </w:r>
      <w:r w:rsidR="00F233AB" w:rsidRPr="00B02247">
        <w:t>clause</w:t>
      </w:r>
      <w:r w:rsidR="005B2A41">
        <w:t xml:space="preserve"> </w:t>
      </w:r>
      <w:r w:rsidR="00F233AB" w:rsidRPr="00B02247">
        <w:t>under</w:t>
      </w:r>
      <w:r w:rsidR="005B2A41">
        <w:t xml:space="preserve"> </w:t>
      </w:r>
      <w:r w:rsidR="00F233AB" w:rsidRPr="00B02247">
        <w:t>Article</w:t>
      </w:r>
      <w:r w:rsidR="005B2A41">
        <w:t xml:space="preserve"> </w:t>
      </w:r>
      <w:r w:rsidR="00F233AB" w:rsidRPr="00B02247">
        <w:t>4);</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the</w:t>
      </w:r>
      <w:r w:rsidR="005B2A41">
        <w:t xml:space="preserve"> </w:t>
      </w:r>
      <w:r w:rsidR="00F233AB" w:rsidRPr="00B02247">
        <w:t>right</w:t>
      </w:r>
      <w:r w:rsidR="005B2A41">
        <w:t xml:space="preserve"> </w:t>
      </w:r>
      <w:r w:rsidR="00F233AB" w:rsidRPr="00B02247">
        <w:t>of</w:t>
      </w:r>
      <w:r w:rsidR="005B2A41">
        <w:t xml:space="preserve"> </w:t>
      </w:r>
      <w:r w:rsidR="00F233AB" w:rsidRPr="00B02247">
        <w:t>all</w:t>
      </w:r>
      <w:r w:rsidR="005B2A41">
        <w:t xml:space="preserve"> </w:t>
      </w:r>
      <w:r w:rsidR="00F233AB" w:rsidRPr="00B02247">
        <w:t>persons</w:t>
      </w:r>
      <w:r w:rsidR="005B2A41">
        <w:t xml:space="preserve"> </w:t>
      </w:r>
      <w:r w:rsidR="00F233AB" w:rsidRPr="00B02247">
        <w:t>to</w:t>
      </w:r>
      <w:r w:rsidR="005B2A41">
        <w:t xml:space="preserve"> </w:t>
      </w:r>
      <w:r w:rsidR="00F233AB" w:rsidRPr="00B02247">
        <w:t>freely</w:t>
      </w:r>
      <w:r w:rsidR="005B2A41">
        <w:t xml:space="preserve"> </w:t>
      </w:r>
      <w:r w:rsidR="00F233AB" w:rsidRPr="00B02247">
        <w:t>shape</w:t>
      </w:r>
      <w:r w:rsidR="005B2A41">
        <w:t xml:space="preserve"> </w:t>
      </w:r>
      <w:r w:rsidR="00F233AB" w:rsidRPr="00B02247">
        <w:t>their</w:t>
      </w:r>
      <w:r w:rsidR="005B2A41">
        <w:t xml:space="preserve"> </w:t>
      </w:r>
      <w:r w:rsidR="00F233AB" w:rsidRPr="00B02247">
        <w:t>personality</w:t>
      </w:r>
      <w:r w:rsidR="005B2A41">
        <w:t xml:space="preserve"> </w:t>
      </w:r>
      <w:r w:rsidR="00F233AB" w:rsidRPr="00B02247">
        <w:t>and</w:t>
      </w:r>
      <w:r w:rsidR="005B2A41">
        <w:t xml:space="preserve"> </w:t>
      </w:r>
      <w:r w:rsidR="00F233AB" w:rsidRPr="00B02247">
        <w:t>to</w:t>
      </w:r>
      <w:r w:rsidR="005B2A41">
        <w:t xml:space="preserve"> </w:t>
      </w:r>
      <w:r w:rsidR="00F233AB" w:rsidRPr="00B02247">
        <w:t>participate</w:t>
      </w:r>
      <w:r w:rsidR="005B2A41">
        <w:t xml:space="preserve"> </w:t>
      </w:r>
      <w:r w:rsidR="00F233AB" w:rsidRPr="00B02247">
        <w:t>in</w:t>
      </w:r>
      <w:r w:rsidR="005B2A41">
        <w:t xml:space="preserve"> </w:t>
      </w:r>
      <w:r w:rsidR="00F233AB" w:rsidRPr="00B02247">
        <w:t>the</w:t>
      </w:r>
      <w:r w:rsidR="005B2A41">
        <w:t xml:space="preserve"> </w:t>
      </w:r>
      <w:r w:rsidR="00F233AB" w:rsidRPr="00B02247">
        <w:t>social,</w:t>
      </w:r>
      <w:r w:rsidR="005B2A41">
        <w:t xml:space="preserve"> </w:t>
      </w:r>
      <w:r w:rsidR="00F233AB" w:rsidRPr="00B02247">
        <w:t>economic</w:t>
      </w:r>
      <w:r w:rsidR="005B2A41">
        <w:t xml:space="preserve"> </w:t>
      </w:r>
      <w:r w:rsidR="00F233AB" w:rsidRPr="00B02247">
        <w:t>and</w:t>
      </w:r>
      <w:r w:rsidR="005B2A41">
        <w:t xml:space="preserve"> </w:t>
      </w:r>
      <w:r w:rsidR="00F233AB" w:rsidRPr="00B02247">
        <w:t>political</w:t>
      </w:r>
      <w:r w:rsidR="005B2A41">
        <w:t xml:space="preserve"> </w:t>
      </w:r>
      <w:r w:rsidR="00F233AB" w:rsidRPr="00B02247">
        <w:t>life</w:t>
      </w:r>
      <w:r w:rsidR="005B2A41">
        <w:t xml:space="preserve"> </w:t>
      </w:r>
      <w:r w:rsidR="00F233AB" w:rsidRPr="00B02247">
        <w:t>of</w:t>
      </w:r>
      <w:r w:rsidR="005B2A41">
        <w:t xml:space="preserve"> </w:t>
      </w:r>
      <w:r w:rsidR="00F233AB" w:rsidRPr="00B02247">
        <w:t>the</w:t>
      </w:r>
      <w:r w:rsidR="005B2A41">
        <w:t xml:space="preserve"> </w:t>
      </w:r>
      <w:r w:rsidR="00F233AB" w:rsidRPr="00B02247">
        <w:t>country</w:t>
      </w:r>
      <w:r w:rsidR="005B2A41">
        <w:t xml:space="preserve"> </w:t>
      </w:r>
      <w:r w:rsidR="00F233AB" w:rsidRPr="00B02247">
        <w:t>(Article</w:t>
      </w:r>
      <w:r w:rsidR="005B2A41">
        <w:t xml:space="preserve"> </w:t>
      </w:r>
      <w:r w:rsidR="00F233AB" w:rsidRPr="00B02247">
        <w:t>5</w:t>
      </w:r>
      <w:r w:rsidR="005B2A41">
        <w:t xml:space="preserve"> </w:t>
      </w:r>
      <w:r w:rsidR="00F233AB" w:rsidRPr="00B02247">
        <w:t>(1));</w:t>
      </w:r>
      <w:r w:rsidR="005B2A41">
        <w:t xml:space="preserve"> </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right</w:t>
      </w:r>
      <w:r w:rsidR="005B2A41">
        <w:t xml:space="preserve"> </w:t>
      </w:r>
      <w:r w:rsidR="00F233AB" w:rsidRPr="00B02247">
        <w:t>to</w:t>
      </w:r>
      <w:r w:rsidR="005B2A41">
        <w:t xml:space="preserve"> </w:t>
      </w:r>
      <w:r w:rsidR="00F233AB" w:rsidRPr="00B02247">
        <w:t>absolute</w:t>
      </w:r>
      <w:r w:rsidR="005B2A41">
        <w:t xml:space="preserve"> </w:t>
      </w:r>
      <w:r w:rsidR="00F233AB" w:rsidRPr="00B02247">
        <w:t>protection</w:t>
      </w:r>
      <w:r w:rsidR="005B2A41">
        <w:t xml:space="preserve"> </w:t>
      </w:r>
      <w:r w:rsidR="00F233AB" w:rsidRPr="00B02247">
        <w:t>of</w:t>
      </w:r>
      <w:r w:rsidR="005B2A41">
        <w:t xml:space="preserve"> </w:t>
      </w:r>
      <w:r w:rsidR="00F233AB" w:rsidRPr="00B02247">
        <w:t>life,</w:t>
      </w:r>
      <w:r w:rsidR="005B2A41">
        <w:t xml:space="preserve"> </w:t>
      </w:r>
      <w:r w:rsidR="00F233AB" w:rsidRPr="00B02247">
        <w:t>honour</w:t>
      </w:r>
      <w:r w:rsidR="005B2A41">
        <w:t xml:space="preserve"> </w:t>
      </w:r>
      <w:r w:rsidR="00F233AB" w:rsidRPr="00B02247">
        <w:t>and</w:t>
      </w:r>
      <w:r w:rsidR="005B2A41">
        <w:t xml:space="preserve"> </w:t>
      </w:r>
      <w:r w:rsidR="00F233AB" w:rsidRPr="00B02247">
        <w:t>freedom,</w:t>
      </w:r>
      <w:r w:rsidR="005B2A41">
        <w:t xml:space="preserve"> </w:t>
      </w:r>
      <w:r w:rsidR="00F233AB" w:rsidRPr="00B02247">
        <w:t>irrespective</w:t>
      </w:r>
      <w:r w:rsidR="005B2A41">
        <w:t xml:space="preserve"> </w:t>
      </w:r>
      <w:r w:rsidR="00F233AB" w:rsidRPr="00B02247">
        <w:t>of</w:t>
      </w:r>
      <w:r w:rsidR="005B2A41">
        <w:t xml:space="preserve"> </w:t>
      </w:r>
      <w:r w:rsidR="00F233AB" w:rsidRPr="00B02247">
        <w:t>nationality,</w:t>
      </w:r>
      <w:r w:rsidR="005B2A41">
        <w:t xml:space="preserve"> </w:t>
      </w:r>
      <w:r w:rsidR="00F233AB" w:rsidRPr="00B02247">
        <w:t>race</w:t>
      </w:r>
      <w:r w:rsidR="005B2A41">
        <w:t xml:space="preserve"> </w:t>
      </w:r>
      <w:r w:rsidR="00F233AB" w:rsidRPr="00B02247">
        <w:t>or</w:t>
      </w:r>
      <w:r w:rsidR="005B2A41">
        <w:t xml:space="preserve"> </w:t>
      </w:r>
      <w:r w:rsidR="00F233AB" w:rsidRPr="00B02247">
        <w:t>language,</w:t>
      </w:r>
      <w:r w:rsidR="005B2A41">
        <w:t xml:space="preserve"> </w:t>
      </w:r>
      <w:r w:rsidR="00F233AB" w:rsidRPr="00B02247">
        <w:t>and</w:t>
      </w:r>
      <w:r w:rsidR="005B2A41">
        <w:t xml:space="preserve"> </w:t>
      </w:r>
      <w:r w:rsidR="00F233AB" w:rsidRPr="00B02247">
        <w:t>of</w:t>
      </w:r>
      <w:r w:rsidR="005B2A41">
        <w:t xml:space="preserve"> </w:t>
      </w:r>
      <w:r w:rsidR="00F233AB" w:rsidRPr="00B02247">
        <w:t>religious</w:t>
      </w:r>
      <w:r w:rsidR="005B2A41">
        <w:t xml:space="preserve"> </w:t>
      </w:r>
      <w:r w:rsidR="00F233AB" w:rsidRPr="00B02247">
        <w:t>or</w:t>
      </w:r>
      <w:r w:rsidR="005B2A41">
        <w:t xml:space="preserve"> </w:t>
      </w:r>
      <w:r w:rsidR="00F233AB" w:rsidRPr="00B02247">
        <w:t>political</w:t>
      </w:r>
      <w:r w:rsidR="005B2A41">
        <w:t xml:space="preserve"> </w:t>
      </w:r>
      <w:r w:rsidR="00F233AB" w:rsidRPr="00B02247">
        <w:t>beliefs;</w:t>
      </w:r>
      <w:r w:rsidR="005B2A41">
        <w:t xml:space="preserve"> </w:t>
      </w:r>
      <w:r w:rsidR="00F233AB" w:rsidRPr="00B02247">
        <w:t>prohibition</w:t>
      </w:r>
      <w:r w:rsidR="005B2A41">
        <w:t xml:space="preserve"> </w:t>
      </w:r>
      <w:r w:rsidR="00F233AB" w:rsidRPr="00B02247">
        <w:t>of</w:t>
      </w:r>
      <w:r w:rsidR="005B2A41">
        <w:t xml:space="preserve"> </w:t>
      </w:r>
      <w:r w:rsidR="00F233AB" w:rsidRPr="00B02247">
        <w:t>the</w:t>
      </w:r>
      <w:r w:rsidR="005B2A41">
        <w:t xml:space="preserve"> </w:t>
      </w:r>
      <w:r w:rsidR="00F233AB" w:rsidRPr="00B02247">
        <w:t>extradition</w:t>
      </w:r>
      <w:r w:rsidR="005B2A41">
        <w:t xml:space="preserve"> </w:t>
      </w:r>
      <w:r w:rsidR="00F233AB" w:rsidRPr="00B02247">
        <w:t>of</w:t>
      </w:r>
      <w:r w:rsidR="005B2A41">
        <w:t xml:space="preserve"> </w:t>
      </w:r>
      <w:r w:rsidR="00F233AB" w:rsidRPr="00B02247">
        <w:t>aliens</w:t>
      </w:r>
      <w:r w:rsidR="005B2A41">
        <w:t xml:space="preserve"> </w:t>
      </w:r>
      <w:r w:rsidR="00F233AB" w:rsidRPr="00B02247">
        <w:t>prosecuted</w:t>
      </w:r>
      <w:r w:rsidR="005B2A41">
        <w:t xml:space="preserve"> </w:t>
      </w:r>
      <w:r w:rsidR="00F233AB" w:rsidRPr="00B02247">
        <w:t>for</w:t>
      </w:r>
      <w:r w:rsidR="005B2A41">
        <w:t xml:space="preserve"> </w:t>
      </w:r>
      <w:r w:rsidR="00F233AB" w:rsidRPr="00B02247">
        <w:t>their</w:t>
      </w:r>
      <w:r w:rsidR="005B2A41">
        <w:t xml:space="preserve"> </w:t>
      </w:r>
      <w:r w:rsidR="00F233AB" w:rsidRPr="00B02247">
        <w:t>action</w:t>
      </w:r>
      <w:r w:rsidR="005B2A41">
        <w:t xml:space="preserve"> </w:t>
      </w:r>
      <w:r w:rsidR="00F233AB" w:rsidRPr="00B02247">
        <w:t>as</w:t>
      </w:r>
      <w:r w:rsidR="005B2A41">
        <w:t xml:space="preserve"> </w:t>
      </w:r>
      <w:r w:rsidR="00F233AB" w:rsidRPr="00B02247">
        <w:t>freedom-fighters</w:t>
      </w:r>
      <w:r w:rsidR="005B2A41">
        <w:t xml:space="preserve"> </w:t>
      </w:r>
      <w:r w:rsidR="00F233AB" w:rsidRPr="00B02247">
        <w:t>is</w:t>
      </w:r>
      <w:r w:rsidR="005B2A41">
        <w:t xml:space="preserve"> </w:t>
      </w:r>
      <w:r w:rsidR="00F233AB" w:rsidRPr="00B02247">
        <w:t>prohibited</w:t>
      </w:r>
      <w:r w:rsidR="005B2A41">
        <w:t xml:space="preserve"> </w:t>
      </w:r>
      <w:r w:rsidR="00F233AB" w:rsidRPr="00B02247">
        <w:t>(Article</w:t>
      </w:r>
      <w:r w:rsidR="005B2A41">
        <w:t xml:space="preserve"> </w:t>
      </w:r>
      <w:r w:rsidR="00F233AB" w:rsidRPr="00B02247">
        <w:t>5</w:t>
      </w:r>
      <w:r w:rsidR="005B2A41">
        <w:t xml:space="preserve"> </w:t>
      </w:r>
      <w:r w:rsidR="00F233AB" w:rsidRPr="00B02247">
        <w:t>(2));</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right</w:t>
      </w:r>
      <w:r w:rsidR="005B2A41">
        <w:t xml:space="preserve"> </w:t>
      </w:r>
      <w:r w:rsidR="00F233AB" w:rsidRPr="00B02247">
        <w:t>to</w:t>
      </w:r>
      <w:r w:rsidR="005B2A41">
        <w:t xml:space="preserve"> </w:t>
      </w:r>
      <w:r w:rsidR="00F233AB" w:rsidRPr="00B02247">
        <w:t>personal</w:t>
      </w:r>
      <w:r w:rsidR="005B2A41">
        <w:t xml:space="preserve"> </w:t>
      </w:r>
      <w:r w:rsidR="00F233AB" w:rsidRPr="00B02247">
        <w:t>liberty</w:t>
      </w:r>
      <w:r w:rsidR="005B2A41">
        <w:t xml:space="preserve"> </w:t>
      </w:r>
      <w:r w:rsidR="00F233AB" w:rsidRPr="00B02247">
        <w:t>(Article</w:t>
      </w:r>
      <w:r w:rsidR="005B2A41">
        <w:t xml:space="preserve"> </w:t>
      </w:r>
      <w:r w:rsidR="00F233AB" w:rsidRPr="00B02247">
        <w:t>5</w:t>
      </w:r>
      <w:r w:rsidR="005B2A41">
        <w:t xml:space="preserve"> </w:t>
      </w:r>
      <w:r w:rsidR="00F233AB" w:rsidRPr="00B02247">
        <w:t>(3));</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freedom</w:t>
      </w:r>
      <w:r w:rsidR="005B2A41">
        <w:t xml:space="preserve"> </w:t>
      </w:r>
      <w:r w:rsidR="00F233AB" w:rsidRPr="00B02247">
        <w:t>of</w:t>
      </w:r>
      <w:r w:rsidR="005B2A41">
        <w:t xml:space="preserve"> </w:t>
      </w:r>
      <w:r w:rsidR="00F233AB" w:rsidRPr="00B02247">
        <w:t>movement</w:t>
      </w:r>
      <w:r w:rsidR="005B2A41">
        <w:t xml:space="preserve"> </w:t>
      </w:r>
      <w:r w:rsidR="00F233AB" w:rsidRPr="00B02247">
        <w:t>and</w:t>
      </w:r>
      <w:r w:rsidR="005B2A41">
        <w:t xml:space="preserve"> </w:t>
      </w:r>
      <w:r w:rsidR="00F233AB" w:rsidRPr="00B02247">
        <w:t>residence</w:t>
      </w:r>
      <w:r w:rsidR="005B2A41">
        <w:t xml:space="preserve"> </w:t>
      </w:r>
      <w:r w:rsidR="00F233AB" w:rsidRPr="00B02247">
        <w:t>(Article</w:t>
      </w:r>
      <w:r w:rsidR="005B2A41">
        <w:t xml:space="preserve"> </w:t>
      </w:r>
      <w:r w:rsidR="00F233AB" w:rsidRPr="00B02247">
        <w:t>5</w:t>
      </w:r>
      <w:r w:rsidR="005B2A41">
        <w:t xml:space="preserve"> </w:t>
      </w:r>
      <w:r w:rsidR="00F233AB" w:rsidRPr="00B02247">
        <w:t>(4));</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right</w:t>
      </w:r>
      <w:r w:rsidR="005B2A41">
        <w:t xml:space="preserve"> </w:t>
      </w:r>
      <w:r w:rsidR="00F233AB" w:rsidRPr="00B02247">
        <w:t>to</w:t>
      </w:r>
      <w:r w:rsidR="005B2A41">
        <w:t xml:space="preserve"> </w:t>
      </w:r>
      <w:r w:rsidR="00F233AB" w:rsidRPr="00B02247">
        <w:t>protection</w:t>
      </w:r>
      <w:r w:rsidR="005B2A41">
        <w:t xml:space="preserve"> </w:t>
      </w:r>
      <w:r w:rsidR="00F233AB" w:rsidRPr="00B02247">
        <w:t>of</w:t>
      </w:r>
      <w:r w:rsidR="005B2A41">
        <w:t xml:space="preserve"> </w:t>
      </w:r>
      <w:r w:rsidR="00F233AB" w:rsidRPr="00B02247">
        <w:t>health</w:t>
      </w:r>
      <w:r w:rsidR="005B2A41">
        <w:t xml:space="preserve"> </w:t>
      </w:r>
      <w:r w:rsidR="00F233AB" w:rsidRPr="00B02247">
        <w:t>and</w:t>
      </w:r>
      <w:r w:rsidR="005B2A41">
        <w:t xml:space="preserve"> </w:t>
      </w:r>
      <w:r w:rsidR="00F233AB" w:rsidRPr="00B02247">
        <w:t>of</w:t>
      </w:r>
      <w:r w:rsidR="005B2A41">
        <w:t xml:space="preserve"> </w:t>
      </w:r>
      <w:r w:rsidR="00F233AB" w:rsidRPr="00B02247">
        <w:t>genetic</w:t>
      </w:r>
      <w:r w:rsidR="005B2A41">
        <w:t xml:space="preserve"> </w:t>
      </w:r>
      <w:r w:rsidR="00F233AB" w:rsidRPr="00B02247">
        <w:t>identity,</w:t>
      </w:r>
      <w:r w:rsidR="005B2A41">
        <w:t xml:space="preserve"> </w:t>
      </w:r>
      <w:r w:rsidR="00F233AB" w:rsidRPr="00B02247">
        <w:t>as</w:t>
      </w:r>
      <w:r w:rsidR="005B2A41">
        <w:t xml:space="preserve"> </w:t>
      </w:r>
      <w:r w:rsidR="00F233AB" w:rsidRPr="00B02247">
        <w:t>well</w:t>
      </w:r>
      <w:r w:rsidR="005B2A41">
        <w:t xml:space="preserve"> </w:t>
      </w:r>
      <w:r w:rsidR="00F233AB" w:rsidRPr="00B02247">
        <w:t>as</w:t>
      </w:r>
      <w:r w:rsidR="005B2A41">
        <w:t xml:space="preserve"> </w:t>
      </w:r>
      <w:r w:rsidR="00F233AB" w:rsidRPr="00B02247">
        <w:t>the</w:t>
      </w:r>
      <w:r w:rsidR="005B2A41">
        <w:t xml:space="preserve"> </w:t>
      </w:r>
      <w:r w:rsidR="00F233AB" w:rsidRPr="00B02247">
        <w:t>right</w:t>
      </w:r>
      <w:r w:rsidR="005B2A41">
        <w:t xml:space="preserve"> </w:t>
      </w:r>
      <w:r w:rsidR="00F233AB" w:rsidRPr="00B02247">
        <w:t>to</w:t>
      </w:r>
      <w:r w:rsidR="005B2A41">
        <w:t xml:space="preserve"> </w:t>
      </w:r>
      <w:r w:rsidR="00F233AB" w:rsidRPr="00B02247">
        <w:t>protection</w:t>
      </w:r>
      <w:r w:rsidR="005B2A41">
        <w:t xml:space="preserve"> </w:t>
      </w:r>
      <w:r w:rsidR="00F233AB" w:rsidRPr="00B02247">
        <w:t>against</w:t>
      </w:r>
      <w:r w:rsidR="005B2A41">
        <w:t xml:space="preserve"> </w:t>
      </w:r>
      <w:r w:rsidR="00F233AB" w:rsidRPr="00B02247">
        <w:t>biomedical</w:t>
      </w:r>
      <w:r w:rsidR="005B2A41">
        <w:t xml:space="preserve"> </w:t>
      </w:r>
      <w:r w:rsidR="00F233AB" w:rsidRPr="00B02247">
        <w:t>interventions</w:t>
      </w:r>
      <w:r w:rsidR="005B2A41">
        <w:t xml:space="preserve"> </w:t>
      </w:r>
      <w:r w:rsidR="00F233AB" w:rsidRPr="00B02247">
        <w:t>(Article</w:t>
      </w:r>
      <w:r w:rsidR="005B2A41">
        <w:t xml:space="preserve"> </w:t>
      </w:r>
      <w:r w:rsidR="00F233AB" w:rsidRPr="00B02247">
        <w:t>5</w:t>
      </w:r>
      <w:r w:rsidR="005B2A41">
        <w:t xml:space="preserve"> </w:t>
      </w:r>
      <w:r w:rsidR="00F233AB" w:rsidRPr="00B02247">
        <w:t>(5));</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right</w:t>
      </w:r>
      <w:r w:rsidR="005B2A41">
        <w:t xml:space="preserve"> </w:t>
      </w:r>
      <w:r w:rsidR="00F233AB" w:rsidRPr="00B02247">
        <w:t>to</w:t>
      </w:r>
      <w:r w:rsidR="005B2A41">
        <w:t xml:space="preserve"> </w:t>
      </w:r>
      <w:r w:rsidR="00F233AB" w:rsidRPr="00B02247">
        <w:t>information</w:t>
      </w:r>
      <w:r w:rsidR="005B2A41">
        <w:t xml:space="preserve"> </w:t>
      </w:r>
      <w:r w:rsidR="00F233AB" w:rsidRPr="00B02247">
        <w:t>and</w:t>
      </w:r>
      <w:r w:rsidR="005B2A41">
        <w:t xml:space="preserve"> </w:t>
      </w:r>
      <w:r w:rsidR="00F233AB" w:rsidRPr="00B02247">
        <w:t>to</w:t>
      </w:r>
      <w:r w:rsidR="005B2A41">
        <w:t xml:space="preserve"> </w:t>
      </w:r>
      <w:r w:rsidR="00F233AB" w:rsidRPr="00B02247">
        <w:t>participation</w:t>
      </w:r>
      <w:r w:rsidR="005B2A41">
        <w:t xml:space="preserve"> </w:t>
      </w:r>
      <w:r w:rsidR="00F233AB" w:rsidRPr="00B02247">
        <w:t>in</w:t>
      </w:r>
      <w:r w:rsidR="005B2A41">
        <w:t xml:space="preserve"> </w:t>
      </w:r>
      <w:r w:rsidR="00F233AB" w:rsidRPr="00B02247">
        <w:t>the</w:t>
      </w:r>
      <w:r w:rsidR="005B2A41">
        <w:t xml:space="preserve"> </w:t>
      </w:r>
      <w:r w:rsidR="00F233AB" w:rsidRPr="00B02247">
        <w:t>information</w:t>
      </w:r>
      <w:r w:rsidR="005B2A41">
        <w:t xml:space="preserve"> </w:t>
      </w:r>
      <w:r w:rsidR="00F233AB" w:rsidRPr="00B02247">
        <w:t>society</w:t>
      </w:r>
      <w:r w:rsidR="005B2A41">
        <w:t xml:space="preserve"> </w:t>
      </w:r>
      <w:r w:rsidR="00F233AB" w:rsidRPr="00B02247">
        <w:t>(Article</w:t>
      </w:r>
      <w:r w:rsidR="005B2A41">
        <w:t xml:space="preserve"> </w:t>
      </w:r>
      <w:r w:rsidR="00F233AB" w:rsidRPr="00B02247">
        <w:t>5A);</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right</w:t>
      </w:r>
      <w:r w:rsidR="005B2A41">
        <w:t xml:space="preserve"> </w:t>
      </w:r>
      <w:r w:rsidR="00F233AB" w:rsidRPr="00B02247">
        <w:t>to</w:t>
      </w:r>
      <w:r w:rsidR="005B2A41">
        <w:t xml:space="preserve"> </w:t>
      </w:r>
      <w:r w:rsidR="00F233AB" w:rsidRPr="00B02247">
        <w:t>personal</w:t>
      </w:r>
      <w:r w:rsidR="005B2A41">
        <w:t xml:space="preserve"> </w:t>
      </w:r>
      <w:r w:rsidR="00F233AB" w:rsidRPr="00B02247">
        <w:t>safety</w:t>
      </w:r>
      <w:r w:rsidR="005B2A41">
        <w:t xml:space="preserve"> </w:t>
      </w:r>
      <w:r w:rsidR="00F233AB" w:rsidRPr="00B02247">
        <w:t>(Article</w:t>
      </w:r>
      <w:r w:rsidR="005B2A41">
        <w:t xml:space="preserve"> </w:t>
      </w:r>
      <w:r w:rsidR="00F233AB" w:rsidRPr="00B02247">
        <w:t>6);</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prohibition</w:t>
      </w:r>
      <w:r w:rsidR="005B2A41">
        <w:t xml:space="preserve"> </w:t>
      </w:r>
      <w:r w:rsidR="00F233AB" w:rsidRPr="00B02247">
        <w:t>of</w:t>
      </w:r>
      <w:r w:rsidR="005B2A41">
        <w:t xml:space="preserve"> </w:t>
      </w:r>
      <w:r w:rsidR="00F233AB" w:rsidRPr="00B02247">
        <w:t>the</w:t>
      </w:r>
      <w:r w:rsidR="005B2A41">
        <w:t xml:space="preserve"> </w:t>
      </w:r>
      <w:r w:rsidR="00F233AB" w:rsidRPr="00B02247">
        <w:t>retroactive</w:t>
      </w:r>
      <w:r w:rsidR="005B2A41">
        <w:t xml:space="preserve"> </w:t>
      </w:r>
      <w:r w:rsidR="00F233AB" w:rsidRPr="00B02247">
        <w:t>force</w:t>
      </w:r>
      <w:r w:rsidR="005B2A41">
        <w:t xml:space="preserve"> </w:t>
      </w:r>
      <w:r w:rsidR="00F233AB" w:rsidRPr="00B02247">
        <w:t>of</w:t>
      </w:r>
      <w:r w:rsidR="005B2A41">
        <w:t xml:space="preserve"> </w:t>
      </w:r>
      <w:r w:rsidR="00F233AB" w:rsidRPr="00B02247">
        <w:t>criminal</w:t>
      </w:r>
      <w:r w:rsidR="005B2A41">
        <w:t xml:space="preserve"> </w:t>
      </w:r>
      <w:r w:rsidR="00F233AB" w:rsidRPr="00B02247">
        <w:t>law</w:t>
      </w:r>
      <w:r w:rsidR="005B2A41">
        <w:t xml:space="preserve"> </w:t>
      </w:r>
      <w:r w:rsidR="00F233AB" w:rsidRPr="00B02247">
        <w:t>(Article</w:t>
      </w:r>
      <w:r w:rsidR="005B2A41">
        <w:t xml:space="preserve"> </w:t>
      </w:r>
      <w:r w:rsidR="00F233AB" w:rsidRPr="00B02247">
        <w:t>7</w:t>
      </w:r>
      <w:r w:rsidR="005B2A41">
        <w:t xml:space="preserve"> </w:t>
      </w:r>
      <w:r w:rsidR="00F233AB" w:rsidRPr="00B02247">
        <w:t>(1));</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prohibition</w:t>
      </w:r>
      <w:r w:rsidR="005B2A41">
        <w:t xml:space="preserve"> </w:t>
      </w:r>
      <w:r w:rsidR="00F233AB" w:rsidRPr="00B02247">
        <w:t>of</w:t>
      </w:r>
      <w:r w:rsidR="005B2A41">
        <w:t xml:space="preserve"> </w:t>
      </w:r>
      <w:r w:rsidR="00F233AB" w:rsidRPr="00B02247">
        <w:t>torture</w:t>
      </w:r>
      <w:r w:rsidR="005B2A41">
        <w:t xml:space="preserve"> </w:t>
      </w:r>
      <w:r w:rsidR="00F233AB" w:rsidRPr="00B02247">
        <w:t>(Article</w:t>
      </w:r>
      <w:r w:rsidR="005B2A41">
        <w:t xml:space="preserve"> </w:t>
      </w:r>
      <w:r w:rsidR="00F233AB" w:rsidRPr="00B02247">
        <w:t>7</w:t>
      </w:r>
      <w:r w:rsidR="005B2A41">
        <w:t xml:space="preserve"> </w:t>
      </w:r>
      <w:r w:rsidR="00F233AB" w:rsidRPr="00B02247">
        <w:t>(2));</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prohibition</w:t>
      </w:r>
      <w:r w:rsidR="005B2A41">
        <w:t xml:space="preserve"> </w:t>
      </w:r>
      <w:r w:rsidR="00F233AB" w:rsidRPr="00B02247">
        <w:t>of</w:t>
      </w:r>
      <w:r w:rsidR="005B2A41">
        <w:t xml:space="preserve"> </w:t>
      </w:r>
      <w:r w:rsidR="00F233AB" w:rsidRPr="00B02247">
        <w:t>general</w:t>
      </w:r>
      <w:r w:rsidR="005B2A41">
        <w:t xml:space="preserve"> </w:t>
      </w:r>
      <w:r w:rsidR="00F233AB" w:rsidRPr="00B02247">
        <w:t>confiscation</w:t>
      </w:r>
      <w:r w:rsidR="005B2A41">
        <w:t xml:space="preserve"> </w:t>
      </w:r>
      <w:r w:rsidR="00F233AB" w:rsidRPr="00B02247">
        <w:t>and</w:t>
      </w:r>
      <w:r w:rsidR="005B2A41">
        <w:t xml:space="preserve"> </w:t>
      </w:r>
      <w:r w:rsidR="00F233AB" w:rsidRPr="00B02247">
        <w:t>of</w:t>
      </w:r>
      <w:r w:rsidR="005B2A41">
        <w:t xml:space="preserve"> </w:t>
      </w:r>
      <w:r w:rsidR="00F233AB" w:rsidRPr="00B02247">
        <w:t>the</w:t>
      </w:r>
      <w:r w:rsidR="005B2A41">
        <w:t xml:space="preserve"> </w:t>
      </w:r>
      <w:r w:rsidR="00F233AB" w:rsidRPr="00B02247">
        <w:t>death</w:t>
      </w:r>
      <w:r w:rsidR="005B2A41">
        <w:t xml:space="preserve"> </w:t>
      </w:r>
      <w:r w:rsidR="00F233AB" w:rsidRPr="00B02247">
        <w:t>penalty,</w:t>
      </w:r>
      <w:r w:rsidR="005B2A41">
        <w:t xml:space="preserve"> </w:t>
      </w:r>
      <w:r w:rsidR="00F233AB" w:rsidRPr="00B02247">
        <w:t>save</w:t>
      </w:r>
      <w:r w:rsidR="005B2A41">
        <w:t xml:space="preserve"> </w:t>
      </w:r>
      <w:r w:rsidR="00F233AB" w:rsidRPr="00B02247">
        <w:t>in</w:t>
      </w:r>
      <w:r w:rsidR="005B2A41">
        <w:t xml:space="preserve"> </w:t>
      </w:r>
      <w:r w:rsidR="00F233AB" w:rsidRPr="00B02247">
        <w:t>the</w:t>
      </w:r>
      <w:r w:rsidR="005B2A41">
        <w:t xml:space="preserve"> </w:t>
      </w:r>
      <w:r w:rsidR="00F233AB" w:rsidRPr="00B02247">
        <w:t>cases</w:t>
      </w:r>
      <w:r w:rsidR="005B2A41">
        <w:t xml:space="preserve"> </w:t>
      </w:r>
      <w:r w:rsidR="00F233AB" w:rsidRPr="00B02247">
        <w:t>prescribed</w:t>
      </w:r>
      <w:r w:rsidR="005B2A41">
        <w:t xml:space="preserve"> </w:t>
      </w:r>
      <w:r w:rsidR="00F233AB" w:rsidRPr="00B02247">
        <w:t>by</w:t>
      </w:r>
      <w:r w:rsidR="005B2A41">
        <w:t xml:space="preserve"> </w:t>
      </w:r>
      <w:r w:rsidR="00F233AB" w:rsidRPr="00B02247">
        <w:t>law</w:t>
      </w:r>
      <w:r w:rsidR="005B2A41">
        <w:t xml:space="preserve"> </w:t>
      </w:r>
      <w:r w:rsidR="00F233AB" w:rsidRPr="00B02247">
        <w:t>for</w:t>
      </w:r>
      <w:r w:rsidR="005B2A41">
        <w:t xml:space="preserve"> </w:t>
      </w:r>
      <w:r w:rsidR="00F233AB" w:rsidRPr="00B02247">
        <w:t>felonies</w:t>
      </w:r>
      <w:r w:rsidR="005B2A41">
        <w:t xml:space="preserve"> </w:t>
      </w:r>
      <w:r w:rsidR="00F233AB" w:rsidRPr="00B02247">
        <w:t>which</w:t>
      </w:r>
      <w:r w:rsidR="005B2A41">
        <w:t xml:space="preserve"> </w:t>
      </w:r>
      <w:r w:rsidR="00F233AB" w:rsidRPr="00B02247">
        <w:t>have</w:t>
      </w:r>
      <w:r w:rsidR="005B2A41">
        <w:t xml:space="preserve"> </w:t>
      </w:r>
      <w:r w:rsidR="00F233AB" w:rsidRPr="00B02247">
        <w:t>been</w:t>
      </w:r>
      <w:r w:rsidR="005B2A41">
        <w:t xml:space="preserve"> </w:t>
      </w:r>
      <w:r w:rsidR="00F233AB" w:rsidRPr="00B02247">
        <w:t>committed</w:t>
      </w:r>
      <w:r w:rsidR="005B2A41">
        <w:t xml:space="preserve"> </w:t>
      </w:r>
      <w:r w:rsidR="00F233AB" w:rsidRPr="00B02247">
        <w:t>in</w:t>
      </w:r>
      <w:r w:rsidR="005B2A41">
        <w:t xml:space="preserve"> </w:t>
      </w:r>
      <w:r w:rsidR="00F233AB" w:rsidRPr="00B02247">
        <w:t>time</w:t>
      </w:r>
      <w:r w:rsidR="005B2A41">
        <w:t xml:space="preserve"> </w:t>
      </w:r>
      <w:r w:rsidR="00F233AB" w:rsidRPr="00B02247">
        <w:t>of</w:t>
      </w:r>
      <w:r w:rsidR="005B2A41">
        <w:t xml:space="preserve"> </w:t>
      </w:r>
      <w:r w:rsidR="00F233AB" w:rsidRPr="00B02247">
        <w:t>war</w:t>
      </w:r>
      <w:r w:rsidR="005B2A41">
        <w:t xml:space="preserve"> </w:t>
      </w:r>
      <w:r w:rsidR="00F233AB" w:rsidRPr="00B02247">
        <w:t>and</w:t>
      </w:r>
      <w:r w:rsidR="005B2A41">
        <w:t xml:space="preserve"> </w:t>
      </w:r>
      <w:r w:rsidR="00F233AB" w:rsidRPr="00B02247">
        <w:t>are</w:t>
      </w:r>
      <w:r w:rsidR="005B2A41">
        <w:t xml:space="preserve"> </w:t>
      </w:r>
      <w:r w:rsidR="00F233AB" w:rsidRPr="00B02247">
        <w:t>related</w:t>
      </w:r>
      <w:r w:rsidR="005B2A41">
        <w:t xml:space="preserve"> </w:t>
      </w:r>
      <w:r w:rsidR="00F233AB" w:rsidRPr="00B02247">
        <w:t>to</w:t>
      </w:r>
      <w:r w:rsidR="005B2A41">
        <w:t xml:space="preserve"> </w:t>
      </w:r>
      <w:r w:rsidR="00F233AB" w:rsidRPr="00B02247">
        <w:t>it</w:t>
      </w:r>
      <w:r w:rsidR="005B2A41">
        <w:t xml:space="preserve"> </w:t>
      </w:r>
      <w:r w:rsidR="00F233AB" w:rsidRPr="00B02247">
        <w:t>(Article</w:t>
      </w:r>
      <w:r w:rsidR="005B2A41">
        <w:t xml:space="preserve"> </w:t>
      </w:r>
      <w:r w:rsidR="00F233AB" w:rsidRPr="00B02247">
        <w:t>7</w:t>
      </w:r>
      <w:r w:rsidR="005B2A41">
        <w:t xml:space="preserve"> </w:t>
      </w:r>
      <w:r w:rsidR="00F233AB" w:rsidRPr="00B02247">
        <w:t>(3))</w:t>
      </w:r>
      <w:r w:rsidR="00F233AB" w:rsidRPr="0007450C">
        <w:rPr>
          <w:rStyle w:val="FootnoteReference"/>
        </w:rPr>
        <w:footnoteReference w:id="3"/>
      </w:r>
      <w:r w:rsidR="00F233AB" w:rsidRPr="00B02247">
        <w:t>;</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right</w:t>
      </w:r>
      <w:r w:rsidR="005B2A41">
        <w:t xml:space="preserve"> </w:t>
      </w:r>
      <w:r w:rsidR="00F233AB" w:rsidRPr="00B02247">
        <w:t>to</w:t>
      </w:r>
      <w:r w:rsidR="005B2A41">
        <w:t xml:space="preserve"> </w:t>
      </w:r>
      <w:r w:rsidR="00F233AB" w:rsidRPr="00B02247">
        <w:t>compensation</w:t>
      </w:r>
      <w:r w:rsidR="005B2A41">
        <w:t xml:space="preserve"> </w:t>
      </w:r>
      <w:r w:rsidR="00F233AB" w:rsidRPr="00B02247">
        <w:t>for</w:t>
      </w:r>
      <w:r w:rsidR="005B2A41">
        <w:t xml:space="preserve"> </w:t>
      </w:r>
      <w:r w:rsidR="00F233AB" w:rsidRPr="00B02247">
        <w:t>those</w:t>
      </w:r>
      <w:r w:rsidR="005B2A41">
        <w:t xml:space="preserve"> </w:t>
      </w:r>
      <w:r w:rsidR="00F233AB" w:rsidRPr="00B02247">
        <w:t>who</w:t>
      </w:r>
      <w:r w:rsidR="005B2A41">
        <w:t xml:space="preserve"> </w:t>
      </w:r>
      <w:r w:rsidR="00F233AB" w:rsidRPr="00B02247">
        <w:t>have</w:t>
      </w:r>
      <w:r w:rsidR="005B2A41">
        <w:t xml:space="preserve"> </w:t>
      </w:r>
      <w:r w:rsidR="00F233AB" w:rsidRPr="00B02247">
        <w:t>been</w:t>
      </w:r>
      <w:r w:rsidR="005B2A41">
        <w:t xml:space="preserve"> </w:t>
      </w:r>
      <w:r w:rsidR="00F233AB" w:rsidRPr="00B02247">
        <w:t>sentenced,</w:t>
      </w:r>
      <w:r w:rsidR="005B2A41">
        <w:t xml:space="preserve"> </w:t>
      </w:r>
      <w:r w:rsidR="00F233AB" w:rsidRPr="00B02247">
        <w:t>held</w:t>
      </w:r>
      <w:r w:rsidR="005B2A41">
        <w:t xml:space="preserve"> </w:t>
      </w:r>
      <w:r w:rsidR="00F233AB" w:rsidRPr="00B02247">
        <w:t>in</w:t>
      </w:r>
      <w:r w:rsidR="005B2A41">
        <w:t xml:space="preserve"> </w:t>
      </w:r>
      <w:r w:rsidR="00F233AB" w:rsidRPr="00B02247">
        <w:t>pre-trial</w:t>
      </w:r>
      <w:r w:rsidR="005B2A41">
        <w:t xml:space="preserve"> </w:t>
      </w:r>
      <w:r w:rsidR="00F233AB" w:rsidRPr="00B02247">
        <w:t>custody</w:t>
      </w:r>
      <w:r w:rsidR="005B2A41">
        <w:t xml:space="preserve"> </w:t>
      </w:r>
      <w:r w:rsidR="00F233AB" w:rsidRPr="00B02247">
        <w:t>or</w:t>
      </w:r>
      <w:r w:rsidR="005B2A41">
        <w:t xml:space="preserve"> </w:t>
      </w:r>
      <w:r w:rsidR="00F233AB" w:rsidRPr="00B02247">
        <w:t>who</w:t>
      </w:r>
      <w:r w:rsidR="005B2A41">
        <w:t xml:space="preserve"> </w:t>
      </w:r>
      <w:r w:rsidR="00F233AB" w:rsidRPr="00B02247">
        <w:t>in</w:t>
      </w:r>
      <w:r w:rsidR="005B2A41">
        <w:t xml:space="preserve"> </w:t>
      </w:r>
      <w:r w:rsidR="00F233AB" w:rsidRPr="00B02247">
        <w:t>any</w:t>
      </w:r>
      <w:r w:rsidR="005B2A41">
        <w:t xml:space="preserve"> </w:t>
      </w:r>
      <w:r w:rsidR="00F233AB" w:rsidRPr="00B02247">
        <w:t>way</w:t>
      </w:r>
      <w:r w:rsidR="005B2A41">
        <w:t xml:space="preserve"> </w:t>
      </w:r>
      <w:r w:rsidR="00F233AB" w:rsidRPr="00B02247">
        <w:t>were</w:t>
      </w:r>
      <w:r w:rsidR="005B2A41">
        <w:t xml:space="preserve"> </w:t>
      </w:r>
      <w:r w:rsidR="00F233AB" w:rsidRPr="00B02247">
        <w:t>unjustly</w:t>
      </w:r>
      <w:r w:rsidR="005B2A41">
        <w:t xml:space="preserve"> </w:t>
      </w:r>
      <w:r w:rsidR="00F233AB" w:rsidRPr="00B02247">
        <w:t>or</w:t>
      </w:r>
      <w:r w:rsidR="005B2A41">
        <w:t xml:space="preserve"> </w:t>
      </w:r>
      <w:r w:rsidR="00F233AB" w:rsidRPr="00B02247">
        <w:t>illegally</w:t>
      </w:r>
      <w:r w:rsidR="005B2A41">
        <w:t xml:space="preserve"> </w:t>
      </w:r>
      <w:r w:rsidR="00F233AB" w:rsidRPr="00B02247">
        <w:t>deprived</w:t>
      </w:r>
      <w:r w:rsidR="005B2A41">
        <w:t xml:space="preserve"> </w:t>
      </w:r>
      <w:r w:rsidR="00F233AB" w:rsidRPr="00B02247">
        <w:t>of</w:t>
      </w:r>
      <w:r w:rsidR="005B2A41">
        <w:t xml:space="preserve"> </w:t>
      </w:r>
      <w:r w:rsidR="00F233AB" w:rsidRPr="00B02247">
        <w:t>their</w:t>
      </w:r>
      <w:r w:rsidR="005B2A41">
        <w:t xml:space="preserve"> </w:t>
      </w:r>
      <w:r w:rsidR="00F233AB" w:rsidRPr="00B02247">
        <w:t>liberty</w:t>
      </w:r>
      <w:r w:rsidR="005B2A41">
        <w:t xml:space="preserve"> </w:t>
      </w:r>
      <w:r w:rsidR="00F233AB" w:rsidRPr="00B02247">
        <w:t>(Article</w:t>
      </w:r>
      <w:r w:rsidR="005B2A41">
        <w:t xml:space="preserve"> </w:t>
      </w:r>
      <w:r w:rsidR="00F233AB" w:rsidRPr="00B02247">
        <w:t>7</w:t>
      </w:r>
      <w:r w:rsidR="005B2A41">
        <w:t xml:space="preserve"> </w:t>
      </w:r>
      <w:r w:rsidR="00F233AB" w:rsidRPr="00B02247">
        <w:t>(4));</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right</w:t>
      </w:r>
      <w:r w:rsidR="005B2A41">
        <w:t xml:space="preserve"> </w:t>
      </w:r>
      <w:r w:rsidR="00F233AB" w:rsidRPr="00B02247">
        <w:t>of</w:t>
      </w:r>
      <w:r w:rsidR="005B2A41">
        <w:t xml:space="preserve"> </w:t>
      </w:r>
      <w:r w:rsidR="00F233AB" w:rsidRPr="00B02247">
        <w:t>a</w:t>
      </w:r>
      <w:r w:rsidR="005B2A41">
        <w:t xml:space="preserve"> </w:t>
      </w:r>
      <w:r w:rsidR="00F233AB" w:rsidRPr="00B02247">
        <w:t>person</w:t>
      </w:r>
      <w:r w:rsidR="005B2A41">
        <w:t xml:space="preserve"> </w:t>
      </w:r>
      <w:r w:rsidR="00F233AB" w:rsidRPr="00B02247">
        <w:t>to</w:t>
      </w:r>
      <w:r w:rsidR="005B2A41">
        <w:t xml:space="preserve"> </w:t>
      </w:r>
      <w:r w:rsidR="00F233AB" w:rsidRPr="00B02247">
        <w:t>a</w:t>
      </w:r>
      <w:r w:rsidR="005B2A41">
        <w:t xml:space="preserve"> </w:t>
      </w:r>
      <w:r w:rsidR="00F233AB" w:rsidRPr="00B02247">
        <w:t>judge</w:t>
      </w:r>
      <w:r w:rsidR="005B2A41">
        <w:t xml:space="preserve"> </w:t>
      </w:r>
      <w:r w:rsidR="00F233AB" w:rsidRPr="00B02247">
        <w:t>assigned</w:t>
      </w:r>
      <w:r w:rsidR="005B2A41">
        <w:t xml:space="preserve"> </w:t>
      </w:r>
      <w:r w:rsidR="00F233AB" w:rsidRPr="00B02247">
        <w:t>to</w:t>
      </w:r>
      <w:r w:rsidR="005B2A41">
        <w:t xml:space="preserve"> </w:t>
      </w:r>
      <w:r w:rsidR="00F233AB" w:rsidRPr="00B02247">
        <w:t>him/her</w:t>
      </w:r>
      <w:r w:rsidR="005B2A41">
        <w:t xml:space="preserve"> </w:t>
      </w:r>
      <w:r w:rsidR="00F233AB" w:rsidRPr="00B02247">
        <w:t>by</w:t>
      </w:r>
      <w:r w:rsidR="005B2A41">
        <w:t xml:space="preserve"> </w:t>
      </w:r>
      <w:r w:rsidR="00F233AB" w:rsidRPr="00B02247">
        <w:t>law</w:t>
      </w:r>
      <w:r w:rsidR="005B2A41">
        <w:t xml:space="preserve"> </w:t>
      </w:r>
      <w:r w:rsidR="00F233AB" w:rsidRPr="00B02247">
        <w:t>(Article</w:t>
      </w:r>
      <w:r w:rsidR="005B2A41">
        <w:t xml:space="preserve"> </w:t>
      </w:r>
      <w:r w:rsidR="00F233AB" w:rsidRPr="00B02247">
        <w:t>8);</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right</w:t>
      </w:r>
      <w:r w:rsidR="005B2A41">
        <w:t xml:space="preserve"> </w:t>
      </w:r>
      <w:r w:rsidR="00F233AB" w:rsidRPr="00B02247">
        <w:t>to</w:t>
      </w:r>
      <w:r w:rsidR="005B2A41">
        <w:t xml:space="preserve"> </w:t>
      </w:r>
      <w:r w:rsidR="00F233AB" w:rsidRPr="00B02247">
        <w:t>the</w:t>
      </w:r>
      <w:r w:rsidR="005B2A41">
        <w:t xml:space="preserve"> </w:t>
      </w:r>
      <w:r w:rsidR="00F233AB" w:rsidRPr="00B02247">
        <w:t>inviolability</w:t>
      </w:r>
      <w:r w:rsidR="005B2A41">
        <w:t xml:space="preserve"> </w:t>
      </w:r>
      <w:r w:rsidR="00F233AB" w:rsidRPr="00B02247">
        <w:t>of</w:t>
      </w:r>
      <w:r w:rsidR="005B2A41">
        <w:t xml:space="preserve"> </w:t>
      </w:r>
      <w:r w:rsidR="00F233AB" w:rsidRPr="00B02247">
        <w:t>the</w:t>
      </w:r>
      <w:r w:rsidR="005B2A41">
        <w:t xml:space="preserve"> </w:t>
      </w:r>
      <w:r w:rsidR="00F233AB" w:rsidRPr="00B02247">
        <w:t>residence</w:t>
      </w:r>
      <w:r w:rsidR="005B2A41">
        <w:t xml:space="preserve"> </w:t>
      </w:r>
      <w:r w:rsidR="00F233AB" w:rsidRPr="00B02247">
        <w:t>and</w:t>
      </w:r>
      <w:r w:rsidR="005B2A41">
        <w:t xml:space="preserve"> </w:t>
      </w:r>
      <w:r w:rsidR="00F233AB" w:rsidRPr="00B02247">
        <w:t>to</w:t>
      </w:r>
      <w:r w:rsidR="005B2A41">
        <w:t xml:space="preserve"> </w:t>
      </w:r>
      <w:r w:rsidR="00F233AB" w:rsidRPr="00B02247">
        <w:t>private</w:t>
      </w:r>
      <w:r w:rsidR="005B2A41">
        <w:t xml:space="preserve"> </w:t>
      </w:r>
      <w:r w:rsidR="00F233AB" w:rsidRPr="00B02247">
        <w:t>and</w:t>
      </w:r>
      <w:r w:rsidR="005B2A41">
        <w:t xml:space="preserve"> </w:t>
      </w:r>
      <w:r w:rsidR="00F233AB" w:rsidRPr="00B02247">
        <w:t>family</w:t>
      </w:r>
      <w:r w:rsidR="005B2A41">
        <w:t xml:space="preserve"> </w:t>
      </w:r>
      <w:r w:rsidR="00F233AB" w:rsidRPr="00B02247">
        <w:t>life</w:t>
      </w:r>
      <w:r w:rsidR="005B2A41">
        <w:t xml:space="preserve"> </w:t>
      </w:r>
      <w:r w:rsidR="00F233AB" w:rsidRPr="00B02247">
        <w:t>(Article</w:t>
      </w:r>
      <w:r w:rsidR="005B2A41">
        <w:t xml:space="preserve"> </w:t>
      </w:r>
      <w:r w:rsidR="00F233AB" w:rsidRPr="00B02247">
        <w:t>9);</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right</w:t>
      </w:r>
      <w:r w:rsidR="005B2A41">
        <w:t xml:space="preserve"> </w:t>
      </w:r>
      <w:r w:rsidR="00F233AB" w:rsidRPr="00B02247">
        <w:t>to</w:t>
      </w:r>
      <w:r w:rsidR="005B2A41">
        <w:t xml:space="preserve"> </w:t>
      </w:r>
      <w:r w:rsidR="00F233AB" w:rsidRPr="00B02247">
        <w:t>the</w:t>
      </w:r>
      <w:r w:rsidR="005B2A41">
        <w:t xml:space="preserve"> </w:t>
      </w:r>
      <w:r w:rsidR="00F233AB" w:rsidRPr="00B02247">
        <w:t>protection</w:t>
      </w:r>
      <w:r w:rsidR="005B2A41">
        <w:t xml:space="preserve"> </w:t>
      </w:r>
      <w:r w:rsidR="00F233AB" w:rsidRPr="00B02247">
        <w:t>of</w:t>
      </w:r>
      <w:r w:rsidR="005B2A41">
        <w:t xml:space="preserve"> </w:t>
      </w:r>
      <w:r w:rsidR="00F233AB" w:rsidRPr="00B02247">
        <w:t>personal</w:t>
      </w:r>
      <w:r w:rsidR="005B2A41">
        <w:t xml:space="preserve"> </w:t>
      </w:r>
      <w:r w:rsidR="00F233AB" w:rsidRPr="00B02247">
        <w:t>information</w:t>
      </w:r>
      <w:r w:rsidR="005B2A41">
        <w:t xml:space="preserve"> </w:t>
      </w:r>
      <w:r w:rsidR="00F233AB" w:rsidRPr="00B02247">
        <w:t>and</w:t>
      </w:r>
      <w:r w:rsidR="005B2A41">
        <w:t xml:space="preserve"> </w:t>
      </w:r>
      <w:r w:rsidR="00F233AB" w:rsidRPr="00B02247">
        <w:t>data</w:t>
      </w:r>
      <w:r w:rsidR="005B2A41">
        <w:t xml:space="preserve"> </w:t>
      </w:r>
      <w:r w:rsidR="00F233AB" w:rsidRPr="00B02247">
        <w:t>(Article</w:t>
      </w:r>
      <w:r w:rsidR="005B2A41">
        <w:t xml:space="preserve"> </w:t>
      </w:r>
      <w:r w:rsidR="00F233AB" w:rsidRPr="00B02247">
        <w:t>9A);</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right</w:t>
      </w:r>
      <w:r w:rsidR="005B2A41">
        <w:t xml:space="preserve"> </w:t>
      </w:r>
      <w:r w:rsidR="00F233AB" w:rsidRPr="00B02247">
        <w:t>to</w:t>
      </w:r>
      <w:r w:rsidR="005B2A41">
        <w:t xml:space="preserve"> </w:t>
      </w:r>
      <w:r w:rsidR="00F233AB" w:rsidRPr="00B02247">
        <w:t>file</w:t>
      </w:r>
      <w:r w:rsidR="005B2A41">
        <w:t xml:space="preserve"> </w:t>
      </w:r>
      <w:r w:rsidR="00F233AB" w:rsidRPr="00B02247">
        <w:t>petitions</w:t>
      </w:r>
      <w:r w:rsidR="005B2A41">
        <w:t xml:space="preserve"> </w:t>
      </w:r>
      <w:r w:rsidR="00F233AB" w:rsidRPr="00B02247">
        <w:t>in</w:t>
      </w:r>
      <w:r w:rsidR="005B2A41">
        <w:t xml:space="preserve"> </w:t>
      </w:r>
      <w:r w:rsidR="00F233AB" w:rsidRPr="00B02247">
        <w:t>writing</w:t>
      </w:r>
      <w:r w:rsidR="005B2A41">
        <w:t xml:space="preserve"> </w:t>
      </w:r>
      <w:r w:rsidR="00F233AB" w:rsidRPr="00B02247">
        <w:t>to</w:t>
      </w:r>
      <w:r w:rsidR="005B2A41">
        <w:t xml:space="preserve"> </w:t>
      </w:r>
      <w:r w:rsidR="00F233AB" w:rsidRPr="00B02247">
        <w:t>public</w:t>
      </w:r>
      <w:r w:rsidR="005B2A41">
        <w:t xml:space="preserve"> </w:t>
      </w:r>
      <w:r w:rsidR="00F233AB" w:rsidRPr="00B02247">
        <w:t>authorities</w:t>
      </w:r>
      <w:r w:rsidR="005B2A41">
        <w:t xml:space="preserve"> </w:t>
      </w:r>
      <w:r w:rsidR="00F233AB" w:rsidRPr="00B02247">
        <w:t>and</w:t>
      </w:r>
      <w:r w:rsidR="005B2A41">
        <w:t xml:space="preserve"> </w:t>
      </w:r>
      <w:r w:rsidR="00F233AB" w:rsidRPr="00B02247">
        <w:t>the</w:t>
      </w:r>
      <w:r w:rsidR="005B2A41">
        <w:t xml:space="preserve"> </w:t>
      </w:r>
      <w:r w:rsidR="00F233AB" w:rsidRPr="00B02247">
        <w:t>latter</w:t>
      </w:r>
      <w:r w:rsidR="003E731F">
        <w:t>’</w:t>
      </w:r>
      <w:r w:rsidR="00F233AB" w:rsidRPr="00B02247">
        <w:t>s</w:t>
      </w:r>
      <w:r w:rsidR="005B2A41">
        <w:t xml:space="preserve"> </w:t>
      </w:r>
      <w:r w:rsidR="00F233AB" w:rsidRPr="00B02247">
        <w:t>subsequent</w:t>
      </w:r>
      <w:r w:rsidR="005B2A41">
        <w:t xml:space="preserve"> </w:t>
      </w:r>
      <w:r w:rsidR="00F233AB" w:rsidRPr="00B02247">
        <w:t>obligation</w:t>
      </w:r>
      <w:r w:rsidR="005B2A41">
        <w:t xml:space="preserve"> </w:t>
      </w:r>
      <w:r w:rsidR="00F233AB" w:rsidRPr="00B02247">
        <w:t>to</w:t>
      </w:r>
      <w:r w:rsidR="005B2A41">
        <w:t xml:space="preserve"> </w:t>
      </w:r>
      <w:r w:rsidR="00F233AB" w:rsidRPr="00B02247">
        <w:t>a</w:t>
      </w:r>
      <w:r w:rsidR="005B2A41">
        <w:t xml:space="preserve"> </w:t>
      </w:r>
      <w:r w:rsidR="00F233AB" w:rsidRPr="00B02247">
        <w:t>written</w:t>
      </w:r>
      <w:r w:rsidR="005B2A41">
        <w:t xml:space="preserve"> </w:t>
      </w:r>
      <w:r w:rsidR="00F233AB" w:rsidRPr="00B02247">
        <w:t>and</w:t>
      </w:r>
      <w:r w:rsidR="005B2A41">
        <w:t xml:space="preserve"> </w:t>
      </w:r>
      <w:r w:rsidR="00F233AB" w:rsidRPr="00B02247">
        <w:t>reasoned</w:t>
      </w:r>
      <w:r w:rsidR="005B2A41">
        <w:t xml:space="preserve"> </w:t>
      </w:r>
      <w:r w:rsidR="00F233AB" w:rsidRPr="00B02247">
        <w:t>reply</w:t>
      </w:r>
      <w:r w:rsidR="005B2A41">
        <w:t xml:space="preserve"> </w:t>
      </w:r>
      <w:r w:rsidR="00F233AB" w:rsidRPr="00B02247">
        <w:t>(Article</w:t>
      </w:r>
      <w:r w:rsidR="005B2A41">
        <w:t xml:space="preserve"> </w:t>
      </w:r>
      <w:r w:rsidR="00F233AB" w:rsidRPr="00B02247">
        <w:t>10);</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freedom</w:t>
      </w:r>
      <w:r w:rsidR="005B2A41">
        <w:t xml:space="preserve"> </w:t>
      </w:r>
      <w:r w:rsidR="00F233AB" w:rsidRPr="00B02247">
        <w:t>of</w:t>
      </w:r>
      <w:r w:rsidR="005B2A41">
        <w:t xml:space="preserve"> </w:t>
      </w:r>
      <w:r w:rsidR="00F233AB" w:rsidRPr="00B02247">
        <w:t>assembly</w:t>
      </w:r>
      <w:r w:rsidR="005B2A41">
        <w:t xml:space="preserve"> </w:t>
      </w:r>
      <w:r w:rsidR="00F233AB" w:rsidRPr="00B02247">
        <w:t>(Article</w:t>
      </w:r>
      <w:r w:rsidR="005B2A41">
        <w:t xml:space="preserve"> </w:t>
      </w:r>
      <w:r w:rsidR="00F233AB" w:rsidRPr="00B02247">
        <w:t>11);</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freedom</w:t>
      </w:r>
      <w:r w:rsidR="005B2A41">
        <w:t xml:space="preserve"> </w:t>
      </w:r>
      <w:r w:rsidR="00F233AB" w:rsidRPr="00B02247">
        <w:t>of</w:t>
      </w:r>
      <w:r w:rsidR="005B2A41">
        <w:t xml:space="preserve"> </w:t>
      </w:r>
      <w:r w:rsidR="00F233AB" w:rsidRPr="00B02247">
        <w:t>association</w:t>
      </w:r>
      <w:r w:rsidR="005B2A41">
        <w:t xml:space="preserve"> </w:t>
      </w:r>
      <w:r w:rsidR="00F233AB" w:rsidRPr="00B02247">
        <w:t>(Article</w:t>
      </w:r>
      <w:r w:rsidR="005B2A41">
        <w:t xml:space="preserve"> </w:t>
      </w:r>
      <w:r w:rsidR="00F233AB" w:rsidRPr="00B02247">
        <w:t>12);</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right</w:t>
      </w:r>
      <w:r w:rsidR="005B2A41">
        <w:t xml:space="preserve"> </w:t>
      </w:r>
      <w:r w:rsidR="00F233AB" w:rsidRPr="00B02247">
        <w:t>to</w:t>
      </w:r>
      <w:r w:rsidR="005B2A41">
        <w:t xml:space="preserve"> </w:t>
      </w:r>
      <w:r w:rsidR="00F233AB" w:rsidRPr="00B02247">
        <w:t>religious</w:t>
      </w:r>
      <w:r w:rsidR="005B2A41">
        <w:t xml:space="preserve"> </w:t>
      </w:r>
      <w:r w:rsidR="00F233AB" w:rsidRPr="00B02247">
        <w:t>freedom</w:t>
      </w:r>
      <w:r w:rsidR="005B2A41">
        <w:t xml:space="preserve"> </w:t>
      </w:r>
      <w:r w:rsidR="00F233AB" w:rsidRPr="00B02247">
        <w:t>(Article</w:t>
      </w:r>
      <w:r w:rsidR="005B2A41">
        <w:t xml:space="preserve"> </w:t>
      </w:r>
      <w:r w:rsidR="00F233AB" w:rsidRPr="00B02247">
        <w:t>13);</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freedom</w:t>
      </w:r>
      <w:r w:rsidR="005B2A41">
        <w:t xml:space="preserve"> </w:t>
      </w:r>
      <w:r w:rsidR="00F233AB" w:rsidRPr="00B02247">
        <w:t>of</w:t>
      </w:r>
      <w:r w:rsidR="005B2A41">
        <w:t xml:space="preserve"> </w:t>
      </w:r>
      <w:r w:rsidR="00F233AB" w:rsidRPr="00B02247">
        <w:t>expression</w:t>
      </w:r>
      <w:r w:rsidR="005B2A41">
        <w:t xml:space="preserve"> </w:t>
      </w:r>
      <w:r w:rsidR="00F233AB" w:rsidRPr="00B02247">
        <w:t>and</w:t>
      </w:r>
      <w:r w:rsidR="005B2A41">
        <w:t xml:space="preserve"> </w:t>
      </w:r>
      <w:r w:rsidR="00F233AB" w:rsidRPr="00B02247">
        <w:t>freedom</w:t>
      </w:r>
      <w:r w:rsidR="005B2A41">
        <w:t xml:space="preserve"> </w:t>
      </w:r>
      <w:r w:rsidR="00F233AB" w:rsidRPr="00B02247">
        <w:t>of</w:t>
      </w:r>
      <w:r w:rsidR="005B2A41">
        <w:t xml:space="preserve"> </w:t>
      </w:r>
      <w:r w:rsidR="00F233AB" w:rsidRPr="00B02247">
        <w:t>the</w:t>
      </w:r>
      <w:r w:rsidR="005B2A41">
        <w:t xml:space="preserve"> </w:t>
      </w:r>
      <w:r w:rsidR="00F233AB" w:rsidRPr="00B02247">
        <w:t>press</w:t>
      </w:r>
      <w:r w:rsidR="005B2A41">
        <w:t xml:space="preserve"> </w:t>
      </w:r>
      <w:r w:rsidR="00F233AB" w:rsidRPr="00B02247">
        <w:t>(Article</w:t>
      </w:r>
      <w:r w:rsidR="005B2A41">
        <w:t xml:space="preserve"> </w:t>
      </w:r>
      <w:r w:rsidR="00F233AB" w:rsidRPr="00B02247">
        <w:t>14),</w:t>
      </w:r>
      <w:r w:rsidR="005B2A41">
        <w:t xml:space="preserve"> </w:t>
      </w:r>
      <w:r w:rsidR="00F233AB" w:rsidRPr="00B02247">
        <w:t>including</w:t>
      </w:r>
      <w:r w:rsidR="005B2A41">
        <w:t xml:space="preserve"> </w:t>
      </w:r>
      <w:r w:rsidR="00F233AB" w:rsidRPr="00B02247">
        <w:t>the</w:t>
      </w:r>
      <w:r w:rsidR="005B2A41">
        <w:t xml:space="preserve"> </w:t>
      </w:r>
      <w:r w:rsidR="00F233AB" w:rsidRPr="00B02247">
        <w:t>right</w:t>
      </w:r>
      <w:r w:rsidR="005B2A41">
        <w:t xml:space="preserve"> </w:t>
      </w:r>
      <w:r w:rsidR="00F233AB" w:rsidRPr="00B02247">
        <w:t>of</w:t>
      </w:r>
      <w:r w:rsidR="005B2A41">
        <w:t xml:space="preserve"> </w:t>
      </w:r>
      <w:r w:rsidR="00F233AB" w:rsidRPr="00B02247">
        <w:t>reply</w:t>
      </w:r>
      <w:r w:rsidR="005B2A41">
        <w:t xml:space="preserve"> </w:t>
      </w:r>
      <w:r w:rsidR="00F233AB" w:rsidRPr="00B02247">
        <w:t>for</w:t>
      </w:r>
      <w:r w:rsidR="005B2A41">
        <w:t xml:space="preserve"> </w:t>
      </w:r>
      <w:r w:rsidR="00F233AB" w:rsidRPr="00B02247">
        <w:t>persons</w:t>
      </w:r>
      <w:r w:rsidR="005B2A41">
        <w:t xml:space="preserve"> </w:t>
      </w:r>
      <w:r w:rsidR="00F233AB" w:rsidRPr="00B02247">
        <w:t>who</w:t>
      </w:r>
      <w:r w:rsidR="005B2A41">
        <w:t xml:space="preserve"> </w:t>
      </w:r>
      <w:r w:rsidR="00F233AB" w:rsidRPr="00B02247">
        <w:t>have</w:t>
      </w:r>
      <w:r w:rsidR="005B2A41">
        <w:t xml:space="preserve"> </w:t>
      </w:r>
      <w:r w:rsidR="00F233AB" w:rsidRPr="00B02247">
        <w:t>been</w:t>
      </w:r>
      <w:r w:rsidR="005B2A41">
        <w:t xml:space="preserve"> </w:t>
      </w:r>
      <w:r w:rsidR="00F233AB" w:rsidRPr="00B02247">
        <w:t>affected</w:t>
      </w:r>
      <w:r w:rsidR="005B2A41">
        <w:t xml:space="preserve"> </w:t>
      </w:r>
      <w:r w:rsidR="00F233AB" w:rsidRPr="00B02247">
        <w:t>by</w:t>
      </w:r>
      <w:r w:rsidR="005B2A41">
        <w:t xml:space="preserve"> </w:t>
      </w:r>
      <w:r w:rsidR="00F233AB" w:rsidRPr="00B02247">
        <w:t>an</w:t>
      </w:r>
      <w:r w:rsidR="005B2A41">
        <w:t xml:space="preserve"> </w:t>
      </w:r>
      <w:r w:rsidR="00F233AB" w:rsidRPr="00B02247">
        <w:t>inaccurate</w:t>
      </w:r>
      <w:r w:rsidR="005B2A41">
        <w:t xml:space="preserve"> </w:t>
      </w:r>
      <w:r w:rsidR="00F233AB" w:rsidRPr="00B02247">
        <w:t>publication</w:t>
      </w:r>
      <w:r w:rsidR="005B2A41">
        <w:t xml:space="preserve"> </w:t>
      </w:r>
      <w:r w:rsidR="00F233AB" w:rsidRPr="00B02247">
        <w:t>or</w:t>
      </w:r>
      <w:r w:rsidR="005B2A41">
        <w:t xml:space="preserve"> </w:t>
      </w:r>
      <w:r w:rsidR="00F233AB" w:rsidRPr="00B02247">
        <w:t>broadcast</w:t>
      </w:r>
      <w:r w:rsidR="005B2A41">
        <w:t xml:space="preserve"> </w:t>
      </w:r>
      <w:r w:rsidR="00F233AB" w:rsidRPr="00B02247">
        <w:t>(para.</w:t>
      </w:r>
      <w:r w:rsidR="005B2A41">
        <w:t xml:space="preserve"> </w:t>
      </w:r>
      <w:r w:rsidR="00F233AB" w:rsidRPr="00B02247">
        <w:t>5);</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freedom</w:t>
      </w:r>
      <w:r w:rsidR="005B2A41">
        <w:t xml:space="preserve"> </w:t>
      </w:r>
      <w:r w:rsidR="00F233AB" w:rsidRPr="00B02247">
        <w:t>of</w:t>
      </w:r>
      <w:r w:rsidR="005B2A41">
        <w:t xml:space="preserve"> </w:t>
      </w:r>
      <w:r w:rsidR="00F233AB" w:rsidRPr="00B02247">
        <w:t>radio</w:t>
      </w:r>
      <w:r w:rsidR="005B2A41">
        <w:t xml:space="preserve"> </w:t>
      </w:r>
      <w:r w:rsidR="00F233AB" w:rsidRPr="00B02247">
        <w:t>and</w:t>
      </w:r>
      <w:r w:rsidR="005B2A41">
        <w:t xml:space="preserve"> </w:t>
      </w:r>
      <w:r w:rsidR="00F233AB" w:rsidRPr="00B02247">
        <w:t>television</w:t>
      </w:r>
      <w:r w:rsidR="005B2A41">
        <w:t xml:space="preserve"> </w:t>
      </w:r>
      <w:r w:rsidR="00F233AB" w:rsidRPr="00B02247">
        <w:t>broadcasting</w:t>
      </w:r>
      <w:r w:rsidR="005B2A41">
        <w:t xml:space="preserve"> </w:t>
      </w:r>
      <w:r w:rsidR="00F233AB" w:rsidRPr="00B02247">
        <w:t>(Article</w:t>
      </w:r>
      <w:r w:rsidR="005B2A41">
        <w:t xml:space="preserve"> </w:t>
      </w:r>
      <w:r w:rsidR="00F233AB" w:rsidRPr="00B02247">
        <w:t>15);</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freedom</w:t>
      </w:r>
      <w:r w:rsidR="005B2A41">
        <w:t xml:space="preserve"> </w:t>
      </w:r>
      <w:r w:rsidR="00F233AB" w:rsidRPr="00B02247">
        <w:t>of</w:t>
      </w:r>
      <w:r w:rsidR="005B2A41">
        <w:t xml:space="preserve"> </w:t>
      </w:r>
      <w:r w:rsidR="00F233AB" w:rsidRPr="00B02247">
        <w:t>art,</w:t>
      </w:r>
      <w:r w:rsidR="005B2A41">
        <w:t xml:space="preserve"> </w:t>
      </w:r>
      <w:r w:rsidR="00F233AB" w:rsidRPr="00B02247">
        <w:t>science,</w:t>
      </w:r>
      <w:r w:rsidR="005B2A41">
        <w:t xml:space="preserve"> </w:t>
      </w:r>
      <w:r w:rsidR="00F233AB" w:rsidRPr="00B02247">
        <w:t>research</w:t>
      </w:r>
      <w:r w:rsidR="005B2A41">
        <w:t xml:space="preserve"> </w:t>
      </w:r>
      <w:r w:rsidR="00F233AB" w:rsidRPr="00B02247">
        <w:t>and</w:t>
      </w:r>
      <w:r w:rsidR="005B2A41">
        <w:t xml:space="preserve"> </w:t>
      </w:r>
      <w:r w:rsidR="00F233AB" w:rsidRPr="00B02247">
        <w:t>education</w:t>
      </w:r>
      <w:r w:rsidR="005B2A41">
        <w:t xml:space="preserve"> </w:t>
      </w:r>
      <w:r w:rsidR="00F233AB" w:rsidRPr="00B02247">
        <w:t>(Article</w:t>
      </w:r>
      <w:r w:rsidR="005B2A41">
        <w:t xml:space="preserve"> </w:t>
      </w:r>
      <w:r w:rsidR="00F233AB" w:rsidRPr="00B02247">
        <w:t>16);</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5B2A41">
        <w:t xml:space="preserve"> </w:t>
      </w:r>
      <w:r w:rsidR="00F233AB" w:rsidRPr="00B02247">
        <w:t>right</w:t>
      </w:r>
      <w:r w:rsidR="005B2A41">
        <w:t xml:space="preserve"> </w:t>
      </w:r>
      <w:r w:rsidR="00F233AB" w:rsidRPr="00B02247">
        <w:t>to</w:t>
      </w:r>
      <w:r w:rsidR="005B2A41">
        <w:t xml:space="preserve"> </w:t>
      </w:r>
      <w:r w:rsidR="00F233AB" w:rsidRPr="00B02247">
        <w:t>property</w:t>
      </w:r>
      <w:r w:rsidR="005B2A41">
        <w:t xml:space="preserve"> </w:t>
      </w:r>
      <w:r w:rsidR="00F233AB" w:rsidRPr="00B02247">
        <w:t>(Article</w:t>
      </w:r>
      <w:r w:rsidR="005B2A41">
        <w:t xml:space="preserve"> </w:t>
      </w:r>
      <w:r w:rsidR="00F233AB" w:rsidRPr="00B02247">
        <w:t>17);</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right</w:t>
      </w:r>
      <w:r w:rsidR="005B2A41">
        <w:t xml:space="preserve"> </w:t>
      </w:r>
      <w:r w:rsidR="00F233AB" w:rsidRPr="00B02247">
        <w:t>to</w:t>
      </w:r>
      <w:r w:rsidR="005B2A41">
        <w:t xml:space="preserve"> </w:t>
      </w:r>
      <w:r w:rsidR="00F233AB" w:rsidRPr="00B02247">
        <w:t>secrecy</w:t>
      </w:r>
      <w:r w:rsidR="005B2A41">
        <w:t xml:space="preserve"> </w:t>
      </w:r>
      <w:r w:rsidR="00F233AB" w:rsidRPr="00B02247">
        <w:t>of</w:t>
      </w:r>
      <w:r w:rsidR="005B2A41">
        <w:t xml:space="preserve"> </w:t>
      </w:r>
      <w:r w:rsidR="00F233AB" w:rsidRPr="00B02247">
        <w:t>letters</w:t>
      </w:r>
      <w:r w:rsidR="005B2A41">
        <w:t xml:space="preserve"> </w:t>
      </w:r>
      <w:r w:rsidR="00F233AB" w:rsidRPr="00B02247">
        <w:t>and</w:t>
      </w:r>
      <w:r w:rsidR="005B2A41">
        <w:t xml:space="preserve"> </w:t>
      </w:r>
      <w:r w:rsidR="00F233AB" w:rsidRPr="00B02247">
        <w:t>all</w:t>
      </w:r>
      <w:r w:rsidR="005B2A41">
        <w:t xml:space="preserve"> </w:t>
      </w:r>
      <w:r w:rsidR="00F233AB" w:rsidRPr="00B02247">
        <w:t>other</w:t>
      </w:r>
      <w:r w:rsidR="005B2A41">
        <w:t xml:space="preserve"> </w:t>
      </w:r>
      <w:r w:rsidR="00F233AB" w:rsidRPr="00B02247">
        <w:t>forms</w:t>
      </w:r>
      <w:r w:rsidR="005B2A41">
        <w:t xml:space="preserve"> </w:t>
      </w:r>
      <w:r w:rsidR="00F233AB" w:rsidRPr="00B02247">
        <w:t>of</w:t>
      </w:r>
      <w:r w:rsidR="005B2A41">
        <w:t xml:space="preserve"> </w:t>
      </w:r>
      <w:r w:rsidR="00F233AB" w:rsidRPr="00B02247">
        <w:t>free</w:t>
      </w:r>
      <w:r w:rsidR="005B2A41">
        <w:t xml:space="preserve"> </w:t>
      </w:r>
      <w:r w:rsidR="00F233AB" w:rsidRPr="00B02247">
        <w:t>correspondence</w:t>
      </w:r>
      <w:r w:rsidR="005B2A41">
        <w:t xml:space="preserve"> </w:t>
      </w:r>
      <w:r w:rsidR="00F233AB" w:rsidRPr="00B02247">
        <w:t>or</w:t>
      </w:r>
      <w:r w:rsidR="005B2A41">
        <w:t xml:space="preserve"> </w:t>
      </w:r>
      <w:r w:rsidR="00F233AB" w:rsidRPr="00B02247">
        <w:t>communication</w:t>
      </w:r>
      <w:r w:rsidR="005B2A41">
        <w:t xml:space="preserve"> </w:t>
      </w:r>
      <w:r w:rsidR="00F233AB" w:rsidRPr="00B02247">
        <w:t>(Article</w:t>
      </w:r>
      <w:r w:rsidR="005B2A41">
        <w:t xml:space="preserve"> </w:t>
      </w:r>
      <w:r w:rsidR="00F233AB" w:rsidRPr="00B02247">
        <w:t>19)</w:t>
      </w:r>
      <w:r w:rsidR="005B2A41">
        <w:t xml:space="preserve"> </w:t>
      </w:r>
      <w:r w:rsidR="00F233AB" w:rsidRPr="00B02247">
        <w:t>and</w:t>
      </w:r>
      <w:r w:rsidR="005B2A41">
        <w:t xml:space="preserve"> </w:t>
      </w:r>
      <w:r w:rsidR="00F233AB" w:rsidRPr="00B02247">
        <w:t>the</w:t>
      </w:r>
      <w:r w:rsidR="005B2A41">
        <w:t xml:space="preserve"> </w:t>
      </w:r>
      <w:r w:rsidR="00F233AB" w:rsidRPr="00B02247">
        <w:t>prohibition</w:t>
      </w:r>
      <w:r w:rsidR="005B2A41">
        <w:t xml:space="preserve"> </w:t>
      </w:r>
      <w:r w:rsidR="00F233AB" w:rsidRPr="00B02247">
        <w:t>of</w:t>
      </w:r>
      <w:r w:rsidR="005B2A41">
        <w:t xml:space="preserve"> </w:t>
      </w:r>
      <w:r w:rsidR="00F233AB" w:rsidRPr="00B02247">
        <w:t>using</w:t>
      </w:r>
      <w:r w:rsidR="005B2A41">
        <w:t xml:space="preserve"> </w:t>
      </w:r>
      <w:r w:rsidR="00F233AB" w:rsidRPr="00B02247">
        <w:t>pieces</w:t>
      </w:r>
      <w:r w:rsidR="005B2A41">
        <w:t xml:space="preserve"> </w:t>
      </w:r>
      <w:r w:rsidR="00F233AB" w:rsidRPr="00B02247">
        <w:t>of</w:t>
      </w:r>
      <w:r w:rsidR="005B2A41">
        <w:t xml:space="preserve"> </w:t>
      </w:r>
      <w:r w:rsidR="00F233AB" w:rsidRPr="00B02247">
        <w:t>evidence</w:t>
      </w:r>
      <w:r w:rsidR="005B2A41">
        <w:t xml:space="preserve"> </w:t>
      </w:r>
      <w:r w:rsidR="00F233AB" w:rsidRPr="00B02247">
        <w:t>which</w:t>
      </w:r>
      <w:r w:rsidR="005B2A41">
        <w:t xml:space="preserve"> </w:t>
      </w:r>
      <w:r w:rsidR="00F233AB" w:rsidRPr="00B02247">
        <w:t>have</w:t>
      </w:r>
      <w:r w:rsidR="005B2A41">
        <w:t xml:space="preserve"> </w:t>
      </w:r>
      <w:r w:rsidR="00F233AB" w:rsidRPr="00B02247">
        <w:t>been</w:t>
      </w:r>
      <w:r w:rsidR="005B2A41">
        <w:t xml:space="preserve"> </w:t>
      </w:r>
      <w:r w:rsidR="00F233AB" w:rsidRPr="00B02247">
        <w:t>illegally</w:t>
      </w:r>
      <w:r w:rsidR="005B2A41">
        <w:t xml:space="preserve"> </w:t>
      </w:r>
      <w:r w:rsidR="00F233AB" w:rsidRPr="00B02247">
        <w:t>obtained</w:t>
      </w:r>
      <w:r w:rsidR="005B2A41">
        <w:t xml:space="preserve"> </w:t>
      </w:r>
      <w:r w:rsidR="00F233AB" w:rsidRPr="00B02247">
        <w:t>(Article</w:t>
      </w:r>
      <w:r w:rsidR="005B2A41">
        <w:t xml:space="preserve"> </w:t>
      </w:r>
      <w:r w:rsidR="00F233AB" w:rsidRPr="00B02247">
        <w:t>19</w:t>
      </w:r>
      <w:r w:rsidR="005B2A41">
        <w:t xml:space="preserve"> </w:t>
      </w:r>
      <w:r w:rsidR="00F233AB" w:rsidRPr="00B02247">
        <w:t>(3));</w:t>
      </w:r>
    </w:p>
    <w:p w:rsidR="00F233AB" w:rsidRPr="00B02247" w:rsidRDefault="00102678" w:rsidP="00102678">
      <w:pPr>
        <w:pStyle w:val="Bullet1G"/>
        <w:numPr>
          <w:ilvl w:val="0"/>
          <w:numId w:val="0"/>
        </w:numPr>
        <w:tabs>
          <w:tab w:val="left" w:pos="1701"/>
        </w:tabs>
        <w:ind w:left="1701" w:hanging="170"/>
      </w:pPr>
      <w:r w:rsidRPr="00B02247">
        <w:lastRenderedPageBreak/>
        <w:t>•</w:t>
      </w:r>
      <w:r w:rsidRPr="00B02247">
        <w:tab/>
      </w:r>
      <w:r w:rsidR="00F233AB" w:rsidRPr="00B02247">
        <w:t>right</w:t>
      </w:r>
      <w:r w:rsidR="005B2A41">
        <w:t xml:space="preserve"> </w:t>
      </w:r>
      <w:r w:rsidR="00F233AB" w:rsidRPr="00B02247">
        <w:t>of</w:t>
      </w:r>
      <w:r w:rsidR="005B2A41">
        <w:t xml:space="preserve"> </w:t>
      </w:r>
      <w:r w:rsidR="00F233AB" w:rsidRPr="00B02247">
        <w:t>every</w:t>
      </w:r>
      <w:r w:rsidR="005B2A41">
        <w:t xml:space="preserve"> </w:t>
      </w:r>
      <w:r w:rsidR="00F233AB" w:rsidRPr="00B02247">
        <w:t>person</w:t>
      </w:r>
      <w:r w:rsidR="005B2A41">
        <w:t xml:space="preserve"> </w:t>
      </w:r>
      <w:r w:rsidR="00F233AB" w:rsidRPr="00B02247">
        <w:t>to</w:t>
      </w:r>
      <w:r w:rsidR="005B2A41">
        <w:t xml:space="preserve"> </w:t>
      </w:r>
      <w:r w:rsidR="00F233AB" w:rsidRPr="00B02247">
        <w:t>receive</w:t>
      </w:r>
      <w:r w:rsidR="005B2A41">
        <w:t xml:space="preserve"> </w:t>
      </w:r>
      <w:r w:rsidR="00F233AB" w:rsidRPr="00B02247">
        <w:t>legal</w:t>
      </w:r>
      <w:r w:rsidR="005B2A41">
        <w:t xml:space="preserve"> </w:t>
      </w:r>
      <w:r w:rsidR="00F233AB" w:rsidRPr="00B02247">
        <w:t>protection</w:t>
      </w:r>
      <w:r w:rsidR="005B2A41">
        <w:t xml:space="preserve"> </w:t>
      </w:r>
      <w:r w:rsidR="00F233AB" w:rsidRPr="00B02247">
        <w:t>by</w:t>
      </w:r>
      <w:r w:rsidR="005B2A41">
        <w:t xml:space="preserve"> </w:t>
      </w:r>
      <w:r w:rsidR="00F233AB" w:rsidRPr="00B02247">
        <w:t>the</w:t>
      </w:r>
      <w:r w:rsidR="005B2A41">
        <w:t xml:space="preserve"> </w:t>
      </w:r>
      <w:r w:rsidR="00F233AB" w:rsidRPr="00B02247">
        <w:t>courts</w:t>
      </w:r>
      <w:r w:rsidR="005B2A41">
        <w:t xml:space="preserve"> </w:t>
      </w:r>
      <w:r w:rsidR="00F233AB" w:rsidRPr="00B02247">
        <w:t>and</w:t>
      </w:r>
      <w:r w:rsidR="005B2A41">
        <w:t xml:space="preserve"> </w:t>
      </w:r>
      <w:r w:rsidR="00F233AB" w:rsidRPr="00B02247">
        <w:t>to</w:t>
      </w:r>
      <w:r w:rsidR="005B2A41">
        <w:t xml:space="preserve"> </w:t>
      </w:r>
      <w:r w:rsidR="00F233AB" w:rsidRPr="00B02247">
        <w:t>plead</w:t>
      </w:r>
      <w:r w:rsidR="005B2A41">
        <w:t xml:space="preserve"> </w:t>
      </w:r>
      <w:r w:rsidR="00F233AB" w:rsidRPr="00B02247">
        <w:t>before</w:t>
      </w:r>
      <w:r w:rsidR="005B2A41">
        <w:t xml:space="preserve"> </w:t>
      </w:r>
      <w:r w:rsidR="00F233AB" w:rsidRPr="00B02247">
        <w:t>them</w:t>
      </w:r>
      <w:r w:rsidR="005B2A41">
        <w:t xml:space="preserve"> </w:t>
      </w:r>
      <w:r w:rsidR="00F233AB" w:rsidRPr="00B02247">
        <w:t>(Article</w:t>
      </w:r>
      <w:r w:rsidR="005B2A41">
        <w:t xml:space="preserve"> </w:t>
      </w:r>
      <w:r w:rsidR="00F233AB" w:rsidRPr="00B02247">
        <w:t>20);</w:t>
      </w:r>
    </w:p>
    <w:p w:rsidR="00F233AB" w:rsidRPr="00B02247" w:rsidRDefault="00F233AB" w:rsidP="00E1307D">
      <w:pPr>
        <w:pStyle w:val="SingleTxtG"/>
      </w:pPr>
      <w:r w:rsidRPr="00B02247">
        <w:t>35.</w:t>
      </w:r>
      <w:r w:rsidRPr="00B02247">
        <w:tab/>
        <w:t>Furthermore,</w:t>
      </w:r>
      <w:r w:rsidR="005B2A41">
        <w:t xml:space="preserve"> </w:t>
      </w:r>
      <w:r w:rsidRPr="00B02247">
        <w:t>the</w:t>
      </w:r>
      <w:r w:rsidR="005B2A41">
        <w:t xml:space="preserve"> </w:t>
      </w:r>
      <w:r w:rsidRPr="00B02247">
        <w:t>Constitution</w:t>
      </w:r>
      <w:r w:rsidR="005B2A41">
        <w:t xml:space="preserve"> </w:t>
      </w:r>
      <w:r w:rsidRPr="00B02247">
        <w:t>entrenches</w:t>
      </w:r>
      <w:r w:rsidR="005B2A41">
        <w:t xml:space="preserve"> </w:t>
      </w:r>
      <w:r w:rsidRPr="00B02247">
        <w:t>a</w:t>
      </w:r>
      <w:r w:rsidR="005B2A41">
        <w:t xml:space="preserve"> </w:t>
      </w:r>
      <w:r w:rsidRPr="00B02247">
        <w:t>series</w:t>
      </w:r>
      <w:r w:rsidR="005B2A41">
        <w:t xml:space="preserve"> </w:t>
      </w:r>
      <w:r w:rsidRPr="00B02247">
        <w:t>of</w:t>
      </w:r>
      <w:r w:rsidR="005B2A41">
        <w:t xml:space="preserve"> </w:t>
      </w:r>
      <w:r w:rsidRPr="00B02247">
        <w:t>social</w:t>
      </w:r>
      <w:r w:rsidR="005B2A41">
        <w:t xml:space="preserve"> </w:t>
      </w:r>
      <w:r w:rsidRPr="00B02247">
        <w:t>rights:</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protection</w:t>
      </w:r>
      <w:r w:rsidR="005B2A41">
        <w:t xml:space="preserve"> </w:t>
      </w:r>
      <w:r w:rsidR="00F233AB" w:rsidRPr="00B02247">
        <w:t>of</w:t>
      </w:r>
      <w:r w:rsidR="005B2A41">
        <w:t xml:space="preserve"> </w:t>
      </w:r>
      <w:r w:rsidR="00F233AB" w:rsidRPr="00B02247">
        <w:t>family,</w:t>
      </w:r>
      <w:r w:rsidR="005B2A41">
        <w:t xml:space="preserve"> </w:t>
      </w:r>
      <w:r w:rsidR="00F233AB" w:rsidRPr="00B02247">
        <w:t>marriage,</w:t>
      </w:r>
      <w:r w:rsidR="005B2A41">
        <w:t xml:space="preserve"> </w:t>
      </w:r>
      <w:r w:rsidR="00F233AB" w:rsidRPr="00B02247">
        <w:t>motherhood</w:t>
      </w:r>
      <w:r w:rsidR="005B2A41">
        <w:t xml:space="preserve"> </w:t>
      </w:r>
      <w:r w:rsidR="00F233AB" w:rsidRPr="00B02247">
        <w:t>and</w:t>
      </w:r>
      <w:r w:rsidR="005B2A41">
        <w:t xml:space="preserve"> </w:t>
      </w:r>
      <w:r w:rsidR="00F233AB" w:rsidRPr="00B02247">
        <w:t>childhood</w:t>
      </w:r>
      <w:r w:rsidR="005B2A41">
        <w:t xml:space="preserve"> </w:t>
      </w:r>
      <w:r w:rsidR="00F233AB" w:rsidRPr="00B02247">
        <w:t>(Article</w:t>
      </w:r>
      <w:r w:rsidR="005B2A41">
        <w:t xml:space="preserve"> </w:t>
      </w:r>
      <w:r w:rsidR="00F233AB" w:rsidRPr="00B02247">
        <w:t>21</w:t>
      </w:r>
      <w:r w:rsidR="005B2A41">
        <w:t xml:space="preserve"> </w:t>
      </w:r>
      <w:r w:rsidR="00F233AB" w:rsidRPr="00B02247">
        <w:t>(1));</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protection</w:t>
      </w:r>
      <w:r w:rsidR="005B2A41">
        <w:t xml:space="preserve"> </w:t>
      </w:r>
      <w:r w:rsidR="00F233AB" w:rsidRPr="00B02247">
        <w:t>of</w:t>
      </w:r>
      <w:r w:rsidR="005B2A41">
        <w:t xml:space="preserve"> </w:t>
      </w:r>
      <w:r w:rsidR="00F233AB" w:rsidRPr="00B02247">
        <w:t>families</w:t>
      </w:r>
      <w:r w:rsidR="005B2A41">
        <w:t xml:space="preserve"> </w:t>
      </w:r>
      <w:r w:rsidR="00F233AB" w:rsidRPr="00B02247">
        <w:t>with</w:t>
      </w:r>
      <w:r w:rsidR="005B2A41">
        <w:t xml:space="preserve"> </w:t>
      </w:r>
      <w:r w:rsidR="00F233AB" w:rsidRPr="00B02247">
        <w:t>many</w:t>
      </w:r>
      <w:r w:rsidR="005B2A41">
        <w:t xml:space="preserve"> </w:t>
      </w:r>
      <w:r w:rsidR="00F233AB" w:rsidRPr="00B02247">
        <w:t>children,</w:t>
      </w:r>
      <w:r w:rsidR="005B2A41">
        <w:t xml:space="preserve"> </w:t>
      </w:r>
      <w:r w:rsidR="00F233AB" w:rsidRPr="00B02247">
        <w:t>disabled</w:t>
      </w:r>
      <w:r w:rsidR="005B2A41">
        <w:t xml:space="preserve"> </w:t>
      </w:r>
      <w:r w:rsidR="00F233AB" w:rsidRPr="00B02247">
        <w:t>war</w:t>
      </w:r>
      <w:r w:rsidR="005B2A41">
        <w:t xml:space="preserve"> </w:t>
      </w:r>
      <w:r w:rsidR="00F233AB" w:rsidRPr="00B02247">
        <w:t>and</w:t>
      </w:r>
      <w:r w:rsidR="005B2A41">
        <w:t xml:space="preserve"> </w:t>
      </w:r>
      <w:r w:rsidR="00F233AB" w:rsidRPr="00B02247">
        <w:t>peace-time</w:t>
      </w:r>
      <w:r w:rsidR="005B2A41">
        <w:t xml:space="preserve"> </w:t>
      </w:r>
      <w:r w:rsidR="00F233AB" w:rsidRPr="00B02247">
        <w:t>veterans,</w:t>
      </w:r>
      <w:r w:rsidR="005B2A41">
        <w:t xml:space="preserve"> </w:t>
      </w:r>
      <w:r w:rsidR="00F233AB" w:rsidRPr="00B02247">
        <w:t>war</w:t>
      </w:r>
      <w:r w:rsidR="005B2A41">
        <w:t xml:space="preserve"> </w:t>
      </w:r>
      <w:r w:rsidR="00F233AB" w:rsidRPr="00B02247">
        <w:t>victims,</w:t>
      </w:r>
      <w:r w:rsidR="005B2A41">
        <w:t xml:space="preserve"> </w:t>
      </w:r>
      <w:r w:rsidR="00F233AB" w:rsidRPr="00B02247">
        <w:t>widows</w:t>
      </w:r>
      <w:r w:rsidR="005B2A41">
        <w:t xml:space="preserve"> </w:t>
      </w:r>
      <w:r w:rsidR="00F233AB" w:rsidRPr="00B02247">
        <w:t>and</w:t>
      </w:r>
      <w:r w:rsidR="005B2A41">
        <w:t xml:space="preserve"> </w:t>
      </w:r>
      <w:r w:rsidR="00F233AB" w:rsidRPr="00B02247">
        <w:t>orphans,</w:t>
      </w:r>
      <w:r w:rsidR="005B2A41">
        <w:t xml:space="preserve"> </w:t>
      </w:r>
      <w:r w:rsidR="00F233AB" w:rsidRPr="00B02247">
        <w:t>as</w:t>
      </w:r>
      <w:r w:rsidR="005B2A41">
        <w:t xml:space="preserve"> </w:t>
      </w:r>
      <w:r w:rsidR="00F233AB" w:rsidRPr="00B02247">
        <w:t>well</w:t>
      </w:r>
      <w:r w:rsidR="005B2A41">
        <w:t xml:space="preserve"> </w:t>
      </w:r>
      <w:r w:rsidR="00F233AB" w:rsidRPr="00B02247">
        <w:t>as</w:t>
      </w:r>
      <w:r w:rsidR="005B2A41">
        <w:t xml:space="preserve"> </w:t>
      </w:r>
      <w:r w:rsidR="00F233AB" w:rsidRPr="00B02247">
        <w:t>persons</w:t>
      </w:r>
      <w:r w:rsidR="005B2A41">
        <w:t xml:space="preserve"> </w:t>
      </w:r>
      <w:r w:rsidR="00F233AB" w:rsidRPr="00B02247">
        <w:t>suffering</w:t>
      </w:r>
      <w:r w:rsidR="005B2A41">
        <w:t xml:space="preserve"> </w:t>
      </w:r>
      <w:r w:rsidR="00F233AB" w:rsidRPr="00B02247">
        <w:t>from</w:t>
      </w:r>
      <w:r w:rsidR="005B2A41">
        <w:t xml:space="preserve"> </w:t>
      </w:r>
      <w:r w:rsidR="00F233AB" w:rsidRPr="00B02247">
        <w:t>incurable</w:t>
      </w:r>
      <w:r w:rsidR="005B2A41">
        <w:t xml:space="preserve"> </w:t>
      </w:r>
      <w:r w:rsidR="00F233AB" w:rsidRPr="00B02247">
        <w:t>bodily</w:t>
      </w:r>
      <w:r w:rsidR="005B2A41">
        <w:t xml:space="preserve"> </w:t>
      </w:r>
      <w:r w:rsidR="00F233AB" w:rsidRPr="00B02247">
        <w:t>or</w:t>
      </w:r>
      <w:r w:rsidR="005B2A41">
        <w:t xml:space="preserve"> </w:t>
      </w:r>
      <w:r w:rsidR="00F233AB" w:rsidRPr="00B02247">
        <w:t>mental</w:t>
      </w:r>
      <w:r w:rsidR="005B2A41">
        <w:t xml:space="preserve"> </w:t>
      </w:r>
      <w:r w:rsidR="00F233AB" w:rsidRPr="00B02247">
        <w:t>ailments</w:t>
      </w:r>
      <w:r w:rsidR="005B2A41">
        <w:t xml:space="preserve"> </w:t>
      </w:r>
      <w:r w:rsidR="00F233AB" w:rsidRPr="00B02247">
        <w:t>(Article</w:t>
      </w:r>
      <w:r w:rsidR="005B2A41">
        <w:t xml:space="preserve"> </w:t>
      </w:r>
      <w:r w:rsidR="00F233AB" w:rsidRPr="00B02247">
        <w:t>21</w:t>
      </w:r>
      <w:r w:rsidR="005B2A41">
        <w:t xml:space="preserve"> </w:t>
      </w:r>
      <w:r w:rsidR="00F233AB" w:rsidRPr="00B02247">
        <w:t>(2));</w:t>
      </w:r>
      <w:r w:rsidR="005B2A41">
        <w:t xml:space="preserve"> </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right</w:t>
      </w:r>
      <w:r w:rsidR="005B2A41">
        <w:t xml:space="preserve"> </w:t>
      </w:r>
      <w:r w:rsidR="00F233AB" w:rsidRPr="00B02247">
        <w:t>to</w:t>
      </w:r>
      <w:r w:rsidR="005B2A41">
        <w:t xml:space="preserve"> </w:t>
      </w:r>
      <w:r w:rsidR="00F233AB" w:rsidRPr="00B02247">
        <w:t>health</w:t>
      </w:r>
      <w:r w:rsidR="005B2A41">
        <w:t xml:space="preserve"> </w:t>
      </w:r>
      <w:r w:rsidR="00F233AB" w:rsidRPr="00B02247">
        <w:t>and</w:t>
      </w:r>
      <w:r w:rsidR="005B2A41">
        <w:t xml:space="preserve"> </w:t>
      </w:r>
      <w:r w:rsidR="00F233AB" w:rsidRPr="00B02247">
        <w:t>adoption</w:t>
      </w:r>
      <w:r w:rsidR="005B2A41">
        <w:t xml:space="preserve"> </w:t>
      </w:r>
      <w:r w:rsidR="00F233AB" w:rsidRPr="00B02247">
        <w:t>of</w:t>
      </w:r>
      <w:r w:rsidR="005B2A41">
        <w:t xml:space="preserve"> </w:t>
      </w:r>
      <w:r w:rsidR="00F233AB" w:rsidRPr="00B02247">
        <w:t>special</w:t>
      </w:r>
      <w:r w:rsidR="005B2A41">
        <w:t xml:space="preserve"> </w:t>
      </w:r>
      <w:r w:rsidR="00F233AB" w:rsidRPr="00B02247">
        <w:t>measures</w:t>
      </w:r>
      <w:r w:rsidR="005B2A41">
        <w:t xml:space="preserve"> </w:t>
      </w:r>
      <w:r w:rsidR="00F233AB" w:rsidRPr="00B02247">
        <w:t>for</w:t>
      </w:r>
      <w:r w:rsidR="005B2A41">
        <w:t xml:space="preserve"> </w:t>
      </w:r>
      <w:r w:rsidR="00F233AB" w:rsidRPr="00B02247">
        <w:t>the</w:t>
      </w:r>
      <w:r w:rsidR="005B2A41">
        <w:t xml:space="preserve"> </w:t>
      </w:r>
      <w:r w:rsidR="00F233AB" w:rsidRPr="00B02247">
        <w:t>protection</w:t>
      </w:r>
      <w:r w:rsidR="005B2A41">
        <w:t xml:space="preserve"> </w:t>
      </w:r>
      <w:r w:rsidR="00F233AB" w:rsidRPr="00B02247">
        <w:t>of</w:t>
      </w:r>
      <w:r w:rsidR="005B2A41">
        <w:t xml:space="preserve"> </w:t>
      </w:r>
      <w:r w:rsidR="00F233AB" w:rsidRPr="00B02247">
        <w:t>youth,</w:t>
      </w:r>
      <w:r w:rsidR="005B2A41">
        <w:t xml:space="preserve"> </w:t>
      </w:r>
      <w:r w:rsidR="00F233AB" w:rsidRPr="00B02247">
        <w:t>old</w:t>
      </w:r>
      <w:r w:rsidR="005B2A41">
        <w:t xml:space="preserve"> </w:t>
      </w:r>
      <w:r w:rsidR="00F233AB" w:rsidRPr="00B02247">
        <w:t>age,</w:t>
      </w:r>
      <w:r w:rsidR="005B2A41">
        <w:t xml:space="preserve"> </w:t>
      </w:r>
      <w:r w:rsidR="00F233AB" w:rsidRPr="00B02247">
        <w:t>disability</w:t>
      </w:r>
      <w:r w:rsidR="005B2A41">
        <w:t xml:space="preserve"> </w:t>
      </w:r>
      <w:r w:rsidR="00F233AB" w:rsidRPr="00B02247">
        <w:t>and</w:t>
      </w:r>
      <w:r w:rsidR="005B2A41">
        <w:t xml:space="preserve"> </w:t>
      </w:r>
      <w:r w:rsidR="00F233AB" w:rsidRPr="00B02247">
        <w:t>for</w:t>
      </w:r>
      <w:r w:rsidR="005B2A41">
        <w:t xml:space="preserve"> </w:t>
      </w:r>
      <w:r w:rsidR="00F233AB" w:rsidRPr="00B02247">
        <w:t>the</w:t>
      </w:r>
      <w:r w:rsidR="005B2A41">
        <w:t xml:space="preserve"> </w:t>
      </w:r>
      <w:r w:rsidR="00F233AB" w:rsidRPr="00B02247">
        <w:t>relief</w:t>
      </w:r>
      <w:r w:rsidR="005B2A41">
        <w:t xml:space="preserve"> </w:t>
      </w:r>
      <w:r w:rsidR="00F233AB" w:rsidRPr="00B02247">
        <w:t>of</w:t>
      </w:r>
      <w:r w:rsidR="005B2A41">
        <w:t xml:space="preserve"> </w:t>
      </w:r>
      <w:r w:rsidR="00F233AB" w:rsidRPr="00B02247">
        <w:t>the</w:t>
      </w:r>
      <w:r w:rsidR="005B2A41">
        <w:t xml:space="preserve"> </w:t>
      </w:r>
      <w:r w:rsidR="00F233AB" w:rsidRPr="00B02247">
        <w:t>needy</w:t>
      </w:r>
      <w:r w:rsidR="005B2A41">
        <w:t xml:space="preserve"> </w:t>
      </w:r>
      <w:r w:rsidR="00F233AB" w:rsidRPr="00B02247">
        <w:t>(Article</w:t>
      </w:r>
      <w:r w:rsidR="005B2A41">
        <w:t xml:space="preserve"> </w:t>
      </w:r>
      <w:r w:rsidR="00F233AB" w:rsidRPr="00B02247">
        <w:t>21</w:t>
      </w:r>
      <w:r w:rsidR="005B2A41">
        <w:t xml:space="preserve"> </w:t>
      </w:r>
      <w:r w:rsidR="00F233AB" w:rsidRPr="00B02247">
        <w:t>(3));</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right</w:t>
      </w:r>
      <w:r w:rsidR="005B2A41">
        <w:t xml:space="preserve"> </w:t>
      </w:r>
      <w:r w:rsidR="00F233AB" w:rsidRPr="00B02247">
        <w:t>to</w:t>
      </w:r>
      <w:r w:rsidR="005B2A41">
        <w:t xml:space="preserve"> </w:t>
      </w:r>
      <w:r w:rsidR="00F233AB" w:rsidRPr="00B02247">
        <w:t>housing</w:t>
      </w:r>
      <w:r w:rsidR="005B2A41">
        <w:t xml:space="preserve"> </w:t>
      </w:r>
      <w:r w:rsidR="00F233AB" w:rsidRPr="00B02247">
        <w:t>(Article</w:t>
      </w:r>
      <w:r w:rsidR="005B2A41">
        <w:t xml:space="preserve"> </w:t>
      </w:r>
      <w:r w:rsidR="00F233AB" w:rsidRPr="00B02247">
        <w:t>21</w:t>
      </w:r>
      <w:r w:rsidR="005B2A41">
        <w:t xml:space="preserve"> </w:t>
      </w:r>
      <w:r w:rsidR="00F233AB" w:rsidRPr="00B02247">
        <w:t>(4));</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right</w:t>
      </w:r>
      <w:r w:rsidR="005B2A41">
        <w:t xml:space="preserve"> </w:t>
      </w:r>
      <w:r w:rsidR="00F233AB" w:rsidRPr="00B02247">
        <w:t>of</w:t>
      </w:r>
      <w:r w:rsidR="005B2A41">
        <w:t xml:space="preserve"> </w:t>
      </w:r>
      <w:r w:rsidR="00F233AB" w:rsidRPr="00B02247">
        <w:t>persons</w:t>
      </w:r>
      <w:r w:rsidR="005B2A41">
        <w:t xml:space="preserve"> </w:t>
      </w:r>
      <w:r w:rsidR="00F233AB" w:rsidRPr="00B02247">
        <w:t>with</w:t>
      </w:r>
      <w:r w:rsidR="005B2A41">
        <w:t xml:space="preserve"> </w:t>
      </w:r>
      <w:r w:rsidR="00F233AB" w:rsidRPr="00B02247">
        <w:t>disabilities</w:t>
      </w:r>
      <w:r w:rsidR="005B2A41">
        <w:t xml:space="preserve"> </w:t>
      </w:r>
      <w:r w:rsidR="00F233AB" w:rsidRPr="00B02247">
        <w:t>to</w:t>
      </w:r>
      <w:r w:rsidR="005B2A41">
        <w:t xml:space="preserve"> </w:t>
      </w:r>
      <w:r w:rsidR="00F233AB" w:rsidRPr="00B02247">
        <w:t>enjoy</w:t>
      </w:r>
      <w:r w:rsidR="005B2A41">
        <w:t xml:space="preserve"> </w:t>
      </w:r>
      <w:r w:rsidR="00F233AB" w:rsidRPr="00B02247">
        <w:t>measures</w:t>
      </w:r>
      <w:r w:rsidR="005B2A41">
        <w:t xml:space="preserve"> </w:t>
      </w:r>
      <w:r w:rsidR="00F233AB" w:rsidRPr="00B02247">
        <w:t>ensuring</w:t>
      </w:r>
      <w:r w:rsidR="005B2A41">
        <w:t xml:space="preserve"> </w:t>
      </w:r>
      <w:r w:rsidR="00F233AB" w:rsidRPr="00B02247">
        <w:t>self-sufficiency,</w:t>
      </w:r>
      <w:r w:rsidR="005B2A41">
        <w:t xml:space="preserve"> </w:t>
      </w:r>
      <w:r w:rsidR="00F233AB" w:rsidRPr="00B02247">
        <w:t>professional</w:t>
      </w:r>
      <w:r w:rsidR="005B2A41">
        <w:t xml:space="preserve"> </w:t>
      </w:r>
      <w:r w:rsidR="00F233AB" w:rsidRPr="00B02247">
        <w:t>integration</w:t>
      </w:r>
      <w:r w:rsidR="005B2A41">
        <w:t xml:space="preserve"> </w:t>
      </w:r>
      <w:r w:rsidR="00F233AB" w:rsidRPr="00B02247">
        <w:t>and</w:t>
      </w:r>
      <w:r w:rsidR="005B2A41">
        <w:t xml:space="preserve"> </w:t>
      </w:r>
      <w:r w:rsidR="00F233AB" w:rsidRPr="00B02247">
        <w:t>their</w:t>
      </w:r>
      <w:r w:rsidR="005B2A41">
        <w:t xml:space="preserve"> </w:t>
      </w:r>
      <w:r w:rsidR="00F233AB" w:rsidRPr="00B02247">
        <w:t>participation</w:t>
      </w:r>
      <w:r w:rsidR="005B2A41">
        <w:t xml:space="preserve"> </w:t>
      </w:r>
      <w:r w:rsidR="00F233AB" w:rsidRPr="00B02247">
        <w:t>in</w:t>
      </w:r>
      <w:r w:rsidR="005B2A41">
        <w:t xml:space="preserve"> </w:t>
      </w:r>
      <w:r w:rsidR="00F233AB" w:rsidRPr="00B02247">
        <w:t>the</w:t>
      </w:r>
      <w:r w:rsidR="005B2A41">
        <w:t xml:space="preserve"> </w:t>
      </w:r>
      <w:r w:rsidR="00F233AB" w:rsidRPr="00B02247">
        <w:t>social,</w:t>
      </w:r>
      <w:r w:rsidR="005B2A41">
        <w:t xml:space="preserve"> </w:t>
      </w:r>
      <w:r w:rsidR="00F233AB" w:rsidRPr="00B02247">
        <w:t>economic</w:t>
      </w:r>
      <w:r w:rsidR="005B2A41">
        <w:t xml:space="preserve"> </w:t>
      </w:r>
      <w:r w:rsidR="00F233AB" w:rsidRPr="00B02247">
        <w:t>and</w:t>
      </w:r>
      <w:r w:rsidR="005B2A41">
        <w:t xml:space="preserve"> </w:t>
      </w:r>
      <w:r w:rsidR="00F233AB" w:rsidRPr="00B02247">
        <w:t>political</w:t>
      </w:r>
      <w:r w:rsidR="005B2A41">
        <w:t xml:space="preserve"> </w:t>
      </w:r>
      <w:r w:rsidR="00F233AB" w:rsidRPr="00B02247">
        <w:t>life</w:t>
      </w:r>
      <w:r w:rsidR="005B2A41">
        <w:t xml:space="preserve"> </w:t>
      </w:r>
      <w:r w:rsidR="00F233AB" w:rsidRPr="00B02247">
        <w:t>of</w:t>
      </w:r>
      <w:r w:rsidR="005B2A41">
        <w:t xml:space="preserve"> </w:t>
      </w:r>
      <w:r w:rsidR="00F233AB" w:rsidRPr="00B02247">
        <w:t>the</w:t>
      </w:r>
      <w:r w:rsidR="005B2A41">
        <w:t xml:space="preserve"> </w:t>
      </w:r>
      <w:r w:rsidR="00F233AB" w:rsidRPr="00B02247">
        <w:t>country</w:t>
      </w:r>
      <w:r w:rsidR="005B2A41">
        <w:t xml:space="preserve"> </w:t>
      </w:r>
      <w:r w:rsidR="00F233AB" w:rsidRPr="00B02247">
        <w:t>(Article</w:t>
      </w:r>
      <w:r w:rsidR="005B2A41">
        <w:t xml:space="preserve"> </w:t>
      </w:r>
      <w:r w:rsidR="00F233AB" w:rsidRPr="00B02247">
        <w:t>21</w:t>
      </w:r>
      <w:r w:rsidR="005B2A41">
        <w:t xml:space="preserve"> </w:t>
      </w:r>
      <w:r w:rsidR="00F233AB" w:rsidRPr="00B02247">
        <w:t>(6));</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right</w:t>
      </w:r>
      <w:r w:rsidR="005B2A41">
        <w:t xml:space="preserve"> </w:t>
      </w:r>
      <w:r w:rsidR="00F233AB" w:rsidRPr="00B02247">
        <w:t>to</w:t>
      </w:r>
      <w:r w:rsidR="005B2A41">
        <w:t xml:space="preserve"> </w:t>
      </w:r>
      <w:r w:rsidR="00F233AB" w:rsidRPr="00B02247">
        <w:t>work</w:t>
      </w:r>
      <w:r w:rsidR="005B2A41">
        <w:t xml:space="preserve"> </w:t>
      </w:r>
      <w:r w:rsidR="00F233AB" w:rsidRPr="00B02247">
        <w:t>(Article</w:t>
      </w:r>
      <w:r w:rsidR="005B2A41">
        <w:t xml:space="preserve"> </w:t>
      </w:r>
      <w:r w:rsidR="00F233AB" w:rsidRPr="00B02247">
        <w:t>22);</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right</w:t>
      </w:r>
      <w:r w:rsidR="005B2A41">
        <w:t xml:space="preserve"> </w:t>
      </w:r>
      <w:r w:rsidR="00F233AB" w:rsidRPr="00B02247">
        <w:t>to</w:t>
      </w:r>
      <w:r w:rsidR="005B2A41">
        <w:t xml:space="preserve"> </w:t>
      </w:r>
      <w:r w:rsidR="00F233AB" w:rsidRPr="00B02247">
        <w:t>equal</w:t>
      </w:r>
      <w:r w:rsidR="005B2A41">
        <w:t xml:space="preserve"> </w:t>
      </w:r>
      <w:r w:rsidR="00F233AB" w:rsidRPr="00B02247">
        <w:t>pay</w:t>
      </w:r>
      <w:r w:rsidR="005B2A41">
        <w:t xml:space="preserve"> </w:t>
      </w:r>
      <w:r w:rsidR="00F233AB" w:rsidRPr="00B02247">
        <w:t>for</w:t>
      </w:r>
      <w:r w:rsidR="005B2A41">
        <w:t xml:space="preserve"> </w:t>
      </w:r>
      <w:r w:rsidR="00F233AB" w:rsidRPr="00B02247">
        <w:t>work</w:t>
      </w:r>
      <w:r w:rsidR="005B2A41">
        <w:t xml:space="preserve"> </w:t>
      </w:r>
      <w:r w:rsidR="00F233AB" w:rsidRPr="00B02247">
        <w:t>of</w:t>
      </w:r>
      <w:r w:rsidR="005B2A41">
        <w:t xml:space="preserve"> </w:t>
      </w:r>
      <w:r w:rsidR="00F233AB" w:rsidRPr="00B02247">
        <w:t>equal</w:t>
      </w:r>
      <w:r w:rsidR="005B2A41">
        <w:t xml:space="preserve"> </w:t>
      </w:r>
      <w:r w:rsidR="00F233AB" w:rsidRPr="00B02247">
        <w:t>value</w:t>
      </w:r>
      <w:r w:rsidR="005B2A41">
        <w:t xml:space="preserve"> </w:t>
      </w:r>
      <w:r w:rsidR="00F233AB" w:rsidRPr="00B02247">
        <w:t>(Article</w:t>
      </w:r>
      <w:r w:rsidR="005B2A41">
        <w:t xml:space="preserve"> </w:t>
      </w:r>
      <w:r w:rsidR="00F233AB" w:rsidRPr="00B02247">
        <w:t>22</w:t>
      </w:r>
      <w:r w:rsidR="005B2A41">
        <w:t xml:space="preserve"> </w:t>
      </w:r>
      <w:r w:rsidR="00F233AB" w:rsidRPr="00B02247">
        <w:t>(1));</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right</w:t>
      </w:r>
      <w:r w:rsidR="005B2A41">
        <w:t xml:space="preserve"> </w:t>
      </w:r>
      <w:r w:rsidR="00F233AB" w:rsidRPr="00B02247">
        <w:t>to</w:t>
      </w:r>
      <w:r w:rsidR="005B2A41">
        <w:t xml:space="preserve"> </w:t>
      </w:r>
      <w:r w:rsidR="00F233AB" w:rsidRPr="00B02247">
        <w:t>freely</w:t>
      </w:r>
      <w:r w:rsidR="005B2A41">
        <w:t xml:space="preserve"> </w:t>
      </w:r>
      <w:r w:rsidR="00F233AB" w:rsidRPr="00B02247">
        <w:t>negotiate</w:t>
      </w:r>
      <w:r w:rsidR="005B2A41">
        <w:t xml:space="preserve"> </w:t>
      </w:r>
      <w:r w:rsidR="00F233AB" w:rsidRPr="00B02247">
        <w:t>to</w:t>
      </w:r>
      <w:r w:rsidR="005B2A41">
        <w:t xml:space="preserve"> </w:t>
      </w:r>
      <w:r w:rsidR="00F233AB" w:rsidRPr="00B02247">
        <w:t>reach</w:t>
      </w:r>
      <w:r w:rsidR="005B2A41">
        <w:t xml:space="preserve"> </w:t>
      </w:r>
      <w:r w:rsidR="00F233AB" w:rsidRPr="00B02247">
        <w:t>a</w:t>
      </w:r>
      <w:r w:rsidR="005B2A41">
        <w:t xml:space="preserve"> </w:t>
      </w:r>
      <w:r w:rsidR="00F233AB" w:rsidRPr="00B02247">
        <w:t>collective</w:t>
      </w:r>
      <w:r w:rsidR="005B2A41">
        <w:t xml:space="preserve"> </w:t>
      </w:r>
      <w:r w:rsidR="00F233AB" w:rsidRPr="00B02247">
        <w:t>labour</w:t>
      </w:r>
      <w:r w:rsidR="005B2A41">
        <w:t xml:space="preserve"> </w:t>
      </w:r>
      <w:r w:rsidR="00F233AB" w:rsidRPr="00B02247">
        <w:t>agreement</w:t>
      </w:r>
      <w:r w:rsidR="005B2A41">
        <w:t xml:space="preserve"> </w:t>
      </w:r>
      <w:r w:rsidR="00F233AB" w:rsidRPr="00B02247">
        <w:t>(Article</w:t>
      </w:r>
      <w:r w:rsidR="005B2A41">
        <w:t xml:space="preserve"> </w:t>
      </w:r>
      <w:r w:rsidR="00F233AB" w:rsidRPr="00B02247">
        <w:t>22</w:t>
      </w:r>
      <w:r w:rsidR="005B2A41">
        <w:t xml:space="preserve"> </w:t>
      </w:r>
      <w:r w:rsidR="00F233AB" w:rsidRPr="00B02247">
        <w:t>(2));</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right</w:t>
      </w:r>
      <w:r w:rsidR="005B2A41">
        <w:t xml:space="preserve"> </w:t>
      </w:r>
      <w:r w:rsidR="00F233AB" w:rsidRPr="00B02247">
        <w:t>of</w:t>
      </w:r>
      <w:r w:rsidR="005B2A41">
        <w:t xml:space="preserve"> </w:t>
      </w:r>
      <w:r w:rsidR="00F233AB" w:rsidRPr="00B02247">
        <w:t>civil</w:t>
      </w:r>
      <w:r w:rsidR="005B2A41">
        <w:t xml:space="preserve"> </w:t>
      </w:r>
      <w:r w:rsidR="00F233AB" w:rsidRPr="00B02247">
        <w:t>servants</w:t>
      </w:r>
      <w:r w:rsidR="005B2A41">
        <w:t xml:space="preserve"> </w:t>
      </w:r>
      <w:r w:rsidR="00F233AB" w:rsidRPr="00B02247">
        <w:t>and</w:t>
      </w:r>
      <w:r w:rsidR="005B2A41">
        <w:t xml:space="preserve"> </w:t>
      </w:r>
      <w:r w:rsidR="00F233AB" w:rsidRPr="00B02247">
        <w:t>employees</w:t>
      </w:r>
      <w:r w:rsidR="005B2A41">
        <w:t xml:space="preserve"> </w:t>
      </w:r>
      <w:r w:rsidR="00F233AB" w:rsidRPr="00B02247">
        <w:t>of</w:t>
      </w:r>
      <w:r w:rsidR="005B2A41">
        <w:t xml:space="preserve"> </w:t>
      </w:r>
      <w:r w:rsidR="00F233AB" w:rsidRPr="00B02247">
        <w:t>local</w:t>
      </w:r>
      <w:r w:rsidR="005B2A41">
        <w:t xml:space="preserve"> </w:t>
      </w:r>
      <w:r w:rsidR="00F233AB" w:rsidRPr="00B02247">
        <w:t>government</w:t>
      </w:r>
      <w:r w:rsidR="005B2A41">
        <w:t xml:space="preserve"> </w:t>
      </w:r>
      <w:r w:rsidR="00F233AB" w:rsidRPr="00B02247">
        <w:t>agencies</w:t>
      </w:r>
      <w:r w:rsidR="005B2A41">
        <w:t xml:space="preserve"> </w:t>
      </w:r>
      <w:r w:rsidR="00F233AB" w:rsidRPr="00B02247">
        <w:t>or</w:t>
      </w:r>
      <w:r w:rsidR="005B2A41">
        <w:t xml:space="preserve"> </w:t>
      </w:r>
      <w:r w:rsidR="00F233AB" w:rsidRPr="00B02247">
        <w:t>other</w:t>
      </w:r>
      <w:r w:rsidR="005B2A41">
        <w:t xml:space="preserve"> </w:t>
      </w:r>
      <w:r w:rsidR="00F233AB" w:rsidRPr="00B02247">
        <w:t>public</w:t>
      </w:r>
      <w:r w:rsidR="005B2A41">
        <w:t xml:space="preserve"> </w:t>
      </w:r>
      <w:r w:rsidR="00F233AB" w:rsidRPr="00B02247">
        <w:t>law</w:t>
      </w:r>
      <w:r w:rsidR="005B2A41">
        <w:t xml:space="preserve"> </w:t>
      </w:r>
      <w:r w:rsidR="00F233AB" w:rsidRPr="00B02247">
        <w:t>legal</w:t>
      </w:r>
      <w:r w:rsidR="005B2A41">
        <w:t xml:space="preserve"> </w:t>
      </w:r>
      <w:r w:rsidR="00F233AB" w:rsidRPr="00B02247">
        <w:t>entities</w:t>
      </w:r>
      <w:r w:rsidR="005B2A41">
        <w:t xml:space="preserve"> </w:t>
      </w:r>
      <w:r w:rsidR="00F233AB" w:rsidRPr="00B02247">
        <w:t>to</w:t>
      </w:r>
      <w:r w:rsidR="005B2A41">
        <w:t xml:space="preserve"> </w:t>
      </w:r>
      <w:r w:rsidR="00F233AB" w:rsidRPr="00B02247">
        <w:t>conclude</w:t>
      </w:r>
      <w:r w:rsidR="005B2A41">
        <w:t xml:space="preserve"> </w:t>
      </w:r>
      <w:r w:rsidR="00F233AB" w:rsidRPr="00B02247">
        <w:t>collective</w:t>
      </w:r>
      <w:r w:rsidR="005B2A41">
        <w:t xml:space="preserve"> </w:t>
      </w:r>
      <w:r w:rsidR="00F233AB" w:rsidRPr="00B02247">
        <w:t>labour</w:t>
      </w:r>
      <w:r w:rsidR="005B2A41">
        <w:t xml:space="preserve"> </w:t>
      </w:r>
      <w:r w:rsidR="00F233AB" w:rsidRPr="00B02247">
        <w:t>agreements</w:t>
      </w:r>
      <w:r w:rsidR="005B2A41">
        <w:t xml:space="preserve"> </w:t>
      </w:r>
      <w:r w:rsidR="00F233AB" w:rsidRPr="00B02247">
        <w:t>(Article</w:t>
      </w:r>
      <w:r w:rsidR="005B2A41">
        <w:t xml:space="preserve"> </w:t>
      </w:r>
      <w:r w:rsidR="00F233AB" w:rsidRPr="00B02247">
        <w:t>22</w:t>
      </w:r>
      <w:r w:rsidR="005B2A41">
        <w:t xml:space="preserve"> </w:t>
      </w:r>
      <w:r w:rsidR="00F233AB" w:rsidRPr="00B02247">
        <w:t>(3));</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prohibition</w:t>
      </w:r>
      <w:r w:rsidR="005B2A41">
        <w:t xml:space="preserve"> </w:t>
      </w:r>
      <w:r w:rsidR="00F233AB" w:rsidRPr="00B02247">
        <w:t>of</w:t>
      </w:r>
      <w:r w:rsidR="005B2A41">
        <w:t xml:space="preserve"> </w:t>
      </w:r>
      <w:r w:rsidR="00F233AB" w:rsidRPr="00B02247">
        <w:t>any</w:t>
      </w:r>
      <w:r w:rsidR="005B2A41">
        <w:t xml:space="preserve"> </w:t>
      </w:r>
      <w:r w:rsidR="00F233AB" w:rsidRPr="00B02247">
        <w:t>form</w:t>
      </w:r>
      <w:r w:rsidR="005B2A41">
        <w:t xml:space="preserve"> </w:t>
      </w:r>
      <w:r w:rsidR="00F233AB" w:rsidRPr="00B02247">
        <w:t>of</w:t>
      </w:r>
      <w:r w:rsidR="005B2A41">
        <w:t xml:space="preserve"> </w:t>
      </w:r>
      <w:r w:rsidR="00F233AB" w:rsidRPr="00B02247">
        <w:t>compulsory</w:t>
      </w:r>
      <w:r w:rsidR="005B2A41">
        <w:t xml:space="preserve"> </w:t>
      </w:r>
      <w:r w:rsidR="00F233AB" w:rsidRPr="00B02247">
        <w:t>work</w:t>
      </w:r>
      <w:r w:rsidR="005B2A41">
        <w:t xml:space="preserve"> </w:t>
      </w:r>
      <w:r w:rsidR="00F233AB" w:rsidRPr="00B02247">
        <w:t>(Article</w:t>
      </w:r>
      <w:r w:rsidR="005B2A41">
        <w:t xml:space="preserve"> </w:t>
      </w:r>
      <w:r w:rsidR="00F233AB" w:rsidRPr="00B02247">
        <w:t>22</w:t>
      </w:r>
      <w:r w:rsidR="005B2A41">
        <w:t xml:space="preserve"> </w:t>
      </w:r>
      <w:r w:rsidR="00F233AB" w:rsidRPr="00B02247">
        <w:t>(4));</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right</w:t>
      </w:r>
      <w:r w:rsidR="005B2A41">
        <w:t xml:space="preserve"> </w:t>
      </w:r>
      <w:r w:rsidR="00F233AB" w:rsidRPr="00B02247">
        <w:t>to</w:t>
      </w:r>
      <w:r w:rsidR="005B2A41">
        <w:t xml:space="preserve"> </w:t>
      </w:r>
      <w:r w:rsidR="00F233AB" w:rsidRPr="00B02247">
        <w:t>social</w:t>
      </w:r>
      <w:r w:rsidR="005B2A41">
        <w:t xml:space="preserve"> </w:t>
      </w:r>
      <w:r w:rsidR="00F233AB" w:rsidRPr="00B02247">
        <w:t>security</w:t>
      </w:r>
      <w:r w:rsidR="005B2A41">
        <w:t xml:space="preserve"> </w:t>
      </w:r>
      <w:r w:rsidR="00F233AB" w:rsidRPr="00B02247">
        <w:t>(Article</w:t>
      </w:r>
      <w:r w:rsidR="005B2A41">
        <w:t xml:space="preserve"> </w:t>
      </w:r>
      <w:r w:rsidR="00F233AB" w:rsidRPr="00B02247">
        <w:t>22</w:t>
      </w:r>
      <w:r w:rsidR="005B2A41">
        <w:t xml:space="preserve"> </w:t>
      </w:r>
      <w:r w:rsidR="00F233AB" w:rsidRPr="00B02247">
        <w:t>(5));</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freedom</w:t>
      </w:r>
      <w:r w:rsidR="005B2A41">
        <w:t xml:space="preserve"> </w:t>
      </w:r>
      <w:r w:rsidR="00F233AB" w:rsidRPr="00B02247">
        <w:t>to</w:t>
      </w:r>
      <w:r w:rsidR="005B2A41">
        <w:t xml:space="preserve"> </w:t>
      </w:r>
      <w:r w:rsidR="00F233AB" w:rsidRPr="00B02247">
        <w:t>establish</w:t>
      </w:r>
      <w:r w:rsidR="005B2A41">
        <w:t xml:space="preserve"> </w:t>
      </w:r>
      <w:r w:rsidR="00F233AB" w:rsidRPr="00B02247">
        <w:t>trade</w:t>
      </w:r>
      <w:r w:rsidR="005B2A41">
        <w:t xml:space="preserve"> </w:t>
      </w:r>
      <w:r w:rsidR="00F233AB" w:rsidRPr="00B02247">
        <w:t>unions</w:t>
      </w:r>
      <w:r w:rsidR="005B2A41">
        <w:t xml:space="preserve"> </w:t>
      </w:r>
      <w:r w:rsidR="00F233AB" w:rsidRPr="00B02247">
        <w:t>and</w:t>
      </w:r>
      <w:r w:rsidR="005B2A41">
        <w:t xml:space="preserve"> </w:t>
      </w:r>
      <w:r w:rsidR="00F233AB" w:rsidRPr="00B02247">
        <w:t>the</w:t>
      </w:r>
      <w:r w:rsidR="005B2A41">
        <w:t xml:space="preserve"> </w:t>
      </w:r>
      <w:r w:rsidR="00F233AB" w:rsidRPr="00B02247">
        <w:t>right</w:t>
      </w:r>
      <w:r w:rsidR="005B2A41">
        <w:t xml:space="preserve"> </w:t>
      </w:r>
      <w:r w:rsidR="00F233AB" w:rsidRPr="00B02247">
        <w:t>to</w:t>
      </w:r>
      <w:r w:rsidR="005B2A41">
        <w:t xml:space="preserve"> </w:t>
      </w:r>
      <w:r w:rsidR="00F233AB" w:rsidRPr="00B02247">
        <w:t>strike</w:t>
      </w:r>
      <w:r w:rsidR="005B2A41">
        <w:t xml:space="preserve"> </w:t>
      </w:r>
      <w:r w:rsidR="00F233AB" w:rsidRPr="00B02247">
        <w:t>(Article</w:t>
      </w:r>
      <w:r w:rsidR="005B2A41">
        <w:t xml:space="preserve"> </w:t>
      </w:r>
      <w:r w:rsidR="00F233AB" w:rsidRPr="00B02247">
        <w:t>23);</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right</w:t>
      </w:r>
      <w:r w:rsidR="005B2A41">
        <w:t xml:space="preserve"> </w:t>
      </w:r>
      <w:r w:rsidR="00F233AB" w:rsidRPr="00B02247">
        <w:t>to</w:t>
      </w:r>
      <w:r w:rsidR="005B2A41">
        <w:t xml:space="preserve"> </w:t>
      </w:r>
      <w:r w:rsidR="00F233AB" w:rsidRPr="00B02247">
        <w:t>protection</w:t>
      </w:r>
      <w:r w:rsidR="005B2A41">
        <w:t xml:space="preserve"> </w:t>
      </w:r>
      <w:r w:rsidR="00F233AB" w:rsidRPr="00B02247">
        <w:t>of</w:t>
      </w:r>
      <w:r w:rsidR="005B2A41">
        <w:t xml:space="preserve"> </w:t>
      </w:r>
      <w:r w:rsidR="00F233AB" w:rsidRPr="00B02247">
        <w:t>the</w:t>
      </w:r>
      <w:r w:rsidR="005B2A41">
        <w:t xml:space="preserve"> </w:t>
      </w:r>
      <w:r w:rsidR="00F233AB" w:rsidRPr="00B02247">
        <w:t>environment</w:t>
      </w:r>
      <w:r w:rsidR="005B2A41">
        <w:t xml:space="preserve"> </w:t>
      </w:r>
      <w:r w:rsidR="00F233AB" w:rsidRPr="00B02247">
        <w:t>(Article</w:t>
      </w:r>
      <w:r w:rsidR="005B2A41">
        <w:t xml:space="preserve"> </w:t>
      </w:r>
      <w:r w:rsidR="00F233AB" w:rsidRPr="00B02247">
        <w:t>24).</w:t>
      </w:r>
    </w:p>
    <w:p w:rsidR="00F233AB" w:rsidRPr="00B02247" w:rsidRDefault="00F233AB" w:rsidP="00E1307D">
      <w:pPr>
        <w:pStyle w:val="SingleTxtG"/>
      </w:pPr>
      <w:r w:rsidRPr="00B02247">
        <w:t>36.</w:t>
      </w:r>
      <w:r w:rsidRPr="00B02247">
        <w:tab/>
        <w:t>Moreover,</w:t>
      </w:r>
      <w:r w:rsidR="005B2A41">
        <w:t xml:space="preserve"> </w:t>
      </w:r>
      <w:r w:rsidRPr="00B02247">
        <w:t>Article</w:t>
      </w:r>
      <w:r w:rsidR="005B2A41">
        <w:t xml:space="preserve"> </w:t>
      </w:r>
      <w:r w:rsidRPr="00B02247">
        <w:t>25</w:t>
      </w:r>
      <w:r w:rsidR="005B2A41">
        <w:t xml:space="preserve"> </w:t>
      </w:r>
      <w:r w:rsidRPr="00B02247">
        <w:t>of</w:t>
      </w:r>
      <w:r w:rsidR="005B2A41">
        <w:t xml:space="preserve"> </w:t>
      </w:r>
      <w:r w:rsidRPr="00B02247">
        <w:t>the</w:t>
      </w:r>
      <w:r w:rsidR="005B2A41">
        <w:t xml:space="preserve"> </w:t>
      </w:r>
      <w:r w:rsidRPr="00B02247">
        <w:t>Constitution</w:t>
      </w:r>
      <w:r w:rsidR="005B2A41">
        <w:t xml:space="preserve"> </w:t>
      </w:r>
      <w:r w:rsidRPr="00B02247">
        <w:t>explicitly</w:t>
      </w:r>
      <w:r w:rsidR="005B2A41">
        <w:t xml:space="preserve"> </w:t>
      </w:r>
      <w:r w:rsidRPr="00B02247">
        <w:t>introduces</w:t>
      </w:r>
      <w:r w:rsidR="005B2A41">
        <w:t xml:space="preserve"> </w:t>
      </w:r>
      <w:r w:rsidRPr="00B02247">
        <w:t>the</w:t>
      </w:r>
      <w:r w:rsidR="005B2A41">
        <w:t xml:space="preserve"> </w:t>
      </w:r>
      <w:r w:rsidRPr="00B02247">
        <w:t>principle</w:t>
      </w:r>
      <w:r w:rsidR="005B2A41">
        <w:t xml:space="preserve"> </w:t>
      </w:r>
      <w:r w:rsidRPr="00B02247">
        <w:t>of</w:t>
      </w:r>
      <w:r w:rsidR="005B2A41">
        <w:t xml:space="preserve"> </w:t>
      </w:r>
      <w:r w:rsidRPr="00B02247">
        <w:t>the</w:t>
      </w:r>
      <w:r w:rsidR="005B2A41">
        <w:t xml:space="preserve"> </w:t>
      </w:r>
      <w:r w:rsidRPr="00B02247">
        <w:t>social</w:t>
      </w:r>
      <w:r w:rsidR="005B2A41">
        <w:t xml:space="preserve"> </w:t>
      </w:r>
      <w:r w:rsidRPr="00B02247">
        <w:t>welfare</w:t>
      </w:r>
      <w:r w:rsidR="005B2A41">
        <w:t xml:space="preserve"> </w:t>
      </w:r>
      <w:r w:rsidRPr="00B02247">
        <w:t>State,</w:t>
      </w:r>
      <w:r w:rsidR="005B2A41">
        <w:t xml:space="preserve"> </w:t>
      </w:r>
      <w:r w:rsidRPr="00B02247">
        <w:t>the</w:t>
      </w:r>
      <w:r w:rsidR="005B2A41">
        <w:t xml:space="preserve"> </w:t>
      </w:r>
      <w:r w:rsidRPr="00B02247">
        <w:t>principle</w:t>
      </w:r>
      <w:r w:rsidR="005B2A41">
        <w:t xml:space="preserve"> </w:t>
      </w:r>
      <w:r w:rsidRPr="00B02247">
        <w:t>of</w:t>
      </w:r>
      <w:r w:rsidR="005B2A41">
        <w:t xml:space="preserve"> </w:t>
      </w:r>
      <w:r w:rsidRPr="00B02247">
        <w:t>individual</w:t>
      </w:r>
      <w:r w:rsidR="005B2A41">
        <w:t xml:space="preserve"> </w:t>
      </w:r>
      <w:r w:rsidRPr="00B02247">
        <w:t>rights</w:t>
      </w:r>
      <w:r w:rsidR="005B2A41">
        <w:t xml:space="preserve"> </w:t>
      </w:r>
      <w:r w:rsidRPr="00B02247">
        <w:t>governing</w:t>
      </w:r>
      <w:r w:rsidR="005B2A41">
        <w:t xml:space="preserve"> </w:t>
      </w:r>
      <w:r w:rsidRPr="00B02247">
        <w:t>not</w:t>
      </w:r>
      <w:r w:rsidR="005B2A41">
        <w:t xml:space="preserve"> </w:t>
      </w:r>
      <w:r w:rsidRPr="00B02247">
        <w:t>only</w:t>
      </w:r>
      <w:r w:rsidR="005B2A41">
        <w:t xml:space="preserve"> </w:t>
      </w:r>
      <w:r w:rsidRPr="00B02247">
        <w:t>the</w:t>
      </w:r>
      <w:r w:rsidR="005B2A41">
        <w:t xml:space="preserve"> </w:t>
      </w:r>
      <w:r w:rsidRPr="00B02247">
        <w:t>relationship</w:t>
      </w:r>
      <w:r w:rsidR="005B2A41">
        <w:t xml:space="preserve"> </w:t>
      </w:r>
      <w:r w:rsidRPr="00B02247">
        <w:t>between</w:t>
      </w:r>
      <w:r w:rsidR="005B2A41">
        <w:t xml:space="preserve"> </w:t>
      </w:r>
      <w:r w:rsidRPr="00B02247">
        <w:t>the</w:t>
      </w:r>
      <w:r w:rsidR="005B2A41">
        <w:t xml:space="preserve"> </w:t>
      </w:r>
      <w:r w:rsidRPr="00B02247">
        <w:t>State</w:t>
      </w:r>
      <w:r w:rsidR="005B2A41">
        <w:t xml:space="preserve"> </w:t>
      </w:r>
      <w:r w:rsidRPr="00B02247">
        <w:t>and</w:t>
      </w:r>
      <w:r w:rsidR="005B2A41">
        <w:t xml:space="preserve"> </w:t>
      </w:r>
      <w:r w:rsidRPr="00B02247">
        <w:t>individuals</w:t>
      </w:r>
      <w:r w:rsidR="005B2A41">
        <w:t xml:space="preserve"> </w:t>
      </w:r>
      <w:r w:rsidRPr="00B02247">
        <w:t>but</w:t>
      </w:r>
      <w:r w:rsidR="005B2A41">
        <w:t xml:space="preserve"> </w:t>
      </w:r>
      <w:r w:rsidRPr="00B02247">
        <w:t>also</w:t>
      </w:r>
      <w:r w:rsidR="005B2A41">
        <w:t xml:space="preserve"> </w:t>
      </w:r>
      <w:r w:rsidRPr="00B02247">
        <w:t>that</w:t>
      </w:r>
      <w:r w:rsidR="005B2A41">
        <w:t xml:space="preserve"> </w:t>
      </w:r>
      <w:r w:rsidRPr="00B02247">
        <w:t>among</w:t>
      </w:r>
      <w:r w:rsidR="005B2A41">
        <w:t xml:space="preserve"> </w:t>
      </w:r>
      <w:r w:rsidRPr="00B02247">
        <w:t>the</w:t>
      </w:r>
      <w:r w:rsidR="005B2A41">
        <w:t xml:space="preserve"> </w:t>
      </w:r>
      <w:r w:rsidRPr="00B02247">
        <w:t>individuals</w:t>
      </w:r>
      <w:r w:rsidR="005B2A41">
        <w:t xml:space="preserve"> </w:t>
      </w:r>
      <w:r w:rsidRPr="00B02247">
        <w:t>themselves</w:t>
      </w:r>
      <w:r w:rsidR="005B2A41">
        <w:t xml:space="preserve"> </w:t>
      </w:r>
      <w:r w:rsidRPr="00B02247">
        <w:t>as</w:t>
      </w:r>
      <w:r w:rsidR="005B2A41">
        <w:t xml:space="preserve"> </w:t>
      </w:r>
      <w:r w:rsidRPr="00B02247">
        <w:t>well</w:t>
      </w:r>
      <w:r w:rsidR="005B2A41">
        <w:t xml:space="preserve"> </w:t>
      </w:r>
      <w:r w:rsidRPr="00B02247">
        <w:t>as</w:t>
      </w:r>
      <w:r w:rsidR="005B2A41">
        <w:t xml:space="preserve"> </w:t>
      </w:r>
      <w:r w:rsidRPr="00B02247">
        <w:t>the</w:t>
      </w:r>
      <w:r w:rsidR="005B2A41">
        <w:t xml:space="preserve"> </w:t>
      </w:r>
      <w:r w:rsidRPr="00B02247">
        <w:t>principle</w:t>
      </w:r>
      <w:r w:rsidR="005B2A41">
        <w:t xml:space="preserve"> </w:t>
      </w:r>
      <w:r w:rsidRPr="00B02247">
        <w:t>of</w:t>
      </w:r>
      <w:r w:rsidR="005B2A41">
        <w:t xml:space="preserve"> </w:t>
      </w:r>
      <w:r w:rsidRPr="00B02247">
        <w:t>proportionality</w:t>
      </w:r>
      <w:r w:rsidR="005B2A41">
        <w:t xml:space="preserve"> </w:t>
      </w:r>
      <w:r w:rsidRPr="00B02247">
        <w:t>with</w:t>
      </w:r>
      <w:r w:rsidR="005B2A41">
        <w:t xml:space="preserve"> </w:t>
      </w:r>
      <w:r w:rsidRPr="00B02247">
        <w:t>respect</w:t>
      </w:r>
      <w:r w:rsidR="005B2A41">
        <w:t xml:space="preserve"> </w:t>
      </w:r>
      <w:r w:rsidRPr="00B02247">
        <w:t>to</w:t>
      </w:r>
      <w:r w:rsidR="005B2A41">
        <w:t xml:space="preserve"> </w:t>
      </w:r>
      <w:r w:rsidRPr="00B02247">
        <w:t>the</w:t>
      </w:r>
      <w:r w:rsidR="005B2A41">
        <w:t xml:space="preserve"> </w:t>
      </w:r>
      <w:r w:rsidRPr="00B02247">
        <w:t>restrictions</w:t>
      </w:r>
      <w:r w:rsidR="005B2A41">
        <w:t xml:space="preserve"> </w:t>
      </w:r>
      <w:r w:rsidRPr="00B02247">
        <w:t>in</w:t>
      </w:r>
      <w:r w:rsidR="005B2A41">
        <w:t xml:space="preserve"> </w:t>
      </w:r>
      <w:r w:rsidRPr="00B02247">
        <w:t>the</w:t>
      </w:r>
      <w:r w:rsidR="005B2A41">
        <w:t xml:space="preserve"> </w:t>
      </w:r>
      <w:r w:rsidRPr="00B02247">
        <w:t>exercise</w:t>
      </w:r>
      <w:r w:rsidR="005B2A41">
        <w:t xml:space="preserve"> </w:t>
      </w:r>
      <w:r w:rsidRPr="00B02247">
        <w:t>of</w:t>
      </w:r>
      <w:r w:rsidR="005B2A41">
        <w:t xml:space="preserve"> </w:t>
      </w:r>
      <w:r w:rsidRPr="00B02247">
        <w:t>fundamental</w:t>
      </w:r>
      <w:r w:rsidR="005B2A41">
        <w:t xml:space="preserve"> </w:t>
      </w:r>
      <w:r w:rsidRPr="00B02247">
        <w:t>rights.</w:t>
      </w:r>
    </w:p>
    <w:p w:rsidR="00F233AB" w:rsidRPr="00B02247" w:rsidRDefault="006E329B" w:rsidP="006E329B">
      <w:pPr>
        <w:pStyle w:val="H4G"/>
      </w:pPr>
      <w:r>
        <w:tab/>
      </w:r>
      <w:r>
        <w:tab/>
      </w:r>
      <w:r w:rsidR="00F233AB" w:rsidRPr="00B02247">
        <w:t>Restrictions</w:t>
      </w:r>
      <w:r w:rsidR="005B2A41">
        <w:t xml:space="preserve"> </w:t>
      </w:r>
      <w:r w:rsidR="00F233AB" w:rsidRPr="00B02247">
        <w:t>on</w:t>
      </w:r>
      <w:r w:rsidR="005B2A41">
        <w:t xml:space="preserve"> </w:t>
      </w:r>
      <w:r w:rsidR="00F233AB" w:rsidRPr="00B02247">
        <w:t>the</w:t>
      </w:r>
      <w:r w:rsidR="005B2A41">
        <w:t xml:space="preserve"> </w:t>
      </w:r>
      <w:r w:rsidR="00F233AB" w:rsidRPr="00B02247">
        <w:t>exercise</w:t>
      </w:r>
      <w:r w:rsidR="005B2A41">
        <w:t xml:space="preserve"> </w:t>
      </w:r>
      <w:r w:rsidR="00F233AB" w:rsidRPr="00B02247">
        <w:t>of</w:t>
      </w:r>
      <w:r w:rsidR="005B2A41">
        <w:t xml:space="preserve"> </w:t>
      </w:r>
      <w:r w:rsidR="00F233AB" w:rsidRPr="00B02247">
        <w:t>human</w:t>
      </w:r>
      <w:r w:rsidR="005B2A41">
        <w:t xml:space="preserve"> </w:t>
      </w:r>
      <w:r w:rsidR="00F233AB" w:rsidRPr="00B02247">
        <w:t>rights</w:t>
      </w:r>
    </w:p>
    <w:p w:rsidR="00F233AB" w:rsidRPr="00B02247" w:rsidRDefault="00F233AB" w:rsidP="00E1307D">
      <w:pPr>
        <w:pStyle w:val="SingleTxtG"/>
      </w:pPr>
      <w:r w:rsidRPr="00B02247">
        <w:t>37.</w:t>
      </w:r>
      <w:r w:rsidRPr="00B02247">
        <w:tab/>
        <w:t>Restrictions</w:t>
      </w:r>
      <w:r w:rsidR="005B2A41">
        <w:t xml:space="preserve"> </w:t>
      </w:r>
      <w:r w:rsidRPr="00B02247">
        <w:t>on</w:t>
      </w:r>
      <w:r w:rsidR="005B2A41">
        <w:t xml:space="preserve"> </w:t>
      </w:r>
      <w:r w:rsidRPr="00B02247">
        <w:t>the</w:t>
      </w:r>
      <w:r w:rsidR="005B2A41">
        <w:t xml:space="preserve"> </w:t>
      </w:r>
      <w:r w:rsidRPr="00B02247">
        <w:t>exercise</w:t>
      </w:r>
      <w:r w:rsidR="005B2A41">
        <w:t xml:space="preserve"> </w:t>
      </w:r>
      <w:r w:rsidRPr="00B02247">
        <w:t>of</w:t>
      </w:r>
      <w:r w:rsidR="005B2A41">
        <w:t xml:space="preserve"> </w:t>
      </w:r>
      <w:r w:rsidRPr="00B02247">
        <w:t>human</w:t>
      </w:r>
      <w:r w:rsidR="005B2A41">
        <w:t xml:space="preserve"> </w:t>
      </w:r>
      <w:r w:rsidRPr="00B02247">
        <w:t>rights</w:t>
      </w:r>
      <w:r w:rsidR="005B2A41">
        <w:t xml:space="preserve"> </w:t>
      </w:r>
      <w:r w:rsidRPr="00B02247">
        <w:t>are</w:t>
      </w:r>
      <w:r w:rsidR="005B2A41">
        <w:t xml:space="preserve"> </w:t>
      </w:r>
      <w:r w:rsidRPr="00B02247">
        <w:t>permitted</w:t>
      </w:r>
      <w:r w:rsidR="005B2A41">
        <w:t xml:space="preserve"> </w:t>
      </w:r>
      <w:r w:rsidRPr="00B02247">
        <w:t>only</w:t>
      </w:r>
      <w:r w:rsidR="005B2A41">
        <w:t xml:space="preserve"> </w:t>
      </w:r>
      <w:r w:rsidRPr="00B02247">
        <w:t>if</w:t>
      </w:r>
      <w:r w:rsidR="005B2A41">
        <w:t xml:space="preserve"> </w:t>
      </w:r>
      <w:r w:rsidRPr="00B02247">
        <w:t>(a)</w:t>
      </w:r>
      <w:r w:rsidR="005B2A41">
        <w:t xml:space="preserve"> </w:t>
      </w:r>
      <w:r w:rsidRPr="00B02247">
        <w:t>are</w:t>
      </w:r>
      <w:r w:rsidR="005B2A41">
        <w:t xml:space="preserve"> </w:t>
      </w:r>
      <w:r w:rsidRPr="00B02247">
        <w:t>specified</w:t>
      </w:r>
      <w:r w:rsidR="005B2A41">
        <w:t xml:space="preserve"> </w:t>
      </w:r>
      <w:r w:rsidRPr="00B02247">
        <w:t>by</w:t>
      </w:r>
      <w:r w:rsidR="005B2A41">
        <w:t xml:space="preserve"> </w:t>
      </w:r>
      <w:r w:rsidRPr="00B02247">
        <w:t>law,</w:t>
      </w:r>
      <w:r w:rsidR="005B2A41">
        <w:t xml:space="preserve"> </w:t>
      </w:r>
      <w:r w:rsidRPr="00B02247">
        <w:t>(b)</w:t>
      </w:r>
      <w:r w:rsidR="005B2A41">
        <w:t xml:space="preserve"> </w:t>
      </w:r>
      <w:r w:rsidRPr="00B02247">
        <w:t>serve</w:t>
      </w:r>
      <w:r w:rsidR="005B2A41">
        <w:t xml:space="preserve"> </w:t>
      </w:r>
      <w:r w:rsidRPr="00B02247">
        <w:t>the</w:t>
      </w:r>
      <w:r w:rsidR="005B2A41">
        <w:t xml:space="preserve"> </w:t>
      </w:r>
      <w:r w:rsidRPr="00B02247">
        <w:t>public</w:t>
      </w:r>
      <w:r w:rsidR="005B2A41">
        <w:t xml:space="preserve"> </w:t>
      </w:r>
      <w:r w:rsidRPr="00B02247">
        <w:t>interest</w:t>
      </w:r>
      <w:r w:rsidR="005B2A41">
        <w:t xml:space="preserve"> </w:t>
      </w:r>
      <w:r w:rsidRPr="00B02247">
        <w:t>and</w:t>
      </w:r>
      <w:r w:rsidR="005B2A41">
        <w:t xml:space="preserve"> </w:t>
      </w:r>
      <w:r w:rsidRPr="00B02247">
        <w:t>(c)</w:t>
      </w:r>
      <w:r w:rsidR="005B2A41">
        <w:t xml:space="preserve"> </w:t>
      </w:r>
      <w:r w:rsidRPr="00B02247">
        <w:t>respect</w:t>
      </w:r>
      <w:r w:rsidR="005B2A41">
        <w:t xml:space="preserve"> </w:t>
      </w:r>
      <w:r w:rsidRPr="00B02247">
        <w:t>the</w:t>
      </w:r>
      <w:r w:rsidR="005B2A41">
        <w:t xml:space="preserve"> </w:t>
      </w:r>
      <w:r w:rsidRPr="00B02247">
        <w:t>principle</w:t>
      </w:r>
      <w:r w:rsidR="005B2A41">
        <w:t xml:space="preserve"> </w:t>
      </w:r>
      <w:r w:rsidRPr="00B02247">
        <w:t>of</w:t>
      </w:r>
      <w:r w:rsidR="005B2A41">
        <w:t xml:space="preserve"> </w:t>
      </w:r>
      <w:r w:rsidRPr="00B02247">
        <w:t>proportionality.</w:t>
      </w:r>
    </w:p>
    <w:p w:rsidR="00F233AB" w:rsidRPr="00B02247" w:rsidRDefault="00F233AB" w:rsidP="00E1307D">
      <w:pPr>
        <w:pStyle w:val="SingleTxtG"/>
      </w:pPr>
      <w:r w:rsidRPr="00B02247">
        <w:t>38.</w:t>
      </w:r>
      <w:r w:rsidRPr="00B02247">
        <w:tab/>
        <w:t>The</w:t>
      </w:r>
      <w:r w:rsidR="005B2A41">
        <w:t xml:space="preserve"> </w:t>
      </w:r>
      <w:r w:rsidRPr="00B02247">
        <w:t>principle</w:t>
      </w:r>
      <w:r w:rsidR="005B2A41">
        <w:t xml:space="preserve"> </w:t>
      </w:r>
      <w:r w:rsidRPr="00B02247">
        <w:t>of</w:t>
      </w:r>
      <w:r w:rsidR="005B2A41">
        <w:t xml:space="preserve"> </w:t>
      </w:r>
      <w:r w:rsidRPr="00B02247">
        <w:t>proportionality</w:t>
      </w:r>
      <w:r w:rsidR="005B2A41">
        <w:t xml:space="preserve"> </w:t>
      </w:r>
      <w:r w:rsidRPr="00B02247">
        <w:t>has</w:t>
      </w:r>
      <w:r w:rsidR="005B2A41">
        <w:t xml:space="preserve"> </w:t>
      </w:r>
      <w:r w:rsidRPr="00B02247">
        <w:t>expressly</w:t>
      </w:r>
      <w:r w:rsidR="005B2A41">
        <w:t xml:space="preserve"> </w:t>
      </w:r>
      <w:r w:rsidRPr="00B02247">
        <w:t>been</w:t>
      </w:r>
      <w:r w:rsidR="005B2A41">
        <w:t xml:space="preserve"> </w:t>
      </w:r>
      <w:r w:rsidRPr="00B02247">
        <w:t>enshrined</w:t>
      </w:r>
      <w:r w:rsidR="005B2A41">
        <w:t xml:space="preserve"> </w:t>
      </w:r>
      <w:r w:rsidRPr="00B02247">
        <w:t>in</w:t>
      </w:r>
      <w:r w:rsidR="005B2A41">
        <w:t xml:space="preserve"> </w:t>
      </w:r>
      <w:r w:rsidRPr="00B02247">
        <w:t>Article</w:t>
      </w:r>
      <w:r w:rsidR="005B2A41">
        <w:t xml:space="preserve"> </w:t>
      </w:r>
      <w:r w:rsidRPr="00B02247">
        <w:t>25</w:t>
      </w:r>
      <w:r w:rsidR="005B2A41">
        <w:t xml:space="preserve"> </w:t>
      </w:r>
      <w:r w:rsidRPr="00B02247">
        <w:t>(1)</w:t>
      </w:r>
      <w:r w:rsidR="005B2A41">
        <w:t xml:space="preserve"> </w:t>
      </w:r>
      <w:r w:rsidRPr="00B02247">
        <w:t>of</w:t>
      </w:r>
      <w:r w:rsidR="005B2A41">
        <w:t xml:space="preserve"> </w:t>
      </w:r>
      <w:r w:rsidRPr="00B02247">
        <w:t>the</w:t>
      </w:r>
      <w:r w:rsidR="005B2A41">
        <w:t xml:space="preserve"> </w:t>
      </w:r>
      <w:r w:rsidRPr="00B02247">
        <w:t>Constitution.</w:t>
      </w:r>
      <w:r w:rsidR="005B2A41">
        <w:t xml:space="preserve"> </w:t>
      </w:r>
      <w:r w:rsidRPr="00B02247">
        <w:t>In</w:t>
      </w:r>
      <w:r w:rsidR="005B2A41">
        <w:t xml:space="preserve"> </w:t>
      </w:r>
      <w:r w:rsidRPr="00B02247">
        <w:t>no</w:t>
      </w:r>
      <w:r w:rsidR="005B2A41">
        <w:t xml:space="preserve"> </w:t>
      </w:r>
      <w:r w:rsidRPr="00B02247">
        <w:t>case</w:t>
      </w:r>
      <w:r w:rsidR="005B2A41">
        <w:t xml:space="preserve"> </w:t>
      </w:r>
      <w:r w:rsidRPr="00B02247">
        <w:t>restrictions</w:t>
      </w:r>
      <w:r w:rsidR="005B2A41">
        <w:t xml:space="preserve"> </w:t>
      </w:r>
      <w:r w:rsidRPr="00B02247">
        <w:t>to</w:t>
      </w:r>
      <w:r w:rsidR="005B2A41">
        <w:t xml:space="preserve"> </w:t>
      </w:r>
      <w:r w:rsidRPr="00B02247">
        <w:t>the</w:t>
      </w:r>
      <w:r w:rsidR="005B2A41">
        <w:t xml:space="preserve"> </w:t>
      </w:r>
      <w:r w:rsidRPr="00B02247">
        <w:t>exercise</w:t>
      </w:r>
      <w:r w:rsidR="005B2A41">
        <w:t xml:space="preserve"> </w:t>
      </w:r>
      <w:r w:rsidRPr="00B02247">
        <w:t>of</w:t>
      </w:r>
      <w:r w:rsidR="005B2A41">
        <w:t xml:space="preserve"> </w:t>
      </w:r>
      <w:r w:rsidRPr="00B02247">
        <w:t>constitutional</w:t>
      </w:r>
      <w:r w:rsidR="005B2A41">
        <w:t xml:space="preserve"> </w:t>
      </w:r>
      <w:r w:rsidRPr="00B02247">
        <w:t>rights</w:t>
      </w:r>
      <w:r w:rsidR="005B2A41">
        <w:t xml:space="preserve"> </w:t>
      </w:r>
      <w:r w:rsidRPr="00B02247">
        <w:t>may</w:t>
      </w:r>
      <w:r w:rsidR="005B2A41">
        <w:t xml:space="preserve"> </w:t>
      </w:r>
      <w:r w:rsidRPr="00B02247">
        <w:t>affect</w:t>
      </w:r>
      <w:r w:rsidR="005B2A41">
        <w:t xml:space="preserve"> </w:t>
      </w:r>
      <w:r w:rsidRPr="00B02247">
        <w:t>their</w:t>
      </w:r>
      <w:r w:rsidR="005B2A41">
        <w:t xml:space="preserve"> </w:t>
      </w:r>
      <w:r w:rsidRPr="00B02247">
        <w:t>essence</w:t>
      </w:r>
      <w:r w:rsidR="005B2A41">
        <w:t xml:space="preserve"> </w:t>
      </w:r>
      <w:r w:rsidRPr="00B02247">
        <w:t>or</w:t>
      </w:r>
      <w:r w:rsidR="005B2A41">
        <w:t xml:space="preserve"> </w:t>
      </w:r>
      <w:r w:rsidRPr="00B02247">
        <w:t>core.</w:t>
      </w:r>
    </w:p>
    <w:p w:rsidR="00F233AB" w:rsidRPr="00B02247" w:rsidRDefault="00F233AB" w:rsidP="00E1307D">
      <w:pPr>
        <w:pStyle w:val="SingleTxtG"/>
      </w:pPr>
      <w:r w:rsidRPr="00B02247">
        <w:t>39.</w:t>
      </w:r>
      <w:r w:rsidRPr="00B02247">
        <w:tab/>
        <w:t>Furthermore,</w:t>
      </w:r>
      <w:r w:rsidR="005B2A41">
        <w:t xml:space="preserve"> </w:t>
      </w:r>
      <w:r w:rsidRPr="00B02247">
        <w:t>Article</w:t>
      </w:r>
      <w:r w:rsidR="005B2A41">
        <w:t xml:space="preserve"> </w:t>
      </w:r>
      <w:r w:rsidRPr="00B02247">
        <w:t>25</w:t>
      </w:r>
      <w:r w:rsidR="005B2A41">
        <w:t xml:space="preserve"> </w:t>
      </w:r>
      <w:r w:rsidRPr="00B02247">
        <w:t>(3)</w:t>
      </w:r>
      <w:r w:rsidR="005B2A41">
        <w:t xml:space="preserve"> </w:t>
      </w:r>
      <w:r w:rsidRPr="00B02247">
        <w:t>of</w:t>
      </w:r>
      <w:r w:rsidR="005B2A41">
        <w:t xml:space="preserve"> </w:t>
      </w:r>
      <w:r w:rsidRPr="00B02247">
        <w:t>the</w:t>
      </w:r>
      <w:r w:rsidR="005B2A41">
        <w:t xml:space="preserve"> </w:t>
      </w:r>
      <w:r w:rsidRPr="00B02247">
        <w:t>Constitution</w:t>
      </w:r>
      <w:r w:rsidR="005B2A41">
        <w:t xml:space="preserve"> </w:t>
      </w:r>
      <w:r w:rsidRPr="00B02247">
        <w:t>prohibits</w:t>
      </w:r>
      <w:r w:rsidR="005B2A41">
        <w:t xml:space="preserve"> </w:t>
      </w:r>
      <w:r w:rsidRPr="00B02247">
        <w:t>the</w:t>
      </w:r>
      <w:r w:rsidR="005B2A41">
        <w:t xml:space="preserve"> </w:t>
      </w:r>
      <w:r w:rsidRPr="00B02247">
        <w:t>abusive</w:t>
      </w:r>
      <w:r w:rsidR="005B2A41">
        <w:t xml:space="preserve"> </w:t>
      </w:r>
      <w:r w:rsidRPr="00B02247">
        <w:t>exercise</w:t>
      </w:r>
      <w:r w:rsidR="005B2A41">
        <w:t xml:space="preserve"> </w:t>
      </w:r>
      <w:r w:rsidRPr="00B02247">
        <w:t>of</w:t>
      </w:r>
      <w:r w:rsidR="005B2A41">
        <w:t xml:space="preserve"> </w:t>
      </w:r>
      <w:r w:rsidRPr="00B02247">
        <w:t>individual</w:t>
      </w:r>
      <w:r w:rsidR="005B2A41">
        <w:t xml:space="preserve"> </w:t>
      </w:r>
      <w:r w:rsidRPr="00B02247">
        <w:t>rights;</w:t>
      </w:r>
      <w:r w:rsidR="005B2A41">
        <w:t xml:space="preserve"> </w:t>
      </w:r>
      <w:r w:rsidRPr="00B02247">
        <w:t>the</w:t>
      </w:r>
      <w:r w:rsidR="005B2A41">
        <w:t xml:space="preserve"> </w:t>
      </w:r>
      <w:r w:rsidRPr="00B02247">
        <w:t>meaning</w:t>
      </w:r>
      <w:r w:rsidR="005B2A41">
        <w:t xml:space="preserve"> </w:t>
      </w:r>
      <w:r w:rsidRPr="00B02247">
        <w:t>of</w:t>
      </w:r>
      <w:r w:rsidR="005B2A41">
        <w:t xml:space="preserve"> </w:t>
      </w:r>
      <w:r w:rsidRPr="00B02247">
        <w:t>abuse</w:t>
      </w:r>
      <w:r w:rsidR="005B2A41">
        <w:t xml:space="preserve"> </w:t>
      </w:r>
      <w:r w:rsidRPr="00B02247">
        <w:t>is</w:t>
      </w:r>
      <w:r w:rsidR="005B2A41">
        <w:t xml:space="preserve"> </w:t>
      </w:r>
      <w:r w:rsidRPr="00B02247">
        <w:t>restricted</w:t>
      </w:r>
      <w:r w:rsidR="005B2A41">
        <w:t xml:space="preserve"> </w:t>
      </w:r>
      <w:r w:rsidRPr="00B02247">
        <w:t>to</w:t>
      </w:r>
      <w:r w:rsidR="005B2A41">
        <w:t xml:space="preserve"> </w:t>
      </w:r>
      <w:r w:rsidRPr="00B02247">
        <w:t>those</w:t>
      </w:r>
      <w:r w:rsidR="005B2A41">
        <w:t xml:space="preserve"> </w:t>
      </w:r>
      <w:r w:rsidRPr="00B02247">
        <w:t>cases</w:t>
      </w:r>
      <w:r w:rsidR="005B2A41">
        <w:t xml:space="preserve"> </w:t>
      </w:r>
      <w:r w:rsidRPr="00B02247">
        <w:t>where</w:t>
      </w:r>
      <w:r w:rsidR="005B2A41">
        <w:t xml:space="preserve"> </w:t>
      </w:r>
      <w:r w:rsidRPr="00B02247">
        <w:t>the</w:t>
      </w:r>
      <w:r w:rsidR="005B2A41">
        <w:t xml:space="preserve"> </w:t>
      </w:r>
      <w:r w:rsidRPr="00B02247">
        <w:t>right</w:t>
      </w:r>
      <w:r w:rsidR="005B2A41">
        <w:t xml:space="preserve"> </w:t>
      </w:r>
      <w:r w:rsidRPr="00B02247">
        <w:t>is</w:t>
      </w:r>
      <w:r w:rsidR="005B2A41">
        <w:t xml:space="preserve"> </w:t>
      </w:r>
      <w:r w:rsidRPr="00B02247">
        <w:t>exercised</w:t>
      </w:r>
      <w:r w:rsidR="005B2A41">
        <w:t xml:space="preserve"> </w:t>
      </w:r>
      <w:r w:rsidRPr="00B02247">
        <w:t>for</w:t>
      </w:r>
      <w:r w:rsidR="005B2A41">
        <w:t xml:space="preserve"> </w:t>
      </w:r>
      <w:r w:rsidRPr="00B02247">
        <w:t>a</w:t>
      </w:r>
      <w:r w:rsidR="005B2A41">
        <w:t xml:space="preserve"> </w:t>
      </w:r>
      <w:r w:rsidRPr="00B02247">
        <w:t>purpose</w:t>
      </w:r>
      <w:r w:rsidR="005B2A41">
        <w:t xml:space="preserve"> </w:t>
      </w:r>
      <w:r w:rsidRPr="00B02247">
        <w:t>manifestly</w:t>
      </w:r>
      <w:r w:rsidR="005B2A41">
        <w:t xml:space="preserve"> </w:t>
      </w:r>
      <w:r w:rsidRPr="00B02247">
        <w:t>different</w:t>
      </w:r>
      <w:r w:rsidR="005B2A41">
        <w:t xml:space="preserve"> </w:t>
      </w:r>
      <w:r w:rsidRPr="00B02247">
        <w:t>from</w:t>
      </w:r>
      <w:r w:rsidR="005B2A41">
        <w:t xml:space="preserve"> </w:t>
      </w:r>
      <w:r w:rsidRPr="00B02247">
        <w:t>that</w:t>
      </w:r>
      <w:r w:rsidR="005B2A41">
        <w:t xml:space="preserve"> </w:t>
      </w:r>
      <w:r w:rsidRPr="00B02247">
        <w:t>for</w:t>
      </w:r>
      <w:r w:rsidR="005B2A41">
        <w:t xml:space="preserve"> </w:t>
      </w:r>
      <w:r w:rsidRPr="00B02247">
        <w:t>which</w:t>
      </w:r>
      <w:r w:rsidR="005B2A41">
        <w:t xml:space="preserve"> </w:t>
      </w:r>
      <w:r w:rsidRPr="00B02247">
        <w:t>it</w:t>
      </w:r>
      <w:r w:rsidR="005B2A41">
        <w:t xml:space="preserve"> </w:t>
      </w:r>
      <w:r w:rsidRPr="00B02247">
        <w:t>has</w:t>
      </w:r>
      <w:r w:rsidR="005B2A41">
        <w:t xml:space="preserve"> </w:t>
      </w:r>
      <w:r w:rsidRPr="00B02247">
        <w:t>been</w:t>
      </w:r>
      <w:r w:rsidR="005B2A41">
        <w:t xml:space="preserve"> </w:t>
      </w:r>
      <w:r w:rsidRPr="00B02247">
        <w:t>enacted.</w:t>
      </w:r>
    </w:p>
    <w:p w:rsidR="00F233AB" w:rsidRPr="00B02247" w:rsidRDefault="00F233AB" w:rsidP="00E1307D">
      <w:pPr>
        <w:pStyle w:val="SingleTxtG"/>
      </w:pPr>
      <w:r w:rsidRPr="00B02247">
        <w:t>40.</w:t>
      </w:r>
      <w:r w:rsidRPr="00B02247">
        <w:tab/>
        <w:t>Suspension</w:t>
      </w:r>
      <w:r w:rsidR="005B2A41">
        <w:t xml:space="preserve"> </w:t>
      </w:r>
      <w:r w:rsidRPr="00B02247">
        <w:t>of</w:t>
      </w:r>
      <w:r w:rsidR="005B2A41">
        <w:t xml:space="preserve"> </w:t>
      </w:r>
      <w:r w:rsidRPr="00B02247">
        <w:t>individual</w:t>
      </w:r>
      <w:r w:rsidR="005B2A41">
        <w:t xml:space="preserve"> </w:t>
      </w:r>
      <w:r w:rsidRPr="00B02247">
        <w:t>liberties</w:t>
      </w:r>
      <w:r w:rsidR="005B2A41">
        <w:t xml:space="preserve"> </w:t>
      </w:r>
      <w:r w:rsidRPr="00B02247">
        <w:t>is</w:t>
      </w:r>
      <w:r w:rsidR="005B2A41">
        <w:t xml:space="preserve"> </w:t>
      </w:r>
      <w:r w:rsidRPr="00B02247">
        <w:t>provided</w:t>
      </w:r>
      <w:r w:rsidR="005B2A41">
        <w:t xml:space="preserve"> </w:t>
      </w:r>
      <w:r w:rsidRPr="00B02247">
        <w:t>for</w:t>
      </w:r>
      <w:r w:rsidR="005B2A41">
        <w:t xml:space="preserve"> </w:t>
      </w:r>
      <w:r w:rsidRPr="00B02247">
        <w:t>only</w:t>
      </w:r>
      <w:r w:rsidR="005B2A41">
        <w:t xml:space="preserve"> </w:t>
      </w:r>
      <w:r w:rsidRPr="00B02247">
        <w:t>under</w:t>
      </w:r>
      <w:r w:rsidR="005B2A41">
        <w:t xml:space="preserve"> </w:t>
      </w:r>
      <w:r w:rsidRPr="00B02247">
        <w:t>the</w:t>
      </w:r>
      <w:r w:rsidR="005B2A41">
        <w:t xml:space="preserve"> </w:t>
      </w:r>
      <w:r w:rsidRPr="00B02247">
        <w:t>strict</w:t>
      </w:r>
      <w:r w:rsidR="005B2A41">
        <w:t xml:space="preserve"> </w:t>
      </w:r>
      <w:r w:rsidRPr="00B02247">
        <w:t>requirements</w:t>
      </w:r>
      <w:r w:rsidR="005B2A41">
        <w:t xml:space="preserve"> </w:t>
      </w:r>
      <w:r w:rsidRPr="00B02247">
        <w:t>prescribed</w:t>
      </w:r>
      <w:r w:rsidR="005B2A41">
        <w:t xml:space="preserve"> </w:t>
      </w:r>
      <w:r w:rsidRPr="00B02247">
        <w:t>by</w:t>
      </w:r>
      <w:r w:rsidR="005B2A41">
        <w:t xml:space="preserve"> </w:t>
      </w:r>
      <w:r w:rsidRPr="00B02247">
        <w:t>Article</w:t>
      </w:r>
      <w:r w:rsidR="005B2A41">
        <w:t xml:space="preserve"> </w:t>
      </w:r>
      <w:r w:rsidRPr="00B02247">
        <w:t>48</w:t>
      </w:r>
      <w:r w:rsidR="005B2A41">
        <w:t xml:space="preserve"> </w:t>
      </w:r>
      <w:r w:rsidRPr="00B02247">
        <w:t>of</w:t>
      </w:r>
      <w:r w:rsidR="005B2A41">
        <w:t xml:space="preserve"> </w:t>
      </w:r>
      <w:r w:rsidRPr="00B02247">
        <w:t>the</w:t>
      </w:r>
      <w:r w:rsidR="005B2A41">
        <w:t xml:space="preserve"> </w:t>
      </w:r>
      <w:r w:rsidRPr="00B02247">
        <w:t>Constitution</w:t>
      </w:r>
      <w:r w:rsidR="005B2A41">
        <w:t xml:space="preserve"> </w:t>
      </w:r>
      <w:r w:rsidRPr="00B02247">
        <w:t>(in</w:t>
      </w:r>
      <w:r w:rsidR="005B2A41">
        <w:t xml:space="preserve"> </w:t>
      </w:r>
      <w:r w:rsidRPr="00B02247">
        <w:t>case</w:t>
      </w:r>
      <w:r w:rsidR="005B2A41">
        <w:t xml:space="preserve"> </w:t>
      </w:r>
      <w:r w:rsidRPr="00B02247">
        <w:t>of</w:t>
      </w:r>
      <w:r w:rsidR="005B2A41">
        <w:t xml:space="preserve"> </w:t>
      </w:r>
      <w:r w:rsidRPr="00B02247">
        <w:t>war</w:t>
      </w:r>
      <w:r w:rsidR="005B2A41">
        <w:t xml:space="preserve"> </w:t>
      </w:r>
      <w:r w:rsidRPr="00B02247">
        <w:t>or</w:t>
      </w:r>
      <w:r w:rsidR="005B2A41">
        <w:t xml:space="preserve"> </w:t>
      </w:r>
      <w:r w:rsidRPr="00B02247">
        <w:t>mobilization</w:t>
      </w:r>
      <w:r w:rsidR="005B2A41">
        <w:t xml:space="preserve"> </w:t>
      </w:r>
      <w:r w:rsidRPr="00B02247">
        <w:t>owing</w:t>
      </w:r>
      <w:r w:rsidR="005B2A41">
        <w:t xml:space="preserve"> </w:t>
      </w:r>
      <w:r w:rsidRPr="00B02247">
        <w:t>to</w:t>
      </w:r>
      <w:r w:rsidR="005B2A41">
        <w:t xml:space="preserve"> </w:t>
      </w:r>
      <w:r w:rsidRPr="00B02247">
        <w:t>external</w:t>
      </w:r>
      <w:r w:rsidR="005B2A41">
        <w:t xml:space="preserve"> </w:t>
      </w:r>
      <w:r w:rsidRPr="00B02247">
        <w:t>dangers</w:t>
      </w:r>
      <w:r w:rsidR="005B2A41">
        <w:t xml:space="preserve"> </w:t>
      </w:r>
      <w:r w:rsidRPr="00B02247">
        <w:t>or</w:t>
      </w:r>
      <w:r w:rsidR="005B2A41">
        <w:t xml:space="preserve"> </w:t>
      </w:r>
      <w:r w:rsidRPr="00B02247">
        <w:t>an</w:t>
      </w:r>
      <w:r w:rsidR="005B2A41">
        <w:t xml:space="preserve"> </w:t>
      </w:r>
      <w:r w:rsidRPr="00B02247">
        <w:t>imminent</w:t>
      </w:r>
      <w:r w:rsidR="005B2A41">
        <w:t xml:space="preserve"> </w:t>
      </w:r>
      <w:r w:rsidRPr="00B02247">
        <w:t>threat</w:t>
      </w:r>
      <w:r w:rsidR="005B2A41">
        <w:t xml:space="preserve"> </w:t>
      </w:r>
      <w:r w:rsidRPr="00B02247">
        <w:t>against</w:t>
      </w:r>
      <w:r w:rsidR="005B2A41">
        <w:t xml:space="preserve"> </w:t>
      </w:r>
      <w:r w:rsidRPr="00B02247">
        <w:t>national</w:t>
      </w:r>
      <w:r w:rsidR="005B2A41">
        <w:t xml:space="preserve"> </w:t>
      </w:r>
      <w:r w:rsidRPr="00B02247">
        <w:t>security,</w:t>
      </w:r>
      <w:r w:rsidR="005B2A41">
        <w:t xml:space="preserve"> </w:t>
      </w:r>
      <w:r w:rsidRPr="00B02247">
        <w:t>as</w:t>
      </w:r>
      <w:r w:rsidR="005B2A41">
        <w:t xml:space="preserve"> </w:t>
      </w:r>
      <w:r w:rsidRPr="00B02247">
        <w:t>well</w:t>
      </w:r>
      <w:r w:rsidR="005B2A41">
        <w:t xml:space="preserve"> </w:t>
      </w:r>
      <w:r w:rsidRPr="00B02247">
        <w:t>as</w:t>
      </w:r>
      <w:r w:rsidR="005B2A41">
        <w:t xml:space="preserve"> </w:t>
      </w:r>
      <w:r w:rsidRPr="00B02247">
        <w:t>in</w:t>
      </w:r>
      <w:r w:rsidR="005B2A41">
        <w:t xml:space="preserve"> </w:t>
      </w:r>
      <w:r w:rsidRPr="00B02247">
        <w:t>case</w:t>
      </w:r>
      <w:r w:rsidR="005B2A41">
        <w:t xml:space="preserve"> </w:t>
      </w:r>
      <w:r w:rsidRPr="00B02247">
        <w:t>of</w:t>
      </w:r>
      <w:r w:rsidR="005B2A41">
        <w:t xml:space="preserve"> </w:t>
      </w:r>
      <w:r w:rsidRPr="00B02247">
        <w:t>an</w:t>
      </w:r>
      <w:r w:rsidR="005B2A41">
        <w:t xml:space="preserve"> </w:t>
      </w:r>
      <w:r w:rsidRPr="00B02247">
        <w:t>armed</w:t>
      </w:r>
      <w:r w:rsidR="005B2A41">
        <w:t xml:space="preserve"> </w:t>
      </w:r>
      <w:r w:rsidRPr="00B02247">
        <w:t>coup</w:t>
      </w:r>
      <w:r w:rsidR="005B2A41">
        <w:t xml:space="preserve"> </w:t>
      </w:r>
      <w:r w:rsidRPr="00B02247">
        <w:t>aiming</w:t>
      </w:r>
      <w:r w:rsidR="005B2A41">
        <w:t xml:space="preserve"> </w:t>
      </w:r>
      <w:r w:rsidRPr="00B02247">
        <w:t>to</w:t>
      </w:r>
      <w:r w:rsidR="005B2A41">
        <w:t xml:space="preserve"> </w:t>
      </w:r>
      <w:r w:rsidRPr="00B02247">
        <w:t>overthrow</w:t>
      </w:r>
      <w:r w:rsidR="005B2A41">
        <w:t xml:space="preserve"> </w:t>
      </w:r>
      <w:r w:rsidRPr="00B02247">
        <w:t>the</w:t>
      </w:r>
      <w:r w:rsidR="005B2A41">
        <w:t xml:space="preserve"> </w:t>
      </w:r>
      <w:r w:rsidRPr="00B02247">
        <w:t>democratic</w:t>
      </w:r>
      <w:r w:rsidR="005B2A41">
        <w:t xml:space="preserve"> </w:t>
      </w:r>
      <w:r w:rsidRPr="00B02247">
        <w:t>regime).</w:t>
      </w:r>
      <w:r w:rsidR="005B2A41">
        <w:t xml:space="preserve"> </w:t>
      </w:r>
      <w:r w:rsidRPr="00B02247">
        <w:t>It</w:t>
      </w:r>
      <w:r w:rsidR="005B2A41">
        <w:t xml:space="preserve"> </w:t>
      </w:r>
      <w:r w:rsidRPr="00B02247">
        <w:t>should</w:t>
      </w:r>
      <w:r w:rsidR="005B2A41">
        <w:t xml:space="preserve"> </w:t>
      </w:r>
      <w:r w:rsidRPr="00B02247">
        <w:t>be</w:t>
      </w:r>
      <w:r w:rsidR="005B2A41">
        <w:t xml:space="preserve"> </w:t>
      </w:r>
      <w:r w:rsidRPr="00B02247">
        <w:t>noted</w:t>
      </w:r>
      <w:r w:rsidR="005B2A41">
        <w:t xml:space="preserve"> </w:t>
      </w:r>
      <w:r w:rsidRPr="00B02247">
        <w:t>that</w:t>
      </w:r>
      <w:r w:rsidR="005B2A41">
        <w:t xml:space="preserve"> </w:t>
      </w:r>
      <w:r w:rsidRPr="00B02247">
        <w:t>the</w:t>
      </w:r>
      <w:r w:rsidR="005B2A41">
        <w:t xml:space="preserve"> </w:t>
      </w:r>
      <w:r w:rsidRPr="00B02247">
        <w:t>Greek</w:t>
      </w:r>
      <w:r w:rsidR="005B2A41">
        <w:t xml:space="preserve"> </w:t>
      </w:r>
      <w:r w:rsidRPr="00B02247">
        <w:t>Constitution</w:t>
      </w:r>
      <w:r w:rsidR="005B2A41">
        <w:t xml:space="preserve"> </w:t>
      </w:r>
      <w:r w:rsidRPr="00B02247">
        <w:t>does</w:t>
      </w:r>
      <w:r w:rsidR="005B2A41">
        <w:t xml:space="preserve"> </w:t>
      </w:r>
      <w:r w:rsidRPr="00B02247">
        <w:t>not</w:t>
      </w:r>
      <w:r w:rsidR="005B2A41">
        <w:t xml:space="preserve"> </w:t>
      </w:r>
      <w:r w:rsidRPr="00B02247">
        <w:t>allow</w:t>
      </w:r>
      <w:r w:rsidR="005B2A41">
        <w:t xml:space="preserve"> </w:t>
      </w:r>
      <w:r w:rsidRPr="00B02247">
        <w:t>suspension</w:t>
      </w:r>
      <w:r w:rsidR="005B2A41">
        <w:t xml:space="preserve"> </w:t>
      </w:r>
      <w:r w:rsidRPr="00B02247">
        <w:t>of</w:t>
      </w:r>
      <w:r w:rsidR="005B2A41">
        <w:t xml:space="preserve"> </w:t>
      </w:r>
      <w:r w:rsidRPr="00B02247">
        <w:t>any</w:t>
      </w:r>
      <w:r w:rsidR="005B2A41">
        <w:t xml:space="preserve"> </w:t>
      </w:r>
      <w:r w:rsidRPr="00B02247">
        <w:t>of</w:t>
      </w:r>
      <w:r w:rsidR="005B2A41">
        <w:t xml:space="preserve"> </w:t>
      </w:r>
      <w:r w:rsidRPr="00B02247">
        <w:t>the</w:t>
      </w:r>
      <w:r w:rsidR="005B2A41">
        <w:t xml:space="preserve"> </w:t>
      </w:r>
      <w:r w:rsidRPr="00B02247">
        <w:t>rights</w:t>
      </w:r>
      <w:r w:rsidR="005B2A41">
        <w:t xml:space="preserve"> </w:t>
      </w:r>
      <w:r w:rsidRPr="00B02247">
        <w:t>from</w:t>
      </w:r>
      <w:r w:rsidR="005B2A41">
        <w:t xml:space="preserve"> </w:t>
      </w:r>
      <w:r w:rsidRPr="00B02247">
        <w:t>which</w:t>
      </w:r>
      <w:r w:rsidR="005B2A41">
        <w:t xml:space="preserve"> </w:t>
      </w:r>
      <w:r w:rsidRPr="00B02247">
        <w:t>derogation,</w:t>
      </w:r>
      <w:r w:rsidR="005B2A41">
        <w:t xml:space="preserve"> </w:t>
      </w:r>
      <w:r w:rsidRPr="00B02247">
        <w:t>pursuant</w:t>
      </w:r>
      <w:r w:rsidR="005B2A41">
        <w:t xml:space="preserve"> </w:t>
      </w:r>
      <w:r w:rsidRPr="00B02247">
        <w:t>to</w:t>
      </w:r>
      <w:r w:rsidR="005B2A41">
        <w:t xml:space="preserve"> </w:t>
      </w:r>
      <w:r w:rsidRPr="00B02247">
        <w:t>Article</w:t>
      </w:r>
      <w:r w:rsidR="005B2A41">
        <w:t xml:space="preserve"> </w:t>
      </w:r>
      <w:r w:rsidRPr="00B02247">
        <w:t>4</w:t>
      </w:r>
      <w:r w:rsidR="005B2A41">
        <w:t xml:space="preserve"> </w:t>
      </w:r>
      <w:r w:rsidRPr="00B02247">
        <w:t>(2)</w:t>
      </w:r>
      <w:r w:rsidR="005B2A41">
        <w:t xml:space="preserve"> </w:t>
      </w:r>
      <w:r w:rsidRPr="00B02247">
        <w:t>of</w:t>
      </w:r>
      <w:r w:rsidR="005B2A41">
        <w:t xml:space="preserve"> </w:t>
      </w:r>
      <w:r w:rsidRPr="00B02247">
        <w:t>the</w:t>
      </w:r>
      <w:r w:rsidR="005B2A41">
        <w:t xml:space="preserve"> </w:t>
      </w:r>
      <w:r w:rsidRPr="00B02247">
        <w:t>International</w:t>
      </w:r>
      <w:r w:rsidR="005B2A41">
        <w:t xml:space="preserve"> </w:t>
      </w:r>
      <w:r w:rsidRPr="00B02247">
        <w:t>Covenant</w:t>
      </w:r>
      <w:r w:rsidR="005B2A41">
        <w:t xml:space="preserve"> </w:t>
      </w:r>
      <w:r w:rsidRPr="00B02247">
        <w:t>for</w:t>
      </w:r>
      <w:r w:rsidR="005B2A41">
        <w:t xml:space="preserve"> </w:t>
      </w:r>
      <w:r w:rsidRPr="00B02247">
        <w:t>Civil</w:t>
      </w:r>
      <w:r w:rsidR="005B2A41">
        <w:t xml:space="preserve"> </w:t>
      </w:r>
      <w:r w:rsidRPr="00B02247">
        <w:t>and</w:t>
      </w:r>
      <w:r w:rsidR="005B2A41">
        <w:t xml:space="preserve"> </w:t>
      </w:r>
      <w:r w:rsidRPr="00B02247">
        <w:t>Political</w:t>
      </w:r>
      <w:r w:rsidR="005B2A41">
        <w:t xml:space="preserve"> </w:t>
      </w:r>
      <w:r w:rsidRPr="00B02247">
        <w:t>Rights,</w:t>
      </w:r>
      <w:r w:rsidR="005B2A41">
        <w:t xml:space="preserve"> </w:t>
      </w:r>
      <w:r w:rsidRPr="00B02247">
        <w:t>is</w:t>
      </w:r>
      <w:r w:rsidR="005B2A41">
        <w:t xml:space="preserve"> </w:t>
      </w:r>
      <w:r w:rsidRPr="00B02247">
        <w:t>not</w:t>
      </w:r>
      <w:r w:rsidR="005B2A41">
        <w:t xml:space="preserve"> </w:t>
      </w:r>
      <w:r w:rsidRPr="00B02247">
        <w:t>permitted.</w:t>
      </w:r>
    </w:p>
    <w:p w:rsidR="00F233AB" w:rsidRPr="00B02247" w:rsidRDefault="00F233AB" w:rsidP="006E329B">
      <w:pPr>
        <w:pStyle w:val="H23G"/>
      </w:pPr>
      <w:r w:rsidRPr="00B02247">
        <w:tab/>
        <w:t>2.</w:t>
      </w:r>
      <w:r w:rsidRPr="00B02247">
        <w:tab/>
        <w:t>Integration</w:t>
      </w:r>
      <w:r w:rsidR="005B2A41">
        <w:t xml:space="preserve"> </w:t>
      </w:r>
      <w:r w:rsidRPr="00B02247">
        <w:t>of</w:t>
      </w:r>
      <w:r w:rsidR="005B2A41">
        <w:t xml:space="preserve"> </w:t>
      </w:r>
      <w:r w:rsidRPr="00B02247">
        <w:t>human</w:t>
      </w:r>
      <w:r w:rsidR="005B2A41">
        <w:t xml:space="preserve"> </w:t>
      </w:r>
      <w:r w:rsidRPr="00B02247">
        <w:t>rights</w:t>
      </w:r>
      <w:r w:rsidR="005B2A41">
        <w:t xml:space="preserve"> </w:t>
      </w:r>
      <w:r w:rsidRPr="00B02247">
        <w:t>instruments</w:t>
      </w:r>
      <w:r w:rsidR="005B2A41">
        <w:t xml:space="preserve"> </w:t>
      </w:r>
      <w:r w:rsidRPr="00B02247">
        <w:t>into</w:t>
      </w:r>
      <w:r w:rsidR="005B2A41">
        <w:t xml:space="preserve"> </w:t>
      </w:r>
      <w:r w:rsidRPr="00B02247">
        <w:t>the</w:t>
      </w:r>
      <w:r w:rsidR="005B2A41">
        <w:t xml:space="preserve"> </w:t>
      </w:r>
      <w:r w:rsidRPr="00B02247">
        <w:t>national</w:t>
      </w:r>
      <w:r w:rsidR="005B2A41">
        <w:t xml:space="preserve"> </w:t>
      </w:r>
      <w:r w:rsidRPr="00B02247">
        <w:t>legal</w:t>
      </w:r>
      <w:r w:rsidR="005B2A41">
        <w:t xml:space="preserve"> </w:t>
      </w:r>
      <w:r w:rsidRPr="00B02247">
        <w:t>order</w:t>
      </w:r>
    </w:p>
    <w:p w:rsidR="00F233AB" w:rsidRPr="00B02247" w:rsidRDefault="00F233AB" w:rsidP="00E1307D">
      <w:pPr>
        <w:pStyle w:val="SingleTxtG"/>
      </w:pPr>
      <w:r w:rsidRPr="00B02247">
        <w:t>41.</w:t>
      </w:r>
      <w:r w:rsidRPr="00B02247">
        <w:tab/>
        <w:t>According</w:t>
      </w:r>
      <w:r w:rsidR="005B2A41">
        <w:t xml:space="preserve"> </w:t>
      </w:r>
      <w:r w:rsidRPr="00B02247">
        <w:t>to</w:t>
      </w:r>
      <w:r w:rsidR="005B2A41">
        <w:t xml:space="preserve"> </w:t>
      </w:r>
      <w:r w:rsidRPr="00B02247">
        <w:t>Article</w:t>
      </w:r>
      <w:r w:rsidR="005B2A41">
        <w:t xml:space="preserve"> </w:t>
      </w:r>
      <w:r w:rsidRPr="00B02247">
        <w:t>28</w:t>
      </w:r>
      <w:r w:rsidR="005B2A41">
        <w:t xml:space="preserve"> </w:t>
      </w:r>
      <w:r w:rsidRPr="00B02247">
        <w:t>(1)</w:t>
      </w:r>
      <w:r w:rsidR="005B2A41">
        <w:t xml:space="preserve"> </w:t>
      </w:r>
      <w:r w:rsidRPr="00B02247">
        <w:t>of</w:t>
      </w:r>
      <w:r w:rsidR="005B2A41">
        <w:t xml:space="preserve"> </w:t>
      </w:r>
      <w:r w:rsidRPr="00B02247">
        <w:t>the</w:t>
      </w:r>
      <w:r w:rsidR="005B2A41">
        <w:t xml:space="preserve"> </w:t>
      </w:r>
      <w:r w:rsidRPr="00B02247">
        <w:t>Constitution,</w:t>
      </w:r>
      <w:r w:rsidR="005B2A41">
        <w:t xml:space="preserve"> </w:t>
      </w:r>
      <w:r w:rsidR="003E731F">
        <w:t>“</w:t>
      </w:r>
      <w:r w:rsidRPr="00B02247">
        <w:t>The</w:t>
      </w:r>
      <w:r w:rsidR="005B2A41">
        <w:t xml:space="preserve"> </w:t>
      </w:r>
      <w:r w:rsidRPr="00B02247">
        <w:t>generally</w:t>
      </w:r>
      <w:r w:rsidR="005B2A41">
        <w:t xml:space="preserve"> </w:t>
      </w:r>
      <w:r w:rsidRPr="00B02247">
        <w:t>accepted</w:t>
      </w:r>
      <w:r w:rsidR="005B2A41">
        <w:t xml:space="preserve"> </w:t>
      </w:r>
      <w:r w:rsidRPr="00B02247">
        <w:t>rules</w:t>
      </w:r>
      <w:r w:rsidR="005B2A41">
        <w:t xml:space="preserve"> </w:t>
      </w:r>
      <w:r w:rsidRPr="00B02247">
        <w:t>of</w:t>
      </w:r>
      <w:r w:rsidR="005B2A41">
        <w:t xml:space="preserve"> </w:t>
      </w:r>
      <w:r w:rsidRPr="00B02247">
        <w:t>international</w:t>
      </w:r>
      <w:r w:rsidR="005B2A41">
        <w:t xml:space="preserve"> </w:t>
      </w:r>
      <w:r w:rsidRPr="00B02247">
        <w:t>law,</w:t>
      </w:r>
      <w:r w:rsidR="005B2A41">
        <w:t xml:space="preserve"> </w:t>
      </w:r>
      <w:r w:rsidRPr="00B02247">
        <w:t>as</w:t>
      </w:r>
      <w:r w:rsidR="005B2A41">
        <w:t xml:space="preserve"> </w:t>
      </w:r>
      <w:r w:rsidRPr="00B02247">
        <w:t>well</w:t>
      </w:r>
      <w:r w:rsidR="005B2A41">
        <w:t xml:space="preserve"> </w:t>
      </w:r>
      <w:r w:rsidRPr="00B02247">
        <w:t>as</w:t>
      </w:r>
      <w:r w:rsidR="005B2A41">
        <w:t xml:space="preserve"> </w:t>
      </w:r>
      <w:r w:rsidRPr="00B02247">
        <w:t>international</w:t>
      </w:r>
      <w:r w:rsidR="005B2A41">
        <w:t xml:space="preserve"> </w:t>
      </w:r>
      <w:r w:rsidRPr="00B02247">
        <w:t>treaties,</w:t>
      </w:r>
      <w:r w:rsidR="005B2A41">
        <w:t xml:space="preserve"> </w:t>
      </w:r>
      <w:r w:rsidRPr="00B02247">
        <w:t>as</w:t>
      </w:r>
      <w:r w:rsidR="005B2A41">
        <w:t xml:space="preserve"> </w:t>
      </w:r>
      <w:r w:rsidRPr="00B02247">
        <w:t>from</w:t>
      </w:r>
      <w:r w:rsidR="005B2A41">
        <w:t xml:space="preserve"> </w:t>
      </w:r>
      <w:r w:rsidRPr="00B02247">
        <w:t>their</w:t>
      </w:r>
      <w:r w:rsidR="005B2A41">
        <w:t xml:space="preserve"> </w:t>
      </w:r>
      <w:r w:rsidRPr="00B02247">
        <w:t>approval</w:t>
      </w:r>
      <w:r w:rsidR="005B2A41">
        <w:t xml:space="preserve"> </w:t>
      </w:r>
      <w:r w:rsidRPr="00B02247">
        <w:t>by</w:t>
      </w:r>
      <w:r w:rsidR="005B2A41">
        <w:t xml:space="preserve"> </w:t>
      </w:r>
      <w:r w:rsidRPr="00B02247">
        <w:t>law</w:t>
      </w:r>
      <w:r w:rsidR="005B2A41">
        <w:t xml:space="preserve"> </w:t>
      </w:r>
      <w:r w:rsidRPr="00B02247">
        <w:t>and</w:t>
      </w:r>
      <w:r w:rsidR="005B2A41">
        <w:t xml:space="preserve"> </w:t>
      </w:r>
      <w:r w:rsidRPr="00B02247">
        <w:t>from</w:t>
      </w:r>
      <w:r w:rsidR="005B2A41">
        <w:t xml:space="preserve"> </w:t>
      </w:r>
      <w:r w:rsidRPr="00B02247">
        <w:t>their</w:t>
      </w:r>
      <w:r w:rsidR="005B2A41">
        <w:t xml:space="preserve"> </w:t>
      </w:r>
      <w:r w:rsidRPr="00B02247">
        <w:t>entering</w:t>
      </w:r>
      <w:r w:rsidR="005B2A41">
        <w:t xml:space="preserve"> </w:t>
      </w:r>
      <w:r w:rsidRPr="00B02247">
        <w:t>into</w:t>
      </w:r>
      <w:r w:rsidR="005B2A41">
        <w:t xml:space="preserve"> </w:t>
      </w:r>
      <w:r w:rsidRPr="00B02247">
        <w:t>force</w:t>
      </w:r>
      <w:r w:rsidR="005B2A41">
        <w:t xml:space="preserve"> </w:t>
      </w:r>
      <w:r w:rsidRPr="00B02247">
        <w:t>according</w:t>
      </w:r>
      <w:r w:rsidR="005B2A41">
        <w:t xml:space="preserve"> </w:t>
      </w:r>
      <w:r w:rsidRPr="00B02247">
        <w:t>to</w:t>
      </w:r>
      <w:r w:rsidR="005B2A41">
        <w:t xml:space="preserve"> </w:t>
      </w:r>
      <w:r w:rsidRPr="00B02247">
        <w:t>each</w:t>
      </w:r>
      <w:r w:rsidR="005B2A41">
        <w:t xml:space="preserve"> </w:t>
      </w:r>
      <w:r w:rsidRPr="00B02247">
        <w:t>one</w:t>
      </w:r>
      <w:r w:rsidR="003E731F">
        <w:t>’</w:t>
      </w:r>
      <w:r w:rsidRPr="00B02247">
        <w:t>s</w:t>
      </w:r>
      <w:r w:rsidR="005B2A41">
        <w:t xml:space="preserve"> </w:t>
      </w:r>
      <w:r w:rsidRPr="00B02247">
        <w:t>own</w:t>
      </w:r>
      <w:r w:rsidR="005B2A41">
        <w:t xml:space="preserve"> </w:t>
      </w:r>
      <w:r w:rsidRPr="00B02247">
        <w:t>terms</w:t>
      </w:r>
      <w:r w:rsidR="005B2A41">
        <w:t xml:space="preserve"> </w:t>
      </w:r>
      <w:r w:rsidRPr="00B02247">
        <w:t>shall</w:t>
      </w:r>
      <w:r w:rsidR="005B2A41">
        <w:t xml:space="preserve"> </w:t>
      </w:r>
      <w:r w:rsidRPr="00B02247">
        <w:t>constitute</w:t>
      </w:r>
      <w:r w:rsidR="005B2A41">
        <w:t xml:space="preserve"> </w:t>
      </w:r>
      <w:r w:rsidRPr="00B02247">
        <w:t>an</w:t>
      </w:r>
      <w:r w:rsidR="005B2A41">
        <w:t xml:space="preserve"> </w:t>
      </w:r>
      <w:r w:rsidRPr="00B02247">
        <w:t>integral</w:t>
      </w:r>
      <w:r w:rsidR="005B2A41">
        <w:t xml:space="preserve"> </w:t>
      </w:r>
      <w:r w:rsidRPr="00B02247">
        <w:t>part</w:t>
      </w:r>
      <w:r w:rsidR="005B2A41">
        <w:t xml:space="preserve"> </w:t>
      </w:r>
      <w:r w:rsidRPr="00B02247">
        <w:lastRenderedPageBreak/>
        <w:t>of</w:t>
      </w:r>
      <w:r w:rsidR="005B2A41">
        <w:t xml:space="preserve"> </w:t>
      </w:r>
      <w:r w:rsidRPr="00B02247">
        <w:t>Greek</w:t>
      </w:r>
      <w:r w:rsidR="005B2A41">
        <w:t xml:space="preserve"> </w:t>
      </w:r>
      <w:r w:rsidRPr="00B02247">
        <w:t>domestic</w:t>
      </w:r>
      <w:r w:rsidR="005B2A41">
        <w:t xml:space="preserve"> </w:t>
      </w:r>
      <w:r w:rsidRPr="00B02247">
        <w:t>law</w:t>
      </w:r>
      <w:r w:rsidR="005B2A41">
        <w:t xml:space="preserve"> </w:t>
      </w:r>
      <w:r w:rsidRPr="00B02247">
        <w:t>and</w:t>
      </w:r>
      <w:r w:rsidR="005B2A41">
        <w:t xml:space="preserve"> </w:t>
      </w:r>
      <w:r w:rsidRPr="00B02247">
        <w:t>shall</w:t>
      </w:r>
      <w:r w:rsidR="005B2A41">
        <w:t xml:space="preserve"> </w:t>
      </w:r>
      <w:r w:rsidRPr="00B02247">
        <w:t>prevail</w:t>
      </w:r>
      <w:r w:rsidR="005B2A41">
        <w:t xml:space="preserve"> </w:t>
      </w:r>
      <w:r w:rsidRPr="00B02247">
        <w:t>over</w:t>
      </w:r>
      <w:r w:rsidR="005B2A41">
        <w:t xml:space="preserve"> </w:t>
      </w:r>
      <w:r w:rsidRPr="00B02247">
        <w:t>any</w:t>
      </w:r>
      <w:r w:rsidR="005B2A41">
        <w:t xml:space="preserve"> </w:t>
      </w:r>
      <w:r w:rsidRPr="00B02247">
        <w:t>contrary</w:t>
      </w:r>
      <w:r w:rsidR="005B2A41">
        <w:t xml:space="preserve"> </w:t>
      </w:r>
      <w:r w:rsidRPr="00B02247">
        <w:t>provision</w:t>
      </w:r>
      <w:r w:rsidR="005B2A41">
        <w:t xml:space="preserve"> </w:t>
      </w:r>
      <w:r w:rsidRPr="00B02247">
        <w:t>of</w:t>
      </w:r>
      <w:r w:rsidR="005B2A41">
        <w:t xml:space="preserve"> </w:t>
      </w:r>
      <w:r w:rsidRPr="00B02247">
        <w:t>law.</w:t>
      </w:r>
      <w:r w:rsidR="005B2A41">
        <w:t xml:space="preserve"> </w:t>
      </w:r>
      <w:r w:rsidRPr="00B02247">
        <w:t>The</w:t>
      </w:r>
      <w:r w:rsidR="005B2A41">
        <w:t xml:space="preserve"> </w:t>
      </w:r>
      <w:r w:rsidRPr="00B02247">
        <w:t>rules</w:t>
      </w:r>
      <w:r w:rsidR="005B2A41">
        <w:t xml:space="preserve"> </w:t>
      </w:r>
      <w:r w:rsidRPr="00B02247">
        <w:t>of</w:t>
      </w:r>
      <w:r w:rsidR="005B2A41">
        <w:t xml:space="preserve"> </w:t>
      </w:r>
      <w:r w:rsidRPr="00B02247">
        <w:t>international</w:t>
      </w:r>
      <w:r w:rsidR="005B2A41">
        <w:t xml:space="preserve"> </w:t>
      </w:r>
      <w:r w:rsidRPr="00B02247">
        <w:t>law</w:t>
      </w:r>
      <w:r w:rsidR="005B2A41">
        <w:t xml:space="preserve"> </w:t>
      </w:r>
      <w:r w:rsidRPr="00B02247">
        <w:t>and</w:t>
      </w:r>
      <w:r w:rsidR="005B2A41">
        <w:t xml:space="preserve"> </w:t>
      </w:r>
      <w:r w:rsidRPr="00B02247">
        <w:t>international</w:t>
      </w:r>
      <w:r w:rsidR="005B2A41">
        <w:t xml:space="preserve"> </w:t>
      </w:r>
      <w:r w:rsidRPr="00B02247">
        <w:t>treaties</w:t>
      </w:r>
      <w:r w:rsidR="005B2A41">
        <w:t xml:space="preserve"> </w:t>
      </w:r>
      <w:r w:rsidRPr="00B02247">
        <w:t>shall</w:t>
      </w:r>
      <w:r w:rsidR="005B2A41">
        <w:t xml:space="preserve"> </w:t>
      </w:r>
      <w:r w:rsidRPr="00B02247">
        <w:t>be</w:t>
      </w:r>
      <w:r w:rsidR="005B2A41">
        <w:t xml:space="preserve"> </w:t>
      </w:r>
      <w:r w:rsidRPr="00B02247">
        <w:t>applied</w:t>
      </w:r>
      <w:r w:rsidR="005B2A41">
        <w:t xml:space="preserve"> </w:t>
      </w:r>
      <w:r w:rsidRPr="00B02247">
        <w:t>to</w:t>
      </w:r>
      <w:r w:rsidR="005B2A41">
        <w:t xml:space="preserve"> </w:t>
      </w:r>
      <w:r w:rsidRPr="00B02247">
        <w:t>aliens</w:t>
      </w:r>
      <w:r w:rsidR="005B2A41">
        <w:t xml:space="preserve"> </w:t>
      </w:r>
      <w:r w:rsidRPr="00B02247">
        <w:t>always</w:t>
      </w:r>
      <w:r w:rsidR="005B2A41">
        <w:t xml:space="preserve"> </w:t>
      </w:r>
      <w:r w:rsidRPr="00B02247">
        <w:t>on</w:t>
      </w:r>
      <w:r w:rsidR="005B2A41">
        <w:t xml:space="preserve"> </w:t>
      </w:r>
      <w:r w:rsidRPr="00B02247">
        <w:t>the</w:t>
      </w:r>
      <w:r w:rsidR="005B2A41">
        <w:t xml:space="preserve"> </w:t>
      </w:r>
      <w:r w:rsidRPr="00B02247">
        <w:t>condition</w:t>
      </w:r>
      <w:r w:rsidR="005B2A41">
        <w:t xml:space="preserve"> </w:t>
      </w:r>
      <w:r w:rsidRPr="00B02247">
        <w:t>of</w:t>
      </w:r>
      <w:r w:rsidR="005B2A41">
        <w:t xml:space="preserve"> </w:t>
      </w:r>
      <w:r w:rsidRPr="00B02247">
        <w:t>reciprocity.</w:t>
      </w:r>
      <w:r w:rsidR="003E731F">
        <w:t>”</w:t>
      </w:r>
    </w:p>
    <w:p w:rsidR="00F233AB" w:rsidRPr="00B02247" w:rsidRDefault="00F233AB" w:rsidP="00E1307D">
      <w:pPr>
        <w:pStyle w:val="SingleTxtG"/>
      </w:pPr>
      <w:r w:rsidRPr="00B02247">
        <w:t>42.</w:t>
      </w:r>
      <w:r w:rsidRPr="00B02247">
        <w:tab/>
        <w:t>International</w:t>
      </w:r>
      <w:r w:rsidR="005B2A41">
        <w:t xml:space="preserve"> </w:t>
      </w:r>
      <w:r w:rsidRPr="00B02247">
        <w:t>human</w:t>
      </w:r>
      <w:r w:rsidR="005B2A41">
        <w:t xml:space="preserve"> </w:t>
      </w:r>
      <w:r w:rsidRPr="00B02247">
        <w:t>rights</w:t>
      </w:r>
      <w:r w:rsidR="005B2A41">
        <w:t xml:space="preserve"> </w:t>
      </w:r>
      <w:r w:rsidRPr="00B02247">
        <w:t>treaties</w:t>
      </w:r>
      <w:r w:rsidR="005B2A41">
        <w:t xml:space="preserve"> </w:t>
      </w:r>
      <w:r w:rsidRPr="00B02247">
        <w:t>are</w:t>
      </w:r>
      <w:r w:rsidR="005B2A41">
        <w:t xml:space="preserve"> </w:t>
      </w:r>
      <w:r w:rsidRPr="00B02247">
        <w:t>subject</w:t>
      </w:r>
      <w:r w:rsidR="005B2A41">
        <w:t xml:space="preserve"> </w:t>
      </w:r>
      <w:r w:rsidRPr="00B02247">
        <w:t>to</w:t>
      </w:r>
      <w:r w:rsidR="005B2A41">
        <w:t xml:space="preserve"> </w:t>
      </w:r>
      <w:r w:rsidRPr="00B02247">
        <w:t>ratification</w:t>
      </w:r>
      <w:r w:rsidR="005B2A41">
        <w:t xml:space="preserve"> </w:t>
      </w:r>
      <w:r w:rsidRPr="00B02247">
        <w:t>by</w:t>
      </w:r>
      <w:r w:rsidR="005B2A41">
        <w:t xml:space="preserve"> </w:t>
      </w:r>
      <w:r w:rsidRPr="00B02247">
        <w:t>the</w:t>
      </w:r>
      <w:r w:rsidR="005B2A41">
        <w:t xml:space="preserve"> </w:t>
      </w:r>
      <w:r w:rsidRPr="00B02247">
        <w:t>Parliament,</w:t>
      </w:r>
      <w:r w:rsidR="005B2A41">
        <w:t xml:space="preserve"> </w:t>
      </w:r>
      <w:r w:rsidRPr="00B02247">
        <w:t>pursuant</w:t>
      </w:r>
      <w:r w:rsidR="005B2A41">
        <w:t xml:space="preserve"> </w:t>
      </w:r>
      <w:r w:rsidRPr="00B02247">
        <w:t>to</w:t>
      </w:r>
      <w:r w:rsidR="005B2A41">
        <w:t xml:space="preserve"> </w:t>
      </w:r>
      <w:r w:rsidRPr="00B02247">
        <w:t>Article</w:t>
      </w:r>
      <w:r w:rsidR="005B2A41">
        <w:t xml:space="preserve"> </w:t>
      </w:r>
      <w:r w:rsidRPr="00B02247">
        <w:t>36</w:t>
      </w:r>
      <w:r w:rsidR="005B2A41">
        <w:t xml:space="preserve"> </w:t>
      </w:r>
      <w:r w:rsidRPr="00B02247">
        <w:t>(2)</w:t>
      </w:r>
      <w:r w:rsidR="005B2A41">
        <w:t xml:space="preserve"> </w:t>
      </w:r>
      <w:r w:rsidRPr="00B02247">
        <w:t>of</w:t>
      </w:r>
      <w:r w:rsidR="005B2A41">
        <w:t xml:space="preserve"> </w:t>
      </w:r>
      <w:r w:rsidRPr="00B02247">
        <w:t>the</w:t>
      </w:r>
      <w:r w:rsidR="005B2A41">
        <w:t xml:space="preserve"> </w:t>
      </w:r>
      <w:r w:rsidRPr="00B02247">
        <w:t>Constitution.</w:t>
      </w:r>
    </w:p>
    <w:p w:rsidR="00F233AB" w:rsidRPr="00B02247" w:rsidRDefault="00F233AB" w:rsidP="00E1307D">
      <w:pPr>
        <w:pStyle w:val="SingleTxtG"/>
      </w:pPr>
      <w:r w:rsidRPr="00B02247">
        <w:t>43.</w:t>
      </w:r>
      <w:r w:rsidRPr="00B02247">
        <w:tab/>
        <w:t>International</w:t>
      </w:r>
      <w:r w:rsidR="005B2A41">
        <w:t xml:space="preserve"> </w:t>
      </w:r>
      <w:r w:rsidRPr="00B02247">
        <w:t>treaties</w:t>
      </w:r>
      <w:r w:rsidR="005B2A41">
        <w:t xml:space="preserve"> </w:t>
      </w:r>
      <w:r w:rsidRPr="00B02247">
        <w:t>prevail</w:t>
      </w:r>
      <w:r w:rsidR="005B2A41">
        <w:t xml:space="preserve"> </w:t>
      </w:r>
      <w:r w:rsidRPr="00B02247">
        <w:t>over</w:t>
      </w:r>
      <w:r w:rsidR="005B2A41">
        <w:t xml:space="preserve"> </w:t>
      </w:r>
      <w:r w:rsidRPr="00B02247">
        <w:t>any</w:t>
      </w:r>
      <w:r w:rsidR="005B2A41">
        <w:t xml:space="preserve"> </w:t>
      </w:r>
      <w:r w:rsidRPr="00B02247">
        <w:t>contrary</w:t>
      </w:r>
      <w:r w:rsidR="005B2A41">
        <w:t xml:space="preserve"> </w:t>
      </w:r>
      <w:r w:rsidRPr="00B02247">
        <w:t>legislative</w:t>
      </w:r>
      <w:r w:rsidR="005B2A41">
        <w:t xml:space="preserve"> </w:t>
      </w:r>
      <w:r w:rsidRPr="00B02247">
        <w:t>provision.</w:t>
      </w:r>
      <w:r w:rsidR="005B2A41">
        <w:t xml:space="preserve"> </w:t>
      </w:r>
      <w:r w:rsidRPr="00B02247">
        <w:t>Courts</w:t>
      </w:r>
      <w:r w:rsidR="005B2A41">
        <w:t xml:space="preserve"> </w:t>
      </w:r>
      <w:r w:rsidRPr="00B02247">
        <w:t>are</w:t>
      </w:r>
      <w:r w:rsidR="005B2A41">
        <w:t xml:space="preserve"> </w:t>
      </w:r>
      <w:r w:rsidRPr="00B02247">
        <w:t>bound</w:t>
      </w:r>
      <w:r w:rsidR="005B2A41">
        <w:t xml:space="preserve"> </w:t>
      </w:r>
      <w:r w:rsidRPr="00B02247">
        <w:t>not</w:t>
      </w:r>
      <w:r w:rsidR="005B2A41">
        <w:t xml:space="preserve"> </w:t>
      </w:r>
      <w:r w:rsidRPr="00B02247">
        <w:t>to</w:t>
      </w:r>
      <w:r w:rsidR="005B2A41">
        <w:t xml:space="preserve"> </w:t>
      </w:r>
      <w:r w:rsidRPr="00B02247">
        <w:t>apply,</w:t>
      </w:r>
      <w:r w:rsidR="005B2A41">
        <w:t xml:space="preserve"> </w:t>
      </w:r>
      <w:r w:rsidRPr="00B02247">
        <w:t>in</w:t>
      </w:r>
      <w:r w:rsidR="005B2A41">
        <w:t xml:space="preserve"> </w:t>
      </w:r>
      <w:r w:rsidRPr="00B02247">
        <w:t>a</w:t>
      </w:r>
      <w:r w:rsidR="005B2A41">
        <w:t xml:space="preserve"> </w:t>
      </w:r>
      <w:r w:rsidRPr="00B02247">
        <w:t>specific</w:t>
      </w:r>
      <w:r w:rsidR="005B2A41">
        <w:t xml:space="preserve"> </w:t>
      </w:r>
      <w:r w:rsidRPr="00B02247">
        <w:t>case</w:t>
      </w:r>
      <w:r w:rsidR="005B2A41">
        <w:t xml:space="preserve"> </w:t>
      </w:r>
      <w:r w:rsidRPr="00B02247">
        <w:t>pending</w:t>
      </w:r>
      <w:r w:rsidR="005B2A41">
        <w:t xml:space="preserve"> </w:t>
      </w:r>
      <w:r w:rsidRPr="00B02247">
        <w:t>before</w:t>
      </w:r>
      <w:r w:rsidR="005B2A41">
        <w:t xml:space="preserve"> </w:t>
      </w:r>
      <w:r w:rsidRPr="00B02247">
        <w:t>them,</w:t>
      </w:r>
      <w:r w:rsidR="005B2A41">
        <w:t xml:space="preserve"> </w:t>
      </w:r>
      <w:r w:rsidRPr="00B02247">
        <w:t>a</w:t>
      </w:r>
      <w:r w:rsidR="005B2A41">
        <w:t xml:space="preserve"> </w:t>
      </w:r>
      <w:r w:rsidRPr="00B02247">
        <w:t>domestic</w:t>
      </w:r>
      <w:r w:rsidR="005B2A41">
        <w:t xml:space="preserve"> </w:t>
      </w:r>
      <w:r w:rsidRPr="00B02247">
        <w:t>law</w:t>
      </w:r>
      <w:r w:rsidR="005B2A41">
        <w:t xml:space="preserve"> </w:t>
      </w:r>
      <w:r w:rsidRPr="00B02247">
        <w:t>found</w:t>
      </w:r>
      <w:r w:rsidR="005B2A41">
        <w:t xml:space="preserve"> </w:t>
      </w:r>
      <w:r w:rsidRPr="00B02247">
        <w:t>to</w:t>
      </w:r>
      <w:r w:rsidR="005B2A41">
        <w:t xml:space="preserve"> </w:t>
      </w:r>
      <w:r w:rsidRPr="00B02247">
        <w:t>be</w:t>
      </w:r>
      <w:r w:rsidR="005B2A41">
        <w:t xml:space="preserve"> </w:t>
      </w:r>
      <w:r w:rsidRPr="00B02247">
        <w:t>contrary</w:t>
      </w:r>
      <w:r w:rsidR="005B2A41">
        <w:t xml:space="preserve"> </w:t>
      </w:r>
      <w:r w:rsidRPr="00B02247">
        <w:t>to</w:t>
      </w:r>
      <w:r w:rsidR="005B2A41">
        <w:t xml:space="preserve"> </w:t>
      </w:r>
      <w:r w:rsidRPr="00B02247">
        <w:t>an</w:t>
      </w:r>
      <w:r w:rsidR="005B2A41">
        <w:t xml:space="preserve"> </w:t>
      </w:r>
      <w:r w:rsidRPr="00B02247">
        <w:t>international</w:t>
      </w:r>
      <w:r w:rsidR="005B2A41">
        <w:t xml:space="preserve"> </w:t>
      </w:r>
      <w:r w:rsidRPr="00B02247">
        <w:t>treaty,</w:t>
      </w:r>
      <w:r w:rsidR="005B2A41">
        <w:t xml:space="preserve"> </w:t>
      </w:r>
      <w:r w:rsidRPr="00B02247">
        <w:t>including</w:t>
      </w:r>
      <w:r w:rsidR="005B2A41">
        <w:t xml:space="preserve"> </w:t>
      </w:r>
      <w:r w:rsidRPr="00B02247">
        <w:t>human</w:t>
      </w:r>
      <w:r w:rsidR="005B2A41">
        <w:t xml:space="preserve"> </w:t>
      </w:r>
      <w:r w:rsidRPr="00B02247">
        <w:t>rights</w:t>
      </w:r>
      <w:r w:rsidR="005B2A41">
        <w:t xml:space="preserve"> </w:t>
      </w:r>
      <w:r w:rsidRPr="00B02247">
        <w:t>treaties.</w:t>
      </w:r>
      <w:r w:rsidR="005B2A41">
        <w:t xml:space="preserve"> </w:t>
      </w:r>
    </w:p>
    <w:p w:rsidR="00F233AB" w:rsidRPr="00B02247" w:rsidRDefault="00F233AB" w:rsidP="00E1307D">
      <w:pPr>
        <w:pStyle w:val="SingleTxtG"/>
      </w:pPr>
      <w:r w:rsidRPr="00B02247">
        <w:t>44.</w:t>
      </w:r>
      <w:r w:rsidRPr="00B02247">
        <w:tab/>
        <w:t>As</w:t>
      </w:r>
      <w:r w:rsidR="005B2A41">
        <w:t xml:space="preserve"> </w:t>
      </w:r>
      <w:r w:rsidRPr="00B02247">
        <w:t>of</w:t>
      </w:r>
      <w:r w:rsidR="005B2A41">
        <w:t xml:space="preserve"> </w:t>
      </w:r>
      <w:r w:rsidRPr="00B02247">
        <w:t>their</w:t>
      </w:r>
      <w:r w:rsidR="005B2A41">
        <w:t xml:space="preserve"> </w:t>
      </w:r>
      <w:r w:rsidRPr="00B02247">
        <w:t>incorporation</w:t>
      </w:r>
      <w:r w:rsidR="005B2A41">
        <w:t xml:space="preserve"> </w:t>
      </w:r>
      <w:r w:rsidRPr="00B02247">
        <w:t>into</w:t>
      </w:r>
      <w:r w:rsidR="005B2A41">
        <w:t xml:space="preserve"> </w:t>
      </w:r>
      <w:r w:rsidRPr="00B02247">
        <w:t>the</w:t>
      </w:r>
      <w:r w:rsidR="005B2A41">
        <w:t xml:space="preserve"> </w:t>
      </w:r>
      <w:r w:rsidRPr="00B02247">
        <w:t>Greek</w:t>
      </w:r>
      <w:r w:rsidR="005B2A41">
        <w:t xml:space="preserve"> </w:t>
      </w:r>
      <w:r w:rsidRPr="00B02247">
        <w:t>legal</w:t>
      </w:r>
      <w:r w:rsidR="005B2A41">
        <w:t xml:space="preserve"> </w:t>
      </w:r>
      <w:r w:rsidRPr="00B02247">
        <w:t>order,</w:t>
      </w:r>
      <w:r w:rsidR="005B2A41">
        <w:t xml:space="preserve"> </w:t>
      </w:r>
      <w:r w:rsidRPr="00B02247">
        <w:t>international</w:t>
      </w:r>
      <w:r w:rsidR="005B2A41">
        <w:t xml:space="preserve"> </w:t>
      </w:r>
      <w:r w:rsidRPr="00B02247">
        <w:t>treaties</w:t>
      </w:r>
      <w:r w:rsidR="005B2A41">
        <w:t xml:space="preserve"> </w:t>
      </w:r>
      <w:r w:rsidRPr="00B02247">
        <w:t>can</w:t>
      </w:r>
      <w:r w:rsidR="005B2A41">
        <w:t xml:space="preserve"> </w:t>
      </w:r>
      <w:r w:rsidRPr="00B02247">
        <w:t>be</w:t>
      </w:r>
      <w:r w:rsidR="005B2A41">
        <w:t xml:space="preserve"> </w:t>
      </w:r>
      <w:r w:rsidRPr="00B02247">
        <w:t>invoked</w:t>
      </w:r>
      <w:r w:rsidR="005B2A41">
        <w:t xml:space="preserve"> </w:t>
      </w:r>
      <w:r w:rsidRPr="00B02247">
        <w:t>directly</w:t>
      </w:r>
      <w:r w:rsidR="005B2A41">
        <w:t xml:space="preserve"> </w:t>
      </w:r>
      <w:r w:rsidRPr="00B02247">
        <w:t>before</w:t>
      </w:r>
      <w:r w:rsidR="005B2A41">
        <w:t xml:space="preserve"> </w:t>
      </w:r>
      <w:r w:rsidRPr="00B02247">
        <w:t>the</w:t>
      </w:r>
      <w:r w:rsidR="005B2A41">
        <w:t xml:space="preserve"> </w:t>
      </w:r>
      <w:r w:rsidRPr="00B02247">
        <w:t>courts,</w:t>
      </w:r>
      <w:r w:rsidR="005B2A41">
        <w:t xml:space="preserve"> </w:t>
      </w:r>
      <w:r w:rsidRPr="00B02247">
        <w:t>as</w:t>
      </w:r>
      <w:r w:rsidR="005B2A41">
        <w:t xml:space="preserve"> </w:t>
      </w:r>
      <w:r w:rsidRPr="00B02247">
        <w:t>well</w:t>
      </w:r>
      <w:r w:rsidR="005B2A41">
        <w:t xml:space="preserve"> </w:t>
      </w:r>
      <w:r w:rsidRPr="00B02247">
        <w:t>as</w:t>
      </w:r>
      <w:r w:rsidR="005B2A41">
        <w:t xml:space="preserve"> </w:t>
      </w:r>
      <w:r w:rsidRPr="00B02247">
        <w:t>before</w:t>
      </w:r>
      <w:r w:rsidR="005B2A41">
        <w:t xml:space="preserve"> </w:t>
      </w:r>
      <w:r w:rsidRPr="00B02247">
        <w:t>administrative</w:t>
      </w:r>
      <w:r w:rsidR="005B2A41">
        <w:t xml:space="preserve"> </w:t>
      </w:r>
      <w:r w:rsidRPr="00B02247">
        <w:t>authorities,</w:t>
      </w:r>
      <w:r w:rsidR="005B2A41">
        <w:t xml:space="preserve"> </w:t>
      </w:r>
      <w:r w:rsidRPr="00B02247">
        <w:t>insofar</w:t>
      </w:r>
      <w:r w:rsidR="005B2A41">
        <w:t xml:space="preserve"> </w:t>
      </w:r>
      <w:r w:rsidRPr="00B02247">
        <w:t>as</w:t>
      </w:r>
      <w:r w:rsidR="005B2A41">
        <w:t xml:space="preserve"> </w:t>
      </w:r>
      <w:r w:rsidRPr="00B02247">
        <w:t>they</w:t>
      </w:r>
      <w:r w:rsidR="005B2A41">
        <w:t xml:space="preserve"> </w:t>
      </w:r>
      <w:r w:rsidRPr="00B02247">
        <w:t>possess</w:t>
      </w:r>
      <w:r w:rsidR="005B2A41">
        <w:t xml:space="preserve"> </w:t>
      </w:r>
      <w:r w:rsidRPr="00B02247">
        <w:t>a</w:t>
      </w:r>
      <w:r w:rsidR="005B2A41">
        <w:t xml:space="preserve"> </w:t>
      </w:r>
      <w:r w:rsidRPr="00B02247">
        <w:t>self</w:t>
      </w:r>
      <w:r w:rsidRPr="00B02247">
        <w:noBreakHyphen/>
        <w:t>executing</w:t>
      </w:r>
      <w:r w:rsidR="005B2A41">
        <w:t xml:space="preserve"> </w:t>
      </w:r>
      <w:r w:rsidRPr="00B02247">
        <w:t>character.</w:t>
      </w:r>
      <w:r w:rsidR="005B2A41">
        <w:t xml:space="preserve"> </w:t>
      </w:r>
      <w:r w:rsidRPr="00B02247">
        <w:t>Greek</w:t>
      </w:r>
      <w:r w:rsidR="005B2A41">
        <w:t xml:space="preserve"> </w:t>
      </w:r>
      <w:r w:rsidRPr="00B02247">
        <w:t>courts</w:t>
      </w:r>
      <w:r w:rsidR="005B2A41">
        <w:t xml:space="preserve"> </w:t>
      </w:r>
      <w:r w:rsidRPr="00B02247">
        <w:t>base</w:t>
      </w:r>
      <w:r w:rsidR="005B2A41">
        <w:t xml:space="preserve"> </w:t>
      </w:r>
      <w:r w:rsidRPr="00B02247">
        <w:t>their</w:t>
      </w:r>
      <w:r w:rsidR="005B2A41">
        <w:t xml:space="preserve"> </w:t>
      </w:r>
      <w:r w:rsidRPr="00B02247">
        <w:t>judgments</w:t>
      </w:r>
      <w:r w:rsidR="005B2A41">
        <w:t xml:space="preserve"> </w:t>
      </w:r>
      <w:r w:rsidRPr="00B02247">
        <w:t>all</w:t>
      </w:r>
      <w:r w:rsidR="005B2A41">
        <w:t xml:space="preserve"> </w:t>
      </w:r>
      <w:r w:rsidRPr="00B02247">
        <w:t>the</w:t>
      </w:r>
      <w:r w:rsidR="005B2A41">
        <w:t xml:space="preserve"> </w:t>
      </w:r>
      <w:r w:rsidRPr="00B02247">
        <w:t>more</w:t>
      </w:r>
      <w:r w:rsidR="005B2A41">
        <w:t xml:space="preserve"> </w:t>
      </w:r>
      <w:r w:rsidRPr="00B02247">
        <w:t>frequently</w:t>
      </w:r>
      <w:r w:rsidR="005B2A41">
        <w:t xml:space="preserve"> </w:t>
      </w:r>
      <w:r w:rsidRPr="00B02247">
        <w:t>on</w:t>
      </w:r>
      <w:r w:rsidR="005B2A41">
        <w:t xml:space="preserve"> </w:t>
      </w:r>
      <w:r w:rsidRPr="00B02247">
        <w:t>the</w:t>
      </w:r>
      <w:r w:rsidR="005B2A41">
        <w:t xml:space="preserve"> </w:t>
      </w:r>
      <w:r w:rsidRPr="00B02247">
        <w:t>provisions</w:t>
      </w:r>
      <w:r w:rsidR="005B2A41">
        <w:t xml:space="preserve"> </w:t>
      </w:r>
      <w:r w:rsidRPr="00B02247">
        <w:t>of</w:t>
      </w:r>
      <w:r w:rsidR="005B2A41">
        <w:t xml:space="preserve"> </w:t>
      </w:r>
      <w:r w:rsidRPr="00B02247">
        <w:t>international</w:t>
      </w:r>
      <w:r w:rsidR="005B2A41">
        <w:t xml:space="preserve"> </w:t>
      </w:r>
      <w:r w:rsidRPr="00B02247">
        <w:t>human</w:t>
      </w:r>
      <w:r w:rsidR="005B2A41">
        <w:t xml:space="preserve"> </w:t>
      </w:r>
      <w:r w:rsidRPr="00B02247">
        <w:t>rights</w:t>
      </w:r>
      <w:r w:rsidR="005B2A41">
        <w:t xml:space="preserve"> </w:t>
      </w:r>
      <w:r w:rsidRPr="00B02247">
        <w:t>treaties.</w:t>
      </w:r>
      <w:r w:rsidR="005B2A41">
        <w:t xml:space="preserve"> </w:t>
      </w:r>
      <w:r w:rsidRPr="00B02247">
        <w:t>There</w:t>
      </w:r>
      <w:r w:rsidR="005B2A41">
        <w:t xml:space="preserve"> </w:t>
      </w:r>
      <w:r w:rsidRPr="00B02247">
        <w:t>are</w:t>
      </w:r>
      <w:r w:rsidR="005B2A41">
        <w:t xml:space="preserve"> </w:t>
      </w:r>
      <w:r w:rsidRPr="00B02247">
        <w:t>numerous</w:t>
      </w:r>
      <w:r w:rsidR="005B2A41">
        <w:t xml:space="preserve"> </w:t>
      </w:r>
      <w:r w:rsidRPr="00B02247">
        <w:t>domestic</w:t>
      </w:r>
      <w:r w:rsidR="005B2A41">
        <w:t xml:space="preserve"> </w:t>
      </w:r>
      <w:r w:rsidRPr="00B02247">
        <w:t>courts</w:t>
      </w:r>
      <w:r w:rsidR="003E731F">
        <w:t>’</w:t>
      </w:r>
      <w:r w:rsidR="005B2A41">
        <w:t xml:space="preserve"> </w:t>
      </w:r>
      <w:r w:rsidRPr="00B02247">
        <w:t>judgments</w:t>
      </w:r>
      <w:r w:rsidR="005B2A41">
        <w:t xml:space="preserve"> </w:t>
      </w:r>
      <w:r w:rsidRPr="00B02247">
        <w:t>applying,</w:t>
      </w:r>
      <w:r w:rsidR="005B2A41">
        <w:t xml:space="preserve"> </w:t>
      </w:r>
      <w:r w:rsidRPr="00B02247">
        <w:t>in</w:t>
      </w:r>
      <w:r w:rsidR="005B2A41">
        <w:t xml:space="preserve"> </w:t>
      </w:r>
      <w:r w:rsidRPr="00B02247">
        <w:t>particular,</w:t>
      </w:r>
      <w:r w:rsidR="005B2A41">
        <w:t xml:space="preserve"> </w:t>
      </w:r>
      <w:r w:rsidRPr="00B02247">
        <w:t>the</w:t>
      </w:r>
      <w:r w:rsidR="005B2A41">
        <w:t xml:space="preserve"> </w:t>
      </w:r>
      <w:r w:rsidRPr="00B02247">
        <w:t>European</w:t>
      </w:r>
      <w:r w:rsidR="005B2A41">
        <w:t xml:space="preserve"> </w:t>
      </w:r>
      <w:r w:rsidRPr="00B02247">
        <w:t>Convention</w:t>
      </w:r>
      <w:r w:rsidR="005B2A41">
        <w:t xml:space="preserve"> </w:t>
      </w:r>
      <w:r w:rsidRPr="00B02247">
        <w:t>on</w:t>
      </w:r>
      <w:r w:rsidR="005B2A41">
        <w:t xml:space="preserve"> </w:t>
      </w:r>
      <w:r w:rsidRPr="00B02247">
        <w:t>Human</w:t>
      </w:r>
      <w:r w:rsidR="005B2A41">
        <w:t xml:space="preserve"> </w:t>
      </w:r>
      <w:r w:rsidRPr="00B02247">
        <w:t>Rights,</w:t>
      </w:r>
      <w:r w:rsidR="005B2A41">
        <w:t xml:space="preserve"> </w:t>
      </w:r>
      <w:r w:rsidRPr="00B02247">
        <w:t>the</w:t>
      </w:r>
      <w:r w:rsidR="005B2A41">
        <w:t xml:space="preserve"> </w:t>
      </w:r>
      <w:r w:rsidRPr="00B02247">
        <w:t>ICCPR</w:t>
      </w:r>
      <w:r w:rsidR="005B2A41">
        <w:t xml:space="preserve"> </w:t>
      </w:r>
      <w:r w:rsidRPr="00B02247">
        <w:t>and</w:t>
      </w:r>
      <w:r w:rsidR="005B2A41">
        <w:t xml:space="preserve"> </w:t>
      </w:r>
      <w:r w:rsidRPr="00B02247">
        <w:t>other</w:t>
      </w:r>
      <w:r w:rsidR="005B2A41">
        <w:t xml:space="preserve"> </w:t>
      </w:r>
      <w:r w:rsidRPr="00B02247">
        <w:t>human</w:t>
      </w:r>
      <w:r w:rsidR="005B2A41">
        <w:t xml:space="preserve"> </w:t>
      </w:r>
      <w:r w:rsidRPr="00B02247">
        <w:t>rights</w:t>
      </w:r>
      <w:r w:rsidR="005B2A41">
        <w:t xml:space="preserve"> </w:t>
      </w:r>
      <w:r w:rsidRPr="00B02247">
        <w:t>treaties.</w:t>
      </w:r>
      <w:r w:rsidR="005B2A41">
        <w:t xml:space="preserve"> </w:t>
      </w:r>
      <w:r w:rsidRPr="00B02247">
        <w:t>It</w:t>
      </w:r>
      <w:r w:rsidR="005B2A41">
        <w:t xml:space="preserve"> </w:t>
      </w:r>
      <w:r w:rsidRPr="00B02247">
        <w:t>is</w:t>
      </w:r>
      <w:r w:rsidR="005B2A41">
        <w:t xml:space="preserve"> </w:t>
      </w:r>
      <w:r w:rsidRPr="00B02247">
        <w:t>expected</w:t>
      </w:r>
      <w:r w:rsidR="005B2A41">
        <w:t xml:space="preserve"> </w:t>
      </w:r>
      <w:r w:rsidRPr="00B02247">
        <w:t>that</w:t>
      </w:r>
      <w:r w:rsidR="005B2A41">
        <w:t xml:space="preserve"> </w:t>
      </w:r>
      <w:r w:rsidRPr="00B02247">
        <w:t>such</w:t>
      </w:r>
      <w:r w:rsidR="005B2A41">
        <w:t xml:space="preserve"> </w:t>
      </w:r>
      <w:r w:rsidRPr="00B02247">
        <w:t>trend</w:t>
      </w:r>
      <w:r w:rsidR="005B2A41">
        <w:t xml:space="preserve"> </w:t>
      </w:r>
      <w:r w:rsidRPr="00B02247">
        <w:t>will</w:t>
      </w:r>
      <w:r w:rsidR="005B2A41">
        <w:t xml:space="preserve"> </w:t>
      </w:r>
      <w:r w:rsidRPr="00B02247">
        <w:t>continue</w:t>
      </w:r>
      <w:r w:rsidR="005B2A41">
        <w:t xml:space="preserve"> </w:t>
      </w:r>
      <w:r w:rsidRPr="00B02247">
        <w:t>in</w:t>
      </w:r>
      <w:r w:rsidR="005B2A41">
        <w:t xml:space="preserve"> </w:t>
      </w:r>
      <w:r w:rsidRPr="00B02247">
        <w:t>the</w:t>
      </w:r>
      <w:r w:rsidR="005B2A41">
        <w:t xml:space="preserve"> </w:t>
      </w:r>
      <w:r w:rsidRPr="00B02247">
        <w:t>future,</w:t>
      </w:r>
      <w:r w:rsidR="005B2A41">
        <w:t xml:space="preserve"> </w:t>
      </w:r>
      <w:r w:rsidRPr="00B02247">
        <w:t>as</w:t>
      </w:r>
      <w:r w:rsidR="005B2A41">
        <w:t xml:space="preserve"> </w:t>
      </w:r>
      <w:r w:rsidRPr="00B02247">
        <w:t>the</w:t>
      </w:r>
      <w:r w:rsidR="005B2A41">
        <w:t xml:space="preserve"> </w:t>
      </w:r>
      <w:r w:rsidRPr="00B02247">
        <w:t>legal</w:t>
      </w:r>
      <w:r w:rsidR="005B2A41">
        <w:t xml:space="preserve"> </w:t>
      </w:r>
      <w:r w:rsidRPr="00B02247">
        <w:t>community,</w:t>
      </w:r>
      <w:r w:rsidR="005B2A41">
        <w:t xml:space="preserve"> </w:t>
      </w:r>
      <w:r w:rsidRPr="00B02247">
        <w:t>including</w:t>
      </w:r>
      <w:r w:rsidR="005B2A41">
        <w:t xml:space="preserve"> </w:t>
      </w:r>
      <w:r w:rsidRPr="00B02247">
        <w:t>judges</w:t>
      </w:r>
      <w:r w:rsidR="005B2A41">
        <w:t xml:space="preserve"> </w:t>
      </w:r>
      <w:r w:rsidRPr="00B02247">
        <w:t>and</w:t>
      </w:r>
      <w:r w:rsidR="005B2A41">
        <w:t xml:space="preserve"> </w:t>
      </w:r>
      <w:r w:rsidRPr="00B02247">
        <w:t>lawyers,</w:t>
      </w:r>
      <w:r w:rsidR="005B2A41">
        <w:t xml:space="preserve"> </w:t>
      </w:r>
      <w:r w:rsidRPr="00B02247">
        <w:t>are</w:t>
      </w:r>
      <w:r w:rsidR="005B2A41">
        <w:t xml:space="preserve"> </w:t>
      </w:r>
      <w:r w:rsidRPr="00B02247">
        <w:t>getting</w:t>
      </w:r>
      <w:r w:rsidR="005B2A41">
        <w:t xml:space="preserve"> </w:t>
      </w:r>
      <w:r w:rsidRPr="00B02247">
        <w:t>even</w:t>
      </w:r>
      <w:r w:rsidR="005B2A41">
        <w:t xml:space="preserve"> </w:t>
      </w:r>
      <w:r w:rsidRPr="00B02247">
        <w:t>more</w:t>
      </w:r>
      <w:r w:rsidR="005B2A41">
        <w:t xml:space="preserve"> </w:t>
      </w:r>
      <w:r w:rsidRPr="00B02247">
        <w:t>familiarized</w:t>
      </w:r>
      <w:r w:rsidR="005B2A41">
        <w:t xml:space="preserve"> </w:t>
      </w:r>
      <w:r w:rsidRPr="00B02247">
        <w:t>with</w:t>
      </w:r>
      <w:r w:rsidR="005B2A41">
        <w:t xml:space="preserve"> </w:t>
      </w:r>
      <w:r w:rsidRPr="00B02247">
        <w:t>international</w:t>
      </w:r>
      <w:r w:rsidR="005B2A41">
        <w:t xml:space="preserve"> </w:t>
      </w:r>
      <w:r w:rsidRPr="00B02247">
        <w:t>human</w:t>
      </w:r>
      <w:r w:rsidR="005B2A41">
        <w:t xml:space="preserve"> </w:t>
      </w:r>
      <w:r w:rsidRPr="00B02247">
        <w:t>rights</w:t>
      </w:r>
      <w:r w:rsidR="005B2A41">
        <w:t xml:space="preserve"> </w:t>
      </w:r>
      <w:r w:rsidRPr="00B02247">
        <w:t>treaties</w:t>
      </w:r>
      <w:r w:rsidR="005B2A41">
        <w:t xml:space="preserve"> </w:t>
      </w:r>
      <w:r w:rsidRPr="00B02247">
        <w:t>and</w:t>
      </w:r>
      <w:r w:rsidR="005B2A41">
        <w:t xml:space="preserve"> </w:t>
      </w:r>
      <w:r w:rsidRPr="00B02247">
        <w:t>the</w:t>
      </w:r>
      <w:r w:rsidR="005B2A41">
        <w:t xml:space="preserve"> </w:t>
      </w:r>
      <w:r w:rsidRPr="00B02247">
        <w:t>work</w:t>
      </w:r>
      <w:r w:rsidR="005B2A41">
        <w:t xml:space="preserve"> </w:t>
      </w:r>
      <w:r w:rsidRPr="00B02247">
        <w:t>of</w:t>
      </w:r>
      <w:r w:rsidR="005B2A41">
        <w:t xml:space="preserve"> </w:t>
      </w:r>
      <w:r w:rsidRPr="00B02247">
        <w:t>their</w:t>
      </w:r>
      <w:r w:rsidR="005B2A41">
        <w:t xml:space="preserve"> </w:t>
      </w:r>
      <w:r w:rsidRPr="00B02247">
        <w:t>monitoring</w:t>
      </w:r>
      <w:r w:rsidR="005B2A41">
        <w:t xml:space="preserve"> </w:t>
      </w:r>
      <w:r w:rsidRPr="00B02247">
        <w:t>bodies.</w:t>
      </w:r>
      <w:r w:rsidR="005B2A41">
        <w:t xml:space="preserve"> </w:t>
      </w:r>
      <w:r w:rsidRPr="00B02247">
        <w:t>Due</w:t>
      </w:r>
      <w:r w:rsidR="005B2A41">
        <w:t xml:space="preserve"> </w:t>
      </w:r>
      <w:r w:rsidRPr="00B02247">
        <w:t>attention</w:t>
      </w:r>
      <w:r w:rsidR="005B2A41">
        <w:t xml:space="preserve"> </w:t>
      </w:r>
      <w:r w:rsidRPr="00B02247">
        <w:t>is</w:t>
      </w:r>
      <w:r w:rsidR="005B2A41">
        <w:t xml:space="preserve"> </w:t>
      </w:r>
      <w:r w:rsidRPr="00B02247">
        <w:t>also</w:t>
      </w:r>
      <w:r w:rsidR="005B2A41">
        <w:t xml:space="preserve"> </w:t>
      </w:r>
      <w:r w:rsidRPr="00B02247">
        <w:t>given</w:t>
      </w:r>
      <w:r w:rsidR="005B2A41">
        <w:t xml:space="preserve"> </w:t>
      </w:r>
      <w:r w:rsidRPr="00B02247">
        <w:t>to</w:t>
      </w:r>
      <w:r w:rsidR="005B2A41">
        <w:t xml:space="preserve"> </w:t>
      </w:r>
      <w:r w:rsidRPr="00B02247">
        <w:t>the</w:t>
      </w:r>
      <w:r w:rsidR="005B2A41">
        <w:t xml:space="preserve"> </w:t>
      </w:r>
      <w:r w:rsidRPr="00B02247">
        <w:t>case-law</w:t>
      </w:r>
      <w:r w:rsidR="005B2A41">
        <w:t xml:space="preserve"> </w:t>
      </w:r>
      <w:r w:rsidRPr="00B02247">
        <w:t>of</w:t>
      </w:r>
      <w:r w:rsidR="005B2A41">
        <w:t xml:space="preserve"> </w:t>
      </w:r>
      <w:r w:rsidRPr="00B02247">
        <w:t>the</w:t>
      </w:r>
      <w:r w:rsidR="005B2A41">
        <w:t xml:space="preserve"> </w:t>
      </w:r>
      <w:r w:rsidRPr="00B02247">
        <w:t>international</w:t>
      </w:r>
      <w:r w:rsidR="005B2A41">
        <w:t xml:space="preserve"> </w:t>
      </w:r>
      <w:r w:rsidRPr="00B02247">
        <w:t>judicial</w:t>
      </w:r>
      <w:r w:rsidR="005B2A41">
        <w:t xml:space="preserve"> </w:t>
      </w:r>
      <w:r w:rsidRPr="00B02247">
        <w:t>bodies,</w:t>
      </w:r>
      <w:r w:rsidR="005B2A41">
        <w:t xml:space="preserve"> </w:t>
      </w:r>
      <w:r w:rsidRPr="00B02247">
        <w:t>as</w:t>
      </w:r>
      <w:r w:rsidR="005B2A41">
        <w:t xml:space="preserve"> </w:t>
      </w:r>
      <w:r w:rsidRPr="00B02247">
        <w:t>well</w:t>
      </w:r>
      <w:r w:rsidR="005B2A41">
        <w:t xml:space="preserve"> </w:t>
      </w:r>
      <w:r w:rsidRPr="00B02247">
        <w:t>as</w:t>
      </w:r>
      <w:r w:rsidR="005B2A41">
        <w:t xml:space="preserve"> </w:t>
      </w:r>
      <w:r w:rsidRPr="00B02247">
        <w:t>the</w:t>
      </w:r>
      <w:r w:rsidR="005B2A41">
        <w:t xml:space="preserve"> </w:t>
      </w:r>
      <w:r w:rsidRPr="00B02247">
        <w:t>Concluding</w:t>
      </w:r>
      <w:r w:rsidR="005B2A41">
        <w:t xml:space="preserve"> </w:t>
      </w:r>
      <w:r w:rsidRPr="00B02247">
        <w:t>Observations,</w:t>
      </w:r>
      <w:r w:rsidR="005B2A41">
        <w:t xml:space="preserve"> </w:t>
      </w:r>
      <w:r w:rsidRPr="00B02247">
        <w:t>relevant</w:t>
      </w:r>
      <w:r w:rsidR="005B2A41">
        <w:t xml:space="preserve"> </w:t>
      </w:r>
      <w:r w:rsidRPr="00B02247">
        <w:t>Views</w:t>
      </w:r>
      <w:r w:rsidR="005B2A41">
        <w:t xml:space="preserve"> </w:t>
      </w:r>
      <w:r w:rsidRPr="00B02247">
        <w:t>and</w:t>
      </w:r>
      <w:r w:rsidR="005B2A41">
        <w:t xml:space="preserve"> </w:t>
      </w:r>
      <w:r w:rsidRPr="00B02247">
        <w:t>General</w:t>
      </w:r>
      <w:r w:rsidR="005B2A41">
        <w:t xml:space="preserve"> </w:t>
      </w:r>
      <w:r w:rsidRPr="00B02247">
        <w:t>Comments</w:t>
      </w:r>
      <w:r w:rsidR="005B2A41">
        <w:t xml:space="preserve"> </w:t>
      </w:r>
      <w:r w:rsidRPr="00B02247">
        <w:t>of</w:t>
      </w:r>
      <w:r w:rsidR="005B2A41">
        <w:t xml:space="preserve"> </w:t>
      </w:r>
      <w:r w:rsidRPr="00B02247">
        <w:t>UN</w:t>
      </w:r>
      <w:r w:rsidR="005B2A41">
        <w:t xml:space="preserve"> </w:t>
      </w:r>
      <w:r w:rsidRPr="00B02247">
        <w:t>treaty</w:t>
      </w:r>
      <w:r w:rsidR="005B2A41">
        <w:t xml:space="preserve"> </w:t>
      </w:r>
      <w:r w:rsidRPr="00B02247">
        <w:t>bodies</w:t>
      </w:r>
      <w:r w:rsidR="005B2A41">
        <w:t xml:space="preserve"> </w:t>
      </w:r>
      <w:r w:rsidRPr="00B02247">
        <w:t>or</w:t>
      </w:r>
      <w:r w:rsidR="005B2A41">
        <w:t xml:space="preserve"> </w:t>
      </w:r>
      <w:r w:rsidRPr="00B02247">
        <w:t>the</w:t>
      </w:r>
      <w:r w:rsidR="005B2A41">
        <w:t xml:space="preserve"> </w:t>
      </w:r>
      <w:r w:rsidRPr="00B02247">
        <w:t>work</w:t>
      </w:r>
      <w:r w:rsidR="005B2A41">
        <w:t xml:space="preserve"> </w:t>
      </w:r>
      <w:r w:rsidRPr="00B02247">
        <w:t>undertaken</w:t>
      </w:r>
      <w:r w:rsidR="005B2A41">
        <w:t xml:space="preserve"> </w:t>
      </w:r>
      <w:r w:rsidRPr="00B02247">
        <w:t>by</w:t>
      </w:r>
      <w:r w:rsidR="005B2A41">
        <w:t xml:space="preserve"> </w:t>
      </w:r>
      <w:r w:rsidRPr="00B02247">
        <w:t>other</w:t>
      </w:r>
      <w:r w:rsidR="005B2A41">
        <w:t xml:space="preserve"> </w:t>
      </w:r>
      <w:r w:rsidRPr="00B02247">
        <w:t>international</w:t>
      </w:r>
      <w:r w:rsidR="005B2A41">
        <w:t xml:space="preserve"> </w:t>
      </w:r>
      <w:r w:rsidRPr="00B02247">
        <w:t>or</w:t>
      </w:r>
      <w:r w:rsidR="005B2A41">
        <w:t xml:space="preserve"> </w:t>
      </w:r>
      <w:r w:rsidRPr="00B02247">
        <w:t>regional</w:t>
      </w:r>
      <w:r w:rsidR="005B2A41">
        <w:t xml:space="preserve"> </w:t>
      </w:r>
      <w:r w:rsidRPr="00B02247">
        <w:t>monitoring</w:t>
      </w:r>
      <w:r w:rsidR="005B2A41">
        <w:t xml:space="preserve"> </w:t>
      </w:r>
      <w:r w:rsidRPr="00B02247">
        <w:t>mechanisms.</w:t>
      </w:r>
      <w:r w:rsidR="005B2A41">
        <w:t xml:space="preserve"> </w:t>
      </w:r>
      <w:r w:rsidRPr="00B02247">
        <w:t>The</w:t>
      </w:r>
      <w:r w:rsidR="005B2A41">
        <w:t xml:space="preserve"> </w:t>
      </w:r>
      <w:r w:rsidRPr="00B02247">
        <w:t>National</w:t>
      </w:r>
      <w:r w:rsidR="005B2A41">
        <w:t xml:space="preserve"> </w:t>
      </w:r>
      <w:r w:rsidRPr="00B02247">
        <w:t>Human</w:t>
      </w:r>
      <w:r w:rsidR="005B2A41">
        <w:t xml:space="preserve"> </w:t>
      </w:r>
      <w:r w:rsidRPr="00B02247">
        <w:t>Rights</w:t>
      </w:r>
      <w:r w:rsidR="005B2A41">
        <w:t xml:space="preserve"> </w:t>
      </w:r>
      <w:r w:rsidRPr="00B02247">
        <w:t>Commission</w:t>
      </w:r>
      <w:r w:rsidR="005B2A41">
        <w:t xml:space="preserve"> </w:t>
      </w:r>
      <w:r w:rsidRPr="00B02247">
        <w:t>and</w:t>
      </w:r>
      <w:r w:rsidR="005B2A41">
        <w:t xml:space="preserve"> </w:t>
      </w:r>
      <w:r w:rsidRPr="00B02247">
        <w:t>the</w:t>
      </w:r>
      <w:r w:rsidR="005B2A41">
        <w:t xml:space="preserve"> </w:t>
      </w:r>
      <w:r w:rsidRPr="00B02247">
        <w:t>Greek</w:t>
      </w:r>
      <w:r w:rsidR="005B2A41">
        <w:t xml:space="preserve"> </w:t>
      </w:r>
      <w:r w:rsidRPr="00B02247">
        <w:t>Ombudsman,</w:t>
      </w:r>
      <w:r w:rsidR="005B2A41">
        <w:t xml:space="preserve"> </w:t>
      </w:r>
      <w:r w:rsidRPr="00B02247">
        <w:t>in</w:t>
      </w:r>
      <w:r w:rsidR="005B2A41">
        <w:t xml:space="preserve"> </w:t>
      </w:r>
      <w:r w:rsidRPr="00B02247">
        <w:t>particular,</w:t>
      </w:r>
      <w:r w:rsidR="005B2A41">
        <w:t xml:space="preserve"> </w:t>
      </w:r>
      <w:r w:rsidRPr="00B02247">
        <w:t>systematically</w:t>
      </w:r>
      <w:r w:rsidR="005B2A41">
        <w:t xml:space="preserve"> </w:t>
      </w:r>
      <w:r w:rsidRPr="00B02247">
        <w:t>refer</w:t>
      </w:r>
      <w:r w:rsidR="005B2A41">
        <w:t xml:space="preserve"> </w:t>
      </w:r>
      <w:r w:rsidRPr="00B02247">
        <w:t>to,</w:t>
      </w:r>
      <w:r w:rsidR="005B2A41">
        <w:t xml:space="preserve"> </w:t>
      </w:r>
      <w:r w:rsidRPr="00B02247">
        <w:t>and</w:t>
      </w:r>
      <w:r w:rsidR="005B2A41">
        <w:t xml:space="preserve"> </w:t>
      </w:r>
      <w:r w:rsidRPr="00B02247">
        <w:t>are</w:t>
      </w:r>
      <w:r w:rsidR="005B2A41">
        <w:t xml:space="preserve"> </w:t>
      </w:r>
      <w:r w:rsidRPr="00B02247">
        <w:t>guided</w:t>
      </w:r>
      <w:r w:rsidR="005B2A41">
        <w:t xml:space="preserve"> </w:t>
      </w:r>
      <w:r w:rsidRPr="00B02247">
        <w:t>by,</w:t>
      </w:r>
      <w:r w:rsidR="005B2A41">
        <w:t xml:space="preserve"> </w:t>
      </w:r>
      <w:r w:rsidRPr="00B02247">
        <w:t>international</w:t>
      </w:r>
      <w:r w:rsidR="005B2A41">
        <w:t xml:space="preserve"> </w:t>
      </w:r>
      <w:r w:rsidRPr="00B02247">
        <w:t>and</w:t>
      </w:r>
      <w:r w:rsidR="005B2A41">
        <w:t xml:space="preserve"> </w:t>
      </w:r>
      <w:r w:rsidRPr="00B02247">
        <w:t>regional</w:t>
      </w:r>
      <w:r w:rsidR="005B2A41">
        <w:t xml:space="preserve"> </w:t>
      </w:r>
      <w:r w:rsidRPr="00B02247">
        <w:t>human</w:t>
      </w:r>
      <w:r w:rsidR="005B2A41">
        <w:t xml:space="preserve"> </w:t>
      </w:r>
      <w:r w:rsidRPr="00B02247">
        <w:t>rights</w:t>
      </w:r>
      <w:r w:rsidR="005B2A41">
        <w:t xml:space="preserve"> </w:t>
      </w:r>
      <w:r w:rsidRPr="00B02247">
        <w:t>treaties</w:t>
      </w:r>
      <w:r w:rsidR="005B2A41">
        <w:t xml:space="preserve"> </w:t>
      </w:r>
      <w:r w:rsidRPr="00B02247">
        <w:t>in</w:t>
      </w:r>
      <w:r w:rsidR="005B2A41">
        <w:t xml:space="preserve"> </w:t>
      </w:r>
      <w:r w:rsidRPr="00B02247">
        <w:t>their</w:t>
      </w:r>
      <w:r w:rsidR="005B2A41">
        <w:t xml:space="preserve"> </w:t>
      </w:r>
      <w:r w:rsidRPr="00B02247">
        <w:t>reports</w:t>
      </w:r>
      <w:r w:rsidR="005B2A41">
        <w:t xml:space="preserve"> </w:t>
      </w:r>
      <w:r w:rsidRPr="00B02247">
        <w:t>and</w:t>
      </w:r>
      <w:r w:rsidR="005B2A41">
        <w:t xml:space="preserve"> </w:t>
      </w:r>
      <w:r w:rsidRPr="00B02247">
        <w:t>recommendations.</w:t>
      </w:r>
      <w:r w:rsidR="005B2A41">
        <w:t xml:space="preserve"> </w:t>
      </w:r>
      <w:r w:rsidRPr="00B02247">
        <w:t>Furthermore,</w:t>
      </w:r>
      <w:r w:rsidR="005B2A41">
        <w:t xml:space="preserve"> </w:t>
      </w:r>
      <w:r w:rsidRPr="00B02247">
        <w:t>national</w:t>
      </w:r>
      <w:r w:rsidR="005B2A41">
        <w:t xml:space="preserve"> </w:t>
      </w:r>
      <w:r w:rsidRPr="00B02247">
        <w:t>human</w:t>
      </w:r>
      <w:r w:rsidR="005B2A41">
        <w:t xml:space="preserve"> </w:t>
      </w:r>
      <w:r w:rsidRPr="00B02247">
        <w:t>rights</w:t>
      </w:r>
      <w:r w:rsidR="005B2A41">
        <w:t xml:space="preserve"> </w:t>
      </w:r>
      <w:r w:rsidRPr="00B02247">
        <w:t>action</w:t>
      </w:r>
      <w:r w:rsidR="005B2A41">
        <w:t xml:space="preserve"> </w:t>
      </w:r>
      <w:r w:rsidRPr="00B02247">
        <w:t>plans</w:t>
      </w:r>
      <w:r w:rsidR="005B2A41">
        <w:t xml:space="preserve"> </w:t>
      </w:r>
      <w:r w:rsidRPr="00B02247">
        <w:t>specifically</w:t>
      </w:r>
      <w:r w:rsidR="005B2A41">
        <w:t xml:space="preserve"> </w:t>
      </w:r>
      <w:r w:rsidRPr="00B02247">
        <w:t>address</w:t>
      </w:r>
      <w:r w:rsidR="005B2A41">
        <w:t xml:space="preserve"> </w:t>
      </w:r>
      <w:r w:rsidRPr="00B02247">
        <w:t>the</w:t>
      </w:r>
      <w:r w:rsidR="005B2A41">
        <w:t xml:space="preserve"> </w:t>
      </w:r>
      <w:r w:rsidRPr="00B02247">
        <w:t>recommendations</w:t>
      </w:r>
      <w:r w:rsidR="005B2A41">
        <w:t xml:space="preserve"> </w:t>
      </w:r>
      <w:r w:rsidRPr="00B02247">
        <w:t>adopted</w:t>
      </w:r>
      <w:r w:rsidR="005B2A41">
        <w:t xml:space="preserve"> </w:t>
      </w:r>
      <w:r w:rsidRPr="00B02247">
        <w:t>by</w:t>
      </w:r>
      <w:r w:rsidR="005B2A41">
        <w:t xml:space="preserve"> </w:t>
      </w:r>
      <w:r w:rsidRPr="00B02247">
        <w:t>treaty</w:t>
      </w:r>
      <w:r w:rsidR="005B2A41">
        <w:t xml:space="preserve"> </w:t>
      </w:r>
      <w:r w:rsidRPr="00B02247">
        <w:t>bodies</w:t>
      </w:r>
      <w:r w:rsidR="005B2A41">
        <w:t xml:space="preserve"> </w:t>
      </w:r>
      <w:r w:rsidRPr="00B02247">
        <w:t>following</w:t>
      </w:r>
      <w:r w:rsidR="005B2A41">
        <w:t xml:space="preserve"> </w:t>
      </w:r>
      <w:r w:rsidRPr="00B02247">
        <w:t>the</w:t>
      </w:r>
      <w:r w:rsidR="005B2A41">
        <w:t xml:space="preserve"> </w:t>
      </w:r>
      <w:r w:rsidRPr="00B02247">
        <w:t>consideration</w:t>
      </w:r>
      <w:r w:rsidR="005B2A41">
        <w:t xml:space="preserve"> </w:t>
      </w:r>
      <w:r w:rsidRPr="00B02247">
        <w:t>of</w:t>
      </w:r>
      <w:r w:rsidR="005B2A41">
        <w:t xml:space="preserve"> </w:t>
      </w:r>
      <w:r w:rsidRPr="00B02247">
        <w:t>Greece</w:t>
      </w:r>
      <w:r w:rsidR="003E731F">
        <w:t>’</w:t>
      </w:r>
      <w:r w:rsidRPr="00B02247">
        <w:t>s</w:t>
      </w:r>
      <w:r w:rsidR="005B2A41">
        <w:t xml:space="preserve"> </w:t>
      </w:r>
      <w:r w:rsidRPr="00B02247">
        <w:t>periodic</w:t>
      </w:r>
      <w:r w:rsidR="005B2A41">
        <w:t xml:space="preserve"> </w:t>
      </w:r>
      <w:r w:rsidRPr="00B02247">
        <w:t>reports.</w:t>
      </w:r>
      <w:r w:rsidR="005B2A41">
        <w:t xml:space="preserve"> </w:t>
      </w:r>
    </w:p>
    <w:p w:rsidR="00F233AB" w:rsidRPr="00B02247" w:rsidRDefault="00F233AB" w:rsidP="00E1307D">
      <w:pPr>
        <w:pStyle w:val="SingleTxtG"/>
      </w:pPr>
      <w:r w:rsidRPr="00B02247">
        <w:t>45.</w:t>
      </w:r>
      <w:r w:rsidRPr="00B02247">
        <w:tab/>
        <w:t>Furthermore,</w:t>
      </w:r>
      <w:r w:rsidR="005B2A41">
        <w:t xml:space="preserve"> </w:t>
      </w:r>
      <w:r w:rsidRPr="00B02247">
        <w:t>Article</w:t>
      </w:r>
      <w:r w:rsidR="005B2A41">
        <w:t xml:space="preserve"> </w:t>
      </w:r>
      <w:r w:rsidRPr="00B02247">
        <w:t>28</w:t>
      </w:r>
      <w:r w:rsidR="005B2A41">
        <w:t xml:space="preserve"> </w:t>
      </w:r>
      <w:r w:rsidRPr="00B02247">
        <w:t>(1)</w:t>
      </w:r>
      <w:r w:rsidR="005B2A41">
        <w:t xml:space="preserve"> </w:t>
      </w:r>
      <w:r w:rsidRPr="00B02247">
        <w:t>of</w:t>
      </w:r>
      <w:r w:rsidR="005B2A41">
        <w:t xml:space="preserve"> </w:t>
      </w:r>
      <w:r w:rsidRPr="00B02247">
        <w:t>the</w:t>
      </w:r>
      <w:r w:rsidR="005B2A41">
        <w:t xml:space="preserve"> </w:t>
      </w:r>
      <w:r w:rsidRPr="00B02247">
        <w:t>Constitution</w:t>
      </w:r>
      <w:r w:rsidR="005B2A41">
        <w:t xml:space="preserve"> </w:t>
      </w:r>
      <w:r w:rsidRPr="00B02247">
        <w:t>defines</w:t>
      </w:r>
      <w:r w:rsidR="005B2A41">
        <w:t xml:space="preserve"> </w:t>
      </w:r>
      <w:r w:rsidRPr="00B02247">
        <w:t>reciprocity</w:t>
      </w:r>
      <w:r w:rsidR="005B2A41">
        <w:t xml:space="preserve"> </w:t>
      </w:r>
      <w:r w:rsidRPr="00B02247">
        <w:t>as</w:t>
      </w:r>
      <w:r w:rsidR="005B2A41">
        <w:t xml:space="preserve"> </w:t>
      </w:r>
      <w:r w:rsidRPr="00B02247">
        <w:t>a</w:t>
      </w:r>
      <w:r w:rsidR="005B2A41">
        <w:t xml:space="preserve"> </w:t>
      </w:r>
      <w:r w:rsidRPr="00B02247">
        <w:t>requirement</w:t>
      </w:r>
      <w:r w:rsidR="005B2A41">
        <w:t xml:space="preserve"> </w:t>
      </w:r>
      <w:r w:rsidRPr="00B02247">
        <w:t>for</w:t>
      </w:r>
      <w:r w:rsidR="005B2A41">
        <w:t xml:space="preserve"> </w:t>
      </w:r>
      <w:r w:rsidRPr="00B02247">
        <w:t>the</w:t>
      </w:r>
      <w:r w:rsidR="005B2A41">
        <w:t xml:space="preserve"> </w:t>
      </w:r>
      <w:r w:rsidRPr="00B02247">
        <w:t>supra-legislative</w:t>
      </w:r>
      <w:r w:rsidR="005B2A41">
        <w:t xml:space="preserve"> </w:t>
      </w:r>
      <w:r w:rsidRPr="00B02247">
        <w:t>force</w:t>
      </w:r>
      <w:r w:rsidR="005B2A41">
        <w:t xml:space="preserve"> </w:t>
      </w:r>
      <w:r w:rsidRPr="00B02247">
        <w:t>of</w:t>
      </w:r>
      <w:r w:rsidR="005B2A41">
        <w:t xml:space="preserve"> </w:t>
      </w:r>
      <w:r w:rsidRPr="00B02247">
        <w:t>all</w:t>
      </w:r>
      <w:r w:rsidR="005B2A41">
        <w:t xml:space="preserve"> </w:t>
      </w:r>
      <w:r w:rsidRPr="00B02247">
        <w:t>the</w:t>
      </w:r>
      <w:r w:rsidR="005B2A41">
        <w:t xml:space="preserve"> </w:t>
      </w:r>
      <w:r w:rsidRPr="00B02247">
        <w:t>aforementioned</w:t>
      </w:r>
      <w:r w:rsidR="005B2A41">
        <w:t xml:space="preserve"> </w:t>
      </w:r>
      <w:r w:rsidRPr="00B02247">
        <w:t>rules.</w:t>
      </w:r>
      <w:r w:rsidR="005B2A41">
        <w:t xml:space="preserve"> </w:t>
      </w:r>
      <w:r w:rsidRPr="00B02247">
        <w:t>However,</w:t>
      </w:r>
      <w:r w:rsidR="005B2A41">
        <w:t xml:space="preserve"> </w:t>
      </w:r>
      <w:r w:rsidRPr="00B02247">
        <w:t>the</w:t>
      </w:r>
      <w:r w:rsidR="005B2A41">
        <w:t xml:space="preserve"> </w:t>
      </w:r>
      <w:r w:rsidRPr="00B02247">
        <w:t>rule</w:t>
      </w:r>
      <w:r w:rsidR="005B2A41">
        <w:t xml:space="preserve"> </w:t>
      </w:r>
      <w:r w:rsidRPr="00B02247">
        <w:t>of</w:t>
      </w:r>
      <w:r w:rsidR="005B2A41">
        <w:t xml:space="preserve"> </w:t>
      </w:r>
      <w:r w:rsidRPr="00B02247">
        <w:t>reciprocity</w:t>
      </w:r>
      <w:r w:rsidR="005B2A41">
        <w:t xml:space="preserve"> </w:t>
      </w:r>
      <w:r w:rsidRPr="00B02247">
        <w:t>is</w:t>
      </w:r>
      <w:r w:rsidR="005B2A41">
        <w:t xml:space="preserve"> </w:t>
      </w:r>
      <w:r w:rsidRPr="00B02247">
        <w:t>not</w:t>
      </w:r>
      <w:r w:rsidR="005B2A41">
        <w:t xml:space="preserve"> </w:t>
      </w:r>
      <w:r w:rsidRPr="00B02247">
        <w:t>applied</w:t>
      </w:r>
      <w:r w:rsidR="005B2A41">
        <w:t xml:space="preserve"> </w:t>
      </w:r>
      <w:r w:rsidRPr="00B02247">
        <w:t>as</w:t>
      </w:r>
      <w:r w:rsidR="005B2A41">
        <w:t xml:space="preserve"> </w:t>
      </w:r>
      <w:r w:rsidRPr="00B02247">
        <w:t>regards</w:t>
      </w:r>
      <w:r w:rsidR="005B2A41">
        <w:t xml:space="preserve"> </w:t>
      </w:r>
      <w:r w:rsidRPr="00B02247">
        <w:t>human</w:t>
      </w:r>
      <w:r w:rsidR="005B2A41">
        <w:t xml:space="preserve"> </w:t>
      </w:r>
      <w:r w:rsidRPr="00B02247">
        <w:t>rights</w:t>
      </w:r>
      <w:r w:rsidR="005B2A41">
        <w:t xml:space="preserve"> </w:t>
      </w:r>
      <w:r w:rsidRPr="00B02247">
        <w:t>issues.</w:t>
      </w:r>
    </w:p>
    <w:p w:rsidR="00F233AB" w:rsidRPr="00B02247" w:rsidRDefault="00F233AB" w:rsidP="00E1307D">
      <w:pPr>
        <w:pStyle w:val="SingleTxtG"/>
      </w:pPr>
      <w:r w:rsidRPr="00B02247">
        <w:t>46.</w:t>
      </w:r>
      <w:r w:rsidRPr="00B02247">
        <w:tab/>
        <w:t>In</w:t>
      </w:r>
      <w:r w:rsidR="005B2A41">
        <w:t xml:space="preserve"> </w:t>
      </w:r>
      <w:r w:rsidRPr="00B02247">
        <w:t>conclusion,</w:t>
      </w:r>
      <w:r w:rsidR="005B2A41">
        <w:t xml:space="preserve"> </w:t>
      </w:r>
      <w:r w:rsidRPr="00B02247">
        <w:t>the</w:t>
      </w:r>
      <w:r w:rsidR="005B2A41">
        <w:t xml:space="preserve"> </w:t>
      </w:r>
      <w:r w:rsidRPr="00B02247">
        <w:t>implementation</w:t>
      </w:r>
      <w:r w:rsidR="005B2A41">
        <w:t xml:space="preserve"> </w:t>
      </w:r>
      <w:r w:rsidRPr="00B02247">
        <w:t>of</w:t>
      </w:r>
      <w:r w:rsidR="005B2A41">
        <w:t xml:space="preserve"> </w:t>
      </w:r>
      <w:r w:rsidRPr="00B02247">
        <w:t>the</w:t>
      </w:r>
      <w:r w:rsidR="005B2A41">
        <w:t xml:space="preserve"> </w:t>
      </w:r>
      <w:r w:rsidRPr="00B02247">
        <w:t>international</w:t>
      </w:r>
      <w:r w:rsidR="005B2A41">
        <w:t xml:space="preserve"> </w:t>
      </w:r>
      <w:r w:rsidRPr="00B02247">
        <w:t>conventions</w:t>
      </w:r>
      <w:r w:rsidR="005B2A41">
        <w:t xml:space="preserve"> </w:t>
      </w:r>
      <w:r w:rsidRPr="00B02247">
        <w:t>for</w:t>
      </w:r>
      <w:r w:rsidR="005B2A41">
        <w:t xml:space="preserve"> </w:t>
      </w:r>
      <w:r w:rsidRPr="00B02247">
        <w:t>the</w:t>
      </w:r>
      <w:r w:rsidR="005B2A41">
        <w:t xml:space="preserve"> </w:t>
      </w:r>
      <w:r w:rsidRPr="00B02247">
        <w:t>protection</w:t>
      </w:r>
      <w:r w:rsidR="005B2A41">
        <w:t xml:space="preserve"> </w:t>
      </w:r>
      <w:r w:rsidRPr="00B02247">
        <w:t>of</w:t>
      </w:r>
      <w:r w:rsidR="005B2A41">
        <w:t xml:space="preserve"> </w:t>
      </w:r>
      <w:r w:rsidRPr="00B02247">
        <w:t>human</w:t>
      </w:r>
      <w:r w:rsidR="005B2A41">
        <w:t xml:space="preserve"> </w:t>
      </w:r>
      <w:r w:rsidRPr="00B02247">
        <w:t>rights</w:t>
      </w:r>
      <w:r w:rsidR="005B2A41">
        <w:t xml:space="preserve"> </w:t>
      </w:r>
      <w:r w:rsidRPr="00B02247">
        <w:t>is</w:t>
      </w:r>
      <w:r w:rsidR="005B2A41">
        <w:t xml:space="preserve"> </w:t>
      </w:r>
      <w:r w:rsidRPr="00B02247">
        <w:t>taking</w:t>
      </w:r>
      <w:r w:rsidR="005B2A41">
        <w:t xml:space="preserve"> </w:t>
      </w:r>
      <w:r w:rsidRPr="00B02247">
        <w:t>place</w:t>
      </w:r>
      <w:r w:rsidR="005B2A41">
        <w:t xml:space="preserve"> </w:t>
      </w:r>
      <w:r w:rsidRPr="00B02247">
        <w:t>in</w:t>
      </w:r>
      <w:r w:rsidR="005B2A41">
        <w:t xml:space="preserve"> </w:t>
      </w:r>
      <w:r w:rsidRPr="00B02247">
        <w:t>a</w:t>
      </w:r>
      <w:r w:rsidR="005B2A41">
        <w:t xml:space="preserve"> </w:t>
      </w:r>
      <w:r w:rsidRPr="00B02247">
        <w:t>particularly</w:t>
      </w:r>
      <w:r w:rsidR="005B2A41">
        <w:t xml:space="preserve"> </w:t>
      </w:r>
      <w:r w:rsidRPr="00B02247">
        <w:t>positive</w:t>
      </w:r>
      <w:r w:rsidR="005B2A41">
        <w:t xml:space="preserve"> </w:t>
      </w:r>
      <w:r w:rsidRPr="00B02247">
        <w:t>environment,</w:t>
      </w:r>
      <w:r w:rsidR="005B2A41">
        <w:t xml:space="preserve"> </w:t>
      </w:r>
      <w:r w:rsidRPr="00B02247">
        <w:t>to</w:t>
      </w:r>
      <w:r w:rsidR="005B2A41">
        <w:t xml:space="preserve"> </w:t>
      </w:r>
      <w:r w:rsidRPr="00B02247">
        <w:t>the</w:t>
      </w:r>
      <w:r w:rsidR="005B2A41">
        <w:t xml:space="preserve"> </w:t>
      </w:r>
      <w:r w:rsidRPr="00B02247">
        <w:t>extent</w:t>
      </w:r>
      <w:r w:rsidR="005B2A41">
        <w:t xml:space="preserve"> </w:t>
      </w:r>
      <w:r w:rsidRPr="00B02247">
        <w:t>that</w:t>
      </w:r>
      <w:r w:rsidR="005B2A41">
        <w:t xml:space="preserve"> </w:t>
      </w:r>
      <w:r w:rsidRPr="00B02247">
        <w:t>the</w:t>
      </w:r>
      <w:r w:rsidR="005B2A41">
        <w:t xml:space="preserve"> </w:t>
      </w:r>
      <w:r w:rsidRPr="00B02247">
        <w:t>Greek</w:t>
      </w:r>
      <w:r w:rsidR="005B2A41">
        <w:t xml:space="preserve"> </w:t>
      </w:r>
      <w:r w:rsidRPr="00B02247">
        <w:t>legal</w:t>
      </w:r>
      <w:r w:rsidR="005B2A41">
        <w:t xml:space="preserve"> </w:t>
      </w:r>
      <w:r w:rsidRPr="00B02247">
        <w:t>order</w:t>
      </w:r>
      <w:r w:rsidR="005B2A41">
        <w:t xml:space="preserve"> </w:t>
      </w:r>
      <w:r w:rsidRPr="00B02247">
        <w:t>acknowledges</w:t>
      </w:r>
      <w:r w:rsidR="005B2A41">
        <w:t xml:space="preserve"> </w:t>
      </w:r>
      <w:r w:rsidRPr="00B02247">
        <w:t>the</w:t>
      </w:r>
      <w:r w:rsidR="005B2A41">
        <w:t xml:space="preserve"> </w:t>
      </w:r>
      <w:r w:rsidRPr="00B02247">
        <w:t>principles</w:t>
      </w:r>
      <w:r w:rsidR="005B2A41">
        <w:t xml:space="preserve"> </w:t>
      </w:r>
      <w:r w:rsidRPr="00B02247">
        <w:t>of</w:t>
      </w:r>
      <w:r w:rsidR="005B2A41">
        <w:t xml:space="preserve"> </w:t>
      </w:r>
      <w:r w:rsidRPr="00B02247">
        <w:t>their</w:t>
      </w:r>
      <w:r w:rsidR="005B2A41">
        <w:t xml:space="preserve"> </w:t>
      </w:r>
      <w:r w:rsidRPr="00B02247">
        <w:t>supra-legislative</w:t>
      </w:r>
      <w:r w:rsidR="005B2A41">
        <w:t xml:space="preserve"> </w:t>
      </w:r>
      <w:r w:rsidRPr="00B02247">
        <w:t>force</w:t>
      </w:r>
      <w:r w:rsidR="005B2A41">
        <w:t xml:space="preserve"> </w:t>
      </w:r>
      <w:r w:rsidRPr="00B02247">
        <w:t>and</w:t>
      </w:r>
      <w:r w:rsidR="005B2A41">
        <w:t xml:space="preserve"> </w:t>
      </w:r>
      <w:r w:rsidRPr="00B02247">
        <w:t>of</w:t>
      </w:r>
      <w:r w:rsidR="005B2A41">
        <w:t xml:space="preserve"> </w:t>
      </w:r>
      <w:r w:rsidRPr="00B02247">
        <w:t>the</w:t>
      </w:r>
      <w:r w:rsidR="005B2A41">
        <w:t xml:space="preserve"> </w:t>
      </w:r>
      <w:r w:rsidRPr="00B02247">
        <w:t>direct</w:t>
      </w:r>
      <w:r w:rsidR="005B2A41">
        <w:t xml:space="preserve"> </w:t>
      </w:r>
      <w:r w:rsidRPr="00B02247">
        <w:t>implementation</w:t>
      </w:r>
      <w:r w:rsidR="005B2A41">
        <w:t xml:space="preserve"> </w:t>
      </w:r>
      <w:r w:rsidRPr="00B02247">
        <w:t>and</w:t>
      </w:r>
      <w:r w:rsidR="005B2A41">
        <w:t xml:space="preserve"> </w:t>
      </w:r>
      <w:r w:rsidRPr="00B02247">
        <w:t>invocation</w:t>
      </w:r>
      <w:r w:rsidR="005B2A41">
        <w:t xml:space="preserve"> </w:t>
      </w:r>
      <w:r w:rsidRPr="00B02247">
        <w:t>of</w:t>
      </w:r>
      <w:r w:rsidR="005B2A41">
        <w:t xml:space="preserve"> </w:t>
      </w:r>
      <w:r w:rsidRPr="00B02247">
        <w:t>their</w:t>
      </w:r>
      <w:r w:rsidR="005B2A41">
        <w:t xml:space="preserve"> </w:t>
      </w:r>
      <w:r w:rsidRPr="00B02247">
        <w:t>provisions,</w:t>
      </w:r>
      <w:r w:rsidR="005B2A41">
        <w:t xml:space="preserve"> </w:t>
      </w:r>
      <w:r w:rsidRPr="00B02247">
        <w:t>imposing</w:t>
      </w:r>
      <w:r w:rsidR="005B2A41">
        <w:t xml:space="preserve"> </w:t>
      </w:r>
      <w:r w:rsidRPr="00B02247">
        <w:t>at</w:t>
      </w:r>
      <w:r w:rsidR="005B2A41">
        <w:t xml:space="preserve"> </w:t>
      </w:r>
      <w:r w:rsidRPr="00B02247">
        <w:t>the</w:t>
      </w:r>
      <w:r w:rsidR="005B2A41">
        <w:t xml:space="preserve"> </w:t>
      </w:r>
      <w:r w:rsidRPr="00B02247">
        <w:t>same</w:t>
      </w:r>
      <w:r w:rsidR="005B2A41">
        <w:t xml:space="preserve"> </w:t>
      </w:r>
      <w:r w:rsidRPr="00B02247">
        <w:t>time</w:t>
      </w:r>
      <w:r w:rsidR="005B2A41">
        <w:t xml:space="preserve"> </w:t>
      </w:r>
      <w:r w:rsidRPr="00B02247">
        <w:t>the</w:t>
      </w:r>
      <w:r w:rsidR="005B2A41">
        <w:t xml:space="preserve"> </w:t>
      </w:r>
      <w:r w:rsidRPr="00B02247">
        <w:t>obligation</w:t>
      </w:r>
      <w:r w:rsidR="005B2A41">
        <w:t xml:space="preserve"> </w:t>
      </w:r>
      <w:r w:rsidRPr="00B02247">
        <w:t>of</w:t>
      </w:r>
      <w:r w:rsidR="005B2A41">
        <w:t xml:space="preserve"> </w:t>
      </w:r>
      <w:r w:rsidRPr="00B02247">
        <w:t>all</w:t>
      </w:r>
      <w:r w:rsidR="005B2A41">
        <w:t xml:space="preserve"> </w:t>
      </w:r>
      <w:r w:rsidRPr="00B02247">
        <w:t>courts</w:t>
      </w:r>
      <w:r w:rsidR="005B2A41">
        <w:t xml:space="preserve"> </w:t>
      </w:r>
      <w:r w:rsidRPr="00B02247">
        <w:t>not</w:t>
      </w:r>
      <w:r w:rsidR="005B2A41">
        <w:t xml:space="preserve"> </w:t>
      </w:r>
      <w:r w:rsidRPr="00B02247">
        <w:t>to</w:t>
      </w:r>
      <w:r w:rsidR="005B2A41">
        <w:t xml:space="preserve"> </w:t>
      </w:r>
      <w:r w:rsidRPr="00B02247">
        <w:t>apply</w:t>
      </w:r>
      <w:r w:rsidR="005B2A41">
        <w:t xml:space="preserve"> </w:t>
      </w:r>
      <w:r w:rsidRPr="00B02247">
        <w:t>a</w:t>
      </w:r>
      <w:r w:rsidR="005B2A41">
        <w:t xml:space="preserve"> </w:t>
      </w:r>
      <w:r w:rsidRPr="00B02247">
        <w:t>law</w:t>
      </w:r>
      <w:r w:rsidR="005B2A41">
        <w:t xml:space="preserve"> </w:t>
      </w:r>
      <w:r w:rsidRPr="00B02247">
        <w:t>the</w:t>
      </w:r>
      <w:r w:rsidR="005B2A41">
        <w:t xml:space="preserve"> </w:t>
      </w:r>
      <w:r w:rsidRPr="00B02247">
        <w:t>content</w:t>
      </w:r>
      <w:r w:rsidR="005B2A41">
        <w:t xml:space="preserve"> </w:t>
      </w:r>
      <w:r w:rsidRPr="00B02247">
        <w:t>of</w:t>
      </w:r>
      <w:r w:rsidR="005B2A41">
        <w:t xml:space="preserve"> </w:t>
      </w:r>
      <w:r w:rsidRPr="00B02247">
        <w:t>which</w:t>
      </w:r>
      <w:r w:rsidR="005B2A41">
        <w:t xml:space="preserve"> </w:t>
      </w:r>
      <w:r w:rsidRPr="00B02247">
        <w:t>runs</w:t>
      </w:r>
      <w:r w:rsidR="005B2A41">
        <w:t xml:space="preserve"> </w:t>
      </w:r>
      <w:r w:rsidRPr="00B02247">
        <w:t>contrary</w:t>
      </w:r>
      <w:r w:rsidR="005B2A41">
        <w:t xml:space="preserve"> </w:t>
      </w:r>
      <w:r w:rsidRPr="00B02247">
        <w:t>to</w:t>
      </w:r>
      <w:r w:rsidR="005B2A41">
        <w:t xml:space="preserve"> </w:t>
      </w:r>
      <w:r w:rsidRPr="00B02247">
        <w:t>international</w:t>
      </w:r>
      <w:r w:rsidR="005B2A41">
        <w:t xml:space="preserve"> </w:t>
      </w:r>
      <w:r w:rsidRPr="00B02247">
        <w:t>treaties.</w:t>
      </w:r>
      <w:r w:rsidR="005B2A41">
        <w:t xml:space="preserve"> </w:t>
      </w:r>
    </w:p>
    <w:p w:rsidR="00F233AB" w:rsidRPr="00B02247" w:rsidRDefault="00F233AB" w:rsidP="006E329B">
      <w:pPr>
        <w:pStyle w:val="H23G"/>
      </w:pPr>
      <w:r w:rsidRPr="00B02247">
        <w:tab/>
        <w:t>3.</w:t>
      </w:r>
      <w:r w:rsidRPr="00B02247">
        <w:tab/>
        <w:t>Remedies</w:t>
      </w:r>
      <w:r w:rsidR="005B2A41">
        <w:t xml:space="preserve"> </w:t>
      </w:r>
      <w:r w:rsidRPr="00B02247">
        <w:t>in</w:t>
      </w:r>
      <w:r w:rsidR="005B2A41">
        <w:t xml:space="preserve"> </w:t>
      </w:r>
      <w:r w:rsidRPr="00B02247">
        <w:t>case</w:t>
      </w:r>
      <w:r w:rsidR="005B2A41">
        <w:t xml:space="preserve"> </w:t>
      </w:r>
      <w:r w:rsidRPr="00B02247">
        <w:t>of</w:t>
      </w:r>
      <w:r w:rsidR="005B2A41">
        <w:t xml:space="preserve"> </w:t>
      </w:r>
      <w:r w:rsidRPr="00B02247">
        <w:t>allegations</w:t>
      </w:r>
      <w:r w:rsidR="005B2A41">
        <w:t xml:space="preserve"> </w:t>
      </w:r>
      <w:r w:rsidRPr="00B02247">
        <w:t>of</w:t>
      </w:r>
      <w:r w:rsidR="005B2A41">
        <w:t xml:space="preserve"> </w:t>
      </w:r>
      <w:r w:rsidRPr="00B02247">
        <w:t>human</w:t>
      </w:r>
      <w:r w:rsidR="005B2A41">
        <w:t xml:space="preserve"> </w:t>
      </w:r>
      <w:r w:rsidRPr="00B02247">
        <w:t>rights</w:t>
      </w:r>
      <w:r w:rsidR="005B2A41">
        <w:t xml:space="preserve"> </w:t>
      </w:r>
      <w:r w:rsidRPr="00B02247">
        <w:t>violations</w:t>
      </w:r>
    </w:p>
    <w:p w:rsidR="00F233AB" w:rsidRPr="00B02247" w:rsidRDefault="00F233AB" w:rsidP="00E1307D">
      <w:pPr>
        <w:pStyle w:val="SingleTxtG"/>
      </w:pPr>
      <w:r w:rsidRPr="00B02247">
        <w:t>47.</w:t>
      </w:r>
      <w:r w:rsidRPr="00B02247">
        <w:tab/>
        <w:t>Article</w:t>
      </w:r>
      <w:r w:rsidR="005B2A41">
        <w:t xml:space="preserve"> </w:t>
      </w:r>
      <w:r w:rsidRPr="00B02247">
        <w:t>20</w:t>
      </w:r>
      <w:r w:rsidR="005B2A41">
        <w:t xml:space="preserve"> </w:t>
      </w:r>
      <w:r w:rsidRPr="00B02247">
        <w:t>of</w:t>
      </w:r>
      <w:r w:rsidR="005B2A41">
        <w:t xml:space="preserve"> </w:t>
      </w:r>
      <w:r w:rsidRPr="00B02247">
        <w:t>the</w:t>
      </w:r>
      <w:r w:rsidR="005B2A41">
        <w:t xml:space="preserve"> </w:t>
      </w:r>
      <w:r w:rsidRPr="00B02247">
        <w:t>Constitution</w:t>
      </w:r>
      <w:r w:rsidR="005B2A41">
        <w:t xml:space="preserve"> </w:t>
      </w:r>
      <w:r w:rsidRPr="00B02247">
        <w:t>safeguards</w:t>
      </w:r>
      <w:r w:rsidR="005B2A41">
        <w:t xml:space="preserve"> </w:t>
      </w:r>
      <w:r w:rsidRPr="00B02247">
        <w:t>the</w:t>
      </w:r>
      <w:r w:rsidR="005B2A41">
        <w:t xml:space="preserve"> </w:t>
      </w:r>
      <w:r w:rsidRPr="00B02247">
        <w:t>fundamental</w:t>
      </w:r>
      <w:r w:rsidR="005B2A41">
        <w:t xml:space="preserve"> </w:t>
      </w:r>
      <w:r w:rsidRPr="00B02247">
        <w:t>procedural</w:t>
      </w:r>
      <w:r w:rsidR="005B2A41">
        <w:t xml:space="preserve"> </w:t>
      </w:r>
      <w:r w:rsidRPr="00B02247">
        <w:t>right</w:t>
      </w:r>
      <w:r w:rsidR="005B2A41">
        <w:t xml:space="preserve"> </w:t>
      </w:r>
      <w:r w:rsidRPr="00B02247">
        <w:t>of</w:t>
      </w:r>
      <w:r w:rsidR="005B2A41">
        <w:t xml:space="preserve"> </w:t>
      </w:r>
      <w:r w:rsidRPr="00B02247">
        <w:t>every</w:t>
      </w:r>
      <w:r w:rsidR="005B2A41">
        <w:t xml:space="preserve"> </w:t>
      </w:r>
      <w:r w:rsidRPr="00B02247">
        <w:t>person</w:t>
      </w:r>
      <w:r w:rsidR="005B2A41">
        <w:t xml:space="preserve"> </w:t>
      </w:r>
      <w:r w:rsidRPr="00B02247">
        <w:t>to</w:t>
      </w:r>
      <w:r w:rsidR="005B2A41">
        <w:t xml:space="preserve"> </w:t>
      </w:r>
      <w:r w:rsidRPr="00B02247">
        <w:t>have</w:t>
      </w:r>
      <w:r w:rsidR="005B2A41">
        <w:t xml:space="preserve"> </w:t>
      </w:r>
      <w:r w:rsidRPr="00B02247">
        <w:t>recourse</w:t>
      </w:r>
      <w:r w:rsidR="005B2A41">
        <w:t xml:space="preserve"> </w:t>
      </w:r>
      <w:r w:rsidRPr="00B02247">
        <w:t>to</w:t>
      </w:r>
      <w:r w:rsidR="005B2A41">
        <w:t xml:space="preserve"> </w:t>
      </w:r>
      <w:r w:rsidRPr="00B02247">
        <w:t>the</w:t>
      </w:r>
      <w:r w:rsidR="005B2A41">
        <w:t xml:space="preserve"> </w:t>
      </w:r>
      <w:r w:rsidRPr="00B02247">
        <w:t>courts</w:t>
      </w:r>
      <w:r w:rsidR="005B2A41">
        <w:t xml:space="preserve"> </w:t>
      </w:r>
      <w:r w:rsidRPr="00B02247">
        <w:t>and</w:t>
      </w:r>
      <w:r w:rsidR="005B2A41">
        <w:t xml:space="preserve"> </w:t>
      </w:r>
      <w:r w:rsidRPr="00B02247">
        <w:t>receive</w:t>
      </w:r>
      <w:r w:rsidR="005B2A41">
        <w:t xml:space="preserve"> </w:t>
      </w:r>
      <w:r w:rsidRPr="00B02247">
        <w:t>legal</w:t>
      </w:r>
      <w:r w:rsidR="005B2A41">
        <w:t xml:space="preserve"> </w:t>
      </w:r>
      <w:r w:rsidRPr="00B02247">
        <w:t>protection</w:t>
      </w:r>
      <w:r w:rsidR="005B2A41">
        <w:t xml:space="preserve"> </w:t>
      </w:r>
      <w:r w:rsidRPr="00B02247">
        <w:t>by</w:t>
      </w:r>
      <w:r w:rsidR="005B2A41">
        <w:t xml:space="preserve"> </w:t>
      </w:r>
      <w:r w:rsidRPr="00B02247">
        <w:t>them.</w:t>
      </w:r>
      <w:r w:rsidR="005B2A41">
        <w:t xml:space="preserve"> </w:t>
      </w:r>
      <w:r w:rsidRPr="00B02247">
        <w:t>Courts</w:t>
      </w:r>
      <w:r w:rsidR="005B2A41">
        <w:t xml:space="preserve"> </w:t>
      </w:r>
      <w:r w:rsidRPr="00B02247">
        <w:t>are</w:t>
      </w:r>
      <w:r w:rsidR="005B2A41">
        <w:t xml:space="preserve"> </w:t>
      </w:r>
      <w:r w:rsidRPr="00B02247">
        <w:t>composed</w:t>
      </w:r>
      <w:r w:rsidR="005B2A41">
        <w:t xml:space="preserve"> </w:t>
      </w:r>
      <w:r w:rsidRPr="00B02247">
        <w:t>of</w:t>
      </w:r>
      <w:r w:rsidR="005B2A41">
        <w:t xml:space="preserve"> </w:t>
      </w:r>
      <w:r w:rsidRPr="00B02247">
        <w:t>regular</w:t>
      </w:r>
      <w:r w:rsidR="005B2A41">
        <w:t xml:space="preserve"> </w:t>
      </w:r>
      <w:r w:rsidRPr="00B02247">
        <w:t>judges,</w:t>
      </w:r>
      <w:r w:rsidR="005B2A41">
        <w:t xml:space="preserve"> </w:t>
      </w:r>
      <w:r w:rsidRPr="00B02247">
        <w:t>enjoying</w:t>
      </w:r>
      <w:r w:rsidR="005B2A41">
        <w:t xml:space="preserve"> </w:t>
      </w:r>
      <w:r w:rsidRPr="00B02247">
        <w:t>functional</w:t>
      </w:r>
      <w:r w:rsidR="005B2A41">
        <w:t xml:space="preserve"> </w:t>
      </w:r>
      <w:r w:rsidRPr="00B02247">
        <w:t>and</w:t>
      </w:r>
      <w:r w:rsidR="005B2A41">
        <w:t xml:space="preserve"> </w:t>
      </w:r>
      <w:r w:rsidRPr="00B02247">
        <w:t>personal</w:t>
      </w:r>
      <w:r w:rsidR="005B2A41">
        <w:t xml:space="preserve"> </w:t>
      </w:r>
      <w:r w:rsidRPr="00B02247">
        <w:t>independence</w:t>
      </w:r>
      <w:r w:rsidR="005B2A41">
        <w:t xml:space="preserve"> </w:t>
      </w:r>
      <w:r w:rsidRPr="00B02247">
        <w:t>(Article</w:t>
      </w:r>
      <w:r w:rsidR="005B2A41">
        <w:t xml:space="preserve"> </w:t>
      </w:r>
      <w:r w:rsidRPr="00B02247">
        <w:t>87</w:t>
      </w:r>
      <w:r w:rsidR="005B2A41">
        <w:t xml:space="preserve"> </w:t>
      </w:r>
      <w:r w:rsidRPr="00B02247">
        <w:t>of</w:t>
      </w:r>
      <w:r w:rsidR="005B2A41">
        <w:t xml:space="preserve"> </w:t>
      </w:r>
      <w:r w:rsidRPr="00B02247">
        <w:t>the</w:t>
      </w:r>
      <w:r w:rsidR="005B2A41">
        <w:t xml:space="preserve"> </w:t>
      </w:r>
      <w:r w:rsidRPr="00B02247">
        <w:t>Constitution).</w:t>
      </w:r>
      <w:r w:rsidR="005B2A41">
        <w:t xml:space="preserve"> </w:t>
      </w:r>
    </w:p>
    <w:p w:rsidR="00F233AB" w:rsidRPr="00B02247" w:rsidRDefault="00F233AB" w:rsidP="00E1307D">
      <w:pPr>
        <w:pStyle w:val="SingleTxtG"/>
      </w:pPr>
      <w:r w:rsidRPr="00B02247">
        <w:t>48.</w:t>
      </w:r>
      <w:r w:rsidRPr="00B02247">
        <w:tab/>
        <w:t>As</w:t>
      </w:r>
      <w:r w:rsidR="005B2A41">
        <w:t xml:space="preserve"> </w:t>
      </w:r>
      <w:r w:rsidRPr="00B02247">
        <w:t>already</w:t>
      </w:r>
      <w:r w:rsidR="005B2A41">
        <w:t xml:space="preserve"> </w:t>
      </w:r>
      <w:r w:rsidRPr="00B02247">
        <w:t>mentioned,</w:t>
      </w:r>
      <w:r w:rsidR="005B2A41">
        <w:t xml:space="preserve"> </w:t>
      </w:r>
      <w:r w:rsidRPr="00B02247">
        <w:t>Courts</w:t>
      </w:r>
      <w:r w:rsidR="005B2A41">
        <w:t xml:space="preserve"> </w:t>
      </w:r>
      <w:r w:rsidRPr="00B02247">
        <w:t>have</w:t>
      </w:r>
      <w:r w:rsidR="005B2A41">
        <w:t xml:space="preserve"> </w:t>
      </w:r>
      <w:r w:rsidRPr="00B02247">
        <w:t>the</w:t>
      </w:r>
      <w:r w:rsidR="005B2A41">
        <w:t xml:space="preserve"> </w:t>
      </w:r>
      <w:r w:rsidRPr="00B02247">
        <w:t>right,</w:t>
      </w:r>
      <w:r w:rsidR="005B2A41">
        <w:t xml:space="preserve"> </w:t>
      </w:r>
      <w:r w:rsidRPr="00B02247">
        <w:t>but</w:t>
      </w:r>
      <w:r w:rsidR="005B2A41">
        <w:t xml:space="preserve"> </w:t>
      </w:r>
      <w:r w:rsidRPr="00B02247">
        <w:t>also</w:t>
      </w:r>
      <w:r w:rsidR="005B2A41">
        <w:t xml:space="preserve"> </w:t>
      </w:r>
      <w:r w:rsidRPr="00B02247">
        <w:t>the</w:t>
      </w:r>
      <w:r w:rsidR="005B2A41">
        <w:t xml:space="preserve"> </w:t>
      </w:r>
      <w:r w:rsidRPr="00B02247">
        <w:t>obligation,</w:t>
      </w:r>
      <w:r w:rsidR="005B2A41">
        <w:t xml:space="preserve"> </w:t>
      </w:r>
      <w:r w:rsidRPr="00B02247">
        <w:t>to</w:t>
      </w:r>
      <w:r w:rsidR="005B2A41">
        <w:t xml:space="preserve"> </w:t>
      </w:r>
      <w:r w:rsidRPr="00B02247">
        <w:t>review,</w:t>
      </w:r>
      <w:r w:rsidR="005B2A41">
        <w:t xml:space="preserve"> </w:t>
      </w:r>
      <w:r w:rsidRPr="00B02247">
        <w:t>in</w:t>
      </w:r>
      <w:r w:rsidR="005B2A41">
        <w:t xml:space="preserve"> </w:t>
      </w:r>
      <w:r w:rsidRPr="00B02247">
        <w:t>cases</w:t>
      </w:r>
      <w:r w:rsidR="005B2A41">
        <w:t xml:space="preserve"> </w:t>
      </w:r>
      <w:r w:rsidRPr="00B02247">
        <w:t>pending</w:t>
      </w:r>
      <w:r w:rsidR="005B2A41">
        <w:t xml:space="preserve"> </w:t>
      </w:r>
      <w:r w:rsidRPr="00B02247">
        <w:t>before</w:t>
      </w:r>
      <w:r w:rsidR="005B2A41">
        <w:t xml:space="preserve"> </w:t>
      </w:r>
      <w:r w:rsidRPr="00B02247">
        <w:t>them,</w:t>
      </w:r>
      <w:r w:rsidR="005B2A41">
        <w:t xml:space="preserve"> </w:t>
      </w:r>
      <w:r w:rsidRPr="00B02247">
        <w:t>the</w:t>
      </w:r>
      <w:r w:rsidR="005B2A41">
        <w:t xml:space="preserve"> </w:t>
      </w:r>
      <w:r w:rsidRPr="00B02247">
        <w:t>constitutionality</w:t>
      </w:r>
      <w:r w:rsidR="005B2A41">
        <w:t xml:space="preserve"> </w:t>
      </w:r>
      <w:r w:rsidRPr="00B02247">
        <w:t>and/or</w:t>
      </w:r>
      <w:r w:rsidR="005B2A41">
        <w:t xml:space="preserve"> </w:t>
      </w:r>
      <w:r w:rsidRPr="00B02247">
        <w:t>conformity</w:t>
      </w:r>
      <w:r w:rsidR="005B2A41">
        <w:t xml:space="preserve"> </w:t>
      </w:r>
      <w:r w:rsidRPr="00B02247">
        <w:t>with</w:t>
      </w:r>
      <w:r w:rsidR="005B2A41">
        <w:t xml:space="preserve"> </w:t>
      </w:r>
      <w:r w:rsidRPr="00B02247">
        <w:t>international</w:t>
      </w:r>
      <w:r w:rsidR="005B2A41">
        <w:t xml:space="preserve"> </w:t>
      </w:r>
      <w:r w:rsidRPr="00B02247">
        <w:t>treaties</w:t>
      </w:r>
      <w:r w:rsidR="005B2A41">
        <w:t xml:space="preserve"> </w:t>
      </w:r>
      <w:r w:rsidRPr="00B02247">
        <w:t>ratified</w:t>
      </w:r>
      <w:r w:rsidR="005B2A41">
        <w:t xml:space="preserve"> </w:t>
      </w:r>
      <w:r w:rsidRPr="00B02247">
        <w:t>by</w:t>
      </w:r>
      <w:r w:rsidR="005B2A41">
        <w:t xml:space="preserve"> </w:t>
      </w:r>
      <w:r w:rsidRPr="00B02247">
        <w:t>Greece,</w:t>
      </w:r>
      <w:r w:rsidR="005B2A41">
        <w:t xml:space="preserve"> </w:t>
      </w:r>
      <w:r w:rsidRPr="00B02247">
        <w:t>of</w:t>
      </w:r>
      <w:r w:rsidR="005B2A41">
        <w:t xml:space="preserve"> </w:t>
      </w:r>
      <w:r w:rsidRPr="00B02247">
        <w:t>laws</w:t>
      </w:r>
      <w:r w:rsidR="005B2A41">
        <w:t xml:space="preserve"> </w:t>
      </w:r>
      <w:r w:rsidRPr="00B02247">
        <w:t>and</w:t>
      </w:r>
      <w:r w:rsidR="005B2A41">
        <w:t xml:space="preserve"> </w:t>
      </w:r>
      <w:r w:rsidRPr="00B02247">
        <w:t>administrative</w:t>
      </w:r>
      <w:r w:rsidR="005B2A41">
        <w:t xml:space="preserve"> </w:t>
      </w:r>
      <w:r w:rsidRPr="00B02247">
        <w:t>acts.</w:t>
      </w:r>
      <w:r w:rsidR="005B2A41">
        <w:t xml:space="preserve"> </w:t>
      </w:r>
      <w:r w:rsidRPr="00B02247">
        <w:t>Regulatory</w:t>
      </w:r>
      <w:r w:rsidR="005B2A41">
        <w:t xml:space="preserve"> </w:t>
      </w:r>
      <w:r w:rsidRPr="00B02247">
        <w:t>and</w:t>
      </w:r>
      <w:r w:rsidR="005B2A41">
        <w:t xml:space="preserve"> </w:t>
      </w:r>
      <w:r w:rsidRPr="00B02247">
        <w:t>individual</w:t>
      </w:r>
      <w:r w:rsidR="005B2A41">
        <w:t xml:space="preserve"> </w:t>
      </w:r>
      <w:r w:rsidRPr="00B02247">
        <w:t>administrative</w:t>
      </w:r>
      <w:r w:rsidR="005B2A41">
        <w:t xml:space="preserve"> </w:t>
      </w:r>
      <w:r w:rsidRPr="00B02247">
        <w:t>acts</w:t>
      </w:r>
      <w:r w:rsidR="005B2A41">
        <w:t xml:space="preserve"> </w:t>
      </w:r>
      <w:r w:rsidRPr="00B02247">
        <w:t>may</w:t>
      </w:r>
      <w:r w:rsidR="005B2A41">
        <w:t xml:space="preserve"> </w:t>
      </w:r>
      <w:r w:rsidRPr="00B02247">
        <w:t>be</w:t>
      </w:r>
      <w:r w:rsidR="005B2A41">
        <w:t xml:space="preserve"> </w:t>
      </w:r>
      <w:r w:rsidRPr="00B02247">
        <w:t>annulled</w:t>
      </w:r>
      <w:r w:rsidR="005B2A41">
        <w:t xml:space="preserve"> </w:t>
      </w:r>
      <w:r w:rsidRPr="00B02247">
        <w:t>by</w:t>
      </w:r>
      <w:r w:rsidR="005B2A41">
        <w:t xml:space="preserve"> </w:t>
      </w:r>
      <w:r w:rsidRPr="00B02247">
        <w:t>the</w:t>
      </w:r>
      <w:r w:rsidR="005B2A41">
        <w:t xml:space="preserve"> </w:t>
      </w:r>
      <w:r w:rsidRPr="00B02247">
        <w:t>administrative</w:t>
      </w:r>
      <w:r w:rsidR="005B2A41">
        <w:t xml:space="preserve"> </w:t>
      </w:r>
      <w:r w:rsidRPr="00B02247">
        <w:t>courts,</w:t>
      </w:r>
      <w:r w:rsidR="005B2A41">
        <w:t xml:space="preserve"> </w:t>
      </w:r>
      <w:r w:rsidRPr="00B02247">
        <w:t>inter</w:t>
      </w:r>
      <w:r w:rsidR="005B2A41">
        <w:t xml:space="preserve"> </w:t>
      </w:r>
      <w:r w:rsidRPr="00B02247">
        <w:t>alia</w:t>
      </w:r>
      <w:r w:rsidR="005B2A41">
        <w:t xml:space="preserve"> </w:t>
      </w:r>
      <w:r w:rsidRPr="00B02247">
        <w:t>for</w:t>
      </w:r>
      <w:r w:rsidR="005B2A41">
        <w:t xml:space="preserve"> </w:t>
      </w:r>
      <w:r w:rsidRPr="00B02247">
        <w:t>breach</w:t>
      </w:r>
      <w:r w:rsidR="005B2A41">
        <w:t xml:space="preserve"> </w:t>
      </w:r>
      <w:r w:rsidRPr="00B02247">
        <w:t>of</w:t>
      </w:r>
      <w:r w:rsidR="005B2A41">
        <w:t xml:space="preserve"> </w:t>
      </w:r>
      <w:r w:rsidRPr="00B02247">
        <w:t>law</w:t>
      </w:r>
      <w:r w:rsidR="005B2A41">
        <w:t xml:space="preserve"> </w:t>
      </w:r>
      <w:r w:rsidRPr="00B02247">
        <w:t>(Article</w:t>
      </w:r>
      <w:r w:rsidR="005B2A41">
        <w:t xml:space="preserve"> </w:t>
      </w:r>
      <w:r w:rsidRPr="00B02247">
        <w:t>95).</w:t>
      </w:r>
      <w:r w:rsidR="005B2A41">
        <w:t xml:space="preserve"> </w:t>
      </w:r>
      <w:r w:rsidRPr="00B02247">
        <w:t>The</w:t>
      </w:r>
      <w:r w:rsidR="005B2A41">
        <w:t xml:space="preserve"> </w:t>
      </w:r>
      <w:r w:rsidRPr="00B02247">
        <w:t>violation</w:t>
      </w:r>
      <w:r w:rsidR="005B2A41">
        <w:t xml:space="preserve"> </w:t>
      </w:r>
      <w:r w:rsidRPr="00B02247">
        <w:t>of</w:t>
      </w:r>
      <w:r w:rsidR="005B2A41">
        <w:t xml:space="preserve"> </w:t>
      </w:r>
      <w:r w:rsidRPr="00B02247">
        <w:t>the</w:t>
      </w:r>
      <w:r w:rsidR="005B2A41">
        <w:t xml:space="preserve"> </w:t>
      </w:r>
      <w:r w:rsidRPr="00B02247">
        <w:t>Constitution</w:t>
      </w:r>
      <w:r w:rsidR="005B2A41">
        <w:t xml:space="preserve"> </w:t>
      </w:r>
      <w:r w:rsidRPr="00B02247">
        <w:t>or</w:t>
      </w:r>
      <w:r w:rsidR="005B2A41">
        <w:t xml:space="preserve"> </w:t>
      </w:r>
      <w:r w:rsidRPr="00B02247">
        <w:t>international</w:t>
      </w:r>
      <w:r w:rsidR="005B2A41">
        <w:t xml:space="preserve"> </w:t>
      </w:r>
      <w:r w:rsidRPr="00B02247">
        <w:t>treaties</w:t>
      </w:r>
      <w:r w:rsidR="005B2A41">
        <w:t xml:space="preserve"> </w:t>
      </w:r>
      <w:r w:rsidRPr="00B02247">
        <w:t>ratified</w:t>
      </w:r>
      <w:r w:rsidR="005B2A41">
        <w:t xml:space="preserve"> </w:t>
      </w:r>
      <w:r w:rsidRPr="00B02247">
        <w:t>by</w:t>
      </w:r>
      <w:r w:rsidR="005B2A41">
        <w:t xml:space="preserve"> </w:t>
      </w:r>
      <w:r w:rsidRPr="00B02247">
        <w:t>Greece</w:t>
      </w:r>
      <w:r w:rsidR="005B2A41">
        <w:t xml:space="preserve"> </w:t>
      </w:r>
      <w:r w:rsidRPr="00B02247">
        <w:t>constitutes</w:t>
      </w:r>
      <w:r w:rsidR="005B2A41">
        <w:t xml:space="preserve"> </w:t>
      </w:r>
      <w:r w:rsidRPr="00B02247">
        <w:t>such</w:t>
      </w:r>
      <w:r w:rsidR="005B2A41">
        <w:t xml:space="preserve"> </w:t>
      </w:r>
      <w:r w:rsidRPr="00B02247">
        <w:t>a</w:t>
      </w:r>
      <w:r w:rsidR="005B2A41">
        <w:t xml:space="preserve"> </w:t>
      </w:r>
      <w:r w:rsidR="003E731F">
        <w:t>“</w:t>
      </w:r>
      <w:r w:rsidRPr="00B02247">
        <w:t>breach</w:t>
      </w:r>
      <w:r w:rsidR="005B2A41">
        <w:t xml:space="preserve"> </w:t>
      </w:r>
      <w:r w:rsidRPr="00B02247">
        <w:t>of</w:t>
      </w:r>
      <w:r w:rsidR="005B2A41">
        <w:t xml:space="preserve"> </w:t>
      </w:r>
      <w:r w:rsidRPr="00B02247">
        <w:t>law</w:t>
      </w:r>
      <w:r w:rsidR="003E731F">
        <w:t>”</w:t>
      </w:r>
      <w:r w:rsidRPr="00B02247">
        <w:t>.</w:t>
      </w:r>
      <w:r w:rsidR="005B2A41">
        <w:t xml:space="preserve"> </w:t>
      </w:r>
      <w:r w:rsidRPr="00B02247">
        <w:t>Thus,</w:t>
      </w:r>
      <w:r w:rsidR="005B2A41">
        <w:t xml:space="preserve"> </w:t>
      </w:r>
      <w:r w:rsidRPr="00B02247">
        <w:t>any</w:t>
      </w:r>
      <w:r w:rsidR="005B2A41">
        <w:t xml:space="preserve"> </w:t>
      </w:r>
      <w:r w:rsidRPr="00B02247">
        <w:t>remedy</w:t>
      </w:r>
      <w:r w:rsidR="005B2A41">
        <w:t xml:space="preserve"> </w:t>
      </w:r>
      <w:r w:rsidRPr="00B02247">
        <w:t>provided</w:t>
      </w:r>
      <w:r w:rsidR="005B2A41">
        <w:t xml:space="preserve"> </w:t>
      </w:r>
      <w:r w:rsidRPr="00B02247">
        <w:t>for</w:t>
      </w:r>
      <w:r w:rsidR="005B2A41">
        <w:t xml:space="preserve"> </w:t>
      </w:r>
      <w:r w:rsidRPr="00B02247">
        <w:t>in</w:t>
      </w:r>
      <w:r w:rsidR="005B2A41">
        <w:t xml:space="preserve"> </w:t>
      </w:r>
      <w:r w:rsidRPr="00B02247">
        <w:t>Greek</w:t>
      </w:r>
      <w:r w:rsidR="005B2A41">
        <w:t xml:space="preserve"> </w:t>
      </w:r>
      <w:r w:rsidRPr="00B02247">
        <w:t>law</w:t>
      </w:r>
      <w:r w:rsidR="005B2A41">
        <w:t xml:space="preserve"> </w:t>
      </w:r>
      <w:r w:rsidRPr="00B02247">
        <w:t>is,</w:t>
      </w:r>
      <w:r w:rsidR="005B2A41">
        <w:t xml:space="preserve"> </w:t>
      </w:r>
      <w:r w:rsidRPr="00B02247">
        <w:t>at</w:t>
      </w:r>
      <w:r w:rsidR="005B2A41">
        <w:t xml:space="preserve"> </w:t>
      </w:r>
      <w:r w:rsidRPr="00B02247">
        <w:t>the</w:t>
      </w:r>
      <w:r w:rsidR="005B2A41">
        <w:t xml:space="preserve"> </w:t>
      </w:r>
      <w:r w:rsidRPr="00B02247">
        <w:t>same</w:t>
      </w:r>
      <w:r w:rsidR="005B2A41">
        <w:t xml:space="preserve"> </w:t>
      </w:r>
      <w:r w:rsidRPr="00B02247">
        <w:t>time,</w:t>
      </w:r>
      <w:r w:rsidR="005B2A41">
        <w:t xml:space="preserve"> </w:t>
      </w:r>
      <w:r w:rsidRPr="00B02247">
        <w:t>a</w:t>
      </w:r>
      <w:r w:rsidR="005B2A41">
        <w:t xml:space="preserve"> </w:t>
      </w:r>
      <w:r w:rsidRPr="00B02247">
        <w:t>remedy</w:t>
      </w:r>
      <w:r w:rsidR="005B2A41">
        <w:t xml:space="preserve"> </w:t>
      </w:r>
      <w:r w:rsidRPr="00B02247">
        <w:t>against</w:t>
      </w:r>
      <w:r w:rsidR="005B2A41">
        <w:t xml:space="preserve"> </w:t>
      </w:r>
      <w:r w:rsidRPr="00B02247">
        <w:t>alleged</w:t>
      </w:r>
      <w:r w:rsidR="005B2A41">
        <w:t xml:space="preserve"> </w:t>
      </w:r>
      <w:r w:rsidRPr="00B02247">
        <w:t>violations</w:t>
      </w:r>
      <w:r w:rsidR="005B2A41">
        <w:t xml:space="preserve"> </w:t>
      </w:r>
      <w:r w:rsidRPr="00B02247">
        <w:t>of</w:t>
      </w:r>
      <w:r w:rsidR="005B2A41">
        <w:t xml:space="preserve"> </w:t>
      </w:r>
      <w:r w:rsidRPr="00B02247">
        <w:t>human</w:t>
      </w:r>
      <w:r w:rsidR="005B2A41">
        <w:t xml:space="preserve"> </w:t>
      </w:r>
      <w:r w:rsidRPr="00B02247">
        <w:t>rights</w:t>
      </w:r>
      <w:r w:rsidR="005B2A41">
        <w:t xml:space="preserve"> </w:t>
      </w:r>
      <w:r w:rsidRPr="00B02247">
        <w:t>and</w:t>
      </w:r>
      <w:r w:rsidR="005B2A41">
        <w:t xml:space="preserve"> </w:t>
      </w:r>
      <w:r w:rsidRPr="00B02247">
        <w:t>fundamental</w:t>
      </w:r>
      <w:r w:rsidR="005B2A41">
        <w:t xml:space="preserve"> </w:t>
      </w:r>
      <w:r w:rsidRPr="00B02247">
        <w:t>freedoms</w:t>
      </w:r>
      <w:r w:rsidR="005B2A41">
        <w:t xml:space="preserve"> </w:t>
      </w:r>
      <w:r w:rsidRPr="00B02247">
        <w:t>enshrined</w:t>
      </w:r>
      <w:r w:rsidR="005B2A41">
        <w:t xml:space="preserve"> </w:t>
      </w:r>
      <w:r w:rsidRPr="00B02247">
        <w:t>in</w:t>
      </w:r>
      <w:r w:rsidR="005B2A41">
        <w:t xml:space="preserve"> </w:t>
      </w:r>
      <w:r w:rsidRPr="00B02247">
        <w:t>the</w:t>
      </w:r>
      <w:r w:rsidR="005B2A41">
        <w:t xml:space="preserve"> </w:t>
      </w:r>
      <w:r w:rsidRPr="00B02247">
        <w:t>Constitution</w:t>
      </w:r>
      <w:r w:rsidR="005B2A41">
        <w:t xml:space="preserve"> </w:t>
      </w:r>
      <w:r w:rsidRPr="00B02247">
        <w:t>and/or</w:t>
      </w:r>
      <w:r w:rsidR="005B2A41">
        <w:t xml:space="preserve"> </w:t>
      </w:r>
      <w:r w:rsidRPr="00B02247">
        <w:t>human</w:t>
      </w:r>
      <w:r w:rsidR="005B2A41">
        <w:t xml:space="preserve"> </w:t>
      </w:r>
      <w:r w:rsidRPr="00B02247">
        <w:t>rights</w:t>
      </w:r>
      <w:r w:rsidR="005B2A41">
        <w:t xml:space="preserve"> </w:t>
      </w:r>
      <w:r w:rsidRPr="00B02247">
        <w:t>treaties.</w:t>
      </w:r>
    </w:p>
    <w:p w:rsidR="00F233AB" w:rsidRPr="00B02247" w:rsidRDefault="00F233AB" w:rsidP="006E329B">
      <w:pPr>
        <w:pStyle w:val="H4G"/>
      </w:pPr>
      <w:r w:rsidRPr="00B02247">
        <w:tab/>
      </w:r>
      <w:r w:rsidRPr="00B02247">
        <w:tab/>
        <w:t>Legal</w:t>
      </w:r>
      <w:r w:rsidR="005B2A41">
        <w:t xml:space="preserve"> </w:t>
      </w:r>
      <w:r w:rsidRPr="00B02247">
        <w:t>remedies</w:t>
      </w:r>
      <w:r w:rsidR="005B2A41">
        <w:t xml:space="preserve"> </w:t>
      </w:r>
      <w:r w:rsidRPr="00B02247">
        <w:t>sought</w:t>
      </w:r>
      <w:r w:rsidR="005B2A41">
        <w:t xml:space="preserve"> </w:t>
      </w:r>
      <w:r w:rsidRPr="00B02247">
        <w:t>before</w:t>
      </w:r>
      <w:r w:rsidR="005B2A41">
        <w:t xml:space="preserve"> </w:t>
      </w:r>
      <w:r w:rsidRPr="00B02247">
        <w:t>civil</w:t>
      </w:r>
      <w:r w:rsidR="005B2A41">
        <w:t xml:space="preserve"> </w:t>
      </w:r>
      <w:r w:rsidRPr="00B02247">
        <w:t>courts</w:t>
      </w:r>
    </w:p>
    <w:p w:rsidR="00F233AB" w:rsidRPr="00B02247" w:rsidRDefault="00F233AB" w:rsidP="00E1307D">
      <w:pPr>
        <w:pStyle w:val="SingleTxtG"/>
      </w:pPr>
      <w:r w:rsidRPr="00B02247">
        <w:t>49.</w:t>
      </w:r>
      <w:r w:rsidRPr="00B02247">
        <w:tab/>
        <w:t>The</w:t>
      </w:r>
      <w:r w:rsidR="005B2A41">
        <w:t xml:space="preserve"> </w:t>
      </w:r>
      <w:r w:rsidRPr="00B02247">
        <w:t>legal</w:t>
      </w:r>
      <w:r w:rsidR="005B2A41">
        <w:t xml:space="preserve"> </w:t>
      </w:r>
      <w:r w:rsidRPr="00B02247">
        <w:t>remedy</w:t>
      </w:r>
      <w:r w:rsidR="005B2A41">
        <w:t xml:space="preserve"> </w:t>
      </w:r>
      <w:r w:rsidRPr="00B02247">
        <w:t>to</w:t>
      </w:r>
      <w:r w:rsidR="005B2A41">
        <w:t xml:space="preserve"> </w:t>
      </w:r>
      <w:r w:rsidRPr="00B02247">
        <w:t>be</w:t>
      </w:r>
      <w:r w:rsidR="005B2A41">
        <w:t xml:space="preserve"> </w:t>
      </w:r>
      <w:r w:rsidRPr="00B02247">
        <w:t>filed</w:t>
      </w:r>
      <w:r w:rsidR="005B2A41">
        <w:t xml:space="preserve"> </w:t>
      </w:r>
      <w:r w:rsidRPr="00B02247">
        <w:t>before</w:t>
      </w:r>
      <w:r w:rsidR="005B2A41">
        <w:t xml:space="preserve"> </w:t>
      </w:r>
      <w:r w:rsidRPr="00B02247">
        <w:t>first</w:t>
      </w:r>
      <w:r w:rsidR="005B2A41">
        <w:t xml:space="preserve"> </w:t>
      </w:r>
      <w:r w:rsidRPr="00B02247">
        <w:t>instance</w:t>
      </w:r>
      <w:r w:rsidR="005B2A41">
        <w:t xml:space="preserve"> </w:t>
      </w:r>
      <w:r w:rsidRPr="00B02247">
        <w:t>civil</w:t>
      </w:r>
      <w:r w:rsidR="005B2A41">
        <w:t xml:space="preserve"> </w:t>
      </w:r>
      <w:r w:rsidRPr="00B02247">
        <w:t>courts</w:t>
      </w:r>
      <w:r w:rsidR="005B2A41">
        <w:t xml:space="preserve"> </w:t>
      </w:r>
      <w:r w:rsidRPr="00B02247">
        <w:t>in</w:t>
      </w:r>
      <w:r w:rsidR="005B2A41">
        <w:t xml:space="preserve"> </w:t>
      </w:r>
      <w:r w:rsidRPr="00B02247">
        <w:t>private</w:t>
      </w:r>
      <w:r w:rsidR="005B2A41">
        <w:t xml:space="preserve"> </w:t>
      </w:r>
      <w:r w:rsidRPr="00B02247">
        <w:t>law</w:t>
      </w:r>
      <w:r w:rsidR="005B2A41">
        <w:t xml:space="preserve"> </w:t>
      </w:r>
      <w:r w:rsidRPr="00B02247">
        <w:t>disputes</w:t>
      </w:r>
      <w:r w:rsidR="005B2A41">
        <w:t xml:space="preserve"> </w:t>
      </w:r>
      <w:r w:rsidRPr="00B02247">
        <w:t>is</w:t>
      </w:r>
      <w:r w:rsidR="005B2A41">
        <w:t xml:space="preserve"> </w:t>
      </w:r>
      <w:r w:rsidRPr="00B02247">
        <w:t>the</w:t>
      </w:r>
      <w:r w:rsidR="005B2A41">
        <w:t xml:space="preserve"> </w:t>
      </w:r>
      <w:r w:rsidR="003E731F">
        <w:t>“</w:t>
      </w:r>
      <w:r w:rsidRPr="00B02247">
        <w:t>action</w:t>
      </w:r>
      <w:r w:rsidR="003E731F">
        <w:t>”</w:t>
      </w:r>
      <w:r w:rsidRPr="00B02247">
        <w:t>,</w:t>
      </w:r>
      <w:r w:rsidR="005B2A41">
        <w:t xml:space="preserve"> </w:t>
      </w:r>
      <w:r w:rsidRPr="00B02247">
        <w:t>as</w:t>
      </w:r>
      <w:r w:rsidR="005B2A41">
        <w:t xml:space="preserve"> </w:t>
      </w:r>
      <w:r w:rsidRPr="00B02247">
        <w:t>defined</w:t>
      </w:r>
      <w:r w:rsidR="005B2A41">
        <w:t xml:space="preserve"> </w:t>
      </w:r>
      <w:r w:rsidRPr="00B02247">
        <w:t>in</w:t>
      </w:r>
      <w:r w:rsidR="005B2A41">
        <w:t xml:space="preserve"> </w:t>
      </w:r>
      <w:r w:rsidRPr="00B02247">
        <w:t>the</w:t>
      </w:r>
      <w:r w:rsidR="005B2A41">
        <w:t xml:space="preserve"> </w:t>
      </w:r>
      <w:r w:rsidRPr="00B02247">
        <w:t>Code</w:t>
      </w:r>
      <w:r w:rsidR="005B2A41">
        <w:t xml:space="preserve"> </w:t>
      </w:r>
      <w:r w:rsidRPr="00B02247">
        <w:t>of</w:t>
      </w:r>
      <w:r w:rsidR="005B2A41">
        <w:t xml:space="preserve"> </w:t>
      </w:r>
      <w:r w:rsidRPr="00B02247">
        <w:t>Civil</w:t>
      </w:r>
      <w:r w:rsidR="005B2A41">
        <w:t xml:space="preserve"> </w:t>
      </w:r>
      <w:r w:rsidRPr="00B02247">
        <w:t>Procedure.</w:t>
      </w:r>
      <w:r w:rsidR="005B2A41">
        <w:t xml:space="preserve"> </w:t>
      </w:r>
    </w:p>
    <w:p w:rsidR="00F233AB" w:rsidRPr="00B02247" w:rsidRDefault="00F233AB" w:rsidP="00E1307D">
      <w:pPr>
        <w:pStyle w:val="SingleTxtG"/>
      </w:pPr>
      <w:r w:rsidRPr="00B02247">
        <w:t>50.</w:t>
      </w:r>
      <w:r w:rsidRPr="00B02247">
        <w:tab/>
        <w:t>In</w:t>
      </w:r>
      <w:r w:rsidR="005B2A41">
        <w:t xml:space="preserve"> </w:t>
      </w:r>
      <w:r w:rsidRPr="00B02247">
        <w:t>most</w:t>
      </w:r>
      <w:r w:rsidR="005B2A41">
        <w:t xml:space="preserve"> </w:t>
      </w:r>
      <w:r w:rsidRPr="00B02247">
        <w:t>cases</w:t>
      </w:r>
      <w:r w:rsidR="005B2A41">
        <w:t xml:space="preserve"> </w:t>
      </w:r>
      <w:r w:rsidRPr="00B02247">
        <w:t>(with</w:t>
      </w:r>
      <w:r w:rsidR="005B2A41">
        <w:t xml:space="preserve"> </w:t>
      </w:r>
      <w:r w:rsidRPr="00B02247">
        <w:t>the</w:t>
      </w:r>
      <w:r w:rsidR="005B2A41">
        <w:t xml:space="preserve"> </w:t>
      </w:r>
      <w:r w:rsidRPr="00B02247">
        <w:t>exception</w:t>
      </w:r>
      <w:r w:rsidR="005B2A41">
        <w:t xml:space="preserve"> </w:t>
      </w:r>
      <w:r w:rsidRPr="00B02247">
        <w:t>of</w:t>
      </w:r>
      <w:r w:rsidR="005B2A41">
        <w:t xml:space="preserve"> </w:t>
      </w:r>
      <w:r w:rsidRPr="00B02247">
        <w:t>those</w:t>
      </w:r>
      <w:r w:rsidR="005B2A41">
        <w:t xml:space="preserve"> </w:t>
      </w:r>
      <w:r w:rsidRPr="00B02247">
        <w:t>considered</w:t>
      </w:r>
      <w:r w:rsidR="005B2A41">
        <w:t xml:space="preserve"> </w:t>
      </w:r>
      <w:r w:rsidRPr="00B02247">
        <w:t>as</w:t>
      </w:r>
      <w:r w:rsidR="005B2A41">
        <w:t xml:space="preserve"> </w:t>
      </w:r>
      <w:r w:rsidR="003E731F">
        <w:t>“</w:t>
      </w:r>
      <w:r w:rsidRPr="00B02247">
        <w:t>small</w:t>
      </w:r>
      <w:r w:rsidR="005B2A41">
        <w:t xml:space="preserve"> </w:t>
      </w:r>
      <w:r w:rsidRPr="00B02247">
        <w:t>claims</w:t>
      </w:r>
      <w:r w:rsidR="003E731F">
        <w:t>”</w:t>
      </w:r>
      <w:r w:rsidRPr="00B02247">
        <w:t>),</w:t>
      </w:r>
      <w:r w:rsidR="005B2A41">
        <w:t xml:space="preserve"> </w:t>
      </w:r>
      <w:r w:rsidRPr="00B02247">
        <w:t>an</w:t>
      </w:r>
      <w:r w:rsidR="005B2A41">
        <w:t xml:space="preserve"> </w:t>
      </w:r>
      <w:r w:rsidRPr="00B02247">
        <w:t>appeal</w:t>
      </w:r>
      <w:r w:rsidR="005B2A41">
        <w:t xml:space="preserve"> </w:t>
      </w:r>
      <w:r w:rsidRPr="00B02247">
        <w:t>may</w:t>
      </w:r>
      <w:r w:rsidR="005B2A41">
        <w:t xml:space="preserve"> </w:t>
      </w:r>
      <w:r w:rsidRPr="00B02247">
        <w:t>be</w:t>
      </w:r>
      <w:r w:rsidR="005B2A41">
        <w:t xml:space="preserve"> </w:t>
      </w:r>
      <w:r w:rsidRPr="00B02247">
        <w:t>filed</w:t>
      </w:r>
      <w:r w:rsidR="005B2A41">
        <w:t xml:space="preserve"> </w:t>
      </w:r>
      <w:r w:rsidRPr="00B02247">
        <w:t>before</w:t>
      </w:r>
      <w:r w:rsidR="005B2A41">
        <w:t xml:space="preserve"> </w:t>
      </w:r>
      <w:r w:rsidRPr="00B02247">
        <w:t>the</w:t>
      </w:r>
      <w:r w:rsidR="005B2A41">
        <w:t xml:space="preserve"> </w:t>
      </w:r>
      <w:r w:rsidRPr="00B02247">
        <w:t>appellate</w:t>
      </w:r>
      <w:r w:rsidR="005B2A41">
        <w:t xml:space="preserve"> </w:t>
      </w:r>
      <w:r w:rsidRPr="00B02247">
        <w:t>courts,</w:t>
      </w:r>
      <w:r w:rsidR="005B2A41">
        <w:t xml:space="preserve"> </w:t>
      </w:r>
      <w:r w:rsidRPr="00B02247">
        <w:t>on</w:t>
      </w:r>
      <w:r w:rsidR="005B2A41">
        <w:t xml:space="preserve"> </w:t>
      </w:r>
      <w:r w:rsidRPr="00B02247">
        <w:t>both</w:t>
      </w:r>
      <w:r w:rsidR="005B2A41">
        <w:t xml:space="preserve"> </w:t>
      </w:r>
      <w:r w:rsidRPr="00B02247">
        <w:t>substantive</w:t>
      </w:r>
      <w:r w:rsidR="005B2A41">
        <w:t xml:space="preserve"> </w:t>
      </w:r>
      <w:r w:rsidRPr="00B02247">
        <w:t>and</w:t>
      </w:r>
      <w:r w:rsidR="005B2A41">
        <w:t xml:space="preserve"> </w:t>
      </w:r>
      <w:r w:rsidRPr="00B02247">
        <w:t>procedural</w:t>
      </w:r>
      <w:r w:rsidR="005B2A41">
        <w:t xml:space="preserve"> </w:t>
      </w:r>
      <w:r w:rsidRPr="00B02247">
        <w:t>matters.</w:t>
      </w:r>
    </w:p>
    <w:p w:rsidR="00F233AB" w:rsidRPr="00B02247" w:rsidRDefault="00F233AB" w:rsidP="00E1307D">
      <w:pPr>
        <w:pStyle w:val="SingleTxtG"/>
      </w:pPr>
      <w:r w:rsidRPr="00B02247">
        <w:lastRenderedPageBreak/>
        <w:t>51.</w:t>
      </w:r>
      <w:r w:rsidRPr="00B02247">
        <w:tab/>
        <w:t>The</w:t>
      </w:r>
      <w:r w:rsidR="005B2A41">
        <w:t xml:space="preserve"> </w:t>
      </w:r>
      <w:r w:rsidRPr="00B02247">
        <w:t>legal</w:t>
      </w:r>
      <w:r w:rsidR="005B2A41">
        <w:t xml:space="preserve"> </w:t>
      </w:r>
      <w:r w:rsidRPr="00B02247">
        <w:t>remedy</w:t>
      </w:r>
      <w:r w:rsidR="005B2A41">
        <w:t xml:space="preserve"> </w:t>
      </w:r>
      <w:r w:rsidRPr="00B02247">
        <w:t>of</w:t>
      </w:r>
      <w:r w:rsidR="005B2A41">
        <w:t xml:space="preserve"> </w:t>
      </w:r>
      <w:r w:rsidRPr="00B02247">
        <w:t>cassation</w:t>
      </w:r>
      <w:r w:rsidR="005B2A41">
        <w:t xml:space="preserve"> </w:t>
      </w:r>
      <w:r w:rsidRPr="00B02247">
        <w:t>before</w:t>
      </w:r>
      <w:r w:rsidR="005B2A41">
        <w:t xml:space="preserve"> </w:t>
      </w:r>
      <w:r w:rsidRPr="00B02247">
        <w:t>the</w:t>
      </w:r>
      <w:r w:rsidR="005B2A41">
        <w:t xml:space="preserve"> </w:t>
      </w:r>
      <w:r w:rsidRPr="00B02247">
        <w:t>Supreme</w:t>
      </w:r>
      <w:r w:rsidR="005B2A41">
        <w:t xml:space="preserve"> </w:t>
      </w:r>
      <w:r w:rsidRPr="00B02247">
        <w:t>Civil</w:t>
      </w:r>
      <w:r w:rsidR="005B2A41">
        <w:t xml:space="preserve"> </w:t>
      </w:r>
      <w:r w:rsidRPr="00B02247">
        <w:t>and</w:t>
      </w:r>
      <w:r w:rsidR="005B2A41">
        <w:t xml:space="preserve"> </w:t>
      </w:r>
      <w:r w:rsidRPr="00B02247">
        <w:t>Criminal</w:t>
      </w:r>
      <w:r w:rsidR="005B2A41">
        <w:t xml:space="preserve"> </w:t>
      </w:r>
      <w:r w:rsidRPr="00B02247">
        <w:t>Court</w:t>
      </w:r>
      <w:r w:rsidR="005B2A41">
        <w:t xml:space="preserve"> </w:t>
      </w:r>
      <w:r w:rsidRPr="00B02247">
        <w:t>(Areios</w:t>
      </w:r>
      <w:r w:rsidR="005B2A41">
        <w:t xml:space="preserve"> </w:t>
      </w:r>
      <w:r w:rsidRPr="00B02247">
        <w:t>Pagos)</w:t>
      </w:r>
      <w:r w:rsidR="005B2A41">
        <w:t xml:space="preserve"> </w:t>
      </w:r>
      <w:r w:rsidRPr="00B02247">
        <w:t>is</w:t>
      </w:r>
      <w:r w:rsidR="005B2A41">
        <w:t xml:space="preserve"> </w:t>
      </w:r>
      <w:r w:rsidRPr="00B02247">
        <w:t>also</w:t>
      </w:r>
      <w:r w:rsidR="005B2A41">
        <w:t xml:space="preserve"> </w:t>
      </w:r>
      <w:r w:rsidRPr="00B02247">
        <w:t>provided</w:t>
      </w:r>
      <w:r w:rsidR="005B2A41">
        <w:t xml:space="preserve"> </w:t>
      </w:r>
      <w:r w:rsidRPr="00B02247">
        <w:t>for.</w:t>
      </w:r>
      <w:r w:rsidR="005B2A41">
        <w:t xml:space="preserve"> </w:t>
      </w:r>
      <w:r w:rsidRPr="00B02247">
        <w:t>In</w:t>
      </w:r>
      <w:r w:rsidR="005B2A41">
        <w:t xml:space="preserve"> </w:t>
      </w:r>
      <w:r w:rsidRPr="00B02247">
        <w:t>such</w:t>
      </w:r>
      <w:r w:rsidR="005B2A41">
        <w:t xml:space="preserve"> </w:t>
      </w:r>
      <w:r w:rsidRPr="00B02247">
        <w:t>cases,</w:t>
      </w:r>
      <w:r w:rsidR="005B2A41">
        <w:t xml:space="preserve"> </w:t>
      </w:r>
      <w:r w:rsidRPr="00B02247">
        <w:t>the</w:t>
      </w:r>
      <w:r w:rsidR="005B2A41">
        <w:t xml:space="preserve"> </w:t>
      </w:r>
      <w:r w:rsidRPr="00B02247">
        <w:t>abovementioned</w:t>
      </w:r>
      <w:r w:rsidR="005B2A41">
        <w:t xml:space="preserve"> </w:t>
      </w:r>
      <w:r w:rsidRPr="00B02247">
        <w:t>Court</w:t>
      </w:r>
      <w:r w:rsidR="005B2A41">
        <w:t xml:space="preserve"> </w:t>
      </w:r>
      <w:r w:rsidRPr="00B02247">
        <w:t>does</w:t>
      </w:r>
      <w:r w:rsidR="005B2A41">
        <w:t xml:space="preserve"> </w:t>
      </w:r>
      <w:r w:rsidRPr="00B02247">
        <w:t>not</w:t>
      </w:r>
      <w:r w:rsidR="005B2A41">
        <w:t xml:space="preserve"> </w:t>
      </w:r>
      <w:r w:rsidRPr="00B02247">
        <w:t>review</w:t>
      </w:r>
      <w:r w:rsidR="005B2A41">
        <w:t xml:space="preserve"> </w:t>
      </w:r>
      <w:r w:rsidRPr="00B02247">
        <w:t>the</w:t>
      </w:r>
      <w:r w:rsidR="005B2A41">
        <w:t xml:space="preserve"> </w:t>
      </w:r>
      <w:r w:rsidRPr="00B02247">
        <w:t>facts</w:t>
      </w:r>
      <w:r w:rsidR="005B2A41">
        <w:t xml:space="preserve"> </w:t>
      </w:r>
      <w:r w:rsidRPr="00B02247">
        <w:t>of</w:t>
      </w:r>
      <w:r w:rsidR="005B2A41">
        <w:t xml:space="preserve"> </w:t>
      </w:r>
      <w:r w:rsidRPr="00B02247">
        <w:t>the</w:t>
      </w:r>
      <w:r w:rsidR="005B2A41">
        <w:t xml:space="preserve"> </w:t>
      </w:r>
      <w:r w:rsidRPr="00B02247">
        <w:t>case,</w:t>
      </w:r>
      <w:r w:rsidR="005B2A41">
        <w:t xml:space="preserve"> </w:t>
      </w:r>
      <w:r w:rsidRPr="00B02247">
        <w:t>but</w:t>
      </w:r>
      <w:r w:rsidR="005B2A41">
        <w:t xml:space="preserve"> </w:t>
      </w:r>
      <w:r w:rsidRPr="00B02247">
        <w:t>only</w:t>
      </w:r>
      <w:r w:rsidR="005B2A41">
        <w:t xml:space="preserve"> </w:t>
      </w:r>
      <w:r w:rsidRPr="00B02247">
        <w:t>the</w:t>
      </w:r>
      <w:r w:rsidR="005B2A41">
        <w:t xml:space="preserve"> </w:t>
      </w:r>
      <w:r w:rsidRPr="00B02247">
        <w:t>legal</w:t>
      </w:r>
      <w:r w:rsidR="005B2A41">
        <w:t xml:space="preserve"> </w:t>
      </w:r>
      <w:r w:rsidRPr="00B02247">
        <w:t>correctness</w:t>
      </w:r>
      <w:r w:rsidR="005B2A41">
        <w:t xml:space="preserve"> </w:t>
      </w:r>
      <w:r w:rsidRPr="00B02247">
        <w:t>of</w:t>
      </w:r>
      <w:r w:rsidR="005B2A41">
        <w:t xml:space="preserve"> </w:t>
      </w:r>
      <w:r w:rsidRPr="00B02247">
        <w:t>decisions</w:t>
      </w:r>
      <w:r w:rsidR="005B2A41">
        <w:t xml:space="preserve"> </w:t>
      </w:r>
      <w:r w:rsidRPr="00B02247">
        <w:t>issued</w:t>
      </w:r>
      <w:r w:rsidR="005B2A41">
        <w:t xml:space="preserve"> </w:t>
      </w:r>
      <w:r w:rsidRPr="00B02247">
        <w:t>by</w:t>
      </w:r>
      <w:r w:rsidR="005B2A41">
        <w:t xml:space="preserve"> </w:t>
      </w:r>
      <w:r w:rsidRPr="00B02247">
        <w:t>courts</w:t>
      </w:r>
      <w:r w:rsidR="005B2A41">
        <w:t xml:space="preserve"> </w:t>
      </w:r>
      <w:r w:rsidRPr="00B02247">
        <w:t>of</w:t>
      </w:r>
      <w:r w:rsidR="005B2A41">
        <w:t xml:space="preserve"> </w:t>
      </w:r>
      <w:r w:rsidRPr="00B02247">
        <w:t>first</w:t>
      </w:r>
      <w:r w:rsidR="005B2A41">
        <w:t xml:space="preserve"> </w:t>
      </w:r>
      <w:r w:rsidRPr="00B02247">
        <w:t>and</w:t>
      </w:r>
      <w:r w:rsidR="005B2A41">
        <w:t xml:space="preserve"> </w:t>
      </w:r>
      <w:r w:rsidRPr="00B02247">
        <w:t>second</w:t>
      </w:r>
      <w:r w:rsidR="005B2A41">
        <w:t xml:space="preserve"> </w:t>
      </w:r>
      <w:r w:rsidRPr="00B02247">
        <w:t>instance.</w:t>
      </w:r>
    </w:p>
    <w:p w:rsidR="00F233AB" w:rsidRPr="00B02247" w:rsidRDefault="00F233AB" w:rsidP="006E329B">
      <w:pPr>
        <w:pStyle w:val="H4G"/>
      </w:pPr>
      <w:r w:rsidRPr="00B02247">
        <w:tab/>
      </w:r>
      <w:r w:rsidRPr="00B02247">
        <w:tab/>
        <w:t>Legal</w:t>
      </w:r>
      <w:r w:rsidR="005B2A41">
        <w:t xml:space="preserve"> </w:t>
      </w:r>
      <w:r w:rsidRPr="00B02247">
        <w:t>remedies</w:t>
      </w:r>
      <w:r w:rsidR="005B2A41">
        <w:t xml:space="preserve"> </w:t>
      </w:r>
      <w:r w:rsidRPr="00B02247">
        <w:t>brought</w:t>
      </w:r>
      <w:r w:rsidR="005B2A41">
        <w:t xml:space="preserve"> </w:t>
      </w:r>
      <w:r w:rsidRPr="00B02247">
        <w:t>before</w:t>
      </w:r>
      <w:r w:rsidR="005B2A41">
        <w:t xml:space="preserve"> </w:t>
      </w:r>
      <w:r w:rsidRPr="00B02247">
        <w:t>the</w:t>
      </w:r>
      <w:r w:rsidR="005B2A41">
        <w:t xml:space="preserve"> </w:t>
      </w:r>
      <w:r w:rsidRPr="00B02247">
        <w:t>criminal</w:t>
      </w:r>
      <w:r w:rsidR="005B2A41">
        <w:t xml:space="preserve"> </w:t>
      </w:r>
      <w:r w:rsidRPr="00B02247">
        <w:t>courts</w:t>
      </w:r>
    </w:p>
    <w:p w:rsidR="00F233AB" w:rsidRPr="00B02247" w:rsidRDefault="00F233AB" w:rsidP="00E1307D">
      <w:pPr>
        <w:pStyle w:val="SingleTxtG"/>
      </w:pPr>
      <w:r w:rsidRPr="00B02247">
        <w:t>52.</w:t>
      </w:r>
      <w:r w:rsidRPr="00B02247">
        <w:tab/>
        <w:t>The</w:t>
      </w:r>
      <w:r w:rsidR="005B2A41">
        <w:t xml:space="preserve"> </w:t>
      </w:r>
      <w:r w:rsidRPr="00B02247">
        <w:t>most</w:t>
      </w:r>
      <w:r w:rsidR="005B2A41">
        <w:t xml:space="preserve"> </w:t>
      </w:r>
      <w:r w:rsidRPr="00B02247">
        <w:t>important</w:t>
      </w:r>
      <w:r w:rsidR="005B2A41">
        <w:t xml:space="preserve"> </w:t>
      </w:r>
      <w:r w:rsidRPr="00B02247">
        <w:t>remedy</w:t>
      </w:r>
      <w:r w:rsidR="005B2A41">
        <w:t xml:space="preserve"> </w:t>
      </w:r>
      <w:r w:rsidRPr="00B02247">
        <w:t>provided</w:t>
      </w:r>
      <w:r w:rsidR="005B2A41">
        <w:t xml:space="preserve"> </w:t>
      </w:r>
      <w:r w:rsidRPr="00B02247">
        <w:t>by</w:t>
      </w:r>
      <w:r w:rsidR="005B2A41">
        <w:t xml:space="preserve"> </w:t>
      </w:r>
      <w:r w:rsidRPr="00B02247">
        <w:t>the</w:t>
      </w:r>
      <w:r w:rsidR="005B2A41">
        <w:t xml:space="preserve"> </w:t>
      </w:r>
      <w:r w:rsidRPr="00B02247">
        <w:t>law</w:t>
      </w:r>
      <w:r w:rsidR="005B2A41">
        <w:t xml:space="preserve"> </w:t>
      </w:r>
      <w:r w:rsidRPr="00B02247">
        <w:t>against</w:t>
      </w:r>
      <w:r w:rsidR="005B2A41">
        <w:t xml:space="preserve"> </w:t>
      </w:r>
      <w:r w:rsidRPr="00B02247">
        <w:t>first</w:t>
      </w:r>
      <w:r w:rsidR="005B2A41">
        <w:t xml:space="preserve"> </w:t>
      </w:r>
      <w:r w:rsidRPr="00B02247">
        <w:t>instance</w:t>
      </w:r>
      <w:r w:rsidR="005B2A41">
        <w:t xml:space="preserve"> </w:t>
      </w:r>
      <w:r w:rsidRPr="00B02247">
        <w:t>judgements</w:t>
      </w:r>
      <w:r w:rsidR="005B2A41">
        <w:t xml:space="preserve"> </w:t>
      </w:r>
      <w:r w:rsidRPr="00B02247">
        <w:t>is</w:t>
      </w:r>
      <w:r w:rsidR="005B2A41">
        <w:t xml:space="preserve"> </w:t>
      </w:r>
      <w:r w:rsidRPr="00B02247">
        <w:t>the</w:t>
      </w:r>
      <w:r w:rsidR="005B2A41">
        <w:t xml:space="preserve"> </w:t>
      </w:r>
      <w:r w:rsidRPr="00B02247">
        <w:t>appeal.</w:t>
      </w:r>
      <w:r w:rsidR="005B2A41">
        <w:t xml:space="preserve"> </w:t>
      </w:r>
      <w:r w:rsidRPr="00B02247">
        <w:t>Appeals</w:t>
      </w:r>
      <w:r w:rsidR="005B2A41">
        <w:t xml:space="preserve"> </w:t>
      </w:r>
      <w:r w:rsidRPr="00B02247">
        <w:t>may</w:t>
      </w:r>
      <w:r w:rsidR="005B2A41">
        <w:t xml:space="preserve"> </w:t>
      </w:r>
      <w:r w:rsidRPr="00B02247">
        <w:t>be</w:t>
      </w:r>
      <w:r w:rsidR="005B2A41">
        <w:t xml:space="preserve"> </w:t>
      </w:r>
      <w:r w:rsidRPr="00B02247">
        <w:t>lodged</w:t>
      </w:r>
      <w:r w:rsidR="005B2A41">
        <w:t xml:space="preserve"> </w:t>
      </w:r>
      <w:r w:rsidRPr="00B02247">
        <w:t>against</w:t>
      </w:r>
      <w:r w:rsidR="005B2A41">
        <w:t xml:space="preserve"> </w:t>
      </w:r>
      <w:r w:rsidRPr="00B02247">
        <w:t>decisions</w:t>
      </w:r>
      <w:r w:rsidR="005B2A41">
        <w:t xml:space="preserve"> </w:t>
      </w:r>
      <w:r w:rsidRPr="00B02247">
        <w:t>of</w:t>
      </w:r>
      <w:r w:rsidR="005B2A41">
        <w:t xml:space="preserve"> </w:t>
      </w:r>
      <w:r w:rsidRPr="00B02247">
        <w:t>first</w:t>
      </w:r>
      <w:r w:rsidR="005B2A41">
        <w:t xml:space="preserve"> </w:t>
      </w:r>
      <w:r w:rsidRPr="00B02247">
        <w:t>instance</w:t>
      </w:r>
      <w:r w:rsidR="005B2A41">
        <w:t xml:space="preserve"> </w:t>
      </w:r>
      <w:r w:rsidRPr="00B02247">
        <w:t>courts,</w:t>
      </w:r>
      <w:r w:rsidR="005B2A41">
        <w:t xml:space="preserve"> </w:t>
      </w:r>
      <w:r w:rsidRPr="00B02247">
        <w:t>either</w:t>
      </w:r>
      <w:r w:rsidR="005B2A41">
        <w:t xml:space="preserve"> </w:t>
      </w:r>
      <w:r w:rsidRPr="00B02247">
        <w:t>by</w:t>
      </w:r>
      <w:r w:rsidR="005B2A41">
        <w:t xml:space="preserve"> </w:t>
      </w:r>
      <w:r w:rsidRPr="00B02247">
        <w:t>the</w:t>
      </w:r>
      <w:r w:rsidR="005B2A41">
        <w:t xml:space="preserve"> </w:t>
      </w:r>
      <w:r w:rsidRPr="00B02247">
        <w:t>defendant</w:t>
      </w:r>
      <w:r w:rsidR="005B2A41">
        <w:t xml:space="preserve"> </w:t>
      </w:r>
      <w:r w:rsidRPr="00B02247">
        <w:t>or</w:t>
      </w:r>
      <w:r w:rsidR="005B2A41">
        <w:t xml:space="preserve"> </w:t>
      </w:r>
      <w:r w:rsidRPr="00B02247">
        <w:t>by</w:t>
      </w:r>
      <w:r w:rsidR="005B2A41">
        <w:t xml:space="preserve"> </w:t>
      </w:r>
      <w:r w:rsidRPr="00B02247">
        <w:t>the</w:t>
      </w:r>
      <w:r w:rsidR="005B2A41">
        <w:t xml:space="preserve"> </w:t>
      </w:r>
      <w:r w:rsidRPr="00B02247">
        <w:t>civil</w:t>
      </w:r>
      <w:r w:rsidR="005B2A41">
        <w:t xml:space="preserve"> </w:t>
      </w:r>
      <w:r w:rsidRPr="00B02247">
        <w:t>claimant</w:t>
      </w:r>
      <w:r w:rsidR="005B2A41">
        <w:t xml:space="preserve"> </w:t>
      </w:r>
      <w:r w:rsidRPr="00B02247">
        <w:t>or</w:t>
      </w:r>
      <w:r w:rsidR="005B2A41">
        <w:t xml:space="preserve"> </w:t>
      </w:r>
      <w:r w:rsidRPr="00B02247">
        <w:t>by</w:t>
      </w:r>
      <w:r w:rsidR="005B2A41">
        <w:t xml:space="preserve"> </w:t>
      </w:r>
      <w:r w:rsidRPr="00B02247">
        <w:t>the</w:t>
      </w:r>
      <w:r w:rsidR="005B2A41">
        <w:t xml:space="preserve"> </w:t>
      </w:r>
      <w:r w:rsidRPr="00B02247">
        <w:t>public</w:t>
      </w:r>
      <w:r w:rsidR="005B2A41">
        <w:t xml:space="preserve"> </w:t>
      </w:r>
      <w:r w:rsidRPr="00B02247">
        <w:t>prosecutor,</w:t>
      </w:r>
      <w:r w:rsidR="005B2A41">
        <w:t xml:space="preserve"> </w:t>
      </w:r>
      <w:r w:rsidRPr="00B02247">
        <w:t>with</w:t>
      </w:r>
      <w:r w:rsidR="005B2A41">
        <w:t xml:space="preserve"> </w:t>
      </w:r>
      <w:r w:rsidRPr="00B02247">
        <w:t>a</w:t>
      </w:r>
      <w:r w:rsidR="005B2A41">
        <w:t xml:space="preserve"> </w:t>
      </w:r>
      <w:r w:rsidRPr="00B02247">
        <w:t>view</w:t>
      </w:r>
      <w:r w:rsidR="005B2A41">
        <w:t xml:space="preserve"> </w:t>
      </w:r>
      <w:r w:rsidRPr="00B02247">
        <w:t>to</w:t>
      </w:r>
      <w:r w:rsidR="005B2A41">
        <w:t xml:space="preserve"> </w:t>
      </w:r>
      <w:r w:rsidRPr="00B02247">
        <w:t>the</w:t>
      </w:r>
      <w:r w:rsidR="005B2A41">
        <w:t xml:space="preserve"> </w:t>
      </w:r>
      <w:r w:rsidRPr="00B02247">
        <w:t>annulment</w:t>
      </w:r>
      <w:r w:rsidR="005B2A41">
        <w:t xml:space="preserve"> </w:t>
      </w:r>
      <w:r w:rsidRPr="00B02247">
        <w:t>of</w:t>
      </w:r>
      <w:r w:rsidR="005B2A41">
        <w:t xml:space="preserve"> </w:t>
      </w:r>
      <w:r w:rsidRPr="00B02247">
        <w:t>the</w:t>
      </w:r>
      <w:r w:rsidR="005B2A41">
        <w:t xml:space="preserve"> </w:t>
      </w:r>
      <w:r w:rsidRPr="00B02247">
        <w:t>judgement</w:t>
      </w:r>
      <w:r w:rsidR="005B2A41">
        <w:t xml:space="preserve"> </w:t>
      </w:r>
      <w:r w:rsidRPr="00B02247">
        <w:t>or</w:t>
      </w:r>
      <w:r w:rsidR="005B2A41">
        <w:t xml:space="preserve"> </w:t>
      </w:r>
      <w:r w:rsidRPr="00B02247">
        <w:t>the</w:t>
      </w:r>
      <w:r w:rsidR="005B2A41">
        <w:t xml:space="preserve"> </w:t>
      </w:r>
      <w:r w:rsidRPr="00B02247">
        <w:t>reduction</w:t>
      </w:r>
      <w:r w:rsidR="005B2A41">
        <w:t xml:space="preserve"> </w:t>
      </w:r>
      <w:r w:rsidRPr="00B02247">
        <w:t>of</w:t>
      </w:r>
      <w:r w:rsidR="005B2A41">
        <w:t xml:space="preserve"> </w:t>
      </w:r>
      <w:r w:rsidRPr="00B02247">
        <w:t>the</w:t>
      </w:r>
      <w:r w:rsidR="005B2A41">
        <w:t xml:space="preserve"> </w:t>
      </w:r>
      <w:r w:rsidRPr="00B02247">
        <w:t>sentence.</w:t>
      </w:r>
      <w:r w:rsidR="005B2A41">
        <w:t xml:space="preserve"> </w:t>
      </w:r>
      <w:r w:rsidRPr="00B02247">
        <w:t>In</w:t>
      </w:r>
      <w:r w:rsidR="005B2A41">
        <w:t xml:space="preserve"> </w:t>
      </w:r>
      <w:r w:rsidRPr="00B02247">
        <w:t>any</w:t>
      </w:r>
      <w:r w:rsidR="005B2A41">
        <w:t xml:space="preserve"> </w:t>
      </w:r>
      <w:r w:rsidRPr="00B02247">
        <w:t>case,</w:t>
      </w:r>
      <w:r w:rsidR="005B2A41">
        <w:t xml:space="preserve"> </w:t>
      </w:r>
      <w:r w:rsidRPr="00B02247">
        <w:t>however,</w:t>
      </w:r>
      <w:r w:rsidR="005B2A41">
        <w:t xml:space="preserve"> </w:t>
      </w:r>
      <w:r w:rsidRPr="00B02247">
        <w:t>the</w:t>
      </w:r>
      <w:r w:rsidR="005B2A41">
        <w:t xml:space="preserve"> </w:t>
      </w:r>
      <w:r w:rsidRPr="00B02247">
        <w:t>decision</w:t>
      </w:r>
      <w:r w:rsidR="005B2A41">
        <w:t xml:space="preserve"> </w:t>
      </w:r>
      <w:r w:rsidRPr="00B02247">
        <w:t>on</w:t>
      </w:r>
      <w:r w:rsidR="005B2A41">
        <w:t xml:space="preserve"> </w:t>
      </w:r>
      <w:r w:rsidRPr="00B02247">
        <w:t>the</w:t>
      </w:r>
      <w:r w:rsidR="005B2A41">
        <w:t xml:space="preserve"> </w:t>
      </w:r>
      <w:r w:rsidRPr="00B02247">
        <w:t>appeal</w:t>
      </w:r>
      <w:r w:rsidR="005B2A41">
        <w:t xml:space="preserve"> </w:t>
      </w:r>
      <w:r w:rsidRPr="00B02247">
        <w:t>may</w:t>
      </w:r>
      <w:r w:rsidR="005B2A41">
        <w:t xml:space="preserve"> </w:t>
      </w:r>
      <w:r w:rsidRPr="00B02247">
        <w:t>not</w:t>
      </w:r>
      <w:r w:rsidR="005B2A41">
        <w:t xml:space="preserve"> </w:t>
      </w:r>
      <w:r w:rsidRPr="00B02247">
        <w:t>result,</w:t>
      </w:r>
      <w:r w:rsidR="005B2A41">
        <w:t xml:space="preserve"> </w:t>
      </w:r>
      <w:r w:rsidRPr="00B02247">
        <w:t>in</w:t>
      </w:r>
      <w:r w:rsidR="005B2A41">
        <w:t xml:space="preserve"> </w:t>
      </w:r>
      <w:r w:rsidRPr="00B02247">
        <w:t>principle,</w:t>
      </w:r>
      <w:r w:rsidR="005B2A41">
        <w:t xml:space="preserve"> </w:t>
      </w:r>
      <w:r w:rsidRPr="00B02247">
        <w:t>in</w:t>
      </w:r>
      <w:r w:rsidR="005B2A41">
        <w:t xml:space="preserve"> </w:t>
      </w:r>
      <w:r w:rsidRPr="00B02247">
        <w:t>a</w:t>
      </w:r>
      <w:r w:rsidR="005B2A41">
        <w:t xml:space="preserve"> </w:t>
      </w:r>
      <w:r w:rsidRPr="00B02247">
        <w:t>reformatio</w:t>
      </w:r>
      <w:r w:rsidR="005B2A41">
        <w:t xml:space="preserve"> </w:t>
      </w:r>
      <w:r w:rsidRPr="00B02247">
        <w:t>in</w:t>
      </w:r>
      <w:r w:rsidR="005B2A41">
        <w:t xml:space="preserve"> </w:t>
      </w:r>
      <w:r w:rsidRPr="00B02247">
        <w:t>peius</w:t>
      </w:r>
      <w:r w:rsidR="005B2A41">
        <w:t xml:space="preserve"> </w:t>
      </w:r>
      <w:r w:rsidRPr="00B02247">
        <w:t>for</w:t>
      </w:r>
      <w:r w:rsidR="005B2A41">
        <w:t xml:space="preserve"> </w:t>
      </w:r>
      <w:r w:rsidRPr="00B02247">
        <w:t>the</w:t>
      </w:r>
      <w:r w:rsidR="005B2A41">
        <w:t xml:space="preserve"> </w:t>
      </w:r>
      <w:r w:rsidRPr="00B02247">
        <w:t>defendant.</w:t>
      </w:r>
      <w:r w:rsidR="005B2A41">
        <w:t xml:space="preserve"> </w:t>
      </w:r>
      <w:r w:rsidRPr="00B02247">
        <w:t>However</w:t>
      </w:r>
      <w:r w:rsidR="005B2A41">
        <w:t xml:space="preserve"> </w:t>
      </w:r>
      <w:r w:rsidRPr="00B02247">
        <w:t>and</w:t>
      </w:r>
      <w:r w:rsidR="005B2A41">
        <w:t xml:space="preserve"> </w:t>
      </w:r>
      <w:r w:rsidRPr="00B02247">
        <w:t>according</w:t>
      </w:r>
      <w:r w:rsidR="005B2A41">
        <w:t xml:space="preserve"> </w:t>
      </w:r>
      <w:r w:rsidRPr="00B02247">
        <w:t>to</w:t>
      </w:r>
      <w:r w:rsidR="005B2A41">
        <w:t xml:space="preserve"> </w:t>
      </w:r>
      <w:r w:rsidRPr="00B02247">
        <w:t>the</w:t>
      </w:r>
      <w:r w:rsidR="005B2A41">
        <w:t xml:space="preserve"> </w:t>
      </w:r>
      <w:r w:rsidRPr="00B02247">
        <w:t>Code</w:t>
      </w:r>
      <w:r w:rsidR="005B2A41">
        <w:t xml:space="preserve"> </w:t>
      </w:r>
      <w:r w:rsidRPr="00B02247">
        <w:t>of</w:t>
      </w:r>
      <w:r w:rsidR="005B2A41">
        <w:t xml:space="preserve"> </w:t>
      </w:r>
      <w:r w:rsidRPr="00B02247">
        <w:t>Criminal</w:t>
      </w:r>
      <w:r w:rsidR="005B2A41">
        <w:t xml:space="preserve"> </w:t>
      </w:r>
      <w:r w:rsidRPr="00B02247">
        <w:t>Procedure,</w:t>
      </w:r>
      <w:r w:rsidR="005B2A41">
        <w:t xml:space="preserve"> </w:t>
      </w:r>
      <w:r w:rsidRPr="00B02247">
        <w:t>it</w:t>
      </w:r>
      <w:r w:rsidR="005B2A41">
        <w:t xml:space="preserve"> </w:t>
      </w:r>
      <w:r w:rsidRPr="00B02247">
        <w:t>is</w:t>
      </w:r>
      <w:r w:rsidR="005B2A41">
        <w:t xml:space="preserve"> </w:t>
      </w:r>
      <w:r w:rsidRPr="00B02247">
        <w:t>not</w:t>
      </w:r>
      <w:r w:rsidR="005B2A41">
        <w:t xml:space="preserve"> </w:t>
      </w:r>
      <w:r w:rsidRPr="00B02247">
        <w:t>forbidden</w:t>
      </w:r>
      <w:r w:rsidR="005B2A41">
        <w:t xml:space="preserve"> </w:t>
      </w:r>
      <w:r w:rsidRPr="00B02247">
        <w:t>to</w:t>
      </w:r>
      <w:r w:rsidR="005B2A41">
        <w:t xml:space="preserve"> </w:t>
      </w:r>
      <w:r w:rsidRPr="00B02247">
        <w:t>impose</w:t>
      </w:r>
      <w:r w:rsidR="005B2A41">
        <w:t xml:space="preserve"> </w:t>
      </w:r>
      <w:r w:rsidRPr="00B02247">
        <w:t>a</w:t>
      </w:r>
      <w:r w:rsidR="005B2A41">
        <w:t xml:space="preserve"> </w:t>
      </w:r>
      <w:r w:rsidRPr="00B02247">
        <w:t>supplemental</w:t>
      </w:r>
      <w:r w:rsidR="005B2A41">
        <w:t xml:space="preserve"> </w:t>
      </w:r>
      <w:r w:rsidRPr="00B02247">
        <w:t>penalty,</w:t>
      </w:r>
      <w:r w:rsidR="005B2A41">
        <w:t xml:space="preserve"> </w:t>
      </w:r>
      <w:r w:rsidRPr="00B02247">
        <w:t>which</w:t>
      </w:r>
      <w:r w:rsidR="005B2A41">
        <w:t xml:space="preserve"> </w:t>
      </w:r>
      <w:r w:rsidRPr="00B02247">
        <w:t>was</w:t>
      </w:r>
      <w:r w:rsidR="005B2A41">
        <w:t xml:space="preserve"> </w:t>
      </w:r>
      <w:r w:rsidRPr="00B02247">
        <w:t>not</w:t>
      </w:r>
      <w:r w:rsidR="005B2A41">
        <w:t xml:space="preserve"> </w:t>
      </w:r>
      <w:r w:rsidRPr="00B02247">
        <w:t>imposed</w:t>
      </w:r>
      <w:r w:rsidR="005B2A41">
        <w:t xml:space="preserve"> </w:t>
      </w:r>
      <w:r w:rsidRPr="00B02247">
        <w:t>by</w:t>
      </w:r>
      <w:r w:rsidR="005B2A41">
        <w:t xml:space="preserve"> </w:t>
      </w:r>
      <w:r w:rsidRPr="00B02247">
        <w:t>mistake,</w:t>
      </w:r>
      <w:r w:rsidR="005B2A41">
        <w:t xml:space="preserve"> </w:t>
      </w:r>
      <w:r w:rsidRPr="00B02247">
        <w:t>although</w:t>
      </w:r>
      <w:r w:rsidR="005B2A41">
        <w:t xml:space="preserve"> </w:t>
      </w:r>
      <w:r w:rsidRPr="00B02247">
        <w:t>it</w:t>
      </w:r>
      <w:r w:rsidR="005B2A41">
        <w:t xml:space="preserve"> </w:t>
      </w:r>
      <w:r w:rsidRPr="00B02247">
        <w:t>should</w:t>
      </w:r>
      <w:r w:rsidR="005B2A41">
        <w:t xml:space="preserve"> </w:t>
      </w:r>
      <w:r w:rsidRPr="00B02247">
        <w:t>have</w:t>
      </w:r>
      <w:r w:rsidR="005B2A41">
        <w:t xml:space="preserve"> </w:t>
      </w:r>
      <w:r w:rsidRPr="00B02247">
        <w:t>been</w:t>
      </w:r>
      <w:r w:rsidR="005B2A41">
        <w:t xml:space="preserve"> </w:t>
      </w:r>
      <w:r w:rsidRPr="00B02247">
        <w:t>imposed</w:t>
      </w:r>
      <w:r w:rsidR="005B2A41">
        <w:t xml:space="preserve"> </w:t>
      </w:r>
      <w:r w:rsidRPr="00B02247">
        <w:t>under</w:t>
      </w:r>
      <w:r w:rsidR="005B2A41">
        <w:t xml:space="preserve"> </w:t>
      </w:r>
      <w:r w:rsidRPr="00B02247">
        <w:t>the</w:t>
      </w:r>
      <w:r w:rsidR="005B2A41">
        <w:t xml:space="preserve"> </w:t>
      </w:r>
      <w:r w:rsidRPr="00B02247">
        <w:t>law.</w:t>
      </w:r>
      <w:r w:rsidR="005B2A41">
        <w:t xml:space="preserve"> </w:t>
      </w:r>
      <w:r w:rsidRPr="00B02247">
        <w:t>Most</w:t>
      </w:r>
      <w:r w:rsidR="005B2A41">
        <w:t xml:space="preserve"> </w:t>
      </w:r>
      <w:r w:rsidRPr="00B02247">
        <w:t>first</w:t>
      </w:r>
      <w:r w:rsidR="005B2A41">
        <w:t xml:space="preserve"> </w:t>
      </w:r>
      <w:r w:rsidRPr="00B02247">
        <w:t>instance</w:t>
      </w:r>
      <w:r w:rsidR="005B2A41">
        <w:t xml:space="preserve"> </w:t>
      </w:r>
      <w:r w:rsidRPr="00B02247">
        <w:t>decisions</w:t>
      </w:r>
      <w:r w:rsidR="005B2A41">
        <w:t xml:space="preserve"> </w:t>
      </w:r>
      <w:r w:rsidRPr="00B02247">
        <w:t>are</w:t>
      </w:r>
      <w:r w:rsidR="005B2A41">
        <w:t xml:space="preserve"> </w:t>
      </w:r>
      <w:r w:rsidRPr="00B02247">
        <w:t>subject</w:t>
      </w:r>
      <w:r w:rsidR="005B2A41">
        <w:t xml:space="preserve"> </w:t>
      </w:r>
      <w:r w:rsidRPr="00B02247">
        <w:t>to</w:t>
      </w:r>
      <w:r w:rsidR="005B2A41">
        <w:t xml:space="preserve"> </w:t>
      </w:r>
      <w:r w:rsidRPr="00B02247">
        <w:t>the</w:t>
      </w:r>
      <w:r w:rsidR="005B2A41">
        <w:t xml:space="preserve"> </w:t>
      </w:r>
      <w:r w:rsidRPr="00B02247">
        <w:t>remedy</w:t>
      </w:r>
      <w:r w:rsidR="005B2A41">
        <w:t xml:space="preserve"> </w:t>
      </w:r>
      <w:r w:rsidRPr="00B02247">
        <w:t>of</w:t>
      </w:r>
      <w:r w:rsidR="005B2A41">
        <w:t xml:space="preserve"> </w:t>
      </w:r>
      <w:r w:rsidRPr="00B02247">
        <w:t>appeal.</w:t>
      </w:r>
      <w:r w:rsidR="005B2A41">
        <w:t xml:space="preserve"> </w:t>
      </w:r>
      <w:r w:rsidRPr="00B02247">
        <w:t>Certain</w:t>
      </w:r>
      <w:r w:rsidR="005B2A41">
        <w:t xml:space="preserve"> </w:t>
      </w:r>
      <w:r w:rsidRPr="00B02247">
        <w:t>decisions</w:t>
      </w:r>
      <w:r w:rsidR="005B2A41">
        <w:t xml:space="preserve"> </w:t>
      </w:r>
      <w:r w:rsidRPr="00B02247">
        <w:t>taken</w:t>
      </w:r>
      <w:r w:rsidR="005B2A41">
        <w:t xml:space="preserve"> </w:t>
      </w:r>
      <w:r w:rsidRPr="00B02247">
        <w:t>by</w:t>
      </w:r>
      <w:r w:rsidR="005B2A41">
        <w:t xml:space="preserve"> </w:t>
      </w:r>
      <w:r w:rsidRPr="00B02247">
        <w:t>the</w:t>
      </w:r>
      <w:r w:rsidR="005B2A41">
        <w:t xml:space="preserve"> </w:t>
      </w:r>
      <w:r w:rsidRPr="00B02247">
        <w:t>Judicial</w:t>
      </w:r>
      <w:r w:rsidR="005B2A41">
        <w:t xml:space="preserve"> </w:t>
      </w:r>
      <w:r w:rsidRPr="00B02247">
        <w:t>Councils</w:t>
      </w:r>
      <w:r w:rsidR="005B2A41">
        <w:t xml:space="preserve"> </w:t>
      </w:r>
      <w:r w:rsidRPr="00B02247">
        <w:t>at</w:t>
      </w:r>
      <w:r w:rsidR="005B2A41">
        <w:t xml:space="preserve"> </w:t>
      </w:r>
      <w:r w:rsidRPr="00B02247">
        <w:t>the</w:t>
      </w:r>
      <w:r w:rsidR="005B2A41">
        <w:t xml:space="preserve"> </w:t>
      </w:r>
      <w:r w:rsidRPr="00B02247">
        <w:t>pre-trial</w:t>
      </w:r>
      <w:r w:rsidR="005B2A41">
        <w:t xml:space="preserve"> </w:t>
      </w:r>
      <w:r w:rsidRPr="00B02247">
        <w:t>stage</w:t>
      </w:r>
      <w:r w:rsidR="005B2A41">
        <w:t xml:space="preserve"> </w:t>
      </w:r>
      <w:r w:rsidRPr="00B02247">
        <w:t>may</w:t>
      </w:r>
      <w:r w:rsidR="005B2A41">
        <w:t xml:space="preserve"> </w:t>
      </w:r>
      <w:r w:rsidRPr="00B02247">
        <w:t>also</w:t>
      </w:r>
      <w:r w:rsidR="005B2A41">
        <w:t xml:space="preserve"> </w:t>
      </w:r>
      <w:r w:rsidRPr="00B02247">
        <w:t>be</w:t>
      </w:r>
      <w:r w:rsidR="005B2A41">
        <w:t xml:space="preserve"> </w:t>
      </w:r>
      <w:r w:rsidRPr="00B02247">
        <w:t>appealed</w:t>
      </w:r>
      <w:r w:rsidR="005B2A41">
        <w:t xml:space="preserve"> </w:t>
      </w:r>
      <w:r w:rsidRPr="00B02247">
        <w:t>against.</w:t>
      </w:r>
    </w:p>
    <w:p w:rsidR="00F233AB" w:rsidRPr="00B02247" w:rsidRDefault="00F233AB" w:rsidP="00E1307D">
      <w:pPr>
        <w:pStyle w:val="SingleTxtG"/>
      </w:pPr>
      <w:r w:rsidRPr="00B02247">
        <w:t>53.</w:t>
      </w:r>
      <w:r w:rsidRPr="00B02247">
        <w:tab/>
        <w:t>Appeals</w:t>
      </w:r>
      <w:r w:rsidR="005B2A41">
        <w:t xml:space="preserve"> </w:t>
      </w:r>
      <w:r w:rsidRPr="00B02247">
        <w:t>on</w:t>
      </w:r>
      <w:r w:rsidR="005B2A41">
        <w:t xml:space="preserve"> </w:t>
      </w:r>
      <w:r w:rsidRPr="00B02247">
        <w:t>cassation</w:t>
      </w:r>
      <w:r w:rsidR="005B2A41">
        <w:t xml:space="preserve"> </w:t>
      </w:r>
      <w:r w:rsidRPr="00B02247">
        <w:t>before</w:t>
      </w:r>
      <w:r w:rsidR="005B2A41">
        <w:t xml:space="preserve"> </w:t>
      </w:r>
      <w:r w:rsidRPr="00B02247">
        <w:t>the</w:t>
      </w:r>
      <w:r w:rsidR="005B2A41">
        <w:t xml:space="preserve"> </w:t>
      </w:r>
      <w:r w:rsidRPr="00B02247">
        <w:t>Supreme</w:t>
      </w:r>
      <w:r w:rsidR="005B2A41">
        <w:t xml:space="preserve"> </w:t>
      </w:r>
      <w:r w:rsidRPr="00B02247">
        <w:t>Civil</w:t>
      </w:r>
      <w:r w:rsidR="005B2A41">
        <w:t xml:space="preserve"> </w:t>
      </w:r>
      <w:r w:rsidRPr="00B02247">
        <w:t>and</w:t>
      </w:r>
      <w:r w:rsidR="005B2A41">
        <w:t xml:space="preserve"> </w:t>
      </w:r>
      <w:r w:rsidRPr="00B02247">
        <w:t>Criminal</w:t>
      </w:r>
      <w:r w:rsidR="005B2A41">
        <w:t xml:space="preserve"> </w:t>
      </w:r>
      <w:r w:rsidRPr="00B02247">
        <w:t>Court</w:t>
      </w:r>
      <w:r w:rsidR="005B2A41">
        <w:t xml:space="preserve"> </w:t>
      </w:r>
      <w:r w:rsidRPr="00B02247">
        <w:t>may</w:t>
      </w:r>
      <w:r w:rsidR="005B2A41">
        <w:t xml:space="preserve"> </w:t>
      </w:r>
      <w:r w:rsidRPr="00B02247">
        <w:t>be</w:t>
      </w:r>
      <w:r w:rsidR="005B2A41">
        <w:t xml:space="preserve"> </w:t>
      </w:r>
      <w:r w:rsidRPr="00B02247">
        <w:t>lodged</w:t>
      </w:r>
      <w:r w:rsidR="005B2A41">
        <w:t xml:space="preserve"> </w:t>
      </w:r>
      <w:r w:rsidRPr="00B02247">
        <w:t>by</w:t>
      </w:r>
      <w:r w:rsidR="005B2A41">
        <w:t xml:space="preserve"> </w:t>
      </w:r>
      <w:r w:rsidRPr="00B02247">
        <w:t>the</w:t>
      </w:r>
      <w:r w:rsidR="005B2A41">
        <w:t xml:space="preserve"> </w:t>
      </w:r>
      <w:r w:rsidRPr="00B02247">
        <w:t>defendant</w:t>
      </w:r>
      <w:r w:rsidR="005B2A41">
        <w:t xml:space="preserve"> </w:t>
      </w:r>
      <w:r w:rsidRPr="00B02247">
        <w:t>or</w:t>
      </w:r>
      <w:r w:rsidR="005B2A41">
        <w:t xml:space="preserve"> </w:t>
      </w:r>
      <w:r w:rsidRPr="00B02247">
        <w:t>the</w:t>
      </w:r>
      <w:r w:rsidR="005B2A41">
        <w:t xml:space="preserve"> </w:t>
      </w:r>
      <w:r w:rsidRPr="00B02247">
        <w:t>prosecutor</w:t>
      </w:r>
      <w:r w:rsidR="005B2A41">
        <w:t xml:space="preserve"> </w:t>
      </w:r>
      <w:r w:rsidRPr="00B02247">
        <w:t>against</w:t>
      </w:r>
      <w:r w:rsidR="005B2A41">
        <w:t xml:space="preserve"> </w:t>
      </w:r>
      <w:r w:rsidRPr="00B02247">
        <w:t>decisions</w:t>
      </w:r>
      <w:r w:rsidR="005B2A41">
        <w:t xml:space="preserve"> </w:t>
      </w:r>
      <w:r w:rsidRPr="00B02247">
        <w:t>reached</w:t>
      </w:r>
      <w:r w:rsidR="005B2A41">
        <w:t xml:space="preserve"> </w:t>
      </w:r>
      <w:r w:rsidRPr="00B02247">
        <w:t>both</w:t>
      </w:r>
      <w:r w:rsidR="005B2A41">
        <w:t xml:space="preserve"> </w:t>
      </w:r>
      <w:r w:rsidRPr="00B02247">
        <w:t>by</w:t>
      </w:r>
      <w:r w:rsidR="005B2A41">
        <w:t xml:space="preserve"> </w:t>
      </w:r>
      <w:r w:rsidRPr="00B02247">
        <w:t>judicial</w:t>
      </w:r>
      <w:r w:rsidR="005B2A41">
        <w:t xml:space="preserve"> </w:t>
      </w:r>
      <w:r w:rsidRPr="00B02247">
        <w:t>councils</w:t>
      </w:r>
      <w:r w:rsidR="005B2A41">
        <w:t xml:space="preserve"> </w:t>
      </w:r>
      <w:r w:rsidRPr="00B02247">
        <w:t>or</w:t>
      </w:r>
      <w:r w:rsidR="005B2A41">
        <w:t xml:space="preserve"> </w:t>
      </w:r>
      <w:r w:rsidRPr="00B02247">
        <w:t>criminal</w:t>
      </w:r>
      <w:r w:rsidR="005B2A41">
        <w:t xml:space="preserve"> </w:t>
      </w:r>
      <w:r w:rsidRPr="00B02247">
        <w:t>courts</w:t>
      </w:r>
      <w:r w:rsidR="005B2A41">
        <w:t xml:space="preserve"> </w:t>
      </w:r>
      <w:r w:rsidRPr="00B02247">
        <w:t>at</w:t>
      </w:r>
      <w:r w:rsidR="005B2A41">
        <w:t xml:space="preserve"> </w:t>
      </w:r>
      <w:r w:rsidRPr="00B02247">
        <w:t>first</w:t>
      </w:r>
      <w:r w:rsidR="005B2A41">
        <w:t xml:space="preserve"> </w:t>
      </w:r>
      <w:r w:rsidRPr="00B02247">
        <w:t>and</w:t>
      </w:r>
      <w:r w:rsidR="005B2A41">
        <w:t xml:space="preserve"> </w:t>
      </w:r>
      <w:r w:rsidRPr="00B02247">
        <w:t>second</w:t>
      </w:r>
      <w:r w:rsidR="005B2A41">
        <w:t xml:space="preserve"> </w:t>
      </w:r>
      <w:r w:rsidRPr="00B02247">
        <w:t>instance.</w:t>
      </w:r>
      <w:r w:rsidR="005B2A41">
        <w:t xml:space="preserve"> </w:t>
      </w:r>
    </w:p>
    <w:p w:rsidR="00F233AB" w:rsidRPr="00B02247" w:rsidRDefault="00F233AB" w:rsidP="00E1307D">
      <w:pPr>
        <w:pStyle w:val="SingleTxtG"/>
      </w:pPr>
      <w:r w:rsidRPr="00B02247">
        <w:t>54.</w:t>
      </w:r>
      <w:r w:rsidRPr="00B02247">
        <w:tab/>
        <w:t>It</w:t>
      </w:r>
      <w:r w:rsidR="005B2A41">
        <w:t xml:space="preserve"> </w:t>
      </w:r>
      <w:r w:rsidRPr="00B02247">
        <w:t>is</w:t>
      </w:r>
      <w:r w:rsidR="005B2A41">
        <w:t xml:space="preserve"> </w:t>
      </w:r>
      <w:r w:rsidRPr="00B02247">
        <w:t>to</w:t>
      </w:r>
      <w:r w:rsidR="005B2A41">
        <w:t xml:space="preserve"> </w:t>
      </w:r>
      <w:r w:rsidRPr="00B02247">
        <w:t>be</w:t>
      </w:r>
      <w:r w:rsidR="005B2A41">
        <w:t xml:space="preserve"> </w:t>
      </w:r>
      <w:r w:rsidRPr="00B02247">
        <w:t>noted</w:t>
      </w:r>
      <w:r w:rsidR="005B2A41">
        <w:t xml:space="preserve"> </w:t>
      </w:r>
      <w:r w:rsidRPr="00B02247">
        <w:t>that</w:t>
      </w:r>
      <w:r w:rsidR="005B2A41">
        <w:t xml:space="preserve"> </w:t>
      </w:r>
      <w:r w:rsidRPr="00B02247">
        <w:t>in</w:t>
      </w:r>
      <w:r w:rsidR="005B2A41">
        <w:t xml:space="preserve"> </w:t>
      </w:r>
      <w:r w:rsidRPr="00B02247">
        <w:t>all</w:t>
      </w:r>
      <w:r w:rsidR="005B2A41">
        <w:t xml:space="preserve"> </w:t>
      </w:r>
      <w:r w:rsidRPr="00B02247">
        <w:t>appeals</w:t>
      </w:r>
      <w:r w:rsidR="005B2A41">
        <w:t xml:space="preserve"> </w:t>
      </w:r>
      <w:r w:rsidRPr="00B02247">
        <w:t>procedures,</w:t>
      </w:r>
      <w:r w:rsidR="005B2A41">
        <w:t xml:space="preserve"> </w:t>
      </w:r>
      <w:r w:rsidRPr="00B02247">
        <w:t>a</w:t>
      </w:r>
      <w:r w:rsidR="005B2A41">
        <w:t xml:space="preserve"> </w:t>
      </w:r>
      <w:r w:rsidRPr="00B02247">
        <w:t>violation</w:t>
      </w:r>
      <w:r w:rsidR="005B2A41">
        <w:t xml:space="preserve"> </w:t>
      </w:r>
      <w:r w:rsidRPr="00B02247">
        <w:t>of</w:t>
      </w:r>
      <w:r w:rsidR="005B2A41">
        <w:t xml:space="preserve"> </w:t>
      </w:r>
      <w:r w:rsidRPr="00B02247">
        <w:t>relevant</w:t>
      </w:r>
      <w:r w:rsidR="005B2A41">
        <w:t xml:space="preserve"> </w:t>
      </w:r>
      <w:r w:rsidRPr="00B02247">
        <w:t>provisions</w:t>
      </w:r>
      <w:r w:rsidR="005B2A41">
        <w:t xml:space="preserve"> </w:t>
      </w:r>
      <w:r w:rsidRPr="00B02247">
        <w:t>of</w:t>
      </w:r>
      <w:r w:rsidR="005B2A41">
        <w:t xml:space="preserve"> </w:t>
      </w:r>
      <w:r w:rsidRPr="00B02247">
        <w:t>human</w:t>
      </w:r>
      <w:r w:rsidR="005B2A41">
        <w:t xml:space="preserve"> </w:t>
      </w:r>
      <w:r w:rsidRPr="00B02247">
        <w:t>rights</w:t>
      </w:r>
      <w:r w:rsidR="005B2A41">
        <w:t xml:space="preserve"> </w:t>
      </w:r>
      <w:r w:rsidRPr="00B02247">
        <w:t>treaties</w:t>
      </w:r>
      <w:r w:rsidR="005B2A41">
        <w:t xml:space="preserve"> </w:t>
      </w:r>
      <w:r w:rsidRPr="00B02247">
        <w:t>ratified</w:t>
      </w:r>
      <w:r w:rsidR="005B2A41">
        <w:t xml:space="preserve"> </w:t>
      </w:r>
      <w:r w:rsidRPr="00B02247">
        <w:t>by</w:t>
      </w:r>
      <w:r w:rsidR="005B2A41">
        <w:t xml:space="preserve"> </w:t>
      </w:r>
      <w:r w:rsidRPr="00B02247">
        <w:t>Greece</w:t>
      </w:r>
      <w:r w:rsidR="005B2A41">
        <w:t xml:space="preserve"> </w:t>
      </w:r>
      <w:r w:rsidRPr="00B02247">
        <w:t>may</w:t>
      </w:r>
      <w:r w:rsidR="005B2A41">
        <w:t xml:space="preserve"> </w:t>
      </w:r>
      <w:r w:rsidRPr="00B02247">
        <w:t>be</w:t>
      </w:r>
      <w:r w:rsidR="005B2A41">
        <w:t xml:space="preserve"> </w:t>
      </w:r>
      <w:r w:rsidRPr="00B02247">
        <w:t>invoked</w:t>
      </w:r>
      <w:r w:rsidR="005B2A41">
        <w:t xml:space="preserve"> </w:t>
      </w:r>
      <w:r w:rsidRPr="00B02247">
        <w:t>before</w:t>
      </w:r>
      <w:r w:rsidR="005B2A41">
        <w:t xml:space="preserve"> </w:t>
      </w:r>
      <w:r w:rsidRPr="00B02247">
        <w:t>the</w:t>
      </w:r>
      <w:r w:rsidR="005B2A41">
        <w:t xml:space="preserve"> </w:t>
      </w:r>
      <w:r w:rsidRPr="00B02247">
        <w:t>competent</w:t>
      </w:r>
      <w:r w:rsidR="005B2A41">
        <w:t xml:space="preserve"> </w:t>
      </w:r>
      <w:r w:rsidRPr="00B02247">
        <w:t>court.</w:t>
      </w:r>
    </w:p>
    <w:p w:rsidR="00F233AB" w:rsidRPr="00B02247" w:rsidRDefault="00F233AB" w:rsidP="006E329B">
      <w:pPr>
        <w:pStyle w:val="H4G"/>
      </w:pPr>
      <w:r w:rsidRPr="00B02247">
        <w:tab/>
      </w:r>
      <w:r w:rsidRPr="00B02247">
        <w:tab/>
        <w:t>Legal</w:t>
      </w:r>
      <w:r w:rsidR="005B2A41">
        <w:t xml:space="preserve"> </w:t>
      </w:r>
      <w:r w:rsidRPr="00B02247">
        <w:t>remedies</w:t>
      </w:r>
      <w:r w:rsidR="005B2A41">
        <w:t xml:space="preserve"> </w:t>
      </w:r>
      <w:r w:rsidRPr="00B02247">
        <w:t>before</w:t>
      </w:r>
      <w:r w:rsidR="005B2A41">
        <w:t xml:space="preserve"> </w:t>
      </w:r>
      <w:r w:rsidRPr="00B02247">
        <w:t>administrative</w:t>
      </w:r>
      <w:r w:rsidR="005B2A41">
        <w:t xml:space="preserve"> </w:t>
      </w:r>
      <w:r w:rsidRPr="00B02247">
        <w:t>courts</w:t>
      </w:r>
    </w:p>
    <w:p w:rsidR="00F233AB" w:rsidRPr="00B02247" w:rsidRDefault="00F233AB" w:rsidP="00E1307D">
      <w:pPr>
        <w:pStyle w:val="SingleTxtG"/>
      </w:pPr>
      <w:r w:rsidRPr="00B02247">
        <w:t>55.</w:t>
      </w:r>
      <w:r w:rsidRPr="00B02247">
        <w:tab/>
        <w:t>Applications</w:t>
      </w:r>
      <w:r w:rsidR="005B2A41">
        <w:t xml:space="preserve"> </w:t>
      </w:r>
      <w:r w:rsidRPr="00B02247">
        <w:t>for</w:t>
      </w:r>
      <w:r w:rsidR="005B2A41">
        <w:t xml:space="preserve"> </w:t>
      </w:r>
      <w:r w:rsidRPr="00B02247">
        <w:t>annulment</w:t>
      </w:r>
      <w:r w:rsidR="005B2A41">
        <w:t xml:space="preserve"> </w:t>
      </w:r>
      <w:r w:rsidRPr="00B02247">
        <w:t>of</w:t>
      </w:r>
      <w:r w:rsidR="005B2A41">
        <w:t xml:space="preserve"> </w:t>
      </w:r>
      <w:r w:rsidRPr="00B02247">
        <w:t>enforceable</w:t>
      </w:r>
      <w:r w:rsidR="005B2A41">
        <w:t xml:space="preserve"> </w:t>
      </w:r>
      <w:r w:rsidRPr="00B02247">
        <w:t>acts</w:t>
      </w:r>
      <w:r w:rsidR="005B2A41">
        <w:t xml:space="preserve"> </w:t>
      </w:r>
      <w:r w:rsidRPr="00B02247">
        <w:t>of</w:t>
      </w:r>
      <w:r w:rsidR="005B2A41">
        <w:t xml:space="preserve"> </w:t>
      </w:r>
      <w:r w:rsidRPr="00B02247">
        <w:t>the</w:t>
      </w:r>
      <w:r w:rsidR="005B2A41">
        <w:t xml:space="preserve"> </w:t>
      </w:r>
      <w:r w:rsidRPr="00B02247">
        <w:t>administrative</w:t>
      </w:r>
      <w:r w:rsidR="005B2A41">
        <w:t xml:space="preserve"> </w:t>
      </w:r>
      <w:r w:rsidRPr="00B02247">
        <w:t>authorities</w:t>
      </w:r>
      <w:r w:rsidR="005B2A41">
        <w:t xml:space="preserve"> </w:t>
      </w:r>
      <w:r w:rsidRPr="00B02247">
        <w:t>for</w:t>
      </w:r>
      <w:r w:rsidR="005B2A41">
        <w:t xml:space="preserve"> </w:t>
      </w:r>
      <w:r w:rsidRPr="00B02247">
        <w:t>excess</w:t>
      </w:r>
      <w:r w:rsidR="005B2A41">
        <w:t xml:space="preserve"> </w:t>
      </w:r>
      <w:r w:rsidRPr="00B02247">
        <w:t>of</w:t>
      </w:r>
      <w:r w:rsidR="005B2A41">
        <w:t xml:space="preserve"> </w:t>
      </w:r>
      <w:r w:rsidRPr="00B02247">
        <w:t>power</w:t>
      </w:r>
      <w:r w:rsidR="005B2A41">
        <w:t xml:space="preserve"> </w:t>
      </w:r>
      <w:r w:rsidRPr="00B02247">
        <w:t>are</w:t>
      </w:r>
      <w:r w:rsidR="005B2A41">
        <w:t xml:space="preserve"> </w:t>
      </w:r>
      <w:r w:rsidRPr="00B02247">
        <w:t>heard</w:t>
      </w:r>
      <w:r w:rsidR="005B2A41">
        <w:t xml:space="preserve"> </w:t>
      </w:r>
      <w:r w:rsidRPr="00B02247">
        <w:t>in</w:t>
      </w:r>
      <w:r w:rsidR="005B2A41">
        <w:t xml:space="preserve"> </w:t>
      </w:r>
      <w:r w:rsidRPr="00B02247">
        <w:t>principle</w:t>
      </w:r>
      <w:r w:rsidR="005B2A41">
        <w:t xml:space="preserve"> </w:t>
      </w:r>
      <w:r w:rsidRPr="00B02247">
        <w:t>by</w:t>
      </w:r>
      <w:r w:rsidR="005B2A41">
        <w:t xml:space="preserve"> </w:t>
      </w:r>
      <w:r w:rsidRPr="00B02247">
        <w:t>the</w:t>
      </w:r>
      <w:r w:rsidR="005B2A41">
        <w:t xml:space="preserve"> </w:t>
      </w:r>
      <w:r w:rsidRPr="00B02247">
        <w:t>Council</w:t>
      </w:r>
      <w:r w:rsidR="005B2A41">
        <w:t xml:space="preserve"> </w:t>
      </w:r>
      <w:r w:rsidRPr="00B02247">
        <w:t>of</w:t>
      </w:r>
      <w:r w:rsidR="005B2A41">
        <w:t xml:space="preserve"> </w:t>
      </w:r>
      <w:r w:rsidRPr="00B02247">
        <w:t>State</w:t>
      </w:r>
      <w:r w:rsidR="005B2A41">
        <w:t xml:space="preserve"> </w:t>
      </w:r>
      <w:r w:rsidRPr="00B02247">
        <w:t>(Supreme</w:t>
      </w:r>
      <w:r w:rsidR="005B2A41">
        <w:t xml:space="preserve"> </w:t>
      </w:r>
      <w:r w:rsidRPr="00B02247">
        <w:t>Administrative</w:t>
      </w:r>
      <w:r w:rsidR="005B2A41">
        <w:t xml:space="preserve"> </w:t>
      </w:r>
      <w:r w:rsidRPr="00B02247">
        <w:t>Court)</w:t>
      </w:r>
      <w:r w:rsidR="005B2A41">
        <w:t xml:space="preserve"> </w:t>
      </w:r>
      <w:r w:rsidRPr="00B02247">
        <w:t>which</w:t>
      </w:r>
      <w:r w:rsidR="005B2A41">
        <w:t xml:space="preserve"> </w:t>
      </w:r>
      <w:r w:rsidRPr="00B02247">
        <w:t>decides</w:t>
      </w:r>
      <w:r w:rsidR="005B2A41">
        <w:t xml:space="preserve"> </w:t>
      </w:r>
      <w:r w:rsidRPr="00B02247">
        <w:t>in</w:t>
      </w:r>
      <w:r w:rsidR="005B2A41">
        <w:t xml:space="preserve"> </w:t>
      </w:r>
      <w:r w:rsidRPr="00B02247">
        <w:t>first</w:t>
      </w:r>
      <w:r w:rsidR="005B2A41">
        <w:t xml:space="preserve"> </w:t>
      </w:r>
      <w:r w:rsidRPr="00B02247">
        <w:t>and</w:t>
      </w:r>
      <w:r w:rsidR="005B2A41">
        <w:t xml:space="preserve"> </w:t>
      </w:r>
      <w:r w:rsidRPr="00B02247">
        <w:t>last</w:t>
      </w:r>
      <w:r w:rsidR="005B2A41">
        <w:t xml:space="preserve"> </w:t>
      </w:r>
      <w:r w:rsidRPr="00B02247">
        <w:t>instance.</w:t>
      </w:r>
      <w:r w:rsidR="005B2A41">
        <w:t xml:space="preserve"> </w:t>
      </w:r>
      <w:r w:rsidRPr="00B02247">
        <w:t>In</w:t>
      </w:r>
      <w:r w:rsidR="005B2A41">
        <w:t xml:space="preserve"> </w:t>
      </w:r>
      <w:r w:rsidRPr="00B02247">
        <w:t>the</w:t>
      </w:r>
      <w:r w:rsidR="005B2A41">
        <w:t xml:space="preserve"> </w:t>
      </w:r>
      <w:r w:rsidRPr="00B02247">
        <w:t>abovementioned</w:t>
      </w:r>
      <w:r w:rsidR="005B2A41">
        <w:t xml:space="preserve"> </w:t>
      </w:r>
      <w:r w:rsidRPr="00B02247">
        <w:t>cases,</w:t>
      </w:r>
      <w:r w:rsidR="005B2A41">
        <w:t xml:space="preserve"> </w:t>
      </w:r>
      <w:r w:rsidRPr="00B02247">
        <w:t>all</w:t>
      </w:r>
      <w:r w:rsidR="005B2A41">
        <w:t xml:space="preserve"> </w:t>
      </w:r>
      <w:r w:rsidRPr="00B02247">
        <w:t>persons</w:t>
      </w:r>
      <w:r w:rsidR="005B2A41">
        <w:t xml:space="preserve"> </w:t>
      </w:r>
      <w:r w:rsidRPr="00B02247">
        <w:t>have</w:t>
      </w:r>
      <w:r w:rsidR="005B2A41">
        <w:t xml:space="preserve"> </w:t>
      </w:r>
      <w:r w:rsidRPr="00B02247">
        <w:t>the</w:t>
      </w:r>
      <w:r w:rsidR="005B2A41">
        <w:t xml:space="preserve"> </w:t>
      </w:r>
      <w:r w:rsidRPr="00B02247">
        <w:t>right</w:t>
      </w:r>
      <w:r w:rsidR="005B2A41">
        <w:t xml:space="preserve"> </w:t>
      </w:r>
      <w:r w:rsidRPr="00B02247">
        <w:t>to</w:t>
      </w:r>
      <w:r w:rsidR="005B2A41">
        <w:t xml:space="preserve"> </w:t>
      </w:r>
      <w:r w:rsidRPr="00B02247">
        <w:t>directly</w:t>
      </w:r>
      <w:r w:rsidR="005B2A41">
        <w:t xml:space="preserve"> </w:t>
      </w:r>
      <w:r w:rsidRPr="00B02247">
        <w:t>access</w:t>
      </w:r>
      <w:r w:rsidR="005B2A41">
        <w:t xml:space="preserve"> </w:t>
      </w:r>
      <w:r w:rsidRPr="00B02247">
        <w:t>the</w:t>
      </w:r>
      <w:r w:rsidR="005B2A41">
        <w:t xml:space="preserve"> </w:t>
      </w:r>
      <w:r w:rsidRPr="00B02247">
        <w:t>Supreme</w:t>
      </w:r>
      <w:r w:rsidR="005B2A41">
        <w:t xml:space="preserve"> </w:t>
      </w:r>
      <w:r w:rsidRPr="00B02247">
        <w:t>Administrative</w:t>
      </w:r>
      <w:r w:rsidR="005B2A41">
        <w:t xml:space="preserve"> </w:t>
      </w:r>
      <w:r w:rsidRPr="00B02247">
        <w:t>Court.</w:t>
      </w:r>
      <w:r w:rsidR="005B2A41">
        <w:t xml:space="preserve"> </w:t>
      </w:r>
      <w:r w:rsidRPr="00B02247">
        <w:t>Certain</w:t>
      </w:r>
      <w:r w:rsidR="005B2A41">
        <w:t xml:space="preserve"> </w:t>
      </w:r>
      <w:r w:rsidRPr="00B02247">
        <w:t>categories</w:t>
      </w:r>
      <w:r w:rsidR="005B2A41">
        <w:t xml:space="preserve"> </w:t>
      </w:r>
      <w:r w:rsidRPr="00B02247">
        <w:t>of</w:t>
      </w:r>
      <w:r w:rsidR="005B2A41">
        <w:t xml:space="preserve"> </w:t>
      </w:r>
      <w:r w:rsidRPr="00B02247">
        <w:t>applications</w:t>
      </w:r>
      <w:r w:rsidR="005B2A41">
        <w:t xml:space="preserve"> </w:t>
      </w:r>
      <w:r w:rsidRPr="00B02247">
        <w:t>for</w:t>
      </w:r>
      <w:r w:rsidR="005B2A41">
        <w:t xml:space="preserve"> </w:t>
      </w:r>
      <w:r w:rsidRPr="00B02247">
        <w:t>annulment</w:t>
      </w:r>
      <w:r w:rsidR="005B2A41">
        <w:t xml:space="preserve"> </w:t>
      </w:r>
      <w:r w:rsidRPr="00B02247">
        <w:t>fall</w:t>
      </w:r>
      <w:r w:rsidR="005B2A41">
        <w:t xml:space="preserve"> </w:t>
      </w:r>
      <w:r w:rsidRPr="00B02247">
        <w:t>under</w:t>
      </w:r>
      <w:r w:rsidR="005B2A41">
        <w:t xml:space="preserve"> </w:t>
      </w:r>
      <w:r w:rsidRPr="00B02247">
        <w:t>the</w:t>
      </w:r>
      <w:r w:rsidR="005B2A41">
        <w:t xml:space="preserve"> </w:t>
      </w:r>
      <w:r w:rsidRPr="00B02247">
        <w:t>jurisdiction</w:t>
      </w:r>
      <w:r w:rsidR="005B2A41">
        <w:t xml:space="preserve"> </w:t>
      </w:r>
      <w:r w:rsidRPr="00B02247">
        <w:t>of</w:t>
      </w:r>
      <w:r w:rsidR="005B2A41">
        <w:t xml:space="preserve"> </w:t>
      </w:r>
      <w:r w:rsidRPr="00B02247">
        <w:t>administrative</w:t>
      </w:r>
      <w:r w:rsidR="005B2A41">
        <w:t xml:space="preserve"> </w:t>
      </w:r>
      <w:r w:rsidRPr="00B02247">
        <w:t>courts.</w:t>
      </w:r>
      <w:r w:rsidR="005B2A41">
        <w:t xml:space="preserve"> </w:t>
      </w:r>
    </w:p>
    <w:p w:rsidR="00F233AB" w:rsidRPr="00B02247" w:rsidRDefault="00F233AB" w:rsidP="00E1307D">
      <w:pPr>
        <w:pStyle w:val="SingleTxtG"/>
      </w:pPr>
      <w:r w:rsidRPr="00B02247">
        <w:t>56.</w:t>
      </w:r>
      <w:r w:rsidRPr="00B02247">
        <w:tab/>
        <w:t>The</w:t>
      </w:r>
      <w:r w:rsidR="005B2A41">
        <w:t xml:space="preserve"> </w:t>
      </w:r>
      <w:r w:rsidRPr="00B02247">
        <w:t>ordinary</w:t>
      </w:r>
      <w:r w:rsidR="005B2A41">
        <w:t xml:space="preserve"> </w:t>
      </w:r>
      <w:r w:rsidRPr="00B02247">
        <w:t>administrative</w:t>
      </w:r>
      <w:r w:rsidR="005B2A41">
        <w:t xml:space="preserve"> </w:t>
      </w:r>
      <w:r w:rsidRPr="00B02247">
        <w:t>courts</w:t>
      </w:r>
      <w:r w:rsidR="005B2A41">
        <w:t xml:space="preserve"> </w:t>
      </w:r>
      <w:r w:rsidRPr="00B02247">
        <w:t>have</w:t>
      </w:r>
      <w:r w:rsidR="005B2A41">
        <w:t xml:space="preserve"> </w:t>
      </w:r>
      <w:r w:rsidRPr="00B02247">
        <w:t>the</w:t>
      </w:r>
      <w:r w:rsidR="005B2A41">
        <w:t xml:space="preserve"> </w:t>
      </w:r>
      <w:r w:rsidRPr="00B02247">
        <w:t>original</w:t>
      </w:r>
      <w:r w:rsidR="005B2A41">
        <w:t xml:space="preserve"> </w:t>
      </w:r>
      <w:r w:rsidRPr="00B02247">
        <w:t>competence</w:t>
      </w:r>
      <w:r w:rsidR="005B2A41">
        <w:t xml:space="preserve"> </w:t>
      </w:r>
      <w:r w:rsidRPr="00B02247">
        <w:t>to</w:t>
      </w:r>
      <w:r w:rsidR="005B2A41">
        <w:t xml:space="preserve"> </w:t>
      </w:r>
      <w:r w:rsidRPr="00B02247">
        <w:t>decide</w:t>
      </w:r>
      <w:r w:rsidR="005B2A41">
        <w:t xml:space="preserve"> </w:t>
      </w:r>
      <w:r w:rsidRPr="00B02247">
        <w:t>cases</w:t>
      </w:r>
      <w:r w:rsidR="005B2A41">
        <w:t xml:space="preserve"> </w:t>
      </w:r>
      <w:r w:rsidRPr="00B02247">
        <w:t>by</w:t>
      </w:r>
      <w:r w:rsidR="005B2A41">
        <w:t xml:space="preserve"> </w:t>
      </w:r>
      <w:r w:rsidRPr="00B02247">
        <w:t>exercising</w:t>
      </w:r>
      <w:r w:rsidR="005B2A41">
        <w:t xml:space="preserve"> </w:t>
      </w:r>
      <w:r w:rsidRPr="00B02247">
        <w:t>full</w:t>
      </w:r>
      <w:r w:rsidR="005B2A41">
        <w:t xml:space="preserve"> </w:t>
      </w:r>
      <w:r w:rsidRPr="00B02247">
        <w:t>jurisdiction</w:t>
      </w:r>
      <w:r w:rsidR="005B2A41">
        <w:t xml:space="preserve"> </w:t>
      </w:r>
      <w:r w:rsidRPr="00B02247">
        <w:t>(i.e.</w:t>
      </w:r>
      <w:r w:rsidR="005B2A41">
        <w:t xml:space="preserve"> </w:t>
      </w:r>
      <w:r w:rsidRPr="00B02247">
        <w:t>not</w:t>
      </w:r>
      <w:r w:rsidR="005B2A41">
        <w:t xml:space="preserve"> </w:t>
      </w:r>
      <w:r w:rsidRPr="00B02247">
        <w:t>limited</w:t>
      </w:r>
      <w:r w:rsidR="005B2A41">
        <w:t xml:space="preserve"> </w:t>
      </w:r>
      <w:r w:rsidRPr="00B02247">
        <w:t>to</w:t>
      </w:r>
      <w:r w:rsidR="005B2A41">
        <w:t xml:space="preserve"> </w:t>
      </w:r>
      <w:r w:rsidRPr="00B02247">
        <w:t>the</w:t>
      </w:r>
      <w:r w:rsidR="005B2A41">
        <w:t xml:space="preserve"> </w:t>
      </w:r>
      <w:r w:rsidRPr="00B02247">
        <w:t>control</w:t>
      </w:r>
      <w:r w:rsidR="005B2A41">
        <w:t xml:space="preserve"> </w:t>
      </w:r>
      <w:r w:rsidRPr="00B02247">
        <w:t>of</w:t>
      </w:r>
      <w:r w:rsidR="005B2A41">
        <w:t xml:space="preserve"> </w:t>
      </w:r>
      <w:r w:rsidRPr="00B02247">
        <w:t>the</w:t>
      </w:r>
      <w:r w:rsidR="005B2A41">
        <w:t xml:space="preserve"> </w:t>
      </w:r>
      <w:r w:rsidRPr="00B02247">
        <w:t>legality</w:t>
      </w:r>
      <w:r w:rsidR="005B2A41">
        <w:t xml:space="preserve"> </w:t>
      </w:r>
      <w:r w:rsidRPr="00B02247">
        <w:t>of</w:t>
      </w:r>
      <w:r w:rsidR="005B2A41">
        <w:t xml:space="preserve"> </w:t>
      </w:r>
      <w:r w:rsidRPr="00B02247">
        <w:t>the</w:t>
      </w:r>
      <w:r w:rsidR="005B2A41">
        <w:t xml:space="preserve"> </w:t>
      </w:r>
      <w:r w:rsidRPr="00B02247">
        <w:t>impugned</w:t>
      </w:r>
      <w:r w:rsidR="005B2A41">
        <w:t xml:space="preserve"> </w:t>
      </w:r>
      <w:r w:rsidRPr="00B02247">
        <w:t>act);</w:t>
      </w:r>
      <w:r w:rsidR="005B2A41">
        <w:t xml:space="preserve"> </w:t>
      </w:r>
      <w:r w:rsidRPr="00B02247">
        <w:t>their</w:t>
      </w:r>
      <w:r w:rsidR="005B2A41">
        <w:t xml:space="preserve"> </w:t>
      </w:r>
      <w:r w:rsidRPr="00B02247">
        <w:t>judgments</w:t>
      </w:r>
      <w:r w:rsidR="005B2A41">
        <w:t xml:space="preserve"> </w:t>
      </w:r>
      <w:r w:rsidRPr="00B02247">
        <w:t>may</w:t>
      </w:r>
      <w:r w:rsidR="005B2A41">
        <w:t xml:space="preserve"> </w:t>
      </w:r>
      <w:r w:rsidRPr="00B02247">
        <w:t>be</w:t>
      </w:r>
      <w:r w:rsidR="005B2A41">
        <w:t xml:space="preserve"> </w:t>
      </w:r>
      <w:r w:rsidRPr="00B02247">
        <w:t>appealed</w:t>
      </w:r>
      <w:r w:rsidR="005B2A41">
        <w:t xml:space="preserve"> </w:t>
      </w:r>
      <w:r w:rsidRPr="00B02247">
        <w:t>before</w:t>
      </w:r>
      <w:r w:rsidR="005B2A41">
        <w:t xml:space="preserve"> </w:t>
      </w:r>
      <w:r w:rsidRPr="00B02247">
        <w:t>the</w:t>
      </w:r>
      <w:r w:rsidR="005B2A41">
        <w:t xml:space="preserve"> </w:t>
      </w:r>
      <w:r w:rsidRPr="00B02247">
        <w:t>Council</w:t>
      </w:r>
      <w:r w:rsidR="005B2A41">
        <w:t xml:space="preserve"> </w:t>
      </w:r>
      <w:r w:rsidRPr="00B02247">
        <w:t>of</w:t>
      </w:r>
      <w:r w:rsidR="005B2A41">
        <w:t xml:space="preserve"> </w:t>
      </w:r>
      <w:r w:rsidRPr="00B02247">
        <w:t>State.</w:t>
      </w:r>
      <w:r w:rsidR="005B2A41">
        <w:t xml:space="preserve"> </w:t>
      </w:r>
      <w:r w:rsidRPr="00B02247">
        <w:t>In</w:t>
      </w:r>
      <w:r w:rsidR="005B2A41">
        <w:t xml:space="preserve"> </w:t>
      </w:r>
      <w:r w:rsidRPr="00B02247">
        <w:t>certain</w:t>
      </w:r>
      <w:r w:rsidR="005B2A41">
        <w:t xml:space="preserve"> </w:t>
      </w:r>
      <w:r w:rsidRPr="00B02247">
        <w:t>categories</w:t>
      </w:r>
      <w:r w:rsidR="005B2A41">
        <w:t xml:space="preserve"> </w:t>
      </w:r>
      <w:r w:rsidRPr="00B02247">
        <w:t>of</w:t>
      </w:r>
      <w:r w:rsidR="005B2A41">
        <w:t xml:space="preserve"> </w:t>
      </w:r>
      <w:r w:rsidRPr="00B02247">
        <w:t>cases</w:t>
      </w:r>
      <w:r w:rsidR="005B2A41">
        <w:t xml:space="preserve"> </w:t>
      </w:r>
      <w:r w:rsidRPr="00B02247">
        <w:t>the</w:t>
      </w:r>
      <w:r w:rsidR="005B2A41">
        <w:t xml:space="preserve"> </w:t>
      </w:r>
      <w:r w:rsidRPr="00B02247">
        <w:t>Council</w:t>
      </w:r>
      <w:r w:rsidR="005B2A41">
        <w:t xml:space="preserve"> </w:t>
      </w:r>
      <w:r w:rsidRPr="00B02247">
        <w:t>of</w:t>
      </w:r>
      <w:r w:rsidR="005B2A41">
        <w:t xml:space="preserve"> </w:t>
      </w:r>
      <w:r w:rsidRPr="00B02247">
        <w:t>State</w:t>
      </w:r>
      <w:r w:rsidR="005B2A41">
        <w:t xml:space="preserve"> </w:t>
      </w:r>
      <w:r w:rsidRPr="00B02247">
        <w:t>has</w:t>
      </w:r>
      <w:r w:rsidR="005B2A41">
        <w:t xml:space="preserve"> </w:t>
      </w:r>
      <w:r w:rsidRPr="00B02247">
        <w:t>also</w:t>
      </w:r>
      <w:r w:rsidR="005B2A41">
        <w:t xml:space="preserve"> </w:t>
      </w:r>
      <w:r w:rsidRPr="00B02247">
        <w:t>the</w:t>
      </w:r>
      <w:r w:rsidR="005B2A41">
        <w:t xml:space="preserve"> </w:t>
      </w:r>
      <w:r w:rsidRPr="00B02247">
        <w:t>competence</w:t>
      </w:r>
      <w:r w:rsidR="005B2A41">
        <w:t xml:space="preserve"> </w:t>
      </w:r>
      <w:r w:rsidRPr="00B02247">
        <w:t>to</w:t>
      </w:r>
      <w:r w:rsidR="005B2A41">
        <w:t xml:space="preserve"> </w:t>
      </w:r>
      <w:r w:rsidRPr="00B02247">
        <w:t>decide</w:t>
      </w:r>
      <w:r w:rsidR="005B2A41">
        <w:t xml:space="preserve"> </w:t>
      </w:r>
      <w:r w:rsidRPr="00B02247">
        <w:t>cases</w:t>
      </w:r>
      <w:r w:rsidR="005B2A41">
        <w:t xml:space="preserve"> </w:t>
      </w:r>
      <w:r w:rsidRPr="00B02247">
        <w:t>by</w:t>
      </w:r>
      <w:r w:rsidR="005B2A41">
        <w:t xml:space="preserve"> </w:t>
      </w:r>
      <w:r w:rsidRPr="00B02247">
        <w:t>exercising</w:t>
      </w:r>
      <w:r w:rsidR="005B2A41">
        <w:t xml:space="preserve"> </w:t>
      </w:r>
      <w:r w:rsidRPr="00B02247">
        <w:t>full</w:t>
      </w:r>
      <w:r w:rsidR="005B2A41">
        <w:t xml:space="preserve"> </w:t>
      </w:r>
      <w:r w:rsidRPr="00B02247">
        <w:t>jurisdiction.</w:t>
      </w:r>
      <w:r w:rsidR="005B2A41">
        <w:t xml:space="preserve"> </w:t>
      </w:r>
    </w:p>
    <w:p w:rsidR="00F233AB" w:rsidRPr="00B02247" w:rsidRDefault="00F233AB" w:rsidP="008C0051">
      <w:pPr>
        <w:pStyle w:val="H4G"/>
      </w:pPr>
      <w:r w:rsidRPr="00B02247">
        <w:tab/>
      </w:r>
      <w:r w:rsidRPr="00B02247">
        <w:tab/>
        <w:t>Systems</w:t>
      </w:r>
      <w:r w:rsidR="005B2A41">
        <w:t xml:space="preserve"> </w:t>
      </w:r>
      <w:r w:rsidRPr="00B02247">
        <w:t>of</w:t>
      </w:r>
      <w:r w:rsidR="005B2A41">
        <w:t xml:space="preserve"> </w:t>
      </w:r>
      <w:r w:rsidRPr="00B02247">
        <w:t>compensation</w:t>
      </w:r>
      <w:r w:rsidR="005B2A41">
        <w:t xml:space="preserve"> </w:t>
      </w:r>
      <w:r w:rsidRPr="00B02247">
        <w:t>and</w:t>
      </w:r>
      <w:r w:rsidR="005B2A41">
        <w:t xml:space="preserve"> </w:t>
      </w:r>
      <w:r w:rsidRPr="00B02247">
        <w:t>rehabilitation</w:t>
      </w:r>
    </w:p>
    <w:p w:rsidR="00F233AB" w:rsidRPr="00B02247" w:rsidRDefault="00F233AB" w:rsidP="00E1307D">
      <w:pPr>
        <w:pStyle w:val="SingleTxtG"/>
      </w:pPr>
      <w:r w:rsidRPr="00B02247">
        <w:t>57.</w:t>
      </w:r>
      <w:r w:rsidRPr="00B02247">
        <w:tab/>
        <w:t>Articles</w:t>
      </w:r>
      <w:r w:rsidR="005B2A41">
        <w:t xml:space="preserve"> </w:t>
      </w:r>
      <w:r w:rsidRPr="00B02247">
        <w:t>104</w:t>
      </w:r>
      <w:r w:rsidR="003A7592">
        <w:t>–</w:t>
      </w:r>
      <w:r w:rsidRPr="00B02247">
        <w:t>106</w:t>
      </w:r>
      <w:r w:rsidR="005B2A41">
        <w:t xml:space="preserve"> </w:t>
      </w:r>
      <w:r w:rsidRPr="00B02247">
        <w:t>of</w:t>
      </w:r>
      <w:r w:rsidR="005B2A41">
        <w:t xml:space="preserve"> </w:t>
      </w:r>
      <w:r w:rsidRPr="00B02247">
        <w:t>the</w:t>
      </w:r>
      <w:r w:rsidR="005B2A41">
        <w:t xml:space="preserve"> </w:t>
      </w:r>
      <w:r w:rsidRPr="00B02247">
        <w:t>Introductory</w:t>
      </w:r>
      <w:r w:rsidR="005B2A41">
        <w:t xml:space="preserve"> </w:t>
      </w:r>
      <w:r w:rsidRPr="00B02247">
        <w:t>Law</w:t>
      </w:r>
      <w:r w:rsidR="005B2A41">
        <w:t xml:space="preserve"> </w:t>
      </w:r>
      <w:r w:rsidRPr="00B02247">
        <w:t>of</w:t>
      </w:r>
      <w:r w:rsidR="005B2A41">
        <w:t xml:space="preserve"> </w:t>
      </w:r>
      <w:r w:rsidRPr="00B02247">
        <w:t>the</w:t>
      </w:r>
      <w:r w:rsidR="005B2A41">
        <w:t xml:space="preserve"> </w:t>
      </w:r>
      <w:r w:rsidRPr="00B02247">
        <w:t>Greek</w:t>
      </w:r>
      <w:r w:rsidR="005B2A41">
        <w:t xml:space="preserve"> </w:t>
      </w:r>
      <w:r w:rsidRPr="00B02247">
        <w:t>Civil</w:t>
      </w:r>
      <w:r w:rsidR="005B2A41">
        <w:t xml:space="preserve"> </w:t>
      </w:r>
      <w:r w:rsidRPr="00B02247">
        <w:t>Code</w:t>
      </w:r>
      <w:r w:rsidR="005B2A41">
        <w:t xml:space="preserve"> </w:t>
      </w:r>
      <w:r w:rsidRPr="00B02247">
        <w:t>contain</w:t>
      </w:r>
      <w:r w:rsidR="005B2A41">
        <w:t xml:space="preserve"> </w:t>
      </w:r>
      <w:r w:rsidRPr="00B02247">
        <w:t>provisions</w:t>
      </w:r>
      <w:r w:rsidR="005B2A41">
        <w:t xml:space="preserve"> </w:t>
      </w:r>
      <w:r w:rsidRPr="00B02247">
        <w:t>on</w:t>
      </w:r>
      <w:r w:rsidR="005B2A41">
        <w:t xml:space="preserve"> </w:t>
      </w:r>
      <w:r w:rsidRPr="00B02247">
        <w:t>State</w:t>
      </w:r>
      <w:r w:rsidR="005B2A41">
        <w:t xml:space="preserve"> </w:t>
      </w:r>
      <w:r w:rsidRPr="00B02247">
        <w:t>responsibility</w:t>
      </w:r>
      <w:r w:rsidR="005B2A41">
        <w:t xml:space="preserve"> </w:t>
      </w:r>
      <w:r w:rsidRPr="00B02247">
        <w:t>for</w:t>
      </w:r>
      <w:r w:rsidR="005B2A41">
        <w:t xml:space="preserve"> </w:t>
      </w:r>
      <w:r w:rsidRPr="00B02247">
        <w:t>wrongful</w:t>
      </w:r>
      <w:r w:rsidR="005B2A41">
        <w:t xml:space="preserve"> </w:t>
      </w:r>
      <w:r w:rsidRPr="00B02247">
        <w:t>acts</w:t>
      </w:r>
      <w:r w:rsidR="005B2A41">
        <w:t xml:space="preserve"> </w:t>
      </w:r>
      <w:r w:rsidRPr="00B02247">
        <w:t>of</w:t>
      </w:r>
      <w:r w:rsidR="005B2A41">
        <w:t xml:space="preserve"> </w:t>
      </w:r>
      <w:r w:rsidRPr="00B02247">
        <w:t>State</w:t>
      </w:r>
      <w:r w:rsidR="005B2A41">
        <w:t xml:space="preserve"> </w:t>
      </w:r>
      <w:r w:rsidRPr="00B02247">
        <w:t>organs.</w:t>
      </w:r>
      <w:r w:rsidR="005B2A41">
        <w:t xml:space="preserve"> </w:t>
      </w:r>
      <w:r w:rsidRPr="00B02247">
        <w:t>Two</w:t>
      </w:r>
      <w:r w:rsidR="005B2A41">
        <w:t xml:space="preserve"> </w:t>
      </w:r>
      <w:r w:rsidRPr="00B02247">
        <w:t>systems</w:t>
      </w:r>
      <w:r w:rsidR="005B2A41">
        <w:t xml:space="preserve"> </w:t>
      </w:r>
      <w:r w:rsidRPr="00B02247">
        <w:t>of</w:t>
      </w:r>
      <w:r w:rsidR="005B2A41">
        <w:t xml:space="preserve"> </w:t>
      </w:r>
      <w:r w:rsidRPr="00B02247">
        <w:t>responsibility</w:t>
      </w:r>
      <w:r w:rsidR="005B2A41">
        <w:t xml:space="preserve"> </w:t>
      </w:r>
      <w:r w:rsidRPr="00B02247">
        <w:t>apply:</w:t>
      </w:r>
    </w:p>
    <w:p w:rsidR="00F233AB" w:rsidRPr="00B02247" w:rsidRDefault="00F233AB" w:rsidP="00E1307D">
      <w:pPr>
        <w:pStyle w:val="SingleTxtG"/>
      </w:pPr>
      <w:r w:rsidRPr="00B02247">
        <w:t>58.</w:t>
      </w:r>
      <w:r w:rsidRPr="00B02247">
        <w:tab/>
        <w:t>(a)</w:t>
      </w:r>
      <w:r w:rsidRPr="00B02247">
        <w:tab/>
        <w:t>Articles</w:t>
      </w:r>
      <w:r w:rsidR="005B2A41">
        <w:t xml:space="preserve"> </w:t>
      </w:r>
      <w:r w:rsidRPr="00B02247">
        <w:t>105</w:t>
      </w:r>
      <w:r w:rsidR="005B2A41">
        <w:t xml:space="preserve"> </w:t>
      </w:r>
      <w:r w:rsidRPr="00B02247">
        <w:t>and</w:t>
      </w:r>
      <w:r w:rsidR="005B2A41">
        <w:t xml:space="preserve"> </w:t>
      </w:r>
      <w:r w:rsidRPr="00B02247">
        <w:t>106</w:t>
      </w:r>
      <w:r w:rsidR="005B2A41">
        <w:t xml:space="preserve"> </w:t>
      </w:r>
      <w:r w:rsidRPr="00B02247">
        <w:t>of</w:t>
      </w:r>
      <w:r w:rsidR="005B2A41">
        <w:t xml:space="preserve"> </w:t>
      </w:r>
      <w:r w:rsidRPr="00B02247">
        <w:t>the</w:t>
      </w:r>
      <w:r w:rsidR="005B2A41">
        <w:t xml:space="preserve"> </w:t>
      </w:r>
      <w:r w:rsidRPr="00B02247">
        <w:t>Introductory</w:t>
      </w:r>
      <w:r w:rsidR="005B2A41">
        <w:t xml:space="preserve"> </w:t>
      </w:r>
      <w:r w:rsidRPr="00B02247">
        <w:t>Law</w:t>
      </w:r>
      <w:r w:rsidR="005B2A41">
        <w:t xml:space="preserve"> </w:t>
      </w:r>
      <w:r w:rsidRPr="00B02247">
        <w:t>of</w:t>
      </w:r>
      <w:r w:rsidR="005B2A41">
        <w:t xml:space="preserve"> </w:t>
      </w:r>
      <w:r w:rsidRPr="00B02247">
        <w:t>the</w:t>
      </w:r>
      <w:r w:rsidR="005B2A41">
        <w:t xml:space="preserve"> </w:t>
      </w:r>
      <w:r w:rsidRPr="00B02247">
        <w:t>Greek</w:t>
      </w:r>
      <w:r w:rsidR="005B2A41">
        <w:t xml:space="preserve"> </w:t>
      </w:r>
      <w:r w:rsidRPr="00B02247">
        <w:t>Civil</w:t>
      </w:r>
      <w:r w:rsidR="005B2A41">
        <w:t xml:space="preserve"> </w:t>
      </w:r>
      <w:r w:rsidRPr="00B02247">
        <w:t>Code</w:t>
      </w:r>
      <w:r w:rsidR="005B2A41">
        <w:t xml:space="preserve"> </w:t>
      </w:r>
      <w:r w:rsidRPr="00B02247">
        <w:t>establish</w:t>
      </w:r>
      <w:r w:rsidR="005B2A41">
        <w:t xml:space="preserve"> </w:t>
      </w:r>
      <w:r w:rsidRPr="00B02247">
        <w:t>the</w:t>
      </w:r>
      <w:r w:rsidR="005B2A41">
        <w:t xml:space="preserve"> </w:t>
      </w:r>
      <w:r w:rsidRPr="00B02247">
        <w:t>objective</w:t>
      </w:r>
      <w:r w:rsidR="005B2A41">
        <w:t xml:space="preserve"> </w:t>
      </w:r>
      <w:r w:rsidRPr="00B02247">
        <w:t>State</w:t>
      </w:r>
      <w:r w:rsidR="005B2A41">
        <w:t xml:space="preserve"> </w:t>
      </w:r>
      <w:r w:rsidRPr="00B02247">
        <w:t>liability,</w:t>
      </w:r>
      <w:r w:rsidR="005B2A41">
        <w:t xml:space="preserve"> </w:t>
      </w:r>
      <w:r w:rsidRPr="00B02247">
        <w:t>under</w:t>
      </w:r>
      <w:r w:rsidR="005B2A41">
        <w:t xml:space="preserve"> </w:t>
      </w:r>
      <w:r w:rsidRPr="00B02247">
        <w:t>which</w:t>
      </w:r>
      <w:r w:rsidR="005B2A41">
        <w:t xml:space="preserve"> </w:t>
      </w:r>
      <w:r w:rsidRPr="00B02247">
        <w:t>the</w:t>
      </w:r>
      <w:r w:rsidR="005B2A41">
        <w:t xml:space="preserve"> </w:t>
      </w:r>
      <w:r w:rsidRPr="00B02247">
        <w:t>element</w:t>
      </w:r>
      <w:r w:rsidR="005B2A41">
        <w:t xml:space="preserve"> </w:t>
      </w:r>
      <w:r w:rsidRPr="00B02247">
        <w:t>of</w:t>
      </w:r>
      <w:r w:rsidR="005B2A41">
        <w:t xml:space="preserve"> </w:t>
      </w:r>
      <w:r w:rsidRPr="00B02247">
        <w:t>fault</w:t>
      </w:r>
      <w:r w:rsidR="005B2A41">
        <w:t xml:space="preserve"> </w:t>
      </w:r>
      <w:r w:rsidR="003A7592">
        <w:t>–</w:t>
      </w:r>
      <w:r w:rsidR="005B2A41">
        <w:t xml:space="preserve"> </w:t>
      </w:r>
      <w:r w:rsidRPr="00B02247">
        <w:t>intention</w:t>
      </w:r>
      <w:r w:rsidR="005B2A41">
        <w:t xml:space="preserve"> </w:t>
      </w:r>
      <w:r w:rsidRPr="00B02247">
        <w:t>or</w:t>
      </w:r>
      <w:r w:rsidR="005B2A41">
        <w:t xml:space="preserve"> </w:t>
      </w:r>
      <w:r w:rsidRPr="00B02247">
        <w:t>negligence</w:t>
      </w:r>
      <w:r w:rsidR="005B2A41">
        <w:t xml:space="preserve"> </w:t>
      </w:r>
      <w:r w:rsidR="003A7592">
        <w:t>–</w:t>
      </w:r>
      <w:r w:rsidR="005B2A41">
        <w:t xml:space="preserve"> </w:t>
      </w:r>
      <w:r w:rsidRPr="00B02247">
        <w:t>on</w:t>
      </w:r>
      <w:r w:rsidR="005B2A41">
        <w:t xml:space="preserve"> </w:t>
      </w:r>
      <w:r w:rsidRPr="00B02247">
        <w:t>the</w:t>
      </w:r>
      <w:r w:rsidR="005B2A41">
        <w:t xml:space="preserve"> </w:t>
      </w:r>
      <w:r w:rsidRPr="00B02247">
        <w:t>part</w:t>
      </w:r>
      <w:r w:rsidR="005B2A41">
        <w:t xml:space="preserve"> </w:t>
      </w:r>
      <w:r w:rsidRPr="00B02247">
        <w:t>of</w:t>
      </w:r>
      <w:r w:rsidR="005B2A41">
        <w:t xml:space="preserve"> </w:t>
      </w:r>
      <w:r w:rsidRPr="00B02247">
        <w:t>the</w:t>
      </w:r>
      <w:r w:rsidR="005B2A41">
        <w:t xml:space="preserve"> </w:t>
      </w:r>
      <w:r w:rsidRPr="00B02247">
        <w:t>State</w:t>
      </w:r>
      <w:r w:rsidR="005B2A41">
        <w:t xml:space="preserve"> </w:t>
      </w:r>
      <w:r w:rsidRPr="00B02247">
        <w:t>organ</w:t>
      </w:r>
      <w:r w:rsidR="005B2A41">
        <w:t xml:space="preserve"> </w:t>
      </w:r>
      <w:r w:rsidRPr="00B02247">
        <w:t>is</w:t>
      </w:r>
      <w:r w:rsidR="005B2A41">
        <w:t xml:space="preserve"> </w:t>
      </w:r>
      <w:r w:rsidRPr="00B02247">
        <w:t>not</w:t>
      </w:r>
      <w:r w:rsidR="005B2A41">
        <w:t xml:space="preserve"> </w:t>
      </w:r>
      <w:r w:rsidRPr="00B02247">
        <w:t>required</w:t>
      </w:r>
      <w:r w:rsidR="005B2A41">
        <w:t xml:space="preserve"> </w:t>
      </w:r>
      <w:r w:rsidRPr="00B02247">
        <w:t>for</w:t>
      </w:r>
      <w:r w:rsidR="005B2A41">
        <w:t xml:space="preserve"> </w:t>
      </w:r>
      <w:r w:rsidRPr="00B02247">
        <w:t>the</w:t>
      </w:r>
      <w:r w:rsidR="005B2A41">
        <w:t xml:space="preserve"> </w:t>
      </w:r>
      <w:r w:rsidRPr="00B02247">
        <w:t>establishment</w:t>
      </w:r>
      <w:r w:rsidR="005B2A41">
        <w:t xml:space="preserve"> </w:t>
      </w:r>
      <w:r w:rsidRPr="00B02247">
        <w:t>of</w:t>
      </w:r>
      <w:r w:rsidR="005B2A41">
        <w:t xml:space="preserve"> </w:t>
      </w:r>
      <w:r w:rsidRPr="00B02247">
        <w:t>State</w:t>
      </w:r>
      <w:r w:rsidR="005B2A41">
        <w:t xml:space="preserve"> </w:t>
      </w:r>
      <w:r w:rsidRPr="00B02247">
        <w:t>responsibility.</w:t>
      </w:r>
      <w:r w:rsidR="005B2A41">
        <w:t xml:space="preserve"> </w:t>
      </w:r>
      <w:r w:rsidRPr="00B02247">
        <w:t>State</w:t>
      </w:r>
      <w:r w:rsidR="005B2A41">
        <w:t xml:space="preserve"> </w:t>
      </w:r>
      <w:r w:rsidRPr="00B02247">
        <w:t>responsibility</w:t>
      </w:r>
      <w:r w:rsidR="005B2A41">
        <w:t xml:space="preserve"> </w:t>
      </w:r>
      <w:r w:rsidRPr="00B02247">
        <w:t>is</w:t>
      </w:r>
      <w:r w:rsidR="005B2A41">
        <w:t xml:space="preserve"> </w:t>
      </w:r>
      <w:r w:rsidRPr="00B02247">
        <w:t>triggered</w:t>
      </w:r>
      <w:r w:rsidR="005B2A41">
        <w:t xml:space="preserve"> </w:t>
      </w:r>
      <w:r w:rsidRPr="00B02247">
        <w:t>in</w:t>
      </w:r>
      <w:r w:rsidR="005B2A41">
        <w:t xml:space="preserve"> </w:t>
      </w:r>
      <w:r w:rsidRPr="00B02247">
        <w:t>case</w:t>
      </w:r>
      <w:r w:rsidR="005B2A41">
        <w:t xml:space="preserve"> </w:t>
      </w:r>
      <w:r w:rsidRPr="00B02247">
        <w:t>the</w:t>
      </w:r>
      <w:r w:rsidR="005B2A41">
        <w:t xml:space="preserve"> </w:t>
      </w:r>
      <w:r w:rsidRPr="00B02247">
        <w:t>following</w:t>
      </w:r>
      <w:r w:rsidR="005B2A41">
        <w:t xml:space="preserve"> </w:t>
      </w:r>
      <w:r w:rsidRPr="00B02247">
        <w:t>prerequisites</w:t>
      </w:r>
      <w:r w:rsidR="005B2A41">
        <w:t xml:space="preserve"> </w:t>
      </w:r>
      <w:r w:rsidRPr="00B02247">
        <w:t>are</w:t>
      </w:r>
      <w:r w:rsidR="005B2A41">
        <w:t xml:space="preserve"> </w:t>
      </w:r>
      <w:r w:rsidRPr="00B02247">
        <w:t>all</w:t>
      </w:r>
      <w:r w:rsidR="005B2A41">
        <w:t xml:space="preserve"> </w:t>
      </w:r>
      <w:r w:rsidRPr="00B02247">
        <w:t>met:</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Material</w:t>
      </w:r>
      <w:r w:rsidR="005B2A41">
        <w:t xml:space="preserve"> </w:t>
      </w:r>
      <w:r w:rsidR="00F233AB" w:rsidRPr="00B02247">
        <w:t>or</w:t>
      </w:r>
      <w:r w:rsidR="005B2A41">
        <w:t xml:space="preserve"> </w:t>
      </w:r>
      <w:r w:rsidR="00F233AB" w:rsidRPr="00B02247">
        <w:t>moral</w:t>
      </w:r>
      <w:r w:rsidR="005B2A41">
        <w:t xml:space="preserve"> </w:t>
      </w:r>
      <w:r w:rsidR="00F233AB" w:rsidRPr="00B02247">
        <w:t>damage</w:t>
      </w:r>
      <w:r w:rsidR="005B2A41">
        <w:t xml:space="preserve"> </w:t>
      </w:r>
      <w:r w:rsidR="00F233AB" w:rsidRPr="00B02247">
        <w:t>or</w:t>
      </w:r>
      <w:r w:rsidR="005B2A41">
        <w:t xml:space="preserve"> </w:t>
      </w:r>
      <w:r w:rsidR="00F233AB" w:rsidRPr="00B02247">
        <w:t>loss</w:t>
      </w:r>
      <w:r w:rsidR="005B2A41">
        <w:t xml:space="preserve"> </w:t>
      </w:r>
      <w:r w:rsidR="00F233AB" w:rsidRPr="00B02247">
        <w:t>is</w:t>
      </w:r>
      <w:r w:rsidR="005B2A41">
        <w:t xml:space="preserve"> </w:t>
      </w:r>
      <w:r w:rsidR="00F233AB" w:rsidRPr="00B02247">
        <w:t>suffered</w:t>
      </w:r>
      <w:r w:rsidR="005B2A41">
        <w:t xml:space="preserve"> </w:t>
      </w:r>
      <w:r w:rsidR="00F233AB" w:rsidRPr="00B02247">
        <w:t>by</w:t>
      </w:r>
      <w:r w:rsidR="005B2A41">
        <w:t xml:space="preserve"> </w:t>
      </w:r>
      <w:r w:rsidR="00F233AB" w:rsidRPr="00B02247">
        <w:t>individuals;</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The</w:t>
      </w:r>
      <w:r w:rsidR="005B2A41">
        <w:t xml:space="preserve"> </w:t>
      </w:r>
      <w:r w:rsidR="00F233AB" w:rsidRPr="00B02247">
        <w:t>illegal</w:t>
      </w:r>
      <w:r w:rsidR="005B2A41">
        <w:t xml:space="preserve"> </w:t>
      </w:r>
      <w:r w:rsidR="00F233AB" w:rsidRPr="00B02247">
        <w:t>acts</w:t>
      </w:r>
      <w:r w:rsidR="005B2A41">
        <w:t xml:space="preserve"> </w:t>
      </w:r>
      <w:r w:rsidR="00F233AB" w:rsidRPr="00B02247">
        <w:t>or</w:t>
      </w:r>
      <w:r w:rsidR="005B2A41">
        <w:t xml:space="preserve"> </w:t>
      </w:r>
      <w:r w:rsidR="00F233AB" w:rsidRPr="00B02247">
        <w:t>omissions</w:t>
      </w:r>
      <w:r w:rsidR="005B2A41">
        <w:t xml:space="preserve"> </w:t>
      </w:r>
      <w:r w:rsidR="00F233AB" w:rsidRPr="00B02247">
        <w:t>are</w:t>
      </w:r>
      <w:r w:rsidR="005B2A41">
        <w:t xml:space="preserve"> </w:t>
      </w:r>
      <w:r w:rsidR="00F233AB" w:rsidRPr="00B02247">
        <w:t>committed</w:t>
      </w:r>
      <w:r w:rsidR="005B2A41">
        <w:t xml:space="preserve"> </w:t>
      </w:r>
      <w:r w:rsidR="00F233AB" w:rsidRPr="00B02247">
        <w:t>by</w:t>
      </w:r>
      <w:r w:rsidR="005B2A41">
        <w:t xml:space="preserve"> </w:t>
      </w:r>
      <w:r w:rsidR="00F233AB" w:rsidRPr="00B02247">
        <w:t>State</w:t>
      </w:r>
      <w:r w:rsidR="005B2A41">
        <w:t xml:space="preserve"> </w:t>
      </w:r>
      <w:r w:rsidR="00F233AB" w:rsidRPr="00B02247">
        <w:t>organs</w:t>
      </w:r>
      <w:r w:rsidR="005B2A41">
        <w:t xml:space="preserve"> </w:t>
      </w:r>
      <w:r w:rsidR="00F233AB" w:rsidRPr="00B02247">
        <w:t>or</w:t>
      </w:r>
      <w:r w:rsidR="005B2A41">
        <w:t xml:space="preserve"> </w:t>
      </w:r>
      <w:r w:rsidR="00F233AB" w:rsidRPr="00B02247">
        <w:t>officials</w:t>
      </w:r>
      <w:r w:rsidR="005B2A41">
        <w:t xml:space="preserve"> </w:t>
      </w:r>
      <w:r w:rsidR="00F233AB" w:rsidRPr="00B02247">
        <w:t>in</w:t>
      </w:r>
      <w:r w:rsidR="005B2A41">
        <w:t xml:space="preserve"> </w:t>
      </w:r>
      <w:r w:rsidR="00F233AB" w:rsidRPr="00B02247">
        <w:t>the</w:t>
      </w:r>
      <w:r w:rsidR="005B2A41">
        <w:t xml:space="preserve"> </w:t>
      </w:r>
      <w:r w:rsidR="00F233AB" w:rsidRPr="00B02247">
        <w:t>exercise</w:t>
      </w:r>
      <w:r w:rsidR="005B2A41">
        <w:t xml:space="preserve"> </w:t>
      </w:r>
      <w:r w:rsidR="00F233AB" w:rsidRPr="00B02247">
        <w:t>of</w:t>
      </w:r>
      <w:r w:rsidR="005B2A41">
        <w:t xml:space="preserve"> </w:t>
      </w:r>
      <w:r w:rsidR="00F233AB" w:rsidRPr="00B02247">
        <w:t>their</w:t>
      </w:r>
      <w:r w:rsidR="005B2A41">
        <w:t xml:space="preserve"> </w:t>
      </w:r>
      <w:r w:rsidR="00F233AB" w:rsidRPr="00B02247">
        <w:t>official</w:t>
      </w:r>
      <w:r w:rsidR="005B2A41">
        <w:t xml:space="preserve"> </w:t>
      </w:r>
      <w:r w:rsidR="00F233AB" w:rsidRPr="00B02247">
        <w:t>duties;</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Such</w:t>
      </w:r>
      <w:r w:rsidR="005B2A41">
        <w:t xml:space="preserve"> </w:t>
      </w:r>
      <w:r w:rsidR="00F233AB" w:rsidRPr="00B02247">
        <w:t>illegal</w:t>
      </w:r>
      <w:r w:rsidR="005B2A41">
        <w:t xml:space="preserve"> </w:t>
      </w:r>
      <w:r w:rsidR="00F233AB" w:rsidRPr="00B02247">
        <w:t>acts</w:t>
      </w:r>
      <w:r w:rsidR="005B2A41">
        <w:t xml:space="preserve"> </w:t>
      </w:r>
      <w:r w:rsidR="00F233AB" w:rsidRPr="00B02247">
        <w:t>constitute</w:t>
      </w:r>
      <w:r w:rsidR="005B2A41">
        <w:t xml:space="preserve"> </w:t>
      </w:r>
      <w:r w:rsidR="00F233AB" w:rsidRPr="00B02247">
        <w:t>a</w:t>
      </w:r>
      <w:r w:rsidR="005B2A41">
        <w:t xml:space="preserve"> </w:t>
      </w:r>
      <w:r w:rsidR="00F233AB" w:rsidRPr="00B02247">
        <w:t>violation</w:t>
      </w:r>
      <w:r w:rsidR="005B2A41">
        <w:t xml:space="preserve"> </w:t>
      </w:r>
      <w:r w:rsidR="00F233AB" w:rsidRPr="00B02247">
        <w:t>of</w:t>
      </w:r>
      <w:r w:rsidR="005B2A41">
        <w:t xml:space="preserve"> </w:t>
      </w:r>
      <w:r w:rsidR="00F233AB" w:rsidRPr="00B02247">
        <w:t>rules</w:t>
      </w:r>
      <w:r w:rsidR="005B2A41">
        <w:t xml:space="preserve"> </w:t>
      </w:r>
      <w:r w:rsidR="00F233AB" w:rsidRPr="00B02247">
        <w:t>of</w:t>
      </w:r>
      <w:r w:rsidR="005B2A41">
        <w:t xml:space="preserve"> </w:t>
      </w:r>
      <w:r w:rsidR="00F233AB" w:rsidRPr="00B02247">
        <w:t>domestic</w:t>
      </w:r>
      <w:r w:rsidR="005B2A41">
        <w:t xml:space="preserve"> </w:t>
      </w:r>
      <w:r w:rsidR="00F233AB" w:rsidRPr="00B02247">
        <w:t>law</w:t>
      </w:r>
      <w:r w:rsidR="005B2A41">
        <w:t xml:space="preserve"> </w:t>
      </w:r>
      <w:r w:rsidR="00F233AB" w:rsidRPr="00B02247">
        <w:t>(including</w:t>
      </w:r>
      <w:r w:rsidR="005B2A41">
        <w:t xml:space="preserve"> </w:t>
      </w:r>
      <w:r w:rsidR="00F233AB" w:rsidRPr="00B02247">
        <w:t>the</w:t>
      </w:r>
      <w:r w:rsidR="005B2A41">
        <w:t xml:space="preserve"> </w:t>
      </w:r>
      <w:r w:rsidR="00F233AB" w:rsidRPr="00B02247">
        <w:t>Constitution,</w:t>
      </w:r>
      <w:r w:rsidR="005B2A41">
        <w:t xml:space="preserve"> </w:t>
      </w:r>
      <w:r w:rsidR="00F233AB" w:rsidRPr="00B02247">
        <w:t>international</w:t>
      </w:r>
      <w:r w:rsidR="005B2A41">
        <w:t xml:space="preserve"> </w:t>
      </w:r>
      <w:r w:rsidR="00F233AB" w:rsidRPr="00B02247">
        <w:t>treaties</w:t>
      </w:r>
      <w:r w:rsidR="005B2A41">
        <w:t xml:space="preserve"> </w:t>
      </w:r>
      <w:r w:rsidR="00F233AB" w:rsidRPr="00B02247">
        <w:t>ratified</w:t>
      </w:r>
      <w:r w:rsidR="005B2A41">
        <w:t xml:space="preserve"> </w:t>
      </w:r>
      <w:r w:rsidR="00F233AB" w:rsidRPr="00B02247">
        <w:t>by</w:t>
      </w:r>
      <w:r w:rsidR="005B2A41">
        <w:t xml:space="preserve"> </w:t>
      </w:r>
      <w:r w:rsidR="00F233AB" w:rsidRPr="00B02247">
        <w:t>Greece,</w:t>
      </w:r>
      <w:r w:rsidR="005B2A41">
        <w:t xml:space="preserve"> </w:t>
      </w:r>
      <w:r w:rsidR="00F233AB" w:rsidRPr="00B02247">
        <w:t>formal</w:t>
      </w:r>
      <w:r w:rsidR="005B2A41">
        <w:t xml:space="preserve"> </w:t>
      </w:r>
      <w:r w:rsidR="00F233AB" w:rsidRPr="00B02247">
        <w:t>laws</w:t>
      </w:r>
      <w:r w:rsidR="005B2A41">
        <w:t xml:space="preserve"> </w:t>
      </w:r>
      <w:r w:rsidR="00F233AB" w:rsidRPr="00B02247">
        <w:t>and</w:t>
      </w:r>
      <w:r w:rsidR="005B2A41">
        <w:t xml:space="preserve"> </w:t>
      </w:r>
      <w:r w:rsidR="00F233AB" w:rsidRPr="00B02247">
        <w:t>administrative</w:t>
      </w:r>
      <w:r w:rsidR="005B2A41">
        <w:t xml:space="preserve"> </w:t>
      </w:r>
      <w:r w:rsidR="00F233AB" w:rsidRPr="00B02247">
        <w:t>acts).</w:t>
      </w:r>
      <w:r w:rsidR="005B2A41">
        <w:t xml:space="preserve"> </w:t>
      </w:r>
      <w:r w:rsidR="00F233AB" w:rsidRPr="00B02247">
        <w:t>However,</w:t>
      </w:r>
      <w:r w:rsidR="005B2A41">
        <w:t xml:space="preserve"> </w:t>
      </w:r>
      <w:r w:rsidR="00F233AB" w:rsidRPr="00B02247">
        <w:t>the</w:t>
      </w:r>
      <w:r w:rsidR="005B2A41">
        <w:t xml:space="preserve"> </w:t>
      </w:r>
      <w:r w:rsidR="00F233AB" w:rsidRPr="00B02247">
        <w:t>State</w:t>
      </w:r>
      <w:r w:rsidR="005B2A41">
        <w:t xml:space="preserve"> </w:t>
      </w:r>
      <w:r w:rsidR="00F233AB" w:rsidRPr="00B02247">
        <w:t>bears</w:t>
      </w:r>
      <w:r w:rsidR="005B2A41">
        <w:t xml:space="preserve"> </w:t>
      </w:r>
      <w:r w:rsidR="00F233AB" w:rsidRPr="00B02247">
        <w:t>no</w:t>
      </w:r>
      <w:r w:rsidR="005B2A41">
        <w:t xml:space="preserve"> </w:t>
      </w:r>
      <w:r w:rsidR="00F233AB" w:rsidRPr="00B02247">
        <w:t>responsibility</w:t>
      </w:r>
      <w:r w:rsidR="005B2A41">
        <w:t xml:space="preserve"> </w:t>
      </w:r>
      <w:r w:rsidR="00F233AB" w:rsidRPr="00B02247">
        <w:t>if</w:t>
      </w:r>
      <w:r w:rsidR="005B2A41">
        <w:t xml:space="preserve"> </w:t>
      </w:r>
      <w:r w:rsidR="00F233AB" w:rsidRPr="00B02247">
        <w:t>the</w:t>
      </w:r>
      <w:r w:rsidR="005B2A41">
        <w:t xml:space="preserve"> </w:t>
      </w:r>
      <w:r w:rsidR="00F233AB" w:rsidRPr="00B02247">
        <w:t>violated</w:t>
      </w:r>
      <w:r w:rsidR="005B2A41">
        <w:t xml:space="preserve"> </w:t>
      </w:r>
      <w:r w:rsidR="00F233AB" w:rsidRPr="00B02247">
        <w:t>provision</w:t>
      </w:r>
      <w:r w:rsidR="005B2A41">
        <w:t xml:space="preserve"> </w:t>
      </w:r>
      <w:r w:rsidR="00F233AB" w:rsidRPr="00B02247">
        <w:t>serves</w:t>
      </w:r>
      <w:r w:rsidR="005B2A41">
        <w:t xml:space="preserve"> </w:t>
      </w:r>
      <w:r w:rsidR="00F233AB" w:rsidRPr="00B02247">
        <w:t>predominantly</w:t>
      </w:r>
      <w:r w:rsidR="005B2A41">
        <w:t xml:space="preserve"> </w:t>
      </w:r>
      <w:r w:rsidR="00F233AB" w:rsidRPr="00B02247">
        <w:t>the</w:t>
      </w:r>
      <w:r w:rsidR="005B2A41">
        <w:t xml:space="preserve"> </w:t>
      </w:r>
      <w:r w:rsidR="00F233AB" w:rsidRPr="00B02247">
        <w:t>public</w:t>
      </w:r>
      <w:r w:rsidR="005B2A41">
        <w:t xml:space="preserve"> </w:t>
      </w:r>
      <w:r w:rsidR="00F233AB" w:rsidRPr="00B02247">
        <w:t>interest.</w:t>
      </w:r>
      <w:r w:rsidR="005B2A41">
        <w:t xml:space="preserve"> </w:t>
      </w:r>
      <w:r w:rsidR="00F233AB" w:rsidRPr="00B02247">
        <w:t>Activities</w:t>
      </w:r>
      <w:r w:rsidR="005B2A41">
        <w:t xml:space="preserve"> </w:t>
      </w:r>
      <w:r w:rsidR="00F233AB" w:rsidRPr="00B02247">
        <w:t>or</w:t>
      </w:r>
      <w:r w:rsidR="005B2A41">
        <w:t xml:space="preserve"> </w:t>
      </w:r>
      <w:r w:rsidR="00F233AB" w:rsidRPr="00B02247">
        <w:t>omissions</w:t>
      </w:r>
      <w:r w:rsidR="005B2A41">
        <w:t xml:space="preserve"> </w:t>
      </w:r>
      <w:r w:rsidR="00F233AB" w:rsidRPr="00B02247">
        <w:t>of</w:t>
      </w:r>
      <w:r w:rsidR="005B2A41">
        <w:t xml:space="preserve"> </w:t>
      </w:r>
      <w:r w:rsidR="00F233AB" w:rsidRPr="00B02247">
        <w:t>the</w:t>
      </w:r>
      <w:r w:rsidR="005B2A41">
        <w:t xml:space="preserve"> </w:t>
      </w:r>
      <w:r w:rsidR="00F233AB" w:rsidRPr="00B02247">
        <w:t>executive,</w:t>
      </w:r>
      <w:r w:rsidR="005B2A41">
        <w:t xml:space="preserve"> </w:t>
      </w:r>
      <w:r w:rsidR="00F233AB" w:rsidRPr="00B02247">
        <w:t>administrative,</w:t>
      </w:r>
      <w:r w:rsidR="005B2A41">
        <w:t xml:space="preserve"> </w:t>
      </w:r>
      <w:r w:rsidR="00F233AB" w:rsidRPr="00B02247">
        <w:t>and</w:t>
      </w:r>
      <w:r w:rsidR="005B2A41">
        <w:t xml:space="preserve"> </w:t>
      </w:r>
      <w:r w:rsidR="00F233AB" w:rsidRPr="00B02247">
        <w:t>even</w:t>
      </w:r>
      <w:r w:rsidR="005B2A41">
        <w:t xml:space="preserve"> </w:t>
      </w:r>
      <w:r w:rsidR="00F233AB" w:rsidRPr="00B02247">
        <w:t>legislative</w:t>
      </w:r>
      <w:r w:rsidR="005B2A41">
        <w:t xml:space="preserve"> </w:t>
      </w:r>
      <w:r w:rsidR="00F233AB" w:rsidRPr="00B02247">
        <w:t>and</w:t>
      </w:r>
      <w:r w:rsidR="005B2A41">
        <w:t xml:space="preserve"> </w:t>
      </w:r>
      <w:r w:rsidR="00F233AB" w:rsidRPr="00B02247">
        <w:t>judicial</w:t>
      </w:r>
      <w:r w:rsidR="005B2A41">
        <w:t xml:space="preserve"> </w:t>
      </w:r>
      <w:r w:rsidR="00F233AB" w:rsidRPr="00B02247">
        <w:t>organs</w:t>
      </w:r>
      <w:r w:rsidR="005B2A41">
        <w:t xml:space="preserve"> </w:t>
      </w:r>
      <w:r w:rsidR="00F233AB" w:rsidRPr="00B02247">
        <w:t>can</w:t>
      </w:r>
      <w:r w:rsidR="005B2A41">
        <w:t xml:space="preserve"> </w:t>
      </w:r>
      <w:r w:rsidR="00F233AB" w:rsidRPr="00B02247">
        <w:t>give</w:t>
      </w:r>
      <w:r w:rsidR="005B2A41">
        <w:t xml:space="preserve"> </w:t>
      </w:r>
      <w:r w:rsidR="00F233AB" w:rsidRPr="00B02247">
        <w:t>rise</w:t>
      </w:r>
      <w:r w:rsidR="005B2A41">
        <w:t xml:space="preserve"> </w:t>
      </w:r>
      <w:r w:rsidR="00F233AB" w:rsidRPr="00B02247">
        <w:t>to</w:t>
      </w:r>
      <w:r w:rsidR="005B2A41">
        <w:t xml:space="preserve"> </w:t>
      </w:r>
      <w:r w:rsidR="00F233AB" w:rsidRPr="00B02247">
        <w:t>State</w:t>
      </w:r>
      <w:r w:rsidR="005B2A41">
        <w:t xml:space="preserve"> </w:t>
      </w:r>
      <w:r w:rsidR="00F233AB" w:rsidRPr="00B02247">
        <w:t>liability</w:t>
      </w:r>
      <w:r w:rsidR="005B2A41">
        <w:t xml:space="preserve"> </w:t>
      </w:r>
      <w:r w:rsidR="00F233AB" w:rsidRPr="00B02247">
        <w:t>when</w:t>
      </w:r>
      <w:r w:rsidR="005B2A41">
        <w:t xml:space="preserve"> </w:t>
      </w:r>
      <w:r w:rsidR="00F233AB" w:rsidRPr="00B02247">
        <w:t>they</w:t>
      </w:r>
      <w:r w:rsidR="005B2A41">
        <w:t xml:space="preserve"> </w:t>
      </w:r>
      <w:r w:rsidR="00F233AB" w:rsidRPr="00B02247">
        <w:t>are</w:t>
      </w:r>
      <w:r w:rsidR="005B2A41">
        <w:t xml:space="preserve"> </w:t>
      </w:r>
      <w:r w:rsidR="00F233AB" w:rsidRPr="00B02247">
        <w:t>performed</w:t>
      </w:r>
      <w:r w:rsidR="005B2A41">
        <w:t xml:space="preserve"> </w:t>
      </w:r>
      <w:r w:rsidR="00F233AB" w:rsidRPr="00B02247">
        <w:t>in</w:t>
      </w:r>
      <w:r w:rsidR="005B2A41">
        <w:t xml:space="preserve"> </w:t>
      </w:r>
      <w:r w:rsidR="00F233AB" w:rsidRPr="00B02247">
        <w:t>violation</w:t>
      </w:r>
      <w:r w:rsidR="005B2A41">
        <w:t xml:space="preserve"> </w:t>
      </w:r>
      <w:r w:rsidR="00F233AB" w:rsidRPr="00B02247">
        <w:t>of</w:t>
      </w:r>
      <w:r w:rsidR="005B2A41">
        <w:t xml:space="preserve"> </w:t>
      </w:r>
      <w:r w:rsidR="00F233AB" w:rsidRPr="00B02247">
        <w:t>human</w:t>
      </w:r>
      <w:r w:rsidR="005B2A41">
        <w:t xml:space="preserve"> </w:t>
      </w:r>
      <w:r w:rsidR="00F233AB" w:rsidRPr="00B02247">
        <w:t>rights</w:t>
      </w:r>
      <w:r w:rsidR="005B2A41">
        <w:t xml:space="preserve"> </w:t>
      </w:r>
      <w:r w:rsidR="00F233AB" w:rsidRPr="00B02247">
        <w:t>rules;</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Causal</w:t>
      </w:r>
      <w:r w:rsidR="005B2A41">
        <w:t xml:space="preserve"> </w:t>
      </w:r>
      <w:r w:rsidR="00F233AB" w:rsidRPr="00B02247">
        <w:t>link</w:t>
      </w:r>
      <w:r w:rsidR="005B2A41">
        <w:t xml:space="preserve"> </w:t>
      </w:r>
      <w:r w:rsidR="00F233AB" w:rsidRPr="00B02247">
        <w:t>between</w:t>
      </w:r>
      <w:r w:rsidR="005B2A41">
        <w:t xml:space="preserve"> </w:t>
      </w:r>
      <w:r w:rsidR="00F233AB" w:rsidRPr="00B02247">
        <w:t>the</w:t>
      </w:r>
      <w:r w:rsidR="005B2A41">
        <w:t xml:space="preserve"> </w:t>
      </w:r>
      <w:r w:rsidR="00F233AB" w:rsidRPr="00B02247">
        <w:t>acts</w:t>
      </w:r>
      <w:r w:rsidR="005B2A41">
        <w:t xml:space="preserve"> </w:t>
      </w:r>
      <w:r w:rsidR="00F233AB" w:rsidRPr="00B02247">
        <w:t>or</w:t>
      </w:r>
      <w:r w:rsidR="005B2A41">
        <w:t xml:space="preserve"> </w:t>
      </w:r>
      <w:r w:rsidR="00F233AB" w:rsidRPr="00B02247">
        <w:t>omissions</w:t>
      </w:r>
      <w:r w:rsidR="005B2A41">
        <w:t xml:space="preserve"> </w:t>
      </w:r>
      <w:r w:rsidR="00F233AB" w:rsidRPr="00B02247">
        <w:t>and</w:t>
      </w:r>
      <w:r w:rsidR="005B2A41">
        <w:t xml:space="preserve"> </w:t>
      </w:r>
      <w:r w:rsidR="00F233AB" w:rsidRPr="00B02247">
        <w:t>the</w:t>
      </w:r>
      <w:r w:rsidR="005B2A41">
        <w:t xml:space="preserve"> </w:t>
      </w:r>
      <w:r w:rsidR="00F233AB" w:rsidRPr="00B02247">
        <w:t>damages</w:t>
      </w:r>
      <w:r w:rsidR="005B2A41">
        <w:t xml:space="preserve"> </w:t>
      </w:r>
      <w:r w:rsidR="00F233AB" w:rsidRPr="00B02247">
        <w:t>caused.</w:t>
      </w:r>
      <w:r w:rsidR="005B2A41">
        <w:t xml:space="preserve"> </w:t>
      </w:r>
    </w:p>
    <w:p w:rsidR="00F233AB" w:rsidRPr="00B02247" w:rsidRDefault="00F233AB" w:rsidP="00E1307D">
      <w:pPr>
        <w:pStyle w:val="SingleTxtG"/>
      </w:pPr>
      <w:r w:rsidRPr="00B02247">
        <w:lastRenderedPageBreak/>
        <w:t>59.</w:t>
      </w:r>
      <w:r w:rsidRPr="00B02247">
        <w:tab/>
        <w:t>Alleged</w:t>
      </w:r>
      <w:r w:rsidR="005B2A41">
        <w:t xml:space="preserve"> </w:t>
      </w:r>
      <w:r w:rsidRPr="00B02247">
        <w:t>victims</w:t>
      </w:r>
      <w:r w:rsidR="005B2A41">
        <w:t xml:space="preserve"> </w:t>
      </w:r>
      <w:r w:rsidRPr="00B02247">
        <w:t>of</w:t>
      </w:r>
      <w:r w:rsidR="005B2A41">
        <w:t xml:space="preserve"> </w:t>
      </w:r>
      <w:r w:rsidRPr="00B02247">
        <w:t>such</w:t>
      </w:r>
      <w:r w:rsidR="005B2A41">
        <w:t xml:space="preserve"> </w:t>
      </w:r>
      <w:r w:rsidRPr="00B02247">
        <w:t>illegal</w:t>
      </w:r>
      <w:r w:rsidR="005B2A41">
        <w:t xml:space="preserve"> </w:t>
      </w:r>
      <w:r w:rsidRPr="00B02247">
        <w:t>acts</w:t>
      </w:r>
      <w:r w:rsidR="005B2A41">
        <w:t xml:space="preserve"> </w:t>
      </w:r>
      <w:r w:rsidRPr="00B02247">
        <w:t>can</w:t>
      </w:r>
      <w:r w:rsidR="005B2A41">
        <w:t xml:space="preserve"> </w:t>
      </w:r>
      <w:r w:rsidRPr="00B02247">
        <w:t>bring</w:t>
      </w:r>
      <w:r w:rsidR="005B2A41">
        <w:t xml:space="preserve"> </w:t>
      </w:r>
      <w:r w:rsidRPr="00B02247">
        <w:t>an</w:t>
      </w:r>
      <w:r w:rsidR="005B2A41">
        <w:t xml:space="preserve"> </w:t>
      </w:r>
      <w:r w:rsidRPr="00B02247">
        <w:t>action</w:t>
      </w:r>
      <w:r w:rsidR="005B2A41">
        <w:t xml:space="preserve"> </w:t>
      </w:r>
      <w:r w:rsidRPr="00B02247">
        <w:t>for</w:t>
      </w:r>
      <w:r w:rsidR="005B2A41">
        <w:t xml:space="preserve"> </w:t>
      </w:r>
      <w:r w:rsidRPr="00B02247">
        <w:t>compensation</w:t>
      </w:r>
      <w:r w:rsidR="005B2A41">
        <w:t xml:space="preserve"> </w:t>
      </w:r>
      <w:r w:rsidRPr="00B02247">
        <w:t>against</w:t>
      </w:r>
      <w:r w:rsidR="005B2A41">
        <w:t xml:space="preserve"> </w:t>
      </w:r>
      <w:r w:rsidRPr="00B02247">
        <w:t>the</w:t>
      </w:r>
      <w:r w:rsidR="005B2A41">
        <w:t xml:space="preserve"> </w:t>
      </w:r>
      <w:r w:rsidRPr="00B02247">
        <w:t>State</w:t>
      </w:r>
      <w:r w:rsidR="005B2A41">
        <w:t xml:space="preserve"> </w:t>
      </w:r>
      <w:r w:rsidRPr="00B02247">
        <w:t>itself</w:t>
      </w:r>
      <w:r w:rsidR="005B2A41">
        <w:t xml:space="preserve"> </w:t>
      </w:r>
      <w:r w:rsidRPr="00B02247">
        <w:t>before</w:t>
      </w:r>
      <w:r w:rsidR="005B2A41">
        <w:t xml:space="preserve"> </w:t>
      </w:r>
      <w:r w:rsidRPr="00B02247">
        <w:t>administrative</w:t>
      </w:r>
      <w:r w:rsidR="005B2A41">
        <w:t xml:space="preserve"> </w:t>
      </w:r>
      <w:r w:rsidRPr="00B02247">
        <w:t>courts.</w:t>
      </w:r>
      <w:r w:rsidR="005B2A41">
        <w:t xml:space="preserve"> </w:t>
      </w:r>
      <w:r w:rsidRPr="00B02247">
        <w:t>The</w:t>
      </w:r>
      <w:r w:rsidR="005B2A41">
        <w:t xml:space="preserve"> </w:t>
      </w:r>
      <w:r w:rsidRPr="00B02247">
        <w:t>liable</w:t>
      </w:r>
      <w:r w:rsidR="005B2A41">
        <w:t xml:space="preserve"> </w:t>
      </w:r>
      <w:r w:rsidRPr="00B02247">
        <w:t>State</w:t>
      </w:r>
      <w:r w:rsidR="005B2A41">
        <w:t xml:space="preserve"> </w:t>
      </w:r>
      <w:r w:rsidRPr="00B02247">
        <w:t>organ</w:t>
      </w:r>
      <w:r w:rsidR="005B2A41">
        <w:t xml:space="preserve"> </w:t>
      </w:r>
      <w:r w:rsidRPr="00B02247">
        <w:t>or</w:t>
      </w:r>
      <w:r w:rsidR="005B2A41">
        <w:t xml:space="preserve"> </w:t>
      </w:r>
      <w:r w:rsidRPr="00B02247">
        <w:t>official</w:t>
      </w:r>
      <w:r w:rsidR="005B2A41">
        <w:t xml:space="preserve"> </w:t>
      </w:r>
      <w:r w:rsidRPr="00B02247">
        <w:t>can</w:t>
      </w:r>
      <w:r w:rsidR="005B2A41">
        <w:t xml:space="preserve"> </w:t>
      </w:r>
      <w:r w:rsidRPr="00B02247">
        <w:t>be</w:t>
      </w:r>
      <w:r w:rsidR="005B2A41">
        <w:t xml:space="preserve"> </w:t>
      </w:r>
      <w:r w:rsidRPr="00B02247">
        <w:t>sued</w:t>
      </w:r>
      <w:r w:rsidR="005B2A41">
        <w:t xml:space="preserve"> </w:t>
      </w:r>
      <w:r w:rsidRPr="00B02247">
        <w:t>exclusively</w:t>
      </w:r>
      <w:r w:rsidR="005B2A41">
        <w:t xml:space="preserve"> </w:t>
      </w:r>
      <w:r w:rsidRPr="00B02247">
        <w:t>by</w:t>
      </w:r>
      <w:r w:rsidR="005B2A41">
        <w:t xml:space="preserve"> </w:t>
      </w:r>
      <w:r w:rsidRPr="00B02247">
        <w:t>the</w:t>
      </w:r>
      <w:r w:rsidR="005B2A41">
        <w:t xml:space="preserve"> </w:t>
      </w:r>
      <w:r w:rsidRPr="00B02247">
        <w:t>State</w:t>
      </w:r>
      <w:r w:rsidR="005B2A41">
        <w:t xml:space="preserve"> </w:t>
      </w:r>
      <w:r w:rsidRPr="00B02247">
        <w:t>in</w:t>
      </w:r>
      <w:r w:rsidR="005B2A41">
        <w:t xml:space="preserve"> </w:t>
      </w:r>
      <w:r w:rsidRPr="00B02247">
        <w:t>cases</w:t>
      </w:r>
      <w:r w:rsidR="005B2A41">
        <w:t xml:space="preserve"> </w:t>
      </w:r>
      <w:r w:rsidRPr="00B02247">
        <w:t>of</w:t>
      </w:r>
      <w:r w:rsidR="005B2A41">
        <w:t xml:space="preserve"> </w:t>
      </w:r>
      <w:r w:rsidRPr="00B02247">
        <w:t>intention</w:t>
      </w:r>
      <w:r w:rsidR="005B2A41">
        <w:t xml:space="preserve"> </w:t>
      </w:r>
      <w:r w:rsidRPr="00B02247">
        <w:t>or</w:t>
      </w:r>
      <w:r w:rsidR="005B2A41">
        <w:t xml:space="preserve"> </w:t>
      </w:r>
      <w:r w:rsidRPr="00B02247">
        <w:t>serious</w:t>
      </w:r>
      <w:r w:rsidR="005B2A41">
        <w:t xml:space="preserve"> </w:t>
      </w:r>
      <w:r w:rsidRPr="00B02247">
        <w:t>negligence,</w:t>
      </w:r>
      <w:r w:rsidR="005B2A41">
        <w:t xml:space="preserve"> </w:t>
      </w:r>
      <w:r w:rsidRPr="00B02247">
        <w:t>according</w:t>
      </w:r>
      <w:r w:rsidR="005B2A41">
        <w:t xml:space="preserve"> </w:t>
      </w:r>
      <w:r w:rsidRPr="00B02247">
        <w:t>to</w:t>
      </w:r>
      <w:r w:rsidR="005B2A41">
        <w:t xml:space="preserve"> </w:t>
      </w:r>
      <w:r w:rsidRPr="00B02247">
        <w:t>the</w:t>
      </w:r>
      <w:r w:rsidR="005B2A41">
        <w:t xml:space="preserve"> </w:t>
      </w:r>
      <w:r w:rsidRPr="00B02247">
        <w:t>Greek</w:t>
      </w:r>
      <w:r w:rsidR="005B2A41">
        <w:t xml:space="preserve"> </w:t>
      </w:r>
      <w:r w:rsidRPr="00B02247">
        <w:t>Civil</w:t>
      </w:r>
      <w:r w:rsidR="005B2A41">
        <w:t xml:space="preserve"> </w:t>
      </w:r>
      <w:r w:rsidRPr="00B02247">
        <w:t>Servants</w:t>
      </w:r>
      <w:r w:rsidR="003E731F">
        <w:t>’</w:t>
      </w:r>
      <w:r w:rsidR="005B2A41">
        <w:t xml:space="preserve"> </w:t>
      </w:r>
      <w:r w:rsidRPr="00B02247">
        <w:t>Code</w:t>
      </w:r>
      <w:r w:rsidR="005B2A41">
        <w:t xml:space="preserve"> </w:t>
      </w:r>
      <w:r w:rsidRPr="00B02247">
        <w:t>(Law</w:t>
      </w:r>
      <w:r w:rsidR="005B2A41">
        <w:t xml:space="preserve"> </w:t>
      </w:r>
      <w:r w:rsidRPr="00B02247">
        <w:t>2683/1999,</w:t>
      </w:r>
      <w:r w:rsidR="005B2A41">
        <w:t xml:space="preserve"> </w:t>
      </w:r>
      <w:r w:rsidRPr="00B02247">
        <w:t>art.</w:t>
      </w:r>
      <w:r w:rsidR="005B2A41">
        <w:t xml:space="preserve"> </w:t>
      </w:r>
      <w:r w:rsidRPr="00B02247">
        <w:t>38).</w:t>
      </w:r>
      <w:r w:rsidR="005B2A41">
        <w:t xml:space="preserve"> </w:t>
      </w:r>
    </w:p>
    <w:p w:rsidR="00F233AB" w:rsidRPr="00B02247" w:rsidRDefault="00F233AB" w:rsidP="00E1307D">
      <w:pPr>
        <w:pStyle w:val="SingleTxtG"/>
      </w:pPr>
      <w:r w:rsidRPr="00B02247">
        <w:t>60.</w:t>
      </w:r>
      <w:r w:rsidRPr="00B02247">
        <w:tab/>
        <w:t>(b)</w:t>
      </w:r>
      <w:r w:rsidRPr="00B02247">
        <w:tab/>
        <w:t>The</w:t>
      </w:r>
      <w:r w:rsidR="005B2A41">
        <w:t xml:space="preserve"> </w:t>
      </w:r>
      <w:r w:rsidRPr="00B02247">
        <w:t>Greek</w:t>
      </w:r>
      <w:r w:rsidR="005B2A41">
        <w:t xml:space="preserve"> </w:t>
      </w:r>
      <w:r w:rsidRPr="00B02247">
        <w:t>Civil</w:t>
      </w:r>
      <w:r w:rsidR="005B2A41">
        <w:t xml:space="preserve"> </w:t>
      </w:r>
      <w:r w:rsidRPr="00B02247">
        <w:t>Code</w:t>
      </w:r>
      <w:r w:rsidR="005B2A41">
        <w:t xml:space="preserve"> </w:t>
      </w:r>
      <w:r w:rsidRPr="00B02247">
        <w:t>establishes</w:t>
      </w:r>
      <w:r w:rsidR="005B2A41">
        <w:t xml:space="preserve"> </w:t>
      </w:r>
      <w:r w:rsidRPr="00B02247">
        <w:t>the</w:t>
      </w:r>
      <w:r w:rsidR="005B2A41">
        <w:t xml:space="preserve"> </w:t>
      </w:r>
      <w:r w:rsidRPr="00B02247">
        <w:t>general</w:t>
      </w:r>
      <w:r w:rsidR="005B2A41">
        <w:t xml:space="preserve"> </w:t>
      </w:r>
      <w:r w:rsidRPr="00B02247">
        <w:t>principle</w:t>
      </w:r>
      <w:r w:rsidR="005B2A41">
        <w:t xml:space="preserve"> </w:t>
      </w:r>
      <w:r w:rsidRPr="00B02247">
        <w:t>of</w:t>
      </w:r>
      <w:r w:rsidR="005B2A41">
        <w:t xml:space="preserve"> </w:t>
      </w:r>
      <w:r w:rsidRPr="00B02247">
        <w:t>liability</w:t>
      </w:r>
      <w:r w:rsidR="005B2A41">
        <w:t xml:space="preserve"> </w:t>
      </w:r>
      <w:r w:rsidRPr="00B02247">
        <w:t>for</w:t>
      </w:r>
      <w:r w:rsidR="005B2A41">
        <w:t xml:space="preserve"> </w:t>
      </w:r>
      <w:r w:rsidRPr="00B02247">
        <w:t>fault</w:t>
      </w:r>
      <w:r w:rsidR="005B2A41">
        <w:t xml:space="preserve"> </w:t>
      </w:r>
      <w:r w:rsidRPr="00B02247">
        <w:t>(article</w:t>
      </w:r>
      <w:r w:rsidR="005B2A41">
        <w:t xml:space="preserve"> </w:t>
      </w:r>
      <w:r w:rsidRPr="00B02247">
        <w:t>104</w:t>
      </w:r>
      <w:r w:rsidR="005B2A41">
        <w:t xml:space="preserve"> </w:t>
      </w:r>
      <w:r w:rsidRPr="00B02247">
        <w:t>of</w:t>
      </w:r>
      <w:r w:rsidR="005B2A41">
        <w:t xml:space="preserve"> </w:t>
      </w:r>
      <w:r w:rsidRPr="00B02247">
        <w:t>the</w:t>
      </w:r>
      <w:r w:rsidR="005B2A41">
        <w:t xml:space="preserve"> </w:t>
      </w:r>
      <w:r w:rsidRPr="00B02247">
        <w:t>Introductory</w:t>
      </w:r>
      <w:r w:rsidR="005B2A41">
        <w:t xml:space="preserve"> </w:t>
      </w:r>
      <w:r w:rsidRPr="00B02247">
        <w:t>Law</w:t>
      </w:r>
      <w:r w:rsidR="005B2A41">
        <w:t xml:space="preserve"> </w:t>
      </w:r>
      <w:r w:rsidRPr="00B02247">
        <w:t>to</w:t>
      </w:r>
      <w:r w:rsidR="005B2A41">
        <w:t xml:space="preserve"> </w:t>
      </w:r>
      <w:r w:rsidRPr="00B02247">
        <w:t>the</w:t>
      </w:r>
      <w:r w:rsidR="005B2A41">
        <w:t xml:space="preserve"> </w:t>
      </w:r>
      <w:r w:rsidRPr="00B02247">
        <w:t>Civil</w:t>
      </w:r>
      <w:r w:rsidR="005B2A41">
        <w:t xml:space="preserve"> </w:t>
      </w:r>
      <w:r w:rsidRPr="00B02247">
        <w:t>Code)</w:t>
      </w:r>
      <w:r w:rsidR="005B2A41">
        <w:t xml:space="preserve"> </w:t>
      </w:r>
      <w:r w:rsidRPr="00B02247">
        <w:t>in</w:t>
      </w:r>
      <w:r w:rsidR="005B2A41">
        <w:t xml:space="preserve"> </w:t>
      </w:r>
      <w:r w:rsidRPr="00B02247">
        <w:t>the</w:t>
      </w:r>
      <w:r w:rsidR="005B2A41">
        <w:t xml:space="preserve"> </w:t>
      </w:r>
      <w:r w:rsidRPr="00B02247">
        <w:t>case</w:t>
      </w:r>
      <w:r w:rsidR="005B2A41">
        <w:t xml:space="preserve"> </w:t>
      </w:r>
      <w:r w:rsidRPr="00B02247">
        <w:t>the</w:t>
      </w:r>
      <w:r w:rsidR="005B2A41">
        <w:t xml:space="preserve"> </w:t>
      </w:r>
      <w:r w:rsidRPr="00B02247">
        <w:t>State</w:t>
      </w:r>
      <w:r w:rsidR="005B2A41">
        <w:t xml:space="preserve"> </w:t>
      </w:r>
      <w:r w:rsidRPr="00B02247">
        <w:t>is</w:t>
      </w:r>
      <w:r w:rsidR="005B2A41">
        <w:t xml:space="preserve"> </w:t>
      </w:r>
      <w:r w:rsidRPr="00B02247">
        <w:t>acting</w:t>
      </w:r>
      <w:r w:rsidR="005B2A41">
        <w:t xml:space="preserve"> </w:t>
      </w:r>
      <w:r w:rsidRPr="00B02247">
        <w:t>as</w:t>
      </w:r>
      <w:r w:rsidR="005B2A41">
        <w:t xml:space="preserve"> </w:t>
      </w:r>
      <w:r w:rsidRPr="00B02247">
        <w:t>fiscus.</w:t>
      </w:r>
    </w:p>
    <w:p w:rsidR="00F233AB" w:rsidRPr="00B02247" w:rsidRDefault="00F233AB" w:rsidP="00E1307D">
      <w:pPr>
        <w:pStyle w:val="SingleTxtG"/>
      </w:pPr>
      <w:r w:rsidRPr="00B02247">
        <w:t>61.</w:t>
      </w:r>
      <w:r w:rsidRPr="00B02247">
        <w:tab/>
        <w:t>Article</w:t>
      </w:r>
      <w:r w:rsidR="005B2A41">
        <w:t xml:space="preserve"> </w:t>
      </w:r>
      <w:r w:rsidRPr="00B02247">
        <w:t>94</w:t>
      </w:r>
      <w:r w:rsidR="005B2A41">
        <w:t xml:space="preserve"> </w:t>
      </w:r>
      <w:r w:rsidRPr="00B02247">
        <w:t>(4)</w:t>
      </w:r>
      <w:r w:rsidR="005B2A41">
        <w:t xml:space="preserve"> </w:t>
      </w:r>
      <w:r w:rsidRPr="00B02247">
        <w:t>of</w:t>
      </w:r>
      <w:r w:rsidR="005B2A41">
        <w:t xml:space="preserve"> </w:t>
      </w:r>
      <w:r w:rsidRPr="00B02247">
        <w:t>the</w:t>
      </w:r>
      <w:r w:rsidR="005B2A41">
        <w:t xml:space="preserve"> </w:t>
      </w:r>
      <w:r w:rsidRPr="00B02247">
        <w:t>Constitution</w:t>
      </w:r>
      <w:r w:rsidR="005B2A41">
        <w:t xml:space="preserve"> </w:t>
      </w:r>
      <w:r w:rsidRPr="00B02247">
        <w:t>explicitly</w:t>
      </w:r>
      <w:r w:rsidR="005B2A41">
        <w:t xml:space="preserve"> </w:t>
      </w:r>
      <w:r w:rsidRPr="00B02247">
        <w:t>prescribes</w:t>
      </w:r>
      <w:r w:rsidR="005B2A41">
        <w:t xml:space="preserve"> </w:t>
      </w:r>
      <w:r w:rsidRPr="00B02247">
        <w:t>that</w:t>
      </w:r>
      <w:r w:rsidR="005B2A41">
        <w:t xml:space="preserve"> </w:t>
      </w:r>
      <w:r w:rsidRPr="00B02247">
        <w:t>judgements</w:t>
      </w:r>
      <w:r w:rsidR="005B2A41">
        <w:t xml:space="preserve"> </w:t>
      </w:r>
      <w:r w:rsidRPr="00B02247">
        <w:t>are</w:t>
      </w:r>
      <w:r w:rsidR="005B2A41">
        <w:t xml:space="preserve"> </w:t>
      </w:r>
      <w:r w:rsidRPr="00B02247">
        <w:t>subject</w:t>
      </w:r>
      <w:r w:rsidR="005B2A41">
        <w:t xml:space="preserve"> </w:t>
      </w:r>
      <w:r w:rsidRPr="00B02247">
        <w:t>to</w:t>
      </w:r>
      <w:r w:rsidR="005B2A41">
        <w:t xml:space="preserve"> </w:t>
      </w:r>
      <w:r w:rsidRPr="00B02247">
        <w:t>compulsory</w:t>
      </w:r>
      <w:r w:rsidR="005B2A41">
        <w:t xml:space="preserve"> </w:t>
      </w:r>
      <w:r w:rsidRPr="00B02247">
        <w:t>enforcement</w:t>
      </w:r>
      <w:r w:rsidR="005B2A41">
        <w:t xml:space="preserve"> </w:t>
      </w:r>
      <w:r w:rsidRPr="00B02247">
        <w:t>also</w:t>
      </w:r>
      <w:r w:rsidR="005B2A41">
        <w:t xml:space="preserve"> </w:t>
      </w:r>
      <w:r w:rsidRPr="00B02247">
        <w:t>against</w:t>
      </w:r>
      <w:r w:rsidR="005B2A41">
        <w:t xml:space="preserve"> </w:t>
      </w:r>
      <w:r w:rsidRPr="00B02247">
        <w:t>the</w:t>
      </w:r>
      <w:r w:rsidR="005B2A41">
        <w:t xml:space="preserve"> </w:t>
      </w:r>
      <w:r w:rsidRPr="00B02247">
        <w:t>public</w:t>
      </w:r>
      <w:r w:rsidR="005B2A41">
        <w:t xml:space="preserve"> </w:t>
      </w:r>
      <w:r w:rsidRPr="00B02247">
        <w:t>sector,</w:t>
      </w:r>
      <w:r w:rsidR="005B2A41">
        <w:t xml:space="preserve"> </w:t>
      </w:r>
      <w:r w:rsidRPr="00B02247">
        <w:t>local</w:t>
      </w:r>
      <w:r w:rsidR="005B2A41">
        <w:t xml:space="preserve"> </w:t>
      </w:r>
      <w:r w:rsidRPr="00B02247">
        <w:t>government</w:t>
      </w:r>
      <w:r w:rsidR="005B2A41">
        <w:t xml:space="preserve"> </w:t>
      </w:r>
      <w:r w:rsidRPr="00B02247">
        <w:t>agencies</w:t>
      </w:r>
      <w:r w:rsidR="005B2A41">
        <w:t xml:space="preserve"> </w:t>
      </w:r>
      <w:r w:rsidRPr="00B02247">
        <w:t>and</w:t>
      </w:r>
      <w:r w:rsidR="005B2A41">
        <w:t xml:space="preserve"> </w:t>
      </w:r>
      <w:r w:rsidRPr="00B02247">
        <w:t>public</w:t>
      </w:r>
      <w:r w:rsidR="005B2A41">
        <w:t xml:space="preserve"> </w:t>
      </w:r>
      <w:r w:rsidRPr="00B02247">
        <w:t>law</w:t>
      </w:r>
      <w:r w:rsidR="005B2A41">
        <w:t xml:space="preserve"> </w:t>
      </w:r>
      <w:r w:rsidRPr="00B02247">
        <w:t>legal</w:t>
      </w:r>
      <w:r w:rsidR="005B2A41">
        <w:t xml:space="preserve"> </w:t>
      </w:r>
      <w:r w:rsidRPr="00B02247">
        <w:t>persons,</w:t>
      </w:r>
      <w:r w:rsidR="005B2A41">
        <w:t xml:space="preserve"> </w:t>
      </w:r>
      <w:r w:rsidRPr="00B02247">
        <w:t>as</w:t>
      </w:r>
      <w:r w:rsidR="005B2A41">
        <w:t xml:space="preserve"> </w:t>
      </w:r>
      <w:r w:rsidRPr="00B02247">
        <w:t>specified</w:t>
      </w:r>
      <w:r w:rsidR="005B2A41">
        <w:t xml:space="preserve"> </w:t>
      </w:r>
      <w:r w:rsidRPr="00B02247">
        <w:t>by</w:t>
      </w:r>
      <w:r w:rsidR="005B2A41">
        <w:t xml:space="preserve"> </w:t>
      </w:r>
      <w:r w:rsidRPr="00B02247">
        <w:t>law.</w:t>
      </w:r>
      <w:r w:rsidR="005B2A41">
        <w:t xml:space="preserve"> </w:t>
      </w:r>
    </w:p>
    <w:p w:rsidR="00F233AB" w:rsidRPr="00B02247" w:rsidRDefault="00F233AB" w:rsidP="00E1307D">
      <w:pPr>
        <w:pStyle w:val="SingleTxtG"/>
      </w:pPr>
      <w:r w:rsidRPr="00B02247">
        <w:t>62.</w:t>
      </w:r>
      <w:r w:rsidRPr="00B02247">
        <w:tab/>
        <w:t>Under</w:t>
      </w:r>
      <w:r w:rsidR="005B2A41">
        <w:t xml:space="preserve"> </w:t>
      </w:r>
      <w:r w:rsidRPr="00B02247">
        <w:t>Law</w:t>
      </w:r>
      <w:r w:rsidR="005B2A41">
        <w:t xml:space="preserve"> </w:t>
      </w:r>
      <w:r w:rsidRPr="00B02247">
        <w:t>3068/2002,</w:t>
      </w:r>
      <w:r w:rsidR="005B2A41">
        <w:t xml:space="preserve"> </w:t>
      </w:r>
      <w:r w:rsidRPr="00B02247">
        <w:t>persons</w:t>
      </w:r>
      <w:r w:rsidR="005B2A41">
        <w:t xml:space="preserve"> </w:t>
      </w:r>
      <w:r w:rsidRPr="00B02247">
        <w:t>alleging</w:t>
      </w:r>
      <w:r w:rsidR="005B2A41">
        <w:t xml:space="preserve"> </w:t>
      </w:r>
      <w:r w:rsidRPr="00B02247">
        <w:t>a</w:t>
      </w:r>
      <w:r w:rsidR="005B2A41">
        <w:t xml:space="preserve"> </w:t>
      </w:r>
      <w:r w:rsidRPr="00B02247">
        <w:t>delay,</w:t>
      </w:r>
      <w:r w:rsidR="005B2A41">
        <w:t xml:space="preserve"> </w:t>
      </w:r>
      <w:r w:rsidRPr="00B02247">
        <w:t>an</w:t>
      </w:r>
      <w:r w:rsidR="005B2A41">
        <w:t xml:space="preserve"> </w:t>
      </w:r>
      <w:r w:rsidRPr="00B02247">
        <w:t>omission,</w:t>
      </w:r>
      <w:r w:rsidR="005B2A41">
        <w:t xml:space="preserve"> </w:t>
      </w:r>
      <w:r w:rsidRPr="00B02247">
        <w:t>a</w:t>
      </w:r>
      <w:r w:rsidR="005B2A41">
        <w:t xml:space="preserve"> </w:t>
      </w:r>
      <w:r w:rsidRPr="00B02247">
        <w:t>refusal</w:t>
      </w:r>
      <w:r w:rsidR="005B2A41">
        <w:t xml:space="preserve"> </w:t>
      </w:r>
      <w:r w:rsidRPr="00B02247">
        <w:t>of</w:t>
      </w:r>
      <w:r w:rsidR="005B2A41">
        <w:t xml:space="preserve"> </w:t>
      </w:r>
      <w:r w:rsidRPr="00B02247">
        <w:t>compliance</w:t>
      </w:r>
      <w:r w:rsidR="005B2A41">
        <w:t xml:space="preserve"> </w:t>
      </w:r>
      <w:r w:rsidRPr="00B02247">
        <w:t>or</w:t>
      </w:r>
      <w:r w:rsidR="005B2A41">
        <w:t xml:space="preserve"> </w:t>
      </w:r>
      <w:r w:rsidRPr="00B02247">
        <w:t>defective</w:t>
      </w:r>
      <w:r w:rsidR="005B2A41">
        <w:t xml:space="preserve"> </w:t>
      </w:r>
      <w:r w:rsidRPr="00B02247">
        <w:t>compliance</w:t>
      </w:r>
      <w:r w:rsidR="005B2A41">
        <w:t xml:space="preserve"> </w:t>
      </w:r>
      <w:r w:rsidRPr="00B02247">
        <w:t>of</w:t>
      </w:r>
      <w:r w:rsidR="005B2A41">
        <w:t xml:space="preserve"> </w:t>
      </w:r>
      <w:r w:rsidRPr="00B02247">
        <w:t>the</w:t>
      </w:r>
      <w:r w:rsidR="005B2A41">
        <w:t xml:space="preserve"> </w:t>
      </w:r>
      <w:r w:rsidRPr="00B02247">
        <w:t>public</w:t>
      </w:r>
      <w:r w:rsidR="005B2A41">
        <w:t xml:space="preserve"> </w:t>
      </w:r>
      <w:r w:rsidRPr="00B02247">
        <w:t>administration</w:t>
      </w:r>
      <w:r w:rsidR="005B2A41">
        <w:t xml:space="preserve"> </w:t>
      </w:r>
      <w:r w:rsidRPr="00B02247">
        <w:t>with</w:t>
      </w:r>
      <w:r w:rsidR="005B2A41">
        <w:t xml:space="preserve"> </w:t>
      </w:r>
      <w:r w:rsidRPr="00B02247">
        <w:t>a</w:t>
      </w:r>
      <w:r w:rsidR="005B2A41">
        <w:t xml:space="preserve"> </w:t>
      </w:r>
      <w:r w:rsidRPr="00B02247">
        <w:t>judgment</w:t>
      </w:r>
      <w:r w:rsidR="005B2A41">
        <w:t xml:space="preserve"> </w:t>
      </w:r>
      <w:r w:rsidRPr="00B02247">
        <w:t>rendered</w:t>
      </w:r>
      <w:r w:rsidR="005B2A41">
        <w:t xml:space="preserve"> </w:t>
      </w:r>
      <w:r w:rsidRPr="00B02247">
        <w:t>against</w:t>
      </w:r>
      <w:r w:rsidR="005B2A41">
        <w:t xml:space="preserve"> </w:t>
      </w:r>
      <w:r w:rsidRPr="00B02247">
        <w:t>the</w:t>
      </w:r>
      <w:r w:rsidR="005B2A41">
        <w:t xml:space="preserve"> </w:t>
      </w:r>
      <w:r w:rsidRPr="00B02247">
        <w:t>State</w:t>
      </w:r>
      <w:r w:rsidR="005B2A41">
        <w:t xml:space="preserve"> </w:t>
      </w:r>
      <w:r w:rsidRPr="00B02247">
        <w:t>may</w:t>
      </w:r>
      <w:r w:rsidR="005B2A41">
        <w:t xml:space="preserve"> </w:t>
      </w:r>
      <w:r w:rsidRPr="00B02247">
        <w:t>seize</w:t>
      </w:r>
      <w:r w:rsidR="005B2A41">
        <w:t xml:space="preserve"> </w:t>
      </w:r>
      <w:r w:rsidRPr="00B02247">
        <w:t>three-member</w:t>
      </w:r>
      <w:r w:rsidR="005B2A41">
        <w:t xml:space="preserve"> </w:t>
      </w:r>
      <w:r w:rsidRPr="00B02247">
        <w:t>Judicial</w:t>
      </w:r>
      <w:r w:rsidR="005B2A41">
        <w:t xml:space="preserve"> </w:t>
      </w:r>
      <w:r w:rsidRPr="00B02247">
        <w:t>Councils</w:t>
      </w:r>
      <w:r w:rsidR="005B2A41">
        <w:t xml:space="preserve"> </w:t>
      </w:r>
      <w:r w:rsidRPr="00B02247">
        <w:t>forming</w:t>
      </w:r>
      <w:r w:rsidR="005B2A41">
        <w:t xml:space="preserve"> </w:t>
      </w:r>
      <w:r w:rsidRPr="00B02247">
        <w:t>part</w:t>
      </w:r>
      <w:r w:rsidR="005B2A41">
        <w:t xml:space="preserve"> </w:t>
      </w:r>
      <w:r w:rsidRPr="00B02247">
        <w:t>of</w:t>
      </w:r>
      <w:r w:rsidR="005B2A41">
        <w:t xml:space="preserve"> </w:t>
      </w:r>
      <w:r w:rsidRPr="00B02247">
        <w:t>the</w:t>
      </w:r>
      <w:r w:rsidR="005B2A41">
        <w:t xml:space="preserve"> </w:t>
      </w:r>
      <w:r w:rsidRPr="00B02247">
        <w:t>Special</w:t>
      </w:r>
      <w:r w:rsidR="005B2A41">
        <w:t xml:space="preserve"> </w:t>
      </w:r>
      <w:r w:rsidRPr="00B02247">
        <w:t>Supreme</w:t>
      </w:r>
      <w:r w:rsidR="005B2A41">
        <w:t xml:space="preserve"> </w:t>
      </w:r>
      <w:r w:rsidRPr="00B02247">
        <w:t>Court,</w:t>
      </w:r>
      <w:r w:rsidR="005B2A41">
        <w:t xml:space="preserve"> </w:t>
      </w:r>
      <w:r w:rsidRPr="00B02247">
        <w:t>the</w:t>
      </w:r>
      <w:r w:rsidR="005B2A41">
        <w:t xml:space="preserve"> </w:t>
      </w:r>
      <w:r w:rsidRPr="00B02247">
        <w:t>Council</w:t>
      </w:r>
      <w:r w:rsidR="005B2A41">
        <w:t xml:space="preserve"> </w:t>
      </w:r>
      <w:r w:rsidRPr="00B02247">
        <w:t>of</w:t>
      </w:r>
      <w:r w:rsidR="005B2A41">
        <w:t xml:space="preserve"> </w:t>
      </w:r>
      <w:r w:rsidRPr="00B02247">
        <w:t>State,</w:t>
      </w:r>
      <w:r w:rsidR="005B2A41">
        <w:t xml:space="preserve"> </w:t>
      </w:r>
      <w:r w:rsidRPr="00B02247">
        <w:t>the</w:t>
      </w:r>
      <w:r w:rsidR="005B2A41">
        <w:t xml:space="preserve"> </w:t>
      </w:r>
      <w:r w:rsidRPr="00B02247">
        <w:t>Supreme</w:t>
      </w:r>
      <w:r w:rsidR="005B2A41">
        <w:t xml:space="preserve"> </w:t>
      </w:r>
      <w:r w:rsidRPr="00B02247">
        <w:t>Civil</w:t>
      </w:r>
      <w:r w:rsidR="005B2A41">
        <w:t xml:space="preserve"> </w:t>
      </w:r>
      <w:r w:rsidRPr="00B02247">
        <w:t>and</w:t>
      </w:r>
      <w:r w:rsidR="005B2A41">
        <w:t xml:space="preserve"> </w:t>
      </w:r>
      <w:r w:rsidRPr="00B02247">
        <w:t>Criminal</w:t>
      </w:r>
      <w:r w:rsidR="005B2A41">
        <w:t xml:space="preserve"> </w:t>
      </w:r>
      <w:r w:rsidRPr="00B02247">
        <w:t>Court,</w:t>
      </w:r>
      <w:r w:rsidR="005B2A41">
        <w:t xml:space="preserve"> </w:t>
      </w:r>
      <w:r w:rsidRPr="00B02247">
        <w:t>the</w:t>
      </w:r>
      <w:r w:rsidR="005B2A41">
        <w:t xml:space="preserve"> </w:t>
      </w:r>
      <w:r w:rsidRPr="00B02247">
        <w:t>Court</w:t>
      </w:r>
      <w:r w:rsidR="005B2A41">
        <w:t xml:space="preserve"> </w:t>
      </w:r>
      <w:r w:rsidRPr="00B02247">
        <w:t>of</w:t>
      </w:r>
      <w:r w:rsidR="005B2A41">
        <w:t xml:space="preserve"> </w:t>
      </w:r>
      <w:r w:rsidRPr="00B02247">
        <w:t>Auditors,</w:t>
      </w:r>
      <w:r w:rsidR="005B2A41">
        <w:t xml:space="preserve"> </w:t>
      </w:r>
      <w:r w:rsidRPr="00B02247">
        <w:t>the</w:t>
      </w:r>
      <w:r w:rsidR="005B2A41">
        <w:t xml:space="preserve"> </w:t>
      </w:r>
      <w:r w:rsidRPr="00B02247">
        <w:t>Administrative</w:t>
      </w:r>
      <w:r w:rsidR="005B2A41">
        <w:t xml:space="preserve"> </w:t>
      </w:r>
      <w:r w:rsidRPr="00B02247">
        <w:t>Courts</w:t>
      </w:r>
      <w:r w:rsidR="005B2A41">
        <w:t xml:space="preserve"> </w:t>
      </w:r>
      <w:r w:rsidRPr="00B02247">
        <w:t>and</w:t>
      </w:r>
      <w:r w:rsidR="005B2A41">
        <w:t xml:space="preserve"> </w:t>
      </w:r>
      <w:r w:rsidRPr="00B02247">
        <w:t>the</w:t>
      </w:r>
      <w:r w:rsidR="005B2A41">
        <w:t xml:space="preserve"> </w:t>
      </w:r>
      <w:r w:rsidRPr="00B02247">
        <w:t>other</w:t>
      </w:r>
      <w:r w:rsidR="005B2A41">
        <w:t xml:space="preserve"> </w:t>
      </w:r>
      <w:r w:rsidRPr="00B02247">
        <w:t>special</w:t>
      </w:r>
      <w:r w:rsidR="005B2A41">
        <w:t xml:space="preserve"> </w:t>
      </w:r>
      <w:r w:rsidRPr="00B02247">
        <w:t>courts.</w:t>
      </w:r>
      <w:r w:rsidR="005B2A41">
        <w:t xml:space="preserve"> </w:t>
      </w:r>
      <w:r w:rsidRPr="00B02247">
        <w:t>In</w:t>
      </w:r>
      <w:r w:rsidR="005B2A41">
        <w:t xml:space="preserve"> </w:t>
      </w:r>
      <w:r w:rsidRPr="00B02247">
        <w:t>case</w:t>
      </w:r>
      <w:r w:rsidR="005B2A41">
        <w:t xml:space="preserve"> </w:t>
      </w:r>
      <w:r w:rsidRPr="00B02247">
        <w:t>unjustified</w:t>
      </w:r>
      <w:r w:rsidR="005B2A41">
        <w:t xml:space="preserve"> </w:t>
      </w:r>
      <w:r w:rsidRPr="00B02247">
        <w:t>non-compliance</w:t>
      </w:r>
      <w:r w:rsidR="005B2A41">
        <w:t xml:space="preserve"> </w:t>
      </w:r>
      <w:r w:rsidRPr="00B02247">
        <w:t>has</w:t>
      </w:r>
      <w:r w:rsidR="005B2A41">
        <w:t xml:space="preserve"> </w:t>
      </w:r>
      <w:r w:rsidRPr="00B02247">
        <w:t>been</w:t>
      </w:r>
      <w:r w:rsidR="005B2A41">
        <w:t xml:space="preserve"> </w:t>
      </w:r>
      <w:r w:rsidRPr="00B02247">
        <w:t>established,</w:t>
      </w:r>
      <w:r w:rsidR="005B2A41">
        <w:t xml:space="preserve"> </w:t>
      </w:r>
      <w:r w:rsidRPr="00B02247">
        <w:t>the</w:t>
      </w:r>
      <w:r w:rsidR="005B2A41">
        <w:t xml:space="preserve"> </w:t>
      </w:r>
      <w:r w:rsidRPr="00B02247">
        <w:t>abovementioned</w:t>
      </w:r>
      <w:r w:rsidR="005B2A41">
        <w:t xml:space="preserve"> </w:t>
      </w:r>
      <w:r w:rsidRPr="00B02247">
        <w:t>Councils</w:t>
      </w:r>
      <w:r w:rsidR="005B2A41">
        <w:t xml:space="preserve"> </w:t>
      </w:r>
      <w:r w:rsidRPr="00B02247">
        <w:t>call</w:t>
      </w:r>
      <w:r w:rsidR="005B2A41">
        <w:t xml:space="preserve"> </w:t>
      </w:r>
      <w:r w:rsidRPr="00B02247">
        <w:t>the</w:t>
      </w:r>
      <w:r w:rsidR="005B2A41">
        <w:t xml:space="preserve"> </w:t>
      </w:r>
      <w:r w:rsidRPr="00B02247">
        <w:t>responsible</w:t>
      </w:r>
      <w:r w:rsidR="005B2A41">
        <w:t xml:space="preserve"> </w:t>
      </w:r>
      <w:r w:rsidRPr="00B02247">
        <w:t>authority</w:t>
      </w:r>
      <w:r w:rsidR="005B2A41">
        <w:t xml:space="preserve"> </w:t>
      </w:r>
      <w:r w:rsidRPr="00B02247">
        <w:t>to</w:t>
      </w:r>
      <w:r w:rsidR="005B2A41">
        <w:t xml:space="preserve"> </w:t>
      </w:r>
      <w:r w:rsidRPr="00B02247">
        <w:t>comply</w:t>
      </w:r>
      <w:r w:rsidR="005B2A41">
        <w:t xml:space="preserve"> </w:t>
      </w:r>
      <w:r w:rsidRPr="00B02247">
        <w:t>within</w:t>
      </w:r>
      <w:r w:rsidR="005B2A41">
        <w:t xml:space="preserve"> </w:t>
      </w:r>
      <w:r w:rsidRPr="00B02247">
        <w:t>a</w:t>
      </w:r>
      <w:r w:rsidR="005B2A41">
        <w:t xml:space="preserve"> </w:t>
      </w:r>
      <w:r w:rsidRPr="00B02247">
        <w:t>reasonable</w:t>
      </w:r>
      <w:r w:rsidR="005B2A41">
        <w:t xml:space="preserve"> </w:t>
      </w:r>
      <w:r w:rsidRPr="00B02247">
        <w:t>time.</w:t>
      </w:r>
      <w:r w:rsidR="005B2A41">
        <w:t xml:space="preserve"> </w:t>
      </w:r>
      <w:r w:rsidRPr="00B02247">
        <w:t>In</w:t>
      </w:r>
      <w:r w:rsidR="005B2A41">
        <w:t xml:space="preserve"> </w:t>
      </w:r>
      <w:r w:rsidRPr="00B02247">
        <w:t>case</w:t>
      </w:r>
      <w:r w:rsidR="005B2A41">
        <w:t xml:space="preserve"> </w:t>
      </w:r>
      <w:r w:rsidRPr="00B02247">
        <w:t>failure</w:t>
      </w:r>
      <w:r w:rsidR="005B2A41">
        <w:t xml:space="preserve"> </w:t>
      </w:r>
      <w:r w:rsidRPr="00B02247">
        <w:t>to</w:t>
      </w:r>
      <w:r w:rsidR="005B2A41">
        <w:t xml:space="preserve"> </w:t>
      </w:r>
      <w:r w:rsidRPr="00B02247">
        <w:t>comply</w:t>
      </w:r>
      <w:r w:rsidR="005B2A41">
        <w:t xml:space="preserve"> </w:t>
      </w:r>
      <w:r w:rsidRPr="00B02247">
        <w:t>persists,</w:t>
      </w:r>
      <w:r w:rsidR="005B2A41">
        <w:t xml:space="preserve"> </w:t>
      </w:r>
      <w:r w:rsidRPr="00B02247">
        <w:t>the</w:t>
      </w:r>
      <w:r w:rsidR="005B2A41">
        <w:t xml:space="preserve"> </w:t>
      </w:r>
      <w:r w:rsidRPr="00B02247">
        <w:t>Judicial</w:t>
      </w:r>
      <w:r w:rsidR="005B2A41">
        <w:t xml:space="preserve"> </w:t>
      </w:r>
      <w:r w:rsidRPr="00B02247">
        <w:t>Councils</w:t>
      </w:r>
      <w:r w:rsidR="005B2A41">
        <w:t xml:space="preserve"> </w:t>
      </w:r>
      <w:r w:rsidRPr="00B02247">
        <w:t>impose</w:t>
      </w:r>
      <w:r w:rsidR="005B2A41">
        <w:t xml:space="preserve"> </w:t>
      </w:r>
      <w:r w:rsidRPr="00B02247">
        <w:t>a</w:t>
      </w:r>
      <w:r w:rsidR="005B2A41">
        <w:t xml:space="preserve"> </w:t>
      </w:r>
      <w:r w:rsidRPr="00B02247">
        <w:t>pecuniary</w:t>
      </w:r>
      <w:r w:rsidR="005B2A41">
        <w:t xml:space="preserve"> </w:t>
      </w:r>
      <w:r w:rsidRPr="00B02247">
        <w:t>sanction,</w:t>
      </w:r>
      <w:r w:rsidR="005B2A41">
        <w:t xml:space="preserve"> </w:t>
      </w:r>
      <w:r w:rsidRPr="00B02247">
        <w:t>to</w:t>
      </w:r>
      <w:r w:rsidR="005B2A41">
        <w:t xml:space="preserve"> </w:t>
      </w:r>
      <w:r w:rsidRPr="00B02247">
        <w:t>be</w:t>
      </w:r>
      <w:r w:rsidR="005B2A41">
        <w:t xml:space="preserve"> </w:t>
      </w:r>
      <w:r w:rsidRPr="00B02247">
        <w:t>paid</w:t>
      </w:r>
      <w:r w:rsidR="005B2A41">
        <w:t xml:space="preserve"> </w:t>
      </w:r>
      <w:r w:rsidRPr="00B02247">
        <w:t>to</w:t>
      </w:r>
      <w:r w:rsidR="005B2A41">
        <w:t xml:space="preserve"> </w:t>
      </w:r>
      <w:r w:rsidRPr="00B02247">
        <w:t>the</w:t>
      </w:r>
      <w:r w:rsidR="005B2A41">
        <w:t xml:space="preserve"> </w:t>
      </w:r>
      <w:r w:rsidRPr="00B02247">
        <w:t>aggrieved</w:t>
      </w:r>
      <w:r w:rsidR="005B2A41">
        <w:t xml:space="preserve"> </w:t>
      </w:r>
      <w:r w:rsidRPr="00B02247">
        <w:t>person.</w:t>
      </w:r>
    </w:p>
    <w:p w:rsidR="00F233AB" w:rsidRPr="00B02247" w:rsidRDefault="00F233AB" w:rsidP="00E1307D">
      <w:pPr>
        <w:pStyle w:val="SingleTxtG"/>
      </w:pPr>
      <w:r w:rsidRPr="00B02247">
        <w:t>63.</w:t>
      </w:r>
      <w:r w:rsidRPr="00B02247">
        <w:tab/>
        <w:t>In</w:t>
      </w:r>
      <w:r w:rsidR="005B2A41">
        <w:t xml:space="preserve"> </w:t>
      </w:r>
      <w:r w:rsidRPr="00B02247">
        <w:t>the</w:t>
      </w:r>
      <w:r w:rsidR="005B2A41">
        <w:t xml:space="preserve"> </w:t>
      </w:r>
      <w:r w:rsidRPr="00B02247">
        <w:t>same</w:t>
      </w:r>
      <w:r w:rsidR="005B2A41">
        <w:t xml:space="preserve"> </w:t>
      </w:r>
      <w:r w:rsidRPr="00B02247">
        <w:t>vein,</w:t>
      </w:r>
      <w:r w:rsidR="005B2A41">
        <w:t xml:space="preserve"> </w:t>
      </w:r>
      <w:r w:rsidRPr="00B02247">
        <w:t>Article</w:t>
      </w:r>
      <w:r w:rsidR="005B2A41">
        <w:t xml:space="preserve"> </w:t>
      </w:r>
      <w:r w:rsidRPr="00B02247">
        <w:t>95</w:t>
      </w:r>
      <w:r w:rsidR="005B2A41">
        <w:t xml:space="preserve"> </w:t>
      </w:r>
      <w:r w:rsidRPr="00B02247">
        <w:t>(5)</w:t>
      </w:r>
      <w:r w:rsidR="005B2A41">
        <w:t xml:space="preserve"> </w:t>
      </w:r>
      <w:r w:rsidRPr="00B02247">
        <w:t>of</w:t>
      </w:r>
      <w:r w:rsidR="005B2A41">
        <w:t xml:space="preserve"> </w:t>
      </w:r>
      <w:r w:rsidRPr="00B02247">
        <w:t>the</w:t>
      </w:r>
      <w:r w:rsidR="005B2A41">
        <w:t xml:space="preserve"> </w:t>
      </w:r>
      <w:r w:rsidRPr="00B02247">
        <w:t>Constitution</w:t>
      </w:r>
      <w:r w:rsidR="005B2A41">
        <w:t xml:space="preserve"> </w:t>
      </w:r>
      <w:r w:rsidRPr="00B02247">
        <w:t>provides</w:t>
      </w:r>
      <w:r w:rsidR="005B2A41">
        <w:t xml:space="preserve"> </w:t>
      </w:r>
      <w:r w:rsidRPr="00B02247">
        <w:t>that</w:t>
      </w:r>
      <w:r w:rsidR="005B2A41">
        <w:t xml:space="preserve"> </w:t>
      </w:r>
      <w:r w:rsidRPr="00B02247">
        <w:t>the</w:t>
      </w:r>
      <w:r w:rsidR="005B2A41">
        <w:t xml:space="preserve"> </w:t>
      </w:r>
      <w:r w:rsidRPr="00B02247">
        <w:t>public</w:t>
      </w:r>
      <w:r w:rsidR="005B2A41">
        <w:t xml:space="preserve"> </w:t>
      </w:r>
      <w:r w:rsidRPr="00B02247">
        <w:t>administration</w:t>
      </w:r>
      <w:r w:rsidR="005B2A41">
        <w:t xml:space="preserve"> </w:t>
      </w:r>
      <w:r w:rsidRPr="00B02247">
        <w:t>is</w:t>
      </w:r>
      <w:r w:rsidR="005B2A41">
        <w:t xml:space="preserve"> </w:t>
      </w:r>
      <w:r w:rsidRPr="00B02247">
        <w:t>bound</w:t>
      </w:r>
      <w:r w:rsidR="005B2A41">
        <w:t xml:space="preserve"> </w:t>
      </w:r>
      <w:r w:rsidRPr="00B02247">
        <w:t>to</w:t>
      </w:r>
      <w:r w:rsidR="005B2A41">
        <w:t xml:space="preserve"> </w:t>
      </w:r>
      <w:r w:rsidRPr="00B02247">
        <w:t>comply</w:t>
      </w:r>
      <w:r w:rsidR="005B2A41">
        <w:t xml:space="preserve"> </w:t>
      </w:r>
      <w:r w:rsidRPr="00B02247">
        <w:t>with</w:t>
      </w:r>
      <w:r w:rsidR="005B2A41">
        <w:t xml:space="preserve"> </w:t>
      </w:r>
      <w:r w:rsidRPr="00B02247">
        <w:t>judicial</w:t>
      </w:r>
      <w:r w:rsidR="005B2A41">
        <w:t xml:space="preserve"> </w:t>
      </w:r>
      <w:r w:rsidRPr="00B02247">
        <w:t>decisions</w:t>
      </w:r>
      <w:r w:rsidR="005B2A41">
        <w:t xml:space="preserve"> </w:t>
      </w:r>
      <w:r w:rsidRPr="00B02247">
        <w:t>and</w:t>
      </w:r>
      <w:r w:rsidR="005B2A41">
        <w:t xml:space="preserve"> </w:t>
      </w:r>
      <w:r w:rsidRPr="00B02247">
        <w:t>that</w:t>
      </w:r>
      <w:r w:rsidR="005B2A41">
        <w:t xml:space="preserve"> </w:t>
      </w:r>
      <w:r w:rsidRPr="00B02247">
        <w:t>a</w:t>
      </w:r>
      <w:r w:rsidR="005B2A41">
        <w:t xml:space="preserve"> </w:t>
      </w:r>
      <w:r w:rsidRPr="00B02247">
        <w:t>breach</w:t>
      </w:r>
      <w:r w:rsidR="005B2A41">
        <w:t xml:space="preserve"> </w:t>
      </w:r>
      <w:r w:rsidRPr="00B02247">
        <w:t>of</w:t>
      </w:r>
      <w:r w:rsidR="005B2A41">
        <w:t xml:space="preserve"> </w:t>
      </w:r>
      <w:r w:rsidRPr="00B02247">
        <w:t>such</w:t>
      </w:r>
      <w:r w:rsidR="005B2A41">
        <w:t xml:space="preserve"> </w:t>
      </w:r>
      <w:r w:rsidRPr="00B02247">
        <w:t>obligation</w:t>
      </w:r>
      <w:r w:rsidR="005B2A41">
        <w:t xml:space="preserve"> </w:t>
      </w:r>
      <w:r w:rsidRPr="00B02247">
        <w:t>shall</w:t>
      </w:r>
      <w:r w:rsidR="005B2A41">
        <w:t xml:space="preserve"> </w:t>
      </w:r>
      <w:r w:rsidRPr="00B02247">
        <w:t>render</w:t>
      </w:r>
      <w:r w:rsidR="005B2A41">
        <w:t xml:space="preserve"> </w:t>
      </w:r>
      <w:r w:rsidRPr="00B02247">
        <w:t>liable</w:t>
      </w:r>
      <w:r w:rsidR="005B2A41">
        <w:t xml:space="preserve"> </w:t>
      </w:r>
      <w:r w:rsidRPr="00B02247">
        <w:t>the</w:t>
      </w:r>
      <w:r w:rsidR="005B2A41">
        <w:t xml:space="preserve"> </w:t>
      </w:r>
      <w:r w:rsidRPr="00B02247">
        <w:t>responsible</w:t>
      </w:r>
      <w:r w:rsidR="005B2A41">
        <w:t xml:space="preserve"> </w:t>
      </w:r>
      <w:r w:rsidRPr="00B02247">
        <w:t>agent.</w:t>
      </w:r>
      <w:r w:rsidR="005B2A41">
        <w:t xml:space="preserve"> </w:t>
      </w:r>
    </w:p>
    <w:p w:rsidR="00F233AB" w:rsidRPr="00B02247" w:rsidRDefault="00F233AB" w:rsidP="00E1307D">
      <w:pPr>
        <w:pStyle w:val="SingleTxtG"/>
      </w:pPr>
      <w:r w:rsidRPr="00B02247">
        <w:t>64.</w:t>
      </w:r>
      <w:r w:rsidRPr="00B02247">
        <w:tab/>
        <w:t>It</w:t>
      </w:r>
      <w:r w:rsidR="005B2A41">
        <w:t xml:space="preserve"> </w:t>
      </w:r>
      <w:r w:rsidRPr="00B02247">
        <w:t>is</w:t>
      </w:r>
      <w:r w:rsidR="005B2A41">
        <w:t xml:space="preserve"> </w:t>
      </w:r>
      <w:r w:rsidRPr="00B02247">
        <w:t>to</w:t>
      </w:r>
      <w:r w:rsidR="005B2A41">
        <w:t xml:space="preserve"> </w:t>
      </w:r>
      <w:r w:rsidRPr="00B02247">
        <w:t>be</w:t>
      </w:r>
      <w:r w:rsidR="005B2A41">
        <w:t xml:space="preserve"> </w:t>
      </w:r>
      <w:r w:rsidRPr="00B02247">
        <w:t>noted</w:t>
      </w:r>
      <w:r w:rsidR="005B2A41">
        <w:t xml:space="preserve"> </w:t>
      </w:r>
      <w:r w:rsidRPr="00B02247">
        <w:t>that</w:t>
      </w:r>
      <w:r w:rsidR="005B2A41">
        <w:t xml:space="preserve"> </w:t>
      </w:r>
      <w:r w:rsidRPr="00B02247">
        <w:t>article</w:t>
      </w:r>
      <w:r w:rsidR="005B2A41">
        <w:t xml:space="preserve"> </w:t>
      </w:r>
      <w:r w:rsidRPr="00B02247">
        <w:t>198</w:t>
      </w:r>
      <w:r w:rsidR="005B2A41">
        <w:t xml:space="preserve"> </w:t>
      </w:r>
      <w:r w:rsidRPr="00B02247">
        <w:t>of</w:t>
      </w:r>
      <w:r w:rsidR="005B2A41">
        <w:t xml:space="preserve"> </w:t>
      </w:r>
      <w:r w:rsidRPr="00B02247">
        <w:t>the</w:t>
      </w:r>
      <w:r w:rsidR="005B2A41">
        <w:t xml:space="preserve"> </w:t>
      </w:r>
      <w:r w:rsidRPr="00B02247">
        <w:t>Code</w:t>
      </w:r>
      <w:r w:rsidR="005B2A41">
        <w:t xml:space="preserve"> </w:t>
      </w:r>
      <w:r w:rsidRPr="00B02247">
        <w:t>of</w:t>
      </w:r>
      <w:r w:rsidR="005B2A41">
        <w:t xml:space="preserve"> </w:t>
      </w:r>
      <w:r w:rsidRPr="00B02247">
        <w:t>Administrative</w:t>
      </w:r>
      <w:r w:rsidR="005B2A41">
        <w:t xml:space="preserve"> </w:t>
      </w:r>
      <w:r w:rsidRPr="00B02247">
        <w:t>Procedure</w:t>
      </w:r>
      <w:r w:rsidR="005B2A41">
        <w:t xml:space="preserve"> </w:t>
      </w:r>
      <w:r w:rsidRPr="00B02247">
        <w:t>(Law</w:t>
      </w:r>
      <w:r w:rsidR="005B2A41">
        <w:t xml:space="preserve"> </w:t>
      </w:r>
      <w:r w:rsidRPr="00B02247">
        <w:t>2717/1999)</w:t>
      </w:r>
      <w:r w:rsidR="005B2A41">
        <w:t xml:space="preserve"> </w:t>
      </w:r>
      <w:r w:rsidRPr="00B02247">
        <w:t>stipulates</w:t>
      </w:r>
      <w:r w:rsidR="005B2A41">
        <w:t xml:space="preserve"> </w:t>
      </w:r>
      <w:r w:rsidRPr="00B02247">
        <w:t>that</w:t>
      </w:r>
      <w:r w:rsidR="005B2A41">
        <w:t xml:space="preserve"> </w:t>
      </w:r>
      <w:r w:rsidRPr="00B02247">
        <w:t>administrative</w:t>
      </w:r>
      <w:r w:rsidR="005B2A41">
        <w:t xml:space="preserve"> </w:t>
      </w:r>
      <w:r w:rsidRPr="00B02247">
        <w:t>authorities</w:t>
      </w:r>
      <w:r w:rsidR="005B2A41">
        <w:t xml:space="preserve"> </w:t>
      </w:r>
      <w:r w:rsidRPr="00B02247">
        <w:t>shall</w:t>
      </w:r>
      <w:r w:rsidR="005B2A41">
        <w:t xml:space="preserve"> </w:t>
      </w:r>
      <w:r w:rsidRPr="00B02247">
        <w:t>be</w:t>
      </w:r>
      <w:r w:rsidR="005B2A41">
        <w:t xml:space="preserve"> </w:t>
      </w:r>
      <w:r w:rsidRPr="00B02247">
        <w:t>bound</w:t>
      </w:r>
      <w:r w:rsidR="005B2A41">
        <w:t xml:space="preserve"> </w:t>
      </w:r>
      <w:r w:rsidRPr="00B02247">
        <w:t>to</w:t>
      </w:r>
      <w:r w:rsidR="005B2A41">
        <w:t xml:space="preserve"> </w:t>
      </w:r>
      <w:r w:rsidRPr="00B02247">
        <w:t>conform,</w:t>
      </w:r>
      <w:r w:rsidR="005B2A41">
        <w:t xml:space="preserve"> </w:t>
      </w:r>
      <w:r w:rsidRPr="00B02247">
        <w:t>by</w:t>
      </w:r>
      <w:r w:rsidR="005B2A41">
        <w:t xml:space="preserve"> </w:t>
      </w:r>
      <w:r w:rsidRPr="00B02247">
        <w:t>positive</w:t>
      </w:r>
      <w:r w:rsidR="005B2A41">
        <w:t xml:space="preserve"> </w:t>
      </w:r>
      <w:r w:rsidRPr="00B02247">
        <w:t>acts</w:t>
      </w:r>
      <w:r w:rsidR="005B2A41">
        <w:t xml:space="preserve"> </w:t>
      </w:r>
      <w:r w:rsidRPr="00B02247">
        <w:t>or</w:t>
      </w:r>
      <w:r w:rsidR="005B2A41">
        <w:t xml:space="preserve"> </w:t>
      </w:r>
      <w:r w:rsidRPr="00B02247">
        <w:t>by</w:t>
      </w:r>
      <w:r w:rsidR="005B2A41">
        <w:t xml:space="preserve"> </w:t>
      </w:r>
      <w:r w:rsidRPr="00B02247">
        <w:t>abstention</w:t>
      </w:r>
      <w:r w:rsidR="005B2A41">
        <w:t xml:space="preserve"> </w:t>
      </w:r>
      <w:r w:rsidRPr="00B02247">
        <w:t>from</w:t>
      </w:r>
      <w:r w:rsidR="005B2A41">
        <w:t xml:space="preserve"> </w:t>
      </w:r>
      <w:r w:rsidRPr="00B02247">
        <w:t>every</w:t>
      </w:r>
      <w:r w:rsidR="005B2A41">
        <w:t xml:space="preserve"> </w:t>
      </w:r>
      <w:r w:rsidRPr="00B02247">
        <w:t>contrary</w:t>
      </w:r>
      <w:r w:rsidR="005B2A41">
        <w:t xml:space="preserve"> </w:t>
      </w:r>
      <w:r w:rsidRPr="00B02247">
        <w:t>action,</w:t>
      </w:r>
      <w:r w:rsidR="005B2A41">
        <w:t xml:space="preserve"> </w:t>
      </w:r>
      <w:r w:rsidRPr="00B02247">
        <w:t>to</w:t>
      </w:r>
      <w:r w:rsidR="005B2A41">
        <w:t xml:space="preserve"> </w:t>
      </w:r>
      <w:r w:rsidRPr="00B02247">
        <w:t>judgements</w:t>
      </w:r>
      <w:r w:rsidR="005B2A41">
        <w:t xml:space="preserve"> </w:t>
      </w:r>
      <w:r w:rsidRPr="00B02247">
        <w:t>which</w:t>
      </w:r>
      <w:r w:rsidR="005B2A41">
        <w:t xml:space="preserve"> </w:t>
      </w:r>
      <w:r w:rsidRPr="00B02247">
        <w:t>are</w:t>
      </w:r>
      <w:r w:rsidR="005B2A41">
        <w:t xml:space="preserve"> </w:t>
      </w:r>
      <w:r w:rsidRPr="00B02247">
        <w:t>issued</w:t>
      </w:r>
      <w:r w:rsidR="005B2A41">
        <w:t xml:space="preserve"> </w:t>
      </w:r>
      <w:r w:rsidRPr="00B02247">
        <w:t>with</w:t>
      </w:r>
      <w:r w:rsidR="005B2A41">
        <w:t xml:space="preserve"> </w:t>
      </w:r>
      <w:r w:rsidRPr="00B02247">
        <w:t>respect</w:t>
      </w:r>
      <w:r w:rsidR="005B2A41">
        <w:t xml:space="preserve"> </w:t>
      </w:r>
      <w:r w:rsidRPr="00B02247">
        <w:t>to</w:t>
      </w:r>
      <w:r w:rsidR="005B2A41">
        <w:t xml:space="preserve"> </w:t>
      </w:r>
      <w:r w:rsidRPr="00B02247">
        <w:t>disputes</w:t>
      </w:r>
      <w:r w:rsidR="005B2A41">
        <w:t xml:space="preserve"> </w:t>
      </w:r>
      <w:r w:rsidRPr="00B02247">
        <w:t>brought</w:t>
      </w:r>
      <w:r w:rsidR="005B2A41">
        <w:t xml:space="preserve"> </w:t>
      </w:r>
      <w:r w:rsidRPr="00B02247">
        <w:t>before</w:t>
      </w:r>
      <w:r w:rsidR="005B2A41">
        <w:t xml:space="preserve"> </w:t>
      </w:r>
      <w:r w:rsidRPr="00B02247">
        <w:t>administrative</w:t>
      </w:r>
      <w:r w:rsidR="005B2A41">
        <w:t xml:space="preserve"> </w:t>
      </w:r>
      <w:r w:rsidRPr="00B02247">
        <w:t>courts.</w:t>
      </w:r>
      <w:r w:rsidR="005B2A41">
        <w:t xml:space="preserve"> </w:t>
      </w:r>
      <w:r w:rsidRPr="00B02247">
        <w:t>Failure</w:t>
      </w:r>
      <w:r w:rsidR="005B2A41">
        <w:t xml:space="preserve"> </w:t>
      </w:r>
      <w:r w:rsidRPr="00B02247">
        <w:t>by</w:t>
      </w:r>
      <w:r w:rsidR="005B2A41">
        <w:t xml:space="preserve"> </w:t>
      </w:r>
      <w:r w:rsidRPr="00B02247">
        <w:t>the</w:t>
      </w:r>
      <w:r w:rsidR="005B2A41">
        <w:t xml:space="preserve"> </w:t>
      </w:r>
      <w:r w:rsidRPr="00B02247">
        <w:t>administrative</w:t>
      </w:r>
      <w:r w:rsidR="005B2A41">
        <w:t xml:space="preserve"> </w:t>
      </w:r>
      <w:r w:rsidRPr="00B02247">
        <w:t>authority</w:t>
      </w:r>
      <w:r w:rsidR="005B2A41">
        <w:t xml:space="preserve"> </w:t>
      </w:r>
      <w:r w:rsidRPr="00B02247">
        <w:t>to</w:t>
      </w:r>
      <w:r w:rsidR="005B2A41">
        <w:t xml:space="preserve"> </w:t>
      </w:r>
      <w:r w:rsidRPr="00B02247">
        <w:t>comply</w:t>
      </w:r>
      <w:r w:rsidR="005B2A41">
        <w:t xml:space="preserve"> </w:t>
      </w:r>
      <w:r w:rsidRPr="00B02247">
        <w:t>as</w:t>
      </w:r>
      <w:r w:rsidR="005B2A41">
        <w:t xml:space="preserve"> </w:t>
      </w:r>
      <w:r w:rsidRPr="00B02247">
        <w:t>stated</w:t>
      </w:r>
      <w:r w:rsidR="005B2A41">
        <w:t xml:space="preserve"> </w:t>
      </w:r>
      <w:r w:rsidRPr="00B02247">
        <w:t>above</w:t>
      </w:r>
      <w:r w:rsidR="005B2A41">
        <w:t xml:space="preserve"> </w:t>
      </w:r>
      <w:r w:rsidRPr="00B02247">
        <w:t>shall</w:t>
      </w:r>
      <w:r w:rsidR="005B2A41">
        <w:t xml:space="preserve"> </w:t>
      </w:r>
      <w:r w:rsidRPr="00B02247">
        <w:t>have</w:t>
      </w:r>
      <w:r w:rsidR="005B2A41">
        <w:t xml:space="preserve"> </w:t>
      </w:r>
      <w:r w:rsidRPr="00B02247">
        <w:t>as</w:t>
      </w:r>
      <w:r w:rsidR="005B2A41">
        <w:t xml:space="preserve"> </w:t>
      </w:r>
      <w:r w:rsidRPr="00B02247">
        <w:t>a</w:t>
      </w:r>
      <w:r w:rsidR="005B2A41">
        <w:t xml:space="preserve"> </w:t>
      </w:r>
      <w:r w:rsidRPr="00B02247">
        <w:t>consequence</w:t>
      </w:r>
      <w:r w:rsidR="005B2A41">
        <w:t xml:space="preserve"> </w:t>
      </w:r>
      <w:r w:rsidRPr="00B02247">
        <w:t>prosecution</w:t>
      </w:r>
      <w:r w:rsidR="005B2A41">
        <w:t xml:space="preserve"> </w:t>
      </w:r>
      <w:r w:rsidRPr="00B02247">
        <w:t>of</w:t>
      </w:r>
      <w:r w:rsidR="005B2A41">
        <w:t xml:space="preserve"> </w:t>
      </w:r>
      <w:r w:rsidRPr="00B02247">
        <w:t>the</w:t>
      </w:r>
      <w:r w:rsidR="005B2A41">
        <w:t xml:space="preserve"> </w:t>
      </w:r>
      <w:r w:rsidRPr="00B02247">
        <w:t>responsible</w:t>
      </w:r>
      <w:r w:rsidR="005B2A41">
        <w:t xml:space="preserve"> </w:t>
      </w:r>
      <w:r w:rsidRPr="00B02247">
        <w:t>person</w:t>
      </w:r>
      <w:r w:rsidR="005B2A41">
        <w:t xml:space="preserve"> </w:t>
      </w:r>
      <w:r w:rsidRPr="00B02247">
        <w:t>for</w:t>
      </w:r>
      <w:r w:rsidR="005B2A41">
        <w:t xml:space="preserve"> </w:t>
      </w:r>
      <w:r w:rsidRPr="00B02247">
        <w:t>dereliction</w:t>
      </w:r>
      <w:r w:rsidR="005B2A41">
        <w:t xml:space="preserve"> </w:t>
      </w:r>
      <w:r w:rsidRPr="00B02247">
        <w:t>of</w:t>
      </w:r>
      <w:r w:rsidR="005B2A41">
        <w:t xml:space="preserve"> </w:t>
      </w:r>
      <w:r w:rsidRPr="00B02247">
        <w:t>duty</w:t>
      </w:r>
      <w:r w:rsidR="005B2A41">
        <w:t xml:space="preserve"> </w:t>
      </w:r>
      <w:r w:rsidRPr="00B02247">
        <w:t>and</w:t>
      </w:r>
      <w:r w:rsidR="005B2A41">
        <w:t xml:space="preserve"> </w:t>
      </w:r>
      <w:r w:rsidRPr="00B02247">
        <w:t>personal</w:t>
      </w:r>
      <w:r w:rsidR="005B2A41">
        <w:t xml:space="preserve"> </w:t>
      </w:r>
      <w:r w:rsidRPr="00B02247">
        <w:t>liability</w:t>
      </w:r>
      <w:r w:rsidR="005B2A41">
        <w:t xml:space="preserve"> </w:t>
      </w:r>
      <w:r w:rsidRPr="00B02247">
        <w:t>for</w:t>
      </w:r>
      <w:r w:rsidR="005B2A41">
        <w:t xml:space="preserve"> </w:t>
      </w:r>
      <w:r w:rsidRPr="00B02247">
        <w:t>damages.</w:t>
      </w:r>
    </w:p>
    <w:p w:rsidR="00F233AB" w:rsidRPr="00B02247" w:rsidRDefault="00F233AB" w:rsidP="00E1307D">
      <w:pPr>
        <w:pStyle w:val="SingleTxtG"/>
      </w:pPr>
      <w:r w:rsidRPr="00B02247">
        <w:t>65.</w:t>
      </w:r>
      <w:r w:rsidRPr="00B02247">
        <w:tab/>
        <w:t>It</w:t>
      </w:r>
      <w:r w:rsidR="005B2A41">
        <w:t xml:space="preserve"> </w:t>
      </w:r>
      <w:r w:rsidRPr="00B02247">
        <w:t>should</w:t>
      </w:r>
      <w:r w:rsidR="005B2A41">
        <w:t xml:space="preserve"> </w:t>
      </w:r>
      <w:r w:rsidRPr="00B02247">
        <w:t>be</w:t>
      </w:r>
      <w:r w:rsidR="005B2A41">
        <w:t xml:space="preserve"> </w:t>
      </w:r>
      <w:r w:rsidRPr="00B02247">
        <w:t>stressed</w:t>
      </w:r>
      <w:r w:rsidR="005B2A41">
        <w:t xml:space="preserve"> </w:t>
      </w:r>
      <w:r w:rsidRPr="00B02247">
        <w:t>that</w:t>
      </w:r>
      <w:r w:rsidR="005B2A41">
        <w:t xml:space="preserve"> </w:t>
      </w:r>
      <w:r w:rsidRPr="00B02247">
        <w:t>human</w:t>
      </w:r>
      <w:r w:rsidR="005B2A41">
        <w:t xml:space="preserve"> </w:t>
      </w:r>
      <w:r w:rsidRPr="00B02247">
        <w:t>rights</w:t>
      </w:r>
      <w:r w:rsidR="005B2A41">
        <w:t xml:space="preserve"> </w:t>
      </w:r>
      <w:r w:rsidRPr="00B02247">
        <w:t>abuses</w:t>
      </w:r>
      <w:r w:rsidR="005B2A41">
        <w:t xml:space="preserve"> </w:t>
      </w:r>
      <w:r w:rsidRPr="00B02247">
        <w:t>through</w:t>
      </w:r>
      <w:r w:rsidR="005B2A41">
        <w:t xml:space="preserve"> </w:t>
      </w:r>
      <w:r w:rsidRPr="00B02247">
        <w:t>illegal</w:t>
      </w:r>
      <w:r w:rsidR="005B2A41">
        <w:t xml:space="preserve"> </w:t>
      </w:r>
      <w:r w:rsidRPr="00B02247">
        <w:t>acts</w:t>
      </w:r>
      <w:r w:rsidR="005B2A41">
        <w:t xml:space="preserve"> </w:t>
      </w:r>
      <w:r w:rsidRPr="00B02247">
        <w:t>of</w:t>
      </w:r>
      <w:r w:rsidR="005B2A41">
        <w:t xml:space="preserve"> </w:t>
      </w:r>
      <w:r w:rsidRPr="00B02247">
        <w:t>other</w:t>
      </w:r>
      <w:r w:rsidR="005B2A41">
        <w:t xml:space="preserve"> </w:t>
      </w:r>
      <w:r w:rsidRPr="00B02247">
        <w:t>individuals</w:t>
      </w:r>
      <w:r w:rsidR="005B2A41">
        <w:t xml:space="preserve"> </w:t>
      </w:r>
      <w:r w:rsidRPr="00B02247">
        <w:t>generate</w:t>
      </w:r>
      <w:r w:rsidR="005B2A41">
        <w:t xml:space="preserve"> </w:t>
      </w:r>
      <w:r w:rsidRPr="00B02247">
        <w:t>the</w:t>
      </w:r>
      <w:r w:rsidR="005B2A41">
        <w:t xml:space="preserve"> </w:t>
      </w:r>
      <w:r w:rsidRPr="00B02247">
        <w:t>obligation</w:t>
      </w:r>
      <w:r w:rsidR="005B2A41">
        <w:t xml:space="preserve"> </w:t>
      </w:r>
      <w:r w:rsidRPr="00B02247">
        <w:t>of</w:t>
      </w:r>
      <w:r w:rsidR="005B2A41">
        <w:t xml:space="preserve"> </w:t>
      </w:r>
      <w:r w:rsidRPr="00B02247">
        <w:t>compensation,</w:t>
      </w:r>
      <w:r w:rsidR="005B2A41">
        <w:t xml:space="preserve"> </w:t>
      </w:r>
      <w:r w:rsidRPr="00B02247">
        <w:t>according</w:t>
      </w:r>
      <w:r w:rsidR="005B2A41">
        <w:t xml:space="preserve"> </w:t>
      </w:r>
      <w:r w:rsidRPr="00B02247">
        <w:t>to</w:t>
      </w:r>
      <w:r w:rsidR="005B2A41">
        <w:t xml:space="preserve"> </w:t>
      </w:r>
      <w:r w:rsidRPr="00B02247">
        <w:t>articles</w:t>
      </w:r>
      <w:r w:rsidR="005B2A41">
        <w:t xml:space="preserve"> </w:t>
      </w:r>
      <w:r w:rsidRPr="00B02247">
        <w:t>914</w:t>
      </w:r>
      <w:r w:rsidR="005B2A41">
        <w:t xml:space="preserve"> </w:t>
      </w:r>
      <w:r w:rsidRPr="00B02247">
        <w:t>and</w:t>
      </w:r>
      <w:r w:rsidR="005B2A41">
        <w:t xml:space="preserve"> </w:t>
      </w:r>
      <w:r w:rsidRPr="00B02247">
        <w:t>932</w:t>
      </w:r>
      <w:r w:rsidR="005B2A41">
        <w:t xml:space="preserve"> </w:t>
      </w:r>
      <w:r w:rsidRPr="00B02247">
        <w:t>of</w:t>
      </w:r>
      <w:r w:rsidR="005B2A41">
        <w:t xml:space="preserve"> </w:t>
      </w:r>
      <w:r w:rsidRPr="00B02247">
        <w:t>the</w:t>
      </w:r>
      <w:r w:rsidR="005B2A41">
        <w:t xml:space="preserve"> </w:t>
      </w:r>
      <w:r w:rsidRPr="00B02247">
        <w:t>Civil</w:t>
      </w:r>
      <w:r w:rsidR="005B2A41">
        <w:t xml:space="preserve"> </w:t>
      </w:r>
      <w:r w:rsidRPr="00B02247">
        <w:t>Code</w:t>
      </w:r>
      <w:r w:rsidR="005B2A41">
        <w:t xml:space="preserve"> </w:t>
      </w:r>
      <w:r w:rsidRPr="00B02247">
        <w:t>(CC).</w:t>
      </w:r>
      <w:r w:rsidR="005B2A41">
        <w:t xml:space="preserve"> </w:t>
      </w:r>
      <w:r w:rsidRPr="00B02247">
        <w:t>Individuals</w:t>
      </w:r>
      <w:r w:rsidR="005B2A41">
        <w:t xml:space="preserve"> </w:t>
      </w:r>
      <w:r w:rsidRPr="00B02247">
        <w:t>who</w:t>
      </w:r>
      <w:r w:rsidR="005B2A41">
        <w:t xml:space="preserve"> </w:t>
      </w:r>
      <w:r w:rsidRPr="00B02247">
        <w:t>have</w:t>
      </w:r>
      <w:r w:rsidR="005B2A41">
        <w:t xml:space="preserve"> </w:t>
      </w:r>
      <w:r w:rsidRPr="00B02247">
        <w:t>suffered</w:t>
      </w:r>
      <w:r w:rsidR="005B2A41">
        <w:t xml:space="preserve"> </w:t>
      </w:r>
      <w:r w:rsidRPr="00B02247">
        <w:t>an</w:t>
      </w:r>
      <w:r w:rsidR="005B2A41">
        <w:t xml:space="preserve"> </w:t>
      </w:r>
      <w:r w:rsidRPr="00B02247">
        <w:t>offence</w:t>
      </w:r>
      <w:r w:rsidR="005B2A41">
        <w:t xml:space="preserve"> </w:t>
      </w:r>
      <w:r w:rsidRPr="00B02247">
        <w:t>to</w:t>
      </w:r>
      <w:r w:rsidR="005B2A41">
        <w:t xml:space="preserve"> </w:t>
      </w:r>
      <w:r w:rsidRPr="00B02247">
        <w:t>their</w:t>
      </w:r>
      <w:r w:rsidR="005B2A41">
        <w:t xml:space="preserve"> </w:t>
      </w:r>
      <w:r w:rsidRPr="00B02247">
        <w:t>personality</w:t>
      </w:r>
      <w:r w:rsidR="005B2A41">
        <w:t xml:space="preserve"> </w:t>
      </w:r>
      <w:r w:rsidRPr="00B02247">
        <w:t>according</w:t>
      </w:r>
      <w:r w:rsidR="005B2A41">
        <w:t xml:space="preserve"> </w:t>
      </w:r>
      <w:r w:rsidRPr="00B02247">
        <w:t>to</w:t>
      </w:r>
      <w:r w:rsidR="005B2A41">
        <w:t xml:space="preserve"> </w:t>
      </w:r>
      <w:r w:rsidRPr="00B02247">
        <w:t>article</w:t>
      </w:r>
      <w:r w:rsidR="005B2A41">
        <w:t xml:space="preserve"> </w:t>
      </w:r>
      <w:r w:rsidRPr="00B02247">
        <w:t>57,</w:t>
      </w:r>
      <w:r w:rsidR="005B2A41">
        <w:t xml:space="preserve"> </w:t>
      </w:r>
      <w:r w:rsidRPr="00B02247">
        <w:t>CC,</w:t>
      </w:r>
      <w:r w:rsidR="005B2A41">
        <w:t xml:space="preserve"> </w:t>
      </w:r>
      <w:r w:rsidRPr="00B02247">
        <w:t>can</w:t>
      </w:r>
      <w:r w:rsidR="005B2A41">
        <w:t xml:space="preserve"> </w:t>
      </w:r>
      <w:r w:rsidRPr="00B02247">
        <w:t>seek</w:t>
      </w:r>
      <w:r w:rsidR="005B2A41">
        <w:t xml:space="preserve"> </w:t>
      </w:r>
      <w:r w:rsidRPr="00B02247">
        <w:t>compensation,</w:t>
      </w:r>
      <w:r w:rsidR="005B2A41">
        <w:t xml:space="preserve"> </w:t>
      </w:r>
      <w:r w:rsidRPr="00B02247">
        <w:t>as</w:t>
      </w:r>
      <w:r w:rsidR="005B2A41">
        <w:t xml:space="preserve"> </w:t>
      </w:r>
      <w:r w:rsidRPr="00B02247">
        <w:t>long</w:t>
      </w:r>
      <w:r w:rsidR="005B2A41">
        <w:t xml:space="preserve"> </w:t>
      </w:r>
      <w:r w:rsidRPr="00B02247">
        <w:t>as</w:t>
      </w:r>
      <w:r w:rsidR="005B2A41">
        <w:t xml:space="preserve"> </w:t>
      </w:r>
      <w:r w:rsidRPr="00B02247">
        <w:t>the</w:t>
      </w:r>
      <w:r w:rsidR="005B2A41">
        <w:t xml:space="preserve"> </w:t>
      </w:r>
      <w:r w:rsidRPr="00B02247">
        <w:t>prerequisites</w:t>
      </w:r>
      <w:r w:rsidR="005B2A41">
        <w:t xml:space="preserve"> </w:t>
      </w:r>
      <w:r w:rsidRPr="00B02247">
        <w:t>laid</w:t>
      </w:r>
      <w:r w:rsidR="005B2A41">
        <w:t xml:space="preserve"> </w:t>
      </w:r>
      <w:r w:rsidRPr="00B02247">
        <w:t>out</w:t>
      </w:r>
      <w:r w:rsidR="005B2A41">
        <w:t xml:space="preserve"> </w:t>
      </w:r>
      <w:r w:rsidRPr="00B02247">
        <w:t>in</w:t>
      </w:r>
      <w:r w:rsidR="005B2A41">
        <w:t xml:space="preserve"> </w:t>
      </w:r>
      <w:r w:rsidRPr="00B02247">
        <w:t>article</w:t>
      </w:r>
      <w:r w:rsidR="005B2A41">
        <w:t xml:space="preserve"> </w:t>
      </w:r>
      <w:r w:rsidRPr="00B02247">
        <w:t>914</w:t>
      </w:r>
      <w:r w:rsidR="005B2A41">
        <w:t xml:space="preserve"> </w:t>
      </w:r>
      <w:r w:rsidRPr="00B02247">
        <w:t>CC</w:t>
      </w:r>
      <w:r w:rsidR="005B2A41">
        <w:t xml:space="preserve"> </w:t>
      </w:r>
      <w:r w:rsidRPr="00B02247">
        <w:t>are</w:t>
      </w:r>
      <w:r w:rsidR="005B2A41">
        <w:t xml:space="preserve"> </w:t>
      </w:r>
      <w:r w:rsidRPr="00B02247">
        <w:t>met.</w:t>
      </w:r>
      <w:r w:rsidR="005B2A41">
        <w:t xml:space="preserve"> </w:t>
      </w:r>
      <w:r w:rsidRPr="00B02247">
        <w:t>Furthermore,</w:t>
      </w:r>
      <w:r w:rsidR="005B2A41">
        <w:t xml:space="preserve"> </w:t>
      </w:r>
      <w:r w:rsidRPr="00B02247">
        <w:t>special</w:t>
      </w:r>
      <w:r w:rsidR="005B2A41">
        <w:t xml:space="preserve"> </w:t>
      </w:r>
      <w:r w:rsidRPr="00B02247">
        <w:t>laws</w:t>
      </w:r>
      <w:r w:rsidR="005B2A41">
        <w:t xml:space="preserve"> </w:t>
      </w:r>
      <w:r w:rsidRPr="00B02247">
        <w:t>are</w:t>
      </w:r>
      <w:r w:rsidR="005B2A41">
        <w:t xml:space="preserve"> </w:t>
      </w:r>
      <w:r w:rsidRPr="00B02247">
        <w:t>adopted</w:t>
      </w:r>
      <w:r w:rsidR="005B2A41">
        <w:t xml:space="preserve"> </w:t>
      </w:r>
      <w:r w:rsidRPr="00B02247">
        <w:t>in</w:t>
      </w:r>
      <w:r w:rsidR="005B2A41">
        <w:t xml:space="preserve"> </w:t>
      </w:r>
      <w:r w:rsidRPr="00B02247">
        <w:t>order</w:t>
      </w:r>
      <w:r w:rsidR="005B2A41">
        <w:t xml:space="preserve"> </w:t>
      </w:r>
      <w:r w:rsidRPr="00B02247">
        <w:t>to</w:t>
      </w:r>
      <w:r w:rsidR="005B2A41">
        <w:t xml:space="preserve"> </w:t>
      </w:r>
      <w:r w:rsidRPr="00B02247">
        <w:t>specify</w:t>
      </w:r>
      <w:r w:rsidR="005B2A41">
        <w:t xml:space="preserve"> </w:t>
      </w:r>
      <w:r w:rsidRPr="00B02247">
        <w:t>the</w:t>
      </w:r>
      <w:r w:rsidR="005B2A41">
        <w:t xml:space="preserve"> </w:t>
      </w:r>
      <w:r w:rsidRPr="00B02247">
        <w:t>regime</w:t>
      </w:r>
      <w:r w:rsidR="005B2A41">
        <w:t xml:space="preserve"> </w:t>
      </w:r>
      <w:r w:rsidRPr="00B02247">
        <w:t>of</w:t>
      </w:r>
      <w:r w:rsidR="005B2A41">
        <w:t xml:space="preserve"> </w:t>
      </w:r>
      <w:r w:rsidRPr="00B02247">
        <w:t>civil</w:t>
      </w:r>
      <w:r w:rsidR="005B2A41">
        <w:t xml:space="preserve"> </w:t>
      </w:r>
      <w:r w:rsidRPr="00B02247">
        <w:t>liability</w:t>
      </w:r>
      <w:r w:rsidR="005B2A41">
        <w:t xml:space="preserve"> </w:t>
      </w:r>
      <w:r w:rsidRPr="00B02247">
        <w:t>for</w:t>
      </w:r>
      <w:r w:rsidR="005B2A41">
        <w:t xml:space="preserve"> </w:t>
      </w:r>
      <w:r w:rsidRPr="00B02247">
        <w:t>illegal</w:t>
      </w:r>
      <w:r w:rsidR="005B2A41">
        <w:t xml:space="preserve"> </w:t>
      </w:r>
      <w:r w:rsidRPr="00B02247">
        <w:t>acts</w:t>
      </w:r>
      <w:r w:rsidR="005B2A41">
        <w:t xml:space="preserve"> </w:t>
      </w:r>
      <w:r w:rsidRPr="00B02247">
        <w:t>of</w:t>
      </w:r>
      <w:r w:rsidR="005B2A41">
        <w:t xml:space="preserve"> </w:t>
      </w:r>
      <w:r w:rsidRPr="00B02247">
        <w:t>individuals.</w:t>
      </w:r>
      <w:r w:rsidR="005B2A41">
        <w:t xml:space="preserve"> </w:t>
      </w:r>
      <w:r w:rsidRPr="00B02247">
        <w:t>Among</w:t>
      </w:r>
      <w:r w:rsidR="005B2A41">
        <w:t xml:space="preserve"> </w:t>
      </w:r>
      <w:r w:rsidRPr="00B02247">
        <w:t>others,</w:t>
      </w:r>
      <w:r w:rsidR="005B2A41">
        <w:t xml:space="preserve"> </w:t>
      </w:r>
      <w:r w:rsidRPr="00B02247">
        <w:t>Law</w:t>
      </w:r>
      <w:r w:rsidR="005B2A41">
        <w:t xml:space="preserve"> </w:t>
      </w:r>
      <w:r w:rsidRPr="00B02247">
        <w:t>1178/1981</w:t>
      </w:r>
      <w:r w:rsidR="005B2A41">
        <w:t xml:space="preserve"> </w:t>
      </w:r>
      <w:r w:rsidRPr="00B02247">
        <w:t>(as</w:t>
      </w:r>
      <w:r w:rsidR="005B2A41">
        <w:t xml:space="preserve"> </w:t>
      </w:r>
      <w:r w:rsidRPr="00B02247">
        <w:t>amended</w:t>
      </w:r>
      <w:r w:rsidR="005B2A41">
        <w:t xml:space="preserve"> </w:t>
      </w:r>
      <w:r w:rsidRPr="00B02247">
        <w:t>by</w:t>
      </w:r>
      <w:r w:rsidR="005B2A41">
        <w:t xml:space="preserve"> </w:t>
      </w:r>
      <w:r w:rsidRPr="00B02247">
        <w:t>Law</w:t>
      </w:r>
      <w:r w:rsidR="005B2A41">
        <w:t xml:space="preserve"> </w:t>
      </w:r>
      <w:r w:rsidRPr="00B02247">
        <w:t>4356/2015)</w:t>
      </w:r>
      <w:r w:rsidR="005B2A41">
        <w:t xml:space="preserve"> </w:t>
      </w:r>
      <w:r w:rsidRPr="00B02247">
        <w:t>regarding</w:t>
      </w:r>
      <w:r w:rsidR="005B2A41">
        <w:t xml:space="preserve"> </w:t>
      </w:r>
      <w:r w:rsidR="003E731F">
        <w:t>“</w:t>
      </w:r>
      <w:r w:rsidRPr="00B02247">
        <w:t>civil</w:t>
      </w:r>
      <w:r w:rsidR="005B2A41">
        <w:t xml:space="preserve"> </w:t>
      </w:r>
      <w:r w:rsidRPr="00B02247">
        <w:t>liability</w:t>
      </w:r>
      <w:r w:rsidR="005B2A41">
        <w:t xml:space="preserve"> </w:t>
      </w:r>
      <w:r w:rsidRPr="00B02247">
        <w:t>for</w:t>
      </w:r>
      <w:r w:rsidR="005B2A41">
        <w:t xml:space="preserve"> </w:t>
      </w:r>
      <w:r w:rsidRPr="00B02247">
        <w:t>acts</w:t>
      </w:r>
      <w:r w:rsidR="005B2A41">
        <w:t xml:space="preserve"> </w:t>
      </w:r>
      <w:r w:rsidRPr="00B02247">
        <w:t>related</w:t>
      </w:r>
      <w:r w:rsidR="005B2A41">
        <w:t xml:space="preserve"> </w:t>
      </w:r>
      <w:r w:rsidRPr="00B02247">
        <w:t>to</w:t>
      </w:r>
      <w:r w:rsidR="005B2A41">
        <w:t xml:space="preserve"> </w:t>
      </w:r>
      <w:r w:rsidRPr="00B02247">
        <w:t>the</w:t>
      </w:r>
      <w:r w:rsidR="005B2A41">
        <w:t xml:space="preserve"> </w:t>
      </w:r>
      <w:r w:rsidRPr="00B02247">
        <w:t>press</w:t>
      </w:r>
      <w:r w:rsidR="003E731F">
        <w:t>”</w:t>
      </w:r>
      <w:r w:rsidR="005B2A41">
        <w:t xml:space="preserve"> </w:t>
      </w:r>
      <w:r w:rsidRPr="00B02247">
        <w:t>provides</w:t>
      </w:r>
      <w:r w:rsidR="005B2A41">
        <w:t xml:space="preserve"> </w:t>
      </w:r>
      <w:r w:rsidRPr="00B02247">
        <w:t>for</w:t>
      </w:r>
      <w:r w:rsidR="005B2A41">
        <w:t xml:space="preserve"> </w:t>
      </w:r>
      <w:r w:rsidRPr="00B02247">
        <w:t>compensation</w:t>
      </w:r>
      <w:r w:rsidR="005B2A41">
        <w:t xml:space="preserve"> </w:t>
      </w:r>
      <w:r w:rsidRPr="00B02247">
        <w:t>for</w:t>
      </w:r>
      <w:r w:rsidR="005B2A41">
        <w:t xml:space="preserve"> </w:t>
      </w:r>
      <w:r w:rsidRPr="00B02247">
        <w:t>persons</w:t>
      </w:r>
      <w:r w:rsidR="005B2A41">
        <w:t xml:space="preserve"> </w:t>
      </w:r>
      <w:r w:rsidRPr="00B02247">
        <w:t>whose</w:t>
      </w:r>
      <w:r w:rsidR="005B2A41">
        <w:t xml:space="preserve"> </w:t>
      </w:r>
      <w:r w:rsidRPr="00B02247">
        <w:t>honour</w:t>
      </w:r>
      <w:r w:rsidR="005B2A41">
        <w:t xml:space="preserve"> </w:t>
      </w:r>
      <w:r w:rsidRPr="00B02247">
        <w:t>or</w:t>
      </w:r>
      <w:r w:rsidR="005B2A41">
        <w:t xml:space="preserve"> </w:t>
      </w:r>
      <w:r w:rsidRPr="00B02247">
        <w:t>dignity</w:t>
      </w:r>
      <w:r w:rsidR="005B2A41">
        <w:t xml:space="preserve"> </w:t>
      </w:r>
      <w:r w:rsidRPr="00B02247">
        <w:t>has</w:t>
      </w:r>
      <w:r w:rsidR="005B2A41">
        <w:t xml:space="preserve"> </w:t>
      </w:r>
      <w:r w:rsidRPr="00B02247">
        <w:t>been</w:t>
      </w:r>
      <w:r w:rsidR="005B2A41">
        <w:t xml:space="preserve"> </w:t>
      </w:r>
      <w:r w:rsidRPr="00B02247">
        <w:t>offended</w:t>
      </w:r>
      <w:r w:rsidR="005B2A41">
        <w:t xml:space="preserve"> </w:t>
      </w:r>
      <w:r w:rsidRPr="00B02247">
        <w:t>by</w:t>
      </w:r>
      <w:r w:rsidR="005B2A41">
        <w:t xml:space="preserve"> </w:t>
      </w:r>
      <w:r w:rsidRPr="00B02247">
        <w:t>the</w:t>
      </w:r>
      <w:r w:rsidR="005B2A41">
        <w:t xml:space="preserve"> </w:t>
      </w:r>
      <w:r w:rsidRPr="00B02247">
        <w:t>press</w:t>
      </w:r>
      <w:r w:rsidR="005B2A41">
        <w:t xml:space="preserve"> </w:t>
      </w:r>
      <w:r w:rsidRPr="00B02247">
        <w:t>or,</w:t>
      </w:r>
      <w:r w:rsidR="005B2A41">
        <w:t xml:space="preserve"> </w:t>
      </w:r>
      <w:r w:rsidRPr="00B02247">
        <w:t>by</w:t>
      </w:r>
      <w:r w:rsidR="005B2A41">
        <w:t xml:space="preserve"> </w:t>
      </w:r>
      <w:r w:rsidRPr="00B02247">
        <w:t>virtue</w:t>
      </w:r>
      <w:r w:rsidR="005B2A41">
        <w:t xml:space="preserve"> </w:t>
      </w:r>
      <w:r w:rsidRPr="00B02247">
        <w:t>of</w:t>
      </w:r>
      <w:r w:rsidR="005B2A41">
        <w:t xml:space="preserve"> </w:t>
      </w:r>
      <w:r w:rsidRPr="00B02247">
        <w:t>Law</w:t>
      </w:r>
      <w:r w:rsidR="005B2A41">
        <w:t xml:space="preserve"> </w:t>
      </w:r>
      <w:r w:rsidRPr="00B02247">
        <w:t>2328/1995,</w:t>
      </w:r>
      <w:r w:rsidR="005B2A41">
        <w:t xml:space="preserve"> </w:t>
      </w:r>
      <w:r w:rsidRPr="00B02247">
        <w:t>by</w:t>
      </w:r>
      <w:r w:rsidR="005B2A41">
        <w:t xml:space="preserve"> </w:t>
      </w:r>
      <w:r w:rsidRPr="00B02247">
        <w:t>radio</w:t>
      </w:r>
      <w:r w:rsidR="005B2A41">
        <w:t xml:space="preserve"> </w:t>
      </w:r>
      <w:r w:rsidRPr="00B02247">
        <w:t>and</w:t>
      </w:r>
      <w:r w:rsidR="005B2A41">
        <w:t xml:space="preserve"> </w:t>
      </w:r>
      <w:r w:rsidRPr="00B02247">
        <w:t>television</w:t>
      </w:r>
      <w:r w:rsidR="005B2A41">
        <w:t xml:space="preserve"> </w:t>
      </w:r>
      <w:r w:rsidRPr="00B02247">
        <w:t>programmes.</w:t>
      </w:r>
    </w:p>
    <w:p w:rsidR="00F233AB" w:rsidRPr="00B02247" w:rsidRDefault="00F233AB" w:rsidP="00E1307D">
      <w:pPr>
        <w:pStyle w:val="SingleTxtG"/>
      </w:pPr>
      <w:r w:rsidRPr="00B02247">
        <w:t>66.</w:t>
      </w:r>
      <w:r w:rsidRPr="00B02247">
        <w:tab/>
        <w:t>In</w:t>
      </w:r>
      <w:r w:rsidR="005B2A41">
        <w:t xml:space="preserve"> </w:t>
      </w:r>
      <w:r w:rsidRPr="00B02247">
        <w:t>addition</w:t>
      </w:r>
      <w:r w:rsidR="005B2A41">
        <w:t xml:space="preserve"> </w:t>
      </w:r>
      <w:r w:rsidRPr="00B02247">
        <w:t>to</w:t>
      </w:r>
      <w:r w:rsidR="005B2A41">
        <w:t xml:space="preserve"> </w:t>
      </w:r>
      <w:r w:rsidRPr="00B02247">
        <w:t>the</w:t>
      </w:r>
      <w:r w:rsidR="005B2A41">
        <w:t xml:space="preserve"> </w:t>
      </w:r>
      <w:r w:rsidRPr="00B02247">
        <w:t>above</w:t>
      </w:r>
      <w:r w:rsidR="005B2A41">
        <w:t xml:space="preserve"> </w:t>
      </w:r>
      <w:r w:rsidRPr="00B02247">
        <w:t>rules</w:t>
      </w:r>
      <w:r w:rsidR="005B2A41">
        <w:t xml:space="preserve"> </w:t>
      </w:r>
      <w:r w:rsidRPr="00B02247">
        <w:t>on</w:t>
      </w:r>
      <w:r w:rsidR="005B2A41">
        <w:t xml:space="preserve"> </w:t>
      </w:r>
      <w:r w:rsidRPr="00B02247">
        <w:t>State</w:t>
      </w:r>
      <w:r w:rsidR="005B2A41">
        <w:t xml:space="preserve"> </w:t>
      </w:r>
      <w:r w:rsidRPr="00B02247">
        <w:t>liability,</w:t>
      </w:r>
      <w:r w:rsidR="005B2A41">
        <w:t xml:space="preserve"> </w:t>
      </w:r>
      <w:r w:rsidRPr="00B02247">
        <w:t>the</w:t>
      </w:r>
      <w:r w:rsidR="005B2A41">
        <w:t xml:space="preserve"> </w:t>
      </w:r>
      <w:r w:rsidRPr="00B02247">
        <w:t>issue</w:t>
      </w:r>
      <w:r w:rsidR="005B2A41">
        <w:t xml:space="preserve"> </w:t>
      </w:r>
      <w:r w:rsidRPr="00B02247">
        <w:t>of</w:t>
      </w:r>
      <w:r w:rsidR="005B2A41">
        <w:t xml:space="preserve"> </w:t>
      </w:r>
      <w:r w:rsidRPr="00B02247">
        <w:t>compensation</w:t>
      </w:r>
      <w:r w:rsidR="005B2A41">
        <w:t xml:space="preserve"> </w:t>
      </w:r>
      <w:r w:rsidRPr="00B02247">
        <w:t>is</w:t>
      </w:r>
      <w:r w:rsidR="005B2A41">
        <w:t xml:space="preserve"> </w:t>
      </w:r>
      <w:r w:rsidRPr="00B02247">
        <w:t>regulated</w:t>
      </w:r>
      <w:r w:rsidR="005B2A41">
        <w:t xml:space="preserve"> </w:t>
      </w:r>
      <w:r w:rsidRPr="00B02247">
        <w:t>by</w:t>
      </w:r>
      <w:r w:rsidR="005B2A41">
        <w:t xml:space="preserve"> </w:t>
      </w:r>
      <w:r w:rsidRPr="00B02247">
        <w:t>the</w:t>
      </w:r>
      <w:r w:rsidR="005B2A41">
        <w:t xml:space="preserve"> </w:t>
      </w:r>
      <w:r w:rsidRPr="00B02247">
        <w:t>general</w:t>
      </w:r>
      <w:r w:rsidR="005B2A41">
        <w:t xml:space="preserve"> </w:t>
      </w:r>
      <w:r w:rsidRPr="00B02247">
        <w:t>provisions</w:t>
      </w:r>
      <w:r w:rsidR="005B2A41">
        <w:t xml:space="preserve"> </w:t>
      </w:r>
      <w:r w:rsidRPr="00B02247">
        <w:t>of</w:t>
      </w:r>
      <w:r w:rsidR="005B2A41">
        <w:t xml:space="preserve"> </w:t>
      </w:r>
      <w:r w:rsidRPr="00B02247">
        <w:t>the</w:t>
      </w:r>
      <w:r w:rsidR="005B2A41">
        <w:t xml:space="preserve"> </w:t>
      </w:r>
      <w:r w:rsidRPr="00B02247">
        <w:t>Greek</w:t>
      </w:r>
      <w:r w:rsidR="005B2A41">
        <w:t xml:space="preserve"> </w:t>
      </w:r>
      <w:r w:rsidRPr="00B02247">
        <w:t>Constitution</w:t>
      </w:r>
      <w:r w:rsidR="005B2A41">
        <w:t xml:space="preserve"> </w:t>
      </w:r>
      <w:r w:rsidRPr="00B02247">
        <w:t>concerning</w:t>
      </w:r>
      <w:r w:rsidR="005B2A41">
        <w:t xml:space="preserve"> </w:t>
      </w:r>
      <w:r w:rsidRPr="00B02247">
        <w:t>the</w:t>
      </w:r>
      <w:r w:rsidR="005B2A41">
        <w:t xml:space="preserve"> </w:t>
      </w:r>
      <w:r w:rsidRPr="00B02247">
        <w:t>protection</w:t>
      </w:r>
      <w:r w:rsidR="005B2A41">
        <w:t xml:space="preserve"> </w:t>
      </w:r>
      <w:r w:rsidRPr="00B02247">
        <w:t>of</w:t>
      </w:r>
      <w:r w:rsidR="005B2A41">
        <w:t xml:space="preserve"> </w:t>
      </w:r>
      <w:r w:rsidRPr="00B02247">
        <w:t>human</w:t>
      </w:r>
      <w:r w:rsidR="005B2A41">
        <w:t xml:space="preserve"> </w:t>
      </w:r>
      <w:r w:rsidRPr="00B02247">
        <w:t>rights</w:t>
      </w:r>
      <w:r w:rsidR="005B2A41">
        <w:t xml:space="preserve"> </w:t>
      </w:r>
      <w:r w:rsidRPr="00B02247">
        <w:t>and</w:t>
      </w:r>
      <w:r w:rsidR="005B2A41">
        <w:t xml:space="preserve"> </w:t>
      </w:r>
      <w:r w:rsidRPr="00B02247">
        <w:t>fundamental</w:t>
      </w:r>
      <w:r w:rsidR="005B2A41">
        <w:t xml:space="preserve"> </w:t>
      </w:r>
      <w:r w:rsidRPr="00B02247">
        <w:t>freedoms.</w:t>
      </w:r>
      <w:r w:rsidR="005B2A41">
        <w:t xml:space="preserve"> </w:t>
      </w:r>
      <w:r w:rsidRPr="00B02247">
        <w:t>There</w:t>
      </w:r>
      <w:r w:rsidR="005B2A41">
        <w:t xml:space="preserve"> </w:t>
      </w:r>
      <w:r w:rsidRPr="00B02247">
        <w:t>is</w:t>
      </w:r>
      <w:r w:rsidR="005B2A41">
        <w:t xml:space="preserve"> </w:t>
      </w:r>
      <w:r w:rsidRPr="00B02247">
        <w:t>an</w:t>
      </w:r>
      <w:r w:rsidR="005B2A41">
        <w:t xml:space="preserve"> </w:t>
      </w:r>
      <w:r w:rsidRPr="00B02247">
        <w:t>explicit</w:t>
      </w:r>
      <w:r w:rsidR="005B2A41">
        <w:t xml:space="preserve"> </w:t>
      </w:r>
      <w:r w:rsidRPr="00B02247">
        <w:t>and</w:t>
      </w:r>
      <w:r w:rsidR="005B2A41">
        <w:t xml:space="preserve"> </w:t>
      </w:r>
      <w:r w:rsidRPr="00B02247">
        <w:t>direct</w:t>
      </w:r>
      <w:r w:rsidR="005B2A41">
        <w:t xml:space="preserve"> </w:t>
      </w:r>
      <w:r w:rsidRPr="00B02247">
        <w:t>reference</w:t>
      </w:r>
      <w:r w:rsidR="005B2A41">
        <w:t xml:space="preserve"> </w:t>
      </w:r>
      <w:r w:rsidRPr="00B02247">
        <w:t>to</w:t>
      </w:r>
      <w:r w:rsidR="005B2A41">
        <w:t xml:space="preserve"> </w:t>
      </w:r>
      <w:r w:rsidRPr="00B02247">
        <w:t>the</w:t>
      </w:r>
      <w:r w:rsidR="005B2A41">
        <w:t xml:space="preserve"> </w:t>
      </w:r>
      <w:r w:rsidRPr="00B02247">
        <w:t>right</w:t>
      </w:r>
      <w:r w:rsidR="005B2A41">
        <w:t xml:space="preserve"> </w:t>
      </w:r>
      <w:r w:rsidRPr="00B02247">
        <w:t>to</w:t>
      </w:r>
      <w:r w:rsidR="005B2A41">
        <w:t xml:space="preserve"> </w:t>
      </w:r>
      <w:r w:rsidRPr="00B02247">
        <w:t>compensation</w:t>
      </w:r>
      <w:r w:rsidR="005B2A41">
        <w:t xml:space="preserve"> </w:t>
      </w:r>
      <w:r w:rsidRPr="00B02247">
        <w:t>in</w:t>
      </w:r>
      <w:r w:rsidR="005B2A41">
        <w:t xml:space="preserve"> </w:t>
      </w:r>
      <w:r w:rsidRPr="00B02247">
        <w:t>the</w:t>
      </w:r>
      <w:r w:rsidR="005B2A41">
        <w:t xml:space="preserve"> </w:t>
      </w:r>
      <w:r w:rsidRPr="00B02247">
        <w:t>following</w:t>
      </w:r>
      <w:r w:rsidR="005B2A41">
        <w:t xml:space="preserve"> </w:t>
      </w:r>
      <w:r w:rsidRPr="00B02247">
        <w:t>cases:</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State</w:t>
      </w:r>
      <w:r w:rsidR="005B2A41">
        <w:t xml:space="preserve"> </w:t>
      </w:r>
      <w:r w:rsidR="00F233AB" w:rsidRPr="00B02247">
        <w:t>officials</w:t>
      </w:r>
      <w:r w:rsidR="005B2A41">
        <w:t xml:space="preserve"> </w:t>
      </w:r>
      <w:r w:rsidR="00F233AB" w:rsidRPr="00B02247">
        <w:t>who</w:t>
      </w:r>
      <w:r w:rsidR="005B2A41">
        <w:t xml:space="preserve"> </w:t>
      </w:r>
      <w:r w:rsidR="00F233AB" w:rsidRPr="00B02247">
        <w:t>violate</w:t>
      </w:r>
      <w:r w:rsidR="005B2A41">
        <w:t xml:space="preserve"> </w:t>
      </w:r>
      <w:r w:rsidR="00F233AB" w:rsidRPr="00B02247">
        <w:t>the</w:t>
      </w:r>
      <w:r w:rsidR="005B2A41">
        <w:t xml:space="preserve"> </w:t>
      </w:r>
      <w:r w:rsidR="00F233AB" w:rsidRPr="00B02247">
        <w:t>right</w:t>
      </w:r>
      <w:r w:rsidR="005B2A41">
        <w:t xml:space="preserve"> </w:t>
      </w:r>
      <w:r w:rsidR="00F233AB" w:rsidRPr="00B02247">
        <w:t>to</w:t>
      </w:r>
      <w:r w:rsidR="005B2A41">
        <w:t xml:space="preserve"> </w:t>
      </w:r>
      <w:r w:rsidR="00F233AB" w:rsidRPr="00B02247">
        <w:t>respect</w:t>
      </w:r>
      <w:r w:rsidR="005B2A41">
        <w:t xml:space="preserve"> </w:t>
      </w:r>
      <w:r w:rsidR="00F233AB" w:rsidRPr="00B02247">
        <w:t>private</w:t>
      </w:r>
      <w:r w:rsidR="005B2A41">
        <w:t xml:space="preserve"> </w:t>
      </w:r>
      <w:r w:rsidR="00F233AB" w:rsidRPr="00B02247">
        <w:t>life</w:t>
      </w:r>
      <w:r w:rsidR="005B2A41">
        <w:t xml:space="preserve"> </w:t>
      </w:r>
      <w:r w:rsidR="00F233AB" w:rsidRPr="00B02247">
        <w:t>and</w:t>
      </w:r>
      <w:r w:rsidR="005B2A41">
        <w:t xml:space="preserve"> </w:t>
      </w:r>
      <w:r w:rsidR="00F233AB" w:rsidRPr="00B02247">
        <w:t>residence</w:t>
      </w:r>
      <w:r w:rsidR="005B2A41">
        <w:t xml:space="preserve"> </w:t>
      </w:r>
      <w:r w:rsidR="00F233AB" w:rsidRPr="00B02247">
        <w:t>are</w:t>
      </w:r>
      <w:r w:rsidR="005B2A41">
        <w:t xml:space="preserve"> </w:t>
      </w:r>
      <w:r w:rsidR="00F233AB" w:rsidRPr="00B02247">
        <w:t>held</w:t>
      </w:r>
      <w:r w:rsidR="005B2A41">
        <w:t xml:space="preserve"> </w:t>
      </w:r>
      <w:r w:rsidR="00F233AB" w:rsidRPr="00B02247">
        <w:t>personally</w:t>
      </w:r>
      <w:r w:rsidR="005B2A41">
        <w:t xml:space="preserve"> </w:t>
      </w:r>
      <w:r w:rsidR="00F233AB" w:rsidRPr="00B02247">
        <w:t>liable</w:t>
      </w:r>
      <w:r w:rsidR="005B2A41">
        <w:t xml:space="preserve"> </w:t>
      </w:r>
      <w:r w:rsidR="00F233AB" w:rsidRPr="00B02247">
        <w:t>for</w:t>
      </w:r>
      <w:r w:rsidR="005B2A41">
        <w:t xml:space="preserve"> </w:t>
      </w:r>
      <w:r w:rsidR="00F233AB" w:rsidRPr="00B02247">
        <w:t>abuse</w:t>
      </w:r>
      <w:r w:rsidR="005B2A41">
        <w:t xml:space="preserve"> </w:t>
      </w:r>
      <w:r w:rsidR="00F233AB" w:rsidRPr="00B02247">
        <w:t>of</w:t>
      </w:r>
      <w:r w:rsidR="005B2A41">
        <w:t xml:space="preserve"> </w:t>
      </w:r>
      <w:r w:rsidR="00F233AB" w:rsidRPr="00B02247">
        <w:t>power</w:t>
      </w:r>
      <w:r w:rsidR="005B2A41">
        <w:t xml:space="preserve"> </w:t>
      </w:r>
      <w:r w:rsidR="00F233AB" w:rsidRPr="00B02247">
        <w:t>and</w:t>
      </w:r>
      <w:r w:rsidR="005B2A41">
        <w:t xml:space="preserve"> </w:t>
      </w:r>
      <w:r w:rsidR="00F233AB" w:rsidRPr="00B02247">
        <w:t>must</w:t>
      </w:r>
      <w:r w:rsidR="005B2A41">
        <w:t xml:space="preserve"> </w:t>
      </w:r>
      <w:r w:rsidR="00F233AB" w:rsidRPr="00B02247">
        <w:t>pay</w:t>
      </w:r>
      <w:r w:rsidR="005B2A41">
        <w:t xml:space="preserve"> </w:t>
      </w:r>
      <w:r w:rsidR="00F233AB" w:rsidRPr="00B02247">
        <w:t>full</w:t>
      </w:r>
      <w:r w:rsidR="005B2A41">
        <w:t xml:space="preserve"> </w:t>
      </w:r>
      <w:r w:rsidR="00F233AB" w:rsidRPr="00B02247">
        <w:t>compensation</w:t>
      </w:r>
      <w:r w:rsidR="005B2A41">
        <w:t xml:space="preserve"> </w:t>
      </w:r>
      <w:r w:rsidR="00F233AB" w:rsidRPr="00B02247">
        <w:t>(Article</w:t>
      </w:r>
      <w:r w:rsidR="005B2A41">
        <w:t xml:space="preserve"> </w:t>
      </w:r>
      <w:r w:rsidR="00F233AB" w:rsidRPr="00B02247">
        <w:t>9</w:t>
      </w:r>
      <w:r w:rsidR="005B2A41">
        <w:t xml:space="preserve"> </w:t>
      </w:r>
      <w:r w:rsidR="00F233AB" w:rsidRPr="00B02247">
        <w:t>(2));</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Failure</w:t>
      </w:r>
      <w:r w:rsidR="005B2A41">
        <w:t xml:space="preserve"> </w:t>
      </w:r>
      <w:r w:rsidR="00F233AB" w:rsidRPr="00B02247">
        <w:t>to</w:t>
      </w:r>
      <w:r w:rsidR="005B2A41">
        <w:t xml:space="preserve"> </w:t>
      </w:r>
      <w:r w:rsidR="00F233AB" w:rsidRPr="00B02247">
        <w:t>release</w:t>
      </w:r>
      <w:r w:rsidR="005B2A41">
        <w:t xml:space="preserve"> </w:t>
      </w:r>
      <w:r w:rsidR="00F233AB" w:rsidRPr="00B02247">
        <w:t>the</w:t>
      </w:r>
      <w:r w:rsidR="005B2A41">
        <w:t xml:space="preserve"> </w:t>
      </w:r>
      <w:r w:rsidR="00F233AB" w:rsidRPr="00B02247">
        <w:t>arrested</w:t>
      </w:r>
      <w:r w:rsidR="005B2A41">
        <w:t xml:space="preserve"> </w:t>
      </w:r>
      <w:r w:rsidR="00F233AB" w:rsidRPr="00B02247">
        <w:t>persons,</w:t>
      </w:r>
      <w:r w:rsidR="005B2A41">
        <w:t xml:space="preserve"> </w:t>
      </w:r>
      <w:r w:rsidR="00F233AB" w:rsidRPr="00B02247">
        <w:t>whenever</w:t>
      </w:r>
      <w:r w:rsidR="005B2A41">
        <w:t xml:space="preserve"> </w:t>
      </w:r>
      <w:r w:rsidR="00F233AB" w:rsidRPr="00B02247">
        <w:t>the</w:t>
      </w:r>
      <w:r w:rsidR="005B2A41">
        <w:t xml:space="preserve"> </w:t>
      </w:r>
      <w:r w:rsidR="00F233AB" w:rsidRPr="00B02247">
        <w:t>time</w:t>
      </w:r>
      <w:r w:rsidR="005B2A41">
        <w:t xml:space="preserve"> </w:t>
      </w:r>
      <w:r w:rsidR="00F233AB" w:rsidRPr="00B02247">
        <w:t>limits</w:t>
      </w:r>
      <w:r w:rsidR="005B2A41">
        <w:t xml:space="preserve"> </w:t>
      </w:r>
      <w:r w:rsidR="00F233AB" w:rsidRPr="00B02247">
        <w:t>of</w:t>
      </w:r>
      <w:r w:rsidR="005B2A41">
        <w:t xml:space="preserve"> </w:t>
      </w:r>
      <w:r w:rsidR="00F233AB" w:rsidRPr="00B02247">
        <w:t>Article</w:t>
      </w:r>
      <w:r w:rsidR="005B2A41">
        <w:t xml:space="preserve"> </w:t>
      </w:r>
      <w:r w:rsidR="00F233AB" w:rsidRPr="00B02247">
        <w:t>6</w:t>
      </w:r>
      <w:r w:rsidR="005B2A41">
        <w:t xml:space="preserve"> </w:t>
      </w:r>
      <w:r w:rsidR="00F233AB" w:rsidRPr="00B02247">
        <w:t>(2)</w:t>
      </w:r>
      <w:r w:rsidR="005B2A41">
        <w:t xml:space="preserve"> </w:t>
      </w:r>
      <w:r w:rsidR="003E731F">
        <w:t>“</w:t>
      </w:r>
      <w:r w:rsidR="00F233AB" w:rsidRPr="00B02247">
        <w:t>elapse</w:t>
      </w:r>
      <w:r w:rsidR="005B2A41">
        <w:t xml:space="preserve"> </w:t>
      </w:r>
      <w:r w:rsidR="00F233AB" w:rsidRPr="00B02247">
        <w:t>before</w:t>
      </w:r>
      <w:r w:rsidR="005B2A41">
        <w:t xml:space="preserve"> </w:t>
      </w:r>
      <w:r w:rsidR="00F233AB" w:rsidRPr="00B02247">
        <w:t>action</w:t>
      </w:r>
      <w:r w:rsidR="005B2A41">
        <w:t xml:space="preserve"> </w:t>
      </w:r>
      <w:r w:rsidR="00F233AB" w:rsidRPr="00B02247">
        <w:t>has</w:t>
      </w:r>
      <w:r w:rsidR="005B2A41">
        <w:t xml:space="preserve"> </w:t>
      </w:r>
      <w:r w:rsidR="00F233AB" w:rsidRPr="00B02247">
        <w:t>been</w:t>
      </w:r>
      <w:r w:rsidR="005B2A41">
        <w:t xml:space="preserve"> </w:t>
      </w:r>
      <w:r w:rsidR="00F233AB" w:rsidRPr="00B02247">
        <w:t>taken</w:t>
      </w:r>
      <w:r w:rsidR="003E731F">
        <w:t>”</w:t>
      </w:r>
      <w:r w:rsidR="00F233AB" w:rsidRPr="00B02247">
        <w:t>,</w:t>
      </w:r>
      <w:r w:rsidR="005B2A41">
        <w:t xml:space="preserve"> </w:t>
      </w:r>
      <w:r w:rsidR="00F233AB" w:rsidRPr="00B02247">
        <w:t>entails</w:t>
      </w:r>
      <w:r w:rsidR="005B2A41">
        <w:t xml:space="preserve"> </w:t>
      </w:r>
      <w:r w:rsidR="00F233AB" w:rsidRPr="00B02247">
        <w:t>the</w:t>
      </w:r>
      <w:r w:rsidR="005B2A41">
        <w:t xml:space="preserve"> </w:t>
      </w:r>
      <w:r w:rsidR="00F233AB" w:rsidRPr="00B02247">
        <w:t>State</w:t>
      </w:r>
      <w:r w:rsidR="005B2A41">
        <w:t xml:space="preserve"> </w:t>
      </w:r>
      <w:r w:rsidR="00F233AB" w:rsidRPr="00B02247">
        <w:t>organs</w:t>
      </w:r>
      <w:r w:rsidR="003E731F">
        <w:t>’</w:t>
      </w:r>
      <w:r w:rsidR="005B2A41">
        <w:t xml:space="preserve"> </w:t>
      </w:r>
      <w:r w:rsidR="00F233AB" w:rsidRPr="00B02247">
        <w:t>liability</w:t>
      </w:r>
      <w:r w:rsidR="005B2A41">
        <w:t xml:space="preserve"> </w:t>
      </w:r>
      <w:r w:rsidR="00F233AB" w:rsidRPr="00B02247">
        <w:t>for</w:t>
      </w:r>
      <w:r w:rsidR="005B2A41">
        <w:t xml:space="preserve"> </w:t>
      </w:r>
      <w:r w:rsidR="00F233AB" w:rsidRPr="00B02247">
        <w:t>illegal</w:t>
      </w:r>
      <w:r w:rsidR="005B2A41">
        <w:t xml:space="preserve"> </w:t>
      </w:r>
      <w:r w:rsidR="00F233AB" w:rsidRPr="00B02247">
        <w:t>detention,</w:t>
      </w:r>
      <w:r w:rsidR="005B2A41">
        <w:t xml:space="preserve"> </w:t>
      </w:r>
      <w:r w:rsidR="00F233AB" w:rsidRPr="00B02247">
        <w:t>when</w:t>
      </w:r>
      <w:r w:rsidR="005B2A41">
        <w:t xml:space="preserve"> </w:t>
      </w:r>
      <w:r w:rsidR="00F233AB" w:rsidRPr="00B02247">
        <w:t>damage</w:t>
      </w:r>
      <w:r w:rsidR="005B2A41">
        <w:t xml:space="preserve"> </w:t>
      </w:r>
      <w:r w:rsidR="00F233AB" w:rsidRPr="00B02247">
        <w:t>is</w:t>
      </w:r>
      <w:r w:rsidR="005B2A41">
        <w:t xml:space="preserve"> </w:t>
      </w:r>
      <w:r w:rsidR="00F233AB" w:rsidRPr="00B02247">
        <w:t>suffered</w:t>
      </w:r>
      <w:r w:rsidR="005B2A41">
        <w:t xml:space="preserve"> </w:t>
      </w:r>
      <w:r w:rsidR="00F233AB" w:rsidRPr="00B02247">
        <w:t>(Article</w:t>
      </w:r>
      <w:r w:rsidR="005B2A41">
        <w:t xml:space="preserve"> </w:t>
      </w:r>
      <w:r w:rsidR="00F233AB" w:rsidRPr="00B02247">
        <w:t>6(3));</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Further</w:t>
      </w:r>
      <w:r w:rsidR="005B2A41">
        <w:t xml:space="preserve"> </w:t>
      </w:r>
      <w:r w:rsidR="00F233AB" w:rsidRPr="00B02247">
        <w:t>legislation</w:t>
      </w:r>
      <w:r w:rsidR="005B2A41">
        <w:t xml:space="preserve"> </w:t>
      </w:r>
      <w:r w:rsidR="00F233AB" w:rsidRPr="00B02247">
        <w:t>shall</w:t>
      </w:r>
      <w:r w:rsidR="005B2A41">
        <w:t xml:space="preserve"> </w:t>
      </w:r>
      <w:r w:rsidR="00F233AB" w:rsidRPr="00B02247">
        <w:t>provide</w:t>
      </w:r>
      <w:r w:rsidR="005B2A41">
        <w:t xml:space="preserve"> </w:t>
      </w:r>
      <w:r w:rsidR="00F233AB" w:rsidRPr="00B02247">
        <w:t>for</w:t>
      </w:r>
      <w:r w:rsidR="005B2A41">
        <w:t xml:space="preserve"> </w:t>
      </w:r>
      <w:r w:rsidR="00F233AB" w:rsidRPr="00B02247">
        <w:t>the</w:t>
      </w:r>
      <w:r w:rsidR="005B2A41">
        <w:t xml:space="preserve"> </w:t>
      </w:r>
      <w:r w:rsidR="00F233AB" w:rsidRPr="00B02247">
        <w:t>regime</w:t>
      </w:r>
      <w:r w:rsidR="005B2A41">
        <w:t xml:space="preserve"> </w:t>
      </w:r>
      <w:r w:rsidR="00F233AB" w:rsidRPr="00B02247">
        <w:t>of</w:t>
      </w:r>
      <w:r w:rsidR="005B2A41">
        <w:t xml:space="preserve"> </w:t>
      </w:r>
      <w:r w:rsidR="00F233AB" w:rsidRPr="00B02247">
        <w:t>compensation</w:t>
      </w:r>
      <w:r w:rsidR="005B2A41">
        <w:t xml:space="preserve"> </w:t>
      </w:r>
      <w:r w:rsidR="00F233AB" w:rsidRPr="00B02247">
        <w:t>owed</w:t>
      </w:r>
      <w:r w:rsidR="005B2A41">
        <w:t xml:space="preserve"> </w:t>
      </w:r>
      <w:r w:rsidR="00F233AB" w:rsidRPr="00B02247">
        <w:t>by</w:t>
      </w:r>
      <w:r w:rsidR="005B2A41">
        <w:t xml:space="preserve"> </w:t>
      </w:r>
      <w:r w:rsidR="00F233AB" w:rsidRPr="00B02247">
        <w:t>the</w:t>
      </w:r>
      <w:r w:rsidR="005B2A41">
        <w:t xml:space="preserve"> </w:t>
      </w:r>
      <w:r w:rsidR="00F233AB" w:rsidRPr="00B02247">
        <w:t>State</w:t>
      </w:r>
      <w:r w:rsidR="005B2A41">
        <w:t xml:space="preserve"> </w:t>
      </w:r>
      <w:r w:rsidR="00F233AB" w:rsidRPr="00B02247">
        <w:t>to</w:t>
      </w:r>
      <w:r w:rsidR="005B2A41">
        <w:t xml:space="preserve"> </w:t>
      </w:r>
      <w:r w:rsidR="00F233AB" w:rsidRPr="00B02247">
        <w:t>individuals</w:t>
      </w:r>
      <w:r w:rsidR="005B2A41">
        <w:t xml:space="preserve"> </w:t>
      </w:r>
      <w:r w:rsidR="00F233AB" w:rsidRPr="00B02247">
        <w:t>deprived</w:t>
      </w:r>
      <w:r w:rsidR="005B2A41">
        <w:t xml:space="preserve"> </w:t>
      </w:r>
      <w:r w:rsidR="00F233AB" w:rsidRPr="00B02247">
        <w:t>of</w:t>
      </w:r>
      <w:r w:rsidR="005B2A41">
        <w:t xml:space="preserve"> </w:t>
      </w:r>
      <w:r w:rsidR="00F233AB" w:rsidRPr="00B02247">
        <w:t>their</w:t>
      </w:r>
      <w:r w:rsidR="005B2A41">
        <w:t xml:space="preserve"> </w:t>
      </w:r>
      <w:r w:rsidR="00F233AB" w:rsidRPr="00B02247">
        <w:t>personal</w:t>
      </w:r>
      <w:r w:rsidR="005B2A41">
        <w:t xml:space="preserve"> </w:t>
      </w:r>
      <w:r w:rsidR="00F233AB" w:rsidRPr="00B02247">
        <w:t>freedom</w:t>
      </w:r>
      <w:r w:rsidR="005B2A41">
        <w:t xml:space="preserve"> </w:t>
      </w:r>
      <w:r w:rsidR="00F233AB" w:rsidRPr="00B02247">
        <w:t>(Article</w:t>
      </w:r>
      <w:r w:rsidR="005B2A41">
        <w:t xml:space="preserve"> </w:t>
      </w:r>
      <w:r w:rsidR="00F233AB" w:rsidRPr="00B02247">
        <w:t>7</w:t>
      </w:r>
      <w:r w:rsidR="005B2A41">
        <w:t xml:space="preserve"> </w:t>
      </w:r>
      <w:r w:rsidR="00F233AB" w:rsidRPr="00B02247">
        <w:t>(4)).</w:t>
      </w:r>
      <w:r w:rsidR="005B2A41">
        <w:t xml:space="preserve"> </w:t>
      </w:r>
      <w:r w:rsidR="00F233AB" w:rsidRPr="00B02247">
        <w:t>The</w:t>
      </w:r>
      <w:r w:rsidR="005B2A41">
        <w:t xml:space="preserve"> </w:t>
      </w:r>
      <w:r w:rsidR="00F233AB" w:rsidRPr="00B02247">
        <w:t>Code</w:t>
      </w:r>
      <w:r w:rsidR="005B2A41">
        <w:t xml:space="preserve"> </w:t>
      </w:r>
      <w:r w:rsidR="00F233AB" w:rsidRPr="00B02247">
        <w:t>of</w:t>
      </w:r>
      <w:r w:rsidR="005B2A41">
        <w:t xml:space="preserve"> </w:t>
      </w:r>
      <w:r w:rsidR="00F233AB" w:rsidRPr="00B02247">
        <w:t>Criminal</w:t>
      </w:r>
      <w:r w:rsidR="005B2A41">
        <w:t xml:space="preserve"> </w:t>
      </w:r>
      <w:r w:rsidR="00F233AB" w:rsidRPr="00B02247">
        <w:t>Procedure</w:t>
      </w:r>
      <w:r w:rsidR="005B2A41">
        <w:t xml:space="preserve"> </w:t>
      </w:r>
      <w:r w:rsidR="00F233AB" w:rsidRPr="00B02247">
        <w:t>(CCP)</w:t>
      </w:r>
      <w:r w:rsidR="005B2A41">
        <w:t xml:space="preserve"> </w:t>
      </w:r>
      <w:r w:rsidR="00F233AB" w:rsidRPr="00B02247">
        <w:t>describes</w:t>
      </w:r>
      <w:r w:rsidR="005B2A41">
        <w:t xml:space="preserve"> </w:t>
      </w:r>
      <w:r w:rsidR="00F233AB" w:rsidRPr="00B02247">
        <w:t>the</w:t>
      </w:r>
      <w:r w:rsidR="005B2A41">
        <w:t xml:space="preserve"> </w:t>
      </w:r>
      <w:r w:rsidR="00F233AB" w:rsidRPr="00B02247">
        <w:t>abovementioned</w:t>
      </w:r>
      <w:r w:rsidR="005B2A41">
        <w:t xml:space="preserve"> </w:t>
      </w:r>
      <w:r w:rsidR="00F233AB" w:rsidRPr="00B02247">
        <w:t>regime</w:t>
      </w:r>
      <w:r w:rsidR="005B2A41">
        <w:t xml:space="preserve"> </w:t>
      </w:r>
      <w:r w:rsidR="00F233AB" w:rsidRPr="00B02247">
        <w:t>in</w:t>
      </w:r>
      <w:r w:rsidR="005B2A41">
        <w:t xml:space="preserve"> </w:t>
      </w:r>
      <w:r w:rsidR="00F233AB" w:rsidRPr="00B02247">
        <w:t>cases</w:t>
      </w:r>
      <w:r w:rsidR="005B2A41">
        <w:t xml:space="preserve"> </w:t>
      </w:r>
      <w:r w:rsidR="00F233AB" w:rsidRPr="00B02247">
        <w:t>of</w:t>
      </w:r>
      <w:r w:rsidR="005B2A41">
        <w:t xml:space="preserve"> </w:t>
      </w:r>
      <w:r w:rsidR="00F233AB" w:rsidRPr="00B02247">
        <w:t>illegal</w:t>
      </w:r>
      <w:r w:rsidR="005B2A41">
        <w:t xml:space="preserve"> </w:t>
      </w:r>
      <w:r w:rsidR="00F233AB" w:rsidRPr="00B02247">
        <w:t>or</w:t>
      </w:r>
      <w:r w:rsidR="005B2A41">
        <w:t xml:space="preserve"> </w:t>
      </w:r>
      <w:r w:rsidR="00F233AB" w:rsidRPr="00B02247">
        <w:t>unfair</w:t>
      </w:r>
      <w:r w:rsidR="005B2A41">
        <w:t xml:space="preserve"> </w:t>
      </w:r>
      <w:r w:rsidR="00F233AB" w:rsidRPr="00B02247">
        <w:t>conviction</w:t>
      </w:r>
      <w:r w:rsidR="005B2A41">
        <w:t xml:space="preserve"> </w:t>
      </w:r>
      <w:r w:rsidR="00F233AB" w:rsidRPr="00B02247">
        <w:t>or</w:t>
      </w:r>
      <w:r w:rsidR="005B2A41">
        <w:t xml:space="preserve"> </w:t>
      </w:r>
      <w:r w:rsidR="00F233AB" w:rsidRPr="00B02247">
        <w:t>detention</w:t>
      </w:r>
      <w:r w:rsidR="005B2A41">
        <w:t xml:space="preserve"> </w:t>
      </w:r>
      <w:r w:rsidR="00F233AB" w:rsidRPr="00B02247">
        <w:t>(Articles</w:t>
      </w:r>
      <w:r w:rsidR="005B2A41">
        <w:t xml:space="preserve"> </w:t>
      </w:r>
      <w:r w:rsidR="00F233AB" w:rsidRPr="00B02247">
        <w:t>533</w:t>
      </w:r>
      <w:r w:rsidR="00915034">
        <w:t>–</w:t>
      </w:r>
      <w:r w:rsidR="00F233AB" w:rsidRPr="00B02247">
        <w:t>545).</w:t>
      </w:r>
      <w:r w:rsidR="005B2A41">
        <w:t xml:space="preserve"> </w:t>
      </w:r>
      <w:r w:rsidR="00F233AB" w:rsidRPr="00B02247">
        <w:t>The</w:t>
      </w:r>
      <w:r w:rsidR="005B2A41">
        <w:t xml:space="preserve"> </w:t>
      </w:r>
      <w:r w:rsidR="00F233AB" w:rsidRPr="00B02247">
        <w:t>relevant</w:t>
      </w:r>
      <w:r w:rsidR="005B2A41">
        <w:t xml:space="preserve"> </w:t>
      </w:r>
      <w:r w:rsidR="00F233AB" w:rsidRPr="00B02247">
        <w:t>provisions</w:t>
      </w:r>
      <w:r w:rsidR="005B2A41">
        <w:t xml:space="preserve"> </w:t>
      </w:r>
      <w:r w:rsidR="00F233AB" w:rsidRPr="00B02247">
        <w:t>were</w:t>
      </w:r>
      <w:r w:rsidR="005B2A41">
        <w:t xml:space="preserve"> </w:t>
      </w:r>
      <w:r w:rsidR="00F233AB" w:rsidRPr="00B02247">
        <w:t>amended</w:t>
      </w:r>
      <w:r w:rsidR="005B2A41">
        <w:t xml:space="preserve"> </w:t>
      </w:r>
      <w:r w:rsidR="00F233AB" w:rsidRPr="00B02247">
        <w:t>by</w:t>
      </w:r>
      <w:r w:rsidR="005B2A41">
        <w:t xml:space="preserve"> </w:t>
      </w:r>
      <w:r w:rsidR="00F233AB" w:rsidRPr="00B02247">
        <w:t>Article</w:t>
      </w:r>
      <w:r w:rsidR="005B2A41">
        <w:t xml:space="preserve"> </w:t>
      </w:r>
      <w:r w:rsidR="00F233AB" w:rsidRPr="00B02247">
        <w:t>26</w:t>
      </w:r>
      <w:r w:rsidR="005B2A41">
        <w:t xml:space="preserve"> </w:t>
      </w:r>
      <w:r w:rsidR="00F233AB" w:rsidRPr="00B02247">
        <w:t>of</w:t>
      </w:r>
      <w:r w:rsidR="005B2A41">
        <w:t xml:space="preserve"> </w:t>
      </w:r>
      <w:r w:rsidR="00F233AB" w:rsidRPr="00B02247">
        <w:t>Law</w:t>
      </w:r>
      <w:r w:rsidR="005B2A41">
        <w:t xml:space="preserve"> </w:t>
      </w:r>
      <w:r w:rsidR="00F233AB" w:rsidRPr="00B02247">
        <w:t>2915/2001,</w:t>
      </w:r>
      <w:r w:rsidR="005B2A41">
        <w:t xml:space="preserve"> </w:t>
      </w:r>
      <w:r w:rsidR="00F233AB" w:rsidRPr="00B02247">
        <w:t>so</w:t>
      </w:r>
      <w:r w:rsidR="005B2A41">
        <w:t xml:space="preserve"> </w:t>
      </w:r>
      <w:r w:rsidR="00F233AB" w:rsidRPr="00B02247">
        <w:t>as</w:t>
      </w:r>
      <w:r w:rsidR="005B2A41">
        <w:t xml:space="preserve"> </w:t>
      </w:r>
      <w:r w:rsidR="00F233AB" w:rsidRPr="00B02247">
        <w:t>to</w:t>
      </w:r>
      <w:r w:rsidR="005B2A41">
        <w:t xml:space="preserve"> </w:t>
      </w:r>
      <w:r w:rsidR="00F233AB" w:rsidRPr="00B02247">
        <w:t>be</w:t>
      </w:r>
      <w:r w:rsidR="005B2A41">
        <w:t xml:space="preserve"> </w:t>
      </w:r>
      <w:r w:rsidR="00F233AB" w:rsidRPr="00B02247">
        <w:t>in</w:t>
      </w:r>
      <w:r w:rsidR="005B2A41">
        <w:t xml:space="preserve"> </w:t>
      </w:r>
      <w:r w:rsidR="00F233AB" w:rsidRPr="00B02247">
        <w:t>conformity</w:t>
      </w:r>
      <w:r w:rsidR="005B2A41">
        <w:t xml:space="preserve"> </w:t>
      </w:r>
      <w:r w:rsidR="00F233AB" w:rsidRPr="00B02247">
        <w:t>with</w:t>
      </w:r>
      <w:r w:rsidR="005B2A41">
        <w:t xml:space="preserve"> </w:t>
      </w:r>
      <w:r w:rsidR="00F233AB" w:rsidRPr="00B02247">
        <w:t>the</w:t>
      </w:r>
      <w:r w:rsidR="005B2A41">
        <w:t xml:space="preserve"> </w:t>
      </w:r>
      <w:r w:rsidR="00F233AB" w:rsidRPr="00B02247">
        <w:t>case</w:t>
      </w:r>
      <w:r w:rsidR="005B2A41">
        <w:t xml:space="preserve"> </w:t>
      </w:r>
      <w:r w:rsidR="00F233AB" w:rsidRPr="00B02247">
        <w:t>law</w:t>
      </w:r>
      <w:r w:rsidR="005B2A41">
        <w:t xml:space="preserve"> </w:t>
      </w:r>
      <w:r w:rsidR="00F233AB" w:rsidRPr="00B02247">
        <w:t>of</w:t>
      </w:r>
      <w:r w:rsidR="005B2A41">
        <w:t xml:space="preserve"> </w:t>
      </w:r>
      <w:r w:rsidR="00F233AB" w:rsidRPr="00B02247">
        <w:t>the</w:t>
      </w:r>
      <w:r w:rsidR="005B2A41">
        <w:t xml:space="preserve"> </w:t>
      </w:r>
      <w:r w:rsidR="00F233AB" w:rsidRPr="00B02247">
        <w:t>European</w:t>
      </w:r>
      <w:r w:rsidR="005B2A41">
        <w:t xml:space="preserve"> </w:t>
      </w:r>
      <w:r w:rsidR="00F233AB" w:rsidRPr="00B02247">
        <w:t>Court</w:t>
      </w:r>
      <w:r w:rsidR="005B2A41">
        <w:t xml:space="preserve"> </w:t>
      </w:r>
      <w:r w:rsidR="00F233AB" w:rsidRPr="00B02247">
        <w:t>of</w:t>
      </w:r>
      <w:r w:rsidR="005B2A41">
        <w:t xml:space="preserve"> </w:t>
      </w:r>
      <w:r w:rsidR="00F233AB" w:rsidRPr="00B02247">
        <w:t>Human</w:t>
      </w:r>
      <w:r w:rsidR="005B2A41">
        <w:t xml:space="preserve"> </w:t>
      </w:r>
      <w:r w:rsidR="00F233AB" w:rsidRPr="00B02247">
        <w:t>Rights.</w:t>
      </w:r>
      <w:r w:rsidR="005B2A41">
        <w:t xml:space="preserve"> </w:t>
      </w:r>
    </w:p>
    <w:p w:rsidR="00F233AB" w:rsidRPr="00B02247" w:rsidRDefault="00F233AB" w:rsidP="00E1307D">
      <w:pPr>
        <w:pStyle w:val="SingleTxtG"/>
      </w:pPr>
      <w:r w:rsidRPr="00B02247">
        <w:t>67.</w:t>
      </w:r>
      <w:r w:rsidRPr="00B02247">
        <w:tab/>
        <w:t>Other</w:t>
      </w:r>
      <w:r w:rsidR="005B2A41">
        <w:t xml:space="preserve"> </w:t>
      </w:r>
      <w:r w:rsidRPr="00B02247">
        <w:t>express</w:t>
      </w:r>
      <w:r w:rsidR="005B2A41">
        <w:t xml:space="preserve"> </w:t>
      </w:r>
      <w:r w:rsidRPr="00B02247">
        <w:t>provisions</w:t>
      </w:r>
      <w:r w:rsidR="005B2A41">
        <w:t xml:space="preserve"> </w:t>
      </w:r>
      <w:r w:rsidRPr="00B02247">
        <w:t>on</w:t>
      </w:r>
      <w:r w:rsidR="005B2A41">
        <w:t xml:space="preserve"> </w:t>
      </w:r>
      <w:r w:rsidRPr="00B02247">
        <w:t>compensation</w:t>
      </w:r>
      <w:r w:rsidR="005B2A41">
        <w:t xml:space="preserve"> </w:t>
      </w:r>
      <w:r w:rsidRPr="00B02247">
        <w:t>can</w:t>
      </w:r>
      <w:r w:rsidR="005B2A41">
        <w:t xml:space="preserve"> </w:t>
      </w:r>
      <w:r w:rsidRPr="00B02247">
        <w:t>also</w:t>
      </w:r>
      <w:r w:rsidR="005B2A41">
        <w:t xml:space="preserve"> </w:t>
      </w:r>
      <w:r w:rsidRPr="00B02247">
        <w:t>be</w:t>
      </w:r>
      <w:r w:rsidR="005B2A41">
        <w:t xml:space="preserve"> </w:t>
      </w:r>
      <w:r w:rsidRPr="00B02247">
        <w:t>found</w:t>
      </w:r>
      <w:r w:rsidR="005B2A41">
        <w:t xml:space="preserve"> </w:t>
      </w:r>
      <w:r w:rsidRPr="00B02247">
        <w:t>in</w:t>
      </w:r>
      <w:r w:rsidR="005B2A41">
        <w:t xml:space="preserve"> </w:t>
      </w:r>
      <w:r w:rsidRPr="00B02247">
        <w:t>the</w:t>
      </w:r>
      <w:r w:rsidR="005B2A41">
        <w:t xml:space="preserve"> </w:t>
      </w:r>
      <w:r w:rsidRPr="00B02247">
        <w:t>Greek</w:t>
      </w:r>
      <w:r w:rsidR="005B2A41">
        <w:t xml:space="preserve"> </w:t>
      </w:r>
      <w:r w:rsidRPr="00B02247">
        <w:t>Penal</w:t>
      </w:r>
      <w:r w:rsidR="005B2A41">
        <w:t xml:space="preserve"> </w:t>
      </w:r>
      <w:r w:rsidRPr="00B02247">
        <w:t>Code:</w:t>
      </w:r>
      <w:r w:rsidR="005B2A41">
        <w:t xml:space="preserve"> </w:t>
      </w:r>
      <w:r w:rsidRPr="00B02247">
        <w:t>for</w:t>
      </w:r>
      <w:r w:rsidR="005B2A41">
        <w:t xml:space="preserve"> </w:t>
      </w:r>
      <w:r w:rsidRPr="00B02247">
        <w:t>instance,</w:t>
      </w:r>
      <w:r w:rsidR="005B2A41">
        <w:t xml:space="preserve"> </w:t>
      </w:r>
      <w:r w:rsidRPr="00B02247">
        <w:t>137D</w:t>
      </w:r>
      <w:r w:rsidR="005B2A41">
        <w:t xml:space="preserve"> </w:t>
      </w:r>
      <w:r w:rsidRPr="00B02247">
        <w:t>confers</w:t>
      </w:r>
      <w:r w:rsidR="005B2A41">
        <w:t xml:space="preserve"> </w:t>
      </w:r>
      <w:r w:rsidRPr="00B02247">
        <w:t>such</w:t>
      </w:r>
      <w:r w:rsidR="005B2A41">
        <w:t xml:space="preserve"> </w:t>
      </w:r>
      <w:r w:rsidRPr="00B02247">
        <w:t>right</w:t>
      </w:r>
      <w:r w:rsidR="005B2A41">
        <w:t xml:space="preserve"> </w:t>
      </w:r>
      <w:r w:rsidRPr="00B02247">
        <w:t>upon</w:t>
      </w:r>
      <w:r w:rsidR="005B2A41">
        <w:t xml:space="preserve"> </w:t>
      </w:r>
      <w:r w:rsidRPr="00B02247">
        <w:t>individuals</w:t>
      </w:r>
      <w:r w:rsidR="005B2A41">
        <w:t xml:space="preserve"> </w:t>
      </w:r>
      <w:r w:rsidRPr="00B02247">
        <w:t>who</w:t>
      </w:r>
      <w:r w:rsidR="005B2A41">
        <w:t xml:space="preserve"> </w:t>
      </w:r>
      <w:r w:rsidRPr="00B02247">
        <w:t>have</w:t>
      </w:r>
      <w:r w:rsidR="005B2A41">
        <w:t xml:space="preserve"> </w:t>
      </w:r>
      <w:r w:rsidRPr="00B02247">
        <w:t>been</w:t>
      </w:r>
      <w:r w:rsidR="005B2A41">
        <w:t xml:space="preserve"> </w:t>
      </w:r>
      <w:r w:rsidRPr="00B02247">
        <w:t>subjected</w:t>
      </w:r>
      <w:r w:rsidR="005B2A41">
        <w:t xml:space="preserve"> </w:t>
      </w:r>
      <w:r w:rsidRPr="00B02247">
        <w:t>to</w:t>
      </w:r>
      <w:r w:rsidR="005B2A41">
        <w:t xml:space="preserve"> </w:t>
      </w:r>
      <w:r w:rsidRPr="00B02247">
        <w:lastRenderedPageBreak/>
        <w:t>torture</w:t>
      </w:r>
      <w:r w:rsidR="005B2A41">
        <w:t xml:space="preserve"> </w:t>
      </w:r>
      <w:r w:rsidRPr="00B02247">
        <w:t>or</w:t>
      </w:r>
      <w:r w:rsidR="005B2A41">
        <w:t xml:space="preserve"> </w:t>
      </w:r>
      <w:r w:rsidRPr="00B02247">
        <w:t>other</w:t>
      </w:r>
      <w:r w:rsidR="005B2A41">
        <w:t xml:space="preserve"> </w:t>
      </w:r>
      <w:r w:rsidRPr="00B02247">
        <w:t>cruel</w:t>
      </w:r>
      <w:r w:rsidR="005B2A41">
        <w:t xml:space="preserve"> </w:t>
      </w:r>
      <w:r w:rsidRPr="00B02247">
        <w:t>and</w:t>
      </w:r>
      <w:r w:rsidR="005B2A41">
        <w:t xml:space="preserve"> </w:t>
      </w:r>
      <w:r w:rsidRPr="00B02247">
        <w:t>inhuman</w:t>
      </w:r>
      <w:r w:rsidR="005B2A41">
        <w:t xml:space="preserve"> </w:t>
      </w:r>
      <w:r w:rsidRPr="00B02247">
        <w:t>treatment</w:t>
      </w:r>
      <w:r w:rsidR="005B2A41">
        <w:t xml:space="preserve"> </w:t>
      </w:r>
      <w:r w:rsidRPr="00B02247">
        <w:t>affecting</w:t>
      </w:r>
      <w:r w:rsidR="005B2A41">
        <w:t xml:space="preserve"> </w:t>
      </w:r>
      <w:r w:rsidRPr="00B02247">
        <w:t>their</w:t>
      </w:r>
      <w:r w:rsidR="005B2A41">
        <w:t xml:space="preserve"> </w:t>
      </w:r>
      <w:r w:rsidRPr="00B02247">
        <w:t>dignity</w:t>
      </w:r>
      <w:r w:rsidR="005B2A41">
        <w:t xml:space="preserve"> </w:t>
      </w:r>
      <w:r w:rsidRPr="00B02247">
        <w:t>by</w:t>
      </w:r>
      <w:r w:rsidR="005B2A41">
        <w:t xml:space="preserve"> </w:t>
      </w:r>
      <w:r w:rsidRPr="00B02247">
        <w:t>State</w:t>
      </w:r>
      <w:r w:rsidR="005B2A41">
        <w:t xml:space="preserve"> </w:t>
      </w:r>
      <w:r w:rsidRPr="00B02247">
        <w:t>officials</w:t>
      </w:r>
      <w:r w:rsidR="005B2A41">
        <w:t xml:space="preserve"> </w:t>
      </w:r>
      <w:r w:rsidRPr="00B02247">
        <w:t>who</w:t>
      </w:r>
      <w:r w:rsidR="005B2A41">
        <w:t xml:space="preserve"> </w:t>
      </w:r>
      <w:r w:rsidRPr="00B02247">
        <w:t>are</w:t>
      </w:r>
      <w:r w:rsidR="005B2A41">
        <w:t xml:space="preserve"> </w:t>
      </w:r>
      <w:r w:rsidRPr="00B02247">
        <w:t>responsible</w:t>
      </w:r>
      <w:r w:rsidR="005B2A41">
        <w:t xml:space="preserve"> </w:t>
      </w:r>
      <w:r w:rsidRPr="00B02247">
        <w:t>for</w:t>
      </w:r>
      <w:r w:rsidR="005B2A41">
        <w:t xml:space="preserve"> </w:t>
      </w:r>
      <w:r w:rsidRPr="00B02247">
        <w:t>their</w:t>
      </w:r>
      <w:r w:rsidR="005B2A41">
        <w:t xml:space="preserve"> </w:t>
      </w:r>
      <w:r w:rsidRPr="00B02247">
        <w:t>prosecution,</w:t>
      </w:r>
      <w:r w:rsidR="005B2A41">
        <w:t xml:space="preserve"> </w:t>
      </w:r>
      <w:r w:rsidRPr="00B02247">
        <w:t>examination</w:t>
      </w:r>
      <w:r w:rsidR="005B2A41">
        <w:t xml:space="preserve"> </w:t>
      </w:r>
      <w:r w:rsidRPr="00B02247">
        <w:t>or</w:t>
      </w:r>
      <w:r w:rsidR="005B2A41">
        <w:t xml:space="preserve"> </w:t>
      </w:r>
      <w:r w:rsidRPr="00B02247">
        <w:t>detention.</w:t>
      </w:r>
    </w:p>
    <w:p w:rsidR="00F233AB" w:rsidRPr="00B02247" w:rsidRDefault="00F233AB" w:rsidP="00E1307D">
      <w:pPr>
        <w:pStyle w:val="SingleTxtG"/>
      </w:pPr>
      <w:r w:rsidRPr="00B02247">
        <w:t>68.</w:t>
      </w:r>
      <w:r w:rsidRPr="00B02247">
        <w:tab/>
        <w:t>The</w:t>
      </w:r>
      <w:r w:rsidR="005B2A41">
        <w:t xml:space="preserve"> </w:t>
      </w:r>
      <w:r w:rsidRPr="00B02247">
        <w:t>aggrieved</w:t>
      </w:r>
      <w:r w:rsidR="005B2A41">
        <w:t xml:space="preserve"> </w:t>
      </w:r>
      <w:r w:rsidRPr="00B02247">
        <w:t>party,</w:t>
      </w:r>
      <w:r w:rsidR="005B2A41">
        <w:t xml:space="preserve"> </w:t>
      </w:r>
      <w:r w:rsidRPr="00B02247">
        <w:t>as</w:t>
      </w:r>
      <w:r w:rsidR="005B2A41">
        <w:t xml:space="preserve"> </w:t>
      </w:r>
      <w:r w:rsidRPr="00B02247">
        <w:t>well</w:t>
      </w:r>
      <w:r w:rsidR="005B2A41">
        <w:t xml:space="preserve"> </w:t>
      </w:r>
      <w:r w:rsidRPr="00B02247">
        <w:t>as</w:t>
      </w:r>
      <w:r w:rsidR="005B2A41">
        <w:t xml:space="preserve"> </w:t>
      </w:r>
      <w:r w:rsidRPr="00B02247">
        <w:t>the</w:t>
      </w:r>
      <w:r w:rsidR="005B2A41">
        <w:t xml:space="preserve"> </w:t>
      </w:r>
      <w:r w:rsidRPr="00B02247">
        <w:t>party</w:t>
      </w:r>
      <w:r w:rsidR="005B2A41">
        <w:t xml:space="preserve"> </w:t>
      </w:r>
      <w:r w:rsidRPr="00B02247">
        <w:t>who</w:t>
      </w:r>
      <w:r w:rsidR="005B2A41">
        <w:t xml:space="preserve"> </w:t>
      </w:r>
      <w:r w:rsidRPr="00B02247">
        <w:t>sustained</w:t>
      </w:r>
      <w:r w:rsidR="005B2A41">
        <w:t xml:space="preserve"> </w:t>
      </w:r>
      <w:r w:rsidRPr="00B02247">
        <w:t>an</w:t>
      </w:r>
      <w:r w:rsidR="005B2A41">
        <w:t xml:space="preserve"> </w:t>
      </w:r>
      <w:r w:rsidRPr="00B02247">
        <w:t>immediate</w:t>
      </w:r>
      <w:r w:rsidR="005B2A41">
        <w:t xml:space="preserve"> </w:t>
      </w:r>
      <w:r w:rsidRPr="00B02247">
        <w:t>damage</w:t>
      </w:r>
      <w:r w:rsidR="005B2A41">
        <w:t xml:space="preserve"> </w:t>
      </w:r>
      <w:r w:rsidRPr="00B02247">
        <w:t>from</w:t>
      </w:r>
      <w:r w:rsidR="005B2A41">
        <w:t xml:space="preserve"> </w:t>
      </w:r>
      <w:r w:rsidRPr="00B02247">
        <w:t>the</w:t>
      </w:r>
      <w:r w:rsidR="005B2A41">
        <w:t xml:space="preserve"> </w:t>
      </w:r>
      <w:r w:rsidRPr="00B02247">
        <w:t>commission</w:t>
      </w:r>
      <w:r w:rsidR="005B2A41">
        <w:t xml:space="preserve"> </w:t>
      </w:r>
      <w:r w:rsidRPr="00B02247">
        <w:t>of</w:t>
      </w:r>
      <w:r w:rsidR="005B2A41">
        <w:t xml:space="preserve"> </w:t>
      </w:r>
      <w:r w:rsidRPr="00B02247">
        <w:t>the</w:t>
      </w:r>
      <w:r w:rsidR="005B2A41">
        <w:t xml:space="preserve"> </w:t>
      </w:r>
      <w:r w:rsidRPr="00B02247">
        <w:t>indictable</w:t>
      </w:r>
      <w:r w:rsidR="005B2A41">
        <w:t xml:space="preserve"> </w:t>
      </w:r>
      <w:r w:rsidRPr="00B02247">
        <w:t>act,</w:t>
      </w:r>
      <w:r w:rsidR="005B2A41">
        <w:t xml:space="preserve"> </w:t>
      </w:r>
      <w:r w:rsidRPr="00B02247">
        <w:t>may</w:t>
      </w:r>
      <w:r w:rsidR="005B2A41">
        <w:t xml:space="preserve"> </w:t>
      </w:r>
      <w:r w:rsidRPr="00B02247">
        <w:t>file</w:t>
      </w:r>
      <w:r w:rsidR="005B2A41">
        <w:t xml:space="preserve"> </w:t>
      </w:r>
      <w:r w:rsidRPr="00B02247">
        <w:t>a</w:t>
      </w:r>
      <w:r w:rsidR="005B2A41">
        <w:t xml:space="preserve"> </w:t>
      </w:r>
      <w:r w:rsidRPr="00B02247">
        <w:t>civil</w:t>
      </w:r>
      <w:r w:rsidR="005B2A41">
        <w:t xml:space="preserve"> </w:t>
      </w:r>
      <w:r w:rsidRPr="00B02247">
        <w:t>suit</w:t>
      </w:r>
      <w:r w:rsidR="005B2A41">
        <w:t xml:space="preserve"> </w:t>
      </w:r>
      <w:r w:rsidRPr="00B02247">
        <w:t>for</w:t>
      </w:r>
      <w:r w:rsidR="005B2A41">
        <w:t xml:space="preserve"> </w:t>
      </w:r>
      <w:r w:rsidRPr="00B02247">
        <w:t>damages</w:t>
      </w:r>
      <w:r w:rsidR="005B2A41">
        <w:t xml:space="preserve"> </w:t>
      </w:r>
      <w:r w:rsidRPr="00B02247">
        <w:t>and</w:t>
      </w:r>
      <w:r w:rsidR="005B2A41">
        <w:t xml:space="preserve"> </w:t>
      </w:r>
      <w:r w:rsidRPr="00B02247">
        <w:t>restitution</w:t>
      </w:r>
      <w:r w:rsidR="005B2A41">
        <w:t xml:space="preserve"> </w:t>
      </w:r>
      <w:r w:rsidRPr="00B02247">
        <w:t>of</w:t>
      </w:r>
      <w:r w:rsidR="005B2A41">
        <w:t xml:space="preserve"> </w:t>
      </w:r>
      <w:r w:rsidRPr="00B02247">
        <w:t>the</w:t>
      </w:r>
      <w:r w:rsidR="005B2A41">
        <w:t xml:space="preserve"> </w:t>
      </w:r>
      <w:r w:rsidRPr="00B02247">
        <w:t>damage</w:t>
      </w:r>
      <w:r w:rsidR="005B2A41">
        <w:t xml:space="preserve"> </w:t>
      </w:r>
      <w:r w:rsidRPr="00B02247">
        <w:t>caused</w:t>
      </w:r>
      <w:r w:rsidR="005B2A41">
        <w:t xml:space="preserve"> </w:t>
      </w:r>
      <w:r w:rsidRPr="00B02247">
        <w:t>by</w:t>
      </w:r>
      <w:r w:rsidR="005B2A41">
        <w:t xml:space="preserve"> </w:t>
      </w:r>
      <w:r w:rsidRPr="00B02247">
        <w:t>the</w:t>
      </w:r>
      <w:r w:rsidR="005B2A41">
        <w:t xml:space="preserve"> </w:t>
      </w:r>
      <w:r w:rsidRPr="00B02247">
        <w:t>crime.</w:t>
      </w:r>
      <w:r w:rsidR="005B2A41">
        <w:t xml:space="preserve"> </w:t>
      </w:r>
      <w:r w:rsidRPr="00B02247">
        <w:t>The</w:t>
      </w:r>
      <w:r w:rsidR="005B2A41">
        <w:t xml:space="preserve"> </w:t>
      </w:r>
      <w:r w:rsidRPr="00B02247">
        <w:t>criminal</w:t>
      </w:r>
      <w:r w:rsidR="005B2A41">
        <w:t xml:space="preserve"> </w:t>
      </w:r>
      <w:r w:rsidRPr="00B02247">
        <w:t>court</w:t>
      </w:r>
      <w:r w:rsidR="005B2A41">
        <w:t xml:space="preserve"> </w:t>
      </w:r>
      <w:r w:rsidRPr="00B02247">
        <w:t>shall</w:t>
      </w:r>
      <w:r w:rsidR="005B2A41">
        <w:t xml:space="preserve"> </w:t>
      </w:r>
      <w:r w:rsidRPr="00B02247">
        <w:t>be</w:t>
      </w:r>
      <w:r w:rsidR="005B2A41">
        <w:t xml:space="preserve"> </w:t>
      </w:r>
      <w:r w:rsidRPr="00B02247">
        <w:t>bound</w:t>
      </w:r>
      <w:r w:rsidR="005B2A41">
        <w:t xml:space="preserve"> </w:t>
      </w:r>
      <w:r w:rsidRPr="00B02247">
        <w:t>to</w:t>
      </w:r>
      <w:r w:rsidR="005B2A41">
        <w:t xml:space="preserve"> </w:t>
      </w:r>
      <w:r w:rsidRPr="00B02247">
        <w:t>rule</w:t>
      </w:r>
      <w:r w:rsidR="005B2A41">
        <w:t xml:space="preserve"> </w:t>
      </w:r>
      <w:r w:rsidRPr="00B02247">
        <w:t>on</w:t>
      </w:r>
      <w:r w:rsidR="005B2A41">
        <w:t xml:space="preserve"> </w:t>
      </w:r>
      <w:r w:rsidRPr="00B02247">
        <w:t>the</w:t>
      </w:r>
      <w:r w:rsidR="005B2A41">
        <w:t xml:space="preserve"> </w:t>
      </w:r>
      <w:r w:rsidRPr="00B02247">
        <w:t>civil</w:t>
      </w:r>
      <w:r w:rsidR="005B2A41">
        <w:t xml:space="preserve"> </w:t>
      </w:r>
      <w:r w:rsidRPr="00B02247">
        <w:t>action</w:t>
      </w:r>
      <w:r w:rsidR="005B2A41">
        <w:t xml:space="preserve"> </w:t>
      </w:r>
      <w:r w:rsidRPr="00B02247">
        <w:t>and</w:t>
      </w:r>
      <w:r w:rsidR="005B2A41">
        <w:t xml:space="preserve"> </w:t>
      </w:r>
      <w:r w:rsidRPr="00B02247">
        <w:t>if</w:t>
      </w:r>
      <w:r w:rsidR="005B2A41">
        <w:t xml:space="preserve"> </w:t>
      </w:r>
      <w:r w:rsidRPr="00B02247">
        <w:t>it</w:t>
      </w:r>
      <w:r w:rsidR="005B2A41">
        <w:t xml:space="preserve"> </w:t>
      </w:r>
      <w:r w:rsidRPr="00B02247">
        <w:t>finds</w:t>
      </w:r>
      <w:r w:rsidR="005B2A41">
        <w:t xml:space="preserve"> </w:t>
      </w:r>
      <w:r w:rsidRPr="00B02247">
        <w:t>it</w:t>
      </w:r>
      <w:r w:rsidR="005B2A41">
        <w:t xml:space="preserve"> </w:t>
      </w:r>
      <w:r w:rsidRPr="00B02247">
        <w:t>to</w:t>
      </w:r>
      <w:r w:rsidR="005B2A41">
        <w:t xml:space="preserve"> </w:t>
      </w:r>
      <w:r w:rsidRPr="00B02247">
        <w:t>be</w:t>
      </w:r>
      <w:r w:rsidR="005B2A41">
        <w:t xml:space="preserve"> </w:t>
      </w:r>
      <w:r w:rsidRPr="00B02247">
        <w:t>founded,</w:t>
      </w:r>
      <w:r w:rsidR="005B2A41">
        <w:t xml:space="preserve"> </w:t>
      </w:r>
      <w:r w:rsidRPr="00B02247">
        <w:t>shall</w:t>
      </w:r>
      <w:r w:rsidR="005B2A41">
        <w:t xml:space="preserve"> </w:t>
      </w:r>
      <w:r w:rsidRPr="00B02247">
        <w:t>award</w:t>
      </w:r>
      <w:r w:rsidR="005B2A41">
        <w:t xml:space="preserve"> </w:t>
      </w:r>
      <w:r w:rsidRPr="00B02247">
        <w:t>the</w:t>
      </w:r>
      <w:r w:rsidR="005B2A41">
        <w:t xml:space="preserve"> </w:t>
      </w:r>
      <w:r w:rsidRPr="00B02247">
        <w:t>requested</w:t>
      </w:r>
      <w:r w:rsidR="005B2A41">
        <w:t xml:space="preserve"> </w:t>
      </w:r>
      <w:r w:rsidRPr="00B02247">
        <w:t>sum</w:t>
      </w:r>
      <w:r w:rsidR="005B2A41">
        <w:t xml:space="preserve"> </w:t>
      </w:r>
      <w:r w:rsidRPr="00B02247">
        <w:t>either</w:t>
      </w:r>
      <w:r w:rsidR="005B2A41">
        <w:t xml:space="preserve"> </w:t>
      </w:r>
      <w:r w:rsidRPr="00B02247">
        <w:t>wholly</w:t>
      </w:r>
      <w:r w:rsidR="005B2A41">
        <w:t xml:space="preserve"> </w:t>
      </w:r>
      <w:r w:rsidRPr="00B02247">
        <w:t>or</w:t>
      </w:r>
      <w:r w:rsidR="005B2A41">
        <w:t xml:space="preserve"> </w:t>
      </w:r>
      <w:r w:rsidRPr="00B02247">
        <w:t>in</w:t>
      </w:r>
      <w:r w:rsidR="005B2A41">
        <w:t xml:space="preserve"> </w:t>
      </w:r>
      <w:r w:rsidRPr="00B02247">
        <w:t>part.</w:t>
      </w:r>
      <w:r w:rsidR="005B2A41">
        <w:t xml:space="preserve"> </w:t>
      </w:r>
      <w:r w:rsidRPr="00B02247">
        <w:t>The</w:t>
      </w:r>
      <w:r w:rsidR="005B2A41">
        <w:t xml:space="preserve"> </w:t>
      </w:r>
      <w:r w:rsidRPr="00B02247">
        <w:t>criminal</w:t>
      </w:r>
      <w:r w:rsidR="005B2A41">
        <w:t xml:space="preserve"> </w:t>
      </w:r>
      <w:r w:rsidRPr="00B02247">
        <w:t>court</w:t>
      </w:r>
      <w:r w:rsidR="005B2A41">
        <w:t xml:space="preserve"> </w:t>
      </w:r>
      <w:r w:rsidRPr="00B02247">
        <w:t>may</w:t>
      </w:r>
      <w:r w:rsidR="005B2A41">
        <w:t xml:space="preserve"> </w:t>
      </w:r>
      <w:r w:rsidRPr="00B02247">
        <w:t>also</w:t>
      </w:r>
      <w:r w:rsidR="005B2A41">
        <w:t xml:space="preserve"> </w:t>
      </w:r>
      <w:r w:rsidRPr="00B02247">
        <w:t>remit</w:t>
      </w:r>
      <w:r w:rsidR="005B2A41">
        <w:t xml:space="preserve"> </w:t>
      </w:r>
      <w:r w:rsidRPr="00B02247">
        <w:t>the</w:t>
      </w:r>
      <w:r w:rsidR="005B2A41">
        <w:t xml:space="preserve"> </w:t>
      </w:r>
      <w:r w:rsidRPr="00B02247">
        <w:t>civil</w:t>
      </w:r>
      <w:r w:rsidR="005B2A41">
        <w:t xml:space="preserve"> </w:t>
      </w:r>
      <w:r w:rsidRPr="00B02247">
        <w:t>claims</w:t>
      </w:r>
      <w:r w:rsidR="005B2A41">
        <w:t xml:space="preserve"> </w:t>
      </w:r>
      <w:r w:rsidRPr="00B02247">
        <w:t>for</w:t>
      </w:r>
      <w:r w:rsidR="005B2A41">
        <w:t xml:space="preserve"> </w:t>
      </w:r>
      <w:r w:rsidRPr="00B02247">
        <w:t>material</w:t>
      </w:r>
      <w:r w:rsidR="005B2A41">
        <w:t xml:space="preserve"> </w:t>
      </w:r>
      <w:r w:rsidRPr="00B02247">
        <w:t>damages</w:t>
      </w:r>
      <w:r w:rsidR="005B2A41">
        <w:t xml:space="preserve"> </w:t>
      </w:r>
      <w:r w:rsidRPr="00B02247">
        <w:t>to</w:t>
      </w:r>
      <w:r w:rsidR="005B2A41">
        <w:t xml:space="preserve"> </w:t>
      </w:r>
      <w:r w:rsidRPr="00B02247">
        <w:t>the</w:t>
      </w:r>
      <w:r w:rsidR="005B2A41">
        <w:t xml:space="preserve"> </w:t>
      </w:r>
      <w:r w:rsidRPr="00B02247">
        <w:t>civil</w:t>
      </w:r>
      <w:r w:rsidR="005B2A41">
        <w:t xml:space="preserve"> </w:t>
      </w:r>
      <w:r w:rsidRPr="00B02247">
        <w:t>courts.</w:t>
      </w:r>
      <w:r w:rsidR="005B2A41">
        <w:t xml:space="preserve"> </w:t>
      </w:r>
      <w:r w:rsidRPr="00B02247">
        <w:t>Article</w:t>
      </w:r>
      <w:r w:rsidR="005B2A41">
        <w:t xml:space="preserve"> </w:t>
      </w:r>
      <w:r w:rsidRPr="00B02247">
        <w:t>69</w:t>
      </w:r>
      <w:r w:rsidR="005B2A41">
        <w:t xml:space="preserve"> </w:t>
      </w:r>
      <w:r w:rsidRPr="00B02247">
        <w:t>of</w:t>
      </w:r>
      <w:r w:rsidR="005B2A41">
        <w:t xml:space="preserve"> </w:t>
      </w:r>
      <w:r w:rsidRPr="00B02247">
        <w:t>the</w:t>
      </w:r>
      <w:r w:rsidR="005B2A41">
        <w:t xml:space="preserve"> </w:t>
      </w:r>
      <w:r w:rsidRPr="00B02247">
        <w:t>Penal</w:t>
      </w:r>
      <w:r w:rsidR="005B2A41">
        <w:t xml:space="preserve"> </w:t>
      </w:r>
      <w:r w:rsidRPr="00B02247">
        <w:t>Code</w:t>
      </w:r>
      <w:r w:rsidR="005B2A41">
        <w:t xml:space="preserve"> </w:t>
      </w:r>
      <w:r w:rsidRPr="00B02247">
        <w:t>provides</w:t>
      </w:r>
      <w:r w:rsidR="005B2A41">
        <w:t xml:space="preserve"> </w:t>
      </w:r>
      <w:r w:rsidRPr="00B02247">
        <w:t>that,</w:t>
      </w:r>
      <w:r w:rsidR="005B2A41">
        <w:t xml:space="preserve"> </w:t>
      </w:r>
      <w:r w:rsidRPr="00B02247">
        <w:t>if</w:t>
      </w:r>
      <w:r w:rsidR="005B2A41">
        <w:t xml:space="preserve"> </w:t>
      </w:r>
      <w:r w:rsidRPr="00B02247">
        <w:t>a</w:t>
      </w:r>
      <w:r w:rsidR="005B2A41">
        <w:t xml:space="preserve"> </w:t>
      </w:r>
      <w:r w:rsidRPr="00B02247">
        <w:t>pecuniary</w:t>
      </w:r>
      <w:r w:rsidR="005B2A41">
        <w:t xml:space="preserve"> </w:t>
      </w:r>
      <w:r w:rsidRPr="00B02247">
        <w:t>penalty</w:t>
      </w:r>
      <w:r w:rsidR="005B2A41">
        <w:t xml:space="preserve"> </w:t>
      </w:r>
      <w:r w:rsidRPr="00B02247">
        <w:t>or</w:t>
      </w:r>
      <w:r w:rsidR="005B2A41">
        <w:t xml:space="preserve"> </w:t>
      </w:r>
      <w:r w:rsidRPr="00B02247">
        <w:t>fine</w:t>
      </w:r>
      <w:r w:rsidR="005B2A41">
        <w:t xml:space="preserve"> </w:t>
      </w:r>
      <w:r w:rsidRPr="00B02247">
        <w:t>has</w:t>
      </w:r>
      <w:r w:rsidR="005B2A41">
        <w:t xml:space="preserve"> </w:t>
      </w:r>
      <w:r w:rsidRPr="00B02247">
        <w:t>been</w:t>
      </w:r>
      <w:r w:rsidR="005B2A41">
        <w:t xml:space="preserve"> </w:t>
      </w:r>
      <w:r w:rsidRPr="00B02247">
        <w:t>imposed</w:t>
      </w:r>
      <w:r w:rsidR="005B2A41">
        <w:t xml:space="preserve"> </w:t>
      </w:r>
      <w:r w:rsidRPr="00B02247">
        <w:t>concurrently</w:t>
      </w:r>
      <w:r w:rsidR="005B2A41">
        <w:t xml:space="preserve"> </w:t>
      </w:r>
      <w:r w:rsidRPr="00B02247">
        <w:t>with</w:t>
      </w:r>
      <w:r w:rsidR="005B2A41">
        <w:t xml:space="preserve"> </w:t>
      </w:r>
      <w:r w:rsidRPr="00B02247">
        <w:t>restitution</w:t>
      </w:r>
      <w:r w:rsidR="005B2A41">
        <w:t xml:space="preserve"> </w:t>
      </w:r>
      <w:r w:rsidRPr="00B02247">
        <w:t>of</w:t>
      </w:r>
      <w:r w:rsidR="005B2A41">
        <w:t xml:space="preserve"> </w:t>
      </w:r>
      <w:r w:rsidRPr="00B02247">
        <w:t>damages</w:t>
      </w:r>
      <w:r w:rsidR="005B2A41">
        <w:t xml:space="preserve"> </w:t>
      </w:r>
      <w:r w:rsidRPr="00B02247">
        <w:t>to</w:t>
      </w:r>
      <w:r w:rsidR="005B2A41">
        <w:t xml:space="preserve"> </w:t>
      </w:r>
      <w:r w:rsidRPr="00B02247">
        <w:t>the</w:t>
      </w:r>
      <w:r w:rsidR="005B2A41">
        <w:t xml:space="preserve"> </w:t>
      </w:r>
      <w:r w:rsidRPr="00B02247">
        <w:t>victim,</w:t>
      </w:r>
      <w:r w:rsidR="005B2A41">
        <w:t xml:space="preserve"> </w:t>
      </w:r>
      <w:r w:rsidRPr="00B02247">
        <w:t>and</w:t>
      </w:r>
      <w:r w:rsidR="005B2A41">
        <w:t xml:space="preserve"> </w:t>
      </w:r>
      <w:r w:rsidRPr="00B02247">
        <w:t>the</w:t>
      </w:r>
      <w:r w:rsidR="005B2A41">
        <w:t xml:space="preserve"> </w:t>
      </w:r>
      <w:r w:rsidRPr="00B02247">
        <w:t>offender</w:t>
      </w:r>
      <w:r w:rsidR="003E731F">
        <w:t>’</w:t>
      </w:r>
      <w:r w:rsidRPr="00B02247">
        <w:t>s</w:t>
      </w:r>
      <w:r w:rsidR="005B2A41">
        <w:t xml:space="preserve"> </w:t>
      </w:r>
      <w:r w:rsidRPr="00B02247">
        <w:t>property</w:t>
      </w:r>
      <w:r w:rsidR="005B2A41">
        <w:t xml:space="preserve"> </w:t>
      </w:r>
      <w:r w:rsidRPr="00B02247">
        <w:t>is</w:t>
      </w:r>
      <w:r w:rsidR="005B2A41">
        <w:t xml:space="preserve"> </w:t>
      </w:r>
      <w:r w:rsidRPr="00B02247">
        <w:t>insufficient</w:t>
      </w:r>
      <w:r w:rsidR="005B2A41">
        <w:t xml:space="preserve"> </w:t>
      </w:r>
      <w:r w:rsidRPr="00B02247">
        <w:t>to</w:t>
      </w:r>
      <w:r w:rsidR="005B2A41">
        <w:t xml:space="preserve"> </w:t>
      </w:r>
      <w:r w:rsidRPr="00B02247">
        <w:t>satisfy</w:t>
      </w:r>
      <w:r w:rsidR="005B2A41">
        <w:t xml:space="preserve"> </w:t>
      </w:r>
      <w:r w:rsidRPr="00B02247">
        <w:t>both</w:t>
      </w:r>
      <w:r w:rsidR="005B2A41">
        <w:t xml:space="preserve"> </w:t>
      </w:r>
      <w:r w:rsidRPr="00B02247">
        <w:t>obligations,</w:t>
      </w:r>
      <w:r w:rsidR="005B2A41">
        <w:t xml:space="preserve"> </w:t>
      </w:r>
      <w:r w:rsidRPr="00B02247">
        <w:t>restitution</w:t>
      </w:r>
      <w:r w:rsidR="005B2A41">
        <w:t xml:space="preserve"> </w:t>
      </w:r>
      <w:r w:rsidRPr="00B02247">
        <w:t>shall</w:t>
      </w:r>
      <w:r w:rsidR="005B2A41">
        <w:t xml:space="preserve"> </w:t>
      </w:r>
      <w:r w:rsidRPr="00B02247">
        <w:t>be</w:t>
      </w:r>
      <w:r w:rsidR="005B2A41">
        <w:t xml:space="preserve"> </w:t>
      </w:r>
      <w:r w:rsidRPr="00B02247">
        <w:t>preferred.</w:t>
      </w:r>
      <w:r w:rsidR="005B2A41">
        <w:t xml:space="preserve"> </w:t>
      </w:r>
    </w:p>
    <w:p w:rsidR="00F233AB" w:rsidRPr="00B02247" w:rsidRDefault="00F233AB" w:rsidP="00E1307D">
      <w:pPr>
        <w:pStyle w:val="SingleTxtG"/>
      </w:pPr>
      <w:r w:rsidRPr="00B02247">
        <w:t>69.</w:t>
      </w:r>
      <w:r w:rsidRPr="00B02247">
        <w:tab/>
        <w:t>In</w:t>
      </w:r>
      <w:r w:rsidR="005B2A41">
        <w:t xml:space="preserve"> </w:t>
      </w:r>
      <w:r w:rsidRPr="00B02247">
        <w:t>civil</w:t>
      </w:r>
      <w:r w:rsidR="005B2A41">
        <w:t xml:space="preserve"> </w:t>
      </w:r>
      <w:r w:rsidRPr="00B02247">
        <w:t>law</w:t>
      </w:r>
      <w:r w:rsidR="005B2A41">
        <w:t xml:space="preserve"> </w:t>
      </w:r>
      <w:r w:rsidRPr="00B02247">
        <w:t>cases,</w:t>
      </w:r>
      <w:r w:rsidR="005B2A41">
        <w:t xml:space="preserve"> </w:t>
      </w:r>
      <w:r w:rsidRPr="00B02247">
        <w:t>victims</w:t>
      </w:r>
      <w:r w:rsidR="005B2A41">
        <w:t xml:space="preserve"> </w:t>
      </w:r>
      <w:r w:rsidRPr="00B02247">
        <w:t>with</w:t>
      </w:r>
      <w:r w:rsidR="005B2A41">
        <w:t xml:space="preserve"> </w:t>
      </w:r>
      <w:r w:rsidRPr="00B02247">
        <w:t>a</w:t>
      </w:r>
      <w:r w:rsidR="005B2A41">
        <w:t xml:space="preserve"> </w:t>
      </w:r>
      <w:r w:rsidRPr="00B02247">
        <w:t>low</w:t>
      </w:r>
      <w:r w:rsidR="005B2A41">
        <w:t xml:space="preserve"> </w:t>
      </w:r>
      <w:r w:rsidRPr="00B02247">
        <w:t>income</w:t>
      </w:r>
      <w:r w:rsidR="005B2A41">
        <w:t xml:space="preserve"> </w:t>
      </w:r>
      <w:r w:rsidRPr="00B02247">
        <w:t>may</w:t>
      </w:r>
      <w:r w:rsidR="005B2A41">
        <w:t xml:space="preserve"> </w:t>
      </w:r>
      <w:r w:rsidRPr="00B02247">
        <w:t>request</w:t>
      </w:r>
      <w:r w:rsidR="005B2A41">
        <w:t xml:space="preserve"> </w:t>
      </w:r>
      <w:r w:rsidR="003E731F">
        <w:t>“</w:t>
      </w:r>
      <w:r w:rsidRPr="00B02247">
        <w:t>free</w:t>
      </w:r>
      <w:r w:rsidR="005B2A41">
        <w:t xml:space="preserve"> </w:t>
      </w:r>
      <w:r w:rsidRPr="00B02247">
        <w:t>legal</w:t>
      </w:r>
      <w:r w:rsidR="005B2A41">
        <w:t xml:space="preserve"> </w:t>
      </w:r>
      <w:r w:rsidRPr="00B02247">
        <w:t>aid</w:t>
      </w:r>
      <w:r w:rsidR="003E731F">
        <w:t>”</w:t>
      </w:r>
      <w:r w:rsidRPr="00B02247">
        <w:t>.</w:t>
      </w:r>
      <w:r w:rsidR="005B2A41">
        <w:t xml:space="preserve"> </w:t>
      </w:r>
      <w:r w:rsidRPr="00B02247">
        <w:t>In</w:t>
      </w:r>
      <w:r w:rsidR="005B2A41">
        <w:t xml:space="preserve"> </w:t>
      </w:r>
      <w:r w:rsidRPr="00B02247">
        <w:t>such</w:t>
      </w:r>
      <w:r w:rsidR="005B2A41">
        <w:t xml:space="preserve"> </w:t>
      </w:r>
      <w:r w:rsidRPr="00B02247">
        <w:t>a</w:t>
      </w:r>
      <w:r w:rsidR="005B2A41">
        <w:t xml:space="preserve"> </w:t>
      </w:r>
      <w:r w:rsidRPr="00B02247">
        <w:t>case,</w:t>
      </w:r>
      <w:r w:rsidR="005B2A41">
        <w:t xml:space="preserve"> </w:t>
      </w:r>
      <w:r w:rsidRPr="00B02247">
        <w:t>the</w:t>
      </w:r>
      <w:r w:rsidR="005B2A41">
        <w:t xml:space="preserve"> </w:t>
      </w:r>
      <w:r w:rsidRPr="00B02247">
        <w:t>person</w:t>
      </w:r>
      <w:r w:rsidR="005B2A41">
        <w:t xml:space="preserve"> </w:t>
      </w:r>
      <w:r w:rsidRPr="00B02247">
        <w:t>concerned</w:t>
      </w:r>
      <w:r w:rsidR="005B2A41">
        <w:t xml:space="preserve"> </w:t>
      </w:r>
      <w:r w:rsidRPr="00B02247">
        <w:t>is</w:t>
      </w:r>
      <w:r w:rsidR="005B2A41">
        <w:t xml:space="preserve"> </w:t>
      </w:r>
      <w:r w:rsidRPr="00B02247">
        <w:t>exempted</w:t>
      </w:r>
      <w:r w:rsidR="005B2A41">
        <w:t xml:space="preserve"> </w:t>
      </w:r>
      <w:r w:rsidRPr="00B02247">
        <w:t>of</w:t>
      </w:r>
      <w:r w:rsidR="005B2A41">
        <w:t xml:space="preserve"> </w:t>
      </w:r>
      <w:r w:rsidRPr="00B02247">
        <w:t>all</w:t>
      </w:r>
      <w:r w:rsidR="005B2A41">
        <w:t xml:space="preserve"> </w:t>
      </w:r>
      <w:r w:rsidRPr="00B02247">
        <w:t>fees</w:t>
      </w:r>
      <w:r w:rsidR="005B2A41">
        <w:t xml:space="preserve"> </w:t>
      </w:r>
      <w:r w:rsidRPr="00B02247">
        <w:t>and</w:t>
      </w:r>
      <w:r w:rsidR="005B2A41">
        <w:t xml:space="preserve"> </w:t>
      </w:r>
      <w:r w:rsidRPr="00B02247">
        <w:t>expenses</w:t>
      </w:r>
      <w:r w:rsidR="005B2A41">
        <w:t xml:space="preserve"> </w:t>
      </w:r>
      <w:r w:rsidRPr="00B02247">
        <w:t>and</w:t>
      </w:r>
      <w:r w:rsidR="005B2A41">
        <w:t xml:space="preserve"> </w:t>
      </w:r>
      <w:r w:rsidRPr="00B02247">
        <w:t>if</w:t>
      </w:r>
      <w:r w:rsidR="005B2A41">
        <w:t xml:space="preserve"> </w:t>
      </w:r>
      <w:r w:rsidRPr="00B02247">
        <w:t>needed,</w:t>
      </w:r>
      <w:r w:rsidR="005B2A41">
        <w:t xml:space="preserve"> </w:t>
      </w:r>
      <w:r w:rsidRPr="00B02247">
        <w:t>a</w:t>
      </w:r>
      <w:r w:rsidR="005B2A41">
        <w:t xml:space="preserve"> </w:t>
      </w:r>
      <w:r w:rsidRPr="00B02247">
        <w:t>lawyer</w:t>
      </w:r>
      <w:r w:rsidR="005B2A41">
        <w:t xml:space="preserve"> </w:t>
      </w:r>
      <w:r w:rsidRPr="00B02247">
        <w:t>or</w:t>
      </w:r>
      <w:r w:rsidR="005B2A41">
        <w:t xml:space="preserve"> </w:t>
      </w:r>
      <w:r w:rsidRPr="00B02247">
        <w:t>a</w:t>
      </w:r>
      <w:r w:rsidR="005B2A41">
        <w:t xml:space="preserve"> </w:t>
      </w:r>
      <w:r w:rsidRPr="00B02247">
        <w:t>notary</w:t>
      </w:r>
      <w:r w:rsidR="005B2A41">
        <w:t xml:space="preserve"> </w:t>
      </w:r>
      <w:r w:rsidRPr="00B02247">
        <w:t>is</w:t>
      </w:r>
      <w:r w:rsidR="005B2A41">
        <w:t xml:space="preserve"> </w:t>
      </w:r>
      <w:r w:rsidRPr="00B02247">
        <w:t>appointed</w:t>
      </w:r>
      <w:r w:rsidR="005B2A41">
        <w:t xml:space="preserve"> </w:t>
      </w:r>
      <w:r w:rsidRPr="00B02247">
        <w:t>to</w:t>
      </w:r>
      <w:r w:rsidR="005B2A41">
        <w:t xml:space="preserve"> </w:t>
      </w:r>
      <w:r w:rsidRPr="00B02247">
        <w:t>represent</w:t>
      </w:r>
      <w:r w:rsidR="005B2A41">
        <w:t xml:space="preserve"> </w:t>
      </w:r>
      <w:r w:rsidRPr="00B02247">
        <w:t>him,</w:t>
      </w:r>
      <w:r w:rsidR="005B2A41">
        <w:t xml:space="preserve"> </w:t>
      </w:r>
      <w:r w:rsidRPr="00B02247">
        <w:t>who</w:t>
      </w:r>
      <w:r w:rsidR="005B2A41">
        <w:t xml:space="preserve"> </w:t>
      </w:r>
      <w:r w:rsidRPr="00B02247">
        <w:t>will</w:t>
      </w:r>
      <w:r w:rsidR="005B2A41">
        <w:t xml:space="preserve"> </w:t>
      </w:r>
      <w:r w:rsidRPr="00B02247">
        <w:t>receive</w:t>
      </w:r>
      <w:r w:rsidR="005B2A41">
        <w:t xml:space="preserve"> </w:t>
      </w:r>
      <w:r w:rsidRPr="00B02247">
        <w:t>payment</w:t>
      </w:r>
      <w:r w:rsidR="005B2A41">
        <w:t xml:space="preserve"> </w:t>
      </w:r>
      <w:r w:rsidRPr="00B02247">
        <w:t>by</w:t>
      </w:r>
      <w:r w:rsidR="005B2A41">
        <w:t xml:space="preserve"> </w:t>
      </w:r>
      <w:r w:rsidRPr="00B02247">
        <w:t>the</w:t>
      </w:r>
      <w:r w:rsidR="005B2A41">
        <w:t xml:space="preserve"> </w:t>
      </w:r>
      <w:r w:rsidRPr="00B02247">
        <w:t>State.</w:t>
      </w:r>
      <w:r w:rsidR="005B2A41">
        <w:t xml:space="preserve"> </w:t>
      </w:r>
      <w:r w:rsidRPr="00B02247">
        <w:t>Any</w:t>
      </w:r>
      <w:r w:rsidR="005B2A41">
        <w:t xml:space="preserve"> </w:t>
      </w:r>
      <w:r w:rsidRPr="00B02247">
        <w:t>other</w:t>
      </w:r>
      <w:r w:rsidR="005B2A41">
        <w:t xml:space="preserve"> </w:t>
      </w:r>
      <w:r w:rsidRPr="00B02247">
        <w:t>legal</w:t>
      </w:r>
      <w:r w:rsidR="005B2A41">
        <w:t xml:space="preserve"> </w:t>
      </w:r>
      <w:r w:rsidRPr="00B02247">
        <w:t>information</w:t>
      </w:r>
      <w:r w:rsidR="005B2A41">
        <w:t xml:space="preserve"> </w:t>
      </w:r>
      <w:r w:rsidRPr="00B02247">
        <w:t>needed,</w:t>
      </w:r>
      <w:r w:rsidR="005B2A41">
        <w:t xml:space="preserve"> </w:t>
      </w:r>
      <w:r w:rsidRPr="00B02247">
        <w:t>will</w:t>
      </w:r>
      <w:r w:rsidR="005B2A41">
        <w:t xml:space="preserve"> </w:t>
      </w:r>
      <w:r w:rsidRPr="00B02247">
        <w:t>be</w:t>
      </w:r>
      <w:r w:rsidR="005B2A41">
        <w:t xml:space="preserve"> </w:t>
      </w:r>
      <w:r w:rsidRPr="00B02247">
        <w:t>available</w:t>
      </w:r>
      <w:r w:rsidR="005B2A41">
        <w:t xml:space="preserve"> </w:t>
      </w:r>
      <w:r w:rsidRPr="00B02247">
        <w:t>to</w:t>
      </w:r>
      <w:r w:rsidR="005B2A41">
        <w:t xml:space="preserve"> </w:t>
      </w:r>
      <w:r w:rsidRPr="00B02247">
        <w:t>the</w:t>
      </w:r>
      <w:r w:rsidR="005B2A41">
        <w:t xml:space="preserve"> </w:t>
      </w:r>
      <w:r w:rsidRPr="00B02247">
        <w:t>person</w:t>
      </w:r>
      <w:r w:rsidR="005B2A41">
        <w:t xml:space="preserve"> </w:t>
      </w:r>
      <w:r w:rsidRPr="00B02247">
        <w:t>concerned</w:t>
      </w:r>
      <w:r w:rsidR="005B2A41">
        <w:t xml:space="preserve"> </w:t>
      </w:r>
      <w:r w:rsidRPr="00B02247">
        <w:t>by</w:t>
      </w:r>
      <w:r w:rsidR="005B2A41">
        <w:t xml:space="preserve"> </w:t>
      </w:r>
      <w:r w:rsidRPr="00B02247">
        <w:t>the</w:t>
      </w:r>
      <w:r w:rsidR="005B2A41">
        <w:t xml:space="preserve"> </w:t>
      </w:r>
      <w:r w:rsidRPr="00B02247">
        <w:t>competent</w:t>
      </w:r>
      <w:r w:rsidR="005B2A41">
        <w:t xml:space="preserve"> </w:t>
      </w:r>
      <w:r w:rsidRPr="00B02247">
        <w:t>members</w:t>
      </w:r>
      <w:r w:rsidR="005B2A41">
        <w:t xml:space="preserve"> </w:t>
      </w:r>
      <w:r w:rsidRPr="00B02247">
        <w:t>of</w:t>
      </w:r>
      <w:r w:rsidR="005B2A41">
        <w:t xml:space="preserve"> </w:t>
      </w:r>
      <w:r w:rsidRPr="00B02247">
        <w:t>the</w:t>
      </w:r>
      <w:r w:rsidR="005B2A41">
        <w:t xml:space="preserve"> </w:t>
      </w:r>
      <w:r w:rsidRPr="00B02247">
        <w:t>authorities</w:t>
      </w:r>
      <w:r w:rsidR="005B2A41">
        <w:t xml:space="preserve"> </w:t>
      </w:r>
      <w:r w:rsidRPr="00B02247">
        <w:t>(e.g</w:t>
      </w:r>
      <w:r w:rsidR="005B2A41">
        <w:t xml:space="preserve"> </w:t>
      </w:r>
      <w:r w:rsidRPr="00B02247">
        <w:t>Judges).</w:t>
      </w:r>
      <w:r w:rsidR="005B2A41">
        <w:t xml:space="preserve"> </w:t>
      </w:r>
    </w:p>
    <w:p w:rsidR="00F233AB" w:rsidRPr="00B02247" w:rsidRDefault="00F233AB" w:rsidP="00E1307D">
      <w:pPr>
        <w:pStyle w:val="SingleTxtG"/>
      </w:pPr>
      <w:r w:rsidRPr="00B02247">
        <w:t>70.</w:t>
      </w:r>
      <w:r w:rsidRPr="00B02247">
        <w:tab/>
        <w:t>Persons</w:t>
      </w:r>
      <w:r w:rsidR="005B2A41">
        <w:t xml:space="preserve"> </w:t>
      </w:r>
      <w:r w:rsidRPr="00B02247">
        <w:t>with</w:t>
      </w:r>
      <w:r w:rsidR="005B2A41">
        <w:t xml:space="preserve"> </w:t>
      </w:r>
      <w:r w:rsidRPr="00B02247">
        <w:t>low</w:t>
      </w:r>
      <w:r w:rsidR="005B2A41">
        <w:t xml:space="preserve"> </w:t>
      </w:r>
      <w:r w:rsidRPr="00B02247">
        <w:t>income</w:t>
      </w:r>
      <w:r w:rsidR="005B2A41">
        <w:t xml:space="preserve"> </w:t>
      </w:r>
      <w:r w:rsidRPr="00B02247">
        <w:t>may</w:t>
      </w:r>
      <w:r w:rsidR="005B2A41">
        <w:t xml:space="preserve"> </w:t>
      </w:r>
      <w:r w:rsidRPr="00B02247">
        <w:t>request</w:t>
      </w:r>
      <w:r w:rsidR="005B2A41">
        <w:t xml:space="preserve"> </w:t>
      </w:r>
      <w:r w:rsidRPr="00B02247">
        <w:t>free</w:t>
      </w:r>
      <w:r w:rsidR="005B2A41">
        <w:t xml:space="preserve"> </w:t>
      </w:r>
      <w:r w:rsidRPr="00B02247">
        <w:t>legal</w:t>
      </w:r>
      <w:r w:rsidR="005B2A41">
        <w:t xml:space="preserve"> </w:t>
      </w:r>
      <w:r w:rsidRPr="00B02247">
        <w:t>aid.</w:t>
      </w:r>
      <w:r w:rsidR="005B2A41">
        <w:t xml:space="preserve"> </w:t>
      </w:r>
      <w:r w:rsidRPr="00B02247">
        <w:t>Victims</w:t>
      </w:r>
      <w:r w:rsidR="005B2A41">
        <w:t xml:space="preserve"> </w:t>
      </w:r>
      <w:r w:rsidRPr="00B02247">
        <w:t>of</w:t>
      </w:r>
      <w:r w:rsidR="005B2A41">
        <w:t xml:space="preserve"> </w:t>
      </w:r>
      <w:r w:rsidRPr="00B02247">
        <w:t>certain</w:t>
      </w:r>
      <w:r w:rsidR="005B2A41">
        <w:t xml:space="preserve"> </w:t>
      </w:r>
      <w:r w:rsidRPr="00B02247">
        <w:t>crimes</w:t>
      </w:r>
      <w:r w:rsidR="005B2A41">
        <w:t xml:space="preserve"> </w:t>
      </w:r>
      <w:r w:rsidRPr="00B02247">
        <w:t>(domestic</w:t>
      </w:r>
      <w:r w:rsidR="005B2A41">
        <w:t xml:space="preserve"> </w:t>
      </w:r>
      <w:r w:rsidRPr="00B02247">
        <w:t>violence,</w:t>
      </w:r>
      <w:r w:rsidR="005B2A41">
        <w:t xml:space="preserve"> </w:t>
      </w:r>
      <w:r w:rsidRPr="00B02247">
        <w:t>slavery,</w:t>
      </w:r>
      <w:r w:rsidR="005B2A41">
        <w:t xml:space="preserve"> </w:t>
      </w:r>
      <w:r w:rsidRPr="00B02247">
        <w:t>trafficking</w:t>
      </w:r>
      <w:r w:rsidR="005B2A41">
        <w:t xml:space="preserve"> </w:t>
      </w:r>
      <w:r w:rsidRPr="00B02247">
        <w:t>in</w:t>
      </w:r>
      <w:r w:rsidR="005B2A41">
        <w:t xml:space="preserve"> </w:t>
      </w:r>
      <w:r w:rsidRPr="00B02247">
        <w:t>human</w:t>
      </w:r>
      <w:r w:rsidR="005B2A41">
        <w:t xml:space="preserve"> </w:t>
      </w:r>
      <w:r w:rsidRPr="00B02247">
        <w:t>beings,</w:t>
      </w:r>
      <w:r w:rsidR="005B2A41">
        <w:t xml:space="preserve"> </w:t>
      </w:r>
      <w:r w:rsidRPr="00B02247">
        <w:t>kidnapping</w:t>
      </w:r>
      <w:r w:rsidR="005B2A41">
        <w:t xml:space="preserve"> </w:t>
      </w:r>
      <w:r w:rsidRPr="00B02247">
        <w:t>and</w:t>
      </w:r>
      <w:r w:rsidR="005B2A41">
        <w:t xml:space="preserve"> </w:t>
      </w:r>
      <w:r w:rsidRPr="00B02247">
        <w:t>other</w:t>
      </w:r>
      <w:r w:rsidR="005B2A41">
        <w:t xml:space="preserve"> </w:t>
      </w:r>
      <w:r w:rsidRPr="00B02247">
        <w:t>serious</w:t>
      </w:r>
      <w:r w:rsidR="005B2A41">
        <w:t xml:space="preserve"> </w:t>
      </w:r>
      <w:r w:rsidRPr="00B02247">
        <w:t>crimes,</w:t>
      </w:r>
      <w:r w:rsidR="005B2A41">
        <w:t xml:space="preserve"> </w:t>
      </w:r>
      <w:r w:rsidRPr="00B02247">
        <w:t>children</w:t>
      </w:r>
      <w:r w:rsidR="005B2A41">
        <w:t xml:space="preserve"> </w:t>
      </w:r>
      <w:r w:rsidRPr="00B02247">
        <w:t>victims</w:t>
      </w:r>
      <w:r w:rsidR="005B2A41">
        <w:t xml:space="preserve"> </w:t>
      </w:r>
      <w:r w:rsidRPr="00B02247">
        <w:t>of</w:t>
      </w:r>
      <w:r w:rsidR="005B2A41">
        <w:t xml:space="preserve"> </w:t>
      </w:r>
      <w:r w:rsidRPr="00B02247">
        <w:t>rape,</w:t>
      </w:r>
      <w:r w:rsidR="005B2A41">
        <w:t xml:space="preserve"> </w:t>
      </w:r>
      <w:r w:rsidRPr="00B02247">
        <w:t>sexual</w:t>
      </w:r>
      <w:r w:rsidR="005B2A41">
        <w:t xml:space="preserve"> </w:t>
      </w:r>
      <w:r w:rsidRPr="00B02247">
        <w:t>exploitation,</w:t>
      </w:r>
      <w:r w:rsidR="005B2A41">
        <w:t xml:space="preserve"> </w:t>
      </w:r>
      <w:r w:rsidRPr="00B02247">
        <w:t>etc.)</w:t>
      </w:r>
      <w:r w:rsidR="005B2A41">
        <w:t xml:space="preserve"> </w:t>
      </w:r>
      <w:r w:rsidRPr="00B02247">
        <w:t>are</w:t>
      </w:r>
      <w:r w:rsidR="005B2A41">
        <w:t xml:space="preserve"> </w:t>
      </w:r>
      <w:r w:rsidRPr="00B02247">
        <w:t>provided</w:t>
      </w:r>
      <w:r w:rsidR="005B2A41">
        <w:t xml:space="preserve"> </w:t>
      </w:r>
      <w:r w:rsidRPr="00B02247">
        <w:t>with</w:t>
      </w:r>
      <w:r w:rsidR="005B2A41">
        <w:t xml:space="preserve"> </w:t>
      </w:r>
      <w:r w:rsidRPr="00B02247">
        <w:t>free</w:t>
      </w:r>
      <w:r w:rsidR="005B2A41">
        <w:t xml:space="preserve"> </w:t>
      </w:r>
      <w:r w:rsidRPr="00B02247">
        <w:t>legal</w:t>
      </w:r>
      <w:r w:rsidR="005B2A41">
        <w:t xml:space="preserve"> </w:t>
      </w:r>
      <w:r w:rsidRPr="00B02247">
        <w:t>aid</w:t>
      </w:r>
      <w:r w:rsidR="005B2A41">
        <w:t xml:space="preserve"> </w:t>
      </w:r>
      <w:r w:rsidRPr="00B02247">
        <w:t>irrespective</w:t>
      </w:r>
      <w:r w:rsidR="005B2A41">
        <w:t xml:space="preserve"> </w:t>
      </w:r>
      <w:r w:rsidRPr="00B02247">
        <w:t>of</w:t>
      </w:r>
      <w:r w:rsidR="005B2A41">
        <w:t xml:space="preserve"> </w:t>
      </w:r>
      <w:r w:rsidRPr="00B02247">
        <w:t>their</w:t>
      </w:r>
      <w:r w:rsidR="005B2A41">
        <w:t xml:space="preserve"> </w:t>
      </w:r>
      <w:r w:rsidRPr="00B02247">
        <w:t>income.</w:t>
      </w:r>
      <w:r w:rsidR="005B2A41">
        <w:t xml:space="preserve"> </w:t>
      </w:r>
      <w:r w:rsidRPr="00B02247">
        <w:t>In</w:t>
      </w:r>
      <w:r w:rsidR="005B2A41">
        <w:t xml:space="preserve"> </w:t>
      </w:r>
      <w:r w:rsidRPr="00B02247">
        <w:t>such</w:t>
      </w:r>
      <w:r w:rsidR="005B2A41">
        <w:t xml:space="preserve"> </w:t>
      </w:r>
      <w:r w:rsidRPr="00B02247">
        <w:t>a</w:t>
      </w:r>
      <w:r w:rsidR="005B2A41">
        <w:t xml:space="preserve"> </w:t>
      </w:r>
      <w:r w:rsidRPr="00B02247">
        <w:t>case,</w:t>
      </w:r>
      <w:r w:rsidR="005B2A41">
        <w:t xml:space="preserve"> </w:t>
      </w:r>
      <w:r w:rsidRPr="00B02247">
        <w:t>a</w:t>
      </w:r>
      <w:r w:rsidR="005B2A41">
        <w:t xml:space="preserve"> </w:t>
      </w:r>
      <w:r w:rsidRPr="00B02247">
        <w:t>lawyer</w:t>
      </w:r>
      <w:r w:rsidR="005B2A41">
        <w:t xml:space="preserve"> </w:t>
      </w:r>
      <w:r w:rsidRPr="00B02247">
        <w:t>is</w:t>
      </w:r>
      <w:r w:rsidR="005B2A41">
        <w:t xml:space="preserve"> </w:t>
      </w:r>
      <w:r w:rsidRPr="00B02247">
        <w:t>appointed</w:t>
      </w:r>
      <w:r w:rsidR="005B2A41">
        <w:t xml:space="preserve"> </w:t>
      </w:r>
      <w:r w:rsidRPr="00B02247">
        <w:t>to</w:t>
      </w:r>
      <w:r w:rsidR="005B2A41">
        <w:t xml:space="preserve"> </w:t>
      </w:r>
      <w:r w:rsidRPr="00B02247">
        <w:t>the</w:t>
      </w:r>
      <w:r w:rsidR="005B2A41">
        <w:t xml:space="preserve"> </w:t>
      </w:r>
      <w:r w:rsidRPr="00B02247">
        <w:t>person</w:t>
      </w:r>
      <w:r w:rsidR="005B2A41">
        <w:t xml:space="preserve"> </w:t>
      </w:r>
      <w:r w:rsidRPr="00B02247">
        <w:t>concerned,</w:t>
      </w:r>
      <w:r w:rsidR="005B2A41">
        <w:t xml:space="preserve"> </w:t>
      </w:r>
      <w:r w:rsidRPr="00B02247">
        <w:t>who</w:t>
      </w:r>
      <w:r w:rsidR="005B2A41">
        <w:t xml:space="preserve"> </w:t>
      </w:r>
      <w:r w:rsidRPr="00B02247">
        <w:t>will</w:t>
      </w:r>
      <w:r w:rsidR="005B2A41">
        <w:t xml:space="preserve"> </w:t>
      </w:r>
      <w:r w:rsidRPr="00B02247">
        <w:t>represent</w:t>
      </w:r>
      <w:r w:rsidR="005B2A41">
        <w:t xml:space="preserve"> </w:t>
      </w:r>
      <w:r w:rsidRPr="00B02247">
        <w:t>them</w:t>
      </w:r>
      <w:r w:rsidR="005B2A41">
        <w:t xml:space="preserve"> </w:t>
      </w:r>
      <w:r w:rsidRPr="00B02247">
        <w:t>and</w:t>
      </w:r>
      <w:r w:rsidR="005B2A41">
        <w:t xml:space="preserve"> </w:t>
      </w:r>
      <w:r w:rsidRPr="00B02247">
        <w:t>will</w:t>
      </w:r>
      <w:r w:rsidR="005B2A41">
        <w:t xml:space="preserve"> </w:t>
      </w:r>
      <w:r w:rsidRPr="00B02247">
        <w:t>receive</w:t>
      </w:r>
      <w:r w:rsidR="005B2A41">
        <w:t xml:space="preserve"> </w:t>
      </w:r>
      <w:r w:rsidRPr="00B02247">
        <w:t>payment</w:t>
      </w:r>
      <w:r w:rsidR="005B2A41">
        <w:t xml:space="preserve"> </w:t>
      </w:r>
      <w:r w:rsidRPr="00B02247">
        <w:t>by</w:t>
      </w:r>
      <w:r w:rsidR="005B2A41">
        <w:t xml:space="preserve"> </w:t>
      </w:r>
      <w:r w:rsidRPr="00B02247">
        <w:t>the</w:t>
      </w:r>
      <w:r w:rsidR="005B2A41">
        <w:t xml:space="preserve"> </w:t>
      </w:r>
      <w:r w:rsidRPr="00B02247">
        <w:t>State.</w:t>
      </w:r>
      <w:r w:rsidR="005B2A41">
        <w:t xml:space="preserve"> </w:t>
      </w:r>
      <w:r w:rsidRPr="00B02247">
        <w:t>Any</w:t>
      </w:r>
      <w:r w:rsidR="005B2A41">
        <w:t xml:space="preserve"> </w:t>
      </w:r>
      <w:r w:rsidRPr="00B02247">
        <w:t>other</w:t>
      </w:r>
      <w:r w:rsidR="005B2A41">
        <w:t xml:space="preserve"> </w:t>
      </w:r>
      <w:r w:rsidRPr="00B02247">
        <w:t>legal</w:t>
      </w:r>
      <w:r w:rsidR="005B2A41">
        <w:t xml:space="preserve"> </w:t>
      </w:r>
      <w:r w:rsidRPr="00B02247">
        <w:t>information</w:t>
      </w:r>
      <w:r w:rsidR="005B2A41">
        <w:t xml:space="preserve"> </w:t>
      </w:r>
      <w:r w:rsidRPr="00B02247">
        <w:t>needed,</w:t>
      </w:r>
      <w:r w:rsidR="005B2A41">
        <w:t xml:space="preserve"> </w:t>
      </w:r>
      <w:r w:rsidRPr="00B02247">
        <w:t>will</w:t>
      </w:r>
      <w:r w:rsidR="005B2A41">
        <w:t xml:space="preserve"> </w:t>
      </w:r>
      <w:r w:rsidRPr="00B02247">
        <w:t>be</w:t>
      </w:r>
      <w:r w:rsidR="005B2A41">
        <w:t xml:space="preserve"> </w:t>
      </w:r>
      <w:r w:rsidRPr="00B02247">
        <w:t>available</w:t>
      </w:r>
      <w:r w:rsidR="005B2A41">
        <w:t xml:space="preserve"> </w:t>
      </w:r>
      <w:r w:rsidRPr="00B02247">
        <w:t>to</w:t>
      </w:r>
      <w:r w:rsidR="005B2A41">
        <w:t xml:space="preserve"> </w:t>
      </w:r>
      <w:r w:rsidRPr="00B02247">
        <w:t>the</w:t>
      </w:r>
      <w:r w:rsidR="005B2A41">
        <w:t xml:space="preserve"> </w:t>
      </w:r>
      <w:r w:rsidRPr="00B02247">
        <w:t>person</w:t>
      </w:r>
      <w:r w:rsidR="005B2A41">
        <w:t xml:space="preserve"> </w:t>
      </w:r>
      <w:r w:rsidRPr="00B02247">
        <w:t>concerned</w:t>
      </w:r>
      <w:r w:rsidR="005B2A41">
        <w:t xml:space="preserve"> </w:t>
      </w:r>
      <w:r w:rsidRPr="00B02247">
        <w:t>by</w:t>
      </w:r>
      <w:r w:rsidR="005B2A41">
        <w:t xml:space="preserve"> </w:t>
      </w:r>
      <w:r w:rsidRPr="00B02247">
        <w:t>the</w:t>
      </w:r>
      <w:r w:rsidR="005B2A41">
        <w:t xml:space="preserve"> </w:t>
      </w:r>
      <w:r w:rsidRPr="00B02247">
        <w:t>competent</w:t>
      </w:r>
      <w:r w:rsidR="005B2A41">
        <w:t xml:space="preserve"> </w:t>
      </w:r>
      <w:r w:rsidRPr="00B02247">
        <w:t>authorities</w:t>
      </w:r>
      <w:r w:rsidR="005B2A41">
        <w:t xml:space="preserve"> </w:t>
      </w:r>
      <w:r w:rsidRPr="00B02247">
        <w:t>(e.g</w:t>
      </w:r>
      <w:r w:rsidR="005B2A41">
        <w:t xml:space="preserve"> </w:t>
      </w:r>
      <w:r w:rsidRPr="00B02247">
        <w:t>Prosecutors).</w:t>
      </w:r>
      <w:r w:rsidR="005B2A41">
        <w:t xml:space="preserve"> </w:t>
      </w:r>
      <w:r w:rsidRPr="00B02247">
        <w:t>Likewise,</w:t>
      </w:r>
      <w:r w:rsidR="005B2A41">
        <w:t xml:space="preserve"> </w:t>
      </w:r>
      <w:r w:rsidRPr="00B02247">
        <w:t>victims</w:t>
      </w:r>
      <w:r w:rsidR="005B2A41">
        <w:t xml:space="preserve"> </w:t>
      </w:r>
      <w:r w:rsidRPr="00B02247">
        <w:t>of</w:t>
      </w:r>
      <w:r w:rsidR="005B2A41">
        <w:t xml:space="preserve"> </w:t>
      </w:r>
      <w:r w:rsidRPr="00B02247">
        <w:t>torture</w:t>
      </w:r>
      <w:r w:rsidR="005B2A41">
        <w:t xml:space="preserve"> </w:t>
      </w:r>
      <w:r w:rsidRPr="00B02247">
        <w:t>and</w:t>
      </w:r>
      <w:r w:rsidR="005B2A41">
        <w:t xml:space="preserve"> </w:t>
      </w:r>
      <w:r w:rsidRPr="00B02247">
        <w:t>other</w:t>
      </w:r>
      <w:r w:rsidR="005B2A41">
        <w:t xml:space="preserve"> </w:t>
      </w:r>
      <w:r w:rsidRPr="00B02247">
        <w:t>violations</w:t>
      </w:r>
      <w:r w:rsidR="005B2A41">
        <w:t xml:space="preserve"> </w:t>
      </w:r>
      <w:r w:rsidRPr="00B02247">
        <w:t>of</w:t>
      </w:r>
      <w:r w:rsidR="005B2A41">
        <w:t xml:space="preserve"> </w:t>
      </w:r>
      <w:r w:rsidRPr="00B02247">
        <w:t>human</w:t>
      </w:r>
      <w:r w:rsidR="005B2A41">
        <w:t xml:space="preserve"> </w:t>
      </w:r>
      <w:r w:rsidRPr="00B02247">
        <w:t>dignity,</w:t>
      </w:r>
      <w:r w:rsidR="005B2A41">
        <w:t xml:space="preserve"> </w:t>
      </w:r>
      <w:r w:rsidRPr="00B02247">
        <w:t>discrimination,</w:t>
      </w:r>
      <w:r w:rsidR="005B2A41">
        <w:t xml:space="preserve"> </w:t>
      </w:r>
      <w:r w:rsidRPr="00B02247">
        <w:t>crimes</w:t>
      </w:r>
      <w:r w:rsidR="005B2A41">
        <w:t xml:space="preserve"> </w:t>
      </w:r>
      <w:r w:rsidRPr="00B02247">
        <w:t>against</w:t>
      </w:r>
      <w:r w:rsidR="005B2A41">
        <w:t xml:space="preserve"> </w:t>
      </w:r>
      <w:r w:rsidRPr="00B02247">
        <w:t>life,</w:t>
      </w:r>
      <w:r w:rsidR="005B2A41">
        <w:t xml:space="preserve"> </w:t>
      </w:r>
      <w:r w:rsidRPr="00B02247">
        <w:t>freedom,</w:t>
      </w:r>
      <w:r w:rsidR="005B2A41">
        <w:t xml:space="preserve"> </w:t>
      </w:r>
      <w:r w:rsidRPr="00B02247">
        <w:t>sexual</w:t>
      </w:r>
      <w:r w:rsidR="005B2A41">
        <w:t xml:space="preserve"> </w:t>
      </w:r>
      <w:r w:rsidRPr="00B02247">
        <w:t>dignity,</w:t>
      </w:r>
      <w:r w:rsidR="005B2A41">
        <w:t xml:space="preserve"> </w:t>
      </w:r>
      <w:r w:rsidRPr="00B02247">
        <w:t>sexual</w:t>
      </w:r>
      <w:r w:rsidR="005B2A41">
        <w:t xml:space="preserve"> </w:t>
      </w:r>
      <w:r w:rsidRPr="00B02247">
        <w:t>exploitation,</w:t>
      </w:r>
      <w:r w:rsidR="005B2A41">
        <w:t xml:space="preserve"> </w:t>
      </w:r>
      <w:r w:rsidRPr="00B02247">
        <w:t>etc.</w:t>
      </w:r>
      <w:r w:rsidR="005B2A41">
        <w:t xml:space="preserve"> </w:t>
      </w:r>
      <w:r w:rsidRPr="00B02247">
        <w:t>with</w:t>
      </w:r>
      <w:r w:rsidR="005B2A41">
        <w:t xml:space="preserve"> </w:t>
      </w:r>
      <w:r w:rsidRPr="00B02247">
        <w:t>a</w:t>
      </w:r>
      <w:r w:rsidR="005B2A41">
        <w:t xml:space="preserve"> </w:t>
      </w:r>
      <w:r w:rsidRPr="00B02247">
        <w:t>low</w:t>
      </w:r>
      <w:r w:rsidR="005B2A41">
        <w:t xml:space="preserve"> </w:t>
      </w:r>
      <w:r w:rsidRPr="00B02247">
        <w:t>income</w:t>
      </w:r>
      <w:r w:rsidR="005B2A41">
        <w:t xml:space="preserve"> </w:t>
      </w:r>
      <w:r w:rsidRPr="00B02247">
        <w:t>have</w:t>
      </w:r>
      <w:r w:rsidR="005B2A41">
        <w:t xml:space="preserve"> </w:t>
      </w:r>
      <w:r w:rsidRPr="00B02247">
        <w:t>the</w:t>
      </w:r>
      <w:r w:rsidR="005B2A41">
        <w:t xml:space="preserve"> </w:t>
      </w:r>
      <w:r w:rsidRPr="00B02247">
        <w:t>right</w:t>
      </w:r>
      <w:r w:rsidR="005B2A41">
        <w:t xml:space="preserve"> </w:t>
      </w:r>
      <w:r w:rsidRPr="00B02247">
        <w:t>to</w:t>
      </w:r>
      <w:r w:rsidR="005B2A41">
        <w:t xml:space="preserve"> </w:t>
      </w:r>
      <w:r w:rsidRPr="00B02247">
        <w:t>a</w:t>
      </w:r>
      <w:r w:rsidR="005B2A41">
        <w:t xml:space="preserve"> </w:t>
      </w:r>
      <w:r w:rsidRPr="00B02247">
        <w:t>counsel</w:t>
      </w:r>
      <w:r w:rsidR="005B2A41">
        <w:t xml:space="preserve"> </w:t>
      </w:r>
      <w:r w:rsidRPr="00B02247">
        <w:t>appointed</w:t>
      </w:r>
      <w:r w:rsidR="005B2A41">
        <w:t xml:space="preserve"> </w:t>
      </w:r>
      <w:r w:rsidRPr="00B02247">
        <w:t>by</w:t>
      </w:r>
      <w:r w:rsidR="005B2A41">
        <w:t xml:space="preserve"> </w:t>
      </w:r>
      <w:r w:rsidRPr="00B02247">
        <w:t>the</w:t>
      </w:r>
      <w:r w:rsidR="005B2A41">
        <w:t xml:space="preserve"> </w:t>
      </w:r>
      <w:r w:rsidRPr="00B02247">
        <w:t>state</w:t>
      </w:r>
      <w:r w:rsidR="005B2A41">
        <w:t xml:space="preserve"> </w:t>
      </w:r>
      <w:r w:rsidRPr="00B02247">
        <w:t>for</w:t>
      </w:r>
      <w:r w:rsidR="005B2A41">
        <w:t xml:space="preserve"> </w:t>
      </w:r>
      <w:r w:rsidRPr="00B02247">
        <w:t>filing</w:t>
      </w:r>
      <w:r w:rsidR="005B2A41">
        <w:t xml:space="preserve"> </w:t>
      </w:r>
      <w:r w:rsidRPr="00B02247">
        <w:t>a</w:t>
      </w:r>
      <w:r w:rsidR="005B2A41">
        <w:t xml:space="preserve"> </w:t>
      </w:r>
      <w:r w:rsidRPr="00B02247">
        <w:t>criminal</w:t>
      </w:r>
      <w:r w:rsidR="005B2A41">
        <w:t xml:space="preserve"> </w:t>
      </w:r>
      <w:r w:rsidRPr="00B02247">
        <w:t>complaint</w:t>
      </w:r>
      <w:r w:rsidR="005B2A41">
        <w:t xml:space="preserve"> </w:t>
      </w:r>
      <w:r w:rsidRPr="00B02247">
        <w:t>and</w:t>
      </w:r>
      <w:r w:rsidR="005B2A41">
        <w:t xml:space="preserve"> </w:t>
      </w:r>
      <w:r w:rsidRPr="00B02247">
        <w:t>participating</w:t>
      </w:r>
      <w:r w:rsidR="005B2A41">
        <w:t xml:space="preserve"> </w:t>
      </w:r>
      <w:r w:rsidRPr="00B02247">
        <w:t>in</w:t>
      </w:r>
      <w:r w:rsidR="005B2A41">
        <w:t xml:space="preserve"> </w:t>
      </w:r>
      <w:r w:rsidRPr="00B02247">
        <w:t>the</w:t>
      </w:r>
      <w:r w:rsidR="005B2A41">
        <w:t xml:space="preserve"> </w:t>
      </w:r>
      <w:r w:rsidRPr="00B02247">
        <w:t>criminal</w:t>
      </w:r>
      <w:r w:rsidR="005B2A41">
        <w:t xml:space="preserve"> </w:t>
      </w:r>
      <w:r w:rsidRPr="00B02247">
        <w:t>proceedings</w:t>
      </w:r>
      <w:r w:rsidR="005B2A41">
        <w:t xml:space="preserve"> </w:t>
      </w:r>
      <w:r w:rsidRPr="00B02247">
        <w:t>against</w:t>
      </w:r>
      <w:r w:rsidR="005B2A41">
        <w:t xml:space="preserve"> </w:t>
      </w:r>
      <w:r w:rsidRPr="00B02247">
        <w:t>the</w:t>
      </w:r>
      <w:r w:rsidR="005B2A41">
        <w:t xml:space="preserve"> </w:t>
      </w:r>
      <w:r w:rsidRPr="00B02247">
        <w:t>perpetrators.</w:t>
      </w:r>
      <w:r w:rsidR="005B2A41">
        <w:t xml:space="preserve"> </w:t>
      </w:r>
      <w:r w:rsidRPr="00B02247">
        <w:t>Detainees</w:t>
      </w:r>
      <w:r w:rsidR="005B2A41">
        <w:t xml:space="preserve"> </w:t>
      </w:r>
      <w:r w:rsidRPr="00B02247">
        <w:t>with</w:t>
      </w:r>
      <w:r w:rsidR="005B2A41">
        <w:t xml:space="preserve"> </w:t>
      </w:r>
      <w:r w:rsidRPr="00B02247">
        <w:t>low</w:t>
      </w:r>
      <w:r w:rsidR="005B2A41">
        <w:t xml:space="preserve"> </w:t>
      </w:r>
      <w:r w:rsidRPr="00B02247">
        <w:t>income</w:t>
      </w:r>
      <w:r w:rsidR="005B2A41">
        <w:t xml:space="preserve"> </w:t>
      </w:r>
      <w:r w:rsidRPr="00B02247">
        <w:t>may</w:t>
      </w:r>
      <w:r w:rsidR="005B2A41">
        <w:t xml:space="preserve"> </w:t>
      </w:r>
      <w:r w:rsidRPr="00B02247">
        <w:t>request</w:t>
      </w:r>
      <w:r w:rsidR="005B2A41">
        <w:t xml:space="preserve"> </w:t>
      </w:r>
      <w:r w:rsidRPr="00B02247">
        <w:t>free</w:t>
      </w:r>
      <w:r w:rsidR="005B2A41">
        <w:t xml:space="preserve"> </w:t>
      </w:r>
      <w:r w:rsidRPr="00B02247">
        <w:t>legal</w:t>
      </w:r>
      <w:r w:rsidR="005B2A41">
        <w:t xml:space="preserve"> </w:t>
      </w:r>
      <w:r w:rsidRPr="00B02247">
        <w:t>aid</w:t>
      </w:r>
      <w:r w:rsidR="005B2A41">
        <w:t xml:space="preserve"> </w:t>
      </w:r>
      <w:r w:rsidRPr="00B02247">
        <w:t>as</w:t>
      </w:r>
      <w:r w:rsidR="005B2A41">
        <w:t xml:space="preserve"> </w:t>
      </w:r>
      <w:r w:rsidRPr="00B02247">
        <w:t>well.</w:t>
      </w:r>
    </w:p>
    <w:p w:rsidR="00F233AB" w:rsidRPr="00B02247" w:rsidRDefault="00F233AB" w:rsidP="00E1307D">
      <w:pPr>
        <w:pStyle w:val="SingleTxtG"/>
      </w:pPr>
      <w:r w:rsidRPr="00B02247">
        <w:t>71.</w:t>
      </w:r>
      <w:r w:rsidRPr="00B02247">
        <w:tab/>
        <w:t>Law</w:t>
      </w:r>
      <w:r w:rsidR="005B2A41">
        <w:t xml:space="preserve"> </w:t>
      </w:r>
      <w:r w:rsidRPr="00B02247">
        <w:t>4478/2017</w:t>
      </w:r>
      <w:r w:rsidR="005B2A41">
        <w:t xml:space="preserve"> </w:t>
      </w:r>
      <w:r w:rsidRPr="00B02247">
        <w:t>incorporated</w:t>
      </w:r>
      <w:r w:rsidR="005B2A41">
        <w:t xml:space="preserve"> </w:t>
      </w:r>
      <w:r w:rsidRPr="00B02247">
        <w:t>Directive</w:t>
      </w:r>
      <w:r w:rsidR="005B2A41">
        <w:t xml:space="preserve"> </w:t>
      </w:r>
      <w:r w:rsidRPr="00B02247">
        <w:t>2012/29/EU,</w:t>
      </w:r>
      <w:r w:rsidR="005B2A41">
        <w:t xml:space="preserve"> </w:t>
      </w:r>
      <w:r w:rsidRPr="00B02247">
        <w:t>establishing</w:t>
      </w:r>
      <w:r w:rsidR="005B2A41">
        <w:t xml:space="preserve"> </w:t>
      </w:r>
      <w:r w:rsidRPr="00B02247">
        <w:t>minimum</w:t>
      </w:r>
      <w:r w:rsidR="005B2A41">
        <w:t xml:space="preserve"> </w:t>
      </w:r>
      <w:r w:rsidRPr="00B02247">
        <w:t>standards</w:t>
      </w:r>
      <w:r w:rsidR="005B2A41">
        <w:t xml:space="preserve"> </w:t>
      </w:r>
      <w:r w:rsidRPr="00B02247">
        <w:t>on</w:t>
      </w:r>
      <w:r w:rsidR="005B2A41">
        <w:t xml:space="preserve"> </w:t>
      </w:r>
      <w:r w:rsidRPr="00B02247">
        <w:t>the</w:t>
      </w:r>
      <w:r w:rsidR="005B2A41">
        <w:t xml:space="preserve"> </w:t>
      </w:r>
      <w:r w:rsidRPr="00B02247">
        <w:t>rights,</w:t>
      </w:r>
      <w:r w:rsidR="005B2A41">
        <w:t xml:space="preserve"> </w:t>
      </w:r>
      <w:r w:rsidRPr="00B02247">
        <w:t>support</w:t>
      </w:r>
      <w:r w:rsidR="005B2A41">
        <w:t xml:space="preserve"> </w:t>
      </w:r>
      <w:r w:rsidRPr="00B02247">
        <w:t>and</w:t>
      </w:r>
      <w:r w:rsidR="005B2A41">
        <w:t xml:space="preserve"> </w:t>
      </w:r>
      <w:r w:rsidRPr="00B02247">
        <w:t>protection</w:t>
      </w:r>
      <w:r w:rsidR="005B2A41">
        <w:t xml:space="preserve"> </w:t>
      </w:r>
      <w:r w:rsidRPr="00B02247">
        <w:t>of</w:t>
      </w:r>
      <w:r w:rsidR="005B2A41">
        <w:t xml:space="preserve"> </w:t>
      </w:r>
      <w:r w:rsidRPr="00B02247">
        <w:t>victims</w:t>
      </w:r>
      <w:r w:rsidR="005B2A41">
        <w:t xml:space="preserve"> </w:t>
      </w:r>
      <w:r w:rsidRPr="00B02247">
        <w:t>of</w:t>
      </w:r>
      <w:r w:rsidR="005B2A41">
        <w:t xml:space="preserve"> </w:t>
      </w:r>
      <w:r w:rsidRPr="00B02247">
        <w:t>crime</w:t>
      </w:r>
      <w:r w:rsidR="005B2A41">
        <w:t xml:space="preserve"> </w:t>
      </w:r>
      <w:r w:rsidRPr="00B02247">
        <w:t>(among</w:t>
      </w:r>
      <w:r w:rsidR="005B2A41">
        <w:t xml:space="preserve"> </w:t>
      </w:r>
      <w:r w:rsidRPr="00B02247">
        <w:t>which,</w:t>
      </w:r>
      <w:r w:rsidR="005B2A41">
        <w:t xml:space="preserve"> </w:t>
      </w:r>
      <w:r w:rsidRPr="00B02247">
        <w:t>hate</w:t>
      </w:r>
      <w:r w:rsidR="005B2A41">
        <w:t xml:space="preserve"> </w:t>
      </w:r>
      <w:r w:rsidRPr="00B02247">
        <w:t>crimes).</w:t>
      </w:r>
      <w:r w:rsidR="005B2A41">
        <w:t xml:space="preserve"> </w:t>
      </w:r>
      <w:r w:rsidRPr="00B02247">
        <w:t>Third-country</w:t>
      </w:r>
      <w:r w:rsidR="005B2A41">
        <w:t xml:space="preserve"> </w:t>
      </w:r>
      <w:r w:rsidRPr="00B02247">
        <w:t>nationals</w:t>
      </w:r>
      <w:r w:rsidR="005B2A41">
        <w:t xml:space="preserve"> </w:t>
      </w:r>
      <w:r w:rsidRPr="00B02247">
        <w:t>who</w:t>
      </w:r>
      <w:r w:rsidR="005B2A41">
        <w:t xml:space="preserve"> </w:t>
      </w:r>
      <w:r w:rsidRPr="00B02247">
        <w:t>are</w:t>
      </w:r>
      <w:r w:rsidR="005B2A41">
        <w:t xml:space="preserve"> </w:t>
      </w:r>
      <w:r w:rsidRPr="00B02247">
        <w:t>victims</w:t>
      </w:r>
      <w:r w:rsidR="005B2A41">
        <w:t xml:space="preserve"> </w:t>
      </w:r>
      <w:r w:rsidRPr="00B02247">
        <w:t>or</w:t>
      </w:r>
      <w:r w:rsidR="005B2A41">
        <w:t xml:space="preserve"> </w:t>
      </w:r>
      <w:r w:rsidRPr="00B02247">
        <w:t>material</w:t>
      </w:r>
      <w:r w:rsidR="005B2A41">
        <w:t xml:space="preserve"> </w:t>
      </w:r>
      <w:r w:rsidRPr="00B02247">
        <w:t>witnesses</w:t>
      </w:r>
      <w:r w:rsidR="005B2A41">
        <w:t xml:space="preserve"> </w:t>
      </w:r>
      <w:r w:rsidRPr="00B02247">
        <w:t>of</w:t>
      </w:r>
      <w:r w:rsidR="005B2A41">
        <w:t xml:space="preserve"> </w:t>
      </w:r>
      <w:r w:rsidRPr="00B02247">
        <w:t>racist</w:t>
      </w:r>
      <w:r w:rsidR="005B2A41">
        <w:t xml:space="preserve"> </w:t>
      </w:r>
      <w:r w:rsidRPr="00B02247">
        <w:t>acts</w:t>
      </w:r>
      <w:r w:rsidR="005B2A41">
        <w:t xml:space="preserve"> </w:t>
      </w:r>
      <w:r w:rsidRPr="00B02247">
        <w:t>may</w:t>
      </w:r>
      <w:r w:rsidR="005B2A41">
        <w:t xml:space="preserve"> </w:t>
      </w:r>
      <w:r w:rsidRPr="00B02247">
        <w:t>be</w:t>
      </w:r>
      <w:r w:rsidR="005B2A41">
        <w:t xml:space="preserve"> </w:t>
      </w:r>
      <w:r w:rsidRPr="00B02247">
        <w:t>granted</w:t>
      </w:r>
      <w:r w:rsidR="005B2A41">
        <w:t xml:space="preserve"> </w:t>
      </w:r>
      <w:r w:rsidRPr="00B02247">
        <w:t>a</w:t>
      </w:r>
      <w:r w:rsidR="005B2A41">
        <w:t xml:space="preserve"> </w:t>
      </w:r>
      <w:r w:rsidRPr="00B02247">
        <w:t>residence</w:t>
      </w:r>
      <w:r w:rsidR="005B2A41">
        <w:t xml:space="preserve"> </w:t>
      </w:r>
      <w:r w:rsidRPr="00B02247">
        <w:t>permit</w:t>
      </w:r>
      <w:r w:rsidR="005B2A41">
        <w:t xml:space="preserve"> </w:t>
      </w:r>
      <w:r w:rsidRPr="00B02247">
        <w:t>on</w:t>
      </w:r>
      <w:r w:rsidR="005B2A41">
        <w:t xml:space="preserve"> </w:t>
      </w:r>
      <w:r w:rsidRPr="00B02247">
        <w:t>humanitarian</w:t>
      </w:r>
      <w:r w:rsidR="005B2A41">
        <w:t xml:space="preserve"> </w:t>
      </w:r>
      <w:r w:rsidRPr="00B02247">
        <w:t>grounds</w:t>
      </w:r>
      <w:r w:rsidR="005B2A41">
        <w:t xml:space="preserve"> </w:t>
      </w:r>
      <w:r w:rsidRPr="00B02247">
        <w:t>until</w:t>
      </w:r>
      <w:r w:rsidR="005B2A41">
        <w:t xml:space="preserve"> </w:t>
      </w:r>
      <w:r w:rsidRPr="00B02247">
        <w:t>a</w:t>
      </w:r>
      <w:r w:rsidR="005B2A41">
        <w:t xml:space="preserve"> </w:t>
      </w:r>
      <w:r w:rsidRPr="00B02247">
        <w:t>judgment</w:t>
      </w:r>
      <w:r w:rsidR="005B2A41">
        <w:t xml:space="preserve"> </w:t>
      </w:r>
      <w:r w:rsidRPr="00B02247">
        <w:t>has</w:t>
      </w:r>
      <w:r w:rsidR="005B2A41">
        <w:t xml:space="preserve"> </w:t>
      </w:r>
      <w:r w:rsidRPr="00B02247">
        <w:t>been</w:t>
      </w:r>
      <w:r w:rsidR="005B2A41">
        <w:t xml:space="preserve"> </w:t>
      </w:r>
      <w:r w:rsidRPr="00B02247">
        <w:t>delivered</w:t>
      </w:r>
      <w:r w:rsidR="005B2A41">
        <w:t xml:space="preserve"> </w:t>
      </w:r>
      <w:r w:rsidRPr="00B02247">
        <w:t>or</w:t>
      </w:r>
      <w:r w:rsidR="005B2A41">
        <w:t xml:space="preserve"> </w:t>
      </w:r>
      <w:r w:rsidRPr="00B02247">
        <w:t>the</w:t>
      </w:r>
      <w:r w:rsidR="005B2A41">
        <w:t xml:space="preserve"> </w:t>
      </w:r>
      <w:r w:rsidRPr="00B02247">
        <w:t>case</w:t>
      </w:r>
      <w:r w:rsidR="005B2A41">
        <w:t xml:space="preserve"> </w:t>
      </w:r>
      <w:r w:rsidRPr="00B02247">
        <w:t>has</w:t>
      </w:r>
      <w:r w:rsidR="005B2A41">
        <w:t xml:space="preserve"> </w:t>
      </w:r>
      <w:r w:rsidRPr="00B02247">
        <w:t>been</w:t>
      </w:r>
      <w:r w:rsidR="005B2A41">
        <w:t xml:space="preserve"> </w:t>
      </w:r>
      <w:r w:rsidRPr="00B02247">
        <w:t>closed</w:t>
      </w:r>
      <w:r w:rsidR="005B2A41">
        <w:t xml:space="preserve"> </w:t>
      </w:r>
      <w:r w:rsidRPr="00B02247">
        <w:t>(ar.</w:t>
      </w:r>
      <w:r w:rsidR="005B2A41">
        <w:t xml:space="preserve"> </w:t>
      </w:r>
      <w:r w:rsidRPr="00B02247">
        <w:t>19</w:t>
      </w:r>
      <w:r w:rsidR="005B2A41">
        <w:t xml:space="preserve"> </w:t>
      </w:r>
      <w:r w:rsidRPr="00B02247">
        <w:t>A,</w:t>
      </w:r>
      <w:r w:rsidR="005B2A41">
        <w:t xml:space="preserve"> </w:t>
      </w:r>
      <w:r w:rsidRPr="00B02247">
        <w:t>law</w:t>
      </w:r>
      <w:r w:rsidR="005B2A41">
        <w:t xml:space="preserve"> </w:t>
      </w:r>
      <w:r w:rsidRPr="00B02247">
        <w:t>4251/2014</w:t>
      </w:r>
      <w:r w:rsidR="005B2A41">
        <w:t xml:space="preserve"> </w:t>
      </w:r>
      <w:r w:rsidRPr="00B02247">
        <w:t>as</w:t>
      </w:r>
      <w:r w:rsidR="005B2A41">
        <w:t xml:space="preserve"> </w:t>
      </w:r>
      <w:r w:rsidRPr="00B02247">
        <w:t>amended</w:t>
      </w:r>
      <w:r w:rsidR="005B2A41">
        <w:t xml:space="preserve"> </w:t>
      </w:r>
      <w:r w:rsidRPr="00B02247">
        <w:t>by</w:t>
      </w:r>
      <w:r w:rsidR="005B2A41">
        <w:t xml:space="preserve"> </w:t>
      </w:r>
      <w:r w:rsidRPr="00B02247">
        <w:t>law</w:t>
      </w:r>
      <w:r w:rsidR="005B2A41">
        <w:t xml:space="preserve"> </w:t>
      </w:r>
      <w:r w:rsidRPr="00B02247">
        <w:t>4332/2015).</w:t>
      </w:r>
      <w:r w:rsidR="005B2A41">
        <w:t xml:space="preserve"> </w:t>
      </w:r>
      <w:r w:rsidRPr="00B02247">
        <w:t>Moreover,</w:t>
      </w:r>
      <w:r w:rsidR="005B2A41">
        <w:t xml:space="preserve"> </w:t>
      </w:r>
      <w:r w:rsidRPr="00B02247">
        <w:t>with</w:t>
      </w:r>
      <w:r w:rsidR="005B2A41">
        <w:t xml:space="preserve"> </w:t>
      </w:r>
      <w:r w:rsidRPr="00B02247">
        <w:t>the</w:t>
      </w:r>
      <w:r w:rsidR="005B2A41">
        <w:t xml:space="preserve"> </w:t>
      </w:r>
      <w:r w:rsidRPr="00B02247">
        <w:t>amendment</w:t>
      </w:r>
      <w:r w:rsidR="005B2A41">
        <w:t xml:space="preserve"> </w:t>
      </w:r>
      <w:r w:rsidRPr="00B02247">
        <w:t>(by</w:t>
      </w:r>
      <w:r w:rsidR="005B2A41">
        <w:t xml:space="preserve"> </w:t>
      </w:r>
      <w:r w:rsidRPr="00B02247">
        <w:t>Law</w:t>
      </w:r>
      <w:r w:rsidR="005B2A41">
        <w:t xml:space="preserve"> </w:t>
      </w:r>
      <w:r w:rsidRPr="00B02247">
        <w:t>4332/2015)</w:t>
      </w:r>
      <w:r w:rsidR="005B2A41">
        <w:t xml:space="preserve"> </w:t>
      </w:r>
      <w:r w:rsidRPr="00B02247">
        <w:t>of</w:t>
      </w:r>
      <w:r w:rsidR="005B2A41">
        <w:t xml:space="preserve"> </w:t>
      </w:r>
      <w:r w:rsidRPr="00B02247">
        <w:t>the</w:t>
      </w:r>
      <w:r w:rsidR="005B2A41">
        <w:t xml:space="preserve"> </w:t>
      </w:r>
      <w:r w:rsidRPr="00B02247">
        <w:t>article</w:t>
      </w:r>
      <w:r w:rsidR="005B2A41">
        <w:t xml:space="preserve"> </w:t>
      </w:r>
      <w:r w:rsidRPr="00B02247">
        <w:t>41</w:t>
      </w:r>
      <w:r w:rsidR="005B2A41">
        <w:t xml:space="preserve"> </w:t>
      </w:r>
      <w:r w:rsidRPr="00B02247">
        <w:t>of</w:t>
      </w:r>
      <w:r w:rsidR="005B2A41">
        <w:t xml:space="preserve"> </w:t>
      </w:r>
      <w:r w:rsidRPr="00B02247">
        <w:t>Law</w:t>
      </w:r>
      <w:r w:rsidR="005B2A41">
        <w:t xml:space="preserve"> </w:t>
      </w:r>
      <w:r w:rsidRPr="00B02247">
        <w:t>3907/2011,</w:t>
      </w:r>
      <w:r w:rsidR="005B2A41">
        <w:t xml:space="preserve"> </w:t>
      </w:r>
      <w:r w:rsidRPr="00B02247">
        <w:t>the</w:t>
      </w:r>
      <w:r w:rsidR="005B2A41">
        <w:t xml:space="preserve"> </w:t>
      </w:r>
      <w:r w:rsidRPr="00B02247">
        <w:t>return</w:t>
      </w:r>
      <w:r w:rsidR="005B2A41">
        <w:t xml:space="preserve"> </w:t>
      </w:r>
      <w:r w:rsidRPr="00B02247">
        <w:t>and</w:t>
      </w:r>
      <w:r w:rsidR="005B2A41">
        <w:t xml:space="preserve"> </w:t>
      </w:r>
      <w:r w:rsidRPr="00B02247">
        <w:t>consequently</w:t>
      </w:r>
      <w:r w:rsidR="005B2A41">
        <w:t xml:space="preserve"> </w:t>
      </w:r>
      <w:r w:rsidRPr="00B02247">
        <w:t>the</w:t>
      </w:r>
      <w:r w:rsidR="005B2A41">
        <w:t xml:space="preserve"> </w:t>
      </w:r>
      <w:r w:rsidRPr="00B02247">
        <w:t>detention,</w:t>
      </w:r>
      <w:r w:rsidR="005B2A41">
        <w:t xml:space="preserve"> </w:t>
      </w:r>
      <w:r w:rsidRPr="00B02247">
        <w:t>of</w:t>
      </w:r>
      <w:r w:rsidR="005B2A41">
        <w:t xml:space="preserve"> </w:t>
      </w:r>
      <w:r w:rsidRPr="00B02247">
        <w:t>a</w:t>
      </w:r>
      <w:r w:rsidR="005B2A41">
        <w:t xml:space="preserve"> </w:t>
      </w:r>
      <w:r w:rsidRPr="00B02247">
        <w:t>foreigner,</w:t>
      </w:r>
      <w:r w:rsidR="005B2A41">
        <w:t xml:space="preserve"> </w:t>
      </w:r>
      <w:r w:rsidRPr="00B02247">
        <w:t>if</w:t>
      </w:r>
      <w:r w:rsidR="005B2A41">
        <w:t xml:space="preserve"> </w:t>
      </w:r>
      <w:r w:rsidRPr="00B02247">
        <w:t>he</w:t>
      </w:r>
      <w:r w:rsidR="005B2A41">
        <w:t xml:space="preserve"> </w:t>
      </w:r>
      <w:r w:rsidRPr="00B02247">
        <w:t>or</w:t>
      </w:r>
      <w:r w:rsidR="005B2A41">
        <w:t xml:space="preserve"> </w:t>
      </w:r>
      <w:r w:rsidRPr="00B02247">
        <w:t>she</w:t>
      </w:r>
      <w:r w:rsidR="005B2A41">
        <w:t xml:space="preserve"> </w:t>
      </w:r>
      <w:r w:rsidRPr="00B02247">
        <w:t>is</w:t>
      </w:r>
      <w:r w:rsidR="005B2A41">
        <w:t xml:space="preserve"> </w:t>
      </w:r>
      <w:r w:rsidRPr="00B02247">
        <w:t>a</w:t>
      </w:r>
      <w:r w:rsidR="005B2A41">
        <w:t xml:space="preserve"> </w:t>
      </w:r>
      <w:r w:rsidRPr="00B02247">
        <w:t>victim</w:t>
      </w:r>
      <w:r w:rsidR="005B2A41">
        <w:t xml:space="preserve"> </w:t>
      </w:r>
      <w:r w:rsidRPr="00B02247">
        <w:t>or</w:t>
      </w:r>
      <w:r w:rsidR="005B2A41">
        <w:t xml:space="preserve"> </w:t>
      </w:r>
      <w:r w:rsidRPr="00B02247">
        <w:t>a</w:t>
      </w:r>
      <w:r w:rsidR="005B2A41">
        <w:t xml:space="preserve"> </w:t>
      </w:r>
      <w:r w:rsidRPr="00B02247">
        <w:t>substantial</w:t>
      </w:r>
      <w:r w:rsidR="005B2A41">
        <w:t xml:space="preserve"> </w:t>
      </w:r>
      <w:r w:rsidRPr="00B02247">
        <w:t>witness</w:t>
      </w:r>
      <w:r w:rsidR="005B2A41">
        <w:t xml:space="preserve"> </w:t>
      </w:r>
      <w:r w:rsidRPr="00B02247">
        <w:t>of</w:t>
      </w:r>
      <w:r w:rsidR="005B2A41">
        <w:t xml:space="preserve"> </w:t>
      </w:r>
      <w:r w:rsidRPr="00B02247">
        <w:t>criminal</w:t>
      </w:r>
      <w:r w:rsidR="005B2A41">
        <w:t xml:space="preserve"> </w:t>
      </w:r>
      <w:r w:rsidRPr="00B02247">
        <w:t>acts</w:t>
      </w:r>
      <w:r w:rsidR="005B2A41">
        <w:t xml:space="preserve"> </w:t>
      </w:r>
      <w:r w:rsidRPr="00B02247">
        <w:t>of</w:t>
      </w:r>
      <w:r w:rsidR="005B2A41">
        <w:t xml:space="preserve"> </w:t>
      </w:r>
      <w:r w:rsidRPr="00B02247">
        <w:t>81A</w:t>
      </w:r>
      <w:r w:rsidR="005B2A41">
        <w:t xml:space="preserve"> </w:t>
      </w:r>
      <w:r w:rsidRPr="00B02247">
        <w:t>of</w:t>
      </w:r>
      <w:r w:rsidR="005B2A41">
        <w:t xml:space="preserve"> </w:t>
      </w:r>
      <w:r w:rsidRPr="00B02247">
        <w:t>the</w:t>
      </w:r>
      <w:r w:rsidR="005B2A41">
        <w:t xml:space="preserve"> </w:t>
      </w:r>
      <w:r w:rsidRPr="00B02247">
        <w:t>Criminal</w:t>
      </w:r>
      <w:r w:rsidR="005B2A41">
        <w:t xml:space="preserve"> </w:t>
      </w:r>
      <w:r w:rsidRPr="00B02247">
        <w:t>Code</w:t>
      </w:r>
      <w:r w:rsidR="005B2A41">
        <w:t xml:space="preserve"> </w:t>
      </w:r>
      <w:r w:rsidRPr="00B02247">
        <w:t>and</w:t>
      </w:r>
      <w:r w:rsidR="005B2A41">
        <w:t xml:space="preserve"> </w:t>
      </w:r>
      <w:r w:rsidRPr="00B02247">
        <w:t>of</w:t>
      </w:r>
      <w:r w:rsidR="005B2A41">
        <w:t xml:space="preserve"> </w:t>
      </w:r>
      <w:r w:rsidRPr="00B02247">
        <w:t>articles</w:t>
      </w:r>
      <w:r w:rsidR="005B2A41">
        <w:t xml:space="preserve"> </w:t>
      </w:r>
      <w:r w:rsidRPr="00B02247">
        <w:t>1</w:t>
      </w:r>
      <w:r w:rsidR="005B2A41">
        <w:t xml:space="preserve"> </w:t>
      </w:r>
      <w:r w:rsidRPr="00B02247">
        <w:t>and</w:t>
      </w:r>
      <w:r w:rsidR="005B2A41">
        <w:t xml:space="preserve"> </w:t>
      </w:r>
      <w:r w:rsidRPr="00B02247">
        <w:t>2</w:t>
      </w:r>
      <w:r w:rsidR="005B2A41">
        <w:t xml:space="preserve"> </w:t>
      </w:r>
      <w:r w:rsidRPr="00B02247">
        <w:t>of</w:t>
      </w:r>
      <w:r w:rsidR="005B2A41">
        <w:t xml:space="preserve"> </w:t>
      </w:r>
      <w:r w:rsidRPr="00B02247">
        <w:t>Law</w:t>
      </w:r>
      <w:r w:rsidR="005B2A41">
        <w:t xml:space="preserve"> </w:t>
      </w:r>
      <w:r w:rsidRPr="00B02247">
        <w:t>927/1979</w:t>
      </w:r>
      <w:r w:rsidR="005B2A41">
        <w:t xml:space="preserve"> </w:t>
      </w:r>
      <w:r w:rsidRPr="00B02247">
        <w:t>and</w:t>
      </w:r>
      <w:r w:rsidR="005B2A41">
        <w:t xml:space="preserve"> </w:t>
      </w:r>
      <w:r w:rsidRPr="00B02247">
        <w:t>submits</w:t>
      </w:r>
      <w:r w:rsidR="005B2A41">
        <w:t xml:space="preserve"> </w:t>
      </w:r>
      <w:r w:rsidRPr="00B02247">
        <w:t>a</w:t>
      </w:r>
      <w:r w:rsidR="005B2A41">
        <w:t xml:space="preserve"> </w:t>
      </w:r>
      <w:r w:rsidRPr="00B02247">
        <w:t>complaint</w:t>
      </w:r>
      <w:r w:rsidR="005B2A41">
        <w:t xml:space="preserve"> </w:t>
      </w:r>
      <w:r w:rsidRPr="00B02247">
        <w:t>or</w:t>
      </w:r>
      <w:r w:rsidR="005B2A41">
        <w:t xml:space="preserve"> </w:t>
      </w:r>
      <w:r w:rsidRPr="00B02247">
        <w:t>report</w:t>
      </w:r>
      <w:r w:rsidR="005B2A41">
        <w:t xml:space="preserve"> </w:t>
      </w:r>
      <w:r w:rsidRPr="00B02247">
        <w:t>of</w:t>
      </w:r>
      <w:r w:rsidR="005B2A41">
        <w:t xml:space="preserve"> </w:t>
      </w:r>
      <w:r w:rsidRPr="00B02247">
        <w:t>the</w:t>
      </w:r>
      <w:r w:rsidR="005B2A41">
        <w:t xml:space="preserve"> </w:t>
      </w:r>
      <w:r w:rsidRPr="00B02247">
        <w:t>incident</w:t>
      </w:r>
      <w:r w:rsidR="005B2A41">
        <w:t xml:space="preserve"> </w:t>
      </w:r>
      <w:r w:rsidRPr="00B02247">
        <w:t>to</w:t>
      </w:r>
      <w:r w:rsidR="005B2A41">
        <w:t xml:space="preserve"> </w:t>
      </w:r>
      <w:r w:rsidRPr="00B02247">
        <w:t>the</w:t>
      </w:r>
      <w:r w:rsidR="005B2A41">
        <w:t xml:space="preserve"> </w:t>
      </w:r>
      <w:r w:rsidRPr="00B02247">
        <w:t>competent</w:t>
      </w:r>
      <w:r w:rsidR="005B2A41">
        <w:t xml:space="preserve"> </w:t>
      </w:r>
      <w:r w:rsidRPr="00B02247">
        <w:t>police</w:t>
      </w:r>
      <w:r w:rsidR="005B2A41">
        <w:t xml:space="preserve"> </w:t>
      </w:r>
      <w:r w:rsidRPr="00B02247">
        <w:t>authorities,</w:t>
      </w:r>
      <w:r w:rsidR="005B2A41">
        <w:t xml:space="preserve"> </w:t>
      </w:r>
      <w:r w:rsidRPr="00B02247">
        <w:t>is</w:t>
      </w:r>
      <w:r w:rsidR="005B2A41">
        <w:t xml:space="preserve"> </w:t>
      </w:r>
      <w:r w:rsidRPr="00B02247">
        <w:t>prohibited,</w:t>
      </w:r>
      <w:r w:rsidR="005B2A41">
        <w:t xml:space="preserve"> </w:t>
      </w:r>
      <w:r w:rsidRPr="00B02247">
        <w:t>until</w:t>
      </w:r>
      <w:r w:rsidR="005B2A41">
        <w:t xml:space="preserve"> </w:t>
      </w:r>
      <w:r w:rsidRPr="00B02247">
        <w:t>the</w:t>
      </w:r>
      <w:r w:rsidR="005B2A41">
        <w:t xml:space="preserve"> </w:t>
      </w:r>
      <w:r w:rsidRPr="00B02247">
        <w:t>competent</w:t>
      </w:r>
      <w:r w:rsidR="005B2A41">
        <w:t xml:space="preserve"> </w:t>
      </w:r>
      <w:r w:rsidRPr="00B02247">
        <w:t>prosecutor</w:t>
      </w:r>
      <w:r w:rsidR="005B2A41">
        <w:t xml:space="preserve"> </w:t>
      </w:r>
      <w:r w:rsidRPr="00B02247">
        <w:t>has</w:t>
      </w:r>
      <w:r w:rsidR="005B2A41">
        <w:t xml:space="preserve"> </w:t>
      </w:r>
      <w:r w:rsidRPr="00B02247">
        <w:t>issued</w:t>
      </w:r>
      <w:r w:rsidR="005B2A41">
        <w:t xml:space="preserve"> </w:t>
      </w:r>
      <w:r w:rsidRPr="00B02247">
        <w:t>an</w:t>
      </w:r>
      <w:r w:rsidR="005B2A41">
        <w:t xml:space="preserve"> </w:t>
      </w:r>
      <w:r w:rsidRPr="00B02247">
        <w:t>act</w:t>
      </w:r>
      <w:r w:rsidR="005B2A41">
        <w:t xml:space="preserve"> </w:t>
      </w:r>
      <w:r w:rsidRPr="00B02247">
        <w:t>(designating</w:t>
      </w:r>
      <w:r w:rsidR="005B2A41">
        <w:t xml:space="preserve"> </w:t>
      </w:r>
      <w:r w:rsidRPr="00B02247">
        <w:t>the</w:t>
      </w:r>
      <w:r w:rsidR="005B2A41">
        <w:t xml:space="preserve"> </w:t>
      </w:r>
      <w:r w:rsidRPr="00B02247">
        <w:t>foreigner</w:t>
      </w:r>
      <w:r w:rsidR="005B2A41">
        <w:t xml:space="preserve"> </w:t>
      </w:r>
      <w:r w:rsidRPr="00B02247">
        <w:t>as</w:t>
      </w:r>
      <w:r w:rsidR="005B2A41">
        <w:t xml:space="preserve"> </w:t>
      </w:r>
      <w:r w:rsidRPr="00B02247">
        <w:t>a</w:t>
      </w:r>
      <w:r w:rsidR="005B2A41">
        <w:t xml:space="preserve"> </w:t>
      </w:r>
      <w:r w:rsidRPr="00B02247">
        <w:t>victim).</w:t>
      </w:r>
    </w:p>
    <w:p w:rsidR="00F233AB" w:rsidRPr="00B02247" w:rsidRDefault="00F233AB" w:rsidP="00E1307D">
      <w:pPr>
        <w:pStyle w:val="SingleTxtG"/>
      </w:pPr>
      <w:r w:rsidRPr="00B02247">
        <w:t>72.</w:t>
      </w:r>
      <w:r w:rsidRPr="00B02247">
        <w:tab/>
        <w:t>According</w:t>
      </w:r>
      <w:r w:rsidR="005B2A41">
        <w:t xml:space="preserve"> </w:t>
      </w:r>
      <w:r w:rsidRPr="00B02247">
        <w:t>to</w:t>
      </w:r>
      <w:r w:rsidR="005B2A41">
        <w:t xml:space="preserve"> </w:t>
      </w:r>
      <w:r w:rsidRPr="00B02247">
        <w:t>the</w:t>
      </w:r>
      <w:r w:rsidR="005B2A41">
        <w:t xml:space="preserve"> </w:t>
      </w:r>
      <w:r w:rsidRPr="00B02247">
        <w:t>provisions</w:t>
      </w:r>
      <w:r w:rsidR="005B2A41">
        <w:t xml:space="preserve"> </w:t>
      </w:r>
      <w:r w:rsidRPr="00B02247">
        <w:t>of</w:t>
      </w:r>
      <w:r w:rsidR="005B2A41">
        <w:t xml:space="preserve"> </w:t>
      </w:r>
      <w:r w:rsidRPr="00B02247">
        <w:t>Law</w:t>
      </w:r>
      <w:r w:rsidR="005B2A41">
        <w:t xml:space="preserve"> </w:t>
      </w:r>
      <w:r w:rsidRPr="00B02247">
        <w:t>3811/2009,</w:t>
      </w:r>
      <w:r w:rsidR="005B2A41">
        <w:t xml:space="preserve"> </w:t>
      </w:r>
      <w:r w:rsidRPr="00B02247">
        <w:t>victims</w:t>
      </w:r>
      <w:r w:rsidR="005B2A41">
        <w:t xml:space="preserve"> </w:t>
      </w:r>
      <w:r w:rsidRPr="00B02247">
        <w:t>may</w:t>
      </w:r>
      <w:r w:rsidR="005B2A41">
        <w:t xml:space="preserve"> </w:t>
      </w:r>
      <w:r w:rsidRPr="00B02247">
        <w:t>also</w:t>
      </w:r>
      <w:r w:rsidR="005B2A41">
        <w:t xml:space="preserve"> </w:t>
      </w:r>
      <w:r w:rsidRPr="00B02247">
        <w:t>seek</w:t>
      </w:r>
      <w:r w:rsidR="005B2A41">
        <w:t xml:space="preserve"> </w:t>
      </w:r>
      <w:r w:rsidRPr="00B02247">
        <w:t>compensation</w:t>
      </w:r>
      <w:r w:rsidR="005B2A41">
        <w:t xml:space="preserve"> </w:t>
      </w:r>
      <w:r w:rsidRPr="00B02247">
        <w:t>from</w:t>
      </w:r>
      <w:r w:rsidR="005B2A41">
        <w:t xml:space="preserve"> </w:t>
      </w:r>
      <w:r w:rsidRPr="00B02247">
        <w:t>the</w:t>
      </w:r>
      <w:r w:rsidR="005B2A41">
        <w:t xml:space="preserve"> </w:t>
      </w:r>
      <w:r w:rsidRPr="00B02247">
        <w:t>Greek</w:t>
      </w:r>
      <w:r w:rsidR="005B2A41">
        <w:t xml:space="preserve"> </w:t>
      </w:r>
      <w:r w:rsidRPr="00B02247">
        <w:t>Authority</w:t>
      </w:r>
      <w:r w:rsidR="005B2A41">
        <w:t xml:space="preserve"> </w:t>
      </w:r>
      <w:r w:rsidRPr="00B02247">
        <w:t>on</w:t>
      </w:r>
      <w:r w:rsidR="005B2A41">
        <w:t xml:space="preserve"> </w:t>
      </w:r>
      <w:r w:rsidRPr="00B02247">
        <w:t>compensation</w:t>
      </w:r>
      <w:r w:rsidR="005B2A41">
        <w:t xml:space="preserve"> </w:t>
      </w:r>
      <w:r w:rsidRPr="00B02247">
        <w:t>of</w:t>
      </w:r>
      <w:r w:rsidR="005B2A41">
        <w:t xml:space="preserve"> </w:t>
      </w:r>
      <w:r w:rsidRPr="00B02247">
        <w:t>victims</w:t>
      </w:r>
      <w:r w:rsidR="005B2A41">
        <w:t xml:space="preserve"> </w:t>
      </w:r>
      <w:r w:rsidRPr="00B02247">
        <w:t>of</w:t>
      </w:r>
      <w:r w:rsidR="005B2A41">
        <w:t xml:space="preserve"> </w:t>
      </w:r>
      <w:r w:rsidRPr="00B02247">
        <w:t>crimes</w:t>
      </w:r>
      <w:r w:rsidR="005B2A41">
        <w:t xml:space="preserve"> </w:t>
      </w:r>
      <w:r w:rsidRPr="00B02247">
        <w:t>of</w:t>
      </w:r>
      <w:r w:rsidR="005B2A41">
        <w:t xml:space="preserve"> </w:t>
      </w:r>
      <w:r w:rsidRPr="00B02247">
        <w:t>violence</w:t>
      </w:r>
      <w:r w:rsidR="005B2A41">
        <w:t xml:space="preserve"> </w:t>
      </w:r>
      <w:r w:rsidRPr="00B02247">
        <w:t>with</w:t>
      </w:r>
      <w:r w:rsidR="005B2A41">
        <w:t xml:space="preserve"> </w:t>
      </w:r>
      <w:r w:rsidRPr="00B02247">
        <w:t>intent</w:t>
      </w:r>
      <w:r w:rsidR="005B2A41">
        <w:t xml:space="preserve"> </w:t>
      </w:r>
      <w:r w:rsidRPr="00B02247">
        <w:t>or</w:t>
      </w:r>
      <w:r w:rsidR="005B2A41">
        <w:t xml:space="preserve"> </w:t>
      </w:r>
      <w:r w:rsidRPr="00B02247">
        <w:t>of</w:t>
      </w:r>
      <w:r w:rsidR="005B2A41">
        <w:t xml:space="preserve"> </w:t>
      </w:r>
      <w:r w:rsidRPr="00B02247">
        <w:t>crimes</w:t>
      </w:r>
      <w:r w:rsidR="005B2A41">
        <w:t xml:space="preserve"> </w:t>
      </w:r>
      <w:r w:rsidRPr="00B02247">
        <w:t>under</w:t>
      </w:r>
      <w:r w:rsidR="005B2A41">
        <w:t xml:space="preserve"> </w:t>
      </w:r>
      <w:r w:rsidRPr="00B02247">
        <w:t>articles</w:t>
      </w:r>
      <w:r w:rsidR="005B2A41">
        <w:t xml:space="preserve"> </w:t>
      </w:r>
      <w:r w:rsidRPr="00B02247">
        <w:t>323</w:t>
      </w:r>
      <w:r w:rsidR="005B2A41">
        <w:t xml:space="preserve"> </w:t>
      </w:r>
      <w:r w:rsidRPr="00B02247">
        <w:t>(slave</w:t>
      </w:r>
      <w:r w:rsidR="005B2A41">
        <w:t xml:space="preserve"> </w:t>
      </w:r>
      <w:r w:rsidRPr="00B02247">
        <w:t>trade),</w:t>
      </w:r>
      <w:r w:rsidR="005B2A41">
        <w:t xml:space="preserve"> </w:t>
      </w:r>
      <w:r w:rsidRPr="00B02247">
        <w:t>323A</w:t>
      </w:r>
      <w:r w:rsidR="005B2A41">
        <w:t xml:space="preserve"> </w:t>
      </w:r>
      <w:r w:rsidRPr="00B02247">
        <w:t>(trafficking</w:t>
      </w:r>
      <w:r w:rsidR="005B2A41">
        <w:t xml:space="preserve"> </w:t>
      </w:r>
      <w:r w:rsidRPr="00B02247">
        <w:t>in</w:t>
      </w:r>
      <w:r w:rsidR="005B2A41">
        <w:t xml:space="preserve"> </w:t>
      </w:r>
      <w:r w:rsidRPr="00B02247">
        <w:t>human</w:t>
      </w:r>
      <w:r w:rsidR="005B2A41">
        <w:t xml:space="preserve"> </w:t>
      </w:r>
      <w:r w:rsidRPr="00B02247">
        <w:t>beings),</w:t>
      </w:r>
      <w:r w:rsidR="005B2A41">
        <w:t xml:space="preserve"> </w:t>
      </w:r>
      <w:r w:rsidRPr="00B02247">
        <w:t>323</w:t>
      </w:r>
      <w:r w:rsidR="005B2A41">
        <w:t xml:space="preserve"> </w:t>
      </w:r>
      <w:r w:rsidRPr="00B02247">
        <w:t>B</w:t>
      </w:r>
      <w:r w:rsidR="005B2A41">
        <w:t xml:space="preserve"> </w:t>
      </w:r>
      <w:r w:rsidRPr="00B02247">
        <w:t>(sexual</w:t>
      </w:r>
      <w:r w:rsidR="005B2A41">
        <w:t xml:space="preserve"> </w:t>
      </w:r>
      <w:r w:rsidRPr="00B02247">
        <w:t>tourism),</w:t>
      </w:r>
      <w:r w:rsidR="005B2A41">
        <w:t xml:space="preserve"> </w:t>
      </w:r>
      <w:r w:rsidRPr="00B02247">
        <w:t>336</w:t>
      </w:r>
      <w:r w:rsidR="005B2A41">
        <w:t xml:space="preserve"> </w:t>
      </w:r>
      <w:r w:rsidRPr="00B02247">
        <w:t>(rape)</w:t>
      </w:r>
      <w:r w:rsidR="005B2A41">
        <w:t xml:space="preserve"> </w:t>
      </w:r>
      <w:r w:rsidRPr="00B02247">
        <w:t>when</w:t>
      </w:r>
      <w:r w:rsidR="005B2A41">
        <w:t xml:space="preserve"> </w:t>
      </w:r>
      <w:r w:rsidRPr="00B02247">
        <w:t>committed</w:t>
      </w:r>
      <w:r w:rsidR="005B2A41">
        <w:t xml:space="preserve"> </w:t>
      </w:r>
      <w:r w:rsidRPr="00B02247">
        <w:t>against</w:t>
      </w:r>
      <w:r w:rsidR="005B2A41">
        <w:t xml:space="preserve"> </w:t>
      </w:r>
      <w:r w:rsidRPr="00B02247">
        <w:t>minors,</w:t>
      </w:r>
      <w:r w:rsidR="005B2A41">
        <w:t xml:space="preserve"> </w:t>
      </w:r>
      <w:r w:rsidRPr="00B02247">
        <w:t>339</w:t>
      </w:r>
      <w:r w:rsidR="005B2A41">
        <w:t xml:space="preserve"> </w:t>
      </w:r>
      <w:r w:rsidRPr="00B02247">
        <w:t>(seduction</w:t>
      </w:r>
      <w:r w:rsidR="005B2A41">
        <w:t xml:space="preserve"> </w:t>
      </w:r>
      <w:r w:rsidRPr="00B02247">
        <w:t>of</w:t>
      </w:r>
      <w:r w:rsidR="005B2A41">
        <w:t xml:space="preserve"> </w:t>
      </w:r>
      <w:r w:rsidRPr="00B02247">
        <w:t>children)</w:t>
      </w:r>
      <w:r w:rsidR="005B2A41">
        <w:t xml:space="preserve"> </w:t>
      </w:r>
      <w:r w:rsidRPr="00B02247">
        <w:t>par.</w:t>
      </w:r>
      <w:r w:rsidR="005B2A41">
        <w:t xml:space="preserve"> </w:t>
      </w:r>
      <w:r w:rsidRPr="00B02247">
        <w:t>1&amp;4,</w:t>
      </w:r>
      <w:r w:rsidR="005B2A41">
        <w:t xml:space="preserve"> </w:t>
      </w:r>
      <w:r w:rsidRPr="00B02247">
        <w:t>342</w:t>
      </w:r>
      <w:r w:rsidR="005B2A41">
        <w:t xml:space="preserve"> </w:t>
      </w:r>
      <w:r w:rsidRPr="00B02247">
        <w:t>(abuse</w:t>
      </w:r>
      <w:r w:rsidR="005B2A41">
        <w:t xml:space="preserve"> </w:t>
      </w:r>
      <w:r w:rsidRPr="00B02247">
        <w:t>of</w:t>
      </w:r>
      <w:r w:rsidR="005B2A41">
        <w:t xml:space="preserve"> </w:t>
      </w:r>
      <w:r w:rsidRPr="00B02247">
        <w:t>minors)</w:t>
      </w:r>
      <w:r w:rsidR="005B2A41">
        <w:t xml:space="preserve"> </w:t>
      </w:r>
      <w:r w:rsidRPr="00B02247">
        <w:t>par.</w:t>
      </w:r>
      <w:r w:rsidR="005B2A41">
        <w:t xml:space="preserve"> </w:t>
      </w:r>
      <w:r w:rsidRPr="00B02247">
        <w:t>1</w:t>
      </w:r>
      <w:r w:rsidR="005B2A41">
        <w:t xml:space="preserve"> </w:t>
      </w:r>
      <w:r w:rsidRPr="00B02247">
        <w:t>&amp;2,</w:t>
      </w:r>
      <w:r w:rsidR="005B2A41">
        <w:t xml:space="preserve"> </w:t>
      </w:r>
      <w:r w:rsidRPr="00B02247">
        <w:t>348A</w:t>
      </w:r>
      <w:r w:rsidR="005B2A41">
        <w:t xml:space="preserve"> </w:t>
      </w:r>
      <w:r w:rsidRPr="00B02247">
        <w:t>(pornography</w:t>
      </w:r>
      <w:r w:rsidR="005B2A41">
        <w:t xml:space="preserve"> </w:t>
      </w:r>
      <w:r w:rsidRPr="00B02247">
        <w:t>of</w:t>
      </w:r>
      <w:r w:rsidR="005B2A41">
        <w:t xml:space="preserve"> </w:t>
      </w:r>
      <w:r w:rsidRPr="00B02247">
        <w:t>minors),</w:t>
      </w:r>
      <w:r w:rsidR="005B2A41">
        <w:t xml:space="preserve"> </w:t>
      </w:r>
      <w:r w:rsidRPr="00B02247">
        <w:t>348</w:t>
      </w:r>
      <w:r w:rsidR="005B2A41">
        <w:t xml:space="preserve"> </w:t>
      </w:r>
      <w:r w:rsidRPr="00B02247">
        <w:t>B</w:t>
      </w:r>
      <w:r w:rsidR="005B2A41">
        <w:t xml:space="preserve"> </w:t>
      </w:r>
      <w:r w:rsidRPr="00B02247">
        <w:t>(intentionally</w:t>
      </w:r>
      <w:r w:rsidR="005B2A41">
        <w:t xml:space="preserve"> </w:t>
      </w:r>
      <w:r w:rsidRPr="00B02247">
        <w:t>approach</w:t>
      </w:r>
      <w:r w:rsidR="005B2A41">
        <w:t xml:space="preserve"> </w:t>
      </w:r>
      <w:r w:rsidRPr="00B02247">
        <w:t>of</w:t>
      </w:r>
      <w:r w:rsidR="005B2A41">
        <w:t xml:space="preserve"> </w:t>
      </w:r>
      <w:r w:rsidRPr="00B02247">
        <w:t>children</w:t>
      </w:r>
      <w:r w:rsidR="005B2A41">
        <w:t xml:space="preserve"> </w:t>
      </w:r>
      <w:r w:rsidRPr="00B02247">
        <w:t>for</w:t>
      </w:r>
      <w:r w:rsidR="005B2A41">
        <w:t xml:space="preserve"> </w:t>
      </w:r>
      <w:r w:rsidRPr="00B02247">
        <w:t>sexual</w:t>
      </w:r>
      <w:r w:rsidR="005B2A41">
        <w:t xml:space="preserve"> </w:t>
      </w:r>
      <w:r w:rsidRPr="00B02247">
        <w:t>reasons)</w:t>
      </w:r>
      <w:r w:rsidR="005B2A41">
        <w:t xml:space="preserve"> </w:t>
      </w:r>
      <w:r w:rsidRPr="00B02247">
        <w:t>348</w:t>
      </w:r>
      <w:r w:rsidR="005B2A41">
        <w:t xml:space="preserve"> </w:t>
      </w:r>
      <w:r w:rsidRPr="00B02247">
        <w:t>C</w:t>
      </w:r>
      <w:r w:rsidR="005B2A41">
        <w:t xml:space="preserve"> </w:t>
      </w:r>
      <w:r w:rsidRPr="00B02247">
        <w:t>(access</w:t>
      </w:r>
      <w:r w:rsidR="005B2A41">
        <w:t xml:space="preserve"> </w:t>
      </w:r>
      <w:r w:rsidRPr="00B02247">
        <w:t>to</w:t>
      </w:r>
      <w:r w:rsidR="005B2A41">
        <w:t xml:space="preserve"> </w:t>
      </w:r>
      <w:r w:rsidRPr="00B02247">
        <w:t>child</w:t>
      </w:r>
      <w:r w:rsidR="005B2A41">
        <w:t xml:space="preserve"> </w:t>
      </w:r>
      <w:r w:rsidRPr="00B02247">
        <w:t>pornographic</w:t>
      </w:r>
      <w:r w:rsidR="005B2A41">
        <w:t xml:space="preserve"> </w:t>
      </w:r>
      <w:r w:rsidRPr="00B02247">
        <w:t>material),</w:t>
      </w:r>
      <w:r w:rsidR="005B2A41">
        <w:t xml:space="preserve"> </w:t>
      </w:r>
      <w:r w:rsidRPr="00B02247">
        <w:t>349</w:t>
      </w:r>
      <w:r w:rsidR="005B2A41">
        <w:t xml:space="preserve"> </w:t>
      </w:r>
      <w:r w:rsidRPr="00B02247">
        <w:t>(pandering),</w:t>
      </w:r>
      <w:r w:rsidR="005B2A41">
        <w:t xml:space="preserve"> </w:t>
      </w:r>
      <w:r w:rsidRPr="00B02247">
        <w:t>351</w:t>
      </w:r>
      <w:r w:rsidR="005B2A41">
        <w:t xml:space="preserve"> </w:t>
      </w:r>
      <w:r w:rsidRPr="00B02247">
        <w:t>(trafficking</w:t>
      </w:r>
      <w:r w:rsidR="005B2A41">
        <w:t xml:space="preserve"> </w:t>
      </w:r>
      <w:r w:rsidRPr="00B02247">
        <w:t>in</w:t>
      </w:r>
      <w:r w:rsidR="005B2A41">
        <w:t xml:space="preserve"> </w:t>
      </w:r>
      <w:r w:rsidRPr="00B02247">
        <w:t>human</w:t>
      </w:r>
      <w:r w:rsidR="005B2A41">
        <w:t xml:space="preserve"> </w:t>
      </w:r>
      <w:r w:rsidRPr="00B02247">
        <w:t>beings</w:t>
      </w:r>
      <w:r w:rsidR="005B2A41">
        <w:t xml:space="preserve"> </w:t>
      </w:r>
      <w:r w:rsidRPr="00B02247">
        <w:t>for</w:t>
      </w:r>
      <w:r w:rsidR="005B2A41">
        <w:t xml:space="preserve"> </w:t>
      </w:r>
      <w:r w:rsidRPr="00B02247">
        <w:t>sexual</w:t>
      </w:r>
      <w:r w:rsidR="005B2A41">
        <w:t xml:space="preserve"> </w:t>
      </w:r>
      <w:r w:rsidRPr="00B02247">
        <w:t>exploitation),</w:t>
      </w:r>
      <w:r w:rsidR="005B2A41">
        <w:t xml:space="preserve"> </w:t>
      </w:r>
      <w:r w:rsidRPr="00B02247">
        <w:t>351A</w:t>
      </w:r>
      <w:r w:rsidR="005B2A41">
        <w:t xml:space="preserve"> </w:t>
      </w:r>
      <w:r w:rsidRPr="00B02247">
        <w:t>(sexual</w:t>
      </w:r>
      <w:r w:rsidR="005B2A41">
        <w:t xml:space="preserve"> </w:t>
      </w:r>
      <w:r w:rsidRPr="00B02247">
        <w:t>abuse</w:t>
      </w:r>
      <w:r w:rsidR="005B2A41">
        <w:t xml:space="preserve"> </w:t>
      </w:r>
      <w:r w:rsidRPr="00B02247">
        <w:t>of</w:t>
      </w:r>
      <w:r w:rsidR="005B2A41">
        <w:t xml:space="preserve"> </w:t>
      </w:r>
      <w:r w:rsidRPr="00B02247">
        <w:t>minor</w:t>
      </w:r>
      <w:r w:rsidR="005B2A41">
        <w:t xml:space="preserve"> </w:t>
      </w:r>
      <w:r w:rsidRPr="00B02247">
        <w:t>for</w:t>
      </w:r>
      <w:r w:rsidR="005B2A41">
        <w:t xml:space="preserve"> </w:t>
      </w:r>
      <w:r w:rsidRPr="00B02247">
        <w:t>payment).</w:t>
      </w:r>
      <w:r w:rsidR="005B2A41">
        <w:t xml:space="preserve"> </w:t>
      </w:r>
      <w:r w:rsidRPr="00B02247">
        <w:t>More</w:t>
      </w:r>
      <w:r w:rsidR="005B2A41">
        <w:t xml:space="preserve"> </w:t>
      </w:r>
      <w:r w:rsidRPr="00B02247">
        <w:t>specifically,</w:t>
      </w:r>
      <w:r w:rsidR="005B2A41">
        <w:t xml:space="preserve"> </w:t>
      </w:r>
      <w:r w:rsidRPr="00B02247">
        <w:t>an</w:t>
      </w:r>
      <w:r w:rsidR="005B2A41">
        <w:t xml:space="preserve"> </w:t>
      </w:r>
      <w:r w:rsidRPr="00B02247">
        <w:t>authority</w:t>
      </w:r>
      <w:r w:rsidR="005B2A41">
        <w:t xml:space="preserve"> </w:t>
      </w:r>
      <w:r w:rsidRPr="00B02247">
        <w:t>is</w:t>
      </w:r>
      <w:r w:rsidR="005B2A41">
        <w:t xml:space="preserve"> </w:t>
      </w:r>
      <w:r w:rsidRPr="00B02247">
        <w:t>established</w:t>
      </w:r>
      <w:r w:rsidR="005B2A41">
        <w:t xml:space="preserve"> </w:t>
      </w:r>
      <w:r w:rsidRPr="00B02247">
        <w:t>under</w:t>
      </w:r>
      <w:r w:rsidR="005B2A41">
        <w:t xml:space="preserve"> </w:t>
      </w:r>
      <w:r w:rsidRPr="00B02247">
        <w:t>the</w:t>
      </w:r>
      <w:r w:rsidR="005B2A41">
        <w:t xml:space="preserve"> </w:t>
      </w:r>
      <w:r w:rsidRPr="00B02247">
        <w:t>name</w:t>
      </w:r>
      <w:r w:rsidR="005B2A41">
        <w:t xml:space="preserve"> </w:t>
      </w:r>
      <w:r w:rsidR="003E731F">
        <w:t>‘</w:t>
      </w:r>
      <w:r w:rsidRPr="00B02247">
        <w:t>Greek</w:t>
      </w:r>
      <w:r w:rsidR="005B2A41">
        <w:t xml:space="preserve"> </w:t>
      </w:r>
      <w:r w:rsidRPr="00B02247">
        <w:t>Compensation</w:t>
      </w:r>
      <w:r w:rsidR="005B2A41">
        <w:t xml:space="preserve"> </w:t>
      </w:r>
      <w:r w:rsidRPr="00B02247">
        <w:t>Authority</w:t>
      </w:r>
      <w:r w:rsidR="003E731F">
        <w:t>’</w:t>
      </w:r>
      <w:r w:rsidRPr="00B02247">
        <w:t>,</w:t>
      </w:r>
      <w:r w:rsidR="005B2A41">
        <w:t xml:space="preserve"> </w:t>
      </w:r>
      <w:r w:rsidRPr="00B02247">
        <w:t>which</w:t>
      </w:r>
      <w:r w:rsidR="005B2A41">
        <w:t xml:space="preserve"> </w:t>
      </w:r>
      <w:r w:rsidRPr="00B02247">
        <w:t>functions</w:t>
      </w:r>
      <w:r w:rsidR="005B2A41">
        <w:t xml:space="preserve"> </w:t>
      </w:r>
      <w:r w:rsidRPr="00B02247">
        <w:t>within</w:t>
      </w:r>
      <w:r w:rsidR="005B2A41">
        <w:t xml:space="preserve"> </w:t>
      </w:r>
      <w:r w:rsidRPr="00B02247">
        <w:t>the</w:t>
      </w:r>
      <w:r w:rsidR="005B2A41">
        <w:t xml:space="preserve"> </w:t>
      </w:r>
      <w:r w:rsidRPr="00B02247">
        <w:t>Ministry</w:t>
      </w:r>
      <w:r w:rsidR="005B2A41">
        <w:t xml:space="preserve"> </w:t>
      </w:r>
      <w:r w:rsidRPr="00B02247">
        <w:t>of</w:t>
      </w:r>
      <w:r w:rsidR="005B2A41">
        <w:t xml:space="preserve"> </w:t>
      </w:r>
      <w:r w:rsidRPr="00B02247">
        <w:t>Justice,</w:t>
      </w:r>
      <w:r w:rsidR="005B2A41">
        <w:t xml:space="preserve"> </w:t>
      </w:r>
      <w:r w:rsidRPr="00B02247">
        <w:t>Transparency</w:t>
      </w:r>
      <w:r w:rsidR="005B2A41">
        <w:t xml:space="preserve"> </w:t>
      </w:r>
      <w:r w:rsidRPr="00B02247">
        <w:t>and</w:t>
      </w:r>
      <w:r w:rsidR="005B2A41">
        <w:t xml:space="preserve"> </w:t>
      </w:r>
      <w:r w:rsidRPr="00B02247">
        <w:t>Human</w:t>
      </w:r>
      <w:r w:rsidR="005B2A41">
        <w:t xml:space="preserve"> </w:t>
      </w:r>
      <w:r w:rsidRPr="00B02247">
        <w:t>Rights</w:t>
      </w:r>
      <w:r w:rsidR="005B2A41">
        <w:t xml:space="preserve"> </w:t>
      </w:r>
      <w:r w:rsidRPr="00B02247">
        <w:t>and</w:t>
      </w:r>
      <w:r w:rsidR="005B2A41">
        <w:t xml:space="preserve"> </w:t>
      </w:r>
      <w:r w:rsidRPr="00B02247">
        <w:t>decides,</w:t>
      </w:r>
      <w:r w:rsidR="005B2A41">
        <w:t xml:space="preserve"> </w:t>
      </w:r>
      <w:r w:rsidRPr="00B02247">
        <w:t>in</w:t>
      </w:r>
      <w:r w:rsidR="005B2A41">
        <w:t xml:space="preserve"> </w:t>
      </w:r>
      <w:r w:rsidRPr="00B02247">
        <w:t>accordance</w:t>
      </w:r>
      <w:r w:rsidR="005B2A41">
        <w:t xml:space="preserve"> </w:t>
      </w:r>
      <w:r w:rsidRPr="00B02247">
        <w:t>with</w:t>
      </w:r>
      <w:r w:rsidR="005B2A41">
        <w:t xml:space="preserve"> </w:t>
      </w:r>
      <w:r w:rsidRPr="00B02247">
        <w:t>the</w:t>
      </w:r>
      <w:r w:rsidR="005B2A41">
        <w:t xml:space="preserve"> </w:t>
      </w:r>
      <w:r w:rsidRPr="00B02247">
        <w:t>provisions</w:t>
      </w:r>
      <w:r w:rsidR="005B2A41">
        <w:t xml:space="preserve"> </w:t>
      </w:r>
      <w:r w:rsidRPr="00B02247">
        <w:t>of</w:t>
      </w:r>
      <w:r w:rsidR="005B2A41">
        <w:t xml:space="preserve"> </w:t>
      </w:r>
      <w:r w:rsidRPr="00B02247">
        <w:t>Article</w:t>
      </w:r>
      <w:r w:rsidR="005B2A41">
        <w:t xml:space="preserve"> </w:t>
      </w:r>
      <w:r w:rsidRPr="00B02247">
        <w:t>3</w:t>
      </w:r>
      <w:r w:rsidR="005B2A41">
        <w:t xml:space="preserve"> </w:t>
      </w:r>
      <w:r w:rsidRPr="00B02247">
        <w:t>of</w:t>
      </w:r>
      <w:r w:rsidR="005B2A41">
        <w:t xml:space="preserve"> </w:t>
      </w:r>
      <w:r w:rsidRPr="00B02247">
        <w:t>law</w:t>
      </w:r>
      <w:r w:rsidR="005B2A41">
        <w:t xml:space="preserve"> </w:t>
      </w:r>
      <w:r w:rsidRPr="00B02247">
        <w:t>3811/2009,</w:t>
      </w:r>
      <w:r w:rsidR="005B2A41">
        <w:t xml:space="preserve"> </w:t>
      </w:r>
      <w:r w:rsidRPr="00B02247">
        <w:t>on</w:t>
      </w:r>
      <w:r w:rsidR="005B2A41">
        <w:t xml:space="preserve"> </w:t>
      </w:r>
      <w:r w:rsidRPr="00B02247">
        <w:t>the</w:t>
      </w:r>
      <w:r w:rsidR="005B2A41">
        <w:t xml:space="preserve"> </w:t>
      </w:r>
      <w:r w:rsidRPr="00B02247">
        <w:t>applications</w:t>
      </w:r>
      <w:r w:rsidR="005B2A41">
        <w:t xml:space="preserve"> </w:t>
      </w:r>
      <w:r w:rsidRPr="00B02247">
        <w:t>for</w:t>
      </w:r>
      <w:r w:rsidR="005B2A41">
        <w:t xml:space="preserve"> </w:t>
      </w:r>
      <w:r w:rsidRPr="00B02247">
        <w:t>compensation</w:t>
      </w:r>
      <w:r w:rsidR="005B2A41">
        <w:t xml:space="preserve"> </w:t>
      </w:r>
      <w:r w:rsidRPr="00B02247">
        <w:t>of</w:t>
      </w:r>
      <w:r w:rsidR="005B2A41">
        <w:t xml:space="preserve"> </w:t>
      </w:r>
      <w:r w:rsidRPr="00B02247">
        <w:t>the</w:t>
      </w:r>
      <w:r w:rsidR="005B2A41">
        <w:t xml:space="preserve"> </w:t>
      </w:r>
      <w:r w:rsidRPr="00B02247">
        <w:t>abovementioned</w:t>
      </w:r>
      <w:r w:rsidR="005B2A41">
        <w:t xml:space="preserve"> </w:t>
      </w:r>
      <w:r w:rsidRPr="00B02247">
        <w:t>victims,</w:t>
      </w:r>
      <w:r w:rsidR="005B2A41">
        <w:t xml:space="preserve"> </w:t>
      </w:r>
      <w:r w:rsidRPr="00B02247">
        <w:t>provided</w:t>
      </w:r>
      <w:r w:rsidR="005B2A41">
        <w:t xml:space="preserve"> </w:t>
      </w:r>
      <w:r w:rsidRPr="00B02247">
        <w:t>that</w:t>
      </w:r>
      <w:r w:rsidR="005B2A41">
        <w:t xml:space="preserve"> </w:t>
      </w:r>
      <w:r w:rsidRPr="00B02247">
        <w:t>the</w:t>
      </w:r>
      <w:r w:rsidR="005B2A41">
        <w:t xml:space="preserve"> </w:t>
      </w:r>
      <w:r w:rsidRPr="00B02247">
        <w:t>crimes</w:t>
      </w:r>
      <w:r w:rsidR="005B2A41">
        <w:t xml:space="preserve"> </w:t>
      </w:r>
      <w:r w:rsidRPr="00B02247">
        <w:t>have</w:t>
      </w:r>
      <w:r w:rsidR="005B2A41">
        <w:t xml:space="preserve"> </w:t>
      </w:r>
      <w:r w:rsidRPr="00B02247">
        <w:t>been</w:t>
      </w:r>
      <w:r w:rsidR="005B2A41">
        <w:t xml:space="preserve"> </w:t>
      </w:r>
      <w:r w:rsidRPr="00B02247">
        <w:t>committed</w:t>
      </w:r>
      <w:r w:rsidR="005B2A41">
        <w:t xml:space="preserve"> </w:t>
      </w:r>
      <w:r w:rsidRPr="00B02247">
        <w:t>in</w:t>
      </w:r>
      <w:r w:rsidR="005B2A41">
        <w:t xml:space="preserve"> </w:t>
      </w:r>
      <w:r w:rsidRPr="00B02247">
        <w:t>the</w:t>
      </w:r>
      <w:r w:rsidR="005B2A41">
        <w:t xml:space="preserve"> </w:t>
      </w:r>
      <w:r w:rsidRPr="00B02247">
        <w:t>territory</w:t>
      </w:r>
      <w:r w:rsidR="005B2A41">
        <w:t xml:space="preserve"> </w:t>
      </w:r>
      <w:r w:rsidRPr="00B02247">
        <w:t>of</w:t>
      </w:r>
      <w:r w:rsidR="005B2A41">
        <w:t xml:space="preserve"> </w:t>
      </w:r>
      <w:r w:rsidRPr="00B02247">
        <w:t>Greece,</w:t>
      </w:r>
      <w:r w:rsidR="005B2A41">
        <w:t xml:space="preserve"> </w:t>
      </w:r>
      <w:r w:rsidRPr="00B02247">
        <w:t>and</w:t>
      </w:r>
      <w:r w:rsidR="005B2A41">
        <w:t xml:space="preserve"> </w:t>
      </w:r>
      <w:r w:rsidRPr="00B02247">
        <w:t>the</w:t>
      </w:r>
      <w:r w:rsidR="005B2A41">
        <w:t xml:space="preserve"> </w:t>
      </w:r>
      <w:r w:rsidRPr="00B02247">
        <w:t>victims</w:t>
      </w:r>
      <w:r w:rsidR="005B2A41">
        <w:t xml:space="preserve"> </w:t>
      </w:r>
      <w:r w:rsidRPr="00B02247">
        <w:t>have</w:t>
      </w:r>
      <w:r w:rsidR="005B2A41">
        <w:t xml:space="preserve"> </w:t>
      </w:r>
      <w:r w:rsidRPr="00B02247">
        <w:t>their</w:t>
      </w:r>
      <w:r w:rsidR="005B2A41">
        <w:t xml:space="preserve"> </w:t>
      </w:r>
      <w:r w:rsidRPr="00B02247">
        <w:t>residence</w:t>
      </w:r>
      <w:r w:rsidR="005B2A41">
        <w:t xml:space="preserve"> </w:t>
      </w:r>
      <w:r w:rsidRPr="00B02247">
        <w:t>or</w:t>
      </w:r>
      <w:r w:rsidR="005B2A41">
        <w:t xml:space="preserve"> </w:t>
      </w:r>
      <w:r w:rsidRPr="00B02247">
        <w:t>habitual</w:t>
      </w:r>
      <w:r w:rsidR="005B2A41">
        <w:t xml:space="preserve"> </w:t>
      </w:r>
      <w:r w:rsidRPr="00B02247">
        <w:t>residence</w:t>
      </w:r>
      <w:r w:rsidR="005B2A41">
        <w:t xml:space="preserve"> </w:t>
      </w:r>
      <w:r w:rsidRPr="00B02247">
        <w:t>in</w:t>
      </w:r>
      <w:r w:rsidR="005B2A41">
        <w:t xml:space="preserve"> </w:t>
      </w:r>
      <w:r w:rsidRPr="00B02247">
        <w:t>Greece</w:t>
      </w:r>
      <w:r w:rsidR="005B2A41">
        <w:t xml:space="preserve"> </w:t>
      </w:r>
      <w:r w:rsidRPr="00B02247">
        <w:t>or</w:t>
      </w:r>
      <w:r w:rsidR="005B2A41">
        <w:t xml:space="preserve"> </w:t>
      </w:r>
      <w:r w:rsidRPr="00B02247">
        <w:t>in</w:t>
      </w:r>
      <w:r w:rsidR="005B2A41">
        <w:t xml:space="preserve"> </w:t>
      </w:r>
      <w:r w:rsidRPr="00B02247">
        <w:t>the</w:t>
      </w:r>
      <w:r w:rsidR="005B2A41">
        <w:t xml:space="preserve"> </w:t>
      </w:r>
      <w:r w:rsidRPr="00B02247">
        <w:t>territory</w:t>
      </w:r>
      <w:r w:rsidR="005B2A41">
        <w:t xml:space="preserve"> </w:t>
      </w:r>
      <w:r w:rsidRPr="00B02247">
        <w:t>of</w:t>
      </w:r>
      <w:r w:rsidR="005B2A41">
        <w:t xml:space="preserve"> </w:t>
      </w:r>
      <w:r w:rsidRPr="00B02247">
        <w:t>another</w:t>
      </w:r>
      <w:r w:rsidR="005B2A41">
        <w:t xml:space="preserve"> </w:t>
      </w:r>
      <w:r w:rsidRPr="00B02247">
        <w:t>Member</w:t>
      </w:r>
      <w:r w:rsidR="005B2A41">
        <w:t xml:space="preserve"> </w:t>
      </w:r>
      <w:r w:rsidRPr="00B02247">
        <w:t>State</w:t>
      </w:r>
      <w:r w:rsidR="005B2A41">
        <w:t xml:space="preserve"> </w:t>
      </w:r>
      <w:r w:rsidRPr="00B02247">
        <w:t>of</w:t>
      </w:r>
      <w:r w:rsidR="005B2A41">
        <w:t xml:space="preserve"> </w:t>
      </w:r>
      <w:r w:rsidRPr="00B02247">
        <w:t>the</w:t>
      </w:r>
      <w:r w:rsidR="005B2A41">
        <w:t xml:space="preserve"> </w:t>
      </w:r>
      <w:r w:rsidRPr="00B02247">
        <w:t>European</w:t>
      </w:r>
      <w:r w:rsidR="005B2A41">
        <w:t xml:space="preserve"> </w:t>
      </w:r>
      <w:r w:rsidRPr="00B02247">
        <w:t>Union.</w:t>
      </w:r>
      <w:r w:rsidR="005B2A41">
        <w:t xml:space="preserve"> </w:t>
      </w:r>
    </w:p>
    <w:p w:rsidR="00F233AB" w:rsidRPr="00B02247" w:rsidRDefault="00F233AB" w:rsidP="00E1307D">
      <w:pPr>
        <w:pStyle w:val="SingleTxtG"/>
      </w:pPr>
      <w:r w:rsidRPr="00B02247">
        <w:t>73.</w:t>
      </w:r>
      <w:r w:rsidRPr="00B02247">
        <w:tab/>
        <w:t>Furthermore,</w:t>
      </w:r>
      <w:r w:rsidR="005B2A41">
        <w:t xml:space="preserve"> </w:t>
      </w:r>
      <w:r w:rsidRPr="00B02247">
        <w:t>victims</w:t>
      </w:r>
      <w:r w:rsidR="005B2A41">
        <w:t xml:space="preserve"> </w:t>
      </w:r>
      <w:r w:rsidRPr="00B02247">
        <w:t>of</w:t>
      </w:r>
      <w:r w:rsidR="005B2A41">
        <w:t xml:space="preserve"> </w:t>
      </w:r>
      <w:r w:rsidRPr="00B02247">
        <w:t>all</w:t>
      </w:r>
      <w:r w:rsidR="005B2A41">
        <w:t xml:space="preserve"> </w:t>
      </w:r>
      <w:r w:rsidRPr="00B02247">
        <w:t>crimes</w:t>
      </w:r>
      <w:r w:rsidR="005B2A41">
        <w:t xml:space="preserve"> </w:t>
      </w:r>
      <w:r w:rsidRPr="00B02247">
        <w:t>prosecuted</w:t>
      </w:r>
      <w:r w:rsidR="005B2A41">
        <w:t xml:space="preserve"> </w:t>
      </w:r>
      <w:r w:rsidRPr="00B02247">
        <w:t>ex</w:t>
      </w:r>
      <w:r w:rsidR="005B2A41">
        <w:t xml:space="preserve"> </w:t>
      </w:r>
      <w:r w:rsidRPr="00B02247">
        <w:t>officio,</w:t>
      </w:r>
      <w:r w:rsidR="005B2A41">
        <w:t xml:space="preserve"> </w:t>
      </w:r>
      <w:r w:rsidRPr="00B02247">
        <w:t>all</w:t>
      </w:r>
      <w:r w:rsidR="005B2A41">
        <w:t xml:space="preserve"> </w:t>
      </w:r>
      <w:r w:rsidRPr="00B02247">
        <w:t>beneficiaries</w:t>
      </w:r>
      <w:r w:rsidR="005B2A41">
        <w:t xml:space="preserve"> </w:t>
      </w:r>
      <w:r w:rsidRPr="00B02247">
        <w:t>of</w:t>
      </w:r>
      <w:r w:rsidR="005B2A41">
        <w:t xml:space="preserve"> </w:t>
      </w:r>
      <w:r w:rsidRPr="00B02247">
        <w:t>free</w:t>
      </w:r>
      <w:r w:rsidR="005B2A41">
        <w:t xml:space="preserve"> </w:t>
      </w:r>
      <w:r w:rsidRPr="00B02247">
        <w:t>legal</w:t>
      </w:r>
      <w:r w:rsidR="005B2A41">
        <w:t xml:space="preserve"> </w:t>
      </w:r>
      <w:r w:rsidRPr="00B02247">
        <w:t>aid,</w:t>
      </w:r>
      <w:r w:rsidR="005B2A41">
        <w:t xml:space="preserve"> </w:t>
      </w:r>
      <w:r w:rsidRPr="00B02247">
        <w:t>as</w:t>
      </w:r>
      <w:r w:rsidR="005B2A41">
        <w:t xml:space="preserve"> </w:t>
      </w:r>
      <w:r w:rsidRPr="00B02247">
        <w:t>well</w:t>
      </w:r>
      <w:r w:rsidR="005B2A41">
        <w:t xml:space="preserve"> </w:t>
      </w:r>
      <w:r w:rsidRPr="00B02247">
        <w:t>as</w:t>
      </w:r>
      <w:r w:rsidR="005B2A41">
        <w:t xml:space="preserve"> </w:t>
      </w:r>
      <w:r w:rsidRPr="00B02247">
        <w:t>victims</w:t>
      </w:r>
      <w:r w:rsidR="005B2A41">
        <w:t xml:space="preserve"> </w:t>
      </w:r>
      <w:r w:rsidRPr="00B02247">
        <w:t>of</w:t>
      </w:r>
      <w:r w:rsidR="005B2A41">
        <w:t xml:space="preserve"> </w:t>
      </w:r>
      <w:r w:rsidRPr="00B02247">
        <w:t>sexual</w:t>
      </w:r>
      <w:r w:rsidR="005B2A41">
        <w:t xml:space="preserve"> </w:t>
      </w:r>
      <w:r w:rsidRPr="00B02247">
        <w:t>exploitation,</w:t>
      </w:r>
      <w:r w:rsidR="005B2A41">
        <w:t xml:space="preserve"> </w:t>
      </w:r>
      <w:r w:rsidRPr="00B02247">
        <w:t>trafficking,</w:t>
      </w:r>
      <w:r w:rsidR="005B2A41">
        <w:t xml:space="preserve"> </w:t>
      </w:r>
      <w:r w:rsidRPr="00B02247">
        <w:t>domestic</w:t>
      </w:r>
      <w:r w:rsidR="005B2A41">
        <w:t xml:space="preserve"> </w:t>
      </w:r>
      <w:r w:rsidRPr="00B02247">
        <w:t>violence</w:t>
      </w:r>
      <w:r w:rsidR="005B2A41">
        <w:t xml:space="preserve"> </w:t>
      </w:r>
      <w:r w:rsidRPr="00B02247">
        <w:t>and</w:t>
      </w:r>
      <w:r w:rsidR="005B2A41">
        <w:t xml:space="preserve"> </w:t>
      </w:r>
      <w:r w:rsidRPr="00B02247">
        <w:t>hate</w:t>
      </w:r>
      <w:r w:rsidR="005B2A41">
        <w:t xml:space="preserve"> </w:t>
      </w:r>
      <w:r w:rsidRPr="00B02247">
        <w:t>speech,</w:t>
      </w:r>
      <w:r w:rsidR="005B2A41">
        <w:t xml:space="preserve"> </w:t>
      </w:r>
      <w:r w:rsidRPr="00B02247">
        <w:t>as</w:t>
      </w:r>
      <w:r w:rsidR="005B2A41">
        <w:t xml:space="preserve"> </w:t>
      </w:r>
      <w:r w:rsidRPr="00B02247">
        <w:t>criminalized</w:t>
      </w:r>
      <w:r w:rsidR="005B2A41">
        <w:t xml:space="preserve"> </w:t>
      </w:r>
      <w:r w:rsidRPr="00B02247">
        <w:t>by</w:t>
      </w:r>
      <w:r w:rsidR="005B2A41">
        <w:t xml:space="preserve"> </w:t>
      </w:r>
      <w:r w:rsidRPr="00B02247">
        <w:t>the</w:t>
      </w:r>
      <w:r w:rsidR="005B2A41">
        <w:t xml:space="preserve"> </w:t>
      </w:r>
      <w:r w:rsidRPr="00B02247">
        <w:t>law,</w:t>
      </w:r>
      <w:r w:rsidR="005B2A41">
        <w:t xml:space="preserve"> </w:t>
      </w:r>
      <w:r w:rsidRPr="00B02247">
        <w:t>are</w:t>
      </w:r>
      <w:r w:rsidR="005B2A41">
        <w:t xml:space="preserve"> </w:t>
      </w:r>
      <w:r w:rsidRPr="00B02247">
        <w:t>exempted</w:t>
      </w:r>
      <w:r w:rsidR="005B2A41">
        <w:t xml:space="preserve"> </w:t>
      </w:r>
      <w:r w:rsidRPr="00B02247">
        <w:t>from</w:t>
      </w:r>
      <w:r w:rsidR="005B2A41">
        <w:t xml:space="preserve"> </w:t>
      </w:r>
      <w:r w:rsidRPr="00B02247">
        <w:t>the</w:t>
      </w:r>
      <w:r w:rsidR="005B2A41">
        <w:t xml:space="preserve"> </w:t>
      </w:r>
      <w:r w:rsidRPr="00B02247">
        <w:t>obligation</w:t>
      </w:r>
      <w:r w:rsidR="005B2A41">
        <w:t xml:space="preserve"> </w:t>
      </w:r>
      <w:r w:rsidRPr="00B02247">
        <w:t>to</w:t>
      </w:r>
      <w:r w:rsidR="005B2A41">
        <w:t xml:space="preserve"> </w:t>
      </w:r>
      <w:r w:rsidRPr="00B02247">
        <w:t>pay</w:t>
      </w:r>
      <w:r w:rsidR="005B2A41">
        <w:t xml:space="preserve"> </w:t>
      </w:r>
      <w:r w:rsidRPr="00B02247">
        <w:t>a</w:t>
      </w:r>
      <w:r w:rsidR="005B2A41">
        <w:t xml:space="preserve"> </w:t>
      </w:r>
      <w:r w:rsidRPr="00B02247">
        <w:t>fee</w:t>
      </w:r>
      <w:r w:rsidR="005B2A41">
        <w:t xml:space="preserve"> </w:t>
      </w:r>
      <w:r w:rsidRPr="00B02247">
        <w:t>for</w:t>
      </w:r>
      <w:r w:rsidR="005B2A41">
        <w:t xml:space="preserve"> </w:t>
      </w:r>
      <w:r w:rsidRPr="00B02247">
        <w:t>the</w:t>
      </w:r>
      <w:r w:rsidR="005B2A41">
        <w:t xml:space="preserve"> </w:t>
      </w:r>
      <w:r w:rsidRPr="00B02247">
        <w:t>initiation</w:t>
      </w:r>
      <w:r w:rsidR="005B2A41">
        <w:t xml:space="preserve"> </w:t>
      </w:r>
      <w:r w:rsidRPr="00B02247">
        <w:t>of</w:t>
      </w:r>
      <w:r w:rsidR="005B2A41">
        <w:t xml:space="preserve"> </w:t>
      </w:r>
      <w:r w:rsidRPr="00B02247">
        <w:t>criminal</w:t>
      </w:r>
      <w:r w:rsidR="005B2A41">
        <w:t xml:space="preserve"> </w:t>
      </w:r>
      <w:r w:rsidRPr="00B02247">
        <w:t>proceedings.</w:t>
      </w:r>
      <w:r w:rsidR="005B2A41">
        <w:t xml:space="preserve"> </w:t>
      </w:r>
      <w:r w:rsidRPr="00B02247">
        <w:t>In</w:t>
      </w:r>
      <w:r w:rsidR="005B2A41">
        <w:t xml:space="preserve"> </w:t>
      </w:r>
      <w:r w:rsidRPr="00B02247">
        <w:t>addition,</w:t>
      </w:r>
      <w:r w:rsidR="005B2A41">
        <w:t xml:space="preserve"> </w:t>
      </w:r>
      <w:r w:rsidRPr="00B02247">
        <w:t>according</w:t>
      </w:r>
      <w:r w:rsidR="005B2A41">
        <w:t xml:space="preserve"> </w:t>
      </w:r>
      <w:r w:rsidRPr="00B02247">
        <w:t>to</w:t>
      </w:r>
      <w:r w:rsidR="005B2A41">
        <w:t xml:space="preserve"> </w:t>
      </w:r>
      <w:r w:rsidRPr="00B02247">
        <w:t>article</w:t>
      </w:r>
      <w:r w:rsidR="005B2A41">
        <w:t xml:space="preserve"> </w:t>
      </w:r>
      <w:r w:rsidRPr="00B02247">
        <w:t>51</w:t>
      </w:r>
      <w:r w:rsidR="005B2A41">
        <w:t xml:space="preserve"> </w:t>
      </w:r>
      <w:r w:rsidRPr="00B02247">
        <w:t>(3)</w:t>
      </w:r>
      <w:r w:rsidR="005B2A41">
        <w:t xml:space="preserve"> </w:t>
      </w:r>
      <w:r w:rsidRPr="00B02247">
        <w:t>of</w:t>
      </w:r>
      <w:r w:rsidR="005B2A41">
        <w:t xml:space="preserve"> </w:t>
      </w:r>
      <w:r w:rsidRPr="00B02247">
        <w:t>Law</w:t>
      </w:r>
      <w:r w:rsidR="005B2A41">
        <w:t xml:space="preserve"> </w:t>
      </w:r>
      <w:r w:rsidRPr="00B02247">
        <w:t>4251/2014,</w:t>
      </w:r>
      <w:r w:rsidR="005B2A41">
        <w:t xml:space="preserve"> </w:t>
      </w:r>
      <w:r w:rsidRPr="00B02247">
        <w:t>the</w:t>
      </w:r>
      <w:r w:rsidR="005B2A41">
        <w:t xml:space="preserve"> </w:t>
      </w:r>
      <w:r w:rsidRPr="00B02247">
        <w:t>competent</w:t>
      </w:r>
      <w:r w:rsidR="005B2A41">
        <w:t xml:space="preserve"> </w:t>
      </w:r>
      <w:r w:rsidRPr="00B02247">
        <w:t>prosecution,</w:t>
      </w:r>
      <w:r w:rsidR="005B2A41">
        <w:t xml:space="preserve"> </w:t>
      </w:r>
      <w:r w:rsidRPr="00B02247">
        <w:t>judicial</w:t>
      </w:r>
      <w:r w:rsidR="005B2A41">
        <w:t xml:space="preserve"> </w:t>
      </w:r>
      <w:r w:rsidRPr="00B02247">
        <w:t>and</w:t>
      </w:r>
      <w:r w:rsidR="005B2A41">
        <w:t xml:space="preserve"> </w:t>
      </w:r>
      <w:r w:rsidRPr="00B02247">
        <w:t>police</w:t>
      </w:r>
      <w:r w:rsidR="005B2A41">
        <w:t xml:space="preserve"> </w:t>
      </w:r>
      <w:r w:rsidRPr="00B02247">
        <w:t>authorities</w:t>
      </w:r>
      <w:r w:rsidR="005B2A41">
        <w:t xml:space="preserve"> </w:t>
      </w:r>
      <w:r w:rsidRPr="00B02247">
        <w:t>shall,</w:t>
      </w:r>
      <w:r w:rsidR="005B2A41">
        <w:t xml:space="preserve"> </w:t>
      </w:r>
      <w:r w:rsidRPr="00B02247">
        <w:t>in</w:t>
      </w:r>
      <w:r w:rsidR="005B2A41">
        <w:t xml:space="preserve"> </w:t>
      </w:r>
      <w:r w:rsidRPr="00B02247">
        <w:t>accordance</w:t>
      </w:r>
      <w:r w:rsidR="005B2A41">
        <w:t xml:space="preserve"> </w:t>
      </w:r>
      <w:r w:rsidRPr="00B02247">
        <w:lastRenderedPageBreak/>
        <w:t>with</w:t>
      </w:r>
      <w:r w:rsidR="005B2A41">
        <w:t xml:space="preserve"> </w:t>
      </w:r>
      <w:r w:rsidRPr="00B02247">
        <w:t>the</w:t>
      </w:r>
      <w:r w:rsidR="005B2A41">
        <w:t xml:space="preserve"> </w:t>
      </w:r>
      <w:r w:rsidRPr="00B02247">
        <w:t>relevant</w:t>
      </w:r>
      <w:r w:rsidR="005B2A41">
        <w:t xml:space="preserve"> </w:t>
      </w:r>
      <w:r w:rsidRPr="00B02247">
        <w:t>provisions,</w:t>
      </w:r>
      <w:r w:rsidR="005B2A41">
        <w:t xml:space="preserve"> </w:t>
      </w:r>
      <w:r w:rsidRPr="00B02247">
        <w:t>give</w:t>
      </w:r>
      <w:r w:rsidR="005B2A41">
        <w:t xml:space="preserve"> </w:t>
      </w:r>
      <w:r w:rsidRPr="00B02247">
        <w:t>priority</w:t>
      </w:r>
      <w:r w:rsidR="005B2A41">
        <w:t xml:space="preserve"> </w:t>
      </w:r>
      <w:r w:rsidRPr="00B02247">
        <w:t>to</w:t>
      </w:r>
      <w:r w:rsidR="005B2A41">
        <w:t xml:space="preserve"> </w:t>
      </w:r>
      <w:r w:rsidRPr="00B02247">
        <w:t>victims</w:t>
      </w:r>
      <w:r w:rsidR="005B2A41">
        <w:t xml:space="preserve"> </w:t>
      </w:r>
      <w:r w:rsidRPr="00B02247">
        <w:t>of</w:t>
      </w:r>
      <w:r w:rsidR="005B2A41">
        <w:t xml:space="preserve"> </w:t>
      </w:r>
      <w:r w:rsidRPr="00B02247">
        <w:t>trafficking</w:t>
      </w:r>
      <w:r w:rsidR="005B2A41">
        <w:t xml:space="preserve"> </w:t>
      </w:r>
      <w:r w:rsidRPr="00B02247">
        <w:t>during</w:t>
      </w:r>
      <w:r w:rsidR="005B2A41">
        <w:t xml:space="preserve"> </w:t>
      </w:r>
      <w:r w:rsidRPr="00B02247">
        <w:t>the</w:t>
      </w:r>
      <w:r w:rsidR="005B2A41">
        <w:t xml:space="preserve"> </w:t>
      </w:r>
      <w:r w:rsidRPr="00B02247">
        <w:t>reflection</w:t>
      </w:r>
      <w:r w:rsidR="005B2A41">
        <w:t xml:space="preserve"> </w:t>
      </w:r>
      <w:r w:rsidRPr="00B02247">
        <w:t>period,</w:t>
      </w:r>
      <w:r w:rsidR="005B2A41">
        <w:t xml:space="preserve"> </w:t>
      </w:r>
      <w:r w:rsidRPr="00B02247">
        <w:t>with</w:t>
      </w:r>
      <w:r w:rsidR="005B2A41">
        <w:t xml:space="preserve"> </w:t>
      </w:r>
      <w:r w:rsidRPr="00B02247">
        <w:t>regard</w:t>
      </w:r>
      <w:r w:rsidR="005B2A41">
        <w:t xml:space="preserve"> </w:t>
      </w:r>
      <w:r w:rsidRPr="00B02247">
        <w:t>to</w:t>
      </w:r>
      <w:r w:rsidR="005B2A41">
        <w:t xml:space="preserve"> </w:t>
      </w:r>
      <w:r w:rsidRPr="00B02247">
        <w:t>their</w:t>
      </w:r>
      <w:r w:rsidR="005B2A41">
        <w:t xml:space="preserve"> </w:t>
      </w:r>
      <w:r w:rsidRPr="00B02247">
        <w:t>protection</w:t>
      </w:r>
      <w:r w:rsidR="005B2A41">
        <w:t xml:space="preserve"> </w:t>
      </w:r>
      <w:r w:rsidRPr="00B02247">
        <w:t>and</w:t>
      </w:r>
      <w:r w:rsidR="005B2A41">
        <w:t xml:space="preserve"> </w:t>
      </w:r>
      <w:r w:rsidRPr="00B02247">
        <w:t>safety,</w:t>
      </w:r>
      <w:r w:rsidR="005B2A41">
        <w:t xml:space="preserve"> </w:t>
      </w:r>
      <w:r w:rsidRPr="00B02247">
        <w:t>the</w:t>
      </w:r>
      <w:r w:rsidR="005B2A41">
        <w:t xml:space="preserve"> </w:t>
      </w:r>
      <w:r w:rsidRPr="00B02247">
        <w:t>provision</w:t>
      </w:r>
      <w:r w:rsidR="005B2A41">
        <w:t xml:space="preserve"> </w:t>
      </w:r>
      <w:r w:rsidRPr="00B02247">
        <w:t>of</w:t>
      </w:r>
      <w:r w:rsidR="005B2A41">
        <w:t xml:space="preserve"> </w:t>
      </w:r>
      <w:r w:rsidRPr="00B02247">
        <w:t>translation</w:t>
      </w:r>
      <w:r w:rsidR="005B2A41">
        <w:t xml:space="preserve"> </w:t>
      </w:r>
      <w:r w:rsidRPr="00B02247">
        <w:t>and</w:t>
      </w:r>
      <w:r w:rsidR="005B2A41">
        <w:t xml:space="preserve"> </w:t>
      </w:r>
      <w:r w:rsidRPr="00B02247">
        <w:t>interpretation</w:t>
      </w:r>
      <w:r w:rsidR="005B2A41">
        <w:t xml:space="preserve"> </w:t>
      </w:r>
      <w:r w:rsidRPr="00B02247">
        <w:t>services,</w:t>
      </w:r>
      <w:r w:rsidR="005B2A41">
        <w:t xml:space="preserve"> </w:t>
      </w:r>
      <w:r w:rsidRPr="00B02247">
        <w:t>in</w:t>
      </w:r>
      <w:r w:rsidR="005B2A41">
        <w:t xml:space="preserve"> </w:t>
      </w:r>
      <w:r w:rsidRPr="00B02247">
        <w:t>case</w:t>
      </w:r>
      <w:r w:rsidR="005B2A41">
        <w:t xml:space="preserve"> </w:t>
      </w:r>
      <w:r w:rsidRPr="00B02247">
        <w:t>they</w:t>
      </w:r>
      <w:r w:rsidR="005B2A41">
        <w:t xml:space="preserve"> </w:t>
      </w:r>
      <w:r w:rsidRPr="00B02247">
        <w:t>have</w:t>
      </w:r>
      <w:r w:rsidR="005B2A41">
        <w:t xml:space="preserve"> </w:t>
      </w:r>
      <w:r w:rsidRPr="00B02247">
        <w:t>no</w:t>
      </w:r>
      <w:r w:rsidR="005B2A41">
        <w:t xml:space="preserve"> </w:t>
      </w:r>
      <w:r w:rsidRPr="00B02247">
        <w:t>knowledge</w:t>
      </w:r>
      <w:r w:rsidR="005B2A41">
        <w:t xml:space="preserve"> </w:t>
      </w:r>
      <w:r w:rsidRPr="00B02247">
        <w:t>of</w:t>
      </w:r>
      <w:r w:rsidR="005B2A41">
        <w:t xml:space="preserve"> </w:t>
      </w:r>
      <w:r w:rsidRPr="00B02247">
        <w:t>the</w:t>
      </w:r>
      <w:r w:rsidR="005B2A41">
        <w:t xml:space="preserve"> </w:t>
      </w:r>
      <w:r w:rsidRPr="00B02247">
        <w:t>Greek</w:t>
      </w:r>
      <w:r w:rsidR="005B2A41">
        <w:t xml:space="preserve"> </w:t>
      </w:r>
      <w:r w:rsidRPr="00B02247">
        <w:t>language,</w:t>
      </w:r>
      <w:r w:rsidR="005B2A41">
        <w:t xml:space="preserve"> </w:t>
      </w:r>
      <w:r w:rsidRPr="00B02247">
        <w:t>their</w:t>
      </w:r>
      <w:r w:rsidR="005B2A41">
        <w:t xml:space="preserve"> </w:t>
      </w:r>
      <w:r w:rsidRPr="00B02247">
        <w:t>information</w:t>
      </w:r>
      <w:r w:rsidR="005B2A41">
        <w:t xml:space="preserve"> </w:t>
      </w:r>
      <w:r w:rsidRPr="00B02247">
        <w:t>regarding</w:t>
      </w:r>
      <w:r w:rsidR="005B2A41">
        <w:t xml:space="preserve"> </w:t>
      </w:r>
      <w:r w:rsidRPr="00B02247">
        <w:t>their</w:t>
      </w:r>
      <w:r w:rsidR="005B2A41">
        <w:t xml:space="preserve"> </w:t>
      </w:r>
      <w:r w:rsidRPr="00B02247">
        <w:t>rights</w:t>
      </w:r>
      <w:r w:rsidR="005B2A41">
        <w:t xml:space="preserve"> </w:t>
      </w:r>
      <w:r w:rsidRPr="00B02247">
        <w:t>and</w:t>
      </w:r>
      <w:r w:rsidR="005B2A41">
        <w:t xml:space="preserve"> </w:t>
      </w:r>
      <w:r w:rsidRPr="00B02247">
        <w:t>the</w:t>
      </w:r>
      <w:r w:rsidR="005B2A41">
        <w:t xml:space="preserve"> </w:t>
      </w:r>
      <w:r w:rsidRPr="00B02247">
        <w:t>services</w:t>
      </w:r>
      <w:r w:rsidR="005B2A41">
        <w:t xml:space="preserve"> </w:t>
      </w:r>
      <w:r w:rsidRPr="00B02247">
        <w:t>provided,</w:t>
      </w:r>
      <w:r w:rsidR="005B2A41">
        <w:t xml:space="preserve"> </w:t>
      </w:r>
      <w:r w:rsidRPr="00B02247">
        <w:t>as</w:t>
      </w:r>
      <w:r w:rsidR="005B2A41">
        <w:t xml:space="preserve"> </w:t>
      </w:r>
      <w:r w:rsidRPr="00B02247">
        <w:t>well</w:t>
      </w:r>
      <w:r w:rsidR="005B2A41">
        <w:t xml:space="preserve"> </w:t>
      </w:r>
      <w:r w:rsidRPr="00B02247">
        <w:t>as</w:t>
      </w:r>
      <w:r w:rsidR="005B2A41">
        <w:t xml:space="preserve"> </w:t>
      </w:r>
      <w:r w:rsidRPr="00B02247">
        <w:t>the</w:t>
      </w:r>
      <w:r w:rsidR="005B2A41">
        <w:t xml:space="preserve"> </w:t>
      </w:r>
      <w:r w:rsidRPr="00B02247">
        <w:t>provision</w:t>
      </w:r>
      <w:r w:rsidR="005B2A41">
        <w:t xml:space="preserve"> </w:t>
      </w:r>
      <w:r w:rsidRPr="00B02247">
        <w:t>of</w:t>
      </w:r>
      <w:r w:rsidR="005B2A41">
        <w:t xml:space="preserve"> </w:t>
      </w:r>
      <w:r w:rsidRPr="00B02247">
        <w:t>all</w:t>
      </w:r>
      <w:r w:rsidR="005B2A41">
        <w:t xml:space="preserve"> </w:t>
      </w:r>
      <w:r w:rsidRPr="00B02247">
        <w:t>necessary</w:t>
      </w:r>
      <w:r w:rsidR="005B2A41">
        <w:t xml:space="preserve"> </w:t>
      </w:r>
      <w:r w:rsidRPr="00B02247">
        <w:t>legal</w:t>
      </w:r>
      <w:r w:rsidR="005B2A41">
        <w:t xml:space="preserve"> </w:t>
      </w:r>
      <w:r w:rsidRPr="00B02247">
        <w:t>assistance.</w:t>
      </w:r>
      <w:r w:rsidR="005B2A41">
        <w:t xml:space="preserve"> </w:t>
      </w:r>
    </w:p>
    <w:p w:rsidR="00F233AB" w:rsidRPr="00B02247" w:rsidRDefault="00F233AB" w:rsidP="00E1307D">
      <w:pPr>
        <w:pStyle w:val="SingleTxtG"/>
      </w:pPr>
      <w:r w:rsidRPr="00B02247">
        <w:t>74.</w:t>
      </w:r>
      <w:r w:rsidRPr="00B02247">
        <w:tab/>
        <w:t>The</w:t>
      </w:r>
      <w:r w:rsidR="005B2A41">
        <w:t xml:space="preserve"> </w:t>
      </w:r>
      <w:r w:rsidRPr="00B02247">
        <w:t>Code</w:t>
      </w:r>
      <w:r w:rsidR="005B2A41">
        <w:t xml:space="preserve"> </w:t>
      </w:r>
      <w:r w:rsidRPr="00B02247">
        <w:t>of</w:t>
      </w:r>
      <w:r w:rsidR="005B2A41">
        <w:t xml:space="preserve"> </w:t>
      </w:r>
      <w:r w:rsidRPr="00B02247">
        <w:t>Criminal</w:t>
      </w:r>
      <w:r w:rsidR="005B2A41">
        <w:t xml:space="preserve"> </w:t>
      </w:r>
      <w:r w:rsidRPr="00B02247">
        <w:t>Procedure</w:t>
      </w:r>
      <w:r w:rsidR="005B2A41">
        <w:t xml:space="preserve"> </w:t>
      </w:r>
      <w:r w:rsidRPr="00B02247">
        <w:t>also</w:t>
      </w:r>
      <w:r w:rsidR="005B2A41">
        <w:t xml:space="preserve"> </w:t>
      </w:r>
      <w:r w:rsidRPr="00B02247">
        <w:t>provides</w:t>
      </w:r>
      <w:r w:rsidR="005B2A41">
        <w:t xml:space="preserve"> </w:t>
      </w:r>
      <w:r w:rsidRPr="00B02247">
        <w:t>for</w:t>
      </w:r>
      <w:r w:rsidR="005B2A41">
        <w:t xml:space="preserve"> </w:t>
      </w:r>
      <w:r w:rsidRPr="00B02247">
        <w:t>the</w:t>
      </w:r>
      <w:r w:rsidR="005B2A41">
        <w:t xml:space="preserve"> </w:t>
      </w:r>
      <w:r w:rsidRPr="00B02247">
        <w:t>extraordinary</w:t>
      </w:r>
      <w:r w:rsidR="005B2A41">
        <w:t xml:space="preserve"> </w:t>
      </w:r>
      <w:r w:rsidRPr="00B02247">
        <w:t>legal</w:t>
      </w:r>
      <w:r w:rsidR="005B2A41">
        <w:t xml:space="preserve"> </w:t>
      </w:r>
      <w:r w:rsidRPr="00B02247">
        <w:t>remedy</w:t>
      </w:r>
      <w:r w:rsidR="005B2A41">
        <w:t xml:space="preserve"> </w:t>
      </w:r>
      <w:r w:rsidRPr="00B02247">
        <w:t>of</w:t>
      </w:r>
      <w:r w:rsidR="005B2A41">
        <w:t xml:space="preserve"> </w:t>
      </w:r>
      <w:r w:rsidRPr="00B02247">
        <w:t>the</w:t>
      </w:r>
      <w:r w:rsidR="005B2A41">
        <w:t xml:space="preserve"> </w:t>
      </w:r>
      <w:r w:rsidRPr="00B02247">
        <w:t>reopening</w:t>
      </w:r>
      <w:r w:rsidR="005B2A41">
        <w:t xml:space="preserve"> </w:t>
      </w:r>
      <w:r w:rsidRPr="00B02247">
        <w:t>of</w:t>
      </w:r>
      <w:r w:rsidR="005B2A41">
        <w:t xml:space="preserve"> </w:t>
      </w:r>
      <w:r w:rsidRPr="00B02247">
        <w:t>a</w:t>
      </w:r>
      <w:r w:rsidR="005B2A41">
        <w:t xml:space="preserve"> </w:t>
      </w:r>
      <w:r w:rsidRPr="00B02247">
        <w:t>case,</w:t>
      </w:r>
      <w:r w:rsidR="005B2A41">
        <w:t xml:space="preserve"> </w:t>
      </w:r>
      <w:r w:rsidRPr="00B02247">
        <w:t>where</w:t>
      </w:r>
      <w:r w:rsidR="005B2A41">
        <w:t xml:space="preserve"> </w:t>
      </w:r>
      <w:r w:rsidRPr="00B02247">
        <w:t>a</w:t>
      </w:r>
      <w:r w:rsidR="005B2A41">
        <w:t xml:space="preserve"> </w:t>
      </w:r>
      <w:r w:rsidRPr="00B02247">
        <w:t>judgment</w:t>
      </w:r>
      <w:r w:rsidR="005B2A41">
        <w:t xml:space="preserve"> </w:t>
      </w:r>
      <w:r w:rsidRPr="00B02247">
        <w:t>of</w:t>
      </w:r>
      <w:r w:rsidR="005B2A41">
        <w:t xml:space="preserve"> </w:t>
      </w:r>
      <w:r w:rsidRPr="00B02247">
        <w:t>the</w:t>
      </w:r>
      <w:r w:rsidR="005B2A41">
        <w:t xml:space="preserve"> </w:t>
      </w:r>
      <w:r w:rsidRPr="00B02247">
        <w:t>European</w:t>
      </w:r>
      <w:r w:rsidR="005B2A41">
        <w:t xml:space="preserve"> </w:t>
      </w:r>
      <w:r w:rsidRPr="00B02247">
        <w:t>Court</w:t>
      </w:r>
      <w:r w:rsidR="005B2A41">
        <w:t xml:space="preserve"> </w:t>
      </w:r>
      <w:r w:rsidRPr="00B02247">
        <w:t>of</w:t>
      </w:r>
      <w:r w:rsidR="005B2A41">
        <w:t xml:space="preserve"> </w:t>
      </w:r>
      <w:r w:rsidRPr="00B02247">
        <w:t>Human</w:t>
      </w:r>
      <w:r w:rsidR="005B2A41">
        <w:t xml:space="preserve"> </w:t>
      </w:r>
      <w:r w:rsidRPr="00B02247">
        <w:t>Rights</w:t>
      </w:r>
      <w:r w:rsidR="005B2A41">
        <w:t xml:space="preserve"> </w:t>
      </w:r>
      <w:r w:rsidRPr="00B02247">
        <w:t>has</w:t>
      </w:r>
      <w:r w:rsidR="005B2A41">
        <w:t xml:space="preserve"> </w:t>
      </w:r>
      <w:r w:rsidRPr="00B02247">
        <w:t>found</w:t>
      </w:r>
      <w:r w:rsidR="005B2A41">
        <w:t xml:space="preserve"> </w:t>
      </w:r>
      <w:r w:rsidRPr="00B02247">
        <w:t>a</w:t>
      </w:r>
      <w:r w:rsidR="005B2A41">
        <w:t xml:space="preserve"> </w:t>
      </w:r>
      <w:r w:rsidRPr="00B02247">
        <w:t>breach</w:t>
      </w:r>
      <w:r w:rsidR="005B2A41">
        <w:t xml:space="preserve"> </w:t>
      </w:r>
      <w:r w:rsidRPr="00B02247">
        <w:t>of</w:t>
      </w:r>
      <w:r w:rsidR="005B2A41">
        <w:t xml:space="preserve"> </w:t>
      </w:r>
      <w:r w:rsidRPr="00B02247">
        <w:t>the</w:t>
      </w:r>
      <w:r w:rsidR="005B2A41">
        <w:t xml:space="preserve"> </w:t>
      </w:r>
      <w:r w:rsidRPr="00B02247">
        <w:t>right</w:t>
      </w:r>
      <w:r w:rsidR="005B2A41">
        <w:t xml:space="preserve"> </w:t>
      </w:r>
      <w:r w:rsidRPr="00B02247">
        <w:t>to</w:t>
      </w:r>
      <w:r w:rsidR="005B2A41">
        <w:t xml:space="preserve"> </w:t>
      </w:r>
      <w:r w:rsidRPr="00B02247">
        <w:t>a</w:t>
      </w:r>
      <w:r w:rsidR="005B2A41">
        <w:t xml:space="preserve"> </w:t>
      </w:r>
      <w:r w:rsidRPr="00B02247">
        <w:t>fair</w:t>
      </w:r>
      <w:r w:rsidR="005B2A41">
        <w:t xml:space="preserve"> </w:t>
      </w:r>
      <w:r w:rsidRPr="00B02247">
        <w:t>trial</w:t>
      </w:r>
      <w:r w:rsidR="005B2A41">
        <w:t xml:space="preserve"> </w:t>
      </w:r>
      <w:r w:rsidRPr="00B02247">
        <w:t>or</w:t>
      </w:r>
      <w:r w:rsidR="005B2A41">
        <w:t xml:space="preserve"> </w:t>
      </w:r>
      <w:r w:rsidRPr="00B02247">
        <w:t>of</w:t>
      </w:r>
      <w:r w:rsidR="005B2A41">
        <w:t xml:space="preserve"> </w:t>
      </w:r>
      <w:r w:rsidRPr="00B02247">
        <w:t>any</w:t>
      </w:r>
      <w:r w:rsidR="005B2A41">
        <w:t xml:space="preserve"> </w:t>
      </w:r>
      <w:r w:rsidRPr="00B02247">
        <w:t>other</w:t>
      </w:r>
      <w:r w:rsidR="005B2A41">
        <w:t xml:space="preserve"> </w:t>
      </w:r>
      <w:r w:rsidRPr="00B02247">
        <w:t>substantive</w:t>
      </w:r>
      <w:r w:rsidR="005B2A41">
        <w:t xml:space="preserve"> </w:t>
      </w:r>
      <w:r w:rsidRPr="00B02247">
        <w:t>provision</w:t>
      </w:r>
      <w:r w:rsidR="005B2A41">
        <w:t xml:space="preserve"> </w:t>
      </w:r>
      <w:r w:rsidRPr="00B02247">
        <w:t>of</w:t>
      </w:r>
      <w:r w:rsidR="005B2A41">
        <w:t xml:space="preserve"> </w:t>
      </w:r>
      <w:r w:rsidRPr="00B02247">
        <w:t>the</w:t>
      </w:r>
      <w:r w:rsidR="005B2A41">
        <w:t xml:space="preserve"> </w:t>
      </w:r>
      <w:r w:rsidRPr="00B02247">
        <w:t>European</w:t>
      </w:r>
      <w:r w:rsidR="005B2A41">
        <w:t xml:space="preserve"> </w:t>
      </w:r>
      <w:r w:rsidRPr="00B02247">
        <w:t>Convention</w:t>
      </w:r>
      <w:r w:rsidR="005B2A41">
        <w:t xml:space="preserve"> </w:t>
      </w:r>
      <w:r w:rsidRPr="00B02247">
        <w:t>on</w:t>
      </w:r>
      <w:r w:rsidR="005B2A41">
        <w:t xml:space="preserve"> </w:t>
      </w:r>
      <w:r w:rsidRPr="00B02247">
        <w:t>Human</w:t>
      </w:r>
      <w:r w:rsidR="005B2A41">
        <w:t xml:space="preserve"> </w:t>
      </w:r>
      <w:r w:rsidRPr="00B02247">
        <w:t>Rights</w:t>
      </w:r>
      <w:r w:rsidR="005B2A41">
        <w:t xml:space="preserve"> </w:t>
      </w:r>
      <w:r w:rsidRPr="00B02247">
        <w:t>(Law</w:t>
      </w:r>
      <w:r w:rsidR="005B2A41">
        <w:t xml:space="preserve"> </w:t>
      </w:r>
      <w:r w:rsidRPr="00B02247">
        <w:t>2865/2000).</w:t>
      </w:r>
      <w:r w:rsidR="005B2A41">
        <w:t xml:space="preserve"> </w:t>
      </w:r>
      <w:r w:rsidRPr="00B02247">
        <w:t>The</w:t>
      </w:r>
      <w:r w:rsidR="005B2A41">
        <w:t xml:space="preserve"> </w:t>
      </w:r>
      <w:r w:rsidRPr="00B02247">
        <w:t>same</w:t>
      </w:r>
      <w:r w:rsidR="005B2A41">
        <w:t xml:space="preserve"> </w:t>
      </w:r>
      <w:r w:rsidRPr="00B02247">
        <w:t>applies</w:t>
      </w:r>
      <w:r w:rsidR="005B2A41">
        <w:t xml:space="preserve"> </w:t>
      </w:r>
      <w:r w:rsidRPr="00B02247">
        <w:t>to</w:t>
      </w:r>
      <w:r w:rsidR="005B2A41">
        <w:t xml:space="preserve"> </w:t>
      </w:r>
      <w:r w:rsidRPr="00B02247">
        <w:t>procedures</w:t>
      </w:r>
      <w:r w:rsidR="005B2A41">
        <w:t xml:space="preserve"> </w:t>
      </w:r>
      <w:r w:rsidRPr="00B02247">
        <w:t>before</w:t>
      </w:r>
      <w:r w:rsidR="005B2A41">
        <w:t xml:space="preserve"> </w:t>
      </w:r>
      <w:r w:rsidRPr="00B02247">
        <w:t>the</w:t>
      </w:r>
      <w:r w:rsidR="005B2A41">
        <w:t xml:space="preserve"> </w:t>
      </w:r>
      <w:r w:rsidRPr="00B02247">
        <w:t>Council</w:t>
      </w:r>
      <w:r w:rsidR="005B2A41">
        <w:t xml:space="preserve"> </w:t>
      </w:r>
      <w:r w:rsidRPr="00B02247">
        <w:t>of</w:t>
      </w:r>
      <w:r w:rsidR="005B2A41">
        <w:t xml:space="preserve"> </w:t>
      </w:r>
      <w:r w:rsidRPr="00B02247">
        <w:t>State</w:t>
      </w:r>
      <w:r w:rsidR="005B2A41">
        <w:t xml:space="preserve"> </w:t>
      </w:r>
      <w:r w:rsidRPr="00B02247">
        <w:t>(Article</w:t>
      </w:r>
      <w:r w:rsidR="005B2A41">
        <w:t xml:space="preserve"> </w:t>
      </w:r>
      <w:r w:rsidRPr="00B02247">
        <w:t>16</w:t>
      </w:r>
      <w:r w:rsidR="005B2A41">
        <w:t xml:space="preserve"> </w:t>
      </w:r>
      <w:r w:rsidRPr="00B02247">
        <w:t>of</w:t>
      </w:r>
      <w:r w:rsidR="005B2A41">
        <w:t xml:space="preserve"> </w:t>
      </w:r>
      <w:r w:rsidRPr="00B02247">
        <w:t>Law</w:t>
      </w:r>
      <w:r w:rsidR="005B2A41">
        <w:t xml:space="preserve"> </w:t>
      </w:r>
      <w:r w:rsidRPr="00B02247">
        <w:t>4446/2016),</w:t>
      </w:r>
      <w:r w:rsidR="005B2A41">
        <w:t xml:space="preserve"> </w:t>
      </w:r>
      <w:r w:rsidRPr="00B02247">
        <w:t>as</w:t>
      </w:r>
      <w:r w:rsidR="005B2A41">
        <w:t xml:space="preserve"> </w:t>
      </w:r>
      <w:r w:rsidRPr="00B02247">
        <w:t>well</w:t>
      </w:r>
      <w:r w:rsidR="005B2A41">
        <w:t xml:space="preserve"> </w:t>
      </w:r>
      <w:r w:rsidRPr="00B02247">
        <w:t>to</w:t>
      </w:r>
      <w:r w:rsidR="005B2A41">
        <w:t xml:space="preserve"> </w:t>
      </w:r>
      <w:r w:rsidRPr="00B02247">
        <w:t>civil</w:t>
      </w:r>
      <w:r w:rsidR="005B2A41">
        <w:t xml:space="preserve"> </w:t>
      </w:r>
      <w:r w:rsidRPr="00B02247">
        <w:t>law</w:t>
      </w:r>
      <w:r w:rsidR="005B2A41">
        <w:t xml:space="preserve"> </w:t>
      </w:r>
      <w:r w:rsidRPr="00B02247">
        <w:t>cases</w:t>
      </w:r>
      <w:r w:rsidR="005B2A41">
        <w:t xml:space="preserve"> </w:t>
      </w:r>
      <w:r w:rsidRPr="00B02247">
        <w:t>of</w:t>
      </w:r>
      <w:r w:rsidR="005B2A41">
        <w:t xml:space="preserve"> </w:t>
      </w:r>
      <w:r w:rsidRPr="00B02247">
        <w:t>non-contentious</w:t>
      </w:r>
      <w:r w:rsidR="005B2A41">
        <w:t xml:space="preserve"> </w:t>
      </w:r>
      <w:r w:rsidRPr="00B02247">
        <w:t>judicial</w:t>
      </w:r>
      <w:r w:rsidR="005B2A41">
        <w:t xml:space="preserve"> </w:t>
      </w:r>
      <w:r w:rsidRPr="00B02247">
        <w:t>procedures</w:t>
      </w:r>
      <w:r w:rsidR="005B2A41">
        <w:t xml:space="preserve"> </w:t>
      </w:r>
      <w:r w:rsidRPr="00B02247">
        <w:t>(Articles</w:t>
      </w:r>
      <w:r w:rsidR="005B2A41">
        <w:t xml:space="preserve"> </w:t>
      </w:r>
      <w:r w:rsidRPr="00B02247">
        <w:t>29</w:t>
      </w:r>
      <w:r w:rsidR="00915034">
        <w:t>–</w:t>
      </w:r>
      <w:r w:rsidRPr="00B02247">
        <w:t>30</w:t>
      </w:r>
      <w:r w:rsidR="005B2A41">
        <w:t xml:space="preserve"> </w:t>
      </w:r>
      <w:r w:rsidRPr="00B02247">
        <w:t>of</w:t>
      </w:r>
      <w:r w:rsidR="005B2A41">
        <w:t xml:space="preserve"> </w:t>
      </w:r>
      <w:r w:rsidRPr="00B02247">
        <w:t>Law</w:t>
      </w:r>
      <w:r w:rsidR="005B2A41">
        <w:t xml:space="preserve"> </w:t>
      </w:r>
      <w:r w:rsidRPr="00B02247">
        <w:t>4491/2017).</w:t>
      </w:r>
    </w:p>
    <w:p w:rsidR="00F233AB" w:rsidRPr="00B02247" w:rsidRDefault="00F233AB" w:rsidP="00E1307D">
      <w:pPr>
        <w:pStyle w:val="SingleTxtG"/>
      </w:pPr>
      <w:r w:rsidRPr="00B02247">
        <w:t>75.</w:t>
      </w:r>
      <w:r w:rsidRPr="00B02247">
        <w:tab/>
        <w:t>Another</w:t>
      </w:r>
      <w:r w:rsidR="005B2A41">
        <w:t xml:space="preserve"> </w:t>
      </w:r>
      <w:r w:rsidRPr="00B02247">
        <w:t>form</w:t>
      </w:r>
      <w:r w:rsidR="005B2A41">
        <w:t xml:space="preserve"> </w:t>
      </w:r>
      <w:r w:rsidRPr="00B02247">
        <w:t>of</w:t>
      </w:r>
      <w:r w:rsidR="005B2A41">
        <w:t xml:space="preserve"> </w:t>
      </w:r>
      <w:r w:rsidRPr="00B02247">
        <w:t>rehabilitation</w:t>
      </w:r>
      <w:r w:rsidR="005B2A41">
        <w:t xml:space="preserve"> </w:t>
      </w:r>
      <w:r w:rsidRPr="00B02247">
        <w:t>available</w:t>
      </w:r>
      <w:r w:rsidR="005B2A41">
        <w:t xml:space="preserve"> </w:t>
      </w:r>
      <w:r w:rsidRPr="00B02247">
        <w:t>to</w:t>
      </w:r>
      <w:r w:rsidR="005B2A41">
        <w:t xml:space="preserve"> </w:t>
      </w:r>
      <w:r w:rsidRPr="00B02247">
        <w:t>the</w:t>
      </w:r>
      <w:r w:rsidR="005B2A41">
        <w:t xml:space="preserve"> </w:t>
      </w:r>
      <w:r w:rsidRPr="00B02247">
        <w:t>person</w:t>
      </w:r>
      <w:r w:rsidR="005B2A41">
        <w:t xml:space="preserve"> </w:t>
      </w:r>
      <w:r w:rsidRPr="00B02247">
        <w:t>whose</w:t>
      </w:r>
      <w:r w:rsidR="005B2A41">
        <w:t xml:space="preserve"> </w:t>
      </w:r>
      <w:r w:rsidRPr="00B02247">
        <w:t>human</w:t>
      </w:r>
      <w:r w:rsidR="005B2A41">
        <w:t xml:space="preserve"> </w:t>
      </w:r>
      <w:r w:rsidRPr="00B02247">
        <w:t>rights</w:t>
      </w:r>
      <w:r w:rsidR="005B2A41">
        <w:t xml:space="preserve"> </w:t>
      </w:r>
      <w:r w:rsidRPr="00B02247">
        <w:t>have</w:t>
      </w:r>
      <w:r w:rsidR="005B2A41">
        <w:t xml:space="preserve"> </w:t>
      </w:r>
      <w:r w:rsidRPr="00B02247">
        <w:t>been</w:t>
      </w:r>
      <w:r w:rsidR="005B2A41">
        <w:t xml:space="preserve"> </w:t>
      </w:r>
      <w:r w:rsidRPr="00B02247">
        <w:t>violated</w:t>
      </w:r>
      <w:r w:rsidR="005B2A41">
        <w:t xml:space="preserve"> </w:t>
      </w:r>
      <w:r w:rsidRPr="00B02247">
        <w:t>is</w:t>
      </w:r>
      <w:r w:rsidR="005B2A41">
        <w:t xml:space="preserve"> </w:t>
      </w:r>
      <w:r w:rsidRPr="00B02247">
        <w:t>the</w:t>
      </w:r>
      <w:r w:rsidR="005B2A41">
        <w:t xml:space="preserve"> </w:t>
      </w:r>
      <w:r w:rsidRPr="00B02247">
        <w:t>striking</w:t>
      </w:r>
      <w:r w:rsidR="005B2A41">
        <w:t xml:space="preserve"> </w:t>
      </w:r>
      <w:r w:rsidRPr="00B02247">
        <w:t>from</w:t>
      </w:r>
      <w:r w:rsidR="005B2A41">
        <w:t xml:space="preserve"> </w:t>
      </w:r>
      <w:r w:rsidRPr="00B02247">
        <w:t>the</w:t>
      </w:r>
      <w:r w:rsidR="005B2A41">
        <w:t xml:space="preserve"> </w:t>
      </w:r>
      <w:r w:rsidRPr="00B02247">
        <w:t>criminal</w:t>
      </w:r>
      <w:r w:rsidR="005B2A41">
        <w:t xml:space="preserve"> </w:t>
      </w:r>
      <w:r w:rsidRPr="00B02247">
        <w:t>record</w:t>
      </w:r>
      <w:r w:rsidR="005B2A41">
        <w:t xml:space="preserve"> </w:t>
      </w:r>
      <w:r w:rsidRPr="00B02247">
        <w:t>of</w:t>
      </w:r>
      <w:r w:rsidR="005B2A41">
        <w:t xml:space="preserve"> </w:t>
      </w:r>
      <w:r w:rsidRPr="00B02247">
        <w:t>sentences</w:t>
      </w:r>
      <w:r w:rsidR="005B2A41">
        <w:t xml:space="preserve"> </w:t>
      </w:r>
      <w:r w:rsidRPr="00B02247">
        <w:t>that</w:t>
      </w:r>
      <w:r w:rsidR="005B2A41">
        <w:t xml:space="preserve"> </w:t>
      </w:r>
      <w:r w:rsidRPr="00B02247">
        <w:t>were</w:t>
      </w:r>
      <w:r w:rsidR="005B2A41">
        <w:t xml:space="preserve"> </w:t>
      </w:r>
      <w:r w:rsidRPr="00B02247">
        <w:t>imposed</w:t>
      </w:r>
      <w:r w:rsidR="005B2A41">
        <w:t xml:space="preserve"> </w:t>
      </w:r>
      <w:r w:rsidRPr="00B02247">
        <w:t>by</w:t>
      </w:r>
      <w:r w:rsidR="005B2A41">
        <w:t xml:space="preserve"> </w:t>
      </w:r>
      <w:r w:rsidRPr="00B02247">
        <w:t>the</w:t>
      </w:r>
      <w:r w:rsidR="005B2A41">
        <w:t xml:space="preserve"> </w:t>
      </w:r>
      <w:r w:rsidRPr="00B02247">
        <w:t>criminal</w:t>
      </w:r>
      <w:r w:rsidR="005B2A41">
        <w:t xml:space="preserve"> </w:t>
      </w:r>
      <w:r w:rsidRPr="00B02247">
        <w:t>courts,</w:t>
      </w:r>
      <w:r w:rsidR="005B2A41">
        <w:t xml:space="preserve"> </w:t>
      </w:r>
      <w:r w:rsidRPr="00B02247">
        <w:t>after</w:t>
      </w:r>
      <w:r w:rsidR="005B2A41">
        <w:t xml:space="preserve"> </w:t>
      </w:r>
      <w:r w:rsidRPr="00B02247">
        <w:t>the</w:t>
      </w:r>
      <w:r w:rsidR="005B2A41">
        <w:t xml:space="preserve"> </w:t>
      </w:r>
      <w:r w:rsidRPr="00B02247">
        <w:t>decision</w:t>
      </w:r>
      <w:r w:rsidR="005B2A41">
        <w:t xml:space="preserve"> </w:t>
      </w:r>
      <w:r w:rsidRPr="00B02247">
        <w:t>on</w:t>
      </w:r>
      <w:r w:rsidR="005B2A41">
        <w:t xml:space="preserve"> </w:t>
      </w:r>
      <w:r w:rsidRPr="00B02247">
        <w:t>the</w:t>
      </w:r>
      <w:r w:rsidR="005B2A41">
        <w:t xml:space="preserve"> </w:t>
      </w:r>
      <w:r w:rsidRPr="00B02247">
        <w:t>reopening</w:t>
      </w:r>
      <w:r w:rsidR="005B2A41">
        <w:t xml:space="preserve"> </w:t>
      </w:r>
      <w:r w:rsidRPr="00B02247">
        <w:t>of</w:t>
      </w:r>
      <w:r w:rsidR="005B2A41">
        <w:t xml:space="preserve"> </w:t>
      </w:r>
      <w:r w:rsidRPr="00B02247">
        <w:t>the</w:t>
      </w:r>
      <w:r w:rsidR="005B2A41">
        <w:t xml:space="preserve"> </w:t>
      </w:r>
      <w:r w:rsidRPr="00B02247">
        <w:t>case</w:t>
      </w:r>
      <w:r w:rsidR="005B2A41">
        <w:t xml:space="preserve"> </w:t>
      </w:r>
      <w:r w:rsidRPr="00B02247">
        <w:t>has</w:t>
      </w:r>
      <w:r w:rsidR="005B2A41">
        <w:t xml:space="preserve"> </w:t>
      </w:r>
      <w:r w:rsidRPr="00B02247">
        <w:t>been</w:t>
      </w:r>
      <w:r w:rsidR="005B2A41">
        <w:t xml:space="preserve"> </w:t>
      </w:r>
      <w:r w:rsidRPr="00B02247">
        <w:t>issued.</w:t>
      </w:r>
      <w:r w:rsidR="005B2A41">
        <w:t xml:space="preserve"> </w:t>
      </w:r>
    </w:p>
    <w:p w:rsidR="00F233AB" w:rsidRPr="00B02247" w:rsidRDefault="00F233AB" w:rsidP="00E1307D">
      <w:pPr>
        <w:pStyle w:val="SingleTxtG"/>
      </w:pPr>
      <w:r w:rsidRPr="00B02247">
        <w:t>76.</w:t>
      </w:r>
      <w:r w:rsidRPr="00B02247">
        <w:tab/>
        <w:t>Laws</w:t>
      </w:r>
      <w:r w:rsidR="005B2A41">
        <w:t xml:space="preserve"> </w:t>
      </w:r>
      <w:r w:rsidRPr="00B02247">
        <w:t>4055/2012</w:t>
      </w:r>
      <w:r w:rsidR="005B2A41">
        <w:t xml:space="preserve"> </w:t>
      </w:r>
      <w:r w:rsidRPr="00B02247">
        <w:t>and</w:t>
      </w:r>
      <w:r w:rsidR="005B2A41">
        <w:t xml:space="preserve"> </w:t>
      </w:r>
      <w:r w:rsidRPr="00B02247">
        <w:t>4239/2014</w:t>
      </w:r>
      <w:r w:rsidR="005B2A41">
        <w:t xml:space="preserve"> </w:t>
      </w:r>
      <w:r w:rsidRPr="00B02247">
        <w:t>introduce</w:t>
      </w:r>
      <w:r w:rsidR="005B2A41">
        <w:t xml:space="preserve"> </w:t>
      </w:r>
      <w:r w:rsidRPr="00B02247">
        <w:t>a</w:t>
      </w:r>
      <w:r w:rsidR="005B2A41">
        <w:t xml:space="preserve"> </w:t>
      </w:r>
      <w:r w:rsidRPr="00B02247">
        <w:t>legal</w:t>
      </w:r>
      <w:r w:rsidR="005B2A41">
        <w:t xml:space="preserve"> </w:t>
      </w:r>
      <w:r w:rsidRPr="00B02247">
        <w:t>remedy,</w:t>
      </w:r>
      <w:r w:rsidR="005B2A41">
        <w:t xml:space="preserve"> </w:t>
      </w:r>
      <w:r w:rsidRPr="00B02247">
        <w:t>allowing</w:t>
      </w:r>
      <w:r w:rsidR="005B2A41">
        <w:t xml:space="preserve"> </w:t>
      </w:r>
      <w:r w:rsidRPr="00B02247">
        <w:t>parties</w:t>
      </w:r>
      <w:r w:rsidR="005B2A41">
        <w:t xml:space="preserve"> </w:t>
      </w:r>
      <w:r w:rsidRPr="00B02247">
        <w:t>to</w:t>
      </w:r>
      <w:r w:rsidR="005B2A41">
        <w:t xml:space="preserve"> </w:t>
      </w:r>
      <w:r w:rsidRPr="00B02247">
        <w:t>seek</w:t>
      </w:r>
      <w:r w:rsidR="005B2A41">
        <w:t xml:space="preserve"> </w:t>
      </w:r>
      <w:r w:rsidR="003E731F">
        <w:t>“</w:t>
      </w:r>
      <w:r w:rsidRPr="00B02247">
        <w:t>just</w:t>
      </w:r>
      <w:r w:rsidR="005B2A41">
        <w:t xml:space="preserve"> </w:t>
      </w:r>
      <w:r w:rsidRPr="00B02247">
        <w:t>satisfaction</w:t>
      </w:r>
      <w:r w:rsidR="003E731F">
        <w:t>”</w:t>
      </w:r>
      <w:r w:rsidR="005B2A41">
        <w:t xml:space="preserve"> </w:t>
      </w:r>
      <w:r w:rsidRPr="00B02247">
        <w:t>owing</w:t>
      </w:r>
      <w:r w:rsidR="005B2A41">
        <w:t xml:space="preserve"> </w:t>
      </w:r>
      <w:r w:rsidRPr="00B02247">
        <w:t>to</w:t>
      </w:r>
      <w:r w:rsidR="005B2A41">
        <w:t xml:space="preserve"> </w:t>
      </w:r>
      <w:r w:rsidRPr="00B02247">
        <w:t>excessive</w:t>
      </w:r>
      <w:r w:rsidR="005B2A41">
        <w:t xml:space="preserve"> </w:t>
      </w:r>
      <w:r w:rsidRPr="00B02247">
        <w:t>length</w:t>
      </w:r>
      <w:r w:rsidR="005B2A41">
        <w:t xml:space="preserve"> </w:t>
      </w:r>
      <w:r w:rsidRPr="00B02247">
        <w:t>of</w:t>
      </w:r>
      <w:r w:rsidR="005B2A41">
        <w:t xml:space="preserve"> </w:t>
      </w:r>
      <w:r w:rsidRPr="00B02247">
        <w:t>judicial</w:t>
      </w:r>
      <w:r w:rsidR="005B2A41">
        <w:t xml:space="preserve"> </w:t>
      </w:r>
      <w:r w:rsidRPr="00B02247">
        <w:t>proceedings</w:t>
      </w:r>
      <w:r w:rsidR="005B2A41">
        <w:t xml:space="preserve"> </w:t>
      </w:r>
      <w:r w:rsidRPr="00B02247">
        <w:t>before</w:t>
      </w:r>
      <w:r w:rsidR="005B2A41">
        <w:t xml:space="preserve"> </w:t>
      </w:r>
      <w:r w:rsidRPr="00B02247">
        <w:t>administrative</w:t>
      </w:r>
      <w:r w:rsidR="005B2A41">
        <w:t xml:space="preserve"> </w:t>
      </w:r>
      <w:r w:rsidRPr="00B02247">
        <w:t>courts,</w:t>
      </w:r>
      <w:r w:rsidR="005B2A41">
        <w:t xml:space="preserve"> </w:t>
      </w:r>
      <w:r w:rsidRPr="00B02247">
        <w:t>as</w:t>
      </w:r>
      <w:r w:rsidR="005B2A41">
        <w:t xml:space="preserve"> </w:t>
      </w:r>
      <w:r w:rsidRPr="00B02247">
        <w:t>well</w:t>
      </w:r>
      <w:r w:rsidR="005B2A41">
        <w:t xml:space="preserve"> </w:t>
      </w:r>
      <w:r w:rsidRPr="00B02247">
        <w:t>as</w:t>
      </w:r>
      <w:r w:rsidR="005B2A41">
        <w:t xml:space="preserve"> </w:t>
      </w:r>
      <w:r w:rsidRPr="00B02247">
        <w:t>civil</w:t>
      </w:r>
      <w:r w:rsidR="005B2A41">
        <w:t xml:space="preserve"> </w:t>
      </w:r>
      <w:r w:rsidRPr="00B02247">
        <w:t>courts,</w:t>
      </w:r>
      <w:r w:rsidR="005B2A41">
        <w:t xml:space="preserve"> </w:t>
      </w:r>
      <w:r w:rsidRPr="00B02247">
        <w:t>criminals</w:t>
      </w:r>
      <w:r w:rsidR="005B2A41">
        <w:t xml:space="preserve"> </w:t>
      </w:r>
      <w:r w:rsidRPr="00B02247">
        <w:t>courts</w:t>
      </w:r>
      <w:r w:rsidR="005B2A41">
        <w:t xml:space="preserve"> </w:t>
      </w:r>
      <w:r w:rsidRPr="00B02247">
        <w:t>and</w:t>
      </w:r>
      <w:r w:rsidR="005B2A41">
        <w:t xml:space="preserve"> </w:t>
      </w:r>
      <w:r w:rsidRPr="00B02247">
        <w:t>the</w:t>
      </w:r>
      <w:r w:rsidR="005B2A41">
        <w:t xml:space="preserve"> </w:t>
      </w:r>
      <w:r w:rsidRPr="00B02247">
        <w:t>Court</w:t>
      </w:r>
      <w:r w:rsidR="005B2A41">
        <w:t xml:space="preserve"> </w:t>
      </w:r>
      <w:r w:rsidRPr="00B02247">
        <w:t>of</w:t>
      </w:r>
      <w:r w:rsidR="005B2A41">
        <w:t xml:space="preserve"> </w:t>
      </w:r>
      <w:r w:rsidRPr="00B02247">
        <w:t>Audit,</w:t>
      </w:r>
      <w:r w:rsidR="005B2A41">
        <w:t xml:space="preserve"> </w:t>
      </w:r>
      <w:r w:rsidRPr="00B02247">
        <w:t>respectively.</w:t>
      </w:r>
      <w:r w:rsidR="005B2A41">
        <w:t xml:space="preserve"> </w:t>
      </w:r>
      <w:r w:rsidRPr="00B02247">
        <w:t>In</w:t>
      </w:r>
      <w:r w:rsidR="005B2A41">
        <w:t xml:space="preserve"> </w:t>
      </w:r>
      <w:r w:rsidRPr="00B02247">
        <w:t>addition,</w:t>
      </w:r>
      <w:r w:rsidR="005B2A41">
        <w:t xml:space="preserve"> </w:t>
      </w:r>
      <w:r w:rsidRPr="00B02247">
        <w:t>in</w:t>
      </w:r>
      <w:r w:rsidR="005B2A41">
        <w:t xml:space="preserve"> </w:t>
      </w:r>
      <w:r w:rsidRPr="00B02247">
        <w:t>criminal</w:t>
      </w:r>
      <w:r w:rsidR="005B2A41">
        <w:t xml:space="preserve"> </w:t>
      </w:r>
      <w:r w:rsidRPr="00B02247">
        <w:t>cases,</w:t>
      </w:r>
      <w:r w:rsidR="005B2A41">
        <w:t xml:space="preserve"> </w:t>
      </w:r>
      <w:r w:rsidRPr="00B02247">
        <w:t>the</w:t>
      </w:r>
      <w:r w:rsidR="005B2A41">
        <w:t xml:space="preserve"> </w:t>
      </w:r>
      <w:r w:rsidRPr="00B02247">
        <w:t>competent</w:t>
      </w:r>
      <w:r w:rsidR="005B2A41">
        <w:t xml:space="preserve"> </w:t>
      </w:r>
      <w:r w:rsidRPr="00B02247">
        <w:t>court</w:t>
      </w:r>
      <w:r w:rsidR="005B2A41">
        <w:t xml:space="preserve"> </w:t>
      </w:r>
      <w:r w:rsidRPr="00B02247">
        <w:t>may</w:t>
      </w:r>
      <w:r w:rsidR="005B2A41">
        <w:t xml:space="preserve"> </w:t>
      </w:r>
      <w:r w:rsidRPr="00B02247">
        <w:t>reduce</w:t>
      </w:r>
      <w:r w:rsidR="005B2A41">
        <w:t xml:space="preserve"> </w:t>
      </w:r>
      <w:r w:rsidRPr="00B02247">
        <w:t>the</w:t>
      </w:r>
      <w:r w:rsidR="005B2A41">
        <w:t xml:space="preserve"> </w:t>
      </w:r>
      <w:r w:rsidRPr="00B02247">
        <w:t>sentence</w:t>
      </w:r>
      <w:r w:rsidR="005B2A41">
        <w:t xml:space="preserve"> </w:t>
      </w:r>
      <w:r w:rsidRPr="00B02247">
        <w:t>to</w:t>
      </w:r>
      <w:r w:rsidR="005B2A41">
        <w:t xml:space="preserve"> </w:t>
      </w:r>
      <w:r w:rsidRPr="00B02247">
        <w:t>compensate</w:t>
      </w:r>
      <w:r w:rsidR="005B2A41">
        <w:t xml:space="preserve"> </w:t>
      </w:r>
      <w:r w:rsidRPr="00B02247">
        <w:t>for</w:t>
      </w:r>
      <w:r w:rsidR="005B2A41">
        <w:t xml:space="preserve"> </w:t>
      </w:r>
      <w:r w:rsidRPr="00B02247">
        <w:t>the</w:t>
      </w:r>
      <w:r w:rsidR="005B2A41">
        <w:t xml:space="preserve"> </w:t>
      </w:r>
      <w:r w:rsidRPr="00B02247">
        <w:t>excessive</w:t>
      </w:r>
      <w:r w:rsidR="005B2A41">
        <w:t xml:space="preserve"> </w:t>
      </w:r>
      <w:r w:rsidRPr="00B02247">
        <w:t>length</w:t>
      </w:r>
      <w:r w:rsidR="005B2A41">
        <w:t xml:space="preserve"> </w:t>
      </w:r>
      <w:r w:rsidRPr="00B02247">
        <w:t>of</w:t>
      </w:r>
      <w:r w:rsidR="005B2A41">
        <w:t xml:space="preserve"> </w:t>
      </w:r>
      <w:r w:rsidRPr="00B02247">
        <w:t>proceedings,</w:t>
      </w:r>
      <w:r w:rsidR="005B2A41">
        <w:t xml:space="preserve"> </w:t>
      </w:r>
      <w:r w:rsidRPr="00B02247">
        <w:t>when</w:t>
      </w:r>
      <w:r w:rsidR="005B2A41">
        <w:t xml:space="preserve"> </w:t>
      </w:r>
      <w:r w:rsidRPr="00B02247">
        <w:t>the</w:t>
      </w:r>
      <w:r w:rsidR="005B2A41">
        <w:t xml:space="preserve"> </w:t>
      </w:r>
      <w:r w:rsidRPr="00B02247">
        <w:t>latter</w:t>
      </w:r>
      <w:r w:rsidR="005B2A41">
        <w:t xml:space="preserve"> </w:t>
      </w:r>
      <w:r w:rsidRPr="00B02247">
        <w:t>are</w:t>
      </w:r>
      <w:r w:rsidR="005B2A41">
        <w:t xml:space="preserve"> </w:t>
      </w:r>
      <w:r w:rsidRPr="00B02247">
        <w:t>not</w:t>
      </w:r>
      <w:r w:rsidR="005B2A41">
        <w:t xml:space="preserve"> </w:t>
      </w:r>
      <w:r w:rsidRPr="00B02247">
        <w:t>due</w:t>
      </w:r>
      <w:r w:rsidR="005B2A41">
        <w:t xml:space="preserve"> </w:t>
      </w:r>
      <w:r w:rsidRPr="00B02247">
        <w:t>to</w:t>
      </w:r>
      <w:r w:rsidR="005B2A41">
        <w:t xml:space="preserve"> </w:t>
      </w:r>
      <w:r w:rsidRPr="00B02247">
        <w:t>the</w:t>
      </w:r>
      <w:r w:rsidR="005B2A41">
        <w:t xml:space="preserve"> </w:t>
      </w:r>
      <w:r w:rsidRPr="00B02247">
        <w:t>fault</w:t>
      </w:r>
      <w:r w:rsidR="005B2A41">
        <w:t xml:space="preserve"> </w:t>
      </w:r>
      <w:r w:rsidRPr="00B02247">
        <w:t>of</w:t>
      </w:r>
      <w:r w:rsidR="005B2A41">
        <w:t xml:space="preserve"> </w:t>
      </w:r>
      <w:r w:rsidRPr="00B02247">
        <w:t>the</w:t>
      </w:r>
      <w:r w:rsidR="005B2A41">
        <w:t xml:space="preserve"> </w:t>
      </w:r>
      <w:r w:rsidRPr="00B02247">
        <w:t>accused</w:t>
      </w:r>
      <w:r w:rsidR="005B2A41">
        <w:t xml:space="preserve"> </w:t>
      </w:r>
      <w:r w:rsidRPr="00B02247">
        <w:t>person.</w:t>
      </w:r>
      <w:r w:rsidR="005B2A41">
        <w:t xml:space="preserve"> </w:t>
      </w:r>
    </w:p>
    <w:p w:rsidR="00F233AB" w:rsidRPr="00B02247" w:rsidRDefault="00F233AB" w:rsidP="00E1307D">
      <w:pPr>
        <w:pStyle w:val="SingleTxtG"/>
      </w:pPr>
      <w:r w:rsidRPr="00B02247">
        <w:t>77.</w:t>
      </w:r>
      <w:r w:rsidRPr="00B02247">
        <w:tab/>
        <w:t>Finally,</w:t>
      </w:r>
      <w:r w:rsidR="005B2A41">
        <w:t xml:space="preserve"> </w:t>
      </w:r>
      <w:r w:rsidRPr="00B02247">
        <w:t>the</w:t>
      </w:r>
      <w:r w:rsidR="005B2A41">
        <w:t xml:space="preserve"> </w:t>
      </w:r>
      <w:r w:rsidRPr="00B02247">
        <w:t>European</w:t>
      </w:r>
      <w:r w:rsidR="005B2A41">
        <w:t xml:space="preserve"> </w:t>
      </w:r>
      <w:r w:rsidRPr="00B02247">
        <w:t>Convention</w:t>
      </w:r>
      <w:r w:rsidR="005B2A41">
        <w:t xml:space="preserve"> </w:t>
      </w:r>
      <w:r w:rsidRPr="00B02247">
        <w:t>on</w:t>
      </w:r>
      <w:r w:rsidR="005B2A41">
        <w:t xml:space="preserve"> </w:t>
      </w:r>
      <w:r w:rsidRPr="00B02247">
        <w:t>Human</w:t>
      </w:r>
      <w:r w:rsidR="005B2A41">
        <w:t xml:space="preserve"> </w:t>
      </w:r>
      <w:r w:rsidRPr="00B02247">
        <w:t>Rights</w:t>
      </w:r>
      <w:r w:rsidR="005B2A41">
        <w:t xml:space="preserve"> </w:t>
      </w:r>
      <w:r w:rsidRPr="00B02247">
        <w:t>contains</w:t>
      </w:r>
      <w:r w:rsidR="005B2A41">
        <w:t xml:space="preserve"> </w:t>
      </w:r>
      <w:r w:rsidRPr="00B02247">
        <w:t>a</w:t>
      </w:r>
      <w:r w:rsidR="005B2A41">
        <w:t xml:space="preserve"> </w:t>
      </w:r>
      <w:r w:rsidRPr="00B02247">
        <w:t>special</w:t>
      </w:r>
      <w:r w:rsidR="005B2A41">
        <w:t xml:space="preserve"> </w:t>
      </w:r>
      <w:r w:rsidRPr="00B02247">
        <w:t>provision</w:t>
      </w:r>
      <w:r w:rsidR="005B2A41">
        <w:t xml:space="preserve"> </w:t>
      </w:r>
      <w:r w:rsidRPr="00B02247">
        <w:t>on</w:t>
      </w:r>
      <w:r w:rsidR="005B2A41">
        <w:t xml:space="preserve"> </w:t>
      </w:r>
      <w:r w:rsidRPr="00B02247">
        <w:t>the</w:t>
      </w:r>
      <w:r w:rsidR="005B2A41">
        <w:t xml:space="preserve"> </w:t>
      </w:r>
      <w:r w:rsidRPr="00B02247">
        <w:t>award</w:t>
      </w:r>
      <w:r w:rsidR="005B2A41">
        <w:t xml:space="preserve"> </w:t>
      </w:r>
      <w:r w:rsidRPr="00B02247">
        <w:t>of</w:t>
      </w:r>
      <w:r w:rsidR="005B2A41">
        <w:t xml:space="preserve"> </w:t>
      </w:r>
      <w:r w:rsidR="003E731F">
        <w:t>“</w:t>
      </w:r>
      <w:r w:rsidRPr="00B02247">
        <w:t>just</w:t>
      </w:r>
      <w:r w:rsidR="005B2A41">
        <w:t xml:space="preserve"> </w:t>
      </w:r>
      <w:r w:rsidRPr="00B02247">
        <w:t>satisfaction</w:t>
      </w:r>
      <w:r w:rsidR="003E731F">
        <w:t>”</w:t>
      </w:r>
      <w:r w:rsidR="005B2A41">
        <w:t xml:space="preserve"> </w:t>
      </w:r>
      <w:r w:rsidRPr="00B02247">
        <w:t>to</w:t>
      </w:r>
      <w:r w:rsidR="005B2A41">
        <w:t xml:space="preserve"> </w:t>
      </w:r>
      <w:r w:rsidRPr="00B02247">
        <w:t>the</w:t>
      </w:r>
      <w:r w:rsidR="005B2A41">
        <w:t xml:space="preserve"> </w:t>
      </w:r>
      <w:r w:rsidRPr="00B02247">
        <w:t>injured</w:t>
      </w:r>
      <w:r w:rsidR="005B2A41">
        <w:t xml:space="preserve"> </w:t>
      </w:r>
      <w:r w:rsidRPr="00B02247">
        <w:t>party,</w:t>
      </w:r>
      <w:r w:rsidR="005B2A41">
        <w:t xml:space="preserve"> </w:t>
      </w:r>
      <w:r w:rsidRPr="00B02247">
        <w:t>in</w:t>
      </w:r>
      <w:r w:rsidR="005B2A41">
        <w:t xml:space="preserve"> </w:t>
      </w:r>
      <w:r w:rsidRPr="00B02247">
        <w:t>case</w:t>
      </w:r>
      <w:r w:rsidR="005B2A41">
        <w:t xml:space="preserve"> </w:t>
      </w:r>
      <w:r w:rsidRPr="00B02247">
        <w:t>of</w:t>
      </w:r>
      <w:r w:rsidR="005B2A41">
        <w:t xml:space="preserve"> </w:t>
      </w:r>
      <w:r w:rsidRPr="00B02247">
        <w:t>a</w:t>
      </w:r>
      <w:r w:rsidR="005B2A41">
        <w:t xml:space="preserve"> </w:t>
      </w:r>
      <w:r w:rsidRPr="00B02247">
        <w:t>violation</w:t>
      </w:r>
      <w:r w:rsidR="005B2A41">
        <w:t xml:space="preserve"> </w:t>
      </w:r>
      <w:r w:rsidRPr="00B02247">
        <w:t>of</w:t>
      </w:r>
      <w:r w:rsidR="005B2A41">
        <w:t xml:space="preserve"> </w:t>
      </w:r>
      <w:r w:rsidRPr="00B02247">
        <w:t>the</w:t>
      </w:r>
      <w:r w:rsidR="005B2A41">
        <w:t xml:space="preserve"> </w:t>
      </w:r>
      <w:r w:rsidRPr="00B02247">
        <w:t>Convention</w:t>
      </w:r>
      <w:r w:rsidR="005B2A41">
        <w:t xml:space="preserve"> </w:t>
      </w:r>
      <w:r w:rsidRPr="00B02247">
        <w:t>(art.</w:t>
      </w:r>
      <w:r w:rsidR="005B2A41">
        <w:t xml:space="preserve"> </w:t>
      </w:r>
      <w:r w:rsidRPr="00B02247">
        <w:t>41).</w:t>
      </w:r>
      <w:r w:rsidR="005B2A41">
        <w:t xml:space="preserve"> </w:t>
      </w:r>
      <w:r w:rsidRPr="00B02247">
        <w:t>Law</w:t>
      </w:r>
      <w:r w:rsidR="005B2A41">
        <w:t xml:space="preserve"> </w:t>
      </w:r>
      <w:r w:rsidRPr="00B02247">
        <w:t>1846/1989</w:t>
      </w:r>
      <w:r w:rsidR="005B2A41">
        <w:t xml:space="preserve"> </w:t>
      </w:r>
      <w:r w:rsidRPr="00B02247">
        <w:t>refers</w:t>
      </w:r>
      <w:r w:rsidR="005B2A41">
        <w:t xml:space="preserve"> </w:t>
      </w:r>
      <w:r w:rsidRPr="00B02247">
        <w:t>to</w:t>
      </w:r>
      <w:r w:rsidR="005B2A41">
        <w:t xml:space="preserve"> </w:t>
      </w:r>
      <w:r w:rsidRPr="00B02247">
        <w:t>this</w:t>
      </w:r>
      <w:r w:rsidR="005B2A41">
        <w:t xml:space="preserve"> </w:t>
      </w:r>
      <w:r w:rsidRPr="00B02247">
        <w:t>obligation,</w:t>
      </w:r>
      <w:r w:rsidR="005B2A41">
        <w:t xml:space="preserve"> </w:t>
      </w:r>
      <w:r w:rsidRPr="00B02247">
        <w:t>as</w:t>
      </w:r>
      <w:r w:rsidR="005B2A41">
        <w:t xml:space="preserve"> </w:t>
      </w:r>
      <w:r w:rsidRPr="00B02247">
        <w:t>it</w:t>
      </w:r>
      <w:r w:rsidR="005B2A41">
        <w:t xml:space="preserve"> </w:t>
      </w:r>
      <w:r w:rsidRPr="00B02247">
        <w:t>provides</w:t>
      </w:r>
      <w:r w:rsidR="005B2A41">
        <w:t xml:space="preserve"> </w:t>
      </w:r>
      <w:r w:rsidRPr="00B02247">
        <w:t>that</w:t>
      </w:r>
      <w:r w:rsidR="005B2A41">
        <w:t xml:space="preserve"> </w:t>
      </w:r>
      <w:r w:rsidRPr="00B02247">
        <w:t>a</w:t>
      </w:r>
      <w:r w:rsidR="005B2A41">
        <w:t xml:space="preserve"> </w:t>
      </w:r>
      <w:r w:rsidRPr="00B02247">
        <w:t>special</w:t>
      </w:r>
      <w:r w:rsidR="005B2A41">
        <w:t xml:space="preserve"> </w:t>
      </w:r>
      <w:r w:rsidRPr="00B02247">
        <w:t>part</w:t>
      </w:r>
      <w:r w:rsidR="005B2A41">
        <w:t xml:space="preserve"> </w:t>
      </w:r>
      <w:r w:rsidRPr="00B02247">
        <w:t>of</w:t>
      </w:r>
      <w:r w:rsidR="005B2A41">
        <w:t xml:space="preserve"> </w:t>
      </w:r>
      <w:r w:rsidRPr="00B02247">
        <w:t>the</w:t>
      </w:r>
      <w:r w:rsidR="005B2A41">
        <w:t xml:space="preserve"> </w:t>
      </w:r>
      <w:r w:rsidRPr="00B02247">
        <w:t>State</w:t>
      </w:r>
      <w:r w:rsidR="005B2A41">
        <w:t xml:space="preserve"> </w:t>
      </w:r>
      <w:r w:rsidRPr="00B02247">
        <w:t>budget</w:t>
      </w:r>
      <w:r w:rsidR="005B2A41">
        <w:t xml:space="preserve"> </w:t>
      </w:r>
      <w:r w:rsidRPr="00B02247">
        <w:t>is</w:t>
      </w:r>
      <w:r w:rsidR="005B2A41">
        <w:t xml:space="preserve"> </w:t>
      </w:r>
      <w:r w:rsidRPr="00B02247">
        <w:t>reserved</w:t>
      </w:r>
      <w:r w:rsidR="005B2A41">
        <w:t xml:space="preserve"> </w:t>
      </w:r>
      <w:r w:rsidRPr="00B02247">
        <w:t>for</w:t>
      </w:r>
      <w:r w:rsidR="005B2A41">
        <w:t xml:space="preserve"> </w:t>
      </w:r>
      <w:r w:rsidRPr="00B02247">
        <w:t>the</w:t>
      </w:r>
      <w:r w:rsidR="005B2A41">
        <w:t xml:space="preserve"> </w:t>
      </w:r>
      <w:r w:rsidRPr="00B02247">
        <w:t>enforcement</w:t>
      </w:r>
      <w:r w:rsidR="005B2A41">
        <w:t xml:space="preserve"> </w:t>
      </w:r>
      <w:r w:rsidRPr="00B02247">
        <w:t>of</w:t>
      </w:r>
      <w:r w:rsidR="005B2A41">
        <w:t xml:space="preserve"> </w:t>
      </w:r>
      <w:r w:rsidRPr="00B02247">
        <w:t>the</w:t>
      </w:r>
      <w:r w:rsidR="005B2A41">
        <w:t xml:space="preserve"> </w:t>
      </w:r>
      <w:r w:rsidRPr="00B02247">
        <w:t>European</w:t>
      </w:r>
      <w:r w:rsidR="005B2A41">
        <w:t xml:space="preserve"> </w:t>
      </w:r>
      <w:r w:rsidRPr="00B02247">
        <w:t>Court</w:t>
      </w:r>
      <w:r w:rsidR="003E731F">
        <w:t>’</w:t>
      </w:r>
      <w:r w:rsidRPr="00B02247">
        <w:t>s</w:t>
      </w:r>
      <w:r w:rsidR="005B2A41">
        <w:t xml:space="preserve"> </w:t>
      </w:r>
      <w:r w:rsidRPr="00B02247">
        <w:t>judgements.</w:t>
      </w:r>
      <w:r w:rsidR="005B2A41">
        <w:t xml:space="preserve"> </w:t>
      </w:r>
    </w:p>
    <w:p w:rsidR="00F233AB" w:rsidRPr="00B02247" w:rsidRDefault="00F233AB" w:rsidP="00AB1129">
      <w:pPr>
        <w:pStyle w:val="H23G"/>
      </w:pPr>
      <w:r w:rsidRPr="00B02247">
        <w:tab/>
        <w:t>4.</w:t>
      </w:r>
      <w:r w:rsidRPr="00B02247">
        <w:tab/>
        <w:t>Institutions</w:t>
      </w:r>
      <w:r w:rsidR="005B2A41">
        <w:t xml:space="preserve"> </w:t>
      </w:r>
      <w:r w:rsidRPr="00B02247">
        <w:t>or</w:t>
      </w:r>
      <w:r w:rsidR="005B2A41">
        <w:t xml:space="preserve"> </w:t>
      </w:r>
      <w:r w:rsidRPr="00B02247">
        <w:t>national</w:t>
      </w:r>
      <w:r w:rsidR="005B2A41">
        <w:t xml:space="preserve"> </w:t>
      </w:r>
      <w:r w:rsidRPr="00B02247">
        <w:t>machinery</w:t>
      </w:r>
      <w:r w:rsidR="005B2A41">
        <w:t xml:space="preserve"> </w:t>
      </w:r>
      <w:r w:rsidRPr="00B02247">
        <w:t>with</w:t>
      </w:r>
      <w:r w:rsidR="005B2A41">
        <w:t xml:space="preserve"> </w:t>
      </w:r>
      <w:r w:rsidRPr="00B02247">
        <w:t>responsibility</w:t>
      </w:r>
      <w:r w:rsidR="005B2A41">
        <w:t xml:space="preserve"> </w:t>
      </w:r>
      <w:r w:rsidRPr="00B02247">
        <w:t>for</w:t>
      </w:r>
      <w:r w:rsidR="005B2A41">
        <w:t xml:space="preserve"> </w:t>
      </w:r>
      <w:r w:rsidRPr="00B02247">
        <w:t>overseeing</w:t>
      </w:r>
      <w:r w:rsidR="005B2A41">
        <w:t xml:space="preserve"> </w:t>
      </w:r>
      <w:r w:rsidRPr="00B02247">
        <w:t>the</w:t>
      </w:r>
      <w:r w:rsidR="005B2A41">
        <w:t xml:space="preserve"> </w:t>
      </w:r>
      <w:r w:rsidRPr="00B02247">
        <w:t>implementation</w:t>
      </w:r>
      <w:r w:rsidR="005B2A41">
        <w:t xml:space="preserve"> </w:t>
      </w:r>
      <w:r w:rsidRPr="00B02247">
        <w:t>of</w:t>
      </w:r>
      <w:r w:rsidR="005B2A41">
        <w:t xml:space="preserve"> </w:t>
      </w:r>
      <w:r w:rsidRPr="00B02247">
        <w:t>human</w:t>
      </w:r>
      <w:r w:rsidR="005B2A41">
        <w:t xml:space="preserve"> </w:t>
      </w:r>
      <w:r w:rsidRPr="00B02247">
        <w:t>rights</w:t>
      </w:r>
    </w:p>
    <w:p w:rsidR="00F233AB" w:rsidRPr="00B02247" w:rsidRDefault="00F233AB" w:rsidP="00AB1129">
      <w:pPr>
        <w:pStyle w:val="H4G"/>
      </w:pPr>
      <w:r w:rsidRPr="00B02247">
        <w:tab/>
      </w:r>
      <w:r w:rsidRPr="00B02247">
        <w:tab/>
        <w:t>National</w:t>
      </w:r>
      <w:r w:rsidR="005B2A41">
        <w:t xml:space="preserve"> </w:t>
      </w:r>
      <w:r w:rsidRPr="00B02247">
        <w:t>Action</w:t>
      </w:r>
      <w:r w:rsidR="005B2A41">
        <w:t xml:space="preserve"> </w:t>
      </w:r>
      <w:r w:rsidRPr="00B02247">
        <w:t>Plans</w:t>
      </w:r>
    </w:p>
    <w:p w:rsidR="00F233AB" w:rsidRPr="00B02247" w:rsidRDefault="00F233AB" w:rsidP="00E1307D">
      <w:pPr>
        <w:pStyle w:val="SingleTxtG"/>
      </w:pPr>
      <w:r w:rsidRPr="00B02247">
        <w:t>78.</w:t>
      </w:r>
      <w:r w:rsidRPr="00B02247">
        <w:tab/>
        <w:t>The</w:t>
      </w:r>
      <w:r w:rsidR="005B2A41">
        <w:t xml:space="preserve"> </w:t>
      </w:r>
      <w:r w:rsidRPr="00B02247">
        <w:t>first</w:t>
      </w:r>
      <w:r w:rsidR="005B2A41">
        <w:t xml:space="preserve"> </w:t>
      </w:r>
      <w:r w:rsidRPr="00B02247">
        <w:t>National</w:t>
      </w:r>
      <w:r w:rsidR="005B2A41">
        <w:t xml:space="preserve"> </w:t>
      </w:r>
      <w:r w:rsidRPr="00B02247">
        <w:t>Action</w:t>
      </w:r>
      <w:r w:rsidR="005B2A41">
        <w:t xml:space="preserve"> </w:t>
      </w:r>
      <w:r w:rsidRPr="00B02247">
        <w:t>Plan</w:t>
      </w:r>
      <w:r w:rsidR="005B2A41">
        <w:t xml:space="preserve"> </w:t>
      </w:r>
      <w:r w:rsidRPr="00B02247">
        <w:t>on</w:t>
      </w:r>
      <w:r w:rsidR="005B2A41">
        <w:t xml:space="preserve"> </w:t>
      </w:r>
      <w:r w:rsidRPr="00B02247">
        <w:t>Human</w:t>
      </w:r>
      <w:r w:rsidR="005B2A41">
        <w:t xml:space="preserve"> </w:t>
      </w:r>
      <w:r w:rsidRPr="00B02247">
        <w:t>Rights,</w:t>
      </w:r>
      <w:r w:rsidR="005B2A41">
        <w:t xml:space="preserve"> </w:t>
      </w:r>
      <w:r w:rsidRPr="00B02247">
        <w:t>covering</w:t>
      </w:r>
      <w:r w:rsidR="005B2A41">
        <w:t xml:space="preserve"> </w:t>
      </w:r>
      <w:r w:rsidRPr="00B02247">
        <w:t>the</w:t>
      </w:r>
      <w:r w:rsidR="005B2A41">
        <w:t xml:space="preserve"> </w:t>
      </w:r>
      <w:r w:rsidRPr="00B02247">
        <w:t>period</w:t>
      </w:r>
      <w:r w:rsidR="005B2A41">
        <w:t xml:space="preserve"> </w:t>
      </w:r>
      <w:r w:rsidRPr="00B02247">
        <w:t>2014</w:t>
      </w:r>
      <w:r w:rsidR="00915034">
        <w:t>–</w:t>
      </w:r>
      <w:r w:rsidRPr="00B02247">
        <w:t>2016,</w:t>
      </w:r>
      <w:r w:rsidR="005B2A41">
        <w:t xml:space="preserve"> </w:t>
      </w:r>
      <w:r w:rsidRPr="00B02247">
        <w:t>has</w:t>
      </w:r>
      <w:r w:rsidR="005B2A41">
        <w:t xml:space="preserve"> </w:t>
      </w:r>
      <w:r w:rsidRPr="00B02247">
        <w:t>been</w:t>
      </w:r>
      <w:r w:rsidR="005B2A41">
        <w:t xml:space="preserve"> </w:t>
      </w:r>
      <w:r w:rsidRPr="00B02247">
        <w:t>adopted,</w:t>
      </w:r>
      <w:r w:rsidR="005B2A41">
        <w:t xml:space="preserve"> </w:t>
      </w:r>
      <w:r w:rsidRPr="00B02247">
        <w:t>under</w:t>
      </w:r>
      <w:r w:rsidR="005B2A41">
        <w:t xml:space="preserve"> </w:t>
      </w:r>
      <w:r w:rsidRPr="00B02247">
        <w:t>the</w:t>
      </w:r>
      <w:r w:rsidR="005B2A41">
        <w:t xml:space="preserve"> </w:t>
      </w:r>
      <w:r w:rsidRPr="00B02247">
        <w:t>coordination</w:t>
      </w:r>
      <w:r w:rsidR="005B2A41">
        <w:t xml:space="preserve"> </w:t>
      </w:r>
      <w:r w:rsidRPr="00B02247">
        <w:t>of</w:t>
      </w:r>
      <w:r w:rsidR="005B2A41">
        <w:t xml:space="preserve"> </w:t>
      </w:r>
      <w:r w:rsidRPr="00B02247">
        <w:t>the</w:t>
      </w:r>
      <w:r w:rsidR="005B2A41">
        <w:t xml:space="preserve"> </w:t>
      </w:r>
      <w:r w:rsidRPr="00B02247">
        <w:t>Ministry</w:t>
      </w:r>
      <w:r w:rsidR="005B2A41">
        <w:t xml:space="preserve"> </w:t>
      </w:r>
      <w:r w:rsidRPr="00B02247">
        <w:t>of</w:t>
      </w:r>
      <w:r w:rsidR="005B2A41">
        <w:t xml:space="preserve"> </w:t>
      </w:r>
      <w:r w:rsidRPr="00B02247">
        <w:t>Justice,</w:t>
      </w:r>
      <w:r w:rsidR="005B2A41">
        <w:t xml:space="preserve"> </w:t>
      </w:r>
      <w:r w:rsidRPr="00B02247">
        <w:t>Transparency</w:t>
      </w:r>
      <w:r w:rsidR="005B2A41">
        <w:t xml:space="preserve"> </w:t>
      </w:r>
      <w:r w:rsidRPr="00B02247">
        <w:t>and</w:t>
      </w:r>
      <w:r w:rsidR="005B2A41">
        <w:t xml:space="preserve"> </w:t>
      </w:r>
      <w:r w:rsidRPr="00B02247">
        <w:t>Human</w:t>
      </w:r>
      <w:r w:rsidR="005B2A41">
        <w:t xml:space="preserve"> </w:t>
      </w:r>
      <w:r w:rsidRPr="00B02247">
        <w:t>Rights.</w:t>
      </w:r>
      <w:r w:rsidR="005B2A41">
        <w:t xml:space="preserve"> </w:t>
      </w:r>
      <w:r w:rsidRPr="00B02247">
        <w:t>The</w:t>
      </w:r>
      <w:r w:rsidR="005B2A41">
        <w:t xml:space="preserve"> </w:t>
      </w:r>
      <w:r w:rsidRPr="00B02247">
        <w:t>Ministry,</w:t>
      </w:r>
      <w:r w:rsidR="005B2A41">
        <w:t xml:space="preserve"> </w:t>
      </w:r>
      <w:r w:rsidRPr="00B02247">
        <w:t>through</w:t>
      </w:r>
      <w:r w:rsidR="005B2A41">
        <w:t xml:space="preserve"> </w:t>
      </w:r>
      <w:r w:rsidRPr="00B02247">
        <w:t>its</w:t>
      </w:r>
      <w:r w:rsidR="005B2A41">
        <w:t xml:space="preserve"> </w:t>
      </w:r>
      <w:r w:rsidRPr="00B02247">
        <w:t>General</w:t>
      </w:r>
      <w:r w:rsidR="005B2A41">
        <w:t xml:space="preserve"> </w:t>
      </w:r>
      <w:r w:rsidRPr="00B02247">
        <w:t>Secretariat</w:t>
      </w:r>
      <w:r w:rsidR="005B2A41">
        <w:t xml:space="preserve"> </w:t>
      </w:r>
      <w:r w:rsidRPr="00B02247">
        <w:t>for</w:t>
      </w:r>
      <w:r w:rsidR="005B2A41">
        <w:t xml:space="preserve"> </w:t>
      </w:r>
      <w:r w:rsidRPr="00B02247">
        <w:t>Transparency</w:t>
      </w:r>
      <w:r w:rsidR="005B2A41">
        <w:t xml:space="preserve"> </w:t>
      </w:r>
      <w:r w:rsidRPr="00B02247">
        <w:t>and</w:t>
      </w:r>
      <w:r w:rsidR="005B2A41">
        <w:t xml:space="preserve"> </w:t>
      </w:r>
      <w:r w:rsidRPr="00B02247">
        <w:t>Human</w:t>
      </w:r>
      <w:r w:rsidR="005B2A41">
        <w:t xml:space="preserve"> </w:t>
      </w:r>
      <w:r w:rsidRPr="00B02247">
        <w:t>Rights,</w:t>
      </w:r>
      <w:r w:rsidR="005B2A41">
        <w:t xml:space="preserve"> </w:t>
      </w:r>
      <w:r w:rsidRPr="00B02247">
        <w:t>is</w:t>
      </w:r>
      <w:r w:rsidR="005B2A41">
        <w:t xml:space="preserve"> </w:t>
      </w:r>
      <w:r w:rsidRPr="00B02247">
        <w:t>currently</w:t>
      </w:r>
      <w:r w:rsidR="005B2A41">
        <w:t xml:space="preserve"> </w:t>
      </w:r>
      <w:r w:rsidRPr="00B02247">
        <w:t>examining</w:t>
      </w:r>
      <w:r w:rsidR="005B2A41">
        <w:t xml:space="preserve"> </w:t>
      </w:r>
      <w:r w:rsidRPr="00B02247">
        <w:t>ways</w:t>
      </w:r>
      <w:r w:rsidR="005B2A41">
        <w:t xml:space="preserve"> </w:t>
      </w:r>
      <w:r w:rsidRPr="00B02247">
        <w:t>and</w:t>
      </w:r>
      <w:r w:rsidR="005B2A41">
        <w:t xml:space="preserve"> </w:t>
      </w:r>
      <w:r w:rsidRPr="00B02247">
        <w:t>means</w:t>
      </w:r>
      <w:r w:rsidR="005B2A41">
        <w:t xml:space="preserve"> </w:t>
      </w:r>
      <w:r w:rsidRPr="00B02247">
        <w:t>of</w:t>
      </w:r>
      <w:r w:rsidR="005B2A41">
        <w:t xml:space="preserve"> </w:t>
      </w:r>
      <w:r w:rsidRPr="00B02247">
        <w:t>further</w:t>
      </w:r>
      <w:r w:rsidR="005B2A41">
        <w:t xml:space="preserve"> </w:t>
      </w:r>
      <w:r w:rsidRPr="00B02247">
        <w:t>developing</w:t>
      </w:r>
      <w:r w:rsidR="005B2A41">
        <w:t xml:space="preserve"> </w:t>
      </w:r>
      <w:r w:rsidRPr="00B02247">
        <w:t>an</w:t>
      </w:r>
      <w:r w:rsidR="005B2A41">
        <w:t xml:space="preserve"> </w:t>
      </w:r>
      <w:r w:rsidRPr="00B02247">
        <w:t>effective,</w:t>
      </w:r>
      <w:r w:rsidR="005B2A41">
        <w:t xml:space="preserve"> </w:t>
      </w:r>
      <w:r w:rsidRPr="00B02247">
        <w:t>inclusive</w:t>
      </w:r>
      <w:r w:rsidR="005B2A41">
        <w:t xml:space="preserve"> </w:t>
      </w:r>
      <w:r w:rsidRPr="00B02247">
        <w:t>and</w:t>
      </w:r>
      <w:r w:rsidR="005B2A41">
        <w:t xml:space="preserve"> </w:t>
      </w:r>
      <w:r w:rsidRPr="00B02247">
        <w:t>operational</w:t>
      </w:r>
      <w:r w:rsidR="005B2A41">
        <w:t xml:space="preserve"> </w:t>
      </w:r>
      <w:r w:rsidRPr="00B02247">
        <w:t>human</w:t>
      </w:r>
      <w:r w:rsidR="005B2A41">
        <w:t xml:space="preserve"> </w:t>
      </w:r>
      <w:r w:rsidRPr="00B02247">
        <w:t>rights</w:t>
      </w:r>
      <w:r w:rsidR="005B2A41">
        <w:t xml:space="preserve"> </w:t>
      </w:r>
      <w:r w:rsidRPr="00B02247">
        <w:t>planning</w:t>
      </w:r>
      <w:r w:rsidR="005B2A41">
        <w:t xml:space="preserve"> </w:t>
      </w:r>
      <w:r w:rsidRPr="00B02247">
        <w:t>mechanism,</w:t>
      </w:r>
      <w:r w:rsidR="005B2A41">
        <w:t xml:space="preserve"> </w:t>
      </w:r>
      <w:r w:rsidRPr="00B02247">
        <w:t>taking</w:t>
      </w:r>
      <w:r w:rsidR="005B2A41">
        <w:t xml:space="preserve"> </w:t>
      </w:r>
      <w:r w:rsidRPr="00B02247">
        <w:t>also</w:t>
      </w:r>
      <w:r w:rsidR="005B2A41">
        <w:t xml:space="preserve"> </w:t>
      </w:r>
      <w:r w:rsidRPr="00B02247">
        <w:t>into</w:t>
      </w:r>
      <w:r w:rsidR="005B2A41">
        <w:t xml:space="preserve"> </w:t>
      </w:r>
      <w:r w:rsidRPr="00B02247">
        <w:t>account</w:t>
      </w:r>
      <w:r w:rsidR="005B2A41">
        <w:t xml:space="preserve"> </w:t>
      </w:r>
      <w:r w:rsidRPr="00B02247">
        <w:t>the</w:t>
      </w:r>
      <w:r w:rsidR="005B2A41">
        <w:t xml:space="preserve"> </w:t>
      </w:r>
      <w:r w:rsidRPr="00B02247">
        <w:t>relevant</w:t>
      </w:r>
      <w:r w:rsidR="005B2A41">
        <w:t xml:space="preserve"> </w:t>
      </w:r>
      <w:r w:rsidRPr="00B02247">
        <w:t>recommendations</w:t>
      </w:r>
      <w:r w:rsidR="005B2A41">
        <w:t xml:space="preserve"> </w:t>
      </w:r>
      <w:r w:rsidRPr="00B02247">
        <w:t>of</w:t>
      </w:r>
      <w:r w:rsidR="005B2A41">
        <w:t xml:space="preserve"> </w:t>
      </w:r>
      <w:r w:rsidRPr="00B02247">
        <w:t>the</w:t>
      </w:r>
      <w:r w:rsidR="005B2A41">
        <w:t xml:space="preserve"> </w:t>
      </w:r>
      <w:r w:rsidRPr="00B02247">
        <w:t>NCHR</w:t>
      </w:r>
      <w:r w:rsidR="005B2A41">
        <w:t xml:space="preserve"> </w:t>
      </w:r>
      <w:r w:rsidRPr="00B02247">
        <w:t>and</w:t>
      </w:r>
      <w:r w:rsidR="005B2A41">
        <w:t xml:space="preserve"> </w:t>
      </w:r>
      <w:r w:rsidRPr="00B02247">
        <w:t>civil</w:t>
      </w:r>
      <w:r w:rsidR="005B2A41">
        <w:t xml:space="preserve"> </w:t>
      </w:r>
      <w:r w:rsidRPr="00B02247">
        <w:t>society</w:t>
      </w:r>
      <w:r w:rsidR="005B2A41">
        <w:t xml:space="preserve"> </w:t>
      </w:r>
      <w:r w:rsidRPr="00B02247">
        <w:t>organizations.</w:t>
      </w:r>
      <w:r w:rsidR="005B2A41">
        <w:t xml:space="preserve"> </w:t>
      </w:r>
    </w:p>
    <w:p w:rsidR="00F233AB" w:rsidRPr="00B02247" w:rsidRDefault="00F233AB" w:rsidP="00E1307D">
      <w:pPr>
        <w:pStyle w:val="SingleTxtG"/>
      </w:pPr>
      <w:r w:rsidRPr="00B02247">
        <w:t>79.</w:t>
      </w:r>
      <w:r w:rsidRPr="00B02247">
        <w:tab/>
        <w:t>A</w:t>
      </w:r>
      <w:r w:rsidR="005B2A41">
        <w:t xml:space="preserve"> </w:t>
      </w:r>
      <w:r w:rsidRPr="00B02247">
        <w:t>National</w:t>
      </w:r>
      <w:r w:rsidR="005B2A41">
        <w:t xml:space="preserve"> </w:t>
      </w:r>
      <w:r w:rsidRPr="00B02247">
        <w:t>Action</w:t>
      </w:r>
      <w:r w:rsidR="005B2A41">
        <w:t xml:space="preserve"> </w:t>
      </w:r>
      <w:r w:rsidRPr="00B02247">
        <w:t>Plan</w:t>
      </w:r>
      <w:r w:rsidR="005B2A41">
        <w:t xml:space="preserve"> </w:t>
      </w:r>
      <w:r w:rsidRPr="00B02247">
        <w:t>on</w:t>
      </w:r>
      <w:r w:rsidR="005B2A41">
        <w:t xml:space="preserve"> </w:t>
      </w:r>
      <w:r w:rsidRPr="00B02247">
        <w:t>the</w:t>
      </w:r>
      <w:r w:rsidR="005B2A41">
        <w:t xml:space="preserve"> </w:t>
      </w:r>
      <w:r w:rsidRPr="00B02247">
        <w:t>Rights</w:t>
      </w:r>
      <w:r w:rsidR="005B2A41">
        <w:t xml:space="preserve"> </w:t>
      </w:r>
      <w:r w:rsidRPr="00B02247">
        <w:t>of</w:t>
      </w:r>
      <w:r w:rsidR="005B2A41">
        <w:t xml:space="preserve"> </w:t>
      </w:r>
      <w:r w:rsidRPr="00B02247">
        <w:t>the</w:t>
      </w:r>
      <w:r w:rsidR="005B2A41">
        <w:t xml:space="preserve"> </w:t>
      </w:r>
      <w:r w:rsidRPr="00B02247">
        <w:t>Child</w:t>
      </w:r>
      <w:r w:rsidR="005B2A41">
        <w:t xml:space="preserve"> </w:t>
      </w:r>
      <w:r w:rsidRPr="00B02247">
        <w:t>is</w:t>
      </w:r>
      <w:r w:rsidR="005B2A41">
        <w:t xml:space="preserve"> </w:t>
      </w:r>
      <w:r w:rsidRPr="00B02247">
        <w:t>being</w:t>
      </w:r>
      <w:r w:rsidR="005B2A41">
        <w:t xml:space="preserve"> </w:t>
      </w:r>
      <w:r w:rsidRPr="00B02247">
        <w:t>elaborated,</w:t>
      </w:r>
      <w:r w:rsidR="005B2A41">
        <w:t xml:space="preserve"> </w:t>
      </w:r>
      <w:r w:rsidRPr="00B02247">
        <w:t>under</w:t>
      </w:r>
      <w:r w:rsidR="005B2A41">
        <w:t xml:space="preserve"> </w:t>
      </w:r>
      <w:r w:rsidRPr="00B02247">
        <w:t>the</w:t>
      </w:r>
      <w:r w:rsidR="005B2A41">
        <w:t xml:space="preserve"> </w:t>
      </w:r>
      <w:r w:rsidRPr="00B02247">
        <w:t>coordination</w:t>
      </w:r>
      <w:r w:rsidR="005B2A41">
        <w:t xml:space="preserve"> </w:t>
      </w:r>
      <w:r w:rsidRPr="00B02247">
        <w:t>of</w:t>
      </w:r>
      <w:r w:rsidR="005B2A41">
        <w:t xml:space="preserve"> </w:t>
      </w:r>
      <w:r w:rsidRPr="00B02247">
        <w:t>the</w:t>
      </w:r>
      <w:r w:rsidR="005B2A41">
        <w:t xml:space="preserve"> </w:t>
      </w:r>
      <w:r w:rsidRPr="00B02247">
        <w:t>General</w:t>
      </w:r>
      <w:r w:rsidR="005B2A41">
        <w:t xml:space="preserve"> </w:t>
      </w:r>
      <w:r w:rsidRPr="00B02247">
        <w:t>Secretariat</w:t>
      </w:r>
      <w:r w:rsidR="005B2A41">
        <w:t xml:space="preserve"> </w:t>
      </w:r>
      <w:r w:rsidRPr="00B02247">
        <w:t>of</w:t>
      </w:r>
      <w:r w:rsidR="005B2A41">
        <w:t xml:space="preserve"> </w:t>
      </w:r>
      <w:r w:rsidRPr="00B02247">
        <w:t>Transparency</w:t>
      </w:r>
      <w:r w:rsidR="005B2A41">
        <w:t xml:space="preserve"> </w:t>
      </w:r>
      <w:r w:rsidRPr="00B02247">
        <w:t>and</w:t>
      </w:r>
      <w:r w:rsidR="005B2A41">
        <w:t xml:space="preserve"> </w:t>
      </w:r>
      <w:r w:rsidRPr="00B02247">
        <w:t>Human</w:t>
      </w:r>
      <w:r w:rsidR="005B2A41">
        <w:t xml:space="preserve"> </w:t>
      </w:r>
      <w:r w:rsidRPr="00B02247">
        <w:t>Rights,</w:t>
      </w:r>
      <w:r w:rsidR="005B2A41">
        <w:t xml:space="preserve"> </w:t>
      </w:r>
      <w:r w:rsidRPr="00B02247">
        <w:t>with</w:t>
      </w:r>
      <w:r w:rsidR="005B2A41">
        <w:t xml:space="preserve"> </w:t>
      </w:r>
      <w:r w:rsidRPr="00B02247">
        <w:t>the</w:t>
      </w:r>
      <w:r w:rsidR="005B2A41">
        <w:t xml:space="preserve"> </w:t>
      </w:r>
      <w:r w:rsidRPr="00B02247">
        <w:t>participation</w:t>
      </w:r>
      <w:r w:rsidR="005B2A41">
        <w:t xml:space="preserve"> </w:t>
      </w:r>
      <w:r w:rsidRPr="00B02247">
        <w:t>of</w:t>
      </w:r>
      <w:r w:rsidR="005B2A41">
        <w:t xml:space="preserve"> </w:t>
      </w:r>
      <w:r w:rsidRPr="00B02247">
        <w:t>all</w:t>
      </w:r>
      <w:r w:rsidR="005B2A41">
        <w:t xml:space="preserve"> </w:t>
      </w:r>
      <w:r w:rsidRPr="00B02247">
        <w:t>sectors</w:t>
      </w:r>
      <w:r w:rsidR="005B2A41">
        <w:t xml:space="preserve"> </w:t>
      </w:r>
      <w:r w:rsidRPr="00B02247">
        <w:t>of</w:t>
      </w:r>
      <w:r w:rsidR="005B2A41">
        <w:t xml:space="preserve"> </w:t>
      </w:r>
      <w:r w:rsidRPr="00B02247">
        <w:t>the</w:t>
      </w:r>
      <w:r w:rsidR="005B2A41">
        <w:t xml:space="preserve"> </w:t>
      </w:r>
      <w:r w:rsidRPr="00B02247">
        <w:t>Administration</w:t>
      </w:r>
      <w:r w:rsidR="005B2A41">
        <w:t xml:space="preserve"> </w:t>
      </w:r>
      <w:r w:rsidRPr="00B02247">
        <w:t>involved</w:t>
      </w:r>
      <w:r w:rsidR="005B2A41">
        <w:t xml:space="preserve"> </w:t>
      </w:r>
      <w:r w:rsidRPr="00B02247">
        <w:t>and</w:t>
      </w:r>
      <w:r w:rsidR="005B2A41">
        <w:t xml:space="preserve"> </w:t>
      </w:r>
      <w:r w:rsidRPr="00B02247">
        <w:t>the</w:t>
      </w:r>
      <w:r w:rsidR="005B2A41">
        <w:t xml:space="preserve"> </w:t>
      </w:r>
      <w:r w:rsidRPr="00B02247">
        <w:t>Children</w:t>
      </w:r>
      <w:r w:rsidR="003E731F">
        <w:t>’</w:t>
      </w:r>
      <w:r w:rsidRPr="00B02247">
        <w:t>s</w:t>
      </w:r>
      <w:r w:rsidR="005B2A41">
        <w:t xml:space="preserve"> </w:t>
      </w:r>
      <w:r w:rsidRPr="00B02247">
        <w:t>Ombudsman.</w:t>
      </w:r>
      <w:r w:rsidR="005B2A41">
        <w:t xml:space="preserve"> </w:t>
      </w:r>
      <w:r w:rsidRPr="00B02247">
        <w:t>The</w:t>
      </w:r>
      <w:r w:rsidR="005B2A41">
        <w:t xml:space="preserve"> </w:t>
      </w:r>
      <w:r w:rsidRPr="00B02247">
        <w:t>plan</w:t>
      </w:r>
      <w:r w:rsidR="005B2A41">
        <w:t xml:space="preserve"> </w:t>
      </w:r>
      <w:r w:rsidRPr="00B02247">
        <w:t>will</w:t>
      </w:r>
      <w:r w:rsidR="005B2A41">
        <w:t xml:space="preserve"> </w:t>
      </w:r>
      <w:r w:rsidRPr="00B02247">
        <w:t>be</w:t>
      </w:r>
      <w:r w:rsidR="005B2A41">
        <w:t xml:space="preserve"> </w:t>
      </w:r>
      <w:r w:rsidRPr="00B02247">
        <w:t>submitted</w:t>
      </w:r>
      <w:r w:rsidR="005B2A41">
        <w:t xml:space="preserve"> </w:t>
      </w:r>
      <w:r w:rsidRPr="00B02247">
        <w:t>to</w:t>
      </w:r>
      <w:r w:rsidR="005B2A41">
        <w:t xml:space="preserve"> </w:t>
      </w:r>
      <w:r w:rsidRPr="00B02247">
        <w:t>public</w:t>
      </w:r>
      <w:r w:rsidR="005B2A41">
        <w:t xml:space="preserve"> </w:t>
      </w:r>
      <w:r w:rsidRPr="00B02247">
        <w:t>consultation</w:t>
      </w:r>
      <w:r w:rsidR="005B2A41">
        <w:t xml:space="preserve"> </w:t>
      </w:r>
      <w:r w:rsidRPr="00B02247">
        <w:t>with</w:t>
      </w:r>
      <w:r w:rsidR="005B2A41">
        <w:t xml:space="preserve"> </w:t>
      </w:r>
      <w:r w:rsidRPr="00B02247">
        <w:t>civil</w:t>
      </w:r>
      <w:r w:rsidR="005B2A41">
        <w:t xml:space="preserve"> </w:t>
      </w:r>
      <w:r w:rsidRPr="00B02247">
        <w:t>society</w:t>
      </w:r>
      <w:r w:rsidR="005B2A41">
        <w:t xml:space="preserve"> </w:t>
      </w:r>
      <w:r w:rsidRPr="00B02247">
        <w:t>actors.</w:t>
      </w:r>
    </w:p>
    <w:p w:rsidR="00F233AB" w:rsidRPr="00B02247" w:rsidRDefault="00F233AB" w:rsidP="00E1307D">
      <w:pPr>
        <w:pStyle w:val="SingleTxtG"/>
      </w:pPr>
      <w:r w:rsidRPr="00B02247">
        <w:t>80.</w:t>
      </w:r>
      <w:r w:rsidRPr="00B02247">
        <w:tab/>
        <w:t>The</w:t>
      </w:r>
      <w:r w:rsidR="005B2A41">
        <w:t xml:space="preserve"> </w:t>
      </w:r>
      <w:r w:rsidRPr="00B02247">
        <w:t>National</w:t>
      </w:r>
      <w:r w:rsidR="005B2A41">
        <w:t xml:space="preserve"> </w:t>
      </w:r>
      <w:r w:rsidRPr="00B02247">
        <w:t>Council</w:t>
      </w:r>
      <w:r w:rsidR="005B2A41">
        <w:t xml:space="preserve"> </w:t>
      </w:r>
      <w:r w:rsidRPr="00B02247">
        <w:t>against</w:t>
      </w:r>
      <w:r w:rsidR="005B2A41">
        <w:t xml:space="preserve"> </w:t>
      </w:r>
      <w:r w:rsidRPr="00B02247">
        <w:t>Racism</w:t>
      </w:r>
      <w:r w:rsidR="005B2A41">
        <w:t xml:space="preserve"> </w:t>
      </w:r>
      <w:r w:rsidRPr="00B02247">
        <w:t>and</w:t>
      </w:r>
      <w:r w:rsidR="005B2A41">
        <w:t xml:space="preserve"> </w:t>
      </w:r>
      <w:r w:rsidRPr="00B02247">
        <w:t>Intolerance</w:t>
      </w:r>
      <w:r w:rsidR="005B2A41">
        <w:t xml:space="preserve"> </w:t>
      </w:r>
      <w:r w:rsidRPr="00B02247">
        <w:t>(see</w:t>
      </w:r>
      <w:r w:rsidR="005B2A41">
        <w:t xml:space="preserve"> </w:t>
      </w:r>
      <w:r w:rsidRPr="00B02247">
        <w:t>infra)</w:t>
      </w:r>
      <w:r w:rsidR="005B2A41">
        <w:t xml:space="preserve"> </w:t>
      </w:r>
      <w:r w:rsidRPr="00B02247">
        <w:t>is</w:t>
      </w:r>
      <w:r w:rsidR="005B2A41">
        <w:t xml:space="preserve"> </w:t>
      </w:r>
      <w:r w:rsidRPr="00B02247">
        <w:t>elaborating</w:t>
      </w:r>
      <w:r w:rsidR="005B2A41">
        <w:t xml:space="preserve"> </w:t>
      </w:r>
      <w:r w:rsidRPr="00B02247">
        <w:t>a</w:t>
      </w:r>
      <w:r w:rsidR="005B2A41">
        <w:t xml:space="preserve"> </w:t>
      </w:r>
      <w:r w:rsidRPr="00B02247">
        <w:t>National</w:t>
      </w:r>
      <w:r w:rsidR="005B2A41">
        <w:t xml:space="preserve"> </w:t>
      </w:r>
      <w:r w:rsidRPr="00B02247">
        <w:t>Action</w:t>
      </w:r>
      <w:r w:rsidR="005B2A41">
        <w:t xml:space="preserve"> </w:t>
      </w:r>
      <w:r w:rsidRPr="00B02247">
        <w:t>Plan</w:t>
      </w:r>
      <w:r w:rsidR="005B2A41">
        <w:t xml:space="preserve"> </w:t>
      </w:r>
      <w:r w:rsidRPr="00B02247">
        <w:t>against</w:t>
      </w:r>
      <w:r w:rsidR="005B2A41">
        <w:t xml:space="preserve"> </w:t>
      </w:r>
      <w:r w:rsidRPr="00B02247">
        <w:t>Racism</w:t>
      </w:r>
      <w:r w:rsidR="005B2A41">
        <w:t xml:space="preserve"> </w:t>
      </w:r>
      <w:r w:rsidRPr="00B02247">
        <w:t>and</w:t>
      </w:r>
      <w:r w:rsidR="005B2A41">
        <w:t xml:space="preserve"> </w:t>
      </w:r>
      <w:r w:rsidRPr="00B02247">
        <w:t>Intolerance.</w:t>
      </w:r>
    </w:p>
    <w:p w:rsidR="00F233AB" w:rsidRPr="00B02247" w:rsidRDefault="00F233AB" w:rsidP="00516C18">
      <w:pPr>
        <w:pStyle w:val="SingleTxtG"/>
      </w:pPr>
      <w:r w:rsidRPr="00B02247">
        <w:t>81.</w:t>
      </w:r>
      <w:r w:rsidRPr="00B02247">
        <w:tab/>
        <w:t>In</w:t>
      </w:r>
      <w:r w:rsidR="005B2A41">
        <w:t xml:space="preserve"> </w:t>
      </w:r>
      <w:r w:rsidRPr="00B02247">
        <w:t>the</w:t>
      </w:r>
      <w:r w:rsidR="005B2A41">
        <w:t xml:space="preserve"> </w:t>
      </w:r>
      <w:r w:rsidRPr="00B02247">
        <w:t>field</w:t>
      </w:r>
      <w:r w:rsidR="005B2A41">
        <w:t xml:space="preserve"> </w:t>
      </w:r>
      <w:r w:rsidRPr="00B02247">
        <w:t>of</w:t>
      </w:r>
      <w:r w:rsidR="005B2A41">
        <w:t xml:space="preserve"> </w:t>
      </w:r>
      <w:r w:rsidRPr="00B02247">
        <w:t>women</w:t>
      </w:r>
      <w:r w:rsidR="003E731F">
        <w:t>’</w:t>
      </w:r>
      <w:r w:rsidRPr="00B02247">
        <w:t>s</w:t>
      </w:r>
      <w:r w:rsidR="005B2A41">
        <w:t xml:space="preserve"> </w:t>
      </w:r>
      <w:r w:rsidRPr="00B02247">
        <w:t>rights,</w:t>
      </w:r>
      <w:r w:rsidR="005B2A41">
        <w:t xml:space="preserve"> </w:t>
      </w:r>
      <w:r w:rsidRPr="00B02247">
        <w:t>the</w:t>
      </w:r>
      <w:r w:rsidR="005B2A41">
        <w:t xml:space="preserve"> </w:t>
      </w:r>
      <w:r w:rsidRPr="00B02247">
        <w:t>National</w:t>
      </w:r>
      <w:r w:rsidR="005B2A41">
        <w:t xml:space="preserve"> </w:t>
      </w:r>
      <w:r w:rsidRPr="00B02247">
        <w:t>Program</w:t>
      </w:r>
      <w:r w:rsidR="005B2A41">
        <w:t xml:space="preserve"> </w:t>
      </w:r>
      <w:r w:rsidRPr="00B02247">
        <w:t>for</w:t>
      </w:r>
      <w:r w:rsidR="005B2A41">
        <w:t xml:space="preserve"> </w:t>
      </w:r>
      <w:r w:rsidRPr="00B02247">
        <w:t>Substantive</w:t>
      </w:r>
      <w:r w:rsidR="005B2A41">
        <w:t xml:space="preserve"> </w:t>
      </w:r>
      <w:r w:rsidRPr="00B02247">
        <w:t>Gender</w:t>
      </w:r>
      <w:r w:rsidR="005B2A41">
        <w:t xml:space="preserve"> </w:t>
      </w:r>
      <w:r w:rsidRPr="00B02247">
        <w:t>Equality</w:t>
      </w:r>
      <w:r w:rsidR="005B2A41">
        <w:t xml:space="preserve"> </w:t>
      </w:r>
      <w:r w:rsidRPr="00B02247">
        <w:t>2010–2013</w:t>
      </w:r>
      <w:r w:rsidR="005B2A41">
        <w:t xml:space="preserve"> </w:t>
      </w:r>
      <w:r w:rsidRPr="00B02247">
        <w:t>was</w:t>
      </w:r>
      <w:r w:rsidR="005B2A41">
        <w:t xml:space="preserve"> </w:t>
      </w:r>
      <w:r w:rsidRPr="00B02247">
        <w:t>extended</w:t>
      </w:r>
      <w:r w:rsidR="005B2A41">
        <w:t xml:space="preserve"> </w:t>
      </w:r>
      <w:r w:rsidRPr="00B02247">
        <w:t>until</w:t>
      </w:r>
      <w:r w:rsidR="005B2A41">
        <w:t xml:space="preserve"> </w:t>
      </w:r>
      <w:r w:rsidRPr="00B02247">
        <w:t>the</w:t>
      </w:r>
      <w:r w:rsidR="005B2A41">
        <w:t xml:space="preserve"> </w:t>
      </w:r>
      <w:r w:rsidRPr="00B02247">
        <w:t>end</w:t>
      </w:r>
      <w:r w:rsidR="005B2A41">
        <w:t xml:space="preserve"> </w:t>
      </w:r>
      <w:r w:rsidRPr="00B02247">
        <w:t>of</w:t>
      </w:r>
      <w:r w:rsidR="005B2A41">
        <w:t xml:space="preserve"> </w:t>
      </w:r>
      <w:r w:rsidRPr="00B02247">
        <w:t>2015.</w:t>
      </w:r>
      <w:r w:rsidR="005B2A41">
        <w:t xml:space="preserve"> </w:t>
      </w:r>
      <w:r w:rsidRPr="00B02247">
        <w:t>The</w:t>
      </w:r>
      <w:r w:rsidR="005B2A41">
        <w:t xml:space="preserve"> </w:t>
      </w:r>
      <w:r w:rsidRPr="00B02247">
        <w:t>drafting</w:t>
      </w:r>
      <w:r w:rsidR="005B2A41">
        <w:t xml:space="preserve"> </w:t>
      </w:r>
      <w:r w:rsidRPr="00B02247">
        <w:t>of</w:t>
      </w:r>
      <w:r w:rsidR="005B2A41">
        <w:t xml:space="preserve"> </w:t>
      </w:r>
      <w:r w:rsidRPr="00B02247">
        <w:t>a</w:t>
      </w:r>
      <w:r w:rsidR="005B2A41">
        <w:t xml:space="preserve"> </w:t>
      </w:r>
      <w:r w:rsidRPr="00B02247">
        <w:t>new</w:t>
      </w:r>
      <w:r w:rsidR="005B2A41">
        <w:t xml:space="preserve"> </w:t>
      </w:r>
      <w:r w:rsidRPr="00B02247">
        <w:t>National</w:t>
      </w:r>
      <w:r w:rsidR="005B2A41">
        <w:t xml:space="preserve"> </w:t>
      </w:r>
      <w:r w:rsidRPr="00B02247">
        <w:t>Action</w:t>
      </w:r>
      <w:r w:rsidR="005B2A41">
        <w:t xml:space="preserve"> </w:t>
      </w:r>
      <w:r w:rsidRPr="00B02247">
        <w:t>Plan</w:t>
      </w:r>
      <w:r w:rsidR="005B2A41">
        <w:t xml:space="preserve"> </w:t>
      </w:r>
      <w:r w:rsidRPr="00B02247">
        <w:t>on</w:t>
      </w:r>
      <w:r w:rsidR="005B2A41">
        <w:t xml:space="preserve"> </w:t>
      </w:r>
      <w:r w:rsidRPr="00B02247">
        <w:t>Gender</w:t>
      </w:r>
      <w:r w:rsidR="005B2A41">
        <w:t xml:space="preserve"> </w:t>
      </w:r>
      <w:r w:rsidRPr="00B02247">
        <w:t>Equality</w:t>
      </w:r>
      <w:r w:rsidR="005B2A41">
        <w:t xml:space="preserve"> </w:t>
      </w:r>
      <w:r w:rsidRPr="00B02247">
        <w:t>was</w:t>
      </w:r>
      <w:r w:rsidR="005B2A41">
        <w:t xml:space="preserve"> </w:t>
      </w:r>
      <w:r w:rsidRPr="00B02247">
        <w:t>completed</w:t>
      </w:r>
      <w:r w:rsidR="005B2A41">
        <w:t xml:space="preserve"> </w:t>
      </w:r>
      <w:r w:rsidRPr="00B02247">
        <w:t>at</w:t>
      </w:r>
      <w:r w:rsidR="005B2A41">
        <w:t xml:space="preserve"> </w:t>
      </w:r>
      <w:r w:rsidRPr="00B02247">
        <w:t>the</w:t>
      </w:r>
      <w:r w:rsidR="005B2A41">
        <w:t xml:space="preserve"> </w:t>
      </w:r>
      <w:r w:rsidRPr="00B02247">
        <w:t>end</w:t>
      </w:r>
      <w:r w:rsidR="005B2A41">
        <w:t xml:space="preserve"> </w:t>
      </w:r>
      <w:r w:rsidRPr="00B02247">
        <w:t>of</w:t>
      </w:r>
      <w:r w:rsidR="005B2A41">
        <w:t xml:space="preserve"> </w:t>
      </w:r>
      <w:r w:rsidRPr="00B02247">
        <w:t>2016.</w:t>
      </w:r>
      <w:r w:rsidR="005B2A41">
        <w:t xml:space="preserve"> </w:t>
      </w:r>
      <w:r w:rsidRPr="00B02247">
        <w:t>Τhe</w:t>
      </w:r>
      <w:r w:rsidR="005B2A41">
        <w:t xml:space="preserve"> </w:t>
      </w:r>
      <w:r w:rsidRPr="00B02247">
        <w:t>Action</w:t>
      </w:r>
      <w:r w:rsidR="005B2A41">
        <w:t xml:space="preserve"> </w:t>
      </w:r>
      <w:r w:rsidRPr="00B02247">
        <w:t>Plan</w:t>
      </w:r>
      <w:r w:rsidR="005B2A41">
        <w:t xml:space="preserve"> </w:t>
      </w:r>
      <w:r w:rsidRPr="00B02247">
        <w:t>serves</w:t>
      </w:r>
      <w:r w:rsidR="005B2A41">
        <w:t xml:space="preserve"> </w:t>
      </w:r>
      <w:r w:rsidRPr="00B02247">
        <w:t>as</w:t>
      </w:r>
      <w:r w:rsidR="005B2A41">
        <w:t xml:space="preserve"> </w:t>
      </w:r>
      <w:r w:rsidRPr="00B02247">
        <w:t>the</w:t>
      </w:r>
      <w:r w:rsidR="005B2A41">
        <w:t xml:space="preserve"> </w:t>
      </w:r>
      <w:r w:rsidRPr="00B02247">
        <w:t>roadmap</w:t>
      </w:r>
      <w:r w:rsidR="005B2A41">
        <w:t xml:space="preserve"> </w:t>
      </w:r>
      <w:r w:rsidRPr="00B02247">
        <w:t>for</w:t>
      </w:r>
      <w:r w:rsidR="005B2A41">
        <w:t xml:space="preserve"> </w:t>
      </w:r>
      <w:r w:rsidRPr="00B02247">
        <w:t>the</w:t>
      </w:r>
      <w:r w:rsidR="005B2A41">
        <w:t xml:space="preserve"> </w:t>
      </w:r>
      <w:r w:rsidRPr="00B02247">
        <w:t>governmental</w:t>
      </w:r>
      <w:r w:rsidR="005B2A41">
        <w:t xml:space="preserve"> </w:t>
      </w:r>
      <w:r w:rsidRPr="00B02247">
        <w:t>policies</w:t>
      </w:r>
      <w:r w:rsidR="005B2A41">
        <w:t xml:space="preserve"> </w:t>
      </w:r>
      <w:r w:rsidRPr="00B02247">
        <w:t>on</w:t>
      </w:r>
      <w:r w:rsidR="005B2A41">
        <w:t xml:space="preserve"> </w:t>
      </w:r>
      <w:r w:rsidRPr="00B02247">
        <w:t>gender</w:t>
      </w:r>
      <w:r w:rsidR="005B2A41">
        <w:t xml:space="preserve"> </w:t>
      </w:r>
      <w:r w:rsidRPr="00B02247">
        <w:t>equality</w:t>
      </w:r>
      <w:r w:rsidR="005B2A41">
        <w:t xml:space="preserve"> </w:t>
      </w:r>
      <w:r w:rsidRPr="00B02247">
        <w:t>for</w:t>
      </w:r>
      <w:r w:rsidR="005B2A41">
        <w:t xml:space="preserve"> </w:t>
      </w:r>
      <w:r w:rsidRPr="00B02247">
        <w:t>the</w:t>
      </w:r>
      <w:r w:rsidR="005B2A41">
        <w:t xml:space="preserve"> </w:t>
      </w:r>
      <w:r w:rsidRPr="00B02247">
        <w:t>period</w:t>
      </w:r>
      <w:r w:rsidR="005B2A41">
        <w:t xml:space="preserve"> </w:t>
      </w:r>
      <w:r w:rsidRPr="00B02247">
        <w:t>until</w:t>
      </w:r>
      <w:r w:rsidR="005B2A41">
        <w:t xml:space="preserve"> </w:t>
      </w:r>
      <w:r w:rsidRPr="00B02247">
        <w:t>2020.</w:t>
      </w:r>
      <w:r w:rsidR="005B2A41">
        <w:t xml:space="preserve"> </w:t>
      </w:r>
      <w:r w:rsidRPr="00B02247">
        <w:t>It</w:t>
      </w:r>
      <w:r w:rsidR="005B2A41">
        <w:t xml:space="preserve"> </w:t>
      </w:r>
      <w:r w:rsidRPr="00B02247">
        <w:t>covers</w:t>
      </w:r>
      <w:r w:rsidR="005B2A41">
        <w:t xml:space="preserve"> </w:t>
      </w:r>
      <w:r w:rsidRPr="00B02247">
        <w:t>the</w:t>
      </w:r>
      <w:r w:rsidR="005B2A41">
        <w:t xml:space="preserve"> </w:t>
      </w:r>
      <w:r w:rsidRPr="00B02247">
        <w:t>following</w:t>
      </w:r>
      <w:r w:rsidR="005B2A41">
        <w:t xml:space="preserve"> </w:t>
      </w:r>
      <w:r w:rsidRPr="00B02247">
        <w:t>policy</w:t>
      </w:r>
      <w:r w:rsidR="005B2A41">
        <w:t xml:space="preserve"> </w:t>
      </w:r>
      <w:r w:rsidRPr="00B02247">
        <w:t>areas:</w:t>
      </w:r>
      <w:r w:rsidR="005B2A41">
        <w:t xml:space="preserve"> </w:t>
      </w:r>
      <w:r w:rsidRPr="00B02247">
        <w:t>social</w:t>
      </w:r>
      <w:r w:rsidR="005B2A41">
        <w:t xml:space="preserve"> </w:t>
      </w:r>
      <w:r w:rsidRPr="00B02247">
        <w:t>cohesion,</w:t>
      </w:r>
      <w:r w:rsidR="005B2A41">
        <w:t xml:space="preserve"> </w:t>
      </w:r>
      <w:r w:rsidRPr="00B02247">
        <w:t>poverty,</w:t>
      </w:r>
      <w:r w:rsidR="005B2A41">
        <w:t xml:space="preserve"> </w:t>
      </w:r>
      <w:r w:rsidRPr="00B02247">
        <w:t>immigration</w:t>
      </w:r>
      <w:r w:rsidR="005B2A41">
        <w:t xml:space="preserve"> </w:t>
      </w:r>
      <w:r w:rsidRPr="00B02247">
        <w:t>and</w:t>
      </w:r>
      <w:r w:rsidR="005B2A41">
        <w:t xml:space="preserve"> </w:t>
      </w:r>
      <w:r w:rsidRPr="00B02247">
        <w:t>multiple</w:t>
      </w:r>
      <w:r w:rsidR="005B2A41">
        <w:t xml:space="preserve"> </w:t>
      </w:r>
      <w:r w:rsidRPr="00B02247">
        <w:t>discrimination,</w:t>
      </w:r>
      <w:r w:rsidR="005B2A41">
        <w:t xml:space="preserve"> </w:t>
      </w:r>
      <w:r w:rsidRPr="00B02247">
        <w:t>gender-based</w:t>
      </w:r>
      <w:r w:rsidR="005B2A41">
        <w:t xml:space="preserve"> </w:t>
      </w:r>
      <w:r w:rsidRPr="00B02247">
        <w:t>violence,</w:t>
      </w:r>
      <w:r w:rsidR="005B2A41">
        <w:t xml:space="preserve"> </w:t>
      </w:r>
      <w:r w:rsidRPr="00B02247">
        <w:t>labour</w:t>
      </w:r>
      <w:r w:rsidR="005B2A41">
        <w:t xml:space="preserve"> </w:t>
      </w:r>
      <w:r w:rsidRPr="00B02247">
        <w:t>market</w:t>
      </w:r>
      <w:r w:rsidR="005B2A41">
        <w:t xml:space="preserve"> </w:t>
      </w:r>
      <w:r w:rsidRPr="00B02247">
        <w:t>and</w:t>
      </w:r>
      <w:r w:rsidR="005B2A41">
        <w:t xml:space="preserve"> </w:t>
      </w:r>
      <w:r w:rsidRPr="00B02247">
        <w:t>reconciliation</w:t>
      </w:r>
      <w:r w:rsidR="005B2A41">
        <w:t xml:space="preserve"> </w:t>
      </w:r>
      <w:r w:rsidRPr="00B02247">
        <w:t>of</w:t>
      </w:r>
      <w:r w:rsidR="005B2A41">
        <w:t xml:space="preserve"> </w:t>
      </w:r>
      <w:r w:rsidRPr="00B02247">
        <w:t>family</w:t>
      </w:r>
      <w:r w:rsidR="005B2A41">
        <w:t xml:space="preserve"> </w:t>
      </w:r>
      <w:r w:rsidRPr="00B02247">
        <w:t>and</w:t>
      </w:r>
      <w:r w:rsidR="005B2A41">
        <w:t xml:space="preserve"> </w:t>
      </w:r>
      <w:r w:rsidRPr="00B02247">
        <w:t>professional</w:t>
      </w:r>
      <w:r w:rsidR="005B2A41">
        <w:t xml:space="preserve"> </w:t>
      </w:r>
      <w:r w:rsidRPr="00B02247">
        <w:t>life,</w:t>
      </w:r>
      <w:r w:rsidR="005B2A41">
        <w:t xml:space="preserve"> </w:t>
      </w:r>
      <w:r w:rsidRPr="00B02247">
        <w:t>education,</w:t>
      </w:r>
      <w:r w:rsidR="005B2A41">
        <w:t xml:space="preserve"> </w:t>
      </w:r>
      <w:r w:rsidRPr="00B02247">
        <w:t>training,</w:t>
      </w:r>
      <w:r w:rsidR="005B2A41">
        <w:t xml:space="preserve"> </w:t>
      </w:r>
      <w:r w:rsidRPr="00B02247">
        <w:t>culture,</w:t>
      </w:r>
      <w:r w:rsidR="005B2A41">
        <w:t xml:space="preserve"> </w:t>
      </w:r>
      <w:r w:rsidRPr="00B02247">
        <w:t>sports</w:t>
      </w:r>
      <w:r w:rsidR="005B2A41">
        <w:t xml:space="preserve"> </w:t>
      </w:r>
      <w:r w:rsidRPr="00B02247">
        <w:t>and</w:t>
      </w:r>
      <w:r w:rsidR="005B2A41">
        <w:t xml:space="preserve"> </w:t>
      </w:r>
      <w:r w:rsidRPr="00B02247">
        <w:t>media,</w:t>
      </w:r>
      <w:r w:rsidR="005B2A41">
        <w:t xml:space="preserve"> </w:t>
      </w:r>
      <w:r w:rsidRPr="00B02247">
        <w:t>health,</w:t>
      </w:r>
      <w:r w:rsidR="005B2A41">
        <w:t xml:space="preserve"> </w:t>
      </w:r>
      <w:r w:rsidRPr="00B02247">
        <w:t>decision-making.</w:t>
      </w:r>
      <w:r w:rsidR="005B2A41">
        <w:t xml:space="preserve"> </w:t>
      </w:r>
    </w:p>
    <w:p w:rsidR="00F233AB" w:rsidRPr="00B02247" w:rsidRDefault="00F233AB" w:rsidP="00E1307D">
      <w:pPr>
        <w:pStyle w:val="SingleTxtG"/>
      </w:pPr>
      <w:r w:rsidRPr="00B02247">
        <w:t>82.</w:t>
      </w:r>
      <w:r w:rsidRPr="00B02247">
        <w:tab/>
        <w:t>In</w:t>
      </w:r>
      <w:r w:rsidR="005B2A41">
        <w:t xml:space="preserve"> </w:t>
      </w:r>
      <w:r w:rsidRPr="00B02247">
        <w:t>2016,</w:t>
      </w:r>
      <w:r w:rsidR="005B2A41">
        <w:t xml:space="preserve"> </w:t>
      </w:r>
      <w:r w:rsidRPr="00B02247">
        <w:t>the</w:t>
      </w:r>
      <w:r w:rsidR="005B2A41">
        <w:t xml:space="preserve"> </w:t>
      </w:r>
      <w:r w:rsidRPr="00B02247">
        <w:t>Ministry</w:t>
      </w:r>
      <w:r w:rsidR="005B2A41">
        <w:t xml:space="preserve"> </w:t>
      </w:r>
      <w:r w:rsidRPr="00B02247">
        <w:t>of</w:t>
      </w:r>
      <w:r w:rsidR="005B2A41">
        <w:t xml:space="preserve"> </w:t>
      </w:r>
      <w:r w:rsidRPr="00B02247">
        <w:t>Justice</w:t>
      </w:r>
      <w:r w:rsidR="005B2A41">
        <w:t xml:space="preserve"> </w:t>
      </w:r>
      <w:r w:rsidRPr="00B02247">
        <w:t>maintained</w:t>
      </w:r>
      <w:r w:rsidR="005B2A41">
        <w:t xml:space="preserve"> </w:t>
      </w:r>
      <w:r w:rsidRPr="00B02247">
        <w:t>close</w:t>
      </w:r>
      <w:r w:rsidR="005B2A41">
        <w:t xml:space="preserve"> </w:t>
      </w:r>
      <w:r w:rsidRPr="00B02247">
        <w:t>co-operation</w:t>
      </w:r>
      <w:r w:rsidR="005B2A41">
        <w:t xml:space="preserve"> </w:t>
      </w:r>
      <w:r w:rsidRPr="00B02247">
        <w:t>with</w:t>
      </w:r>
      <w:r w:rsidR="005B2A41">
        <w:t xml:space="preserve"> </w:t>
      </w:r>
      <w:r w:rsidRPr="00B02247">
        <w:t>the</w:t>
      </w:r>
      <w:r w:rsidR="005B2A41">
        <w:t xml:space="preserve"> </w:t>
      </w:r>
      <w:r w:rsidRPr="00B02247">
        <w:t>European</w:t>
      </w:r>
      <w:r w:rsidR="005B2A41">
        <w:t xml:space="preserve"> </w:t>
      </w:r>
      <w:r w:rsidRPr="00B02247">
        <w:t>Committee</w:t>
      </w:r>
      <w:r w:rsidR="005B2A41">
        <w:t xml:space="preserve"> </w:t>
      </w:r>
      <w:r w:rsidRPr="00B02247">
        <w:t>for</w:t>
      </w:r>
      <w:r w:rsidR="005B2A41">
        <w:t xml:space="preserve"> </w:t>
      </w:r>
      <w:r w:rsidRPr="00B02247">
        <w:t>the</w:t>
      </w:r>
      <w:r w:rsidR="005B2A41">
        <w:t xml:space="preserve"> </w:t>
      </w:r>
      <w:r w:rsidRPr="00B02247">
        <w:t>Prevention</w:t>
      </w:r>
      <w:r w:rsidR="005B2A41">
        <w:t xml:space="preserve"> </w:t>
      </w:r>
      <w:r w:rsidRPr="00B02247">
        <w:t>of</w:t>
      </w:r>
      <w:r w:rsidR="005B2A41">
        <w:t xml:space="preserve"> </w:t>
      </w:r>
      <w:r w:rsidRPr="00B02247">
        <w:t>Torture</w:t>
      </w:r>
      <w:r w:rsidR="005B2A41">
        <w:t xml:space="preserve"> </w:t>
      </w:r>
      <w:r w:rsidRPr="00B02247">
        <w:t>and</w:t>
      </w:r>
      <w:r w:rsidR="005B2A41">
        <w:t xml:space="preserve"> </w:t>
      </w:r>
      <w:r w:rsidRPr="00B02247">
        <w:t>All</w:t>
      </w:r>
      <w:r w:rsidR="005B2A41">
        <w:t xml:space="preserve"> </w:t>
      </w:r>
      <w:r w:rsidRPr="00B02247">
        <w:t>Forms</w:t>
      </w:r>
      <w:r w:rsidR="005B2A41">
        <w:t xml:space="preserve"> </w:t>
      </w:r>
      <w:r w:rsidRPr="00B02247">
        <w:t>of</w:t>
      </w:r>
      <w:r w:rsidR="005B2A41">
        <w:t xml:space="preserve"> </w:t>
      </w:r>
      <w:r w:rsidRPr="00B02247">
        <w:t>Inhuman</w:t>
      </w:r>
      <w:r w:rsidR="005B2A41">
        <w:t xml:space="preserve"> </w:t>
      </w:r>
      <w:r w:rsidRPr="00B02247">
        <w:t>or</w:t>
      </w:r>
      <w:r w:rsidR="005B2A41">
        <w:t xml:space="preserve"> </w:t>
      </w:r>
      <w:r w:rsidRPr="00B02247">
        <w:t>Degrading</w:t>
      </w:r>
      <w:r w:rsidR="005B2A41">
        <w:t xml:space="preserve"> </w:t>
      </w:r>
      <w:r w:rsidRPr="00B02247">
        <w:t>Treatment</w:t>
      </w:r>
      <w:r w:rsidR="005B2A41">
        <w:t xml:space="preserve"> </w:t>
      </w:r>
      <w:r w:rsidRPr="00B02247">
        <w:t>or</w:t>
      </w:r>
      <w:r w:rsidR="005B2A41">
        <w:t xml:space="preserve"> </w:t>
      </w:r>
      <w:r w:rsidRPr="00B02247">
        <w:t>Punishment</w:t>
      </w:r>
      <w:r w:rsidR="005B2A41">
        <w:t xml:space="preserve"> </w:t>
      </w:r>
      <w:r w:rsidRPr="00B02247">
        <w:t>(CPT)</w:t>
      </w:r>
      <w:r w:rsidR="005B2A41">
        <w:t xml:space="preserve"> </w:t>
      </w:r>
      <w:r w:rsidRPr="00B02247">
        <w:t>in</w:t>
      </w:r>
      <w:r w:rsidR="005B2A41">
        <w:t xml:space="preserve"> </w:t>
      </w:r>
      <w:r w:rsidRPr="00B02247">
        <w:t>order</w:t>
      </w:r>
      <w:r w:rsidR="005B2A41">
        <w:t xml:space="preserve"> </w:t>
      </w:r>
      <w:r w:rsidRPr="00B02247">
        <w:t>to</w:t>
      </w:r>
      <w:r w:rsidR="005B2A41">
        <w:t xml:space="preserve"> </w:t>
      </w:r>
      <w:r w:rsidRPr="00B02247">
        <w:t>exchange</w:t>
      </w:r>
      <w:r w:rsidR="005B2A41">
        <w:t xml:space="preserve"> </w:t>
      </w:r>
      <w:r w:rsidRPr="00B02247">
        <w:t>know-how</w:t>
      </w:r>
      <w:r w:rsidR="005B2A41">
        <w:t xml:space="preserve"> </w:t>
      </w:r>
      <w:r w:rsidRPr="00B02247">
        <w:t>and</w:t>
      </w:r>
      <w:r w:rsidR="005B2A41">
        <w:t xml:space="preserve"> </w:t>
      </w:r>
      <w:r w:rsidRPr="00B02247">
        <w:t>strengthen</w:t>
      </w:r>
      <w:r w:rsidR="005B2A41">
        <w:t xml:space="preserve"> </w:t>
      </w:r>
      <w:r w:rsidRPr="00B02247">
        <w:t>the</w:t>
      </w:r>
      <w:r w:rsidR="005B2A41">
        <w:t xml:space="preserve"> </w:t>
      </w:r>
      <w:r w:rsidRPr="00B02247">
        <w:t>Ministry</w:t>
      </w:r>
      <w:r w:rsidR="003E731F">
        <w:t>’</w:t>
      </w:r>
      <w:r w:rsidRPr="00B02247">
        <w:t>s</w:t>
      </w:r>
      <w:r w:rsidR="005B2A41">
        <w:t xml:space="preserve"> </w:t>
      </w:r>
      <w:r w:rsidRPr="00B02247">
        <w:t>work</w:t>
      </w:r>
      <w:r w:rsidR="005B2A41">
        <w:t xml:space="preserve"> </w:t>
      </w:r>
      <w:r w:rsidRPr="00B02247">
        <w:t>on</w:t>
      </w:r>
      <w:r w:rsidR="005B2A41">
        <w:t xml:space="preserve"> </w:t>
      </w:r>
      <w:r w:rsidRPr="00B02247">
        <w:t>integration</w:t>
      </w:r>
      <w:r w:rsidR="005B2A41">
        <w:t xml:space="preserve"> </w:t>
      </w:r>
      <w:r w:rsidRPr="00B02247">
        <w:t>and</w:t>
      </w:r>
      <w:r w:rsidR="005B2A41">
        <w:t xml:space="preserve"> </w:t>
      </w:r>
      <w:r w:rsidRPr="00B02247">
        <w:t>implementation</w:t>
      </w:r>
      <w:r w:rsidR="005B2A41">
        <w:t xml:space="preserve"> </w:t>
      </w:r>
      <w:r w:rsidRPr="00B02247">
        <w:t>of</w:t>
      </w:r>
      <w:r w:rsidR="005B2A41">
        <w:t xml:space="preserve"> </w:t>
      </w:r>
      <w:r w:rsidRPr="00B02247">
        <w:t>the</w:t>
      </w:r>
      <w:r w:rsidR="005B2A41">
        <w:t xml:space="preserve"> </w:t>
      </w:r>
      <w:r w:rsidRPr="00B02247">
        <w:t>strategic</w:t>
      </w:r>
      <w:r w:rsidR="005B2A41">
        <w:t xml:space="preserve"> </w:t>
      </w:r>
      <w:r w:rsidRPr="00B02247">
        <w:t>planning</w:t>
      </w:r>
      <w:r w:rsidR="005B2A41">
        <w:t xml:space="preserve"> </w:t>
      </w:r>
      <w:r w:rsidRPr="00B02247">
        <w:t>of</w:t>
      </w:r>
      <w:r w:rsidR="005B2A41">
        <w:t xml:space="preserve"> </w:t>
      </w:r>
      <w:r w:rsidRPr="00B02247">
        <w:t>the</w:t>
      </w:r>
      <w:r w:rsidR="005B2A41">
        <w:t xml:space="preserve"> </w:t>
      </w:r>
      <w:r w:rsidRPr="00B02247">
        <w:t>correctional</w:t>
      </w:r>
      <w:r w:rsidR="005B2A41">
        <w:t xml:space="preserve"> </w:t>
      </w:r>
      <w:r w:rsidRPr="00B02247">
        <w:t>policy.</w:t>
      </w:r>
    </w:p>
    <w:p w:rsidR="00F233AB" w:rsidRPr="00B02247" w:rsidRDefault="00F233AB" w:rsidP="00E1307D">
      <w:pPr>
        <w:pStyle w:val="SingleTxtG"/>
      </w:pPr>
      <w:r w:rsidRPr="00B02247">
        <w:lastRenderedPageBreak/>
        <w:t>83.</w:t>
      </w:r>
      <w:r w:rsidRPr="00B02247">
        <w:tab/>
        <w:t>In</w:t>
      </w:r>
      <w:r w:rsidR="005B2A41">
        <w:t xml:space="preserve"> </w:t>
      </w:r>
      <w:r w:rsidRPr="00B02247">
        <w:t>2011,</w:t>
      </w:r>
      <w:r w:rsidR="005B2A41">
        <w:t xml:space="preserve"> </w:t>
      </w:r>
      <w:r w:rsidRPr="00B02247">
        <w:t>Greece</w:t>
      </w:r>
      <w:r w:rsidR="005B2A41">
        <w:t xml:space="preserve"> </w:t>
      </w:r>
      <w:r w:rsidRPr="00B02247">
        <w:t>launched</w:t>
      </w:r>
      <w:r w:rsidR="005B2A41">
        <w:t xml:space="preserve"> </w:t>
      </w:r>
      <w:r w:rsidRPr="00B02247">
        <w:t>the</w:t>
      </w:r>
      <w:r w:rsidR="005B2A41">
        <w:t xml:space="preserve"> </w:t>
      </w:r>
      <w:r w:rsidRPr="00B02247">
        <w:t>National</w:t>
      </w:r>
      <w:r w:rsidR="005B2A41">
        <w:t xml:space="preserve"> </w:t>
      </w:r>
      <w:r w:rsidRPr="00B02247">
        <w:t>Strategic</w:t>
      </w:r>
      <w:r w:rsidR="005B2A41">
        <w:t xml:space="preserve"> </w:t>
      </w:r>
      <w:r w:rsidRPr="00B02247">
        <w:t>Framework</w:t>
      </w:r>
      <w:r w:rsidR="005B2A41">
        <w:t xml:space="preserve"> </w:t>
      </w:r>
      <w:r w:rsidRPr="00B02247">
        <w:t>for</w:t>
      </w:r>
      <w:r w:rsidR="005B2A41">
        <w:t xml:space="preserve"> </w:t>
      </w:r>
      <w:r w:rsidRPr="00B02247">
        <w:t>Roma,</w:t>
      </w:r>
      <w:r w:rsidR="005B2A41">
        <w:t xml:space="preserve"> </w:t>
      </w:r>
      <w:r w:rsidRPr="00B02247">
        <w:t>aiming</w:t>
      </w:r>
      <w:r w:rsidR="005B2A41">
        <w:t xml:space="preserve"> </w:t>
      </w:r>
      <w:r w:rsidRPr="00B02247">
        <w:t>at</w:t>
      </w:r>
      <w:r w:rsidR="005B2A41">
        <w:t xml:space="preserve"> </w:t>
      </w:r>
      <w:r w:rsidRPr="00B02247">
        <w:t>combating</w:t>
      </w:r>
      <w:r w:rsidR="005B2A41">
        <w:t xml:space="preserve"> </w:t>
      </w:r>
      <w:r w:rsidRPr="00B02247">
        <w:t>discrimination</w:t>
      </w:r>
      <w:r w:rsidR="005B2A41">
        <w:t xml:space="preserve"> </w:t>
      </w:r>
      <w:r w:rsidRPr="00B02247">
        <w:t>and</w:t>
      </w:r>
      <w:r w:rsidR="005B2A41">
        <w:t xml:space="preserve"> </w:t>
      </w:r>
      <w:r w:rsidRPr="00B02247">
        <w:t>social</w:t>
      </w:r>
      <w:r w:rsidR="005B2A41">
        <w:t xml:space="preserve"> </w:t>
      </w:r>
      <w:r w:rsidRPr="00B02247">
        <w:t>exclusion</w:t>
      </w:r>
      <w:r w:rsidR="005B2A41">
        <w:t xml:space="preserve"> </w:t>
      </w:r>
      <w:r w:rsidRPr="00B02247">
        <w:t>of</w:t>
      </w:r>
      <w:r w:rsidR="005B2A41">
        <w:t xml:space="preserve"> </w:t>
      </w:r>
      <w:r w:rsidRPr="00B02247">
        <w:t>the</w:t>
      </w:r>
      <w:r w:rsidR="005B2A41">
        <w:t xml:space="preserve"> </w:t>
      </w:r>
      <w:r w:rsidRPr="00B02247">
        <w:t>Roma</w:t>
      </w:r>
      <w:r w:rsidR="005B2A41">
        <w:t xml:space="preserve"> </w:t>
      </w:r>
      <w:r w:rsidRPr="00B02247">
        <w:t>by</w:t>
      </w:r>
      <w:r w:rsidR="005B2A41">
        <w:t xml:space="preserve"> </w:t>
      </w:r>
      <w:r w:rsidRPr="00B02247">
        <w:t>adopting</w:t>
      </w:r>
      <w:r w:rsidR="005B2A41">
        <w:t xml:space="preserve"> </w:t>
      </w:r>
      <w:r w:rsidRPr="00B02247">
        <w:t>or</w:t>
      </w:r>
      <w:r w:rsidR="005B2A41">
        <w:t xml:space="preserve"> </w:t>
      </w:r>
      <w:r w:rsidRPr="00B02247">
        <w:t>further</w:t>
      </w:r>
      <w:r w:rsidR="005B2A41">
        <w:t xml:space="preserve"> </w:t>
      </w:r>
      <w:r w:rsidRPr="00B02247">
        <w:t>developing</w:t>
      </w:r>
      <w:r w:rsidR="005B2A41">
        <w:t xml:space="preserve"> </w:t>
      </w:r>
      <w:r w:rsidRPr="00B02247">
        <w:t>a</w:t>
      </w:r>
      <w:r w:rsidR="005B2A41">
        <w:t xml:space="preserve"> </w:t>
      </w:r>
      <w:r w:rsidRPr="00B02247">
        <w:t>comprehensive</w:t>
      </w:r>
      <w:r w:rsidR="005B2A41">
        <w:t xml:space="preserve"> </w:t>
      </w:r>
      <w:r w:rsidRPr="00B02247">
        <w:t>approach</w:t>
      </w:r>
      <w:r w:rsidR="005B2A41">
        <w:t xml:space="preserve"> </w:t>
      </w:r>
      <w:r w:rsidRPr="00B02247">
        <w:t>to</w:t>
      </w:r>
      <w:r w:rsidR="005B2A41">
        <w:t xml:space="preserve"> </w:t>
      </w:r>
      <w:r w:rsidRPr="00B02247">
        <w:t>Roma</w:t>
      </w:r>
      <w:r w:rsidR="005B2A41">
        <w:t xml:space="preserve"> </w:t>
      </w:r>
      <w:r w:rsidRPr="00B02247">
        <w:t>integration</w:t>
      </w:r>
      <w:r w:rsidR="005B2A41">
        <w:t xml:space="preserve"> </w:t>
      </w:r>
      <w:r w:rsidRPr="00B02247">
        <w:t>in</w:t>
      </w:r>
      <w:r w:rsidR="005B2A41">
        <w:t xml:space="preserve"> </w:t>
      </w:r>
      <w:r w:rsidRPr="00B02247">
        <w:t>the</w:t>
      </w:r>
      <w:r w:rsidR="005B2A41">
        <w:t xml:space="preserve"> </w:t>
      </w:r>
      <w:r w:rsidRPr="00B02247">
        <w:t>areas</w:t>
      </w:r>
      <w:r w:rsidR="005B2A41">
        <w:t xml:space="preserve"> </w:t>
      </w:r>
      <w:r w:rsidRPr="00B02247">
        <w:t>of</w:t>
      </w:r>
      <w:r w:rsidR="005B2A41">
        <w:t xml:space="preserve"> </w:t>
      </w:r>
      <w:r w:rsidRPr="00B02247">
        <w:t>access</w:t>
      </w:r>
      <w:r w:rsidR="005B2A41">
        <w:t xml:space="preserve"> </w:t>
      </w:r>
      <w:r w:rsidRPr="00B02247">
        <w:t>to</w:t>
      </w:r>
      <w:r w:rsidR="005B2A41">
        <w:t xml:space="preserve"> </w:t>
      </w:r>
      <w:r w:rsidRPr="00B02247">
        <w:t>education,</w:t>
      </w:r>
      <w:r w:rsidR="005B2A41">
        <w:t xml:space="preserve"> </w:t>
      </w:r>
      <w:r w:rsidRPr="00B02247">
        <w:t>employment,</w:t>
      </w:r>
      <w:r w:rsidR="005B2A41">
        <w:t xml:space="preserve"> </w:t>
      </w:r>
      <w:r w:rsidRPr="00B02247">
        <w:t>health</w:t>
      </w:r>
      <w:r w:rsidR="005B2A41">
        <w:t xml:space="preserve"> </w:t>
      </w:r>
      <w:r w:rsidRPr="00B02247">
        <w:t>care</w:t>
      </w:r>
      <w:r w:rsidR="005B2A41">
        <w:t xml:space="preserve"> </w:t>
      </w:r>
      <w:r w:rsidRPr="00B02247">
        <w:t>and</w:t>
      </w:r>
      <w:r w:rsidR="005B2A41">
        <w:t xml:space="preserve"> </w:t>
      </w:r>
      <w:r w:rsidRPr="00B02247">
        <w:t>housing.</w:t>
      </w:r>
      <w:r w:rsidR="005B2A41">
        <w:t xml:space="preserve"> </w:t>
      </w:r>
      <w:r w:rsidRPr="00B02247">
        <w:t>Based</w:t>
      </w:r>
      <w:r w:rsidR="005B2A41">
        <w:t xml:space="preserve"> </w:t>
      </w:r>
      <w:r w:rsidRPr="00B02247">
        <w:t>upon</w:t>
      </w:r>
      <w:r w:rsidR="005B2A41">
        <w:t xml:space="preserve"> </w:t>
      </w:r>
      <w:r w:rsidRPr="00B02247">
        <w:t>the</w:t>
      </w:r>
      <w:r w:rsidR="005B2A41">
        <w:t xml:space="preserve"> </w:t>
      </w:r>
      <w:r w:rsidRPr="00B02247">
        <w:t>abovementioned</w:t>
      </w:r>
      <w:r w:rsidR="005B2A41">
        <w:t xml:space="preserve"> </w:t>
      </w:r>
      <w:r w:rsidRPr="00B02247">
        <w:t>Framework,</w:t>
      </w:r>
      <w:r w:rsidR="005B2A41">
        <w:t xml:space="preserve"> </w:t>
      </w:r>
      <w:r w:rsidRPr="00B02247">
        <w:t>relevant</w:t>
      </w:r>
      <w:r w:rsidR="005B2A41">
        <w:t xml:space="preserve"> </w:t>
      </w:r>
      <w:r w:rsidRPr="00B02247">
        <w:t>Regional</w:t>
      </w:r>
      <w:r w:rsidR="005B2A41">
        <w:t xml:space="preserve"> </w:t>
      </w:r>
      <w:r w:rsidRPr="00B02247">
        <w:t>Strategies</w:t>
      </w:r>
      <w:r w:rsidR="005B2A41">
        <w:t xml:space="preserve"> </w:t>
      </w:r>
      <w:r w:rsidRPr="00B02247">
        <w:t>have</w:t>
      </w:r>
      <w:r w:rsidR="005B2A41">
        <w:t xml:space="preserve"> </w:t>
      </w:r>
      <w:r w:rsidRPr="00B02247">
        <w:t>been</w:t>
      </w:r>
      <w:r w:rsidR="005B2A41">
        <w:t xml:space="preserve"> </w:t>
      </w:r>
      <w:r w:rsidRPr="00B02247">
        <w:t>adopted</w:t>
      </w:r>
      <w:r w:rsidR="005B2A41">
        <w:t xml:space="preserve"> </w:t>
      </w:r>
      <w:r w:rsidRPr="00B02247">
        <w:t>in</w:t>
      </w:r>
      <w:r w:rsidR="005B2A41">
        <w:t xml:space="preserve"> </w:t>
      </w:r>
      <w:r w:rsidRPr="00B02247">
        <w:t>the</w:t>
      </w:r>
      <w:r w:rsidR="005B2A41">
        <w:t xml:space="preserve"> </w:t>
      </w:r>
      <w:r w:rsidRPr="00B02247">
        <w:t>Regions</w:t>
      </w:r>
      <w:r w:rsidR="005B2A41">
        <w:t xml:space="preserve"> </w:t>
      </w:r>
      <w:r w:rsidRPr="00B02247">
        <w:t>of</w:t>
      </w:r>
      <w:r w:rsidR="005B2A41">
        <w:t xml:space="preserve"> </w:t>
      </w:r>
      <w:r w:rsidRPr="00B02247">
        <w:t>Greece.</w:t>
      </w:r>
      <w:r w:rsidR="005B2A41">
        <w:t xml:space="preserve"> </w:t>
      </w:r>
    </w:p>
    <w:p w:rsidR="00F233AB" w:rsidRPr="00B02247" w:rsidRDefault="00F233AB" w:rsidP="00AB1129">
      <w:pPr>
        <w:pStyle w:val="H23G"/>
      </w:pPr>
      <w:r w:rsidRPr="00B02247">
        <w:tab/>
        <w:t>5.</w:t>
      </w:r>
      <w:r w:rsidRPr="00B02247">
        <w:tab/>
        <w:t>Institutions</w:t>
      </w:r>
      <w:r w:rsidR="005B2A41">
        <w:t xml:space="preserve"> </w:t>
      </w:r>
      <w:r w:rsidRPr="00B02247">
        <w:t>and</w:t>
      </w:r>
      <w:r w:rsidR="005B2A41">
        <w:t xml:space="preserve"> </w:t>
      </w:r>
      <w:r w:rsidRPr="00B02247">
        <w:t>national</w:t>
      </w:r>
      <w:r w:rsidR="005B2A41">
        <w:t xml:space="preserve"> </w:t>
      </w:r>
      <w:r w:rsidRPr="00B02247">
        <w:t>machinery</w:t>
      </w:r>
      <w:r w:rsidR="005B2A41">
        <w:t xml:space="preserve"> </w:t>
      </w:r>
      <w:r w:rsidRPr="00B02247">
        <w:t>in</w:t>
      </w:r>
      <w:r w:rsidR="005B2A41">
        <w:t xml:space="preserve"> </w:t>
      </w:r>
      <w:r w:rsidRPr="00B02247">
        <w:t>the</w:t>
      </w:r>
      <w:r w:rsidR="005B2A41">
        <w:t xml:space="preserve"> </w:t>
      </w:r>
      <w:r w:rsidRPr="00B02247">
        <w:t>field</w:t>
      </w:r>
      <w:r w:rsidR="005B2A41">
        <w:t xml:space="preserve"> </w:t>
      </w:r>
      <w:r w:rsidRPr="00B02247">
        <w:t>of</w:t>
      </w:r>
      <w:r w:rsidR="005B2A41">
        <w:t xml:space="preserve"> </w:t>
      </w:r>
      <w:r w:rsidRPr="00B02247">
        <w:t>human</w:t>
      </w:r>
      <w:r w:rsidR="005B2A41">
        <w:t xml:space="preserve"> </w:t>
      </w:r>
      <w:r w:rsidRPr="00B02247">
        <w:t>rights</w:t>
      </w:r>
    </w:p>
    <w:p w:rsidR="00F233AB" w:rsidRPr="00B02247" w:rsidRDefault="00F233AB" w:rsidP="00AB1129">
      <w:pPr>
        <w:pStyle w:val="H4G"/>
      </w:pPr>
      <w:r w:rsidRPr="00B02247">
        <w:tab/>
      </w:r>
      <w:r w:rsidRPr="00B02247">
        <w:tab/>
        <w:t>State</w:t>
      </w:r>
      <w:r w:rsidR="005B2A41">
        <w:t xml:space="preserve"> </w:t>
      </w:r>
      <w:r w:rsidRPr="00B02247">
        <w:t>bodies</w:t>
      </w:r>
    </w:p>
    <w:p w:rsidR="00F233AB" w:rsidRPr="00B02247" w:rsidRDefault="00F233AB" w:rsidP="00E1307D">
      <w:pPr>
        <w:pStyle w:val="SingleTxtG"/>
      </w:pPr>
      <w:r w:rsidRPr="00B02247">
        <w:t>84.</w:t>
      </w:r>
      <w:r w:rsidRPr="00B02247">
        <w:tab/>
        <w:t>The</w:t>
      </w:r>
      <w:r w:rsidR="005B2A41">
        <w:t xml:space="preserve"> </w:t>
      </w:r>
      <w:r w:rsidRPr="00B02247">
        <w:t>General</w:t>
      </w:r>
      <w:r w:rsidR="005B2A41">
        <w:t xml:space="preserve"> </w:t>
      </w:r>
      <w:r w:rsidRPr="00B02247">
        <w:t>Secretariat</w:t>
      </w:r>
      <w:r w:rsidR="005B2A41">
        <w:t xml:space="preserve"> </w:t>
      </w:r>
      <w:r w:rsidRPr="00B02247">
        <w:t>for</w:t>
      </w:r>
      <w:r w:rsidR="005B2A41">
        <w:t xml:space="preserve"> </w:t>
      </w:r>
      <w:r w:rsidRPr="00B02247">
        <w:t>Transparency</w:t>
      </w:r>
      <w:r w:rsidR="005B2A41">
        <w:t xml:space="preserve"> </w:t>
      </w:r>
      <w:r w:rsidRPr="00B02247">
        <w:t>and</w:t>
      </w:r>
      <w:r w:rsidR="005B2A41">
        <w:t xml:space="preserve"> </w:t>
      </w:r>
      <w:r w:rsidRPr="00B02247">
        <w:t>Human</w:t>
      </w:r>
      <w:r w:rsidR="005B2A41">
        <w:t xml:space="preserve"> </w:t>
      </w:r>
      <w:r w:rsidRPr="00B02247">
        <w:t>Rights</w:t>
      </w:r>
      <w:r w:rsidR="005B2A41">
        <w:t xml:space="preserve"> </w:t>
      </w:r>
      <w:r w:rsidRPr="00B02247">
        <w:t>of</w:t>
      </w:r>
      <w:r w:rsidR="005B2A41">
        <w:t xml:space="preserve"> </w:t>
      </w:r>
      <w:r w:rsidRPr="00B02247">
        <w:t>the</w:t>
      </w:r>
      <w:r w:rsidR="005B2A41">
        <w:t xml:space="preserve"> </w:t>
      </w:r>
      <w:r w:rsidRPr="00B02247">
        <w:t>Ministry</w:t>
      </w:r>
      <w:r w:rsidR="005B2A41">
        <w:t xml:space="preserve"> </w:t>
      </w:r>
      <w:r w:rsidRPr="00B02247">
        <w:t>of</w:t>
      </w:r>
      <w:r w:rsidR="005B2A41">
        <w:t xml:space="preserve"> </w:t>
      </w:r>
      <w:r w:rsidRPr="00B02247">
        <w:t>Justice,</w:t>
      </w:r>
      <w:r w:rsidR="005B2A41">
        <w:t xml:space="preserve"> </w:t>
      </w:r>
      <w:r w:rsidRPr="00B02247">
        <w:t>Transparency</w:t>
      </w:r>
      <w:r w:rsidR="005B2A41">
        <w:t xml:space="preserve"> </w:t>
      </w:r>
      <w:r w:rsidRPr="00B02247">
        <w:t>and</w:t>
      </w:r>
      <w:r w:rsidR="005B2A41">
        <w:t xml:space="preserve"> </w:t>
      </w:r>
      <w:r w:rsidRPr="00B02247">
        <w:t>Human</w:t>
      </w:r>
      <w:r w:rsidR="005B2A41">
        <w:t xml:space="preserve"> </w:t>
      </w:r>
      <w:r w:rsidRPr="00B02247">
        <w:t>Rights</w:t>
      </w:r>
      <w:r w:rsidR="005B2A41">
        <w:t xml:space="preserve"> </w:t>
      </w:r>
      <w:r w:rsidRPr="00B02247">
        <w:t>was</w:t>
      </w:r>
      <w:r w:rsidR="005B2A41">
        <w:t xml:space="preserve"> </w:t>
      </w:r>
      <w:r w:rsidRPr="00B02247">
        <w:t>established</w:t>
      </w:r>
      <w:r w:rsidR="005B2A41">
        <w:t xml:space="preserve"> </w:t>
      </w:r>
      <w:r w:rsidRPr="00B02247">
        <w:t>by</w:t>
      </w:r>
      <w:r w:rsidR="005B2A41">
        <w:t xml:space="preserve"> </w:t>
      </w:r>
      <w:r w:rsidRPr="00B02247">
        <w:t>virtue</w:t>
      </w:r>
      <w:r w:rsidR="005B2A41">
        <w:t xml:space="preserve"> </w:t>
      </w:r>
      <w:r w:rsidRPr="00B02247">
        <w:t>of</w:t>
      </w:r>
      <w:r w:rsidR="005B2A41">
        <w:t xml:space="preserve"> </w:t>
      </w:r>
      <w:r w:rsidRPr="00B02247">
        <w:t>Presidential</w:t>
      </w:r>
      <w:r w:rsidR="005B2A41">
        <w:t xml:space="preserve"> </w:t>
      </w:r>
      <w:r w:rsidRPr="00B02247">
        <w:t>Decree</w:t>
      </w:r>
      <w:r w:rsidR="005B2A41">
        <w:t xml:space="preserve"> </w:t>
      </w:r>
      <w:r w:rsidRPr="00B02247">
        <w:t>94/2010.</w:t>
      </w:r>
      <w:r w:rsidR="005B2A41">
        <w:t xml:space="preserve"> </w:t>
      </w:r>
      <w:r w:rsidRPr="00B02247">
        <w:t>The</w:t>
      </w:r>
      <w:r w:rsidR="005B2A41">
        <w:t xml:space="preserve"> </w:t>
      </w:r>
      <w:r w:rsidRPr="00B02247">
        <w:t>General</w:t>
      </w:r>
      <w:r w:rsidR="005B2A41">
        <w:t xml:space="preserve"> </w:t>
      </w:r>
      <w:r w:rsidRPr="00B02247">
        <w:t>Secretariat</w:t>
      </w:r>
      <w:r w:rsidR="005B2A41">
        <w:t xml:space="preserve"> </w:t>
      </w:r>
      <w:r w:rsidRPr="00B02247">
        <w:t>is</w:t>
      </w:r>
      <w:r w:rsidR="005B2A41">
        <w:t xml:space="preserve"> </w:t>
      </w:r>
      <w:r w:rsidRPr="00B02247">
        <w:t>responsible,</w:t>
      </w:r>
      <w:r w:rsidR="005B2A41">
        <w:t xml:space="preserve"> </w:t>
      </w:r>
      <w:r w:rsidRPr="00B02247">
        <w:t>among</w:t>
      </w:r>
      <w:r w:rsidR="005B2A41">
        <w:t xml:space="preserve"> </w:t>
      </w:r>
      <w:r w:rsidRPr="00B02247">
        <w:t>others,</w:t>
      </w:r>
      <w:r w:rsidR="005B2A41">
        <w:t xml:space="preserve"> </w:t>
      </w:r>
      <w:r w:rsidRPr="00B02247">
        <w:t>for</w:t>
      </w:r>
      <w:r w:rsidR="005B2A41">
        <w:t xml:space="preserve"> </w:t>
      </w:r>
      <w:r w:rsidRPr="00B02247">
        <w:t>the</w:t>
      </w:r>
      <w:r w:rsidR="005B2A41">
        <w:t xml:space="preserve"> </w:t>
      </w:r>
      <w:r w:rsidRPr="00B02247">
        <w:t>consolidation</w:t>
      </w:r>
      <w:r w:rsidR="005B2A41">
        <w:t xml:space="preserve"> </w:t>
      </w:r>
      <w:r w:rsidRPr="00B02247">
        <w:t>and</w:t>
      </w:r>
      <w:r w:rsidR="005B2A41">
        <w:t xml:space="preserve"> </w:t>
      </w:r>
      <w:r w:rsidRPr="00B02247">
        <w:t>promotion</w:t>
      </w:r>
      <w:r w:rsidR="005B2A41">
        <w:t xml:space="preserve"> </w:t>
      </w:r>
      <w:r w:rsidRPr="00B02247">
        <w:t>of</w:t>
      </w:r>
      <w:r w:rsidR="005B2A41">
        <w:t xml:space="preserve"> </w:t>
      </w:r>
      <w:r w:rsidRPr="00B02247">
        <w:t>human</w:t>
      </w:r>
      <w:r w:rsidR="005B2A41">
        <w:t xml:space="preserve"> </w:t>
      </w:r>
      <w:r w:rsidRPr="00B02247">
        <w:t>rights</w:t>
      </w:r>
      <w:r w:rsidR="005B2A41">
        <w:t xml:space="preserve"> </w:t>
      </w:r>
      <w:r w:rsidRPr="00B02247">
        <w:t>and</w:t>
      </w:r>
      <w:r w:rsidR="005B2A41">
        <w:t xml:space="preserve"> </w:t>
      </w:r>
      <w:r w:rsidRPr="00B02247">
        <w:t>fundamental</w:t>
      </w:r>
      <w:r w:rsidR="005B2A41">
        <w:t xml:space="preserve"> </w:t>
      </w:r>
      <w:r w:rsidRPr="00B02247">
        <w:t>freedoms,</w:t>
      </w:r>
      <w:r w:rsidR="005B2A41">
        <w:t xml:space="preserve"> </w:t>
      </w:r>
      <w:r w:rsidRPr="00B02247">
        <w:t>by</w:t>
      </w:r>
      <w:r w:rsidR="005B2A41">
        <w:t xml:space="preserve"> </w:t>
      </w:r>
      <w:r w:rsidRPr="00B02247">
        <w:t>undertaking</w:t>
      </w:r>
      <w:r w:rsidR="005B2A41">
        <w:t xml:space="preserve"> </w:t>
      </w:r>
      <w:r w:rsidRPr="00B02247">
        <w:t>all</w:t>
      </w:r>
      <w:r w:rsidR="005B2A41">
        <w:t xml:space="preserve"> </w:t>
      </w:r>
      <w:r w:rsidRPr="00B02247">
        <w:t>necessary</w:t>
      </w:r>
      <w:r w:rsidR="005B2A41">
        <w:t xml:space="preserve"> </w:t>
      </w:r>
      <w:r w:rsidRPr="00B02247">
        <w:t>related</w:t>
      </w:r>
      <w:r w:rsidR="005B2A41">
        <w:t xml:space="preserve"> </w:t>
      </w:r>
      <w:r w:rsidRPr="00B02247">
        <w:t>initiatives,</w:t>
      </w:r>
      <w:r w:rsidR="005B2A41">
        <w:t xml:space="preserve"> </w:t>
      </w:r>
      <w:r w:rsidRPr="00B02247">
        <w:t>including</w:t>
      </w:r>
      <w:r w:rsidR="005B2A41">
        <w:t xml:space="preserve"> </w:t>
      </w:r>
      <w:r w:rsidRPr="00B02247">
        <w:t>compliance</w:t>
      </w:r>
      <w:r w:rsidR="005B2A41">
        <w:t xml:space="preserve"> </w:t>
      </w:r>
      <w:r w:rsidRPr="00B02247">
        <w:t>with</w:t>
      </w:r>
      <w:r w:rsidR="005B2A41">
        <w:t xml:space="preserve"> </w:t>
      </w:r>
      <w:r w:rsidRPr="00B02247">
        <w:t>the</w:t>
      </w:r>
      <w:r w:rsidR="005B2A41">
        <w:t xml:space="preserve"> </w:t>
      </w:r>
      <w:r w:rsidRPr="00B02247">
        <w:t>international</w:t>
      </w:r>
      <w:r w:rsidR="005B2A41">
        <w:t xml:space="preserve"> </w:t>
      </w:r>
      <w:r w:rsidRPr="00B02247">
        <w:t>obligations</w:t>
      </w:r>
      <w:r w:rsidR="005B2A41">
        <w:t xml:space="preserve"> </w:t>
      </w:r>
      <w:r w:rsidRPr="00B02247">
        <w:t>of</w:t>
      </w:r>
      <w:r w:rsidR="005B2A41">
        <w:t xml:space="preserve"> </w:t>
      </w:r>
      <w:r w:rsidRPr="00B02247">
        <w:t>the</w:t>
      </w:r>
      <w:r w:rsidR="005B2A41">
        <w:t xml:space="preserve"> </w:t>
      </w:r>
      <w:r w:rsidRPr="00B02247">
        <w:t>country.</w:t>
      </w:r>
      <w:r w:rsidR="005B2A41">
        <w:t xml:space="preserve"> </w:t>
      </w:r>
      <w:r w:rsidRPr="00B02247">
        <w:t>Within</w:t>
      </w:r>
      <w:r w:rsidR="005B2A41">
        <w:t xml:space="preserve"> </w:t>
      </w:r>
      <w:r w:rsidRPr="00B02247">
        <w:t>this</w:t>
      </w:r>
      <w:r w:rsidR="005B2A41">
        <w:t xml:space="preserve"> </w:t>
      </w:r>
      <w:r w:rsidRPr="00B02247">
        <w:t>framework,</w:t>
      </w:r>
      <w:r w:rsidR="005B2A41">
        <w:t xml:space="preserve"> </w:t>
      </w:r>
      <w:r w:rsidRPr="00B02247">
        <w:t>the</w:t>
      </w:r>
      <w:r w:rsidR="005B2A41">
        <w:t xml:space="preserve"> </w:t>
      </w:r>
      <w:r w:rsidRPr="00B02247">
        <w:t>General</w:t>
      </w:r>
      <w:r w:rsidR="005B2A41">
        <w:t xml:space="preserve"> </w:t>
      </w:r>
      <w:r w:rsidRPr="00B02247">
        <w:t>Secretariat,</w:t>
      </w:r>
      <w:r w:rsidR="005B2A41">
        <w:t xml:space="preserve"> </w:t>
      </w:r>
      <w:r w:rsidRPr="00B02247">
        <w:t>inter</w:t>
      </w:r>
      <w:r w:rsidR="005B2A41">
        <w:t xml:space="preserve"> </w:t>
      </w:r>
      <w:r w:rsidRPr="00B02247">
        <w:t>alia,</w:t>
      </w:r>
      <w:r w:rsidR="005B2A41">
        <w:t xml:space="preserve"> </w:t>
      </w:r>
      <w:r w:rsidRPr="00B02247">
        <w:t>designs,</w:t>
      </w:r>
      <w:r w:rsidR="005B2A41">
        <w:t xml:space="preserve"> </w:t>
      </w:r>
      <w:r w:rsidRPr="00B02247">
        <w:t>elaborates</w:t>
      </w:r>
      <w:r w:rsidR="005B2A41">
        <w:t xml:space="preserve"> </w:t>
      </w:r>
      <w:r w:rsidRPr="00B02247">
        <w:t>and</w:t>
      </w:r>
      <w:r w:rsidR="005B2A41">
        <w:t xml:space="preserve"> </w:t>
      </w:r>
      <w:r w:rsidRPr="00B02247">
        <w:t>outlines</w:t>
      </w:r>
      <w:r w:rsidR="005B2A41">
        <w:t xml:space="preserve"> </w:t>
      </w:r>
      <w:r w:rsidRPr="00B02247">
        <w:t>policy</w:t>
      </w:r>
      <w:r w:rsidR="005B2A41">
        <w:t xml:space="preserve"> </w:t>
      </w:r>
      <w:r w:rsidRPr="00B02247">
        <w:t>priorities</w:t>
      </w:r>
      <w:r w:rsidR="005B2A41">
        <w:t xml:space="preserve"> </w:t>
      </w:r>
      <w:r w:rsidRPr="00B02247">
        <w:t>and</w:t>
      </w:r>
      <w:r w:rsidR="005B2A41">
        <w:t xml:space="preserve"> </w:t>
      </w:r>
      <w:r w:rsidRPr="00B02247">
        <w:t>lines</w:t>
      </w:r>
      <w:r w:rsidR="005B2A41">
        <w:t xml:space="preserve"> </w:t>
      </w:r>
      <w:r w:rsidRPr="00B02247">
        <w:t>of</w:t>
      </w:r>
      <w:r w:rsidR="005B2A41">
        <w:t xml:space="preserve"> </w:t>
      </w:r>
      <w:r w:rsidRPr="00B02247">
        <w:t>action</w:t>
      </w:r>
      <w:r w:rsidR="005B2A41">
        <w:t xml:space="preserve"> </w:t>
      </w:r>
      <w:r w:rsidRPr="00B02247">
        <w:t>to</w:t>
      </w:r>
      <w:r w:rsidR="005B2A41">
        <w:t xml:space="preserve"> </w:t>
      </w:r>
      <w:r w:rsidRPr="00B02247">
        <w:t>ensure</w:t>
      </w:r>
      <w:r w:rsidR="005B2A41">
        <w:t xml:space="preserve"> </w:t>
      </w:r>
      <w:r w:rsidRPr="00B02247">
        <w:t>the</w:t>
      </w:r>
      <w:r w:rsidR="005B2A41">
        <w:t xml:space="preserve"> </w:t>
      </w:r>
      <w:r w:rsidRPr="00B02247">
        <w:t>effective</w:t>
      </w:r>
      <w:r w:rsidR="005B2A41">
        <w:t xml:space="preserve"> </w:t>
      </w:r>
      <w:r w:rsidRPr="00B02247">
        <w:t>exercise</w:t>
      </w:r>
      <w:r w:rsidR="005B2A41">
        <w:t xml:space="preserve"> </w:t>
      </w:r>
      <w:r w:rsidRPr="00B02247">
        <w:t>of</w:t>
      </w:r>
      <w:r w:rsidR="005B2A41">
        <w:t xml:space="preserve"> </w:t>
      </w:r>
      <w:r w:rsidRPr="00B02247">
        <w:t>human</w:t>
      </w:r>
      <w:r w:rsidR="005B2A41">
        <w:t xml:space="preserve"> </w:t>
      </w:r>
      <w:r w:rsidRPr="00B02247">
        <w:t>rights</w:t>
      </w:r>
      <w:r w:rsidR="005B2A41">
        <w:t xml:space="preserve"> </w:t>
      </w:r>
      <w:r w:rsidRPr="00B02247">
        <w:t>and</w:t>
      </w:r>
      <w:r w:rsidR="005B2A41">
        <w:t xml:space="preserve"> </w:t>
      </w:r>
      <w:r w:rsidRPr="00B02247">
        <w:t>undertakes</w:t>
      </w:r>
      <w:r w:rsidR="005B2A41">
        <w:t xml:space="preserve"> </w:t>
      </w:r>
      <w:r w:rsidRPr="00B02247">
        <w:t>the</w:t>
      </w:r>
      <w:r w:rsidR="005B2A41">
        <w:t xml:space="preserve"> </w:t>
      </w:r>
      <w:r w:rsidRPr="00B02247">
        <w:t>relevant</w:t>
      </w:r>
      <w:r w:rsidR="005B2A41">
        <w:t xml:space="preserve"> </w:t>
      </w:r>
      <w:r w:rsidRPr="00B02247">
        <w:t>legislative,</w:t>
      </w:r>
      <w:r w:rsidR="005B2A41">
        <w:t xml:space="preserve"> </w:t>
      </w:r>
      <w:r w:rsidRPr="00B02247">
        <w:t>regulatory</w:t>
      </w:r>
      <w:r w:rsidR="005B2A41">
        <w:t xml:space="preserve"> </w:t>
      </w:r>
      <w:r w:rsidRPr="00B02247">
        <w:t>and</w:t>
      </w:r>
      <w:r w:rsidR="005B2A41">
        <w:t xml:space="preserve"> </w:t>
      </w:r>
      <w:r w:rsidRPr="00B02247">
        <w:t>administrative</w:t>
      </w:r>
      <w:r w:rsidR="005B2A41">
        <w:t xml:space="preserve"> </w:t>
      </w:r>
      <w:r w:rsidRPr="00B02247">
        <w:t>initiatives</w:t>
      </w:r>
      <w:r w:rsidR="005B2A41">
        <w:t xml:space="preserve"> </w:t>
      </w:r>
      <w:r w:rsidRPr="00B02247">
        <w:t>and</w:t>
      </w:r>
      <w:r w:rsidR="005B2A41">
        <w:t xml:space="preserve"> </w:t>
      </w:r>
      <w:r w:rsidRPr="00B02247">
        <w:t>monitors</w:t>
      </w:r>
      <w:r w:rsidR="005B2A41">
        <w:t xml:space="preserve"> </w:t>
      </w:r>
      <w:r w:rsidRPr="00B02247">
        <w:t>their</w:t>
      </w:r>
      <w:r w:rsidR="005B2A41">
        <w:t xml:space="preserve"> </w:t>
      </w:r>
      <w:r w:rsidRPr="00B02247">
        <w:t>implementation.</w:t>
      </w:r>
      <w:r w:rsidR="005B2A41">
        <w:t xml:space="preserve"> </w:t>
      </w:r>
      <w:r w:rsidRPr="00B02247">
        <w:t>Furthermore,</w:t>
      </w:r>
      <w:r w:rsidR="005B2A41">
        <w:t xml:space="preserve"> </w:t>
      </w:r>
      <w:r w:rsidRPr="00B02247">
        <w:t>it</w:t>
      </w:r>
      <w:r w:rsidR="005B2A41">
        <w:t xml:space="preserve"> </w:t>
      </w:r>
      <w:r w:rsidRPr="00B02247">
        <w:t>may</w:t>
      </w:r>
      <w:r w:rsidR="005B2A41">
        <w:t xml:space="preserve"> </w:t>
      </w:r>
      <w:r w:rsidRPr="00B02247">
        <w:t>consult</w:t>
      </w:r>
      <w:r w:rsidR="005B2A41">
        <w:t xml:space="preserve"> </w:t>
      </w:r>
      <w:r w:rsidRPr="00B02247">
        <w:t>with</w:t>
      </w:r>
      <w:r w:rsidR="005B2A41">
        <w:t xml:space="preserve"> </w:t>
      </w:r>
      <w:r w:rsidRPr="00B02247">
        <w:t>the</w:t>
      </w:r>
      <w:r w:rsidR="005B2A41">
        <w:t xml:space="preserve"> </w:t>
      </w:r>
      <w:r w:rsidRPr="00B02247">
        <w:t>National</w:t>
      </w:r>
      <w:r w:rsidR="005B2A41">
        <w:t xml:space="preserve"> </w:t>
      </w:r>
      <w:r w:rsidRPr="00B02247">
        <w:t>Commission</w:t>
      </w:r>
      <w:r w:rsidR="005B2A41">
        <w:t xml:space="preserve"> </w:t>
      </w:r>
      <w:r w:rsidRPr="00B02247">
        <w:t>for</w:t>
      </w:r>
      <w:r w:rsidR="005B2A41">
        <w:t xml:space="preserve"> </w:t>
      </w:r>
      <w:r w:rsidRPr="00B02247">
        <w:t>Human</w:t>
      </w:r>
      <w:r w:rsidR="005B2A41">
        <w:t xml:space="preserve"> </w:t>
      </w:r>
      <w:r w:rsidRPr="00B02247">
        <w:t>Rights</w:t>
      </w:r>
      <w:r w:rsidR="005B2A41">
        <w:t xml:space="preserve"> </w:t>
      </w:r>
      <w:r w:rsidRPr="00B02247">
        <w:t>and</w:t>
      </w:r>
      <w:r w:rsidR="005B2A41">
        <w:t xml:space="preserve"> </w:t>
      </w:r>
      <w:r w:rsidRPr="00B02247">
        <w:t>other</w:t>
      </w:r>
      <w:r w:rsidR="005B2A41">
        <w:t xml:space="preserve"> </w:t>
      </w:r>
      <w:r w:rsidRPr="00B02247">
        <w:t>national</w:t>
      </w:r>
      <w:r w:rsidR="005B2A41">
        <w:t xml:space="preserve"> </w:t>
      </w:r>
      <w:r w:rsidRPr="00B02247">
        <w:t>or</w:t>
      </w:r>
      <w:r w:rsidR="005B2A41">
        <w:t xml:space="preserve"> </w:t>
      </w:r>
      <w:r w:rsidRPr="00B02247">
        <w:t>international</w:t>
      </w:r>
      <w:r w:rsidR="005B2A41">
        <w:t xml:space="preserve"> </w:t>
      </w:r>
      <w:r w:rsidRPr="00B02247">
        <w:t>organizations</w:t>
      </w:r>
      <w:r w:rsidR="005B2A41">
        <w:t xml:space="preserve"> </w:t>
      </w:r>
      <w:r w:rsidRPr="00B02247">
        <w:t>on</w:t>
      </w:r>
      <w:r w:rsidR="005B2A41">
        <w:t xml:space="preserve"> </w:t>
      </w:r>
      <w:r w:rsidRPr="00B02247">
        <w:t>human</w:t>
      </w:r>
      <w:r w:rsidR="005B2A41">
        <w:t xml:space="preserve"> </w:t>
      </w:r>
      <w:r w:rsidRPr="00B02247">
        <w:t>rights</w:t>
      </w:r>
      <w:r w:rsidR="005B2A41">
        <w:t xml:space="preserve"> </w:t>
      </w:r>
      <w:r w:rsidRPr="00B02247">
        <w:t>issues.</w:t>
      </w:r>
    </w:p>
    <w:p w:rsidR="00F233AB" w:rsidRPr="00B02247" w:rsidRDefault="00F233AB" w:rsidP="00E1307D">
      <w:pPr>
        <w:pStyle w:val="SingleTxtG"/>
      </w:pPr>
      <w:r w:rsidRPr="00B02247">
        <w:t>85.</w:t>
      </w:r>
      <w:r w:rsidRPr="00B02247">
        <w:tab/>
        <w:t>The</w:t>
      </w:r>
      <w:r w:rsidR="005B2A41">
        <w:t xml:space="preserve"> </w:t>
      </w:r>
      <w:r w:rsidRPr="00B02247">
        <w:t>General</w:t>
      </w:r>
      <w:r w:rsidR="005B2A41">
        <w:t xml:space="preserve"> </w:t>
      </w:r>
      <w:r w:rsidRPr="00B02247">
        <w:t>Secretariat</w:t>
      </w:r>
      <w:r w:rsidR="005B2A41">
        <w:t xml:space="preserve"> </w:t>
      </w:r>
      <w:r w:rsidRPr="00B02247">
        <w:t>for</w:t>
      </w:r>
      <w:r w:rsidR="005B2A41">
        <w:t xml:space="preserve"> </w:t>
      </w:r>
      <w:r w:rsidRPr="00B02247">
        <w:t>Gender</w:t>
      </w:r>
      <w:r w:rsidR="005B2A41">
        <w:t xml:space="preserve"> </w:t>
      </w:r>
      <w:r w:rsidRPr="00B02247">
        <w:t>Equality</w:t>
      </w:r>
      <w:r w:rsidR="005B2A41">
        <w:t xml:space="preserve"> </w:t>
      </w:r>
      <w:r w:rsidRPr="00B02247">
        <w:t>(GSGE)</w:t>
      </w:r>
      <w:r w:rsidR="005B2A41">
        <w:t xml:space="preserve"> </w:t>
      </w:r>
      <w:r w:rsidRPr="00B02247">
        <w:t>of</w:t>
      </w:r>
      <w:r w:rsidR="005B2A41">
        <w:t xml:space="preserve"> </w:t>
      </w:r>
      <w:r w:rsidRPr="00B02247">
        <w:t>the</w:t>
      </w:r>
      <w:r w:rsidR="005B2A41">
        <w:t xml:space="preserve"> </w:t>
      </w:r>
      <w:r w:rsidRPr="00B02247">
        <w:t>Ministry</w:t>
      </w:r>
      <w:r w:rsidR="005B2A41">
        <w:t xml:space="preserve"> </w:t>
      </w:r>
      <w:r w:rsidRPr="00B02247">
        <w:t>of</w:t>
      </w:r>
      <w:r w:rsidR="005B2A41">
        <w:t xml:space="preserve"> </w:t>
      </w:r>
      <w:r w:rsidRPr="00B02247">
        <w:t>Interior</w:t>
      </w:r>
      <w:r w:rsidR="005B2A41">
        <w:t xml:space="preserve"> </w:t>
      </w:r>
      <w:r w:rsidRPr="00B02247">
        <w:t>is</w:t>
      </w:r>
      <w:r w:rsidR="005B2A41">
        <w:t xml:space="preserve"> </w:t>
      </w:r>
      <w:r w:rsidRPr="00B02247">
        <w:t>the</w:t>
      </w:r>
      <w:r w:rsidR="005B2A41">
        <w:t xml:space="preserve"> </w:t>
      </w:r>
      <w:r w:rsidRPr="00B02247">
        <w:t>competent</w:t>
      </w:r>
      <w:r w:rsidR="005B2A41">
        <w:t xml:space="preserve"> </w:t>
      </w:r>
      <w:r w:rsidRPr="00B02247">
        <w:t>governmental</w:t>
      </w:r>
      <w:r w:rsidR="005B2A41">
        <w:t xml:space="preserve"> </w:t>
      </w:r>
      <w:r w:rsidRPr="00B02247">
        <w:t>agency</w:t>
      </w:r>
      <w:r w:rsidR="005B2A41">
        <w:t xml:space="preserve"> </w:t>
      </w:r>
      <w:r w:rsidRPr="00B02247">
        <w:t>for</w:t>
      </w:r>
      <w:r w:rsidR="005B2A41">
        <w:t xml:space="preserve"> </w:t>
      </w:r>
      <w:r w:rsidRPr="00B02247">
        <w:t>designing</w:t>
      </w:r>
      <w:r w:rsidR="005B2A41">
        <w:t xml:space="preserve"> </w:t>
      </w:r>
      <w:r w:rsidRPr="00B02247">
        <w:t>and</w:t>
      </w:r>
      <w:r w:rsidR="005B2A41">
        <w:t xml:space="preserve"> </w:t>
      </w:r>
      <w:r w:rsidRPr="00B02247">
        <w:t>monitoring</w:t>
      </w:r>
      <w:r w:rsidR="005B2A41">
        <w:t xml:space="preserve"> </w:t>
      </w:r>
      <w:r w:rsidRPr="00B02247">
        <w:t>the</w:t>
      </w:r>
      <w:r w:rsidR="005B2A41">
        <w:t xml:space="preserve"> </w:t>
      </w:r>
      <w:r w:rsidRPr="00B02247">
        <w:t>implementation</w:t>
      </w:r>
      <w:r w:rsidR="005B2A41">
        <w:t xml:space="preserve"> </w:t>
      </w:r>
      <w:r w:rsidRPr="00B02247">
        <w:t>of</w:t>
      </w:r>
      <w:r w:rsidR="005B2A41">
        <w:t xml:space="preserve"> </w:t>
      </w:r>
      <w:r w:rsidRPr="00B02247">
        <w:t>policies</w:t>
      </w:r>
      <w:r w:rsidR="005B2A41">
        <w:t xml:space="preserve"> </w:t>
      </w:r>
      <w:r w:rsidRPr="00B02247">
        <w:t>for</w:t>
      </w:r>
      <w:r w:rsidR="005B2A41">
        <w:t xml:space="preserve"> </w:t>
      </w:r>
      <w:r w:rsidRPr="00B02247">
        <w:t>gender</w:t>
      </w:r>
      <w:r w:rsidR="005B2A41">
        <w:t xml:space="preserve"> </w:t>
      </w:r>
      <w:r w:rsidRPr="00B02247">
        <w:t>equality</w:t>
      </w:r>
      <w:r w:rsidR="005B2A41">
        <w:t xml:space="preserve"> </w:t>
      </w:r>
      <w:r w:rsidRPr="00B02247">
        <w:t>in</w:t>
      </w:r>
      <w:r w:rsidR="005B2A41">
        <w:t xml:space="preserve"> </w:t>
      </w:r>
      <w:r w:rsidRPr="00B02247">
        <w:t>all</w:t>
      </w:r>
      <w:r w:rsidR="005B2A41">
        <w:t xml:space="preserve"> </w:t>
      </w:r>
      <w:r w:rsidRPr="00B02247">
        <w:t>sectors.</w:t>
      </w:r>
      <w:r w:rsidR="005B2A41">
        <w:t xml:space="preserve"> </w:t>
      </w:r>
      <w:r w:rsidRPr="00B02247">
        <w:t>Established</w:t>
      </w:r>
      <w:r w:rsidR="005B2A41">
        <w:t xml:space="preserve"> </w:t>
      </w:r>
      <w:r w:rsidRPr="00B02247">
        <w:t>by</w:t>
      </w:r>
      <w:r w:rsidR="005B2A41">
        <w:t xml:space="preserve"> </w:t>
      </w:r>
      <w:r w:rsidRPr="00B02247">
        <w:t>virtue</w:t>
      </w:r>
      <w:r w:rsidR="005B2A41">
        <w:t xml:space="preserve"> </w:t>
      </w:r>
      <w:r w:rsidRPr="00B02247">
        <w:t>of</w:t>
      </w:r>
      <w:r w:rsidR="005B2A41">
        <w:t xml:space="preserve"> </w:t>
      </w:r>
      <w:r w:rsidRPr="00B02247">
        <w:t>article</w:t>
      </w:r>
      <w:r w:rsidR="005B2A41">
        <w:t xml:space="preserve"> </w:t>
      </w:r>
      <w:r w:rsidRPr="00B02247">
        <w:t>27</w:t>
      </w:r>
      <w:r w:rsidR="005B2A41">
        <w:t xml:space="preserve"> </w:t>
      </w:r>
      <w:r w:rsidRPr="00B02247">
        <w:t>of</w:t>
      </w:r>
      <w:r w:rsidR="005B2A41">
        <w:t xml:space="preserve"> </w:t>
      </w:r>
      <w:r w:rsidRPr="00B02247">
        <w:t>Law</w:t>
      </w:r>
      <w:r w:rsidR="005B2A41">
        <w:t xml:space="preserve"> </w:t>
      </w:r>
      <w:r w:rsidRPr="00B02247">
        <w:t>1558/1985,</w:t>
      </w:r>
      <w:r w:rsidR="005B2A41">
        <w:t xml:space="preserve"> </w:t>
      </w:r>
      <w:r w:rsidRPr="00B02247">
        <w:t>the</w:t>
      </w:r>
      <w:r w:rsidR="005B2A41">
        <w:t xml:space="preserve"> </w:t>
      </w:r>
      <w:r w:rsidRPr="00B02247">
        <w:t>GSGE</w:t>
      </w:r>
      <w:r w:rsidR="005B2A41">
        <w:t xml:space="preserve"> </w:t>
      </w:r>
      <w:r w:rsidRPr="00B02247">
        <w:t>has</w:t>
      </w:r>
      <w:r w:rsidR="005B2A41">
        <w:t xml:space="preserve"> </w:t>
      </w:r>
      <w:r w:rsidRPr="00B02247">
        <w:t>been</w:t>
      </w:r>
      <w:r w:rsidR="005B2A41">
        <w:t xml:space="preserve"> </w:t>
      </w:r>
      <w:r w:rsidRPr="00B02247">
        <w:t>charged</w:t>
      </w:r>
      <w:r w:rsidR="005B2A41">
        <w:t xml:space="preserve"> </w:t>
      </w:r>
      <w:r w:rsidRPr="00B02247">
        <w:t>with</w:t>
      </w:r>
      <w:r w:rsidR="005B2A41">
        <w:t xml:space="preserve"> </w:t>
      </w:r>
      <w:r w:rsidRPr="00B02247">
        <w:t>promoting</w:t>
      </w:r>
      <w:r w:rsidR="005B2A41">
        <w:t xml:space="preserve"> </w:t>
      </w:r>
      <w:r w:rsidRPr="00B02247">
        <w:t>and</w:t>
      </w:r>
      <w:r w:rsidR="005B2A41">
        <w:t xml:space="preserve"> </w:t>
      </w:r>
      <w:r w:rsidRPr="00B02247">
        <w:t>realizing</w:t>
      </w:r>
      <w:r w:rsidR="005B2A41">
        <w:t xml:space="preserve"> </w:t>
      </w:r>
      <w:r w:rsidRPr="00B02247">
        <w:t>legal</w:t>
      </w:r>
      <w:r w:rsidR="005B2A41">
        <w:t xml:space="preserve"> </w:t>
      </w:r>
      <w:r w:rsidRPr="00B02247">
        <w:t>(de</w:t>
      </w:r>
      <w:r w:rsidR="005B2A41">
        <w:t xml:space="preserve"> </w:t>
      </w:r>
      <w:r w:rsidRPr="00B02247">
        <w:t>jure)</w:t>
      </w:r>
      <w:r w:rsidR="005B2A41">
        <w:t xml:space="preserve"> </w:t>
      </w:r>
      <w:r w:rsidRPr="00B02247">
        <w:t>and</w:t>
      </w:r>
      <w:r w:rsidR="005B2A41">
        <w:t xml:space="preserve"> </w:t>
      </w:r>
      <w:r w:rsidRPr="00B02247">
        <w:t>substantive</w:t>
      </w:r>
      <w:r w:rsidR="005B2A41">
        <w:t xml:space="preserve"> </w:t>
      </w:r>
      <w:r w:rsidRPr="00B02247">
        <w:t>(de</w:t>
      </w:r>
      <w:r w:rsidR="005B2A41">
        <w:t xml:space="preserve"> </w:t>
      </w:r>
      <w:r w:rsidRPr="00B02247">
        <w:t>facto)</w:t>
      </w:r>
      <w:r w:rsidR="005B2A41">
        <w:t xml:space="preserve"> </w:t>
      </w:r>
      <w:r w:rsidRPr="00B02247">
        <w:t>gender</w:t>
      </w:r>
      <w:r w:rsidR="005B2A41">
        <w:t xml:space="preserve"> </w:t>
      </w:r>
      <w:r w:rsidRPr="00B02247">
        <w:t>equality</w:t>
      </w:r>
      <w:r w:rsidR="005B2A41">
        <w:t xml:space="preserve"> </w:t>
      </w:r>
      <w:r w:rsidRPr="00B02247">
        <w:t>in</w:t>
      </w:r>
      <w:r w:rsidR="005B2A41">
        <w:t xml:space="preserve"> </w:t>
      </w:r>
      <w:r w:rsidRPr="00B02247">
        <w:t>all</w:t>
      </w:r>
      <w:r w:rsidR="005B2A41">
        <w:t xml:space="preserve"> </w:t>
      </w:r>
      <w:r w:rsidRPr="00B02247">
        <w:t>sectors</w:t>
      </w:r>
      <w:r w:rsidR="005B2A41">
        <w:t xml:space="preserve"> </w:t>
      </w:r>
      <w:r w:rsidRPr="00B02247">
        <w:t>of</w:t>
      </w:r>
      <w:r w:rsidR="005B2A41">
        <w:t xml:space="preserve"> </w:t>
      </w:r>
      <w:r w:rsidRPr="00B02247">
        <w:t>social,</w:t>
      </w:r>
      <w:r w:rsidR="005B2A41">
        <w:t xml:space="preserve"> </w:t>
      </w:r>
      <w:r w:rsidRPr="00B02247">
        <w:t>political</w:t>
      </w:r>
      <w:r w:rsidR="005B2A41">
        <w:t xml:space="preserve"> </w:t>
      </w:r>
      <w:r w:rsidRPr="00B02247">
        <w:t>and</w:t>
      </w:r>
      <w:r w:rsidR="005B2A41">
        <w:t xml:space="preserve"> </w:t>
      </w:r>
      <w:r w:rsidRPr="00B02247">
        <w:t>economic</w:t>
      </w:r>
      <w:r w:rsidR="005B2A41">
        <w:t xml:space="preserve"> </w:t>
      </w:r>
      <w:r w:rsidRPr="00B02247">
        <w:t>life.</w:t>
      </w:r>
      <w:r w:rsidR="005B2A41">
        <w:t xml:space="preserve"> </w:t>
      </w:r>
      <w:r w:rsidRPr="00B02247">
        <w:t>The</w:t>
      </w:r>
      <w:r w:rsidR="005B2A41">
        <w:t xml:space="preserve"> </w:t>
      </w:r>
      <w:r w:rsidRPr="00B02247">
        <w:t>GSGE</w:t>
      </w:r>
      <w:r w:rsidR="005B2A41">
        <w:t xml:space="preserve"> </w:t>
      </w:r>
      <w:r w:rsidRPr="00B02247">
        <w:t>includes</w:t>
      </w:r>
      <w:r w:rsidR="005B2A41">
        <w:t xml:space="preserve"> </w:t>
      </w:r>
      <w:r w:rsidRPr="00B02247">
        <w:t>services</w:t>
      </w:r>
      <w:r w:rsidR="005B2A41">
        <w:t xml:space="preserve"> </w:t>
      </w:r>
      <w:r w:rsidRPr="00B02247">
        <w:t>at</w:t>
      </w:r>
      <w:r w:rsidR="005B2A41">
        <w:t xml:space="preserve"> </w:t>
      </w:r>
      <w:r w:rsidRPr="00B02247">
        <w:t>the</w:t>
      </w:r>
      <w:r w:rsidR="005B2A41">
        <w:t xml:space="preserve"> </w:t>
      </w:r>
      <w:r w:rsidRPr="00B02247">
        <w:t>central</w:t>
      </w:r>
      <w:r w:rsidR="005B2A41">
        <w:t xml:space="preserve"> </w:t>
      </w:r>
      <w:r w:rsidRPr="00B02247">
        <w:t>level,</w:t>
      </w:r>
      <w:r w:rsidR="005B2A41">
        <w:t xml:space="preserve"> </w:t>
      </w:r>
      <w:r w:rsidRPr="00B02247">
        <w:t>as</w:t>
      </w:r>
      <w:r w:rsidR="005B2A41">
        <w:t xml:space="preserve"> </w:t>
      </w:r>
      <w:r w:rsidRPr="00B02247">
        <w:t>well</w:t>
      </w:r>
      <w:r w:rsidR="005B2A41">
        <w:t xml:space="preserve"> </w:t>
      </w:r>
      <w:r w:rsidRPr="00B02247">
        <w:t>as</w:t>
      </w:r>
      <w:r w:rsidR="005B2A41">
        <w:t xml:space="preserve"> </w:t>
      </w:r>
      <w:r w:rsidRPr="00B02247">
        <w:t>regional</w:t>
      </w:r>
      <w:r w:rsidR="005B2A41">
        <w:t xml:space="preserve"> </w:t>
      </w:r>
      <w:r w:rsidRPr="00B02247">
        <w:t>organs,</w:t>
      </w:r>
      <w:r w:rsidR="005B2A41">
        <w:t xml:space="preserve"> </w:t>
      </w:r>
      <w:r w:rsidRPr="00B02247">
        <w:t>such</w:t>
      </w:r>
      <w:r w:rsidR="005B2A41">
        <w:t xml:space="preserve"> </w:t>
      </w:r>
      <w:r w:rsidRPr="00B02247">
        <w:t>as</w:t>
      </w:r>
      <w:r w:rsidR="005B2A41">
        <w:t xml:space="preserve"> </w:t>
      </w:r>
      <w:r w:rsidRPr="00B02247">
        <w:t>Counseling</w:t>
      </w:r>
      <w:r w:rsidR="005B2A41">
        <w:t xml:space="preserve"> </w:t>
      </w:r>
      <w:r w:rsidRPr="00B02247">
        <w:t>Centers.</w:t>
      </w:r>
      <w:r w:rsidR="005B2A41">
        <w:t xml:space="preserve"> </w:t>
      </w:r>
      <w:r w:rsidRPr="00B02247">
        <w:t>The</w:t>
      </w:r>
      <w:r w:rsidR="005B2A41">
        <w:t xml:space="preserve"> </w:t>
      </w:r>
      <w:r w:rsidRPr="00B02247">
        <w:t>GSGE</w:t>
      </w:r>
      <w:r w:rsidR="005B2A41">
        <w:t xml:space="preserve"> </w:t>
      </w:r>
      <w:r w:rsidRPr="00B02247">
        <w:t>is</w:t>
      </w:r>
      <w:r w:rsidR="005B2A41">
        <w:t xml:space="preserve"> </w:t>
      </w:r>
      <w:r w:rsidRPr="00B02247">
        <w:t>elaborating,</w:t>
      </w:r>
      <w:r w:rsidR="005B2A41">
        <w:t xml:space="preserve"> </w:t>
      </w:r>
      <w:r w:rsidRPr="00B02247">
        <w:t>implementing</w:t>
      </w:r>
      <w:r w:rsidR="005B2A41">
        <w:t xml:space="preserve"> </w:t>
      </w:r>
      <w:r w:rsidRPr="00B02247">
        <w:t>and</w:t>
      </w:r>
      <w:r w:rsidR="005B2A41">
        <w:t xml:space="preserve"> </w:t>
      </w:r>
      <w:r w:rsidRPr="00B02247">
        <w:t>monitoring</w:t>
      </w:r>
      <w:r w:rsidR="005B2A41">
        <w:t xml:space="preserve"> </w:t>
      </w:r>
      <w:r w:rsidRPr="00B02247">
        <w:t>national</w:t>
      </w:r>
      <w:r w:rsidR="005B2A41">
        <w:t xml:space="preserve"> </w:t>
      </w:r>
      <w:r w:rsidRPr="00B02247">
        <w:t>action</w:t>
      </w:r>
      <w:r w:rsidR="005B2A41">
        <w:t xml:space="preserve"> </w:t>
      </w:r>
      <w:r w:rsidRPr="00B02247">
        <w:t>plans</w:t>
      </w:r>
      <w:r w:rsidR="005B2A41">
        <w:t xml:space="preserve"> </w:t>
      </w:r>
      <w:r w:rsidRPr="00B02247">
        <w:t>for</w:t>
      </w:r>
      <w:r w:rsidR="005B2A41">
        <w:t xml:space="preserve"> </w:t>
      </w:r>
      <w:r w:rsidRPr="00B02247">
        <w:t>gender</w:t>
      </w:r>
      <w:r w:rsidR="005B2A41">
        <w:t xml:space="preserve"> </w:t>
      </w:r>
      <w:r w:rsidRPr="00B02247">
        <w:t>equality</w:t>
      </w:r>
      <w:r w:rsidR="005B2A41">
        <w:t xml:space="preserve"> </w:t>
      </w:r>
      <w:r w:rsidRPr="00B02247">
        <w:t>in</w:t>
      </w:r>
      <w:r w:rsidR="005B2A41">
        <w:t xml:space="preserve"> </w:t>
      </w:r>
      <w:r w:rsidRPr="00B02247">
        <w:t>all</w:t>
      </w:r>
      <w:r w:rsidR="005B2A41">
        <w:t xml:space="preserve"> </w:t>
      </w:r>
      <w:r w:rsidRPr="00B02247">
        <w:t>fields</w:t>
      </w:r>
      <w:r w:rsidR="005B2A41">
        <w:t xml:space="preserve"> </w:t>
      </w:r>
      <w:r w:rsidRPr="00B02247">
        <w:t>of</w:t>
      </w:r>
      <w:r w:rsidR="005B2A41">
        <w:t xml:space="preserve"> </w:t>
      </w:r>
      <w:r w:rsidRPr="00B02247">
        <w:t>public</w:t>
      </w:r>
      <w:r w:rsidR="005B2A41">
        <w:t xml:space="preserve"> </w:t>
      </w:r>
      <w:r w:rsidRPr="00B02247">
        <w:t>policy.</w:t>
      </w:r>
    </w:p>
    <w:p w:rsidR="00F233AB" w:rsidRPr="00B02247" w:rsidRDefault="00F233AB" w:rsidP="00E1307D">
      <w:pPr>
        <w:pStyle w:val="SingleTxtG"/>
      </w:pPr>
      <w:r w:rsidRPr="00B02247">
        <w:t>86.</w:t>
      </w:r>
      <w:r w:rsidRPr="00B02247">
        <w:tab/>
        <w:t>In</w:t>
      </w:r>
      <w:r w:rsidR="005B2A41">
        <w:t xml:space="preserve"> </w:t>
      </w:r>
      <w:r w:rsidRPr="00B02247">
        <w:t>2016,</w:t>
      </w:r>
      <w:r w:rsidR="005B2A41">
        <w:t xml:space="preserve"> </w:t>
      </w:r>
      <w:r w:rsidRPr="00B02247">
        <w:t>the</w:t>
      </w:r>
      <w:r w:rsidR="005B2A41">
        <w:t xml:space="preserve"> </w:t>
      </w:r>
      <w:r w:rsidRPr="00B02247">
        <w:t>administrative</w:t>
      </w:r>
      <w:r w:rsidR="005B2A41">
        <w:t xml:space="preserve"> </w:t>
      </w:r>
      <w:r w:rsidRPr="00B02247">
        <w:t>structure</w:t>
      </w:r>
      <w:r w:rsidR="005B2A41">
        <w:t xml:space="preserve"> </w:t>
      </w:r>
      <w:r w:rsidRPr="00B02247">
        <w:t>responsible</w:t>
      </w:r>
      <w:r w:rsidR="005B2A41">
        <w:t xml:space="preserve"> </w:t>
      </w:r>
      <w:r w:rsidRPr="00B02247">
        <w:t>for</w:t>
      </w:r>
      <w:r w:rsidR="005B2A41">
        <w:t xml:space="preserve"> </w:t>
      </w:r>
      <w:r w:rsidRPr="00B02247">
        <w:t>Roma</w:t>
      </w:r>
      <w:r w:rsidR="005B2A41">
        <w:t xml:space="preserve"> </w:t>
      </w:r>
      <w:r w:rsidRPr="00B02247">
        <w:t>issues</w:t>
      </w:r>
      <w:r w:rsidR="005B2A41">
        <w:t xml:space="preserve"> </w:t>
      </w:r>
      <w:r w:rsidRPr="00B02247">
        <w:t>was</w:t>
      </w:r>
      <w:r w:rsidR="005B2A41">
        <w:t xml:space="preserve"> </w:t>
      </w:r>
      <w:r w:rsidRPr="00B02247">
        <w:t>upgraded,</w:t>
      </w:r>
      <w:r w:rsidR="005B2A41">
        <w:t xml:space="preserve"> </w:t>
      </w:r>
      <w:r w:rsidRPr="00B02247">
        <w:t>through</w:t>
      </w:r>
      <w:r w:rsidR="005B2A41">
        <w:t xml:space="preserve"> </w:t>
      </w:r>
      <w:r w:rsidRPr="00B02247">
        <w:t>the</w:t>
      </w:r>
      <w:r w:rsidR="005B2A41">
        <w:t xml:space="preserve"> </w:t>
      </w:r>
      <w:r w:rsidRPr="00B02247">
        <w:t>establishment</w:t>
      </w:r>
      <w:r w:rsidR="005B2A41">
        <w:t xml:space="preserve"> </w:t>
      </w:r>
      <w:r w:rsidRPr="00B02247">
        <w:t>of</w:t>
      </w:r>
      <w:r w:rsidR="005B2A41">
        <w:t xml:space="preserve"> </w:t>
      </w:r>
      <w:r w:rsidRPr="00B02247">
        <w:t>the</w:t>
      </w:r>
      <w:r w:rsidR="005B2A41">
        <w:t xml:space="preserve"> </w:t>
      </w:r>
      <w:r w:rsidRPr="00B02247">
        <w:t>Special</w:t>
      </w:r>
      <w:r w:rsidR="005B2A41">
        <w:t xml:space="preserve"> </w:t>
      </w:r>
      <w:r w:rsidRPr="00B02247">
        <w:t>Secretariat</w:t>
      </w:r>
      <w:r w:rsidR="005B2A41">
        <w:t xml:space="preserve"> </w:t>
      </w:r>
      <w:r w:rsidRPr="00B02247">
        <w:t>for</w:t>
      </w:r>
      <w:r w:rsidR="005B2A41">
        <w:t xml:space="preserve"> </w:t>
      </w:r>
      <w:r w:rsidRPr="00B02247">
        <w:t>Roma</w:t>
      </w:r>
      <w:r w:rsidR="005B2A41">
        <w:t xml:space="preserve"> </w:t>
      </w:r>
      <w:r w:rsidRPr="00B02247">
        <w:t>within</w:t>
      </w:r>
      <w:r w:rsidR="005B2A41">
        <w:t xml:space="preserve"> </w:t>
      </w:r>
      <w:r w:rsidRPr="00B02247">
        <w:t>the</w:t>
      </w:r>
      <w:r w:rsidR="005B2A41">
        <w:t xml:space="preserve"> </w:t>
      </w:r>
      <w:r w:rsidRPr="00B02247">
        <w:t>Ministry</w:t>
      </w:r>
      <w:r w:rsidR="005B2A41">
        <w:t xml:space="preserve"> </w:t>
      </w:r>
      <w:r w:rsidRPr="00B02247">
        <w:t>of</w:t>
      </w:r>
      <w:r w:rsidR="005B2A41">
        <w:t xml:space="preserve"> </w:t>
      </w:r>
      <w:r w:rsidRPr="00B02247">
        <w:t>Labour,</w:t>
      </w:r>
      <w:r w:rsidR="005B2A41">
        <w:t xml:space="preserve"> </w:t>
      </w:r>
      <w:r w:rsidRPr="00B02247">
        <w:t>Social</w:t>
      </w:r>
      <w:r w:rsidR="005B2A41">
        <w:t xml:space="preserve"> </w:t>
      </w:r>
      <w:r w:rsidRPr="00B02247">
        <w:t>Security</w:t>
      </w:r>
      <w:r w:rsidR="005B2A41">
        <w:t xml:space="preserve"> </w:t>
      </w:r>
      <w:r w:rsidRPr="00B02247">
        <w:t>and</w:t>
      </w:r>
      <w:r w:rsidR="005B2A41">
        <w:t xml:space="preserve"> </w:t>
      </w:r>
      <w:r w:rsidRPr="00B02247">
        <w:t>Social</w:t>
      </w:r>
      <w:r w:rsidR="005B2A41">
        <w:t xml:space="preserve"> </w:t>
      </w:r>
      <w:r w:rsidRPr="00B02247">
        <w:t>Solidarity</w:t>
      </w:r>
      <w:r w:rsidR="005B2A41">
        <w:t xml:space="preserve"> </w:t>
      </w:r>
      <w:r w:rsidRPr="00B02247">
        <w:t>(Law</w:t>
      </w:r>
      <w:r w:rsidR="005B2A41">
        <w:t xml:space="preserve"> </w:t>
      </w:r>
      <w:r w:rsidRPr="00B02247">
        <w:t>4430/2016).</w:t>
      </w:r>
      <w:r w:rsidR="005B2A41">
        <w:t xml:space="preserve"> </w:t>
      </w:r>
    </w:p>
    <w:p w:rsidR="00F233AB" w:rsidRPr="00B02247" w:rsidRDefault="00F233AB" w:rsidP="00E1307D">
      <w:pPr>
        <w:pStyle w:val="SingleTxtG"/>
      </w:pPr>
      <w:r w:rsidRPr="00B02247">
        <w:t>87.</w:t>
      </w:r>
      <w:r w:rsidRPr="00B02247">
        <w:tab/>
        <w:t>The</w:t>
      </w:r>
      <w:r w:rsidR="005B2A41">
        <w:t xml:space="preserve"> </w:t>
      </w:r>
      <w:r w:rsidRPr="00B02247">
        <w:t>main</w:t>
      </w:r>
      <w:r w:rsidR="005B2A41">
        <w:t xml:space="preserve"> </w:t>
      </w:r>
      <w:r w:rsidRPr="00B02247">
        <w:t>duties</w:t>
      </w:r>
      <w:r w:rsidR="005B2A41">
        <w:t xml:space="preserve"> </w:t>
      </w:r>
      <w:r w:rsidRPr="00B02247">
        <w:t>of</w:t>
      </w:r>
      <w:r w:rsidR="005B2A41">
        <w:t xml:space="preserve"> </w:t>
      </w:r>
      <w:r w:rsidRPr="00B02247">
        <w:t>the</w:t>
      </w:r>
      <w:r w:rsidR="005B2A41">
        <w:t xml:space="preserve"> </w:t>
      </w:r>
      <w:r w:rsidRPr="00B02247">
        <w:t>Special</w:t>
      </w:r>
      <w:r w:rsidR="005B2A41">
        <w:t xml:space="preserve"> </w:t>
      </w:r>
      <w:r w:rsidRPr="00B02247">
        <w:t>Secretariat</w:t>
      </w:r>
      <w:r w:rsidR="005B2A41">
        <w:t xml:space="preserve"> </w:t>
      </w:r>
      <w:r w:rsidRPr="00B02247">
        <w:t>for</w:t>
      </w:r>
      <w:r w:rsidR="005B2A41">
        <w:t xml:space="preserve"> </w:t>
      </w:r>
      <w:r w:rsidRPr="00B02247">
        <w:t>the</w:t>
      </w:r>
      <w:r w:rsidR="005B2A41">
        <w:t xml:space="preserve"> </w:t>
      </w:r>
      <w:r w:rsidRPr="00B02247">
        <w:t>Social</w:t>
      </w:r>
      <w:r w:rsidR="005B2A41">
        <w:t xml:space="preserve"> </w:t>
      </w:r>
      <w:r w:rsidRPr="00B02247">
        <w:t>Integration</w:t>
      </w:r>
      <w:r w:rsidR="005B2A41">
        <w:t xml:space="preserve"> </w:t>
      </w:r>
      <w:r w:rsidRPr="00B02247">
        <w:t>of</w:t>
      </w:r>
      <w:r w:rsidR="005B2A41">
        <w:t xml:space="preserve"> </w:t>
      </w:r>
      <w:r w:rsidRPr="00B02247">
        <w:t>the</w:t>
      </w:r>
      <w:r w:rsidR="005B2A41">
        <w:t xml:space="preserve"> </w:t>
      </w:r>
      <w:r w:rsidRPr="00B02247">
        <w:t>Romani</w:t>
      </w:r>
      <w:r w:rsidR="005B2A41">
        <w:t xml:space="preserve"> </w:t>
      </w:r>
      <w:r w:rsidRPr="00B02247">
        <w:t>include</w:t>
      </w:r>
      <w:r w:rsidR="005B2A41">
        <w:t xml:space="preserve"> </w:t>
      </w:r>
      <w:r w:rsidRPr="00B02247">
        <w:t>among</w:t>
      </w:r>
      <w:r w:rsidR="005B2A41">
        <w:t xml:space="preserve"> </w:t>
      </w:r>
      <w:r w:rsidRPr="00B02247">
        <w:t>others:</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The</w:t>
      </w:r>
      <w:r w:rsidR="005B2A41">
        <w:t xml:space="preserve"> </w:t>
      </w:r>
      <w:r w:rsidR="00F233AB" w:rsidRPr="00B02247">
        <w:t>determination</w:t>
      </w:r>
      <w:r w:rsidR="005B2A41">
        <w:t xml:space="preserve"> </w:t>
      </w:r>
      <w:r w:rsidR="00F233AB" w:rsidRPr="00B02247">
        <w:t>of</w:t>
      </w:r>
      <w:r w:rsidR="005B2A41">
        <w:t xml:space="preserve"> </w:t>
      </w:r>
      <w:r w:rsidR="00F233AB" w:rsidRPr="00B02247">
        <w:t>priorities</w:t>
      </w:r>
      <w:r w:rsidR="005B2A41">
        <w:t xml:space="preserve"> </w:t>
      </w:r>
      <w:r w:rsidR="00F233AB" w:rsidRPr="00B02247">
        <w:t>and</w:t>
      </w:r>
      <w:r w:rsidR="005B2A41">
        <w:t xml:space="preserve"> </w:t>
      </w:r>
      <w:r w:rsidR="00F233AB" w:rsidRPr="00B02247">
        <w:t>the</w:t>
      </w:r>
      <w:r w:rsidR="005B2A41">
        <w:t xml:space="preserve"> </w:t>
      </w:r>
      <w:r w:rsidR="00F233AB" w:rsidRPr="00B02247">
        <w:t>design</w:t>
      </w:r>
      <w:r w:rsidR="005B2A41">
        <w:t xml:space="preserve"> </w:t>
      </w:r>
      <w:r w:rsidR="00F233AB" w:rsidRPr="00B02247">
        <w:t>of</w:t>
      </w:r>
      <w:r w:rsidR="005B2A41">
        <w:t xml:space="preserve"> </w:t>
      </w:r>
      <w:r w:rsidR="00F233AB" w:rsidRPr="00B02247">
        <w:t>guidelines</w:t>
      </w:r>
      <w:r w:rsidR="005B2A41">
        <w:t xml:space="preserve"> </w:t>
      </w:r>
      <w:r w:rsidR="00F233AB" w:rsidRPr="00B02247">
        <w:t>on</w:t>
      </w:r>
      <w:r w:rsidR="005B2A41">
        <w:t xml:space="preserve"> </w:t>
      </w:r>
      <w:r w:rsidR="00F233AB" w:rsidRPr="00B02247">
        <w:t>all</w:t>
      </w:r>
      <w:r w:rsidR="005B2A41">
        <w:t xml:space="preserve"> </w:t>
      </w:r>
      <w:r w:rsidR="00F233AB" w:rsidRPr="00B02247">
        <w:t>policy</w:t>
      </w:r>
      <w:r w:rsidR="005B2A41">
        <w:t xml:space="preserve"> </w:t>
      </w:r>
      <w:r w:rsidR="00F233AB" w:rsidRPr="00B02247">
        <w:t>areas</w:t>
      </w:r>
      <w:r w:rsidR="005B2A41">
        <w:t xml:space="preserve"> </w:t>
      </w:r>
      <w:r w:rsidR="00F233AB" w:rsidRPr="00B02247">
        <w:t>related</w:t>
      </w:r>
      <w:r w:rsidR="005B2A41">
        <w:t xml:space="preserve"> </w:t>
      </w:r>
      <w:r w:rsidR="00F233AB" w:rsidRPr="00B02247">
        <w:t>to</w:t>
      </w:r>
      <w:r w:rsidR="005B2A41">
        <w:t xml:space="preserve"> </w:t>
      </w:r>
      <w:r w:rsidR="00F233AB" w:rsidRPr="00B02247">
        <w:t>the</w:t>
      </w:r>
      <w:r w:rsidR="005B2A41">
        <w:t xml:space="preserve"> </w:t>
      </w:r>
      <w:r w:rsidR="00F233AB" w:rsidRPr="00B02247">
        <w:t>social</w:t>
      </w:r>
      <w:r w:rsidR="005B2A41">
        <w:t xml:space="preserve"> </w:t>
      </w:r>
      <w:r w:rsidR="00F233AB" w:rsidRPr="00B02247">
        <w:t>integration</w:t>
      </w:r>
      <w:r w:rsidR="005B2A41">
        <w:t xml:space="preserve"> </w:t>
      </w:r>
      <w:r w:rsidR="00F233AB" w:rsidRPr="00B02247">
        <w:t>of</w:t>
      </w:r>
      <w:r w:rsidR="005B2A41">
        <w:t xml:space="preserve"> </w:t>
      </w:r>
      <w:r w:rsidR="00F233AB" w:rsidRPr="00B02247">
        <w:t>the</w:t>
      </w:r>
      <w:r w:rsidR="005B2A41">
        <w:t xml:space="preserve"> </w:t>
      </w:r>
      <w:r w:rsidR="00F233AB" w:rsidRPr="00B02247">
        <w:t>Roma</w:t>
      </w:r>
      <w:r w:rsidR="005B2A41">
        <w:t xml:space="preserve"> </w:t>
      </w:r>
      <w:r w:rsidR="00F233AB" w:rsidRPr="00B02247">
        <w:t>and</w:t>
      </w:r>
      <w:r w:rsidR="005B2A41">
        <w:t xml:space="preserve"> </w:t>
      </w:r>
      <w:r w:rsidR="00F233AB" w:rsidRPr="00B02247">
        <w:t>the</w:t>
      </w:r>
      <w:r w:rsidR="005B2A41">
        <w:t xml:space="preserve"> </w:t>
      </w:r>
      <w:r w:rsidR="00F233AB" w:rsidRPr="00B02247">
        <w:t>submission</w:t>
      </w:r>
      <w:r w:rsidR="005B2A41">
        <w:t xml:space="preserve"> </w:t>
      </w:r>
      <w:r w:rsidR="00F233AB" w:rsidRPr="00B02247">
        <w:t>of</w:t>
      </w:r>
      <w:r w:rsidR="005B2A41">
        <w:t xml:space="preserve"> </w:t>
      </w:r>
      <w:r w:rsidR="00F233AB" w:rsidRPr="00B02247">
        <w:t>relevant</w:t>
      </w:r>
      <w:r w:rsidR="005B2A41">
        <w:t xml:space="preserve"> </w:t>
      </w:r>
      <w:r w:rsidR="00F233AB" w:rsidRPr="00B02247">
        <w:t>proposals</w:t>
      </w:r>
      <w:r w:rsidR="005B2A41">
        <w:t xml:space="preserve"> </w:t>
      </w:r>
      <w:r w:rsidR="00F233AB" w:rsidRPr="00B02247">
        <w:t>to</w:t>
      </w:r>
      <w:r w:rsidR="005B2A41">
        <w:t xml:space="preserve"> </w:t>
      </w:r>
      <w:r w:rsidR="00F233AB" w:rsidRPr="00B02247">
        <w:t>the</w:t>
      </w:r>
      <w:r w:rsidR="005B2A41">
        <w:t xml:space="preserve"> </w:t>
      </w:r>
      <w:r w:rsidR="00F233AB" w:rsidRPr="00B02247">
        <w:t>Minister</w:t>
      </w:r>
      <w:r w:rsidR="005B2A41">
        <w:t xml:space="preserve"> </w:t>
      </w:r>
      <w:r w:rsidR="00F233AB" w:rsidRPr="00B02247">
        <w:t>of</w:t>
      </w:r>
      <w:r w:rsidR="005B2A41">
        <w:t xml:space="preserve"> </w:t>
      </w:r>
      <w:r w:rsidR="00F233AB" w:rsidRPr="00B02247">
        <w:t>Labour,</w:t>
      </w:r>
      <w:r w:rsidR="005B2A41">
        <w:t xml:space="preserve"> </w:t>
      </w:r>
      <w:r w:rsidR="00F233AB" w:rsidRPr="00B02247">
        <w:t>Social</w:t>
      </w:r>
      <w:r w:rsidR="005B2A41">
        <w:t xml:space="preserve"> </w:t>
      </w:r>
      <w:r w:rsidR="00F233AB" w:rsidRPr="00B02247">
        <w:t>Security</w:t>
      </w:r>
      <w:r w:rsidR="005B2A41">
        <w:t xml:space="preserve"> </w:t>
      </w:r>
      <w:r w:rsidR="00F233AB" w:rsidRPr="00B02247">
        <w:t>and</w:t>
      </w:r>
      <w:r w:rsidR="005B2A41">
        <w:t xml:space="preserve"> </w:t>
      </w:r>
      <w:r w:rsidR="00F233AB" w:rsidRPr="00B02247">
        <w:t>Social</w:t>
      </w:r>
      <w:r w:rsidR="005B2A41">
        <w:t xml:space="preserve"> </w:t>
      </w:r>
      <w:r w:rsidR="00F233AB" w:rsidRPr="00B02247">
        <w:t>Solidarity;</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cooperation</w:t>
      </w:r>
      <w:r w:rsidR="005B2A41">
        <w:t xml:space="preserve"> </w:t>
      </w:r>
      <w:r w:rsidR="00F233AB" w:rsidRPr="00B02247">
        <w:t>with</w:t>
      </w:r>
      <w:r w:rsidR="005B2A41">
        <w:t xml:space="preserve"> </w:t>
      </w:r>
      <w:r w:rsidR="00F233AB" w:rsidRPr="00B02247">
        <w:t>other</w:t>
      </w:r>
      <w:r w:rsidR="005B2A41">
        <w:t xml:space="preserve"> </w:t>
      </w:r>
      <w:r w:rsidR="00F233AB" w:rsidRPr="00B02247">
        <w:t>competent</w:t>
      </w:r>
      <w:r w:rsidR="005B2A41">
        <w:t xml:space="preserve"> </w:t>
      </w:r>
      <w:r w:rsidR="00F233AB" w:rsidRPr="00B02247">
        <w:t>Ministries</w:t>
      </w:r>
      <w:r w:rsidR="005B2A41">
        <w:t xml:space="preserve"> </w:t>
      </w:r>
      <w:r w:rsidR="00F233AB" w:rsidRPr="00B02247">
        <w:t>(Health,</w:t>
      </w:r>
      <w:r w:rsidR="005B2A41">
        <w:t xml:space="preserve"> </w:t>
      </w:r>
      <w:r w:rsidR="00F233AB" w:rsidRPr="00B02247">
        <w:t>Education,</w:t>
      </w:r>
      <w:r w:rsidR="005B2A41">
        <w:t xml:space="preserve"> </w:t>
      </w:r>
      <w:r w:rsidR="00F233AB" w:rsidRPr="00B02247">
        <w:t>Infrastructure,</w:t>
      </w:r>
      <w:r w:rsidR="005B2A41">
        <w:t xml:space="preserve"> </w:t>
      </w:r>
      <w:r w:rsidR="00F233AB" w:rsidRPr="00B02247">
        <w:t>Justice</w:t>
      </w:r>
      <w:r w:rsidR="005B2A41">
        <w:t xml:space="preserve"> </w:t>
      </w:r>
      <w:r w:rsidR="00F233AB" w:rsidRPr="00B02247">
        <w:t>etc.)</w:t>
      </w:r>
      <w:r w:rsidR="005B2A41">
        <w:t xml:space="preserve"> </w:t>
      </w:r>
      <w:r w:rsidR="00F233AB" w:rsidRPr="00B02247">
        <w:t>and</w:t>
      </w:r>
      <w:r w:rsidR="005B2A41">
        <w:t xml:space="preserve"> </w:t>
      </w:r>
      <w:r w:rsidR="00F233AB" w:rsidRPr="00B02247">
        <w:t>competent</w:t>
      </w:r>
      <w:r w:rsidR="005B2A41">
        <w:t xml:space="preserve"> </w:t>
      </w:r>
      <w:r w:rsidR="00F233AB" w:rsidRPr="00B02247">
        <w:t>agencies</w:t>
      </w:r>
      <w:r w:rsidR="005B2A41">
        <w:t xml:space="preserve"> </w:t>
      </w:r>
      <w:r w:rsidR="00F233AB" w:rsidRPr="00B02247">
        <w:t>at</w:t>
      </w:r>
      <w:r w:rsidR="005B2A41">
        <w:t xml:space="preserve"> </w:t>
      </w:r>
      <w:r w:rsidR="00F233AB" w:rsidRPr="00B02247">
        <w:t>the</w:t>
      </w:r>
      <w:r w:rsidR="005B2A41">
        <w:t xml:space="preserve"> </w:t>
      </w:r>
      <w:r w:rsidR="00F233AB" w:rsidRPr="00B02247">
        <w:t>national,</w:t>
      </w:r>
      <w:r w:rsidR="005B2A41">
        <w:t xml:space="preserve"> </w:t>
      </w:r>
      <w:r w:rsidR="00F233AB" w:rsidRPr="00B02247">
        <w:t>regional</w:t>
      </w:r>
      <w:r w:rsidR="005B2A41">
        <w:t xml:space="preserve"> </w:t>
      </w:r>
      <w:r w:rsidR="00F233AB" w:rsidRPr="00B02247">
        <w:t>and</w:t>
      </w:r>
      <w:r w:rsidR="005B2A41">
        <w:t xml:space="preserve"> </w:t>
      </w:r>
      <w:r w:rsidR="00F233AB" w:rsidRPr="00B02247">
        <w:t>local</w:t>
      </w:r>
      <w:r w:rsidR="005B2A41">
        <w:t xml:space="preserve"> </w:t>
      </w:r>
      <w:r w:rsidR="00F233AB" w:rsidRPr="00B02247">
        <w:t>level</w:t>
      </w:r>
      <w:r w:rsidR="005B2A41">
        <w:t xml:space="preserve"> </w:t>
      </w:r>
      <w:r w:rsidR="00F233AB" w:rsidRPr="00B02247">
        <w:t>for</w:t>
      </w:r>
      <w:r w:rsidR="005B2A41">
        <w:t xml:space="preserve"> </w:t>
      </w:r>
      <w:r w:rsidR="00F233AB" w:rsidRPr="00B02247">
        <w:t>the</w:t>
      </w:r>
      <w:r w:rsidR="005B2A41">
        <w:t xml:space="preserve"> </w:t>
      </w:r>
      <w:r w:rsidR="00F233AB" w:rsidRPr="00B02247">
        <w:t>design</w:t>
      </w:r>
      <w:r w:rsidR="005B2A41">
        <w:t xml:space="preserve"> </w:t>
      </w:r>
      <w:r w:rsidR="00F233AB" w:rsidRPr="00B02247">
        <w:t>and</w:t>
      </w:r>
      <w:r w:rsidR="005B2A41">
        <w:t xml:space="preserve"> </w:t>
      </w:r>
      <w:r w:rsidR="00F233AB" w:rsidRPr="00B02247">
        <w:t>implementation</w:t>
      </w:r>
      <w:r w:rsidR="005B2A41">
        <w:t xml:space="preserve"> </w:t>
      </w:r>
      <w:r w:rsidR="00F233AB" w:rsidRPr="00B02247">
        <w:t>of</w:t>
      </w:r>
      <w:r w:rsidR="005B2A41">
        <w:t xml:space="preserve"> </w:t>
      </w:r>
      <w:r w:rsidR="00F233AB" w:rsidRPr="00B02247">
        <w:t>interventions</w:t>
      </w:r>
      <w:r w:rsidR="005B2A41">
        <w:t xml:space="preserve"> </w:t>
      </w:r>
      <w:r w:rsidR="00F233AB" w:rsidRPr="00B02247">
        <w:t>on</w:t>
      </w:r>
      <w:r w:rsidR="005B2A41">
        <w:t xml:space="preserve"> </w:t>
      </w:r>
      <w:r w:rsidR="00F233AB" w:rsidRPr="00B02247">
        <w:t>Roma</w:t>
      </w:r>
      <w:r w:rsidR="005B2A41">
        <w:t xml:space="preserve"> </w:t>
      </w:r>
      <w:r w:rsidR="00F233AB" w:rsidRPr="00B02247">
        <w:t>issues,</w:t>
      </w:r>
      <w:r w:rsidR="005B2A41">
        <w:t xml:space="preserve"> </w:t>
      </w:r>
      <w:r w:rsidR="00F233AB" w:rsidRPr="00B02247">
        <w:t>as</w:t>
      </w:r>
      <w:r w:rsidR="005B2A41">
        <w:t xml:space="preserve"> </w:t>
      </w:r>
      <w:r w:rsidR="00F233AB" w:rsidRPr="00B02247">
        <w:t>well</w:t>
      </w:r>
      <w:r w:rsidR="005B2A41">
        <w:t xml:space="preserve"> </w:t>
      </w:r>
      <w:r w:rsidR="00F233AB" w:rsidRPr="00B02247">
        <w:t>as</w:t>
      </w:r>
      <w:r w:rsidR="005B2A41">
        <w:t xml:space="preserve"> </w:t>
      </w:r>
      <w:r w:rsidR="00F233AB" w:rsidRPr="00B02247">
        <w:t>the</w:t>
      </w:r>
      <w:r w:rsidR="005B2A41">
        <w:t xml:space="preserve"> </w:t>
      </w:r>
      <w:r w:rsidR="00F233AB" w:rsidRPr="00B02247">
        <w:t>coordination</w:t>
      </w:r>
      <w:r w:rsidR="005B2A41">
        <w:t xml:space="preserve"> </w:t>
      </w:r>
      <w:r w:rsidR="00F233AB" w:rsidRPr="00B02247">
        <w:t>and</w:t>
      </w:r>
      <w:r w:rsidR="005B2A41">
        <w:t xml:space="preserve"> </w:t>
      </w:r>
      <w:r w:rsidR="00F233AB" w:rsidRPr="00B02247">
        <w:t>the</w:t>
      </w:r>
      <w:r w:rsidR="005B2A41">
        <w:t xml:space="preserve"> </w:t>
      </w:r>
      <w:r w:rsidR="00F233AB" w:rsidRPr="00B02247">
        <w:t>cross-sectoral</w:t>
      </w:r>
      <w:r w:rsidR="005B2A41">
        <w:t xml:space="preserve"> </w:t>
      </w:r>
      <w:r w:rsidR="00F233AB" w:rsidRPr="00B02247">
        <w:t>monitoring</w:t>
      </w:r>
      <w:r w:rsidR="005B2A41">
        <w:t xml:space="preserve"> </w:t>
      </w:r>
      <w:r w:rsidR="00F233AB" w:rsidRPr="00B02247">
        <w:t>of</w:t>
      </w:r>
      <w:r w:rsidR="005B2A41">
        <w:t xml:space="preserve"> </w:t>
      </w:r>
      <w:r w:rsidR="00F233AB" w:rsidRPr="00B02247">
        <w:t>such</w:t>
      </w:r>
      <w:r w:rsidR="005B2A41">
        <w:t xml:space="preserve"> </w:t>
      </w:r>
      <w:r w:rsidR="00F233AB" w:rsidRPr="00B02247">
        <w:t>policies;</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data</w:t>
      </w:r>
      <w:r w:rsidR="005B2A41">
        <w:t xml:space="preserve"> </w:t>
      </w:r>
      <w:r w:rsidR="00F233AB" w:rsidRPr="00B02247">
        <w:t>collection</w:t>
      </w:r>
      <w:r w:rsidR="005B2A41">
        <w:t xml:space="preserve"> </w:t>
      </w:r>
      <w:r w:rsidR="00F233AB" w:rsidRPr="00B02247">
        <w:t>from</w:t>
      </w:r>
      <w:r w:rsidR="005B2A41">
        <w:t xml:space="preserve"> </w:t>
      </w:r>
      <w:r w:rsidR="00F233AB" w:rsidRPr="00B02247">
        <w:t>the</w:t>
      </w:r>
      <w:r w:rsidR="005B2A41">
        <w:t xml:space="preserve"> </w:t>
      </w:r>
      <w:r w:rsidR="00F233AB" w:rsidRPr="00B02247">
        <w:t>interventions</w:t>
      </w:r>
      <w:r w:rsidR="005B2A41">
        <w:t xml:space="preserve"> </w:t>
      </w:r>
      <w:r w:rsidR="00F233AB" w:rsidRPr="00B02247">
        <w:t>for</w:t>
      </w:r>
      <w:r w:rsidR="005B2A41">
        <w:t xml:space="preserve"> </w:t>
      </w:r>
      <w:r w:rsidR="00F233AB" w:rsidRPr="00B02247">
        <w:t>the</w:t>
      </w:r>
      <w:r w:rsidR="005B2A41">
        <w:t xml:space="preserve"> </w:t>
      </w:r>
      <w:r w:rsidR="00F233AB" w:rsidRPr="00B02247">
        <w:t>social</w:t>
      </w:r>
      <w:r w:rsidR="005B2A41">
        <w:t xml:space="preserve"> </w:t>
      </w:r>
      <w:r w:rsidR="00F233AB" w:rsidRPr="00B02247">
        <w:t>integration</w:t>
      </w:r>
      <w:r w:rsidR="005B2A41">
        <w:t xml:space="preserve"> </w:t>
      </w:r>
      <w:r w:rsidR="00F233AB" w:rsidRPr="00B02247">
        <w:t>of</w:t>
      </w:r>
      <w:r w:rsidR="005B2A41">
        <w:t xml:space="preserve"> </w:t>
      </w:r>
      <w:r w:rsidR="00F233AB" w:rsidRPr="00B02247">
        <w:t>the</w:t>
      </w:r>
      <w:r w:rsidR="005B2A41">
        <w:t xml:space="preserve"> </w:t>
      </w:r>
      <w:r w:rsidR="00F233AB" w:rsidRPr="00B02247">
        <w:t>Roma</w:t>
      </w:r>
      <w:r w:rsidR="005B2A41">
        <w:t xml:space="preserve"> </w:t>
      </w:r>
      <w:r w:rsidR="00F233AB" w:rsidRPr="00B02247">
        <w:t>and</w:t>
      </w:r>
      <w:r w:rsidR="005B2A41">
        <w:t xml:space="preserve"> </w:t>
      </w:r>
      <w:r w:rsidR="00F233AB" w:rsidRPr="00B02247">
        <w:t>the</w:t>
      </w:r>
      <w:r w:rsidR="005B2A41">
        <w:t xml:space="preserve"> </w:t>
      </w:r>
      <w:r w:rsidR="00F233AB" w:rsidRPr="00B02247">
        <w:t>mapping</w:t>
      </w:r>
      <w:r w:rsidR="005B2A41">
        <w:t xml:space="preserve"> </w:t>
      </w:r>
      <w:r w:rsidR="00F233AB" w:rsidRPr="00B02247">
        <w:t>of</w:t>
      </w:r>
      <w:r w:rsidR="005B2A41">
        <w:t xml:space="preserve"> </w:t>
      </w:r>
      <w:r w:rsidR="00F233AB" w:rsidRPr="00B02247">
        <w:t>the</w:t>
      </w:r>
      <w:r w:rsidR="005B2A41">
        <w:t xml:space="preserve"> </w:t>
      </w:r>
      <w:r w:rsidR="00F233AB" w:rsidRPr="00B02247">
        <w:t>features</w:t>
      </w:r>
      <w:r w:rsidR="005B2A41">
        <w:t xml:space="preserve"> </w:t>
      </w:r>
      <w:r w:rsidR="00F233AB" w:rsidRPr="00B02247">
        <w:t>of</w:t>
      </w:r>
      <w:r w:rsidR="005B2A41">
        <w:t xml:space="preserve"> </w:t>
      </w:r>
      <w:r w:rsidR="00F233AB" w:rsidRPr="00B02247">
        <w:t>the</w:t>
      </w:r>
      <w:r w:rsidR="005B2A41">
        <w:t xml:space="preserve"> </w:t>
      </w:r>
      <w:r w:rsidR="00F233AB" w:rsidRPr="00B02247">
        <w:t>Roma</w:t>
      </w:r>
      <w:r w:rsidR="005B2A41">
        <w:t xml:space="preserve"> </w:t>
      </w:r>
      <w:r w:rsidR="00F233AB" w:rsidRPr="00B02247">
        <w:t>populations</w:t>
      </w:r>
      <w:r w:rsidR="005B2A41">
        <w:t xml:space="preserve"> </w:t>
      </w:r>
      <w:r w:rsidR="00F233AB" w:rsidRPr="00B02247">
        <w:t>who</w:t>
      </w:r>
      <w:r w:rsidR="005B2A41">
        <w:t xml:space="preserve"> </w:t>
      </w:r>
      <w:r w:rsidR="00F233AB" w:rsidRPr="00B02247">
        <w:t>live</w:t>
      </w:r>
      <w:r w:rsidR="005B2A41">
        <w:t xml:space="preserve"> </w:t>
      </w:r>
      <w:r w:rsidR="00F233AB" w:rsidRPr="00B02247">
        <w:t>in</w:t>
      </w:r>
      <w:r w:rsidR="005B2A41">
        <w:t xml:space="preserve"> </w:t>
      </w:r>
      <w:r w:rsidR="00F233AB" w:rsidRPr="00B02247">
        <w:t>camps</w:t>
      </w:r>
      <w:r w:rsidR="005B2A41">
        <w:t xml:space="preserve"> </w:t>
      </w:r>
      <w:r w:rsidR="00F233AB" w:rsidRPr="00B02247">
        <w:t>and</w:t>
      </w:r>
      <w:r w:rsidR="005B2A41">
        <w:t xml:space="preserve"> </w:t>
      </w:r>
      <w:r w:rsidR="00F233AB" w:rsidRPr="00B02247">
        <w:t>settlements</w:t>
      </w:r>
      <w:r w:rsidR="005B2A41">
        <w:t xml:space="preserve"> </w:t>
      </w:r>
      <w:r w:rsidR="00F233AB" w:rsidRPr="00B02247">
        <w:t>outside</w:t>
      </w:r>
      <w:r w:rsidR="005B2A41">
        <w:t xml:space="preserve"> </w:t>
      </w:r>
      <w:r w:rsidR="00F233AB" w:rsidRPr="00B02247">
        <w:t>the</w:t>
      </w:r>
      <w:r w:rsidR="005B2A41">
        <w:t xml:space="preserve"> </w:t>
      </w:r>
      <w:r w:rsidR="00F233AB" w:rsidRPr="00B02247">
        <w:t>urban</w:t>
      </w:r>
      <w:r w:rsidR="005B2A41">
        <w:t xml:space="preserve"> </w:t>
      </w:r>
      <w:r w:rsidR="00F233AB" w:rsidRPr="00B02247">
        <w:t>fabric;</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the</w:t>
      </w:r>
      <w:r w:rsidR="005B2A41">
        <w:t xml:space="preserve"> </w:t>
      </w:r>
      <w:r w:rsidR="00F233AB" w:rsidRPr="00B02247">
        <w:t>monitoring</w:t>
      </w:r>
      <w:r w:rsidR="005B2A41">
        <w:t xml:space="preserve"> </w:t>
      </w:r>
      <w:r w:rsidR="00F233AB" w:rsidRPr="00B02247">
        <w:t>and</w:t>
      </w:r>
      <w:r w:rsidR="005B2A41">
        <w:t xml:space="preserve"> </w:t>
      </w:r>
      <w:r w:rsidR="00F233AB" w:rsidRPr="00B02247">
        <w:t>assessment</w:t>
      </w:r>
      <w:r w:rsidR="005B2A41">
        <w:t xml:space="preserve"> </w:t>
      </w:r>
      <w:r w:rsidR="00F233AB" w:rsidRPr="00B02247">
        <w:t>of</w:t>
      </w:r>
      <w:r w:rsidR="005B2A41">
        <w:t xml:space="preserve"> </w:t>
      </w:r>
      <w:r w:rsidR="00F233AB" w:rsidRPr="00B02247">
        <w:t>relevant</w:t>
      </w:r>
      <w:r w:rsidR="005B2A41">
        <w:t xml:space="preserve"> </w:t>
      </w:r>
      <w:r w:rsidR="00F233AB" w:rsidRPr="00B02247">
        <w:t>policies,</w:t>
      </w:r>
      <w:r w:rsidR="005B2A41">
        <w:t xml:space="preserve"> </w:t>
      </w:r>
      <w:r w:rsidR="00F233AB" w:rsidRPr="00B02247">
        <w:t>including</w:t>
      </w:r>
      <w:r w:rsidR="005B2A41">
        <w:t xml:space="preserve"> </w:t>
      </w:r>
      <w:r w:rsidR="00F233AB" w:rsidRPr="00B02247">
        <w:t>the</w:t>
      </w:r>
      <w:r w:rsidR="005B2A41">
        <w:t xml:space="preserve"> </w:t>
      </w:r>
      <w:r w:rsidR="00F233AB" w:rsidRPr="00B02247">
        <w:t>implementation</w:t>
      </w:r>
      <w:r w:rsidR="005B2A41">
        <w:t xml:space="preserve"> </w:t>
      </w:r>
      <w:r w:rsidR="00F233AB" w:rsidRPr="00B02247">
        <w:t>of</w:t>
      </w:r>
      <w:r w:rsidR="005B2A41">
        <w:t xml:space="preserve"> </w:t>
      </w:r>
      <w:r w:rsidR="00F233AB" w:rsidRPr="00B02247">
        <w:t>the</w:t>
      </w:r>
      <w:r w:rsidR="005B2A41">
        <w:t xml:space="preserve"> </w:t>
      </w:r>
      <w:r w:rsidR="00F233AB" w:rsidRPr="00B02247">
        <w:t>National</w:t>
      </w:r>
      <w:r w:rsidR="005B2A41">
        <w:t xml:space="preserve"> </w:t>
      </w:r>
      <w:r w:rsidR="00F233AB" w:rsidRPr="00B02247">
        <w:t>Strategic</w:t>
      </w:r>
      <w:r w:rsidR="005B2A41">
        <w:t xml:space="preserve"> </w:t>
      </w:r>
      <w:r w:rsidR="00F233AB" w:rsidRPr="00B02247">
        <w:t>Framework</w:t>
      </w:r>
      <w:r w:rsidR="005B2A41">
        <w:t xml:space="preserve"> </w:t>
      </w:r>
      <w:r w:rsidR="00F233AB" w:rsidRPr="00B02247">
        <w:t>for</w:t>
      </w:r>
      <w:r w:rsidR="005B2A41">
        <w:t xml:space="preserve"> </w:t>
      </w:r>
      <w:r w:rsidR="00F233AB" w:rsidRPr="00B02247">
        <w:t>Roma</w:t>
      </w:r>
      <w:r w:rsidR="005B2A41">
        <w:t xml:space="preserve"> </w:t>
      </w:r>
      <w:r w:rsidR="00F233AB" w:rsidRPr="00B02247">
        <w:t>and</w:t>
      </w:r>
      <w:r w:rsidR="005B2A41">
        <w:t xml:space="preserve"> </w:t>
      </w:r>
      <w:r w:rsidR="00F233AB" w:rsidRPr="00B02247">
        <w:t>the</w:t>
      </w:r>
      <w:r w:rsidR="005B2A41">
        <w:t xml:space="preserve"> </w:t>
      </w:r>
      <w:r w:rsidR="00F233AB" w:rsidRPr="00B02247">
        <w:t>preparation</w:t>
      </w:r>
      <w:r w:rsidR="005B2A41">
        <w:t xml:space="preserve"> </w:t>
      </w:r>
      <w:r w:rsidR="00F233AB" w:rsidRPr="00B02247">
        <w:t>of</w:t>
      </w:r>
      <w:r w:rsidR="005B2A41">
        <w:t xml:space="preserve"> </w:t>
      </w:r>
      <w:r w:rsidR="00F233AB" w:rsidRPr="00B02247">
        <w:t>the</w:t>
      </w:r>
      <w:r w:rsidR="005B2A41">
        <w:t xml:space="preserve"> </w:t>
      </w:r>
      <w:r w:rsidR="00F233AB" w:rsidRPr="00B02247">
        <w:t>required</w:t>
      </w:r>
      <w:r w:rsidR="005B2A41">
        <w:t xml:space="preserve"> </w:t>
      </w:r>
      <w:r w:rsidR="00F233AB" w:rsidRPr="00B02247">
        <w:t>reports;</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the</w:t>
      </w:r>
      <w:r w:rsidR="005B2A41">
        <w:t xml:space="preserve"> </w:t>
      </w:r>
      <w:r w:rsidR="00F233AB" w:rsidRPr="00B02247">
        <w:t>designing</w:t>
      </w:r>
      <w:r w:rsidR="005B2A41">
        <w:t xml:space="preserve"> </w:t>
      </w:r>
      <w:r w:rsidR="00F233AB" w:rsidRPr="00B02247">
        <w:t>of</w:t>
      </w:r>
      <w:r w:rsidR="005B2A41">
        <w:t xml:space="preserve"> </w:t>
      </w:r>
      <w:r w:rsidR="00F233AB" w:rsidRPr="00B02247">
        <w:t>legislative</w:t>
      </w:r>
      <w:r w:rsidR="005B2A41">
        <w:t xml:space="preserve"> </w:t>
      </w:r>
      <w:r w:rsidR="00F233AB" w:rsidRPr="00B02247">
        <w:t>and</w:t>
      </w:r>
      <w:r w:rsidR="005B2A41">
        <w:t xml:space="preserve"> </w:t>
      </w:r>
      <w:r w:rsidR="00F233AB" w:rsidRPr="00B02247">
        <w:t>administrative</w:t>
      </w:r>
      <w:r w:rsidR="005B2A41">
        <w:t xml:space="preserve"> </w:t>
      </w:r>
      <w:r w:rsidR="00F233AB" w:rsidRPr="00B02247">
        <w:t>measures</w:t>
      </w:r>
      <w:r w:rsidR="005B2A41">
        <w:t xml:space="preserve"> </w:t>
      </w:r>
      <w:r w:rsidR="00F233AB" w:rsidRPr="00B02247">
        <w:t>for</w:t>
      </w:r>
      <w:r w:rsidR="005B2A41">
        <w:t xml:space="preserve"> </w:t>
      </w:r>
      <w:r w:rsidR="00F233AB" w:rsidRPr="00B02247">
        <w:t>the</w:t>
      </w:r>
      <w:r w:rsidR="005B2A41">
        <w:t xml:space="preserve"> </w:t>
      </w:r>
      <w:r w:rsidR="00F233AB" w:rsidRPr="00B02247">
        <w:t>advancement</w:t>
      </w:r>
      <w:r w:rsidR="005B2A41">
        <w:t xml:space="preserve"> </w:t>
      </w:r>
      <w:r w:rsidR="00F233AB" w:rsidRPr="00B02247">
        <w:t>of</w:t>
      </w:r>
      <w:r w:rsidR="005B2A41">
        <w:t xml:space="preserve"> </w:t>
      </w:r>
      <w:r w:rsidR="00F233AB" w:rsidRPr="00B02247">
        <w:t>the</w:t>
      </w:r>
      <w:r w:rsidR="005B2A41">
        <w:t xml:space="preserve"> </w:t>
      </w:r>
      <w:r w:rsidR="00F233AB" w:rsidRPr="00B02247">
        <w:t>National</w:t>
      </w:r>
      <w:r w:rsidR="005B2A41">
        <w:t xml:space="preserve"> </w:t>
      </w:r>
      <w:r w:rsidR="00F233AB" w:rsidRPr="00B02247">
        <w:t>Strategic</w:t>
      </w:r>
      <w:r w:rsidR="005B2A41">
        <w:t xml:space="preserve"> </w:t>
      </w:r>
      <w:r w:rsidR="00F233AB" w:rsidRPr="00B02247">
        <w:t>Framework</w:t>
      </w:r>
      <w:r w:rsidR="005B2A41">
        <w:t xml:space="preserve"> </w:t>
      </w:r>
      <w:r w:rsidR="00F233AB" w:rsidRPr="00B02247">
        <w:t>for</w:t>
      </w:r>
      <w:r w:rsidR="005B2A41">
        <w:t xml:space="preserve"> </w:t>
      </w:r>
      <w:r w:rsidR="00F233AB" w:rsidRPr="00B02247">
        <w:t>Roma;</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the</w:t>
      </w:r>
      <w:r w:rsidR="005B2A41">
        <w:t xml:space="preserve"> </w:t>
      </w:r>
      <w:r w:rsidR="00F233AB" w:rsidRPr="00B02247">
        <w:t>provision</w:t>
      </w:r>
      <w:r w:rsidR="005B2A41">
        <w:t xml:space="preserve"> </w:t>
      </w:r>
      <w:r w:rsidR="00F233AB" w:rsidRPr="00B02247">
        <w:t>of</w:t>
      </w:r>
      <w:r w:rsidR="005B2A41">
        <w:t xml:space="preserve"> </w:t>
      </w:r>
      <w:r w:rsidR="00F233AB" w:rsidRPr="00B02247">
        <w:t>guidance</w:t>
      </w:r>
      <w:r w:rsidR="005B2A41">
        <w:t xml:space="preserve"> </w:t>
      </w:r>
      <w:r w:rsidR="00F233AB" w:rsidRPr="00B02247">
        <w:t>and</w:t>
      </w:r>
      <w:r w:rsidR="005B2A41">
        <w:t xml:space="preserve"> </w:t>
      </w:r>
      <w:r w:rsidR="00F233AB" w:rsidRPr="00B02247">
        <w:t>technical</w:t>
      </w:r>
      <w:r w:rsidR="005B2A41">
        <w:t xml:space="preserve"> </w:t>
      </w:r>
      <w:r w:rsidR="00F233AB" w:rsidRPr="00B02247">
        <w:t>support</w:t>
      </w:r>
      <w:r w:rsidR="005B2A41">
        <w:t xml:space="preserve"> </w:t>
      </w:r>
      <w:r w:rsidR="00F233AB" w:rsidRPr="00B02247">
        <w:t>to</w:t>
      </w:r>
      <w:r w:rsidR="005B2A41">
        <w:t xml:space="preserve"> </w:t>
      </w:r>
      <w:r w:rsidR="00F233AB" w:rsidRPr="00B02247">
        <w:t>the</w:t>
      </w:r>
      <w:r w:rsidR="005B2A41">
        <w:t xml:space="preserve"> </w:t>
      </w:r>
      <w:r w:rsidR="00F233AB" w:rsidRPr="00B02247">
        <w:t>stakeholders</w:t>
      </w:r>
      <w:r w:rsidR="005B2A41">
        <w:t xml:space="preserve"> </w:t>
      </w:r>
      <w:r w:rsidR="00F233AB" w:rsidRPr="00B02247">
        <w:t>involved</w:t>
      </w:r>
      <w:r w:rsidR="005B2A41">
        <w:t xml:space="preserve"> </w:t>
      </w:r>
      <w:r w:rsidR="00F233AB" w:rsidRPr="00B02247">
        <w:t>for</w:t>
      </w:r>
      <w:r w:rsidR="005B2A41">
        <w:t xml:space="preserve"> </w:t>
      </w:r>
      <w:r w:rsidR="00F233AB" w:rsidRPr="00B02247">
        <w:t>the</w:t>
      </w:r>
      <w:r w:rsidR="005B2A41">
        <w:t xml:space="preserve"> </w:t>
      </w:r>
      <w:r w:rsidR="00F233AB" w:rsidRPr="00B02247">
        <w:t>designing</w:t>
      </w:r>
      <w:r w:rsidR="005B2A41">
        <w:t xml:space="preserve"> </w:t>
      </w:r>
      <w:r w:rsidR="00F233AB" w:rsidRPr="00B02247">
        <w:t>and</w:t>
      </w:r>
      <w:r w:rsidR="005B2A41">
        <w:t xml:space="preserve"> </w:t>
      </w:r>
      <w:r w:rsidR="00F233AB" w:rsidRPr="00B02247">
        <w:t>assessment</w:t>
      </w:r>
      <w:r w:rsidR="005B2A41">
        <w:t xml:space="preserve"> </w:t>
      </w:r>
      <w:r w:rsidR="00F233AB" w:rsidRPr="00B02247">
        <w:t>of</w:t>
      </w:r>
      <w:r w:rsidR="005B2A41">
        <w:t xml:space="preserve"> </w:t>
      </w:r>
      <w:r w:rsidR="00F233AB" w:rsidRPr="00B02247">
        <w:t>issues</w:t>
      </w:r>
      <w:r w:rsidR="005B2A41">
        <w:t xml:space="preserve"> </w:t>
      </w:r>
      <w:r w:rsidR="00F233AB" w:rsidRPr="00B02247">
        <w:t>pertaining</w:t>
      </w:r>
      <w:r w:rsidR="005B2A41">
        <w:t xml:space="preserve"> </w:t>
      </w:r>
      <w:r w:rsidR="00F233AB" w:rsidRPr="00B02247">
        <w:t>to</w:t>
      </w:r>
      <w:r w:rsidR="005B2A41">
        <w:t xml:space="preserve"> </w:t>
      </w:r>
      <w:r w:rsidR="00F233AB" w:rsidRPr="00B02247">
        <w:t>the</w:t>
      </w:r>
      <w:r w:rsidR="005B2A41">
        <w:t xml:space="preserve"> </w:t>
      </w:r>
      <w:r w:rsidR="00F233AB" w:rsidRPr="00B02247">
        <w:t>Roma</w:t>
      </w:r>
      <w:r w:rsidR="005B2A41">
        <w:t xml:space="preserve"> </w:t>
      </w:r>
      <w:r w:rsidR="00F233AB" w:rsidRPr="00B02247">
        <w:t>population.</w:t>
      </w:r>
    </w:p>
    <w:p w:rsidR="00F233AB" w:rsidRPr="00B02247" w:rsidRDefault="00F233AB" w:rsidP="00E1307D">
      <w:pPr>
        <w:pStyle w:val="SingleTxtG"/>
      </w:pPr>
      <w:r w:rsidRPr="00B02247">
        <w:t>88.</w:t>
      </w:r>
      <w:r w:rsidRPr="00B02247">
        <w:tab/>
        <w:t>Moreover,</w:t>
      </w:r>
      <w:r w:rsidR="005B2A41">
        <w:t xml:space="preserve"> </w:t>
      </w:r>
      <w:r w:rsidRPr="00B02247">
        <w:t>the</w:t>
      </w:r>
      <w:r w:rsidR="005B2A41">
        <w:t xml:space="preserve"> </w:t>
      </w:r>
      <w:r w:rsidRPr="00B02247">
        <w:t>Special</w:t>
      </w:r>
      <w:r w:rsidR="005B2A41">
        <w:t xml:space="preserve"> </w:t>
      </w:r>
      <w:r w:rsidRPr="00B02247">
        <w:t>Secretariat</w:t>
      </w:r>
      <w:r w:rsidR="005B2A41">
        <w:t xml:space="preserve"> </w:t>
      </w:r>
      <w:r w:rsidRPr="00B02247">
        <w:t>has</w:t>
      </w:r>
      <w:r w:rsidR="005B2A41">
        <w:t xml:space="preserve"> </w:t>
      </w:r>
      <w:r w:rsidRPr="00B02247">
        <w:t>been</w:t>
      </w:r>
      <w:r w:rsidR="005B2A41">
        <w:t xml:space="preserve"> </w:t>
      </w:r>
      <w:r w:rsidRPr="00B02247">
        <w:t>designated</w:t>
      </w:r>
      <w:r w:rsidR="005B2A41">
        <w:t xml:space="preserve"> </w:t>
      </w:r>
      <w:r w:rsidRPr="00B02247">
        <w:t>as</w:t>
      </w:r>
      <w:r w:rsidR="005B2A41">
        <w:t xml:space="preserve"> </w:t>
      </w:r>
      <w:r w:rsidRPr="00B02247">
        <w:t>the</w:t>
      </w:r>
      <w:r w:rsidR="005B2A41">
        <w:t xml:space="preserve"> </w:t>
      </w:r>
      <w:r w:rsidRPr="00B02247">
        <w:t>new</w:t>
      </w:r>
      <w:r w:rsidR="005B2A41">
        <w:t xml:space="preserve"> </w:t>
      </w:r>
      <w:r w:rsidRPr="00B02247">
        <w:t>National</w:t>
      </w:r>
      <w:r w:rsidR="005B2A41">
        <w:t xml:space="preserve"> </w:t>
      </w:r>
      <w:r w:rsidRPr="00B02247">
        <w:t>Roma</w:t>
      </w:r>
      <w:r w:rsidR="005B2A41">
        <w:t xml:space="preserve"> </w:t>
      </w:r>
      <w:r w:rsidRPr="00B02247">
        <w:t>Contact</w:t>
      </w:r>
      <w:r w:rsidR="005B2A41">
        <w:t xml:space="preserve"> </w:t>
      </w:r>
      <w:r w:rsidRPr="00B02247">
        <w:t>Point.</w:t>
      </w:r>
      <w:r w:rsidR="005B2A41">
        <w:t xml:space="preserve"> </w:t>
      </w:r>
      <w:r w:rsidRPr="00B02247">
        <w:t>In</w:t>
      </w:r>
      <w:r w:rsidR="005B2A41">
        <w:t xml:space="preserve"> </w:t>
      </w:r>
      <w:r w:rsidRPr="00B02247">
        <w:t>this</w:t>
      </w:r>
      <w:r w:rsidR="005B2A41">
        <w:t xml:space="preserve"> </w:t>
      </w:r>
      <w:r w:rsidRPr="00B02247">
        <w:t>framework,</w:t>
      </w:r>
      <w:r w:rsidR="005B2A41">
        <w:t xml:space="preserve"> </w:t>
      </w:r>
      <w:r w:rsidRPr="00B02247">
        <w:t>it</w:t>
      </w:r>
      <w:r w:rsidR="005B2A41">
        <w:t xml:space="preserve"> </w:t>
      </w:r>
      <w:r w:rsidRPr="00B02247">
        <w:t>is</w:t>
      </w:r>
      <w:r w:rsidR="005B2A41">
        <w:t xml:space="preserve"> </w:t>
      </w:r>
      <w:r w:rsidRPr="00B02247">
        <w:t>currently</w:t>
      </w:r>
      <w:r w:rsidR="005B2A41">
        <w:t xml:space="preserve"> </w:t>
      </w:r>
      <w:r w:rsidRPr="00B02247">
        <w:t>drafting</w:t>
      </w:r>
      <w:r w:rsidR="005B2A41">
        <w:t xml:space="preserve"> </w:t>
      </w:r>
      <w:r w:rsidRPr="00B02247">
        <w:t>an</w:t>
      </w:r>
      <w:r w:rsidR="005B2A41">
        <w:t xml:space="preserve"> </w:t>
      </w:r>
      <w:r w:rsidRPr="00B02247">
        <w:t>operational</w:t>
      </w:r>
      <w:r w:rsidR="005B2A41">
        <w:t xml:space="preserve"> </w:t>
      </w:r>
      <w:r w:rsidRPr="00B02247">
        <w:t>plan</w:t>
      </w:r>
      <w:r w:rsidR="005B2A41">
        <w:t xml:space="preserve"> </w:t>
      </w:r>
      <w:r w:rsidRPr="00B02247">
        <w:t>for</w:t>
      </w:r>
      <w:r w:rsidR="005B2A41">
        <w:t xml:space="preserve"> </w:t>
      </w:r>
      <w:r w:rsidRPr="00B02247">
        <w:t>the</w:t>
      </w:r>
      <w:r w:rsidR="005B2A41">
        <w:t xml:space="preserve"> </w:t>
      </w:r>
      <w:r w:rsidRPr="00B02247">
        <w:t>implementation</w:t>
      </w:r>
      <w:r w:rsidR="005B2A41">
        <w:t xml:space="preserve"> </w:t>
      </w:r>
      <w:r w:rsidRPr="00B02247">
        <w:t>of</w:t>
      </w:r>
      <w:r w:rsidR="005B2A41">
        <w:t xml:space="preserve"> </w:t>
      </w:r>
      <w:r w:rsidRPr="00B02247">
        <w:t>the</w:t>
      </w:r>
      <w:r w:rsidR="005B2A41">
        <w:t xml:space="preserve"> </w:t>
      </w:r>
      <w:r w:rsidRPr="00B02247">
        <w:t>national</w:t>
      </w:r>
      <w:r w:rsidR="005B2A41">
        <w:t xml:space="preserve"> </w:t>
      </w:r>
      <w:r w:rsidRPr="00B02247">
        <w:t>and</w:t>
      </w:r>
      <w:r w:rsidR="005B2A41">
        <w:t xml:space="preserve"> </w:t>
      </w:r>
      <w:r w:rsidRPr="00B02247">
        <w:t>regional</w:t>
      </w:r>
      <w:r w:rsidR="005B2A41">
        <w:t xml:space="preserve"> </w:t>
      </w:r>
      <w:r w:rsidRPr="00B02247">
        <w:t>strategies</w:t>
      </w:r>
      <w:r w:rsidR="005B2A41">
        <w:t xml:space="preserve"> </w:t>
      </w:r>
      <w:r w:rsidRPr="00B02247">
        <w:t>that</w:t>
      </w:r>
      <w:r w:rsidR="005B2A41">
        <w:t xml:space="preserve"> </w:t>
      </w:r>
      <w:r w:rsidRPr="00B02247">
        <w:t>will</w:t>
      </w:r>
      <w:r w:rsidR="005B2A41">
        <w:t xml:space="preserve"> </w:t>
      </w:r>
      <w:r w:rsidRPr="00B02247">
        <w:t>be</w:t>
      </w:r>
      <w:r w:rsidR="005B2A41">
        <w:t xml:space="preserve"> </w:t>
      </w:r>
      <w:r w:rsidRPr="00B02247">
        <w:t>implemented</w:t>
      </w:r>
      <w:r w:rsidR="005B2A41">
        <w:t xml:space="preserve"> </w:t>
      </w:r>
      <w:r w:rsidRPr="00B02247">
        <w:t>during</w:t>
      </w:r>
      <w:r w:rsidR="005B2A41">
        <w:t xml:space="preserve"> </w:t>
      </w:r>
      <w:r w:rsidRPr="00B02247">
        <w:t>the</w:t>
      </w:r>
      <w:r w:rsidR="005B2A41">
        <w:t xml:space="preserve"> </w:t>
      </w:r>
      <w:r w:rsidRPr="00B02247">
        <w:t>period</w:t>
      </w:r>
      <w:r w:rsidR="005B2A41">
        <w:t xml:space="preserve"> </w:t>
      </w:r>
      <w:r w:rsidRPr="00B02247">
        <w:t>2017</w:t>
      </w:r>
      <w:r w:rsidR="00915034">
        <w:t>–</w:t>
      </w:r>
      <w:r w:rsidRPr="00B02247">
        <w:t>2021</w:t>
      </w:r>
      <w:r w:rsidR="005B2A41">
        <w:t xml:space="preserve"> </w:t>
      </w:r>
      <w:r w:rsidRPr="00B02247">
        <w:t>based</w:t>
      </w:r>
      <w:r w:rsidR="005B2A41">
        <w:t xml:space="preserve"> </w:t>
      </w:r>
      <w:r w:rsidRPr="00B02247">
        <w:t>on</w:t>
      </w:r>
      <w:r w:rsidR="005B2A41">
        <w:t xml:space="preserve"> </w:t>
      </w:r>
      <w:r w:rsidRPr="00B02247">
        <w:t>the</w:t>
      </w:r>
      <w:r w:rsidR="005B2A41">
        <w:t xml:space="preserve"> </w:t>
      </w:r>
      <w:r w:rsidRPr="00B02247">
        <w:t>mapping</w:t>
      </w:r>
      <w:r w:rsidR="005B2A41">
        <w:t xml:space="preserve"> </w:t>
      </w:r>
      <w:r w:rsidRPr="00B02247">
        <w:t>of</w:t>
      </w:r>
      <w:r w:rsidR="005B2A41">
        <w:t xml:space="preserve"> </w:t>
      </w:r>
      <w:r w:rsidRPr="00B02247">
        <w:t>the</w:t>
      </w:r>
      <w:r w:rsidR="005B2A41">
        <w:t xml:space="preserve"> </w:t>
      </w:r>
      <w:r w:rsidRPr="00B02247">
        <w:t>Roma</w:t>
      </w:r>
      <w:r w:rsidR="005B2A41">
        <w:t xml:space="preserve"> </w:t>
      </w:r>
      <w:r w:rsidRPr="00B02247">
        <w:t>settlements</w:t>
      </w:r>
      <w:r w:rsidR="005B2A41">
        <w:t xml:space="preserve"> </w:t>
      </w:r>
      <w:r w:rsidRPr="00B02247">
        <w:t>and</w:t>
      </w:r>
      <w:r w:rsidR="005B2A41">
        <w:t xml:space="preserve"> </w:t>
      </w:r>
      <w:r w:rsidRPr="00B02247">
        <w:t>the</w:t>
      </w:r>
      <w:r w:rsidR="005B2A41">
        <w:t xml:space="preserve"> </w:t>
      </w:r>
      <w:r w:rsidRPr="00B02247">
        <w:t>subsequent</w:t>
      </w:r>
      <w:r w:rsidR="005B2A41">
        <w:t xml:space="preserve"> </w:t>
      </w:r>
      <w:r w:rsidRPr="00B02247">
        <w:t>typological</w:t>
      </w:r>
      <w:r w:rsidR="005B2A41">
        <w:t xml:space="preserve"> </w:t>
      </w:r>
      <w:r w:rsidRPr="00B02247">
        <w:t>classification.</w:t>
      </w:r>
    </w:p>
    <w:p w:rsidR="00F233AB" w:rsidRPr="00B02247" w:rsidRDefault="00F233AB" w:rsidP="00E1307D">
      <w:pPr>
        <w:pStyle w:val="SingleTxtG"/>
      </w:pPr>
      <w:r w:rsidRPr="00B02247">
        <w:lastRenderedPageBreak/>
        <w:t>89.</w:t>
      </w:r>
      <w:r w:rsidRPr="00B02247">
        <w:tab/>
        <w:t>Under</w:t>
      </w:r>
      <w:r w:rsidR="005B2A41">
        <w:t xml:space="preserve"> </w:t>
      </w:r>
      <w:r w:rsidRPr="00B02247">
        <w:t>Law</w:t>
      </w:r>
      <w:r w:rsidR="005B2A41">
        <w:t xml:space="preserve"> </w:t>
      </w:r>
      <w:r w:rsidRPr="00B02247">
        <w:t>4198/2013</w:t>
      </w:r>
      <w:r w:rsidR="005B2A41">
        <w:t xml:space="preserve"> </w:t>
      </w:r>
      <w:r w:rsidRPr="00B02247">
        <w:t>(which</w:t>
      </w:r>
      <w:r w:rsidR="005B2A41">
        <w:t xml:space="preserve"> </w:t>
      </w:r>
      <w:r w:rsidRPr="00B02247">
        <w:t>transposed</w:t>
      </w:r>
      <w:r w:rsidR="005B2A41">
        <w:t xml:space="preserve"> </w:t>
      </w:r>
      <w:r w:rsidRPr="00B02247">
        <w:t>EU</w:t>
      </w:r>
      <w:r w:rsidR="005B2A41">
        <w:t xml:space="preserve"> </w:t>
      </w:r>
      <w:r w:rsidRPr="00B02247">
        <w:t>Directive</w:t>
      </w:r>
      <w:r w:rsidR="005B2A41">
        <w:t xml:space="preserve"> </w:t>
      </w:r>
      <w:r w:rsidRPr="00B02247">
        <w:t>2011/36),</w:t>
      </w:r>
      <w:r w:rsidR="005B2A41">
        <w:t xml:space="preserve"> </w:t>
      </w:r>
      <w:r w:rsidRPr="00B02247">
        <w:t>the</w:t>
      </w:r>
      <w:r w:rsidR="005B2A41">
        <w:t xml:space="preserve"> </w:t>
      </w:r>
      <w:r w:rsidRPr="00B02247">
        <w:t>Office</w:t>
      </w:r>
      <w:r w:rsidR="005B2A41">
        <w:t xml:space="preserve"> </w:t>
      </w:r>
      <w:r w:rsidRPr="00B02247">
        <w:t>of</w:t>
      </w:r>
      <w:r w:rsidR="005B2A41">
        <w:t xml:space="preserve"> </w:t>
      </w:r>
      <w:r w:rsidRPr="00B02247">
        <w:t>the</w:t>
      </w:r>
      <w:r w:rsidR="005B2A41">
        <w:t xml:space="preserve"> </w:t>
      </w:r>
      <w:r w:rsidRPr="00B02247">
        <w:t>National</w:t>
      </w:r>
      <w:r w:rsidR="005B2A41">
        <w:t xml:space="preserve"> </w:t>
      </w:r>
      <w:r w:rsidRPr="00B02247">
        <w:t>Rapporteur</w:t>
      </w:r>
      <w:r w:rsidR="005B2A41">
        <w:t xml:space="preserve"> </w:t>
      </w:r>
      <w:r w:rsidRPr="00B02247">
        <w:t>(NRO)</w:t>
      </w:r>
      <w:r w:rsidR="005B2A41">
        <w:t xml:space="preserve"> </w:t>
      </w:r>
      <w:r w:rsidRPr="00B02247">
        <w:t>on</w:t>
      </w:r>
      <w:r w:rsidR="005B2A41">
        <w:t xml:space="preserve"> </w:t>
      </w:r>
      <w:r w:rsidRPr="00B02247">
        <w:t>combating</w:t>
      </w:r>
      <w:r w:rsidR="005B2A41">
        <w:t xml:space="preserve"> </w:t>
      </w:r>
      <w:r w:rsidRPr="00B02247">
        <w:t>trafficking</w:t>
      </w:r>
      <w:r w:rsidR="005B2A41">
        <w:t xml:space="preserve"> </w:t>
      </w:r>
      <w:r w:rsidRPr="00B02247">
        <w:t>in</w:t>
      </w:r>
      <w:r w:rsidR="005B2A41">
        <w:t xml:space="preserve"> </w:t>
      </w:r>
      <w:r w:rsidRPr="00B02247">
        <w:t>human</w:t>
      </w:r>
      <w:r w:rsidR="005B2A41">
        <w:t xml:space="preserve"> </w:t>
      </w:r>
      <w:r w:rsidRPr="00B02247">
        <w:t>beings</w:t>
      </w:r>
      <w:r w:rsidR="005B2A41">
        <w:t xml:space="preserve"> </w:t>
      </w:r>
      <w:r w:rsidRPr="00B02247">
        <w:t>was</w:t>
      </w:r>
      <w:r w:rsidR="005B2A41">
        <w:t xml:space="preserve"> </w:t>
      </w:r>
      <w:r w:rsidRPr="00B02247">
        <w:t>established</w:t>
      </w:r>
      <w:r w:rsidR="005B2A41">
        <w:t xml:space="preserve"> </w:t>
      </w:r>
      <w:r w:rsidRPr="00B02247">
        <w:t>within</w:t>
      </w:r>
      <w:r w:rsidR="005B2A41">
        <w:t xml:space="preserve"> </w:t>
      </w:r>
      <w:r w:rsidRPr="00B02247">
        <w:t>the</w:t>
      </w:r>
      <w:r w:rsidR="005B2A41">
        <w:t xml:space="preserve"> </w:t>
      </w:r>
      <w:r w:rsidRPr="00B02247">
        <w:t>Minister</w:t>
      </w:r>
      <w:r w:rsidR="005B2A41">
        <w:t xml:space="preserve"> </w:t>
      </w:r>
      <w:r w:rsidRPr="00B02247">
        <w:t>of</w:t>
      </w:r>
      <w:r w:rsidR="005B2A41">
        <w:t xml:space="preserve"> </w:t>
      </w:r>
      <w:r w:rsidRPr="00B02247">
        <w:t>Foreign</w:t>
      </w:r>
      <w:r w:rsidR="005B2A41">
        <w:t xml:space="preserve"> </w:t>
      </w:r>
      <w:r w:rsidRPr="00B02247">
        <w:t>Affairs.</w:t>
      </w:r>
      <w:r w:rsidR="005B2A41">
        <w:t xml:space="preserve"> </w:t>
      </w:r>
      <w:r w:rsidRPr="00B02247">
        <w:t>The</w:t>
      </w:r>
      <w:r w:rsidR="005B2A41">
        <w:t xml:space="preserve"> </w:t>
      </w:r>
      <w:r w:rsidRPr="00B02247">
        <w:t>NRO</w:t>
      </w:r>
      <w:r w:rsidR="005B2A41">
        <w:t xml:space="preserve"> </w:t>
      </w:r>
      <w:r w:rsidRPr="00B02247">
        <w:t>has</w:t>
      </w:r>
      <w:r w:rsidR="005B2A41">
        <w:t xml:space="preserve"> </w:t>
      </w:r>
      <w:r w:rsidRPr="00B02247">
        <w:t>the</w:t>
      </w:r>
      <w:r w:rsidR="005B2A41">
        <w:t xml:space="preserve"> </w:t>
      </w:r>
      <w:r w:rsidRPr="00B02247">
        <w:t>mandate</w:t>
      </w:r>
      <w:r w:rsidR="005B2A41">
        <w:t xml:space="preserve"> </w:t>
      </w:r>
      <w:r w:rsidRPr="00B02247">
        <w:t>to</w:t>
      </w:r>
      <w:r w:rsidR="005B2A41">
        <w:t xml:space="preserve"> </w:t>
      </w:r>
      <w:r w:rsidRPr="00B02247">
        <w:t>cooperate</w:t>
      </w:r>
      <w:r w:rsidR="005B2A41">
        <w:t xml:space="preserve"> </w:t>
      </w:r>
      <w:r w:rsidRPr="00B02247">
        <w:t>closely</w:t>
      </w:r>
      <w:r w:rsidR="005B2A41">
        <w:t xml:space="preserve"> </w:t>
      </w:r>
      <w:r w:rsidRPr="00B02247">
        <w:t>with</w:t>
      </w:r>
      <w:r w:rsidR="005B2A41">
        <w:t xml:space="preserve"> </w:t>
      </w:r>
      <w:r w:rsidRPr="00B02247">
        <w:t>focal</w:t>
      </w:r>
      <w:r w:rsidR="005B2A41">
        <w:t xml:space="preserve"> </w:t>
      </w:r>
      <w:r w:rsidRPr="00B02247">
        <w:t>points</w:t>
      </w:r>
      <w:r w:rsidR="005B2A41">
        <w:t xml:space="preserve"> </w:t>
      </w:r>
      <w:r w:rsidRPr="00B02247">
        <w:t>in</w:t>
      </w:r>
      <w:r w:rsidR="005B2A41">
        <w:t xml:space="preserve"> </w:t>
      </w:r>
      <w:r w:rsidRPr="00B02247">
        <w:t>other</w:t>
      </w:r>
      <w:r w:rsidR="005B2A41">
        <w:t xml:space="preserve"> </w:t>
      </w:r>
      <w:r w:rsidRPr="00B02247">
        <w:t>competent</w:t>
      </w:r>
      <w:r w:rsidR="005B2A41">
        <w:t xml:space="preserve"> </w:t>
      </w:r>
      <w:r w:rsidRPr="00B02247">
        <w:t>Ministries</w:t>
      </w:r>
      <w:r w:rsidR="005B2A41">
        <w:t xml:space="preserve"> </w:t>
      </w:r>
      <w:r w:rsidRPr="00B02247">
        <w:t>as</w:t>
      </w:r>
      <w:r w:rsidR="005B2A41">
        <w:t xml:space="preserve"> </w:t>
      </w:r>
      <w:r w:rsidRPr="00B02247">
        <w:t>well</w:t>
      </w:r>
      <w:r w:rsidR="005B2A41">
        <w:t xml:space="preserve"> </w:t>
      </w:r>
      <w:r w:rsidRPr="00B02247">
        <w:t>as</w:t>
      </w:r>
      <w:r w:rsidR="005B2A41">
        <w:t xml:space="preserve"> </w:t>
      </w:r>
      <w:r w:rsidRPr="00B02247">
        <w:t>with</w:t>
      </w:r>
      <w:r w:rsidR="005B2A41">
        <w:t xml:space="preserve"> </w:t>
      </w:r>
      <w:r w:rsidRPr="00B02247">
        <w:t>the</w:t>
      </w:r>
      <w:r w:rsidR="005B2A41">
        <w:t xml:space="preserve"> </w:t>
      </w:r>
      <w:r w:rsidRPr="00B02247">
        <w:t>IOM</w:t>
      </w:r>
      <w:r w:rsidR="005B2A41">
        <w:t xml:space="preserve"> </w:t>
      </w:r>
      <w:r w:rsidRPr="00B02247">
        <w:t>and</w:t>
      </w:r>
      <w:r w:rsidR="005B2A41">
        <w:t xml:space="preserve"> </w:t>
      </w:r>
      <w:r w:rsidRPr="00B02247">
        <w:t>the</w:t>
      </w:r>
      <w:r w:rsidR="005B2A41">
        <w:t xml:space="preserve"> </w:t>
      </w:r>
      <w:r w:rsidRPr="00B02247">
        <w:t>accredited</w:t>
      </w:r>
      <w:r w:rsidR="005B2A41">
        <w:t xml:space="preserve"> </w:t>
      </w:r>
      <w:r w:rsidRPr="00B02247">
        <w:t>by</w:t>
      </w:r>
      <w:r w:rsidR="005B2A41">
        <w:t xml:space="preserve"> </w:t>
      </w:r>
      <w:r w:rsidRPr="00B02247">
        <w:t>the</w:t>
      </w:r>
      <w:r w:rsidR="005B2A41">
        <w:t xml:space="preserve"> </w:t>
      </w:r>
      <w:r w:rsidRPr="00B02247">
        <w:t>European</w:t>
      </w:r>
      <w:r w:rsidR="005B2A41">
        <w:t xml:space="preserve"> </w:t>
      </w:r>
      <w:r w:rsidRPr="00B02247">
        <w:t>Commission</w:t>
      </w:r>
      <w:r w:rsidR="003E731F">
        <w:t>’</w:t>
      </w:r>
      <w:r w:rsidRPr="00B02247">
        <w:t>s</w:t>
      </w:r>
      <w:r w:rsidR="005B2A41">
        <w:t xml:space="preserve"> </w:t>
      </w:r>
      <w:r w:rsidRPr="00B02247">
        <w:t>Civil</w:t>
      </w:r>
      <w:r w:rsidR="005B2A41">
        <w:t xml:space="preserve"> </w:t>
      </w:r>
      <w:r w:rsidRPr="00B02247">
        <w:t>Society</w:t>
      </w:r>
      <w:r w:rsidR="005B2A41">
        <w:t xml:space="preserve"> </w:t>
      </w:r>
      <w:r w:rsidRPr="00B02247">
        <w:t>Platform</w:t>
      </w:r>
      <w:r w:rsidR="005B2A41">
        <w:t xml:space="preserve"> </w:t>
      </w:r>
      <w:r w:rsidRPr="00B02247">
        <w:t>NGOs</w:t>
      </w:r>
      <w:r w:rsidR="005B2A41">
        <w:t xml:space="preserve"> </w:t>
      </w:r>
      <w:r w:rsidRPr="00B02247">
        <w:t>in</w:t>
      </w:r>
      <w:r w:rsidR="005B2A41">
        <w:t xml:space="preserve"> </w:t>
      </w:r>
      <w:r w:rsidRPr="00B02247">
        <w:t>the</w:t>
      </w:r>
      <w:r w:rsidR="005B2A41">
        <w:t xml:space="preserve"> </w:t>
      </w:r>
      <w:r w:rsidRPr="00B02247">
        <w:t>field</w:t>
      </w:r>
      <w:r w:rsidR="005B2A41">
        <w:t xml:space="preserve"> </w:t>
      </w:r>
      <w:r w:rsidRPr="00B02247">
        <w:t>of</w:t>
      </w:r>
      <w:r w:rsidR="005B2A41">
        <w:t xml:space="preserve"> </w:t>
      </w:r>
      <w:r w:rsidRPr="00B02247">
        <w:t>anti-trafficking.</w:t>
      </w:r>
      <w:r w:rsidR="005B2A41">
        <w:t xml:space="preserve"> </w:t>
      </w:r>
      <w:r w:rsidRPr="00B02247">
        <w:t>The</w:t>
      </w:r>
      <w:r w:rsidR="005B2A41">
        <w:t xml:space="preserve"> </w:t>
      </w:r>
      <w:r w:rsidRPr="00B02247">
        <w:t>NRO</w:t>
      </w:r>
      <w:r w:rsidR="005B2A41">
        <w:t xml:space="preserve"> </w:t>
      </w:r>
      <w:r w:rsidRPr="00B02247">
        <w:t>is</w:t>
      </w:r>
      <w:r w:rsidR="005B2A41">
        <w:t xml:space="preserve"> </w:t>
      </w:r>
      <w:r w:rsidRPr="00B02247">
        <w:t>active</w:t>
      </w:r>
      <w:r w:rsidR="005B2A41">
        <w:t xml:space="preserve"> </w:t>
      </w:r>
      <w:r w:rsidRPr="00B02247">
        <w:t>in</w:t>
      </w:r>
      <w:r w:rsidR="005B2A41">
        <w:t xml:space="preserve"> </w:t>
      </w:r>
      <w:r w:rsidRPr="00B02247">
        <w:t>all</w:t>
      </w:r>
      <w:r w:rsidR="005B2A41">
        <w:t xml:space="preserve"> </w:t>
      </w:r>
      <w:r w:rsidRPr="00B02247">
        <w:t>four</w:t>
      </w:r>
      <w:r w:rsidR="005B2A41">
        <w:t xml:space="preserve"> </w:t>
      </w:r>
      <w:r w:rsidRPr="00B02247">
        <w:t>pillars</w:t>
      </w:r>
      <w:r w:rsidR="005B2A41">
        <w:t xml:space="preserve"> </w:t>
      </w:r>
      <w:r w:rsidRPr="00B02247">
        <w:t>of</w:t>
      </w:r>
      <w:r w:rsidR="005B2A41">
        <w:t xml:space="preserve"> </w:t>
      </w:r>
      <w:r w:rsidRPr="00B02247">
        <w:t>the</w:t>
      </w:r>
      <w:r w:rsidR="005B2A41">
        <w:t xml:space="preserve"> </w:t>
      </w:r>
      <w:r w:rsidRPr="00B02247">
        <w:t>strategy</w:t>
      </w:r>
      <w:r w:rsidR="005B2A41">
        <w:t xml:space="preserve"> </w:t>
      </w:r>
      <w:r w:rsidRPr="00B02247">
        <w:t>to</w:t>
      </w:r>
      <w:r w:rsidR="005B2A41">
        <w:t xml:space="preserve"> </w:t>
      </w:r>
      <w:r w:rsidRPr="00B02247">
        <w:t>combat</w:t>
      </w:r>
      <w:r w:rsidR="005B2A41">
        <w:t xml:space="preserve"> </w:t>
      </w:r>
      <w:r w:rsidRPr="00B02247">
        <w:t>trafficking</w:t>
      </w:r>
      <w:r w:rsidR="005B2A41">
        <w:t xml:space="preserve"> </w:t>
      </w:r>
      <w:r w:rsidRPr="00B02247">
        <w:t>(prevention,</w:t>
      </w:r>
      <w:r w:rsidR="005B2A41">
        <w:t xml:space="preserve"> </w:t>
      </w:r>
      <w:r w:rsidRPr="00B02247">
        <w:t>protection,</w:t>
      </w:r>
      <w:r w:rsidR="005B2A41">
        <w:t xml:space="preserve"> </w:t>
      </w:r>
      <w:r w:rsidRPr="00B02247">
        <w:t>prosecution</w:t>
      </w:r>
      <w:r w:rsidR="005B2A41">
        <w:t xml:space="preserve"> </w:t>
      </w:r>
      <w:r w:rsidRPr="00B02247">
        <w:t>and</w:t>
      </w:r>
      <w:r w:rsidR="005B2A41">
        <w:t xml:space="preserve"> </w:t>
      </w:r>
      <w:r w:rsidRPr="00B02247">
        <w:t>partnership</w:t>
      </w:r>
      <w:r w:rsidR="005B2A41">
        <w:t xml:space="preserve"> </w:t>
      </w:r>
      <w:r w:rsidRPr="00B02247">
        <w:t>with</w:t>
      </w:r>
      <w:r w:rsidR="005B2A41">
        <w:t xml:space="preserve"> </w:t>
      </w:r>
      <w:r w:rsidRPr="00B02247">
        <w:t>civil</w:t>
      </w:r>
      <w:r w:rsidR="005B2A41">
        <w:t xml:space="preserve"> </w:t>
      </w:r>
      <w:r w:rsidRPr="00B02247">
        <w:t>society</w:t>
      </w:r>
      <w:r w:rsidR="005B2A41">
        <w:t xml:space="preserve"> </w:t>
      </w:r>
      <w:r w:rsidRPr="00B02247">
        <w:t>and</w:t>
      </w:r>
      <w:r w:rsidR="005B2A41">
        <w:t xml:space="preserve"> </w:t>
      </w:r>
      <w:r w:rsidRPr="00B02247">
        <w:t>private</w:t>
      </w:r>
      <w:r w:rsidR="005B2A41">
        <w:t xml:space="preserve"> </w:t>
      </w:r>
      <w:r w:rsidRPr="00B02247">
        <w:t>sector).</w:t>
      </w:r>
      <w:r w:rsidR="005B2A41">
        <w:t xml:space="preserve"> </w:t>
      </w:r>
      <w:r w:rsidRPr="00B02247">
        <w:t>Complying</w:t>
      </w:r>
      <w:r w:rsidR="005B2A41">
        <w:t xml:space="preserve"> </w:t>
      </w:r>
      <w:r w:rsidRPr="00B02247">
        <w:t>with</w:t>
      </w:r>
      <w:r w:rsidR="005B2A41">
        <w:t xml:space="preserve"> </w:t>
      </w:r>
      <w:r w:rsidRPr="00B02247">
        <w:t>the</w:t>
      </w:r>
      <w:r w:rsidR="005B2A41">
        <w:t xml:space="preserve"> </w:t>
      </w:r>
      <w:r w:rsidRPr="00B02247">
        <w:t>national</w:t>
      </w:r>
      <w:r w:rsidR="005B2A41">
        <w:t xml:space="preserve"> </w:t>
      </w:r>
      <w:r w:rsidRPr="00B02247">
        <w:t>and</w:t>
      </w:r>
      <w:r w:rsidR="005B2A41">
        <w:t xml:space="preserve"> </w:t>
      </w:r>
      <w:r w:rsidRPr="00B02247">
        <w:t>international</w:t>
      </w:r>
      <w:r w:rsidR="005B2A41">
        <w:t xml:space="preserve"> </w:t>
      </w:r>
      <w:r w:rsidRPr="00B02247">
        <w:t>legislation,</w:t>
      </w:r>
      <w:r w:rsidR="005B2A41">
        <w:t xml:space="preserve"> </w:t>
      </w:r>
      <w:r w:rsidRPr="00B02247">
        <w:t>Greece</w:t>
      </w:r>
      <w:r w:rsidR="005B2A41">
        <w:t xml:space="preserve"> </w:t>
      </w:r>
      <w:r w:rsidRPr="00B02247">
        <w:t>has</w:t>
      </w:r>
      <w:r w:rsidR="005B2A41">
        <w:t xml:space="preserve"> </w:t>
      </w:r>
      <w:r w:rsidRPr="00B02247">
        <w:t>already</w:t>
      </w:r>
      <w:r w:rsidR="005B2A41">
        <w:t xml:space="preserve"> </w:t>
      </w:r>
      <w:r w:rsidRPr="00B02247">
        <w:t>put</w:t>
      </w:r>
      <w:r w:rsidR="005B2A41">
        <w:t xml:space="preserve"> </w:t>
      </w:r>
      <w:r w:rsidRPr="00B02247">
        <w:t>in</w:t>
      </w:r>
      <w:r w:rsidR="005B2A41">
        <w:t xml:space="preserve"> </w:t>
      </w:r>
      <w:r w:rsidRPr="00B02247">
        <w:t>place</w:t>
      </w:r>
      <w:r w:rsidR="005B2A41">
        <w:t xml:space="preserve"> </w:t>
      </w:r>
      <w:r w:rsidRPr="00B02247">
        <w:t>a</w:t>
      </w:r>
      <w:r w:rsidR="005B2A41">
        <w:t xml:space="preserve"> </w:t>
      </w:r>
      <w:r w:rsidRPr="00B02247">
        <w:t>formal</w:t>
      </w:r>
      <w:r w:rsidR="005B2A41">
        <w:t xml:space="preserve"> </w:t>
      </w:r>
      <w:r w:rsidRPr="00B02247">
        <w:t>national</w:t>
      </w:r>
      <w:r w:rsidR="005B2A41">
        <w:t xml:space="preserve"> </w:t>
      </w:r>
      <w:r w:rsidRPr="00B02247">
        <w:t>identification</w:t>
      </w:r>
      <w:r w:rsidR="005B2A41">
        <w:t xml:space="preserve"> </w:t>
      </w:r>
      <w:r w:rsidRPr="00B02247">
        <w:t>and</w:t>
      </w:r>
      <w:r w:rsidR="005B2A41">
        <w:t xml:space="preserve"> </w:t>
      </w:r>
      <w:r w:rsidRPr="00B02247">
        <w:t>referral</w:t>
      </w:r>
      <w:r w:rsidR="005B2A41">
        <w:t xml:space="preserve"> </w:t>
      </w:r>
      <w:r w:rsidRPr="00B02247">
        <w:t>system</w:t>
      </w:r>
      <w:r w:rsidR="005B2A41">
        <w:t xml:space="preserve"> </w:t>
      </w:r>
      <w:r w:rsidRPr="00B02247">
        <w:t>for</w:t>
      </w:r>
      <w:r w:rsidR="005B2A41">
        <w:t xml:space="preserve"> </w:t>
      </w:r>
      <w:r w:rsidRPr="00B02247">
        <w:t>victims</w:t>
      </w:r>
      <w:r w:rsidR="005B2A41">
        <w:t xml:space="preserve"> </w:t>
      </w:r>
      <w:r w:rsidRPr="00B02247">
        <w:t>and</w:t>
      </w:r>
      <w:r w:rsidR="005B2A41">
        <w:t xml:space="preserve"> </w:t>
      </w:r>
      <w:r w:rsidRPr="00B02247">
        <w:t>presumed</w:t>
      </w:r>
      <w:r w:rsidR="005B2A41">
        <w:t xml:space="preserve"> </w:t>
      </w:r>
      <w:r w:rsidRPr="00B02247">
        <w:t>victims</w:t>
      </w:r>
      <w:r w:rsidR="005B2A41">
        <w:t xml:space="preserve"> </w:t>
      </w:r>
      <w:r w:rsidRPr="00B02247">
        <w:t>of</w:t>
      </w:r>
      <w:r w:rsidR="005B2A41">
        <w:t xml:space="preserve"> </w:t>
      </w:r>
      <w:r w:rsidRPr="00B02247">
        <w:t>trafficking</w:t>
      </w:r>
      <w:r w:rsidR="005B2A41">
        <w:t xml:space="preserve"> </w:t>
      </w:r>
      <w:r w:rsidRPr="00B02247">
        <w:t>(Ministerial</w:t>
      </w:r>
      <w:r w:rsidR="005B2A41">
        <w:t xml:space="preserve"> </w:t>
      </w:r>
      <w:r w:rsidRPr="00B02247">
        <w:t>Decision</w:t>
      </w:r>
      <w:r w:rsidR="005B2A41">
        <w:t xml:space="preserve"> </w:t>
      </w:r>
      <w:r w:rsidRPr="00B02247">
        <w:t>3003/20.9.2016).</w:t>
      </w:r>
      <w:r w:rsidR="005B2A41">
        <w:t xml:space="preserve"> </w:t>
      </w:r>
      <w:r w:rsidRPr="00B02247">
        <w:t>The</w:t>
      </w:r>
      <w:r w:rsidR="005B2A41">
        <w:t xml:space="preserve"> </w:t>
      </w:r>
      <w:r w:rsidRPr="00B02247">
        <w:t>Mechanism,</w:t>
      </w:r>
      <w:r w:rsidR="005B2A41">
        <w:t xml:space="preserve"> </w:t>
      </w:r>
      <w:r w:rsidRPr="00B02247">
        <w:t>supervised</w:t>
      </w:r>
      <w:r w:rsidR="005B2A41">
        <w:t xml:space="preserve"> </w:t>
      </w:r>
      <w:r w:rsidRPr="00B02247">
        <w:t>by</w:t>
      </w:r>
      <w:r w:rsidR="005B2A41">
        <w:t xml:space="preserve"> </w:t>
      </w:r>
      <w:r w:rsidRPr="00B02247">
        <w:t>the</w:t>
      </w:r>
      <w:r w:rsidR="005B2A41">
        <w:t xml:space="preserve"> </w:t>
      </w:r>
      <w:r w:rsidRPr="00B02247">
        <w:t>Office</w:t>
      </w:r>
      <w:r w:rsidR="005B2A41">
        <w:t xml:space="preserve"> </w:t>
      </w:r>
      <w:r w:rsidRPr="00B02247">
        <w:t>of</w:t>
      </w:r>
      <w:r w:rsidR="005B2A41">
        <w:t xml:space="preserve"> </w:t>
      </w:r>
      <w:r w:rsidRPr="00B02247">
        <w:t>the</w:t>
      </w:r>
      <w:r w:rsidR="005B2A41">
        <w:t xml:space="preserve"> </w:t>
      </w:r>
      <w:r w:rsidRPr="00B02247">
        <w:t>National</w:t>
      </w:r>
      <w:r w:rsidR="005B2A41">
        <w:t xml:space="preserve"> </w:t>
      </w:r>
      <w:r w:rsidRPr="00B02247">
        <w:t>Rapporteur</w:t>
      </w:r>
      <w:r w:rsidR="005B2A41">
        <w:t xml:space="preserve"> </w:t>
      </w:r>
      <w:r w:rsidRPr="00B02247">
        <w:t>on</w:t>
      </w:r>
      <w:r w:rsidR="005B2A41">
        <w:t xml:space="preserve"> </w:t>
      </w:r>
      <w:r w:rsidRPr="00B02247">
        <w:t>Combatting</w:t>
      </w:r>
      <w:r w:rsidR="005B2A41">
        <w:t xml:space="preserve"> </w:t>
      </w:r>
      <w:r w:rsidRPr="00B02247">
        <w:t>Human</w:t>
      </w:r>
      <w:r w:rsidR="005B2A41">
        <w:t xml:space="preserve"> </w:t>
      </w:r>
      <w:r w:rsidRPr="00B02247">
        <w:t>Trafficking</w:t>
      </w:r>
      <w:r w:rsidR="005B2A41">
        <w:t xml:space="preserve"> </w:t>
      </w:r>
      <w:r w:rsidRPr="00B02247">
        <w:t>(NRO),</w:t>
      </w:r>
      <w:r w:rsidR="005B2A41">
        <w:t xml:space="preserve"> </w:t>
      </w:r>
      <w:r w:rsidRPr="00B02247">
        <w:t>operates</w:t>
      </w:r>
      <w:r w:rsidR="005B2A41">
        <w:t xml:space="preserve"> </w:t>
      </w:r>
      <w:r w:rsidRPr="00B02247">
        <w:t>as</w:t>
      </w:r>
      <w:r w:rsidR="005B2A41">
        <w:t xml:space="preserve"> </w:t>
      </w:r>
      <w:r w:rsidRPr="00B02247">
        <w:t>a</w:t>
      </w:r>
      <w:r w:rsidR="005B2A41">
        <w:t xml:space="preserve"> </w:t>
      </w:r>
      <w:r w:rsidRPr="00B02247">
        <w:t>hub</w:t>
      </w:r>
      <w:r w:rsidR="005B2A41">
        <w:t xml:space="preserve"> </w:t>
      </w:r>
      <w:r w:rsidRPr="00B02247">
        <w:t>for</w:t>
      </w:r>
      <w:r w:rsidR="005B2A41">
        <w:t xml:space="preserve"> </w:t>
      </w:r>
      <w:r w:rsidRPr="00B02247">
        <w:t>coordinated</w:t>
      </w:r>
      <w:r w:rsidR="005B2A41">
        <w:t xml:space="preserve"> </w:t>
      </w:r>
      <w:r w:rsidRPr="00B02247">
        <w:t>action</w:t>
      </w:r>
      <w:r w:rsidR="005B2A41">
        <w:t xml:space="preserve"> </w:t>
      </w:r>
      <w:r w:rsidRPr="00B02247">
        <w:t>and</w:t>
      </w:r>
      <w:r w:rsidR="005B2A41">
        <w:t xml:space="preserve"> </w:t>
      </w:r>
      <w:r w:rsidRPr="00B02247">
        <w:t>partnership</w:t>
      </w:r>
      <w:r w:rsidR="005B2A41">
        <w:t xml:space="preserve"> </w:t>
      </w:r>
      <w:r w:rsidRPr="00B02247">
        <w:t>building,</w:t>
      </w:r>
      <w:r w:rsidR="005B2A41">
        <w:t xml:space="preserve"> </w:t>
      </w:r>
      <w:r w:rsidRPr="00B02247">
        <w:t>among</w:t>
      </w:r>
      <w:r w:rsidR="005B2A41">
        <w:t xml:space="preserve"> </w:t>
      </w:r>
      <w:r w:rsidRPr="00B02247">
        <w:t>all</w:t>
      </w:r>
      <w:r w:rsidR="005B2A41">
        <w:t xml:space="preserve"> </w:t>
      </w:r>
      <w:r w:rsidRPr="00B02247">
        <w:t>actors</w:t>
      </w:r>
      <w:r w:rsidR="005B2A41">
        <w:t xml:space="preserve"> </w:t>
      </w:r>
      <w:r w:rsidRPr="00B02247">
        <w:t>involved</w:t>
      </w:r>
      <w:r w:rsidR="005B2A41">
        <w:t xml:space="preserve"> </w:t>
      </w:r>
      <w:r w:rsidRPr="00B02247">
        <w:t>in</w:t>
      </w:r>
      <w:r w:rsidR="005B2A41">
        <w:t xml:space="preserve"> </w:t>
      </w:r>
      <w:r w:rsidRPr="00B02247">
        <w:t>combating</w:t>
      </w:r>
      <w:r w:rsidR="005B2A41">
        <w:t xml:space="preserve"> </w:t>
      </w:r>
      <w:r w:rsidRPr="00B02247">
        <w:t>human</w:t>
      </w:r>
      <w:r w:rsidR="005B2A41">
        <w:t xml:space="preserve"> </w:t>
      </w:r>
      <w:r w:rsidRPr="00B02247">
        <w:t>trafficking</w:t>
      </w:r>
      <w:r w:rsidR="005B2A41">
        <w:t xml:space="preserve"> </w:t>
      </w:r>
      <w:r w:rsidRPr="00B02247">
        <w:t>(state</w:t>
      </w:r>
      <w:r w:rsidR="005B2A41">
        <w:t xml:space="preserve"> </w:t>
      </w:r>
      <w:r w:rsidRPr="00B02247">
        <w:t>agencies,</w:t>
      </w:r>
      <w:r w:rsidR="005B2A41">
        <w:t xml:space="preserve"> </w:t>
      </w:r>
      <w:r w:rsidRPr="00B02247">
        <w:t>International</w:t>
      </w:r>
      <w:r w:rsidR="005B2A41">
        <w:t xml:space="preserve"> </w:t>
      </w:r>
      <w:r w:rsidRPr="00B02247">
        <w:t>Organizations,</w:t>
      </w:r>
      <w:r w:rsidR="005B2A41">
        <w:t xml:space="preserve"> </w:t>
      </w:r>
      <w:r w:rsidRPr="00B02247">
        <w:t>NGOs).</w:t>
      </w:r>
      <w:r w:rsidR="005B2A41">
        <w:t xml:space="preserve"> </w:t>
      </w:r>
      <w:r w:rsidRPr="00B02247">
        <w:t>It</w:t>
      </w:r>
      <w:r w:rsidR="005B2A41">
        <w:t xml:space="preserve"> </w:t>
      </w:r>
      <w:r w:rsidRPr="00B02247">
        <w:t>subscribes</w:t>
      </w:r>
      <w:r w:rsidR="005B2A41">
        <w:t xml:space="preserve"> </w:t>
      </w:r>
      <w:r w:rsidRPr="00B02247">
        <w:t>to</w:t>
      </w:r>
      <w:r w:rsidR="005B2A41">
        <w:t xml:space="preserve"> </w:t>
      </w:r>
      <w:r w:rsidRPr="00B02247">
        <w:t>a</w:t>
      </w:r>
      <w:r w:rsidR="005B2A41">
        <w:t xml:space="preserve"> </w:t>
      </w:r>
      <w:r w:rsidRPr="00B02247">
        <w:t>more</w:t>
      </w:r>
      <w:r w:rsidR="005B2A41">
        <w:t xml:space="preserve"> </w:t>
      </w:r>
      <w:r w:rsidRPr="00B02247">
        <w:t>inclusive</w:t>
      </w:r>
      <w:r w:rsidR="005B2A41">
        <w:t xml:space="preserve"> </w:t>
      </w:r>
      <w:r w:rsidRPr="00B02247">
        <w:t>identification</w:t>
      </w:r>
      <w:r w:rsidR="005B2A41">
        <w:t xml:space="preserve"> </w:t>
      </w:r>
      <w:r w:rsidRPr="00B02247">
        <w:t>regime</w:t>
      </w:r>
      <w:r w:rsidR="005B2A41">
        <w:t xml:space="preserve"> </w:t>
      </w:r>
      <w:r w:rsidRPr="00B02247">
        <w:t>that</w:t>
      </w:r>
      <w:r w:rsidR="005B2A41">
        <w:t xml:space="preserve"> </w:t>
      </w:r>
      <w:r w:rsidRPr="00B02247">
        <w:t>brings-in</w:t>
      </w:r>
      <w:r w:rsidR="005B2A41">
        <w:t xml:space="preserve"> </w:t>
      </w:r>
      <w:r w:rsidRPr="00B02247">
        <w:t>additional</w:t>
      </w:r>
      <w:r w:rsidR="005B2A41">
        <w:t xml:space="preserve"> </w:t>
      </w:r>
      <w:r w:rsidRPr="00B02247">
        <w:t>professionals</w:t>
      </w:r>
      <w:r w:rsidR="005B2A41">
        <w:t xml:space="preserve"> </w:t>
      </w:r>
      <w:r w:rsidRPr="00B02247">
        <w:t>and</w:t>
      </w:r>
      <w:r w:rsidR="005B2A41">
        <w:t xml:space="preserve"> </w:t>
      </w:r>
      <w:r w:rsidRPr="00B02247">
        <w:t>stakeholders</w:t>
      </w:r>
      <w:r w:rsidR="005B2A41">
        <w:t xml:space="preserve"> </w:t>
      </w:r>
      <w:r w:rsidRPr="00B02247">
        <w:t>into</w:t>
      </w:r>
      <w:r w:rsidR="005B2A41">
        <w:t xml:space="preserve"> </w:t>
      </w:r>
      <w:r w:rsidRPr="00B02247">
        <w:t>the</w:t>
      </w:r>
      <w:r w:rsidR="005B2A41">
        <w:t xml:space="preserve"> </w:t>
      </w:r>
      <w:r w:rsidRPr="00B02247">
        <w:t>screening</w:t>
      </w:r>
      <w:r w:rsidR="005B2A41">
        <w:t xml:space="preserve"> </w:t>
      </w:r>
      <w:r w:rsidRPr="00B02247">
        <w:t>and</w:t>
      </w:r>
      <w:r w:rsidR="005B2A41">
        <w:t xml:space="preserve"> </w:t>
      </w:r>
      <w:r w:rsidRPr="00B02247">
        <w:t>identification</w:t>
      </w:r>
      <w:r w:rsidR="005B2A41">
        <w:t xml:space="preserve"> </w:t>
      </w:r>
      <w:r w:rsidRPr="00B02247">
        <w:t>process</w:t>
      </w:r>
      <w:r w:rsidR="005B2A41">
        <w:t xml:space="preserve"> </w:t>
      </w:r>
      <w:r w:rsidRPr="00B02247">
        <w:t>of</w:t>
      </w:r>
      <w:r w:rsidR="005B2A41">
        <w:t xml:space="preserve"> </w:t>
      </w:r>
      <w:r w:rsidRPr="00B02247">
        <w:t>mixed</w:t>
      </w:r>
      <w:r w:rsidR="005B2A41">
        <w:t xml:space="preserve"> </w:t>
      </w:r>
      <w:r w:rsidRPr="00B02247">
        <w:t>migration/refugee</w:t>
      </w:r>
      <w:r w:rsidR="005B2A41">
        <w:t xml:space="preserve"> </w:t>
      </w:r>
      <w:r w:rsidRPr="00B02247">
        <w:t>flows</w:t>
      </w:r>
      <w:r w:rsidR="005B2A41">
        <w:t xml:space="preserve"> </w:t>
      </w:r>
      <w:r w:rsidRPr="00B02247">
        <w:t>(migration</w:t>
      </w:r>
      <w:r w:rsidR="005B2A41">
        <w:t xml:space="preserve"> </w:t>
      </w:r>
      <w:r w:rsidRPr="00B02247">
        <w:t>services,</w:t>
      </w:r>
      <w:r w:rsidR="005B2A41">
        <w:t xml:space="preserve"> </w:t>
      </w:r>
      <w:r w:rsidRPr="00B02247">
        <w:t>labor</w:t>
      </w:r>
      <w:r w:rsidR="005B2A41">
        <w:t xml:space="preserve"> </w:t>
      </w:r>
      <w:r w:rsidRPr="00B02247">
        <w:t>inspectors,</w:t>
      </w:r>
      <w:r w:rsidR="005B2A41">
        <w:t xml:space="preserve"> </w:t>
      </w:r>
      <w:r w:rsidRPr="00B02247">
        <w:t>health</w:t>
      </w:r>
      <w:r w:rsidR="005B2A41">
        <w:t xml:space="preserve"> </w:t>
      </w:r>
      <w:r w:rsidRPr="00B02247">
        <w:t>providers,</w:t>
      </w:r>
      <w:r w:rsidR="005B2A41">
        <w:t xml:space="preserve"> </w:t>
      </w:r>
      <w:r w:rsidRPr="00B02247">
        <w:t>local</w:t>
      </w:r>
      <w:r w:rsidR="005B2A41">
        <w:t xml:space="preserve"> </w:t>
      </w:r>
      <w:r w:rsidRPr="00B02247">
        <w:t>administration</w:t>
      </w:r>
      <w:r w:rsidR="005B2A41">
        <w:t xml:space="preserve"> </w:t>
      </w:r>
      <w:r w:rsidRPr="00B02247">
        <w:t>authorities).</w:t>
      </w:r>
      <w:r w:rsidR="005B2A41">
        <w:t xml:space="preserve"> </w:t>
      </w:r>
      <w:r w:rsidRPr="00B02247">
        <w:t>Furthermore,</w:t>
      </w:r>
      <w:r w:rsidR="005B2A41">
        <w:t xml:space="preserve"> </w:t>
      </w:r>
      <w:r w:rsidRPr="00B02247">
        <w:t>the</w:t>
      </w:r>
      <w:r w:rsidR="005B2A41">
        <w:t xml:space="preserve"> </w:t>
      </w:r>
      <w:r w:rsidRPr="00B02247">
        <w:t>Permanent</w:t>
      </w:r>
      <w:r w:rsidR="005B2A41">
        <w:t xml:space="preserve"> </w:t>
      </w:r>
      <w:r w:rsidRPr="00B02247">
        <w:t>Consultation</w:t>
      </w:r>
      <w:r w:rsidR="005B2A41">
        <w:t xml:space="preserve"> </w:t>
      </w:r>
      <w:r w:rsidRPr="00B02247">
        <w:t>Forum</w:t>
      </w:r>
      <w:r w:rsidR="005B2A41">
        <w:t xml:space="preserve"> </w:t>
      </w:r>
      <w:r w:rsidRPr="00B02247">
        <w:t>with</w:t>
      </w:r>
      <w:r w:rsidR="005B2A41">
        <w:t xml:space="preserve"> </w:t>
      </w:r>
      <w:r w:rsidRPr="00B02247">
        <w:t>civil</w:t>
      </w:r>
      <w:r w:rsidR="005B2A41">
        <w:t xml:space="preserve"> </w:t>
      </w:r>
      <w:r w:rsidRPr="00B02247">
        <w:t>society</w:t>
      </w:r>
      <w:r w:rsidR="005B2A41">
        <w:t xml:space="preserve"> </w:t>
      </w:r>
      <w:r w:rsidRPr="00B02247">
        <w:t>aims</w:t>
      </w:r>
      <w:r w:rsidR="005B2A41">
        <w:t xml:space="preserve"> </w:t>
      </w:r>
      <w:r w:rsidRPr="00B02247">
        <w:t>at</w:t>
      </w:r>
      <w:r w:rsidR="005B2A41">
        <w:t xml:space="preserve"> </w:t>
      </w:r>
      <w:r w:rsidRPr="00B02247">
        <w:t>improving</w:t>
      </w:r>
      <w:r w:rsidR="005B2A41">
        <w:t xml:space="preserve"> </w:t>
      </w:r>
      <w:r w:rsidRPr="00B02247">
        <w:t>cooperation</w:t>
      </w:r>
      <w:r w:rsidR="005B2A41">
        <w:t xml:space="preserve"> </w:t>
      </w:r>
      <w:r w:rsidRPr="00B02247">
        <w:t>among</w:t>
      </w:r>
      <w:r w:rsidR="005B2A41">
        <w:t xml:space="preserve"> </w:t>
      </w:r>
      <w:r w:rsidRPr="00B02247">
        <w:t>different</w:t>
      </w:r>
      <w:r w:rsidR="005B2A41">
        <w:t xml:space="preserve"> </w:t>
      </w:r>
      <w:r w:rsidRPr="00B02247">
        <w:t>stakeholders</w:t>
      </w:r>
      <w:r w:rsidR="005B2A41">
        <w:t xml:space="preserve"> </w:t>
      </w:r>
      <w:r w:rsidRPr="00B02247">
        <w:t>and</w:t>
      </w:r>
      <w:r w:rsidR="005B2A41">
        <w:t xml:space="preserve"> </w:t>
      </w:r>
      <w:r w:rsidRPr="00B02247">
        <w:t>better</w:t>
      </w:r>
      <w:r w:rsidR="005B2A41">
        <w:t xml:space="preserve"> </w:t>
      </w:r>
      <w:r w:rsidRPr="00B02247">
        <w:t>coordination</w:t>
      </w:r>
      <w:r w:rsidR="005B2A41">
        <w:t xml:space="preserve"> </w:t>
      </w:r>
      <w:r w:rsidRPr="00B02247">
        <w:t>of</w:t>
      </w:r>
      <w:r w:rsidR="005B2A41">
        <w:t xml:space="preserve"> </w:t>
      </w:r>
      <w:r w:rsidRPr="00B02247">
        <w:t>the</w:t>
      </w:r>
      <w:r w:rsidR="005B2A41">
        <w:t xml:space="preserve"> </w:t>
      </w:r>
      <w:r w:rsidRPr="00B02247">
        <w:t>available</w:t>
      </w:r>
      <w:r w:rsidR="005B2A41">
        <w:t xml:space="preserve"> </w:t>
      </w:r>
      <w:r w:rsidRPr="00B02247">
        <w:t>services</w:t>
      </w:r>
      <w:r w:rsidR="005B2A41">
        <w:t xml:space="preserve"> </w:t>
      </w:r>
      <w:r w:rsidRPr="00B02247">
        <w:t>offered</w:t>
      </w:r>
      <w:r w:rsidR="005B2A41">
        <w:t xml:space="preserve"> </w:t>
      </w:r>
      <w:r w:rsidRPr="00B02247">
        <w:t>by</w:t>
      </w:r>
      <w:r w:rsidR="005B2A41">
        <w:t xml:space="preserve"> </w:t>
      </w:r>
      <w:r w:rsidRPr="00B02247">
        <w:t>them.</w:t>
      </w:r>
      <w:r w:rsidR="005B2A41">
        <w:t xml:space="preserve"> </w:t>
      </w:r>
      <w:r w:rsidRPr="00B02247">
        <w:t>To</w:t>
      </w:r>
      <w:r w:rsidR="005B2A41">
        <w:t xml:space="preserve"> </w:t>
      </w:r>
      <w:r w:rsidRPr="00B02247">
        <w:t>address</w:t>
      </w:r>
      <w:r w:rsidR="005B2A41">
        <w:t xml:space="preserve"> </w:t>
      </w:r>
      <w:r w:rsidRPr="00B02247">
        <w:t>demand</w:t>
      </w:r>
      <w:r w:rsidR="005B2A41">
        <w:t xml:space="preserve"> </w:t>
      </w:r>
      <w:r w:rsidRPr="00B02247">
        <w:t>for</w:t>
      </w:r>
      <w:r w:rsidR="005B2A41">
        <w:t xml:space="preserve"> </w:t>
      </w:r>
      <w:r w:rsidRPr="00B02247">
        <w:t>labor</w:t>
      </w:r>
      <w:r w:rsidR="005B2A41">
        <w:t xml:space="preserve"> </w:t>
      </w:r>
      <w:r w:rsidRPr="00B02247">
        <w:t>trafficking,</w:t>
      </w:r>
      <w:r w:rsidR="005B2A41">
        <w:t xml:space="preserve"> </w:t>
      </w:r>
      <w:r w:rsidRPr="00B02247">
        <w:t>the</w:t>
      </w:r>
      <w:r w:rsidR="005B2A41">
        <w:t xml:space="preserve"> </w:t>
      </w:r>
      <w:r w:rsidRPr="00B02247">
        <w:t>NRO</w:t>
      </w:r>
      <w:r w:rsidR="005B2A41">
        <w:t xml:space="preserve"> </w:t>
      </w:r>
      <w:r w:rsidRPr="00B02247">
        <w:t>cooperates</w:t>
      </w:r>
      <w:r w:rsidR="005B2A41">
        <w:t xml:space="preserve"> </w:t>
      </w:r>
      <w:r w:rsidRPr="00B02247">
        <w:t>with</w:t>
      </w:r>
      <w:r w:rsidR="005B2A41">
        <w:t xml:space="preserve"> </w:t>
      </w:r>
      <w:r w:rsidRPr="00B02247">
        <w:t>the</w:t>
      </w:r>
      <w:r w:rsidR="005B2A41">
        <w:t xml:space="preserve"> </w:t>
      </w:r>
      <w:r w:rsidRPr="00B02247">
        <w:t>Labor</w:t>
      </w:r>
      <w:r w:rsidR="005B2A41">
        <w:t xml:space="preserve"> </w:t>
      </w:r>
      <w:r w:rsidRPr="00B02247">
        <w:t>Inspectorate</w:t>
      </w:r>
      <w:r w:rsidR="005B2A41">
        <w:t xml:space="preserve"> </w:t>
      </w:r>
      <w:r w:rsidRPr="00B02247">
        <w:t>for</w:t>
      </w:r>
      <w:r w:rsidR="005B2A41">
        <w:t xml:space="preserve"> </w:t>
      </w:r>
      <w:r w:rsidRPr="00B02247">
        <w:t>the</w:t>
      </w:r>
      <w:r w:rsidR="005B2A41">
        <w:t xml:space="preserve"> </w:t>
      </w:r>
      <w:r w:rsidRPr="00B02247">
        <w:t>implementation</w:t>
      </w:r>
      <w:r w:rsidR="005B2A41">
        <w:t xml:space="preserve"> </w:t>
      </w:r>
      <w:r w:rsidRPr="00B02247">
        <w:t>of</w:t>
      </w:r>
      <w:r w:rsidR="005B2A41">
        <w:t xml:space="preserve"> </w:t>
      </w:r>
      <w:r w:rsidRPr="00B02247">
        <w:t>trainings</w:t>
      </w:r>
      <w:r w:rsidR="005B2A41">
        <w:t xml:space="preserve"> </w:t>
      </w:r>
      <w:r w:rsidRPr="00B02247">
        <w:t>to</w:t>
      </w:r>
      <w:r w:rsidR="005B2A41">
        <w:t xml:space="preserve"> </w:t>
      </w:r>
      <w:r w:rsidRPr="00B02247">
        <w:t>labor</w:t>
      </w:r>
      <w:r w:rsidR="005B2A41">
        <w:t xml:space="preserve"> </w:t>
      </w:r>
      <w:r w:rsidRPr="00B02247">
        <w:t>inspectors.</w:t>
      </w:r>
      <w:r w:rsidR="005B2A41">
        <w:t xml:space="preserve"> </w:t>
      </w:r>
      <w:r w:rsidRPr="00B02247">
        <w:t>In</w:t>
      </w:r>
      <w:r w:rsidR="005B2A41">
        <w:t xml:space="preserve"> </w:t>
      </w:r>
      <w:r w:rsidRPr="00B02247">
        <w:t>addition,</w:t>
      </w:r>
      <w:r w:rsidR="005B2A41">
        <w:t xml:space="preserve"> </w:t>
      </w:r>
      <w:r w:rsidRPr="00B02247">
        <w:t>the</w:t>
      </w:r>
      <w:r w:rsidR="005B2A41">
        <w:t xml:space="preserve"> </w:t>
      </w:r>
      <w:r w:rsidRPr="00B02247">
        <w:t>General</w:t>
      </w:r>
      <w:r w:rsidR="005B2A41">
        <w:t xml:space="preserve"> </w:t>
      </w:r>
      <w:r w:rsidRPr="00B02247">
        <w:t>Secretariat</w:t>
      </w:r>
      <w:r w:rsidR="005B2A41">
        <w:t xml:space="preserve"> </w:t>
      </w:r>
      <w:r w:rsidRPr="00B02247">
        <w:t>for</w:t>
      </w:r>
      <w:r w:rsidR="005B2A41">
        <w:t xml:space="preserve"> </w:t>
      </w:r>
      <w:r w:rsidRPr="00B02247">
        <w:t>Gender</w:t>
      </w:r>
      <w:r w:rsidR="005B2A41">
        <w:t xml:space="preserve"> </w:t>
      </w:r>
      <w:r w:rsidRPr="00B02247">
        <w:t>Equality,</w:t>
      </w:r>
      <w:r w:rsidR="005B2A41">
        <w:t xml:space="preserve"> </w:t>
      </w:r>
      <w:r w:rsidRPr="00B02247">
        <w:t>in</w:t>
      </w:r>
      <w:r w:rsidR="005B2A41">
        <w:t xml:space="preserve"> </w:t>
      </w:r>
      <w:r w:rsidRPr="00B02247">
        <w:t>cooperation</w:t>
      </w:r>
      <w:r w:rsidR="005B2A41">
        <w:t xml:space="preserve"> </w:t>
      </w:r>
      <w:r w:rsidRPr="00B02247">
        <w:t>with</w:t>
      </w:r>
      <w:r w:rsidR="005B2A41">
        <w:t xml:space="preserve"> </w:t>
      </w:r>
      <w:r w:rsidRPr="00B02247">
        <w:t>the</w:t>
      </w:r>
      <w:r w:rsidR="005B2A41">
        <w:t xml:space="preserve"> </w:t>
      </w:r>
      <w:r w:rsidRPr="00B02247">
        <w:t>NRO</w:t>
      </w:r>
      <w:r w:rsidR="005B2A41">
        <w:t xml:space="preserve"> </w:t>
      </w:r>
      <w:r w:rsidRPr="00B02247">
        <w:t>has</w:t>
      </w:r>
      <w:r w:rsidR="005B2A41">
        <w:t xml:space="preserve"> </w:t>
      </w:r>
      <w:r w:rsidRPr="00B02247">
        <w:t>set</w:t>
      </w:r>
      <w:r w:rsidR="005B2A41">
        <w:t xml:space="preserve"> </w:t>
      </w:r>
      <w:r w:rsidRPr="00B02247">
        <w:t>up</w:t>
      </w:r>
      <w:r w:rsidR="005B2A41">
        <w:t xml:space="preserve"> </w:t>
      </w:r>
      <w:r w:rsidRPr="00B02247">
        <w:t>a</w:t>
      </w:r>
      <w:r w:rsidR="005B2A41">
        <w:t xml:space="preserve"> </w:t>
      </w:r>
      <w:r w:rsidRPr="00B02247">
        <w:t>Committee</w:t>
      </w:r>
      <w:r w:rsidR="005B2A41">
        <w:t xml:space="preserve"> </w:t>
      </w:r>
      <w:r w:rsidRPr="00B02247">
        <w:t>of</w:t>
      </w:r>
      <w:r w:rsidR="005B2A41">
        <w:t xml:space="preserve"> </w:t>
      </w:r>
      <w:r w:rsidRPr="00B02247">
        <w:t>Experts</w:t>
      </w:r>
      <w:r w:rsidR="005B2A41">
        <w:t xml:space="preserve"> </w:t>
      </w:r>
      <w:r w:rsidRPr="00B02247">
        <w:t>against</w:t>
      </w:r>
      <w:r w:rsidR="005B2A41">
        <w:t xml:space="preserve"> </w:t>
      </w:r>
      <w:r w:rsidRPr="00B02247">
        <w:t>Commercial</w:t>
      </w:r>
      <w:r w:rsidR="005B2A41">
        <w:t xml:space="preserve"> </w:t>
      </w:r>
      <w:r w:rsidRPr="00B02247">
        <w:t>Sexual</w:t>
      </w:r>
      <w:r w:rsidR="005B2A41">
        <w:t xml:space="preserve"> </w:t>
      </w:r>
      <w:r w:rsidRPr="00B02247">
        <w:t>Exploitation</w:t>
      </w:r>
      <w:r w:rsidR="005B2A41">
        <w:t xml:space="preserve"> </w:t>
      </w:r>
      <w:r w:rsidRPr="00B02247">
        <w:t>to</w:t>
      </w:r>
      <w:r w:rsidR="005B2A41">
        <w:t xml:space="preserve"> </w:t>
      </w:r>
      <w:r w:rsidRPr="00B02247">
        <w:t>review</w:t>
      </w:r>
      <w:r w:rsidR="005B2A41">
        <w:t xml:space="preserve"> </w:t>
      </w:r>
      <w:r w:rsidRPr="00B02247">
        <w:t>the</w:t>
      </w:r>
      <w:r w:rsidR="005B2A41">
        <w:t xml:space="preserve"> </w:t>
      </w:r>
      <w:r w:rsidRPr="00B02247">
        <w:t>existing</w:t>
      </w:r>
      <w:r w:rsidR="005B2A41">
        <w:t xml:space="preserve"> </w:t>
      </w:r>
      <w:r w:rsidRPr="00B02247">
        <w:t>legal</w:t>
      </w:r>
      <w:r w:rsidR="005B2A41">
        <w:t xml:space="preserve"> </w:t>
      </w:r>
      <w:r w:rsidRPr="00B02247">
        <w:t>framework</w:t>
      </w:r>
      <w:r w:rsidR="005B2A41">
        <w:t xml:space="preserve"> </w:t>
      </w:r>
      <w:r w:rsidRPr="00B02247">
        <w:t>on</w:t>
      </w:r>
      <w:r w:rsidR="005B2A41">
        <w:t xml:space="preserve"> </w:t>
      </w:r>
      <w:r w:rsidRPr="00B02247">
        <w:t>prostitution</w:t>
      </w:r>
      <w:r w:rsidR="005B2A41">
        <w:t xml:space="preserve"> </w:t>
      </w:r>
      <w:r w:rsidRPr="00B02247">
        <w:t>and</w:t>
      </w:r>
      <w:r w:rsidR="005B2A41">
        <w:t xml:space="preserve"> </w:t>
      </w:r>
      <w:r w:rsidRPr="00B02247">
        <w:t>advocate</w:t>
      </w:r>
      <w:r w:rsidR="005B2A41">
        <w:t xml:space="preserve"> </w:t>
      </w:r>
      <w:r w:rsidRPr="00B02247">
        <w:t>against</w:t>
      </w:r>
      <w:r w:rsidR="005B2A41">
        <w:t xml:space="preserve"> </w:t>
      </w:r>
      <w:r w:rsidRPr="00B02247">
        <w:t>sexual</w:t>
      </w:r>
      <w:r w:rsidR="005B2A41">
        <w:t xml:space="preserve"> </w:t>
      </w:r>
      <w:r w:rsidRPr="00B02247">
        <w:t>exploitation</w:t>
      </w:r>
      <w:r w:rsidR="005B2A41">
        <w:t xml:space="preserve"> </w:t>
      </w:r>
      <w:r w:rsidRPr="00B02247">
        <w:t>and</w:t>
      </w:r>
      <w:r w:rsidR="005B2A41">
        <w:t xml:space="preserve"> </w:t>
      </w:r>
      <w:r w:rsidRPr="00B02247">
        <w:t>demand</w:t>
      </w:r>
      <w:r w:rsidR="005B2A41">
        <w:t xml:space="preserve"> </w:t>
      </w:r>
      <w:r w:rsidRPr="00B02247">
        <w:t>for</w:t>
      </w:r>
      <w:r w:rsidR="005B2A41">
        <w:t xml:space="preserve"> </w:t>
      </w:r>
      <w:r w:rsidRPr="00B02247">
        <w:t>commercial</w:t>
      </w:r>
      <w:r w:rsidR="005B2A41">
        <w:t xml:space="preserve"> </w:t>
      </w:r>
      <w:r w:rsidRPr="00B02247">
        <w:t>sex</w:t>
      </w:r>
      <w:r w:rsidR="005B2A41">
        <w:t xml:space="preserve"> </w:t>
      </w:r>
      <w:r w:rsidRPr="00B02247">
        <w:t>acts</w:t>
      </w:r>
      <w:r w:rsidR="00EC35FA">
        <w:t>.</w:t>
      </w:r>
    </w:p>
    <w:p w:rsidR="00F233AB" w:rsidRPr="00B02247" w:rsidRDefault="00F233AB" w:rsidP="00E1307D">
      <w:pPr>
        <w:pStyle w:val="SingleTxtG"/>
      </w:pPr>
      <w:r w:rsidRPr="00B02247">
        <w:t>90.</w:t>
      </w:r>
      <w:r w:rsidRPr="00B02247">
        <w:tab/>
        <w:t>The</w:t>
      </w:r>
      <w:r w:rsidR="005B2A41">
        <w:t xml:space="preserve"> </w:t>
      </w:r>
      <w:r w:rsidRPr="00B02247">
        <w:t>National</w:t>
      </w:r>
      <w:r w:rsidR="005B2A41">
        <w:t xml:space="preserve"> </w:t>
      </w:r>
      <w:r w:rsidRPr="00B02247">
        <w:t>Council</w:t>
      </w:r>
      <w:r w:rsidR="005B2A41">
        <w:t xml:space="preserve"> </w:t>
      </w:r>
      <w:r w:rsidRPr="00B02247">
        <w:t>against</w:t>
      </w:r>
      <w:r w:rsidR="005B2A41">
        <w:t xml:space="preserve"> </w:t>
      </w:r>
      <w:r w:rsidRPr="00B02247">
        <w:t>Racism</w:t>
      </w:r>
      <w:r w:rsidR="005B2A41">
        <w:t xml:space="preserve"> </w:t>
      </w:r>
      <w:r w:rsidRPr="00B02247">
        <w:t>and</w:t>
      </w:r>
      <w:r w:rsidR="005B2A41">
        <w:t xml:space="preserve"> </w:t>
      </w:r>
      <w:r w:rsidRPr="00B02247">
        <w:t>Intolerance</w:t>
      </w:r>
      <w:r w:rsidR="005B2A41">
        <w:t xml:space="preserve"> </w:t>
      </w:r>
      <w:r w:rsidRPr="00B02247">
        <w:t>was</w:t>
      </w:r>
      <w:r w:rsidR="005B2A41">
        <w:t xml:space="preserve"> </w:t>
      </w:r>
      <w:r w:rsidRPr="00B02247">
        <w:t>established</w:t>
      </w:r>
      <w:r w:rsidR="005B2A41">
        <w:t xml:space="preserve"> </w:t>
      </w:r>
      <w:r w:rsidRPr="00B02247">
        <w:t>by</w:t>
      </w:r>
      <w:r w:rsidR="005B2A41">
        <w:t xml:space="preserve"> </w:t>
      </w:r>
      <w:r w:rsidRPr="00B02247">
        <w:t>Law</w:t>
      </w:r>
      <w:r w:rsidR="005B2A41">
        <w:t xml:space="preserve"> </w:t>
      </w:r>
      <w:r w:rsidRPr="00B02247">
        <w:t>4356/2015</w:t>
      </w:r>
      <w:r w:rsidR="005B2A41">
        <w:t xml:space="preserve"> </w:t>
      </w:r>
      <w:r w:rsidRPr="00B02247">
        <w:t>and</w:t>
      </w:r>
      <w:r w:rsidR="005B2A41">
        <w:t xml:space="preserve"> </w:t>
      </w:r>
      <w:r w:rsidRPr="00B02247">
        <w:t>is</w:t>
      </w:r>
      <w:r w:rsidR="005B2A41">
        <w:t xml:space="preserve"> </w:t>
      </w:r>
      <w:r w:rsidRPr="00B02247">
        <w:t>chaired</w:t>
      </w:r>
      <w:r w:rsidR="005B2A41">
        <w:t xml:space="preserve"> </w:t>
      </w:r>
      <w:r w:rsidRPr="00B02247">
        <w:t>by</w:t>
      </w:r>
      <w:r w:rsidR="005B2A41">
        <w:t xml:space="preserve"> </w:t>
      </w:r>
      <w:r w:rsidRPr="00B02247">
        <w:t>the</w:t>
      </w:r>
      <w:r w:rsidR="005B2A41">
        <w:t xml:space="preserve"> </w:t>
      </w:r>
      <w:r w:rsidRPr="00B02247">
        <w:t>Secretary</w:t>
      </w:r>
      <w:r w:rsidR="005B2A41">
        <w:t xml:space="preserve"> </w:t>
      </w:r>
      <w:r w:rsidRPr="00B02247">
        <w:t>General</w:t>
      </w:r>
      <w:r w:rsidR="005B2A41">
        <w:t xml:space="preserve"> </w:t>
      </w:r>
      <w:r w:rsidRPr="00B02247">
        <w:t>for</w:t>
      </w:r>
      <w:r w:rsidR="005B2A41">
        <w:t xml:space="preserve"> </w:t>
      </w:r>
      <w:r w:rsidRPr="00B02247">
        <w:t>Transparency</w:t>
      </w:r>
      <w:r w:rsidR="005B2A41">
        <w:t xml:space="preserve"> </w:t>
      </w:r>
      <w:r w:rsidRPr="00B02247">
        <w:t>and</w:t>
      </w:r>
      <w:r w:rsidR="005B2A41">
        <w:t xml:space="preserve"> </w:t>
      </w:r>
      <w:r w:rsidRPr="00B02247">
        <w:t>Human</w:t>
      </w:r>
      <w:r w:rsidR="005B2A41">
        <w:t xml:space="preserve"> </w:t>
      </w:r>
      <w:r w:rsidRPr="00B02247">
        <w:t>Rights</w:t>
      </w:r>
      <w:r w:rsidR="005B2A41">
        <w:t xml:space="preserve"> </w:t>
      </w:r>
      <w:r w:rsidRPr="00B02247">
        <w:t>of</w:t>
      </w:r>
      <w:r w:rsidR="005B2A41">
        <w:t xml:space="preserve"> </w:t>
      </w:r>
      <w:r w:rsidRPr="00B02247">
        <w:t>the</w:t>
      </w:r>
      <w:r w:rsidR="005B2A41">
        <w:t xml:space="preserve"> </w:t>
      </w:r>
      <w:r w:rsidRPr="00B02247">
        <w:t>Ministry</w:t>
      </w:r>
      <w:r w:rsidR="005B2A41">
        <w:t xml:space="preserve"> </w:t>
      </w:r>
      <w:r w:rsidRPr="00B02247">
        <w:t>of</w:t>
      </w:r>
      <w:r w:rsidR="005B2A41">
        <w:t xml:space="preserve"> </w:t>
      </w:r>
      <w:r w:rsidRPr="00B02247">
        <w:t>Justice,</w:t>
      </w:r>
      <w:r w:rsidR="005B2A41">
        <w:t xml:space="preserve"> </w:t>
      </w:r>
      <w:r w:rsidRPr="00B02247">
        <w:t>Transparency</w:t>
      </w:r>
      <w:r w:rsidR="005B2A41">
        <w:t xml:space="preserve"> </w:t>
      </w:r>
      <w:r w:rsidRPr="00B02247">
        <w:t>and</w:t>
      </w:r>
      <w:r w:rsidR="005B2A41">
        <w:t xml:space="preserve"> </w:t>
      </w:r>
      <w:r w:rsidRPr="00B02247">
        <w:t>Human</w:t>
      </w:r>
      <w:r w:rsidR="005B2A41">
        <w:t xml:space="preserve"> </w:t>
      </w:r>
      <w:r w:rsidRPr="00B02247">
        <w:t>Rights.</w:t>
      </w:r>
      <w:r w:rsidR="005B2A41">
        <w:t xml:space="preserve"> </w:t>
      </w:r>
      <w:r w:rsidRPr="00B02247">
        <w:t>The</w:t>
      </w:r>
      <w:r w:rsidR="005B2A41">
        <w:t xml:space="preserve"> </w:t>
      </w:r>
      <w:r w:rsidRPr="00B02247">
        <w:t>Council</w:t>
      </w:r>
      <w:r w:rsidR="005B2A41">
        <w:t xml:space="preserve"> </w:t>
      </w:r>
      <w:r w:rsidRPr="00B02247">
        <w:t>has</w:t>
      </w:r>
      <w:r w:rsidR="005B2A41">
        <w:t xml:space="preserve"> </w:t>
      </w:r>
      <w:r w:rsidRPr="00B02247">
        <w:t>been</w:t>
      </w:r>
      <w:r w:rsidR="005B2A41">
        <w:t xml:space="preserve"> </w:t>
      </w:r>
      <w:r w:rsidRPr="00B02247">
        <w:t>entrusted</w:t>
      </w:r>
      <w:r w:rsidR="005B2A41">
        <w:t xml:space="preserve"> </w:t>
      </w:r>
      <w:r w:rsidRPr="00B02247">
        <w:t>with</w:t>
      </w:r>
      <w:r w:rsidR="005B2A41">
        <w:t xml:space="preserve"> </w:t>
      </w:r>
      <w:r w:rsidRPr="00B02247">
        <w:t>the</w:t>
      </w:r>
      <w:r w:rsidR="005B2A41">
        <w:t xml:space="preserve"> </w:t>
      </w:r>
      <w:r w:rsidRPr="00B02247">
        <w:t>mandate,</w:t>
      </w:r>
      <w:r w:rsidR="005B2A41">
        <w:t xml:space="preserve"> </w:t>
      </w:r>
      <w:r w:rsidRPr="00B02247">
        <w:t>in</w:t>
      </w:r>
      <w:r w:rsidR="005B2A41">
        <w:t xml:space="preserve"> </w:t>
      </w:r>
      <w:r w:rsidRPr="00B02247">
        <w:t>particular,</w:t>
      </w:r>
      <w:r w:rsidR="005B2A41">
        <w:t xml:space="preserve"> </w:t>
      </w:r>
      <w:r w:rsidRPr="00B02247">
        <w:t>to</w:t>
      </w:r>
      <w:r w:rsidR="005B2A41">
        <w:t xml:space="preserve"> </w:t>
      </w:r>
      <w:r w:rsidRPr="00B02247">
        <w:t>design</w:t>
      </w:r>
      <w:r w:rsidR="005B2A41">
        <w:t xml:space="preserve"> </w:t>
      </w:r>
      <w:r w:rsidRPr="00B02247">
        <w:t>policies</w:t>
      </w:r>
      <w:r w:rsidR="005B2A41">
        <w:t xml:space="preserve"> </w:t>
      </w:r>
      <w:r w:rsidRPr="00B02247">
        <w:t>aiming</w:t>
      </w:r>
      <w:r w:rsidR="005B2A41">
        <w:t xml:space="preserve"> </w:t>
      </w:r>
      <w:r w:rsidRPr="00B02247">
        <w:t>at</w:t>
      </w:r>
      <w:r w:rsidR="005B2A41">
        <w:t xml:space="preserve"> </w:t>
      </w:r>
      <w:r w:rsidRPr="00B02247">
        <w:t>preventing</w:t>
      </w:r>
      <w:r w:rsidR="005B2A41">
        <w:t xml:space="preserve"> </w:t>
      </w:r>
      <w:r w:rsidRPr="00B02247">
        <w:t>and</w:t>
      </w:r>
      <w:r w:rsidR="005B2A41">
        <w:t xml:space="preserve"> </w:t>
      </w:r>
      <w:r w:rsidRPr="00B02247">
        <w:t>combating</w:t>
      </w:r>
      <w:r w:rsidR="005B2A41">
        <w:t xml:space="preserve"> </w:t>
      </w:r>
      <w:r w:rsidRPr="00B02247">
        <w:t>racism</w:t>
      </w:r>
      <w:r w:rsidR="005B2A41">
        <w:t xml:space="preserve"> </w:t>
      </w:r>
      <w:r w:rsidRPr="00B02247">
        <w:t>and</w:t>
      </w:r>
      <w:r w:rsidR="005B2A41">
        <w:t xml:space="preserve"> </w:t>
      </w:r>
      <w:r w:rsidRPr="00B02247">
        <w:t>intolerance,</w:t>
      </w:r>
      <w:r w:rsidR="005B2A41">
        <w:t xml:space="preserve"> </w:t>
      </w:r>
      <w:r w:rsidRPr="00B02247">
        <w:t>to</w:t>
      </w:r>
      <w:r w:rsidR="005B2A41">
        <w:t xml:space="preserve"> </w:t>
      </w:r>
      <w:r w:rsidRPr="00B02247">
        <w:t>monitor</w:t>
      </w:r>
      <w:r w:rsidR="005B2A41">
        <w:t xml:space="preserve"> </w:t>
      </w:r>
      <w:r w:rsidRPr="00B02247">
        <w:t>the</w:t>
      </w:r>
      <w:r w:rsidR="005B2A41">
        <w:t xml:space="preserve"> </w:t>
      </w:r>
      <w:r w:rsidRPr="00B02247">
        <w:t>implementation</w:t>
      </w:r>
      <w:r w:rsidR="005B2A41">
        <w:t xml:space="preserve"> </w:t>
      </w:r>
      <w:r w:rsidRPr="00B02247">
        <w:t>of</w:t>
      </w:r>
      <w:r w:rsidR="005B2A41">
        <w:t xml:space="preserve"> </w:t>
      </w:r>
      <w:r w:rsidRPr="00B02247">
        <w:t>the</w:t>
      </w:r>
      <w:r w:rsidR="005B2A41">
        <w:t xml:space="preserve"> </w:t>
      </w:r>
      <w:r w:rsidRPr="00B02247">
        <w:t>anti-racism</w:t>
      </w:r>
      <w:r w:rsidR="005B2A41">
        <w:t xml:space="preserve"> </w:t>
      </w:r>
      <w:r w:rsidRPr="00B02247">
        <w:t>legislation</w:t>
      </w:r>
      <w:r w:rsidR="005B2A41">
        <w:t xml:space="preserve"> </w:t>
      </w:r>
      <w:r w:rsidRPr="00B02247">
        <w:t>and</w:t>
      </w:r>
      <w:r w:rsidR="005B2A41">
        <w:t xml:space="preserve"> </w:t>
      </w:r>
      <w:r w:rsidRPr="00B02247">
        <w:t>its</w:t>
      </w:r>
      <w:r w:rsidR="005B2A41">
        <w:t xml:space="preserve"> </w:t>
      </w:r>
      <w:r w:rsidRPr="00B02247">
        <w:t>conformity</w:t>
      </w:r>
      <w:r w:rsidR="005B2A41">
        <w:t xml:space="preserve"> </w:t>
      </w:r>
      <w:r w:rsidRPr="00B02247">
        <w:t>with</w:t>
      </w:r>
      <w:r w:rsidR="005B2A41">
        <w:t xml:space="preserve"> </w:t>
      </w:r>
      <w:r w:rsidRPr="00B02247">
        <w:t>international</w:t>
      </w:r>
      <w:r w:rsidR="005B2A41">
        <w:t xml:space="preserve"> </w:t>
      </w:r>
      <w:r w:rsidRPr="00B02247">
        <w:t>and</w:t>
      </w:r>
      <w:r w:rsidR="005B2A41">
        <w:t xml:space="preserve"> </w:t>
      </w:r>
      <w:r w:rsidRPr="00B02247">
        <w:t>European</w:t>
      </w:r>
      <w:r w:rsidR="005B2A41">
        <w:t xml:space="preserve"> </w:t>
      </w:r>
      <w:r w:rsidRPr="00B02247">
        <w:t>Law,</w:t>
      </w:r>
      <w:r w:rsidR="005B2A41">
        <w:t xml:space="preserve"> </w:t>
      </w:r>
      <w:r w:rsidRPr="00B02247">
        <w:t>to</w:t>
      </w:r>
      <w:r w:rsidR="005B2A41">
        <w:t xml:space="preserve"> </w:t>
      </w:r>
      <w:r w:rsidRPr="00B02247">
        <w:t>promote</w:t>
      </w:r>
      <w:r w:rsidR="005B2A41">
        <w:t xml:space="preserve"> </w:t>
      </w:r>
      <w:r w:rsidRPr="00B02247">
        <w:t>and</w:t>
      </w:r>
      <w:r w:rsidR="005B2A41">
        <w:t xml:space="preserve"> </w:t>
      </w:r>
      <w:r w:rsidRPr="00B02247">
        <w:t>coordinate</w:t>
      </w:r>
      <w:r w:rsidR="005B2A41">
        <w:t xml:space="preserve"> </w:t>
      </w:r>
      <w:r w:rsidRPr="00B02247">
        <w:t>the</w:t>
      </w:r>
      <w:r w:rsidR="005B2A41">
        <w:t xml:space="preserve"> </w:t>
      </w:r>
      <w:r w:rsidRPr="00B02247">
        <w:t>relevant</w:t>
      </w:r>
      <w:r w:rsidR="005B2A41">
        <w:t xml:space="preserve"> </w:t>
      </w:r>
      <w:r w:rsidRPr="00B02247">
        <w:t>activities</w:t>
      </w:r>
      <w:r w:rsidR="005B2A41">
        <w:t xml:space="preserve"> </w:t>
      </w:r>
      <w:r w:rsidRPr="00B02247">
        <w:t>of</w:t>
      </w:r>
      <w:r w:rsidR="005B2A41">
        <w:t xml:space="preserve"> </w:t>
      </w:r>
      <w:r w:rsidRPr="00B02247">
        <w:t>different</w:t>
      </w:r>
      <w:r w:rsidR="005B2A41">
        <w:t xml:space="preserve"> </w:t>
      </w:r>
      <w:r w:rsidRPr="00B02247">
        <w:t>stakeholders</w:t>
      </w:r>
      <w:r w:rsidR="005B2A41">
        <w:t xml:space="preserve"> </w:t>
      </w:r>
      <w:r w:rsidRPr="00B02247">
        <w:t>and</w:t>
      </w:r>
      <w:r w:rsidR="005B2A41">
        <w:t xml:space="preserve"> </w:t>
      </w:r>
      <w:r w:rsidRPr="00B02247">
        <w:t>to</w:t>
      </w:r>
      <w:r w:rsidR="005B2A41">
        <w:t xml:space="preserve"> </w:t>
      </w:r>
      <w:r w:rsidRPr="00B02247">
        <w:t>strengthen</w:t>
      </w:r>
      <w:r w:rsidR="005B2A41">
        <w:t xml:space="preserve"> </w:t>
      </w:r>
      <w:r w:rsidRPr="00B02247">
        <w:t>cooperation</w:t>
      </w:r>
      <w:r w:rsidR="005B2A41">
        <w:t xml:space="preserve"> </w:t>
      </w:r>
      <w:r w:rsidRPr="00B02247">
        <w:t>with</w:t>
      </w:r>
      <w:r w:rsidR="005B2A41">
        <w:t xml:space="preserve"> </w:t>
      </w:r>
      <w:r w:rsidRPr="00B02247">
        <w:t>civil</w:t>
      </w:r>
      <w:r w:rsidR="005B2A41">
        <w:t xml:space="preserve"> </w:t>
      </w:r>
      <w:r w:rsidRPr="00B02247">
        <w:t>society</w:t>
      </w:r>
      <w:r w:rsidR="005B2A41">
        <w:t xml:space="preserve"> </w:t>
      </w:r>
      <w:r w:rsidRPr="00B02247">
        <w:t>actors.</w:t>
      </w:r>
      <w:r w:rsidR="005B2A41">
        <w:t xml:space="preserve"> </w:t>
      </w:r>
      <w:r w:rsidRPr="00B02247">
        <w:t>Members</w:t>
      </w:r>
      <w:r w:rsidR="005B2A41">
        <w:t xml:space="preserve"> </w:t>
      </w:r>
      <w:r w:rsidRPr="00B02247">
        <w:t>of</w:t>
      </w:r>
      <w:r w:rsidR="005B2A41">
        <w:t xml:space="preserve"> </w:t>
      </w:r>
      <w:r w:rsidRPr="00B02247">
        <w:t>the</w:t>
      </w:r>
      <w:r w:rsidR="005B2A41">
        <w:t xml:space="preserve"> </w:t>
      </w:r>
      <w:r w:rsidRPr="00B02247">
        <w:t>Council</w:t>
      </w:r>
      <w:r w:rsidR="005B2A41">
        <w:t xml:space="preserve"> </w:t>
      </w:r>
      <w:r w:rsidRPr="00B02247">
        <w:t>are,</w:t>
      </w:r>
      <w:r w:rsidR="005B2A41">
        <w:t xml:space="preserve"> </w:t>
      </w:r>
      <w:r w:rsidRPr="00B02247">
        <w:t>inter</w:t>
      </w:r>
      <w:r w:rsidR="005B2A41">
        <w:t xml:space="preserve"> </w:t>
      </w:r>
      <w:r w:rsidRPr="00B02247">
        <w:t>alia,</w:t>
      </w:r>
      <w:r w:rsidR="005B2A41">
        <w:t xml:space="preserve"> </w:t>
      </w:r>
      <w:r w:rsidRPr="00B02247">
        <w:t>representatives</w:t>
      </w:r>
      <w:r w:rsidR="005B2A41">
        <w:t xml:space="preserve"> </w:t>
      </w:r>
      <w:r w:rsidRPr="00B02247">
        <w:t>of</w:t>
      </w:r>
      <w:r w:rsidR="005B2A41">
        <w:t xml:space="preserve"> </w:t>
      </w:r>
      <w:r w:rsidRPr="00B02247">
        <w:t>competent</w:t>
      </w:r>
      <w:r w:rsidR="005B2A41">
        <w:t xml:space="preserve"> </w:t>
      </w:r>
      <w:r w:rsidRPr="00B02247">
        <w:t>Ministries,</w:t>
      </w:r>
      <w:r w:rsidR="005B2A41">
        <w:t xml:space="preserve"> </w:t>
      </w:r>
      <w:r w:rsidRPr="00B02247">
        <w:t>the</w:t>
      </w:r>
      <w:r w:rsidR="005B2A41">
        <w:t xml:space="preserve"> </w:t>
      </w:r>
      <w:r w:rsidRPr="00B02247">
        <w:t>National</w:t>
      </w:r>
      <w:r w:rsidR="005B2A41">
        <w:t xml:space="preserve"> </w:t>
      </w:r>
      <w:r w:rsidRPr="00B02247">
        <w:t>Commission</w:t>
      </w:r>
      <w:r w:rsidR="005B2A41">
        <w:t xml:space="preserve"> </w:t>
      </w:r>
      <w:r w:rsidRPr="00B02247">
        <w:t>for</w:t>
      </w:r>
      <w:r w:rsidR="005B2A41">
        <w:t xml:space="preserve"> </w:t>
      </w:r>
      <w:r w:rsidRPr="00B02247">
        <w:t>Human</w:t>
      </w:r>
      <w:r w:rsidR="005B2A41">
        <w:t xml:space="preserve"> </w:t>
      </w:r>
      <w:r w:rsidRPr="00B02247">
        <w:t>Rights,</w:t>
      </w:r>
      <w:r w:rsidR="005B2A41">
        <w:t xml:space="preserve"> </w:t>
      </w:r>
      <w:r w:rsidRPr="00B02247">
        <w:t>the</w:t>
      </w:r>
      <w:r w:rsidR="005B2A41">
        <w:t xml:space="preserve"> </w:t>
      </w:r>
      <w:r w:rsidRPr="00B02247">
        <w:t>Racist</w:t>
      </w:r>
      <w:r w:rsidR="005B2A41">
        <w:t xml:space="preserve"> </w:t>
      </w:r>
      <w:r w:rsidRPr="00B02247">
        <w:t>Violence</w:t>
      </w:r>
      <w:r w:rsidR="005B2A41">
        <w:t xml:space="preserve"> </w:t>
      </w:r>
      <w:r w:rsidRPr="00B02247">
        <w:t>Recording</w:t>
      </w:r>
      <w:r w:rsidR="005B2A41">
        <w:t xml:space="preserve"> </w:t>
      </w:r>
      <w:r w:rsidRPr="00B02247">
        <w:t>Network</w:t>
      </w:r>
      <w:r w:rsidR="003E731F">
        <w:t>”</w:t>
      </w:r>
      <w:r w:rsidR="005B2A41">
        <w:t xml:space="preserve"> </w:t>
      </w:r>
      <w:r w:rsidRPr="00B02247">
        <w:t>(RVRN),</w:t>
      </w:r>
      <w:r w:rsidR="005B2A41">
        <w:t xml:space="preserve"> </w:t>
      </w:r>
      <w:r w:rsidRPr="00B02247">
        <w:t>in</w:t>
      </w:r>
      <w:r w:rsidR="005B2A41">
        <w:t xml:space="preserve"> </w:t>
      </w:r>
      <w:r w:rsidRPr="00B02247">
        <w:t>which</w:t>
      </w:r>
      <w:r w:rsidR="005B2A41">
        <w:t xml:space="preserve"> </w:t>
      </w:r>
      <w:r w:rsidRPr="00B02247">
        <w:t>participate</w:t>
      </w:r>
      <w:r w:rsidR="005B2A41">
        <w:t xml:space="preserve"> </w:t>
      </w:r>
      <w:r w:rsidRPr="00B02247">
        <w:t>38</w:t>
      </w:r>
      <w:r w:rsidR="005B2A41">
        <w:t xml:space="preserve"> </w:t>
      </w:r>
      <w:r w:rsidRPr="00B02247">
        <w:t>NGOs</w:t>
      </w:r>
      <w:r w:rsidR="005B2A41">
        <w:t xml:space="preserve"> </w:t>
      </w:r>
      <w:r w:rsidRPr="00B02247">
        <w:t>and</w:t>
      </w:r>
      <w:r w:rsidR="005B2A41">
        <w:t xml:space="preserve"> </w:t>
      </w:r>
      <w:r w:rsidRPr="00B02247">
        <w:t>other</w:t>
      </w:r>
      <w:r w:rsidR="005B2A41">
        <w:t xml:space="preserve"> </w:t>
      </w:r>
      <w:r w:rsidRPr="00B02247">
        <w:t>bodies,</w:t>
      </w:r>
      <w:r w:rsidR="005B2A41">
        <w:t xml:space="preserve"> </w:t>
      </w:r>
      <w:r w:rsidRPr="00B02247">
        <w:t>having</w:t>
      </w:r>
      <w:r w:rsidR="005B2A41">
        <w:t xml:space="preserve"> </w:t>
      </w:r>
      <w:r w:rsidRPr="00B02247">
        <w:t>as</w:t>
      </w:r>
      <w:r w:rsidR="005B2A41">
        <w:t xml:space="preserve"> </w:t>
      </w:r>
      <w:r w:rsidRPr="00B02247">
        <w:t>a</w:t>
      </w:r>
      <w:r w:rsidR="005B2A41">
        <w:t xml:space="preserve"> </w:t>
      </w:r>
      <w:r w:rsidRPr="00B02247">
        <w:t>primary</w:t>
      </w:r>
      <w:r w:rsidR="005B2A41">
        <w:t xml:space="preserve"> </w:t>
      </w:r>
      <w:r w:rsidRPr="00B02247">
        <w:t>goal</w:t>
      </w:r>
      <w:r w:rsidR="005B2A41">
        <w:t xml:space="preserve"> </w:t>
      </w:r>
      <w:r w:rsidRPr="00B02247">
        <w:t>the</w:t>
      </w:r>
      <w:r w:rsidR="005B2A41">
        <w:t xml:space="preserve"> </w:t>
      </w:r>
      <w:r w:rsidRPr="00B02247">
        <w:t>documentation</w:t>
      </w:r>
      <w:r w:rsidR="005B2A41">
        <w:t xml:space="preserve"> </w:t>
      </w:r>
      <w:r w:rsidRPr="00B02247">
        <w:t>of</w:t>
      </w:r>
      <w:r w:rsidR="005B2A41">
        <w:t xml:space="preserve"> </w:t>
      </w:r>
      <w:r w:rsidRPr="00B02247">
        <w:t>racist</w:t>
      </w:r>
      <w:r w:rsidR="005B2A41">
        <w:t xml:space="preserve"> </w:t>
      </w:r>
      <w:r w:rsidRPr="00B02247">
        <w:t>incidents,</w:t>
      </w:r>
      <w:r w:rsidR="005B2A41">
        <w:t xml:space="preserve"> </w:t>
      </w:r>
      <w:r w:rsidRPr="00B02247">
        <w:t>the</w:t>
      </w:r>
      <w:r w:rsidR="005B2A41">
        <w:t xml:space="preserve"> </w:t>
      </w:r>
      <w:r w:rsidRPr="00B02247">
        <w:t>UNHCR,</w:t>
      </w:r>
      <w:r w:rsidR="005B2A41">
        <w:t xml:space="preserve"> </w:t>
      </w:r>
      <w:r w:rsidRPr="00B02247">
        <w:t>etc.;</w:t>
      </w:r>
      <w:r w:rsidR="005B2A41">
        <w:t xml:space="preserve"> </w:t>
      </w:r>
      <w:r w:rsidRPr="00B02247">
        <w:t>the</w:t>
      </w:r>
      <w:r w:rsidR="005B2A41">
        <w:t xml:space="preserve"> </w:t>
      </w:r>
      <w:r w:rsidRPr="00B02247">
        <w:t>Greek</w:t>
      </w:r>
      <w:r w:rsidR="005B2A41">
        <w:t xml:space="preserve"> </w:t>
      </w:r>
      <w:r w:rsidRPr="00B02247">
        <w:t>Ombudsman</w:t>
      </w:r>
      <w:r w:rsidR="005B2A41">
        <w:t xml:space="preserve"> </w:t>
      </w:r>
      <w:r w:rsidRPr="00B02247">
        <w:t>also</w:t>
      </w:r>
      <w:r w:rsidR="005B2A41">
        <w:t xml:space="preserve"> </w:t>
      </w:r>
      <w:r w:rsidRPr="00B02247">
        <w:t>participates</w:t>
      </w:r>
      <w:r w:rsidR="005B2A41">
        <w:t xml:space="preserve"> </w:t>
      </w:r>
      <w:r w:rsidRPr="00B02247">
        <w:t>in</w:t>
      </w:r>
      <w:r w:rsidR="005B2A41">
        <w:t xml:space="preserve"> </w:t>
      </w:r>
      <w:r w:rsidRPr="00B02247">
        <w:t>the</w:t>
      </w:r>
      <w:r w:rsidR="005B2A41">
        <w:t xml:space="preserve"> </w:t>
      </w:r>
      <w:r w:rsidRPr="00B02247">
        <w:t>work</w:t>
      </w:r>
      <w:r w:rsidR="005B2A41">
        <w:t xml:space="preserve"> </w:t>
      </w:r>
      <w:r w:rsidRPr="00B02247">
        <w:t>of</w:t>
      </w:r>
      <w:r w:rsidR="005B2A41">
        <w:t xml:space="preserve"> </w:t>
      </w:r>
      <w:r w:rsidRPr="00B02247">
        <w:t>the</w:t>
      </w:r>
      <w:r w:rsidR="005B2A41">
        <w:t xml:space="preserve"> </w:t>
      </w:r>
      <w:r w:rsidRPr="00B02247">
        <w:t>Council.</w:t>
      </w:r>
      <w:r w:rsidR="005B2A41">
        <w:t xml:space="preserve"> </w:t>
      </w:r>
      <w:r w:rsidRPr="00B02247">
        <w:t>The</w:t>
      </w:r>
      <w:r w:rsidR="005B2A41">
        <w:t xml:space="preserve"> </w:t>
      </w:r>
      <w:r w:rsidRPr="00B02247">
        <w:t>drafting</w:t>
      </w:r>
      <w:r w:rsidR="005B2A41">
        <w:t xml:space="preserve"> </w:t>
      </w:r>
      <w:r w:rsidRPr="00B02247">
        <w:t>of</w:t>
      </w:r>
      <w:r w:rsidR="005B2A41">
        <w:t xml:space="preserve"> </w:t>
      </w:r>
      <w:r w:rsidRPr="00B02247">
        <w:t>a</w:t>
      </w:r>
      <w:r w:rsidR="005B2A41">
        <w:t xml:space="preserve"> </w:t>
      </w:r>
      <w:r w:rsidRPr="00B02247">
        <w:t>National</w:t>
      </w:r>
      <w:r w:rsidR="005B2A41">
        <w:t xml:space="preserve"> </w:t>
      </w:r>
      <w:r w:rsidRPr="00B02247">
        <w:t>Action</w:t>
      </w:r>
      <w:r w:rsidR="005B2A41">
        <w:t xml:space="preserve"> </w:t>
      </w:r>
      <w:r w:rsidRPr="00B02247">
        <w:t>Plan</w:t>
      </w:r>
      <w:r w:rsidR="005B2A41">
        <w:t xml:space="preserve"> </w:t>
      </w:r>
      <w:r w:rsidRPr="00B02247">
        <w:t>against</w:t>
      </w:r>
      <w:r w:rsidR="005B2A41">
        <w:t xml:space="preserve"> </w:t>
      </w:r>
      <w:r w:rsidRPr="00B02247">
        <w:t>Racism</w:t>
      </w:r>
      <w:r w:rsidR="005B2A41">
        <w:t xml:space="preserve"> </w:t>
      </w:r>
      <w:r w:rsidRPr="00B02247">
        <w:t>and</w:t>
      </w:r>
      <w:r w:rsidR="005B2A41">
        <w:t xml:space="preserve"> </w:t>
      </w:r>
      <w:r w:rsidRPr="00B02247">
        <w:t>Intolerance</w:t>
      </w:r>
      <w:r w:rsidR="005B2A41">
        <w:t xml:space="preserve"> </w:t>
      </w:r>
      <w:r w:rsidRPr="00B02247">
        <w:t>is</w:t>
      </w:r>
      <w:r w:rsidR="005B2A41">
        <w:t xml:space="preserve"> </w:t>
      </w:r>
      <w:r w:rsidRPr="00B02247">
        <w:t>also</w:t>
      </w:r>
      <w:r w:rsidR="005B2A41">
        <w:t xml:space="preserve"> </w:t>
      </w:r>
      <w:r w:rsidRPr="00B02247">
        <w:t>among</w:t>
      </w:r>
      <w:r w:rsidR="005B2A41">
        <w:t xml:space="preserve"> </w:t>
      </w:r>
      <w:r w:rsidRPr="00B02247">
        <w:t>the</w:t>
      </w:r>
      <w:r w:rsidR="005B2A41">
        <w:t xml:space="preserve"> </w:t>
      </w:r>
      <w:r w:rsidRPr="00B02247">
        <w:t>tasks</w:t>
      </w:r>
      <w:r w:rsidR="005B2A41">
        <w:t xml:space="preserve"> </w:t>
      </w:r>
      <w:r w:rsidRPr="00B02247">
        <w:t>of</w:t>
      </w:r>
      <w:r w:rsidR="005B2A41">
        <w:t xml:space="preserve"> </w:t>
      </w:r>
      <w:r w:rsidRPr="00B02247">
        <w:t>the</w:t>
      </w:r>
      <w:r w:rsidR="005B2A41">
        <w:t xml:space="preserve"> </w:t>
      </w:r>
      <w:r w:rsidRPr="00B02247">
        <w:t>Council.</w:t>
      </w:r>
      <w:r w:rsidR="005B2A41">
        <w:t xml:space="preserve"> </w:t>
      </w:r>
    </w:p>
    <w:p w:rsidR="00F233AB" w:rsidRPr="00B02247" w:rsidRDefault="00F233AB" w:rsidP="00E1307D">
      <w:pPr>
        <w:pStyle w:val="SingleTxtG"/>
      </w:pPr>
      <w:r w:rsidRPr="00B02247">
        <w:t>91.</w:t>
      </w:r>
      <w:r w:rsidRPr="00B02247">
        <w:tab/>
        <w:t>In</w:t>
      </w:r>
      <w:r w:rsidR="005B2A41">
        <w:t xml:space="preserve"> </w:t>
      </w:r>
      <w:r w:rsidRPr="00B02247">
        <w:t>accordance</w:t>
      </w:r>
      <w:r w:rsidR="005B2A41">
        <w:t xml:space="preserve"> </w:t>
      </w:r>
      <w:r w:rsidRPr="00B02247">
        <w:t>with</w:t>
      </w:r>
      <w:r w:rsidR="005B2A41">
        <w:t xml:space="preserve"> </w:t>
      </w:r>
      <w:r w:rsidRPr="00B02247">
        <w:t>article</w:t>
      </w:r>
      <w:r w:rsidR="005B2A41">
        <w:t xml:space="preserve"> </w:t>
      </w:r>
      <w:r w:rsidRPr="00B02247">
        <w:t>31</w:t>
      </w:r>
      <w:r w:rsidR="005B2A41">
        <w:t xml:space="preserve"> </w:t>
      </w:r>
      <w:r w:rsidRPr="00B02247">
        <w:t>of</w:t>
      </w:r>
      <w:r w:rsidR="005B2A41">
        <w:t xml:space="preserve"> </w:t>
      </w:r>
      <w:r w:rsidRPr="00B02247">
        <w:t>the</w:t>
      </w:r>
      <w:r w:rsidR="005B2A41">
        <w:t xml:space="preserve"> </w:t>
      </w:r>
      <w:r w:rsidRPr="00B02247">
        <w:t>Convention</w:t>
      </w:r>
      <w:r w:rsidR="005B2A41">
        <w:t xml:space="preserve"> </w:t>
      </w:r>
      <w:r w:rsidRPr="00B02247">
        <w:t>on</w:t>
      </w:r>
      <w:r w:rsidR="005B2A41">
        <w:t xml:space="preserve"> </w:t>
      </w:r>
      <w:r w:rsidRPr="00B02247">
        <w:t>the</w:t>
      </w:r>
      <w:r w:rsidR="005B2A41">
        <w:t xml:space="preserve"> </w:t>
      </w:r>
      <w:r w:rsidRPr="00B02247">
        <w:t>Rights</w:t>
      </w:r>
      <w:r w:rsidR="005B2A41">
        <w:t xml:space="preserve"> </w:t>
      </w:r>
      <w:r w:rsidRPr="00B02247">
        <w:t>of</w:t>
      </w:r>
      <w:r w:rsidR="005B2A41">
        <w:t xml:space="preserve"> </w:t>
      </w:r>
      <w:r w:rsidRPr="00B02247">
        <w:t>Persons</w:t>
      </w:r>
      <w:r w:rsidR="005B2A41">
        <w:t xml:space="preserve"> </w:t>
      </w:r>
      <w:r w:rsidRPr="00B02247">
        <w:t>with</w:t>
      </w:r>
      <w:r w:rsidR="005B2A41">
        <w:t xml:space="preserve"> </w:t>
      </w:r>
      <w:r w:rsidRPr="00B02247">
        <w:t>Disabilities,</w:t>
      </w:r>
      <w:r w:rsidR="005B2A41">
        <w:t xml:space="preserve"> </w:t>
      </w:r>
      <w:r w:rsidRPr="00B02247">
        <w:t>the</w:t>
      </w:r>
      <w:r w:rsidR="005B2A41">
        <w:t xml:space="preserve"> </w:t>
      </w:r>
      <w:r w:rsidRPr="00B02247">
        <w:t>State</w:t>
      </w:r>
      <w:r w:rsidR="005B2A41">
        <w:t xml:space="preserve"> </w:t>
      </w:r>
      <w:r w:rsidRPr="00B02247">
        <w:t>Minister</w:t>
      </w:r>
      <w:r w:rsidR="005B2A41">
        <w:t xml:space="preserve"> </w:t>
      </w:r>
      <w:r w:rsidRPr="00B02247">
        <w:t>responsible</w:t>
      </w:r>
      <w:r w:rsidR="005B2A41">
        <w:t xml:space="preserve"> </w:t>
      </w:r>
      <w:r w:rsidRPr="00B02247">
        <w:t>for</w:t>
      </w:r>
      <w:r w:rsidR="005B2A41">
        <w:t xml:space="preserve"> </w:t>
      </w:r>
      <w:r w:rsidRPr="00B02247">
        <w:t>the</w:t>
      </w:r>
      <w:r w:rsidR="005B2A41">
        <w:t xml:space="preserve"> </w:t>
      </w:r>
      <w:r w:rsidRPr="00B02247">
        <w:t>cohesion</w:t>
      </w:r>
      <w:r w:rsidR="005B2A41">
        <w:t xml:space="preserve"> </w:t>
      </w:r>
      <w:r w:rsidRPr="00B02247">
        <w:t>of</w:t>
      </w:r>
      <w:r w:rsidR="005B2A41">
        <w:t xml:space="preserve"> </w:t>
      </w:r>
      <w:r w:rsidRPr="00B02247">
        <w:t>the</w:t>
      </w:r>
      <w:r w:rsidR="005B2A41">
        <w:t xml:space="preserve"> </w:t>
      </w:r>
      <w:r w:rsidRPr="00B02247">
        <w:t>Government</w:t>
      </w:r>
      <w:r w:rsidR="003E731F">
        <w:t>’</w:t>
      </w:r>
      <w:r w:rsidRPr="00B02247">
        <w:t>s</w:t>
      </w:r>
      <w:r w:rsidR="005B2A41">
        <w:t xml:space="preserve"> </w:t>
      </w:r>
      <w:r w:rsidRPr="00B02247">
        <w:t>work</w:t>
      </w:r>
      <w:r w:rsidR="005B2A41">
        <w:t xml:space="preserve"> </w:t>
      </w:r>
      <w:r w:rsidRPr="00B02247">
        <w:t>has</w:t>
      </w:r>
      <w:r w:rsidR="005B2A41">
        <w:t xml:space="preserve"> </w:t>
      </w:r>
      <w:r w:rsidRPr="00B02247">
        <w:t>been</w:t>
      </w:r>
      <w:r w:rsidR="005B2A41">
        <w:t xml:space="preserve"> </w:t>
      </w:r>
      <w:r w:rsidRPr="00B02247">
        <w:t>designated,</w:t>
      </w:r>
      <w:r w:rsidR="005B2A41">
        <w:t xml:space="preserve"> </w:t>
      </w:r>
      <w:r w:rsidRPr="00B02247">
        <w:t>by</w:t>
      </w:r>
      <w:r w:rsidR="005B2A41">
        <w:t xml:space="preserve"> </w:t>
      </w:r>
      <w:r w:rsidRPr="00B02247">
        <w:t>Law</w:t>
      </w:r>
      <w:r w:rsidR="005B2A41">
        <w:t xml:space="preserve"> </w:t>
      </w:r>
      <w:r w:rsidRPr="00B02247">
        <w:t>4488/2017,</w:t>
      </w:r>
      <w:r w:rsidR="005B2A41">
        <w:t xml:space="preserve"> </w:t>
      </w:r>
      <w:r w:rsidRPr="00B02247">
        <w:t>as</w:t>
      </w:r>
      <w:r w:rsidR="005B2A41">
        <w:t xml:space="preserve"> </w:t>
      </w:r>
      <w:r w:rsidRPr="00B02247">
        <w:t>the</w:t>
      </w:r>
      <w:r w:rsidR="005B2A41">
        <w:t xml:space="preserve"> </w:t>
      </w:r>
      <w:r w:rsidRPr="00B02247">
        <w:t>coordination</w:t>
      </w:r>
      <w:r w:rsidR="005B2A41">
        <w:t xml:space="preserve"> </w:t>
      </w:r>
      <w:r w:rsidRPr="00B02247">
        <w:t>mechanism</w:t>
      </w:r>
      <w:r w:rsidR="005B2A41">
        <w:t xml:space="preserve"> </w:t>
      </w:r>
      <w:r w:rsidRPr="00B02247">
        <w:t>within</w:t>
      </w:r>
      <w:r w:rsidR="005B2A41">
        <w:t xml:space="preserve"> </w:t>
      </w:r>
      <w:r w:rsidRPr="00B02247">
        <w:t>government</w:t>
      </w:r>
      <w:r w:rsidR="005B2A41">
        <w:t xml:space="preserve"> </w:t>
      </w:r>
      <w:r w:rsidRPr="00B02247">
        <w:t>to</w:t>
      </w:r>
      <w:r w:rsidR="005B2A41">
        <w:t xml:space="preserve"> </w:t>
      </w:r>
      <w:r w:rsidRPr="00B02247">
        <w:t>facilitate</w:t>
      </w:r>
      <w:r w:rsidR="005B2A41">
        <w:t xml:space="preserve"> </w:t>
      </w:r>
      <w:r w:rsidRPr="00B02247">
        <w:t>related</w:t>
      </w:r>
      <w:r w:rsidR="005B2A41">
        <w:t xml:space="preserve"> </w:t>
      </w:r>
      <w:r w:rsidRPr="00B02247">
        <w:t>action</w:t>
      </w:r>
      <w:r w:rsidR="005B2A41">
        <w:t xml:space="preserve"> </w:t>
      </w:r>
      <w:r w:rsidRPr="00B02247">
        <w:t>in</w:t>
      </w:r>
      <w:r w:rsidR="005B2A41">
        <w:t xml:space="preserve"> </w:t>
      </w:r>
      <w:r w:rsidRPr="00B02247">
        <w:t>different</w:t>
      </w:r>
      <w:r w:rsidR="005B2A41">
        <w:t xml:space="preserve"> </w:t>
      </w:r>
      <w:r w:rsidRPr="00B02247">
        <w:t>sectors</w:t>
      </w:r>
      <w:r w:rsidR="005B2A41">
        <w:t xml:space="preserve"> </w:t>
      </w:r>
      <w:r w:rsidRPr="00B02247">
        <w:t>and</w:t>
      </w:r>
      <w:r w:rsidR="005B2A41">
        <w:t xml:space="preserve"> </w:t>
      </w:r>
      <w:r w:rsidRPr="00B02247">
        <w:t>at</w:t>
      </w:r>
      <w:r w:rsidR="005B2A41">
        <w:t xml:space="preserve"> </w:t>
      </w:r>
      <w:r w:rsidRPr="00B02247">
        <w:t>different</w:t>
      </w:r>
      <w:r w:rsidR="005B2A41">
        <w:t xml:space="preserve"> </w:t>
      </w:r>
      <w:r w:rsidRPr="00B02247">
        <w:t>levels;</w:t>
      </w:r>
      <w:r w:rsidR="005B2A41">
        <w:t xml:space="preserve"> </w:t>
      </w:r>
      <w:r w:rsidRPr="00B02247">
        <w:t>the</w:t>
      </w:r>
      <w:r w:rsidR="005B2A41">
        <w:t xml:space="preserve"> </w:t>
      </w:r>
      <w:r w:rsidRPr="00B02247">
        <w:t>General</w:t>
      </w:r>
      <w:r w:rsidR="005B2A41">
        <w:t xml:space="preserve"> </w:t>
      </w:r>
      <w:r w:rsidRPr="00B02247">
        <w:t>Secretariat</w:t>
      </w:r>
      <w:r w:rsidR="005B2A41">
        <w:t xml:space="preserve"> </w:t>
      </w:r>
      <w:r w:rsidRPr="00B02247">
        <w:t>for</w:t>
      </w:r>
      <w:r w:rsidR="005B2A41">
        <w:t xml:space="preserve"> </w:t>
      </w:r>
      <w:r w:rsidRPr="00B02247">
        <w:t>Transparency</w:t>
      </w:r>
      <w:r w:rsidR="005B2A41">
        <w:t xml:space="preserve"> </w:t>
      </w:r>
      <w:r w:rsidRPr="00B02247">
        <w:t>and</w:t>
      </w:r>
      <w:r w:rsidR="005B2A41">
        <w:t xml:space="preserve"> </w:t>
      </w:r>
      <w:r w:rsidRPr="00B02247">
        <w:t>Human</w:t>
      </w:r>
      <w:r w:rsidR="005B2A41">
        <w:t xml:space="preserve"> </w:t>
      </w:r>
      <w:r w:rsidRPr="00B02247">
        <w:t>Rights</w:t>
      </w:r>
      <w:r w:rsidR="005B2A41">
        <w:t xml:space="preserve"> </w:t>
      </w:r>
      <w:r w:rsidRPr="00B02247">
        <w:t>of</w:t>
      </w:r>
      <w:r w:rsidR="005B2A41">
        <w:t xml:space="preserve"> </w:t>
      </w:r>
      <w:r w:rsidRPr="00B02247">
        <w:t>the</w:t>
      </w:r>
      <w:r w:rsidR="005B2A41">
        <w:t xml:space="preserve"> </w:t>
      </w:r>
      <w:r w:rsidRPr="00B02247">
        <w:t>Ministry</w:t>
      </w:r>
      <w:r w:rsidR="005B2A41">
        <w:t xml:space="preserve"> </w:t>
      </w:r>
      <w:r w:rsidRPr="00B02247">
        <w:t>of</w:t>
      </w:r>
      <w:r w:rsidR="005B2A41">
        <w:t xml:space="preserve"> </w:t>
      </w:r>
      <w:r w:rsidRPr="00B02247">
        <w:t>Justice,</w:t>
      </w:r>
      <w:r w:rsidR="005B2A41">
        <w:t xml:space="preserve"> </w:t>
      </w:r>
      <w:r w:rsidRPr="00B02247">
        <w:t>Transparency</w:t>
      </w:r>
      <w:r w:rsidR="005B2A41">
        <w:t xml:space="preserve"> </w:t>
      </w:r>
      <w:r w:rsidRPr="00B02247">
        <w:t>and</w:t>
      </w:r>
      <w:r w:rsidR="005B2A41">
        <w:t xml:space="preserve"> </w:t>
      </w:r>
      <w:r w:rsidRPr="00B02247">
        <w:t>Human</w:t>
      </w:r>
      <w:r w:rsidR="005B2A41">
        <w:t xml:space="preserve"> </w:t>
      </w:r>
      <w:r w:rsidRPr="00B02247">
        <w:t>Rights</w:t>
      </w:r>
      <w:r w:rsidR="005B2A41">
        <w:t xml:space="preserve"> </w:t>
      </w:r>
      <w:r w:rsidRPr="00B02247">
        <w:t>has</w:t>
      </w:r>
      <w:r w:rsidR="005B2A41">
        <w:t xml:space="preserve"> </w:t>
      </w:r>
      <w:r w:rsidRPr="00B02247">
        <w:t>been</w:t>
      </w:r>
      <w:r w:rsidR="005B2A41">
        <w:t xml:space="preserve"> </w:t>
      </w:r>
      <w:r w:rsidRPr="00B02247">
        <w:t>designated</w:t>
      </w:r>
      <w:r w:rsidR="005B2A41">
        <w:t xml:space="preserve"> </w:t>
      </w:r>
      <w:r w:rsidRPr="00B02247">
        <w:t>as</w:t>
      </w:r>
      <w:r w:rsidR="005B2A41">
        <w:t xml:space="preserve"> </w:t>
      </w:r>
      <w:r w:rsidRPr="00B02247">
        <w:t>the</w:t>
      </w:r>
      <w:r w:rsidR="005B2A41">
        <w:t xml:space="preserve"> </w:t>
      </w:r>
      <w:r w:rsidRPr="00B02247">
        <w:t>central</w:t>
      </w:r>
      <w:r w:rsidR="005B2A41">
        <w:t xml:space="preserve"> </w:t>
      </w:r>
      <w:r w:rsidRPr="00B02247">
        <w:t>focal</w:t>
      </w:r>
      <w:r w:rsidR="005B2A41">
        <w:t xml:space="preserve"> </w:t>
      </w:r>
      <w:r w:rsidRPr="00B02247">
        <w:t>point</w:t>
      </w:r>
      <w:r w:rsidR="005B2A41">
        <w:t xml:space="preserve"> </w:t>
      </w:r>
      <w:r w:rsidRPr="00B02247">
        <w:t>for</w:t>
      </w:r>
      <w:r w:rsidR="005B2A41">
        <w:t xml:space="preserve"> </w:t>
      </w:r>
      <w:r w:rsidRPr="00B02247">
        <w:t>matters</w:t>
      </w:r>
      <w:r w:rsidR="005B2A41">
        <w:t xml:space="preserve"> </w:t>
      </w:r>
      <w:r w:rsidRPr="00B02247">
        <w:t>relating</w:t>
      </w:r>
      <w:r w:rsidR="005B2A41">
        <w:t xml:space="preserve"> </w:t>
      </w:r>
      <w:r w:rsidRPr="00B02247">
        <w:t>to</w:t>
      </w:r>
      <w:r w:rsidR="005B2A41">
        <w:t xml:space="preserve"> </w:t>
      </w:r>
      <w:r w:rsidRPr="00B02247">
        <w:t>the</w:t>
      </w:r>
      <w:r w:rsidR="005B2A41">
        <w:t xml:space="preserve"> </w:t>
      </w:r>
      <w:r w:rsidRPr="00B02247">
        <w:t>implementation</w:t>
      </w:r>
      <w:r w:rsidR="005B2A41">
        <w:t xml:space="preserve"> </w:t>
      </w:r>
      <w:r w:rsidRPr="00B02247">
        <w:t>of</w:t>
      </w:r>
      <w:r w:rsidR="005B2A41">
        <w:t xml:space="preserve"> </w:t>
      </w:r>
      <w:r w:rsidRPr="00B02247">
        <w:t>the</w:t>
      </w:r>
      <w:r w:rsidR="005B2A41">
        <w:t xml:space="preserve"> </w:t>
      </w:r>
      <w:r w:rsidRPr="00B02247">
        <w:t>Convention</w:t>
      </w:r>
      <w:r w:rsidR="005B2A41">
        <w:t xml:space="preserve"> </w:t>
      </w:r>
      <w:r w:rsidRPr="00B02247">
        <w:t>on</w:t>
      </w:r>
      <w:r w:rsidR="005B2A41">
        <w:t xml:space="preserve"> </w:t>
      </w:r>
      <w:r w:rsidRPr="00B02247">
        <w:t>the</w:t>
      </w:r>
      <w:r w:rsidR="005B2A41">
        <w:t xml:space="preserve"> </w:t>
      </w:r>
      <w:r w:rsidRPr="00B02247">
        <w:t>Rights</w:t>
      </w:r>
      <w:r w:rsidR="005B2A41">
        <w:t xml:space="preserve"> </w:t>
      </w:r>
      <w:r w:rsidRPr="00B02247">
        <w:t>of</w:t>
      </w:r>
      <w:r w:rsidR="005B2A41">
        <w:t xml:space="preserve"> </w:t>
      </w:r>
      <w:r w:rsidRPr="00B02247">
        <w:t>Persons</w:t>
      </w:r>
      <w:r w:rsidR="005B2A41">
        <w:t xml:space="preserve"> </w:t>
      </w:r>
      <w:r w:rsidRPr="00B02247">
        <w:t>with</w:t>
      </w:r>
      <w:r w:rsidR="005B2A41">
        <w:t xml:space="preserve"> </w:t>
      </w:r>
      <w:r w:rsidRPr="00B02247">
        <w:t>disabilities;</w:t>
      </w:r>
      <w:r w:rsidR="005B2A41">
        <w:t xml:space="preserve"> </w:t>
      </w:r>
      <w:r w:rsidRPr="00B02247">
        <w:t>the</w:t>
      </w:r>
      <w:r w:rsidR="005B2A41">
        <w:t xml:space="preserve"> </w:t>
      </w:r>
      <w:r w:rsidRPr="00B02247">
        <w:t>law</w:t>
      </w:r>
      <w:r w:rsidR="005B2A41">
        <w:t xml:space="preserve"> </w:t>
      </w:r>
      <w:r w:rsidRPr="00B02247">
        <w:t>also</w:t>
      </w:r>
      <w:r w:rsidR="005B2A41">
        <w:t xml:space="preserve"> </w:t>
      </w:r>
      <w:r w:rsidRPr="00B02247">
        <w:t>provides</w:t>
      </w:r>
      <w:r w:rsidR="005B2A41">
        <w:t xml:space="preserve"> </w:t>
      </w:r>
      <w:r w:rsidRPr="00B02247">
        <w:t>for</w:t>
      </w:r>
      <w:r w:rsidR="005B2A41">
        <w:t xml:space="preserve"> </w:t>
      </w:r>
      <w:r w:rsidRPr="00B02247">
        <w:t>the</w:t>
      </w:r>
      <w:r w:rsidR="005B2A41">
        <w:t xml:space="preserve"> </w:t>
      </w:r>
      <w:r w:rsidRPr="00B02247">
        <w:t>designation</w:t>
      </w:r>
      <w:r w:rsidR="005B2A41">
        <w:t xml:space="preserve"> </w:t>
      </w:r>
      <w:r w:rsidRPr="00B02247">
        <w:t>of</w:t>
      </w:r>
      <w:r w:rsidR="005B2A41">
        <w:t xml:space="preserve"> </w:t>
      </w:r>
      <w:r w:rsidRPr="00B02247">
        <w:t>focal</w:t>
      </w:r>
      <w:r w:rsidR="005B2A41">
        <w:t xml:space="preserve"> </w:t>
      </w:r>
      <w:r w:rsidRPr="00B02247">
        <w:t>points</w:t>
      </w:r>
      <w:r w:rsidR="005B2A41">
        <w:t xml:space="preserve"> </w:t>
      </w:r>
      <w:r w:rsidRPr="00B02247">
        <w:t>within</w:t>
      </w:r>
      <w:r w:rsidR="005B2A41">
        <w:t xml:space="preserve"> </w:t>
      </w:r>
      <w:r w:rsidRPr="00B02247">
        <w:t>each</w:t>
      </w:r>
      <w:r w:rsidR="005B2A41">
        <w:t xml:space="preserve"> </w:t>
      </w:r>
      <w:r w:rsidRPr="00B02247">
        <w:t>Ministry.</w:t>
      </w:r>
      <w:r w:rsidR="005B2A41">
        <w:t xml:space="preserve"> </w:t>
      </w:r>
      <w:r w:rsidRPr="00B02247">
        <w:t>Finally,</w:t>
      </w:r>
      <w:r w:rsidR="005B2A41">
        <w:t xml:space="preserve"> </w:t>
      </w:r>
      <w:r w:rsidRPr="00B02247">
        <w:t>the</w:t>
      </w:r>
      <w:r w:rsidR="005B2A41">
        <w:t xml:space="preserve"> </w:t>
      </w:r>
      <w:r w:rsidRPr="00B02247">
        <w:t>Greek</w:t>
      </w:r>
      <w:r w:rsidR="005B2A41">
        <w:t xml:space="preserve"> </w:t>
      </w:r>
      <w:r w:rsidRPr="00B02247">
        <w:t>Ombudsman</w:t>
      </w:r>
      <w:r w:rsidR="005B2A41">
        <w:t xml:space="preserve"> </w:t>
      </w:r>
      <w:r w:rsidRPr="00B02247">
        <w:t>has</w:t>
      </w:r>
      <w:r w:rsidR="005B2A41">
        <w:t xml:space="preserve"> </w:t>
      </w:r>
      <w:r w:rsidRPr="00B02247">
        <w:t>been</w:t>
      </w:r>
      <w:r w:rsidR="005B2A41">
        <w:t xml:space="preserve"> </w:t>
      </w:r>
      <w:r w:rsidRPr="00B02247">
        <w:t>designated</w:t>
      </w:r>
      <w:r w:rsidR="005B2A41">
        <w:t xml:space="preserve"> </w:t>
      </w:r>
      <w:r w:rsidRPr="00B02247">
        <w:t>as</w:t>
      </w:r>
      <w:r w:rsidR="005B2A41">
        <w:t xml:space="preserve"> </w:t>
      </w:r>
      <w:r w:rsidRPr="00B02247">
        <w:t>the</w:t>
      </w:r>
      <w:r w:rsidR="005B2A41">
        <w:t xml:space="preserve"> </w:t>
      </w:r>
      <w:r w:rsidRPr="00B02247">
        <w:t>national</w:t>
      </w:r>
      <w:r w:rsidR="005B2A41">
        <w:t xml:space="preserve"> </w:t>
      </w:r>
      <w:r w:rsidRPr="00B02247">
        <w:t>framework</w:t>
      </w:r>
      <w:r w:rsidR="005B2A41">
        <w:t xml:space="preserve"> </w:t>
      </w:r>
      <w:r w:rsidRPr="00B02247">
        <w:t>for</w:t>
      </w:r>
      <w:r w:rsidR="005B2A41">
        <w:t xml:space="preserve"> </w:t>
      </w:r>
      <w:r w:rsidRPr="00B02247">
        <w:t>the</w:t>
      </w:r>
      <w:r w:rsidR="005B2A41">
        <w:t xml:space="preserve"> </w:t>
      </w:r>
      <w:r w:rsidRPr="00B02247">
        <w:t>promotion</w:t>
      </w:r>
      <w:r w:rsidR="005B2A41">
        <w:t xml:space="preserve"> </w:t>
      </w:r>
      <w:r w:rsidRPr="00B02247">
        <w:t>of</w:t>
      </w:r>
      <w:r w:rsidR="005B2A41">
        <w:t xml:space="preserve"> </w:t>
      </w:r>
      <w:r w:rsidRPr="00B02247">
        <w:t>the</w:t>
      </w:r>
      <w:r w:rsidR="005B2A41">
        <w:t xml:space="preserve"> </w:t>
      </w:r>
      <w:r w:rsidRPr="00B02247">
        <w:t>implementation</w:t>
      </w:r>
      <w:r w:rsidR="005B2A41">
        <w:t xml:space="preserve"> </w:t>
      </w:r>
      <w:r w:rsidRPr="00B02247">
        <w:t>of</w:t>
      </w:r>
      <w:r w:rsidR="005B2A41">
        <w:t xml:space="preserve"> </w:t>
      </w:r>
      <w:r w:rsidRPr="00B02247">
        <w:t>the</w:t>
      </w:r>
      <w:r w:rsidR="005B2A41">
        <w:t xml:space="preserve"> </w:t>
      </w:r>
      <w:r w:rsidRPr="00B02247">
        <w:t>abovementioned</w:t>
      </w:r>
      <w:r w:rsidR="005B2A41">
        <w:t xml:space="preserve"> </w:t>
      </w:r>
      <w:r w:rsidRPr="00B02247">
        <w:t>Convention,</w:t>
      </w:r>
      <w:r w:rsidR="005B2A41">
        <w:t xml:space="preserve"> </w:t>
      </w:r>
      <w:r w:rsidRPr="00B02247">
        <w:t>in</w:t>
      </w:r>
      <w:r w:rsidR="005B2A41">
        <w:t xml:space="preserve"> </w:t>
      </w:r>
      <w:r w:rsidRPr="00B02247">
        <w:t>cooperation</w:t>
      </w:r>
      <w:r w:rsidR="005B2A41">
        <w:t xml:space="preserve"> </w:t>
      </w:r>
      <w:r w:rsidRPr="00B02247">
        <w:t>with</w:t>
      </w:r>
      <w:r w:rsidR="005B2A41">
        <w:t xml:space="preserve"> </w:t>
      </w:r>
      <w:r w:rsidRPr="00B02247">
        <w:t>the</w:t>
      </w:r>
      <w:r w:rsidR="005B2A41">
        <w:t xml:space="preserve"> </w:t>
      </w:r>
      <w:r w:rsidRPr="00B02247">
        <w:t>National</w:t>
      </w:r>
      <w:r w:rsidR="005B2A41">
        <w:t xml:space="preserve"> </w:t>
      </w:r>
      <w:r w:rsidRPr="00B02247">
        <w:t>Confederation</w:t>
      </w:r>
      <w:r w:rsidR="005B2A41">
        <w:t xml:space="preserve"> </w:t>
      </w:r>
      <w:r w:rsidRPr="00B02247">
        <w:t>of</w:t>
      </w:r>
      <w:r w:rsidR="005B2A41">
        <w:t xml:space="preserve"> </w:t>
      </w:r>
      <w:r w:rsidRPr="00B02247">
        <w:t>Persons</w:t>
      </w:r>
      <w:r w:rsidR="005B2A41">
        <w:t xml:space="preserve"> </w:t>
      </w:r>
      <w:r w:rsidRPr="00B02247">
        <w:t>with</w:t>
      </w:r>
      <w:r w:rsidR="005B2A41">
        <w:t xml:space="preserve"> </w:t>
      </w:r>
      <w:r w:rsidRPr="00B02247">
        <w:t>Disabilities,</w:t>
      </w:r>
      <w:r w:rsidR="005B2A41">
        <w:t xml:space="preserve"> </w:t>
      </w:r>
      <w:r w:rsidRPr="00B02247">
        <w:t>an</w:t>
      </w:r>
      <w:r w:rsidR="005B2A41">
        <w:t xml:space="preserve"> </w:t>
      </w:r>
      <w:r w:rsidRPr="00B02247">
        <w:t>independent</w:t>
      </w:r>
      <w:r w:rsidR="005B2A41">
        <w:t xml:space="preserve"> </w:t>
      </w:r>
      <w:r w:rsidRPr="00B02247">
        <w:t>civil</w:t>
      </w:r>
      <w:r w:rsidR="005B2A41">
        <w:t xml:space="preserve"> </w:t>
      </w:r>
      <w:r w:rsidRPr="00B02247">
        <w:t>society</w:t>
      </w:r>
      <w:r w:rsidR="005B2A41">
        <w:t xml:space="preserve"> </w:t>
      </w:r>
      <w:r w:rsidRPr="00B02247">
        <w:t>organization.</w:t>
      </w:r>
      <w:r w:rsidR="005B2A41">
        <w:t xml:space="preserve"> </w:t>
      </w:r>
    </w:p>
    <w:p w:rsidR="00F233AB" w:rsidRPr="00B02247" w:rsidRDefault="00F233AB" w:rsidP="00E1307D">
      <w:pPr>
        <w:pStyle w:val="SingleTxtG"/>
      </w:pPr>
      <w:r w:rsidRPr="00B02247">
        <w:t>92.</w:t>
      </w:r>
      <w:r w:rsidRPr="00B02247">
        <w:tab/>
        <w:t>A</w:t>
      </w:r>
      <w:r w:rsidR="005B2A41">
        <w:t xml:space="preserve"> </w:t>
      </w:r>
      <w:r w:rsidRPr="00B02247">
        <w:t>law</w:t>
      </w:r>
      <w:r w:rsidR="005B2A41">
        <w:t xml:space="preserve"> </w:t>
      </w:r>
      <w:r w:rsidRPr="00B02247">
        <w:t>adopted</w:t>
      </w:r>
      <w:r w:rsidR="005B2A41">
        <w:t xml:space="preserve"> </w:t>
      </w:r>
      <w:r w:rsidRPr="00B02247">
        <w:t>in</w:t>
      </w:r>
      <w:r w:rsidR="005B2A41">
        <w:t xml:space="preserve"> </w:t>
      </w:r>
      <w:r w:rsidRPr="00B02247">
        <w:t>November</w:t>
      </w:r>
      <w:r w:rsidR="005B2A41">
        <w:t xml:space="preserve"> </w:t>
      </w:r>
      <w:r w:rsidRPr="00B02247">
        <w:t>2016</w:t>
      </w:r>
      <w:r w:rsidR="005B2A41">
        <w:t xml:space="preserve"> </w:t>
      </w:r>
      <w:r w:rsidRPr="00B02247">
        <w:t>established</w:t>
      </w:r>
      <w:r w:rsidR="005B2A41">
        <w:t xml:space="preserve"> </w:t>
      </w:r>
      <w:r w:rsidRPr="00B02247">
        <w:t>the</w:t>
      </w:r>
      <w:r w:rsidR="005B2A41">
        <w:t xml:space="preserve"> </w:t>
      </w:r>
      <w:r w:rsidR="003E731F">
        <w:t>“</w:t>
      </w:r>
      <w:r w:rsidRPr="00B02247">
        <w:t>National</w:t>
      </w:r>
      <w:r w:rsidR="005B2A41">
        <w:t xml:space="preserve"> </w:t>
      </w:r>
      <w:r w:rsidRPr="00B02247">
        <w:t>Monitoring</w:t>
      </w:r>
      <w:r w:rsidR="005B2A41">
        <w:t xml:space="preserve"> </w:t>
      </w:r>
      <w:r w:rsidRPr="00B02247">
        <w:t>Mechanism</w:t>
      </w:r>
      <w:r w:rsidR="005B2A41">
        <w:t xml:space="preserve"> </w:t>
      </w:r>
      <w:r w:rsidRPr="00B02247">
        <w:t>for</w:t>
      </w:r>
      <w:r w:rsidR="005B2A41">
        <w:t xml:space="preserve"> </w:t>
      </w:r>
      <w:r w:rsidRPr="00B02247">
        <w:t>the</w:t>
      </w:r>
      <w:r w:rsidR="005B2A41">
        <w:t xml:space="preserve"> </w:t>
      </w:r>
      <w:r w:rsidRPr="00B02247">
        <w:t>Implementation</w:t>
      </w:r>
      <w:r w:rsidR="005B2A41">
        <w:t xml:space="preserve"> </w:t>
      </w:r>
      <w:r w:rsidRPr="00B02247">
        <w:t>of</w:t>
      </w:r>
      <w:r w:rsidR="005B2A41">
        <w:t xml:space="preserve"> </w:t>
      </w:r>
      <w:r w:rsidRPr="00B02247">
        <w:t>judgements</w:t>
      </w:r>
      <w:r w:rsidR="005B2A41">
        <w:t xml:space="preserve"> </w:t>
      </w:r>
      <w:r w:rsidRPr="00B02247">
        <w:t>of</w:t>
      </w:r>
      <w:r w:rsidR="005B2A41">
        <w:t xml:space="preserve"> </w:t>
      </w:r>
      <w:r w:rsidRPr="00B02247">
        <w:t>the</w:t>
      </w:r>
      <w:r w:rsidR="005B2A41">
        <w:t xml:space="preserve"> </w:t>
      </w:r>
      <w:r w:rsidRPr="00B02247">
        <w:t>European</w:t>
      </w:r>
      <w:r w:rsidR="005B2A41">
        <w:t xml:space="preserve"> </w:t>
      </w:r>
      <w:r w:rsidRPr="00B02247">
        <w:t>Court</w:t>
      </w:r>
      <w:r w:rsidR="005B2A41">
        <w:t xml:space="preserve"> </w:t>
      </w:r>
      <w:r w:rsidRPr="00B02247">
        <w:t>of</w:t>
      </w:r>
      <w:r w:rsidR="005B2A41">
        <w:t xml:space="preserve"> </w:t>
      </w:r>
      <w:r w:rsidRPr="00B02247">
        <w:t>Human</w:t>
      </w:r>
      <w:r w:rsidR="005B2A41">
        <w:t xml:space="preserve"> </w:t>
      </w:r>
      <w:r w:rsidRPr="00B02247">
        <w:t>Rights</w:t>
      </w:r>
      <w:r w:rsidR="003E731F">
        <w:t>”</w:t>
      </w:r>
      <w:r w:rsidRPr="00B02247">
        <w:t>,</w:t>
      </w:r>
      <w:r w:rsidR="005B2A41">
        <w:t xml:space="preserve"> </w:t>
      </w:r>
      <w:r w:rsidRPr="00B02247">
        <w:t>in</w:t>
      </w:r>
      <w:r w:rsidR="005B2A41">
        <w:t xml:space="preserve"> </w:t>
      </w:r>
      <w:r w:rsidRPr="00B02247">
        <w:t>which</w:t>
      </w:r>
      <w:r w:rsidR="005B2A41">
        <w:t xml:space="preserve"> </w:t>
      </w:r>
      <w:r w:rsidRPr="00B02247">
        <w:t>participate</w:t>
      </w:r>
      <w:r w:rsidR="005B2A41">
        <w:t xml:space="preserve"> </w:t>
      </w:r>
      <w:r w:rsidRPr="00B02247">
        <w:t>representatives</w:t>
      </w:r>
      <w:r w:rsidR="005B2A41">
        <w:t xml:space="preserve"> </w:t>
      </w:r>
      <w:r w:rsidRPr="00B02247">
        <w:t>of</w:t>
      </w:r>
      <w:r w:rsidR="005B2A41">
        <w:t xml:space="preserve"> </w:t>
      </w:r>
      <w:r w:rsidRPr="00B02247">
        <w:t>the</w:t>
      </w:r>
      <w:r w:rsidR="005B2A41">
        <w:t xml:space="preserve"> </w:t>
      </w:r>
      <w:r w:rsidRPr="00B02247">
        <w:t>Ministry</w:t>
      </w:r>
      <w:r w:rsidR="005B2A41">
        <w:t xml:space="preserve"> </w:t>
      </w:r>
      <w:r w:rsidRPr="00B02247">
        <w:t>of</w:t>
      </w:r>
      <w:r w:rsidR="005B2A41">
        <w:t xml:space="preserve"> </w:t>
      </w:r>
      <w:r w:rsidRPr="00B02247">
        <w:t>Justice,</w:t>
      </w:r>
      <w:r w:rsidR="005B2A41">
        <w:t xml:space="preserve"> </w:t>
      </w:r>
      <w:r w:rsidRPr="00B02247">
        <w:t>Transparency</w:t>
      </w:r>
      <w:r w:rsidR="005B2A41">
        <w:t xml:space="preserve"> </w:t>
      </w:r>
      <w:r w:rsidRPr="00B02247">
        <w:t>and</w:t>
      </w:r>
      <w:r w:rsidR="005B2A41">
        <w:t xml:space="preserve"> </w:t>
      </w:r>
      <w:r w:rsidRPr="00B02247">
        <w:t>Human</w:t>
      </w:r>
      <w:r w:rsidR="005B2A41">
        <w:t xml:space="preserve"> </w:t>
      </w:r>
      <w:r w:rsidRPr="00B02247">
        <w:t>Rights</w:t>
      </w:r>
      <w:r w:rsidR="005B2A41">
        <w:t xml:space="preserve"> </w:t>
      </w:r>
      <w:r w:rsidRPr="00B02247">
        <w:t>(Secretary</w:t>
      </w:r>
      <w:r w:rsidR="005B2A41">
        <w:t xml:space="preserve"> </w:t>
      </w:r>
      <w:r w:rsidRPr="00B02247">
        <w:t>General</w:t>
      </w:r>
      <w:r w:rsidR="005B2A41">
        <w:t xml:space="preserve"> </w:t>
      </w:r>
      <w:r w:rsidRPr="00B02247">
        <w:t>for</w:t>
      </w:r>
      <w:r w:rsidR="005B2A41">
        <w:t xml:space="preserve"> </w:t>
      </w:r>
      <w:r w:rsidRPr="00B02247">
        <w:t>Human</w:t>
      </w:r>
      <w:r w:rsidR="005B2A41">
        <w:t xml:space="preserve"> </w:t>
      </w:r>
      <w:r w:rsidRPr="00B02247">
        <w:t>Rights),</w:t>
      </w:r>
      <w:r w:rsidR="005B2A41">
        <w:t xml:space="preserve"> </w:t>
      </w:r>
      <w:r w:rsidRPr="00B02247">
        <w:t>the</w:t>
      </w:r>
      <w:r w:rsidR="005B2A41">
        <w:t xml:space="preserve"> </w:t>
      </w:r>
      <w:r w:rsidRPr="00B02247">
        <w:t>Ministry</w:t>
      </w:r>
      <w:r w:rsidR="005B2A41">
        <w:t xml:space="preserve"> </w:t>
      </w:r>
      <w:r w:rsidRPr="00B02247">
        <w:t>of</w:t>
      </w:r>
      <w:r w:rsidR="005B2A41">
        <w:t xml:space="preserve"> </w:t>
      </w:r>
      <w:r w:rsidRPr="00B02247">
        <w:t>Foreign</w:t>
      </w:r>
      <w:r w:rsidR="005B2A41">
        <w:t xml:space="preserve"> </w:t>
      </w:r>
      <w:r w:rsidRPr="00B02247">
        <w:t>Affairs</w:t>
      </w:r>
      <w:r w:rsidR="005B2A41">
        <w:t xml:space="preserve"> </w:t>
      </w:r>
      <w:r w:rsidRPr="00B02247">
        <w:t>and</w:t>
      </w:r>
      <w:r w:rsidR="005B2A41">
        <w:t xml:space="preserve"> </w:t>
      </w:r>
      <w:r w:rsidRPr="00B02247">
        <w:t>the</w:t>
      </w:r>
      <w:r w:rsidR="005B2A41">
        <w:t xml:space="preserve"> </w:t>
      </w:r>
      <w:r w:rsidRPr="00B02247">
        <w:t>Legal</w:t>
      </w:r>
      <w:r w:rsidR="005B2A41">
        <w:t xml:space="preserve"> </w:t>
      </w:r>
      <w:r w:rsidRPr="00B02247">
        <w:t>Council</w:t>
      </w:r>
      <w:r w:rsidR="005B2A41">
        <w:t xml:space="preserve"> </w:t>
      </w:r>
      <w:r w:rsidRPr="00B02247">
        <w:t>of</w:t>
      </w:r>
      <w:r w:rsidR="005B2A41">
        <w:t xml:space="preserve"> </w:t>
      </w:r>
      <w:r w:rsidRPr="00B02247">
        <w:t>State</w:t>
      </w:r>
      <w:r w:rsidR="005B2A41">
        <w:t xml:space="preserve"> </w:t>
      </w:r>
      <w:r w:rsidRPr="00B02247">
        <w:t>(Greece</w:t>
      </w:r>
      <w:r w:rsidR="003E731F">
        <w:t>’</w:t>
      </w:r>
      <w:r w:rsidRPr="00B02247">
        <w:t>s</w:t>
      </w:r>
      <w:r w:rsidR="005B2A41">
        <w:t xml:space="preserve"> </w:t>
      </w:r>
      <w:r w:rsidRPr="00B02247">
        <w:t>Agent</w:t>
      </w:r>
      <w:r w:rsidR="005B2A41">
        <w:t xml:space="preserve"> </w:t>
      </w:r>
      <w:r w:rsidRPr="00B02247">
        <w:t>to</w:t>
      </w:r>
      <w:r w:rsidR="005B2A41">
        <w:t xml:space="preserve"> </w:t>
      </w:r>
      <w:r w:rsidRPr="00B02247">
        <w:t>the</w:t>
      </w:r>
      <w:r w:rsidR="005B2A41">
        <w:t xml:space="preserve"> </w:t>
      </w:r>
      <w:r w:rsidRPr="00B02247">
        <w:t>ECtHR).</w:t>
      </w:r>
      <w:r w:rsidR="005B2A41">
        <w:t xml:space="preserve"> </w:t>
      </w:r>
    </w:p>
    <w:p w:rsidR="00F233AB" w:rsidRPr="00B02247" w:rsidRDefault="00F233AB" w:rsidP="008C3EB3">
      <w:pPr>
        <w:pStyle w:val="H4G"/>
      </w:pPr>
      <w:r w:rsidRPr="00B02247">
        <w:tab/>
      </w:r>
      <w:r w:rsidRPr="00B02247">
        <w:tab/>
        <w:t>The</w:t>
      </w:r>
      <w:r w:rsidR="005B2A41">
        <w:t xml:space="preserve"> </w:t>
      </w:r>
      <w:r w:rsidRPr="00B02247">
        <w:t>National</w:t>
      </w:r>
      <w:r w:rsidR="005B2A41">
        <w:t xml:space="preserve"> </w:t>
      </w:r>
      <w:r w:rsidRPr="00B02247">
        <w:t>Commission</w:t>
      </w:r>
      <w:r w:rsidR="005B2A41">
        <w:t xml:space="preserve"> </w:t>
      </w:r>
      <w:r w:rsidRPr="00B02247">
        <w:t>for</w:t>
      </w:r>
      <w:r w:rsidR="005B2A41">
        <w:t xml:space="preserve"> </w:t>
      </w:r>
      <w:r w:rsidRPr="00B02247">
        <w:t>Human</w:t>
      </w:r>
      <w:r w:rsidR="005B2A41">
        <w:t xml:space="preserve"> </w:t>
      </w:r>
      <w:r w:rsidRPr="00B02247">
        <w:t>Rights</w:t>
      </w:r>
    </w:p>
    <w:p w:rsidR="00F233AB" w:rsidRPr="00B02247" w:rsidRDefault="00F233AB" w:rsidP="00E1307D">
      <w:pPr>
        <w:pStyle w:val="SingleTxtG"/>
      </w:pPr>
      <w:r w:rsidRPr="00B02247">
        <w:t>93.</w:t>
      </w:r>
      <w:r w:rsidRPr="00B02247">
        <w:tab/>
        <w:t>The</w:t>
      </w:r>
      <w:r w:rsidR="005B2A41">
        <w:t xml:space="preserve"> </w:t>
      </w:r>
      <w:r w:rsidRPr="00B02247">
        <w:t>National</w:t>
      </w:r>
      <w:r w:rsidR="005B2A41">
        <w:t xml:space="preserve"> </w:t>
      </w:r>
      <w:r w:rsidRPr="00B02247">
        <w:t>Commission</w:t>
      </w:r>
      <w:r w:rsidR="005B2A41">
        <w:t xml:space="preserve"> </w:t>
      </w:r>
      <w:r w:rsidRPr="00B02247">
        <w:t>for</w:t>
      </w:r>
      <w:r w:rsidR="005B2A41">
        <w:t xml:space="preserve"> </w:t>
      </w:r>
      <w:r w:rsidRPr="00B02247">
        <w:t>Human</w:t>
      </w:r>
      <w:r w:rsidR="005B2A41">
        <w:t xml:space="preserve"> </w:t>
      </w:r>
      <w:r w:rsidRPr="00B02247">
        <w:t>Rights</w:t>
      </w:r>
      <w:r w:rsidR="005B2A41">
        <w:t xml:space="preserve"> </w:t>
      </w:r>
      <w:r w:rsidRPr="00B02247">
        <w:t>(NCHR)</w:t>
      </w:r>
      <w:r w:rsidR="005B2A41">
        <w:t xml:space="preserve"> </w:t>
      </w:r>
      <w:r w:rsidRPr="00B02247">
        <w:t>is</w:t>
      </w:r>
      <w:r w:rsidR="005B2A41">
        <w:t xml:space="preserve"> </w:t>
      </w:r>
      <w:r w:rsidRPr="00B02247">
        <w:t>the</w:t>
      </w:r>
      <w:r w:rsidR="005B2A41">
        <w:t xml:space="preserve"> </w:t>
      </w:r>
      <w:r w:rsidRPr="00B02247">
        <w:t>independent</w:t>
      </w:r>
      <w:r w:rsidR="005B2A41">
        <w:t xml:space="preserve"> </w:t>
      </w:r>
      <w:r w:rsidRPr="00B02247">
        <w:t>advisory</w:t>
      </w:r>
      <w:r w:rsidR="005B2A41">
        <w:t xml:space="preserve"> </w:t>
      </w:r>
      <w:r w:rsidRPr="00B02247">
        <w:t>body</w:t>
      </w:r>
      <w:r w:rsidR="005B2A41">
        <w:t xml:space="preserve"> </w:t>
      </w:r>
      <w:r w:rsidRPr="00B02247">
        <w:t>to</w:t>
      </w:r>
      <w:r w:rsidR="005B2A41">
        <w:t xml:space="preserve"> </w:t>
      </w:r>
      <w:r w:rsidRPr="00B02247">
        <w:t>the</w:t>
      </w:r>
      <w:r w:rsidR="005B2A41">
        <w:t xml:space="preserve"> </w:t>
      </w:r>
      <w:r w:rsidRPr="00B02247">
        <w:t>Greek</w:t>
      </w:r>
      <w:r w:rsidR="005B2A41">
        <w:t xml:space="preserve"> </w:t>
      </w:r>
      <w:r w:rsidRPr="00B02247">
        <w:t>State</w:t>
      </w:r>
      <w:r w:rsidR="005B2A41">
        <w:t xml:space="preserve"> </w:t>
      </w:r>
      <w:r w:rsidRPr="00B02247">
        <w:t>on</w:t>
      </w:r>
      <w:r w:rsidR="005B2A41">
        <w:t xml:space="preserve"> </w:t>
      </w:r>
      <w:r w:rsidRPr="00B02247">
        <w:t>matters</w:t>
      </w:r>
      <w:r w:rsidR="005B2A41">
        <w:t xml:space="preserve"> </w:t>
      </w:r>
      <w:r w:rsidRPr="00B02247">
        <w:t>pertaining</w:t>
      </w:r>
      <w:r w:rsidR="005B2A41">
        <w:t xml:space="preserve"> </w:t>
      </w:r>
      <w:r w:rsidRPr="00B02247">
        <w:t>to</w:t>
      </w:r>
      <w:r w:rsidR="005B2A41">
        <w:t xml:space="preserve"> </w:t>
      </w:r>
      <w:r w:rsidRPr="00B02247">
        <w:t>human</w:t>
      </w:r>
      <w:r w:rsidR="005B2A41">
        <w:t xml:space="preserve"> </w:t>
      </w:r>
      <w:r w:rsidRPr="00B02247">
        <w:t>rights</w:t>
      </w:r>
      <w:r w:rsidR="005B2A41">
        <w:t xml:space="preserve"> </w:t>
      </w:r>
      <w:r w:rsidRPr="00B02247">
        <w:t>protection.</w:t>
      </w:r>
      <w:r w:rsidR="005B2A41">
        <w:t xml:space="preserve"> </w:t>
      </w:r>
      <w:r w:rsidRPr="00B02247">
        <w:t>It</w:t>
      </w:r>
      <w:r w:rsidR="005B2A41">
        <w:t xml:space="preserve"> </w:t>
      </w:r>
      <w:r w:rsidRPr="00B02247">
        <w:t>was</w:t>
      </w:r>
      <w:r w:rsidR="005B2A41">
        <w:t xml:space="preserve"> </w:t>
      </w:r>
      <w:r w:rsidRPr="00B02247">
        <w:t>established</w:t>
      </w:r>
      <w:r w:rsidR="005B2A41">
        <w:t xml:space="preserve"> </w:t>
      </w:r>
      <w:r w:rsidRPr="00B02247">
        <w:t>by</w:t>
      </w:r>
      <w:r w:rsidR="005B2A41">
        <w:t xml:space="preserve"> </w:t>
      </w:r>
      <w:r w:rsidRPr="00B02247">
        <w:t>Law</w:t>
      </w:r>
      <w:r w:rsidR="005B2A41">
        <w:t xml:space="preserve"> </w:t>
      </w:r>
      <w:r w:rsidRPr="00B02247">
        <w:t>2667/1998</w:t>
      </w:r>
      <w:r w:rsidR="005B2A41">
        <w:t xml:space="preserve"> </w:t>
      </w:r>
      <w:r w:rsidRPr="00B02247">
        <w:t>in</w:t>
      </w:r>
      <w:r w:rsidR="005B2A41">
        <w:t xml:space="preserve"> </w:t>
      </w:r>
      <w:r w:rsidRPr="00B02247">
        <w:t>accordance</w:t>
      </w:r>
      <w:r w:rsidR="005B2A41">
        <w:t xml:space="preserve"> </w:t>
      </w:r>
      <w:r w:rsidRPr="00B02247">
        <w:t>with</w:t>
      </w:r>
      <w:r w:rsidR="005B2A41">
        <w:t xml:space="preserve"> </w:t>
      </w:r>
      <w:r w:rsidRPr="00B02247">
        <w:t>the</w:t>
      </w:r>
      <w:r w:rsidR="005B2A41">
        <w:t xml:space="preserve"> </w:t>
      </w:r>
      <w:r w:rsidRPr="00B02247">
        <w:t>UN</w:t>
      </w:r>
      <w:r w:rsidR="005B2A41">
        <w:t xml:space="preserve"> </w:t>
      </w:r>
      <w:r w:rsidRPr="00B02247">
        <w:t>Paris</w:t>
      </w:r>
      <w:r w:rsidR="005B2A41">
        <w:t xml:space="preserve"> </w:t>
      </w:r>
      <w:r w:rsidRPr="00B02247">
        <w:t>Principles</w:t>
      </w:r>
      <w:r w:rsidR="005B2A41">
        <w:t xml:space="preserve"> </w:t>
      </w:r>
      <w:r w:rsidRPr="00B02247">
        <w:t>and</w:t>
      </w:r>
      <w:r w:rsidR="005B2A41">
        <w:t xml:space="preserve"> </w:t>
      </w:r>
      <w:r w:rsidRPr="00B02247">
        <w:t>has</w:t>
      </w:r>
      <w:r w:rsidR="005B2A41">
        <w:t xml:space="preserve"> </w:t>
      </w:r>
      <w:r w:rsidRPr="00B02247">
        <w:t>been</w:t>
      </w:r>
      <w:r w:rsidR="005B2A41">
        <w:t xml:space="preserve"> </w:t>
      </w:r>
      <w:r w:rsidRPr="00B02247">
        <w:t>operating</w:t>
      </w:r>
      <w:r w:rsidR="005B2A41">
        <w:t xml:space="preserve"> </w:t>
      </w:r>
      <w:r w:rsidRPr="00B02247">
        <w:t>since</w:t>
      </w:r>
      <w:r w:rsidR="005B2A41">
        <w:t xml:space="preserve"> </w:t>
      </w:r>
      <w:r w:rsidRPr="00B02247">
        <w:lastRenderedPageBreak/>
        <w:t>January</w:t>
      </w:r>
      <w:r w:rsidR="005B2A41">
        <w:t xml:space="preserve"> </w:t>
      </w:r>
      <w:r w:rsidRPr="00B02247">
        <w:t>2000,</w:t>
      </w:r>
      <w:r w:rsidR="005B2A41">
        <w:t xml:space="preserve"> </w:t>
      </w:r>
      <w:r w:rsidRPr="00B02247">
        <w:t>enjoying</w:t>
      </w:r>
      <w:r w:rsidR="005B2A41">
        <w:t xml:space="preserve"> </w:t>
      </w:r>
      <w:r w:rsidRPr="00B02247">
        <w:t>Status</w:t>
      </w:r>
      <w:r w:rsidR="005B2A41">
        <w:t xml:space="preserve"> </w:t>
      </w:r>
      <w:r w:rsidRPr="00B02247">
        <w:t>A</w:t>
      </w:r>
      <w:r w:rsidR="005B2A41">
        <w:t xml:space="preserve"> </w:t>
      </w:r>
      <w:r w:rsidRPr="00B02247">
        <w:t>accreditation.</w:t>
      </w:r>
      <w:r w:rsidR="005B2A41">
        <w:t xml:space="preserve"> </w:t>
      </w:r>
      <w:r w:rsidRPr="00B02247">
        <w:t>Its</w:t>
      </w:r>
      <w:r w:rsidR="005B2A41">
        <w:t xml:space="preserve"> </w:t>
      </w:r>
      <w:r w:rsidRPr="00B02247">
        <w:t>members</w:t>
      </w:r>
      <w:r w:rsidR="005B2A41">
        <w:t xml:space="preserve"> </w:t>
      </w:r>
      <w:r w:rsidRPr="00B02247">
        <w:t>are</w:t>
      </w:r>
      <w:r w:rsidR="005B2A41">
        <w:t xml:space="preserve"> </w:t>
      </w:r>
      <w:r w:rsidRPr="00B02247">
        <w:t>nominated</w:t>
      </w:r>
      <w:r w:rsidR="005B2A41">
        <w:t xml:space="preserve"> </w:t>
      </w:r>
      <w:r w:rsidRPr="00B02247">
        <w:t>by</w:t>
      </w:r>
      <w:r w:rsidR="005B2A41">
        <w:t xml:space="preserve"> </w:t>
      </w:r>
      <w:r w:rsidRPr="00B02247">
        <w:t>independent</w:t>
      </w:r>
      <w:r w:rsidR="005B2A41">
        <w:t xml:space="preserve"> </w:t>
      </w:r>
      <w:r w:rsidRPr="00B02247">
        <w:t>authorities,</w:t>
      </w:r>
      <w:r w:rsidR="005B2A41">
        <w:t xml:space="preserve"> </w:t>
      </w:r>
      <w:r w:rsidRPr="00B02247">
        <w:t>NGOs,</w:t>
      </w:r>
      <w:r w:rsidR="005B2A41">
        <w:t xml:space="preserve"> </w:t>
      </w:r>
      <w:r w:rsidRPr="00B02247">
        <w:t>universities,</w:t>
      </w:r>
      <w:r w:rsidR="005B2A41">
        <w:t xml:space="preserve"> </w:t>
      </w:r>
      <w:r w:rsidRPr="00B02247">
        <w:t>bar</w:t>
      </w:r>
      <w:r w:rsidR="005B2A41">
        <w:t xml:space="preserve"> </w:t>
      </w:r>
      <w:r w:rsidRPr="00B02247">
        <w:t>associations,</w:t>
      </w:r>
      <w:r w:rsidR="005B2A41">
        <w:t xml:space="preserve"> </w:t>
      </w:r>
      <w:r w:rsidRPr="00B02247">
        <w:t>the</w:t>
      </w:r>
      <w:r w:rsidR="005B2A41">
        <w:t xml:space="preserve"> </w:t>
      </w:r>
      <w:r w:rsidRPr="00B02247">
        <w:t>Parliament,</w:t>
      </w:r>
      <w:r w:rsidR="005B2A41">
        <w:t xml:space="preserve"> </w:t>
      </w:r>
      <w:r w:rsidRPr="00B02247">
        <w:t>political</w:t>
      </w:r>
      <w:r w:rsidR="005B2A41">
        <w:t xml:space="preserve"> </w:t>
      </w:r>
      <w:r w:rsidRPr="00B02247">
        <w:t>parties,</w:t>
      </w:r>
      <w:r w:rsidR="005B2A41">
        <w:t xml:space="preserve"> </w:t>
      </w:r>
      <w:r w:rsidRPr="00B02247">
        <w:t>trade</w:t>
      </w:r>
      <w:r w:rsidR="005B2A41">
        <w:t xml:space="preserve"> </w:t>
      </w:r>
      <w:r w:rsidRPr="00B02247">
        <w:t>unions,</w:t>
      </w:r>
      <w:r w:rsidR="005B2A41">
        <w:t xml:space="preserve"> </w:t>
      </w:r>
      <w:r w:rsidRPr="00B02247">
        <w:t>and</w:t>
      </w:r>
      <w:r w:rsidR="005B2A41">
        <w:t xml:space="preserve"> </w:t>
      </w:r>
      <w:r w:rsidRPr="00B02247">
        <w:t>the</w:t>
      </w:r>
      <w:r w:rsidR="005B2A41">
        <w:t xml:space="preserve"> </w:t>
      </w:r>
      <w:r w:rsidR="000F466F" w:rsidRPr="00B02247">
        <w:t>Administration</w:t>
      </w:r>
      <w:r w:rsidR="005B2A41">
        <w:t xml:space="preserve"> </w:t>
      </w:r>
      <w:r w:rsidRPr="00B02247">
        <w:t>(without</w:t>
      </w:r>
      <w:r w:rsidR="005B2A41">
        <w:t xml:space="preserve"> </w:t>
      </w:r>
      <w:r w:rsidRPr="00B02247">
        <w:t>the</w:t>
      </w:r>
      <w:r w:rsidR="005B2A41">
        <w:t xml:space="preserve"> </w:t>
      </w:r>
      <w:r w:rsidRPr="00B02247">
        <w:t>right</w:t>
      </w:r>
      <w:r w:rsidR="005B2A41">
        <w:t xml:space="preserve"> </w:t>
      </w:r>
      <w:r w:rsidRPr="00B02247">
        <w:t>to</w:t>
      </w:r>
      <w:r w:rsidR="005B2A41">
        <w:t xml:space="preserve"> </w:t>
      </w:r>
      <w:r w:rsidRPr="00B02247">
        <w:t>vote).</w:t>
      </w:r>
      <w:r w:rsidR="005B2A41">
        <w:t xml:space="preserve"> </w:t>
      </w:r>
    </w:p>
    <w:p w:rsidR="00F233AB" w:rsidRPr="00B02247" w:rsidRDefault="00F233AB" w:rsidP="00E1307D">
      <w:pPr>
        <w:pStyle w:val="SingleTxtG"/>
      </w:pPr>
      <w:r w:rsidRPr="00B02247">
        <w:t>94.</w:t>
      </w:r>
      <w:r w:rsidRPr="00B02247">
        <w:tab/>
        <w:t>The</w:t>
      </w:r>
      <w:r w:rsidR="005B2A41">
        <w:t xml:space="preserve"> </w:t>
      </w:r>
      <w:r w:rsidRPr="00B02247">
        <w:t>mission</w:t>
      </w:r>
      <w:r w:rsidR="005B2A41">
        <w:t xml:space="preserve"> </w:t>
      </w:r>
      <w:r w:rsidRPr="00B02247">
        <w:t>of</w:t>
      </w:r>
      <w:r w:rsidR="005B2A41">
        <w:t xml:space="preserve"> </w:t>
      </w:r>
      <w:r w:rsidRPr="00B02247">
        <w:t>the</w:t>
      </w:r>
      <w:r w:rsidR="005B2A41">
        <w:t xml:space="preserve"> </w:t>
      </w:r>
      <w:r w:rsidRPr="00B02247">
        <w:t>NCHR</w:t>
      </w:r>
      <w:r w:rsidR="005B2A41">
        <w:t xml:space="preserve"> </w:t>
      </w:r>
      <w:r w:rsidRPr="00B02247">
        <w:t>is</w:t>
      </w:r>
      <w:r w:rsidR="005B2A41">
        <w:t xml:space="preserve"> </w:t>
      </w:r>
      <w:r w:rsidRPr="00B02247">
        <w:t>to</w:t>
      </w:r>
      <w:r w:rsidR="005B2A41">
        <w:t xml:space="preserve"> </w:t>
      </w:r>
      <w:r w:rsidRPr="00B02247">
        <w:t>constantly</w:t>
      </w:r>
      <w:r w:rsidR="005B2A41">
        <w:t xml:space="preserve"> </w:t>
      </w:r>
      <w:r w:rsidRPr="00B02247">
        <w:t>monitor</w:t>
      </w:r>
      <w:r w:rsidR="005B2A41">
        <w:t xml:space="preserve"> </w:t>
      </w:r>
      <w:r w:rsidRPr="00B02247">
        <w:t>human</w:t>
      </w:r>
      <w:r w:rsidR="005B2A41">
        <w:t xml:space="preserve"> </w:t>
      </w:r>
      <w:r w:rsidRPr="00B02247">
        <w:t>rights</w:t>
      </w:r>
      <w:r w:rsidR="005B2A41">
        <w:t xml:space="preserve"> </w:t>
      </w:r>
      <w:r w:rsidRPr="00B02247">
        <w:t>protection</w:t>
      </w:r>
      <w:r w:rsidR="005B2A41">
        <w:t xml:space="preserve"> </w:t>
      </w:r>
      <w:r w:rsidRPr="00B02247">
        <w:t>and</w:t>
      </w:r>
      <w:r w:rsidR="005B2A41">
        <w:t xml:space="preserve"> </w:t>
      </w:r>
      <w:r w:rsidRPr="00B02247">
        <w:t>promotion</w:t>
      </w:r>
      <w:r w:rsidR="005B2A41">
        <w:t xml:space="preserve"> </w:t>
      </w:r>
      <w:r w:rsidRPr="00B02247">
        <w:t>and</w:t>
      </w:r>
      <w:r w:rsidR="005B2A41">
        <w:t xml:space="preserve"> </w:t>
      </w:r>
      <w:r w:rsidRPr="00B02247">
        <w:t>to</w:t>
      </w:r>
      <w:r w:rsidR="005B2A41">
        <w:t xml:space="preserve"> </w:t>
      </w:r>
      <w:r w:rsidRPr="00B02247">
        <w:t>formulate</w:t>
      </w:r>
      <w:r w:rsidR="005B2A41">
        <w:t xml:space="preserve"> </w:t>
      </w:r>
      <w:r w:rsidRPr="00B02247">
        <w:t>relevant</w:t>
      </w:r>
      <w:r w:rsidR="005B2A41">
        <w:t xml:space="preserve"> </w:t>
      </w:r>
      <w:r w:rsidRPr="00B02247">
        <w:t>policy</w:t>
      </w:r>
      <w:r w:rsidR="005B2A41">
        <w:t xml:space="preserve"> </w:t>
      </w:r>
      <w:r w:rsidRPr="00B02247">
        <w:t>proposals,</w:t>
      </w:r>
      <w:r w:rsidR="005B2A41">
        <w:t xml:space="preserve"> </w:t>
      </w:r>
      <w:r w:rsidRPr="00B02247">
        <w:t>to</w:t>
      </w:r>
      <w:r w:rsidR="005B2A41">
        <w:t xml:space="preserve"> </w:t>
      </w:r>
      <w:r w:rsidRPr="00B02247">
        <w:t>inform</w:t>
      </w:r>
      <w:r w:rsidR="005B2A41">
        <w:t xml:space="preserve"> </w:t>
      </w:r>
      <w:r w:rsidRPr="00B02247">
        <w:t>the</w:t>
      </w:r>
      <w:r w:rsidR="005B2A41">
        <w:t xml:space="preserve"> </w:t>
      </w:r>
      <w:r w:rsidRPr="00B02247">
        <w:t>public</w:t>
      </w:r>
      <w:r w:rsidR="005B2A41">
        <w:t xml:space="preserve"> </w:t>
      </w:r>
      <w:r w:rsidRPr="00B02247">
        <w:t>and</w:t>
      </w:r>
      <w:r w:rsidR="005B2A41">
        <w:t xml:space="preserve"> </w:t>
      </w:r>
      <w:r w:rsidRPr="00B02247">
        <w:t>to</w:t>
      </w:r>
      <w:r w:rsidR="005B2A41">
        <w:t xml:space="preserve"> </w:t>
      </w:r>
      <w:r w:rsidRPr="00B02247">
        <w:t>advance</w:t>
      </w:r>
      <w:r w:rsidR="005B2A41">
        <w:t xml:space="preserve"> </w:t>
      </w:r>
      <w:r w:rsidRPr="00B02247">
        <w:t>research</w:t>
      </w:r>
      <w:r w:rsidR="005B2A41">
        <w:t xml:space="preserve"> </w:t>
      </w:r>
      <w:r w:rsidRPr="00B02247">
        <w:t>on</w:t>
      </w:r>
      <w:r w:rsidR="005B2A41">
        <w:t xml:space="preserve"> </w:t>
      </w:r>
      <w:r w:rsidRPr="00B02247">
        <w:t>such</w:t>
      </w:r>
      <w:r w:rsidR="005B2A41">
        <w:t xml:space="preserve"> </w:t>
      </w:r>
      <w:r w:rsidRPr="00B02247">
        <w:t>issues,</w:t>
      </w:r>
      <w:r w:rsidR="005B2A41">
        <w:t xml:space="preserve"> </w:t>
      </w:r>
      <w:r w:rsidRPr="00B02247">
        <w:t>and</w:t>
      </w:r>
      <w:r w:rsidR="005B2A41">
        <w:t xml:space="preserve"> </w:t>
      </w:r>
      <w:r w:rsidRPr="00B02247">
        <w:t>to</w:t>
      </w:r>
      <w:r w:rsidR="005B2A41">
        <w:t xml:space="preserve"> </w:t>
      </w:r>
      <w:r w:rsidRPr="00B02247">
        <w:t>cooperate</w:t>
      </w:r>
      <w:r w:rsidR="005B2A41">
        <w:t xml:space="preserve"> </w:t>
      </w:r>
      <w:r w:rsidRPr="00B02247">
        <w:t>with</w:t>
      </w:r>
      <w:r w:rsidR="005B2A41">
        <w:t xml:space="preserve"> </w:t>
      </w:r>
      <w:r w:rsidRPr="00B02247">
        <w:t>international</w:t>
      </w:r>
      <w:r w:rsidR="005B2A41">
        <w:t xml:space="preserve"> </w:t>
      </w:r>
      <w:r w:rsidRPr="00B02247">
        <w:t>organizations</w:t>
      </w:r>
      <w:r w:rsidR="005B2A41">
        <w:t xml:space="preserve"> </w:t>
      </w:r>
      <w:r w:rsidRPr="00B02247">
        <w:t>active</w:t>
      </w:r>
      <w:r w:rsidR="005B2A41">
        <w:t xml:space="preserve"> </w:t>
      </w:r>
      <w:r w:rsidRPr="00B02247">
        <w:t>in</w:t>
      </w:r>
      <w:r w:rsidR="005B2A41">
        <w:t xml:space="preserve"> </w:t>
      </w:r>
      <w:r w:rsidRPr="00B02247">
        <w:t>the</w:t>
      </w:r>
      <w:r w:rsidR="005B2A41">
        <w:t xml:space="preserve"> </w:t>
      </w:r>
      <w:r w:rsidRPr="00B02247">
        <w:t>field</w:t>
      </w:r>
      <w:r w:rsidR="005B2A41">
        <w:t xml:space="preserve"> </w:t>
      </w:r>
      <w:r w:rsidRPr="00B02247">
        <w:t>of</w:t>
      </w:r>
      <w:r w:rsidR="005B2A41">
        <w:t xml:space="preserve"> </w:t>
      </w:r>
      <w:r w:rsidRPr="00B02247">
        <w:t>human</w:t>
      </w:r>
      <w:r w:rsidR="005B2A41">
        <w:t xml:space="preserve"> </w:t>
      </w:r>
      <w:r w:rsidRPr="00B02247">
        <w:t>rights,</w:t>
      </w:r>
      <w:r w:rsidR="005B2A41">
        <w:t xml:space="preserve"> </w:t>
      </w:r>
      <w:r w:rsidRPr="00B02247">
        <w:t>as</w:t>
      </w:r>
      <w:r w:rsidR="005B2A41">
        <w:t xml:space="preserve"> </w:t>
      </w:r>
      <w:r w:rsidRPr="00B02247">
        <w:t>well</w:t>
      </w:r>
      <w:r w:rsidR="005B2A41">
        <w:t xml:space="preserve"> </w:t>
      </w:r>
      <w:r w:rsidRPr="00B02247">
        <w:t>as</w:t>
      </w:r>
      <w:r w:rsidR="005B2A41">
        <w:t xml:space="preserve"> </w:t>
      </w:r>
      <w:r w:rsidRPr="00B02247">
        <w:t>other</w:t>
      </w:r>
      <w:r w:rsidR="005B2A41">
        <w:t xml:space="preserve"> </w:t>
      </w:r>
      <w:r w:rsidRPr="00B02247">
        <w:t>NHRIs.</w:t>
      </w:r>
      <w:r w:rsidR="005B2A41">
        <w:t xml:space="preserve"> </w:t>
      </w:r>
      <w:r w:rsidRPr="00B02247">
        <w:t>More</w:t>
      </w:r>
      <w:r w:rsidR="005B2A41">
        <w:t xml:space="preserve"> </w:t>
      </w:r>
      <w:r w:rsidRPr="00B02247">
        <w:t>specifically,</w:t>
      </w:r>
      <w:r w:rsidR="005B2A41">
        <w:t xml:space="preserve"> </w:t>
      </w:r>
      <w:r w:rsidRPr="00B02247">
        <w:t>the</w:t>
      </w:r>
      <w:r w:rsidR="005B2A41">
        <w:t xml:space="preserve"> </w:t>
      </w:r>
      <w:r w:rsidRPr="00B02247">
        <w:t>NCHR:</w:t>
      </w:r>
      <w:r w:rsidR="005B2A41">
        <w:t xml:space="preserve"> </w:t>
      </w:r>
      <w:r w:rsidRPr="00B02247">
        <w:t>takes</w:t>
      </w:r>
      <w:r w:rsidR="005B2A41">
        <w:t xml:space="preserve"> </w:t>
      </w:r>
      <w:r w:rsidRPr="00B02247">
        <w:t>up</w:t>
      </w:r>
      <w:r w:rsidR="005B2A41">
        <w:t xml:space="preserve"> </w:t>
      </w:r>
      <w:r w:rsidRPr="00B02247">
        <w:t>issues</w:t>
      </w:r>
      <w:r w:rsidR="005B2A41">
        <w:t xml:space="preserve"> </w:t>
      </w:r>
      <w:r w:rsidRPr="00B02247">
        <w:t>in</w:t>
      </w:r>
      <w:r w:rsidR="005B2A41">
        <w:t xml:space="preserve"> </w:t>
      </w:r>
      <w:r w:rsidRPr="00B02247">
        <w:t>connection</w:t>
      </w:r>
      <w:r w:rsidR="005B2A41">
        <w:t xml:space="preserve"> </w:t>
      </w:r>
      <w:r w:rsidRPr="00B02247">
        <w:t>with</w:t>
      </w:r>
      <w:r w:rsidR="005B2A41">
        <w:t xml:space="preserve"> </w:t>
      </w:r>
      <w:r w:rsidRPr="00B02247">
        <w:t>the</w:t>
      </w:r>
      <w:r w:rsidR="005B2A41">
        <w:t xml:space="preserve"> </w:t>
      </w:r>
      <w:r w:rsidRPr="00B02247">
        <w:t>protection</w:t>
      </w:r>
      <w:r w:rsidR="005B2A41">
        <w:t xml:space="preserve"> </w:t>
      </w:r>
      <w:r w:rsidRPr="00B02247">
        <w:t>of</w:t>
      </w:r>
      <w:r w:rsidR="005B2A41">
        <w:t xml:space="preserve"> </w:t>
      </w:r>
      <w:r w:rsidRPr="00B02247">
        <w:t>human</w:t>
      </w:r>
      <w:r w:rsidR="005B2A41">
        <w:t xml:space="preserve"> </w:t>
      </w:r>
      <w:r w:rsidRPr="00B02247">
        <w:t>rights,</w:t>
      </w:r>
      <w:r w:rsidR="005B2A41">
        <w:t xml:space="preserve"> </w:t>
      </w:r>
      <w:r w:rsidRPr="00B02247">
        <w:t>on</w:t>
      </w:r>
      <w:r w:rsidR="005B2A41">
        <w:t xml:space="preserve"> </w:t>
      </w:r>
      <w:r w:rsidRPr="00B02247">
        <w:t>its</w:t>
      </w:r>
      <w:r w:rsidR="005B2A41">
        <w:t xml:space="preserve"> </w:t>
      </w:r>
      <w:r w:rsidRPr="00B02247">
        <w:t>own</w:t>
      </w:r>
      <w:r w:rsidR="005B2A41">
        <w:t xml:space="preserve"> </w:t>
      </w:r>
      <w:r w:rsidRPr="00B02247">
        <w:t>initiative</w:t>
      </w:r>
      <w:r w:rsidR="005B2A41">
        <w:t xml:space="preserve"> </w:t>
      </w:r>
      <w:r w:rsidRPr="00B02247">
        <w:t>or</w:t>
      </w:r>
      <w:r w:rsidR="005B2A41">
        <w:t xml:space="preserve"> </w:t>
      </w:r>
      <w:r w:rsidRPr="00B02247">
        <w:t>upon</w:t>
      </w:r>
      <w:r w:rsidR="005B2A41">
        <w:t xml:space="preserve"> </w:t>
      </w:r>
      <w:r w:rsidRPr="00B02247">
        <w:t>proposal</w:t>
      </w:r>
      <w:r w:rsidR="005B2A41">
        <w:t xml:space="preserve"> </w:t>
      </w:r>
      <w:r w:rsidRPr="00B02247">
        <w:t>of</w:t>
      </w:r>
      <w:r w:rsidR="005B2A41">
        <w:t xml:space="preserve"> </w:t>
      </w:r>
      <w:r w:rsidRPr="00B02247">
        <w:t>the</w:t>
      </w:r>
      <w:r w:rsidR="005B2A41">
        <w:t xml:space="preserve"> </w:t>
      </w:r>
      <w:r w:rsidRPr="00B02247">
        <w:t>Government,</w:t>
      </w:r>
      <w:r w:rsidR="005B2A41">
        <w:t xml:space="preserve"> </w:t>
      </w:r>
      <w:r w:rsidRPr="00B02247">
        <w:t>the</w:t>
      </w:r>
      <w:r w:rsidR="005B2A41">
        <w:t xml:space="preserve"> </w:t>
      </w:r>
      <w:r w:rsidRPr="00B02247">
        <w:t>Conference</w:t>
      </w:r>
      <w:r w:rsidR="005B2A41">
        <w:t xml:space="preserve"> </w:t>
      </w:r>
      <w:r w:rsidRPr="00B02247">
        <w:t>of</w:t>
      </w:r>
      <w:r w:rsidR="005B2A41">
        <w:t xml:space="preserve"> </w:t>
      </w:r>
      <w:r w:rsidRPr="00B02247">
        <w:t>Presidents</w:t>
      </w:r>
      <w:r w:rsidR="005B2A41">
        <w:t xml:space="preserve"> </w:t>
      </w:r>
      <w:r w:rsidRPr="00B02247">
        <w:t>of</w:t>
      </w:r>
      <w:r w:rsidR="005B2A41">
        <w:t xml:space="preserve"> </w:t>
      </w:r>
      <w:r w:rsidRPr="00B02247">
        <w:t>Parliament</w:t>
      </w:r>
      <w:r w:rsidR="005B2A41">
        <w:t xml:space="preserve"> </w:t>
      </w:r>
      <w:r w:rsidRPr="00B02247">
        <w:t>or</w:t>
      </w:r>
      <w:r w:rsidR="005B2A41">
        <w:t xml:space="preserve"> </w:t>
      </w:r>
      <w:r w:rsidRPr="00B02247">
        <w:t>NGOs;</w:t>
      </w:r>
      <w:r w:rsidR="005B2A41">
        <w:t xml:space="preserve"> </w:t>
      </w:r>
      <w:r w:rsidRPr="00B02247">
        <w:t>submits</w:t>
      </w:r>
      <w:r w:rsidR="005B2A41">
        <w:t xml:space="preserve"> </w:t>
      </w:r>
      <w:r w:rsidRPr="00B02247">
        <w:t>recommendations,</w:t>
      </w:r>
      <w:r w:rsidR="005B2A41">
        <w:t xml:space="preserve"> </w:t>
      </w:r>
      <w:r w:rsidRPr="00B02247">
        <w:t>opinions</w:t>
      </w:r>
      <w:r w:rsidR="005B2A41">
        <w:t xml:space="preserve"> </w:t>
      </w:r>
      <w:r w:rsidRPr="00B02247">
        <w:t>and</w:t>
      </w:r>
      <w:r w:rsidR="005B2A41">
        <w:t xml:space="preserve"> </w:t>
      </w:r>
      <w:r w:rsidRPr="00B02247">
        <w:t>proposals,</w:t>
      </w:r>
      <w:r w:rsidR="005B2A41">
        <w:t xml:space="preserve"> </w:t>
      </w:r>
      <w:r w:rsidRPr="00B02247">
        <w:t>including</w:t>
      </w:r>
      <w:r w:rsidR="005B2A41">
        <w:t xml:space="preserve"> </w:t>
      </w:r>
      <w:r w:rsidRPr="00B02247">
        <w:t>on</w:t>
      </w:r>
      <w:r w:rsidR="005B2A41">
        <w:t xml:space="preserve"> </w:t>
      </w:r>
      <w:r w:rsidRPr="00B02247">
        <w:t>legislative,</w:t>
      </w:r>
      <w:r w:rsidR="005B2A41">
        <w:t xml:space="preserve"> </w:t>
      </w:r>
      <w:r w:rsidRPr="00B02247">
        <w:t>administrative</w:t>
      </w:r>
      <w:r w:rsidR="005B2A41">
        <w:t xml:space="preserve"> </w:t>
      </w:r>
      <w:r w:rsidRPr="00B02247">
        <w:t>and</w:t>
      </w:r>
      <w:r w:rsidR="005B2A41">
        <w:t xml:space="preserve"> </w:t>
      </w:r>
      <w:r w:rsidRPr="00B02247">
        <w:t>other</w:t>
      </w:r>
      <w:r w:rsidR="005B2A41">
        <w:t xml:space="preserve"> </w:t>
      </w:r>
      <w:r w:rsidRPr="00B02247">
        <w:t>measures</w:t>
      </w:r>
      <w:r w:rsidR="005B2A41">
        <w:t xml:space="preserve"> </w:t>
      </w:r>
      <w:r w:rsidRPr="00B02247">
        <w:t>which</w:t>
      </w:r>
      <w:r w:rsidR="005B2A41">
        <w:t xml:space="preserve"> </w:t>
      </w:r>
      <w:r w:rsidRPr="00B02247">
        <w:t>contribute</w:t>
      </w:r>
      <w:r w:rsidR="005B2A41">
        <w:t xml:space="preserve"> </w:t>
      </w:r>
      <w:r w:rsidRPr="00B02247">
        <w:t>to</w:t>
      </w:r>
      <w:r w:rsidR="005B2A41">
        <w:t xml:space="preserve"> </w:t>
      </w:r>
      <w:r w:rsidRPr="00B02247">
        <w:t>the</w:t>
      </w:r>
      <w:r w:rsidR="005B2A41">
        <w:t xml:space="preserve"> </w:t>
      </w:r>
      <w:r w:rsidRPr="00B02247">
        <w:t>improvement</w:t>
      </w:r>
      <w:r w:rsidR="005B2A41">
        <w:t xml:space="preserve"> </w:t>
      </w:r>
      <w:r w:rsidRPr="00B02247">
        <w:t>of</w:t>
      </w:r>
      <w:r w:rsidR="005B2A41">
        <w:t xml:space="preserve"> </w:t>
      </w:r>
      <w:r w:rsidRPr="00B02247">
        <w:t>the</w:t>
      </w:r>
      <w:r w:rsidR="005B2A41">
        <w:t xml:space="preserve"> </w:t>
      </w:r>
      <w:r w:rsidRPr="00B02247">
        <w:t>protection</w:t>
      </w:r>
      <w:r w:rsidR="005B2A41">
        <w:t xml:space="preserve"> </w:t>
      </w:r>
      <w:r w:rsidRPr="00B02247">
        <w:t>of</w:t>
      </w:r>
      <w:r w:rsidR="005B2A41">
        <w:t xml:space="preserve"> </w:t>
      </w:r>
      <w:r w:rsidRPr="00B02247">
        <w:t>human</w:t>
      </w:r>
      <w:r w:rsidR="005B2A41">
        <w:t xml:space="preserve"> </w:t>
      </w:r>
      <w:r w:rsidRPr="00B02247">
        <w:t>rights</w:t>
      </w:r>
      <w:r w:rsidR="005B2A41">
        <w:t xml:space="preserve"> </w:t>
      </w:r>
      <w:r w:rsidRPr="00B02247">
        <w:t>and</w:t>
      </w:r>
      <w:r w:rsidR="005B2A41">
        <w:t xml:space="preserve"> </w:t>
      </w:r>
      <w:r w:rsidRPr="00B02247">
        <w:t>carries</w:t>
      </w:r>
      <w:r w:rsidR="005B2A41">
        <w:t xml:space="preserve"> </w:t>
      </w:r>
      <w:r w:rsidRPr="00B02247">
        <w:t>out</w:t>
      </w:r>
      <w:r w:rsidR="005B2A41">
        <w:t xml:space="preserve"> </w:t>
      </w:r>
      <w:r w:rsidRPr="00B02247">
        <w:t>relevant</w:t>
      </w:r>
      <w:r w:rsidR="005B2A41">
        <w:t xml:space="preserve"> </w:t>
      </w:r>
      <w:r w:rsidRPr="00B02247">
        <w:t>studies;</w:t>
      </w:r>
      <w:r w:rsidR="005B2A41">
        <w:t xml:space="preserve"> </w:t>
      </w:r>
      <w:r w:rsidRPr="00B02247">
        <w:t>develops</w:t>
      </w:r>
      <w:r w:rsidR="005B2A41">
        <w:t xml:space="preserve"> </w:t>
      </w:r>
      <w:r w:rsidRPr="00B02247">
        <w:t>initiatives</w:t>
      </w:r>
      <w:r w:rsidR="005B2A41">
        <w:t xml:space="preserve"> </w:t>
      </w:r>
      <w:r w:rsidRPr="00B02247">
        <w:t>on</w:t>
      </w:r>
      <w:r w:rsidR="005B2A41">
        <w:t xml:space="preserve"> </w:t>
      </w:r>
      <w:r w:rsidRPr="00B02247">
        <w:t>the</w:t>
      </w:r>
      <w:r w:rsidR="005B2A41">
        <w:t xml:space="preserve"> </w:t>
      </w:r>
      <w:r w:rsidRPr="00B02247">
        <w:t>sensitization</w:t>
      </w:r>
      <w:r w:rsidR="005B2A41">
        <w:t xml:space="preserve"> </w:t>
      </w:r>
      <w:r w:rsidRPr="00B02247">
        <w:t>of</w:t>
      </w:r>
      <w:r w:rsidR="005B2A41">
        <w:t xml:space="preserve"> </w:t>
      </w:r>
      <w:r w:rsidRPr="00B02247">
        <w:t>public</w:t>
      </w:r>
      <w:r w:rsidR="005B2A41">
        <w:t xml:space="preserve"> </w:t>
      </w:r>
      <w:r w:rsidRPr="00B02247">
        <w:t>opinion</w:t>
      </w:r>
      <w:r w:rsidR="005B2A41">
        <w:t xml:space="preserve"> </w:t>
      </w:r>
      <w:r w:rsidRPr="00B02247">
        <w:t>and</w:t>
      </w:r>
      <w:r w:rsidR="005B2A41">
        <w:t xml:space="preserve"> </w:t>
      </w:r>
      <w:r w:rsidRPr="00B02247">
        <w:t>the</w:t>
      </w:r>
      <w:r w:rsidR="005B2A41">
        <w:t xml:space="preserve"> </w:t>
      </w:r>
      <w:r w:rsidRPr="00B02247">
        <w:t>mass</w:t>
      </w:r>
      <w:r w:rsidR="005B2A41">
        <w:t xml:space="preserve"> </w:t>
      </w:r>
      <w:r w:rsidRPr="00B02247">
        <w:t>media</w:t>
      </w:r>
      <w:r w:rsidR="005B2A41">
        <w:t xml:space="preserve"> </w:t>
      </w:r>
      <w:r w:rsidRPr="00B02247">
        <w:t>on</w:t>
      </w:r>
      <w:r w:rsidR="005B2A41">
        <w:t xml:space="preserve"> </w:t>
      </w:r>
      <w:r w:rsidRPr="00B02247">
        <w:t>matters</w:t>
      </w:r>
      <w:r w:rsidR="005B2A41">
        <w:t xml:space="preserve"> </w:t>
      </w:r>
      <w:r w:rsidRPr="00B02247">
        <w:t>related</w:t>
      </w:r>
      <w:r w:rsidR="005B2A41">
        <w:t xml:space="preserve"> </w:t>
      </w:r>
      <w:r w:rsidRPr="00B02247">
        <w:t>to</w:t>
      </w:r>
      <w:r w:rsidR="005B2A41">
        <w:t xml:space="preserve"> </w:t>
      </w:r>
      <w:r w:rsidRPr="00B02247">
        <w:t>respect</w:t>
      </w:r>
      <w:r w:rsidR="005B2A41">
        <w:t xml:space="preserve"> </w:t>
      </w:r>
      <w:r w:rsidRPr="00B02247">
        <w:t>for</w:t>
      </w:r>
      <w:r w:rsidR="005B2A41">
        <w:t xml:space="preserve"> </w:t>
      </w:r>
      <w:r w:rsidRPr="00B02247">
        <w:t>human</w:t>
      </w:r>
      <w:r w:rsidR="005B2A41">
        <w:t xml:space="preserve"> </w:t>
      </w:r>
      <w:r w:rsidRPr="00B02247">
        <w:t>rights;</w:t>
      </w:r>
      <w:r w:rsidR="005B2A41">
        <w:t xml:space="preserve"> </w:t>
      </w:r>
      <w:r w:rsidRPr="00B02247">
        <w:t>undertakes</w:t>
      </w:r>
      <w:r w:rsidR="005B2A41">
        <w:t xml:space="preserve"> </w:t>
      </w:r>
      <w:r w:rsidRPr="00B02247">
        <w:t>initiatives</w:t>
      </w:r>
      <w:r w:rsidR="005B2A41">
        <w:t xml:space="preserve"> </w:t>
      </w:r>
      <w:r w:rsidRPr="00B02247">
        <w:t>for</w:t>
      </w:r>
      <w:r w:rsidR="005B2A41">
        <w:t xml:space="preserve"> </w:t>
      </w:r>
      <w:r w:rsidRPr="00B02247">
        <w:t>the</w:t>
      </w:r>
      <w:r w:rsidR="005B2A41">
        <w:t xml:space="preserve"> </w:t>
      </w:r>
      <w:r w:rsidRPr="00B02247">
        <w:t>promotion</w:t>
      </w:r>
      <w:r w:rsidR="005B2A41">
        <w:t xml:space="preserve"> </w:t>
      </w:r>
      <w:r w:rsidRPr="00B02247">
        <w:t>of</w:t>
      </w:r>
      <w:r w:rsidR="005B2A41">
        <w:t xml:space="preserve"> </w:t>
      </w:r>
      <w:r w:rsidRPr="00B02247">
        <w:t>respect</w:t>
      </w:r>
      <w:r w:rsidR="005B2A41">
        <w:t xml:space="preserve"> </w:t>
      </w:r>
      <w:r w:rsidRPr="00B02247">
        <w:t>for</w:t>
      </w:r>
      <w:r w:rsidR="005B2A41">
        <w:t xml:space="preserve"> </w:t>
      </w:r>
      <w:r w:rsidRPr="00B02247">
        <w:t>human</w:t>
      </w:r>
      <w:r w:rsidR="005B2A41">
        <w:t xml:space="preserve"> </w:t>
      </w:r>
      <w:r w:rsidRPr="00B02247">
        <w:t>rights</w:t>
      </w:r>
      <w:r w:rsidR="005B2A41">
        <w:t xml:space="preserve"> </w:t>
      </w:r>
      <w:r w:rsidRPr="00B02247">
        <w:t>within</w:t>
      </w:r>
      <w:r w:rsidR="005B2A41">
        <w:t xml:space="preserve"> </w:t>
      </w:r>
      <w:r w:rsidRPr="00B02247">
        <w:t>the</w:t>
      </w:r>
      <w:r w:rsidR="005B2A41">
        <w:t xml:space="preserve"> </w:t>
      </w:r>
      <w:r w:rsidRPr="00B02247">
        <w:t>framework</w:t>
      </w:r>
      <w:r w:rsidR="005B2A41">
        <w:t xml:space="preserve"> </w:t>
      </w:r>
      <w:r w:rsidRPr="00B02247">
        <w:t>of</w:t>
      </w:r>
      <w:r w:rsidR="005B2A41">
        <w:t xml:space="preserve"> </w:t>
      </w:r>
      <w:r w:rsidRPr="00B02247">
        <w:t>the</w:t>
      </w:r>
      <w:r w:rsidR="005B2A41">
        <w:t xml:space="preserve"> </w:t>
      </w:r>
      <w:r w:rsidRPr="00B02247">
        <w:t>educational</w:t>
      </w:r>
      <w:r w:rsidR="005B2A41">
        <w:t xml:space="preserve"> </w:t>
      </w:r>
      <w:r w:rsidRPr="00B02247">
        <w:t>system;</w:t>
      </w:r>
      <w:r w:rsidR="005B2A41">
        <w:t xml:space="preserve"> </w:t>
      </w:r>
      <w:r w:rsidRPr="00B02247">
        <w:t>delivers</w:t>
      </w:r>
      <w:r w:rsidR="005B2A41">
        <w:t xml:space="preserve"> </w:t>
      </w:r>
      <w:r w:rsidRPr="00B02247">
        <w:t>an</w:t>
      </w:r>
      <w:r w:rsidR="005B2A41">
        <w:t xml:space="preserve"> </w:t>
      </w:r>
      <w:r w:rsidRPr="00B02247">
        <w:t>opinion</w:t>
      </w:r>
      <w:r w:rsidR="005B2A41">
        <w:t xml:space="preserve"> </w:t>
      </w:r>
      <w:r w:rsidRPr="00B02247">
        <w:t>on</w:t>
      </w:r>
      <w:r w:rsidR="005B2A41">
        <w:t xml:space="preserve"> </w:t>
      </w:r>
      <w:r w:rsidRPr="00B02247">
        <w:t>reports</w:t>
      </w:r>
      <w:r w:rsidR="005B2A41">
        <w:t xml:space="preserve"> </w:t>
      </w:r>
      <w:r w:rsidRPr="00B02247">
        <w:t>which</w:t>
      </w:r>
      <w:r w:rsidR="005B2A41">
        <w:t xml:space="preserve"> </w:t>
      </w:r>
      <w:r w:rsidRPr="00B02247">
        <w:t>the</w:t>
      </w:r>
      <w:r w:rsidR="005B2A41">
        <w:t xml:space="preserve"> </w:t>
      </w:r>
      <w:r w:rsidRPr="00B02247">
        <w:t>country</w:t>
      </w:r>
      <w:r w:rsidR="005B2A41">
        <w:t xml:space="preserve"> </w:t>
      </w:r>
      <w:r w:rsidRPr="00B02247">
        <w:t>is</w:t>
      </w:r>
      <w:r w:rsidR="005B2A41">
        <w:t xml:space="preserve"> </w:t>
      </w:r>
      <w:r w:rsidRPr="00B02247">
        <w:t>to</w:t>
      </w:r>
      <w:r w:rsidR="005B2A41">
        <w:t xml:space="preserve"> </w:t>
      </w:r>
      <w:r w:rsidRPr="00B02247">
        <w:t>submit</w:t>
      </w:r>
      <w:r w:rsidR="005B2A41">
        <w:t xml:space="preserve"> </w:t>
      </w:r>
      <w:r w:rsidRPr="00B02247">
        <w:t>to</w:t>
      </w:r>
      <w:r w:rsidR="005B2A41">
        <w:t xml:space="preserve"> </w:t>
      </w:r>
      <w:r w:rsidRPr="00B02247">
        <w:t>international</w:t>
      </w:r>
      <w:r w:rsidR="005B2A41">
        <w:t xml:space="preserve"> </w:t>
      </w:r>
      <w:r w:rsidRPr="00B02247">
        <w:t>organizations</w:t>
      </w:r>
      <w:r w:rsidR="005B2A41">
        <w:t xml:space="preserve"> </w:t>
      </w:r>
      <w:r w:rsidRPr="00B02247">
        <w:t>on</w:t>
      </w:r>
      <w:r w:rsidR="005B2A41">
        <w:t xml:space="preserve"> </w:t>
      </w:r>
      <w:r w:rsidRPr="00B02247">
        <w:t>human</w:t>
      </w:r>
      <w:r w:rsidR="005B2A41">
        <w:t xml:space="preserve"> </w:t>
      </w:r>
      <w:r w:rsidRPr="00B02247">
        <w:t>rights</w:t>
      </w:r>
      <w:r w:rsidR="005B2A41">
        <w:t xml:space="preserve"> </w:t>
      </w:r>
      <w:r w:rsidRPr="00B02247">
        <w:t>issues;</w:t>
      </w:r>
      <w:r w:rsidR="005B2A41">
        <w:t xml:space="preserve"> </w:t>
      </w:r>
      <w:r w:rsidRPr="00B02247">
        <w:t>maintains</w:t>
      </w:r>
      <w:r w:rsidR="005B2A41">
        <w:t xml:space="preserve"> </w:t>
      </w:r>
      <w:r w:rsidRPr="00B02247">
        <w:t>constant</w:t>
      </w:r>
      <w:r w:rsidR="005B2A41">
        <w:t xml:space="preserve"> </w:t>
      </w:r>
      <w:r w:rsidRPr="00B02247">
        <w:t>communication</w:t>
      </w:r>
      <w:r w:rsidR="005B2A41">
        <w:t xml:space="preserve"> </w:t>
      </w:r>
      <w:r w:rsidRPr="00B02247">
        <w:t>and</w:t>
      </w:r>
      <w:r w:rsidR="005B2A41">
        <w:t xml:space="preserve"> </w:t>
      </w:r>
      <w:r w:rsidRPr="00B02247">
        <w:t>works</w:t>
      </w:r>
      <w:r w:rsidR="005B2A41">
        <w:t xml:space="preserve"> </w:t>
      </w:r>
      <w:r w:rsidRPr="00B02247">
        <w:t>together</w:t>
      </w:r>
      <w:r w:rsidR="005B2A41">
        <w:t xml:space="preserve"> </w:t>
      </w:r>
      <w:r w:rsidRPr="00B02247">
        <w:t>with</w:t>
      </w:r>
      <w:r w:rsidR="005B2A41">
        <w:t xml:space="preserve"> </w:t>
      </w:r>
      <w:r w:rsidRPr="00B02247">
        <w:t>international</w:t>
      </w:r>
      <w:r w:rsidR="005B2A41">
        <w:t xml:space="preserve"> </w:t>
      </w:r>
      <w:r w:rsidRPr="00B02247">
        <w:t>organizations,</w:t>
      </w:r>
      <w:r w:rsidR="005B2A41">
        <w:t xml:space="preserve"> </w:t>
      </w:r>
      <w:r w:rsidRPr="00B02247">
        <w:t>similar</w:t>
      </w:r>
      <w:r w:rsidR="005B2A41">
        <w:t xml:space="preserve"> </w:t>
      </w:r>
      <w:r w:rsidRPr="00B02247">
        <w:t>organs</w:t>
      </w:r>
      <w:r w:rsidR="005B2A41">
        <w:t xml:space="preserve"> </w:t>
      </w:r>
      <w:r w:rsidRPr="00B02247">
        <w:t>of</w:t>
      </w:r>
      <w:r w:rsidR="005B2A41">
        <w:t xml:space="preserve"> </w:t>
      </w:r>
      <w:r w:rsidRPr="00B02247">
        <w:t>other</w:t>
      </w:r>
      <w:r w:rsidR="005B2A41">
        <w:t xml:space="preserve"> </w:t>
      </w:r>
      <w:r w:rsidRPr="00B02247">
        <w:t>countries,</w:t>
      </w:r>
      <w:r w:rsidR="005B2A41">
        <w:t xml:space="preserve"> </w:t>
      </w:r>
      <w:r w:rsidRPr="00B02247">
        <w:t>and</w:t>
      </w:r>
      <w:r w:rsidR="005B2A41">
        <w:t xml:space="preserve"> </w:t>
      </w:r>
      <w:r w:rsidRPr="00B02247">
        <w:t>national</w:t>
      </w:r>
      <w:r w:rsidR="005B2A41">
        <w:t xml:space="preserve"> </w:t>
      </w:r>
      <w:r w:rsidRPr="00B02247">
        <w:t>or</w:t>
      </w:r>
      <w:r w:rsidR="005B2A41">
        <w:t xml:space="preserve"> </w:t>
      </w:r>
      <w:r w:rsidRPr="00B02247">
        <w:t>international</w:t>
      </w:r>
      <w:r w:rsidR="005B2A41">
        <w:t xml:space="preserve"> </w:t>
      </w:r>
      <w:r w:rsidRPr="00B02247">
        <w:t>non-governmental</w:t>
      </w:r>
      <w:r w:rsidR="005B2A41">
        <w:t xml:space="preserve"> </w:t>
      </w:r>
      <w:r w:rsidRPr="00B02247">
        <w:t>organizations;</w:t>
      </w:r>
      <w:r w:rsidR="005B2A41">
        <w:t xml:space="preserve"> </w:t>
      </w:r>
      <w:r w:rsidRPr="00B02247">
        <w:t>makes</w:t>
      </w:r>
      <w:r w:rsidR="005B2A41">
        <w:t xml:space="preserve"> </w:t>
      </w:r>
      <w:r w:rsidRPr="00B02247">
        <w:t>its</w:t>
      </w:r>
      <w:r w:rsidR="005B2A41">
        <w:t xml:space="preserve"> </w:t>
      </w:r>
      <w:r w:rsidRPr="00B02247">
        <w:t>positions</w:t>
      </w:r>
      <w:r w:rsidR="005B2A41">
        <w:t xml:space="preserve"> </w:t>
      </w:r>
      <w:r w:rsidRPr="00B02247">
        <w:t>known</w:t>
      </w:r>
      <w:r w:rsidR="005B2A41">
        <w:t xml:space="preserve"> </w:t>
      </w:r>
      <w:r w:rsidRPr="00B02247">
        <w:t>publicly</w:t>
      </w:r>
      <w:r w:rsidR="005B2A41">
        <w:t xml:space="preserve"> </w:t>
      </w:r>
      <w:r w:rsidRPr="00B02247">
        <w:t>by</w:t>
      </w:r>
      <w:r w:rsidR="005B2A41">
        <w:t xml:space="preserve"> </w:t>
      </w:r>
      <w:r w:rsidRPr="00B02247">
        <w:t>every</w:t>
      </w:r>
      <w:r w:rsidR="005B2A41">
        <w:t xml:space="preserve"> </w:t>
      </w:r>
      <w:r w:rsidRPr="00B02247">
        <w:t>appropriate</w:t>
      </w:r>
      <w:r w:rsidR="005B2A41">
        <w:t xml:space="preserve"> </w:t>
      </w:r>
      <w:r w:rsidRPr="00B02247">
        <w:t>means;</w:t>
      </w:r>
      <w:r w:rsidR="005B2A41">
        <w:t xml:space="preserve"> </w:t>
      </w:r>
      <w:r w:rsidRPr="00B02247">
        <w:t>draws</w:t>
      </w:r>
      <w:r w:rsidR="005B2A41">
        <w:t xml:space="preserve"> </w:t>
      </w:r>
      <w:r w:rsidRPr="00B02247">
        <w:t>up</w:t>
      </w:r>
      <w:r w:rsidR="005B2A41">
        <w:t xml:space="preserve"> </w:t>
      </w:r>
      <w:r w:rsidRPr="00B02247">
        <w:t>an</w:t>
      </w:r>
      <w:r w:rsidR="005B2A41">
        <w:t xml:space="preserve"> </w:t>
      </w:r>
      <w:r w:rsidRPr="00B02247">
        <w:t>annual</w:t>
      </w:r>
      <w:r w:rsidR="005B2A41">
        <w:t xml:space="preserve"> </w:t>
      </w:r>
      <w:r w:rsidRPr="00B02247">
        <w:t>report</w:t>
      </w:r>
      <w:r w:rsidR="005B2A41">
        <w:t xml:space="preserve"> </w:t>
      </w:r>
      <w:r w:rsidRPr="00B02247">
        <w:t>on</w:t>
      </w:r>
      <w:r w:rsidR="005B2A41">
        <w:t xml:space="preserve"> </w:t>
      </w:r>
      <w:r w:rsidRPr="00B02247">
        <w:t>the</w:t>
      </w:r>
      <w:r w:rsidR="005B2A41">
        <w:t xml:space="preserve"> </w:t>
      </w:r>
      <w:r w:rsidRPr="00B02247">
        <w:t>protection</w:t>
      </w:r>
      <w:r w:rsidR="005B2A41">
        <w:t xml:space="preserve"> </w:t>
      </w:r>
      <w:r w:rsidRPr="00B02247">
        <w:t>of</w:t>
      </w:r>
      <w:r w:rsidR="005B2A41">
        <w:t xml:space="preserve"> </w:t>
      </w:r>
      <w:r w:rsidRPr="00B02247">
        <w:t>human</w:t>
      </w:r>
      <w:r w:rsidR="005B2A41">
        <w:t xml:space="preserve"> </w:t>
      </w:r>
      <w:r w:rsidRPr="00B02247">
        <w:t>rights;</w:t>
      </w:r>
      <w:r w:rsidR="005B2A41">
        <w:t xml:space="preserve"> </w:t>
      </w:r>
      <w:r w:rsidRPr="00B02247">
        <w:t>organizes</w:t>
      </w:r>
      <w:r w:rsidR="005B2A41">
        <w:t xml:space="preserve"> </w:t>
      </w:r>
      <w:r w:rsidRPr="00B02247">
        <w:t>a</w:t>
      </w:r>
      <w:r w:rsidR="005B2A41">
        <w:t xml:space="preserve"> </w:t>
      </w:r>
      <w:r w:rsidRPr="00B02247">
        <w:t>Documentation</w:t>
      </w:r>
      <w:r w:rsidR="005B2A41">
        <w:t xml:space="preserve"> </w:t>
      </w:r>
      <w:r w:rsidRPr="00B02247">
        <w:t>Centre</w:t>
      </w:r>
      <w:r w:rsidR="005B2A41">
        <w:t xml:space="preserve"> </w:t>
      </w:r>
      <w:r w:rsidRPr="00B02247">
        <w:t>on</w:t>
      </w:r>
      <w:r w:rsidR="005B2A41">
        <w:t xml:space="preserve"> </w:t>
      </w:r>
      <w:r w:rsidRPr="00B02247">
        <w:t>human</w:t>
      </w:r>
      <w:r w:rsidR="005B2A41">
        <w:t xml:space="preserve"> </w:t>
      </w:r>
      <w:r w:rsidRPr="00B02247">
        <w:t>rights;</w:t>
      </w:r>
      <w:r w:rsidR="005B2A41">
        <w:t xml:space="preserve"> </w:t>
      </w:r>
      <w:r w:rsidRPr="00B02247">
        <w:t>examines</w:t>
      </w:r>
      <w:r w:rsidR="005B2A41">
        <w:t xml:space="preserve"> </w:t>
      </w:r>
      <w:r w:rsidRPr="00B02247">
        <w:t>the</w:t>
      </w:r>
      <w:r w:rsidR="005B2A41">
        <w:t xml:space="preserve"> </w:t>
      </w:r>
      <w:r w:rsidRPr="00B02247">
        <w:t>adaptation</w:t>
      </w:r>
      <w:r w:rsidR="005B2A41">
        <w:t xml:space="preserve"> </w:t>
      </w:r>
      <w:r w:rsidRPr="00B02247">
        <w:t>of</w:t>
      </w:r>
      <w:r w:rsidR="005B2A41">
        <w:t xml:space="preserve"> </w:t>
      </w:r>
      <w:r w:rsidRPr="00B02247">
        <w:t>Greek</w:t>
      </w:r>
      <w:r w:rsidR="005B2A41">
        <w:t xml:space="preserve"> </w:t>
      </w:r>
      <w:r w:rsidRPr="00B02247">
        <w:t>legislation</w:t>
      </w:r>
      <w:r w:rsidR="005B2A41">
        <w:t xml:space="preserve"> </w:t>
      </w:r>
      <w:r w:rsidRPr="00B02247">
        <w:t>to</w:t>
      </w:r>
      <w:r w:rsidR="005B2A41">
        <w:t xml:space="preserve"> </w:t>
      </w:r>
      <w:r w:rsidRPr="00B02247">
        <w:t>the</w:t>
      </w:r>
      <w:r w:rsidR="005B2A41">
        <w:t xml:space="preserve"> </w:t>
      </w:r>
      <w:r w:rsidRPr="00B02247">
        <w:t>provisions</w:t>
      </w:r>
      <w:r w:rsidR="005B2A41">
        <w:t xml:space="preserve"> </w:t>
      </w:r>
      <w:r w:rsidRPr="00B02247">
        <w:t>of</w:t>
      </w:r>
      <w:r w:rsidR="005B2A41">
        <w:t xml:space="preserve"> </w:t>
      </w:r>
      <w:r w:rsidRPr="00B02247">
        <w:t>international</w:t>
      </w:r>
      <w:r w:rsidR="005B2A41">
        <w:t xml:space="preserve"> </w:t>
      </w:r>
      <w:r w:rsidRPr="00B02247">
        <w:t>law</w:t>
      </w:r>
      <w:r w:rsidR="005B2A41">
        <w:t xml:space="preserve"> </w:t>
      </w:r>
      <w:r w:rsidRPr="00B02247">
        <w:t>on</w:t>
      </w:r>
      <w:r w:rsidR="005B2A41">
        <w:t xml:space="preserve"> </w:t>
      </w:r>
      <w:r w:rsidRPr="00B02247">
        <w:t>the</w:t>
      </w:r>
      <w:r w:rsidR="005B2A41">
        <w:t xml:space="preserve"> </w:t>
      </w:r>
      <w:r w:rsidRPr="00B02247">
        <w:t>protection</w:t>
      </w:r>
      <w:r w:rsidR="005B2A41">
        <w:t xml:space="preserve"> </w:t>
      </w:r>
      <w:r w:rsidRPr="00B02247">
        <w:t>of</w:t>
      </w:r>
      <w:r w:rsidR="005B2A41">
        <w:t xml:space="preserve"> </w:t>
      </w:r>
      <w:r w:rsidRPr="00B02247">
        <w:t>human</w:t>
      </w:r>
      <w:r w:rsidR="005B2A41">
        <w:t xml:space="preserve"> </w:t>
      </w:r>
      <w:r w:rsidRPr="00B02247">
        <w:t>rights</w:t>
      </w:r>
      <w:r w:rsidR="005B2A41">
        <w:t xml:space="preserve"> </w:t>
      </w:r>
      <w:r w:rsidRPr="00B02247">
        <w:t>and</w:t>
      </w:r>
      <w:r w:rsidR="005B2A41">
        <w:t xml:space="preserve"> </w:t>
      </w:r>
      <w:r w:rsidRPr="00B02247">
        <w:t>delivers</w:t>
      </w:r>
      <w:r w:rsidR="005B2A41">
        <w:t xml:space="preserve"> </w:t>
      </w:r>
      <w:r w:rsidRPr="00B02247">
        <w:t>an</w:t>
      </w:r>
      <w:r w:rsidR="005B2A41">
        <w:t xml:space="preserve"> </w:t>
      </w:r>
      <w:r w:rsidRPr="00B02247">
        <w:t>opinion</w:t>
      </w:r>
      <w:r w:rsidR="005B2A41">
        <w:t xml:space="preserve"> </w:t>
      </w:r>
      <w:r w:rsidRPr="00B02247">
        <w:t>in</w:t>
      </w:r>
      <w:r w:rsidR="005B2A41">
        <w:t xml:space="preserve"> </w:t>
      </w:r>
      <w:r w:rsidRPr="00B02247">
        <w:t>this</w:t>
      </w:r>
      <w:r w:rsidR="005B2A41">
        <w:t xml:space="preserve"> </w:t>
      </w:r>
      <w:r w:rsidRPr="00B02247">
        <w:t>connection</w:t>
      </w:r>
      <w:r w:rsidR="005B2A41">
        <w:t xml:space="preserve"> </w:t>
      </w:r>
      <w:r w:rsidRPr="00B02247">
        <w:t>to</w:t>
      </w:r>
      <w:r w:rsidR="005B2A41">
        <w:t xml:space="preserve"> </w:t>
      </w:r>
      <w:r w:rsidRPr="00B02247">
        <w:t>the</w:t>
      </w:r>
      <w:r w:rsidR="005B2A41">
        <w:t xml:space="preserve"> </w:t>
      </w:r>
      <w:r w:rsidRPr="00B02247">
        <w:t>competent</w:t>
      </w:r>
      <w:r w:rsidR="005B2A41">
        <w:t xml:space="preserve"> </w:t>
      </w:r>
      <w:r w:rsidRPr="00B02247">
        <w:t>organs</w:t>
      </w:r>
      <w:r w:rsidR="005B2A41">
        <w:t xml:space="preserve"> </w:t>
      </w:r>
      <w:r w:rsidRPr="00B02247">
        <w:t>of</w:t>
      </w:r>
      <w:r w:rsidR="005B2A41">
        <w:t xml:space="preserve"> </w:t>
      </w:r>
      <w:r w:rsidRPr="00B02247">
        <w:t>the</w:t>
      </w:r>
      <w:r w:rsidR="005B2A41">
        <w:t xml:space="preserve"> </w:t>
      </w:r>
      <w:r w:rsidRPr="00B02247">
        <w:t>State.</w:t>
      </w:r>
      <w:r w:rsidR="005B2A41">
        <w:t xml:space="preserve"> </w:t>
      </w:r>
      <w:r w:rsidRPr="00B02247">
        <w:t>It</w:t>
      </w:r>
      <w:r w:rsidR="005B2A41">
        <w:t xml:space="preserve"> </w:t>
      </w:r>
      <w:r w:rsidRPr="00B02247">
        <w:t>is</w:t>
      </w:r>
      <w:r w:rsidR="005B2A41">
        <w:t xml:space="preserve"> </w:t>
      </w:r>
      <w:r w:rsidRPr="00B02247">
        <w:t>to</w:t>
      </w:r>
      <w:r w:rsidR="005B2A41">
        <w:t xml:space="preserve"> </w:t>
      </w:r>
      <w:r w:rsidRPr="00B02247">
        <w:t>be</w:t>
      </w:r>
      <w:r w:rsidR="005B2A41">
        <w:t xml:space="preserve"> </w:t>
      </w:r>
      <w:r w:rsidRPr="00B02247">
        <w:t>noted</w:t>
      </w:r>
      <w:r w:rsidR="005B2A41">
        <w:t xml:space="preserve"> </w:t>
      </w:r>
      <w:r w:rsidRPr="00B02247">
        <w:t>that</w:t>
      </w:r>
      <w:r w:rsidR="005B2A41">
        <w:t xml:space="preserve"> </w:t>
      </w:r>
      <w:r w:rsidRPr="00B02247">
        <w:t>recent</w:t>
      </w:r>
      <w:r w:rsidR="005B2A41">
        <w:t xml:space="preserve"> </w:t>
      </w:r>
      <w:r w:rsidRPr="00B02247">
        <w:t>legislative</w:t>
      </w:r>
      <w:r w:rsidR="005B2A41">
        <w:t xml:space="preserve"> </w:t>
      </w:r>
      <w:r w:rsidRPr="00B02247">
        <w:t>amendments</w:t>
      </w:r>
      <w:r w:rsidR="005B2A41">
        <w:t xml:space="preserve"> </w:t>
      </w:r>
      <w:r w:rsidRPr="00B02247">
        <w:t>have</w:t>
      </w:r>
      <w:r w:rsidR="005B2A41">
        <w:t xml:space="preserve"> </w:t>
      </w:r>
      <w:r w:rsidRPr="00B02247">
        <w:t>further</w:t>
      </w:r>
      <w:r w:rsidR="005B2A41">
        <w:t xml:space="preserve"> </w:t>
      </w:r>
      <w:r w:rsidRPr="00B02247">
        <w:t>strengthened</w:t>
      </w:r>
      <w:r w:rsidR="005B2A41">
        <w:t xml:space="preserve"> </w:t>
      </w:r>
      <w:r w:rsidRPr="00B02247">
        <w:t>the</w:t>
      </w:r>
      <w:r w:rsidR="005B2A41">
        <w:t xml:space="preserve"> </w:t>
      </w:r>
      <w:r w:rsidRPr="00B02247">
        <w:t>Commission</w:t>
      </w:r>
      <w:r w:rsidR="005B2A41">
        <w:t xml:space="preserve"> </w:t>
      </w:r>
      <w:r w:rsidRPr="00B02247">
        <w:t>in</w:t>
      </w:r>
      <w:r w:rsidR="005B2A41">
        <w:t xml:space="preserve"> </w:t>
      </w:r>
      <w:r w:rsidRPr="00B02247">
        <w:t>the</w:t>
      </w:r>
      <w:r w:rsidR="005B2A41">
        <w:t xml:space="preserve"> </w:t>
      </w:r>
      <w:r w:rsidRPr="00B02247">
        <w:t>discharge</w:t>
      </w:r>
      <w:r w:rsidR="005B2A41">
        <w:t xml:space="preserve"> </w:t>
      </w:r>
      <w:r w:rsidRPr="00B02247">
        <w:t>of</w:t>
      </w:r>
      <w:r w:rsidR="005B2A41">
        <w:t xml:space="preserve"> </w:t>
      </w:r>
      <w:r w:rsidRPr="00B02247">
        <w:t>its</w:t>
      </w:r>
      <w:r w:rsidR="005B2A41">
        <w:t xml:space="preserve"> </w:t>
      </w:r>
      <w:r w:rsidRPr="00B02247">
        <w:t>mandate,</w:t>
      </w:r>
      <w:r w:rsidR="005B2A41">
        <w:t xml:space="preserve"> </w:t>
      </w:r>
      <w:r w:rsidRPr="00B02247">
        <w:t>including</w:t>
      </w:r>
      <w:r w:rsidR="005B2A41">
        <w:t xml:space="preserve"> </w:t>
      </w:r>
      <w:r w:rsidRPr="00B02247">
        <w:t>with</w:t>
      </w:r>
      <w:r w:rsidR="005B2A41">
        <w:t xml:space="preserve"> </w:t>
      </w:r>
      <w:r w:rsidRPr="00B02247">
        <w:t>regard</w:t>
      </w:r>
      <w:r w:rsidR="005B2A41">
        <w:t xml:space="preserve"> </w:t>
      </w:r>
      <w:r w:rsidRPr="00B02247">
        <w:t>to</w:t>
      </w:r>
      <w:r w:rsidR="005B2A41">
        <w:t xml:space="preserve"> </w:t>
      </w:r>
      <w:r w:rsidRPr="00B02247">
        <w:t>state</w:t>
      </w:r>
      <w:r w:rsidR="005B2A41">
        <w:t xml:space="preserve"> </w:t>
      </w:r>
      <w:r w:rsidRPr="00B02247">
        <w:t>financing</w:t>
      </w:r>
      <w:r w:rsidR="005B2A41">
        <w:t xml:space="preserve"> </w:t>
      </w:r>
      <w:r w:rsidRPr="00B02247">
        <w:t>of</w:t>
      </w:r>
      <w:r w:rsidR="005B2A41">
        <w:t xml:space="preserve"> </w:t>
      </w:r>
      <w:r w:rsidRPr="00B02247">
        <w:t>its</w:t>
      </w:r>
      <w:r w:rsidR="005B2A41">
        <w:t xml:space="preserve"> </w:t>
      </w:r>
      <w:r w:rsidRPr="00B02247">
        <w:t>operation.</w:t>
      </w:r>
    </w:p>
    <w:p w:rsidR="00F233AB" w:rsidRPr="00B02247" w:rsidRDefault="00F233AB" w:rsidP="00E1307D">
      <w:pPr>
        <w:pStyle w:val="SingleTxtG"/>
      </w:pPr>
      <w:r w:rsidRPr="00B02247">
        <w:t>95.</w:t>
      </w:r>
      <w:r w:rsidRPr="00B02247">
        <w:tab/>
        <w:t>During</w:t>
      </w:r>
      <w:r w:rsidR="005B2A41">
        <w:t xml:space="preserve"> </w:t>
      </w:r>
      <w:r w:rsidRPr="00B02247">
        <w:t>the</w:t>
      </w:r>
      <w:r w:rsidR="005B2A41">
        <w:t xml:space="preserve"> </w:t>
      </w:r>
      <w:r w:rsidRPr="00B02247">
        <w:t>last</w:t>
      </w:r>
      <w:r w:rsidR="005B2A41">
        <w:t xml:space="preserve"> </w:t>
      </w:r>
      <w:r w:rsidRPr="00B02247">
        <w:t>years,</w:t>
      </w:r>
      <w:r w:rsidR="005B2A41">
        <w:t xml:space="preserve"> </w:t>
      </w:r>
      <w:r w:rsidRPr="00B02247">
        <w:t>the</w:t>
      </w:r>
      <w:r w:rsidR="005B2A41">
        <w:t xml:space="preserve"> </w:t>
      </w:r>
      <w:r w:rsidRPr="00B02247">
        <w:t>NCHR</w:t>
      </w:r>
      <w:r w:rsidR="005B2A41">
        <w:t xml:space="preserve"> </w:t>
      </w:r>
      <w:r w:rsidRPr="00B02247">
        <w:t>has</w:t>
      </w:r>
      <w:r w:rsidR="005B2A41">
        <w:t xml:space="preserve"> </w:t>
      </w:r>
      <w:r w:rsidRPr="00B02247">
        <w:t>been</w:t>
      </w:r>
      <w:r w:rsidR="005B2A41">
        <w:t xml:space="preserve"> </w:t>
      </w:r>
      <w:r w:rsidRPr="00B02247">
        <w:t>very</w:t>
      </w:r>
      <w:r w:rsidR="005B2A41">
        <w:t xml:space="preserve"> </w:t>
      </w:r>
      <w:r w:rsidRPr="00B02247">
        <w:t>active</w:t>
      </w:r>
      <w:r w:rsidR="005B2A41">
        <w:t xml:space="preserve"> </w:t>
      </w:r>
      <w:r w:rsidRPr="00B02247">
        <w:t>in</w:t>
      </w:r>
      <w:r w:rsidR="005B2A41">
        <w:t xml:space="preserve"> </w:t>
      </w:r>
      <w:r w:rsidRPr="00B02247">
        <w:t>discharging</w:t>
      </w:r>
      <w:r w:rsidR="005B2A41">
        <w:t xml:space="preserve"> </w:t>
      </w:r>
      <w:r w:rsidRPr="00B02247">
        <w:t>its</w:t>
      </w:r>
      <w:r w:rsidR="005B2A41">
        <w:t xml:space="preserve"> </w:t>
      </w:r>
      <w:r w:rsidRPr="00B02247">
        <w:t>tasks.</w:t>
      </w:r>
      <w:r w:rsidR="005B2A41">
        <w:t xml:space="preserve"> </w:t>
      </w:r>
      <w:r w:rsidRPr="00B02247">
        <w:t>The</w:t>
      </w:r>
      <w:r w:rsidR="005B2A41">
        <w:t xml:space="preserve"> </w:t>
      </w:r>
      <w:r w:rsidRPr="00B02247">
        <w:t>Commission</w:t>
      </w:r>
      <w:r w:rsidR="005B2A41">
        <w:t xml:space="preserve"> </w:t>
      </w:r>
      <w:r w:rsidRPr="00B02247">
        <w:t>has</w:t>
      </w:r>
      <w:r w:rsidR="005B2A41">
        <w:t xml:space="preserve"> </w:t>
      </w:r>
      <w:r w:rsidRPr="00B02247">
        <w:t>adopted</w:t>
      </w:r>
      <w:r w:rsidR="005B2A41">
        <w:t xml:space="preserve"> </w:t>
      </w:r>
      <w:r w:rsidRPr="00B02247">
        <w:t>a</w:t>
      </w:r>
      <w:r w:rsidR="005B2A41">
        <w:t xml:space="preserve"> </w:t>
      </w:r>
      <w:r w:rsidRPr="00B02247">
        <w:t>number</w:t>
      </w:r>
      <w:r w:rsidR="005B2A41">
        <w:t xml:space="preserve"> </w:t>
      </w:r>
      <w:r w:rsidRPr="00B02247">
        <w:t>of</w:t>
      </w:r>
      <w:r w:rsidR="005B2A41">
        <w:t xml:space="preserve"> </w:t>
      </w:r>
      <w:r w:rsidRPr="00B02247">
        <w:t>recommendations</w:t>
      </w:r>
      <w:r w:rsidR="005B2A41">
        <w:t xml:space="preserve"> </w:t>
      </w:r>
      <w:r w:rsidRPr="00B02247">
        <w:t>on</w:t>
      </w:r>
      <w:r w:rsidR="005B2A41">
        <w:t xml:space="preserve"> </w:t>
      </w:r>
      <w:r w:rsidRPr="00B02247">
        <w:t>the</w:t>
      </w:r>
      <w:r w:rsidR="005B2A41">
        <w:t xml:space="preserve"> </w:t>
      </w:r>
      <w:r w:rsidRPr="00B02247">
        <w:t>impact</w:t>
      </w:r>
      <w:r w:rsidR="005B2A41">
        <w:t xml:space="preserve"> </w:t>
      </w:r>
      <w:r w:rsidRPr="00B02247">
        <w:t>of</w:t>
      </w:r>
      <w:r w:rsidR="005B2A41">
        <w:t xml:space="preserve"> </w:t>
      </w:r>
      <w:r w:rsidRPr="00B02247">
        <w:t>the</w:t>
      </w:r>
      <w:r w:rsidR="005B2A41">
        <w:t xml:space="preserve"> </w:t>
      </w:r>
      <w:r w:rsidRPr="00B02247">
        <w:t>economic</w:t>
      </w:r>
      <w:r w:rsidR="005B2A41">
        <w:t xml:space="preserve"> </w:t>
      </w:r>
      <w:r w:rsidRPr="00B02247">
        <w:t>crisis</w:t>
      </w:r>
      <w:r w:rsidR="005B2A41">
        <w:t xml:space="preserve"> </w:t>
      </w:r>
      <w:r w:rsidRPr="00B02247">
        <w:t>on</w:t>
      </w:r>
      <w:r w:rsidR="005B2A41">
        <w:t xml:space="preserve"> </w:t>
      </w:r>
      <w:r w:rsidRPr="00B02247">
        <w:t>the</w:t>
      </w:r>
      <w:r w:rsidR="005B2A41">
        <w:t xml:space="preserve"> </w:t>
      </w:r>
      <w:r w:rsidRPr="00B02247">
        <w:t>enjoyment</w:t>
      </w:r>
      <w:r w:rsidR="005B2A41">
        <w:t xml:space="preserve"> </w:t>
      </w:r>
      <w:r w:rsidRPr="00B02247">
        <w:t>of</w:t>
      </w:r>
      <w:r w:rsidR="005B2A41">
        <w:t xml:space="preserve"> </w:t>
      </w:r>
      <w:r w:rsidRPr="00B02247">
        <w:t>all</w:t>
      </w:r>
      <w:r w:rsidR="005B2A41">
        <w:t xml:space="preserve"> </w:t>
      </w:r>
      <w:r w:rsidRPr="00B02247">
        <w:t>human</w:t>
      </w:r>
      <w:r w:rsidR="005B2A41">
        <w:t xml:space="preserve"> </w:t>
      </w:r>
      <w:r w:rsidRPr="00B02247">
        <w:t>rights,</w:t>
      </w:r>
      <w:r w:rsidR="005B2A41">
        <w:t xml:space="preserve"> </w:t>
      </w:r>
      <w:r w:rsidRPr="00B02247">
        <w:t>focusing</w:t>
      </w:r>
      <w:r w:rsidR="005B2A41">
        <w:t xml:space="preserve"> </w:t>
      </w:r>
      <w:r w:rsidRPr="00B02247">
        <w:t>both</w:t>
      </w:r>
      <w:r w:rsidR="005B2A41">
        <w:t xml:space="preserve"> </w:t>
      </w:r>
      <w:r w:rsidRPr="00B02247">
        <w:t>on</w:t>
      </w:r>
      <w:r w:rsidR="005B2A41">
        <w:t xml:space="preserve"> </w:t>
      </w:r>
      <w:r w:rsidRPr="00B02247">
        <w:t>the</w:t>
      </w:r>
      <w:r w:rsidR="005B2A41">
        <w:t xml:space="preserve"> </w:t>
      </w:r>
      <w:r w:rsidRPr="00B02247">
        <w:t>national</w:t>
      </w:r>
      <w:r w:rsidR="005B2A41">
        <w:t xml:space="preserve"> </w:t>
      </w:r>
      <w:r w:rsidRPr="00B02247">
        <w:t>and</w:t>
      </w:r>
      <w:r w:rsidR="005B2A41">
        <w:t xml:space="preserve"> </w:t>
      </w:r>
      <w:r w:rsidRPr="00B02247">
        <w:t>the</w:t>
      </w:r>
      <w:r w:rsidR="005B2A41">
        <w:t xml:space="preserve"> </w:t>
      </w:r>
      <w:r w:rsidRPr="00B02247">
        <w:t>European</w:t>
      </w:r>
      <w:r w:rsidR="005B2A41">
        <w:t xml:space="preserve"> </w:t>
      </w:r>
      <w:r w:rsidRPr="00B02247">
        <w:t>dimensions</w:t>
      </w:r>
      <w:r w:rsidR="005B2A41">
        <w:t xml:space="preserve"> </w:t>
      </w:r>
      <w:r w:rsidRPr="00B02247">
        <w:t>of</w:t>
      </w:r>
      <w:r w:rsidR="005B2A41">
        <w:t xml:space="preserve"> </w:t>
      </w:r>
      <w:r w:rsidRPr="00B02247">
        <w:t>the</w:t>
      </w:r>
      <w:r w:rsidR="005B2A41">
        <w:t xml:space="preserve"> </w:t>
      </w:r>
      <w:r w:rsidRPr="00B02247">
        <w:t>crisis.</w:t>
      </w:r>
      <w:r w:rsidR="005B2A41">
        <w:t xml:space="preserve"> </w:t>
      </w:r>
      <w:r w:rsidRPr="00B02247">
        <w:t>It</w:t>
      </w:r>
      <w:r w:rsidR="005B2A41">
        <w:t xml:space="preserve"> </w:t>
      </w:r>
      <w:r w:rsidRPr="00B02247">
        <w:t>has</w:t>
      </w:r>
      <w:r w:rsidR="005B2A41">
        <w:t xml:space="preserve"> </w:t>
      </w:r>
      <w:r w:rsidRPr="00B02247">
        <w:t>paid</w:t>
      </w:r>
      <w:r w:rsidR="005B2A41">
        <w:t xml:space="preserve"> </w:t>
      </w:r>
      <w:r w:rsidRPr="00B02247">
        <w:t>particular</w:t>
      </w:r>
      <w:r w:rsidR="005B2A41">
        <w:t xml:space="preserve"> </w:t>
      </w:r>
      <w:r w:rsidRPr="00B02247">
        <w:t>attention</w:t>
      </w:r>
      <w:r w:rsidR="005B2A41">
        <w:t xml:space="preserve"> </w:t>
      </w:r>
      <w:r w:rsidRPr="00B02247">
        <w:t>to</w:t>
      </w:r>
      <w:r w:rsidR="005B2A41">
        <w:t xml:space="preserve"> </w:t>
      </w:r>
      <w:r w:rsidRPr="00B02247">
        <w:t>the</w:t>
      </w:r>
      <w:r w:rsidR="005B2A41">
        <w:t xml:space="preserve"> </w:t>
      </w:r>
      <w:r w:rsidRPr="00B02247">
        <w:t>fight</w:t>
      </w:r>
      <w:r w:rsidR="005B2A41">
        <w:t xml:space="preserve"> </w:t>
      </w:r>
      <w:r w:rsidRPr="00B02247">
        <w:t>against</w:t>
      </w:r>
      <w:r w:rsidR="005B2A41">
        <w:t xml:space="preserve"> </w:t>
      </w:r>
      <w:r w:rsidRPr="00B02247">
        <w:t>racism</w:t>
      </w:r>
      <w:r w:rsidR="005B2A41">
        <w:t xml:space="preserve"> </w:t>
      </w:r>
      <w:r w:rsidRPr="00B02247">
        <w:t>and</w:t>
      </w:r>
      <w:r w:rsidR="005B2A41">
        <w:t xml:space="preserve"> </w:t>
      </w:r>
      <w:r w:rsidRPr="00B02247">
        <w:t>adopted</w:t>
      </w:r>
      <w:r w:rsidR="005B2A41">
        <w:t xml:space="preserve"> </w:t>
      </w:r>
      <w:r w:rsidRPr="00B02247">
        <w:t>a</w:t>
      </w:r>
      <w:r w:rsidR="005B2A41">
        <w:t xml:space="preserve"> </w:t>
      </w:r>
      <w:r w:rsidRPr="00B02247">
        <w:t>number</w:t>
      </w:r>
      <w:r w:rsidR="005B2A41">
        <w:t xml:space="preserve"> </w:t>
      </w:r>
      <w:r w:rsidRPr="00B02247">
        <w:t>of</w:t>
      </w:r>
      <w:r w:rsidR="005B2A41">
        <w:t xml:space="preserve"> </w:t>
      </w:r>
      <w:r w:rsidRPr="00B02247">
        <w:t>in-depth</w:t>
      </w:r>
      <w:r w:rsidR="005B2A41">
        <w:t xml:space="preserve"> </w:t>
      </w:r>
      <w:r w:rsidRPr="00B02247">
        <w:t>reports.</w:t>
      </w:r>
      <w:r w:rsidR="005B2A41">
        <w:t xml:space="preserve"> </w:t>
      </w:r>
      <w:r w:rsidRPr="00B02247">
        <w:t>In</w:t>
      </w:r>
      <w:r w:rsidR="005B2A41">
        <w:t xml:space="preserve"> </w:t>
      </w:r>
      <w:r w:rsidRPr="00B02247">
        <w:t>this</w:t>
      </w:r>
      <w:r w:rsidR="005B2A41">
        <w:t xml:space="preserve"> </w:t>
      </w:r>
      <w:r w:rsidRPr="00B02247">
        <w:t>context,</w:t>
      </w:r>
      <w:r w:rsidR="005B2A41">
        <w:t xml:space="preserve"> </w:t>
      </w:r>
      <w:r w:rsidRPr="00B02247">
        <w:t>the</w:t>
      </w:r>
      <w:r w:rsidR="005B2A41">
        <w:t xml:space="preserve"> </w:t>
      </w:r>
      <w:r w:rsidRPr="00B02247">
        <w:t>National</w:t>
      </w:r>
      <w:r w:rsidR="005B2A41">
        <w:t xml:space="preserve"> </w:t>
      </w:r>
      <w:r w:rsidRPr="00B02247">
        <w:t>Commission,</w:t>
      </w:r>
      <w:r w:rsidR="005B2A41">
        <w:t xml:space="preserve"> </w:t>
      </w:r>
      <w:r w:rsidRPr="00B02247">
        <w:t>in</w:t>
      </w:r>
      <w:r w:rsidR="005B2A41">
        <w:t xml:space="preserve"> </w:t>
      </w:r>
      <w:r w:rsidRPr="00B02247">
        <w:t>cooperation</w:t>
      </w:r>
      <w:r w:rsidR="005B2A41">
        <w:t xml:space="preserve"> </w:t>
      </w:r>
      <w:r w:rsidRPr="00B02247">
        <w:t>with</w:t>
      </w:r>
      <w:r w:rsidR="005B2A41">
        <w:t xml:space="preserve"> </w:t>
      </w:r>
      <w:r w:rsidRPr="00B02247">
        <w:t>the</w:t>
      </w:r>
      <w:r w:rsidR="005B2A41">
        <w:t xml:space="preserve"> </w:t>
      </w:r>
      <w:r w:rsidRPr="00B02247">
        <w:t>Office</w:t>
      </w:r>
      <w:r w:rsidR="005B2A41">
        <w:t xml:space="preserve"> </w:t>
      </w:r>
      <w:r w:rsidRPr="00B02247">
        <w:t>of</w:t>
      </w:r>
      <w:r w:rsidR="005B2A41">
        <w:t xml:space="preserve"> </w:t>
      </w:r>
      <w:r w:rsidRPr="00B02247">
        <w:t>the</w:t>
      </w:r>
      <w:r w:rsidR="005B2A41">
        <w:t xml:space="preserve"> </w:t>
      </w:r>
      <w:r w:rsidRPr="00B02247">
        <w:t>UNHCR</w:t>
      </w:r>
      <w:r w:rsidR="005B2A41">
        <w:t xml:space="preserve"> </w:t>
      </w:r>
      <w:r w:rsidRPr="00B02247">
        <w:t>in</w:t>
      </w:r>
      <w:r w:rsidR="005B2A41">
        <w:t xml:space="preserve"> </w:t>
      </w:r>
      <w:r w:rsidRPr="00B02247">
        <w:t>Greece,</w:t>
      </w:r>
      <w:r w:rsidR="005B2A41">
        <w:t xml:space="preserve"> </w:t>
      </w:r>
      <w:r w:rsidRPr="00B02247">
        <w:t>NGOs</w:t>
      </w:r>
      <w:r w:rsidR="005B2A41">
        <w:t xml:space="preserve"> </w:t>
      </w:r>
      <w:r w:rsidRPr="00B02247">
        <w:t>and</w:t>
      </w:r>
      <w:r w:rsidR="005B2A41">
        <w:t xml:space="preserve"> </w:t>
      </w:r>
      <w:r w:rsidRPr="00B02247">
        <w:t>other</w:t>
      </w:r>
      <w:r w:rsidR="005B2A41">
        <w:t xml:space="preserve"> </w:t>
      </w:r>
      <w:r w:rsidRPr="00B02247">
        <w:t>bodies</w:t>
      </w:r>
      <w:r w:rsidR="005B2A41">
        <w:t xml:space="preserve"> </w:t>
      </w:r>
      <w:r w:rsidRPr="00B02247">
        <w:t>created,</w:t>
      </w:r>
      <w:r w:rsidR="005B2A41">
        <w:t xml:space="preserve"> </w:t>
      </w:r>
      <w:r w:rsidRPr="00B02247">
        <w:t>in</w:t>
      </w:r>
      <w:r w:rsidR="005B2A41">
        <w:t xml:space="preserve"> </w:t>
      </w:r>
      <w:r w:rsidRPr="00B02247">
        <w:t>2011,</w:t>
      </w:r>
      <w:r w:rsidR="005B2A41">
        <w:t xml:space="preserve"> </w:t>
      </w:r>
      <w:r w:rsidRPr="00B02247">
        <w:t>the</w:t>
      </w:r>
      <w:r w:rsidR="005B2A41">
        <w:t xml:space="preserve"> </w:t>
      </w:r>
      <w:r w:rsidR="003E731F">
        <w:t>“</w:t>
      </w:r>
      <w:r w:rsidRPr="00B02247">
        <w:t>Racist</w:t>
      </w:r>
      <w:r w:rsidR="005B2A41">
        <w:t xml:space="preserve"> </w:t>
      </w:r>
      <w:r w:rsidRPr="00B02247">
        <w:t>Violence</w:t>
      </w:r>
      <w:r w:rsidR="005B2A41">
        <w:t xml:space="preserve"> </w:t>
      </w:r>
      <w:r w:rsidRPr="00B02247">
        <w:t>Recording</w:t>
      </w:r>
      <w:r w:rsidR="005B2A41">
        <w:t xml:space="preserve"> </w:t>
      </w:r>
      <w:r w:rsidRPr="00B02247">
        <w:t>Network</w:t>
      </w:r>
      <w:r w:rsidR="003E731F">
        <w:t>”</w:t>
      </w:r>
      <w:r w:rsidR="005B2A41">
        <w:t xml:space="preserve"> </w:t>
      </w:r>
      <w:r w:rsidRPr="00B02247">
        <w:t>for</w:t>
      </w:r>
      <w:r w:rsidR="005B2A41">
        <w:t xml:space="preserve"> </w:t>
      </w:r>
      <w:r w:rsidRPr="00B02247">
        <w:t>the</w:t>
      </w:r>
      <w:r w:rsidR="005B2A41">
        <w:t xml:space="preserve"> </w:t>
      </w:r>
      <w:r w:rsidRPr="00B02247">
        <w:t>documentation</w:t>
      </w:r>
      <w:r w:rsidR="005B2A41">
        <w:t xml:space="preserve"> </w:t>
      </w:r>
      <w:r w:rsidRPr="00B02247">
        <w:t>of</w:t>
      </w:r>
      <w:r w:rsidR="005B2A41">
        <w:t xml:space="preserve"> </w:t>
      </w:r>
      <w:r w:rsidRPr="00B02247">
        <w:t>racist</w:t>
      </w:r>
      <w:r w:rsidR="005B2A41">
        <w:t xml:space="preserve"> </w:t>
      </w:r>
      <w:r w:rsidRPr="00B02247">
        <w:t>incidents.</w:t>
      </w:r>
      <w:r w:rsidR="005B2A41">
        <w:t xml:space="preserve"> </w:t>
      </w:r>
      <w:r w:rsidRPr="00B02247">
        <w:t>Furthermore,</w:t>
      </w:r>
      <w:r w:rsidR="005B2A41">
        <w:t xml:space="preserve"> </w:t>
      </w:r>
      <w:r w:rsidRPr="00B02247">
        <w:t>the</w:t>
      </w:r>
      <w:r w:rsidR="005B2A41">
        <w:t xml:space="preserve"> </w:t>
      </w:r>
      <w:r w:rsidRPr="00B02247">
        <w:t>NCHR</w:t>
      </w:r>
      <w:r w:rsidR="005B2A41">
        <w:t xml:space="preserve"> </w:t>
      </w:r>
      <w:r w:rsidRPr="00B02247">
        <w:t>has</w:t>
      </w:r>
      <w:r w:rsidR="005B2A41">
        <w:t xml:space="preserve"> </w:t>
      </w:r>
      <w:r w:rsidRPr="00B02247">
        <w:t>also</w:t>
      </w:r>
      <w:r w:rsidR="005B2A41">
        <w:t xml:space="preserve"> </w:t>
      </w:r>
      <w:r w:rsidRPr="00B02247">
        <w:t>considered</w:t>
      </w:r>
      <w:r w:rsidR="005B2A41">
        <w:t xml:space="preserve"> </w:t>
      </w:r>
      <w:r w:rsidRPr="00B02247">
        <w:t>issues</w:t>
      </w:r>
      <w:r w:rsidR="005B2A41">
        <w:t xml:space="preserve"> </w:t>
      </w:r>
      <w:r w:rsidRPr="00B02247">
        <w:t>such</w:t>
      </w:r>
      <w:r w:rsidR="005B2A41">
        <w:t xml:space="preserve"> </w:t>
      </w:r>
      <w:r w:rsidRPr="00B02247">
        <w:t>as</w:t>
      </w:r>
      <w:r w:rsidR="005B2A41">
        <w:t xml:space="preserve"> </w:t>
      </w:r>
      <w:r w:rsidRPr="00B02247">
        <w:t>the</w:t>
      </w:r>
      <w:r w:rsidR="005B2A41">
        <w:t xml:space="preserve"> </w:t>
      </w:r>
      <w:r w:rsidRPr="00B02247">
        <w:t>situation</w:t>
      </w:r>
      <w:r w:rsidR="005B2A41">
        <w:t xml:space="preserve"> </w:t>
      </w:r>
      <w:r w:rsidRPr="00B02247">
        <w:t>of</w:t>
      </w:r>
      <w:r w:rsidR="005B2A41">
        <w:t xml:space="preserve"> </w:t>
      </w:r>
      <w:r w:rsidRPr="00B02247">
        <w:t>the</w:t>
      </w:r>
      <w:r w:rsidR="005B2A41">
        <w:t xml:space="preserve"> </w:t>
      </w:r>
      <w:r w:rsidRPr="00B02247">
        <w:t>Roma,</w:t>
      </w:r>
      <w:r w:rsidR="005B2A41">
        <w:t xml:space="preserve"> </w:t>
      </w:r>
      <w:r w:rsidRPr="00B02247">
        <w:t>gender</w:t>
      </w:r>
      <w:r w:rsidR="005B2A41">
        <w:t xml:space="preserve"> </w:t>
      </w:r>
      <w:r w:rsidRPr="00B02247">
        <w:t>equality,</w:t>
      </w:r>
      <w:r w:rsidR="005B2A41">
        <w:t xml:space="preserve"> </w:t>
      </w:r>
      <w:r w:rsidRPr="00B02247">
        <w:t>domestic</w:t>
      </w:r>
      <w:r w:rsidR="005B2A41">
        <w:t xml:space="preserve"> </w:t>
      </w:r>
      <w:r w:rsidRPr="00B02247">
        <w:t>violence</w:t>
      </w:r>
      <w:r w:rsidR="005B2A41">
        <w:t xml:space="preserve"> </w:t>
      </w:r>
      <w:r w:rsidRPr="00B02247">
        <w:t>and</w:t>
      </w:r>
      <w:r w:rsidR="005B2A41">
        <w:t xml:space="preserve"> </w:t>
      </w:r>
      <w:r w:rsidRPr="00B02247">
        <w:t>violence</w:t>
      </w:r>
      <w:r w:rsidR="005B2A41">
        <w:t xml:space="preserve"> </w:t>
      </w:r>
      <w:r w:rsidRPr="00B02247">
        <w:t>against</w:t>
      </w:r>
      <w:r w:rsidR="005B2A41">
        <w:t xml:space="preserve"> </w:t>
      </w:r>
      <w:r w:rsidRPr="00B02247">
        <w:t>women,</w:t>
      </w:r>
      <w:r w:rsidR="005B2A41">
        <w:t xml:space="preserve"> </w:t>
      </w:r>
      <w:r w:rsidRPr="00B02247">
        <w:t>accountability</w:t>
      </w:r>
      <w:r w:rsidR="005B2A41">
        <w:t xml:space="preserve"> </w:t>
      </w:r>
      <w:r w:rsidRPr="00B02247">
        <w:t>of</w:t>
      </w:r>
      <w:r w:rsidR="005B2A41">
        <w:t xml:space="preserve"> </w:t>
      </w:r>
      <w:r w:rsidRPr="00B02247">
        <w:t>the</w:t>
      </w:r>
      <w:r w:rsidR="005B2A41">
        <w:t xml:space="preserve"> </w:t>
      </w:r>
      <w:r w:rsidRPr="00B02247">
        <w:t>police</w:t>
      </w:r>
      <w:r w:rsidR="005B2A41">
        <w:t xml:space="preserve"> </w:t>
      </w:r>
      <w:r w:rsidRPr="00B02247">
        <w:t>personnel,</w:t>
      </w:r>
      <w:r w:rsidR="005B2A41">
        <w:t xml:space="preserve"> </w:t>
      </w:r>
      <w:r w:rsidRPr="00B02247">
        <w:t>the</w:t>
      </w:r>
      <w:r w:rsidR="005B2A41">
        <w:t xml:space="preserve"> </w:t>
      </w:r>
      <w:r w:rsidRPr="00B02247">
        <w:t>fight</w:t>
      </w:r>
      <w:r w:rsidR="005B2A41">
        <w:t xml:space="preserve"> </w:t>
      </w:r>
      <w:r w:rsidRPr="00B02247">
        <w:t>against</w:t>
      </w:r>
      <w:r w:rsidR="005B2A41">
        <w:t xml:space="preserve"> </w:t>
      </w:r>
      <w:r w:rsidRPr="00B02247">
        <w:t>trafficking,</w:t>
      </w:r>
      <w:r w:rsidR="005B2A41">
        <w:t xml:space="preserve"> </w:t>
      </w:r>
      <w:r w:rsidRPr="00B02247">
        <w:t>conditions</w:t>
      </w:r>
      <w:r w:rsidR="005B2A41">
        <w:t xml:space="preserve"> </w:t>
      </w:r>
      <w:r w:rsidRPr="00B02247">
        <w:t>of</w:t>
      </w:r>
      <w:r w:rsidR="005B2A41">
        <w:t xml:space="preserve"> </w:t>
      </w:r>
      <w:r w:rsidRPr="00B02247">
        <w:t>detention</w:t>
      </w:r>
      <w:r w:rsidR="005B2A41">
        <w:t xml:space="preserve"> </w:t>
      </w:r>
      <w:r w:rsidRPr="00B02247">
        <w:t>of</w:t>
      </w:r>
      <w:r w:rsidR="005B2A41">
        <w:t xml:space="preserve"> </w:t>
      </w:r>
      <w:r w:rsidRPr="00B02247">
        <w:t>irregular</w:t>
      </w:r>
      <w:r w:rsidR="005B2A41">
        <w:t xml:space="preserve"> </w:t>
      </w:r>
      <w:r w:rsidRPr="00B02247">
        <w:t>migrants,</w:t>
      </w:r>
      <w:r w:rsidR="005B2A41">
        <w:t xml:space="preserve"> </w:t>
      </w:r>
      <w:r w:rsidRPr="00B02247">
        <w:t>the</w:t>
      </w:r>
      <w:r w:rsidR="005B2A41">
        <w:t xml:space="preserve"> </w:t>
      </w:r>
      <w:r w:rsidRPr="00B02247">
        <w:t>rights</w:t>
      </w:r>
      <w:r w:rsidR="005B2A41">
        <w:t xml:space="preserve"> </w:t>
      </w:r>
      <w:r w:rsidRPr="00B02247">
        <w:t>of</w:t>
      </w:r>
      <w:r w:rsidR="005B2A41">
        <w:t xml:space="preserve"> </w:t>
      </w:r>
      <w:r w:rsidRPr="00B02247">
        <w:t>refugees</w:t>
      </w:r>
      <w:r w:rsidR="005B2A41">
        <w:t xml:space="preserve"> </w:t>
      </w:r>
      <w:r w:rsidRPr="00B02247">
        <w:t>and</w:t>
      </w:r>
      <w:r w:rsidR="005B2A41">
        <w:t xml:space="preserve"> </w:t>
      </w:r>
      <w:r w:rsidRPr="00B02247">
        <w:t>asylum</w:t>
      </w:r>
      <w:r w:rsidR="005B2A41">
        <w:t xml:space="preserve"> </w:t>
      </w:r>
      <w:r w:rsidRPr="00B02247">
        <w:t>seekers,</w:t>
      </w:r>
      <w:r w:rsidR="005B2A41">
        <w:t xml:space="preserve"> </w:t>
      </w:r>
      <w:r w:rsidRPr="00B02247">
        <w:t>the</w:t>
      </w:r>
      <w:r w:rsidR="005B2A41">
        <w:t xml:space="preserve"> </w:t>
      </w:r>
      <w:r w:rsidRPr="00B02247">
        <w:t>rights</w:t>
      </w:r>
      <w:r w:rsidR="005B2A41">
        <w:t xml:space="preserve"> </w:t>
      </w:r>
      <w:r w:rsidRPr="00B02247">
        <w:t>of</w:t>
      </w:r>
      <w:r w:rsidR="005B2A41">
        <w:t xml:space="preserve"> </w:t>
      </w:r>
      <w:r w:rsidRPr="00B02247">
        <w:t>the</w:t>
      </w:r>
      <w:r w:rsidR="005B2A41">
        <w:t xml:space="preserve"> </w:t>
      </w:r>
      <w:r w:rsidRPr="00B02247">
        <w:t>child,</w:t>
      </w:r>
      <w:r w:rsidR="005B2A41">
        <w:t xml:space="preserve"> </w:t>
      </w:r>
      <w:r w:rsidRPr="00B02247">
        <w:t>freedom</w:t>
      </w:r>
      <w:r w:rsidR="005B2A41">
        <w:t xml:space="preserve"> </w:t>
      </w:r>
      <w:r w:rsidRPr="00B02247">
        <w:t>of</w:t>
      </w:r>
      <w:r w:rsidR="005B2A41">
        <w:t xml:space="preserve"> </w:t>
      </w:r>
      <w:r w:rsidRPr="00B02247">
        <w:t>religion,</w:t>
      </w:r>
      <w:r w:rsidR="005B2A41">
        <w:t xml:space="preserve"> </w:t>
      </w:r>
      <w:r w:rsidRPr="00B02247">
        <w:t>human</w:t>
      </w:r>
      <w:r w:rsidR="005B2A41">
        <w:t xml:space="preserve"> </w:t>
      </w:r>
      <w:r w:rsidRPr="00B02247">
        <w:t>rights</w:t>
      </w:r>
      <w:r w:rsidR="005B2A41">
        <w:t xml:space="preserve"> </w:t>
      </w:r>
      <w:r w:rsidRPr="00B02247">
        <w:t>education,</w:t>
      </w:r>
      <w:r w:rsidR="005B2A41">
        <w:t xml:space="preserve"> </w:t>
      </w:r>
      <w:r w:rsidRPr="00B02247">
        <w:t>etc.</w:t>
      </w:r>
      <w:r w:rsidR="005B2A41">
        <w:t xml:space="preserve"> </w:t>
      </w:r>
      <w:r w:rsidRPr="00B02247">
        <w:t>Furthermore,</w:t>
      </w:r>
      <w:r w:rsidR="005B2A41">
        <w:t xml:space="preserve"> </w:t>
      </w:r>
      <w:r w:rsidRPr="00B02247">
        <w:t>the</w:t>
      </w:r>
      <w:r w:rsidR="005B2A41">
        <w:t xml:space="preserve"> </w:t>
      </w:r>
      <w:r w:rsidRPr="00B02247">
        <w:t>NCHR</w:t>
      </w:r>
      <w:r w:rsidR="005B2A41">
        <w:t xml:space="preserve"> </w:t>
      </w:r>
      <w:r w:rsidRPr="00B02247">
        <w:t>closely</w:t>
      </w:r>
      <w:r w:rsidR="005B2A41">
        <w:t xml:space="preserve"> </w:t>
      </w:r>
      <w:r w:rsidRPr="00B02247">
        <w:t>cooperates</w:t>
      </w:r>
      <w:r w:rsidR="005B2A41">
        <w:t xml:space="preserve"> </w:t>
      </w:r>
      <w:r w:rsidRPr="00B02247">
        <w:t>with</w:t>
      </w:r>
      <w:r w:rsidR="005B2A41">
        <w:t xml:space="preserve"> </w:t>
      </w:r>
      <w:r w:rsidRPr="00B02247">
        <w:t>UN</w:t>
      </w:r>
      <w:r w:rsidR="005B2A41">
        <w:t xml:space="preserve"> </w:t>
      </w:r>
      <w:r w:rsidRPr="00B02247">
        <w:t>Special</w:t>
      </w:r>
      <w:r w:rsidR="005B2A41">
        <w:t xml:space="preserve"> </w:t>
      </w:r>
      <w:r w:rsidRPr="00B02247">
        <w:t>Procedures,</w:t>
      </w:r>
      <w:r w:rsidR="005B2A41">
        <w:t xml:space="preserve"> </w:t>
      </w:r>
      <w:r w:rsidRPr="00B02247">
        <w:t>in</w:t>
      </w:r>
      <w:r w:rsidR="005B2A41">
        <w:t xml:space="preserve"> </w:t>
      </w:r>
      <w:r w:rsidRPr="00B02247">
        <w:t>particular</w:t>
      </w:r>
      <w:r w:rsidR="005B2A41">
        <w:t xml:space="preserve"> </w:t>
      </w:r>
      <w:r w:rsidRPr="00B02247">
        <w:t>in</w:t>
      </w:r>
      <w:r w:rsidR="005B2A41">
        <w:t xml:space="preserve"> </w:t>
      </w:r>
      <w:r w:rsidRPr="00B02247">
        <w:t>the</w:t>
      </w:r>
      <w:r w:rsidR="005B2A41">
        <w:t xml:space="preserve"> </w:t>
      </w:r>
      <w:r w:rsidRPr="00B02247">
        <w:t>context</w:t>
      </w:r>
      <w:r w:rsidR="005B2A41">
        <w:t xml:space="preserve"> </w:t>
      </w:r>
      <w:r w:rsidRPr="00B02247">
        <w:t>of</w:t>
      </w:r>
      <w:r w:rsidR="005B2A41">
        <w:t xml:space="preserve"> </w:t>
      </w:r>
      <w:r w:rsidRPr="00B02247">
        <w:t>visits</w:t>
      </w:r>
      <w:r w:rsidR="005B2A41">
        <w:t xml:space="preserve"> </w:t>
      </w:r>
      <w:r w:rsidRPr="00B02247">
        <w:t>to</w:t>
      </w:r>
      <w:r w:rsidR="005B2A41">
        <w:t xml:space="preserve"> </w:t>
      </w:r>
      <w:r w:rsidRPr="00B02247">
        <w:t>Greece</w:t>
      </w:r>
      <w:r w:rsidR="005B2A41">
        <w:t xml:space="preserve"> </w:t>
      </w:r>
      <w:r w:rsidRPr="00B02247">
        <w:t>by</w:t>
      </w:r>
      <w:r w:rsidR="005B2A41">
        <w:t xml:space="preserve"> </w:t>
      </w:r>
      <w:r w:rsidRPr="00B02247">
        <w:t>Special</w:t>
      </w:r>
      <w:r w:rsidR="005B2A41">
        <w:t xml:space="preserve"> </w:t>
      </w:r>
      <w:r w:rsidRPr="00B02247">
        <w:t>Procedures</w:t>
      </w:r>
      <w:r w:rsidR="005B2A41">
        <w:t xml:space="preserve"> </w:t>
      </w:r>
      <w:r w:rsidRPr="00B02247">
        <w:t>mandate</w:t>
      </w:r>
      <w:r w:rsidR="005B2A41">
        <w:t xml:space="preserve"> </w:t>
      </w:r>
      <w:r w:rsidRPr="00B02247">
        <w:t>holders,</w:t>
      </w:r>
      <w:r w:rsidR="005B2A41">
        <w:t xml:space="preserve"> </w:t>
      </w:r>
      <w:r w:rsidRPr="00B02247">
        <w:t>as</w:t>
      </w:r>
      <w:r w:rsidR="005B2A41">
        <w:t xml:space="preserve"> </w:t>
      </w:r>
      <w:r w:rsidRPr="00B02247">
        <w:t>well</w:t>
      </w:r>
      <w:r w:rsidR="005B2A41">
        <w:t xml:space="preserve"> </w:t>
      </w:r>
      <w:r w:rsidRPr="00B02247">
        <w:t>as</w:t>
      </w:r>
      <w:r w:rsidR="005B2A41">
        <w:t xml:space="preserve"> </w:t>
      </w:r>
      <w:r w:rsidRPr="00B02247">
        <w:t>with</w:t>
      </w:r>
      <w:r w:rsidR="005B2A41">
        <w:t xml:space="preserve"> </w:t>
      </w:r>
      <w:r w:rsidRPr="00B02247">
        <w:t>regional</w:t>
      </w:r>
      <w:r w:rsidR="005B2A41">
        <w:t xml:space="preserve"> </w:t>
      </w:r>
      <w:r w:rsidRPr="00B02247">
        <w:t>human</w:t>
      </w:r>
      <w:r w:rsidR="005B2A41">
        <w:t xml:space="preserve"> </w:t>
      </w:r>
      <w:r w:rsidRPr="00B02247">
        <w:t>rights</w:t>
      </w:r>
      <w:r w:rsidR="005B2A41">
        <w:t xml:space="preserve"> </w:t>
      </w:r>
      <w:r w:rsidRPr="00B02247">
        <w:t>bodies.</w:t>
      </w:r>
      <w:r w:rsidR="005B2A41">
        <w:t xml:space="preserve"> </w:t>
      </w:r>
      <w:r w:rsidRPr="00B02247">
        <w:t>Finally,</w:t>
      </w:r>
      <w:r w:rsidR="005B2A41">
        <w:t xml:space="preserve"> </w:t>
      </w:r>
      <w:r w:rsidRPr="00B02247">
        <w:t>the</w:t>
      </w:r>
      <w:r w:rsidR="005B2A41">
        <w:t xml:space="preserve"> </w:t>
      </w:r>
      <w:r w:rsidRPr="00B02247">
        <w:t>work</w:t>
      </w:r>
      <w:r w:rsidR="005B2A41">
        <w:t xml:space="preserve"> </w:t>
      </w:r>
      <w:r w:rsidRPr="00B02247">
        <w:t>and</w:t>
      </w:r>
      <w:r w:rsidR="005B2A41">
        <w:t xml:space="preserve"> </w:t>
      </w:r>
      <w:r w:rsidRPr="00B02247">
        <w:t>the</w:t>
      </w:r>
      <w:r w:rsidR="005B2A41">
        <w:t xml:space="preserve"> </w:t>
      </w:r>
      <w:r w:rsidRPr="00B02247">
        <w:t>recommendations</w:t>
      </w:r>
      <w:r w:rsidR="005B2A41">
        <w:t xml:space="preserve"> </w:t>
      </w:r>
      <w:r w:rsidRPr="00B02247">
        <w:t>of</w:t>
      </w:r>
      <w:r w:rsidR="005B2A41">
        <w:t xml:space="preserve"> </w:t>
      </w:r>
      <w:r w:rsidRPr="00B02247">
        <w:t>the</w:t>
      </w:r>
      <w:r w:rsidR="005B2A41">
        <w:t xml:space="preserve"> </w:t>
      </w:r>
      <w:r w:rsidRPr="00B02247">
        <w:t>NCHR</w:t>
      </w:r>
      <w:r w:rsidR="005B2A41">
        <w:t xml:space="preserve"> </w:t>
      </w:r>
      <w:r w:rsidRPr="00B02247">
        <w:t>are</w:t>
      </w:r>
      <w:r w:rsidR="005B2A41">
        <w:t xml:space="preserve"> </w:t>
      </w:r>
      <w:r w:rsidRPr="00B02247">
        <w:t>very</w:t>
      </w:r>
      <w:r w:rsidR="005B2A41">
        <w:t xml:space="preserve"> </w:t>
      </w:r>
      <w:r w:rsidRPr="00B02247">
        <w:t>often</w:t>
      </w:r>
      <w:r w:rsidR="005B2A41">
        <w:t xml:space="preserve"> </w:t>
      </w:r>
      <w:r w:rsidRPr="00B02247">
        <w:t>referred</w:t>
      </w:r>
      <w:r w:rsidR="005B2A41">
        <w:t xml:space="preserve"> </w:t>
      </w:r>
      <w:r w:rsidRPr="00B02247">
        <w:t>to</w:t>
      </w:r>
      <w:r w:rsidR="005B2A41">
        <w:t xml:space="preserve"> </w:t>
      </w:r>
      <w:r w:rsidRPr="00B02247">
        <w:t>in</w:t>
      </w:r>
      <w:r w:rsidR="005B2A41">
        <w:t xml:space="preserve"> </w:t>
      </w:r>
      <w:r w:rsidRPr="00B02247">
        <w:t>the</w:t>
      </w:r>
      <w:r w:rsidR="005B2A41">
        <w:t xml:space="preserve"> </w:t>
      </w:r>
      <w:r w:rsidRPr="00B02247">
        <w:t>reports</w:t>
      </w:r>
      <w:r w:rsidR="005B2A41">
        <w:t xml:space="preserve"> </w:t>
      </w:r>
      <w:r w:rsidRPr="00B02247">
        <w:t>of</w:t>
      </w:r>
      <w:r w:rsidR="005B2A41">
        <w:t xml:space="preserve"> </w:t>
      </w:r>
      <w:r w:rsidRPr="00B02247">
        <w:t>universal</w:t>
      </w:r>
      <w:r w:rsidR="005B2A41">
        <w:t xml:space="preserve"> </w:t>
      </w:r>
      <w:r w:rsidRPr="00B02247">
        <w:t>and</w:t>
      </w:r>
      <w:r w:rsidR="005B2A41">
        <w:t xml:space="preserve"> </w:t>
      </w:r>
      <w:r w:rsidRPr="00B02247">
        <w:t>regional</w:t>
      </w:r>
      <w:r w:rsidR="005B2A41">
        <w:t xml:space="preserve"> </w:t>
      </w:r>
      <w:r w:rsidRPr="00B02247">
        <w:t>human</w:t>
      </w:r>
      <w:r w:rsidR="005B2A41">
        <w:t xml:space="preserve"> </w:t>
      </w:r>
      <w:r w:rsidRPr="00B02247">
        <w:t>rights</w:t>
      </w:r>
      <w:r w:rsidR="005B2A41">
        <w:t xml:space="preserve"> </w:t>
      </w:r>
      <w:r w:rsidRPr="00B02247">
        <w:t>mechanisms</w:t>
      </w:r>
      <w:r w:rsidR="005B2A41">
        <w:t xml:space="preserve"> </w:t>
      </w:r>
      <w:r w:rsidRPr="00B02247">
        <w:t>and</w:t>
      </w:r>
      <w:r w:rsidR="005B2A41">
        <w:t xml:space="preserve"> </w:t>
      </w:r>
      <w:r w:rsidRPr="00B02247">
        <w:t>the</w:t>
      </w:r>
      <w:r w:rsidR="005B2A41">
        <w:t xml:space="preserve"> </w:t>
      </w:r>
      <w:r w:rsidRPr="00B02247">
        <w:t>decisions</w:t>
      </w:r>
      <w:r w:rsidR="005B2A41">
        <w:t xml:space="preserve"> </w:t>
      </w:r>
      <w:r w:rsidRPr="00B02247">
        <w:t>and</w:t>
      </w:r>
      <w:r w:rsidR="005B2A41">
        <w:t xml:space="preserve"> </w:t>
      </w:r>
      <w:r w:rsidRPr="00B02247">
        <w:t>judgments</w:t>
      </w:r>
      <w:r w:rsidR="005B2A41">
        <w:t xml:space="preserve"> </w:t>
      </w:r>
      <w:r w:rsidRPr="00B02247">
        <w:t>of</w:t>
      </w:r>
      <w:r w:rsidR="005B2A41">
        <w:t xml:space="preserve"> </w:t>
      </w:r>
      <w:r w:rsidRPr="00B02247">
        <w:t>quasi-judicial</w:t>
      </w:r>
      <w:r w:rsidR="005B2A41">
        <w:t xml:space="preserve"> </w:t>
      </w:r>
      <w:r w:rsidRPr="00B02247">
        <w:t>and</w:t>
      </w:r>
      <w:r w:rsidR="005B2A41">
        <w:t xml:space="preserve"> </w:t>
      </w:r>
      <w:r w:rsidRPr="00B02247">
        <w:t>judicial</w:t>
      </w:r>
      <w:r w:rsidR="005B2A41">
        <w:t xml:space="preserve"> </w:t>
      </w:r>
      <w:r w:rsidRPr="00B02247">
        <w:t>bodies.</w:t>
      </w:r>
      <w:r w:rsidR="005B2A41">
        <w:t xml:space="preserve"> </w:t>
      </w:r>
      <w:r w:rsidRPr="00B02247">
        <w:t>(NCHR</w:t>
      </w:r>
      <w:r w:rsidR="005B2A41">
        <w:t xml:space="preserve"> </w:t>
      </w:r>
      <w:r w:rsidRPr="00B02247">
        <w:t>reports</w:t>
      </w:r>
      <w:r w:rsidR="005B2A41">
        <w:t xml:space="preserve"> </w:t>
      </w:r>
      <w:r w:rsidRPr="00B02247">
        <w:t>have</w:t>
      </w:r>
      <w:r w:rsidR="005B2A41">
        <w:t xml:space="preserve"> </w:t>
      </w:r>
      <w:r w:rsidRPr="00B02247">
        <w:t>been</w:t>
      </w:r>
      <w:r w:rsidR="005B2A41">
        <w:t xml:space="preserve"> </w:t>
      </w:r>
      <w:r w:rsidRPr="00B02247">
        <w:t>referenced</w:t>
      </w:r>
      <w:r w:rsidR="005B2A41">
        <w:t xml:space="preserve"> </w:t>
      </w:r>
      <w:r w:rsidRPr="00B02247">
        <w:t>in</w:t>
      </w:r>
      <w:r w:rsidR="005B2A41">
        <w:t xml:space="preserve"> </w:t>
      </w:r>
      <w:r w:rsidRPr="00B02247">
        <w:t>more</w:t>
      </w:r>
      <w:r w:rsidR="005B2A41">
        <w:t xml:space="preserve"> </w:t>
      </w:r>
      <w:r w:rsidRPr="00B02247">
        <w:t>than</w:t>
      </w:r>
      <w:r w:rsidR="005B2A41">
        <w:t xml:space="preserve"> </w:t>
      </w:r>
      <w:r w:rsidRPr="00B02247">
        <w:t>30</w:t>
      </w:r>
      <w:r w:rsidR="005B2A41">
        <w:t xml:space="preserve"> </w:t>
      </w:r>
      <w:r w:rsidRPr="00B02247">
        <w:t>judgments</w:t>
      </w:r>
      <w:r w:rsidR="005B2A41">
        <w:t xml:space="preserve"> </w:t>
      </w:r>
      <w:r w:rsidRPr="00B02247">
        <w:t>of</w:t>
      </w:r>
      <w:r w:rsidR="005B2A41">
        <w:t xml:space="preserve"> </w:t>
      </w:r>
      <w:r w:rsidRPr="00B02247">
        <w:t>the</w:t>
      </w:r>
      <w:r w:rsidR="005B2A41">
        <w:t xml:space="preserve"> </w:t>
      </w:r>
      <w:r w:rsidRPr="00B02247">
        <w:t>European</w:t>
      </w:r>
      <w:r w:rsidR="005B2A41">
        <w:t xml:space="preserve"> </w:t>
      </w:r>
      <w:r w:rsidRPr="00B02247">
        <w:t>Court</w:t>
      </w:r>
      <w:r w:rsidR="005B2A41">
        <w:t xml:space="preserve"> </w:t>
      </w:r>
      <w:r w:rsidRPr="00B02247">
        <w:t>of</w:t>
      </w:r>
      <w:r w:rsidR="005B2A41">
        <w:t xml:space="preserve"> </w:t>
      </w:r>
      <w:r w:rsidRPr="00B02247">
        <w:t>Human</w:t>
      </w:r>
      <w:r w:rsidR="005B2A41">
        <w:t xml:space="preserve"> </w:t>
      </w:r>
      <w:r w:rsidRPr="00B02247">
        <w:t>Rights</w:t>
      </w:r>
      <w:r w:rsidR="005B2A41">
        <w:t xml:space="preserve"> </w:t>
      </w:r>
      <w:r w:rsidRPr="00B02247">
        <w:t>concerning</w:t>
      </w:r>
      <w:r w:rsidR="005B2A41">
        <w:t xml:space="preserve"> </w:t>
      </w:r>
      <w:r w:rsidRPr="00B02247">
        <w:t>Greece).</w:t>
      </w:r>
    </w:p>
    <w:p w:rsidR="00F233AB" w:rsidRPr="00B02247" w:rsidRDefault="00F233AB" w:rsidP="00970C65">
      <w:pPr>
        <w:pStyle w:val="H4G"/>
      </w:pPr>
      <w:r w:rsidRPr="00B02247">
        <w:tab/>
      </w:r>
      <w:r w:rsidRPr="00B02247">
        <w:tab/>
        <w:t>Independent</w:t>
      </w:r>
      <w:r w:rsidR="005B2A41">
        <w:t xml:space="preserve"> </w:t>
      </w:r>
      <w:r w:rsidRPr="00B02247">
        <w:t>authorities</w:t>
      </w:r>
    </w:p>
    <w:p w:rsidR="00F233AB" w:rsidRPr="00B02247" w:rsidRDefault="00F233AB" w:rsidP="00E1307D">
      <w:pPr>
        <w:pStyle w:val="SingleTxtG"/>
      </w:pPr>
      <w:r w:rsidRPr="00B02247">
        <w:t>96.</w:t>
      </w:r>
      <w:r w:rsidRPr="00B02247">
        <w:tab/>
        <w:t>Article</w:t>
      </w:r>
      <w:r w:rsidR="005B2A41">
        <w:t xml:space="preserve"> </w:t>
      </w:r>
      <w:r w:rsidRPr="00B02247">
        <w:t>101A</w:t>
      </w:r>
      <w:r w:rsidR="005B2A41">
        <w:t xml:space="preserve"> </w:t>
      </w:r>
      <w:r w:rsidRPr="00B02247">
        <w:t>of</w:t>
      </w:r>
      <w:r w:rsidR="005B2A41">
        <w:t xml:space="preserve"> </w:t>
      </w:r>
      <w:r w:rsidRPr="00B02247">
        <w:t>the</w:t>
      </w:r>
      <w:r w:rsidR="005B2A41">
        <w:t xml:space="preserve"> </w:t>
      </w:r>
      <w:r w:rsidRPr="00B02247">
        <w:t>Constitution</w:t>
      </w:r>
      <w:r w:rsidR="005B2A41">
        <w:t xml:space="preserve"> </w:t>
      </w:r>
      <w:r w:rsidRPr="00B02247">
        <w:t>and</w:t>
      </w:r>
      <w:r w:rsidR="005B2A41">
        <w:t xml:space="preserve"> </w:t>
      </w:r>
      <w:r w:rsidRPr="00B02247">
        <w:t>more</w:t>
      </w:r>
      <w:r w:rsidR="005B2A41">
        <w:t xml:space="preserve"> </w:t>
      </w:r>
      <w:r w:rsidRPr="00B02247">
        <w:t>specialized</w:t>
      </w:r>
      <w:r w:rsidR="005B2A41">
        <w:t xml:space="preserve"> </w:t>
      </w:r>
      <w:r w:rsidRPr="00B02247">
        <w:t>provisions</w:t>
      </w:r>
      <w:r w:rsidR="005B2A41">
        <w:t xml:space="preserve"> </w:t>
      </w:r>
      <w:r w:rsidRPr="00B02247">
        <w:t>constitutionally</w:t>
      </w:r>
      <w:r w:rsidR="005B2A41">
        <w:t xml:space="preserve"> </w:t>
      </w:r>
      <w:r w:rsidRPr="00B02247">
        <w:t>guarantee</w:t>
      </w:r>
      <w:r w:rsidR="005B2A41">
        <w:t xml:space="preserve"> </w:t>
      </w:r>
      <w:r w:rsidRPr="00B02247">
        <w:t>the</w:t>
      </w:r>
      <w:r w:rsidR="005B2A41">
        <w:t xml:space="preserve"> </w:t>
      </w:r>
      <w:r w:rsidRPr="00B02247">
        <w:t>institution</w:t>
      </w:r>
      <w:r w:rsidR="005B2A41">
        <w:t xml:space="preserve"> </w:t>
      </w:r>
      <w:r w:rsidRPr="00B02247">
        <w:t>of</w:t>
      </w:r>
      <w:r w:rsidR="005B2A41">
        <w:t xml:space="preserve"> </w:t>
      </w:r>
      <w:r w:rsidRPr="00B02247">
        <w:t>independent</w:t>
      </w:r>
      <w:r w:rsidR="005B2A41">
        <w:t xml:space="preserve"> </w:t>
      </w:r>
      <w:r w:rsidRPr="00B02247">
        <w:t>authorities.</w:t>
      </w:r>
      <w:r w:rsidR="005B2A41">
        <w:t xml:space="preserve"> </w:t>
      </w:r>
      <w:r w:rsidRPr="00B02247">
        <w:t>The</w:t>
      </w:r>
      <w:r w:rsidR="005B2A41">
        <w:t xml:space="preserve"> </w:t>
      </w:r>
      <w:r w:rsidRPr="00B02247">
        <w:t>members</w:t>
      </w:r>
      <w:r w:rsidR="005B2A41">
        <w:t xml:space="preserve"> </w:t>
      </w:r>
      <w:r w:rsidRPr="00B02247">
        <w:t>of</w:t>
      </w:r>
      <w:r w:rsidR="005B2A41">
        <w:t xml:space="preserve"> </w:t>
      </w:r>
      <w:r w:rsidRPr="00B02247">
        <w:t>the</w:t>
      </w:r>
      <w:r w:rsidR="005B2A41">
        <w:t xml:space="preserve"> </w:t>
      </w:r>
      <w:r w:rsidRPr="00B02247">
        <w:t>independent</w:t>
      </w:r>
      <w:r w:rsidR="005B2A41">
        <w:t xml:space="preserve"> </w:t>
      </w:r>
      <w:r w:rsidRPr="00B02247">
        <w:t>authorities</w:t>
      </w:r>
      <w:r w:rsidR="005B2A41">
        <w:t xml:space="preserve"> </w:t>
      </w:r>
      <w:r w:rsidRPr="00B02247">
        <w:t>shall</w:t>
      </w:r>
      <w:r w:rsidR="005B2A41">
        <w:t xml:space="preserve"> </w:t>
      </w:r>
      <w:r w:rsidRPr="00B02247">
        <w:t>enjoy</w:t>
      </w:r>
      <w:r w:rsidR="005B2A41">
        <w:t xml:space="preserve"> </w:t>
      </w:r>
      <w:r w:rsidRPr="00B02247">
        <w:t>the</w:t>
      </w:r>
      <w:r w:rsidR="005B2A41">
        <w:t xml:space="preserve"> </w:t>
      </w:r>
      <w:r w:rsidRPr="00B02247">
        <w:t>guarantees</w:t>
      </w:r>
      <w:r w:rsidR="005B2A41">
        <w:t xml:space="preserve"> </w:t>
      </w:r>
      <w:r w:rsidRPr="00B02247">
        <w:t>of</w:t>
      </w:r>
      <w:r w:rsidR="005B2A41">
        <w:t xml:space="preserve"> </w:t>
      </w:r>
      <w:r w:rsidRPr="00B02247">
        <w:t>personal</w:t>
      </w:r>
      <w:r w:rsidR="005B2A41">
        <w:t xml:space="preserve"> </w:t>
      </w:r>
      <w:r w:rsidRPr="00B02247">
        <w:t>and</w:t>
      </w:r>
      <w:r w:rsidR="005B2A41">
        <w:t xml:space="preserve"> </w:t>
      </w:r>
      <w:r w:rsidRPr="00B02247">
        <w:t>functional</w:t>
      </w:r>
      <w:r w:rsidR="005B2A41">
        <w:t xml:space="preserve"> </w:t>
      </w:r>
      <w:r w:rsidRPr="00B02247">
        <w:t>independence;</w:t>
      </w:r>
      <w:r w:rsidR="005B2A41">
        <w:t xml:space="preserve"> </w:t>
      </w:r>
      <w:r w:rsidRPr="00B02247">
        <w:t>the</w:t>
      </w:r>
      <w:r w:rsidR="005B2A41">
        <w:t xml:space="preserve"> </w:t>
      </w:r>
      <w:r w:rsidRPr="00B02247">
        <w:t>selection</w:t>
      </w:r>
      <w:r w:rsidR="005B2A41">
        <w:t xml:space="preserve"> </w:t>
      </w:r>
      <w:r w:rsidRPr="00B02247">
        <w:t>of</w:t>
      </w:r>
      <w:r w:rsidR="005B2A41">
        <w:t xml:space="preserve"> </w:t>
      </w:r>
      <w:r w:rsidRPr="00B02247">
        <w:t>the</w:t>
      </w:r>
      <w:r w:rsidR="005B2A41">
        <w:t xml:space="preserve"> </w:t>
      </w:r>
      <w:r w:rsidRPr="00B02247">
        <w:t>said</w:t>
      </w:r>
      <w:r w:rsidR="005B2A41">
        <w:t xml:space="preserve"> </w:t>
      </w:r>
      <w:r w:rsidRPr="00B02247">
        <w:t>persons</w:t>
      </w:r>
      <w:r w:rsidR="005B2A41">
        <w:t xml:space="preserve"> </w:t>
      </w:r>
      <w:r w:rsidRPr="00B02247">
        <w:t>shall</w:t>
      </w:r>
      <w:r w:rsidR="005B2A41">
        <w:t xml:space="preserve"> </w:t>
      </w:r>
      <w:r w:rsidRPr="00B02247">
        <w:t>be</w:t>
      </w:r>
      <w:r w:rsidR="005B2A41">
        <w:t xml:space="preserve"> </w:t>
      </w:r>
      <w:r w:rsidRPr="00B02247">
        <w:t>effected</w:t>
      </w:r>
      <w:r w:rsidR="005B2A41">
        <w:t xml:space="preserve"> </w:t>
      </w:r>
      <w:r w:rsidRPr="00B02247">
        <w:t>by</w:t>
      </w:r>
      <w:r w:rsidR="005B2A41">
        <w:t xml:space="preserve"> </w:t>
      </w:r>
      <w:r w:rsidRPr="00B02247">
        <w:t>decision</w:t>
      </w:r>
      <w:r w:rsidR="005B2A41">
        <w:t xml:space="preserve"> </w:t>
      </w:r>
      <w:r w:rsidRPr="00B02247">
        <w:t>of</w:t>
      </w:r>
      <w:r w:rsidR="005B2A41">
        <w:t xml:space="preserve"> </w:t>
      </w:r>
      <w:r w:rsidRPr="00B02247">
        <w:t>the</w:t>
      </w:r>
      <w:r w:rsidR="005B2A41">
        <w:t xml:space="preserve"> </w:t>
      </w:r>
      <w:r w:rsidRPr="00B02247">
        <w:t>Conference</w:t>
      </w:r>
      <w:r w:rsidR="005B2A41">
        <w:t xml:space="preserve"> </w:t>
      </w:r>
      <w:r w:rsidRPr="00B02247">
        <w:t>of</w:t>
      </w:r>
      <w:r w:rsidR="005B2A41">
        <w:t xml:space="preserve"> </w:t>
      </w:r>
      <w:r w:rsidRPr="00B02247">
        <w:t>Parliamentary</w:t>
      </w:r>
      <w:r w:rsidR="005B2A41">
        <w:t xml:space="preserve"> </w:t>
      </w:r>
      <w:r w:rsidRPr="00B02247">
        <w:t>Chairpersons</w:t>
      </w:r>
      <w:r w:rsidR="005B2A41">
        <w:t xml:space="preserve"> </w:t>
      </w:r>
      <w:r w:rsidRPr="00B02247">
        <w:t>seeking</w:t>
      </w:r>
      <w:r w:rsidR="005B2A41">
        <w:t xml:space="preserve"> </w:t>
      </w:r>
      <w:r w:rsidRPr="00B02247">
        <w:t>unanimity,</w:t>
      </w:r>
      <w:r w:rsidR="005B2A41">
        <w:t xml:space="preserve"> </w:t>
      </w:r>
      <w:r w:rsidRPr="00B02247">
        <w:t>or</w:t>
      </w:r>
      <w:r w:rsidR="005B2A41">
        <w:t xml:space="preserve"> </w:t>
      </w:r>
      <w:r w:rsidRPr="00B02247">
        <w:t>in</w:t>
      </w:r>
      <w:r w:rsidR="005B2A41">
        <w:t xml:space="preserve"> </w:t>
      </w:r>
      <w:r w:rsidRPr="00B02247">
        <w:t>any</w:t>
      </w:r>
      <w:r w:rsidR="005B2A41">
        <w:t xml:space="preserve"> </w:t>
      </w:r>
      <w:r w:rsidRPr="00B02247">
        <w:t>case</w:t>
      </w:r>
      <w:r w:rsidR="005B2A41">
        <w:t xml:space="preserve"> </w:t>
      </w:r>
      <w:r w:rsidRPr="00B02247">
        <w:t>by</w:t>
      </w:r>
      <w:r w:rsidR="005B2A41">
        <w:t xml:space="preserve"> </w:t>
      </w:r>
      <w:r w:rsidRPr="00B02247">
        <w:t>the</w:t>
      </w:r>
      <w:r w:rsidR="005B2A41">
        <w:t xml:space="preserve"> </w:t>
      </w:r>
      <w:r w:rsidRPr="00B02247">
        <w:t>increased</w:t>
      </w:r>
      <w:r w:rsidR="005B2A41">
        <w:t xml:space="preserve"> </w:t>
      </w:r>
      <w:r w:rsidRPr="00B02247">
        <w:t>majority</w:t>
      </w:r>
      <w:r w:rsidR="005B2A41">
        <w:t xml:space="preserve"> </w:t>
      </w:r>
      <w:r w:rsidRPr="00B02247">
        <w:t>of</w:t>
      </w:r>
      <w:r w:rsidR="005B2A41">
        <w:t xml:space="preserve"> </w:t>
      </w:r>
      <w:r w:rsidRPr="00B02247">
        <w:t>four</w:t>
      </w:r>
      <w:r w:rsidR="005B2A41">
        <w:t xml:space="preserve"> </w:t>
      </w:r>
      <w:r w:rsidRPr="00B02247">
        <w:t>fifths</w:t>
      </w:r>
      <w:r w:rsidR="005B2A41">
        <w:t xml:space="preserve"> </w:t>
      </w:r>
      <w:r w:rsidRPr="00B02247">
        <w:t>of</w:t>
      </w:r>
      <w:r w:rsidR="005B2A41">
        <w:t xml:space="preserve"> </w:t>
      </w:r>
      <w:r w:rsidRPr="00B02247">
        <w:t>its</w:t>
      </w:r>
      <w:r w:rsidR="005B2A41">
        <w:t xml:space="preserve"> </w:t>
      </w:r>
      <w:r w:rsidRPr="00B02247">
        <w:t>members,</w:t>
      </w:r>
      <w:r w:rsidR="005B2A41">
        <w:t xml:space="preserve"> </w:t>
      </w:r>
      <w:r w:rsidRPr="00B02247">
        <w:t>as</w:t>
      </w:r>
      <w:r w:rsidR="005B2A41">
        <w:t xml:space="preserve"> </w:t>
      </w:r>
      <w:r w:rsidRPr="00B02247">
        <w:t>prescribed</w:t>
      </w:r>
      <w:r w:rsidR="005B2A41">
        <w:t xml:space="preserve"> </w:t>
      </w:r>
      <w:r w:rsidRPr="00B02247">
        <w:t>in</w:t>
      </w:r>
      <w:r w:rsidR="005B2A41">
        <w:t xml:space="preserve"> </w:t>
      </w:r>
      <w:r w:rsidRPr="00B02247">
        <w:t>article</w:t>
      </w:r>
      <w:r w:rsidR="005B2A41">
        <w:t xml:space="preserve"> </w:t>
      </w:r>
      <w:r w:rsidRPr="00B02247">
        <w:t>101A</w:t>
      </w:r>
      <w:r w:rsidR="005B2A41">
        <w:t xml:space="preserve"> </w:t>
      </w:r>
      <w:r w:rsidRPr="00B02247">
        <w:t>(2)</w:t>
      </w:r>
      <w:r w:rsidR="005B2A41">
        <w:t xml:space="preserve"> </w:t>
      </w:r>
      <w:r w:rsidRPr="00B02247">
        <w:t>of</w:t>
      </w:r>
      <w:r w:rsidR="005B2A41">
        <w:t xml:space="preserve"> </w:t>
      </w:r>
      <w:r w:rsidRPr="00B02247">
        <w:t>the</w:t>
      </w:r>
      <w:r w:rsidR="005B2A41">
        <w:t xml:space="preserve"> </w:t>
      </w:r>
      <w:r w:rsidRPr="00B02247">
        <w:t>Constitution.</w:t>
      </w:r>
      <w:r w:rsidR="005B2A41">
        <w:t xml:space="preserve"> </w:t>
      </w:r>
      <w:r w:rsidRPr="00B02247">
        <w:t>The</w:t>
      </w:r>
      <w:r w:rsidR="005B2A41">
        <w:t xml:space="preserve"> </w:t>
      </w:r>
      <w:r w:rsidRPr="00B02247">
        <w:t>authorities</w:t>
      </w:r>
      <w:r w:rsidR="005B2A41">
        <w:t xml:space="preserve"> </w:t>
      </w:r>
      <w:r w:rsidRPr="00B02247">
        <w:t>which</w:t>
      </w:r>
      <w:r w:rsidR="005B2A41">
        <w:t xml:space="preserve"> </w:t>
      </w:r>
      <w:r w:rsidRPr="00B02247">
        <w:t>are</w:t>
      </w:r>
      <w:r w:rsidR="005B2A41">
        <w:t xml:space="preserve"> </w:t>
      </w:r>
      <w:r w:rsidRPr="00B02247">
        <w:t>explicitly</w:t>
      </w:r>
      <w:r w:rsidR="005B2A41">
        <w:t xml:space="preserve"> </w:t>
      </w:r>
      <w:r w:rsidRPr="00B02247">
        <w:t>mentioned</w:t>
      </w:r>
      <w:r w:rsidR="005B2A41">
        <w:t xml:space="preserve"> </w:t>
      </w:r>
      <w:r w:rsidRPr="00B02247">
        <w:t>in</w:t>
      </w:r>
      <w:r w:rsidR="005B2A41">
        <w:t xml:space="preserve"> </w:t>
      </w:r>
      <w:r w:rsidRPr="00B02247">
        <w:t>the</w:t>
      </w:r>
      <w:r w:rsidR="005B2A41">
        <w:t xml:space="preserve"> </w:t>
      </w:r>
      <w:r w:rsidRPr="00B02247">
        <w:t>Constitution</w:t>
      </w:r>
      <w:r w:rsidR="005B2A41">
        <w:t xml:space="preserve"> </w:t>
      </w:r>
      <w:r w:rsidRPr="00B02247">
        <w:t>are</w:t>
      </w:r>
      <w:r w:rsidR="005B2A41">
        <w:t xml:space="preserve"> </w:t>
      </w:r>
      <w:r w:rsidRPr="00B02247">
        <w:t>the</w:t>
      </w:r>
      <w:r w:rsidR="005B2A41">
        <w:t xml:space="preserve"> </w:t>
      </w:r>
      <w:r w:rsidRPr="00B02247">
        <w:t>following:</w:t>
      </w:r>
      <w:r w:rsidR="005B2A41">
        <w:t xml:space="preserve"> </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the</w:t>
      </w:r>
      <w:r w:rsidR="005B2A41">
        <w:t xml:space="preserve"> </w:t>
      </w:r>
      <w:r w:rsidR="00F233AB" w:rsidRPr="00B02247">
        <w:t>National</w:t>
      </w:r>
      <w:r w:rsidR="005B2A41">
        <w:t xml:space="preserve"> </w:t>
      </w:r>
      <w:r w:rsidR="00F233AB" w:rsidRPr="00B02247">
        <w:t>Radio</w:t>
      </w:r>
      <w:r w:rsidR="005B2A41">
        <w:t xml:space="preserve"> </w:t>
      </w:r>
      <w:r w:rsidR="00F233AB" w:rsidRPr="00B02247">
        <w:t>and</w:t>
      </w:r>
      <w:r w:rsidR="005B2A41">
        <w:t xml:space="preserve"> </w:t>
      </w:r>
      <w:r w:rsidR="00F233AB" w:rsidRPr="00B02247">
        <w:t>Television</w:t>
      </w:r>
      <w:r w:rsidR="005B2A41">
        <w:t xml:space="preserve"> </w:t>
      </w:r>
      <w:r w:rsidR="00F233AB" w:rsidRPr="00B02247">
        <w:t>Council,</w:t>
      </w:r>
      <w:r w:rsidR="005B2A41">
        <w:t xml:space="preserve"> </w:t>
      </w:r>
      <w:r w:rsidR="00F233AB" w:rsidRPr="00B02247">
        <w:t>which</w:t>
      </w:r>
      <w:r w:rsidR="005B2A41">
        <w:t xml:space="preserve"> </w:t>
      </w:r>
      <w:r w:rsidR="00F233AB" w:rsidRPr="00B02247">
        <w:t>supervises</w:t>
      </w:r>
      <w:r w:rsidR="005B2A41">
        <w:t xml:space="preserve"> </w:t>
      </w:r>
      <w:r w:rsidR="00F233AB" w:rsidRPr="00B02247">
        <w:t>and</w:t>
      </w:r>
      <w:r w:rsidR="005B2A41">
        <w:t xml:space="preserve"> </w:t>
      </w:r>
      <w:r w:rsidR="00F233AB" w:rsidRPr="00B02247">
        <w:t>regulates</w:t>
      </w:r>
      <w:r w:rsidR="005B2A41">
        <w:t xml:space="preserve"> </w:t>
      </w:r>
      <w:r w:rsidR="00F233AB" w:rsidRPr="00B02247">
        <w:t>the</w:t>
      </w:r>
      <w:r w:rsidR="005B2A41">
        <w:t xml:space="preserve"> </w:t>
      </w:r>
      <w:r w:rsidR="00F233AB" w:rsidRPr="00B02247">
        <w:t>broadcasting</w:t>
      </w:r>
      <w:r w:rsidR="005B2A41">
        <w:t xml:space="preserve"> </w:t>
      </w:r>
      <w:r w:rsidR="00F233AB" w:rsidRPr="00B02247">
        <w:t>sector</w:t>
      </w:r>
      <w:r w:rsidR="005B2A41">
        <w:t xml:space="preserve"> </w:t>
      </w:r>
      <w:r w:rsidR="00F233AB" w:rsidRPr="00B02247">
        <w:t>and</w:t>
      </w:r>
      <w:r w:rsidR="005B2A41">
        <w:t xml:space="preserve"> </w:t>
      </w:r>
      <w:r w:rsidR="00F233AB" w:rsidRPr="00B02247">
        <w:t>is</w:t>
      </w:r>
      <w:r w:rsidR="005B2A41">
        <w:t xml:space="preserve"> </w:t>
      </w:r>
      <w:r w:rsidR="00F233AB" w:rsidRPr="00B02247">
        <w:t>responsible,</w:t>
      </w:r>
      <w:r w:rsidR="005B2A41">
        <w:t xml:space="preserve"> </w:t>
      </w:r>
      <w:r w:rsidR="00F233AB" w:rsidRPr="00B02247">
        <w:t>inter</w:t>
      </w:r>
      <w:r w:rsidR="005B2A41">
        <w:t xml:space="preserve"> </w:t>
      </w:r>
      <w:r w:rsidR="00F233AB" w:rsidRPr="00B02247">
        <w:t>alia,</w:t>
      </w:r>
      <w:r w:rsidR="005B2A41">
        <w:t xml:space="preserve"> </w:t>
      </w:r>
      <w:r w:rsidR="00F233AB" w:rsidRPr="00B02247">
        <w:t>for</w:t>
      </w:r>
      <w:r w:rsidR="005B2A41">
        <w:t xml:space="preserve"> </w:t>
      </w:r>
      <w:r w:rsidR="00F233AB" w:rsidRPr="00B02247">
        <w:t>granting,</w:t>
      </w:r>
      <w:r w:rsidR="005B2A41">
        <w:t xml:space="preserve"> </w:t>
      </w:r>
      <w:r w:rsidR="00F233AB" w:rsidRPr="00B02247">
        <w:t>renewing</w:t>
      </w:r>
      <w:r w:rsidR="005B2A41">
        <w:t xml:space="preserve"> </w:t>
      </w:r>
      <w:r w:rsidR="00F233AB" w:rsidRPr="00B02247">
        <w:t>or</w:t>
      </w:r>
      <w:r w:rsidR="005B2A41">
        <w:t xml:space="preserve"> </w:t>
      </w:r>
      <w:r w:rsidR="00F233AB" w:rsidRPr="00B02247">
        <w:t>revoking</w:t>
      </w:r>
      <w:r w:rsidR="005B2A41">
        <w:t xml:space="preserve"> </w:t>
      </w:r>
      <w:r w:rsidR="00F233AB" w:rsidRPr="00B02247">
        <w:t>licenses</w:t>
      </w:r>
      <w:r w:rsidR="005B2A41">
        <w:t xml:space="preserve"> </w:t>
      </w:r>
      <w:r w:rsidR="00F233AB" w:rsidRPr="00B02247">
        <w:t>for</w:t>
      </w:r>
      <w:r w:rsidR="005B2A41">
        <w:t xml:space="preserve"> </w:t>
      </w:r>
      <w:r w:rsidR="00F233AB" w:rsidRPr="00B02247">
        <w:t>radio</w:t>
      </w:r>
      <w:r w:rsidR="005B2A41">
        <w:t xml:space="preserve"> </w:t>
      </w:r>
      <w:r w:rsidR="00F233AB" w:rsidRPr="00B02247">
        <w:t>and</w:t>
      </w:r>
      <w:r w:rsidR="005B2A41">
        <w:t xml:space="preserve"> </w:t>
      </w:r>
      <w:r w:rsidR="00F233AB" w:rsidRPr="00B02247">
        <w:t>TV</w:t>
      </w:r>
      <w:r w:rsidR="005B2A41">
        <w:t xml:space="preserve"> </w:t>
      </w:r>
      <w:r w:rsidR="00F233AB" w:rsidRPr="00B02247">
        <w:t>services,</w:t>
      </w:r>
      <w:r w:rsidR="005B2A41">
        <w:t xml:space="preserve"> </w:t>
      </w:r>
      <w:r w:rsidR="00F233AB" w:rsidRPr="00B02247">
        <w:t>exercising</w:t>
      </w:r>
      <w:r w:rsidR="005B2A41">
        <w:t xml:space="preserve"> </w:t>
      </w:r>
      <w:r w:rsidR="00F233AB" w:rsidRPr="00B02247">
        <w:t>control</w:t>
      </w:r>
      <w:r w:rsidR="005B2A41">
        <w:t xml:space="preserve"> </w:t>
      </w:r>
      <w:r w:rsidR="00F233AB" w:rsidRPr="00B02247">
        <w:t>on</w:t>
      </w:r>
      <w:r w:rsidR="005B2A41">
        <w:t xml:space="preserve"> </w:t>
      </w:r>
      <w:r w:rsidR="00F233AB" w:rsidRPr="00B02247">
        <w:t>radio/TV</w:t>
      </w:r>
      <w:r w:rsidR="005B2A41">
        <w:t xml:space="preserve"> </w:t>
      </w:r>
      <w:r w:rsidR="00F233AB" w:rsidRPr="00B02247">
        <w:t>companies,</w:t>
      </w:r>
      <w:r w:rsidR="005B2A41">
        <w:t xml:space="preserve"> </w:t>
      </w:r>
      <w:r w:rsidR="00F233AB" w:rsidRPr="00B02247">
        <w:t>private</w:t>
      </w:r>
      <w:r w:rsidR="005B2A41">
        <w:t xml:space="preserve"> </w:t>
      </w:r>
      <w:r w:rsidR="00F233AB" w:rsidRPr="00B02247">
        <w:t>or</w:t>
      </w:r>
      <w:r w:rsidR="005B2A41">
        <w:t xml:space="preserve"> </w:t>
      </w:r>
      <w:r w:rsidR="00F233AB" w:rsidRPr="00B02247">
        <w:t>public</w:t>
      </w:r>
      <w:r w:rsidR="005B2A41">
        <w:t xml:space="preserve"> </w:t>
      </w:r>
      <w:r w:rsidR="00F233AB" w:rsidRPr="00B02247">
        <w:t>ones,</w:t>
      </w:r>
      <w:r w:rsidR="005B2A41">
        <w:t xml:space="preserve"> </w:t>
      </w:r>
      <w:r w:rsidR="00F233AB" w:rsidRPr="00B02247">
        <w:t>on</w:t>
      </w:r>
      <w:r w:rsidR="005B2A41">
        <w:t xml:space="preserve"> </w:t>
      </w:r>
      <w:r w:rsidR="00F233AB" w:rsidRPr="00B02247">
        <w:t>whether</w:t>
      </w:r>
      <w:r w:rsidR="005B2A41">
        <w:t xml:space="preserve"> </w:t>
      </w:r>
      <w:r w:rsidR="00F233AB" w:rsidRPr="00B02247">
        <w:t>they</w:t>
      </w:r>
      <w:r w:rsidR="005B2A41">
        <w:t xml:space="preserve"> </w:t>
      </w:r>
      <w:r w:rsidR="00F233AB" w:rsidRPr="00B02247">
        <w:t>uphold</w:t>
      </w:r>
      <w:r w:rsidR="005B2A41">
        <w:t xml:space="preserve"> </w:t>
      </w:r>
      <w:r w:rsidR="00F233AB" w:rsidRPr="00B02247">
        <w:t>the</w:t>
      </w:r>
      <w:r w:rsidR="005B2A41">
        <w:t xml:space="preserve"> </w:t>
      </w:r>
      <w:r w:rsidR="00F233AB" w:rsidRPr="00B02247">
        <w:t>relevant</w:t>
      </w:r>
      <w:r w:rsidR="005B2A41">
        <w:t xml:space="preserve"> </w:t>
      </w:r>
      <w:r w:rsidR="00F233AB" w:rsidRPr="00B02247">
        <w:t>legislation,</w:t>
      </w:r>
      <w:r w:rsidR="005B2A41">
        <w:t xml:space="preserve"> </w:t>
      </w:r>
      <w:r w:rsidR="00F233AB" w:rsidRPr="00B02247">
        <w:t>ensuring</w:t>
      </w:r>
      <w:r w:rsidR="005B2A41">
        <w:t xml:space="preserve"> </w:t>
      </w:r>
      <w:r w:rsidR="00F233AB" w:rsidRPr="00B02247">
        <w:t>political</w:t>
      </w:r>
      <w:r w:rsidR="005B2A41">
        <w:t xml:space="preserve"> </w:t>
      </w:r>
      <w:r w:rsidR="00F233AB" w:rsidRPr="00B02247">
        <w:t>and</w:t>
      </w:r>
      <w:r w:rsidR="005B2A41">
        <w:t xml:space="preserve"> </w:t>
      </w:r>
      <w:r w:rsidR="00F233AB" w:rsidRPr="00B02247">
        <w:t>cultural</w:t>
      </w:r>
      <w:r w:rsidR="005B2A41">
        <w:t xml:space="preserve"> </w:t>
      </w:r>
      <w:r w:rsidR="00F233AB" w:rsidRPr="00B02247">
        <w:t>diversity</w:t>
      </w:r>
      <w:r w:rsidR="005B2A41">
        <w:t xml:space="preserve"> </w:t>
      </w:r>
      <w:r w:rsidR="00F233AB" w:rsidRPr="00B02247">
        <w:t>in</w:t>
      </w:r>
      <w:r w:rsidR="005B2A41">
        <w:t xml:space="preserve"> </w:t>
      </w:r>
      <w:r w:rsidR="00F233AB" w:rsidRPr="00B02247">
        <w:t>the</w:t>
      </w:r>
      <w:r w:rsidR="005B2A41">
        <w:t xml:space="preserve"> </w:t>
      </w:r>
      <w:r w:rsidR="00F233AB" w:rsidRPr="00B02247">
        <w:t>mass</w:t>
      </w:r>
      <w:r w:rsidR="005B2A41">
        <w:t xml:space="preserve"> </w:t>
      </w:r>
      <w:r w:rsidR="00F233AB" w:rsidRPr="00B02247">
        <w:t>media,</w:t>
      </w:r>
      <w:r w:rsidR="005B2A41">
        <w:t xml:space="preserve"> </w:t>
      </w:r>
      <w:r w:rsidR="00F233AB" w:rsidRPr="00B02247">
        <w:t>supervising</w:t>
      </w:r>
      <w:r w:rsidR="005B2A41">
        <w:t xml:space="preserve"> </w:t>
      </w:r>
      <w:r w:rsidR="00F233AB" w:rsidRPr="00B02247">
        <w:t>free</w:t>
      </w:r>
      <w:r w:rsidR="005B2A41">
        <w:t xml:space="preserve"> </w:t>
      </w:r>
      <w:r w:rsidR="00F233AB" w:rsidRPr="00B02247">
        <w:t>competition</w:t>
      </w:r>
      <w:r w:rsidR="005B2A41">
        <w:t xml:space="preserve"> </w:t>
      </w:r>
      <w:r w:rsidR="00F233AB" w:rsidRPr="00B02247">
        <w:t>in</w:t>
      </w:r>
      <w:r w:rsidR="005B2A41">
        <w:t xml:space="preserve"> </w:t>
      </w:r>
      <w:r w:rsidR="00F233AB" w:rsidRPr="00B02247">
        <w:t>the</w:t>
      </w:r>
      <w:r w:rsidR="005B2A41">
        <w:t xml:space="preserve"> </w:t>
      </w:r>
      <w:r w:rsidR="00F233AB" w:rsidRPr="00B02247">
        <w:lastRenderedPageBreak/>
        <w:t>media</w:t>
      </w:r>
      <w:r w:rsidR="005B2A41">
        <w:t xml:space="preserve"> </w:t>
      </w:r>
      <w:r w:rsidR="00F233AB" w:rsidRPr="00B02247">
        <w:t>market,</w:t>
      </w:r>
      <w:r w:rsidR="005B2A41">
        <w:t xml:space="preserve"> </w:t>
      </w:r>
      <w:r w:rsidR="00F233AB" w:rsidRPr="00B02247">
        <w:t>imposing</w:t>
      </w:r>
      <w:r w:rsidR="005B2A41">
        <w:t xml:space="preserve"> </w:t>
      </w:r>
      <w:r w:rsidR="00F233AB" w:rsidRPr="00B02247">
        <w:t>fines</w:t>
      </w:r>
      <w:r w:rsidR="005B2A41">
        <w:t xml:space="preserve"> </w:t>
      </w:r>
      <w:r w:rsidR="00F233AB" w:rsidRPr="00B02247">
        <w:t>and</w:t>
      </w:r>
      <w:r w:rsidR="005B2A41">
        <w:t xml:space="preserve"> </w:t>
      </w:r>
      <w:r w:rsidR="00F233AB" w:rsidRPr="00B02247">
        <w:t>administrative</w:t>
      </w:r>
      <w:r w:rsidR="005B2A41">
        <w:t xml:space="preserve"> </w:t>
      </w:r>
      <w:r w:rsidR="00F233AB" w:rsidRPr="00B02247">
        <w:t>measures</w:t>
      </w:r>
      <w:r w:rsidR="005B2A41">
        <w:t xml:space="preserve"> </w:t>
      </w:r>
      <w:r w:rsidR="00F233AB" w:rsidRPr="00B02247">
        <w:t>and</w:t>
      </w:r>
      <w:r w:rsidR="005B2A41">
        <w:t xml:space="preserve"> </w:t>
      </w:r>
      <w:r w:rsidR="00F233AB" w:rsidRPr="00B02247">
        <w:t>examining</w:t>
      </w:r>
      <w:r w:rsidR="005B2A41">
        <w:t xml:space="preserve"> </w:t>
      </w:r>
      <w:r w:rsidR="00F233AB" w:rsidRPr="00B02247">
        <w:t>requests</w:t>
      </w:r>
      <w:r w:rsidR="005B2A41">
        <w:t xml:space="preserve"> </w:t>
      </w:r>
      <w:r w:rsidR="00F233AB" w:rsidRPr="00B02247">
        <w:t>for</w:t>
      </w:r>
      <w:r w:rsidR="005B2A41">
        <w:t xml:space="preserve"> </w:t>
      </w:r>
      <w:r w:rsidR="00F233AB" w:rsidRPr="00B02247">
        <w:t>remedies</w:t>
      </w:r>
      <w:r w:rsidR="005B2A41">
        <w:t xml:space="preserve"> </w:t>
      </w:r>
      <w:r w:rsidR="00F233AB" w:rsidRPr="00B02247">
        <w:t>for</w:t>
      </w:r>
      <w:r w:rsidR="005B2A41">
        <w:t xml:space="preserve"> </w:t>
      </w:r>
      <w:r w:rsidR="00F233AB" w:rsidRPr="00B02247">
        <w:t>personal</w:t>
      </w:r>
      <w:r w:rsidR="005B2A41">
        <w:t xml:space="preserve"> </w:t>
      </w:r>
      <w:r w:rsidR="00F233AB" w:rsidRPr="00B02247">
        <w:t>insults</w:t>
      </w:r>
      <w:r w:rsidR="005B2A41">
        <w:t xml:space="preserve"> </w:t>
      </w:r>
      <w:r w:rsidR="00F233AB" w:rsidRPr="00B02247">
        <w:t>caused</w:t>
      </w:r>
      <w:r w:rsidR="005B2A41">
        <w:t xml:space="preserve"> </w:t>
      </w:r>
      <w:r w:rsidR="00F233AB" w:rsidRPr="00B02247">
        <w:t>by</w:t>
      </w:r>
      <w:r w:rsidR="005B2A41">
        <w:t xml:space="preserve"> </w:t>
      </w:r>
      <w:r w:rsidR="00F233AB" w:rsidRPr="00B02247">
        <w:t>mass</w:t>
      </w:r>
      <w:r w:rsidR="005B2A41">
        <w:t xml:space="preserve"> </w:t>
      </w:r>
      <w:r w:rsidR="00F233AB" w:rsidRPr="00B02247">
        <w:t>media;</w:t>
      </w:r>
      <w:r w:rsidR="005B2A41">
        <w:t xml:space="preserve"> </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the</w:t>
      </w:r>
      <w:r w:rsidR="005B2A41">
        <w:t xml:space="preserve"> </w:t>
      </w:r>
      <w:r w:rsidR="00F233AB" w:rsidRPr="00B02247">
        <w:t>Hellenic</w:t>
      </w:r>
      <w:r w:rsidR="005B2A41">
        <w:t xml:space="preserve"> </w:t>
      </w:r>
      <w:r w:rsidR="00F233AB" w:rsidRPr="00B02247">
        <w:t>Data</w:t>
      </w:r>
      <w:r w:rsidR="005B2A41">
        <w:t xml:space="preserve"> </w:t>
      </w:r>
      <w:r w:rsidR="00F233AB" w:rsidRPr="00B02247">
        <w:t>Protection</w:t>
      </w:r>
      <w:r w:rsidR="005B2A41">
        <w:t xml:space="preserve"> </w:t>
      </w:r>
      <w:r w:rsidR="00F233AB" w:rsidRPr="00B02247">
        <w:t>Authority,</w:t>
      </w:r>
      <w:r w:rsidR="005B2A41">
        <w:t xml:space="preserve"> </w:t>
      </w:r>
      <w:r w:rsidR="00F233AB" w:rsidRPr="00B02247">
        <w:t>tasked</w:t>
      </w:r>
      <w:r w:rsidR="005B2A41">
        <w:t xml:space="preserve"> </w:t>
      </w:r>
      <w:r w:rsidR="00F233AB" w:rsidRPr="00B02247">
        <w:t>with</w:t>
      </w:r>
      <w:r w:rsidR="005B2A41">
        <w:t xml:space="preserve"> </w:t>
      </w:r>
      <w:r w:rsidR="00F233AB" w:rsidRPr="00B02247">
        <w:t>the</w:t>
      </w:r>
      <w:r w:rsidR="005B2A41">
        <w:t xml:space="preserve"> </w:t>
      </w:r>
      <w:r w:rsidR="00F233AB" w:rsidRPr="00B02247">
        <w:t>protection</w:t>
      </w:r>
      <w:r w:rsidR="005B2A41">
        <w:t xml:space="preserve"> </w:t>
      </w:r>
      <w:r w:rsidR="00F233AB" w:rsidRPr="00B02247">
        <w:t>of</w:t>
      </w:r>
      <w:r w:rsidR="005B2A41">
        <w:t xml:space="preserve"> </w:t>
      </w:r>
      <w:r w:rsidR="00F233AB" w:rsidRPr="00B02247">
        <w:t>the</w:t>
      </w:r>
      <w:r w:rsidR="005B2A41">
        <w:t xml:space="preserve"> </w:t>
      </w:r>
      <w:r w:rsidR="00F233AB" w:rsidRPr="00B02247">
        <w:t>personal</w:t>
      </w:r>
      <w:r w:rsidR="005B2A41">
        <w:t xml:space="preserve"> </w:t>
      </w:r>
      <w:r w:rsidR="00F233AB" w:rsidRPr="00B02247">
        <w:t>data</w:t>
      </w:r>
      <w:r w:rsidR="005B2A41">
        <w:t xml:space="preserve"> </w:t>
      </w:r>
      <w:r w:rsidR="00F233AB" w:rsidRPr="00B02247">
        <w:t>and</w:t>
      </w:r>
      <w:r w:rsidR="005B2A41">
        <w:t xml:space="preserve"> </w:t>
      </w:r>
      <w:r w:rsidR="00F233AB" w:rsidRPr="00B02247">
        <w:t>the</w:t>
      </w:r>
      <w:r w:rsidR="005B2A41">
        <w:t xml:space="preserve"> </w:t>
      </w:r>
      <w:r w:rsidR="00F233AB" w:rsidRPr="00B02247">
        <w:t>privacy</w:t>
      </w:r>
      <w:r w:rsidR="005B2A41">
        <w:t xml:space="preserve"> </w:t>
      </w:r>
      <w:r w:rsidR="00F233AB" w:rsidRPr="00B02247">
        <w:t>of</w:t>
      </w:r>
      <w:r w:rsidR="005B2A41">
        <w:t xml:space="preserve"> </w:t>
      </w:r>
      <w:r w:rsidR="00F233AB" w:rsidRPr="00B02247">
        <w:t>individuals</w:t>
      </w:r>
      <w:r w:rsidR="005B2A41">
        <w:t xml:space="preserve"> </w:t>
      </w:r>
      <w:r w:rsidR="00F233AB" w:rsidRPr="00B02247">
        <w:t>in</w:t>
      </w:r>
      <w:r w:rsidR="005B2A41">
        <w:t xml:space="preserve"> </w:t>
      </w:r>
      <w:r w:rsidR="00F233AB" w:rsidRPr="00B02247">
        <w:t>Greece,</w:t>
      </w:r>
      <w:r w:rsidR="005B2A41">
        <w:t xml:space="preserve"> </w:t>
      </w:r>
      <w:r w:rsidR="00F233AB" w:rsidRPr="00B02247">
        <w:t>and,</w:t>
      </w:r>
      <w:r w:rsidR="005B2A41">
        <w:t xml:space="preserve"> </w:t>
      </w:r>
      <w:r w:rsidR="00F233AB" w:rsidRPr="00B02247">
        <w:t>more</w:t>
      </w:r>
      <w:r w:rsidR="005B2A41">
        <w:t xml:space="preserve"> </w:t>
      </w:r>
      <w:r w:rsidR="00F233AB" w:rsidRPr="00B02247">
        <w:t>specifically,</w:t>
      </w:r>
      <w:r w:rsidR="005B2A41">
        <w:t xml:space="preserve"> </w:t>
      </w:r>
      <w:r w:rsidR="00F233AB" w:rsidRPr="00B02247">
        <w:t>with</w:t>
      </w:r>
      <w:r w:rsidR="005B2A41">
        <w:t xml:space="preserve"> </w:t>
      </w:r>
      <w:r w:rsidR="00F233AB" w:rsidRPr="00B02247">
        <w:t>the</w:t>
      </w:r>
      <w:r w:rsidR="005B2A41">
        <w:t xml:space="preserve"> </w:t>
      </w:r>
      <w:r w:rsidR="00F233AB" w:rsidRPr="00B02247">
        <w:t>protection</w:t>
      </w:r>
      <w:r w:rsidR="005B2A41">
        <w:t xml:space="preserve"> </w:t>
      </w:r>
      <w:r w:rsidR="00F233AB" w:rsidRPr="00B02247">
        <w:t>of</w:t>
      </w:r>
      <w:r w:rsidR="005B2A41">
        <w:t xml:space="preserve"> </w:t>
      </w:r>
      <w:r w:rsidR="00F233AB" w:rsidRPr="00B02247">
        <w:t>citizens</w:t>
      </w:r>
      <w:r w:rsidR="005B2A41">
        <w:t xml:space="preserve"> </w:t>
      </w:r>
      <w:r w:rsidR="00F233AB" w:rsidRPr="00B02247">
        <w:t>from</w:t>
      </w:r>
      <w:r w:rsidR="005B2A41">
        <w:t xml:space="preserve"> </w:t>
      </w:r>
      <w:r w:rsidR="00F233AB" w:rsidRPr="00B02247">
        <w:t>the</w:t>
      </w:r>
      <w:r w:rsidR="005B2A41">
        <w:t xml:space="preserve"> </w:t>
      </w:r>
      <w:r w:rsidR="00F233AB" w:rsidRPr="00B02247">
        <w:t>unlawful</w:t>
      </w:r>
      <w:r w:rsidR="005B2A41">
        <w:t xml:space="preserve"> </w:t>
      </w:r>
      <w:r w:rsidR="00F233AB" w:rsidRPr="00B02247">
        <w:t>processing</w:t>
      </w:r>
      <w:r w:rsidR="005B2A41">
        <w:t xml:space="preserve"> </w:t>
      </w:r>
      <w:r w:rsidR="00F233AB" w:rsidRPr="00B02247">
        <w:t>of</w:t>
      </w:r>
      <w:r w:rsidR="005B2A41">
        <w:t xml:space="preserve"> </w:t>
      </w:r>
      <w:r w:rsidR="00F233AB" w:rsidRPr="00B02247">
        <w:t>their</w:t>
      </w:r>
      <w:r w:rsidR="005B2A41">
        <w:t xml:space="preserve"> </w:t>
      </w:r>
      <w:r w:rsidR="00F233AB" w:rsidRPr="00B02247">
        <w:t>personal</w:t>
      </w:r>
      <w:r w:rsidR="005B2A41">
        <w:t xml:space="preserve"> </w:t>
      </w:r>
      <w:r w:rsidR="00F233AB" w:rsidRPr="00B02247">
        <w:t>data</w:t>
      </w:r>
      <w:r w:rsidR="005B2A41">
        <w:t xml:space="preserve"> </w:t>
      </w:r>
      <w:r w:rsidR="00F233AB" w:rsidRPr="00B02247">
        <w:t>and</w:t>
      </w:r>
      <w:r w:rsidR="005B2A41">
        <w:t xml:space="preserve"> </w:t>
      </w:r>
      <w:r w:rsidR="00F233AB" w:rsidRPr="00B02247">
        <w:t>their</w:t>
      </w:r>
      <w:r w:rsidR="005B2A41">
        <w:t xml:space="preserve"> </w:t>
      </w:r>
      <w:r w:rsidR="00F233AB" w:rsidRPr="00B02247">
        <w:t>assistance</w:t>
      </w:r>
      <w:r w:rsidR="005B2A41">
        <w:t xml:space="preserve"> </w:t>
      </w:r>
      <w:r w:rsidR="00F233AB" w:rsidRPr="00B02247">
        <w:t>in</w:t>
      </w:r>
      <w:r w:rsidR="005B2A41">
        <w:t xml:space="preserve"> </w:t>
      </w:r>
      <w:r w:rsidR="00F233AB" w:rsidRPr="00B02247">
        <w:t>case</w:t>
      </w:r>
      <w:r w:rsidR="005B2A41">
        <w:t xml:space="preserve"> </w:t>
      </w:r>
      <w:r w:rsidR="00F233AB" w:rsidRPr="00B02247">
        <w:t>it</w:t>
      </w:r>
      <w:r w:rsidR="005B2A41">
        <w:t xml:space="preserve"> </w:t>
      </w:r>
      <w:r w:rsidR="00F233AB" w:rsidRPr="00B02247">
        <w:t>is</w:t>
      </w:r>
      <w:r w:rsidR="005B2A41">
        <w:t xml:space="preserve"> </w:t>
      </w:r>
      <w:r w:rsidR="00F233AB" w:rsidRPr="00B02247">
        <w:t>established</w:t>
      </w:r>
      <w:r w:rsidR="005B2A41">
        <w:t xml:space="preserve"> </w:t>
      </w:r>
      <w:r w:rsidR="00F233AB" w:rsidRPr="00B02247">
        <w:t>that</w:t>
      </w:r>
      <w:r w:rsidR="005B2A41">
        <w:t xml:space="preserve"> </w:t>
      </w:r>
      <w:r w:rsidR="00F233AB" w:rsidRPr="00B02247">
        <w:t>their</w:t>
      </w:r>
      <w:r w:rsidR="005B2A41">
        <w:t xml:space="preserve"> </w:t>
      </w:r>
      <w:r w:rsidR="00F233AB" w:rsidRPr="00B02247">
        <w:t>rights</w:t>
      </w:r>
      <w:r w:rsidR="005B2A41">
        <w:t xml:space="preserve"> </w:t>
      </w:r>
      <w:r w:rsidR="00F233AB" w:rsidRPr="00B02247">
        <w:t>have</w:t>
      </w:r>
      <w:r w:rsidR="005B2A41">
        <w:t xml:space="preserve"> </w:t>
      </w:r>
      <w:r w:rsidR="00F233AB" w:rsidRPr="00B02247">
        <w:t>been</w:t>
      </w:r>
      <w:r w:rsidR="005B2A41">
        <w:t xml:space="preserve"> </w:t>
      </w:r>
      <w:r w:rsidR="00F233AB" w:rsidRPr="00B02247">
        <w:t>violated</w:t>
      </w:r>
      <w:r w:rsidR="005B2A41">
        <w:t xml:space="preserve"> </w:t>
      </w:r>
      <w:r w:rsidR="00F233AB" w:rsidRPr="00B02247">
        <w:t>in</w:t>
      </w:r>
      <w:r w:rsidR="005B2A41">
        <w:t xml:space="preserve"> </w:t>
      </w:r>
      <w:r w:rsidR="00F233AB" w:rsidRPr="00B02247">
        <w:t>any</w:t>
      </w:r>
      <w:r w:rsidR="005B2A41">
        <w:t xml:space="preserve"> </w:t>
      </w:r>
      <w:r w:rsidR="00F233AB" w:rsidRPr="00B02247">
        <w:t>sector.</w:t>
      </w:r>
      <w:r w:rsidR="005B2A41">
        <w:t xml:space="preserve"> </w:t>
      </w:r>
      <w:r w:rsidR="00F233AB" w:rsidRPr="00B02247">
        <w:t>Furthermore,</w:t>
      </w:r>
      <w:r w:rsidR="005B2A41">
        <w:t xml:space="preserve"> </w:t>
      </w:r>
      <w:r w:rsidR="00F233AB" w:rsidRPr="00B02247">
        <w:t>the</w:t>
      </w:r>
      <w:r w:rsidR="005B2A41">
        <w:t xml:space="preserve"> </w:t>
      </w:r>
      <w:r w:rsidR="00F233AB" w:rsidRPr="00B02247">
        <w:t>HDPA</w:t>
      </w:r>
      <w:r w:rsidR="005B2A41">
        <w:t xml:space="preserve"> </w:t>
      </w:r>
      <w:r w:rsidR="00F233AB" w:rsidRPr="00B02247">
        <w:t>offers</w:t>
      </w:r>
      <w:r w:rsidR="005B2A41">
        <w:t xml:space="preserve"> </w:t>
      </w:r>
      <w:r w:rsidR="00F233AB" w:rsidRPr="00B02247">
        <w:t>support</w:t>
      </w:r>
      <w:r w:rsidR="005B2A41">
        <w:t xml:space="preserve"> </w:t>
      </w:r>
      <w:r w:rsidR="00F233AB" w:rsidRPr="00B02247">
        <w:t>and</w:t>
      </w:r>
      <w:r w:rsidR="005B2A41">
        <w:t xml:space="preserve"> </w:t>
      </w:r>
      <w:r w:rsidR="00F233AB" w:rsidRPr="00B02247">
        <w:t>guidance</w:t>
      </w:r>
      <w:r w:rsidR="005B2A41">
        <w:t xml:space="preserve"> </w:t>
      </w:r>
      <w:r w:rsidR="00F233AB" w:rsidRPr="00B02247">
        <w:t>to</w:t>
      </w:r>
      <w:r w:rsidR="005B2A41">
        <w:t xml:space="preserve"> </w:t>
      </w:r>
      <w:r w:rsidR="00F233AB" w:rsidRPr="00B02247">
        <w:t>controllers</w:t>
      </w:r>
      <w:r w:rsidR="005B2A41">
        <w:t xml:space="preserve"> </w:t>
      </w:r>
      <w:r w:rsidR="00F233AB" w:rsidRPr="00B02247">
        <w:t>in</w:t>
      </w:r>
      <w:r w:rsidR="005B2A41">
        <w:t xml:space="preserve"> </w:t>
      </w:r>
      <w:r w:rsidR="00F233AB" w:rsidRPr="00B02247">
        <w:t>their</w:t>
      </w:r>
      <w:r w:rsidR="005B2A41">
        <w:t xml:space="preserve"> </w:t>
      </w:r>
      <w:r w:rsidR="00F233AB" w:rsidRPr="00B02247">
        <w:t>effort</w:t>
      </w:r>
      <w:r w:rsidR="005B2A41">
        <w:t xml:space="preserve"> </w:t>
      </w:r>
      <w:r w:rsidR="00F233AB" w:rsidRPr="00B02247">
        <w:t>to</w:t>
      </w:r>
      <w:r w:rsidR="005B2A41">
        <w:t xml:space="preserve"> </w:t>
      </w:r>
      <w:r w:rsidR="00F233AB" w:rsidRPr="00B02247">
        <w:t>comply</w:t>
      </w:r>
      <w:r w:rsidR="005B2A41">
        <w:t xml:space="preserve"> </w:t>
      </w:r>
      <w:r w:rsidR="00F233AB" w:rsidRPr="00B02247">
        <w:t>with</w:t>
      </w:r>
      <w:r w:rsidR="005B2A41">
        <w:t xml:space="preserve"> </w:t>
      </w:r>
      <w:r w:rsidR="00F233AB" w:rsidRPr="00B02247">
        <w:t>their</w:t>
      </w:r>
      <w:r w:rsidR="005B2A41">
        <w:t xml:space="preserve"> </w:t>
      </w:r>
      <w:r w:rsidR="00F233AB" w:rsidRPr="00B02247">
        <w:t>obligations</w:t>
      </w:r>
      <w:r w:rsidR="005B2A41">
        <w:t xml:space="preserve"> </w:t>
      </w:r>
      <w:r w:rsidR="00F233AB" w:rsidRPr="00B02247">
        <w:t>under</w:t>
      </w:r>
      <w:r w:rsidR="005B2A41">
        <w:t xml:space="preserve"> </w:t>
      </w:r>
      <w:r w:rsidR="00F233AB" w:rsidRPr="00B02247">
        <w:t>the</w:t>
      </w:r>
      <w:r w:rsidR="005B2A41">
        <w:t xml:space="preserve"> </w:t>
      </w:r>
      <w:r w:rsidR="00F233AB" w:rsidRPr="00B02247">
        <w:t>Law</w:t>
      </w:r>
      <w:r w:rsidR="005B2A41">
        <w:t xml:space="preserve"> </w:t>
      </w:r>
      <w:r w:rsidR="00F233AB" w:rsidRPr="00B02247">
        <w:t>on</w:t>
      </w:r>
      <w:r w:rsidR="005B2A41">
        <w:t xml:space="preserve"> </w:t>
      </w:r>
      <w:r w:rsidR="00F233AB" w:rsidRPr="00B02247">
        <w:t>the</w:t>
      </w:r>
      <w:r w:rsidR="005B2A41">
        <w:t xml:space="preserve"> </w:t>
      </w:r>
      <w:r w:rsidR="00F233AB" w:rsidRPr="00B02247">
        <w:t>protection</w:t>
      </w:r>
      <w:r w:rsidR="005B2A41">
        <w:t xml:space="preserve"> </w:t>
      </w:r>
      <w:r w:rsidR="00F233AB" w:rsidRPr="00B02247">
        <w:t>of</w:t>
      </w:r>
      <w:r w:rsidR="005B2A41">
        <w:t xml:space="preserve"> </w:t>
      </w:r>
      <w:r w:rsidR="00F233AB" w:rsidRPr="00B02247">
        <w:t>personal</w:t>
      </w:r>
      <w:r w:rsidR="005B2A41">
        <w:t xml:space="preserve"> </w:t>
      </w:r>
      <w:r w:rsidR="00F233AB" w:rsidRPr="00B02247">
        <w:t>data;</w:t>
      </w:r>
      <w:r w:rsidR="005B2A41">
        <w:t xml:space="preserve"> </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the</w:t>
      </w:r>
      <w:r w:rsidR="005B2A41">
        <w:t xml:space="preserve"> </w:t>
      </w:r>
      <w:r w:rsidR="00F233AB" w:rsidRPr="00B02247">
        <w:t>Independent</w:t>
      </w:r>
      <w:r w:rsidR="005B2A41">
        <w:t xml:space="preserve"> </w:t>
      </w:r>
      <w:r w:rsidR="00F233AB" w:rsidRPr="00B02247">
        <w:t>Authority</w:t>
      </w:r>
      <w:r w:rsidR="005B2A41">
        <w:t xml:space="preserve"> </w:t>
      </w:r>
      <w:r w:rsidR="00F233AB" w:rsidRPr="00B02247">
        <w:t>for</w:t>
      </w:r>
      <w:r w:rsidR="005B2A41">
        <w:t xml:space="preserve"> </w:t>
      </w:r>
      <w:r w:rsidR="00F233AB" w:rsidRPr="00B02247">
        <w:t>the</w:t>
      </w:r>
      <w:r w:rsidR="005B2A41">
        <w:t xml:space="preserve"> </w:t>
      </w:r>
      <w:r w:rsidR="00F233AB" w:rsidRPr="00B02247">
        <w:t>Protection</w:t>
      </w:r>
      <w:r w:rsidR="005B2A41">
        <w:t xml:space="preserve"> </w:t>
      </w:r>
      <w:r w:rsidR="00F233AB" w:rsidRPr="00B02247">
        <w:t>of</w:t>
      </w:r>
      <w:r w:rsidR="005B2A41">
        <w:t xml:space="preserve"> </w:t>
      </w:r>
      <w:r w:rsidR="00F233AB" w:rsidRPr="00B02247">
        <w:t>Secrecy</w:t>
      </w:r>
      <w:r w:rsidR="005B2A41">
        <w:t xml:space="preserve"> </w:t>
      </w:r>
      <w:r w:rsidR="00F233AB" w:rsidRPr="00B02247">
        <w:t>of</w:t>
      </w:r>
      <w:r w:rsidR="005B2A41">
        <w:t xml:space="preserve"> </w:t>
      </w:r>
      <w:r w:rsidR="00F233AB" w:rsidRPr="00B02247">
        <w:t>Correspondence</w:t>
      </w:r>
      <w:r w:rsidR="005B2A41">
        <w:t xml:space="preserve"> </w:t>
      </w:r>
      <w:r w:rsidR="00F233AB" w:rsidRPr="00B02247">
        <w:t>and</w:t>
      </w:r>
      <w:r w:rsidR="005B2A41">
        <w:t xml:space="preserve"> </w:t>
      </w:r>
      <w:r w:rsidR="00F233AB" w:rsidRPr="00B02247">
        <w:t>Telecommunications,</w:t>
      </w:r>
      <w:r w:rsidR="005B2A41">
        <w:t xml:space="preserve"> </w:t>
      </w:r>
      <w:r w:rsidR="00F233AB" w:rsidRPr="00B02247">
        <w:t>which</w:t>
      </w:r>
      <w:r w:rsidR="005B2A41">
        <w:t xml:space="preserve"> </w:t>
      </w:r>
      <w:r w:rsidR="00F233AB" w:rsidRPr="00B02247">
        <w:t>carries</w:t>
      </w:r>
      <w:r w:rsidR="005B2A41">
        <w:t xml:space="preserve"> </w:t>
      </w:r>
      <w:r w:rsidR="00F233AB" w:rsidRPr="00B02247">
        <w:t>out</w:t>
      </w:r>
      <w:r w:rsidR="005B2A41">
        <w:t xml:space="preserve"> </w:t>
      </w:r>
      <w:r w:rsidR="00F233AB" w:rsidRPr="00B02247">
        <w:t>scheduled</w:t>
      </w:r>
      <w:r w:rsidR="005B2A41">
        <w:t xml:space="preserve"> </w:t>
      </w:r>
      <w:r w:rsidR="00F233AB" w:rsidRPr="00B02247">
        <w:t>and</w:t>
      </w:r>
      <w:r w:rsidR="005B2A41">
        <w:t xml:space="preserve"> </w:t>
      </w:r>
      <w:r w:rsidR="00F233AB" w:rsidRPr="00B02247">
        <w:t>emergency</w:t>
      </w:r>
      <w:r w:rsidR="005B2A41">
        <w:t xml:space="preserve"> </w:t>
      </w:r>
      <w:r w:rsidR="00F233AB" w:rsidRPr="00B02247">
        <w:t>auditing</w:t>
      </w:r>
      <w:r w:rsidR="005B2A41">
        <w:t xml:space="preserve"> </w:t>
      </w:r>
      <w:r w:rsidR="00F233AB" w:rsidRPr="00B02247">
        <w:t>procedures,</w:t>
      </w:r>
      <w:r w:rsidR="005B2A41">
        <w:t xml:space="preserve"> </w:t>
      </w:r>
      <w:r w:rsidR="00F233AB" w:rsidRPr="003F310C">
        <w:rPr>
          <w:i/>
          <w:iCs/>
        </w:rPr>
        <w:t>ex</w:t>
      </w:r>
      <w:r w:rsidR="005B2A41" w:rsidRPr="003F310C">
        <w:rPr>
          <w:i/>
          <w:iCs/>
        </w:rPr>
        <w:t xml:space="preserve"> </w:t>
      </w:r>
      <w:r w:rsidR="00F233AB" w:rsidRPr="003F310C">
        <w:rPr>
          <w:i/>
          <w:iCs/>
        </w:rPr>
        <w:t>officio</w:t>
      </w:r>
      <w:r w:rsidR="005B2A41">
        <w:t xml:space="preserve"> </w:t>
      </w:r>
      <w:r w:rsidR="00F233AB" w:rsidRPr="00B02247">
        <w:t>or</w:t>
      </w:r>
      <w:r w:rsidR="005B2A41">
        <w:t xml:space="preserve"> </w:t>
      </w:r>
      <w:r w:rsidR="00F233AB" w:rsidRPr="00B02247">
        <w:t>upon</w:t>
      </w:r>
      <w:r w:rsidR="005B2A41">
        <w:t xml:space="preserve"> </w:t>
      </w:r>
      <w:r w:rsidR="00F233AB" w:rsidRPr="00B02247">
        <w:t>complaint,</w:t>
      </w:r>
      <w:r w:rsidR="005B2A41">
        <w:t xml:space="preserve"> </w:t>
      </w:r>
      <w:r w:rsidR="00F233AB" w:rsidRPr="00B02247">
        <w:t>of</w:t>
      </w:r>
      <w:r w:rsidR="005B2A41">
        <w:t xml:space="preserve"> </w:t>
      </w:r>
      <w:r w:rsidR="00F233AB" w:rsidRPr="00B02247">
        <w:t>installations,</w:t>
      </w:r>
      <w:r w:rsidR="005B2A41">
        <w:t xml:space="preserve"> </w:t>
      </w:r>
      <w:r w:rsidR="00F233AB" w:rsidRPr="00B02247">
        <w:t>equipment,</w:t>
      </w:r>
      <w:r w:rsidR="005B2A41">
        <w:t xml:space="preserve"> </w:t>
      </w:r>
      <w:r w:rsidR="00F233AB" w:rsidRPr="00B02247">
        <w:t>archives,</w:t>
      </w:r>
      <w:r w:rsidR="005B2A41">
        <w:t xml:space="preserve"> </w:t>
      </w:r>
      <w:r w:rsidR="00F233AB" w:rsidRPr="00B02247">
        <w:t>data</w:t>
      </w:r>
      <w:r w:rsidR="005B2A41">
        <w:t xml:space="preserve"> </w:t>
      </w:r>
      <w:r w:rsidR="00F233AB" w:rsidRPr="00B02247">
        <w:t>bases</w:t>
      </w:r>
      <w:r w:rsidR="005B2A41">
        <w:t xml:space="preserve"> </w:t>
      </w:r>
      <w:r w:rsidR="00F233AB" w:rsidRPr="00B02247">
        <w:t>and</w:t>
      </w:r>
      <w:r w:rsidR="005B2A41">
        <w:t xml:space="preserve"> </w:t>
      </w:r>
      <w:r w:rsidR="00F233AB" w:rsidRPr="00B02247">
        <w:t>documents</w:t>
      </w:r>
      <w:r w:rsidR="005B2A41">
        <w:t xml:space="preserve"> </w:t>
      </w:r>
      <w:r w:rsidR="00F233AB" w:rsidRPr="00B02247">
        <w:t>of</w:t>
      </w:r>
      <w:r w:rsidR="005B2A41">
        <w:t xml:space="preserve"> </w:t>
      </w:r>
      <w:r w:rsidR="00F233AB" w:rsidRPr="00B02247">
        <w:t>the</w:t>
      </w:r>
      <w:r w:rsidR="005B2A41">
        <w:t xml:space="preserve"> </w:t>
      </w:r>
      <w:r w:rsidR="00F233AB" w:rsidRPr="00B02247">
        <w:t>Hellenic</w:t>
      </w:r>
      <w:r w:rsidR="005B2A41">
        <w:t xml:space="preserve"> </w:t>
      </w:r>
      <w:r w:rsidR="00F233AB" w:rsidRPr="00B02247">
        <w:t>National</w:t>
      </w:r>
      <w:r w:rsidR="005B2A41">
        <w:t xml:space="preserve"> </w:t>
      </w:r>
      <w:r w:rsidR="00F233AB" w:rsidRPr="00B02247">
        <w:t>Intelligence</w:t>
      </w:r>
      <w:r w:rsidR="005B2A41">
        <w:t xml:space="preserve"> </w:t>
      </w:r>
      <w:r w:rsidR="00F233AB" w:rsidRPr="00B02247">
        <w:t>Service,</w:t>
      </w:r>
      <w:r w:rsidR="005B2A41">
        <w:t xml:space="preserve"> </w:t>
      </w:r>
      <w:r w:rsidR="00F233AB" w:rsidRPr="00B02247">
        <w:t>of</w:t>
      </w:r>
      <w:r w:rsidR="005B2A41">
        <w:t xml:space="preserve"> </w:t>
      </w:r>
      <w:r w:rsidR="00F233AB" w:rsidRPr="00B02247">
        <w:t>other</w:t>
      </w:r>
      <w:r w:rsidR="005B2A41">
        <w:t xml:space="preserve"> </w:t>
      </w:r>
      <w:r w:rsidR="00F233AB" w:rsidRPr="00B02247">
        <w:t>civil</w:t>
      </w:r>
      <w:r w:rsidR="005B2A41">
        <w:t xml:space="preserve"> </w:t>
      </w:r>
      <w:r w:rsidR="00F233AB" w:rsidRPr="00B02247">
        <w:t>services,</w:t>
      </w:r>
      <w:r w:rsidR="005B2A41">
        <w:t xml:space="preserve"> </w:t>
      </w:r>
      <w:r w:rsidR="00F233AB" w:rsidRPr="00B02247">
        <w:t>corporations</w:t>
      </w:r>
      <w:r w:rsidR="005B2A41">
        <w:t xml:space="preserve"> </w:t>
      </w:r>
      <w:r w:rsidR="00F233AB" w:rsidRPr="00B02247">
        <w:t>and</w:t>
      </w:r>
      <w:r w:rsidR="005B2A41">
        <w:t xml:space="preserve"> </w:t>
      </w:r>
      <w:r w:rsidR="00F233AB" w:rsidRPr="00B02247">
        <w:t>enterprises</w:t>
      </w:r>
      <w:r w:rsidR="005B2A41">
        <w:t xml:space="preserve"> </w:t>
      </w:r>
      <w:r w:rsidR="00F233AB" w:rsidRPr="00B02247">
        <w:t>of</w:t>
      </w:r>
      <w:r w:rsidR="005B2A41">
        <w:t xml:space="preserve"> </w:t>
      </w:r>
      <w:r w:rsidR="00F233AB" w:rsidRPr="00B02247">
        <w:t>the</w:t>
      </w:r>
      <w:r w:rsidR="005B2A41">
        <w:t xml:space="preserve"> </w:t>
      </w:r>
      <w:r w:rsidR="00F233AB" w:rsidRPr="00B02247">
        <w:t>civil</w:t>
      </w:r>
      <w:r w:rsidR="005B2A41">
        <w:t xml:space="preserve"> </w:t>
      </w:r>
      <w:r w:rsidR="00F233AB" w:rsidRPr="00B02247">
        <w:t>sector</w:t>
      </w:r>
      <w:r w:rsidR="005B2A41">
        <w:t xml:space="preserve"> </w:t>
      </w:r>
      <w:r w:rsidR="00F233AB" w:rsidRPr="00B02247">
        <w:t>in</w:t>
      </w:r>
      <w:r w:rsidR="005B2A41">
        <w:t xml:space="preserve"> </w:t>
      </w:r>
      <w:r w:rsidR="00F233AB" w:rsidRPr="00B02247">
        <w:t>general,</w:t>
      </w:r>
      <w:r w:rsidR="005B2A41">
        <w:t xml:space="preserve"> </w:t>
      </w:r>
      <w:r w:rsidR="00F233AB" w:rsidRPr="00B02247">
        <w:t>as</w:t>
      </w:r>
      <w:r w:rsidR="005B2A41">
        <w:t xml:space="preserve"> </w:t>
      </w:r>
      <w:r w:rsidR="00F233AB" w:rsidRPr="00B02247">
        <w:t>well</w:t>
      </w:r>
      <w:r w:rsidR="005B2A41">
        <w:t xml:space="preserve"> </w:t>
      </w:r>
      <w:r w:rsidR="00F233AB" w:rsidRPr="00B02247">
        <w:t>as</w:t>
      </w:r>
      <w:r w:rsidR="005B2A41">
        <w:t xml:space="preserve"> </w:t>
      </w:r>
      <w:r w:rsidR="00F233AB" w:rsidRPr="00B02247">
        <w:t>of</w:t>
      </w:r>
      <w:r w:rsidR="005B2A41">
        <w:t xml:space="preserve"> </w:t>
      </w:r>
      <w:r w:rsidR="00F233AB" w:rsidRPr="00B02247">
        <w:t>private</w:t>
      </w:r>
      <w:r w:rsidR="005B2A41">
        <w:t xml:space="preserve"> </w:t>
      </w:r>
      <w:r w:rsidR="00F233AB" w:rsidRPr="00B02247">
        <w:t>corporations</w:t>
      </w:r>
      <w:r w:rsidR="005B2A41">
        <w:t xml:space="preserve"> </w:t>
      </w:r>
      <w:r w:rsidR="00F233AB" w:rsidRPr="00B02247">
        <w:t>that</w:t>
      </w:r>
      <w:r w:rsidR="005B2A41">
        <w:t xml:space="preserve"> </w:t>
      </w:r>
      <w:r w:rsidR="00F233AB" w:rsidRPr="00B02247">
        <w:t>engage</w:t>
      </w:r>
      <w:r w:rsidR="005B2A41">
        <w:t xml:space="preserve"> </w:t>
      </w:r>
      <w:r w:rsidR="00F233AB" w:rsidRPr="00B02247">
        <w:t>in</w:t>
      </w:r>
      <w:r w:rsidR="005B2A41">
        <w:t xml:space="preserve"> </w:t>
      </w:r>
      <w:r w:rsidR="00F233AB" w:rsidRPr="00B02247">
        <w:t>postal,</w:t>
      </w:r>
      <w:r w:rsidR="005B2A41">
        <w:t xml:space="preserve"> </w:t>
      </w:r>
      <w:r w:rsidR="00F233AB" w:rsidRPr="00B02247">
        <w:t>telecommunications,</w:t>
      </w:r>
      <w:r w:rsidR="005B2A41">
        <w:t xml:space="preserve"> </w:t>
      </w:r>
      <w:r w:rsidR="00F233AB" w:rsidRPr="00B02247">
        <w:t>or</w:t>
      </w:r>
      <w:r w:rsidR="005B2A41">
        <w:t xml:space="preserve"> </w:t>
      </w:r>
      <w:r w:rsidR="00F233AB" w:rsidRPr="00B02247">
        <w:t>other</w:t>
      </w:r>
      <w:r w:rsidR="005B2A41">
        <w:t xml:space="preserve"> </w:t>
      </w:r>
      <w:r w:rsidR="00F233AB" w:rsidRPr="00B02247">
        <w:t>services</w:t>
      </w:r>
      <w:r w:rsidR="005B2A41">
        <w:t xml:space="preserve"> </w:t>
      </w:r>
      <w:r w:rsidR="00F233AB" w:rsidRPr="00B02247">
        <w:t>concerning</w:t>
      </w:r>
      <w:r w:rsidR="005B2A41">
        <w:t xml:space="preserve"> </w:t>
      </w:r>
      <w:r w:rsidR="00F233AB" w:rsidRPr="00B02247">
        <w:t>networking</w:t>
      </w:r>
      <w:r w:rsidR="005B2A41">
        <w:t xml:space="preserve"> </w:t>
      </w:r>
      <w:r w:rsidR="00F233AB" w:rsidRPr="00B02247">
        <w:t>and</w:t>
      </w:r>
      <w:r w:rsidR="005B2A41">
        <w:t xml:space="preserve"> </w:t>
      </w:r>
      <w:r w:rsidR="00F233AB" w:rsidRPr="00B02247">
        <w:t>communication;</w:t>
      </w:r>
      <w:r w:rsidR="005B2A41">
        <w:t xml:space="preserve"> </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the</w:t>
      </w:r>
      <w:r w:rsidR="005B2A41">
        <w:t xml:space="preserve"> </w:t>
      </w:r>
      <w:r w:rsidR="00F233AB" w:rsidRPr="00B02247">
        <w:t>Supreme</w:t>
      </w:r>
      <w:r w:rsidR="005B2A41">
        <w:t xml:space="preserve"> </w:t>
      </w:r>
      <w:r w:rsidR="00F233AB" w:rsidRPr="00B02247">
        <w:t>Council</w:t>
      </w:r>
      <w:r w:rsidR="005B2A41">
        <w:t xml:space="preserve"> </w:t>
      </w:r>
      <w:r w:rsidR="00F233AB" w:rsidRPr="00B02247">
        <w:t>for</w:t>
      </w:r>
      <w:r w:rsidR="005B2A41">
        <w:t xml:space="preserve"> </w:t>
      </w:r>
      <w:r w:rsidR="00F233AB" w:rsidRPr="00B02247">
        <w:t>the</w:t>
      </w:r>
      <w:r w:rsidR="005B2A41">
        <w:t xml:space="preserve"> </w:t>
      </w:r>
      <w:r w:rsidR="00F233AB" w:rsidRPr="00B02247">
        <w:t>Selection</w:t>
      </w:r>
      <w:r w:rsidR="005B2A41">
        <w:t xml:space="preserve"> </w:t>
      </w:r>
      <w:r w:rsidR="00F233AB" w:rsidRPr="00B02247">
        <w:t>of</w:t>
      </w:r>
      <w:r w:rsidR="005B2A41">
        <w:t xml:space="preserve"> </w:t>
      </w:r>
      <w:r w:rsidR="00F233AB" w:rsidRPr="00B02247">
        <w:t>Staff,</w:t>
      </w:r>
      <w:r w:rsidR="005B2A41">
        <w:t xml:space="preserve"> </w:t>
      </w:r>
      <w:r w:rsidR="00F233AB" w:rsidRPr="00B02247">
        <w:t>which</w:t>
      </w:r>
      <w:r w:rsidR="005B2A41">
        <w:t xml:space="preserve"> </w:t>
      </w:r>
      <w:r w:rsidR="00F233AB" w:rsidRPr="00B02247">
        <w:t>is</w:t>
      </w:r>
      <w:r w:rsidR="005B2A41">
        <w:t xml:space="preserve"> </w:t>
      </w:r>
      <w:r w:rsidR="00F233AB" w:rsidRPr="00B02247">
        <w:t>responsible</w:t>
      </w:r>
      <w:r w:rsidR="005B2A41">
        <w:t xml:space="preserve"> </w:t>
      </w:r>
      <w:r w:rsidR="00F233AB" w:rsidRPr="00B02247">
        <w:t>for</w:t>
      </w:r>
      <w:r w:rsidR="005B2A41">
        <w:t xml:space="preserve"> </w:t>
      </w:r>
      <w:r w:rsidR="00F233AB" w:rsidRPr="00B02247">
        <w:t>securing</w:t>
      </w:r>
      <w:r w:rsidR="005B2A41">
        <w:t xml:space="preserve"> </w:t>
      </w:r>
      <w:r w:rsidR="00F233AB" w:rsidRPr="00B02247">
        <w:t>the</w:t>
      </w:r>
      <w:r w:rsidR="005B2A41">
        <w:t xml:space="preserve"> </w:t>
      </w:r>
      <w:r w:rsidR="00F233AB" w:rsidRPr="00B02247">
        <w:t>implementation</w:t>
      </w:r>
      <w:r w:rsidR="005B2A41">
        <w:t xml:space="preserve"> </w:t>
      </w:r>
      <w:r w:rsidR="00F233AB" w:rsidRPr="00B02247">
        <w:t>of</w:t>
      </w:r>
      <w:r w:rsidR="005B2A41">
        <w:t xml:space="preserve"> </w:t>
      </w:r>
      <w:r w:rsidR="00F233AB" w:rsidRPr="00B02247">
        <w:t>the</w:t>
      </w:r>
      <w:r w:rsidR="005B2A41">
        <w:t xml:space="preserve"> </w:t>
      </w:r>
      <w:r w:rsidR="00F233AB" w:rsidRPr="00B02247">
        <w:t>provisions</w:t>
      </w:r>
      <w:r w:rsidR="005B2A41">
        <w:t xml:space="preserve"> </w:t>
      </w:r>
      <w:r w:rsidR="00F233AB" w:rsidRPr="00B02247">
        <w:t>on</w:t>
      </w:r>
      <w:r w:rsidR="005B2A41">
        <w:t xml:space="preserve"> </w:t>
      </w:r>
      <w:r w:rsidR="00F233AB" w:rsidRPr="00B02247">
        <w:t>public</w:t>
      </w:r>
      <w:r w:rsidR="005B2A41">
        <w:t xml:space="preserve"> </w:t>
      </w:r>
      <w:r w:rsidR="00F233AB" w:rsidRPr="00B02247">
        <w:t>sector</w:t>
      </w:r>
      <w:r w:rsidR="005B2A41">
        <w:t xml:space="preserve"> </w:t>
      </w:r>
      <w:r w:rsidR="00F233AB" w:rsidRPr="00B02247">
        <w:t>staff</w:t>
      </w:r>
      <w:r w:rsidR="005B2A41">
        <w:t xml:space="preserve"> </w:t>
      </w:r>
      <w:r w:rsidR="00F233AB" w:rsidRPr="00B02247">
        <w:t>selection</w:t>
      </w:r>
      <w:r w:rsidR="005B2A41">
        <w:t xml:space="preserve"> </w:t>
      </w:r>
      <w:r w:rsidR="00F233AB" w:rsidRPr="00B02247">
        <w:t>and</w:t>
      </w:r>
      <w:r w:rsidR="005B2A41">
        <w:t xml:space="preserve"> </w:t>
      </w:r>
      <w:r w:rsidR="00F233AB" w:rsidRPr="00B02247">
        <w:t>recruitment</w:t>
      </w:r>
      <w:r w:rsidR="005B2A41">
        <w:t xml:space="preserve"> </w:t>
      </w:r>
      <w:r w:rsidR="00F233AB" w:rsidRPr="00B02247">
        <w:t>in</w:t>
      </w:r>
      <w:r w:rsidR="005B2A41">
        <w:t xml:space="preserve"> </w:t>
      </w:r>
      <w:r w:rsidR="00F233AB" w:rsidRPr="00B02247">
        <w:t>conditions</w:t>
      </w:r>
      <w:r w:rsidR="005B2A41">
        <w:t xml:space="preserve"> </w:t>
      </w:r>
      <w:r w:rsidR="00F233AB" w:rsidRPr="00B02247">
        <w:t>of</w:t>
      </w:r>
      <w:r w:rsidR="005B2A41">
        <w:t xml:space="preserve"> </w:t>
      </w:r>
      <w:r w:rsidR="00F233AB" w:rsidRPr="00B02247">
        <w:t>full</w:t>
      </w:r>
      <w:r w:rsidR="005B2A41">
        <w:t xml:space="preserve"> </w:t>
      </w:r>
      <w:r w:rsidR="00F233AB" w:rsidRPr="00B02247">
        <w:t>transparency,</w:t>
      </w:r>
      <w:r w:rsidR="005B2A41">
        <w:t xml:space="preserve"> </w:t>
      </w:r>
      <w:r w:rsidR="00F233AB" w:rsidRPr="00B02247">
        <w:t>publicity,</w:t>
      </w:r>
      <w:r w:rsidR="005B2A41">
        <w:t xml:space="preserve"> </w:t>
      </w:r>
      <w:r w:rsidR="00F233AB" w:rsidRPr="00B02247">
        <w:t>objectivity</w:t>
      </w:r>
      <w:r w:rsidR="005B2A41">
        <w:t xml:space="preserve"> </w:t>
      </w:r>
      <w:r w:rsidR="00F233AB" w:rsidRPr="00B02247">
        <w:t>and</w:t>
      </w:r>
      <w:r w:rsidR="005B2A41">
        <w:t xml:space="preserve"> </w:t>
      </w:r>
      <w:r w:rsidR="00F233AB" w:rsidRPr="00B02247">
        <w:t>meritocracy.</w:t>
      </w:r>
      <w:r w:rsidR="005B2A41">
        <w:t xml:space="preserve"> </w:t>
      </w:r>
    </w:p>
    <w:p w:rsidR="00F233AB" w:rsidRPr="00B02247" w:rsidRDefault="00F233AB" w:rsidP="00E40C4C">
      <w:pPr>
        <w:pStyle w:val="H4G"/>
      </w:pPr>
      <w:r w:rsidRPr="00B02247">
        <w:tab/>
      </w:r>
      <w:r w:rsidRPr="00B02247">
        <w:tab/>
        <w:t>The</w:t>
      </w:r>
      <w:r w:rsidR="005B2A41">
        <w:t xml:space="preserve"> </w:t>
      </w:r>
      <w:r w:rsidRPr="00B02247">
        <w:t>Greek</w:t>
      </w:r>
      <w:r w:rsidR="005B2A41">
        <w:t xml:space="preserve"> </w:t>
      </w:r>
      <w:r w:rsidRPr="00B02247">
        <w:t>Ombudsman</w:t>
      </w:r>
    </w:p>
    <w:p w:rsidR="00F233AB" w:rsidRPr="00B02247" w:rsidRDefault="00F233AB" w:rsidP="00E1307D">
      <w:pPr>
        <w:pStyle w:val="SingleTxtG"/>
      </w:pPr>
      <w:r w:rsidRPr="00B02247">
        <w:t>97.</w:t>
      </w:r>
      <w:r w:rsidRPr="00B02247">
        <w:tab/>
        <w:t>The</w:t>
      </w:r>
      <w:r w:rsidR="005B2A41">
        <w:t xml:space="preserve"> </w:t>
      </w:r>
      <w:r w:rsidRPr="00B02247">
        <w:t>Greek</w:t>
      </w:r>
      <w:r w:rsidR="005B2A41">
        <w:t xml:space="preserve"> </w:t>
      </w:r>
      <w:r w:rsidRPr="00B02247">
        <w:t>Ombudsman</w:t>
      </w:r>
      <w:r w:rsidR="005B2A41">
        <w:t xml:space="preserve"> </w:t>
      </w:r>
      <w:r w:rsidRPr="00B02247">
        <w:t>mediates</w:t>
      </w:r>
      <w:r w:rsidR="005B2A41">
        <w:t xml:space="preserve"> </w:t>
      </w:r>
      <w:r w:rsidRPr="00B02247">
        <w:t>between</w:t>
      </w:r>
      <w:r w:rsidR="005B2A41">
        <w:t xml:space="preserve"> </w:t>
      </w:r>
      <w:r w:rsidRPr="00B02247">
        <w:t>public</w:t>
      </w:r>
      <w:r w:rsidR="005B2A41">
        <w:t xml:space="preserve"> </w:t>
      </w:r>
      <w:r w:rsidRPr="00B02247">
        <w:t>administration</w:t>
      </w:r>
      <w:r w:rsidR="005B2A41">
        <w:t xml:space="preserve"> </w:t>
      </w:r>
      <w:r w:rsidRPr="00B02247">
        <w:t>and</w:t>
      </w:r>
      <w:r w:rsidR="005B2A41">
        <w:t xml:space="preserve"> </w:t>
      </w:r>
      <w:r w:rsidRPr="00B02247">
        <w:t>citizens</w:t>
      </w:r>
      <w:r w:rsidR="005B2A41">
        <w:t xml:space="preserve"> </w:t>
      </w:r>
      <w:r w:rsidRPr="00B02247">
        <w:t>in</w:t>
      </w:r>
      <w:r w:rsidR="005B2A41">
        <w:t xml:space="preserve"> </w:t>
      </w:r>
      <w:r w:rsidRPr="00B02247">
        <w:t>order</w:t>
      </w:r>
      <w:r w:rsidR="005B2A41">
        <w:t xml:space="preserve"> </w:t>
      </w:r>
      <w:r w:rsidRPr="00B02247">
        <w:t>to</w:t>
      </w:r>
      <w:r w:rsidR="005B2A41">
        <w:t xml:space="preserve"> </w:t>
      </w:r>
      <w:r w:rsidRPr="00B02247">
        <w:t>help</w:t>
      </w:r>
      <w:r w:rsidR="005B2A41">
        <w:t xml:space="preserve"> </w:t>
      </w:r>
      <w:r w:rsidRPr="00B02247">
        <w:t>the</w:t>
      </w:r>
      <w:r w:rsidR="005B2A41">
        <w:t xml:space="preserve"> </w:t>
      </w:r>
      <w:r w:rsidRPr="00B02247">
        <w:t>latter</w:t>
      </w:r>
      <w:r w:rsidR="005B2A41">
        <w:t xml:space="preserve"> </w:t>
      </w:r>
      <w:r w:rsidRPr="00B02247">
        <w:t>in</w:t>
      </w:r>
      <w:r w:rsidR="005B2A41">
        <w:t xml:space="preserve"> </w:t>
      </w:r>
      <w:r w:rsidRPr="00B02247">
        <w:t>exercising</w:t>
      </w:r>
      <w:r w:rsidR="005B2A41">
        <w:t xml:space="preserve"> </w:t>
      </w:r>
      <w:r w:rsidRPr="00B02247">
        <w:t>their</w:t>
      </w:r>
      <w:r w:rsidR="005B2A41">
        <w:t xml:space="preserve"> </w:t>
      </w:r>
      <w:r w:rsidRPr="00B02247">
        <w:t>rights</w:t>
      </w:r>
      <w:r w:rsidR="005B2A41">
        <w:t xml:space="preserve"> </w:t>
      </w:r>
      <w:r w:rsidRPr="00B02247">
        <w:t>effectively.</w:t>
      </w:r>
      <w:r w:rsidR="005B2A41">
        <w:t xml:space="preserve"> </w:t>
      </w:r>
      <w:r w:rsidRPr="00B02247">
        <w:t>In</w:t>
      </w:r>
      <w:r w:rsidR="005B2A41">
        <w:t xml:space="preserve"> </w:t>
      </w:r>
      <w:r w:rsidRPr="00B02247">
        <w:t>addition,</w:t>
      </w:r>
      <w:r w:rsidR="005B2A41">
        <w:t xml:space="preserve"> </w:t>
      </w:r>
      <w:r w:rsidRPr="00B02247">
        <w:t>the</w:t>
      </w:r>
      <w:r w:rsidR="005B2A41">
        <w:t xml:space="preserve"> </w:t>
      </w:r>
      <w:r w:rsidRPr="00B02247">
        <w:t>Greek</w:t>
      </w:r>
      <w:r w:rsidR="005B2A41">
        <w:t xml:space="preserve"> </w:t>
      </w:r>
      <w:r w:rsidRPr="00B02247">
        <w:t>Ombudsman</w:t>
      </w:r>
      <w:r w:rsidR="003E731F">
        <w:t>’</w:t>
      </w:r>
      <w:r w:rsidRPr="00B02247">
        <w:t>s</w:t>
      </w:r>
      <w:r w:rsidR="005B2A41">
        <w:t xml:space="preserve"> </w:t>
      </w:r>
      <w:r w:rsidRPr="00B02247">
        <w:t>mission</w:t>
      </w:r>
      <w:r w:rsidR="005B2A41">
        <w:t xml:space="preserve"> </w:t>
      </w:r>
      <w:r w:rsidRPr="00B02247">
        <w:t>is:</w:t>
      </w:r>
      <w:r w:rsidR="005B2A41">
        <w:t xml:space="preserve"> </w:t>
      </w:r>
      <w:r w:rsidRPr="00B02247">
        <w:t>to</w:t>
      </w:r>
      <w:r w:rsidR="005B2A41">
        <w:t xml:space="preserve"> </w:t>
      </w:r>
      <w:r w:rsidRPr="00B02247">
        <w:t>safeguard</w:t>
      </w:r>
      <w:r w:rsidR="005B2A41">
        <w:t xml:space="preserve"> </w:t>
      </w:r>
      <w:r w:rsidRPr="00B02247">
        <w:t>and</w:t>
      </w:r>
      <w:r w:rsidR="005B2A41">
        <w:t xml:space="preserve"> </w:t>
      </w:r>
      <w:r w:rsidRPr="00B02247">
        <w:t>promote</w:t>
      </w:r>
      <w:r w:rsidR="005B2A41">
        <w:t xml:space="preserve"> </w:t>
      </w:r>
      <w:r w:rsidRPr="00B02247">
        <w:t>children</w:t>
      </w:r>
      <w:r w:rsidR="003E731F">
        <w:t>’</w:t>
      </w:r>
      <w:r w:rsidRPr="00B02247">
        <w:t>s</w:t>
      </w:r>
      <w:r w:rsidR="005B2A41">
        <w:t xml:space="preserve"> </w:t>
      </w:r>
      <w:r w:rsidRPr="00B02247">
        <w:t>rights,</w:t>
      </w:r>
      <w:r w:rsidR="005B2A41">
        <w:t xml:space="preserve"> </w:t>
      </w:r>
      <w:r w:rsidRPr="00B02247">
        <w:t>to</w:t>
      </w:r>
      <w:r w:rsidR="005B2A41">
        <w:t xml:space="preserve"> </w:t>
      </w:r>
      <w:r w:rsidRPr="00B02247">
        <w:t>promote</w:t>
      </w:r>
      <w:r w:rsidR="005B2A41">
        <w:t xml:space="preserve"> </w:t>
      </w:r>
      <w:r w:rsidRPr="00B02247">
        <w:t>equal</w:t>
      </w:r>
      <w:r w:rsidR="005B2A41">
        <w:t xml:space="preserve"> </w:t>
      </w:r>
      <w:r w:rsidRPr="00B02247">
        <w:t>treatment</w:t>
      </w:r>
      <w:r w:rsidR="005B2A41">
        <w:t xml:space="preserve"> </w:t>
      </w:r>
      <w:r w:rsidRPr="00B02247">
        <w:t>and</w:t>
      </w:r>
      <w:r w:rsidR="005B2A41">
        <w:t xml:space="preserve"> </w:t>
      </w:r>
      <w:r w:rsidRPr="00B02247">
        <w:t>fight</w:t>
      </w:r>
      <w:r w:rsidR="005B2A41">
        <w:t xml:space="preserve"> </w:t>
      </w:r>
      <w:r w:rsidRPr="00B02247">
        <w:t>discrimination</w:t>
      </w:r>
      <w:r w:rsidR="005B2A41">
        <w:t xml:space="preserve"> </w:t>
      </w:r>
      <w:r w:rsidRPr="00B02247">
        <w:t>in</w:t>
      </w:r>
      <w:r w:rsidR="005B2A41">
        <w:t xml:space="preserve"> </w:t>
      </w:r>
      <w:r w:rsidRPr="00B02247">
        <w:t>the</w:t>
      </w:r>
      <w:r w:rsidR="005B2A41">
        <w:t xml:space="preserve"> </w:t>
      </w:r>
      <w:r w:rsidRPr="00B02247">
        <w:t>public</w:t>
      </w:r>
      <w:r w:rsidR="005B2A41">
        <w:t xml:space="preserve"> </w:t>
      </w:r>
      <w:r w:rsidRPr="00B02247">
        <w:t>sector</w:t>
      </w:r>
      <w:r w:rsidR="005B2A41">
        <w:t xml:space="preserve"> </w:t>
      </w:r>
      <w:r w:rsidRPr="00B02247">
        <w:t>based</w:t>
      </w:r>
      <w:r w:rsidR="005B2A41">
        <w:t xml:space="preserve"> </w:t>
      </w:r>
      <w:r w:rsidRPr="00B02247">
        <w:t>on</w:t>
      </w:r>
      <w:r w:rsidR="005B2A41">
        <w:t xml:space="preserve"> </w:t>
      </w:r>
      <w:r w:rsidRPr="00B02247">
        <w:t>race,</w:t>
      </w:r>
      <w:r w:rsidR="005B2A41">
        <w:t xml:space="preserve"> </w:t>
      </w:r>
      <w:r w:rsidRPr="00B02247">
        <w:t>ethnicity,</w:t>
      </w:r>
      <w:r w:rsidR="005B2A41">
        <w:t xml:space="preserve"> </w:t>
      </w:r>
      <w:r w:rsidRPr="00B02247">
        <w:t>religious</w:t>
      </w:r>
      <w:r w:rsidR="005B2A41">
        <w:t xml:space="preserve"> </w:t>
      </w:r>
      <w:r w:rsidRPr="00B02247">
        <w:t>or</w:t>
      </w:r>
      <w:r w:rsidR="005B2A41">
        <w:t xml:space="preserve"> </w:t>
      </w:r>
      <w:r w:rsidRPr="00B02247">
        <w:t>other</w:t>
      </w:r>
      <w:r w:rsidR="005B2A41">
        <w:t xml:space="preserve"> </w:t>
      </w:r>
      <w:r w:rsidRPr="00B02247">
        <w:t>conviction,</w:t>
      </w:r>
      <w:r w:rsidR="005B2A41">
        <w:t xml:space="preserve"> </w:t>
      </w:r>
      <w:r w:rsidRPr="00B02247">
        <w:t>disability,</w:t>
      </w:r>
      <w:r w:rsidR="005B2A41">
        <w:t xml:space="preserve"> </w:t>
      </w:r>
      <w:r w:rsidRPr="00B02247">
        <w:t>age</w:t>
      </w:r>
      <w:r w:rsidR="005B2A41">
        <w:t xml:space="preserve"> </w:t>
      </w:r>
      <w:r w:rsidRPr="00B02247">
        <w:t>or</w:t>
      </w:r>
      <w:r w:rsidR="005B2A41">
        <w:t xml:space="preserve"> </w:t>
      </w:r>
      <w:r w:rsidRPr="00B02247">
        <w:t>sexual</w:t>
      </w:r>
      <w:r w:rsidR="005B2A41">
        <w:t xml:space="preserve"> </w:t>
      </w:r>
      <w:r w:rsidRPr="00B02247">
        <w:t>orientation,</w:t>
      </w:r>
      <w:r w:rsidR="005B2A41">
        <w:t xml:space="preserve"> </w:t>
      </w:r>
      <w:r w:rsidRPr="00B02247">
        <w:t>to</w:t>
      </w:r>
      <w:r w:rsidR="005B2A41">
        <w:t xml:space="preserve"> </w:t>
      </w:r>
      <w:r w:rsidRPr="00B02247">
        <w:t>monitor</w:t>
      </w:r>
      <w:r w:rsidR="005B2A41">
        <w:t xml:space="preserve"> </w:t>
      </w:r>
      <w:r w:rsidRPr="00B02247">
        <w:t>and</w:t>
      </w:r>
      <w:r w:rsidR="005B2A41">
        <w:t xml:space="preserve"> </w:t>
      </w:r>
      <w:r w:rsidRPr="00B02247">
        <w:t>promote</w:t>
      </w:r>
      <w:r w:rsidR="005B2A41">
        <w:t xml:space="preserve"> </w:t>
      </w:r>
      <w:r w:rsidRPr="00B02247">
        <w:t>the</w:t>
      </w:r>
      <w:r w:rsidR="005B2A41">
        <w:t xml:space="preserve"> </w:t>
      </w:r>
      <w:r w:rsidRPr="00B02247">
        <w:t>application</w:t>
      </w:r>
      <w:r w:rsidR="005B2A41">
        <w:t xml:space="preserve"> </w:t>
      </w:r>
      <w:r w:rsidRPr="00B02247">
        <w:t>of</w:t>
      </w:r>
      <w:r w:rsidR="005B2A41">
        <w:t xml:space="preserve"> </w:t>
      </w:r>
      <w:r w:rsidRPr="00B02247">
        <w:t>equal</w:t>
      </w:r>
      <w:r w:rsidR="005B2A41">
        <w:t xml:space="preserve"> </w:t>
      </w:r>
      <w:r w:rsidRPr="00B02247">
        <w:t>opportunities</w:t>
      </w:r>
      <w:r w:rsidR="005B2A41">
        <w:t xml:space="preserve"> </w:t>
      </w:r>
      <w:r w:rsidRPr="00B02247">
        <w:t>and</w:t>
      </w:r>
      <w:r w:rsidR="005B2A41">
        <w:t xml:space="preserve"> </w:t>
      </w:r>
      <w:r w:rsidRPr="00B02247">
        <w:t>equal</w:t>
      </w:r>
      <w:r w:rsidR="005B2A41">
        <w:t xml:space="preserve"> </w:t>
      </w:r>
      <w:r w:rsidRPr="00B02247">
        <w:t>treatment</w:t>
      </w:r>
      <w:r w:rsidR="005B2A41">
        <w:t xml:space="preserve"> </w:t>
      </w:r>
      <w:r w:rsidRPr="00B02247">
        <w:t>of</w:t>
      </w:r>
      <w:r w:rsidR="005B2A41">
        <w:t xml:space="preserve"> </w:t>
      </w:r>
      <w:r w:rsidRPr="00B02247">
        <w:t>men</w:t>
      </w:r>
      <w:r w:rsidR="005B2A41">
        <w:t xml:space="preserve"> </w:t>
      </w:r>
      <w:r w:rsidRPr="00B02247">
        <w:t>and</w:t>
      </w:r>
      <w:r w:rsidR="005B2A41">
        <w:t xml:space="preserve"> </w:t>
      </w:r>
      <w:r w:rsidRPr="00B02247">
        <w:t>women</w:t>
      </w:r>
      <w:r w:rsidR="005B2A41">
        <w:t xml:space="preserve"> </w:t>
      </w:r>
      <w:r w:rsidRPr="00B02247">
        <w:t>in</w:t>
      </w:r>
      <w:r w:rsidR="005B2A41">
        <w:t xml:space="preserve"> </w:t>
      </w:r>
      <w:r w:rsidRPr="00B02247">
        <w:t>matters</w:t>
      </w:r>
      <w:r w:rsidR="005B2A41">
        <w:t xml:space="preserve"> </w:t>
      </w:r>
      <w:r w:rsidRPr="00B02247">
        <w:t>of</w:t>
      </w:r>
      <w:r w:rsidR="005B2A41">
        <w:t xml:space="preserve"> </w:t>
      </w:r>
      <w:r w:rsidRPr="00B02247">
        <w:t>employment,</w:t>
      </w:r>
      <w:r w:rsidR="005B2A41">
        <w:t xml:space="preserve"> </w:t>
      </w:r>
      <w:r w:rsidRPr="00B02247">
        <w:t>both</w:t>
      </w:r>
      <w:r w:rsidR="005B2A41">
        <w:t xml:space="preserve"> </w:t>
      </w:r>
      <w:r w:rsidRPr="00B02247">
        <w:t>in</w:t>
      </w:r>
      <w:r w:rsidR="005B2A41">
        <w:t xml:space="preserve"> </w:t>
      </w:r>
      <w:r w:rsidRPr="00B02247">
        <w:t>the</w:t>
      </w:r>
      <w:r w:rsidR="005B2A41">
        <w:t xml:space="preserve"> </w:t>
      </w:r>
      <w:r w:rsidRPr="00B02247">
        <w:t>public</w:t>
      </w:r>
      <w:r w:rsidR="005B2A41">
        <w:t xml:space="preserve"> </w:t>
      </w:r>
      <w:r w:rsidRPr="00B02247">
        <w:t>and</w:t>
      </w:r>
      <w:r w:rsidR="005B2A41">
        <w:t xml:space="preserve"> </w:t>
      </w:r>
      <w:r w:rsidRPr="00B02247">
        <w:t>the</w:t>
      </w:r>
      <w:r w:rsidR="005B2A41">
        <w:t xml:space="preserve"> </w:t>
      </w:r>
      <w:r w:rsidRPr="00B02247">
        <w:t>private</w:t>
      </w:r>
      <w:r w:rsidR="005B2A41">
        <w:t xml:space="preserve"> </w:t>
      </w:r>
      <w:r w:rsidRPr="00B02247">
        <w:t>sector,</w:t>
      </w:r>
      <w:r w:rsidR="005B2A41">
        <w:t xml:space="preserve"> </w:t>
      </w:r>
      <w:r w:rsidRPr="00B02247">
        <w:t>and</w:t>
      </w:r>
      <w:r w:rsidR="005B2A41">
        <w:t xml:space="preserve"> </w:t>
      </w:r>
      <w:r w:rsidRPr="00B02247">
        <w:t>access</w:t>
      </w:r>
      <w:r w:rsidR="005B2A41">
        <w:t xml:space="preserve"> </w:t>
      </w:r>
      <w:r w:rsidRPr="00B02247">
        <w:t>to</w:t>
      </w:r>
      <w:r w:rsidR="005B2A41">
        <w:t xml:space="preserve"> </w:t>
      </w:r>
      <w:r w:rsidRPr="00B02247">
        <w:t>goods</w:t>
      </w:r>
      <w:r w:rsidR="005B2A41">
        <w:t xml:space="preserve"> </w:t>
      </w:r>
      <w:r w:rsidRPr="00B02247">
        <w:t>and</w:t>
      </w:r>
      <w:r w:rsidR="005B2A41">
        <w:t xml:space="preserve"> </w:t>
      </w:r>
      <w:r w:rsidRPr="00B02247">
        <w:t>services</w:t>
      </w:r>
      <w:r w:rsidR="005B2A41">
        <w:t xml:space="preserve"> </w:t>
      </w:r>
      <w:r w:rsidRPr="00B02247">
        <w:t>of</w:t>
      </w:r>
      <w:r w:rsidR="005B2A41">
        <w:t xml:space="preserve"> </w:t>
      </w:r>
      <w:r w:rsidRPr="00B02247">
        <w:t>the</w:t>
      </w:r>
      <w:r w:rsidR="005B2A41">
        <w:t xml:space="preserve"> </w:t>
      </w:r>
      <w:r w:rsidRPr="00B02247">
        <w:t>public</w:t>
      </w:r>
      <w:r w:rsidR="005B2A41">
        <w:t xml:space="preserve"> </w:t>
      </w:r>
      <w:r w:rsidRPr="00B02247">
        <w:t>sector.</w:t>
      </w:r>
      <w:r w:rsidR="005B2A41">
        <w:t xml:space="preserve"> </w:t>
      </w:r>
    </w:p>
    <w:p w:rsidR="00F233AB" w:rsidRPr="00B02247" w:rsidRDefault="00F233AB" w:rsidP="00E1307D">
      <w:pPr>
        <w:pStyle w:val="SingleTxtG"/>
      </w:pPr>
      <w:r w:rsidRPr="00B02247">
        <w:t>98.</w:t>
      </w:r>
      <w:r w:rsidRPr="00B02247">
        <w:tab/>
        <w:t>As</w:t>
      </w:r>
      <w:r w:rsidR="005B2A41">
        <w:t xml:space="preserve"> </w:t>
      </w:r>
      <w:r w:rsidRPr="00B02247">
        <w:t>a</w:t>
      </w:r>
      <w:r w:rsidR="005B2A41">
        <w:t xml:space="preserve"> </w:t>
      </w:r>
      <w:r w:rsidRPr="00B02247">
        <w:t>mediator,</w:t>
      </w:r>
      <w:r w:rsidR="005B2A41">
        <w:t xml:space="preserve"> </w:t>
      </w:r>
      <w:r w:rsidRPr="00B02247">
        <w:t>the</w:t>
      </w:r>
      <w:r w:rsidR="005B2A41">
        <w:t xml:space="preserve"> </w:t>
      </w:r>
      <w:r w:rsidRPr="00B02247">
        <w:t>Greek</w:t>
      </w:r>
      <w:r w:rsidR="005B2A41">
        <w:t xml:space="preserve"> </w:t>
      </w:r>
      <w:r w:rsidRPr="00B02247">
        <w:t>Ombudsman</w:t>
      </w:r>
      <w:r w:rsidR="005B2A41">
        <w:t xml:space="preserve"> </w:t>
      </w:r>
      <w:r w:rsidRPr="00B02247">
        <w:t>makes</w:t>
      </w:r>
      <w:r w:rsidR="005B2A41">
        <w:t xml:space="preserve"> </w:t>
      </w:r>
      <w:r w:rsidRPr="00B02247">
        <w:t>recommendations</w:t>
      </w:r>
      <w:r w:rsidR="005B2A41">
        <w:t xml:space="preserve"> </w:t>
      </w:r>
      <w:r w:rsidRPr="00B02247">
        <w:t>and</w:t>
      </w:r>
      <w:r w:rsidR="005B2A41">
        <w:t xml:space="preserve"> </w:t>
      </w:r>
      <w:r w:rsidRPr="00B02247">
        <w:t>proposals</w:t>
      </w:r>
      <w:r w:rsidR="005B2A41">
        <w:t xml:space="preserve"> </w:t>
      </w:r>
      <w:r w:rsidRPr="00B02247">
        <w:t>to</w:t>
      </w:r>
      <w:r w:rsidR="005B2A41">
        <w:t xml:space="preserve"> </w:t>
      </w:r>
      <w:r w:rsidRPr="00B02247">
        <w:t>the</w:t>
      </w:r>
      <w:r w:rsidR="005B2A41">
        <w:t xml:space="preserve"> </w:t>
      </w:r>
      <w:r w:rsidRPr="00B02247">
        <w:t>public</w:t>
      </w:r>
      <w:r w:rsidR="005B2A41">
        <w:t xml:space="preserve"> </w:t>
      </w:r>
      <w:r w:rsidRPr="00B02247">
        <w:t>administration</w:t>
      </w:r>
      <w:r w:rsidR="005B2A41">
        <w:t xml:space="preserve"> </w:t>
      </w:r>
      <w:r w:rsidRPr="00B02247">
        <w:t>but</w:t>
      </w:r>
      <w:r w:rsidR="005B2A41">
        <w:t xml:space="preserve"> </w:t>
      </w:r>
      <w:r w:rsidRPr="00B02247">
        <w:t>does</w:t>
      </w:r>
      <w:r w:rsidR="005B2A41">
        <w:t xml:space="preserve"> </w:t>
      </w:r>
      <w:r w:rsidRPr="00B02247">
        <w:t>not</w:t>
      </w:r>
      <w:r w:rsidR="005B2A41">
        <w:t xml:space="preserve"> </w:t>
      </w:r>
      <w:r w:rsidRPr="00B02247">
        <w:t>have</w:t>
      </w:r>
      <w:r w:rsidR="005B2A41">
        <w:t xml:space="preserve"> </w:t>
      </w:r>
      <w:r w:rsidRPr="00B02247">
        <w:t>the</w:t>
      </w:r>
      <w:r w:rsidR="005B2A41">
        <w:t xml:space="preserve"> </w:t>
      </w:r>
      <w:r w:rsidRPr="00B02247">
        <w:t>power</w:t>
      </w:r>
      <w:r w:rsidR="005B2A41">
        <w:t xml:space="preserve"> </w:t>
      </w:r>
      <w:r w:rsidRPr="00B02247">
        <w:t>to</w:t>
      </w:r>
      <w:r w:rsidR="005B2A41">
        <w:t xml:space="preserve"> </w:t>
      </w:r>
      <w:r w:rsidRPr="00B02247">
        <w:t>impose</w:t>
      </w:r>
      <w:r w:rsidR="005B2A41">
        <w:t xml:space="preserve"> </w:t>
      </w:r>
      <w:r w:rsidRPr="00B02247">
        <w:t>sanctions</w:t>
      </w:r>
      <w:r w:rsidR="005B2A41">
        <w:t xml:space="preserve"> </w:t>
      </w:r>
      <w:r w:rsidRPr="00B02247">
        <w:t>or</w:t>
      </w:r>
      <w:r w:rsidR="005B2A41">
        <w:t xml:space="preserve"> </w:t>
      </w:r>
      <w:r w:rsidRPr="00B02247">
        <w:t>annul</w:t>
      </w:r>
      <w:r w:rsidR="005B2A41">
        <w:t xml:space="preserve"> </w:t>
      </w:r>
      <w:r w:rsidRPr="00B02247">
        <w:t>illegal</w:t>
      </w:r>
      <w:r w:rsidR="005B2A41">
        <w:t xml:space="preserve"> </w:t>
      </w:r>
      <w:r w:rsidRPr="00B02247">
        <w:t>administrative</w:t>
      </w:r>
      <w:r w:rsidR="005B2A41">
        <w:t xml:space="preserve"> </w:t>
      </w:r>
      <w:r w:rsidRPr="00B02247">
        <w:t>acts.</w:t>
      </w:r>
      <w:r w:rsidR="005B2A41">
        <w:t xml:space="preserve"> </w:t>
      </w:r>
    </w:p>
    <w:p w:rsidR="00F233AB" w:rsidRPr="00B02247" w:rsidRDefault="00F233AB" w:rsidP="00E1307D">
      <w:pPr>
        <w:pStyle w:val="SingleTxtG"/>
      </w:pPr>
      <w:r w:rsidRPr="00B02247">
        <w:t>99.</w:t>
      </w:r>
      <w:r w:rsidRPr="00B02247">
        <w:tab/>
        <w:t>The</w:t>
      </w:r>
      <w:r w:rsidR="005B2A41">
        <w:t xml:space="preserve"> </w:t>
      </w:r>
      <w:r w:rsidRPr="00B02247">
        <w:t>Office</w:t>
      </w:r>
      <w:r w:rsidR="005B2A41">
        <w:t xml:space="preserve"> </w:t>
      </w:r>
      <w:r w:rsidRPr="00B02247">
        <w:t>of</w:t>
      </w:r>
      <w:r w:rsidR="005B2A41">
        <w:t xml:space="preserve"> </w:t>
      </w:r>
      <w:r w:rsidRPr="00B02247">
        <w:t>the</w:t>
      </w:r>
      <w:r w:rsidR="005B2A41">
        <w:t xml:space="preserve"> </w:t>
      </w:r>
      <w:r w:rsidRPr="00B02247">
        <w:t>Ombudsman</w:t>
      </w:r>
      <w:r w:rsidR="005B2A41">
        <w:t xml:space="preserve"> </w:t>
      </w:r>
      <w:r w:rsidRPr="00B02247">
        <w:t>currently</w:t>
      </w:r>
      <w:r w:rsidR="005B2A41">
        <w:t xml:space="preserve"> </w:t>
      </w:r>
      <w:r w:rsidRPr="00B02247">
        <w:t>comprises</w:t>
      </w:r>
      <w:r w:rsidR="005B2A41">
        <w:t xml:space="preserve"> </w:t>
      </w:r>
      <w:r w:rsidRPr="00B02247">
        <w:t>the</w:t>
      </w:r>
      <w:r w:rsidR="005B2A41">
        <w:t xml:space="preserve"> </w:t>
      </w:r>
      <w:r w:rsidRPr="00B02247">
        <w:t>following</w:t>
      </w:r>
      <w:r w:rsidR="005B2A41">
        <w:t xml:space="preserve"> </w:t>
      </w:r>
      <w:r w:rsidRPr="00B02247">
        <w:t>Departments:</w:t>
      </w:r>
      <w:r w:rsidR="005B2A41">
        <w:t xml:space="preserve"> </w:t>
      </w:r>
      <w:r w:rsidRPr="00B02247">
        <w:t>human</w:t>
      </w:r>
      <w:r w:rsidR="005B2A41">
        <w:t xml:space="preserve"> </w:t>
      </w:r>
      <w:r w:rsidRPr="00B02247">
        <w:t>rights;</w:t>
      </w:r>
      <w:r w:rsidR="005B2A41">
        <w:t xml:space="preserve"> </w:t>
      </w:r>
      <w:r w:rsidRPr="00B02247">
        <w:t>social</w:t>
      </w:r>
      <w:r w:rsidR="005B2A41">
        <w:t xml:space="preserve"> </w:t>
      </w:r>
      <w:r w:rsidRPr="00B02247">
        <w:t>protection,</w:t>
      </w:r>
      <w:r w:rsidR="005B2A41">
        <w:t xml:space="preserve"> </w:t>
      </w:r>
      <w:r w:rsidRPr="00B02247">
        <w:t>health</w:t>
      </w:r>
      <w:r w:rsidR="005B2A41">
        <w:t xml:space="preserve"> </w:t>
      </w:r>
      <w:r w:rsidRPr="00B02247">
        <w:t>and</w:t>
      </w:r>
      <w:r w:rsidR="005B2A41">
        <w:t xml:space="preserve"> </w:t>
      </w:r>
      <w:r w:rsidRPr="00B02247">
        <w:t>welfare;</w:t>
      </w:r>
      <w:r w:rsidR="005B2A41">
        <w:t xml:space="preserve"> </w:t>
      </w:r>
      <w:r w:rsidRPr="00B02247">
        <w:t>quality</w:t>
      </w:r>
      <w:r w:rsidR="005B2A41">
        <w:t xml:space="preserve"> </w:t>
      </w:r>
      <w:r w:rsidRPr="00B02247">
        <w:t>of</w:t>
      </w:r>
      <w:r w:rsidR="005B2A41">
        <w:t xml:space="preserve"> </w:t>
      </w:r>
      <w:r w:rsidRPr="00B02247">
        <w:t>life;</w:t>
      </w:r>
      <w:r w:rsidR="005B2A41">
        <w:t xml:space="preserve"> </w:t>
      </w:r>
      <w:r w:rsidRPr="00B02247">
        <w:t>State-Citizen</w:t>
      </w:r>
      <w:r w:rsidR="005B2A41">
        <w:t xml:space="preserve"> </w:t>
      </w:r>
      <w:r w:rsidRPr="00B02247">
        <w:t>relations;</w:t>
      </w:r>
      <w:r w:rsidR="005B2A41">
        <w:t xml:space="preserve"> </w:t>
      </w:r>
      <w:r w:rsidRPr="00B02247">
        <w:t>children</w:t>
      </w:r>
      <w:r w:rsidR="003E731F">
        <w:t>’</w:t>
      </w:r>
      <w:r w:rsidRPr="00B02247">
        <w:t>s</w:t>
      </w:r>
      <w:r w:rsidR="005B2A41">
        <w:t xml:space="preserve"> </w:t>
      </w:r>
      <w:r w:rsidRPr="00B02247">
        <w:t>rights;</w:t>
      </w:r>
      <w:r w:rsidR="005B2A41">
        <w:t xml:space="preserve"> </w:t>
      </w:r>
      <w:r w:rsidRPr="00B02247">
        <w:t>gender</w:t>
      </w:r>
      <w:r w:rsidR="005B2A41">
        <w:t xml:space="preserve"> </w:t>
      </w:r>
      <w:r w:rsidRPr="00B02247">
        <w:t>equality.</w:t>
      </w:r>
      <w:r w:rsidR="005B2A41">
        <w:t xml:space="preserve"> </w:t>
      </w:r>
    </w:p>
    <w:p w:rsidR="00F233AB" w:rsidRPr="00B02247" w:rsidRDefault="00F233AB" w:rsidP="00E1307D">
      <w:pPr>
        <w:pStyle w:val="SingleTxtG"/>
      </w:pPr>
      <w:r w:rsidRPr="00B02247">
        <w:t>100.</w:t>
      </w:r>
      <w:r w:rsidRPr="00B02247">
        <w:tab/>
        <w:t>Over</w:t>
      </w:r>
      <w:r w:rsidR="005B2A41">
        <w:t xml:space="preserve"> </w:t>
      </w:r>
      <w:r w:rsidRPr="00B02247">
        <w:t>the</w:t>
      </w:r>
      <w:r w:rsidR="005B2A41">
        <w:t xml:space="preserve"> </w:t>
      </w:r>
      <w:r w:rsidRPr="00B02247">
        <w:t>years,</w:t>
      </w:r>
      <w:r w:rsidR="005B2A41">
        <w:t xml:space="preserve"> </w:t>
      </w:r>
      <w:r w:rsidRPr="00B02247">
        <w:t>the</w:t>
      </w:r>
      <w:r w:rsidR="005B2A41">
        <w:t xml:space="preserve"> </w:t>
      </w:r>
      <w:r w:rsidRPr="00B02247">
        <w:t>Greek</w:t>
      </w:r>
      <w:r w:rsidR="005B2A41">
        <w:t xml:space="preserve"> </w:t>
      </w:r>
      <w:r w:rsidRPr="00B02247">
        <w:t>Ombudsman</w:t>
      </w:r>
      <w:r w:rsidR="005B2A41">
        <w:t xml:space="preserve"> </w:t>
      </w:r>
      <w:r w:rsidRPr="00B02247">
        <w:t>has</w:t>
      </w:r>
      <w:r w:rsidR="005B2A41">
        <w:t xml:space="preserve"> </w:t>
      </w:r>
      <w:r w:rsidRPr="00B02247">
        <w:t>assumed</w:t>
      </w:r>
      <w:r w:rsidR="005B2A41">
        <w:t xml:space="preserve"> </w:t>
      </w:r>
      <w:r w:rsidRPr="00B02247">
        <w:t>new</w:t>
      </w:r>
      <w:r w:rsidR="005B2A41">
        <w:t xml:space="preserve"> </w:t>
      </w:r>
      <w:r w:rsidRPr="00B02247">
        <w:t>responsibilities.</w:t>
      </w:r>
      <w:r w:rsidR="005B2A41">
        <w:t xml:space="preserve"> </w:t>
      </w:r>
      <w:r w:rsidRPr="00B02247">
        <w:t>Since</w:t>
      </w:r>
      <w:r w:rsidR="005B2A41">
        <w:t xml:space="preserve"> </w:t>
      </w:r>
      <w:r w:rsidRPr="00B02247">
        <w:t>2005,</w:t>
      </w:r>
      <w:r w:rsidR="005B2A41">
        <w:t xml:space="preserve"> </w:t>
      </w:r>
      <w:r w:rsidRPr="00B02247">
        <w:t>the</w:t>
      </w:r>
      <w:r w:rsidR="005B2A41">
        <w:t xml:space="preserve"> </w:t>
      </w:r>
      <w:r w:rsidRPr="00B02247">
        <w:t>Ombudsman</w:t>
      </w:r>
      <w:r w:rsidR="005B2A41">
        <w:t xml:space="preserve"> </w:t>
      </w:r>
      <w:r w:rsidRPr="00B02247">
        <w:t>operates</w:t>
      </w:r>
      <w:r w:rsidR="005B2A41">
        <w:t xml:space="preserve"> </w:t>
      </w:r>
      <w:r w:rsidRPr="00B02247">
        <w:t>as</w:t>
      </w:r>
      <w:r w:rsidR="005B2A41">
        <w:t xml:space="preserve"> </w:t>
      </w:r>
      <w:r w:rsidRPr="00B02247">
        <w:t>one</w:t>
      </w:r>
      <w:r w:rsidR="005B2A41">
        <w:t xml:space="preserve"> </w:t>
      </w:r>
      <w:r w:rsidRPr="00B02247">
        <w:t>of</w:t>
      </w:r>
      <w:r w:rsidR="005B2A41">
        <w:t xml:space="preserve"> </w:t>
      </w:r>
      <w:r w:rsidRPr="00B02247">
        <w:t>the</w:t>
      </w:r>
      <w:r w:rsidR="005B2A41">
        <w:t xml:space="preserve"> </w:t>
      </w:r>
      <w:r w:rsidRPr="00B02247">
        <w:t>equal</w:t>
      </w:r>
      <w:r w:rsidR="005B2A41">
        <w:t xml:space="preserve"> </w:t>
      </w:r>
      <w:r w:rsidRPr="00B02247">
        <w:t>treatment</w:t>
      </w:r>
      <w:r w:rsidR="005B2A41">
        <w:t xml:space="preserve"> </w:t>
      </w:r>
      <w:r w:rsidRPr="00B02247">
        <w:t>bodies</w:t>
      </w:r>
      <w:r w:rsidR="005B2A41">
        <w:t xml:space="preserve"> </w:t>
      </w:r>
      <w:r w:rsidRPr="00B02247">
        <w:t>responsible</w:t>
      </w:r>
      <w:r w:rsidR="005B2A41">
        <w:t xml:space="preserve"> </w:t>
      </w:r>
      <w:r w:rsidRPr="00B02247">
        <w:t>for</w:t>
      </w:r>
      <w:r w:rsidR="005B2A41">
        <w:t xml:space="preserve"> </w:t>
      </w:r>
      <w:r w:rsidRPr="00B02247">
        <w:t>the</w:t>
      </w:r>
      <w:r w:rsidR="005B2A41">
        <w:t xml:space="preserve"> </w:t>
      </w:r>
      <w:r w:rsidRPr="00B02247">
        <w:t>implementation</w:t>
      </w:r>
      <w:r w:rsidR="005B2A41">
        <w:t xml:space="preserve"> </w:t>
      </w:r>
      <w:r w:rsidRPr="00B02247">
        <w:t>of</w:t>
      </w:r>
      <w:r w:rsidR="005B2A41">
        <w:t xml:space="preserve"> </w:t>
      </w:r>
      <w:r w:rsidRPr="00B02247">
        <w:t>the</w:t>
      </w:r>
      <w:r w:rsidR="005B2A41">
        <w:t xml:space="preserve"> </w:t>
      </w:r>
      <w:r w:rsidRPr="00B02247">
        <w:t>legislation</w:t>
      </w:r>
      <w:r w:rsidR="005B2A41">
        <w:t xml:space="preserve"> </w:t>
      </w:r>
      <w:r w:rsidRPr="00B02247">
        <w:t>on</w:t>
      </w:r>
      <w:r w:rsidR="005B2A41">
        <w:t xml:space="preserve"> </w:t>
      </w:r>
      <w:r w:rsidRPr="00B02247">
        <w:t>the</w:t>
      </w:r>
      <w:r w:rsidR="005B2A41">
        <w:t xml:space="preserve"> </w:t>
      </w:r>
      <w:r w:rsidRPr="00B02247">
        <w:t>application</w:t>
      </w:r>
      <w:r w:rsidR="005B2A41">
        <w:t xml:space="preserve"> </w:t>
      </w:r>
      <w:r w:rsidRPr="00B02247">
        <w:t>of</w:t>
      </w:r>
      <w:r w:rsidR="005B2A41">
        <w:t xml:space="preserve"> </w:t>
      </w:r>
      <w:r w:rsidRPr="00B02247">
        <w:t>the</w:t>
      </w:r>
      <w:r w:rsidR="005B2A41">
        <w:t xml:space="preserve"> </w:t>
      </w:r>
      <w:r w:rsidRPr="00B02247">
        <w:t>principle</w:t>
      </w:r>
      <w:r w:rsidR="005B2A41">
        <w:t xml:space="preserve"> </w:t>
      </w:r>
      <w:r w:rsidRPr="00B02247">
        <w:t>of</w:t>
      </w:r>
      <w:r w:rsidR="005B2A41">
        <w:t xml:space="preserve"> </w:t>
      </w:r>
      <w:r w:rsidRPr="00B02247">
        <w:t>equal</w:t>
      </w:r>
      <w:r w:rsidR="005B2A41">
        <w:t xml:space="preserve"> </w:t>
      </w:r>
      <w:r w:rsidRPr="00B02247">
        <w:t>treatment</w:t>
      </w:r>
      <w:r w:rsidR="005B2A41">
        <w:t xml:space="preserve"> </w:t>
      </w:r>
      <w:r w:rsidRPr="00B02247">
        <w:t>regardless</w:t>
      </w:r>
      <w:r w:rsidR="005B2A41">
        <w:t xml:space="preserve"> </w:t>
      </w:r>
      <w:r w:rsidRPr="00B02247">
        <w:t>of</w:t>
      </w:r>
      <w:r w:rsidR="005B2A41">
        <w:t xml:space="preserve"> </w:t>
      </w:r>
      <w:r w:rsidRPr="00B02247">
        <w:t>ethnic</w:t>
      </w:r>
      <w:r w:rsidR="005B2A41">
        <w:t xml:space="preserve"> </w:t>
      </w:r>
      <w:r w:rsidRPr="00B02247">
        <w:t>origin,</w:t>
      </w:r>
      <w:r w:rsidR="005B2A41">
        <w:t xml:space="preserve"> </w:t>
      </w:r>
      <w:r w:rsidRPr="00B02247">
        <w:t>religious</w:t>
      </w:r>
      <w:r w:rsidR="005B2A41">
        <w:t xml:space="preserve"> </w:t>
      </w:r>
      <w:r w:rsidRPr="00B02247">
        <w:t>or</w:t>
      </w:r>
      <w:r w:rsidR="005B2A41">
        <w:t xml:space="preserve"> </w:t>
      </w:r>
      <w:r w:rsidRPr="00B02247">
        <w:t>other</w:t>
      </w:r>
      <w:r w:rsidR="005B2A41">
        <w:t xml:space="preserve"> </w:t>
      </w:r>
      <w:r w:rsidRPr="00B02247">
        <w:t>convictions,</w:t>
      </w:r>
      <w:r w:rsidR="005B2A41">
        <w:t xml:space="preserve"> </w:t>
      </w:r>
      <w:r w:rsidRPr="00B02247">
        <w:t>disability,</w:t>
      </w:r>
      <w:r w:rsidR="005B2A41">
        <w:t xml:space="preserve"> </w:t>
      </w:r>
      <w:r w:rsidRPr="00B02247">
        <w:t>age</w:t>
      </w:r>
      <w:r w:rsidR="005B2A41">
        <w:t xml:space="preserve"> </w:t>
      </w:r>
      <w:r w:rsidRPr="00B02247">
        <w:t>or</w:t>
      </w:r>
      <w:r w:rsidR="005B2A41">
        <w:t xml:space="preserve"> </w:t>
      </w:r>
      <w:r w:rsidRPr="00B02247">
        <w:t>sexual</w:t>
      </w:r>
      <w:r w:rsidR="005B2A41">
        <w:t xml:space="preserve"> </w:t>
      </w:r>
      <w:r w:rsidRPr="00B02247">
        <w:t>orientation</w:t>
      </w:r>
      <w:r w:rsidR="005B2A41">
        <w:t xml:space="preserve"> </w:t>
      </w:r>
      <w:r w:rsidRPr="00B02247">
        <w:t>by</w:t>
      </w:r>
      <w:r w:rsidR="005B2A41">
        <w:t xml:space="preserve"> </w:t>
      </w:r>
      <w:r w:rsidRPr="00B02247">
        <w:t>public</w:t>
      </w:r>
      <w:r w:rsidR="005B2A41">
        <w:t xml:space="preserve"> </w:t>
      </w:r>
      <w:r w:rsidRPr="00B02247">
        <w:t>administration</w:t>
      </w:r>
      <w:r w:rsidR="005B2A41">
        <w:t xml:space="preserve"> </w:t>
      </w:r>
      <w:r w:rsidRPr="00B02247">
        <w:t>services.</w:t>
      </w:r>
      <w:r w:rsidR="005B2A41">
        <w:t xml:space="preserve"> </w:t>
      </w:r>
      <w:r w:rsidRPr="00B02247">
        <w:t>The</w:t>
      </w:r>
      <w:r w:rsidR="005B2A41">
        <w:t xml:space="preserve"> </w:t>
      </w:r>
      <w:r w:rsidRPr="00B02247">
        <w:t>responsibilities</w:t>
      </w:r>
      <w:r w:rsidR="005B2A41">
        <w:t xml:space="preserve"> </w:t>
      </w:r>
      <w:r w:rsidRPr="00B02247">
        <w:t>of</w:t>
      </w:r>
      <w:r w:rsidR="005B2A41">
        <w:t xml:space="preserve"> </w:t>
      </w:r>
      <w:r w:rsidRPr="00B02247">
        <w:t>the</w:t>
      </w:r>
      <w:r w:rsidR="005B2A41">
        <w:t xml:space="preserve"> </w:t>
      </w:r>
      <w:r w:rsidRPr="00B02247">
        <w:t>Ombudsman</w:t>
      </w:r>
      <w:r w:rsidR="005B2A41">
        <w:t xml:space="preserve"> </w:t>
      </w:r>
      <w:r w:rsidRPr="00B02247">
        <w:t>as</w:t>
      </w:r>
      <w:r w:rsidR="005B2A41">
        <w:t xml:space="preserve"> </w:t>
      </w:r>
      <w:r w:rsidRPr="00B02247">
        <w:t>an</w:t>
      </w:r>
      <w:r w:rsidR="005B2A41">
        <w:t xml:space="preserve"> </w:t>
      </w:r>
      <w:r w:rsidRPr="00B02247">
        <w:t>equality</w:t>
      </w:r>
      <w:r w:rsidR="005B2A41">
        <w:t xml:space="preserve"> </w:t>
      </w:r>
      <w:r w:rsidRPr="00B02247">
        <w:t>body</w:t>
      </w:r>
      <w:r w:rsidR="005B2A41">
        <w:t xml:space="preserve"> </w:t>
      </w:r>
      <w:r w:rsidRPr="00B02247">
        <w:t>have</w:t>
      </w:r>
      <w:r w:rsidR="005B2A41">
        <w:t xml:space="preserve"> </w:t>
      </w:r>
      <w:r w:rsidRPr="00B02247">
        <w:t>significantly</w:t>
      </w:r>
      <w:r w:rsidR="005B2A41">
        <w:t xml:space="preserve"> </w:t>
      </w:r>
      <w:r w:rsidRPr="00B02247">
        <w:t>been</w:t>
      </w:r>
      <w:r w:rsidR="005B2A41">
        <w:t xml:space="preserve"> </w:t>
      </w:r>
      <w:r w:rsidRPr="00B02247">
        <w:t>strengthened</w:t>
      </w:r>
      <w:r w:rsidR="005B2A41">
        <w:t xml:space="preserve"> </w:t>
      </w:r>
      <w:r w:rsidRPr="00B02247">
        <w:t>through</w:t>
      </w:r>
      <w:r w:rsidR="005B2A41">
        <w:t xml:space="preserve"> </w:t>
      </w:r>
      <w:r w:rsidRPr="00B02247">
        <w:t>the</w:t>
      </w:r>
      <w:r w:rsidR="005B2A41">
        <w:t xml:space="preserve"> </w:t>
      </w:r>
      <w:r w:rsidRPr="00B02247">
        <w:t>adoption</w:t>
      </w:r>
      <w:r w:rsidR="005B2A41">
        <w:t xml:space="preserve"> </w:t>
      </w:r>
      <w:r w:rsidRPr="00B02247">
        <w:t>of</w:t>
      </w:r>
      <w:r w:rsidR="005B2A41">
        <w:t xml:space="preserve"> </w:t>
      </w:r>
      <w:r w:rsidRPr="00B02247">
        <w:t>the</w:t>
      </w:r>
      <w:r w:rsidR="005B2A41">
        <w:t xml:space="preserve"> </w:t>
      </w:r>
      <w:r w:rsidRPr="00B02247">
        <w:t>new</w:t>
      </w:r>
      <w:r w:rsidR="005B2A41">
        <w:t xml:space="preserve"> </w:t>
      </w:r>
      <w:r w:rsidRPr="00B02247">
        <w:t>anti-discrimination</w:t>
      </w:r>
      <w:r w:rsidR="005B2A41">
        <w:t xml:space="preserve"> </w:t>
      </w:r>
      <w:r w:rsidRPr="00B02247">
        <w:t>Law</w:t>
      </w:r>
      <w:r w:rsidR="005B2A41">
        <w:t xml:space="preserve"> </w:t>
      </w:r>
      <w:r w:rsidRPr="00B02247">
        <w:t>in</w:t>
      </w:r>
      <w:r w:rsidR="005B2A41">
        <w:t xml:space="preserve"> </w:t>
      </w:r>
      <w:r w:rsidRPr="00B02247">
        <w:t>November</w:t>
      </w:r>
      <w:r w:rsidR="005B2A41">
        <w:t xml:space="preserve"> </w:t>
      </w:r>
      <w:r w:rsidRPr="00B02247">
        <w:t>2016</w:t>
      </w:r>
      <w:r w:rsidR="005B2A41">
        <w:t xml:space="preserve"> </w:t>
      </w:r>
      <w:r w:rsidRPr="00B02247">
        <w:t>and</w:t>
      </w:r>
      <w:r w:rsidR="005B2A41">
        <w:t xml:space="preserve"> </w:t>
      </w:r>
      <w:r w:rsidRPr="00B02247">
        <w:t>its</w:t>
      </w:r>
      <w:r w:rsidR="005B2A41">
        <w:t xml:space="preserve"> </w:t>
      </w:r>
      <w:r w:rsidRPr="00B02247">
        <w:t>designation</w:t>
      </w:r>
      <w:r w:rsidR="005B2A41">
        <w:t xml:space="preserve"> </w:t>
      </w:r>
      <w:r w:rsidRPr="00B02247">
        <w:t>as</w:t>
      </w:r>
      <w:r w:rsidR="005B2A41">
        <w:t xml:space="preserve"> </w:t>
      </w:r>
      <w:r w:rsidRPr="00B02247">
        <w:t>the</w:t>
      </w:r>
      <w:r w:rsidR="005B2A41">
        <w:t xml:space="preserve"> </w:t>
      </w:r>
      <w:r w:rsidRPr="00B02247">
        <w:t>body</w:t>
      </w:r>
      <w:r w:rsidR="005B2A41">
        <w:t xml:space="preserve"> </w:t>
      </w:r>
      <w:r w:rsidRPr="00B02247">
        <w:t>responsible</w:t>
      </w:r>
      <w:r w:rsidR="005B2A41">
        <w:t xml:space="preserve"> </w:t>
      </w:r>
      <w:r w:rsidRPr="00B02247">
        <w:t>for</w:t>
      </w:r>
      <w:r w:rsidR="005B2A41">
        <w:t xml:space="preserve"> </w:t>
      </w:r>
      <w:r w:rsidRPr="00B02247">
        <w:t>monitoring</w:t>
      </w:r>
      <w:r w:rsidR="005B2A41">
        <w:t xml:space="preserve"> </w:t>
      </w:r>
      <w:r w:rsidRPr="00B02247">
        <w:t>and</w:t>
      </w:r>
      <w:r w:rsidR="005B2A41">
        <w:t xml:space="preserve"> </w:t>
      </w:r>
      <w:r w:rsidRPr="00B02247">
        <w:t>promoting</w:t>
      </w:r>
      <w:r w:rsidR="005B2A41">
        <w:t xml:space="preserve"> </w:t>
      </w:r>
      <w:r w:rsidRPr="00B02247">
        <w:t>the</w:t>
      </w:r>
      <w:r w:rsidR="005B2A41">
        <w:t xml:space="preserve"> </w:t>
      </w:r>
      <w:r w:rsidRPr="00B02247">
        <w:t>implementation</w:t>
      </w:r>
      <w:r w:rsidR="005B2A41">
        <w:t xml:space="preserve"> </w:t>
      </w:r>
      <w:r w:rsidRPr="00B02247">
        <w:t>of</w:t>
      </w:r>
      <w:r w:rsidR="005B2A41">
        <w:t xml:space="preserve"> </w:t>
      </w:r>
      <w:r w:rsidRPr="00B02247">
        <w:t>the</w:t>
      </w:r>
      <w:r w:rsidR="005B2A41">
        <w:t xml:space="preserve"> </w:t>
      </w:r>
      <w:r w:rsidRPr="00B02247">
        <w:t>principle</w:t>
      </w:r>
      <w:r w:rsidR="005B2A41">
        <w:t xml:space="preserve"> </w:t>
      </w:r>
      <w:r w:rsidRPr="00B02247">
        <w:t>of</w:t>
      </w:r>
      <w:r w:rsidR="005B2A41">
        <w:t xml:space="preserve"> </w:t>
      </w:r>
      <w:r w:rsidRPr="00B02247">
        <w:t>equal</w:t>
      </w:r>
      <w:r w:rsidR="005B2A41">
        <w:t xml:space="preserve"> </w:t>
      </w:r>
      <w:r w:rsidRPr="00B02247">
        <w:t>treatment.</w:t>
      </w:r>
      <w:r w:rsidR="005B2A41">
        <w:t xml:space="preserve"> </w:t>
      </w:r>
      <w:r w:rsidRPr="00B02247">
        <w:t>Moreover,</w:t>
      </w:r>
      <w:r w:rsidR="005B2A41">
        <w:t xml:space="preserve"> </w:t>
      </w:r>
      <w:r w:rsidRPr="00B02247">
        <w:t>the</w:t>
      </w:r>
      <w:r w:rsidR="005B2A41">
        <w:t xml:space="preserve"> </w:t>
      </w:r>
      <w:r w:rsidRPr="00B02247">
        <w:t>Greek</w:t>
      </w:r>
      <w:r w:rsidR="005B2A41">
        <w:t xml:space="preserve"> </w:t>
      </w:r>
      <w:r w:rsidRPr="00B02247">
        <w:t>Ombudsman</w:t>
      </w:r>
      <w:r w:rsidR="005B2A41">
        <w:t xml:space="preserve"> </w:t>
      </w:r>
      <w:r w:rsidRPr="00B02247">
        <w:t>has</w:t>
      </w:r>
      <w:r w:rsidR="005B2A41">
        <w:t xml:space="preserve"> </w:t>
      </w:r>
      <w:r w:rsidRPr="00B02247">
        <w:t>been</w:t>
      </w:r>
      <w:r w:rsidR="005B2A41">
        <w:t xml:space="preserve"> </w:t>
      </w:r>
      <w:r w:rsidRPr="00B02247">
        <w:t>operating,</w:t>
      </w:r>
      <w:r w:rsidR="005B2A41">
        <w:t xml:space="preserve"> </w:t>
      </w:r>
      <w:r w:rsidRPr="00B02247">
        <w:t>since</w:t>
      </w:r>
      <w:r w:rsidR="005B2A41">
        <w:t xml:space="preserve"> </w:t>
      </w:r>
      <w:r w:rsidRPr="00B02247">
        <w:t>2006,</w:t>
      </w:r>
      <w:r w:rsidR="005B2A41">
        <w:t xml:space="preserve"> </w:t>
      </w:r>
      <w:r w:rsidRPr="00B02247">
        <w:t>with</w:t>
      </w:r>
      <w:r w:rsidR="005B2A41">
        <w:t xml:space="preserve"> </w:t>
      </w:r>
      <w:r w:rsidRPr="00B02247">
        <w:t>enhanced</w:t>
      </w:r>
      <w:r w:rsidR="005B2A41">
        <w:t xml:space="preserve"> </w:t>
      </w:r>
      <w:r w:rsidRPr="00B02247">
        <w:t>powers,</w:t>
      </w:r>
      <w:r w:rsidR="005B2A41">
        <w:t xml:space="preserve"> </w:t>
      </w:r>
      <w:r w:rsidRPr="00B02247">
        <w:t>as</w:t>
      </w:r>
      <w:r w:rsidR="005B2A41">
        <w:t xml:space="preserve"> </w:t>
      </w:r>
      <w:r w:rsidRPr="00B02247">
        <w:t>the</w:t>
      </w:r>
      <w:r w:rsidR="005B2A41">
        <w:t xml:space="preserve"> </w:t>
      </w:r>
      <w:r w:rsidRPr="00B02247">
        <w:t>competent</w:t>
      </w:r>
      <w:r w:rsidR="005B2A41">
        <w:t xml:space="preserve"> </w:t>
      </w:r>
      <w:r w:rsidRPr="00B02247">
        <w:t>body</w:t>
      </w:r>
      <w:r w:rsidR="005B2A41">
        <w:t xml:space="preserve"> </w:t>
      </w:r>
      <w:r w:rsidRPr="00B02247">
        <w:t>for</w:t>
      </w:r>
      <w:r w:rsidR="005B2A41">
        <w:t xml:space="preserve"> </w:t>
      </w:r>
      <w:r w:rsidRPr="00B02247">
        <w:t>monitoring</w:t>
      </w:r>
      <w:r w:rsidR="005B2A41">
        <w:t xml:space="preserve"> </w:t>
      </w:r>
      <w:r w:rsidRPr="00B02247">
        <w:t>the</w:t>
      </w:r>
      <w:r w:rsidR="005B2A41">
        <w:t xml:space="preserve"> </w:t>
      </w:r>
      <w:r w:rsidRPr="00B02247">
        <w:t>implementation</w:t>
      </w:r>
      <w:r w:rsidR="005B2A41">
        <w:t xml:space="preserve"> </w:t>
      </w:r>
      <w:r w:rsidRPr="00B02247">
        <w:t>of</w:t>
      </w:r>
      <w:r w:rsidR="005B2A41">
        <w:t xml:space="preserve"> </w:t>
      </w:r>
      <w:r w:rsidRPr="00B02247">
        <w:t>the</w:t>
      </w:r>
      <w:r w:rsidR="005B2A41">
        <w:t xml:space="preserve"> </w:t>
      </w:r>
      <w:r w:rsidRPr="00B02247">
        <w:t>principle</w:t>
      </w:r>
      <w:r w:rsidR="005B2A41">
        <w:t xml:space="preserve"> </w:t>
      </w:r>
      <w:r w:rsidRPr="00B02247">
        <w:t>for</w:t>
      </w:r>
      <w:r w:rsidR="005B2A41">
        <w:t xml:space="preserve"> </w:t>
      </w:r>
      <w:r w:rsidRPr="00B02247">
        <w:t>equal</w:t>
      </w:r>
      <w:r w:rsidR="005B2A41">
        <w:t xml:space="preserve"> </w:t>
      </w:r>
      <w:r w:rsidRPr="00B02247">
        <w:t>treatment</w:t>
      </w:r>
      <w:r w:rsidR="005B2A41">
        <w:t xml:space="preserve"> </w:t>
      </w:r>
      <w:r w:rsidRPr="00B02247">
        <w:t>between</w:t>
      </w:r>
      <w:r w:rsidR="005B2A41">
        <w:t xml:space="preserve"> </w:t>
      </w:r>
      <w:r w:rsidRPr="00B02247">
        <w:t>men</w:t>
      </w:r>
      <w:r w:rsidR="005B2A41">
        <w:t xml:space="preserve"> </w:t>
      </w:r>
      <w:r w:rsidRPr="00B02247">
        <w:t>and</w:t>
      </w:r>
      <w:r w:rsidR="005B2A41">
        <w:t xml:space="preserve"> </w:t>
      </w:r>
      <w:r w:rsidRPr="00B02247">
        <w:t>women</w:t>
      </w:r>
      <w:r w:rsidR="005B2A41">
        <w:t xml:space="preserve"> </w:t>
      </w:r>
      <w:r w:rsidRPr="00B02247">
        <w:t>in</w:t>
      </w:r>
      <w:r w:rsidR="005B2A41">
        <w:t xml:space="preserve"> </w:t>
      </w:r>
      <w:r w:rsidRPr="00B02247">
        <w:t>employment</w:t>
      </w:r>
      <w:r w:rsidR="005B2A41">
        <w:t xml:space="preserve"> </w:t>
      </w:r>
      <w:r w:rsidRPr="00B02247">
        <w:t>and</w:t>
      </w:r>
      <w:r w:rsidR="005B2A41">
        <w:t xml:space="preserve"> </w:t>
      </w:r>
      <w:r w:rsidRPr="00B02247">
        <w:t>occupation,</w:t>
      </w:r>
      <w:r w:rsidR="005B2A41">
        <w:t xml:space="preserve"> </w:t>
      </w:r>
      <w:r w:rsidRPr="00B02247">
        <w:t>including</w:t>
      </w:r>
      <w:r w:rsidR="005B2A41">
        <w:t xml:space="preserve"> </w:t>
      </w:r>
      <w:r w:rsidRPr="00B02247">
        <w:t>(since</w:t>
      </w:r>
      <w:r w:rsidR="005B2A41">
        <w:t xml:space="preserve"> </w:t>
      </w:r>
      <w:r w:rsidRPr="00B02247">
        <w:t>2012)</w:t>
      </w:r>
      <w:r w:rsidR="005B2A41">
        <w:t xml:space="preserve"> </w:t>
      </w:r>
      <w:r w:rsidRPr="00B02247">
        <w:t>with</w:t>
      </w:r>
      <w:r w:rsidR="005B2A41">
        <w:t xml:space="preserve"> </w:t>
      </w:r>
      <w:r w:rsidRPr="00B02247">
        <w:t>regard</w:t>
      </w:r>
      <w:r w:rsidR="005B2A41">
        <w:t xml:space="preserve"> </w:t>
      </w:r>
      <w:r w:rsidRPr="00B02247">
        <w:t>to</w:t>
      </w:r>
      <w:r w:rsidR="005B2A41">
        <w:t xml:space="preserve"> </w:t>
      </w:r>
      <w:r w:rsidRPr="00B02247">
        <w:t>self-employed</w:t>
      </w:r>
      <w:r w:rsidR="005B2A41">
        <w:t xml:space="preserve"> </w:t>
      </w:r>
      <w:r w:rsidRPr="00B02247">
        <w:t>women</w:t>
      </w:r>
      <w:r w:rsidR="005B2A41">
        <w:t xml:space="preserve"> </w:t>
      </w:r>
      <w:r w:rsidRPr="00B02247">
        <w:t>and</w:t>
      </w:r>
      <w:r w:rsidR="005B2A41">
        <w:t xml:space="preserve"> </w:t>
      </w:r>
      <w:r w:rsidRPr="00B02247">
        <w:t>men.</w:t>
      </w:r>
      <w:r w:rsidR="005B2A41">
        <w:t xml:space="preserve"> </w:t>
      </w:r>
      <w:r w:rsidRPr="00B02247">
        <w:t>Since</w:t>
      </w:r>
      <w:r w:rsidR="005B2A41">
        <w:t xml:space="preserve"> </w:t>
      </w:r>
      <w:r w:rsidRPr="00B02247">
        <w:t>2011,</w:t>
      </w:r>
      <w:r w:rsidR="005B2A41">
        <w:t xml:space="preserve"> </w:t>
      </w:r>
      <w:r w:rsidRPr="00B02247">
        <w:t>it</w:t>
      </w:r>
      <w:r w:rsidR="005B2A41">
        <w:t xml:space="preserve"> </w:t>
      </w:r>
      <w:r w:rsidRPr="00B02247">
        <w:t>works</w:t>
      </w:r>
      <w:r w:rsidR="005B2A41">
        <w:t xml:space="preserve"> </w:t>
      </w:r>
      <w:r w:rsidRPr="00B02247">
        <w:t>as</w:t>
      </w:r>
      <w:r w:rsidR="005B2A41">
        <w:t xml:space="preserve"> </w:t>
      </w:r>
      <w:r w:rsidRPr="00B02247">
        <w:t>the</w:t>
      </w:r>
      <w:r w:rsidR="005B2A41">
        <w:t xml:space="preserve"> </w:t>
      </w:r>
      <w:r w:rsidRPr="00B02247">
        <w:t>body</w:t>
      </w:r>
      <w:r w:rsidR="005B2A41">
        <w:t xml:space="preserve"> </w:t>
      </w:r>
      <w:r w:rsidRPr="00B02247">
        <w:t>responsible</w:t>
      </w:r>
      <w:r w:rsidR="005B2A41">
        <w:t xml:space="preserve"> </w:t>
      </w:r>
      <w:r w:rsidRPr="00B02247">
        <w:t>for</w:t>
      </w:r>
      <w:r w:rsidR="005B2A41">
        <w:t xml:space="preserve"> </w:t>
      </w:r>
      <w:r w:rsidRPr="00B02247">
        <w:t>the</w:t>
      </w:r>
      <w:r w:rsidR="005B2A41">
        <w:t xml:space="preserve"> </w:t>
      </w:r>
      <w:r w:rsidRPr="00B02247">
        <w:t>external</w:t>
      </w:r>
      <w:r w:rsidR="005B2A41">
        <w:t xml:space="preserve"> </w:t>
      </w:r>
      <w:r w:rsidRPr="00B02247">
        <w:t>monitoring</w:t>
      </w:r>
      <w:r w:rsidR="005B2A41">
        <w:t xml:space="preserve"> </w:t>
      </w:r>
      <w:r w:rsidRPr="00B02247">
        <w:t>of</w:t>
      </w:r>
      <w:r w:rsidR="005B2A41">
        <w:t xml:space="preserve"> </w:t>
      </w:r>
      <w:r w:rsidRPr="00B02247">
        <w:t>return</w:t>
      </w:r>
      <w:r w:rsidR="005B2A41">
        <w:t xml:space="preserve"> </w:t>
      </w:r>
      <w:r w:rsidRPr="00B02247">
        <w:t>operations</w:t>
      </w:r>
      <w:r w:rsidR="005B2A41">
        <w:t xml:space="preserve"> </w:t>
      </w:r>
      <w:r w:rsidRPr="00B02247">
        <w:t>and</w:t>
      </w:r>
      <w:r w:rsidR="005B2A41">
        <w:t xml:space="preserve"> </w:t>
      </w:r>
      <w:r w:rsidRPr="00B02247">
        <w:t>pre-removal</w:t>
      </w:r>
      <w:r w:rsidR="005B2A41">
        <w:t xml:space="preserve"> </w:t>
      </w:r>
      <w:r w:rsidRPr="00B02247">
        <w:t>detention</w:t>
      </w:r>
      <w:r w:rsidR="005B2A41">
        <w:t xml:space="preserve"> </w:t>
      </w:r>
      <w:r w:rsidRPr="00B02247">
        <w:t>procedures</w:t>
      </w:r>
      <w:r w:rsidR="005B2A41">
        <w:t xml:space="preserve"> </w:t>
      </w:r>
      <w:r w:rsidRPr="00B02247">
        <w:t>of</w:t>
      </w:r>
      <w:r w:rsidR="005B2A41">
        <w:t xml:space="preserve"> </w:t>
      </w:r>
      <w:r w:rsidRPr="00B02247">
        <w:t>foreign</w:t>
      </w:r>
      <w:r w:rsidR="005B2A41">
        <w:t xml:space="preserve"> </w:t>
      </w:r>
      <w:r w:rsidRPr="00B02247">
        <w:t>citizens.</w:t>
      </w:r>
      <w:r w:rsidR="005B2A41">
        <w:t xml:space="preserve"> </w:t>
      </w:r>
      <w:r w:rsidRPr="00B02247">
        <w:t>In</w:t>
      </w:r>
      <w:r w:rsidR="005B2A41">
        <w:t xml:space="preserve"> </w:t>
      </w:r>
      <w:r w:rsidRPr="00B02247">
        <w:t>2013,</w:t>
      </w:r>
      <w:r w:rsidR="005B2A41">
        <w:t xml:space="preserve"> </w:t>
      </w:r>
      <w:r w:rsidRPr="00B02247">
        <w:t>the</w:t>
      </w:r>
      <w:r w:rsidR="005B2A41">
        <w:t xml:space="preserve"> </w:t>
      </w:r>
      <w:r w:rsidRPr="00B02247">
        <w:t>Office</w:t>
      </w:r>
      <w:r w:rsidR="005B2A41">
        <w:t xml:space="preserve"> </w:t>
      </w:r>
      <w:r w:rsidRPr="00B02247">
        <w:t>of</w:t>
      </w:r>
      <w:r w:rsidR="005B2A41">
        <w:t xml:space="preserve"> </w:t>
      </w:r>
      <w:r w:rsidRPr="00B02247">
        <w:t>the</w:t>
      </w:r>
      <w:r w:rsidR="005B2A41">
        <w:t xml:space="preserve"> </w:t>
      </w:r>
      <w:r w:rsidRPr="00B02247">
        <w:t>Ombudsman</w:t>
      </w:r>
      <w:r w:rsidR="005B2A41">
        <w:t xml:space="preserve"> </w:t>
      </w:r>
      <w:r w:rsidRPr="00B02247">
        <w:t>was</w:t>
      </w:r>
      <w:r w:rsidR="005B2A41">
        <w:t xml:space="preserve"> </w:t>
      </w:r>
      <w:r w:rsidRPr="00B02247">
        <w:t>designated</w:t>
      </w:r>
      <w:r w:rsidR="005B2A41">
        <w:t xml:space="preserve"> </w:t>
      </w:r>
      <w:r w:rsidRPr="00B02247">
        <w:t>by</w:t>
      </w:r>
      <w:r w:rsidR="005B2A41">
        <w:t xml:space="preserve"> </w:t>
      </w:r>
      <w:r w:rsidRPr="00B02247">
        <w:t>the</w:t>
      </w:r>
      <w:r w:rsidR="005B2A41">
        <w:t xml:space="preserve"> </w:t>
      </w:r>
      <w:r w:rsidRPr="00B02247">
        <w:t>law</w:t>
      </w:r>
      <w:r w:rsidR="005B2A41">
        <w:t xml:space="preserve"> </w:t>
      </w:r>
      <w:r w:rsidRPr="00B02247">
        <w:t>ratifying</w:t>
      </w:r>
      <w:r w:rsidR="005B2A41">
        <w:t xml:space="preserve"> </w:t>
      </w:r>
      <w:r w:rsidRPr="00B02247">
        <w:t>the</w:t>
      </w:r>
      <w:r w:rsidR="005B2A41">
        <w:t xml:space="preserve"> </w:t>
      </w:r>
      <w:r w:rsidRPr="00B02247">
        <w:t>Optional</w:t>
      </w:r>
      <w:r w:rsidR="005B2A41">
        <w:t xml:space="preserve"> </w:t>
      </w:r>
      <w:r w:rsidRPr="00B02247">
        <w:t>Protocol</w:t>
      </w:r>
      <w:r w:rsidR="005B2A41">
        <w:t xml:space="preserve"> </w:t>
      </w:r>
      <w:r w:rsidRPr="00B02247">
        <w:t>to</w:t>
      </w:r>
      <w:r w:rsidR="005B2A41">
        <w:t xml:space="preserve"> </w:t>
      </w:r>
      <w:r w:rsidRPr="00B02247">
        <w:t>the</w:t>
      </w:r>
      <w:r w:rsidR="005B2A41">
        <w:t xml:space="preserve"> </w:t>
      </w:r>
      <w:r w:rsidRPr="00B02247">
        <w:t>Convention</w:t>
      </w:r>
      <w:r w:rsidR="005B2A41">
        <w:t xml:space="preserve"> </w:t>
      </w:r>
      <w:r w:rsidRPr="00B02247">
        <w:t>against</w:t>
      </w:r>
      <w:r w:rsidR="005B2A41">
        <w:t xml:space="preserve"> </w:t>
      </w:r>
      <w:r w:rsidRPr="00B02247">
        <w:t>Torture</w:t>
      </w:r>
      <w:r w:rsidR="005B2A41">
        <w:t xml:space="preserve"> </w:t>
      </w:r>
      <w:r w:rsidRPr="00B02247">
        <w:t>as</w:t>
      </w:r>
      <w:r w:rsidR="005B2A41">
        <w:t xml:space="preserve"> </w:t>
      </w:r>
      <w:r w:rsidRPr="00B02247">
        <w:t>the</w:t>
      </w:r>
      <w:r w:rsidR="005B2A41">
        <w:t xml:space="preserve"> </w:t>
      </w:r>
      <w:r w:rsidRPr="00B02247">
        <w:t>relevant</w:t>
      </w:r>
      <w:r w:rsidR="005B2A41">
        <w:t xml:space="preserve"> </w:t>
      </w:r>
      <w:r w:rsidR="003E731F">
        <w:t>“</w:t>
      </w:r>
      <w:r w:rsidRPr="00B02247">
        <w:t>national</w:t>
      </w:r>
      <w:r w:rsidR="005B2A41">
        <w:t xml:space="preserve"> </w:t>
      </w:r>
      <w:r w:rsidRPr="00B02247">
        <w:t>prevention</w:t>
      </w:r>
      <w:r w:rsidR="005B2A41">
        <w:t xml:space="preserve"> </w:t>
      </w:r>
      <w:r w:rsidRPr="00B02247">
        <w:t>mechanism</w:t>
      </w:r>
      <w:r w:rsidR="003E731F">
        <w:t>”</w:t>
      </w:r>
      <w:r w:rsidRPr="00B02247">
        <w:t>.</w:t>
      </w:r>
      <w:r w:rsidR="005B2A41">
        <w:t xml:space="preserve"> </w:t>
      </w:r>
      <w:r w:rsidRPr="00B02247">
        <w:t>In</w:t>
      </w:r>
      <w:r w:rsidR="005B2A41">
        <w:t xml:space="preserve"> </w:t>
      </w:r>
      <w:r w:rsidRPr="00B02247">
        <w:t>2016,</w:t>
      </w:r>
      <w:r w:rsidR="005B2A41">
        <w:t xml:space="preserve"> </w:t>
      </w:r>
      <w:r w:rsidRPr="00B02247">
        <w:t>the</w:t>
      </w:r>
      <w:r w:rsidR="005B2A41">
        <w:t xml:space="preserve"> </w:t>
      </w:r>
      <w:r w:rsidRPr="00B02247">
        <w:t>Greek</w:t>
      </w:r>
      <w:r w:rsidR="005B2A41">
        <w:t xml:space="preserve"> </w:t>
      </w:r>
      <w:r w:rsidRPr="00B02247">
        <w:t>Ombudsman</w:t>
      </w:r>
      <w:r w:rsidR="005B2A41">
        <w:t xml:space="preserve"> </w:t>
      </w:r>
      <w:r w:rsidRPr="00B02247">
        <w:t>was</w:t>
      </w:r>
      <w:r w:rsidR="005B2A41">
        <w:t xml:space="preserve"> </w:t>
      </w:r>
      <w:r w:rsidRPr="00B02247">
        <w:t>designated</w:t>
      </w:r>
      <w:r w:rsidR="005B2A41">
        <w:t xml:space="preserve"> </w:t>
      </w:r>
      <w:r w:rsidRPr="00B02247">
        <w:t>as</w:t>
      </w:r>
      <w:r w:rsidR="005B2A41">
        <w:t xml:space="preserve"> </w:t>
      </w:r>
      <w:r w:rsidRPr="00B02247">
        <w:t>the</w:t>
      </w:r>
      <w:r w:rsidR="005B2A41">
        <w:t xml:space="preserve"> </w:t>
      </w:r>
      <w:r w:rsidR="003E731F">
        <w:t>“</w:t>
      </w:r>
      <w:r w:rsidRPr="00B02247">
        <w:t>National</w:t>
      </w:r>
      <w:r w:rsidR="005B2A41">
        <w:t xml:space="preserve"> </w:t>
      </w:r>
      <w:r w:rsidRPr="00B02247">
        <w:t>Mechanism</w:t>
      </w:r>
      <w:r w:rsidR="005B2A41">
        <w:t xml:space="preserve"> </w:t>
      </w:r>
      <w:r w:rsidRPr="00B02247">
        <w:t>for</w:t>
      </w:r>
      <w:r w:rsidR="005B2A41">
        <w:t xml:space="preserve"> </w:t>
      </w:r>
      <w:r w:rsidRPr="00B02247">
        <w:t>the</w:t>
      </w:r>
      <w:r w:rsidR="005B2A41">
        <w:t xml:space="preserve"> </w:t>
      </w:r>
      <w:r w:rsidRPr="00B02247">
        <w:t>investigation</w:t>
      </w:r>
      <w:r w:rsidR="005B2A41">
        <w:t xml:space="preserve"> </w:t>
      </w:r>
      <w:r w:rsidRPr="00B02247">
        <w:t>of</w:t>
      </w:r>
      <w:r w:rsidR="005B2A41">
        <w:t xml:space="preserve"> </w:t>
      </w:r>
      <w:r w:rsidRPr="00B02247">
        <w:t>incidents</w:t>
      </w:r>
      <w:r w:rsidR="005B2A41">
        <w:t xml:space="preserve"> </w:t>
      </w:r>
      <w:r w:rsidRPr="00B02247">
        <w:t>of</w:t>
      </w:r>
      <w:r w:rsidR="005B2A41">
        <w:t xml:space="preserve"> </w:t>
      </w:r>
      <w:r w:rsidRPr="00B02247">
        <w:t>ill-treatment</w:t>
      </w:r>
      <w:r w:rsidR="005B2A41">
        <w:t xml:space="preserve"> </w:t>
      </w:r>
      <w:r w:rsidRPr="00B02247">
        <w:t>committed</w:t>
      </w:r>
      <w:r w:rsidR="005B2A41">
        <w:t xml:space="preserve"> </w:t>
      </w:r>
      <w:r w:rsidRPr="00B02247">
        <w:t>by</w:t>
      </w:r>
      <w:r w:rsidR="005B2A41">
        <w:t xml:space="preserve"> </w:t>
      </w:r>
      <w:r w:rsidRPr="00B02247">
        <w:t>law</w:t>
      </w:r>
      <w:r w:rsidR="005B2A41">
        <w:t xml:space="preserve"> </w:t>
      </w:r>
      <w:r w:rsidRPr="00B02247">
        <w:t>enforcement</w:t>
      </w:r>
      <w:r w:rsidR="005B2A41">
        <w:t xml:space="preserve"> </w:t>
      </w:r>
      <w:r w:rsidRPr="00B02247">
        <w:t>and</w:t>
      </w:r>
      <w:r w:rsidR="005B2A41">
        <w:t xml:space="preserve"> </w:t>
      </w:r>
      <w:r w:rsidRPr="00B02247">
        <w:t>detention</w:t>
      </w:r>
      <w:r w:rsidR="005B2A41">
        <w:t xml:space="preserve"> </w:t>
      </w:r>
      <w:r w:rsidRPr="00B02247">
        <w:t>facility</w:t>
      </w:r>
      <w:r w:rsidR="005B2A41">
        <w:t xml:space="preserve"> </w:t>
      </w:r>
      <w:r w:rsidRPr="00B02247">
        <w:t>agents</w:t>
      </w:r>
      <w:r w:rsidR="003E731F">
        <w:t>”</w:t>
      </w:r>
      <w:r w:rsidRPr="00B02247">
        <w:t>,</w:t>
      </w:r>
      <w:r w:rsidR="005B2A41">
        <w:t xml:space="preserve"> </w:t>
      </w:r>
      <w:r w:rsidRPr="00B02247">
        <w:t>a</w:t>
      </w:r>
      <w:r w:rsidR="005B2A41">
        <w:t xml:space="preserve"> </w:t>
      </w:r>
      <w:r w:rsidRPr="00B02247">
        <w:t>mechanism</w:t>
      </w:r>
      <w:r w:rsidR="005B2A41">
        <w:t xml:space="preserve"> </w:t>
      </w:r>
      <w:r w:rsidRPr="00B02247">
        <w:t>additional</w:t>
      </w:r>
      <w:r w:rsidR="005B2A41">
        <w:t xml:space="preserve"> </w:t>
      </w:r>
      <w:r w:rsidRPr="00B02247">
        <w:t>to</w:t>
      </w:r>
      <w:r w:rsidR="005B2A41">
        <w:t xml:space="preserve"> </w:t>
      </w:r>
      <w:r w:rsidRPr="00B02247">
        <w:t>the</w:t>
      </w:r>
      <w:r w:rsidR="005B2A41">
        <w:t xml:space="preserve"> </w:t>
      </w:r>
      <w:r w:rsidRPr="00B02247">
        <w:t>judicial</w:t>
      </w:r>
      <w:r w:rsidR="005B2A41">
        <w:t xml:space="preserve"> </w:t>
      </w:r>
      <w:r w:rsidRPr="00B02247">
        <w:t>system</w:t>
      </w:r>
      <w:r w:rsidR="005B2A41">
        <w:t xml:space="preserve"> </w:t>
      </w:r>
      <w:r w:rsidRPr="00B02247">
        <w:t>and</w:t>
      </w:r>
      <w:r w:rsidR="005B2A41">
        <w:t xml:space="preserve"> </w:t>
      </w:r>
      <w:r w:rsidRPr="00B02247">
        <w:t>the</w:t>
      </w:r>
      <w:r w:rsidR="005B2A41">
        <w:t xml:space="preserve"> </w:t>
      </w:r>
      <w:r w:rsidRPr="00B02247">
        <w:t>internal</w:t>
      </w:r>
      <w:r w:rsidR="005B2A41">
        <w:t xml:space="preserve"> </w:t>
      </w:r>
      <w:r w:rsidRPr="00B02247">
        <w:t>(disciplinary)</w:t>
      </w:r>
      <w:r w:rsidR="005B2A41">
        <w:t xml:space="preserve"> </w:t>
      </w:r>
      <w:r w:rsidRPr="00B02247">
        <w:t>procedures</w:t>
      </w:r>
      <w:r w:rsidR="005B2A41">
        <w:t xml:space="preserve"> </w:t>
      </w:r>
      <w:r w:rsidRPr="00B02247">
        <w:t>of</w:t>
      </w:r>
      <w:r w:rsidR="005B2A41">
        <w:t xml:space="preserve"> </w:t>
      </w:r>
      <w:r w:rsidRPr="00B02247">
        <w:t>the</w:t>
      </w:r>
      <w:r w:rsidR="005B2A41">
        <w:t xml:space="preserve"> </w:t>
      </w:r>
      <w:r w:rsidRPr="00B02247">
        <w:t>respective</w:t>
      </w:r>
      <w:r w:rsidR="005B2A41">
        <w:t xml:space="preserve"> </w:t>
      </w:r>
      <w:r w:rsidRPr="00B02247">
        <w:t>authorities,</w:t>
      </w:r>
      <w:r w:rsidR="005B2A41">
        <w:t xml:space="preserve"> </w:t>
      </w:r>
      <w:r w:rsidRPr="00B02247">
        <w:t>with</w:t>
      </w:r>
      <w:r w:rsidR="005B2A41">
        <w:t xml:space="preserve"> </w:t>
      </w:r>
      <w:r w:rsidRPr="00B02247">
        <w:t>the</w:t>
      </w:r>
      <w:r w:rsidR="005B2A41">
        <w:t xml:space="preserve"> </w:t>
      </w:r>
      <w:r w:rsidRPr="00B02247">
        <w:t>responsibility</w:t>
      </w:r>
      <w:r w:rsidR="005B2A41">
        <w:t xml:space="preserve"> </w:t>
      </w:r>
      <w:r w:rsidRPr="00B02247">
        <w:t>to</w:t>
      </w:r>
      <w:r w:rsidR="005B2A41">
        <w:t xml:space="preserve"> </w:t>
      </w:r>
      <w:r w:rsidRPr="00B02247">
        <w:t>collect,</w:t>
      </w:r>
      <w:r w:rsidR="005B2A41">
        <w:t xml:space="preserve"> </w:t>
      </w:r>
      <w:r w:rsidRPr="00B02247">
        <w:t>record,</w:t>
      </w:r>
      <w:r w:rsidR="005B2A41">
        <w:t xml:space="preserve"> </w:t>
      </w:r>
      <w:r w:rsidRPr="00B02247">
        <w:t>evaluate,</w:t>
      </w:r>
      <w:r w:rsidR="005B2A41">
        <w:t xml:space="preserve"> </w:t>
      </w:r>
      <w:r w:rsidRPr="00B02247">
        <w:t>investigate</w:t>
      </w:r>
      <w:r w:rsidR="005B2A41">
        <w:t xml:space="preserve"> </w:t>
      </w:r>
      <w:r w:rsidRPr="00B02247">
        <w:t>or</w:t>
      </w:r>
      <w:r w:rsidR="005B2A41">
        <w:t xml:space="preserve"> </w:t>
      </w:r>
      <w:r w:rsidRPr="00B02247">
        <w:t>forward</w:t>
      </w:r>
      <w:r w:rsidR="005B2A41">
        <w:t xml:space="preserve"> </w:t>
      </w:r>
      <w:r w:rsidRPr="00B02247">
        <w:t>to</w:t>
      </w:r>
      <w:r w:rsidR="005B2A41">
        <w:t xml:space="preserve"> </w:t>
      </w:r>
      <w:r w:rsidRPr="00B02247">
        <w:t>the</w:t>
      </w:r>
      <w:r w:rsidR="005B2A41">
        <w:t xml:space="preserve"> </w:t>
      </w:r>
      <w:r w:rsidRPr="00B02247">
        <w:t>services</w:t>
      </w:r>
      <w:r w:rsidR="005B2A41">
        <w:t xml:space="preserve"> </w:t>
      </w:r>
      <w:r w:rsidRPr="00B02247">
        <w:t>responsible</w:t>
      </w:r>
      <w:r w:rsidR="005B2A41">
        <w:t xml:space="preserve"> </w:t>
      </w:r>
      <w:r w:rsidRPr="00B02247">
        <w:t>for</w:t>
      </w:r>
      <w:r w:rsidR="005B2A41">
        <w:t xml:space="preserve"> </w:t>
      </w:r>
      <w:r w:rsidRPr="00B02247">
        <w:t>exercising</w:t>
      </w:r>
      <w:r w:rsidR="005B2A41">
        <w:t xml:space="preserve"> </w:t>
      </w:r>
      <w:r w:rsidRPr="00B02247">
        <w:t>disciplinary</w:t>
      </w:r>
      <w:r w:rsidR="005B2A41">
        <w:t xml:space="preserve"> </w:t>
      </w:r>
      <w:r w:rsidRPr="00B02247">
        <w:t>control,</w:t>
      </w:r>
      <w:r w:rsidR="005B2A41">
        <w:t xml:space="preserve"> </w:t>
      </w:r>
      <w:r w:rsidRPr="00B02247">
        <w:t>complaints</w:t>
      </w:r>
      <w:r w:rsidR="005B2A41">
        <w:t xml:space="preserve"> </w:t>
      </w:r>
      <w:r w:rsidRPr="00B02247">
        <w:t>about</w:t>
      </w:r>
      <w:r w:rsidR="005B2A41">
        <w:t xml:space="preserve"> </w:t>
      </w:r>
      <w:r w:rsidRPr="00B02247">
        <w:t>acts</w:t>
      </w:r>
      <w:r w:rsidR="005B2A41">
        <w:t xml:space="preserve"> </w:t>
      </w:r>
      <w:r w:rsidRPr="00B02247">
        <w:t>of</w:t>
      </w:r>
      <w:r w:rsidR="005B2A41">
        <w:t xml:space="preserve"> </w:t>
      </w:r>
      <w:r w:rsidRPr="00B02247">
        <w:t>uniformed</w:t>
      </w:r>
      <w:r w:rsidR="005B2A41">
        <w:t xml:space="preserve"> </w:t>
      </w:r>
      <w:r w:rsidRPr="00B02247">
        <w:t>personnel</w:t>
      </w:r>
      <w:r w:rsidR="005B2A41">
        <w:t xml:space="preserve"> </w:t>
      </w:r>
      <w:r w:rsidRPr="00B02247">
        <w:t>of</w:t>
      </w:r>
      <w:r w:rsidR="005B2A41">
        <w:t xml:space="preserve"> </w:t>
      </w:r>
      <w:r w:rsidRPr="00B02247">
        <w:t>the</w:t>
      </w:r>
      <w:r w:rsidR="005B2A41">
        <w:t xml:space="preserve"> </w:t>
      </w:r>
      <w:r w:rsidRPr="00B02247">
        <w:t>Hellenic</w:t>
      </w:r>
      <w:r w:rsidR="005B2A41">
        <w:t xml:space="preserve"> </w:t>
      </w:r>
      <w:r w:rsidRPr="00B02247">
        <w:t>Police,</w:t>
      </w:r>
      <w:r w:rsidR="005B2A41">
        <w:t xml:space="preserve"> </w:t>
      </w:r>
      <w:r w:rsidRPr="00B02247">
        <w:t>the</w:t>
      </w:r>
      <w:r w:rsidR="005B2A41">
        <w:t xml:space="preserve"> </w:t>
      </w:r>
      <w:r w:rsidRPr="00B02247">
        <w:t>Hellenic</w:t>
      </w:r>
      <w:r w:rsidR="005B2A41">
        <w:t xml:space="preserve"> </w:t>
      </w:r>
      <w:r w:rsidRPr="00B02247">
        <w:t>Coast</w:t>
      </w:r>
      <w:r w:rsidR="005B2A41">
        <w:t xml:space="preserve"> </w:t>
      </w:r>
      <w:r w:rsidRPr="00B02247">
        <w:t>Guard,</w:t>
      </w:r>
      <w:r w:rsidR="005B2A41">
        <w:t xml:space="preserve"> </w:t>
      </w:r>
      <w:r w:rsidRPr="00B02247">
        <w:t>the</w:t>
      </w:r>
      <w:r w:rsidR="005B2A41">
        <w:t xml:space="preserve"> </w:t>
      </w:r>
      <w:r w:rsidRPr="00B02247">
        <w:t>Fire</w:t>
      </w:r>
      <w:r w:rsidR="005B2A41">
        <w:t xml:space="preserve"> </w:t>
      </w:r>
      <w:r w:rsidRPr="00B02247">
        <w:t>Service</w:t>
      </w:r>
      <w:r w:rsidR="005B2A41">
        <w:t xml:space="preserve"> </w:t>
      </w:r>
      <w:r w:rsidRPr="00B02247">
        <w:t>and</w:t>
      </w:r>
      <w:r w:rsidR="005B2A41">
        <w:t xml:space="preserve"> </w:t>
      </w:r>
      <w:r w:rsidRPr="00B02247">
        <w:t>detention</w:t>
      </w:r>
      <w:r w:rsidR="005B2A41">
        <w:t xml:space="preserve"> </w:t>
      </w:r>
      <w:r w:rsidRPr="00B02247">
        <w:t>facility</w:t>
      </w:r>
      <w:r w:rsidR="005B2A41">
        <w:t xml:space="preserve"> </w:t>
      </w:r>
      <w:r w:rsidRPr="00B02247">
        <w:t>agents.</w:t>
      </w:r>
      <w:r w:rsidR="005B2A41">
        <w:t xml:space="preserve"> </w:t>
      </w:r>
      <w:r w:rsidRPr="00B02247">
        <w:t>In</w:t>
      </w:r>
      <w:r w:rsidR="005B2A41">
        <w:t xml:space="preserve"> </w:t>
      </w:r>
      <w:r w:rsidRPr="00B02247">
        <w:t>2017,</w:t>
      </w:r>
      <w:r w:rsidR="005B2A41">
        <w:t xml:space="preserve"> </w:t>
      </w:r>
      <w:r w:rsidRPr="00B02247">
        <w:t>the</w:t>
      </w:r>
      <w:r w:rsidR="005B2A41">
        <w:t xml:space="preserve"> </w:t>
      </w:r>
      <w:r w:rsidRPr="00B02247">
        <w:t>Greek</w:t>
      </w:r>
      <w:r w:rsidR="005B2A41">
        <w:t xml:space="preserve"> </w:t>
      </w:r>
      <w:r w:rsidRPr="00B02247">
        <w:lastRenderedPageBreak/>
        <w:t>Ombudsman</w:t>
      </w:r>
      <w:r w:rsidR="005B2A41">
        <w:t xml:space="preserve"> </w:t>
      </w:r>
      <w:r w:rsidRPr="00B02247">
        <w:t>was</w:t>
      </w:r>
      <w:r w:rsidR="005B2A41">
        <w:t xml:space="preserve"> </w:t>
      </w:r>
      <w:r w:rsidRPr="00B02247">
        <w:t>designated</w:t>
      </w:r>
      <w:r w:rsidR="005B2A41">
        <w:t xml:space="preserve"> </w:t>
      </w:r>
      <w:r w:rsidRPr="00B02247">
        <w:t>as</w:t>
      </w:r>
      <w:r w:rsidR="005B2A41">
        <w:t xml:space="preserve"> </w:t>
      </w:r>
      <w:r w:rsidRPr="00B02247">
        <w:t>the</w:t>
      </w:r>
      <w:r w:rsidR="005B2A41">
        <w:t xml:space="preserve"> </w:t>
      </w:r>
      <w:r w:rsidRPr="00B02247">
        <w:t>national</w:t>
      </w:r>
      <w:r w:rsidR="005B2A41">
        <w:t xml:space="preserve"> </w:t>
      </w:r>
      <w:r w:rsidRPr="00B02247">
        <w:t>framework</w:t>
      </w:r>
      <w:r w:rsidR="005B2A41">
        <w:t xml:space="preserve"> </w:t>
      </w:r>
      <w:r w:rsidRPr="00B02247">
        <w:t>for</w:t>
      </w:r>
      <w:r w:rsidR="005B2A41">
        <w:t xml:space="preserve"> </w:t>
      </w:r>
      <w:r w:rsidRPr="00B02247">
        <w:t>the</w:t>
      </w:r>
      <w:r w:rsidR="005B2A41">
        <w:t xml:space="preserve"> </w:t>
      </w:r>
      <w:r w:rsidRPr="00B02247">
        <w:t>promotion</w:t>
      </w:r>
      <w:r w:rsidR="005B2A41">
        <w:t xml:space="preserve"> </w:t>
      </w:r>
      <w:r w:rsidRPr="00B02247">
        <w:t>of</w:t>
      </w:r>
      <w:r w:rsidR="005B2A41">
        <w:t xml:space="preserve"> </w:t>
      </w:r>
      <w:r w:rsidRPr="00B02247">
        <w:t>the</w:t>
      </w:r>
      <w:r w:rsidR="005B2A41">
        <w:t xml:space="preserve"> </w:t>
      </w:r>
      <w:r w:rsidRPr="00B02247">
        <w:t>implementation</w:t>
      </w:r>
      <w:r w:rsidR="005B2A41">
        <w:t xml:space="preserve"> </w:t>
      </w:r>
      <w:r w:rsidRPr="00B02247">
        <w:t>of</w:t>
      </w:r>
      <w:r w:rsidR="005B2A41">
        <w:t xml:space="preserve"> </w:t>
      </w:r>
      <w:r w:rsidRPr="00B02247">
        <w:t>the</w:t>
      </w:r>
      <w:r w:rsidR="005B2A41">
        <w:t xml:space="preserve"> </w:t>
      </w:r>
      <w:r w:rsidRPr="00B02247">
        <w:t>UN</w:t>
      </w:r>
      <w:r w:rsidR="005B2A41">
        <w:t xml:space="preserve"> </w:t>
      </w:r>
      <w:r w:rsidRPr="00B02247">
        <w:t>Disabilities</w:t>
      </w:r>
      <w:r w:rsidR="005B2A41">
        <w:t xml:space="preserve"> </w:t>
      </w:r>
      <w:r w:rsidRPr="00B02247">
        <w:t>Convention.</w:t>
      </w:r>
    </w:p>
    <w:p w:rsidR="00F233AB" w:rsidRPr="00B02247" w:rsidRDefault="00F233AB" w:rsidP="00E1307D">
      <w:pPr>
        <w:pStyle w:val="SingleTxtG"/>
      </w:pPr>
      <w:r w:rsidRPr="00B02247">
        <w:t>101.</w:t>
      </w:r>
      <w:r w:rsidRPr="00B02247">
        <w:tab/>
        <w:t>While</w:t>
      </w:r>
      <w:r w:rsidR="005B2A41">
        <w:t xml:space="preserve"> </w:t>
      </w:r>
      <w:r w:rsidRPr="00B02247">
        <w:t>the</w:t>
      </w:r>
      <w:r w:rsidR="005B2A41">
        <w:t xml:space="preserve"> </w:t>
      </w:r>
      <w:r w:rsidRPr="00B02247">
        <w:t>Greek</w:t>
      </w:r>
      <w:r w:rsidR="005B2A41">
        <w:t xml:space="preserve"> </w:t>
      </w:r>
      <w:r w:rsidRPr="00B02247">
        <w:t>Ombudsman</w:t>
      </w:r>
      <w:r w:rsidR="005B2A41">
        <w:t xml:space="preserve"> </w:t>
      </w:r>
      <w:r w:rsidRPr="00B02247">
        <w:t>is</w:t>
      </w:r>
      <w:r w:rsidR="005B2A41">
        <w:t xml:space="preserve"> </w:t>
      </w:r>
      <w:r w:rsidRPr="00B02247">
        <w:t>competent</w:t>
      </w:r>
      <w:r w:rsidR="005B2A41">
        <w:t xml:space="preserve"> </w:t>
      </w:r>
      <w:r w:rsidRPr="00B02247">
        <w:t>for</w:t>
      </w:r>
      <w:r w:rsidR="005B2A41">
        <w:t xml:space="preserve"> </w:t>
      </w:r>
      <w:r w:rsidRPr="00B02247">
        <w:t>complaints</w:t>
      </w:r>
      <w:r w:rsidR="005B2A41">
        <w:t xml:space="preserve"> </w:t>
      </w:r>
      <w:r w:rsidRPr="00B02247">
        <w:t>involving</w:t>
      </w:r>
      <w:r w:rsidR="005B2A41">
        <w:t xml:space="preserve"> </w:t>
      </w:r>
      <w:r w:rsidRPr="00B02247">
        <w:t>public</w:t>
      </w:r>
      <w:r w:rsidR="005B2A41">
        <w:t xml:space="preserve"> </w:t>
      </w:r>
      <w:r w:rsidRPr="00B02247">
        <w:t>bodies,</w:t>
      </w:r>
      <w:r w:rsidR="005B2A41">
        <w:t xml:space="preserve"> </w:t>
      </w:r>
      <w:r w:rsidRPr="00B02247">
        <w:t>he/she</w:t>
      </w:r>
      <w:r w:rsidR="005B2A41">
        <w:t xml:space="preserve"> </w:t>
      </w:r>
      <w:r w:rsidRPr="00B02247">
        <w:t>may</w:t>
      </w:r>
      <w:r w:rsidR="005B2A41">
        <w:t xml:space="preserve"> </w:t>
      </w:r>
      <w:r w:rsidRPr="00B02247">
        <w:t>also</w:t>
      </w:r>
      <w:r w:rsidR="005B2A41">
        <w:t xml:space="preserve"> </w:t>
      </w:r>
      <w:r w:rsidRPr="00B02247">
        <w:t>examine</w:t>
      </w:r>
      <w:r w:rsidR="005B2A41">
        <w:t xml:space="preserve"> </w:t>
      </w:r>
      <w:r w:rsidRPr="00B02247">
        <w:t>acts</w:t>
      </w:r>
      <w:r w:rsidR="005B2A41">
        <w:t xml:space="preserve"> </w:t>
      </w:r>
      <w:r w:rsidRPr="00B02247">
        <w:t>of</w:t>
      </w:r>
      <w:r w:rsidR="005B2A41">
        <w:t xml:space="preserve"> </w:t>
      </w:r>
      <w:r w:rsidRPr="00B02247">
        <w:t>private</w:t>
      </w:r>
      <w:r w:rsidR="005B2A41">
        <w:t xml:space="preserve"> </w:t>
      </w:r>
      <w:r w:rsidRPr="00B02247">
        <w:t>citizens</w:t>
      </w:r>
      <w:r w:rsidR="005B2A41">
        <w:t xml:space="preserve"> </w:t>
      </w:r>
      <w:r w:rsidRPr="00B02247">
        <w:t>in</w:t>
      </w:r>
      <w:r w:rsidR="005B2A41">
        <w:t xml:space="preserve"> </w:t>
      </w:r>
      <w:r w:rsidRPr="00B02247">
        <w:t>cases</w:t>
      </w:r>
      <w:r w:rsidR="005B2A41">
        <w:t xml:space="preserve"> </w:t>
      </w:r>
      <w:r w:rsidRPr="00B02247">
        <w:t>of</w:t>
      </w:r>
      <w:r w:rsidR="005B2A41">
        <w:t xml:space="preserve"> </w:t>
      </w:r>
      <w:r w:rsidRPr="00B02247">
        <w:t>allegations</w:t>
      </w:r>
      <w:r w:rsidR="005B2A41">
        <w:t xml:space="preserve"> </w:t>
      </w:r>
      <w:r w:rsidRPr="00B02247">
        <w:t>of</w:t>
      </w:r>
      <w:r w:rsidR="005B2A41">
        <w:t xml:space="preserve"> </w:t>
      </w:r>
      <w:r w:rsidRPr="00B02247">
        <w:t>violation</w:t>
      </w:r>
      <w:r w:rsidR="005B2A41">
        <w:t xml:space="preserve"> </w:t>
      </w:r>
      <w:r w:rsidRPr="00B02247">
        <w:t>of</w:t>
      </w:r>
      <w:r w:rsidR="005B2A41">
        <w:t xml:space="preserve"> </w:t>
      </w:r>
      <w:r w:rsidRPr="00B02247">
        <w:t>children</w:t>
      </w:r>
      <w:r w:rsidR="003E731F">
        <w:t>’</w:t>
      </w:r>
      <w:r w:rsidRPr="00B02247">
        <w:t>s</w:t>
      </w:r>
      <w:r w:rsidR="005B2A41">
        <w:t xml:space="preserve"> </w:t>
      </w:r>
      <w:r w:rsidRPr="00B02247">
        <w:t>rights</w:t>
      </w:r>
      <w:r w:rsidR="005B2A41">
        <w:t xml:space="preserve"> </w:t>
      </w:r>
      <w:r w:rsidRPr="00B02247">
        <w:t>or</w:t>
      </w:r>
      <w:r w:rsidR="005B2A41">
        <w:t xml:space="preserve"> </w:t>
      </w:r>
      <w:r w:rsidRPr="00B02247">
        <w:t>unequal</w:t>
      </w:r>
      <w:r w:rsidR="005B2A41">
        <w:t xml:space="preserve"> </w:t>
      </w:r>
      <w:r w:rsidRPr="00B02247">
        <w:t>treatment</w:t>
      </w:r>
      <w:r w:rsidR="005B2A41">
        <w:t xml:space="preserve"> </w:t>
      </w:r>
      <w:r w:rsidRPr="00B02247">
        <w:t>of</w:t>
      </w:r>
      <w:r w:rsidR="005B2A41">
        <w:t xml:space="preserve"> </w:t>
      </w:r>
      <w:r w:rsidRPr="00B02247">
        <w:t>men</w:t>
      </w:r>
      <w:r w:rsidR="005B2A41">
        <w:t xml:space="preserve"> </w:t>
      </w:r>
      <w:r w:rsidRPr="00B02247">
        <w:t>and</w:t>
      </w:r>
      <w:r w:rsidR="005B2A41">
        <w:t xml:space="preserve"> </w:t>
      </w:r>
      <w:r w:rsidRPr="00B02247">
        <w:t>women</w:t>
      </w:r>
      <w:r w:rsidR="005B2A41">
        <w:t xml:space="preserve"> </w:t>
      </w:r>
      <w:r w:rsidRPr="00B02247">
        <w:t>in</w:t>
      </w:r>
      <w:r w:rsidR="005B2A41">
        <w:t xml:space="preserve"> </w:t>
      </w:r>
      <w:r w:rsidRPr="00B02247">
        <w:t>the</w:t>
      </w:r>
      <w:r w:rsidR="005B2A41">
        <w:t xml:space="preserve"> </w:t>
      </w:r>
      <w:r w:rsidRPr="00B02247">
        <w:t>field</w:t>
      </w:r>
      <w:r w:rsidR="005B2A41">
        <w:t xml:space="preserve"> </w:t>
      </w:r>
      <w:r w:rsidRPr="00B02247">
        <w:t>of</w:t>
      </w:r>
      <w:r w:rsidR="005B2A41">
        <w:t xml:space="preserve"> </w:t>
      </w:r>
      <w:r w:rsidRPr="00B02247">
        <w:t>employment.</w:t>
      </w:r>
      <w:r w:rsidR="005B2A41">
        <w:t xml:space="preserve"> </w:t>
      </w:r>
      <w:r w:rsidRPr="00B02247">
        <w:t>Furthermore,</w:t>
      </w:r>
      <w:r w:rsidR="005B2A41">
        <w:t xml:space="preserve"> </w:t>
      </w:r>
      <w:r w:rsidRPr="00B02247">
        <w:t>the</w:t>
      </w:r>
      <w:r w:rsidR="005B2A41">
        <w:t xml:space="preserve"> </w:t>
      </w:r>
      <w:r w:rsidRPr="00B02247">
        <w:t>anti-discrimination</w:t>
      </w:r>
      <w:r w:rsidR="005B2A41">
        <w:t xml:space="preserve"> </w:t>
      </w:r>
      <w:r w:rsidRPr="00B02247">
        <w:t>legislation</w:t>
      </w:r>
      <w:r w:rsidR="005B2A41">
        <w:t xml:space="preserve"> </w:t>
      </w:r>
      <w:r w:rsidRPr="00B02247">
        <w:t>recognizes</w:t>
      </w:r>
      <w:r w:rsidR="005B2A41">
        <w:t xml:space="preserve"> </w:t>
      </w:r>
      <w:r w:rsidRPr="00B02247">
        <w:t>the</w:t>
      </w:r>
      <w:r w:rsidR="005B2A41">
        <w:t xml:space="preserve"> </w:t>
      </w:r>
      <w:r w:rsidRPr="00B02247">
        <w:t>competence</w:t>
      </w:r>
      <w:r w:rsidR="005B2A41">
        <w:t xml:space="preserve"> </w:t>
      </w:r>
      <w:r w:rsidRPr="00B02247">
        <w:t>of</w:t>
      </w:r>
      <w:r w:rsidR="005B2A41">
        <w:t xml:space="preserve"> </w:t>
      </w:r>
      <w:r w:rsidRPr="00B02247">
        <w:t>the</w:t>
      </w:r>
      <w:r w:rsidR="005B2A41">
        <w:t xml:space="preserve"> </w:t>
      </w:r>
      <w:r w:rsidRPr="00B02247">
        <w:t>Ombudsman</w:t>
      </w:r>
      <w:r w:rsidR="005B2A41">
        <w:t xml:space="preserve"> </w:t>
      </w:r>
      <w:r w:rsidRPr="00B02247">
        <w:t>to</w:t>
      </w:r>
      <w:r w:rsidR="005B2A41">
        <w:t xml:space="preserve"> </w:t>
      </w:r>
      <w:r w:rsidRPr="00B02247">
        <w:t>examine</w:t>
      </w:r>
      <w:r w:rsidR="005B2A41">
        <w:t xml:space="preserve"> </w:t>
      </w:r>
      <w:r w:rsidRPr="00B02247">
        <w:t>complaints</w:t>
      </w:r>
      <w:r w:rsidR="005B2A41">
        <w:t xml:space="preserve"> </w:t>
      </w:r>
      <w:r w:rsidRPr="00B02247">
        <w:t>of</w:t>
      </w:r>
      <w:r w:rsidR="005B2A41">
        <w:t xml:space="preserve"> </w:t>
      </w:r>
      <w:r w:rsidRPr="00B02247">
        <w:t>discrimination</w:t>
      </w:r>
      <w:r w:rsidR="005B2A41">
        <w:t xml:space="preserve"> </w:t>
      </w:r>
      <w:r w:rsidRPr="00B02247">
        <w:t>on</w:t>
      </w:r>
      <w:r w:rsidR="005B2A41">
        <w:t xml:space="preserve"> </w:t>
      </w:r>
      <w:r w:rsidRPr="00B02247">
        <w:t>the</w:t>
      </w:r>
      <w:r w:rsidR="005B2A41">
        <w:t xml:space="preserve"> </w:t>
      </w:r>
      <w:r w:rsidRPr="00B02247">
        <w:t>grounds,</w:t>
      </w:r>
      <w:r w:rsidR="005B2A41">
        <w:t xml:space="preserve"> </w:t>
      </w:r>
      <w:r w:rsidRPr="00B02247">
        <w:t>inter</w:t>
      </w:r>
      <w:r w:rsidR="005B2A41">
        <w:t xml:space="preserve"> </w:t>
      </w:r>
      <w:r w:rsidRPr="00B02247">
        <w:t>alia,</w:t>
      </w:r>
      <w:r w:rsidR="005B2A41">
        <w:t xml:space="preserve"> </w:t>
      </w:r>
      <w:r w:rsidRPr="00B02247">
        <w:t>of</w:t>
      </w:r>
      <w:r w:rsidR="005B2A41">
        <w:t xml:space="preserve"> </w:t>
      </w:r>
      <w:r w:rsidRPr="00B02247">
        <w:t>racial</w:t>
      </w:r>
      <w:r w:rsidR="005B2A41">
        <w:t xml:space="preserve"> </w:t>
      </w:r>
      <w:r w:rsidRPr="00B02247">
        <w:t>or</w:t>
      </w:r>
      <w:r w:rsidR="005B2A41">
        <w:t xml:space="preserve"> </w:t>
      </w:r>
      <w:r w:rsidRPr="00B02247">
        <w:t>ethnic</w:t>
      </w:r>
      <w:r w:rsidR="005B2A41">
        <w:t xml:space="preserve"> </w:t>
      </w:r>
      <w:r w:rsidRPr="00B02247">
        <w:t>origin,</w:t>
      </w:r>
      <w:r w:rsidR="005B2A41">
        <w:t xml:space="preserve"> </w:t>
      </w:r>
      <w:r w:rsidRPr="00B02247">
        <w:t>religious</w:t>
      </w:r>
      <w:r w:rsidR="005B2A41">
        <w:t xml:space="preserve"> </w:t>
      </w:r>
      <w:r w:rsidRPr="00B02247">
        <w:t>or</w:t>
      </w:r>
      <w:r w:rsidR="005B2A41">
        <w:t xml:space="preserve"> </w:t>
      </w:r>
      <w:r w:rsidRPr="00B02247">
        <w:t>other</w:t>
      </w:r>
      <w:r w:rsidR="005B2A41">
        <w:t xml:space="preserve"> </w:t>
      </w:r>
      <w:r w:rsidRPr="00B02247">
        <w:t>beliefs</w:t>
      </w:r>
      <w:r w:rsidR="005B2A41">
        <w:t xml:space="preserve"> </w:t>
      </w:r>
      <w:r w:rsidRPr="00B02247">
        <w:t>related</w:t>
      </w:r>
      <w:r w:rsidR="005B2A41">
        <w:t xml:space="preserve"> </w:t>
      </w:r>
      <w:r w:rsidRPr="00B02247">
        <w:t>to</w:t>
      </w:r>
      <w:r w:rsidR="005B2A41">
        <w:t xml:space="preserve"> </w:t>
      </w:r>
      <w:r w:rsidRPr="00B02247">
        <w:t>the</w:t>
      </w:r>
      <w:r w:rsidR="005B2A41">
        <w:t xml:space="preserve"> </w:t>
      </w:r>
      <w:r w:rsidRPr="00B02247">
        <w:t>service</w:t>
      </w:r>
      <w:r w:rsidR="005B2A41">
        <w:t xml:space="preserve"> </w:t>
      </w:r>
      <w:r w:rsidRPr="00B02247">
        <w:t>status</w:t>
      </w:r>
      <w:r w:rsidR="005B2A41">
        <w:t xml:space="preserve"> </w:t>
      </w:r>
      <w:r w:rsidRPr="00B02247">
        <w:t>of</w:t>
      </w:r>
      <w:r w:rsidR="005B2A41">
        <w:t xml:space="preserve"> </w:t>
      </w:r>
      <w:r w:rsidRPr="00B02247">
        <w:t>civil</w:t>
      </w:r>
      <w:r w:rsidR="005B2A41">
        <w:t xml:space="preserve"> </w:t>
      </w:r>
      <w:r w:rsidRPr="00B02247">
        <w:t>servants</w:t>
      </w:r>
      <w:r w:rsidR="005B2A41">
        <w:t xml:space="preserve"> </w:t>
      </w:r>
      <w:r w:rsidRPr="00B02247">
        <w:t>(a</w:t>
      </w:r>
      <w:r w:rsidR="005B2A41">
        <w:t xml:space="preserve"> </w:t>
      </w:r>
      <w:r w:rsidRPr="00B02247">
        <w:t>field</w:t>
      </w:r>
      <w:r w:rsidR="005B2A41">
        <w:t xml:space="preserve"> </w:t>
      </w:r>
      <w:r w:rsidRPr="00B02247">
        <w:t>otherwise</w:t>
      </w:r>
      <w:r w:rsidR="005B2A41">
        <w:t xml:space="preserve"> </w:t>
      </w:r>
      <w:r w:rsidRPr="00B02247">
        <w:t>excluded</w:t>
      </w:r>
      <w:r w:rsidR="005B2A41">
        <w:t xml:space="preserve"> </w:t>
      </w:r>
      <w:r w:rsidRPr="00B02247">
        <w:t>from</w:t>
      </w:r>
      <w:r w:rsidR="005B2A41">
        <w:t xml:space="preserve"> </w:t>
      </w:r>
      <w:r w:rsidRPr="00B02247">
        <w:t>the</w:t>
      </w:r>
      <w:r w:rsidR="005B2A41">
        <w:t xml:space="preserve"> </w:t>
      </w:r>
      <w:r w:rsidRPr="00B02247">
        <w:t>remit</w:t>
      </w:r>
      <w:r w:rsidR="005B2A41">
        <w:t xml:space="preserve"> </w:t>
      </w:r>
      <w:r w:rsidRPr="00B02247">
        <w:t>of</w:t>
      </w:r>
      <w:r w:rsidR="005B2A41">
        <w:t xml:space="preserve"> </w:t>
      </w:r>
      <w:r w:rsidRPr="00B02247">
        <w:t>the</w:t>
      </w:r>
      <w:r w:rsidR="005B2A41">
        <w:t xml:space="preserve"> </w:t>
      </w:r>
      <w:r w:rsidRPr="00B02247">
        <w:t>Ombudsman).</w:t>
      </w:r>
      <w:r w:rsidR="005B2A41">
        <w:t xml:space="preserve"> </w:t>
      </w:r>
    </w:p>
    <w:p w:rsidR="00F233AB" w:rsidRPr="00B02247" w:rsidRDefault="00F233AB" w:rsidP="00E1307D">
      <w:pPr>
        <w:pStyle w:val="SingleTxtG"/>
      </w:pPr>
      <w:r w:rsidRPr="00B02247">
        <w:t>102.</w:t>
      </w:r>
      <w:r w:rsidRPr="00B02247">
        <w:tab/>
        <w:t>In</w:t>
      </w:r>
      <w:r w:rsidR="005B2A41">
        <w:t xml:space="preserve"> </w:t>
      </w:r>
      <w:r w:rsidRPr="00B02247">
        <w:t>2016,</w:t>
      </w:r>
      <w:r w:rsidR="005B2A41">
        <w:t xml:space="preserve"> </w:t>
      </w:r>
      <w:r w:rsidRPr="00B02247">
        <w:t>the</w:t>
      </w:r>
      <w:r w:rsidR="005B2A41">
        <w:t xml:space="preserve"> </w:t>
      </w:r>
      <w:r w:rsidRPr="00B02247">
        <w:t>Ombudsman</w:t>
      </w:r>
      <w:r w:rsidR="005B2A41">
        <w:t xml:space="preserve"> </w:t>
      </w:r>
      <w:r w:rsidRPr="00B02247">
        <w:t>received</w:t>
      </w:r>
      <w:r w:rsidR="005B2A41">
        <w:t xml:space="preserve"> </w:t>
      </w:r>
      <w:r w:rsidRPr="00B02247">
        <w:t>11,915</w:t>
      </w:r>
      <w:r w:rsidR="005B2A41">
        <w:t xml:space="preserve"> </w:t>
      </w:r>
      <w:r w:rsidRPr="00B02247">
        <w:t>new</w:t>
      </w:r>
      <w:r w:rsidR="005B2A41">
        <w:t xml:space="preserve"> </w:t>
      </w:r>
      <w:r w:rsidRPr="00B02247">
        <w:t>complaints.</w:t>
      </w:r>
      <w:r w:rsidR="005B2A41">
        <w:t xml:space="preserve"> </w:t>
      </w:r>
      <w:r w:rsidRPr="00B02247">
        <w:t>Although</w:t>
      </w:r>
      <w:r w:rsidR="005B2A41">
        <w:t xml:space="preserve"> </w:t>
      </w:r>
      <w:r w:rsidRPr="00B02247">
        <w:t>not</w:t>
      </w:r>
      <w:r w:rsidR="005B2A41">
        <w:t xml:space="preserve"> </w:t>
      </w:r>
      <w:r w:rsidRPr="00B02247">
        <w:t>binding,</w:t>
      </w:r>
      <w:r w:rsidR="005B2A41">
        <w:t xml:space="preserve"> </w:t>
      </w:r>
      <w:r w:rsidRPr="00B02247">
        <w:t>the</w:t>
      </w:r>
      <w:r w:rsidR="005B2A41">
        <w:t xml:space="preserve"> </w:t>
      </w:r>
      <w:r w:rsidRPr="00B02247">
        <w:t>Ombudsman</w:t>
      </w:r>
      <w:r w:rsidR="003E731F">
        <w:t>’</w:t>
      </w:r>
      <w:r w:rsidRPr="00B02247">
        <w:t>s</w:t>
      </w:r>
      <w:r w:rsidR="005B2A41">
        <w:t xml:space="preserve"> </w:t>
      </w:r>
      <w:r w:rsidRPr="00B02247">
        <w:t>recommendations</w:t>
      </w:r>
      <w:r w:rsidR="005B2A41">
        <w:t xml:space="preserve"> </w:t>
      </w:r>
      <w:r w:rsidRPr="00B02247">
        <w:t>are</w:t>
      </w:r>
      <w:r w:rsidR="005B2A41">
        <w:t xml:space="preserve"> </w:t>
      </w:r>
      <w:r w:rsidRPr="00B02247">
        <w:t>thoroughly</w:t>
      </w:r>
      <w:r w:rsidR="005B2A41">
        <w:t xml:space="preserve"> </w:t>
      </w:r>
      <w:r w:rsidRPr="00B02247">
        <w:t>examined</w:t>
      </w:r>
      <w:r w:rsidR="005B2A41">
        <w:t xml:space="preserve"> </w:t>
      </w:r>
      <w:r w:rsidRPr="00B02247">
        <w:t>and</w:t>
      </w:r>
      <w:r w:rsidR="005B2A41">
        <w:t xml:space="preserve"> </w:t>
      </w:r>
      <w:r w:rsidRPr="00B02247">
        <w:t>taken</w:t>
      </w:r>
      <w:r w:rsidR="005B2A41">
        <w:t xml:space="preserve"> </w:t>
      </w:r>
      <w:r w:rsidRPr="00B02247">
        <w:t>into</w:t>
      </w:r>
      <w:r w:rsidR="005B2A41">
        <w:t xml:space="preserve"> </w:t>
      </w:r>
      <w:r w:rsidRPr="00B02247">
        <w:t>consideration;</w:t>
      </w:r>
      <w:r w:rsidR="005B2A41">
        <w:t xml:space="preserve"> </w:t>
      </w:r>
      <w:r w:rsidRPr="00B02247">
        <w:t>there</w:t>
      </w:r>
      <w:r w:rsidR="005B2A41">
        <w:t xml:space="preserve"> </w:t>
      </w:r>
      <w:r w:rsidRPr="00B02247">
        <w:t>are</w:t>
      </w:r>
      <w:r w:rsidR="005B2A41">
        <w:t xml:space="preserve"> </w:t>
      </w:r>
      <w:r w:rsidRPr="00B02247">
        <w:t>many</w:t>
      </w:r>
      <w:r w:rsidR="005B2A41">
        <w:t xml:space="preserve"> </w:t>
      </w:r>
      <w:r w:rsidRPr="00B02247">
        <w:t>examples</w:t>
      </w:r>
      <w:r w:rsidR="005B2A41">
        <w:t xml:space="preserve"> </w:t>
      </w:r>
      <w:r w:rsidRPr="00B02247">
        <w:t>of</w:t>
      </w:r>
      <w:r w:rsidR="005B2A41">
        <w:t xml:space="preserve"> </w:t>
      </w:r>
      <w:r w:rsidRPr="00B02247">
        <w:t>recommendations</w:t>
      </w:r>
      <w:r w:rsidR="005B2A41">
        <w:t xml:space="preserve"> </w:t>
      </w:r>
      <w:r w:rsidRPr="00B02247">
        <w:t>and</w:t>
      </w:r>
      <w:r w:rsidR="005B2A41">
        <w:t xml:space="preserve"> </w:t>
      </w:r>
      <w:r w:rsidRPr="00B02247">
        <w:t>suggestions</w:t>
      </w:r>
      <w:r w:rsidR="005B2A41">
        <w:t xml:space="preserve"> </w:t>
      </w:r>
      <w:r w:rsidRPr="00B02247">
        <w:t>which</w:t>
      </w:r>
      <w:r w:rsidR="005B2A41">
        <w:t xml:space="preserve"> </w:t>
      </w:r>
      <w:r w:rsidRPr="00B02247">
        <w:t>have</w:t>
      </w:r>
      <w:r w:rsidR="005B2A41">
        <w:t xml:space="preserve"> </w:t>
      </w:r>
      <w:r w:rsidRPr="00B02247">
        <w:t>eventually</w:t>
      </w:r>
      <w:r w:rsidR="005B2A41">
        <w:t xml:space="preserve"> </w:t>
      </w:r>
      <w:r w:rsidRPr="00B02247">
        <w:t>been</w:t>
      </w:r>
      <w:r w:rsidR="005B2A41">
        <w:t xml:space="preserve"> </w:t>
      </w:r>
      <w:r w:rsidRPr="00B02247">
        <w:t>accepted</w:t>
      </w:r>
      <w:r w:rsidR="005B2A41">
        <w:t xml:space="preserve"> </w:t>
      </w:r>
      <w:r w:rsidRPr="00B02247">
        <w:t>by</w:t>
      </w:r>
      <w:r w:rsidR="005B2A41">
        <w:t xml:space="preserve"> </w:t>
      </w:r>
      <w:r w:rsidRPr="00B02247">
        <w:t>the</w:t>
      </w:r>
      <w:r w:rsidR="005B2A41">
        <w:t xml:space="preserve"> </w:t>
      </w:r>
      <w:r w:rsidRPr="00B02247">
        <w:t>Administration.</w:t>
      </w:r>
      <w:r w:rsidR="005B2A41">
        <w:t xml:space="preserve"> </w:t>
      </w:r>
      <w:r w:rsidRPr="00B02247">
        <w:t>In</w:t>
      </w:r>
      <w:r w:rsidR="005B2A41">
        <w:t xml:space="preserve"> </w:t>
      </w:r>
      <w:r w:rsidRPr="00B02247">
        <w:t>2016,</w:t>
      </w:r>
      <w:r w:rsidR="005B2A41">
        <w:t xml:space="preserve"> </w:t>
      </w:r>
      <w:r w:rsidRPr="00B02247">
        <w:t>the</w:t>
      </w:r>
      <w:r w:rsidR="005B2A41">
        <w:t xml:space="preserve"> </w:t>
      </w:r>
      <w:r w:rsidRPr="00B02247">
        <w:t>percentage</w:t>
      </w:r>
      <w:r w:rsidR="005B2A41">
        <w:t xml:space="preserve"> </w:t>
      </w:r>
      <w:r w:rsidRPr="00B02247">
        <w:t>of</w:t>
      </w:r>
      <w:r w:rsidR="005B2A41">
        <w:t xml:space="preserve"> </w:t>
      </w:r>
      <w:r w:rsidRPr="00B02247">
        <w:t>successful</w:t>
      </w:r>
      <w:r w:rsidR="005B2A41">
        <w:t xml:space="preserve"> </w:t>
      </w:r>
      <w:r w:rsidRPr="00B02247">
        <w:t>mediation</w:t>
      </w:r>
      <w:r w:rsidR="005B2A41">
        <w:t xml:space="preserve"> </w:t>
      </w:r>
      <w:r w:rsidRPr="00B02247">
        <w:t>cases</w:t>
      </w:r>
      <w:r w:rsidR="005B2A41">
        <w:t xml:space="preserve"> </w:t>
      </w:r>
      <w:r w:rsidRPr="00B02247">
        <w:t>was</w:t>
      </w:r>
      <w:r w:rsidR="005B2A41">
        <w:t xml:space="preserve"> </w:t>
      </w:r>
      <w:r w:rsidRPr="00B02247">
        <w:t>more</w:t>
      </w:r>
      <w:r w:rsidR="005B2A41">
        <w:t xml:space="preserve"> </w:t>
      </w:r>
      <w:r w:rsidRPr="00B02247">
        <w:t>than</w:t>
      </w:r>
      <w:r w:rsidR="005B2A41">
        <w:t xml:space="preserve"> </w:t>
      </w:r>
      <w:r w:rsidRPr="00B02247">
        <w:t>80%.</w:t>
      </w:r>
      <w:r w:rsidR="005B2A41">
        <w:t xml:space="preserve"> </w:t>
      </w:r>
      <w:r w:rsidRPr="00B02247">
        <w:t>Thus,</w:t>
      </w:r>
      <w:r w:rsidR="005B2A41">
        <w:t xml:space="preserve"> </w:t>
      </w:r>
      <w:r w:rsidRPr="00B02247">
        <w:t>the</w:t>
      </w:r>
      <w:r w:rsidR="005B2A41">
        <w:t xml:space="preserve"> </w:t>
      </w:r>
      <w:r w:rsidRPr="00B02247">
        <w:t>Greek</w:t>
      </w:r>
      <w:r w:rsidR="005B2A41">
        <w:t xml:space="preserve"> </w:t>
      </w:r>
      <w:r w:rsidRPr="00B02247">
        <w:t>Ombudsman</w:t>
      </w:r>
      <w:r w:rsidR="005B2A41">
        <w:t xml:space="preserve"> </w:t>
      </w:r>
      <w:r w:rsidRPr="00B02247">
        <w:t>enjoys</w:t>
      </w:r>
      <w:r w:rsidR="005B2A41">
        <w:t xml:space="preserve"> </w:t>
      </w:r>
      <w:r w:rsidRPr="00B02247">
        <w:t>wide</w:t>
      </w:r>
      <w:r w:rsidR="005B2A41">
        <w:t xml:space="preserve"> </w:t>
      </w:r>
      <w:r w:rsidRPr="00B02247">
        <w:t>trust</w:t>
      </w:r>
      <w:r w:rsidR="005B2A41">
        <w:t xml:space="preserve"> </w:t>
      </w:r>
      <w:r w:rsidRPr="00B02247">
        <w:t>and</w:t>
      </w:r>
      <w:r w:rsidR="005B2A41">
        <w:t xml:space="preserve"> </w:t>
      </w:r>
      <w:r w:rsidRPr="00B02247">
        <w:t>confidence</w:t>
      </w:r>
      <w:r w:rsidR="005B2A41">
        <w:t xml:space="preserve"> </w:t>
      </w:r>
      <w:r w:rsidRPr="00B02247">
        <w:t>on</w:t>
      </w:r>
      <w:r w:rsidR="005B2A41">
        <w:t xml:space="preserve"> </w:t>
      </w:r>
      <w:r w:rsidRPr="00B02247">
        <w:t>the</w:t>
      </w:r>
      <w:r w:rsidR="005B2A41">
        <w:t xml:space="preserve"> </w:t>
      </w:r>
      <w:r w:rsidRPr="00B02247">
        <w:t>part</w:t>
      </w:r>
      <w:r w:rsidR="005B2A41">
        <w:t xml:space="preserve"> </w:t>
      </w:r>
      <w:r w:rsidRPr="00B02247">
        <w:t>both</w:t>
      </w:r>
      <w:r w:rsidR="005B2A41">
        <w:t xml:space="preserve"> </w:t>
      </w:r>
      <w:r w:rsidRPr="00B02247">
        <w:t>of</w:t>
      </w:r>
      <w:r w:rsidR="005B2A41">
        <w:t xml:space="preserve"> </w:t>
      </w:r>
      <w:r w:rsidRPr="00B02247">
        <w:t>the</w:t>
      </w:r>
      <w:r w:rsidR="005B2A41">
        <w:t xml:space="preserve"> </w:t>
      </w:r>
      <w:r w:rsidRPr="00B02247">
        <w:t>public,</w:t>
      </w:r>
      <w:r w:rsidR="005B2A41">
        <w:t xml:space="preserve"> </w:t>
      </w:r>
      <w:r w:rsidRPr="00B02247">
        <w:t>as</w:t>
      </w:r>
      <w:r w:rsidR="005B2A41">
        <w:t xml:space="preserve"> </w:t>
      </w:r>
      <w:r w:rsidRPr="00B02247">
        <w:t>evidenced</w:t>
      </w:r>
      <w:r w:rsidR="005B2A41">
        <w:t xml:space="preserve"> </w:t>
      </w:r>
      <w:r w:rsidRPr="00B02247">
        <w:t>by</w:t>
      </w:r>
      <w:r w:rsidR="005B2A41">
        <w:t xml:space="preserve"> </w:t>
      </w:r>
      <w:r w:rsidRPr="00B02247">
        <w:t>the</w:t>
      </w:r>
      <w:r w:rsidR="005B2A41">
        <w:t xml:space="preserve"> </w:t>
      </w:r>
      <w:r w:rsidRPr="00B02247">
        <w:t>constant</w:t>
      </w:r>
      <w:r w:rsidR="005B2A41">
        <w:t xml:space="preserve"> </w:t>
      </w:r>
      <w:r w:rsidRPr="00B02247">
        <w:t>flow</w:t>
      </w:r>
      <w:r w:rsidR="005B2A41">
        <w:t xml:space="preserve"> </w:t>
      </w:r>
      <w:r w:rsidRPr="00B02247">
        <w:t>of</w:t>
      </w:r>
      <w:r w:rsidR="005B2A41">
        <w:t xml:space="preserve"> </w:t>
      </w:r>
      <w:r w:rsidRPr="00B02247">
        <w:t>complaints</w:t>
      </w:r>
      <w:r w:rsidR="005B2A41">
        <w:t xml:space="preserve"> </w:t>
      </w:r>
      <w:r w:rsidRPr="00B02247">
        <w:t>and</w:t>
      </w:r>
      <w:r w:rsidR="005B2A41">
        <w:t xml:space="preserve"> </w:t>
      </w:r>
      <w:r w:rsidRPr="00B02247">
        <w:t>the</w:t>
      </w:r>
      <w:r w:rsidR="005B2A41">
        <w:t xml:space="preserve"> </w:t>
      </w:r>
      <w:r w:rsidRPr="00B02247">
        <w:t>public</w:t>
      </w:r>
      <w:r w:rsidR="005B2A41">
        <w:t xml:space="preserve"> </w:t>
      </w:r>
      <w:r w:rsidRPr="00B02247">
        <w:t>authorities</w:t>
      </w:r>
      <w:r w:rsidR="003E731F">
        <w:t>’</w:t>
      </w:r>
      <w:r w:rsidR="005B2A41">
        <w:t xml:space="preserve"> </w:t>
      </w:r>
      <w:r w:rsidRPr="00B02247">
        <w:t>constructive</w:t>
      </w:r>
      <w:r w:rsidR="005B2A41">
        <w:t xml:space="preserve"> </w:t>
      </w:r>
      <w:r w:rsidRPr="00B02247">
        <w:t>response</w:t>
      </w:r>
      <w:r w:rsidR="005B2A41">
        <w:t xml:space="preserve"> </w:t>
      </w:r>
      <w:r w:rsidRPr="00B02247">
        <w:t>to</w:t>
      </w:r>
      <w:r w:rsidR="005B2A41">
        <w:t xml:space="preserve"> </w:t>
      </w:r>
      <w:r w:rsidRPr="00B02247">
        <w:t>the</w:t>
      </w:r>
      <w:r w:rsidR="005B2A41">
        <w:t xml:space="preserve"> </w:t>
      </w:r>
      <w:r w:rsidRPr="00B02247">
        <w:t>Ombudsman</w:t>
      </w:r>
      <w:r w:rsidR="003E731F">
        <w:t>’</w:t>
      </w:r>
      <w:r w:rsidRPr="00B02247">
        <w:t>s</w:t>
      </w:r>
      <w:r w:rsidR="005B2A41">
        <w:t xml:space="preserve"> </w:t>
      </w:r>
      <w:r w:rsidRPr="00B02247">
        <w:t>recommendations.</w:t>
      </w:r>
      <w:r w:rsidR="005B2A41">
        <w:t xml:space="preserve"> </w:t>
      </w:r>
    </w:p>
    <w:p w:rsidR="00F233AB" w:rsidRPr="00B02247" w:rsidRDefault="00F233AB" w:rsidP="00DC6EBA">
      <w:pPr>
        <w:pStyle w:val="H4G"/>
      </w:pPr>
      <w:r w:rsidRPr="00B02247">
        <w:tab/>
      </w:r>
      <w:r w:rsidRPr="00B02247">
        <w:tab/>
        <w:t>Other</w:t>
      </w:r>
      <w:r w:rsidR="005B2A41">
        <w:t xml:space="preserve"> </w:t>
      </w:r>
      <w:r w:rsidRPr="00B02247">
        <w:t>bodies</w:t>
      </w:r>
      <w:r w:rsidR="008C2A78">
        <w:t xml:space="preserve"> </w:t>
      </w:r>
      <w:r w:rsidR="00DC6EBA">
        <w:t>—</w:t>
      </w:r>
      <w:r w:rsidR="008C2A78">
        <w:t xml:space="preserve"> </w:t>
      </w:r>
      <w:r w:rsidRPr="00B02247">
        <w:t>the</w:t>
      </w:r>
      <w:r w:rsidR="005B2A41">
        <w:t xml:space="preserve"> </w:t>
      </w:r>
      <w:r w:rsidRPr="00B02247">
        <w:t>National</w:t>
      </w:r>
      <w:r w:rsidR="005B2A41">
        <w:t xml:space="preserve"> </w:t>
      </w:r>
      <w:r w:rsidRPr="00B02247">
        <w:t>Bioethics</w:t>
      </w:r>
      <w:r w:rsidR="005B2A41">
        <w:t xml:space="preserve"> </w:t>
      </w:r>
      <w:r w:rsidRPr="00B02247">
        <w:t>Commission</w:t>
      </w:r>
      <w:r w:rsidR="005B2A41">
        <w:t xml:space="preserve"> </w:t>
      </w:r>
    </w:p>
    <w:p w:rsidR="00F233AB" w:rsidRPr="00B02247" w:rsidRDefault="00F233AB" w:rsidP="00E1307D">
      <w:pPr>
        <w:pStyle w:val="SingleTxtG"/>
      </w:pPr>
      <w:r w:rsidRPr="00B02247">
        <w:t>103.</w:t>
      </w:r>
      <w:r w:rsidRPr="00B02247">
        <w:tab/>
        <w:t>The</w:t>
      </w:r>
      <w:r w:rsidR="005B2A41">
        <w:t xml:space="preserve"> </w:t>
      </w:r>
      <w:r w:rsidRPr="00B02247">
        <w:t>National</w:t>
      </w:r>
      <w:r w:rsidR="005B2A41">
        <w:t xml:space="preserve"> </w:t>
      </w:r>
      <w:r w:rsidRPr="00B02247">
        <w:t>Bioethics</w:t>
      </w:r>
      <w:r w:rsidR="005B2A41">
        <w:t xml:space="preserve"> </w:t>
      </w:r>
      <w:r w:rsidRPr="00B02247">
        <w:t>Commission,</w:t>
      </w:r>
      <w:r w:rsidR="005B2A41">
        <w:t xml:space="preserve"> </w:t>
      </w:r>
      <w:r w:rsidRPr="00B02247">
        <w:t>established</w:t>
      </w:r>
      <w:r w:rsidR="005B2A41">
        <w:t xml:space="preserve"> </w:t>
      </w:r>
      <w:r w:rsidRPr="00B02247">
        <w:t>by</w:t>
      </w:r>
      <w:r w:rsidR="005B2A41">
        <w:t xml:space="preserve"> </w:t>
      </w:r>
      <w:r w:rsidRPr="00B02247">
        <w:t>Law</w:t>
      </w:r>
      <w:r w:rsidR="005B2A41">
        <w:t xml:space="preserve"> </w:t>
      </w:r>
      <w:r w:rsidRPr="00B02247">
        <w:t>2667/1998,</w:t>
      </w:r>
      <w:r w:rsidR="005B2A41">
        <w:t xml:space="preserve"> </w:t>
      </w:r>
      <w:r w:rsidRPr="00B02247">
        <w:t>is</w:t>
      </w:r>
      <w:r w:rsidR="005B2A41">
        <w:t xml:space="preserve"> </w:t>
      </w:r>
      <w:r w:rsidRPr="00B02247">
        <w:t>an</w:t>
      </w:r>
      <w:r w:rsidR="005B2A41">
        <w:t xml:space="preserve"> </w:t>
      </w:r>
      <w:r w:rsidRPr="00B02247">
        <w:t>independent</w:t>
      </w:r>
      <w:r w:rsidR="005B2A41">
        <w:t xml:space="preserve"> </w:t>
      </w:r>
      <w:r w:rsidRPr="00B02247">
        <w:t>advisory</w:t>
      </w:r>
      <w:r w:rsidR="005B2A41">
        <w:t xml:space="preserve"> </w:t>
      </w:r>
      <w:r w:rsidRPr="00B02247">
        <w:t>body</w:t>
      </w:r>
      <w:r w:rsidR="005B2A41">
        <w:t xml:space="preserve"> </w:t>
      </w:r>
      <w:r w:rsidRPr="00B02247">
        <w:t>of</w:t>
      </w:r>
      <w:r w:rsidR="005B2A41">
        <w:t xml:space="preserve"> </w:t>
      </w:r>
      <w:r w:rsidRPr="00B02247">
        <w:t>experts</w:t>
      </w:r>
      <w:r w:rsidR="005B2A41">
        <w:t xml:space="preserve"> </w:t>
      </w:r>
      <w:r w:rsidRPr="00B02247">
        <w:t>which</w:t>
      </w:r>
      <w:r w:rsidR="005B2A41">
        <w:t xml:space="preserve"> </w:t>
      </w:r>
      <w:r w:rsidRPr="00B02247">
        <w:t>is</w:t>
      </w:r>
      <w:r w:rsidR="005B2A41">
        <w:t xml:space="preserve"> </w:t>
      </w:r>
      <w:r w:rsidRPr="00B02247">
        <w:t>subject</w:t>
      </w:r>
      <w:r w:rsidR="005B2A41">
        <w:t xml:space="preserve"> </w:t>
      </w:r>
      <w:r w:rsidRPr="00B02247">
        <w:t>to</w:t>
      </w:r>
      <w:r w:rsidR="005B2A41">
        <w:t xml:space="preserve"> </w:t>
      </w:r>
      <w:r w:rsidRPr="00B02247">
        <w:t>the</w:t>
      </w:r>
      <w:r w:rsidR="005B2A41">
        <w:t xml:space="preserve"> </w:t>
      </w:r>
      <w:r w:rsidRPr="00B02247">
        <w:t>Prime</w:t>
      </w:r>
      <w:r w:rsidR="005B2A41">
        <w:t xml:space="preserve"> </w:t>
      </w:r>
      <w:r w:rsidRPr="00B02247">
        <w:t>Minister.</w:t>
      </w:r>
      <w:r w:rsidR="005B2A41">
        <w:t xml:space="preserve"> </w:t>
      </w:r>
      <w:r w:rsidRPr="00B02247">
        <w:t>Its</w:t>
      </w:r>
      <w:r w:rsidR="005B2A41">
        <w:t xml:space="preserve"> </w:t>
      </w:r>
      <w:r w:rsidRPr="00B02247">
        <w:t>mission</w:t>
      </w:r>
      <w:r w:rsidR="005B2A41">
        <w:t xml:space="preserve"> </w:t>
      </w:r>
      <w:r w:rsidRPr="00B02247">
        <w:t>is</w:t>
      </w:r>
      <w:r w:rsidR="005B2A41">
        <w:t xml:space="preserve"> </w:t>
      </w:r>
      <w:r w:rsidRPr="00B02247">
        <w:t>to</w:t>
      </w:r>
      <w:r w:rsidR="005B2A41">
        <w:t xml:space="preserve"> </w:t>
      </w:r>
      <w:r w:rsidRPr="00B02247">
        <w:t>explore</w:t>
      </w:r>
      <w:r w:rsidR="005B2A41">
        <w:t xml:space="preserve"> </w:t>
      </w:r>
      <w:r w:rsidRPr="00B02247">
        <w:t>the</w:t>
      </w:r>
      <w:r w:rsidR="005B2A41">
        <w:t xml:space="preserve"> </w:t>
      </w:r>
      <w:r w:rsidRPr="00B02247">
        <w:t>ethical,</w:t>
      </w:r>
      <w:r w:rsidR="005B2A41">
        <w:t xml:space="preserve"> </w:t>
      </w:r>
      <w:r w:rsidRPr="00B02247">
        <w:t>social</w:t>
      </w:r>
      <w:r w:rsidR="005B2A41">
        <w:t xml:space="preserve"> </w:t>
      </w:r>
      <w:r w:rsidRPr="00B02247">
        <w:t>and</w:t>
      </w:r>
      <w:r w:rsidR="005B2A41">
        <w:t xml:space="preserve"> </w:t>
      </w:r>
      <w:r w:rsidRPr="00B02247">
        <w:t>legal</w:t>
      </w:r>
      <w:r w:rsidR="005B2A41">
        <w:t xml:space="preserve"> </w:t>
      </w:r>
      <w:r w:rsidRPr="00B02247">
        <w:t>impact</w:t>
      </w:r>
      <w:r w:rsidR="005B2A41">
        <w:t xml:space="preserve"> </w:t>
      </w:r>
      <w:r w:rsidRPr="00B02247">
        <w:t>of</w:t>
      </w:r>
      <w:r w:rsidR="005B2A41">
        <w:t xml:space="preserve"> </w:t>
      </w:r>
      <w:r w:rsidRPr="00B02247">
        <w:t>the</w:t>
      </w:r>
      <w:r w:rsidR="005B2A41">
        <w:t xml:space="preserve"> </w:t>
      </w:r>
      <w:r w:rsidRPr="00B02247">
        <w:t>possible</w:t>
      </w:r>
      <w:r w:rsidR="005B2A41">
        <w:t xml:space="preserve"> </w:t>
      </w:r>
      <w:r w:rsidRPr="00B02247">
        <w:t>applications</w:t>
      </w:r>
      <w:r w:rsidR="005B2A41">
        <w:t xml:space="preserve"> </w:t>
      </w:r>
      <w:r w:rsidRPr="00B02247">
        <w:t>of</w:t>
      </w:r>
      <w:r w:rsidR="005B2A41">
        <w:t xml:space="preserve"> </w:t>
      </w:r>
      <w:r w:rsidRPr="00B02247">
        <w:t>biological</w:t>
      </w:r>
      <w:r w:rsidR="005B2A41">
        <w:t xml:space="preserve"> </w:t>
      </w:r>
      <w:r w:rsidRPr="00B02247">
        <w:t>sciences.</w:t>
      </w:r>
      <w:r w:rsidR="005B2A41">
        <w:t xml:space="preserve"> </w:t>
      </w:r>
      <w:r w:rsidRPr="00B02247">
        <w:t>More</w:t>
      </w:r>
      <w:r w:rsidR="005B2A41">
        <w:t xml:space="preserve"> </w:t>
      </w:r>
      <w:r w:rsidRPr="00B02247">
        <w:t>specifically,</w:t>
      </w:r>
      <w:r w:rsidR="005B2A41">
        <w:t xml:space="preserve"> </w:t>
      </w:r>
      <w:r w:rsidRPr="00B02247">
        <w:t>the</w:t>
      </w:r>
      <w:r w:rsidR="005B2A41">
        <w:t xml:space="preserve"> </w:t>
      </w:r>
      <w:r w:rsidRPr="00B02247">
        <w:t>Commission</w:t>
      </w:r>
      <w:r w:rsidR="005B2A41">
        <w:t xml:space="preserve"> </w:t>
      </w:r>
      <w:r w:rsidRPr="00B02247">
        <w:t>investigates</w:t>
      </w:r>
      <w:r w:rsidR="005B2A41">
        <w:t xml:space="preserve"> </w:t>
      </w:r>
      <w:r w:rsidRPr="00B02247">
        <w:t>the</w:t>
      </w:r>
      <w:r w:rsidR="005B2A41">
        <w:t xml:space="preserve"> </w:t>
      </w:r>
      <w:r w:rsidRPr="00B02247">
        <w:t>ethical,</w:t>
      </w:r>
      <w:r w:rsidR="005B2A41">
        <w:t xml:space="preserve"> </w:t>
      </w:r>
      <w:r w:rsidRPr="00B02247">
        <w:t>social</w:t>
      </w:r>
      <w:r w:rsidR="005B2A41">
        <w:t xml:space="preserve"> </w:t>
      </w:r>
      <w:r w:rsidRPr="00B02247">
        <w:t>and</w:t>
      </w:r>
      <w:r w:rsidR="005B2A41">
        <w:t xml:space="preserve"> </w:t>
      </w:r>
      <w:r w:rsidRPr="00B02247">
        <w:t>legal</w:t>
      </w:r>
      <w:r w:rsidR="005B2A41">
        <w:t xml:space="preserve"> </w:t>
      </w:r>
      <w:r w:rsidRPr="00B02247">
        <w:t>aspects</w:t>
      </w:r>
      <w:r w:rsidR="005B2A41">
        <w:t xml:space="preserve"> </w:t>
      </w:r>
      <w:r w:rsidRPr="00B02247">
        <w:t>that</w:t>
      </w:r>
      <w:r w:rsidR="005B2A41">
        <w:t xml:space="preserve"> </w:t>
      </w:r>
      <w:r w:rsidRPr="00B02247">
        <w:t>arise</w:t>
      </w:r>
      <w:r w:rsidR="005B2A41">
        <w:t xml:space="preserve"> </w:t>
      </w:r>
      <w:r w:rsidRPr="00B02247">
        <w:t>from</w:t>
      </w:r>
      <w:r w:rsidR="005B2A41">
        <w:t xml:space="preserve"> </w:t>
      </w:r>
      <w:r w:rsidRPr="00B02247">
        <w:t>scientific</w:t>
      </w:r>
      <w:r w:rsidR="005B2A41">
        <w:t xml:space="preserve"> </w:t>
      </w:r>
      <w:r w:rsidRPr="00B02247">
        <w:t>advances</w:t>
      </w:r>
      <w:r w:rsidR="005B2A41">
        <w:t xml:space="preserve"> </w:t>
      </w:r>
      <w:r w:rsidRPr="00B02247">
        <w:t>in</w:t>
      </w:r>
      <w:r w:rsidR="005B2A41">
        <w:t xml:space="preserve"> </w:t>
      </w:r>
      <w:r w:rsidRPr="00B02247">
        <w:t>biology,</w:t>
      </w:r>
      <w:r w:rsidR="005B2A41">
        <w:t xml:space="preserve"> </w:t>
      </w:r>
      <w:r w:rsidRPr="00B02247">
        <w:t>biotechnology,</w:t>
      </w:r>
      <w:r w:rsidR="005B2A41">
        <w:t xml:space="preserve"> </w:t>
      </w:r>
      <w:r w:rsidRPr="00B02247">
        <w:t>medicine</w:t>
      </w:r>
      <w:r w:rsidR="005B2A41">
        <w:t xml:space="preserve"> </w:t>
      </w:r>
      <w:r w:rsidRPr="00B02247">
        <w:t>and</w:t>
      </w:r>
      <w:r w:rsidR="005B2A41">
        <w:t xml:space="preserve"> </w:t>
      </w:r>
      <w:r w:rsidRPr="00B02247">
        <w:t>genetics;</w:t>
      </w:r>
      <w:r w:rsidR="005B2A41">
        <w:t xml:space="preserve"> </w:t>
      </w:r>
      <w:r w:rsidRPr="00B02247">
        <w:t>outlines,</w:t>
      </w:r>
      <w:r w:rsidR="005B2A41">
        <w:t xml:space="preserve"> </w:t>
      </w:r>
      <w:r w:rsidRPr="00B02247">
        <w:t>in</w:t>
      </w:r>
      <w:r w:rsidR="005B2A41">
        <w:t xml:space="preserve"> </w:t>
      </w:r>
      <w:r w:rsidRPr="00B02247">
        <w:t>collaboration</w:t>
      </w:r>
      <w:r w:rsidR="005B2A41">
        <w:t xml:space="preserve"> </w:t>
      </w:r>
      <w:r w:rsidRPr="00B02247">
        <w:t>with</w:t>
      </w:r>
      <w:r w:rsidR="005B2A41">
        <w:t xml:space="preserve"> </w:t>
      </w:r>
      <w:r w:rsidRPr="00B02247">
        <w:t>the</w:t>
      </w:r>
      <w:r w:rsidR="005B2A41">
        <w:t xml:space="preserve"> </w:t>
      </w:r>
      <w:r w:rsidRPr="00B02247">
        <w:t>respective</w:t>
      </w:r>
      <w:r w:rsidR="005B2A41">
        <w:t xml:space="preserve"> </w:t>
      </w:r>
      <w:r w:rsidRPr="00B02247">
        <w:t>Ministries,</w:t>
      </w:r>
      <w:r w:rsidR="005B2A41">
        <w:t xml:space="preserve"> </w:t>
      </w:r>
      <w:r w:rsidRPr="00B02247">
        <w:t>proposals</w:t>
      </w:r>
      <w:r w:rsidR="005B2A41">
        <w:t xml:space="preserve"> </w:t>
      </w:r>
      <w:r w:rsidRPr="00B02247">
        <w:t>of</w:t>
      </w:r>
      <w:r w:rsidR="005B2A41">
        <w:t xml:space="preserve"> </w:t>
      </w:r>
      <w:r w:rsidRPr="00B02247">
        <w:t>general</w:t>
      </w:r>
      <w:r w:rsidR="005B2A41">
        <w:t xml:space="preserve"> </w:t>
      </w:r>
      <w:r w:rsidRPr="00B02247">
        <w:t>policy</w:t>
      </w:r>
      <w:r w:rsidR="005B2A41">
        <w:t xml:space="preserve"> </w:t>
      </w:r>
      <w:r w:rsidRPr="00B02247">
        <w:t>and</w:t>
      </w:r>
      <w:r w:rsidR="005B2A41">
        <w:t xml:space="preserve"> </w:t>
      </w:r>
      <w:r w:rsidRPr="00B02247">
        <w:t>provides</w:t>
      </w:r>
      <w:r w:rsidR="005B2A41">
        <w:t xml:space="preserve"> </w:t>
      </w:r>
      <w:r w:rsidRPr="00B02247">
        <w:t>specific</w:t>
      </w:r>
      <w:r w:rsidR="005B2A41">
        <w:t xml:space="preserve"> </w:t>
      </w:r>
      <w:r w:rsidRPr="00B02247">
        <w:t>recommendations</w:t>
      </w:r>
      <w:r w:rsidR="005B2A41">
        <w:t xml:space="preserve"> </w:t>
      </w:r>
      <w:r w:rsidRPr="00B02247">
        <w:t>on</w:t>
      </w:r>
      <w:r w:rsidR="005B2A41">
        <w:t xml:space="preserve"> </w:t>
      </w:r>
      <w:r w:rsidRPr="00B02247">
        <w:t>related</w:t>
      </w:r>
      <w:r w:rsidR="005B2A41">
        <w:t xml:space="preserve"> </w:t>
      </w:r>
      <w:r w:rsidRPr="00B02247">
        <w:t>issues;</w:t>
      </w:r>
      <w:r w:rsidR="005B2A41">
        <w:t xml:space="preserve"> </w:t>
      </w:r>
      <w:r w:rsidRPr="00B02247">
        <w:t>collaborates</w:t>
      </w:r>
      <w:r w:rsidR="005B2A41">
        <w:t xml:space="preserve"> </w:t>
      </w:r>
      <w:r w:rsidRPr="00B02247">
        <w:t>with</w:t>
      </w:r>
      <w:r w:rsidR="005B2A41">
        <w:t xml:space="preserve"> </w:t>
      </w:r>
      <w:r w:rsidRPr="00B02247">
        <w:t>international</w:t>
      </w:r>
      <w:r w:rsidR="005B2A41">
        <w:t xml:space="preserve"> </w:t>
      </w:r>
      <w:r w:rsidRPr="00B02247">
        <w:t>organizations</w:t>
      </w:r>
      <w:r w:rsidR="005B2A41">
        <w:t xml:space="preserve"> </w:t>
      </w:r>
      <w:r w:rsidRPr="00B02247">
        <w:t>and</w:t>
      </w:r>
      <w:r w:rsidR="005B2A41">
        <w:t xml:space="preserve"> </w:t>
      </w:r>
      <w:r w:rsidRPr="00B02247">
        <w:t>related</w:t>
      </w:r>
      <w:r w:rsidR="005B2A41">
        <w:t xml:space="preserve"> </w:t>
      </w:r>
      <w:r w:rsidRPr="00B02247">
        <w:t>bodies</w:t>
      </w:r>
      <w:r w:rsidR="005B2A41">
        <w:t xml:space="preserve"> </w:t>
      </w:r>
      <w:r w:rsidRPr="00B02247">
        <w:t>and</w:t>
      </w:r>
      <w:r w:rsidR="005B2A41">
        <w:t xml:space="preserve"> </w:t>
      </w:r>
      <w:r w:rsidRPr="00B02247">
        <w:t>represents</w:t>
      </w:r>
      <w:r w:rsidR="005B2A41">
        <w:t xml:space="preserve"> </w:t>
      </w:r>
      <w:r w:rsidRPr="00B02247">
        <w:t>Greece</w:t>
      </w:r>
      <w:r w:rsidR="005B2A41">
        <w:t xml:space="preserve"> </w:t>
      </w:r>
      <w:r w:rsidRPr="00B02247">
        <w:t>to</w:t>
      </w:r>
      <w:r w:rsidR="005B2A41">
        <w:t xml:space="preserve"> </w:t>
      </w:r>
      <w:r w:rsidRPr="00B02247">
        <w:t>international</w:t>
      </w:r>
      <w:r w:rsidR="005B2A41">
        <w:t xml:space="preserve"> </w:t>
      </w:r>
      <w:r w:rsidRPr="00B02247">
        <w:t>forums;</w:t>
      </w:r>
      <w:r w:rsidR="005B2A41">
        <w:t xml:space="preserve"> </w:t>
      </w:r>
      <w:r w:rsidRPr="00B02247">
        <w:t>informs</w:t>
      </w:r>
      <w:r w:rsidR="005B2A41">
        <w:t xml:space="preserve"> </w:t>
      </w:r>
      <w:r w:rsidRPr="00B02247">
        <w:t>the</w:t>
      </w:r>
      <w:r w:rsidR="005B2A41">
        <w:t xml:space="preserve"> </w:t>
      </w:r>
      <w:r w:rsidRPr="00B02247">
        <w:t>public</w:t>
      </w:r>
      <w:r w:rsidR="005B2A41">
        <w:t xml:space="preserve"> </w:t>
      </w:r>
      <w:r w:rsidRPr="00B02247">
        <w:t>on</w:t>
      </w:r>
      <w:r w:rsidR="005B2A41">
        <w:t xml:space="preserve"> </w:t>
      </w:r>
      <w:r w:rsidRPr="00B02247">
        <w:t>issues</w:t>
      </w:r>
      <w:r w:rsidR="005B2A41">
        <w:t xml:space="preserve"> </w:t>
      </w:r>
      <w:r w:rsidRPr="00B02247">
        <w:t>related</w:t>
      </w:r>
      <w:r w:rsidR="005B2A41">
        <w:t xml:space="preserve"> </w:t>
      </w:r>
      <w:r w:rsidRPr="00B02247">
        <w:t>to</w:t>
      </w:r>
      <w:r w:rsidR="005B2A41">
        <w:t xml:space="preserve"> </w:t>
      </w:r>
      <w:r w:rsidRPr="00B02247">
        <w:t>biotechnological</w:t>
      </w:r>
      <w:r w:rsidR="005B2A41">
        <w:t xml:space="preserve"> </w:t>
      </w:r>
      <w:r w:rsidRPr="00B02247">
        <w:t>advances</w:t>
      </w:r>
      <w:r w:rsidR="005B2A41">
        <w:t xml:space="preserve"> </w:t>
      </w:r>
      <w:r w:rsidRPr="00B02247">
        <w:t>and</w:t>
      </w:r>
      <w:r w:rsidR="005B2A41">
        <w:t xml:space="preserve"> </w:t>
      </w:r>
      <w:r w:rsidRPr="00B02247">
        <w:t>the</w:t>
      </w:r>
      <w:r w:rsidR="005B2A41">
        <w:t xml:space="preserve"> </w:t>
      </w:r>
      <w:r w:rsidRPr="00B02247">
        <w:t>impact</w:t>
      </w:r>
      <w:r w:rsidR="005B2A41">
        <w:t xml:space="preserve"> </w:t>
      </w:r>
      <w:r w:rsidRPr="00B02247">
        <w:t>of</w:t>
      </w:r>
      <w:r w:rsidR="005B2A41">
        <w:t xml:space="preserve"> </w:t>
      </w:r>
      <w:r w:rsidRPr="00B02247">
        <w:t>their</w:t>
      </w:r>
      <w:r w:rsidR="005B2A41">
        <w:t xml:space="preserve"> </w:t>
      </w:r>
      <w:r w:rsidRPr="00B02247">
        <w:t>applications;</w:t>
      </w:r>
      <w:r w:rsidR="005B2A41">
        <w:t xml:space="preserve"> </w:t>
      </w:r>
      <w:r w:rsidRPr="00B02247">
        <w:t>and</w:t>
      </w:r>
      <w:r w:rsidR="005B2A41">
        <w:t xml:space="preserve"> </w:t>
      </w:r>
      <w:r w:rsidRPr="00B02247">
        <w:t>orients</w:t>
      </w:r>
      <w:r w:rsidR="005B2A41">
        <w:t xml:space="preserve"> </w:t>
      </w:r>
      <w:r w:rsidRPr="00B02247">
        <w:t>and</w:t>
      </w:r>
      <w:r w:rsidR="005B2A41">
        <w:t xml:space="preserve"> </w:t>
      </w:r>
      <w:r w:rsidRPr="00B02247">
        <w:t>coordinates</w:t>
      </w:r>
      <w:r w:rsidR="005B2A41">
        <w:t xml:space="preserve"> </w:t>
      </w:r>
      <w:r w:rsidRPr="00B02247">
        <w:t>related</w:t>
      </w:r>
      <w:r w:rsidR="005B2A41">
        <w:t xml:space="preserve"> </w:t>
      </w:r>
      <w:r w:rsidRPr="00B02247">
        <w:t>governmental</w:t>
      </w:r>
      <w:r w:rsidR="005B2A41">
        <w:t xml:space="preserve"> </w:t>
      </w:r>
      <w:r w:rsidRPr="00B02247">
        <w:t>advisory</w:t>
      </w:r>
      <w:r w:rsidR="005B2A41">
        <w:t xml:space="preserve"> </w:t>
      </w:r>
      <w:r w:rsidRPr="00B02247">
        <w:t>bodies</w:t>
      </w:r>
      <w:r w:rsidR="005B2A41">
        <w:t xml:space="preserve"> </w:t>
      </w:r>
      <w:r w:rsidRPr="00B02247">
        <w:t>in</w:t>
      </w:r>
      <w:r w:rsidR="005B2A41">
        <w:t xml:space="preserve"> </w:t>
      </w:r>
      <w:r w:rsidRPr="00B02247">
        <w:t>the</w:t>
      </w:r>
      <w:r w:rsidR="005B2A41">
        <w:t xml:space="preserve"> </w:t>
      </w:r>
      <w:r w:rsidRPr="00B02247">
        <w:t>field</w:t>
      </w:r>
      <w:r w:rsidR="005B2A41">
        <w:t xml:space="preserve"> </w:t>
      </w:r>
      <w:r w:rsidRPr="00B02247">
        <w:t>of</w:t>
      </w:r>
      <w:r w:rsidR="005B2A41">
        <w:t xml:space="preserve"> </w:t>
      </w:r>
      <w:r w:rsidRPr="00B02247">
        <w:t>bioethics.</w:t>
      </w:r>
      <w:r w:rsidR="005B2A41">
        <w:t xml:space="preserve"> </w:t>
      </w:r>
      <w:r w:rsidRPr="00B02247">
        <w:t>The</w:t>
      </w:r>
      <w:r w:rsidR="005B2A41">
        <w:t xml:space="preserve"> </w:t>
      </w:r>
      <w:r w:rsidRPr="00B02247">
        <w:t>Commission</w:t>
      </w:r>
      <w:r w:rsidR="005B2A41">
        <w:t xml:space="preserve"> </w:t>
      </w:r>
      <w:r w:rsidRPr="00B02247">
        <w:t>is</w:t>
      </w:r>
      <w:r w:rsidR="005B2A41">
        <w:t xml:space="preserve"> </w:t>
      </w:r>
      <w:r w:rsidRPr="00B02247">
        <w:t>composed</w:t>
      </w:r>
      <w:r w:rsidR="005B2A41">
        <w:t xml:space="preserve"> </w:t>
      </w:r>
      <w:r w:rsidRPr="00B02247">
        <w:t>of</w:t>
      </w:r>
      <w:r w:rsidR="005B2A41">
        <w:t xml:space="preserve"> </w:t>
      </w:r>
      <w:r w:rsidRPr="00B02247">
        <w:t>nine</w:t>
      </w:r>
      <w:r w:rsidR="005B2A41">
        <w:t xml:space="preserve"> </w:t>
      </w:r>
      <w:r w:rsidRPr="00B02247">
        <w:t>members,</w:t>
      </w:r>
      <w:r w:rsidR="005B2A41">
        <w:t xml:space="preserve"> </w:t>
      </w:r>
      <w:r w:rsidRPr="00B02247">
        <w:t>all</w:t>
      </w:r>
      <w:r w:rsidR="005B2A41">
        <w:t xml:space="preserve"> </w:t>
      </w:r>
      <w:r w:rsidRPr="00B02247">
        <w:t>academic</w:t>
      </w:r>
      <w:r w:rsidR="005B2A41">
        <w:t xml:space="preserve"> </w:t>
      </w:r>
      <w:r w:rsidRPr="00B02247">
        <w:t>personalities,</w:t>
      </w:r>
      <w:r w:rsidR="005B2A41">
        <w:t xml:space="preserve"> </w:t>
      </w:r>
      <w:r w:rsidRPr="00B02247">
        <w:t>appointed</w:t>
      </w:r>
      <w:r w:rsidR="005B2A41">
        <w:t xml:space="preserve"> </w:t>
      </w:r>
      <w:r w:rsidRPr="00B02247">
        <w:t>by</w:t>
      </w:r>
      <w:r w:rsidR="005B2A41">
        <w:t xml:space="preserve"> </w:t>
      </w:r>
      <w:r w:rsidRPr="00B02247">
        <w:t>the</w:t>
      </w:r>
      <w:r w:rsidR="005B2A41">
        <w:t xml:space="preserve"> </w:t>
      </w:r>
      <w:r w:rsidRPr="00B02247">
        <w:t>Prime</w:t>
      </w:r>
      <w:r w:rsidR="005B2A41">
        <w:t xml:space="preserve"> </w:t>
      </w:r>
      <w:r w:rsidRPr="00B02247">
        <w:t>Minister</w:t>
      </w:r>
      <w:r w:rsidR="005B2A41">
        <w:t xml:space="preserve"> </w:t>
      </w:r>
      <w:r w:rsidRPr="00B02247">
        <w:t>for</w:t>
      </w:r>
      <w:r w:rsidR="005B2A41">
        <w:t xml:space="preserve"> </w:t>
      </w:r>
      <w:r w:rsidRPr="00B02247">
        <w:t>a</w:t>
      </w:r>
      <w:r w:rsidR="005B2A41">
        <w:t xml:space="preserve"> </w:t>
      </w:r>
      <w:r w:rsidRPr="00B02247">
        <w:t>term</w:t>
      </w:r>
      <w:r w:rsidR="005B2A41">
        <w:t xml:space="preserve"> </w:t>
      </w:r>
      <w:r w:rsidRPr="00B02247">
        <w:t>of</w:t>
      </w:r>
      <w:r w:rsidR="005B2A41">
        <w:t xml:space="preserve"> </w:t>
      </w:r>
      <w:r w:rsidRPr="00B02247">
        <w:t>five</w:t>
      </w:r>
      <w:r w:rsidR="005B2A41">
        <w:t xml:space="preserve"> </w:t>
      </w:r>
      <w:r w:rsidRPr="00B02247">
        <w:t>years.</w:t>
      </w:r>
      <w:r w:rsidR="005B2A41">
        <w:t xml:space="preserve"> </w:t>
      </w:r>
    </w:p>
    <w:p w:rsidR="00F233AB" w:rsidRPr="00B02247" w:rsidRDefault="00F233AB" w:rsidP="00E40C4C">
      <w:pPr>
        <w:pStyle w:val="H23G"/>
      </w:pPr>
      <w:r w:rsidRPr="00B02247">
        <w:tab/>
        <w:t>6.</w:t>
      </w:r>
      <w:r w:rsidRPr="00B02247">
        <w:tab/>
        <w:t>Regional</w:t>
      </w:r>
      <w:r w:rsidR="005B2A41">
        <w:t xml:space="preserve"> </w:t>
      </w:r>
      <w:r w:rsidRPr="00B02247">
        <w:t>human</w:t>
      </w:r>
      <w:r w:rsidR="005B2A41">
        <w:t xml:space="preserve"> </w:t>
      </w:r>
      <w:r w:rsidRPr="00B02247">
        <w:t>rights</w:t>
      </w:r>
      <w:r w:rsidR="005B2A41">
        <w:t xml:space="preserve"> </w:t>
      </w:r>
      <w:r w:rsidRPr="00B02247">
        <w:t>courts</w:t>
      </w:r>
      <w:r w:rsidR="005B2A41">
        <w:t xml:space="preserve"> </w:t>
      </w:r>
      <w:r w:rsidRPr="00B02247">
        <w:t>or</w:t>
      </w:r>
      <w:r w:rsidR="005B2A41">
        <w:t xml:space="preserve"> </w:t>
      </w:r>
      <w:r w:rsidRPr="00B02247">
        <w:t>other</w:t>
      </w:r>
      <w:r w:rsidR="005B2A41">
        <w:t xml:space="preserve"> </w:t>
      </w:r>
      <w:r w:rsidRPr="00B02247">
        <w:t>mechanisms</w:t>
      </w:r>
    </w:p>
    <w:p w:rsidR="00F233AB" w:rsidRPr="00B02247" w:rsidRDefault="00F233AB" w:rsidP="00E1307D">
      <w:pPr>
        <w:pStyle w:val="SingleTxtG"/>
      </w:pPr>
      <w:r w:rsidRPr="00B02247">
        <w:t>104.</w:t>
      </w:r>
      <w:r w:rsidRPr="00B02247">
        <w:tab/>
        <w:t>As</w:t>
      </w:r>
      <w:r w:rsidR="005B2A41">
        <w:t xml:space="preserve"> </w:t>
      </w:r>
      <w:r w:rsidRPr="00B02247">
        <w:t>a</w:t>
      </w:r>
      <w:r w:rsidR="005B2A41">
        <w:t xml:space="preserve"> </w:t>
      </w:r>
      <w:r w:rsidRPr="00B02247">
        <w:t>State</w:t>
      </w:r>
      <w:r w:rsidR="005B2A41">
        <w:t xml:space="preserve"> </w:t>
      </w:r>
      <w:r w:rsidRPr="00B02247">
        <w:t>party</w:t>
      </w:r>
      <w:r w:rsidR="005B2A41">
        <w:t xml:space="preserve"> </w:t>
      </w:r>
      <w:r w:rsidRPr="00B02247">
        <w:t>to</w:t>
      </w:r>
      <w:r w:rsidR="005B2A41">
        <w:t xml:space="preserve"> </w:t>
      </w:r>
      <w:r w:rsidRPr="00B02247">
        <w:t>the</w:t>
      </w:r>
      <w:r w:rsidR="005B2A41">
        <w:t xml:space="preserve"> </w:t>
      </w:r>
      <w:r w:rsidRPr="00B02247">
        <w:t>European</w:t>
      </w:r>
      <w:r w:rsidR="005B2A41">
        <w:t xml:space="preserve"> </w:t>
      </w:r>
      <w:r w:rsidRPr="00B02247">
        <w:t>Convention</w:t>
      </w:r>
      <w:r w:rsidR="005B2A41">
        <w:t xml:space="preserve"> </w:t>
      </w:r>
      <w:r w:rsidRPr="00B02247">
        <w:t>of</w:t>
      </w:r>
      <w:r w:rsidR="005B2A41">
        <w:t xml:space="preserve"> </w:t>
      </w:r>
      <w:r w:rsidRPr="00B02247">
        <w:t>Human</w:t>
      </w:r>
      <w:r w:rsidR="005B2A41">
        <w:t xml:space="preserve"> </w:t>
      </w:r>
      <w:r w:rsidRPr="00B02247">
        <w:t>Rights,</w:t>
      </w:r>
      <w:r w:rsidR="005B2A41">
        <w:t xml:space="preserve"> </w:t>
      </w:r>
      <w:r w:rsidRPr="00B02247">
        <w:t>Greece</w:t>
      </w:r>
      <w:r w:rsidR="005B2A41">
        <w:t xml:space="preserve"> </w:t>
      </w:r>
      <w:r w:rsidRPr="00B02247">
        <w:t>is</w:t>
      </w:r>
      <w:r w:rsidR="005B2A41">
        <w:t xml:space="preserve"> </w:t>
      </w:r>
      <w:r w:rsidRPr="00B02247">
        <w:t>subject</w:t>
      </w:r>
      <w:r w:rsidR="005B2A41">
        <w:t xml:space="preserve"> </w:t>
      </w:r>
      <w:r w:rsidRPr="00B02247">
        <w:t>to</w:t>
      </w:r>
      <w:r w:rsidR="005B2A41">
        <w:t xml:space="preserve"> </w:t>
      </w:r>
      <w:r w:rsidRPr="00B02247">
        <w:t>the</w:t>
      </w:r>
      <w:r w:rsidR="005B2A41">
        <w:t xml:space="preserve"> </w:t>
      </w:r>
      <w:r w:rsidRPr="00B02247">
        <w:t>jurisdiction</w:t>
      </w:r>
      <w:r w:rsidR="005B2A41">
        <w:t xml:space="preserve"> </w:t>
      </w:r>
      <w:r w:rsidRPr="00B02247">
        <w:t>of</w:t>
      </w:r>
      <w:r w:rsidR="005B2A41">
        <w:t xml:space="preserve"> </w:t>
      </w:r>
      <w:r w:rsidRPr="00B02247">
        <w:t>the</w:t>
      </w:r>
      <w:r w:rsidR="005B2A41">
        <w:t xml:space="preserve"> </w:t>
      </w:r>
      <w:r w:rsidRPr="00B02247">
        <w:t>European</w:t>
      </w:r>
      <w:r w:rsidR="005B2A41">
        <w:t xml:space="preserve"> </w:t>
      </w:r>
      <w:r w:rsidRPr="00B02247">
        <w:t>Court</w:t>
      </w:r>
      <w:r w:rsidR="005B2A41">
        <w:t xml:space="preserve"> </w:t>
      </w:r>
      <w:r w:rsidRPr="00B02247">
        <w:t>of</w:t>
      </w:r>
      <w:r w:rsidR="005B2A41">
        <w:t xml:space="preserve"> </w:t>
      </w:r>
      <w:r w:rsidRPr="00B02247">
        <w:t>Human</w:t>
      </w:r>
      <w:r w:rsidR="005B2A41">
        <w:t xml:space="preserve"> </w:t>
      </w:r>
      <w:r w:rsidRPr="00B02247">
        <w:t>Rights.</w:t>
      </w:r>
      <w:r w:rsidR="005B2A41">
        <w:t xml:space="preserve"> </w:t>
      </w:r>
      <w:r w:rsidRPr="00B02247">
        <w:t>It</w:t>
      </w:r>
      <w:r w:rsidR="005B2A41">
        <w:t xml:space="preserve"> </w:t>
      </w:r>
      <w:r w:rsidRPr="00B02247">
        <w:t>has</w:t>
      </w:r>
      <w:r w:rsidR="005B2A41">
        <w:t xml:space="preserve"> </w:t>
      </w:r>
      <w:r w:rsidRPr="00B02247">
        <w:t>recognized</w:t>
      </w:r>
      <w:r w:rsidR="005B2A41">
        <w:t xml:space="preserve"> </w:t>
      </w:r>
      <w:r w:rsidRPr="00B02247">
        <w:t>the</w:t>
      </w:r>
      <w:r w:rsidR="005B2A41">
        <w:t xml:space="preserve"> </w:t>
      </w:r>
      <w:r w:rsidRPr="00B02247">
        <w:t>right</w:t>
      </w:r>
      <w:r w:rsidR="005B2A41">
        <w:t xml:space="preserve"> </w:t>
      </w:r>
      <w:r w:rsidRPr="00B02247">
        <w:t>to</w:t>
      </w:r>
      <w:r w:rsidR="005B2A41">
        <w:t xml:space="preserve"> </w:t>
      </w:r>
      <w:r w:rsidRPr="00B02247">
        <w:t>individual</w:t>
      </w:r>
      <w:r w:rsidR="005B2A41">
        <w:t xml:space="preserve"> </w:t>
      </w:r>
      <w:r w:rsidRPr="00B02247">
        <w:t>application</w:t>
      </w:r>
      <w:r w:rsidR="005B2A41">
        <w:t xml:space="preserve"> </w:t>
      </w:r>
      <w:r w:rsidRPr="00B02247">
        <w:t>on</w:t>
      </w:r>
      <w:r w:rsidR="005B2A41">
        <w:t xml:space="preserve"> </w:t>
      </w:r>
      <w:r w:rsidRPr="00B02247">
        <w:t>20</w:t>
      </w:r>
      <w:r w:rsidR="005B2A41">
        <w:t xml:space="preserve"> </w:t>
      </w:r>
      <w:r w:rsidRPr="00B02247">
        <w:t>November</w:t>
      </w:r>
      <w:r w:rsidR="005B2A41">
        <w:t xml:space="preserve"> </w:t>
      </w:r>
      <w:r w:rsidRPr="00B02247">
        <w:t>1985.</w:t>
      </w:r>
      <w:r w:rsidR="005B2A41">
        <w:t xml:space="preserve"> </w:t>
      </w:r>
      <w:r w:rsidRPr="00B02247">
        <w:t>During</w:t>
      </w:r>
      <w:r w:rsidR="005B2A41">
        <w:t xml:space="preserve"> </w:t>
      </w:r>
      <w:r w:rsidRPr="00B02247">
        <w:t>the</w:t>
      </w:r>
      <w:r w:rsidR="005B2A41">
        <w:t xml:space="preserve"> </w:t>
      </w:r>
      <w:r w:rsidRPr="00B02247">
        <w:t>period</w:t>
      </w:r>
      <w:r w:rsidR="005B2A41">
        <w:t xml:space="preserve"> </w:t>
      </w:r>
      <w:r w:rsidRPr="00B02247">
        <w:t>1959</w:t>
      </w:r>
      <w:r w:rsidR="00915034">
        <w:t>–</w:t>
      </w:r>
      <w:r w:rsidRPr="00B02247">
        <w:t>2016,</w:t>
      </w:r>
      <w:r w:rsidR="005B2A41">
        <w:t xml:space="preserve"> </w:t>
      </w:r>
      <w:r w:rsidRPr="00B02247">
        <w:t>the</w:t>
      </w:r>
      <w:r w:rsidR="005B2A41">
        <w:t xml:space="preserve"> </w:t>
      </w:r>
      <w:r w:rsidRPr="00B02247">
        <w:t>European</w:t>
      </w:r>
      <w:r w:rsidR="005B2A41">
        <w:t xml:space="preserve"> </w:t>
      </w:r>
      <w:r w:rsidRPr="00B02247">
        <w:t>Court</w:t>
      </w:r>
      <w:r w:rsidR="005B2A41">
        <w:t xml:space="preserve"> </w:t>
      </w:r>
      <w:r w:rsidRPr="00B02247">
        <w:t>of</w:t>
      </w:r>
      <w:r w:rsidR="005B2A41">
        <w:t xml:space="preserve"> </w:t>
      </w:r>
      <w:r w:rsidRPr="00B02247">
        <w:t>Human</w:t>
      </w:r>
      <w:r w:rsidR="005B2A41">
        <w:t xml:space="preserve"> </w:t>
      </w:r>
      <w:r w:rsidRPr="00B02247">
        <w:t>Rights</w:t>
      </w:r>
      <w:r w:rsidR="005B2A41">
        <w:t xml:space="preserve"> </w:t>
      </w:r>
      <w:r w:rsidRPr="00B02247">
        <w:t>has</w:t>
      </w:r>
      <w:r w:rsidR="005B2A41">
        <w:t xml:space="preserve"> </w:t>
      </w:r>
      <w:r w:rsidRPr="00B02247">
        <w:t>delivered</w:t>
      </w:r>
      <w:r w:rsidR="005B2A41">
        <w:t xml:space="preserve"> </w:t>
      </w:r>
      <w:r w:rsidRPr="00B02247">
        <w:t>926</w:t>
      </w:r>
      <w:r w:rsidR="005B2A41">
        <w:t xml:space="preserve"> </w:t>
      </w:r>
      <w:r w:rsidRPr="00B02247">
        <w:t>judgments</w:t>
      </w:r>
      <w:r w:rsidR="005B2A41">
        <w:t xml:space="preserve"> </w:t>
      </w:r>
      <w:r w:rsidRPr="00B02247">
        <w:t>on</w:t>
      </w:r>
      <w:r w:rsidR="005B2A41">
        <w:t xml:space="preserve"> </w:t>
      </w:r>
      <w:r w:rsidRPr="00B02247">
        <w:t>individual</w:t>
      </w:r>
      <w:r w:rsidR="005B2A41">
        <w:t xml:space="preserve"> </w:t>
      </w:r>
      <w:r w:rsidRPr="00B02247">
        <w:t>applications</w:t>
      </w:r>
      <w:r w:rsidR="005B2A41">
        <w:t xml:space="preserve"> </w:t>
      </w:r>
      <w:r w:rsidRPr="00B02247">
        <w:t>against</w:t>
      </w:r>
      <w:r w:rsidR="005B2A41">
        <w:t xml:space="preserve"> </w:t>
      </w:r>
      <w:r w:rsidRPr="00B02247">
        <w:t>Greece.</w:t>
      </w:r>
      <w:r w:rsidR="005B2A41">
        <w:t xml:space="preserve"> </w:t>
      </w:r>
      <w:r w:rsidRPr="00B02247">
        <w:t>The</w:t>
      </w:r>
      <w:r w:rsidR="005B2A41">
        <w:t xml:space="preserve"> </w:t>
      </w:r>
      <w:r w:rsidRPr="00B02247">
        <w:t>main</w:t>
      </w:r>
      <w:r w:rsidR="005B2A41">
        <w:t xml:space="preserve"> </w:t>
      </w:r>
      <w:r w:rsidRPr="00B02247">
        <w:t>subject-matters</w:t>
      </w:r>
      <w:r w:rsidR="005B2A41">
        <w:t xml:space="preserve"> </w:t>
      </w:r>
      <w:r w:rsidRPr="00B02247">
        <w:t>of</w:t>
      </w:r>
      <w:r w:rsidR="005B2A41">
        <w:t xml:space="preserve"> </w:t>
      </w:r>
      <w:r w:rsidRPr="00B02247">
        <w:t>the</w:t>
      </w:r>
      <w:r w:rsidR="005B2A41">
        <w:t xml:space="preserve"> </w:t>
      </w:r>
      <w:r w:rsidRPr="00B02247">
        <w:t>Court</w:t>
      </w:r>
      <w:r w:rsidR="003E731F">
        <w:t>’</w:t>
      </w:r>
      <w:r w:rsidRPr="00B02247">
        <w:t>s</w:t>
      </w:r>
      <w:r w:rsidR="005B2A41">
        <w:t xml:space="preserve"> </w:t>
      </w:r>
      <w:r w:rsidRPr="00B02247">
        <w:t>judgments</w:t>
      </w:r>
      <w:r w:rsidR="005B2A41">
        <w:t xml:space="preserve"> </w:t>
      </w:r>
      <w:r w:rsidRPr="00B02247">
        <w:t>on</w:t>
      </w:r>
      <w:r w:rsidR="005B2A41">
        <w:t xml:space="preserve"> </w:t>
      </w:r>
      <w:r w:rsidRPr="00B02247">
        <w:t>cases</w:t>
      </w:r>
      <w:r w:rsidR="005B2A41">
        <w:t xml:space="preserve"> </w:t>
      </w:r>
      <w:r w:rsidRPr="00B02247">
        <w:t>against</w:t>
      </w:r>
      <w:r w:rsidR="005B2A41">
        <w:t xml:space="preserve"> </w:t>
      </w:r>
      <w:r w:rsidRPr="00B02247">
        <w:t>Greece</w:t>
      </w:r>
      <w:r w:rsidR="005B2A41">
        <w:t xml:space="preserve"> </w:t>
      </w:r>
      <w:r w:rsidRPr="00B02247">
        <w:t>are</w:t>
      </w:r>
      <w:r w:rsidR="005B2A41">
        <w:t xml:space="preserve"> </w:t>
      </w:r>
      <w:r w:rsidRPr="00B02247">
        <w:t>the</w:t>
      </w:r>
      <w:r w:rsidR="005B2A41">
        <w:t xml:space="preserve"> </w:t>
      </w:r>
      <w:r w:rsidRPr="00B02247">
        <w:t>following:</w:t>
      </w:r>
      <w:r w:rsidR="005B2A41">
        <w:t xml:space="preserve"> </w:t>
      </w:r>
      <w:r w:rsidRPr="00B02247">
        <w:t>length</w:t>
      </w:r>
      <w:r w:rsidR="005B2A41">
        <w:t xml:space="preserve"> </w:t>
      </w:r>
      <w:r w:rsidRPr="00B02247">
        <w:t>of</w:t>
      </w:r>
      <w:r w:rsidR="005B2A41">
        <w:t xml:space="preserve"> </w:t>
      </w:r>
      <w:r w:rsidRPr="00B02247">
        <w:t>proceedings,</w:t>
      </w:r>
      <w:r w:rsidR="005B2A41">
        <w:t xml:space="preserve"> </w:t>
      </w:r>
      <w:r w:rsidRPr="00B02247">
        <w:t>right</w:t>
      </w:r>
      <w:r w:rsidR="005B2A41">
        <w:t xml:space="preserve"> </w:t>
      </w:r>
      <w:r w:rsidRPr="00B02247">
        <w:t>to</w:t>
      </w:r>
      <w:r w:rsidR="005B2A41">
        <w:t xml:space="preserve"> </w:t>
      </w:r>
      <w:r w:rsidRPr="00B02247">
        <w:t>an</w:t>
      </w:r>
      <w:r w:rsidR="005B2A41">
        <w:t xml:space="preserve"> </w:t>
      </w:r>
      <w:r w:rsidRPr="00B02247">
        <w:t>effective</w:t>
      </w:r>
      <w:r w:rsidR="005B2A41">
        <w:t xml:space="preserve"> </w:t>
      </w:r>
      <w:r w:rsidRPr="00B02247">
        <w:t>remedy,</w:t>
      </w:r>
      <w:r w:rsidR="005B2A41">
        <w:t xml:space="preserve"> </w:t>
      </w:r>
      <w:r w:rsidRPr="00B02247">
        <w:t>right</w:t>
      </w:r>
      <w:r w:rsidR="005B2A41">
        <w:t xml:space="preserve"> </w:t>
      </w:r>
      <w:r w:rsidRPr="00B02247">
        <w:t>to</w:t>
      </w:r>
      <w:r w:rsidR="005B2A41">
        <w:t xml:space="preserve"> </w:t>
      </w:r>
      <w:r w:rsidRPr="00B02247">
        <w:t>a</w:t>
      </w:r>
      <w:r w:rsidR="005B2A41">
        <w:t xml:space="preserve"> </w:t>
      </w:r>
      <w:r w:rsidRPr="00B02247">
        <w:t>fair</w:t>
      </w:r>
      <w:r w:rsidR="005B2A41">
        <w:t xml:space="preserve"> </w:t>
      </w:r>
      <w:r w:rsidRPr="00B02247">
        <w:t>trial,</w:t>
      </w:r>
      <w:r w:rsidR="005B2A41">
        <w:t xml:space="preserve"> </w:t>
      </w:r>
      <w:r w:rsidRPr="00B02247">
        <w:t>inhuman</w:t>
      </w:r>
      <w:r w:rsidR="005B2A41">
        <w:t xml:space="preserve"> </w:t>
      </w:r>
      <w:r w:rsidRPr="00B02247">
        <w:t>or</w:t>
      </w:r>
      <w:r w:rsidR="005B2A41">
        <w:t xml:space="preserve"> </w:t>
      </w:r>
      <w:r w:rsidRPr="00B02247">
        <w:t>degrading</w:t>
      </w:r>
      <w:r w:rsidR="005B2A41">
        <w:t xml:space="preserve"> </w:t>
      </w:r>
      <w:r w:rsidRPr="00B02247">
        <w:t>treatment,</w:t>
      </w:r>
      <w:r w:rsidR="005B2A41">
        <w:t xml:space="preserve"> </w:t>
      </w:r>
      <w:r w:rsidRPr="00B02247">
        <w:t>protection</w:t>
      </w:r>
      <w:r w:rsidR="005B2A41">
        <w:t xml:space="preserve"> </w:t>
      </w:r>
      <w:r w:rsidRPr="00B02247">
        <w:t>of</w:t>
      </w:r>
      <w:r w:rsidR="005B2A41">
        <w:t xml:space="preserve"> </w:t>
      </w:r>
      <w:r w:rsidRPr="00B02247">
        <w:t>property,</w:t>
      </w:r>
      <w:r w:rsidR="005B2A41">
        <w:t xml:space="preserve"> </w:t>
      </w:r>
      <w:r w:rsidRPr="00B02247">
        <w:t>right</w:t>
      </w:r>
      <w:r w:rsidR="005B2A41">
        <w:t xml:space="preserve"> </w:t>
      </w:r>
      <w:r w:rsidRPr="00B02247">
        <w:t>to</w:t>
      </w:r>
      <w:r w:rsidR="005B2A41">
        <w:t xml:space="preserve"> </w:t>
      </w:r>
      <w:r w:rsidRPr="00B02247">
        <w:t>liberty</w:t>
      </w:r>
      <w:r w:rsidR="005B2A41">
        <w:t xml:space="preserve"> </w:t>
      </w:r>
      <w:r w:rsidRPr="00B02247">
        <w:t>and</w:t>
      </w:r>
      <w:r w:rsidR="005B2A41">
        <w:t xml:space="preserve"> </w:t>
      </w:r>
      <w:r w:rsidRPr="00B02247">
        <w:t>security,</w:t>
      </w:r>
      <w:r w:rsidR="005B2A41">
        <w:t xml:space="preserve"> </w:t>
      </w:r>
      <w:r w:rsidRPr="00B02247">
        <w:t>freedom</w:t>
      </w:r>
      <w:r w:rsidR="005B2A41">
        <w:t xml:space="preserve"> </w:t>
      </w:r>
      <w:r w:rsidRPr="00B02247">
        <w:t>of</w:t>
      </w:r>
      <w:r w:rsidR="005B2A41">
        <w:t xml:space="preserve"> </w:t>
      </w:r>
      <w:r w:rsidRPr="00B02247">
        <w:t>thought,</w:t>
      </w:r>
      <w:r w:rsidR="005B2A41">
        <w:t xml:space="preserve"> </w:t>
      </w:r>
      <w:r w:rsidRPr="00B02247">
        <w:t>conscience</w:t>
      </w:r>
      <w:r w:rsidR="005B2A41">
        <w:t xml:space="preserve"> </w:t>
      </w:r>
      <w:r w:rsidRPr="00B02247">
        <w:t>and</w:t>
      </w:r>
      <w:r w:rsidR="005B2A41">
        <w:t xml:space="preserve"> </w:t>
      </w:r>
      <w:r w:rsidRPr="00B02247">
        <w:t>religion,</w:t>
      </w:r>
      <w:r w:rsidR="005B2A41">
        <w:t xml:space="preserve"> </w:t>
      </w:r>
      <w:r w:rsidRPr="00B02247">
        <w:t>freedom</w:t>
      </w:r>
      <w:r w:rsidR="005B2A41">
        <w:t xml:space="preserve"> </w:t>
      </w:r>
      <w:r w:rsidRPr="00B02247">
        <w:t>of</w:t>
      </w:r>
      <w:r w:rsidR="005B2A41">
        <w:t xml:space="preserve"> </w:t>
      </w:r>
      <w:r w:rsidRPr="00B02247">
        <w:t>expression,</w:t>
      </w:r>
      <w:r w:rsidR="005B2A41">
        <w:t xml:space="preserve"> </w:t>
      </w:r>
      <w:r w:rsidRPr="00B02247">
        <w:t>etc.</w:t>
      </w:r>
      <w:r w:rsidR="005B2A41">
        <w:t xml:space="preserve"> </w:t>
      </w:r>
      <w:r w:rsidRPr="00B02247">
        <w:t>The</w:t>
      </w:r>
      <w:r w:rsidR="005B2A41">
        <w:t xml:space="preserve"> </w:t>
      </w:r>
      <w:r w:rsidRPr="00B02247">
        <w:t>case-law</w:t>
      </w:r>
      <w:r w:rsidR="005B2A41">
        <w:t xml:space="preserve"> </w:t>
      </w:r>
      <w:r w:rsidRPr="00B02247">
        <w:t>of</w:t>
      </w:r>
      <w:r w:rsidR="005B2A41">
        <w:t xml:space="preserve"> </w:t>
      </w:r>
      <w:r w:rsidRPr="00B02247">
        <w:t>the</w:t>
      </w:r>
      <w:r w:rsidR="005B2A41">
        <w:t xml:space="preserve"> </w:t>
      </w:r>
      <w:r w:rsidRPr="00B02247">
        <w:t>European</w:t>
      </w:r>
      <w:r w:rsidR="005B2A41">
        <w:t xml:space="preserve"> </w:t>
      </w:r>
      <w:r w:rsidRPr="00B02247">
        <w:t>Court</w:t>
      </w:r>
      <w:r w:rsidR="005B2A41">
        <w:t xml:space="preserve"> </w:t>
      </w:r>
      <w:r w:rsidRPr="00B02247">
        <w:t>of</w:t>
      </w:r>
      <w:r w:rsidR="005B2A41">
        <w:t xml:space="preserve"> </w:t>
      </w:r>
      <w:r w:rsidRPr="00B02247">
        <w:t>Human</w:t>
      </w:r>
      <w:r w:rsidR="005B2A41">
        <w:t xml:space="preserve"> </w:t>
      </w:r>
      <w:r w:rsidRPr="00B02247">
        <w:t>Rights</w:t>
      </w:r>
      <w:r w:rsidR="005B2A41">
        <w:t xml:space="preserve"> </w:t>
      </w:r>
      <w:r w:rsidRPr="00B02247">
        <w:t>has</w:t>
      </w:r>
      <w:r w:rsidR="005B2A41">
        <w:t xml:space="preserve"> </w:t>
      </w:r>
      <w:r w:rsidRPr="00B02247">
        <w:t>had</w:t>
      </w:r>
      <w:r w:rsidR="005B2A41">
        <w:t xml:space="preserve"> </w:t>
      </w:r>
      <w:r w:rsidRPr="00B02247">
        <w:t>a</w:t>
      </w:r>
      <w:r w:rsidR="005B2A41">
        <w:t xml:space="preserve"> </w:t>
      </w:r>
      <w:r w:rsidRPr="00B02247">
        <w:t>profound</w:t>
      </w:r>
      <w:r w:rsidR="005B2A41">
        <w:t xml:space="preserve"> </w:t>
      </w:r>
      <w:r w:rsidRPr="00B02247">
        <w:t>impact</w:t>
      </w:r>
      <w:r w:rsidR="005B2A41">
        <w:t xml:space="preserve"> </w:t>
      </w:r>
      <w:r w:rsidRPr="00B02247">
        <w:t>on</w:t>
      </w:r>
      <w:r w:rsidR="005B2A41">
        <w:t xml:space="preserve"> </w:t>
      </w:r>
      <w:r w:rsidRPr="00B02247">
        <w:t>the</w:t>
      </w:r>
      <w:r w:rsidR="005B2A41">
        <w:t xml:space="preserve"> </w:t>
      </w:r>
      <w:r w:rsidRPr="00B02247">
        <w:t>domestic</w:t>
      </w:r>
      <w:r w:rsidR="005B2A41">
        <w:t xml:space="preserve"> </w:t>
      </w:r>
      <w:r w:rsidRPr="00B02247">
        <w:t>legal</w:t>
      </w:r>
      <w:r w:rsidR="005B2A41">
        <w:t xml:space="preserve"> </w:t>
      </w:r>
      <w:r w:rsidRPr="00B02247">
        <w:t>order.</w:t>
      </w:r>
      <w:r w:rsidR="005B2A41">
        <w:t xml:space="preserve"> </w:t>
      </w:r>
      <w:r w:rsidRPr="00B02247">
        <w:t>In</w:t>
      </w:r>
      <w:r w:rsidR="005B2A41">
        <w:t xml:space="preserve"> </w:t>
      </w:r>
      <w:r w:rsidRPr="00B02247">
        <w:t>keeping</w:t>
      </w:r>
      <w:r w:rsidR="005B2A41">
        <w:t xml:space="preserve"> </w:t>
      </w:r>
      <w:r w:rsidRPr="00B02247">
        <w:t>with</w:t>
      </w:r>
      <w:r w:rsidR="005B2A41">
        <w:t xml:space="preserve"> </w:t>
      </w:r>
      <w:r w:rsidRPr="00B02247">
        <w:t>its</w:t>
      </w:r>
      <w:r w:rsidR="005B2A41">
        <w:t xml:space="preserve"> </w:t>
      </w:r>
      <w:r w:rsidRPr="00B02247">
        <w:t>obligations</w:t>
      </w:r>
      <w:r w:rsidR="005B2A41">
        <w:t xml:space="preserve"> </w:t>
      </w:r>
      <w:r w:rsidRPr="00B02247">
        <w:t>under</w:t>
      </w:r>
      <w:r w:rsidR="005B2A41">
        <w:t xml:space="preserve"> </w:t>
      </w:r>
      <w:r w:rsidRPr="00B02247">
        <w:t>the</w:t>
      </w:r>
      <w:r w:rsidR="005B2A41">
        <w:t xml:space="preserve"> </w:t>
      </w:r>
      <w:r w:rsidRPr="00B02247">
        <w:t>Convention,</w:t>
      </w:r>
      <w:r w:rsidR="005B2A41">
        <w:t xml:space="preserve"> </w:t>
      </w:r>
      <w:r w:rsidRPr="00B02247">
        <w:t>Greece</w:t>
      </w:r>
      <w:r w:rsidR="005B2A41">
        <w:t xml:space="preserve"> </w:t>
      </w:r>
      <w:r w:rsidRPr="00B02247">
        <w:t>has</w:t>
      </w:r>
      <w:r w:rsidR="005B2A41">
        <w:t xml:space="preserve"> </w:t>
      </w:r>
      <w:r w:rsidRPr="00B02247">
        <w:t>adopted</w:t>
      </w:r>
      <w:r w:rsidR="005B2A41">
        <w:t xml:space="preserve"> </w:t>
      </w:r>
      <w:r w:rsidRPr="00B02247">
        <w:t>legislative,</w:t>
      </w:r>
      <w:r w:rsidR="005B2A41">
        <w:t xml:space="preserve"> </w:t>
      </w:r>
      <w:r w:rsidRPr="00B02247">
        <w:t>administrative</w:t>
      </w:r>
      <w:r w:rsidR="005B2A41">
        <w:t xml:space="preserve"> </w:t>
      </w:r>
      <w:r w:rsidRPr="00B02247">
        <w:t>and</w:t>
      </w:r>
      <w:r w:rsidR="005B2A41">
        <w:t xml:space="preserve"> </w:t>
      </w:r>
      <w:r w:rsidRPr="00B02247">
        <w:t>policy</w:t>
      </w:r>
      <w:r w:rsidR="005B2A41">
        <w:t xml:space="preserve"> </w:t>
      </w:r>
      <w:r w:rsidRPr="00B02247">
        <w:t>measures</w:t>
      </w:r>
      <w:r w:rsidR="005B2A41">
        <w:t xml:space="preserve"> </w:t>
      </w:r>
      <w:r w:rsidRPr="00B02247">
        <w:t>to</w:t>
      </w:r>
      <w:r w:rsidR="005B2A41">
        <w:t xml:space="preserve"> </w:t>
      </w:r>
      <w:r w:rsidRPr="00B02247">
        <w:t>implement</w:t>
      </w:r>
      <w:r w:rsidR="005B2A41">
        <w:t xml:space="preserve"> </w:t>
      </w:r>
      <w:r w:rsidRPr="00B02247">
        <w:t>the</w:t>
      </w:r>
      <w:r w:rsidR="005B2A41">
        <w:t xml:space="preserve"> </w:t>
      </w:r>
      <w:r w:rsidRPr="00B02247">
        <w:t>European</w:t>
      </w:r>
      <w:r w:rsidR="005B2A41">
        <w:t xml:space="preserve"> </w:t>
      </w:r>
      <w:r w:rsidRPr="00B02247">
        <w:t>Court</w:t>
      </w:r>
      <w:r w:rsidR="003E731F">
        <w:t>’</w:t>
      </w:r>
      <w:r w:rsidRPr="00B02247">
        <w:t>s</w:t>
      </w:r>
      <w:r w:rsidR="005B2A41">
        <w:t xml:space="preserve"> </w:t>
      </w:r>
      <w:r w:rsidRPr="00B02247">
        <w:t>judgements</w:t>
      </w:r>
      <w:r w:rsidR="005B2A41">
        <w:t xml:space="preserve"> </w:t>
      </w:r>
      <w:r w:rsidRPr="00B02247">
        <w:t>and</w:t>
      </w:r>
      <w:r w:rsidR="005B2A41">
        <w:t xml:space="preserve"> </w:t>
      </w:r>
      <w:r w:rsidRPr="00B02247">
        <w:t>to</w:t>
      </w:r>
      <w:r w:rsidR="005B2A41">
        <w:t xml:space="preserve"> </w:t>
      </w:r>
      <w:r w:rsidRPr="00B02247">
        <w:t>prevent</w:t>
      </w:r>
      <w:r w:rsidR="005B2A41">
        <w:t xml:space="preserve"> </w:t>
      </w:r>
      <w:r w:rsidRPr="00B02247">
        <w:t>similar</w:t>
      </w:r>
      <w:r w:rsidR="005B2A41">
        <w:t xml:space="preserve"> </w:t>
      </w:r>
      <w:r w:rsidRPr="00B02247">
        <w:t>violations</w:t>
      </w:r>
      <w:r w:rsidR="005B2A41">
        <w:t xml:space="preserve"> </w:t>
      </w:r>
      <w:r w:rsidRPr="00B02247">
        <w:t>of</w:t>
      </w:r>
      <w:r w:rsidR="005B2A41">
        <w:t xml:space="preserve"> </w:t>
      </w:r>
      <w:r w:rsidRPr="00B02247">
        <w:t>the</w:t>
      </w:r>
      <w:r w:rsidR="005B2A41">
        <w:t xml:space="preserve"> </w:t>
      </w:r>
      <w:r w:rsidRPr="00B02247">
        <w:t>ECHR.</w:t>
      </w:r>
      <w:r w:rsidR="005B2A41">
        <w:t xml:space="preserve"> </w:t>
      </w:r>
      <w:r w:rsidRPr="00B02247">
        <w:t>Moreover,</w:t>
      </w:r>
      <w:r w:rsidR="005B2A41">
        <w:t xml:space="preserve"> </w:t>
      </w:r>
      <w:r w:rsidRPr="00B02247">
        <w:t>Greek</w:t>
      </w:r>
      <w:r w:rsidR="005B2A41">
        <w:t xml:space="preserve"> </w:t>
      </w:r>
      <w:r w:rsidRPr="00B02247">
        <w:t>courts</w:t>
      </w:r>
      <w:r w:rsidR="005B2A41">
        <w:t xml:space="preserve"> </w:t>
      </w:r>
      <w:r w:rsidRPr="00B02247">
        <w:t>have</w:t>
      </w:r>
      <w:r w:rsidR="005B2A41">
        <w:t xml:space="preserve"> </w:t>
      </w:r>
      <w:r w:rsidRPr="00B02247">
        <w:t>harmonized</w:t>
      </w:r>
      <w:r w:rsidR="005B2A41">
        <w:t xml:space="preserve"> </w:t>
      </w:r>
      <w:r w:rsidRPr="00B02247">
        <w:t>their</w:t>
      </w:r>
      <w:r w:rsidR="005B2A41">
        <w:t xml:space="preserve"> </w:t>
      </w:r>
      <w:r w:rsidRPr="00B02247">
        <w:t>case-law</w:t>
      </w:r>
      <w:r w:rsidR="005B2A41">
        <w:t xml:space="preserve"> </w:t>
      </w:r>
      <w:r w:rsidRPr="00B02247">
        <w:t>with</w:t>
      </w:r>
      <w:r w:rsidR="005B2A41">
        <w:t xml:space="preserve"> </w:t>
      </w:r>
      <w:r w:rsidRPr="00B02247">
        <w:t>the</w:t>
      </w:r>
      <w:r w:rsidR="005B2A41">
        <w:t xml:space="preserve"> </w:t>
      </w:r>
      <w:r w:rsidRPr="00B02247">
        <w:t>jurisprudence</w:t>
      </w:r>
      <w:r w:rsidR="005B2A41">
        <w:t xml:space="preserve"> </w:t>
      </w:r>
      <w:r w:rsidRPr="00B02247">
        <w:t>of</w:t>
      </w:r>
      <w:r w:rsidR="005B2A41">
        <w:t xml:space="preserve"> </w:t>
      </w:r>
      <w:r w:rsidRPr="00B02247">
        <w:t>the</w:t>
      </w:r>
      <w:r w:rsidR="005B2A41">
        <w:t xml:space="preserve"> </w:t>
      </w:r>
      <w:r w:rsidRPr="00B02247">
        <w:t>European</w:t>
      </w:r>
      <w:r w:rsidR="005B2A41">
        <w:t xml:space="preserve"> </w:t>
      </w:r>
      <w:r w:rsidRPr="00B02247">
        <w:t>Court.</w:t>
      </w:r>
      <w:r w:rsidR="005B2A41">
        <w:t xml:space="preserve"> </w:t>
      </w:r>
    </w:p>
    <w:p w:rsidR="00F233AB" w:rsidRPr="00B02247" w:rsidRDefault="00F233AB" w:rsidP="00E1307D">
      <w:pPr>
        <w:pStyle w:val="SingleTxtG"/>
      </w:pPr>
      <w:r w:rsidRPr="00B02247">
        <w:t>105.</w:t>
      </w:r>
      <w:r w:rsidRPr="00B02247">
        <w:tab/>
        <w:t>Under</w:t>
      </w:r>
      <w:r w:rsidR="005B2A41">
        <w:t xml:space="preserve"> </w:t>
      </w:r>
      <w:r w:rsidRPr="00B02247">
        <w:t>the</w:t>
      </w:r>
      <w:r w:rsidR="005B2A41">
        <w:t xml:space="preserve"> </w:t>
      </w:r>
      <w:r w:rsidRPr="00B02247">
        <w:t>Additional</w:t>
      </w:r>
      <w:r w:rsidR="005B2A41">
        <w:t xml:space="preserve"> </w:t>
      </w:r>
      <w:r w:rsidRPr="00B02247">
        <w:t>Protocol</w:t>
      </w:r>
      <w:r w:rsidR="005B2A41">
        <w:t xml:space="preserve"> </w:t>
      </w:r>
      <w:r w:rsidRPr="00B02247">
        <w:t>to</w:t>
      </w:r>
      <w:r w:rsidR="005B2A41">
        <w:t xml:space="preserve"> </w:t>
      </w:r>
      <w:r w:rsidRPr="00B02247">
        <w:t>the</w:t>
      </w:r>
      <w:r w:rsidR="005B2A41">
        <w:t xml:space="preserve"> </w:t>
      </w:r>
      <w:r w:rsidRPr="00B02247">
        <w:t>European</w:t>
      </w:r>
      <w:r w:rsidR="005B2A41">
        <w:t xml:space="preserve"> </w:t>
      </w:r>
      <w:r w:rsidRPr="00B02247">
        <w:t>Social</w:t>
      </w:r>
      <w:r w:rsidR="005B2A41">
        <w:t xml:space="preserve"> </w:t>
      </w:r>
      <w:r w:rsidRPr="00B02247">
        <w:t>Charter</w:t>
      </w:r>
      <w:r w:rsidR="005B2A41">
        <w:t xml:space="preserve"> </w:t>
      </w:r>
      <w:r w:rsidRPr="00B02247">
        <w:t>providing</w:t>
      </w:r>
      <w:r w:rsidR="005B2A41">
        <w:t xml:space="preserve"> </w:t>
      </w:r>
      <w:r w:rsidRPr="00B02247">
        <w:t>for</w:t>
      </w:r>
      <w:r w:rsidR="005B2A41">
        <w:t xml:space="preserve"> </w:t>
      </w:r>
      <w:r w:rsidRPr="00B02247">
        <w:t>a</w:t>
      </w:r>
      <w:r w:rsidR="005B2A41">
        <w:t xml:space="preserve"> </w:t>
      </w:r>
      <w:r w:rsidRPr="00B02247">
        <w:t>system</w:t>
      </w:r>
      <w:r w:rsidR="005B2A41">
        <w:t xml:space="preserve"> </w:t>
      </w:r>
      <w:r w:rsidRPr="00B02247">
        <w:t>of</w:t>
      </w:r>
      <w:r w:rsidR="005B2A41">
        <w:t xml:space="preserve"> </w:t>
      </w:r>
      <w:r w:rsidRPr="00B02247">
        <w:t>collective</w:t>
      </w:r>
      <w:r w:rsidR="005B2A41">
        <w:t xml:space="preserve"> </w:t>
      </w:r>
      <w:r w:rsidRPr="00B02247">
        <w:t>complaints,</w:t>
      </w:r>
      <w:r w:rsidR="005B2A41">
        <w:t xml:space="preserve"> </w:t>
      </w:r>
      <w:r w:rsidRPr="00B02247">
        <w:t>18</w:t>
      </w:r>
      <w:r w:rsidR="005B2A41">
        <w:t xml:space="preserve"> </w:t>
      </w:r>
      <w:r w:rsidRPr="00B02247">
        <w:t>collective</w:t>
      </w:r>
      <w:r w:rsidR="005B2A41">
        <w:t xml:space="preserve"> </w:t>
      </w:r>
      <w:r w:rsidRPr="00B02247">
        <w:t>complaints</w:t>
      </w:r>
      <w:r w:rsidR="005B2A41">
        <w:t xml:space="preserve"> </w:t>
      </w:r>
      <w:r w:rsidRPr="00B02247">
        <w:t>have</w:t>
      </w:r>
      <w:r w:rsidR="005B2A41">
        <w:t xml:space="preserve"> </w:t>
      </w:r>
      <w:r w:rsidRPr="00B02247">
        <w:t>been</w:t>
      </w:r>
      <w:r w:rsidR="005B2A41">
        <w:t xml:space="preserve"> </w:t>
      </w:r>
      <w:r w:rsidRPr="00B02247">
        <w:t>filed</w:t>
      </w:r>
      <w:r w:rsidR="005B2A41">
        <w:t xml:space="preserve"> </w:t>
      </w:r>
      <w:r w:rsidRPr="00B02247">
        <w:t>which</w:t>
      </w:r>
      <w:r w:rsidR="005B2A41">
        <w:t xml:space="preserve"> </w:t>
      </w:r>
      <w:r w:rsidRPr="00B02247">
        <w:t>concern</w:t>
      </w:r>
      <w:r w:rsidR="005B2A41">
        <w:t xml:space="preserve"> </w:t>
      </w:r>
      <w:r w:rsidRPr="00B02247">
        <w:t>a</w:t>
      </w:r>
      <w:r w:rsidR="005B2A41">
        <w:t xml:space="preserve"> </w:t>
      </w:r>
      <w:r w:rsidRPr="00B02247">
        <w:t>wide</w:t>
      </w:r>
      <w:r w:rsidR="005B2A41">
        <w:t xml:space="preserve"> </w:t>
      </w:r>
      <w:r w:rsidRPr="00B02247">
        <w:t>variety</w:t>
      </w:r>
      <w:r w:rsidR="005B2A41">
        <w:t xml:space="preserve"> </w:t>
      </w:r>
      <w:r w:rsidRPr="00B02247">
        <w:t>of</w:t>
      </w:r>
      <w:r w:rsidR="005B2A41">
        <w:t xml:space="preserve"> </w:t>
      </w:r>
      <w:r w:rsidRPr="00B02247">
        <w:t>labour,</w:t>
      </w:r>
      <w:r w:rsidR="005B2A41">
        <w:t xml:space="preserve"> </w:t>
      </w:r>
      <w:r w:rsidRPr="00B02247">
        <w:t>social</w:t>
      </w:r>
      <w:r w:rsidR="005B2A41">
        <w:t xml:space="preserve"> </w:t>
      </w:r>
      <w:r w:rsidRPr="00B02247">
        <w:t>security</w:t>
      </w:r>
      <w:r w:rsidR="005B2A41">
        <w:t xml:space="preserve"> </w:t>
      </w:r>
      <w:r w:rsidRPr="00B02247">
        <w:t>and</w:t>
      </w:r>
      <w:r w:rsidR="005B2A41">
        <w:t xml:space="preserve"> </w:t>
      </w:r>
      <w:r w:rsidRPr="00B02247">
        <w:t>other</w:t>
      </w:r>
      <w:r w:rsidR="005B2A41">
        <w:t xml:space="preserve"> </w:t>
      </w:r>
      <w:r w:rsidRPr="00B02247">
        <w:t>issues,</w:t>
      </w:r>
      <w:r w:rsidR="005B2A41">
        <w:t xml:space="preserve"> </w:t>
      </w:r>
      <w:r w:rsidRPr="00B02247">
        <w:t>in</w:t>
      </w:r>
      <w:r w:rsidR="005B2A41">
        <w:t xml:space="preserve"> </w:t>
      </w:r>
      <w:r w:rsidRPr="00B02247">
        <w:t>particular</w:t>
      </w:r>
      <w:r w:rsidR="005B2A41">
        <w:t xml:space="preserve"> </w:t>
      </w:r>
      <w:r w:rsidRPr="00B02247">
        <w:t>following</w:t>
      </w:r>
      <w:r w:rsidR="005B2A41">
        <w:t xml:space="preserve"> </w:t>
      </w:r>
      <w:r w:rsidRPr="00B02247">
        <w:t>the</w:t>
      </w:r>
      <w:r w:rsidR="005B2A41">
        <w:t xml:space="preserve"> </w:t>
      </w:r>
      <w:r w:rsidRPr="00B02247">
        <w:t>austerity</w:t>
      </w:r>
      <w:r w:rsidR="005B2A41">
        <w:t xml:space="preserve"> </w:t>
      </w:r>
      <w:r w:rsidRPr="00B02247">
        <w:t>measures</w:t>
      </w:r>
      <w:r w:rsidR="005B2A41">
        <w:t xml:space="preserve"> </w:t>
      </w:r>
      <w:r w:rsidRPr="00B02247">
        <w:t>adopted</w:t>
      </w:r>
      <w:r w:rsidR="005B2A41">
        <w:t xml:space="preserve"> </w:t>
      </w:r>
      <w:r w:rsidRPr="00B02247">
        <w:t>in</w:t>
      </w:r>
      <w:r w:rsidR="005B2A41">
        <w:t xml:space="preserve"> </w:t>
      </w:r>
      <w:r w:rsidRPr="00B02247">
        <w:t>the</w:t>
      </w:r>
      <w:r w:rsidR="005B2A41">
        <w:t xml:space="preserve"> </w:t>
      </w:r>
      <w:r w:rsidRPr="00B02247">
        <w:t>context</w:t>
      </w:r>
      <w:r w:rsidR="005B2A41">
        <w:t xml:space="preserve"> </w:t>
      </w:r>
      <w:r w:rsidRPr="00B02247">
        <w:t>of</w:t>
      </w:r>
      <w:r w:rsidR="005B2A41">
        <w:t xml:space="preserve"> </w:t>
      </w:r>
      <w:r w:rsidRPr="00B02247">
        <w:t>the</w:t>
      </w:r>
      <w:r w:rsidR="005B2A41">
        <w:t xml:space="preserve"> </w:t>
      </w:r>
      <w:r w:rsidRPr="00B02247">
        <w:t>financial</w:t>
      </w:r>
      <w:r w:rsidR="005B2A41">
        <w:t xml:space="preserve"> </w:t>
      </w:r>
      <w:r w:rsidRPr="00B02247">
        <w:t>crisis</w:t>
      </w:r>
      <w:r w:rsidR="005B2A41">
        <w:t xml:space="preserve"> </w:t>
      </w:r>
      <w:r w:rsidRPr="00B02247">
        <w:t>affecting</w:t>
      </w:r>
      <w:r w:rsidR="005B2A41">
        <w:t xml:space="preserve"> </w:t>
      </w:r>
      <w:r w:rsidRPr="00B02247">
        <w:t>the</w:t>
      </w:r>
      <w:r w:rsidR="005B2A41">
        <w:t xml:space="preserve"> </w:t>
      </w:r>
      <w:r w:rsidRPr="00B02247">
        <w:t>country.</w:t>
      </w:r>
    </w:p>
    <w:p w:rsidR="00F233AB" w:rsidRPr="00B02247" w:rsidRDefault="00F233AB" w:rsidP="00E1307D">
      <w:pPr>
        <w:pStyle w:val="SingleTxtG"/>
      </w:pPr>
      <w:r w:rsidRPr="00B02247">
        <w:t>106.</w:t>
      </w:r>
      <w:r w:rsidRPr="00B02247">
        <w:tab/>
        <w:t>Finally,</w:t>
      </w:r>
      <w:r w:rsidR="005B2A41">
        <w:t xml:space="preserve"> </w:t>
      </w:r>
      <w:r w:rsidRPr="00B02247">
        <w:t>it</w:t>
      </w:r>
      <w:r w:rsidR="005B2A41">
        <w:t xml:space="preserve"> </w:t>
      </w:r>
      <w:r w:rsidRPr="00B02247">
        <w:t>is</w:t>
      </w:r>
      <w:r w:rsidR="005B2A41">
        <w:t xml:space="preserve"> </w:t>
      </w:r>
      <w:r w:rsidRPr="00B02247">
        <w:t>to</w:t>
      </w:r>
      <w:r w:rsidR="005B2A41">
        <w:t xml:space="preserve"> </w:t>
      </w:r>
      <w:r w:rsidRPr="00B02247">
        <w:t>be</w:t>
      </w:r>
      <w:r w:rsidR="005B2A41">
        <w:t xml:space="preserve"> </w:t>
      </w:r>
      <w:r w:rsidRPr="00B02247">
        <w:t>recalled</w:t>
      </w:r>
      <w:r w:rsidR="005B2A41">
        <w:t xml:space="preserve"> </w:t>
      </w:r>
      <w:r w:rsidRPr="00B02247">
        <w:t>that</w:t>
      </w:r>
      <w:r w:rsidR="005B2A41">
        <w:t xml:space="preserve"> </w:t>
      </w:r>
      <w:r w:rsidRPr="00B02247">
        <w:t>Greece</w:t>
      </w:r>
      <w:r w:rsidR="005B2A41">
        <w:t xml:space="preserve"> </w:t>
      </w:r>
      <w:r w:rsidRPr="00B02247">
        <w:t>is</w:t>
      </w:r>
      <w:r w:rsidR="005B2A41">
        <w:t xml:space="preserve"> </w:t>
      </w:r>
      <w:r w:rsidRPr="00B02247">
        <w:t>subject</w:t>
      </w:r>
      <w:r w:rsidR="005B2A41">
        <w:t xml:space="preserve"> </w:t>
      </w:r>
      <w:r w:rsidRPr="00B02247">
        <w:t>to</w:t>
      </w:r>
      <w:r w:rsidR="005B2A41">
        <w:t xml:space="preserve"> </w:t>
      </w:r>
      <w:r w:rsidRPr="00B02247">
        <w:t>monitoring</w:t>
      </w:r>
      <w:r w:rsidR="005B2A41">
        <w:t xml:space="preserve"> </w:t>
      </w:r>
      <w:r w:rsidRPr="00B02247">
        <w:t>mechanisms</w:t>
      </w:r>
      <w:r w:rsidR="005B2A41">
        <w:t xml:space="preserve"> </w:t>
      </w:r>
      <w:r w:rsidRPr="00B02247">
        <w:t>within</w:t>
      </w:r>
      <w:r w:rsidR="005B2A41">
        <w:t xml:space="preserve"> </w:t>
      </w:r>
      <w:r w:rsidRPr="00B02247">
        <w:t>the</w:t>
      </w:r>
      <w:r w:rsidR="005B2A41">
        <w:t xml:space="preserve"> </w:t>
      </w:r>
      <w:r w:rsidRPr="00B02247">
        <w:t>framework</w:t>
      </w:r>
      <w:r w:rsidR="005B2A41">
        <w:t xml:space="preserve"> </w:t>
      </w:r>
      <w:r w:rsidRPr="00B02247">
        <w:t>of</w:t>
      </w:r>
      <w:r w:rsidR="005B2A41">
        <w:t xml:space="preserve"> </w:t>
      </w:r>
      <w:r w:rsidRPr="00B02247">
        <w:t>the</w:t>
      </w:r>
      <w:r w:rsidR="005B2A41">
        <w:t xml:space="preserve"> </w:t>
      </w:r>
      <w:r w:rsidRPr="00B02247">
        <w:t>Council</w:t>
      </w:r>
      <w:r w:rsidR="005B2A41">
        <w:t xml:space="preserve"> </w:t>
      </w:r>
      <w:r w:rsidRPr="00B02247">
        <w:t>of</w:t>
      </w:r>
      <w:r w:rsidR="005B2A41">
        <w:t xml:space="preserve"> </w:t>
      </w:r>
      <w:r w:rsidRPr="00B02247">
        <w:t>Europe,</w:t>
      </w:r>
      <w:r w:rsidR="005B2A41">
        <w:t xml:space="preserve"> </w:t>
      </w:r>
      <w:r w:rsidRPr="00B02247">
        <w:t>such</w:t>
      </w:r>
      <w:r w:rsidR="005B2A41">
        <w:t xml:space="preserve"> </w:t>
      </w:r>
      <w:r w:rsidRPr="00B02247">
        <w:t>as</w:t>
      </w:r>
      <w:r w:rsidR="005B2A41">
        <w:t xml:space="preserve"> </w:t>
      </w:r>
      <w:r w:rsidRPr="00B02247">
        <w:t>the</w:t>
      </w:r>
      <w:r w:rsidR="005B2A41">
        <w:t xml:space="preserve"> </w:t>
      </w:r>
      <w:r w:rsidRPr="00B02247">
        <w:t>European</w:t>
      </w:r>
      <w:r w:rsidR="005B2A41">
        <w:t xml:space="preserve"> </w:t>
      </w:r>
      <w:r w:rsidRPr="00B02247">
        <w:t>Committee</w:t>
      </w:r>
      <w:r w:rsidR="005B2A41">
        <w:t xml:space="preserve"> </w:t>
      </w:r>
      <w:r w:rsidRPr="00B02247">
        <w:t>for</w:t>
      </w:r>
      <w:r w:rsidR="005B2A41">
        <w:t xml:space="preserve"> </w:t>
      </w:r>
      <w:r w:rsidRPr="00B02247">
        <w:t>the</w:t>
      </w:r>
      <w:r w:rsidR="005B2A41">
        <w:t xml:space="preserve"> </w:t>
      </w:r>
      <w:r w:rsidRPr="00B02247">
        <w:t>Prevention</w:t>
      </w:r>
      <w:r w:rsidR="005B2A41">
        <w:t xml:space="preserve"> </w:t>
      </w:r>
      <w:r w:rsidRPr="00B02247">
        <w:t>of</w:t>
      </w:r>
      <w:r w:rsidR="005B2A41">
        <w:t xml:space="preserve"> </w:t>
      </w:r>
      <w:r w:rsidRPr="00B02247">
        <w:t>Torture</w:t>
      </w:r>
      <w:r w:rsidR="005B2A41">
        <w:t xml:space="preserve"> </w:t>
      </w:r>
      <w:r w:rsidRPr="00B02247">
        <w:t>and</w:t>
      </w:r>
      <w:r w:rsidR="005B2A41">
        <w:t xml:space="preserve"> </w:t>
      </w:r>
      <w:r w:rsidRPr="00B02247">
        <w:t>Inhuman</w:t>
      </w:r>
      <w:r w:rsidR="005B2A41">
        <w:t xml:space="preserve"> </w:t>
      </w:r>
      <w:r w:rsidRPr="00B02247">
        <w:t>or</w:t>
      </w:r>
      <w:r w:rsidR="005B2A41">
        <w:t xml:space="preserve"> </w:t>
      </w:r>
      <w:r w:rsidRPr="00B02247">
        <w:t>Degrading</w:t>
      </w:r>
      <w:r w:rsidR="005B2A41">
        <w:t xml:space="preserve"> </w:t>
      </w:r>
      <w:r w:rsidRPr="00B02247">
        <w:t>Treatment</w:t>
      </w:r>
      <w:r w:rsidR="005B2A41">
        <w:t xml:space="preserve"> </w:t>
      </w:r>
      <w:r w:rsidRPr="00B02247">
        <w:t>or</w:t>
      </w:r>
      <w:r w:rsidR="005B2A41">
        <w:t xml:space="preserve"> </w:t>
      </w:r>
      <w:r w:rsidRPr="00B02247">
        <w:t>Punishment</w:t>
      </w:r>
      <w:r w:rsidR="005B2A41">
        <w:t xml:space="preserve"> </w:t>
      </w:r>
      <w:r w:rsidRPr="00B02247">
        <w:t>of</w:t>
      </w:r>
      <w:r w:rsidR="005B2A41">
        <w:t xml:space="preserve"> </w:t>
      </w:r>
      <w:r w:rsidRPr="00B02247">
        <w:t>the</w:t>
      </w:r>
      <w:r w:rsidR="005B2A41">
        <w:t xml:space="preserve"> </w:t>
      </w:r>
      <w:r w:rsidRPr="00B02247">
        <w:t>relevant</w:t>
      </w:r>
      <w:r w:rsidR="005B2A41">
        <w:t xml:space="preserve"> </w:t>
      </w:r>
      <w:r w:rsidRPr="00B02247">
        <w:t>Convention,</w:t>
      </w:r>
      <w:r w:rsidR="005B2A41">
        <w:t xml:space="preserve"> </w:t>
      </w:r>
      <w:r w:rsidRPr="00B02247">
        <w:t>the</w:t>
      </w:r>
      <w:r w:rsidR="005B2A41">
        <w:t xml:space="preserve"> </w:t>
      </w:r>
      <w:r w:rsidRPr="00B02247">
        <w:t>European</w:t>
      </w:r>
      <w:r w:rsidR="005B2A41">
        <w:t xml:space="preserve"> </w:t>
      </w:r>
      <w:r w:rsidRPr="00B02247">
        <w:t>Commission</w:t>
      </w:r>
      <w:r w:rsidR="005B2A41">
        <w:t xml:space="preserve"> </w:t>
      </w:r>
      <w:r w:rsidRPr="00B02247">
        <w:t>against</w:t>
      </w:r>
      <w:r w:rsidR="005B2A41">
        <w:t xml:space="preserve"> </w:t>
      </w:r>
      <w:r w:rsidRPr="00B02247">
        <w:t>Racism</w:t>
      </w:r>
      <w:r w:rsidR="005B2A41">
        <w:t xml:space="preserve"> </w:t>
      </w:r>
      <w:r w:rsidRPr="00B02247">
        <w:t>and</w:t>
      </w:r>
      <w:r w:rsidR="005B2A41">
        <w:t xml:space="preserve"> </w:t>
      </w:r>
      <w:r w:rsidRPr="00B02247">
        <w:t>Intolerance</w:t>
      </w:r>
      <w:r w:rsidR="005B2A41">
        <w:t xml:space="preserve"> </w:t>
      </w:r>
      <w:r w:rsidRPr="00B02247">
        <w:t>(ECRI),</w:t>
      </w:r>
      <w:r w:rsidR="005B2A41">
        <w:t xml:space="preserve"> </w:t>
      </w:r>
      <w:r w:rsidRPr="00B02247">
        <w:t>etc.</w:t>
      </w:r>
    </w:p>
    <w:p w:rsidR="00F233AB" w:rsidRPr="00B02247" w:rsidRDefault="00F233AB" w:rsidP="00E40C4C">
      <w:pPr>
        <w:pStyle w:val="H1G"/>
      </w:pPr>
      <w:bookmarkStart w:id="7" w:name="_Toc133268783"/>
      <w:bookmarkStart w:id="8" w:name="_Toc73946166"/>
      <w:bookmarkStart w:id="9" w:name="_Toc73328515"/>
      <w:bookmarkStart w:id="10" w:name="_Toc72567488"/>
      <w:bookmarkStart w:id="11" w:name="_Toc72567228"/>
      <w:r w:rsidRPr="00B02247">
        <w:lastRenderedPageBreak/>
        <w:tab/>
        <w:t>E.</w:t>
      </w:r>
      <w:r w:rsidRPr="00B02247">
        <w:tab/>
        <w:t>Framework</w:t>
      </w:r>
      <w:r w:rsidR="005B2A41">
        <w:t xml:space="preserve"> </w:t>
      </w:r>
      <w:r w:rsidRPr="00B02247">
        <w:t>within</w:t>
      </w:r>
      <w:r w:rsidR="005B2A41">
        <w:t xml:space="preserve"> </w:t>
      </w:r>
      <w:r w:rsidRPr="00B02247">
        <w:t>which</w:t>
      </w:r>
      <w:r w:rsidR="005B2A41">
        <w:t xml:space="preserve"> </w:t>
      </w:r>
      <w:r w:rsidRPr="00B02247">
        <w:t>human</w:t>
      </w:r>
      <w:r w:rsidR="005B2A41">
        <w:t xml:space="preserve"> </w:t>
      </w:r>
      <w:r w:rsidRPr="00B02247">
        <w:t>rights</w:t>
      </w:r>
      <w:r w:rsidR="005B2A41">
        <w:t xml:space="preserve"> </w:t>
      </w:r>
      <w:r w:rsidRPr="00B02247">
        <w:t>are</w:t>
      </w:r>
      <w:r w:rsidR="005B2A41">
        <w:t xml:space="preserve"> </w:t>
      </w:r>
      <w:r w:rsidRPr="00B02247">
        <w:t>promoted</w:t>
      </w:r>
      <w:r w:rsidR="005B2A41">
        <w:t xml:space="preserve"> </w:t>
      </w:r>
      <w:r w:rsidRPr="00B02247">
        <w:t>at</w:t>
      </w:r>
      <w:r w:rsidR="005B2A41">
        <w:t xml:space="preserve"> </w:t>
      </w:r>
      <w:r w:rsidRPr="00B02247">
        <w:t>the</w:t>
      </w:r>
      <w:r w:rsidR="005B2A41">
        <w:t xml:space="preserve"> </w:t>
      </w:r>
      <w:r w:rsidRPr="00B02247">
        <w:t>national</w:t>
      </w:r>
      <w:r w:rsidR="005B2A41">
        <w:t xml:space="preserve"> </w:t>
      </w:r>
      <w:r w:rsidRPr="00B02247">
        <w:t>level</w:t>
      </w:r>
      <w:bookmarkEnd w:id="7"/>
      <w:bookmarkEnd w:id="8"/>
      <w:bookmarkEnd w:id="9"/>
      <w:bookmarkEnd w:id="10"/>
      <w:bookmarkEnd w:id="11"/>
    </w:p>
    <w:p w:rsidR="00F233AB" w:rsidRPr="00B02247" w:rsidRDefault="00F233AB" w:rsidP="00E1307D">
      <w:pPr>
        <w:pStyle w:val="SingleTxtG"/>
      </w:pPr>
      <w:r w:rsidRPr="00B02247">
        <w:t>107.</w:t>
      </w:r>
      <w:r w:rsidRPr="00B02247">
        <w:tab/>
        <w:t>A</w:t>
      </w:r>
      <w:r w:rsidR="005B2A41">
        <w:t xml:space="preserve"> </w:t>
      </w:r>
      <w:r w:rsidRPr="00B02247">
        <w:t>Special</w:t>
      </w:r>
      <w:r w:rsidR="005B2A41">
        <w:t xml:space="preserve"> </w:t>
      </w:r>
      <w:r w:rsidRPr="00B02247">
        <w:t>Permanent</w:t>
      </w:r>
      <w:r w:rsidR="005B2A41">
        <w:t xml:space="preserve"> </w:t>
      </w:r>
      <w:r w:rsidRPr="00B02247">
        <w:t>Committee</w:t>
      </w:r>
      <w:r w:rsidR="005B2A41">
        <w:t xml:space="preserve"> </w:t>
      </w:r>
      <w:r w:rsidRPr="00B02247">
        <w:t>on</w:t>
      </w:r>
      <w:r w:rsidR="005B2A41">
        <w:t xml:space="preserve"> </w:t>
      </w:r>
      <w:r w:rsidRPr="00B02247">
        <w:t>Equality,</w:t>
      </w:r>
      <w:r w:rsidR="005B2A41">
        <w:t xml:space="preserve"> </w:t>
      </w:r>
      <w:r w:rsidRPr="00B02247">
        <w:t>Youth</w:t>
      </w:r>
      <w:r w:rsidR="005B2A41">
        <w:t xml:space="preserve"> </w:t>
      </w:r>
      <w:r w:rsidRPr="00B02247">
        <w:t>and</w:t>
      </w:r>
      <w:r w:rsidR="005B2A41">
        <w:t xml:space="preserve"> </w:t>
      </w:r>
      <w:r w:rsidRPr="00B02247">
        <w:t>Human</w:t>
      </w:r>
      <w:r w:rsidR="005B2A41">
        <w:t xml:space="preserve"> </w:t>
      </w:r>
      <w:r w:rsidRPr="00B02247">
        <w:t>Rights</w:t>
      </w:r>
      <w:r w:rsidR="005B2A41">
        <w:t xml:space="preserve"> </w:t>
      </w:r>
      <w:r w:rsidRPr="00B02247">
        <w:t>of</w:t>
      </w:r>
      <w:r w:rsidR="005B2A41">
        <w:t xml:space="preserve"> </w:t>
      </w:r>
      <w:r w:rsidRPr="00B02247">
        <w:t>the</w:t>
      </w:r>
      <w:r w:rsidR="005B2A41">
        <w:t xml:space="preserve"> </w:t>
      </w:r>
      <w:r w:rsidRPr="00B02247">
        <w:t>Greek</w:t>
      </w:r>
      <w:r w:rsidR="005B2A41">
        <w:t xml:space="preserve"> </w:t>
      </w:r>
      <w:r w:rsidRPr="00B02247">
        <w:t>Parliament</w:t>
      </w:r>
      <w:r w:rsidR="005B2A41">
        <w:t xml:space="preserve"> </w:t>
      </w:r>
      <w:r w:rsidRPr="00B02247">
        <w:t>has</w:t>
      </w:r>
      <w:r w:rsidR="005B2A41">
        <w:t xml:space="preserve"> </w:t>
      </w:r>
      <w:r w:rsidRPr="00B02247">
        <w:t>been</w:t>
      </w:r>
      <w:r w:rsidR="005B2A41">
        <w:t xml:space="preserve"> </w:t>
      </w:r>
      <w:r w:rsidRPr="00B02247">
        <w:t>established,</w:t>
      </w:r>
      <w:r w:rsidR="005B2A41">
        <w:t xml:space="preserve"> </w:t>
      </w:r>
      <w:r w:rsidRPr="00B02247">
        <w:t>which</w:t>
      </w:r>
      <w:r w:rsidR="005B2A41">
        <w:t xml:space="preserve"> </w:t>
      </w:r>
      <w:r w:rsidRPr="00B02247">
        <w:t>is</w:t>
      </w:r>
      <w:r w:rsidR="005B2A41">
        <w:t xml:space="preserve"> </w:t>
      </w:r>
      <w:r w:rsidRPr="00B02247">
        <w:t>responsible</w:t>
      </w:r>
      <w:r w:rsidR="005B2A41">
        <w:t xml:space="preserve"> </w:t>
      </w:r>
      <w:r w:rsidRPr="00B02247">
        <w:t>for</w:t>
      </w:r>
      <w:r w:rsidR="005B2A41">
        <w:t xml:space="preserve"> </w:t>
      </w:r>
      <w:r w:rsidRPr="00B02247">
        <w:t>the</w:t>
      </w:r>
      <w:r w:rsidR="005B2A41">
        <w:t xml:space="preserve"> </w:t>
      </w:r>
      <w:r w:rsidRPr="00B02247">
        <w:t>research</w:t>
      </w:r>
      <w:r w:rsidR="005B2A41">
        <w:t xml:space="preserve"> </w:t>
      </w:r>
      <w:r w:rsidRPr="00B02247">
        <w:t>and</w:t>
      </w:r>
      <w:r w:rsidR="005B2A41">
        <w:t xml:space="preserve"> </w:t>
      </w:r>
      <w:r w:rsidRPr="00B02247">
        <w:t>the</w:t>
      </w:r>
      <w:r w:rsidR="005B2A41">
        <w:t xml:space="preserve"> </w:t>
      </w:r>
      <w:r w:rsidRPr="00B02247">
        <w:t>elaboration</w:t>
      </w:r>
      <w:r w:rsidR="005B2A41">
        <w:t xml:space="preserve"> </w:t>
      </w:r>
      <w:r w:rsidRPr="00B02247">
        <w:t>of</w:t>
      </w:r>
      <w:r w:rsidR="005B2A41">
        <w:t xml:space="preserve"> </w:t>
      </w:r>
      <w:r w:rsidRPr="00B02247">
        <w:t>proposals</w:t>
      </w:r>
      <w:r w:rsidR="005B2A41">
        <w:t xml:space="preserve"> </w:t>
      </w:r>
      <w:r w:rsidRPr="00B02247">
        <w:t>regarding</w:t>
      </w:r>
      <w:r w:rsidR="005B2A41">
        <w:t xml:space="preserve"> </w:t>
      </w:r>
      <w:r w:rsidRPr="00B02247">
        <w:t>the</w:t>
      </w:r>
      <w:r w:rsidR="005B2A41">
        <w:t xml:space="preserve"> </w:t>
      </w:r>
      <w:r w:rsidRPr="00B02247">
        <w:t>promotion</w:t>
      </w:r>
      <w:r w:rsidR="005B2A41">
        <w:t xml:space="preserve"> </w:t>
      </w:r>
      <w:r w:rsidRPr="00B02247">
        <w:t>(in</w:t>
      </w:r>
      <w:r w:rsidR="005B2A41">
        <w:t xml:space="preserve"> </w:t>
      </w:r>
      <w:r w:rsidRPr="00B02247">
        <w:t>the</w:t>
      </w:r>
      <w:r w:rsidR="005B2A41">
        <w:t xml:space="preserve"> </w:t>
      </w:r>
      <w:r w:rsidRPr="00B02247">
        <w:t>family,</w:t>
      </w:r>
      <w:r w:rsidR="005B2A41">
        <w:t xml:space="preserve"> </w:t>
      </w:r>
      <w:r w:rsidRPr="00B02247">
        <w:t>education</w:t>
      </w:r>
      <w:r w:rsidR="005B2A41">
        <w:t xml:space="preserve"> </w:t>
      </w:r>
      <w:r w:rsidRPr="00B02247">
        <w:t>and</w:t>
      </w:r>
      <w:r w:rsidR="005B2A41">
        <w:t xml:space="preserve"> </w:t>
      </w:r>
      <w:r w:rsidRPr="00B02247">
        <w:t>other</w:t>
      </w:r>
      <w:r w:rsidR="005B2A41">
        <w:t xml:space="preserve"> </w:t>
      </w:r>
      <w:r w:rsidRPr="00B02247">
        <w:t>social</w:t>
      </w:r>
      <w:r w:rsidR="005B2A41">
        <w:t xml:space="preserve"> </w:t>
      </w:r>
      <w:r w:rsidRPr="00B02247">
        <w:t>structures)</w:t>
      </w:r>
      <w:r w:rsidR="005B2A41">
        <w:t xml:space="preserve"> </w:t>
      </w:r>
      <w:r w:rsidRPr="00B02247">
        <w:t>of</w:t>
      </w:r>
      <w:r w:rsidR="005B2A41">
        <w:t xml:space="preserve"> </w:t>
      </w:r>
      <w:r w:rsidRPr="00B02247">
        <w:t>the</w:t>
      </w:r>
      <w:r w:rsidR="005B2A41">
        <w:t xml:space="preserve"> </w:t>
      </w:r>
      <w:r w:rsidRPr="00B02247">
        <w:t>principle</w:t>
      </w:r>
      <w:r w:rsidR="005B2A41">
        <w:t xml:space="preserve"> </w:t>
      </w:r>
      <w:r w:rsidRPr="00B02247">
        <w:t>of</w:t>
      </w:r>
      <w:r w:rsidR="005B2A41">
        <w:t xml:space="preserve"> </w:t>
      </w:r>
      <w:r w:rsidRPr="00B02247">
        <w:t>gender</w:t>
      </w:r>
      <w:r w:rsidR="005B2A41">
        <w:t xml:space="preserve"> </w:t>
      </w:r>
      <w:r w:rsidRPr="00B02247">
        <w:t>equality.</w:t>
      </w:r>
      <w:r w:rsidR="005B2A41">
        <w:t xml:space="preserve"> </w:t>
      </w:r>
      <w:r w:rsidRPr="00B02247">
        <w:t>The</w:t>
      </w:r>
      <w:r w:rsidR="005B2A41">
        <w:t xml:space="preserve"> </w:t>
      </w:r>
      <w:r w:rsidRPr="00B02247">
        <w:t>committee</w:t>
      </w:r>
      <w:r w:rsidR="005B2A41">
        <w:t xml:space="preserve"> </w:t>
      </w:r>
      <w:r w:rsidRPr="00B02247">
        <w:t>monitors</w:t>
      </w:r>
      <w:r w:rsidR="005B2A41">
        <w:t xml:space="preserve"> </w:t>
      </w:r>
      <w:r w:rsidRPr="00B02247">
        <w:t>the</w:t>
      </w:r>
      <w:r w:rsidR="005B2A41">
        <w:t xml:space="preserve"> </w:t>
      </w:r>
      <w:r w:rsidRPr="00B02247">
        <w:t>safeguard</w:t>
      </w:r>
      <w:r w:rsidR="005B2A41">
        <w:t xml:space="preserve"> </w:t>
      </w:r>
      <w:r w:rsidRPr="00B02247">
        <w:t>and</w:t>
      </w:r>
      <w:r w:rsidR="005B2A41">
        <w:t xml:space="preserve"> </w:t>
      </w:r>
      <w:r w:rsidRPr="00B02247">
        <w:t>the</w:t>
      </w:r>
      <w:r w:rsidR="005B2A41">
        <w:t xml:space="preserve"> </w:t>
      </w:r>
      <w:r w:rsidRPr="00B02247">
        <w:t>implementation</w:t>
      </w:r>
      <w:r w:rsidR="005B2A41">
        <w:t xml:space="preserve"> </w:t>
      </w:r>
      <w:r w:rsidRPr="00B02247">
        <w:t>of</w:t>
      </w:r>
      <w:r w:rsidR="005B2A41">
        <w:t xml:space="preserve"> </w:t>
      </w:r>
      <w:r w:rsidRPr="00B02247">
        <w:t>this</w:t>
      </w:r>
      <w:r w:rsidR="005B2A41">
        <w:t xml:space="preserve"> </w:t>
      </w:r>
      <w:r w:rsidRPr="00B02247">
        <w:t>principle</w:t>
      </w:r>
      <w:r w:rsidR="005B2A41">
        <w:t xml:space="preserve"> </w:t>
      </w:r>
      <w:r w:rsidRPr="00B02247">
        <w:t>by</w:t>
      </w:r>
      <w:r w:rsidR="005B2A41">
        <w:t xml:space="preserve"> </w:t>
      </w:r>
      <w:r w:rsidRPr="00B02247">
        <w:t>the</w:t>
      </w:r>
      <w:r w:rsidR="005B2A41">
        <w:t xml:space="preserve"> </w:t>
      </w:r>
      <w:r w:rsidRPr="00B02247">
        <w:t>administration.</w:t>
      </w:r>
      <w:r w:rsidR="005B2A41">
        <w:t xml:space="preserve"> </w:t>
      </w:r>
      <w:r w:rsidRPr="00B02247">
        <w:t>The</w:t>
      </w:r>
      <w:r w:rsidR="005B2A41">
        <w:t xml:space="preserve"> </w:t>
      </w:r>
      <w:r w:rsidRPr="00B02247">
        <w:t>committee</w:t>
      </w:r>
      <w:r w:rsidR="005B2A41">
        <w:t xml:space="preserve"> </w:t>
      </w:r>
      <w:r w:rsidRPr="00B02247">
        <w:t>is</w:t>
      </w:r>
      <w:r w:rsidR="005B2A41">
        <w:t xml:space="preserve"> </w:t>
      </w:r>
      <w:r w:rsidRPr="00B02247">
        <w:t>also</w:t>
      </w:r>
      <w:r w:rsidR="005B2A41">
        <w:t xml:space="preserve"> </w:t>
      </w:r>
      <w:r w:rsidRPr="00B02247">
        <w:t>dealing</w:t>
      </w:r>
      <w:r w:rsidR="005B2A41">
        <w:t xml:space="preserve"> </w:t>
      </w:r>
      <w:r w:rsidRPr="00B02247">
        <w:t>with</w:t>
      </w:r>
      <w:r w:rsidR="005B2A41">
        <w:t xml:space="preserve"> </w:t>
      </w:r>
      <w:r w:rsidRPr="00B02247">
        <w:t>matters</w:t>
      </w:r>
      <w:r w:rsidR="005B2A41">
        <w:t xml:space="preserve"> </w:t>
      </w:r>
      <w:r w:rsidRPr="00B02247">
        <w:t>regarding</w:t>
      </w:r>
      <w:r w:rsidR="005B2A41">
        <w:t xml:space="preserve"> </w:t>
      </w:r>
      <w:r w:rsidRPr="00B02247">
        <w:t>the</w:t>
      </w:r>
      <w:r w:rsidR="005B2A41">
        <w:t xml:space="preserve"> </w:t>
      </w:r>
      <w:r w:rsidRPr="00B02247">
        <w:t>respect</w:t>
      </w:r>
      <w:r w:rsidR="005B2A41">
        <w:t xml:space="preserve"> </w:t>
      </w:r>
      <w:r w:rsidRPr="00B02247">
        <w:t>and</w:t>
      </w:r>
      <w:r w:rsidR="005B2A41">
        <w:t xml:space="preserve"> </w:t>
      </w:r>
      <w:r w:rsidRPr="00B02247">
        <w:t>protection</w:t>
      </w:r>
      <w:r w:rsidR="005B2A41">
        <w:t xml:space="preserve"> </w:t>
      </w:r>
      <w:r w:rsidRPr="00B02247">
        <w:t>of</w:t>
      </w:r>
      <w:r w:rsidR="005B2A41">
        <w:t xml:space="preserve"> </w:t>
      </w:r>
      <w:r w:rsidRPr="00B02247">
        <w:t>human</w:t>
      </w:r>
      <w:r w:rsidR="005B2A41">
        <w:t xml:space="preserve"> </w:t>
      </w:r>
      <w:r w:rsidRPr="00B02247">
        <w:t>rights.</w:t>
      </w:r>
      <w:r w:rsidR="005B2A41">
        <w:t xml:space="preserve"> </w:t>
      </w:r>
      <w:r w:rsidRPr="00B02247">
        <w:t>Furthermore,</w:t>
      </w:r>
      <w:r w:rsidR="005B2A41">
        <w:t xml:space="preserve"> </w:t>
      </w:r>
      <w:r w:rsidRPr="00B02247">
        <w:t>a</w:t>
      </w:r>
      <w:r w:rsidR="005B2A41">
        <w:t xml:space="preserve"> </w:t>
      </w:r>
      <w:r w:rsidRPr="00B02247">
        <w:t>Special</w:t>
      </w:r>
      <w:r w:rsidR="005B2A41">
        <w:t xml:space="preserve"> </w:t>
      </w:r>
      <w:r w:rsidRPr="00B02247">
        <w:t>Permanent</w:t>
      </w:r>
      <w:r w:rsidR="005B2A41">
        <w:t xml:space="preserve"> </w:t>
      </w:r>
      <w:r w:rsidRPr="00B02247">
        <w:t>Committee</w:t>
      </w:r>
      <w:r w:rsidR="005B2A41">
        <w:t xml:space="preserve"> </w:t>
      </w:r>
      <w:r w:rsidRPr="00B02247">
        <w:t>has</w:t>
      </w:r>
      <w:r w:rsidR="005B2A41">
        <w:t xml:space="preserve"> </w:t>
      </w:r>
      <w:r w:rsidRPr="00B02247">
        <w:t>been</w:t>
      </w:r>
      <w:r w:rsidR="005B2A41">
        <w:t xml:space="preserve"> </w:t>
      </w:r>
      <w:r w:rsidRPr="00B02247">
        <w:t>mandated</w:t>
      </w:r>
      <w:r w:rsidR="005B2A41">
        <w:t xml:space="preserve"> </w:t>
      </w:r>
      <w:r w:rsidRPr="00B02247">
        <w:t>to</w:t>
      </w:r>
      <w:r w:rsidR="005B2A41">
        <w:t xml:space="preserve"> </w:t>
      </w:r>
      <w:r w:rsidRPr="00B02247">
        <w:t>monitor</w:t>
      </w:r>
      <w:r w:rsidR="005B2A41">
        <w:t xml:space="preserve"> </w:t>
      </w:r>
      <w:r w:rsidRPr="00B02247">
        <w:t>the</w:t>
      </w:r>
      <w:r w:rsidR="005B2A41">
        <w:t xml:space="preserve"> </w:t>
      </w:r>
      <w:r w:rsidRPr="00B02247">
        <w:t>implementation</w:t>
      </w:r>
      <w:r w:rsidR="005B2A41">
        <w:t xml:space="preserve"> </w:t>
      </w:r>
      <w:r w:rsidRPr="00B02247">
        <w:t>of</w:t>
      </w:r>
      <w:r w:rsidR="005B2A41">
        <w:t xml:space="preserve"> </w:t>
      </w:r>
      <w:r w:rsidRPr="00B02247">
        <w:t>the</w:t>
      </w:r>
      <w:r w:rsidR="005B2A41">
        <w:t xml:space="preserve"> </w:t>
      </w:r>
      <w:r w:rsidRPr="00B02247">
        <w:t>judgments</w:t>
      </w:r>
      <w:r w:rsidR="005B2A41">
        <w:t xml:space="preserve"> </w:t>
      </w:r>
      <w:r w:rsidRPr="00B02247">
        <w:t>of</w:t>
      </w:r>
      <w:r w:rsidR="005B2A41">
        <w:t xml:space="preserve"> </w:t>
      </w:r>
      <w:r w:rsidRPr="00B02247">
        <w:t>the</w:t>
      </w:r>
      <w:r w:rsidR="005B2A41">
        <w:t xml:space="preserve"> </w:t>
      </w:r>
      <w:r w:rsidRPr="00B02247">
        <w:t>European</w:t>
      </w:r>
      <w:r w:rsidR="005B2A41">
        <w:t xml:space="preserve"> </w:t>
      </w:r>
      <w:r w:rsidRPr="00B02247">
        <w:t>Court</w:t>
      </w:r>
      <w:r w:rsidR="005B2A41">
        <w:t xml:space="preserve"> </w:t>
      </w:r>
      <w:r w:rsidRPr="00B02247">
        <w:t>of</w:t>
      </w:r>
      <w:r w:rsidR="005B2A41">
        <w:t xml:space="preserve"> </w:t>
      </w:r>
      <w:r w:rsidRPr="00B02247">
        <w:t>Human</w:t>
      </w:r>
      <w:r w:rsidR="005B2A41">
        <w:t xml:space="preserve"> </w:t>
      </w:r>
      <w:r w:rsidRPr="00B02247">
        <w:t>Rights.</w:t>
      </w:r>
      <w:r w:rsidR="005B2A41">
        <w:t xml:space="preserve"> </w:t>
      </w:r>
      <w:r w:rsidRPr="00B02247">
        <w:t>The</w:t>
      </w:r>
      <w:r w:rsidR="005B2A41">
        <w:t xml:space="preserve"> </w:t>
      </w:r>
      <w:r w:rsidRPr="00B02247">
        <w:t>Special</w:t>
      </w:r>
      <w:r w:rsidR="005B2A41">
        <w:t xml:space="preserve"> </w:t>
      </w:r>
      <w:r w:rsidRPr="00B02247">
        <w:t>Permanent</w:t>
      </w:r>
      <w:r w:rsidR="005B2A41">
        <w:t xml:space="preserve"> </w:t>
      </w:r>
      <w:r w:rsidRPr="00B02247">
        <w:t>Committee</w:t>
      </w:r>
      <w:r w:rsidR="005B2A41">
        <w:t xml:space="preserve"> </w:t>
      </w:r>
      <w:r w:rsidRPr="00B02247">
        <w:t>on</w:t>
      </w:r>
      <w:r w:rsidR="005B2A41">
        <w:t xml:space="preserve"> </w:t>
      </w:r>
      <w:r w:rsidRPr="00B02247">
        <w:t>the</w:t>
      </w:r>
      <w:r w:rsidR="005B2A41">
        <w:t xml:space="preserve"> </w:t>
      </w:r>
      <w:r w:rsidRPr="00B02247">
        <w:t>Correctional</w:t>
      </w:r>
      <w:r w:rsidR="005B2A41">
        <w:t xml:space="preserve"> </w:t>
      </w:r>
      <w:r w:rsidRPr="00B02247">
        <w:t>System</w:t>
      </w:r>
      <w:r w:rsidR="005B2A41">
        <w:t xml:space="preserve"> </w:t>
      </w:r>
      <w:r w:rsidRPr="00B02247">
        <w:t>is</w:t>
      </w:r>
      <w:r w:rsidR="005B2A41">
        <w:t xml:space="preserve"> </w:t>
      </w:r>
      <w:r w:rsidRPr="00B02247">
        <w:t>responsible</w:t>
      </w:r>
      <w:r w:rsidR="005B2A41">
        <w:t xml:space="preserve"> </w:t>
      </w:r>
      <w:r w:rsidRPr="00B02247">
        <w:t>to</w:t>
      </w:r>
      <w:r w:rsidR="005B2A41">
        <w:t xml:space="preserve"> </w:t>
      </w:r>
      <w:r w:rsidRPr="00B02247">
        <w:t>study,</w:t>
      </w:r>
      <w:r w:rsidR="005B2A41">
        <w:t xml:space="preserve"> </w:t>
      </w:r>
      <w:r w:rsidRPr="00B02247">
        <w:t>monitor</w:t>
      </w:r>
      <w:r w:rsidR="005B2A41">
        <w:t xml:space="preserve"> </w:t>
      </w:r>
      <w:r w:rsidRPr="00B02247">
        <w:t>and</w:t>
      </w:r>
      <w:r w:rsidR="005B2A41">
        <w:t xml:space="preserve"> </w:t>
      </w:r>
      <w:r w:rsidRPr="00B02247">
        <w:t>evaluate</w:t>
      </w:r>
      <w:r w:rsidR="005B2A41">
        <w:t xml:space="preserve"> </w:t>
      </w:r>
      <w:r w:rsidRPr="00B02247">
        <w:t>the</w:t>
      </w:r>
      <w:r w:rsidR="005B2A41">
        <w:t xml:space="preserve"> </w:t>
      </w:r>
      <w:r w:rsidRPr="00B02247">
        <w:t>state</w:t>
      </w:r>
      <w:r w:rsidR="005B2A41">
        <w:t xml:space="preserve"> </w:t>
      </w:r>
      <w:r w:rsidRPr="00B02247">
        <w:t>of</w:t>
      </w:r>
      <w:r w:rsidR="005B2A41">
        <w:t xml:space="preserve"> </w:t>
      </w:r>
      <w:r w:rsidRPr="00B02247">
        <w:t>the</w:t>
      </w:r>
      <w:r w:rsidR="005B2A41">
        <w:t xml:space="preserve"> </w:t>
      </w:r>
      <w:r w:rsidRPr="00B02247">
        <w:t>correctional</w:t>
      </w:r>
      <w:r w:rsidR="005B2A41">
        <w:t xml:space="preserve"> </w:t>
      </w:r>
      <w:r w:rsidRPr="00B02247">
        <w:t>system,</w:t>
      </w:r>
      <w:r w:rsidR="005B2A41">
        <w:t xml:space="preserve"> </w:t>
      </w:r>
      <w:r w:rsidRPr="00B02247">
        <w:t>as</w:t>
      </w:r>
      <w:r w:rsidR="005B2A41">
        <w:t xml:space="preserve"> </w:t>
      </w:r>
      <w:r w:rsidRPr="00B02247">
        <w:t>well</w:t>
      </w:r>
      <w:r w:rsidR="005B2A41">
        <w:t xml:space="preserve"> </w:t>
      </w:r>
      <w:r w:rsidRPr="00B02247">
        <w:t>as</w:t>
      </w:r>
      <w:r w:rsidR="005B2A41">
        <w:t xml:space="preserve"> </w:t>
      </w:r>
      <w:r w:rsidRPr="00B02247">
        <w:t>to</w:t>
      </w:r>
      <w:r w:rsidR="005B2A41">
        <w:t xml:space="preserve"> </w:t>
      </w:r>
      <w:r w:rsidRPr="00B02247">
        <w:t>make</w:t>
      </w:r>
      <w:r w:rsidR="005B2A41">
        <w:t xml:space="preserve"> </w:t>
      </w:r>
      <w:r w:rsidRPr="00B02247">
        <w:t>proposals</w:t>
      </w:r>
      <w:r w:rsidR="005B2A41">
        <w:t xml:space="preserve"> </w:t>
      </w:r>
      <w:r w:rsidRPr="00B02247">
        <w:t>to</w:t>
      </w:r>
      <w:r w:rsidR="005B2A41">
        <w:t xml:space="preserve"> </w:t>
      </w:r>
      <w:r w:rsidRPr="00B02247">
        <w:t>improve</w:t>
      </w:r>
      <w:r w:rsidR="005B2A41">
        <w:t xml:space="preserve"> </w:t>
      </w:r>
      <w:r w:rsidRPr="00B02247">
        <w:t>prisoners</w:t>
      </w:r>
      <w:r w:rsidR="003E731F">
        <w:t>’</w:t>
      </w:r>
      <w:r w:rsidR="005B2A41">
        <w:t xml:space="preserve"> </w:t>
      </w:r>
      <w:r w:rsidRPr="00B02247">
        <w:t>living</w:t>
      </w:r>
      <w:r w:rsidR="005B2A41">
        <w:t xml:space="preserve"> </w:t>
      </w:r>
      <w:r w:rsidRPr="00B02247">
        <w:t>conditions,</w:t>
      </w:r>
      <w:r w:rsidR="005B2A41">
        <w:t xml:space="preserve"> </w:t>
      </w:r>
      <w:r w:rsidRPr="00B02247">
        <w:t>to</w:t>
      </w:r>
      <w:r w:rsidR="005B2A41">
        <w:t xml:space="preserve"> </w:t>
      </w:r>
      <w:r w:rsidRPr="00B02247">
        <w:t>modernize</w:t>
      </w:r>
      <w:r w:rsidR="005B2A41">
        <w:t xml:space="preserve"> </w:t>
      </w:r>
      <w:r w:rsidRPr="00B02247">
        <w:t>the</w:t>
      </w:r>
      <w:r w:rsidR="005B2A41">
        <w:t xml:space="preserve"> </w:t>
      </w:r>
      <w:r w:rsidRPr="00B02247">
        <w:t>institutional</w:t>
      </w:r>
      <w:r w:rsidR="005B2A41">
        <w:t xml:space="preserve"> </w:t>
      </w:r>
      <w:r w:rsidRPr="00B02247">
        <w:t>framework</w:t>
      </w:r>
      <w:r w:rsidR="005B2A41">
        <w:t xml:space="preserve"> </w:t>
      </w:r>
      <w:r w:rsidRPr="00B02247">
        <w:t>and,</w:t>
      </w:r>
      <w:r w:rsidR="005B2A41">
        <w:t xml:space="preserve"> </w:t>
      </w:r>
      <w:r w:rsidRPr="00B02247">
        <w:t>in</w:t>
      </w:r>
      <w:r w:rsidR="005B2A41">
        <w:t xml:space="preserve"> </w:t>
      </w:r>
      <w:r w:rsidRPr="00B02247">
        <w:t>general,</w:t>
      </w:r>
      <w:r w:rsidR="005B2A41">
        <w:t xml:space="preserve"> </w:t>
      </w:r>
      <w:r w:rsidRPr="00B02247">
        <w:t>the</w:t>
      </w:r>
      <w:r w:rsidR="005B2A41">
        <w:t xml:space="preserve"> </w:t>
      </w:r>
      <w:r w:rsidRPr="00B02247">
        <w:t>strategic</w:t>
      </w:r>
      <w:r w:rsidR="005B2A41">
        <w:t xml:space="preserve"> </w:t>
      </w:r>
      <w:r w:rsidRPr="00B02247">
        <w:t>planning</w:t>
      </w:r>
      <w:r w:rsidR="005B2A41">
        <w:t xml:space="preserve"> </w:t>
      </w:r>
      <w:r w:rsidRPr="00B02247">
        <w:t>on</w:t>
      </w:r>
      <w:r w:rsidR="005B2A41">
        <w:t xml:space="preserve"> </w:t>
      </w:r>
      <w:r w:rsidRPr="00B02247">
        <w:t>correctional</w:t>
      </w:r>
      <w:r w:rsidR="005B2A41">
        <w:t xml:space="preserve"> </w:t>
      </w:r>
      <w:r w:rsidRPr="00B02247">
        <w:t>issues.</w:t>
      </w:r>
    </w:p>
    <w:p w:rsidR="00F233AB" w:rsidRPr="00B02247" w:rsidRDefault="00F233AB" w:rsidP="00E1307D">
      <w:pPr>
        <w:pStyle w:val="SingleTxtG"/>
      </w:pPr>
      <w:r w:rsidRPr="00B02247">
        <w:t>108.</w:t>
      </w:r>
      <w:r w:rsidRPr="00B02247">
        <w:tab/>
        <w:t>The</w:t>
      </w:r>
      <w:r w:rsidR="005B2A41">
        <w:t xml:space="preserve"> </w:t>
      </w:r>
      <w:r w:rsidRPr="00B02247">
        <w:t>Hellenic</w:t>
      </w:r>
      <w:r w:rsidR="005B2A41">
        <w:t xml:space="preserve"> </w:t>
      </w:r>
      <w:r w:rsidRPr="00B02247">
        <w:t>Parliament</w:t>
      </w:r>
      <w:r w:rsidR="005B2A41">
        <w:t xml:space="preserve"> </w:t>
      </w:r>
      <w:r w:rsidRPr="00B02247">
        <w:t>has</w:t>
      </w:r>
      <w:r w:rsidR="005B2A41">
        <w:t xml:space="preserve"> </w:t>
      </w:r>
      <w:r w:rsidRPr="00B02247">
        <w:t>set</w:t>
      </w:r>
      <w:r w:rsidR="005B2A41">
        <w:t xml:space="preserve"> </w:t>
      </w:r>
      <w:r w:rsidRPr="00B02247">
        <w:t>up</w:t>
      </w:r>
      <w:r w:rsidR="005B2A41">
        <w:t xml:space="preserve"> </w:t>
      </w:r>
      <w:r w:rsidRPr="00B02247">
        <w:t>a</w:t>
      </w:r>
      <w:r w:rsidR="005B2A41">
        <w:t xml:space="preserve"> </w:t>
      </w:r>
      <w:r w:rsidRPr="00B02247">
        <w:t>sub-committee</w:t>
      </w:r>
      <w:r w:rsidR="005B2A41">
        <w:t xml:space="preserve"> </w:t>
      </w:r>
      <w:r w:rsidRPr="00B02247">
        <w:t>on</w:t>
      </w:r>
      <w:r w:rsidR="005B2A41">
        <w:t xml:space="preserve"> </w:t>
      </w:r>
      <w:r w:rsidRPr="00B02247">
        <w:t>human</w:t>
      </w:r>
      <w:r w:rsidR="005B2A41">
        <w:t xml:space="preserve"> </w:t>
      </w:r>
      <w:r w:rsidRPr="00B02247">
        <w:t>trafficking</w:t>
      </w:r>
      <w:r w:rsidR="005B2A41">
        <w:t xml:space="preserve"> </w:t>
      </w:r>
      <w:r w:rsidRPr="00B02247">
        <w:t>under</w:t>
      </w:r>
      <w:r w:rsidR="005B2A41">
        <w:t xml:space="preserve"> </w:t>
      </w:r>
      <w:r w:rsidRPr="00B02247">
        <w:t>the</w:t>
      </w:r>
      <w:r w:rsidR="005B2A41">
        <w:t xml:space="preserve"> </w:t>
      </w:r>
      <w:r w:rsidRPr="00B02247">
        <w:t>Special</w:t>
      </w:r>
      <w:r w:rsidR="005B2A41">
        <w:t xml:space="preserve"> </w:t>
      </w:r>
      <w:r w:rsidRPr="00B02247">
        <w:t>Permanent</w:t>
      </w:r>
      <w:r w:rsidR="005B2A41">
        <w:t xml:space="preserve"> </w:t>
      </w:r>
      <w:r w:rsidRPr="00B02247">
        <w:t>Committee</w:t>
      </w:r>
      <w:r w:rsidR="005B2A41">
        <w:t xml:space="preserve"> </w:t>
      </w:r>
      <w:r w:rsidRPr="00B02247">
        <w:t>for</w:t>
      </w:r>
      <w:r w:rsidR="005B2A41">
        <w:t xml:space="preserve"> </w:t>
      </w:r>
      <w:r w:rsidRPr="00B02247">
        <w:t>Equality,</w:t>
      </w:r>
      <w:r w:rsidR="005B2A41">
        <w:t xml:space="preserve"> </w:t>
      </w:r>
      <w:r w:rsidRPr="00B02247">
        <w:t>Youth</w:t>
      </w:r>
      <w:r w:rsidR="005B2A41">
        <w:t xml:space="preserve"> </w:t>
      </w:r>
      <w:r w:rsidRPr="00B02247">
        <w:t>&amp;</w:t>
      </w:r>
      <w:r w:rsidR="005B2A41">
        <w:t xml:space="preserve"> </w:t>
      </w:r>
      <w:r w:rsidRPr="00B02247">
        <w:t>Human</w:t>
      </w:r>
      <w:r w:rsidR="005B2A41">
        <w:t xml:space="preserve"> </w:t>
      </w:r>
      <w:r w:rsidRPr="00B02247">
        <w:t>Rights</w:t>
      </w:r>
      <w:r w:rsidR="005B2A41">
        <w:t xml:space="preserve"> </w:t>
      </w:r>
      <w:r w:rsidRPr="00B02247">
        <w:t>issues.</w:t>
      </w:r>
      <w:r w:rsidR="005B2A41">
        <w:t xml:space="preserve"> </w:t>
      </w:r>
      <w:r w:rsidRPr="00B02247">
        <w:t>The</w:t>
      </w:r>
      <w:r w:rsidR="005B2A41">
        <w:t xml:space="preserve"> </w:t>
      </w:r>
      <w:r w:rsidRPr="00B02247">
        <w:t>Committee</w:t>
      </w:r>
      <w:r w:rsidR="005B2A41">
        <w:t xml:space="preserve"> </w:t>
      </w:r>
      <w:r w:rsidRPr="00B02247">
        <w:t>is</w:t>
      </w:r>
      <w:r w:rsidR="005B2A41">
        <w:t xml:space="preserve"> </w:t>
      </w:r>
      <w:r w:rsidRPr="00B02247">
        <w:t>responsible</w:t>
      </w:r>
      <w:r w:rsidR="005B2A41">
        <w:t xml:space="preserve"> </w:t>
      </w:r>
      <w:r w:rsidRPr="00B02247">
        <w:t>for</w:t>
      </w:r>
      <w:r w:rsidR="005B2A41">
        <w:t xml:space="preserve"> </w:t>
      </w:r>
      <w:r w:rsidRPr="00B02247">
        <w:t>monitoring</w:t>
      </w:r>
      <w:r w:rsidR="005B2A41">
        <w:t xml:space="preserve"> </w:t>
      </w:r>
      <w:r w:rsidRPr="00B02247">
        <w:t>developments,</w:t>
      </w:r>
      <w:r w:rsidR="005B2A41">
        <w:t xml:space="preserve"> </w:t>
      </w:r>
      <w:r w:rsidRPr="00B02247">
        <w:t>legislative</w:t>
      </w:r>
      <w:r w:rsidR="005B2A41">
        <w:t xml:space="preserve"> </w:t>
      </w:r>
      <w:r w:rsidRPr="00B02247">
        <w:t>updates</w:t>
      </w:r>
      <w:r w:rsidR="005B2A41">
        <w:t xml:space="preserve"> </w:t>
      </w:r>
      <w:r w:rsidRPr="00B02247">
        <w:t>and</w:t>
      </w:r>
      <w:r w:rsidR="005B2A41">
        <w:t xml:space="preserve"> </w:t>
      </w:r>
      <w:r w:rsidRPr="00B02247">
        <w:t>the</w:t>
      </w:r>
      <w:r w:rsidR="005B2A41">
        <w:t xml:space="preserve"> </w:t>
      </w:r>
      <w:r w:rsidRPr="00B02247">
        <w:t>overall</w:t>
      </w:r>
      <w:r w:rsidR="005B2A41">
        <w:t xml:space="preserve"> </w:t>
      </w:r>
      <w:r w:rsidRPr="00B02247">
        <w:t>implementation</w:t>
      </w:r>
      <w:r w:rsidR="005B2A41">
        <w:t xml:space="preserve"> </w:t>
      </w:r>
      <w:r w:rsidRPr="00B02247">
        <w:t>of</w:t>
      </w:r>
      <w:r w:rsidR="005B2A41">
        <w:t xml:space="preserve"> </w:t>
      </w:r>
      <w:r w:rsidRPr="00B02247">
        <w:t>counter-THB</w:t>
      </w:r>
      <w:r w:rsidR="005B2A41">
        <w:t xml:space="preserve"> </w:t>
      </w:r>
      <w:r w:rsidRPr="00B02247">
        <w:t>policies</w:t>
      </w:r>
      <w:r w:rsidR="005B2A41">
        <w:t xml:space="preserve"> </w:t>
      </w:r>
      <w:r w:rsidRPr="00B02247">
        <w:t>and</w:t>
      </w:r>
      <w:r w:rsidR="005B2A41">
        <w:t xml:space="preserve"> </w:t>
      </w:r>
      <w:r w:rsidRPr="00B02247">
        <w:t>measures.</w:t>
      </w:r>
    </w:p>
    <w:p w:rsidR="00F233AB" w:rsidRPr="00B02247" w:rsidRDefault="00F233AB" w:rsidP="00E1307D">
      <w:pPr>
        <w:pStyle w:val="SingleTxtG"/>
      </w:pPr>
      <w:r w:rsidRPr="00B02247">
        <w:t>109.</w:t>
      </w:r>
      <w:r w:rsidRPr="00B02247">
        <w:tab/>
        <w:t>With</w:t>
      </w:r>
      <w:r w:rsidR="005B2A41">
        <w:t xml:space="preserve"> </w:t>
      </w:r>
      <w:r w:rsidRPr="00B02247">
        <w:t>regard</w:t>
      </w:r>
      <w:r w:rsidR="005B2A41">
        <w:t xml:space="preserve"> </w:t>
      </w:r>
      <w:r w:rsidRPr="00B02247">
        <w:t>to</w:t>
      </w:r>
      <w:r w:rsidR="005B2A41">
        <w:t xml:space="preserve"> </w:t>
      </w:r>
      <w:r w:rsidRPr="00B02247">
        <w:t>the</w:t>
      </w:r>
      <w:r w:rsidR="005B2A41">
        <w:t xml:space="preserve"> </w:t>
      </w:r>
      <w:r w:rsidRPr="00B02247">
        <w:t>country</w:t>
      </w:r>
      <w:r w:rsidR="003E731F">
        <w:t>’</w:t>
      </w:r>
      <w:r w:rsidRPr="00B02247">
        <w:t>s</w:t>
      </w:r>
      <w:r w:rsidR="005B2A41">
        <w:t xml:space="preserve"> </w:t>
      </w:r>
      <w:r w:rsidRPr="00B02247">
        <w:t>National</w:t>
      </w:r>
      <w:r w:rsidR="005B2A41">
        <w:t xml:space="preserve"> </w:t>
      </w:r>
      <w:r w:rsidRPr="00B02247">
        <w:t>Human</w:t>
      </w:r>
      <w:r w:rsidR="005B2A41">
        <w:t xml:space="preserve"> </w:t>
      </w:r>
      <w:r w:rsidRPr="00B02247">
        <w:t>Right</w:t>
      </w:r>
      <w:r w:rsidR="005B2A41">
        <w:t xml:space="preserve"> </w:t>
      </w:r>
      <w:r w:rsidRPr="00B02247">
        <w:t>Institution,</w:t>
      </w:r>
      <w:r w:rsidR="005B2A41">
        <w:t xml:space="preserve"> </w:t>
      </w:r>
      <w:r w:rsidRPr="00B02247">
        <w:t>see</w:t>
      </w:r>
      <w:r w:rsidR="005B2A41">
        <w:t xml:space="preserve"> </w:t>
      </w:r>
      <w:r w:rsidRPr="00B02247">
        <w:t>supra,</w:t>
      </w:r>
      <w:r w:rsidR="005B2A41">
        <w:t xml:space="preserve"> </w:t>
      </w:r>
      <w:r w:rsidRPr="00B02247">
        <w:t>paras.</w:t>
      </w:r>
      <w:r w:rsidR="005B2A41">
        <w:t xml:space="preserve"> </w:t>
      </w:r>
      <w:r w:rsidRPr="00B02247">
        <w:t>93</w:t>
      </w:r>
      <w:r w:rsidR="00915034">
        <w:t>–</w:t>
      </w:r>
      <w:r w:rsidRPr="00B02247">
        <w:t>95.</w:t>
      </w:r>
    </w:p>
    <w:p w:rsidR="00F233AB" w:rsidRPr="00B02247" w:rsidRDefault="00F233AB" w:rsidP="00E1307D">
      <w:pPr>
        <w:pStyle w:val="SingleTxtG"/>
      </w:pPr>
      <w:r w:rsidRPr="00B02247">
        <w:t>110.</w:t>
      </w:r>
      <w:r w:rsidRPr="00B02247">
        <w:tab/>
        <w:t>As</w:t>
      </w:r>
      <w:r w:rsidR="005B2A41">
        <w:t xml:space="preserve"> </w:t>
      </w:r>
      <w:r w:rsidRPr="00B02247">
        <w:t>already</w:t>
      </w:r>
      <w:r w:rsidR="005B2A41">
        <w:t xml:space="preserve"> </w:t>
      </w:r>
      <w:r w:rsidRPr="00B02247">
        <w:t>explained,</w:t>
      </w:r>
      <w:r w:rsidR="005B2A41">
        <w:t xml:space="preserve"> </w:t>
      </w:r>
      <w:r w:rsidRPr="00B02247">
        <w:t>to</w:t>
      </w:r>
      <w:r w:rsidR="005B2A41">
        <w:t xml:space="preserve"> </w:t>
      </w:r>
      <w:r w:rsidRPr="00B02247">
        <w:t>become</w:t>
      </w:r>
      <w:r w:rsidR="005B2A41">
        <w:t xml:space="preserve"> </w:t>
      </w:r>
      <w:r w:rsidRPr="00B02247">
        <w:t>legally</w:t>
      </w:r>
      <w:r w:rsidR="005B2A41">
        <w:t xml:space="preserve"> </w:t>
      </w:r>
      <w:r w:rsidRPr="00B02247">
        <w:t>binding</w:t>
      </w:r>
      <w:r w:rsidR="005B2A41">
        <w:t xml:space="preserve"> </w:t>
      </w:r>
      <w:r w:rsidRPr="00B02247">
        <w:t>for</w:t>
      </w:r>
      <w:r w:rsidR="005B2A41">
        <w:t xml:space="preserve"> </w:t>
      </w:r>
      <w:r w:rsidRPr="00B02247">
        <w:t>the</w:t>
      </w:r>
      <w:r w:rsidR="005B2A41">
        <w:t xml:space="preserve"> </w:t>
      </w:r>
      <w:r w:rsidRPr="00B02247">
        <w:t>Hellenic</w:t>
      </w:r>
      <w:r w:rsidR="005B2A41">
        <w:t xml:space="preserve"> </w:t>
      </w:r>
      <w:r w:rsidRPr="00B02247">
        <w:t>Republic,</w:t>
      </w:r>
      <w:r w:rsidR="005B2A41">
        <w:t xml:space="preserve"> </w:t>
      </w:r>
      <w:r w:rsidRPr="00B02247">
        <w:t>international</w:t>
      </w:r>
      <w:r w:rsidR="005B2A41">
        <w:t xml:space="preserve"> </w:t>
      </w:r>
      <w:r w:rsidRPr="00B02247">
        <w:t>human</w:t>
      </w:r>
      <w:r w:rsidR="005B2A41">
        <w:t xml:space="preserve"> </w:t>
      </w:r>
      <w:r w:rsidRPr="00B02247">
        <w:t>rights</w:t>
      </w:r>
      <w:r w:rsidR="005B2A41">
        <w:t xml:space="preserve"> </w:t>
      </w:r>
      <w:r w:rsidRPr="00B02247">
        <w:t>treaties</w:t>
      </w:r>
      <w:r w:rsidR="005B2A41">
        <w:t xml:space="preserve"> </w:t>
      </w:r>
      <w:r w:rsidRPr="00B02247">
        <w:t>must</w:t>
      </w:r>
      <w:r w:rsidR="005B2A41">
        <w:t xml:space="preserve"> </w:t>
      </w:r>
      <w:r w:rsidRPr="00B02247">
        <w:t>be</w:t>
      </w:r>
      <w:r w:rsidR="005B2A41">
        <w:t xml:space="preserve"> </w:t>
      </w:r>
      <w:r w:rsidRPr="00B02247">
        <w:t>ratified</w:t>
      </w:r>
      <w:r w:rsidR="005B2A41">
        <w:t xml:space="preserve"> </w:t>
      </w:r>
      <w:r w:rsidRPr="00B02247">
        <w:t>by</w:t>
      </w:r>
      <w:r w:rsidR="005B2A41">
        <w:t xml:space="preserve"> </w:t>
      </w:r>
      <w:r w:rsidRPr="00B02247">
        <w:t>law,</w:t>
      </w:r>
      <w:r w:rsidR="005B2A41">
        <w:t xml:space="preserve"> </w:t>
      </w:r>
      <w:r w:rsidRPr="00B02247">
        <w:t>adopted</w:t>
      </w:r>
      <w:r w:rsidR="005B2A41">
        <w:t xml:space="preserve"> </w:t>
      </w:r>
      <w:r w:rsidRPr="00B02247">
        <w:t>by</w:t>
      </w:r>
      <w:r w:rsidR="005B2A41">
        <w:t xml:space="preserve"> </w:t>
      </w:r>
      <w:r w:rsidRPr="00B02247">
        <w:t>Parliament.</w:t>
      </w:r>
      <w:r w:rsidR="005B2A41">
        <w:t xml:space="preserve"> </w:t>
      </w:r>
      <w:r w:rsidRPr="00B02247">
        <w:t>Hence,</w:t>
      </w:r>
      <w:r w:rsidR="005B2A41">
        <w:t xml:space="preserve"> </w:t>
      </w:r>
      <w:r w:rsidRPr="00B02247">
        <w:t>the</w:t>
      </w:r>
      <w:r w:rsidR="005B2A41">
        <w:t xml:space="preserve"> </w:t>
      </w:r>
      <w:r w:rsidRPr="00B02247">
        <w:t>abovementioned</w:t>
      </w:r>
      <w:r w:rsidR="005B2A41">
        <w:t xml:space="preserve"> </w:t>
      </w:r>
      <w:r w:rsidRPr="00B02247">
        <w:t>instruments</w:t>
      </w:r>
      <w:r w:rsidR="005B2A41">
        <w:t xml:space="preserve"> </w:t>
      </w:r>
      <w:r w:rsidRPr="00B02247">
        <w:t>are</w:t>
      </w:r>
      <w:r w:rsidR="005B2A41">
        <w:t xml:space="preserve"> </w:t>
      </w:r>
      <w:r w:rsidRPr="00B02247">
        <w:t>translated</w:t>
      </w:r>
      <w:r w:rsidR="005B2A41">
        <w:t xml:space="preserve"> </w:t>
      </w:r>
      <w:r w:rsidRPr="00B02247">
        <w:t>into</w:t>
      </w:r>
      <w:r w:rsidR="005B2A41">
        <w:t xml:space="preserve"> </w:t>
      </w:r>
      <w:r w:rsidRPr="00B02247">
        <w:t>Greek</w:t>
      </w:r>
      <w:r w:rsidR="005B2A41">
        <w:t xml:space="preserve"> </w:t>
      </w:r>
      <w:r w:rsidRPr="00B02247">
        <w:t>and</w:t>
      </w:r>
      <w:r w:rsidR="005B2A41">
        <w:t xml:space="preserve"> </w:t>
      </w:r>
      <w:r w:rsidRPr="00B02247">
        <w:t>published</w:t>
      </w:r>
      <w:r w:rsidR="005B2A41">
        <w:t xml:space="preserve"> </w:t>
      </w:r>
      <w:r w:rsidRPr="00B02247">
        <w:t>in</w:t>
      </w:r>
      <w:r w:rsidR="005B2A41">
        <w:t xml:space="preserve"> </w:t>
      </w:r>
      <w:r w:rsidRPr="00B02247">
        <w:t>the</w:t>
      </w:r>
      <w:r w:rsidR="005B2A41">
        <w:t xml:space="preserve"> </w:t>
      </w:r>
      <w:r w:rsidRPr="00B02247">
        <w:t>Official</w:t>
      </w:r>
      <w:r w:rsidR="005B2A41">
        <w:t xml:space="preserve"> </w:t>
      </w:r>
      <w:r w:rsidRPr="00B02247">
        <w:t>Gazette.</w:t>
      </w:r>
      <w:r w:rsidR="005B2A41">
        <w:t xml:space="preserve"> </w:t>
      </w:r>
      <w:r w:rsidRPr="00B02247">
        <w:t>They</w:t>
      </w:r>
      <w:r w:rsidR="005B2A41">
        <w:t xml:space="preserve"> </w:t>
      </w:r>
      <w:r w:rsidRPr="00B02247">
        <w:t>are</w:t>
      </w:r>
      <w:r w:rsidR="005B2A41">
        <w:t xml:space="preserve"> </w:t>
      </w:r>
      <w:r w:rsidRPr="00B02247">
        <w:t>widely</w:t>
      </w:r>
      <w:r w:rsidR="005B2A41">
        <w:t xml:space="preserve"> </w:t>
      </w:r>
      <w:r w:rsidRPr="00B02247">
        <w:t>disseminated</w:t>
      </w:r>
      <w:r w:rsidR="005B2A41">
        <w:t xml:space="preserve"> </w:t>
      </w:r>
      <w:r w:rsidRPr="00B02247">
        <w:t>to</w:t>
      </w:r>
      <w:r w:rsidR="005B2A41">
        <w:t xml:space="preserve"> </w:t>
      </w:r>
      <w:r w:rsidRPr="00B02247">
        <w:t>state</w:t>
      </w:r>
      <w:r w:rsidR="005B2A41">
        <w:t xml:space="preserve"> </w:t>
      </w:r>
      <w:r w:rsidRPr="00B02247">
        <w:t>authorities,</w:t>
      </w:r>
      <w:r w:rsidR="005B2A41">
        <w:t xml:space="preserve"> </w:t>
      </w:r>
      <w:r w:rsidRPr="00B02247">
        <w:t>different</w:t>
      </w:r>
      <w:r w:rsidR="005B2A41">
        <w:t xml:space="preserve"> </w:t>
      </w:r>
      <w:r w:rsidRPr="00B02247">
        <w:t>stakeholders</w:t>
      </w:r>
      <w:r w:rsidR="005B2A41">
        <w:t xml:space="preserve"> </w:t>
      </w:r>
      <w:r w:rsidRPr="00B02247">
        <w:t>and</w:t>
      </w:r>
      <w:r w:rsidR="005B2A41">
        <w:t xml:space="preserve"> </w:t>
      </w:r>
      <w:r w:rsidRPr="00B02247">
        <w:t>the</w:t>
      </w:r>
      <w:r w:rsidR="005B2A41">
        <w:t xml:space="preserve"> </w:t>
      </w:r>
      <w:r w:rsidRPr="00B02247">
        <w:t>general</w:t>
      </w:r>
      <w:r w:rsidR="005B2A41">
        <w:t xml:space="preserve"> </w:t>
      </w:r>
      <w:r w:rsidRPr="00B02247">
        <w:t>public,</w:t>
      </w:r>
      <w:r w:rsidR="005B2A41">
        <w:t xml:space="preserve"> </w:t>
      </w:r>
      <w:r w:rsidRPr="00B02247">
        <w:t>including</w:t>
      </w:r>
      <w:r w:rsidR="005B2A41">
        <w:t xml:space="preserve"> </w:t>
      </w:r>
      <w:r w:rsidRPr="00B02247">
        <w:t>through</w:t>
      </w:r>
      <w:r w:rsidR="005B2A41">
        <w:t xml:space="preserve"> </w:t>
      </w:r>
      <w:r w:rsidRPr="00B02247">
        <w:t>the</w:t>
      </w:r>
      <w:r w:rsidR="005B2A41">
        <w:t xml:space="preserve"> </w:t>
      </w:r>
      <w:r w:rsidRPr="00B02247">
        <w:t>human</w:t>
      </w:r>
      <w:r w:rsidR="005B2A41">
        <w:t xml:space="preserve"> </w:t>
      </w:r>
      <w:r w:rsidRPr="00B02247">
        <w:t>rights</w:t>
      </w:r>
      <w:r w:rsidR="005B2A41">
        <w:t xml:space="preserve"> </w:t>
      </w:r>
      <w:r w:rsidRPr="00B02247">
        <w:t>education</w:t>
      </w:r>
      <w:r w:rsidR="005B2A41">
        <w:t xml:space="preserve"> </w:t>
      </w:r>
      <w:r w:rsidRPr="00B02247">
        <w:t>and</w:t>
      </w:r>
      <w:r w:rsidR="005B2A41">
        <w:t xml:space="preserve"> </w:t>
      </w:r>
      <w:r w:rsidRPr="00B02247">
        <w:t>training</w:t>
      </w:r>
      <w:r w:rsidR="005B2A41">
        <w:t xml:space="preserve"> </w:t>
      </w:r>
      <w:r w:rsidRPr="00B02247">
        <w:t>activities</w:t>
      </w:r>
      <w:r w:rsidR="005B2A41">
        <w:t xml:space="preserve"> </w:t>
      </w:r>
      <w:r w:rsidRPr="00B02247">
        <w:t>discussed</w:t>
      </w:r>
      <w:r w:rsidR="005B2A41">
        <w:t xml:space="preserve"> </w:t>
      </w:r>
      <w:r w:rsidRPr="00B02247">
        <w:t>in</w:t>
      </w:r>
      <w:r w:rsidR="005B2A41">
        <w:t xml:space="preserve"> </w:t>
      </w:r>
      <w:r w:rsidRPr="00B02247">
        <w:t>this</w:t>
      </w:r>
      <w:r w:rsidR="005B2A41">
        <w:t xml:space="preserve"> </w:t>
      </w:r>
      <w:r w:rsidRPr="00B02247">
        <w:t>report.</w:t>
      </w:r>
      <w:r w:rsidR="005B2A41">
        <w:t xml:space="preserve"> </w:t>
      </w:r>
    </w:p>
    <w:p w:rsidR="00F233AB" w:rsidRPr="00B02247" w:rsidRDefault="00F233AB" w:rsidP="008104C2">
      <w:pPr>
        <w:pStyle w:val="H23G"/>
      </w:pPr>
      <w:r w:rsidRPr="00B02247">
        <w:tab/>
        <w:t>1.</w:t>
      </w:r>
      <w:r w:rsidRPr="00B02247">
        <w:tab/>
        <w:t>Human</w:t>
      </w:r>
      <w:r w:rsidR="005B2A41">
        <w:t xml:space="preserve"> </w:t>
      </w:r>
      <w:r w:rsidRPr="00B02247">
        <w:t>Rights</w:t>
      </w:r>
      <w:r w:rsidR="005B2A41">
        <w:t xml:space="preserve"> </w:t>
      </w:r>
      <w:r w:rsidRPr="00B02247">
        <w:t>Awareness</w:t>
      </w:r>
      <w:r w:rsidR="008C2A78">
        <w:t xml:space="preserve"> </w:t>
      </w:r>
      <w:r w:rsidR="008104C2">
        <w:t>—</w:t>
      </w:r>
      <w:r w:rsidR="008C2A78">
        <w:t xml:space="preserve"> </w:t>
      </w:r>
      <w:r w:rsidRPr="00B02247">
        <w:t>Training</w:t>
      </w:r>
      <w:r w:rsidR="005B2A41">
        <w:t xml:space="preserve"> </w:t>
      </w:r>
      <w:r w:rsidRPr="00B02247">
        <w:t>Activities</w:t>
      </w:r>
      <w:r w:rsidR="005B2A41">
        <w:t xml:space="preserve"> </w:t>
      </w:r>
    </w:p>
    <w:p w:rsidR="00F233AB" w:rsidRPr="00B02247" w:rsidRDefault="00F233AB" w:rsidP="006B654C">
      <w:pPr>
        <w:pStyle w:val="H4G"/>
      </w:pPr>
      <w:r w:rsidRPr="00B02247">
        <w:tab/>
      </w:r>
      <w:r w:rsidRPr="00B02247">
        <w:tab/>
        <w:t>Training</w:t>
      </w:r>
      <w:r w:rsidR="005B2A41">
        <w:t xml:space="preserve"> </w:t>
      </w:r>
      <w:r w:rsidRPr="00B02247">
        <w:t>of</w:t>
      </w:r>
      <w:r w:rsidR="005B2A41">
        <w:t xml:space="preserve"> </w:t>
      </w:r>
      <w:r w:rsidRPr="00B02247">
        <w:t>judges</w:t>
      </w:r>
      <w:r w:rsidR="005B2A41">
        <w:t xml:space="preserve"> </w:t>
      </w:r>
      <w:r w:rsidRPr="00B02247">
        <w:t>and</w:t>
      </w:r>
      <w:r w:rsidR="005B2A41">
        <w:t xml:space="preserve"> </w:t>
      </w:r>
      <w:r w:rsidRPr="00B02247">
        <w:t>prosecutors</w:t>
      </w:r>
    </w:p>
    <w:p w:rsidR="00F233AB" w:rsidRPr="00B02247" w:rsidRDefault="00F233AB" w:rsidP="00E1307D">
      <w:pPr>
        <w:pStyle w:val="SingleTxtG"/>
      </w:pPr>
      <w:r w:rsidRPr="00B02247">
        <w:t>111.</w:t>
      </w:r>
      <w:r w:rsidRPr="00B02247">
        <w:tab/>
        <w:t>As</w:t>
      </w:r>
      <w:r w:rsidR="005B2A41">
        <w:t xml:space="preserve"> </w:t>
      </w:r>
      <w:r w:rsidRPr="00B02247">
        <w:t>regards</w:t>
      </w:r>
      <w:r w:rsidR="005B2A41">
        <w:t xml:space="preserve"> </w:t>
      </w:r>
      <w:r w:rsidRPr="00B02247">
        <w:t>training</w:t>
      </w:r>
      <w:r w:rsidR="005B2A41">
        <w:t xml:space="preserve"> </w:t>
      </w:r>
      <w:r w:rsidRPr="00B02247">
        <w:t>of</w:t>
      </w:r>
      <w:r w:rsidR="005B2A41">
        <w:t xml:space="preserve"> </w:t>
      </w:r>
      <w:r w:rsidRPr="00B02247">
        <w:t>judges</w:t>
      </w:r>
      <w:r w:rsidR="005B2A41">
        <w:t xml:space="preserve"> </w:t>
      </w:r>
      <w:r w:rsidRPr="00B02247">
        <w:t>and</w:t>
      </w:r>
      <w:r w:rsidR="005B2A41">
        <w:t xml:space="preserve"> </w:t>
      </w:r>
      <w:r w:rsidRPr="00B02247">
        <w:t>prosecutors,</w:t>
      </w:r>
      <w:r w:rsidR="005B2A41">
        <w:t xml:space="preserve"> </w:t>
      </w:r>
      <w:r w:rsidRPr="00B02247">
        <w:t>the</w:t>
      </w:r>
      <w:r w:rsidR="005B2A41">
        <w:t xml:space="preserve"> </w:t>
      </w:r>
      <w:r w:rsidRPr="00B02247">
        <w:t>National</w:t>
      </w:r>
      <w:r w:rsidR="005B2A41">
        <w:t xml:space="preserve"> </w:t>
      </w:r>
      <w:r w:rsidRPr="00B02247">
        <w:t>School</w:t>
      </w:r>
      <w:r w:rsidR="005B2A41">
        <w:t xml:space="preserve"> </w:t>
      </w:r>
      <w:r w:rsidRPr="00B02247">
        <w:t>of</w:t>
      </w:r>
      <w:r w:rsidR="005B2A41">
        <w:t xml:space="preserve"> </w:t>
      </w:r>
      <w:r w:rsidRPr="00B02247">
        <w:t>Judges</w:t>
      </w:r>
      <w:r w:rsidR="003E731F">
        <w:t>’</w:t>
      </w:r>
      <w:r w:rsidR="005B2A41">
        <w:t xml:space="preserve"> </w:t>
      </w:r>
      <w:r w:rsidRPr="00B02247">
        <w:t>initial</w:t>
      </w:r>
      <w:r w:rsidR="005B2A41">
        <w:t xml:space="preserve"> </w:t>
      </w:r>
      <w:r w:rsidRPr="00B02247">
        <w:t>education</w:t>
      </w:r>
      <w:r w:rsidR="005B2A41">
        <w:t xml:space="preserve"> </w:t>
      </w:r>
      <w:r w:rsidRPr="00B02247">
        <w:t>curriculum</w:t>
      </w:r>
      <w:r w:rsidR="005B2A41">
        <w:t xml:space="preserve"> </w:t>
      </w:r>
      <w:r w:rsidRPr="00B02247">
        <w:t>for</w:t>
      </w:r>
      <w:r w:rsidR="005B2A41">
        <w:t xml:space="preserve"> </w:t>
      </w:r>
      <w:r w:rsidRPr="00B02247">
        <w:t>judges</w:t>
      </w:r>
      <w:r w:rsidR="005B2A41">
        <w:t xml:space="preserve"> </w:t>
      </w:r>
      <w:r w:rsidRPr="00B02247">
        <w:t>and</w:t>
      </w:r>
      <w:r w:rsidR="005B2A41">
        <w:t xml:space="preserve"> </w:t>
      </w:r>
      <w:r w:rsidRPr="00B02247">
        <w:t>prosecutors</w:t>
      </w:r>
      <w:r w:rsidR="005B2A41">
        <w:t xml:space="preserve"> </w:t>
      </w:r>
      <w:r w:rsidRPr="00B02247">
        <w:t>includes</w:t>
      </w:r>
      <w:r w:rsidR="005B2A41">
        <w:t xml:space="preserve"> </w:t>
      </w:r>
      <w:r w:rsidRPr="00B02247">
        <w:t>courses</w:t>
      </w:r>
      <w:r w:rsidR="005B2A41">
        <w:t xml:space="preserve"> </w:t>
      </w:r>
      <w:r w:rsidRPr="00B02247">
        <w:t>on</w:t>
      </w:r>
      <w:r w:rsidR="005B2A41">
        <w:t xml:space="preserve"> </w:t>
      </w:r>
      <w:r w:rsidRPr="00B02247">
        <w:t>human</w:t>
      </w:r>
      <w:r w:rsidR="005B2A41">
        <w:t xml:space="preserve"> </w:t>
      </w:r>
      <w:r w:rsidRPr="00B02247">
        <w:t>rights</w:t>
      </w:r>
      <w:r w:rsidR="005B2A41">
        <w:t xml:space="preserve"> </w:t>
      </w:r>
      <w:r w:rsidRPr="00B02247">
        <w:t>issues</w:t>
      </w:r>
      <w:r w:rsidR="005B2A41">
        <w:t xml:space="preserve"> </w:t>
      </w:r>
      <w:r w:rsidRPr="00B02247">
        <w:t>and</w:t>
      </w:r>
      <w:r w:rsidR="005B2A41">
        <w:t xml:space="preserve"> </w:t>
      </w:r>
      <w:r w:rsidRPr="00B02247">
        <w:t>specialized</w:t>
      </w:r>
      <w:r w:rsidR="005B2A41">
        <w:t xml:space="preserve"> </w:t>
      </w:r>
      <w:r w:rsidRPr="00B02247">
        <w:t>courses</w:t>
      </w:r>
      <w:r w:rsidR="005B2A41">
        <w:t xml:space="preserve"> </w:t>
      </w:r>
      <w:r w:rsidRPr="00B02247">
        <w:t>on</w:t>
      </w:r>
      <w:r w:rsidR="005B2A41">
        <w:t xml:space="preserve"> </w:t>
      </w:r>
      <w:r w:rsidRPr="00B02247">
        <w:t>racism</w:t>
      </w:r>
      <w:r w:rsidR="005B2A41">
        <w:t xml:space="preserve"> </w:t>
      </w:r>
      <w:r w:rsidRPr="00B02247">
        <w:t>and</w:t>
      </w:r>
      <w:r w:rsidR="005B2A41">
        <w:t xml:space="preserve"> </w:t>
      </w:r>
      <w:r w:rsidRPr="00B02247">
        <w:t>xenophobia</w:t>
      </w:r>
      <w:r w:rsidR="005B2A41">
        <w:t xml:space="preserve"> </w:t>
      </w:r>
      <w:r w:rsidRPr="00B02247">
        <w:t>issues</w:t>
      </w:r>
      <w:r w:rsidR="005B2A41">
        <w:t xml:space="preserve"> </w:t>
      </w:r>
      <w:r w:rsidRPr="00B02247">
        <w:t>and</w:t>
      </w:r>
      <w:r w:rsidR="005B2A41">
        <w:t xml:space="preserve"> </w:t>
      </w:r>
      <w:r w:rsidRPr="00B02247">
        <w:t>aliens</w:t>
      </w:r>
      <w:r w:rsidR="003E731F">
        <w:t>’</w:t>
      </w:r>
      <w:r w:rsidR="005B2A41">
        <w:t xml:space="preserve"> </w:t>
      </w:r>
      <w:r w:rsidRPr="00B02247">
        <w:t>law.</w:t>
      </w:r>
      <w:r w:rsidR="005B2A41">
        <w:t xml:space="preserve"> </w:t>
      </w:r>
      <w:r w:rsidRPr="00B02247">
        <w:t>Furthermore,</w:t>
      </w:r>
      <w:r w:rsidR="005B2A41">
        <w:t xml:space="preserve"> </w:t>
      </w:r>
      <w:r w:rsidRPr="00B02247">
        <w:t>the</w:t>
      </w:r>
      <w:r w:rsidR="005B2A41">
        <w:t xml:space="preserve"> </w:t>
      </w:r>
      <w:r w:rsidRPr="00B02247">
        <w:t>National</w:t>
      </w:r>
      <w:r w:rsidR="005B2A41">
        <w:t xml:space="preserve"> </w:t>
      </w:r>
      <w:r w:rsidRPr="00B02247">
        <w:t>School</w:t>
      </w:r>
      <w:r w:rsidR="005B2A41">
        <w:t xml:space="preserve"> </w:t>
      </w:r>
      <w:r w:rsidRPr="00B02247">
        <w:t>of</w:t>
      </w:r>
      <w:r w:rsidR="005B2A41">
        <w:t xml:space="preserve"> </w:t>
      </w:r>
      <w:r w:rsidRPr="00B02247">
        <w:t>Judges</w:t>
      </w:r>
      <w:r w:rsidR="005B2A41">
        <w:t xml:space="preserve"> </w:t>
      </w:r>
      <w:r w:rsidRPr="00B02247">
        <w:t>organizes</w:t>
      </w:r>
      <w:r w:rsidR="005B2A41">
        <w:t xml:space="preserve"> </w:t>
      </w:r>
      <w:r w:rsidRPr="00B02247">
        <w:t>or</w:t>
      </w:r>
      <w:r w:rsidR="005B2A41">
        <w:t xml:space="preserve"> </w:t>
      </w:r>
      <w:r w:rsidRPr="00B02247">
        <w:t>includes</w:t>
      </w:r>
      <w:r w:rsidR="005B2A41">
        <w:t xml:space="preserve"> </w:t>
      </w:r>
      <w:r w:rsidRPr="00B02247">
        <w:t>in</w:t>
      </w:r>
      <w:r w:rsidR="005B2A41">
        <w:t xml:space="preserve"> </w:t>
      </w:r>
      <w:r w:rsidRPr="00B02247">
        <w:t>the</w:t>
      </w:r>
      <w:r w:rsidR="005B2A41">
        <w:t xml:space="preserve"> </w:t>
      </w:r>
      <w:r w:rsidRPr="00B02247">
        <w:t>annual</w:t>
      </w:r>
      <w:r w:rsidR="005B2A41">
        <w:t xml:space="preserve"> </w:t>
      </w:r>
      <w:r w:rsidRPr="00B02247">
        <w:t>curriculum</w:t>
      </w:r>
      <w:r w:rsidR="005B2A41">
        <w:t xml:space="preserve"> </w:t>
      </w:r>
      <w:r w:rsidRPr="00B02247">
        <w:t>several</w:t>
      </w:r>
      <w:r w:rsidR="005B2A41">
        <w:t xml:space="preserve"> </w:t>
      </w:r>
      <w:r w:rsidRPr="00B02247">
        <w:t>seminars</w:t>
      </w:r>
      <w:r w:rsidR="005B2A41">
        <w:t xml:space="preserve"> </w:t>
      </w:r>
      <w:r w:rsidRPr="00B02247">
        <w:t>aimed</w:t>
      </w:r>
      <w:r w:rsidR="005B2A41">
        <w:t xml:space="preserve"> </w:t>
      </w:r>
      <w:r w:rsidRPr="00B02247">
        <w:t>at</w:t>
      </w:r>
      <w:r w:rsidR="005B2A41">
        <w:t xml:space="preserve"> </w:t>
      </w:r>
      <w:r w:rsidRPr="00B02247">
        <w:t>human</w:t>
      </w:r>
      <w:r w:rsidR="005B2A41">
        <w:t xml:space="preserve"> </w:t>
      </w:r>
      <w:r w:rsidRPr="00B02247">
        <w:t>rights</w:t>
      </w:r>
      <w:r w:rsidR="005B2A41">
        <w:t xml:space="preserve"> </w:t>
      </w:r>
      <w:r w:rsidRPr="00B02247">
        <w:t>education</w:t>
      </w:r>
      <w:r w:rsidR="005B2A41">
        <w:t xml:space="preserve"> </w:t>
      </w:r>
      <w:r w:rsidRPr="00B02247">
        <w:t>of</w:t>
      </w:r>
      <w:r w:rsidR="005B2A41">
        <w:t xml:space="preserve"> </w:t>
      </w:r>
      <w:r w:rsidRPr="00B02247">
        <w:t>judges</w:t>
      </w:r>
      <w:r w:rsidR="005B2A41">
        <w:t xml:space="preserve"> </w:t>
      </w:r>
      <w:r w:rsidRPr="00B02247">
        <w:t>on</w:t>
      </w:r>
      <w:r w:rsidR="005B2A41">
        <w:t xml:space="preserve"> </w:t>
      </w:r>
      <w:r w:rsidRPr="00B02247">
        <w:t>issues</w:t>
      </w:r>
      <w:r w:rsidR="005B2A41">
        <w:t xml:space="preserve"> </w:t>
      </w:r>
      <w:r w:rsidRPr="00B02247">
        <w:t>such</w:t>
      </w:r>
      <w:r w:rsidR="005B2A41">
        <w:t xml:space="preserve"> </w:t>
      </w:r>
      <w:r w:rsidRPr="00B02247">
        <w:t>as</w:t>
      </w:r>
      <w:r w:rsidR="005B2A41">
        <w:t xml:space="preserve"> </w:t>
      </w:r>
      <w:r w:rsidRPr="00B02247">
        <w:t>refugees</w:t>
      </w:r>
      <w:r w:rsidR="003E731F">
        <w:t>’</w:t>
      </w:r>
      <w:r w:rsidR="005B2A41">
        <w:t xml:space="preserve"> </w:t>
      </w:r>
      <w:r w:rsidRPr="00B02247">
        <w:t>and</w:t>
      </w:r>
      <w:r w:rsidR="005B2A41">
        <w:t xml:space="preserve"> </w:t>
      </w:r>
      <w:r w:rsidRPr="00B02247">
        <w:t>migrants</w:t>
      </w:r>
      <w:r w:rsidR="003E731F">
        <w:t>’</w:t>
      </w:r>
      <w:r w:rsidR="005B2A41">
        <w:t xml:space="preserve"> </w:t>
      </w:r>
      <w:r w:rsidRPr="00B02247">
        <w:t>rights,</w:t>
      </w:r>
      <w:r w:rsidR="005B2A41">
        <w:t xml:space="preserve"> </w:t>
      </w:r>
      <w:r w:rsidRPr="00B02247">
        <w:t>racism</w:t>
      </w:r>
      <w:r w:rsidR="005B2A41">
        <w:t xml:space="preserve"> </w:t>
      </w:r>
      <w:r w:rsidRPr="00B02247">
        <w:t>and</w:t>
      </w:r>
      <w:r w:rsidR="005B2A41">
        <w:t xml:space="preserve"> </w:t>
      </w:r>
      <w:r w:rsidRPr="00B02247">
        <w:t>hate</w:t>
      </w:r>
      <w:r w:rsidR="005B2A41">
        <w:t xml:space="preserve"> </w:t>
      </w:r>
      <w:r w:rsidRPr="00B02247">
        <w:t>crimes,</w:t>
      </w:r>
      <w:r w:rsidR="005B2A41">
        <w:t xml:space="preserve"> </w:t>
      </w:r>
      <w:r w:rsidRPr="00B02247">
        <w:t>minors,</w:t>
      </w:r>
      <w:r w:rsidR="005B2A41">
        <w:t xml:space="preserve"> </w:t>
      </w:r>
      <w:r w:rsidRPr="00B02247">
        <w:t>disabilities</w:t>
      </w:r>
      <w:r w:rsidR="005B2A41">
        <w:t xml:space="preserve"> </w:t>
      </w:r>
      <w:r w:rsidRPr="00B02247">
        <w:t>and</w:t>
      </w:r>
      <w:r w:rsidR="005B2A41">
        <w:t xml:space="preserve"> </w:t>
      </w:r>
      <w:r w:rsidRPr="00B02247">
        <w:t>discrimination.</w:t>
      </w:r>
      <w:r w:rsidR="005B2A41">
        <w:t xml:space="preserve"> </w:t>
      </w:r>
    </w:p>
    <w:p w:rsidR="00F233AB" w:rsidRPr="00B02247" w:rsidRDefault="00F233AB" w:rsidP="00E1307D">
      <w:pPr>
        <w:pStyle w:val="SingleTxtG"/>
      </w:pPr>
      <w:r w:rsidRPr="00B02247">
        <w:t>112.</w:t>
      </w:r>
      <w:r w:rsidRPr="00B02247">
        <w:tab/>
        <w:t>Moreover</w:t>
      </w:r>
      <w:r w:rsidR="005B2A41">
        <w:t xml:space="preserve"> </w:t>
      </w:r>
      <w:r w:rsidRPr="00B02247">
        <w:t>an</w:t>
      </w:r>
      <w:r w:rsidR="005B2A41">
        <w:t xml:space="preserve"> </w:t>
      </w:r>
      <w:r w:rsidRPr="00B02247">
        <w:t>EU</w:t>
      </w:r>
      <w:r w:rsidR="005B2A41">
        <w:t xml:space="preserve"> </w:t>
      </w:r>
      <w:r w:rsidRPr="00B02247">
        <w:t>funded</w:t>
      </w:r>
      <w:r w:rsidR="005B2A41">
        <w:t xml:space="preserve"> </w:t>
      </w:r>
      <w:r w:rsidRPr="00B02247">
        <w:t>Programme</w:t>
      </w:r>
      <w:r w:rsidR="005B2A41">
        <w:t xml:space="preserve"> </w:t>
      </w:r>
      <w:r w:rsidRPr="00B02247">
        <w:t>with</w:t>
      </w:r>
      <w:r w:rsidR="005B2A41">
        <w:t xml:space="preserve"> </w:t>
      </w:r>
      <w:r w:rsidRPr="00B02247">
        <w:t>the</w:t>
      </w:r>
      <w:r w:rsidR="005B2A41">
        <w:t xml:space="preserve"> </w:t>
      </w:r>
      <w:r w:rsidRPr="00B02247">
        <w:t>title</w:t>
      </w:r>
      <w:r w:rsidR="005B2A41">
        <w:t xml:space="preserve"> </w:t>
      </w:r>
      <w:r w:rsidR="003E731F">
        <w:t>“</w:t>
      </w:r>
      <w:r w:rsidRPr="00B02247">
        <w:t>Building</w:t>
      </w:r>
      <w:r w:rsidR="005B2A41">
        <w:t xml:space="preserve"> </w:t>
      </w:r>
      <w:r w:rsidRPr="00B02247">
        <w:t>a</w:t>
      </w:r>
      <w:r w:rsidR="005B2A41">
        <w:t xml:space="preserve"> </w:t>
      </w:r>
      <w:r w:rsidRPr="00B02247">
        <w:t>Comprehensive</w:t>
      </w:r>
      <w:r w:rsidR="005B2A41">
        <w:t xml:space="preserve"> </w:t>
      </w:r>
      <w:r w:rsidRPr="00B02247">
        <w:t>Criminal</w:t>
      </w:r>
      <w:r w:rsidR="005B2A41">
        <w:t xml:space="preserve"> </w:t>
      </w:r>
      <w:r w:rsidRPr="00B02247">
        <w:t>Justice</w:t>
      </w:r>
      <w:r w:rsidR="005B2A41">
        <w:t xml:space="preserve"> </w:t>
      </w:r>
      <w:r w:rsidRPr="00B02247">
        <w:t>Response</w:t>
      </w:r>
      <w:r w:rsidR="005B2A41">
        <w:t xml:space="preserve"> </w:t>
      </w:r>
      <w:r w:rsidRPr="00B02247">
        <w:t>to</w:t>
      </w:r>
      <w:r w:rsidR="005B2A41">
        <w:t xml:space="preserve"> </w:t>
      </w:r>
      <w:r w:rsidRPr="00B02247">
        <w:t>Hate</w:t>
      </w:r>
      <w:r w:rsidR="005B2A41">
        <w:t xml:space="preserve"> </w:t>
      </w:r>
      <w:r w:rsidRPr="00B02247">
        <w:t>Crime</w:t>
      </w:r>
      <w:r w:rsidR="003E731F">
        <w:t>”</w:t>
      </w:r>
      <w:r w:rsidRPr="00B02247">
        <w:t>,</w:t>
      </w:r>
      <w:r w:rsidR="005B2A41">
        <w:t xml:space="preserve"> </w:t>
      </w:r>
      <w:r w:rsidRPr="00B02247">
        <w:t>starting</w:t>
      </w:r>
      <w:r w:rsidR="005B2A41">
        <w:t xml:space="preserve"> </w:t>
      </w:r>
      <w:r w:rsidRPr="00B02247">
        <w:t>from</w:t>
      </w:r>
      <w:r w:rsidR="005B2A41">
        <w:t xml:space="preserve"> </w:t>
      </w:r>
      <w:r w:rsidRPr="00B02247">
        <w:t>February</w:t>
      </w:r>
      <w:r w:rsidR="005B2A41">
        <w:t xml:space="preserve"> </w:t>
      </w:r>
      <w:r w:rsidRPr="00B02247">
        <w:t>2017</w:t>
      </w:r>
      <w:r w:rsidR="005B2A41">
        <w:t xml:space="preserve"> </w:t>
      </w:r>
      <w:r w:rsidRPr="00B02247">
        <w:t>and</w:t>
      </w:r>
      <w:r w:rsidR="005B2A41">
        <w:t xml:space="preserve"> </w:t>
      </w:r>
      <w:r w:rsidRPr="00B02247">
        <w:t>with</w:t>
      </w:r>
      <w:r w:rsidR="005B2A41">
        <w:t xml:space="preserve"> </w:t>
      </w:r>
      <w:r w:rsidRPr="00B02247">
        <w:t>a</w:t>
      </w:r>
      <w:r w:rsidR="005B2A41">
        <w:t xml:space="preserve"> </w:t>
      </w:r>
      <w:r w:rsidRPr="00B02247">
        <w:t>duration</w:t>
      </w:r>
      <w:r w:rsidR="005B2A41">
        <w:t xml:space="preserve"> </w:t>
      </w:r>
      <w:r w:rsidRPr="00B02247">
        <w:t>of</w:t>
      </w:r>
      <w:r w:rsidR="005B2A41">
        <w:t xml:space="preserve"> </w:t>
      </w:r>
      <w:r w:rsidRPr="00B02247">
        <w:t>two</w:t>
      </w:r>
      <w:r w:rsidR="005B2A41">
        <w:t xml:space="preserve"> </w:t>
      </w:r>
      <w:r w:rsidRPr="00B02247">
        <w:t>years,</w:t>
      </w:r>
      <w:r w:rsidR="005B2A41">
        <w:t xml:space="preserve"> </w:t>
      </w:r>
      <w:r w:rsidRPr="00B02247">
        <w:t>will</w:t>
      </w:r>
      <w:r w:rsidR="005B2A41">
        <w:t xml:space="preserve"> </w:t>
      </w:r>
      <w:r w:rsidRPr="00B02247">
        <w:t>be</w:t>
      </w:r>
      <w:r w:rsidR="005B2A41">
        <w:t xml:space="preserve"> </w:t>
      </w:r>
      <w:r w:rsidRPr="00B02247">
        <w:t>implemented</w:t>
      </w:r>
      <w:r w:rsidR="005B2A41">
        <w:t xml:space="preserve"> </w:t>
      </w:r>
      <w:r w:rsidRPr="00B02247">
        <w:t>by</w:t>
      </w:r>
      <w:r w:rsidR="005B2A41">
        <w:t xml:space="preserve"> </w:t>
      </w:r>
      <w:r w:rsidRPr="00B02247">
        <w:t>ODIHR</w:t>
      </w:r>
      <w:r w:rsidR="005B2A41">
        <w:t xml:space="preserve"> </w:t>
      </w:r>
      <w:r w:rsidRPr="00B02247">
        <w:t>and</w:t>
      </w:r>
      <w:r w:rsidR="005B2A41">
        <w:t xml:space="preserve"> </w:t>
      </w:r>
      <w:r w:rsidRPr="00B02247">
        <w:t>the</w:t>
      </w:r>
      <w:r w:rsidR="005B2A41">
        <w:t xml:space="preserve"> </w:t>
      </w:r>
      <w:r w:rsidRPr="00B02247">
        <w:t>Hellenic</w:t>
      </w:r>
      <w:r w:rsidR="005B2A41">
        <w:t xml:space="preserve"> </w:t>
      </w:r>
      <w:r w:rsidRPr="00B02247">
        <w:t>Ministry</w:t>
      </w:r>
      <w:r w:rsidR="005B2A41">
        <w:t xml:space="preserve"> </w:t>
      </w:r>
      <w:r w:rsidRPr="00B02247">
        <w:t>of</w:t>
      </w:r>
      <w:r w:rsidR="005B2A41">
        <w:t xml:space="preserve"> </w:t>
      </w:r>
      <w:r w:rsidRPr="00B02247">
        <w:t>Justice,</w:t>
      </w:r>
      <w:r w:rsidR="005B2A41">
        <w:t xml:space="preserve"> </w:t>
      </w:r>
      <w:r w:rsidRPr="00B02247">
        <w:t>Transparency</w:t>
      </w:r>
      <w:r w:rsidR="005B2A41">
        <w:t xml:space="preserve"> </w:t>
      </w:r>
      <w:r w:rsidRPr="00B02247">
        <w:t>and</w:t>
      </w:r>
      <w:r w:rsidR="005B2A41">
        <w:t xml:space="preserve"> </w:t>
      </w:r>
      <w:r w:rsidRPr="00B02247">
        <w:t>Human</w:t>
      </w:r>
      <w:r w:rsidR="005B2A41">
        <w:t xml:space="preserve"> </w:t>
      </w:r>
      <w:r w:rsidRPr="00B02247">
        <w:t>Rights</w:t>
      </w:r>
      <w:r w:rsidR="005B2A41">
        <w:t xml:space="preserve"> </w:t>
      </w:r>
      <w:r w:rsidRPr="00B02247">
        <w:t>as</w:t>
      </w:r>
      <w:r w:rsidR="005B2A41">
        <w:t xml:space="preserve"> </w:t>
      </w:r>
      <w:r w:rsidRPr="00B02247">
        <w:t>a</w:t>
      </w:r>
      <w:r w:rsidR="005B2A41">
        <w:t xml:space="preserve"> </w:t>
      </w:r>
      <w:r w:rsidRPr="00B02247">
        <w:t>partner.</w:t>
      </w:r>
      <w:r w:rsidR="005B2A41">
        <w:t xml:space="preserve"> </w:t>
      </w:r>
      <w:r w:rsidRPr="00B02247">
        <w:t>The</w:t>
      </w:r>
      <w:r w:rsidR="005B2A41">
        <w:t xml:space="preserve"> </w:t>
      </w:r>
      <w:r w:rsidRPr="00B02247">
        <w:t>project</w:t>
      </w:r>
      <w:r w:rsidR="005B2A41">
        <w:t xml:space="preserve"> </w:t>
      </w:r>
      <w:r w:rsidRPr="00B02247">
        <w:t>consists,</w:t>
      </w:r>
      <w:r w:rsidR="005B2A41">
        <w:t xml:space="preserve"> </w:t>
      </w:r>
      <w:r w:rsidRPr="00B02247">
        <w:t>as</w:t>
      </w:r>
      <w:r w:rsidR="005B2A41">
        <w:t xml:space="preserve"> </w:t>
      </w:r>
      <w:r w:rsidRPr="00B02247">
        <w:t>regards</w:t>
      </w:r>
      <w:r w:rsidR="005B2A41">
        <w:t xml:space="preserve"> </w:t>
      </w:r>
      <w:r w:rsidRPr="00B02247">
        <w:t>the</w:t>
      </w:r>
      <w:r w:rsidR="005B2A41">
        <w:t xml:space="preserve"> </w:t>
      </w:r>
      <w:r w:rsidRPr="00B02247">
        <w:t>Greek</w:t>
      </w:r>
      <w:r w:rsidR="005B2A41">
        <w:t xml:space="preserve"> </w:t>
      </w:r>
      <w:r w:rsidRPr="00B02247">
        <w:t>party,</w:t>
      </w:r>
      <w:r w:rsidR="005B2A41">
        <w:t xml:space="preserve"> </w:t>
      </w:r>
      <w:r w:rsidRPr="00B02247">
        <w:t>of</w:t>
      </w:r>
      <w:r w:rsidR="005B2A41">
        <w:t xml:space="preserve"> </w:t>
      </w:r>
      <w:r w:rsidRPr="00B02247">
        <w:t>three</w:t>
      </w:r>
      <w:r w:rsidR="005B2A41">
        <w:t xml:space="preserve"> </w:t>
      </w:r>
      <w:r w:rsidRPr="00B02247">
        <w:t>activities:</w:t>
      </w:r>
      <w:r w:rsidR="005B2A41">
        <w:t xml:space="preserve"> </w:t>
      </w:r>
      <w:r w:rsidRPr="00B02247">
        <w:t>(1)</w:t>
      </w:r>
      <w:r w:rsidR="005B2A41">
        <w:t xml:space="preserve"> </w:t>
      </w:r>
      <w:r w:rsidRPr="00B02247">
        <w:t>a</w:t>
      </w:r>
      <w:r w:rsidR="005B2A41">
        <w:t xml:space="preserve"> </w:t>
      </w:r>
      <w:r w:rsidRPr="00B02247">
        <w:t>possible</w:t>
      </w:r>
      <w:r w:rsidR="005B2A41">
        <w:t xml:space="preserve"> </w:t>
      </w:r>
      <w:r w:rsidRPr="00B02247">
        <w:t>MoU</w:t>
      </w:r>
      <w:r w:rsidR="005B2A41">
        <w:t xml:space="preserve"> </w:t>
      </w:r>
      <w:r w:rsidRPr="00B02247">
        <w:t>with</w:t>
      </w:r>
      <w:r w:rsidR="005B2A41">
        <w:t xml:space="preserve"> </w:t>
      </w:r>
      <w:r w:rsidRPr="00B02247">
        <w:t>the</w:t>
      </w:r>
      <w:r w:rsidR="005B2A41">
        <w:t xml:space="preserve"> </w:t>
      </w:r>
      <w:r w:rsidRPr="00B02247">
        <w:t>National</w:t>
      </w:r>
      <w:r w:rsidR="005B2A41">
        <w:t xml:space="preserve"> </w:t>
      </w:r>
      <w:r w:rsidRPr="00B02247">
        <w:t>School</w:t>
      </w:r>
      <w:r w:rsidR="005B2A41">
        <w:t xml:space="preserve"> </w:t>
      </w:r>
      <w:r w:rsidRPr="00B02247">
        <w:t>of</w:t>
      </w:r>
      <w:r w:rsidR="005B2A41">
        <w:t xml:space="preserve"> </w:t>
      </w:r>
      <w:r w:rsidRPr="00B02247">
        <w:t>Judges</w:t>
      </w:r>
      <w:r w:rsidR="005B2A41">
        <w:t xml:space="preserve"> </w:t>
      </w:r>
      <w:r w:rsidRPr="00B02247">
        <w:t>for</w:t>
      </w:r>
      <w:r w:rsidR="005B2A41">
        <w:t xml:space="preserve"> </w:t>
      </w:r>
      <w:r w:rsidRPr="00B02247">
        <w:t>the</w:t>
      </w:r>
      <w:r w:rsidR="005B2A41">
        <w:t xml:space="preserve"> </w:t>
      </w:r>
      <w:r w:rsidRPr="00B02247">
        <w:t>implementation</w:t>
      </w:r>
      <w:r w:rsidR="005B2A41">
        <w:t xml:space="preserve"> </w:t>
      </w:r>
      <w:r w:rsidRPr="00B02247">
        <w:t>of</w:t>
      </w:r>
      <w:r w:rsidR="005B2A41">
        <w:t xml:space="preserve"> </w:t>
      </w:r>
      <w:r w:rsidRPr="00B02247">
        <w:t>the</w:t>
      </w:r>
      <w:r w:rsidR="005B2A41">
        <w:t xml:space="preserve"> </w:t>
      </w:r>
      <w:r w:rsidRPr="00B02247">
        <w:t>PAHCT</w:t>
      </w:r>
      <w:r w:rsidR="005B2A41">
        <w:t xml:space="preserve"> </w:t>
      </w:r>
      <w:r w:rsidRPr="00B02247">
        <w:t>(Prosecutors</w:t>
      </w:r>
      <w:r w:rsidR="005B2A41">
        <w:t xml:space="preserve"> </w:t>
      </w:r>
      <w:r w:rsidRPr="00B02247">
        <w:t>and</w:t>
      </w:r>
      <w:r w:rsidR="005B2A41">
        <w:t xml:space="preserve"> </w:t>
      </w:r>
      <w:r w:rsidRPr="00B02247">
        <w:t>Hate</w:t>
      </w:r>
      <w:r w:rsidR="005B2A41">
        <w:t xml:space="preserve"> </w:t>
      </w:r>
      <w:r w:rsidRPr="00B02247">
        <w:t>Crime</w:t>
      </w:r>
      <w:r w:rsidR="005B2A41">
        <w:t xml:space="preserve"> </w:t>
      </w:r>
      <w:r w:rsidRPr="00B02247">
        <w:t>Training</w:t>
      </w:r>
      <w:r w:rsidR="005B2A41">
        <w:t xml:space="preserve"> </w:t>
      </w:r>
      <w:r w:rsidRPr="00B02247">
        <w:t>Program),</w:t>
      </w:r>
      <w:r w:rsidR="005B2A41">
        <w:t xml:space="preserve"> </w:t>
      </w:r>
      <w:r w:rsidRPr="00B02247">
        <w:t>(2)</w:t>
      </w:r>
      <w:r w:rsidR="005B2A41">
        <w:t xml:space="preserve"> </w:t>
      </w:r>
      <w:r w:rsidRPr="00B02247">
        <w:t>improvement</w:t>
      </w:r>
      <w:r w:rsidR="005B2A41">
        <w:t xml:space="preserve"> </w:t>
      </w:r>
      <w:r w:rsidRPr="00B02247">
        <w:t>of</w:t>
      </w:r>
      <w:r w:rsidR="005B2A41">
        <w:t xml:space="preserve"> </w:t>
      </w:r>
      <w:r w:rsidRPr="00B02247">
        <w:t>the</w:t>
      </w:r>
      <w:r w:rsidR="005B2A41">
        <w:t xml:space="preserve"> </w:t>
      </w:r>
      <w:r w:rsidRPr="00B02247">
        <w:t>common</w:t>
      </w:r>
      <w:r w:rsidR="005B2A41">
        <w:t xml:space="preserve"> </w:t>
      </w:r>
      <w:r w:rsidRPr="00B02247">
        <w:t>database</w:t>
      </w:r>
      <w:r w:rsidR="005B2A41">
        <w:t xml:space="preserve"> </w:t>
      </w:r>
      <w:r w:rsidRPr="00B02247">
        <w:t>on</w:t>
      </w:r>
      <w:r w:rsidR="005B2A41">
        <w:t xml:space="preserve"> </w:t>
      </w:r>
      <w:r w:rsidRPr="00B02247">
        <w:t>hate</w:t>
      </w:r>
      <w:r w:rsidR="005B2A41">
        <w:t xml:space="preserve"> </w:t>
      </w:r>
      <w:r w:rsidRPr="00B02247">
        <w:t>crimes</w:t>
      </w:r>
      <w:r w:rsidR="005B2A41">
        <w:t xml:space="preserve"> </w:t>
      </w:r>
      <w:r w:rsidRPr="00B02247">
        <w:t>maintained</w:t>
      </w:r>
      <w:r w:rsidR="005B2A41">
        <w:t xml:space="preserve"> </w:t>
      </w:r>
      <w:r w:rsidRPr="00B02247">
        <w:t>by</w:t>
      </w:r>
      <w:r w:rsidR="005B2A41">
        <w:t xml:space="preserve"> </w:t>
      </w:r>
      <w:r w:rsidRPr="00B02247">
        <w:t>the</w:t>
      </w:r>
      <w:r w:rsidR="005B2A41">
        <w:t xml:space="preserve"> </w:t>
      </w:r>
      <w:r w:rsidRPr="00B02247">
        <w:t>Ministry</w:t>
      </w:r>
      <w:r w:rsidR="005B2A41">
        <w:t xml:space="preserve"> </w:t>
      </w:r>
      <w:r w:rsidRPr="00B02247">
        <w:t>of</w:t>
      </w:r>
      <w:r w:rsidR="005B2A41">
        <w:t xml:space="preserve"> </w:t>
      </w:r>
      <w:r w:rsidRPr="00B02247">
        <w:t>Justice</w:t>
      </w:r>
      <w:r w:rsidR="005B2A41">
        <w:t xml:space="preserve"> </w:t>
      </w:r>
      <w:r w:rsidRPr="00B02247">
        <w:t>and</w:t>
      </w:r>
      <w:r w:rsidR="005B2A41">
        <w:t xml:space="preserve"> </w:t>
      </w:r>
      <w:r w:rsidRPr="00B02247">
        <w:t>the</w:t>
      </w:r>
      <w:r w:rsidR="005B2A41">
        <w:t xml:space="preserve"> </w:t>
      </w:r>
      <w:r w:rsidRPr="00B02247">
        <w:t>Hellenic</w:t>
      </w:r>
      <w:r w:rsidR="005B2A41">
        <w:t xml:space="preserve"> </w:t>
      </w:r>
      <w:r w:rsidRPr="00B02247">
        <w:t>Police,</w:t>
      </w:r>
      <w:r w:rsidR="005B2A41">
        <w:t xml:space="preserve"> </w:t>
      </w:r>
      <w:r w:rsidRPr="00B02247">
        <w:t>(3)</w:t>
      </w:r>
      <w:r w:rsidR="005B2A41">
        <w:t xml:space="preserve"> </w:t>
      </w:r>
      <w:r w:rsidRPr="00B02247">
        <w:t>identification</w:t>
      </w:r>
      <w:r w:rsidR="005B2A41">
        <w:t xml:space="preserve"> </w:t>
      </w:r>
      <w:r w:rsidRPr="00B02247">
        <w:t>of</w:t>
      </w:r>
      <w:r w:rsidR="005B2A41">
        <w:t xml:space="preserve"> </w:t>
      </w:r>
      <w:r w:rsidRPr="00B02247">
        <w:t>the</w:t>
      </w:r>
      <w:r w:rsidR="005B2A41">
        <w:t xml:space="preserve"> </w:t>
      </w:r>
      <w:r w:rsidRPr="00B02247">
        <w:t>main</w:t>
      </w:r>
      <w:r w:rsidR="005B2A41">
        <w:t xml:space="preserve"> </w:t>
      </w:r>
      <w:r w:rsidRPr="00B02247">
        <w:t>elements</w:t>
      </w:r>
      <w:r w:rsidR="005B2A41">
        <w:t xml:space="preserve"> </w:t>
      </w:r>
      <w:r w:rsidRPr="00B02247">
        <w:t>of</w:t>
      </w:r>
      <w:r w:rsidR="005B2A41">
        <w:t xml:space="preserve"> </w:t>
      </w:r>
      <w:r w:rsidRPr="00B02247">
        <w:t>a</w:t>
      </w:r>
      <w:r w:rsidR="005B2A41">
        <w:t xml:space="preserve"> </w:t>
      </w:r>
      <w:r w:rsidRPr="00B02247">
        <w:t>national</w:t>
      </w:r>
      <w:r w:rsidR="005B2A41">
        <w:t xml:space="preserve"> </w:t>
      </w:r>
      <w:r w:rsidRPr="00B02247">
        <w:t>policy</w:t>
      </w:r>
      <w:r w:rsidR="005B2A41">
        <w:t xml:space="preserve"> </w:t>
      </w:r>
      <w:r w:rsidRPr="00B02247">
        <w:t>against</w:t>
      </w:r>
      <w:r w:rsidR="005B2A41">
        <w:t xml:space="preserve"> </w:t>
      </w:r>
      <w:r w:rsidRPr="00B02247">
        <w:t>hate</w:t>
      </w:r>
      <w:r w:rsidR="005B2A41">
        <w:t xml:space="preserve"> </w:t>
      </w:r>
      <w:r w:rsidRPr="00B02247">
        <w:t>crimes</w:t>
      </w:r>
      <w:r w:rsidR="005B2A41">
        <w:t xml:space="preserve"> </w:t>
      </w:r>
      <w:r w:rsidRPr="00B02247">
        <w:t>and</w:t>
      </w:r>
      <w:r w:rsidR="005B2A41">
        <w:t xml:space="preserve"> </w:t>
      </w:r>
      <w:r w:rsidRPr="00B02247">
        <w:t>drafting</w:t>
      </w:r>
      <w:r w:rsidR="005B2A41">
        <w:t xml:space="preserve"> </w:t>
      </w:r>
      <w:r w:rsidRPr="00B02247">
        <w:t>of</w:t>
      </w:r>
      <w:r w:rsidR="005B2A41">
        <w:t xml:space="preserve"> </w:t>
      </w:r>
      <w:r w:rsidRPr="00B02247">
        <w:t>a</w:t>
      </w:r>
      <w:r w:rsidR="005B2A41">
        <w:t xml:space="preserve"> </w:t>
      </w:r>
      <w:r w:rsidRPr="00B02247">
        <w:t>cross</w:t>
      </w:r>
      <w:r w:rsidR="005B2A41">
        <w:t xml:space="preserve"> </w:t>
      </w:r>
      <w:r w:rsidRPr="00B02247">
        <w:t>government</w:t>
      </w:r>
      <w:r w:rsidR="005B2A41">
        <w:t xml:space="preserve"> </w:t>
      </w:r>
      <w:r w:rsidRPr="00B02247">
        <w:t>protocol</w:t>
      </w:r>
      <w:r w:rsidR="005B2A41">
        <w:t xml:space="preserve"> </w:t>
      </w:r>
      <w:r w:rsidRPr="00B02247">
        <w:t>for</w:t>
      </w:r>
      <w:r w:rsidR="005B2A41">
        <w:t xml:space="preserve"> </w:t>
      </w:r>
      <w:r w:rsidRPr="00B02247">
        <w:t>preventing</w:t>
      </w:r>
      <w:r w:rsidR="005B2A41">
        <w:t xml:space="preserve"> </w:t>
      </w:r>
      <w:r w:rsidRPr="00B02247">
        <w:t>and</w:t>
      </w:r>
      <w:r w:rsidR="005B2A41">
        <w:t xml:space="preserve"> </w:t>
      </w:r>
      <w:r w:rsidRPr="00B02247">
        <w:t>combatting</w:t>
      </w:r>
      <w:r w:rsidR="005B2A41">
        <w:t xml:space="preserve"> </w:t>
      </w:r>
      <w:r w:rsidRPr="00B02247">
        <w:t>hate</w:t>
      </w:r>
      <w:r w:rsidR="005B2A41">
        <w:t xml:space="preserve"> </w:t>
      </w:r>
      <w:r w:rsidRPr="00B02247">
        <w:t>crimes</w:t>
      </w:r>
      <w:r w:rsidR="005B2A41">
        <w:t xml:space="preserve"> </w:t>
      </w:r>
      <w:r w:rsidRPr="00B02247">
        <w:t>and</w:t>
      </w:r>
      <w:r w:rsidR="005B2A41">
        <w:t xml:space="preserve"> </w:t>
      </w:r>
      <w:r w:rsidRPr="00B02247">
        <w:t>a</w:t>
      </w:r>
      <w:r w:rsidR="005B2A41">
        <w:t xml:space="preserve"> </w:t>
      </w:r>
      <w:r w:rsidRPr="00B02247">
        <w:t>sub-protocol</w:t>
      </w:r>
      <w:r w:rsidR="005B2A41">
        <w:t xml:space="preserve"> </w:t>
      </w:r>
      <w:r w:rsidRPr="00B02247">
        <w:t>on</w:t>
      </w:r>
      <w:r w:rsidR="005B2A41">
        <w:t xml:space="preserve"> </w:t>
      </w:r>
      <w:r w:rsidRPr="00B02247">
        <w:t>criminal</w:t>
      </w:r>
      <w:r w:rsidR="005B2A41">
        <w:t xml:space="preserve"> </w:t>
      </w:r>
      <w:r w:rsidRPr="00B02247">
        <w:t>justice</w:t>
      </w:r>
      <w:r w:rsidR="005B2A41">
        <w:t xml:space="preserve"> </w:t>
      </w:r>
      <w:r w:rsidRPr="00B02247">
        <w:t>system</w:t>
      </w:r>
      <w:r w:rsidR="005B2A41">
        <w:t xml:space="preserve"> </w:t>
      </w:r>
      <w:r w:rsidRPr="00B02247">
        <w:t>response</w:t>
      </w:r>
      <w:r w:rsidR="005B2A41">
        <w:t xml:space="preserve"> </w:t>
      </w:r>
      <w:r w:rsidRPr="00B02247">
        <w:t>to</w:t>
      </w:r>
      <w:r w:rsidR="005B2A41">
        <w:t xml:space="preserve"> </w:t>
      </w:r>
      <w:r w:rsidRPr="00B02247">
        <w:t>hate</w:t>
      </w:r>
      <w:r w:rsidR="005B2A41">
        <w:t xml:space="preserve"> </w:t>
      </w:r>
      <w:r w:rsidRPr="00B02247">
        <w:t>crimes.</w:t>
      </w:r>
      <w:r w:rsidR="005B2A41">
        <w:t xml:space="preserve"> </w:t>
      </w:r>
    </w:p>
    <w:p w:rsidR="00F233AB" w:rsidRPr="00B02247" w:rsidRDefault="00F233AB" w:rsidP="00E1307D">
      <w:pPr>
        <w:pStyle w:val="SingleTxtG"/>
      </w:pPr>
      <w:r w:rsidRPr="00B02247">
        <w:t>113.</w:t>
      </w:r>
      <w:r w:rsidRPr="00B02247">
        <w:tab/>
        <w:t>The</w:t>
      </w:r>
      <w:r w:rsidR="005B2A41">
        <w:t xml:space="preserve"> </w:t>
      </w:r>
      <w:r w:rsidRPr="00B02247">
        <w:t>two</w:t>
      </w:r>
      <w:r w:rsidR="005B2A41">
        <w:t xml:space="preserve"> </w:t>
      </w:r>
      <w:r w:rsidRPr="00B02247">
        <w:t>abovementioned</w:t>
      </w:r>
      <w:r w:rsidR="005B2A41">
        <w:t xml:space="preserve"> </w:t>
      </w:r>
      <w:r w:rsidRPr="00B02247">
        <w:t>protocols,</w:t>
      </w:r>
      <w:r w:rsidR="005B2A41">
        <w:t xml:space="preserve"> </w:t>
      </w:r>
      <w:r w:rsidRPr="00B02247">
        <w:t>apart</w:t>
      </w:r>
      <w:r w:rsidR="005B2A41">
        <w:t xml:space="preserve"> </w:t>
      </w:r>
      <w:r w:rsidRPr="00B02247">
        <w:t>from</w:t>
      </w:r>
      <w:r w:rsidR="005B2A41">
        <w:t xml:space="preserve"> </w:t>
      </w:r>
      <w:r w:rsidRPr="00B02247">
        <w:t>awareness-raising,</w:t>
      </w:r>
      <w:r w:rsidR="005B2A41">
        <w:t xml:space="preserve"> </w:t>
      </w:r>
      <w:r w:rsidRPr="00B02247">
        <w:t>are</w:t>
      </w:r>
      <w:r w:rsidR="005B2A41">
        <w:t xml:space="preserve"> </w:t>
      </w:r>
      <w:r w:rsidRPr="00B02247">
        <w:t>expected</w:t>
      </w:r>
      <w:r w:rsidR="005B2A41">
        <w:t xml:space="preserve"> </w:t>
      </w:r>
      <w:r w:rsidRPr="00B02247">
        <w:t>to</w:t>
      </w:r>
      <w:r w:rsidR="005B2A41">
        <w:t xml:space="preserve"> </w:t>
      </w:r>
      <w:r w:rsidRPr="00B02247">
        <w:t>improve</w:t>
      </w:r>
      <w:r w:rsidR="005B2A41">
        <w:t xml:space="preserve"> </w:t>
      </w:r>
      <w:r w:rsidRPr="00B02247">
        <w:t>even</w:t>
      </w:r>
      <w:r w:rsidR="005B2A41">
        <w:t xml:space="preserve"> </w:t>
      </w:r>
      <w:r w:rsidRPr="00B02247">
        <w:t>more</w:t>
      </w:r>
      <w:r w:rsidR="005B2A41">
        <w:t xml:space="preserve"> </w:t>
      </w:r>
      <w:r w:rsidRPr="00B02247">
        <w:t>the</w:t>
      </w:r>
      <w:r w:rsidR="005B2A41">
        <w:t xml:space="preserve"> </w:t>
      </w:r>
      <w:r w:rsidRPr="00B02247">
        <w:t>implementation</w:t>
      </w:r>
      <w:r w:rsidR="005B2A41">
        <w:t xml:space="preserve"> </w:t>
      </w:r>
      <w:r w:rsidRPr="00B02247">
        <w:t>of</w:t>
      </w:r>
      <w:r w:rsidR="005B2A41">
        <w:t xml:space="preserve"> </w:t>
      </w:r>
      <w:r w:rsidRPr="00B02247">
        <w:t>anti-racist</w:t>
      </w:r>
      <w:r w:rsidR="005B2A41">
        <w:t xml:space="preserve"> </w:t>
      </w:r>
      <w:r w:rsidRPr="00B02247">
        <w:t>legislation</w:t>
      </w:r>
      <w:r w:rsidR="005B2A41">
        <w:t xml:space="preserve"> </w:t>
      </w:r>
      <w:r w:rsidRPr="00B02247">
        <w:t>and</w:t>
      </w:r>
      <w:r w:rsidR="005B2A41">
        <w:t xml:space="preserve"> </w:t>
      </w:r>
      <w:r w:rsidRPr="00B02247">
        <w:t>to</w:t>
      </w:r>
      <w:r w:rsidR="005B2A41">
        <w:t xml:space="preserve"> </w:t>
      </w:r>
      <w:r w:rsidRPr="00B02247">
        <w:t>result</w:t>
      </w:r>
      <w:r w:rsidR="005B2A41">
        <w:t xml:space="preserve"> </w:t>
      </w:r>
      <w:r w:rsidRPr="00B02247">
        <w:t>to</w:t>
      </w:r>
      <w:r w:rsidR="005B2A41">
        <w:t xml:space="preserve"> </w:t>
      </w:r>
      <w:r w:rsidRPr="00B02247">
        <w:t>effectively</w:t>
      </w:r>
      <w:r w:rsidR="005B2A41">
        <w:t xml:space="preserve"> </w:t>
      </w:r>
      <w:r w:rsidRPr="00B02247">
        <w:t>combat</w:t>
      </w:r>
      <w:r w:rsidR="005B2A41">
        <w:t xml:space="preserve"> </w:t>
      </w:r>
      <w:r w:rsidRPr="00B02247">
        <w:t>hate</w:t>
      </w:r>
      <w:r w:rsidR="005B2A41">
        <w:t xml:space="preserve"> </w:t>
      </w:r>
      <w:r w:rsidRPr="00B02247">
        <w:t>crimes</w:t>
      </w:r>
      <w:r w:rsidR="005B2A41">
        <w:t xml:space="preserve"> </w:t>
      </w:r>
      <w:r w:rsidRPr="00B02247">
        <w:t>in</w:t>
      </w:r>
      <w:r w:rsidR="005B2A41">
        <w:t xml:space="preserve"> </w:t>
      </w:r>
      <w:r w:rsidRPr="00B02247">
        <w:t>all</w:t>
      </w:r>
      <w:r w:rsidR="005B2A41">
        <w:t xml:space="preserve"> </w:t>
      </w:r>
      <w:r w:rsidRPr="00B02247">
        <w:t>aspects</w:t>
      </w:r>
      <w:r w:rsidR="005B2A41">
        <w:t xml:space="preserve"> </w:t>
      </w:r>
      <w:r w:rsidRPr="00B02247">
        <w:t>of</w:t>
      </w:r>
      <w:r w:rsidR="005B2A41">
        <w:t xml:space="preserve"> </w:t>
      </w:r>
      <w:r w:rsidRPr="00B02247">
        <w:t>public</w:t>
      </w:r>
      <w:r w:rsidR="005B2A41">
        <w:t xml:space="preserve"> </w:t>
      </w:r>
      <w:r w:rsidRPr="00B02247">
        <w:t>life.</w:t>
      </w:r>
      <w:r w:rsidR="005B2A41">
        <w:t xml:space="preserve"> </w:t>
      </w:r>
    </w:p>
    <w:p w:rsidR="00F233AB" w:rsidRPr="00B02247" w:rsidRDefault="00F233AB" w:rsidP="00E1307D">
      <w:pPr>
        <w:pStyle w:val="SingleTxtG"/>
      </w:pPr>
      <w:r w:rsidRPr="00B02247">
        <w:t>114.</w:t>
      </w:r>
      <w:r w:rsidRPr="00B02247">
        <w:tab/>
        <w:t>Moreover,</w:t>
      </w:r>
      <w:r w:rsidR="005B2A41">
        <w:t xml:space="preserve"> </w:t>
      </w:r>
      <w:r w:rsidRPr="00B02247">
        <w:t>the</w:t>
      </w:r>
      <w:r w:rsidR="005B2A41">
        <w:t xml:space="preserve"> </w:t>
      </w:r>
      <w:r w:rsidRPr="00B02247">
        <w:t>first</w:t>
      </w:r>
      <w:r w:rsidR="005B2A41">
        <w:t xml:space="preserve"> </w:t>
      </w:r>
      <w:r w:rsidRPr="00B02247">
        <w:t>action</w:t>
      </w:r>
      <w:r w:rsidR="005B2A41">
        <w:t xml:space="preserve"> </w:t>
      </w:r>
      <w:r w:rsidRPr="00B02247">
        <w:t>of</w:t>
      </w:r>
      <w:r w:rsidR="005B2A41">
        <w:t xml:space="preserve"> </w:t>
      </w:r>
      <w:r w:rsidRPr="00B02247">
        <w:t>the</w:t>
      </w:r>
      <w:r w:rsidR="005B2A41">
        <w:t xml:space="preserve"> </w:t>
      </w:r>
      <w:r w:rsidRPr="00B02247">
        <w:t>above-mentioned</w:t>
      </w:r>
      <w:r w:rsidR="005B2A41">
        <w:t xml:space="preserve"> </w:t>
      </w:r>
      <w:r w:rsidRPr="00B02247">
        <w:t>project,</w:t>
      </w:r>
      <w:r w:rsidR="005B2A41">
        <w:t xml:space="preserve"> </w:t>
      </w:r>
      <w:r w:rsidRPr="00B02247">
        <w:t>which</w:t>
      </w:r>
      <w:r w:rsidR="005B2A41">
        <w:t xml:space="preserve"> </w:t>
      </w:r>
      <w:r w:rsidRPr="00B02247">
        <w:t>is</w:t>
      </w:r>
      <w:r w:rsidR="005B2A41">
        <w:t xml:space="preserve"> </w:t>
      </w:r>
      <w:r w:rsidRPr="00B02247">
        <w:t>to</w:t>
      </w:r>
      <w:r w:rsidR="005B2A41">
        <w:t xml:space="preserve"> </w:t>
      </w:r>
      <w:r w:rsidRPr="00B02247">
        <w:t>be</w:t>
      </w:r>
      <w:r w:rsidR="005B2A41">
        <w:t xml:space="preserve"> </w:t>
      </w:r>
      <w:r w:rsidRPr="00B02247">
        <w:t>decided</w:t>
      </w:r>
      <w:r w:rsidR="005B2A41">
        <w:t xml:space="preserve"> </w:t>
      </w:r>
      <w:r w:rsidRPr="00B02247">
        <w:t>and</w:t>
      </w:r>
      <w:r w:rsidR="005B2A41">
        <w:t xml:space="preserve"> </w:t>
      </w:r>
      <w:r w:rsidRPr="00B02247">
        <w:t>agreed</w:t>
      </w:r>
      <w:r w:rsidR="005B2A41">
        <w:t xml:space="preserve"> </w:t>
      </w:r>
      <w:r w:rsidRPr="00B02247">
        <w:t>between</w:t>
      </w:r>
      <w:r w:rsidR="005B2A41">
        <w:t xml:space="preserve"> </w:t>
      </w:r>
      <w:r w:rsidRPr="00B02247">
        <w:t>ODIHR</w:t>
      </w:r>
      <w:r w:rsidR="005B2A41">
        <w:t xml:space="preserve"> </w:t>
      </w:r>
      <w:r w:rsidRPr="00B02247">
        <w:t>and</w:t>
      </w:r>
      <w:r w:rsidR="005B2A41">
        <w:t xml:space="preserve"> </w:t>
      </w:r>
      <w:r w:rsidRPr="00B02247">
        <w:t>the</w:t>
      </w:r>
      <w:r w:rsidR="005B2A41">
        <w:t xml:space="preserve"> </w:t>
      </w:r>
      <w:r w:rsidRPr="00B02247">
        <w:t>National</w:t>
      </w:r>
      <w:r w:rsidR="005B2A41">
        <w:t xml:space="preserve"> </w:t>
      </w:r>
      <w:r w:rsidRPr="00B02247">
        <w:t>School</w:t>
      </w:r>
      <w:r w:rsidR="005B2A41">
        <w:t xml:space="preserve"> </w:t>
      </w:r>
      <w:r w:rsidRPr="00B02247">
        <w:t>of</w:t>
      </w:r>
      <w:r w:rsidR="005B2A41">
        <w:t xml:space="preserve"> </w:t>
      </w:r>
      <w:r w:rsidRPr="00B02247">
        <w:t>Judges</w:t>
      </w:r>
      <w:r w:rsidR="005B2A41">
        <w:t xml:space="preserve"> </w:t>
      </w:r>
      <w:r w:rsidRPr="00B02247">
        <w:t>(NSoJ),</w:t>
      </w:r>
      <w:r w:rsidR="005B2A41">
        <w:t xml:space="preserve"> </w:t>
      </w:r>
      <w:r w:rsidRPr="00B02247">
        <w:t>provides</w:t>
      </w:r>
      <w:r w:rsidR="005B2A41">
        <w:t xml:space="preserve"> </w:t>
      </w:r>
      <w:r w:rsidRPr="00B02247">
        <w:t>for</w:t>
      </w:r>
      <w:r w:rsidR="005B2A41">
        <w:t xml:space="preserve"> </w:t>
      </w:r>
      <w:r w:rsidRPr="00B02247">
        <w:t>(i)</w:t>
      </w:r>
      <w:r w:rsidR="005B2A41">
        <w:t xml:space="preserve"> </w:t>
      </w:r>
      <w:r w:rsidRPr="00B02247">
        <w:t>the</w:t>
      </w:r>
      <w:r w:rsidR="005B2A41">
        <w:t xml:space="preserve"> </w:t>
      </w:r>
      <w:r w:rsidRPr="00B02247">
        <w:t>adjustment</w:t>
      </w:r>
      <w:r w:rsidR="005B2A41">
        <w:t xml:space="preserve"> </w:t>
      </w:r>
      <w:r w:rsidRPr="00B02247">
        <w:t>of</w:t>
      </w:r>
      <w:r w:rsidR="005B2A41">
        <w:t xml:space="preserve"> </w:t>
      </w:r>
      <w:r w:rsidRPr="00B02247">
        <w:t>the</w:t>
      </w:r>
      <w:r w:rsidR="005B2A41">
        <w:t xml:space="preserve"> </w:t>
      </w:r>
      <w:r w:rsidRPr="00B02247">
        <w:t>ODIHR</w:t>
      </w:r>
      <w:r w:rsidR="003E731F">
        <w:t>’</w:t>
      </w:r>
      <w:r w:rsidRPr="00B02247">
        <w:t>s</w:t>
      </w:r>
      <w:r w:rsidR="005B2A41">
        <w:t xml:space="preserve"> </w:t>
      </w:r>
      <w:r w:rsidRPr="00B02247">
        <w:t>PAHCT</w:t>
      </w:r>
      <w:r w:rsidR="005B2A41">
        <w:t xml:space="preserve"> </w:t>
      </w:r>
      <w:r w:rsidRPr="00B02247">
        <w:t>to</w:t>
      </w:r>
      <w:r w:rsidR="005B2A41">
        <w:t xml:space="preserve"> </w:t>
      </w:r>
      <w:r w:rsidRPr="00B02247">
        <w:t>the</w:t>
      </w:r>
      <w:r w:rsidR="005B2A41">
        <w:t xml:space="preserve"> </w:t>
      </w:r>
      <w:r w:rsidRPr="00B02247">
        <w:t>national</w:t>
      </w:r>
      <w:r w:rsidR="005B2A41">
        <w:t xml:space="preserve"> </w:t>
      </w:r>
      <w:r w:rsidRPr="00B02247">
        <w:t>situation</w:t>
      </w:r>
      <w:r w:rsidR="005B2A41">
        <w:t xml:space="preserve"> </w:t>
      </w:r>
      <w:r w:rsidRPr="00B02247">
        <w:t>in</w:t>
      </w:r>
      <w:r w:rsidR="005B2A41">
        <w:t xml:space="preserve"> </w:t>
      </w:r>
      <w:r w:rsidRPr="00B02247">
        <w:t>Greece</w:t>
      </w:r>
      <w:r w:rsidR="005B2A41">
        <w:t xml:space="preserve"> </w:t>
      </w:r>
      <w:r w:rsidRPr="00B02247">
        <w:t>and</w:t>
      </w:r>
      <w:r w:rsidR="005B2A41">
        <w:t xml:space="preserve"> </w:t>
      </w:r>
      <w:r w:rsidRPr="00B02247">
        <w:t>the</w:t>
      </w:r>
      <w:r w:rsidR="005B2A41">
        <w:t xml:space="preserve"> </w:t>
      </w:r>
      <w:r w:rsidRPr="00B02247">
        <w:t>creation</w:t>
      </w:r>
      <w:r w:rsidR="005B2A41">
        <w:t xml:space="preserve"> </w:t>
      </w:r>
      <w:r w:rsidRPr="00B02247">
        <w:t>of</w:t>
      </w:r>
      <w:r w:rsidR="005B2A41">
        <w:t xml:space="preserve"> </w:t>
      </w:r>
      <w:r w:rsidRPr="00B02247">
        <w:t>a</w:t>
      </w:r>
      <w:r w:rsidR="005B2A41">
        <w:t xml:space="preserve"> </w:t>
      </w:r>
      <w:r w:rsidRPr="00B02247">
        <w:t>customized</w:t>
      </w:r>
      <w:r w:rsidR="005B2A41">
        <w:t xml:space="preserve"> </w:t>
      </w:r>
      <w:r w:rsidRPr="00B02247">
        <w:t>course,</w:t>
      </w:r>
      <w:r w:rsidR="005B2A41">
        <w:t xml:space="preserve"> </w:t>
      </w:r>
      <w:r w:rsidRPr="00B02247">
        <w:t>(ii)</w:t>
      </w:r>
      <w:r w:rsidR="005B2A41">
        <w:t xml:space="preserve"> </w:t>
      </w:r>
      <w:r w:rsidRPr="00B02247">
        <w:t>the</w:t>
      </w:r>
      <w:r w:rsidR="005B2A41">
        <w:t xml:space="preserve"> </w:t>
      </w:r>
      <w:r w:rsidRPr="00B02247">
        <w:t>training</w:t>
      </w:r>
      <w:r w:rsidR="005B2A41">
        <w:t xml:space="preserve"> </w:t>
      </w:r>
      <w:r w:rsidRPr="00B02247">
        <w:t>of</w:t>
      </w:r>
      <w:r w:rsidR="005B2A41">
        <w:t xml:space="preserve"> </w:t>
      </w:r>
      <w:r w:rsidRPr="00B02247">
        <w:t>Greek</w:t>
      </w:r>
      <w:r w:rsidR="005B2A41">
        <w:t xml:space="preserve"> </w:t>
      </w:r>
      <w:r w:rsidRPr="00B02247">
        <w:t>prosecutors</w:t>
      </w:r>
      <w:r w:rsidR="005B2A41">
        <w:t xml:space="preserve"> </w:t>
      </w:r>
      <w:r w:rsidRPr="00B02247">
        <w:t>as</w:t>
      </w:r>
      <w:r w:rsidR="005B2A41">
        <w:t xml:space="preserve"> </w:t>
      </w:r>
      <w:r w:rsidRPr="00B02247">
        <w:t>trainers</w:t>
      </w:r>
      <w:r w:rsidR="005B2A41">
        <w:t xml:space="preserve"> </w:t>
      </w:r>
      <w:r w:rsidRPr="00B02247">
        <w:t>and</w:t>
      </w:r>
      <w:r w:rsidR="005B2A41">
        <w:t xml:space="preserve"> </w:t>
      </w:r>
      <w:r w:rsidRPr="00B02247">
        <w:t>(iii)</w:t>
      </w:r>
      <w:r w:rsidR="005B2A41">
        <w:t xml:space="preserve"> </w:t>
      </w:r>
      <w:r w:rsidRPr="00B02247">
        <w:t>a</w:t>
      </w:r>
      <w:r w:rsidR="005B2A41">
        <w:t xml:space="preserve"> </w:t>
      </w:r>
      <w:r w:rsidRPr="00B02247">
        <w:t>commitment</w:t>
      </w:r>
      <w:r w:rsidR="005B2A41">
        <w:t xml:space="preserve"> </w:t>
      </w:r>
      <w:r w:rsidRPr="00B02247">
        <w:t>of</w:t>
      </w:r>
      <w:r w:rsidR="005B2A41">
        <w:t xml:space="preserve"> </w:t>
      </w:r>
      <w:r w:rsidRPr="00B02247">
        <w:t>the</w:t>
      </w:r>
      <w:r w:rsidR="005B2A41">
        <w:t xml:space="preserve"> </w:t>
      </w:r>
      <w:r w:rsidRPr="00B02247">
        <w:t>NSoJ</w:t>
      </w:r>
      <w:r w:rsidR="005B2A41">
        <w:t xml:space="preserve"> </w:t>
      </w:r>
      <w:r w:rsidRPr="00B02247">
        <w:t>to</w:t>
      </w:r>
      <w:r w:rsidR="005B2A41">
        <w:t xml:space="preserve"> </w:t>
      </w:r>
      <w:r w:rsidRPr="00B02247">
        <w:t>permanently</w:t>
      </w:r>
      <w:r w:rsidR="005B2A41">
        <w:t xml:space="preserve"> </w:t>
      </w:r>
      <w:r w:rsidRPr="00B02247">
        <w:t>integrate</w:t>
      </w:r>
      <w:r w:rsidR="005B2A41">
        <w:t xml:space="preserve"> </w:t>
      </w:r>
      <w:r w:rsidRPr="00B02247">
        <w:t>this</w:t>
      </w:r>
      <w:r w:rsidR="005B2A41">
        <w:t xml:space="preserve"> </w:t>
      </w:r>
      <w:r w:rsidRPr="00B02247">
        <w:t>customized</w:t>
      </w:r>
      <w:r w:rsidR="005B2A41">
        <w:t xml:space="preserve"> </w:t>
      </w:r>
      <w:r w:rsidRPr="00B02247">
        <w:t>course</w:t>
      </w:r>
      <w:r w:rsidR="005B2A41">
        <w:t xml:space="preserve"> </w:t>
      </w:r>
      <w:r w:rsidRPr="00B02247">
        <w:t>into</w:t>
      </w:r>
      <w:r w:rsidR="005B2A41">
        <w:t xml:space="preserve"> </w:t>
      </w:r>
      <w:r w:rsidRPr="00B02247">
        <w:t>its</w:t>
      </w:r>
      <w:r w:rsidR="005B2A41">
        <w:t xml:space="preserve"> </w:t>
      </w:r>
      <w:r w:rsidRPr="00B02247">
        <w:t>existing</w:t>
      </w:r>
      <w:r w:rsidR="005B2A41">
        <w:t xml:space="preserve"> </w:t>
      </w:r>
      <w:r w:rsidRPr="00B02247">
        <w:t>training</w:t>
      </w:r>
      <w:r w:rsidR="005B2A41">
        <w:t xml:space="preserve"> </w:t>
      </w:r>
      <w:r w:rsidRPr="00B02247">
        <w:lastRenderedPageBreak/>
        <w:t>structures</w:t>
      </w:r>
      <w:r w:rsidR="005B2A41">
        <w:t xml:space="preserve"> </w:t>
      </w:r>
      <w:r w:rsidRPr="00B02247">
        <w:t>using</w:t>
      </w:r>
      <w:r w:rsidR="005B2A41">
        <w:t xml:space="preserve"> </w:t>
      </w:r>
      <w:r w:rsidRPr="00B02247">
        <w:t>the</w:t>
      </w:r>
      <w:r w:rsidR="005B2A41">
        <w:t xml:space="preserve"> </w:t>
      </w:r>
      <w:r w:rsidRPr="00B02247">
        <w:t>trained</w:t>
      </w:r>
      <w:r w:rsidR="005B2A41">
        <w:t xml:space="preserve"> </w:t>
      </w:r>
      <w:r w:rsidRPr="00B02247">
        <w:t>trainers.</w:t>
      </w:r>
      <w:r w:rsidR="005B2A41">
        <w:t xml:space="preserve"> </w:t>
      </w:r>
      <w:r w:rsidRPr="00B02247">
        <w:t>The</w:t>
      </w:r>
      <w:r w:rsidR="005B2A41">
        <w:t xml:space="preserve"> </w:t>
      </w:r>
      <w:r w:rsidRPr="00B02247">
        <w:t>programme</w:t>
      </w:r>
      <w:r w:rsidR="005B2A41">
        <w:t xml:space="preserve"> </w:t>
      </w:r>
      <w:r w:rsidRPr="00B02247">
        <w:t>is</w:t>
      </w:r>
      <w:r w:rsidR="005B2A41">
        <w:t xml:space="preserve"> </w:t>
      </w:r>
      <w:r w:rsidRPr="00B02247">
        <w:t>intended</w:t>
      </w:r>
      <w:r w:rsidR="005B2A41">
        <w:t xml:space="preserve"> </w:t>
      </w:r>
      <w:r w:rsidRPr="00B02247">
        <w:t>to</w:t>
      </w:r>
      <w:r w:rsidR="005B2A41">
        <w:t xml:space="preserve"> </w:t>
      </w:r>
      <w:r w:rsidRPr="00B02247">
        <w:t>be</w:t>
      </w:r>
      <w:r w:rsidR="005B2A41">
        <w:t xml:space="preserve"> </w:t>
      </w:r>
      <w:r w:rsidRPr="00B02247">
        <w:t>applied</w:t>
      </w:r>
      <w:r w:rsidR="005B2A41">
        <w:t xml:space="preserve"> </w:t>
      </w:r>
      <w:r w:rsidRPr="00B02247">
        <w:t>at</w:t>
      </w:r>
      <w:r w:rsidR="005B2A41">
        <w:t xml:space="preserve"> </w:t>
      </w:r>
      <w:r w:rsidRPr="00B02247">
        <w:t>first</w:t>
      </w:r>
      <w:r w:rsidR="005B2A41">
        <w:t xml:space="preserve"> </w:t>
      </w:r>
      <w:r w:rsidRPr="00B02247">
        <w:t>place</w:t>
      </w:r>
      <w:r w:rsidR="005B2A41">
        <w:t xml:space="preserve"> </w:t>
      </w:r>
      <w:r w:rsidRPr="00B02247">
        <w:t>in</w:t>
      </w:r>
      <w:r w:rsidR="005B2A41">
        <w:t xml:space="preserve"> </w:t>
      </w:r>
      <w:r w:rsidRPr="00B02247">
        <w:t>the</w:t>
      </w:r>
      <w:r w:rsidR="005B2A41">
        <w:t xml:space="preserve"> </w:t>
      </w:r>
      <w:r w:rsidRPr="00B02247">
        <w:t>initial</w:t>
      </w:r>
      <w:r w:rsidR="005B2A41">
        <w:t xml:space="preserve"> </w:t>
      </w:r>
      <w:r w:rsidRPr="00B02247">
        <w:t>education</w:t>
      </w:r>
      <w:r w:rsidR="005B2A41">
        <w:t xml:space="preserve"> </w:t>
      </w:r>
      <w:r w:rsidRPr="00B02247">
        <w:t>curriculum</w:t>
      </w:r>
      <w:r w:rsidR="005B2A41">
        <w:t xml:space="preserve"> </w:t>
      </w:r>
      <w:r w:rsidRPr="00B02247">
        <w:t>and</w:t>
      </w:r>
      <w:r w:rsidR="005B2A41">
        <w:t xml:space="preserve"> </w:t>
      </w:r>
      <w:r w:rsidRPr="00B02247">
        <w:t>at</w:t>
      </w:r>
      <w:r w:rsidR="005B2A41">
        <w:t xml:space="preserve"> </w:t>
      </w:r>
      <w:r w:rsidRPr="00B02247">
        <w:t>second</w:t>
      </w:r>
      <w:r w:rsidR="005B2A41">
        <w:t xml:space="preserve"> </w:t>
      </w:r>
      <w:r w:rsidRPr="00B02247">
        <w:t>place</w:t>
      </w:r>
      <w:r w:rsidR="005B2A41">
        <w:t xml:space="preserve"> </w:t>
      </w:r>
      <w:r w:rsidRPr="00B02247">
        <w:t>as</w:t>
      </w:r>
      <w:r w:rsidR="005B2A41">
        <w:t xml:space="preserve"> </w:t>
      </w:r>
      <w:r w:rsidRPr="00B02247">
        <w:t>continuous</w:t>
      </w:r>
      <w:r w:rsidR="005B2A41">
        <w:t xml:space="preserve"> </w:t>
      </w:r>
      <w:r w:rsidRPr="00B02247">
        <w:t>training</w:t>
      </w:r>
      <w:r w:rsidR="005B2A41">
        <w:t xml:space="preserve"> </w:t>
      </w:r>
      <w:r w:rsidRPr="00B02247">
        <w:t>for</w:t>
      </w:r>
      <w:r w:rsidR="005B2A41">
        <w:t xml:space="preserve"> </w:t>
      </w:r>
      <w:r w:rsidRPr="00B02247">
        <w:t>in-service</w:t>
      </w:r>
      <w:r w:rsidR="005B2A41">
        <w:t xml:space="preserve"> </w:t>
      </w:r>
      <w:r w:rsidRPr="00B02247">
        <w:t>prosecutors.</w:t>
      </w:r>
    </w:p>
    <w:p w:rsidR="00F233AB" w:rsidRPr="00B02247" w:rsidRDefault="00F233AB" w:rsidP="00E1307D">
      <w:pPr>
        <w:pStyle w:val="SingleTxtG"/>
      </w:pPr>
      <w:r w:rsidRPr="00B02247">
        <w:t>115.</w:t>
      </w:r>
      <w:r w:rsidRPr="00B02247">
        <w:tab/>
        <w:t>Concerning</w:t>
      </w:r>
      <w:r w:rsidR="005B2A41">
        <w:t xml:space="preserve"> </w:t>
      </w:r>
      <w:r w:rsidRPr="00B02247">
        <w:t>training</w:t>
      </w:r>
      <w:r w:rsidR="005B2A41">
        <w:t xml:space="preserve"> </w:t>
      </w:r>
      <w:r w:rsidRPr="00B02247">
        <w:t>of</w:t>
      </w:r>
      <w:r w:rsidR="005B2A41">
        <w:t xml:space="preserve"> </w:t>
      </w:r>
      <w:r w:rsidRPr="00B02247">
        <w:t>lawyers,</w:t>
      </w:r>
      <w:r w:rsidR="005B2A41">
        <w:t xml:space="preserve"> </w:t>
      </w:r>
      <w:r w:rsidRPr="00B02247">
        <w:t>several</w:t>
      </w:r>
      <w:r w:rsidR="005B2A41">
        <w:t xml:space="preserve"> </w:t>
      </w:r>
      <w:r w:rsidRPr="00B02247">
        <w:t>bar</w:t>
      </w:r>
      <w:r w:rsidR="005B2A41">
        <w:t xml:space="preserve"> </w:t>
      </w:r>
      <w:r w:rsidRPr="00B02247">
        <w:t>associations</w:t>
      </w:r>
      <w:r w:rsidR="005B2A41">
        <w:t xml:space="preserve"> </w:t>
      </w:r>
      <w:r w:rsidRPr="00B02247">
        <w:t>have</w:t>
      </w:r>
      <w:r w:rsidR="005B2A41">
        <w:t xml:space="preserve"> </w:t>
      </w:r>
      <w:r w:rsidRPr="00B02247">
        <w:t>provided</w:t>
      </w:r>
      <w:r w:rsidR="005B2A41">
        <w:t xml:space="preserve"> </w:t>
      </w:r>
      <w:r w:rsidRPr="00B02247">
        <w:t>specialized</w:t>
      </w:r>
      <w:r w:rsidR="005B2A41">
        <w:t xml:space="preserve"> </w:t>
      </w:r>
      <w:r w:rsidRPr="00B02247">
        <w:t>seminars</w:t>
      </w:r>
      <w:r w:rsidR="005B2A41">
        <w:t xml:space="preserve"> </w:t>
      </w:r>
      <w:r w:rsidRPr="00B02247">
        <w:t>and</w:t>
      </w:r>
      <w:r w:rsidR="005B2A41">
        <w:t xml:space="preserve"> </w:t>
      </w:r>
      <w:r w:rsidRPr="00B02247">
        <w:t>events,</w:t>
      </w:r>
      <w:r w:rsidR="005B2A41">
        <w:t xml:space="preserve"> </w:t>
      </w:r>
      <w:r w:rsidRPr="00B02247">
        <w:t>some</w:t>
      </w:r>
      <w:r w:rsidR="005B2A41">
        <w:t xml:space="preserve"> </w:t>
      </w:r>
      <w:r w:rsidRPr="00B02247">
        <w:t>of</w:t>
      </w:r>
      <w:r w:rsidR="005B2A41">
        <w:t xml:space="preserve"> </w:t>
      </w:r>
      <w:r w:rsidRPr="00B02247">
        <w:t>them</w:t>
      </w:r>
      <w:r w:rsidR="005B2A41">
        <w:t xml:space="preserve"> </w:t>
      </w:r>
      <w:r w:rsidRPr="00B02247">
        <w:t>in</w:t>
      </w:r>
      <w:r w:rsidR="005B2A41">
        <w:t xml:space="preserve"> </w:t>
      </w:r>
      <w:r w:rsidRPr="00B02247">
        <w:t>cooperation</w:t>
      </w:r>
      <w:r w:rsidR="005B2A41">
        <w:t xml:space="preserve"> </w:t>
      </w:r>
      <w:r w:rsidRPr="00B02247">
        <w:t>with</w:t>
      </w:r>
      <w:r w:rsidR="005B2A41">
        <w:t xml:space="preserve"> </w:t>
      </w:r>
      <w:r w:rsidRPr="00B02247">
        <w:t>UN</w:t>
      </w:r>
      <w:r w:rsidR="005B2A41">
        <w:t xml:space="preserve"> </w:t>
      </w:r>
      <w:r w:rsidRPr="00B02247">
        <w:t>Refugees</w:t>
      </w:r>
      <w:r w:rsidR="005B2A41">
        <w:t xml:space="preserve"> </w:t>
      </w:r>
      <w:r w:rsidRPr="00B02247">
        <w:t>Agency,</w:t>
      </w:r>
      <w:r w:rsidR="005B2A41">
        <w:t xml:space="preserve"> </w:t>
      </w:r>
      <w:r w:rsidRPr="00B02247">
        <w:t>in</w:t>
      </w:r>
      <w:r w:rsidR="005B2A41">
        <w:t xml:space="preserve"> </w:t>
      </w:r>
      <w:r w:rsidRPr="00B02247">
        <w:t>order</w:t>
      </w:r>
      <w:r w:rsidR="005B2A41">
        <w:t xml:space="preserve"> </w:t>
      </w:r>
      <w:r w:rsidRPr="00B02247">
        <w:t>to</w:t>
      </w:r>
      <w:r w:rsidR="005B2A41">
        <w:t xml:space="preserve"> </w:t>
      </w:r>
      <w:r w:rsidRPr="00B02247">
        <w:t>inform</w:t>
      </w:r>
      <w:r w:rsidR="005B2A41">
        <w:t xml:space="preserve"> </w:t>
      </w:r>
      <w:r w:rsidRPr="00B02247">
        <w:t>and</w:t>
      </w:r>
      <w:r w:rsidR="005B2A41">
        <w:t xml:space="preserve"> </w:t>
      </w:r>
      <w:r w:rsidRPr="00B02247">
        <w:t>train</w:t>
      </w:r>
      <w:r w:rsidR="005B2A41">
        <w:t xml:space="preserve"> </w:t>
      </w:r>
      <w:r w:rsidRPr="00B02247">
        <w:t>their</w:t>
      </w:r>
      <w:r w:rsidR="005B2A41">
        <w:t xml:space="preserve"> </w:t>
      </w:r>
      <w:r w:rsidRPr="00B02247">
        <w:t>members</w:t>
      </w:r>
      <w:r w:rsidR="005B2A41">
        <w:t xml:space="preserve"> </w:t>
      </w:r>
      <w:r w:rsidRPr="00B02247">
        <w:t>on</w:t>
      </w:r>
      <w:r w:rsidR="005B2A41">
        <w:t xml:space="preserve"> </w:t>
      </w:r>
      <w:r w:rsidRPr="00B02247">
        <w:t>migration</w:t>
      </w:r>
      <w:r w:rsidR="005B2A41">
        <w:t xml:space="preserve"> </w:t>
      </w:r>
      <w:r w:rsidRPr="00B02247">
        <w:t>issues.</w:t>
      </w:r>
      <w:r w:rsidR="005B2A41">
        <w:t xml:space="preserve"> </w:t>
      </w:r>
    </w:p>
    <w:p w:rsidR="00F233AB" w:rsidRPr="00B02247" w:rsidRDefault="00F233AB" w:rsidP="006B654C">
      <w:pPr>
        <w:pStyle w:val="H23G"/>
      </w:pPr>
      <w:r w:rsidRPr="00B02247">
        <w:tab/>
        <w:t>2.</w:t>
      </w:r>
      <w:r w:rsidRPr="00B02247">
        <w:tab/>
        <w:t>Activities</w:t>
      </w:r>
      <w:r w:rsidR="005B2A41">
        <w:t xml:space="preserve"> </w:t>
      </w:r>
      <w:r w:rsidRPr="00B02247">
        <w:t>of</w:t>
      </w:r>
      <w:r w:rsidR="005B2A41">
        <w:t xml:space="preserve"> </w:t>
      </w:r>
      <w:r w:rsidRPr="00B02247">
        <w:t>the</w:t>
      </w:r>
      <w:r w:rsidR="005B2A41">
        <w:t xml:space="preserve"> </w:t>
      </w:r>
      <w:r w:rsidRPr="00B02247">
        <w:t>National</w:t>
      </w:r>
      <w:r w:rsidR="005B2A41">
        <w:t xml:space="preserve"> </w:t>
      </w:r>
      <w:r w:rsidRPr="00B02247">
        <w:t>Council</w:t>
      </w:r>
      <w:r w:rsidR="005B2A41">
        <w:t xml:space="preserve"> </w:t>
      </w:r>
      <w:r w:rsidRPr="00B02247">
        <w:t>against</w:t>
      </w:r>
      <w:r w:rsidR="005B2A41">
        <w:t xml:space="preserve"> </w:t>
      </w:r>
      <w:r w:rsidRPr="00B02247">
        <w:t>Racism</w:t>
      </w:r>
      <w:r w:rsidR="005B2A41">
        <w:t xml:space="preserve"> </w:t>
      </w:r>
      <w:r w:rsidRPr="00B02247">
        <w:t>and</w:t>
      </w:r>
      <w:r w:rsidR="005B2A41">
        <w:t xml:space="preserve"> </w:t>
      </w:r>
      <w:r w:rsidRPr="00B02247">
        <w:t>Intolerance</w:t>
      </w:r>
    </w:p>
    <w:p w:rsidR="00F233AB" w:rsidRPr="00B02247" w:rsidRDefault="00F233AB" w:rsidP="00E1307D">
      <w:pPr>
        <w:pStyle w:val="SingleTxtG"/>
      </w:pPr>
      <w:r w:rsidRPr="00B02247">
        <w:t>116.</w:t>
      </w:r>
      <w:r w:rsidRPr="00B02247">
        <w:tab/>
        <w:t>One</w:t>
      </w:r>
      <w:r w:rsidR="005B2A41">
        <w:t xml:space="preserve"> </w:t>
      </w:r>
      <w:r w:rsidRPr="00B02247">
        <w:t>of</w:t>
      </w:r>
      <w:r w:rsidR="005B2A41">
        <w:t xml:space="preserve"> </w:t>
      </w:r>
      <w:r w:rsidRPr="00B02247">
        <w:t>the</w:t>
      </w:r>
      <w:r w:rsidR="005B2A41">
        <w:t xml:space="preserve"> </w:t>
      </w:r>
      <w:r w:rsidRPr="00B02247">
        <w:t>main</w:t>
      </w:r>
      <w:r w:rsidR="005B2A41">
        <w:t xml:space="preserve"> </w:t>
      </w:r>
      <w:r w:rsidRPr="00B02247">
        <w:t>tasks</w:t>
      </w:r>
      <w:r w:rsidR="005B2A41">
        <w:t xml:space="preserve"> </w:t>
      </w:r>
      <w:r w:rsidRPr="00B02247">
        <w:t>of</w:t>
      </w:r>
      <w:r w:rsidR="005B2A41">
        <w:t xml:space="preserve"> </w:t>
      </w:r>
      <w:r w:rsidRPr="00B02247">
        <w:t>the</w:t>
      </w:r>
      <w:r w:rsidR="005B2A41">
        <w:t xml:space="preserve"> </w:t>
      </w:r>
      <w:r w:rsidRPr="00B02247">
        <w:t>National</w:t>
      </w:r>
      <w:r w:rsidR="005B2A41">
        <w:t xml:space="preserve"> </w:t>
      </w:r>
      <w:r w:rsidRPr="00B02247">
        <w:t>Council</w:t>
      </w:r>
      <w:r w:rsidR="005B2A41">
        <w:t xml:space="preserve"> </w:t>
      </w:r>
      <w:r w:rsidRPr="00B02247">
        <w:t>against</w:t>
      </w:r>
      <w:r w:rsidR="005B2A41">
        <w:t xml:space="preserve"> </w:t>
      </w:r>
      <w:r w:rsidRPr="00B02247">
        <w:t>Racism</w:t>
      </w:r>
      <w:r w:rsidR="005B2A41">
        <w:t xml:space="preserve"> </w:t>
      </w:r>
      <w:r w:rsidRPr="00B02247">
        <w:t>and</w:t>
      </w:r>
      <w:r w:rsidR="005B2A41">
        <w:t xml:space="preserve"> </w:t>
      </w:r>
      <w:r w:rsidRPr="00B02247">
        <w:t>Intolerance</w:t>
      </w:r>
      <w:r w:rsidR="005B2A41">
        <w:t xml:space="preserve"> </w:t>
      </w:r>
      <w:r w:rsidRPr="00B02247">
        <w:t>(see</w:t>
      </w:r>
      <w:r w:rsidR="005B2A41">
        <w:t xml:space="preserve"> </w:t>
      </w:r>
      <w:r w:rsidRPr="00B02247">
        <w:t>above)</w:t>
      </w:r>
      <w:r w:rsidR="005B2A41">
        <w:t xml:space="preserve"> </w:t>
      </w:r>
      <w:r w:rsidRPr="00B02247">
        <w:t>is</w:t>
      </w:r>
      <w:r w:rsidR="005B2A41">
        <w:t xml:space="preserve"> </w:t>
      </w:r>
      <w:r w:rsidRPr="00B02247">
        <w:t>the</w:t>
      </w:r>
      <w:r w:rsidR="005B2A41">
        <w:t xml:space="preserve"> </w:t>
      </w:r>
      <w:r w:rsidRPr="00B02247">
        <w:t>development</w:t>
      </w:r>
      <w:r w:rsidR="005B2A41">
        <w:t xml:space="preserve"> </w:t>
      </w:r>
      <w:r w:rsidRPr="00B02247">
        <w:t>of</w:t>
      </w:r>
      <w:r w:rsidR="005B2A41">
        <w:t xml:space="preserve"> </w:t>
      </w:r>
      <w:r w:rsidRPr="00B02247">
        <w:t>policies</w:t>
      </w:r>
      <w:r w:rsidR="005B2A41">
        <w:t xml:space="preserve"> </w:t>
      </w:r>
      <w:r w:rsidRPr="00B02247">
        <w:t>on</w:t>
      </w:r>
      <w:r w:rsidR="005B2A41">
        <w:t xml:space="preserve"> </w:t>
      </w:r>
      <w:r w:rsidRPr="00B02247">
        <w:t>preventing</w:t>
      </w:r>
      <w:r w:rsidR="005B2A41">
        <w:t xml:space="preserve"> </w:t>
      </w:r>
      <w:r w:rsidRPr="00B02247">
        <w:t>and</w:t>
      </w:r>
      <w:r w:rsidR="005B2A41">
        <w:t xml:space="preserve"> </w:t>
      </w:r>
      <w:r w:rsidRPr="00B02247">
        <w:t>combatting</w:t>
      </w:r>
      <w:r w:rsidR="005B2A41">
        <w:t xml:space="preserve"> </w:t>
      </w:r>
      <w:r w:rsidRPr="00B02247">
        <w:t>racism</w:t>
      </w:r>
      <w:r w:rsidR="005B2A41">
        <w:t xml:space="preserve"> </w:t>
      </w:r>
      <w:r w:rsidRPr="00B02247">
        <w:t>and</w:t>
      </w:r>
      <w:r w:rsidR="005B2A41">
        <w:t xml:space="preserve"> </w:t>
      </w:r>
      <w:r w:rsidRPr="00B02247">
        <w:t>intolerance</w:t>
      </w:r>
      <w:r w:rsidR="005B2A41">
        <w:t xml:space="preserve"> </w:t>
      </w:r>
      <w:r w:rsidRPr="00B02247">
        <w:t>in</w:t>
      </w:r>
      <w:r w:rsidR="005B2A41">
        <w:t xml:space="preserve"> </w:t>
      </w:r>
      <w:r w:rsidRPr="00B02247">
        <w:t>order</w:t>
      </w:r>
      <w:r w:rsidR="005B2A41">
        <w:t xml:space="preserve"> </w:t>
      </w:r>
      <w:r w:rsidRPr="00B02247">
        <w:t>to</w:t>
      </w:r>
      <w:r w:rsidR="005B2A41">
        <w:t xml:space="preserve"> </w:t>
      </w:r>
      <w:r w:rsidRPr="00B02247">
        <w:t>protect</w:t>
      </w:r>
      <w:r w:rsidR="005B2A41">
        <w:t xml:space="preserve"> </w:t>
      </w:r>
      <w:r w:rsidRPr="00B02247">
        <w:t>persons</w:t>
      </w:r>
      <w:r w:rsidR="005B2A41">
        <w:t xml:space="preserve"> </w:t>
      </w:r>
      <w:r w:rsidRPr="00B02247">
        <w:t>and</w:t>
      </w:r>
      <w:r w:rsidR="005B2A41">
        <w:t xml:space="preserve"> </w:t>
      </w:r>
      <w:r w:rsidRPr="00B02247">
        <w:t>groups</w:t>
      </w:r>
      <w:r w:rsidR="005B2A41">
        <w:t xml:space="preserve"> </w:t>
      </w:r>
      <w:r w:rsidRPr="00B02247">
        <w:t>of</w:t>
      </w:r>
      <w:r w:rsidR="005B2A41">
        <w:t xml:space="preserve"> </w:t>
      </w:r>
      <w:r w:rsidRPr="00B02247">
        <w:t>persons</w:t>
      </w:r>
      <w:r w:rsidR="005B2A41">
        <w:t xml:space="preserve"> </w:t>
      </w:r>
      <w:r w:rsidRPr="00B02247">
        <w:t>targeted</w:t>
      </w:r>
      <w:r w:rsidR="005B2A41">
        <w:t xml:space="preserve"> </w:t>
      </w:r>
      <w:r w:rsidRPr="00B02247">
        <w:t>because</w:t>
      </w:r>
      <w:r w:rsidR="005B2A41">
        <w:t xml:space="preserve"> </w:t>
      </w:r>
      <w:r w:rsidRPr="00B02247">
        <w:t>of</w:t>
      </w:r>
      <w:r w:rsidR="005B2A41">
        <w:t xml:space="preserve"> </w:t>
      </w:r>
      <w:r w:rsidRPr="00B02247">
        <w:t>race,</w:t>
      </w:r>
      <w:r w:rsidR="005B2A41">
        <w:t xml:space="preserve"> </w:t>
      </w:r>
      <w:r w:rsidRPr="00B02247">
        <w:t>colour,</w:t>
      </w:r>
      <w:r w:rsidR="005B2A41">
        <w:t xml:space="preserve"> </w:t>
      </w:r>
      <w:r w:rsidRPr="00B02247">
        <w:t>national</w:t>
      </w:r>
      <w:r w:rsidR="005B2A41">
        <w:t xml:space="preserve"> </w:t>
      </w:r>
      <w:r w:rsidRPr="00B02247">
        <w:t>or</w:t>
      </w:r>
      <w:r w:rsidR="005B2A41">
        <w:t xml:space="preserve"> </w:t>
      </w:r>
      <w:r w:rsidRPr="00B02247">
        <w:t>ethnic</w:t>
      </w:r>
      <w:r w:rsidR="005B2A41">
        <w:t xml:space="preserve"> </w:t>
      </w:r>
      <w:r w:rsidRPr="00B02247">
        <w:t>origin,</w:t>
      </w:r>
      <w:r w:rsidR="005B2A41">
        <w:t xml:space="preserve"> </w:t>
      </w:r>
      <w:r w:rsidRPr="00B02247">
        <w:t>descent,</w:t>
      </w:r>
      <w:r w:rsidR="005B2A41">
        <w:t xml:space="preserve"> </w:t>
      </w:r>
      <w:r w:rsidRPr="00B02247">
        <w:t>social</w:t>
      </w:r>
      <w:r w:rsidR="005B2A41">
        <w:t xml:space="preserve"> </w:t>
      </w:r>
      <w:r w:rsidRPr="00B02247">
        <w:t>origin,</w:t>
      </w:r>
      <w:r w:rsidR="005B2A41">
        <w:t xml:space="preserve"> </w:t>
      </w:r>
      <w:r w:rsidRPr="00B02247">
        <w:t>religious</w:t>
      </w:r>
      <w:r w:rsidR="005B2A41">
        <w:t xml:space="preserve"> </w:t>
      </w:r>
      <w:r w:rsidRPr="00B02247">
        <w:t>or</w:t>
      </w:r>
      <w:r w:rsidR="005B2A41">
        <w:t xml:space="preserve"> </w:t>
      </w:r>
      <w:r w:rsidRPr="00B02247">
        <w:t>other</w:t>
      </w:r>
      <w:r w:rsidR="005B2A41">
        <w:t xml:space="preserve"> </w:t>
      </w:r>
      <w:r w:rsidRPr="00B02247">
        <w:t>beliefs,</w:t>
      </w:r>
      <w:r w:rsidR="005B2A41">
        <w:t xml:space="preserve"> </w:t>
      </w:r>
      <w:r w:rsidRPr="00B02247">
        <w:t>disability,</w:t>
      </w:r>
      <w:r w:rsidR="005B2A41">
        <w:t xml:space="preserve"> </w:t>
      </w:r>
      <w:r w:rsidRPr="00B02247">
        <w:t>sexual</w:t>
      </w:r>
      <w:r w:rsidR="005B2A41">
        <w:t xml:space="preserve"> </w:t>
      </w:r>
      <w:r w:rsidRPr="00B02247">
        <w:t>orientation,</w:t>
      </w:r>
      <w:r w:rsidR="005B2A41">
        <w:t xml:space="preserve"> </w:t>
      </w:r>
      <w:r w:rsidRPr="00B02247">
        <w:t>gender</w:t>
      </w:r>
      <w:r w:rsidR="005B2A41">
        <w:t xml:space="preserve"> </w:t>
      </w:r>
      <w:r w:rsidRPr="00B02247">
        <w:t>identity</w:t>
      </w:r>
      <w:r w:rsidR="005B2A41">
        <w:t xml:space="preserve"> </w:t>
      </w:r>
      <w:r w:rsidRPr="00B02247">
        <w:t>or</w:t>
      </w:r>
      <w:r w:rsidR="005B2A41">
        <w:t xml:space="preserve"> </w:t>
      </w:r>
      <w:r w:rsidRPr="00B02247">
        <w:t>gender</w:t>
      </w:r>
      <w:r w:rsidR="005B2A41">
        <w:t xml:space="preserve"> </w:t>
      </w:r>
      <w:r w:rsidRPr="00B02247">
        <w:t>characteristics</w:t>
      </w:r>
      <w:r w:rsidR="005B2A41">
        <w:t xml:space="preserve"> </w:t>
      </w:r>
      <w:r w:rsidRPr="00B02247">
        <w:t>and,</w:t>
      </w:r>
      <w:r w:rsidR="005B2A41">
        <w:t xml:space="preserve"> </w:t>
      </w:r>
      <w:r w:rsidRPr="00B02247">
        <w:t>in</w:t>
      </w:r>
      <w:r w:rsidR="005B2A41">
        <w:t xml:space="preserve"> </w:t>
      </w:r>
      <w:r w:rsidRPr="00B02247">
        <w:t>this</w:t>
      </w:r>
      <w:r w:rsidR="005B2A41">
        <w:t xml:space="preserve"> </w:t>
      </w:r>
      <w:r w:rsidRPr="00B02247">
        <w:t>framework,</w:t>
      </w:r>
      <w:r w:rsidR="005B2A41">
        <w:t xml:space="preserve"> </w:t>
      </w:r>
      <w:r w:rsidRPr="00B02247">
        <w:t>the</w:t>
      </w:r>
      <w:r w:rsidR="005B2A41">
        <w:t xml:space="preserve"> </w:t>
      </w:r>
      <w:r w:rsidRPr="00B02247">
        <w:t>elaboration</w:t>
      </w:r>
      <w:r w:rsidR="005B2A41">
        <w:t xml:space="preserve"> </w:t>
      </w:r>
      <w:r w:rsidRPr="00B02247">
        <w:t>of</w:t>
      </w:r>
      <w:r w:rsidR="005B2A41">
        <w:t xml:space="preserve"> </w:t>
      </w:r>
      <w:r w:rsidRPr="00B02247">
        <w:t>a</w:t>
      </w:r>
      <w:r w:rsidR="005B2A41">
        <w:t xml:space="preserve"> </w:t>
      </w:r>
      <w:r w:rsidRPr="00B02247">
        <w:t>comprehensive</w:t>
      </w:r>
      <w:r w:rsidR="005B2A41">
        <w:t xml:space="preserve"> </w:t>
      </w:r>
      <w:r w:rsidRPr="00B02247">
        <w:t>strategy</w:t>
      </w:r>
      <w:r w:rsidR="005B2A41">
        <w:t xml:space="preserve"> </w:t>
      </w:r>
      <w:r w:rsidRPr="00B02247">
        <w:t>against</w:t>
      </w:r>
      <w:r w:rsidR="005B2A41">
        <w:t xml:space="preserve"> </w:t>
      </w:r>
      <w:r w:rsidRPr="00B02247">
        <w:t>racism</w:t>
      </w:r>
      <w:r w:rsidR="005B2A41">
        <w:t xml:space="preserve"> </w:t>
      </w:r>
      <w:r w:rsidRPr="00B02247">
        <w:t>and</w:t>
      </w:r>
      <w:r w:rsidR="005B2A41">
        <w:t xml:space="preserve"> </w:t>
      </w:r>
      <w:r w:rsidRPr="00B02247">
        <w:t>discrimination.</w:t>
      </w:r>
      <w:r w:rsidR="005B2A41">
        <w:t xml:space="preserve"> </w:t>
      </w:r>
      <w:r w:rsidRPr="00B02247">
        <w:t>For</w:t>
      </w:r>
      <w:r w:rsidR="005B2A41">
        <w:t xml:space="preserve"> </w:t>
      </w:r>
      <w:r w:rsidRPr="00B02247">
        <w:t>the</w:t>
      </w:r>
      <w:r w:rsidR="005B2A41">
        <w:t xml:space="preserve"> </w:t>
      </w:r>
      <w:r w:rsidRPr="00B02247">
        <w:t>accomplishment</w:t>
      </w:r>
      <w:r w:rsidR="005B2A41">
        <w:t xml:space="preserve"> </w:t>
      </w:r>
      <w:r w:rsidRPr="00B02247">
        <w:t>of</w:t>
      </w:r>
      <w:r w:rsidR="005B2A41">
        <w:t xml:space="preserve"> </w:t>
      </w:r>
      <w:r w:rsidRPr="00B02247">
        <w:t>its</w:t>
      </w:r>
      <w:r w:rsidR="005B2A41">
        <w:t xml:space="preserve"> </w:t>
      </w:r>
      <w:r w:rsidRPr="00B02247">
        <w:t>tasks</w:t>
      </w:r>
      <w:r w:rsidR="005B2A41">
        <w:t xml:space="preserve"> </w:t>
      </w:r>
      <w:r w:rsidRPr="00B02247">
        <w:t>the</w:t>
      </w:r>
      <w:r w:rsidR="005B2A41">
        <w:t xml:space="preserve"> </w:t>
      </w:r>
      <w:r w:rsidRPr="00B02247">
        <w:t>Council</w:t>
      </w:r>
      <w:r w:rsidR="005B2A41">
        <w:t xml:space="preserve"> </w:t>
      </w:r>
      <w:r w:rsidRPr="00B02247">
        <w:t>may,</w:t>
      </w:r>
      <w:r w:rsidR="005B2A41">
        <w:t xml:space="preserve"> </w:t>
      </w:r>
      <w:r w:rsidRPr="00B02247">
        <w:t>among</w:t>
      </w:r>
      <w:r w:rsidR="005B2A41">
        <w:t xml:space="preserve"> </w:t>
      </w:r>
      <w:r w:rsidRPr="00B02247">
        <w:t>others,</w:t>
      </w:r>
      <w:r w:rsidR="005B2A41">
        <w:t xml:space="preserve"> </w:t>
      </w:r>
      <w:r w:rsidRPr="00B02247">
        <w:t>develop</w:t>
      </w:r>
      <w:r w:rsidR="005B2A41">
        <w:t xml:space="preserve"> </w:t>
      </w:r>
      <w:r w:rsidRPr="00B02247">
        <w:t>actions</w:t>
      </w:r>
      <w:r w:rsidR="005B2A41">
        <w:t xml:space="preserve"> </w:t>
      </w:r>
      <w:r w:rsidRPr="00B02247">
        <w:t>for</w:t>
      </w:r>
      <w:r w:rsidR="005B2A41">
        <w:t xml:space="preserve"> </w:t>
      </w:r>
      <w:r w:rsidRPr="00B02247">
        <w:t>the</w:t>
      </w:r>
      <w:r w:rsidR="005B2A41">
        <w:t xml:space="preserve"> </w:t>
      </w:r>
      <w:r w:rsidRPr="00B02247">
        <w:t>promotion</w:t>
      </w:r>
      <w:r w:rsidR="005B2A41">
        <w:t xml:space="preserve"> </w:t>
      </w:r>
      <w:r w:rsidRPr="00B02247">
        <w:t>of</w:t>
      </w:r>
      <w:r w:rsidR="005B2A41">
        <w:t xml:space="preserve"> </w:t>
      </w:r>
      <w:r w:rsidRPr="00B02247">
        <w:t>human</w:t>
      </w:r>
      <w:r w:rsidR="005B2A41">
        <w:t xml:space="preserve"> </w:t>
      </w:r>
      <w:r w:rsidRPr="00B02247">
        <w:t>rights</w:t>
      </w:r>
      <w:r w:rsidR="005B2A41">
        <w:t xml:space="preserve"> </w:t>
      </w:r>
      <w:r w:rsidRPr="00B02247">
        <w:t>through</w:t>
      </w:r>
      <w:r w:rsidR="005B2A41">
        <w:t xml:space="preserve"> </w:t>
      </w:r>
      <w:r w:rsidRPr="00B02247">
        <w:t>education.</w:t>
      </w:r>
      <w:r w:rsidR="005B2A41">
        <w:t xml:space="preserve"> </w:t>
      </w:r>
      <w:r w:rsidRPr="00B02247">
        <w:t>Therefore</w:t>
      </w:r>
      <w:r w:rsidR="005B2A41">
        <w:t xml:space="preserve"> </w:t>
      </w:r>
      <w:r w:rsidRPr="00B02247">
        <w:t>one</w:t>
      </w:r>
      <w:r w:rsidR="005B2A41">
        <w:t xml:space="preserve"> </w:t>
      </w:r>
      <w:r w:rsidRPr="00B02247">
        <w:t>of</w:t>
      </w:r>
      <w:r w:rsidR="005B2A41">
        <w:t xml:space="preserve"> </w:t>
      </w:r>
      <w:r w:rsidRPr="00B02247">
        <w:t>the</w:t>
      </w:r>
      <w:r w:rsidR="005B2A41">
        <w:t xml:space="preserve"> </w:t>
      </w:r>
      <w:r w:rsidRPr="00B02247">
        <w:t>three</w:t>
      </w:r>
      <w:r w:rsidR="005B2A41">
        <w:t xml:space="preserve"> </w:t>
      </w:r>
      <w:r w:rsidRPr="00B02247">
        <w:t>working</w:t>
      </w:r>
      <w:r w:rsidR="005B2A41">
        <w:t xml:space="preserve"> </w:t>
      </w:r>
      <w:r w:rsidRPr="00B02247">
        <w:t>groups,</w:t>
      </w:r>
      <w:r w:rsidR="005B2A41">
        <w:t xml:space="preserve"> </w:t>
      </w:r>
      <w:r w:rsidRPr="00B02247">
        <w:t>which</w:t>
      </w:r>
      <w:r w:rsidR="005B2A41">
        <w:t xml:space="preserve"> </w:t>
      </w:r>
      <w:r w:rsidRPr="00B02247">
        <w:t>the</w:t>
      </w:r>
      <w:r w:rsidR="005B2A41">
        <w:t xml:space="preserve"> </w:t>
      </w:r>
      <w:r w:rsidRPr="00B02247">
        <w:t>Council</w:t>
      </w:r>
      <w:r w:rsidR="005B2A41">
        <w:t xml:space="preserve"> </w:t>
      </w:r>
      <w:r w:rsidRPr="00B02247">
        <w:t>has</w:t>
      </w:r>
      <w:r w:rsidR="005B2A41">
        <w:t xml:space="preserve"> </w:t>
      </w:r>
      <w:r w:rsidRPr="00B02247">
        <w:t>formed,</w:t>
      </w:r>
      <w:r w:rsidR="005B2A41">
        <w:t xml:space="preserve"> </w:t>
      </w:r>
      <w:r w:rsidRPr="00B02247">
        <w:t>focuses</w:t>
      </w:r>
      <w:r w:rsidR="005B2A41">
        <w:t xml:space="preserve"> </w:t>
      </w:r>
      <w:r w:rsidRPr="00B02247">
        <w:t>on</w:t>
      </w:r>
      <w:r w:rsidR="005B2A41">
        <w:t xml:space="preserve"> </w:t>
      </w:r>
      <w:r w:rsidRPr="00B02247">
        <w:t>human</w:t>
      </w:r>
      <w:r w:rsidR="005B2A41">
        <w:t xml:space="preserve"> </w:t>
      </w:r>
      <w:r w:rsidRPr="00B02247">
        <w:t>rights</w:t>
      </w:r>
      <w:r w:rsidR="005B2A41">
        <w:t xml:space="preserve"> </w:t>
      </w:r>
      <w:r w:rsidRPr="00B02247">
        <w:t>and</w:t>
      </w:r>
      <w:r w:rsidR="005B2A41">
        <w:t xml:space="preserve"> </w:t>
      </w:r>
      <w:r w:rsidRPr="00B02247">
        <w:t>anti-racism</w:t>
      </w:r>
      <w:r w:rsidR="005B2A41">
        <w:t xml:space="preserve"> </w:t>
      </w:r>
      <w:r w:rsidRPr="00B02247">
        <w:t>education.</w:t>
      </w:r>
    </w:p>
    <w:p w:rsidR="00F233AB" w:rsidRPr="00B02247" w:rsidRDefault="00F233AB" w:rsidP="006B654C">
      <w:pPr>
        <w:pStyle w:val="H23G"/>
      </w:pPr>
      <w:r w:rsidRPr="00B02247">
        <w:tab/>
        <w:t>3.</w:t>
      </w:r>
      <w:r w:rsidRPr="00B02247">
        <w:tab/>
        <w:t>Trafficking</w:t>
      </w:r>
      <w:r w:rsidR="005B2A41">
        <w:t xml:space="preserve"> </w:t>
      </w:r>
      <w:r w:rsidRPr="00B02247">
        <w:t>in</w:t>
      </w:r>
      <w:r w:rsidR="005B2A41">
        <w:t xml:space="preserve"> </w:t>
      </w:r>
      <w:r w:rsidRPr="00B02247">
        <w:t>Human</w:t>
      </w:r>
      <w:r w:rsidR="005B2A41">
        <w:t xml:space="preserve"> </w:t>
      </w:r>
      <w:r w:rsidRPr="00B02247">
        <w:t>Beings</w:t>
      </w:r>
    </w:p>
    <w:p w:rsidR="00F233AB" w:rsidRPr="00B02247" w:rsidRDefault="00F233AB" w:rsidP="00E1307D">
      <w:pPr>
        <w:pStyle w:val="SingleTxtG"/>
      </w:pPr>
      <w:r w:rsidRPr="00B02247">
        <w:t>117.</w:t>
      </w:r>
      <w:r w:rsidRPr="00B02247">
        <w:tab/>
        <w:t>Training</w:t>
      </w:r>
      <w:r w:rsidR="005B2A41">
        <w:t xml:space="preserve"> </w:t>
      </w:r>
      <w:r w:rsidRPr="00B02247">
        <w:t>of</w:t>
      </w:r>
      <w:r w:rsidR="005B2A41">
        <w:t xml:space="preserve"> </w:t>
      </w:r>
      <w:r w:rsidRPr="00B02247">
        <w:t>professionals</w:t>
      </w:r>
      <w:r w:rsidR="005B2A41">
        <w:t xml:space="preserve"> </w:t>
      </w:r>
      <w:r w:rsidRPr="00B02247">
        <w:t>on</w:t>
      </w:r>
      <w:r w:rsidR="005B2A41">
        <w:t xml:space="preserve"> </w:t>
      </w:r>
      <w:r w:rsidRPr="00B02247">
        <w:t>first-level</w:t>
      </w:r>
      <w:r w:rsidR="005B2A41">
        <w:t xml:space="preserve"> </w:t>
      </w:r>
      <w:r w:rsidRPr="00B02247">
        <w:t>identification</w:t>
      </w:r>
      <w:r w:rsidR="005B2A41">
        <w:t xml:space="preserve"> </w:t>
      </w:r>
      <w:r w:rsidRPr="00B02247">
        <w:t>is</w:t>
      </w:r>
      <w:r w:rsidR="005B2A41">
        <w:t xml:space="preserve"> </w:t>
      </w:r>
      <w:r w:rsidRPr="00B02247">
        <w:t>an</w:t>
      </w:r>
      <w:r w:rsidR="005B2A41">
        <w:t xml:space="preserve"> </w:t>
      </w:r>
      <w:r w:rsidRPr="00B02247">
        <w:t>essential</w:t>
      </w:r>
      <w:r w:rsidR="005B2A41">
        <w:t xml:space="preserve"> </w:t>
      </w:r>
      <w:r w:rsidRPr="00B02247">
        <w:t>part</w:t>
      </w:r>
      <w:r w:rsidR="005B2A41">
        <w:t xml:space="preserve"> </w:t>
      </w:r>
      <w:r w:rsidRPr="00B02247">
        <w:t>of</w:t>
      </w:r>
      <w:r w:rsidR="005B2A41">
        <w:t xml:space="preserve"> </w:t>
      </w:r>
      <w:r w:rsidRPr="00B02247">
        <w:t>Greece</w:t>
      </w:r>
      <w:r w:rsidR="003E731F">
        <w:t>’</w:t>
      </w:r>
      <w:r w:rsidRPr="00B02247">
        <w:t>s</w:t>
      </w:r>
      <w:r w:rsidR="005B2A41">
        <w:t xml:space="preserve"> </w:t>
      </w:r>
      <w:r w:rsidRPr="00B02247">
        <w:t>anti-trafficking</w:t>
      </w:r>
      <w:r w:rsidR="005B2A41">
        <w:t xml:space="preserve"> </w:t>
      </w:r>
      <w:r w:rsidRPr="00B02247">
        <w:t>policy.</w:t>
      </w:r>
      <w:r w:rsidR="005B2A41">
        <w:t xml:space="preserve"> </w:t>
      </w:r>
      <w:r w:rsidRPr="00B02247">
        <w:t>The</w:t>
      </w:r>
      <w:r w:rsidR="005B2A41">
        <w:t xml:space="preserve"> </w:t>
      </w:r>
      <w:r w:rsidRPr="00B02247">
        <w:t>NRO</w:t>
      </w:r>
      <w:r w:rsidR="005B2A41">
        <w:t xml:space="preserve"> </w:t>
      </w:r>
      <w:r w:rsidRPr="00B02247">
        <w:t>is</w:t>
      </w:r>
      <w:r w:rsidR="005B2A41">
        <w:t xml:space="preserve"> </w:t>
      </w:r>
      <w:r w:rsidRPr="00B02247">
        <w:t>stepping</w:t>
      </w:r>
      <w:r w:rsidR="005B2A41">
        <w:t xml:space="preserve"> </w:t>
      </w:r>
      <w:r w:rsidRPr="00B02247">
        <w:t>up</w:t>
      </w:r>
      <w:r w:rsidR="005B2A41">
        <w:t xml:space="preserve"> </w:t>
      </w:r>
      <w:r w:rsidRPr="00B02247">
        <w:t>efforts</w:t>
      </w:r>
      <w:r w:rsidR="005B2A41">
        <w:t xml:space="preserve"> </w:t>
      </w:r>
      <w:r w:rsidRPr="00B02247">
        <w:t>to</w:t>
      </w:r>
      <w:r w:rsidR="005B2A41">
        <w:t xml:space="preserve"> </w:t>
      </w:r>
      <w:r w:rsidRPr="00B02247">
        <w:t>facilitate</w:t>
      </w:r>
      <w:r w:rsidR="005B2A41">
        <w:t xml:space="preserve"> </w:t>
      </w:r>
      <w:r w:rsidRPr="00B02247">
        <w:t>capacity-building</w:t>
      </w:r>
      <w:r w:rsidR="005B2A41">
        <w:t xml:space="preserve"> </w:t>
      </w:r>
      <w:r w:rsidRPr="00B02247">
        <w:t>activities</w:t>
      </w:r>
      <w:r w:rsidR="005B2A41">
        <w:t xml:space="preserve"> </w:t>
      </w:r>
      <w:r w:rsidRPr="00B02247">
        <w:t>through</w:t>
      </w:r>
      <w:r w:rsidR="005B2A41">
        <w:t xml:space="preserve"> </w:t>
      </w:r>
      <w:r w:rsidRPr="00B02247">
        <w:t>a</w:t>
      </w:r>
      <w:r w:rsidR="005B2A41">
        <w:t xml:space="preserve"> </w:t>
      </w:r>
      <w:r w:rsidRPr="00B02247">
        <w:t>strategic</w:t>
      </w:r>
      <w:r w:rsidR="005B2A41">
        <w:t xml:space="preserve"> </w:t>
      </w:r>
      <w:r w:rsidRPr="00B02247">
        <w:t>partnership</w:t>
      </w:r>
      <w:r w:rsidR="005B2A41">
        <w:t xml:space="preserve"> </w:t>
      </w:r>
      <w:r w:rsidRPr="00B02247">
        <w:t>with</w:t>
      </w:r>
      <w:r w:rsidR="005B2A41">
        <w:t xml:space="preserve"> </w:t>
      </w:r>
      <w:r w:rsidRPr="00B02247">
        <w:t>the</w:t>
      </w:r>
      <w:r w:rsidR="005B2A41">
        <w:t xml:space="preserve"> </w:t>
      </w:r>
      <w:r w:rsidRPr="00B02247">
        <w:t>State</w:t>
      </w:r>
      <w:r w:rsidR="005B2A41">
        <w:t xml:space="preserve"> </w:t>
      </w:r>
      <w:r w:rsidRPr="00B02247">
        <w:t>Institute</w:t>
      </w:r>
      <w:r w:rsidR="005B2A41">
        <w:t xml:space="preserve"> </w:t>
      </w:r>
      <w:r w:rsidRPr="00B02247">
        <w:t>of</w:t>
      </w:r>
      <w:r w:rsidR="005B2A41">
        <w:t xml:space="preserve"> </w:t>
      </w:r>
      <w:r w:rsidRPr="00B02247">
        <w:t>Training</w:t>
      </w:r>
      <w:r w:rsidR="005B2A41">
        <w:t xml:space="preserve"> </w:t>
      </w:r>
      <w:r w:rsidRPr="00B02247">
        <w:t>(National</w:t>
      </w:r>
      <w:r w:rsidR="005B2A41">
        <w:t xml:space="preserve"> </w:t>
      </w:r>
      <w:r w:rsidRPr="00B02247">
        <w:t>Center</w:t>
      </w:r>
      <w:r w:rsidR="005B2A41">
        <w:t xml:space="preserve"> </w:t>
      </w:r>
      <w:r w:rsidRPr="00B02247">
        <w:t>of</w:t>
      </w:r>
      <w:r w:rsidR="005B2A41">
        <w:t xml:space="preserve"> </w:t>
      </w:r>
      <w:r w:rsidRPr="00B02247">
        <w:t>Public</w:t>
      </w:r>
      <w:r w:rsidR="005B2A41">
        <w:t xml:space="preserve"> </w:t>
      </w:r>
      <w:r w:rsidRPr="00B02247">
        <w:t>Administration</w:t>
      </w:r>
      <w:r w:rsidR="005B2A41">
        <w:t xml:space="preserve"> </w:t>
      </w:r>
      <w:r w:rsidRPr="00B02247">
        <w:t>&amp;</w:t>
      </w:r>
      <w:r w:rsidR="005B2A41">
        <w:t xml:space="preserve"> </w:t>
      </w:r>
      <w:r w:rsidRPr="00B02247">
        <w:t>Local</w:t>
      </w:r>
      <w:r w:rsidR="005B2A41">
        <w:t xml:space="preserve"> </w:t>
      </w:r>
      <w:r w:rsidRPr="00B02247">
        <w:t>Government)</w:t>
      </w:r>
      <w:r w:rsidR="005B2A41">
        <w:t xml:space="preserve"> </w:t>
      </w:r>
      <w:r w:rsidRPr="00B02247">
        <w:t>for</w:t>
      </w:r>
      <w:r w:rsidR="005B2A41">
        <w:t xml:space="preserve"> </w:t>
      </w:r>
      <w:r w:rsidRPr="00B02247">
        <w:t>the</w:t>
      </w:r>
      <w:r w:rsidR="005B2A41">
        <w:t xml:space="preserve"> </w:t>
      </w:r>
      <w:r w:rsidRPr="00B02247">
        <w:t>implementation</w:t>
      </w:r>
      <w:r w:rsidR="005B2A41">
        <w:t xml:space="preserve"> </w:t>
      </w:r>
      <w:r w:rsidRPr="00B02247">
        <w:t>of</w:t>
      </w:r>
      <w:r w:rsidR="005B2A41">
        <w:t xml:space="preserve"> </w:t>
      </w:r>
      <w:r w:rsidRPr="00B02247">
        <w:t>annual</w:t>
      </w:r>
      <w:r w:rsidR="005B2A41">
        <w:t xml:space="preserve"> </w:t>
      </w:r>
      <w:r w:rsidRPr="00B02247">
        <w:t>anti-trafficking</w:t>
      </w:r>
      <w:r w:rsidR="005B2A41">
        <w:t xml:space="preserve"> </w:t>
      </w:r>
      <w:r w:rsidRPr="00B02247">
        <w:t>seminars.</w:t>
      </w:r>
      <w:r w:rsidR="005B2A41">
        <w:t xml:space="preserve"> </w:t>
      </w:r>
      <w:r w:rsidRPr="00B02247">
        <w:t>More</w:t>
      </w:r>
      <w:r w:rsidR="005B2A41">
        <w:t xml:space="preserve"> </w:t>
      </w:r>
      <w:r w:rsidRPr="00B02247">
        <w:t>than</w:t>
      </w:r>
      <w:r w:rsidR="005B2A41">
        <w:t xml:space="preserve"> </w:t>
      </w:r>
      <w:r w:rsidRPr="00B02247">
        <w:t>15</w:t>
      </w:r>
      <w:r w:rsidR="005B2A41">
        <w:t xml:space="preserve"> </w:t>
      </w:r>
      <w:r w:rsidRPr="00B02247">
        <w:t>competent</w:t>
      </w:r>
      <w:r w:rsidR="005B2A41">
        <w:t xml:space="preserve"> </w:t>
      </w:r>
      <w:r w:rsidRPr="00B02247">
        <w:t>state</w:t>
      </w:r>
      <w:r w:rsidR="005B2A41">
        <w:t xml:space="preserve"> </w:t>
      </w:r>
      <w:r w:rsidRPr="00B02247">
        <w:t>agencies</w:t>
      </w:r>
      <w:r w:rsidR="005B2A41">
        <w:t xml:space="preserve"> </w:t>
      </w:r>
      <w:r w:rsidRPr="00B02247">
        <w:t>participate</w:t>
      </w:r>
      <w:r w:rsidR="005B2A41">
        <w:t xml:space="preserve"> </w:t>
      </w:r>
      <w:r w:rsidRPr="00B02247">
        <w:t>in</w:t>
      </w:r>
      <w:r w:rsidR="005B2A41">
        <w:t xml:space="preserve"> </w:t>
      </w:r>
      <w:r w:rsidRPr="00B02247">
        <w:t>the</w:t>
      </w:r>
      <w:r w:rsidR="005B2A41">
        <w:t xml:space="preserve"> </w:t>
      </w:r>
      <w:r w:rsidRPr="00B02247">
        <w:t>aforementioned</w:t>
      </w:r>
      <w:r w:rsidR="005B2A41">
        <w:t xml:space="preserve"> </w:t>
      </w:r>
      <w:r w:rsidRPr="00B02247">
        <w:t>and</w:t>
      </w:r>
      <w:r w:rsidR="005B2A41">
        <w:t xml:space="preserve"> </w:t>
      </w:r>
      <w:r w:rsidRPr="00B02247">
        <w:t>ongoing</w:t>
      </w:r>
      <w:r w:rsidR="005B2A41">
        <w:t xml:space="preserve"> </w:t>
      </w:r>
      <w:r w:rsidRPr="00B02247">
        <w:t>anti-trafficking</w:t>
      </w:r>
      <w:r w:rsidR="005B2A41">
        <w:t xml:space="preserve"> </w:t>
      </w:r>
      <w:r w:rsidRPr="00B02247">
        <w:t>training</w:t>
      </w:r>
      <w:r w:rsidR="005B2A41">
        <w:t xml:space="preserve"> </w:t>
      </w:r>
      <w:r w:rsidRPr="00B02247">
        <w:t>sessions</w:t>
      </w:r>
      <w:r w:rsidR="005B2A41">
        <w:t xml:space="preserve"> </w:t>
      </w:r>
      <w:r w:rsidRPr="00B02247">
        <w:t>(labor</w:t>
      </w:r>
      <w:r w:rsidR="005B2A41">
        <w:t xml:space="preserve"> </w:t>
      </w:r>
      <w:r w:rsidRPr="00B02247">
        <w:t>inspectors,</w:t>
      </w:r>
      <w:r w:rsidR="005B2A41">
        <w:t xml:space="preserve"> </w:t>
      </w:r>
      <w:r w:rsidRPr="00B02247">
        <w:t>medical</w:t>
      </w:r>
      <w:r w:rsidR="005B2A41">
        <w:t xml:space="preserve"> </w:t>
      </w:r>
      <w:r w:rsidRPr="00B02247">
        <w:t>personnel,</w:t>
      </w:r>
      <w:r w:rsidR="005B2A41">
        <w:t xml:space="preserve"> </w:t>
      </w:r>
      <w:r w:rsidRPr="00B02247">
        <w:t>local</w:t>
      </w:r>
      <w:r w:rsidR="005B2A41">
        <w:t xml:space="preserve"> </w:t>
      </w:r>
      <w:r w:rsidRPr="00B02247">
        <w:t>administration,</w:t>
      </w:r>
      <w:r w:rsidR="005B2A41">
        <w:t xml:space="preserve"> </w:t>
      </w:r>
      <w:r w:rsidRPr="00B02247">
        <w:t>school</w:t>
      </w:r>
      <w:r w:rsidR="005B2A41">
        <w:t xml:space="preserve"> </w:t>
      </w:r>
      <w:r w:rsidRPr="00B02247">
        <w:t>teachers,</w:t>
      </w:r>
      <w:r w:rsidR="005B2A41">
        <w:t xml:space="preserve"> </w:t>
      </w:r>
      <w:r w:rsidRPr="00B02247">
        <w:t>state</w:t>
      </w:r>
      <w:r w:rsidR="005B2A41">
        <w:t xml:space="preserve"> </w:t>
      </w:r>
      <w:r w:rsidRPr="00B02247">
        <w:t>mass</w:t>
      </w:r>
      <w:r w:rsidR="005B2A41">
        <w:t xml:space="preserve"> </w:t>
      </w:r>
      <w:r w:rsidRPr="00B02247">
        <w:t>media,</w:t>
      </w:r>
      <w:r w:rsidR="005B2A41">
        <w:t xml:space="preserve"> </w:t>
      </w:r>
      <w:r w:rsidRPr="00B02247">
        <w:t>border</w:t>
      </w:r>
      <w:r w:rsidR="005B2A41">
        <w:t xml:space="preserve"> </w:t>
      </w:r>
      <w:r w:rsidRPr="00B02247">
        <w:t>police,</w:t>
      </w:r>
      <w:r w:rsidR="005B2A41">
        <w:t xml:space="preserve"> </w:t>
      </w:r>
      <w:r w:rsidRPr="00B02247">
        <w:t>Asylum</w:t>
      </w:r>
      <w:r w:rsidR="005B2A41">
        <w:t xml:space="preserve"> </w:t>
      </w:r>
      <w:r w:rsidRPr="00B02247">
        <w:t>Service,</w:t>
      </w:r>
      <w:r w:rsidR="005B2A41">
        <w:t xml:space="preserve"> </w:t>
      </w:r>
      <w:r w:rsidRPr="00B02247">
        <w:t>Identification</w:t>
      </w:r>
      <w:r w:rsidR="005B2A41">
        <w:t xml:space="preserve"> </w:t>
      </w:r>
      <w:r w:rsidRPr="00B02247">
        <w:t>and</w:t>
      </w:r>
      <w:r w:rsidR="005B2A41">
        <w:t xml:space="preserve"> </w:t>
      </w:r>
      <w:r w:rsidRPr="00B02247">
        <w:t>Screening</w:t>
      </w:r>
      <w:r w:rsidR="005B2A41">
        <w:t xml:space="preserve"> </w:t>
      </w:r>
      <w:r w:rsidRPr="00B02247">
        <w:t>Service,</w:t>
      </w:r>
      <w:r w:rsidR="005B2A41">
        <w:t xml:space="preserve"> </w:t>
      </w:r>
      <w:r w:rsidRPr="00B02247">
        <w:t>customs</w:t>
      </w:r>
      <w:r w:rsidR="005B2A41">
        <w:t xml:space="preserve"> </w:t>
      </w:r>
      <w:r w:rsidRPr="00B02247">
        <w:t>offices,</w:t>
      </w:r>
      <w:r w:rsidR="005B2A41">
        <w:t xml:space="preserve"> </w:t>
      </w:r>
      <w:r w:rsidRPr="00B02247">
        <w:t>school</w:t>
      </w:r>
      <w:r w:rsidR="005B2A41">
        <w:t xml:space="preserve"> </w:t>
      </w:r>
      <w:r w:rsidRPr="00B02247">
        <w:t>teachers,</w:t>
      </w:r>
      <w:r w:rsidR="005B2A41">
        <w:t xml:space="preserve"> </w:t>
      </w:r>
      <w:r w:rsidRPr="00B02247">
        <w:t>judges,</w:t>
      </w:r>
      <w:r w:rsidR="005B2A41">
        <w:t xml:space="preserve"> </w:t>
      </w:r>
      <w:r w:rsidRPr="00B02247">
        <w:t>protection</w:t>
      </w:r>
      <w:r w:rsidR="005B2A41">
        <w:t xml:space="preserve"> </w:t>
      </w:r>
      <w:r w:rsidRPr="00B02247">
        <w:t>services).</w:t>
      </w:r>
      <w:r w:rsidR="005B2A41">
        <w:t xml:space="preserve"> </w:t>
      </w:r>
    </w:p>
    <w:p w:rsidR="00F233AB" w:rsidRPr="00B02247" w:rsidRDefault="00F233AB" w:rsidP="00E1307D">
      <w:pPr>
        <w:pStyle w:val="SingleTxtG"/>
      </w:pPr>
      <w:r w:rsidRPr="00B02247">
        <w:t>118.</w:t>
      </w:r>
      <w:r w:rsidRPr="00B02247">
        <w:tab/>
        <w:t>At</w:t>
      </w:r>
      <w:r w:rsidR="005B2A41">
        <w:t xml:space="preserve"> </w:t>
      </w:r>
      <w:r w:rsidRPr="00B02247">
        <w:t>the</w:t>
      </w:r>
      <w:r w:rsidR="005B2A41">
        <w:t xml:space="preserve"> </w:t>
      </w:r>
      <w:r w:rsidRPr="00B02247">
        <w:t>same</w:t>
      </w:r>
      <w:r w:rsidR="005B2A41">
        <w:t xml:space="preserve"> </w:t>
      </w:r>
      <w:r w:rsidRPr="00B02247">
        <w:t>time,</w:t>
      </w:r>
      <w:r w:rsidR="005B2A41">
        <w:t xml:space="preserve"> </w:t>
      </w:r>
      <w:r w:rsidRPr="00B02247">
        <w:t>cooperation</w:t>
      </w:r>
      <w:r w:rsidR="005B2A41">
        <w:t xml:space="preserve"> </w:t>
      </w:r>
      <w:r w:rsidRPr="00B02247">
        <w:t>with</w:t>
      </w:r>
      <w:r w:rsidR="005B2A41">
        <w:t xml:space="preserve"> </w:t>
      </w:r>
      <w:r w:rsidRPr="00B02247">
        <w:t>leading</w:t>
      </w:r>
      <w:r w:rsidR="005B2A41">
        <w:t xml:space="preserve"> </w:t>
      </w:r>
      <w:r w:rsidRPr="00B02247">
        <w:t>international</w:t>
      </w:r>
      <w:r w:rsidR="005B2A41">
        <w:t xml:space="preserve"> </w:t>
      </w:r>
      <w:r w:rsidRPr="00B02247">
        <w:t>organizations</w:t>
      </w:r>
      <w:r w:rsidR="005B2A41">
        <w:t xml:space="preserve"> </w:t>
      </w:r>
      <w:r w:rsidRPr="00B02247">
        <w:t>(IOM,</w:t>
      </w:r>
      <w:r w:rsidR="005B2A41">
        <w:t xml:space="preserve"> </w:t>
      </w:r>
      <w:r w:rsidRPr="00B02247">
        <w:t>UNHCR</w:t>
      </w:r>
      <w:r w:rsidR="005B2A41">
        <w:t xml:space="preserve"> </w:t>
      </w:r>
      <w:r w:rsidRPr="00B02247">
        <w:t>and</w:t>
      </w:r>
      <w:r w:rsidR="005B2A41">
        <w:t xml:space="preserve"> </w:t>
      </w:r>
      <w:r w:rsidRPr="00B02247">
        <w:t>UNODC)</w:t>
      </w:r>
      <w:r w:rsidR="005B2A41">
        <w:t xml:space="preserve"> </w:t>
      </w:r>
      <w:r w:rsidRPr="00B02247">
        <w:t>is</w:t>
      </w:r>
      <w:r w:rsidR="005B2A41">
        <w:t xml:space="preserve"> </w:t>
      </w:r>
      <w:r w:rsidRPr="00B02247">
        <w:t>under</w:t>
      </w:r>
      <w:r w:rsidR="005B2A41">
        <w:t xml:space="preserve"> </w:t>
      </w:r>
      <w:r w:rsidRPr="00B02247">
        <w:t>way</w:t>
      </w:r>
      <w:r w:rsidR="005B2A41">
        <w:t xml:space="preserve"> </w:t>
      </w:r>
      <w:r w:rsidRPr="00B02247">
        <w:t>for</w:t>
      </w:r>
      <w:r w:rsidR="005B2A41">
        <w:t xml:space="preserve"> </w:t>
      </w:r>
      <w:r w:rsidRPr="00B02247">
        <w:t>carrying</w:t>
      </w:r>
      <w:r w:rsidR="005B2A41">
        <w:t xml:space="preserve"> </w:t>
      </w:r>
      <w:r w:rsidRPr="00B02247">
        <w:t>out</w:t>
      </w:r>
      <w:r w:rsidR="005B2A41">
        <w:t xml:space="preserve"> </w:t>
      </w:r>
      <w:r w:rsidRPr="00B02247">
        <w:t>a</w:t>
      </w:r>
      <w:r w:rsidR="005B2A41">
        <w:t xml:space="preserve"> </w:t>
      </w:r>
      <w:r w:rsidRPr="00B02247">
        <w:t>number</w:t>
      </w:r>
      <w:r w:rsidR="005B2A41">
        <w:t xml:space="preserve"> </w:t>
      </w:r>
      <w:r w:rsidRPr="00B02247">
        <w:t>of</w:t>
      </w:r>
      <w:r w:rsidR="005B2A41">
        <w:t xml:space="preserve"> </w:t>
      </w:r>
      <w:r w:rsidRPr="00B02247">
        <w:t>specialized</w:t>
      </w:r>
      <w:r w:rsidR="005B2A41">
        <w:t xml:space="preserve"> </w:t>
      </w:r>
      <w:r w:rsidRPr="00B02247">
        <w:t>trainings</w:t>
      </w:r>
      <w:r w:rsidR="005B2A41">
        <w:t xml:space="preserve"> </w:t>
      </w:r>
      <w:r w:rsidRPr="00B02247">
        <w:t>for</w:t>
      </w:r>
      <w:r w:rsidR="005B2A41">
        <w:t xml:space="preserve"> </w:t>
      </w:r>
      <w:r w:rsidRPr="00B02247">
        <w:t>law</w:t>
      </w:r>
      <w:r w:rsidR="005B2A41">
        <w:t xml:space="preserve"> </w:t>
      </w:r>
      <w:r w:rsidRPr="00B02247">
        <w:t>enforcement,</w:t>
      </w:r>
      <w:r w:rsidR="005B2A41">
        <w:t xml:space="preserve"> </w:t>
      </w:r>
      <w:r w:rsidRPr="00B02247">
        <w:t>prosecutors</w:t>
      </w:r>
      <w:r w:rsidR="005B2A41">
        <w:t xml:space="preserve"> </w:t>
      </w:r>
      <w:r w:rsidRPr="00B02247">
        <w:t>and</w:t>
      </w:r>
      <w:r w:rsidR="005B2A41">
        <w:t xml:space="preserve"> </w:t>
      </w:r>
      <w:r w:rsidRPr="00B02247">
        <w:t>front</w:t>
      </w:r>
      <w:r w:rsidR="005B2A41">
        <w:t xml:space="preserve"> </w:t>
      </w:r>
      <w:r w:rsidRPr="00B02247">
        <w:t>line</w:t>
      </w:r>
      <w:r w:rsidR="005B2A41">
        <w:t xml:space="preserve"> </w:t>
      </w:r>
      <w:r w:rsidRPr="00B02247">
        <w:t>professionals.</w:t>
      </w:r>
      <w:r w:rsidR="005B2A41">
        <w:t xml:space="preserve"> </w:t>
      </w:r>
      <w:r w:rsidRPr="00B02247">
        <w:t>Such</w:t>
      </w:r>
      <w:r w:rsidR="005B2A41">
        <w:t xml:space="preserve"> </w:t>
      </w:r>
      <w:r w:rsidRPr="00B02247">
        <w:t>training,</w:t>
      </w:r>
      <w:r w:rsidR="005B2A41">
        <w:t xml:space="preserve"> </w:t>
      </w:r>
      <w:r w:rsidRPr="00B02247">
        <w:t>co-organized</w:t>
      </w:r>
      <w:r w:rsidR="005B2A41">
        <w:t xml:space="preserve"> </w:t>
      </w:r>
      <w:r w:rsidRPr="00B02247">
        <w:t>by</w:t>
      </w:r>
      <w:r w:rsidR="005B2A41">
        <w:t xml:space="preserve"> </w:t>
      </w:r>
      <w:r w:rsidRPr="00B02247">
        <w:t>the</w:t>
      </w:r>
      <w:r w:rsidR="005B2A41">
        <w:t xml:space="preserve"> </w:t>
      </w:r>
      <w:r w:rsidRPr="00B02247">
        <w:t>UNODC</w:t>
      </w:r>
      <w:r w:rsidR="005B2A41">
        <w:t xml:space="preserve"> </w:t>
      </w:r>
      <w:r w:rsidRPr="00B02247">
        <w:t>(United</w:t>
      </w:r>
      <w:r w:rsidR="005B2A41">
        <w:t xml:space="preserve"> </w:t>
      </w:r>
      <w:r w:rsidRPr="00B02247">
        <w:t>Nations</w:t>
      </w:r>
      <w:r w:rsidR="005B2A41">
        <w:t xml:space="preserve"> </w:t>
      </w:r>
      <w:r w:rsidRPr="00B02247">
        <w:t>Office</w:t>
      </w:r>
      <w:r w:rsidR="005B2A41">
        <w:t xml:space="preserve"> </w:t>
      </w:r>
      <w:r w:rsidRPr="00B02247">
        <w:t>for</w:t>
      </w:r>
      <w:r w:rsidR="005B2A41">
        <w:t xml:space="preserve"> </w:t>
      </w:r>
      <w:r w:rsidRPr="00B02247">
        <w:t>Drugs</w:t>
      </w:r>
      <w:r w:rsidR="005B2A41">
        <w:t xml:space="preserve"> </w:t>
      </w:r>
      <w:r w:rsidRPr="00B02247">
        <w:t>and</w:t>
      </w:r>
      <w:r w:rsidR="005B2A41">
        <w:t xml:space="preserve"> </w:t>
      </w:r>
      <w:r w:rsidRPr="00B02247">
        <w:t>Organized</w:t>
      </w:r>
      <w:r w:rsidR="005B2A41">
        <w:t xml:space="preserve"> </w:t>
      </w:r>
      <w:r w:rsidRPr="00B02247">
        <w:t>Crime)</w:t>
      </w:r>
      <w:r w:rsidR="005B2A41">
        <w:t xml:space="preserve"> </w:t>
      </w:r>
      <w:r w:rsidRPr="00B02247">
        <w:t>and</w:t>
      </w:r>
      <w:r w:rsidR="005B2A41">
        <w:t xml:space="preserve"> </w:t>
      </w:r>
      <w:r w:rsidRPr="00B02247">
        <w:t>the</w:t>
      </w:r>
      <w:r w:rsidR="005B2A41">
        <w:t xml:space="preserve"> </w:t>
      </w:r>
      <w:r w:rsidRPr="00B02247">
        <w:t>NRO,</w:t>
      </w:r>
      <w:r w:rsidR="005B2A41">
        <w:t xml:space="preserve"> </w:t>
      </w:r>
      <w:r w:rsidRPr="00B02247">
        <w:t>took</w:t>
      </w:r>
      <w:r w:rsidR="005B2A41">
        <w:t xml:space="preserve"> </w:t>
      </w:r>
      <w:r w:rsidRPr="00B02247">
        <w:t>place</w:t>
      </w:r>
      <w:r w:rsidR="005B2A41">
        <w:t xml:space="preserve"> </w:t>
      </w:r>
      <w:r w:rsidRPr="00B02247">
        <w:t>recently</w:t>
      </w:r>
      <w:r w:rsidR="005B2A41">
        <w:t xml:space="preserve"> </w:t>
      </w:r>
      <w:r w:rsidRPr="00B02247">
        <w:t>(April</w:t>
      </w:r>
      <w:r w:rsidR="005B2A41">
        <w:t xml:space="preserve"> </w:t>
      </w:r>
      <w:r w:rsidRPr="00B02247">
        <w:t>2017),</w:t>
      </w:r>
      <w:r w:rsidR="005B2A41">
        <w:t xml:space="preserve"> </w:t>
      </w:r>
      <w:r w:rsidRPr="00B02247">
        <w:t>in</w:t>
      </w:r>
      <w:r w:rsidR="005B2A41">
        <w:t xml:space="preserve"> </w:t>
      </w:r>
      <w:r w:rsidRPr="00B02247">
        <w:t>Athens</w:t>
      </w:r>
      <w:r w:rsidR="005B2A41">
        <w:t xml:space="preserve"> </w:t>
      </w:r>
      <w:r w:rsidRPr="00B02247">
        <w:t>and</w:t>
      </w:r>
      <w:r w:rsidR="005B2A41">
        <w:t xml:space="preserve"> </w:t>
      </w:r>
      <w:r w:rsidRPr="00B02247">
        <w:t>in</w:t>
      </w:r>
      <w:r w:rsidR="005B2A41">
        <w:t xml:space="preserve"> </w:t>
      </w:r>
      <w:r w:rsidRPr="00B02247">
        <w:t>Thessaloniki,</w:t>
      </w:r>
      <w:r w:rsidR="005B2A41">
        <w:t xml:space="preserve"> </w:t>
      </w:r>
      <w:r w:rsidRPr="00B02247">
        <w:t>with</w:t>
      </w:r>
      <w:r w:rsidR="005B2A41">
        <w:t xml:space="preserve"> </w:t>
      </w:r>
      <w:r w:rsidRPr="00B02247">
        <w:t>the</w:t>
      </w:r>
      <w:r w:rsidR="005B2A41">
        <w:t xml:space="preserve"> </w:t>
      </w:r>
      <w:r w:rsidRPr="00B02247">
        <w:t>participation</w:t>
      </w:r>
      <w:r w:rsidR="005B2A41">
        <w:t xml:space="preserve"> </w:t>
      </w:r>
      <w:r w:rsidRPr="00B02247">
        <w:t>of</w:t>
      </w:r>
      <w:r w:rsidR="005B2A41">
        <w:t xml:space="preserve"> </w:t>
      </w:r>
      <w:r w:rsidRPr="00B02247">
        <w:t>more</w:t>
      </w:r>
      <w:r w:rsidR="005B2A41">
        <w:t xml:space="preserve"> </w:t>
      </w:r>
      <w:r w:rsidRPr="00B02247">
        <w:t>than</w:t>
      </w:r>
      <w:r w:rsidR="005B2A41">
        <w:t xml:space="preserve"> </w:t>
      </w:r>
      <w:r w:rsidRPr="00B02247">
        <w:t>80</w:t>
      </w:r>
      <w:r w:rsidR="005B2A41">
        <w:t xml:space="preserve"> </w:t>
      </w:r>
      <w:r w:rsidRPr="00B02247">
        <w:t>professionals</w:t>
      </w:r>
      <w:r w:rsidR="005B2A41">
        <w:t xml:space="preserve"> </w:t>
      </w:r>
      <w:r w:rsidRPr="00B02247">
        <w:t>and</w:t>
      </w:r>
      <w:r w:rsidR="005B2A41">
        <w:t xml:space="preserve"> </w:t>
      </w:r>
      <w:r w:rsidRPr="00B02247">
        <w:t>NGOs</w:t>
      </w:r>
      <w:r w:rsidR="005B2A41">
        <w:t xml:space="preserve"> </w:t>
      </w:r>
      <w:r w:rsidRPr="00B02247">
        <w:t>field</w:t>
      </w:r>
      <w:r w:rsidR="005B2A41">
        <w:t xml:space="preserve"> </w:t>
      </w:r>
      <w:r w:rsidRPr="00B02247">
        <w:t>workers.</w:t>
      </w:r>
      <w:r w:rsidR="005B2A41">
        <w:t xml:space="preserve"> </w:t>
      </w:r>
      <w:r w:rsidRPr="00B02247">
        <w:t>A</w:t>
      </w:r>
      <w:r w:rsidR="005B2A41">
        <w:t xml:space="preserve"> </w:t>
      </w:r>
      <w:r w:rsidRPr="00B02247">
        <w:t>similar</w:t>
      </w:r>
      <w:r w:rsidR="005B2A41">
        <w:t xml:space="preserve"> </w:t>
      </w:r>
      <w:r w:rsidRPr="00B02247">
        <w:t>training</w:t>
      </w:r>
      <w:r w:rsidR="005B2A41">
        <w:t xml:space="preserve"> </w:t>
      </w:r>
      <w:r w:rsidRPr="00B02247">
        <w:t>took</w:t>
      </w:r>
      <w:r w:rsidR="005B2A41">
        <w:t xml:space="preserve"> </w:t>
      </w:r>
      <w:r w:rsidRPr="00B02247">
        <w:t>place</w:t>
      </w:r>
      <w:r w:rsidR="005B2A41">
        <w:t xml:space="preserve"> </w:t>
      </w:r>
      <w:r w:rsidRPr="00B02247">
        <w:t>in</w:t>
      </w:r>
      <w:r w:rsidR="005B2A41">
        <w:t xml:space="preserve"> </w:t>
      </w:r>
      <w:r w:rsidRPr="00B02247">
        <w:t>May</w:t>
      </w:r>
      <w:r w:rsidR="005B2A41">
        <w:t xml:space="preserve"> </w:t>
      </w:r>
      <w:r w:rsidRPr="00B02247">
        <w:t>2017,</w:t>
      </w:r>
      <w:r w:rsidR="005B2A41">
        <w:t xml:space="preserve"> </w:t>
      </w:r>
      <w:r w:rsidRPr="00B02247">
        <w:t>at</w:t>
      </w:r>
      <w:r w:rsidR="005B2A41">
        <w:t xml:space="preserve"> </w:t>
      </w:r>
      <w:r w:rsidRPr="00B02247">
        <w:t>the</w:t>
      </w:r>
      <w:r w:rsidR="005B2A41">
        <w:t xml:space="preserve"> </w:t>
      </w:r>
      <w:r w:rsidRPr="00B02247">
        <w:t>International</w:t>
      </w:r>
      <w:r w:rsidR="005B2A41">
        <w:t xml:space="preserve"> </w:t>
      </w:r>
      <w:r w:rsidRPr="00B02247">
        <w:t>Airport</w:t>
      </w:r>
      <w:r w:rsidR="005B2A41">
        <w:t xml:space="preserve"> </w:t>
      </w:r>
      <w:r w:rsidRPr="00B02247">
        <w:t>of</w:t>
      </w:r>
      <w:r w:rsidR="005B2A41">
        <w:t xml:space="preserve"> </w:t>
      </w:r>
      <w:r w:rsidRPr="00B02247">
        <w:t>Athens,</w:t>
      </w:r>
      <w:r w:rsidR="005B2A41">
        <w:t xml:space="preserve"> </w:t>
      </w:r>
      <w:r w:rsidRPr="00B02247">
        <w:t>gathering</w:t>
      </w:r>
      <w:r w:rsidR="005B2A41">
        <w:t xml:space="preserve"> </w:t>
      </w:r>
      <w:r w:rsidRPr="00B02247">
        <w:t>the</w:t>
      </w:r>
      <w:r w:rsidR="005B2A41">
        <w:t xml:space="preserve"> </w:t>
      </w:r>
      <w:r w:rsidRPr="00B02247">
        <w:t>various</w:t>
      </w:r>
      <w:r w:rsidR="005B2A41">
        <w:t xml:space="preserve"> </w:t>
      </w:r>
      <w:r w:rsidRPr="00B02247">
        <w:t>stakeholders</w:t>
      </w:r>
      <w:r w:rsidR="005B2A41">
        <w:t xml:space="preserve"> </w:t>
      </w:r>
      <w:r w:rsidRPr="00B02247">
        <w:t>and</w:t>
      </w:r>
      <w:r w:rsidR="005B2A41">
        <w:t xml:space="preserve"> </w:t>
      </w:r>
      <w:r w:rsidRPr="00B02247">
        <w:t>professionals</w:t>
      </w:r>
      <w:r w:rsidR="005B2A41">
        <w:t xml:space="preserve"> </w:t>
      </w:r>
      <w:r w:rsidRPr="00B02247">
        <w:t>of</w:t>
      </w:r>
      <w:r w:rsidR="005B2A41">
        <w:t xml:space="preserve"> </w:t>
      </w:r>
      <w:r w:rsidRPr="00B02247">
        <w:t>the</w:t>
      </w:r>
      <w:r w:rsidR="005B2A41">
        <w:t xml:space="preserve"> </w:t>
      </w:r>
      <w:r w:rsidRPr="00B02247">
        <w:t>Airport</w:t>
      </w:r>
      <w:r w:rsidR="005B2A41">
        <w:t xml:space="preserve"> </w:t>
      </w:r>
      <w:r w:rsidRPr="00B02247">
        <w:t>responsible</w:t>
      </w:r>
      <w:r w:rsidR="005B2A41">
        <w:t xml:space="preserve"> </w:t>
      </w:r>
      <w:r w:rsidRPr="00B02247">
        <w:t>to</w:t>
      </w:r>
      <w:r w:rsidR="005B2A41">
        <w:t xml:space="preserve"> </w:t>
      </w:r>
      <w:r w:rsidRPr="00B02247">
        <w:t>identify</w:t>
      </w:r>
      <w:r w:rsidR="005B2A41">
        <w:t xml:space="preserve"> </w:t>
      </w:r>
      <w:r w:rsidRPr="00B02247">
        <w:t>and</w:t>
      </w:r>
      <w:r w:rsidR="005B2A41">
        <w:t xml:space="preserve"> </w:t>
      </w:r>
      <w:r w:rsidRPr="00B02247">
        <w:t>refer</w:t>
      </w:r>
      <w:r w:rsidR="005B2A41">
        <w:t xml:space="preserve"> </w:t>
      </w:r>
      <w:r w:rsidRPr="00B02247">
        <w:t>potential</w:t>
      </w:r>
      <w:r w:rsidR="005B2A41">
        <w:t xml:space="preserve"> </w:t>
      </w:r>
      <w:r w:rsidRPr="00B02247">
        <w:t>victims</w:t>
      </w:r>
      <w:r w:rsidR="005B2A41">
        <w:t xml:space="preserve"> </w:t>
      </w:r>
      <w:r w:rsidRPr="00B02247">
        <w:t>of</w:t>
      </w:r>
      <w:r w:rsidR="005B2A41">
        <w:t xml:space="preserve"> </w:t>
      </w:r>
      <w:r w:rsidRPr="00B02247">
        <w:t>THB.</w:t>
      </w:r>
      <w:r w:rsidR="005B2A41">
        <w:t xml:space="preserve"> </w:t>
      </w:r>
    </w:p>
    <w:p w:rsidR="00F233AB" w:rsidRPr="00B02247" w:rsidRDefault="00F233AB" w:rsidP="00E1307D">
      <w:pPr>
        <w:pStyle w:val="SingleTxtG"/>
      </w:pPr>
      <w:r w:rsidRPr="00B02247">
        <w:t>119.</w:t>
      </w:r>
      <w:r w:rsidRPr="00B02247">
        <w:tab/>
        <w:t>In</w:t>
      </w:r>
      <w:r w:rsidR="005B2A41">
        <w:t xml:space="preserve"> </w:t>
      </w:r>
      <w:r w:rsidRPr="00B02247">
        <w:t>acknowledging</w:t>
      </w:r>
      <w:r w:rsidR="005B2A41">
        <w:t xml:space="preserve"> </w:t>
      </w:r>
      <w:r w:rsidRPr="00B02247">
        <w:t>THB</w:t>
      </w:r>
      <w:r w:rsidR="005B2A41">
        <w:t xml:space="preserve"> </w:t>
      </w:r>
      <w:r w:rsidRPr="00B02247">
        <w:t>as</w:t>
      </w:r>
      <w:r w:rsidR="005B2A41">
        <w:t xml:space="preserve"> </w:t>
      </w:r>
      <w:r w:rsidRPr="00B02247">
        <w:t>a</w:t>
      </w:r>
      <w:r w:rsidR="005B2A41">
        <w:t xml:space="preserve"> </w:t>
      </w:r>
      <w:r w:rsidRPr="00B02247">
        <w:t>social</w:t>
      </w:r>
      <w:r w:rsidR="005B2A41">
        <w:t xml:space="preserve"> </w:t>
      </w:r>
      <w:r w:rsidRPr="00B02247">
        <w:t>phenomenon</w:t>
      </w:r>
      <w:r w:rsidR="005B2A41">
        <w:t xml:space="preserve"> </w:t>
      </w:r>
      <w:r w:rsidRPr="00B02247">
        <w:t>and</w:t>
      </w:r>
      <w:r w:rsidR="005B2A41">
        <w:t xml:space="preserve"> </w:t>
      </w:r>
      <w:r w:rsidRPr="00B02247">
        <w:t>not</w:t>
      </w:r>
      <w:r w:rsidR="005B2A41">
        <w:t xml:space="preserve"> </w:t>
      </w:r>
      <w:r w:rsidRPr="00B02247">
        <w:t>just</w:t>
      </w:r>
      <w:r w:rsidR="005B2A41">
        <w:t xml:space="preserve"> </w:t>
      </w:r>
      <w:r w:rsidRPr="00B02247">
        <w:t>as</w:t>
      </w:r>
      <w:r w:rsidR="005B2A41">
        <w:t xml:space="preserve"> </w:t>
      </w:r>
      <w:r w:rsidRPr="00B02247">
        <w:t>a</w:t>
      </w:r>
      <w:r w:rsidR="005B2A41">
        <w:t xml:space="preserve"> </w:t>
      </w:r>
      <w:r w:rsidRPr="00B02247">
        <w:t>crime,</w:t>
      </w:r>
      <w:r w:rsidR="005B2A41">
        <w:t xml:space="preserve"> </w:t>
      </w:r>
      <w:r w:rsidRPr="00B02247">
        <w:t>anti-Trafficking</w:t>
      </w:r>
      <w:r w:rsidR="005B2A41">
        <w:t xml:space="preserve"> </w:t>
      </w:r>
      <w:r w:rsidRPr="00B02247">
        <w:t>policy</w:t>
      </w:r>
      <w:r w:rsidR="005B2A41">
        <w:t xml:space="preserve"> </w:t>
      </w:r>
      <w:r w:rsidRPr="00B02247">
        <w:t>in</w:t>
      </w:r>
      <w:r w:rsidR="005B2A41">
        <w:t xml:space="preserve"> </w:t>
      </w:r>
      <w:r w:rsidRPr="00B02247">
        <w:t>Greece</w:t>
      </w:r>
      <w:r w:rsidR="005B2A41">
        <w:t xml:space="preserve"> </w:t>
      </w:r>
      <w:r w:rsidRPr="00B02247">
        <w:t>has</w:t>
      </w:r>
      <w:r w:rsidR="005B2A41">
        <w:t xml:space="preserve"> </w:t>
      </w:r>
      <w:r w:rsidRPr="00B02247">
        <w:t>as</w:t>
      </w:r>
      <w:r w:rsidR="005B2A41">
        <w:t xml:space="preserve"> </w:t>
      </w:r>
      <w:r w:rsidRPr="00B02247">
        <w:t>a</w:t>
      </w:r>
      <w:r w:rsidR="005B2A41">
        <w:t xml:space="preserve"> </w:t>
      </w:r>
      <w:r w:rsidRPr="00B02247">
        <w:t>priority</w:t>
      </w:r>
      <w:r w:rsidR="005B2A41">
        <w:t xml:space="preserve"> </w:t>
      </w:r>
      <w:r w:rsidRPr="00B02247">
        <w:t>to</w:t>
      </w:r>
      <w:r w:rsidR="005B2A41">
        <w:t xml:space="preserve"> </w:t>
      </w:r>
      <w:r w:rsidRPr="00B02247">
        <w:t>combine</w:t>
      </w:r>
      <w:r w:rsidR="005B2A41">
        <w:t xml:space="preserve"> </w:t>
      </w:r>
      <w:r w:rsidRPr="00B02247">
        <w:t>dual</w:t>
      </w:r>
      <w:r w:rsidR="005B2A41">
        <w:t xml:space="preserve"> </w:t>
      </w:r>
      <w:r w:rsidRPr="00B02247">
        <w:t>emphasis</w:t>
      </w:r>
      <w:r w:rsidR="005B2A41">
        <w:t xml:space="preserve"> </w:t>
      </w:r>
      <w:r w:rsidRPr="00B02247">
        <w:t>both</w:t>
      </w:r>
      <w:r w:rsidR="005B2A41">
        <w:t xml:space="preserve"> </w:t>
      </w:r>
      <w:r w:rsidRPr="00B02247">
        <w:t>on</w:t>
      </w:r>
      <w:r w:rsidR="005B2A41">
        <w:t xml:space="preserve"> </w:t>
      </w:r>
      <w:r w:rsidRPr="00B02247">
        <w:t>the</w:t>
      </w:r>
      <w:r w:rsidR="005B2A41">
        <w:t xml:space="preserve"> </w:t>
      </w:r>
      <w:r w:rsidRPr="00B02247">
        <w:t>law</w:t>
      </w:r>
      <w:r w:rsidR="005B2A41">
        <w:t xml:space="preserve"> </w:t>
      </w:r>
      <w:r w:rsidRPr="00B02247">
        <w:t>enforcement</w:t>
      </w:r>
      <w:r w:rsidR="005B2A41">
        <w:t xml:space="preserve"> </w:t>
      </w:r>
      <w:r w:rsidRPr="00B02247">
        <w:t>imperative</w:t>
      </w:r>
      <w:r w:rsidR="005B2A41">
        <w:t xml:space="preserve"> </w:t>
      </w:r>
      <w:r w:rsidRPr="00B02247">
        <w:t>and</w:t>
      </w:r>
      <w:r w:rsidR="005B2A41">
        <w:t xml:space="preserve"> </w:t>
      </w:r>
      <w:r w:rsidRPr="00B02247">
        <w:t>on</w:t>
      </w:r>
      <w:r w:rsidR="005B2A41">
        <w:t xml:space="preserve"> </w:t>
      </w:r>
      <w:r w:rsidRPr="00B02247">
        <w:t>addressing</w:t>
      </w:r>
      <w:r w:rsidR="005B2A41">
        <w:t xml:space="preserve"> </w:t>
      </w:r>
      <w:r w:rsidRPr="00B02247">
        <w:t>the</w:t>
      </w:r>
      <w:r w:rsidR="005B2A41">
        <w:t xml:space="preserve"> </w:t>
      </w:r>
      <w:r w:rsidRPr="00B02247">
        <w:t>root</w:t>
      </w:r>
      <w:r w:rsidR="005B2A41">
        <w:t xml:space="preserve"> </w:t>
      </w:r>
      <w:r w:rsidRPr="00B02247">
        <w:t>cause</w:t>
      </w:r>
      <w:r w:rsidR="005B2A41">
        <w:t xml:space="preserve"> </w:t>
      </w:r>
      <w:r w:rsidRPr="00B02247">
        <w:t>of</w:t>
      </w:r>
      <w:r w:rsidR="005B2A41">
        <w:t xml:space="preserve"> </w:t>
      </w:r>
      <w:r w:rsidRPr="00B02247">
        <w:t>trafficking.</w:t>
      </w:r>
      <w:r w:rsidR="005B2A41">
        <w:t xml:space="preserve"> </w:t>
      </w:r>
      <w:r w:rsidRPr="00B02247">
        <w:t>In</w:t>
      </w:r>
      <w:r w:rsidR="005B2A41">
        <w:t xml:space="preserve"> </w:t>
      </w:r>
      <w:r w:rsidRPr="00B02247">
        <w:t>this</w:t>
      </w:r>
      <w:r w:rsidR="005B2A41">
        <w:t xml:space="preserve"> </w:t>
      </w:r>
      <w:r w:rsidRPr="00B02247">
        <w:t>aspect,</w:t>
      </w:r>
      <w:r w:rsidR="005B2A41">
        <w:t xml:space="preserve"> </w:t>
      </w:r>
      <w:r w:rsidRPr="00B02247">
        <w:t>Greece,</w:t>
      </w:r>
      <w:r w:rsidR="005B2A41">
        <w:t xml:space="preserve"> </w:t>
      </w:r>
      <w:r w:rsidRPr="00B02247">
        <w:t>through</w:t>
      </w:r>
      <w:r w:rsidR="005B2A41">
        <w:t xml:space="preserve"> </w:t>
      </w:r>
      <w:r w:rsidRPr="00B02247">
        <w:t>various</w:t>
      </w:r>
      <w:r w:rsidR="005B2A41">
        <w:t xml:space="preserve"> </w:t>
      </w:r>
      <w:r w:rsidRPr="00B02247">
        <w:t>initiatives</w:t>
      </w:r>
      <w:r w:rsidR="005B2A41">
        <w:t xml:space="preserve"> </w:t>
      </w:r>
      <w:r w:rsidRPr="00B02247">
        <w:t>of</w:t>
      </w:r>
      <w:r w:rsidR="005B2A41">
        <w:t xml:space="preserve"> </w:t>
      </w:r>
      <w:r w:rsidRPr="00B02247">
        <w:t>the</w:t>
      </w:r>
      <w:r w:rsidR="005B2A41">
        <w:t xml:space="preserve"> </w:t>
      </w:r>
      <w:r w:rsidRPr="00B02247">
        <w:t>NRO,</w:t>
      </w:r>
      <w:r w:rsidR="005B2A41">
        <w:t xml:space="preserve"> </w:t>
      </w:r>
      <w:r w:rsidRPr="00B02247">
        <w:t>is</w:t>
      </w:r>
      <w:r w:rsidR="005B2A41">
        <w:t xml:space="preserve"> </w:t>
      </w:r>
      <w:r w:rsidRPr="00B02247">
        <w:t>exploring</w:t>
      </w:r>
      <w:r w:rsidR="005B2A41">
        <w:t xml:space="preserve"> </w:t>
      </w:r>
      <w:r w:rsidRPr="00B02247">
        <w:t>to</w:t>
      </w:r>
      <w:r w:rsidR="005B2A41">
        <w:t xml:space="preserve"> </w:t>
      </w:r>
      <w:r w:rsidRPr="00B02247">
        <w:t>reduce</w:t>
      </w:r>
      <w:r w:rsidR="005B2A41">
        <w:t xml:space="preserve"> </w:t>
      </w:r>
      <w:r w:rsidR="003E731F">
        <w:t>‘</w:t>
      </w:r>
      <w:r w:rsidRPr="00B02247">
        <w:t>public</w:t>
      </w:r>
      <w:r w:rsidR="005B2A41">
        <w:t xml:space="preserve"> </w:t>
      </w:r>
      <w:r w:rsidRPr="00B02247">
        <w:t>Demand</w:t>
      </w:r>
      <w:r w:rsidR="003E731F">
        <w:t>’</w:t>
      </w:r>
      <w:r w:rsidR="005B2A41">
        <w:t xml:space="preserve"> </w:t>
      </w:r>
      <w:r w:rsidRPr="00B02247">
        <w:t>for</w:t>
      </w:r>
      <w:r w:rsidR="005B2A41">
        <w:t xml:space="preserve"> </w:t>
      </w:r>
      <w:r w:rsidRPr="00B02247">
        <w:t>services</w:t>
      </w:r>
      <w:r w:rsidR="005B2A41">
        <w:t xml:space="preserve"> </w:t>
      </w:r>
      <w:r w:rsidRPr="00B02247">
        <w:t>or</w:t>
      </w:r>
      <w:r w:rsidR="005B2A41">
        <w:t xml:space="preserve"> </w:t>
      </w:r>
      <w:r w:rsidRPr="00B02247">
        <w:t>products</w:t>
      </w:r>
      <w:r w:rsidR="005B2A41">
        <w:t xml:space="preserve"> </w:t>
      </w:r>
      <w:r w:rsidRPr="00B02247">
        <w:t>extracted</w:t>
      </w:r>
      <w:r w:rsidR="005B2A41">
        <w:t xml:space="preserve"> </w:t>
      </w:r>
      <w:r w:rsidRPr="00B02247">
        <w:t>from</w:t>
      </w:r>
      <w:r w:rsidR="005B2A41">
        <w:t xml:space="preserve"> </w:t>
      </w:r>
      <w:r w:rsidRPr="00B02247">
        <w:t>THB</w:t>
      </w:r>
      <w:r w:rsidR="005B2A41">
        <w:t xml:space="preserve"> </w:t>
      </w:r>
      <w:r w:rsidRPr="00B02247">
        <w:t>through</w:t>
      </w:r>
      <w:r w:rsidR="005B2A41">
        <w:t xml:space="preserve"> </w:t>
      </w:r>
      <w:r w:rsidRPr="00B02247">
        <w:t>Human</w:t>
      </w:r>
      <w:r w:rsidR="005B2A41">
        <w:t xml:space="preserve"> </w:t>
      </w:r>
      <w:r w:rsidRPr="00B02247">
        <w:t>Rights</w:t>
      </w:r>
      <w:r w:rsidR="003E731F">
        <w:t>’</w:t>
      </w:r>
      <w:r w:rsidR="005B2A41">
        <w:t xml:space="preserve"> </w:t>
      </w:r>
      <w:r w:rsidRPr="00B02247">
        <w:t>Education</w:t>
      </w:r>
      <w:r w:rsidR="005B2A41">
        <w:t xml:space="preserve"> </w:t>
      </w:r>
      <w:r w:rsidRPr="00B02247">
        <w:t>in</w:t>
      </w:r>
      <w:r w:rsidR="005B2A41">
        <w:t xml:space="preserve"> </w:t>
      </w:r>
      <w:r w:rsidRPr="00B02247">
        <w:t>schools;</w:t>
      </w:r>
      <w:r w:rsidR="005B2A41">
        <w:t xml:space="preserve"> </w:t>
      </w:r>
      <w:r w:rsidRPr="00B02247">
        <w:t>partnerships</w:t>
      </w:r>
      <w:r w:rsidR="005B2A41">
        <w:t xml:space="preserve"> </w:t>
      </w:r>
      <w:r w:rsidRPr="00B02247">
        <w:t>with</w:t>
      </w:r>
      <w:r w:rsidR="005B2A41">
        <w:t xml:space="preserve"> </w:t>
      </w:r>
      <w:r w:rsidRPr="00B02247">
        <w:t>the</w:t>
      </w:r>
      <w:r w:rsidR="005B2A41">
        <w:t xml:space="preserve"> </w:t>
      </w:r>
      <w:r w:rsidRPr="00B02247">
        <w:t>private</w:t>
      </w:r>
      <w:r w:rsidR="005B2A41">
        <w:t xml:space="preserve"> </w:t>
      </w:r>
      <w:r w:rsidRPr="00B02247">
        <w:t>sector</w:t>
      </w:r>
      <w:r w:rsidR="005B2A41">
        <w:t xml:space="preserve"> </w:t>
      </w:r>
      <w:r w:rsidRPr="00B02247">
        <w:t>for</w:t>
      </w:r>
      <w:r w:rsidR="005B2A41">
        <w:t xml:space="preserve"> </w:t>
      </w:r>
      <w:r w:rsidRPr="00B02247">
        <w:t>a</w:t>
      </w:r>
      <w:r w:rsidR="005B2A41">
        <w:t xml:space="preserve"> </w:t>
      </w:r>
      <w:r w:rsidRPr="00B02247">
        <w:t>consumer</w:t>
      </w:r>
      <w:r w:rsidR="005B2A41">
        <w:t xml:space="preserve"> </w:t>
      </w:r>
      <w:r w:rsidRPr="00B02247">
        <w:t>ethic</w:t>
      </w:r>
      <w:r w:rsidR="005B2A41">
        <w:t xml:space="preserve"> </w:t>
      </w:r>
      <w:r w:rsidRPr="00B02247">
        <w:t>of</w:t>
      </w:r>
      <w:r w:rsidR="005B2A41">
        <w:t xml:space="preserve"> </w:t>
      </w:r>
      <w:r w:rsidRPr="00B02247">
        <w:t>zero</w:t>
      </w:r>
      <w:r w:rsidR="005B2A41">
        <w:t xml:space="preserve"> </w:t>
      </w:r>
      <w:r w:rsidRPr="00B02247">
        <w:t>tolerance;</w:t>
      </w:r>
      <w:r w:rsidR="005B2A41">
        <w:t xml:space="preserve"> </w:t>
      </w:r>
      <w:r w:rsidRPr="00B02247">
        <w:t>and</w:t>
      </w:r>
      <w:r w:rsidR="005B2A41">
        <w:t xml:space="preserve"> </w:t>
      </w:r>
      <w:r w:rsidRPr="00B02247">
        <w:t>synergies</w:t>
      </w:r>
      <w:r w:rsidR="005B2A41">
        <w:t xml:space="preserve"> </w:t>
      </w:r>
      <w:r w:rsidRPr="00B02247">
        <w:t>with</w:t>
      </w:r>
      <w:r w:rsidR="005B2A41">
        <w:t xml:space="preserve"> </w:t>
      </w:r>
      <w:r w:rsidRPr="00B02247">
        <w:t>the</w:t>
      </w:r>
      <w:r w:rsidR="005B2A41">
        <w:t xml:space="preserve"> </w:t>
      </w:r>
      <w:r w:rsidRPr="00B02247">
        <w:t>cultural</w:t>
      </w:r>
      <w:r w:rsidR="005B2A41">
        <w:t xml:space="preserve"> </w:t>
      </w:r>
      <w:r w:rsidRPr="00B02247">
        <w:t>sector</w:t>
      </w:r>
      <w:r w:rsidR="005B2A41">
        <w:t xml:space="preserve"> </w:t>
      </w:r>
      <w:r w:rsidRPr="00B02247">
        <w:t>in</w:t>
      </w:r>
      <w:r w:rsidR="005B2A41">
        <w:t xml:space="preserve"> </w:t>
      </w:r>
      <w:r w:rsidRPr="00B02247">
        <w:t>a</w:t>
      </w:r>
      <w:r w:rsidR="005B2A41">
        <w:t xml:space="preserve"> </w:t>
      </w:r>
      <w:r w:rsidRPr="00B02247">
        <w:t>large</w:t>
      </w:r>
      <w:r w:rsidR="005B2A41">
        <w:t xml:space="preserve"> </w:t>
      </w:r>
      <w:r w:rsidRPr="00B02247">
        <w:t>scale</w:t>
      </w:r>
      <w:r w:rsidR="005B2A41">
        <w:t xml:space="preserve"> </w:t>
      </w:r>
      <w:r w:rsidRPr="00B02247">
        <w:t>awareness-raising</w:t>
      </w:r>
      <w:r w:rsidR="005B2A41">
        <w:t xml:space="preserve"> </w:t>
      </w:r>
      <w:r w:rsidRPr="00B02247">
        <w:t>campaign</w:t>
      </w:r>
      <w:r w:rsidR="005B2A41">
        <w:t xml:space="preserve"> </w:t>
      </w:r>
      <w:r w:rsidRPr="00B02247">
        <w:t>that</w:t>
      </w:r>
      <w:r w:rsidR="005B2A41">
        <w:t xml:space="preserve"> </w:t>
      </w:r>
      <w:r w:rsidRPr="00B02247">
        <w:t>focuses</w:t>
      </w:r>
      <w:r w:rsidR="005B2A41">
        <w:t xml:space="preserve"> </w:t>
      </w:r>
      <w:r w:rsidRPr="00B02247">
        <w:t>on</w:t>
      </w:r>
      <w:r w:rsidR="005B2A41">
        <w:t xml:space="preserve"> </w:t>
      </w:r>
      <w:r w:rsidRPr="00B02247">
        <w:t>the</w:t>
      </w:r>
      <w:r w:rsidR="005B2A41">
        <w:t xml:space="preserve"> </w:t>
      </w:r>
      <w:r w:rsidRPr="00B02247">
        <w:t>role</w:t>
      </w:r>
      <w:r w:rsidR="005B2A41">
        <w:t xml:space="preserve"> </w:t>
      </w:r>
      <w:r w:rsidRPr="00B02247">
        <w:t>of</w:t>
      </w:r>
      <w:r w:rsidR="005B2A41">
        <w:t xml:space="preserve"> </w:t>
      </w:r>
      <w:r w:rsidRPr="00B02247">
        <w:t>the</w:t>
      </w:r>
      <w:r w:rsidR="005B2A41">
        <w:t xml:space="preserve"> </w:t>
      </w:r>
      <w:r w:rsidRPr="00B02247">
        <w:t>client</w:t>
      </w:r>
      <w:r w:rsidR="005B2A41">
        <w:t xml:space="preserve"> </w:t>
      </w:r>
      <w:r w:rsidRPr="00B02247">
        <w:t>and</w:t>
      </w:r>
      <w:r w:rsidR="005B2A41">
        <w:t xml:space="preserve"> </w:t>
      </w:r>
      <w:r w:rsidRPr="00B02247">
        <w:t>the</w:t>
      </w:r>
      <w:r w:rsidR="005B2A41">
        <w:t xml:space="preserve"> </w:t>
      </w:r>
      <w:r w:rsidRPr="00B02247">
        <w:t>commodification</w:t>
      </w:r>
      <w:r w:rsidR="005B2A41">
        <w:t xml:space="preserve"> </w:t>
      </w:r>
      <w:r w:rsidRPr="00B02247">
        <w:t>of</w:t>
      </w:r>
      <w:r w:rsidR="005B2A41">
        <w:t xml:space="preserve"> </w:t>
      </w:r>
      <w:r w:rsidRPr="00B02247">
        <w:t>female</w:t>
      </w:r>
      <w:r w:rsidR="005B2A41">
        <w:t xml:space="preserve"> </w:t>
      </w:r>
      <w:r w:rsidRPr="00B02247">
        <w:t>dignity.</w:t>
      </w:r>
      <w:r w:rsidR="005B2A41">
        <w:t xml:space="preserve"> </w:t>
      </w:r>
    </w:p>
    <w:p w:rsidR="00F233AB" w:rsidRPr="00B02247" w:rsidRDefault="00F233AB" w:rsidP="00E1307D">
      <w:pPr>
        <w:pStyle w:val="SingleTxtG"/>
      </w:pPr>
      <w:r w:rsidRPr="00B02247">
        <w:t>120.</w:t>
      </w:r>
      <w:r w:rsidRPr="00B02247">
        <w:tab/>
        <w:t>The</w:t>
      </w:r>
      <w:r w:rsidR="005B2A41">
        <w:t xml:space="preserve"> </w:t>
      </w:r>
      <w:r w:rsidRPr="00B02247">
        <w:t>public</w:t>
      </w:r>
      <w:r w:rsidR="005B2A41">
        <w:t xml:space="preserve"> </w:t>
      </w:r>
      <w:r w:rsidRPr="00B02247">
        <w:t>awareness</w:t>
      </w:r>
      <w:r w:rsidR="005B2A41">
        <w:t xml:space="preserve"> </w:t>
      </w:r>
      <w:r w:rsidRPr="00B02247">
        <w:t>Campaign</w:t>
      </w:r>
      <w:r w:rsidR="005B2A41">
        <w:t xml:space="preserve"> </w:t>
      </w:r>
      <w:r w:rsidR="003E731F">
        <w:t>“</w:t>
      </w:r>
      <w:r w:rsidRPr="00B02247">
        <w:t>BREAK</w:t>
      </w:r>
      <w:r w:rsidR="005B2A41">
        <w:t xml:space="preserve"> </w:t>
      </w:r>
      <w:r w:rsidRPr="00B02247">
        <w:t>THE</w:t>
      </w:r>
      <w:r w:rsidR="005B2A41">
        <w:t xml:space="preserve"> </w:t>
      </w:r>
      <w:r w:rsidRPr="00B02247">
        <w:t>CHAIN-BtC</w:t>
      </w:r>
      <w:r w:rsidR="003E731F">
        <w:t>”</w:t>
      </w:r>
      <w:r w:rsidRPr="00B02247">
        <w:t>:</w:t>
      </w:r>
      <w:r w:rsidR="005B2A41">
        <w:t xml:space="preserve"> </w:t>
      </w:r>
      <w:r w:rsidR="003E731F">
        <w:t>“</w:t>
      </w:r>
      <w:r w:rsidRPr="00B02247">
        <w:t>BtC</w:t>
      </w:r>
      <w:r w:rsidR="003E731F">
        <w:t>”</w:t>
      </w:r>
      <w:r w:rsidR="005B2A41">
        <w:t xml:space="preserve"> </w:t>
      </w:r>
      <w:r w:rsidRPr="00B02247">
        <w:t>is</w:t>
      </w:r>
      <w:r w:rsidR="005B2A41">
        <w:t xml:space="preserve"> </w:t>
      </w:r>
      <w:r w:rsidRPr="00B02247">
        <w:t>an</w:t>
      </w:r>
      <w:r w:rsidR="005B2A41">
        <w:t xml:space="preserve"> </w:t>
      </w:r>
      <w:r w:rsidRPr="00B02247">
        <w:t>on-going</w:t>
      </w:r>
      <w:r w:rsidR="005B2A41">
        <w:t xml:space="preserve"> </w:t>
      </w:r>
      <w:r w:rsidRPr="00B02247">
        <w:t>awareness</w:t>
      </w:r>
      <w:r w:rsidR="005B2A41">
        <w:t xml:space="preserve"> </w:t>
      </w:r>
      <w:r w:rsidRPr="00B02247">
        <w:t>raising</w:t>
      </w:r>
      <w:r w:rsidR="005B2A41">
        <w:t xml:space="preserve"> </w:t>
      </w:r>
      <w:r w:rsidRPr="00B02247">
        <w:t>platform</w:t>
      </w:r>
      <w:r w:rsidR="005B2A41">
        <w:t xml:space="preserve"> </w:t>
      </w:r>
      <w:r w:rsidRPr="00B02247">
        <w:t>that</w:t>
      </w:r>
      <w:r w:rsidR="005B2A41">
        <w:t xml:space="preserve"> </w:t>
      </w:r>
      <w:r w:rsidRPr="00B02247">
        <w:t>brings</w:t>
      </w:r>
      <w:r w:rsidR="005B2A41">
        <w:t xml:space="preserve"> </w:t>
      </w:r>
      <w:r w:rsidRPr="00B02247">
        <w:t>in</w:t>
      </w:r>
      <w:r w:rsidR="005B2A41">
        <w:t xml:space="preserve"> </w:t>
      </w:r>
      <w:r w:rsidRPr="00B02247">
        <w:t>the</w:t>
      </w:r>
      <w:r w:rsidR="005B2A41">
        <w:t xml:space="preserve"> </w:t>
      </w:r>
      <w:r w:rsidRPr="00B02247">
        <w:t>private</w:t>
      </w:r>
      <w:r w:rsidR="005B2A41">
        <w:t xml:space="preserve"> </w:t>
      </w:r>
      <w:r w:rsidRPr="00B02247">
        <w:t>and</w:t>
      </w:r>
      <w:r w:rsidR="005B2A41">
        <w:t xml:space="preserve"> </w:t>
      </w:r>
      <w:r w:rsidRPr="00B02247">
        <w:t>the</w:t>
      </w:r>
      <w:r w:rsidR="005B2A41">
        <w:t xml:space="preserve"> </w:t>
      </w:r>
      <w:r w:rsidRPr="00B02247">
        <w:t>cultural</w:t>
      </w:r>
      <w:r w:rsidR="005B2A41">
        <w:t xml:space="preserve"> </w:t>
      </w:r>
      <w:r w:rsidRPr="00B02247">
        <w:t>sector</w:t>
      </w:r>
      <w:r w:rsidR="005B2A41">
        <w:t xml:space="preserve"> </w:t>
      </w:r>
      <w:r w:rsidRPr="00B02247">
        <w:t>into</w:t>
      </w:r>
      <w:r w:rsidR="005B2A41">
        <w:t xml:space="preserve"> </w:t>
      </w:r>
      <w:r w:rsidRPr="00B02247">
        <w:t>a</w:t>
      </w:r>
      <w:r w:rsidR="005B2A41">
        <w:t xml:space="preserve"> </w:t>
      </w:r>
      <w:r w:rsidRPr="00B02247">
        <w:t>strategic</w:t>
      </w:r>
      <w:r w:rsidR="005B2A41">
        <w:t xml:space="preserve"> </w:t>
      </w:r>
      <w:r w:rsidRPr="00B02247">
        <w:t>partnership</w:t>
      </w:r>
      <w:r w:rsidR="005B2A41">
        <w:t xml:space="preserve"> </w:t>
      </w:r>
      <w:r w:rsidRPr="00B02247">
        <w:t>with</w:t>
      </w:r>
      <w:r w:rsidR="005B2A41">
        <w:t xml:space="preserve"> </w:t>
      </w:r>
      <w:r w:rsidRPr="00B02247">
        <w:t>the</w:t>
      </w:r>
      <w:r w:rsidR="005B2A41">
        <w:t xml:space="preserve"> </w:t>
      </w:r>
      <w:r w:rsidRPr="00B02247">
        <w:t>anti-trafficking</w:t>
      </w:r>
      <w:r w:rsidR="005B2A41">
        <w:t xml:space="preserve"> </w:t>
      </w:r>
      <w:r w:rsidRPr="00B02247">
        <w:t>community</w:t>
      </w:r>
      <w:r w:rsidR="005B2A41">
        <w:t xml:space="preserve"> </w:t>
      </w:r>
      <w:r w:rsidRPr="00B02247">
        <w:t>in</w:t>
      </w:r>
      <w:r w:rsidR="005B2A41">
        <w:t xml:space="preserve"> </w:t>
      </w:r>
      <w:r w:rsidRPr="00B02247">
        <w:t>Greece.</w:t>
      </w:r>
      <w:r w:rsidR="005B2A41">
        <w:t xml:space="preserve"> </w:t>
      </w:r>
      <w:r w:rsidRPr="00B02247">
        <w:t>Part</w:t>
      </w:r>
      <w:r w:rsidR="005B2A41">
        <w:t xml:space="preserve"> </w:t>
      </w:r>
      <w:r w:rsidRPr="00B02247">
        <w:t>of</w:t>
      </w:r>
      <w:r w:rsidR="005B2A41">
        <w:t xml:space="preserve"> </w:t>
      </w:r>
      <w:r w:rsidRPr="00B02247">
        <w:t>the</w:t>
      </w:r>
      <w:r w:rsidR="005B2A41">
        <w:t xml:space="preserve"> </w:t>
      </w:r>
      <w:r w:rsidRPr="00B02247">
        <w:t>Campaign</w:t>
      </w:r>
      <w:r w:rsidR="005B2A41">
        <w:t xml:space="preserve"> </w:t>
      </w:r>
      <w:r w:rsidRPr="00B02247">
        <w:t>is</w:t>
      </w:r>
      <w:r w:rsidR="005B2A41">
        <w:t xml:space="preserve"> </w:t>
      </w:r>
      <w:r w:rsidRPr="00B02247">
        <w:t>the</w:t>
      </w:r>
      <w:r w:rsidR="005B2A41">
        <w:t xml:space="preserve"> </w:t>
      </w:r>
      <w:r w:rsidR="003E731F">
        <w:t>“</w:t>
      </w:r>
      <w:r w:rsidRPr="00B02247">
        <w:t>Break</w:t>
      </w:r>
      <w:r w:rsidR="005B2A41">
        <w:t xml:space="preserve"> </w:t>
      </w:r>
      <w:r w:rsidRPr="00B02247">
        <w:t>the</w:t>
      </w:r>
      <w:r w:rsidR="005B2A41">
        <w:t xml:space="preserve"> </w:t>
      </w:r>
      <w:r w:rsidRPr="00B02247">
        <w:t>Chain</w:t>
      </w:r>
      <w:r w:rsidR="005B2A41">
        <w:t xml:space="preserve"> </w:t>
      </w:r>
      <w:r w:rsidRPr="00B02247">
        <w:t>Festival</w:t>
      </w:r>
      <w:r w:rsidR="003E731F">
        <w:t>”</w:t>
      </w:r>
      <w:r w:rsidRPr="00B02247">
        <w:t>,</w:t>
      </w:r>
      <w:r w:rsidR="005B2A41">
        <w:t xml:space="preserve"> </w:t>
      </w:r>
      <w:r w:rsidRPr="00B02247">
        <w:t>an</w:t>
      </w:r>
      <w:r w:rsidR="005B2A41">
        <w:t xml:space="preserve"> </w:t>
      </w:r>
      <w:r w:rsidRPr="00B02247">
        <w:t>international</w:t>
      </w:r>
      <w:r w:rsidR="005B2A41">
        <w:t xml:space="preserve"> </w:t>
      </w:r>
      <w:r w:rsidRPr="00B02247">
        <w:t>two-day</w:t>
      </w:r>
      <w:r w:rsidR="005B2A41">
        <w:t xml:space="preserve"> </w:t>
      </w:r>
      <w:r w:rsidRPr="00B02247">
        <w:t>multidisciplinary</w:t>
      </w:r>
      <w:r w:rsidR="005B2A41">
        <w:t xml:space="preserve"> </w:t>
      </w:r>
      <w:r w:rsidRPr="00B02247">
        <w:t>festival</w:t>
      </w:r>
      <w:r w:rsidR="005B2A41">
        <w:t xml:space="preserve"> </w:t>
      </w:r>
      <w:r w:rsidRPr="00B02247">
        <w:t>against</w:t>
      </w:r>
      <w:r w:rsidR="005B2A41">
        <w:t xml:space="preserve"> </w:t>
      </w:r>
      <w:r w:rsidRPr="00B02247">
        <w:t>Human</w:t>
      </w:r>
      <w:r w:rsidR="005B2A41">
        <w:t xml:space="preserve"> </w:t>
      </w:r>
      <w:r w:rsidRPr="00B02247">
        <w:t>Trafficking,</w:t>
      </w:r>
      <w:r w:rsidR="005B2A41">
        <w:t xml:space="preserve"> </w:t>
      </w:r>
      <w:r w:rsidRPr="00B02247">
        <w:t>aimed</w:t>
      </w:r>
      <w:r w:rsidR="005B2A41">
        <w:t xml:space="preserve"> </w:t>
      </w:r>
      <w:r w:rsidRPr="00B02247">
        <w:t>at</w:t>
      </w:r>
      <w:r w:rsidR="005B2A41">
        <w:t xml:space="preserve"> </w:t>
      </w:r>
      <w:r w:rsidRPr="00B02247">
        <w:t>addressing</w:t>
      </w:r>
      <w:r w:rsidR="005B2A41">
        <w:t xml:space="preserve"> </w:t>
      </w:r>
      <w:r w:rsidRPr="00B02247">
        <w:t>the</w:t>
      </w:r>
      <w:r w:rsidR="005B2A41">
        <w:t xml:space="preserve"> </w:t>
      </w:r>
      <w:r w:rsidRPr="00B02247">
        <w:t>general</w:t>
      </w:r>
      <w:r w:rsidR="005B2A41">
        <w:t xml:space="preserve"> </w:t>
      </w:r>
      <w:r w:rsidRPr="00B02247">
        <w:t>public</w:t>
      </w:r>
      <w:r w:rsidR="005B2A41">
        <w:t xml:space="preserve"> </w:t>
      </w:r>
      <w:r w:rsidRPr="00B02247">
        <w:t>that</w:t>
      </w:r>
      <w:r w:rsidR="005B2A41">
        <w:t xml:space="preserve"> </w:t>
      </w:r>
      <w:r w:rsidRPr="00B02247">
        <w:t>is</w:t>
      </w:r>
      <w:r w:rsidR="005B2A41">
        <w:t xml:space="preserve"> </w:t>
      </w:r>
      <w:r w:rsidRPr="00B02247">
        <w:t>not</w:t>
      </w:r>
      <w:r w:rsidR="005B2A41">
        <w:t xml:space="preserve"> </w:t>
      </w:r>
      <w:r w:rsidRPr="00B02247">
        <w:t>familiar</w:t>
      </w:r>
      <w:r w:rsidR="005B2A41">
        <w:t xml:space="preserve"> </w:t>
      </w:r>
      <w:r w:rsidRPr="00B02247">
        <w:t>with</w:t>
      </w:r>
      <w:r w:rsidR="005B2A41">
        <w:t xml:space="preserve"> </w:t>
      </w:r>
      <w:r w:rsidRPr="00B02247">
        <w:t>the</w:t>
      </w:r>
      <w:r w:rsidR="005B2A41">
        <w:t xml:space="preserve"> </w:t>
      </w:r>
      <w:r w:rsidRPr="00B02247">
        <w:t>realities</w:t>
      </w:r>
      <w:r w:rsidR="005B2A41">
        <w:t xml:space="preserve"> </w:t>
      </w:r>
      <w:r w:rsidRPr="00B02247">
        <w:t>of</w:t>
      </w:r>
      <w:r w:rsidR="005B2A41">
        <w:t xml:space="preserve"> </w:t>
      </w:r>
      <w:r w:rsidRPr="00B02247">
        <w:t>human</w:t>
      </w:r>
      <w:r w:rsidR="005B2A41">
        <w:t xml:space="preserve"> </w:t>
      </w:r>
      <w:r w:rsidRPr="00B02247">
        <w:t>trafficking,</w:t>
      </w:r>
      <w:r w:rsidR="005B2A41">
        <w:t xml:space="preserve"> </w:t>
      </w:r>
      <w:r w:rsidRPr="00B02247">
        <w:t>through</w:t>
      </w:r>
      <w:r w:rsidR="005B2A41">
        <w:t xml:space="preserve"> </w:t>
      </w:r>
      <w:r w:rsidRPr="00B02247">
        <w:t>a</w:t>
      </w:r>
      <w:r w:rsidR="005B2A41">
        <w:t xml:space="preserve"> </w:t>
      </w:r>
      <w:r w:rsidRPr="00B02247">
        <w:t>trans-media</w:t>
      </w:r>
      <w:r w:rsidR="005B2A41">
        <w:t xml:space="preserve"> </w:t>
      </w:r>
      <w:r w:rsidRPr="00B02247">
        <w:t>concept</w:t>
      </w:r>
      <w:r w:rsidR="005B2A41">
        <w:t xml:space="preserve"> </w:t>
      </w:r>
      <w:r w:rsidRPr="00B02247">
        <w:t>of</w:t>
      </w:r>
      <w:r w:rsidR="005B2A41">
        <w:t xml:space="preserve"> </w:t>
      </w:r>
      <w:r w:rsidRPr="00B02247">
        <w:t>events</w:t>
      </w:r>
      <w:r w:rsidR="005B2A41">
        <w:t xml:space="preserve"> </w:t>
      </w:r>
      <w:r w:rsidRPr="00B02247">
        <w:t>that</w:t>
      </w:r>
      <w:r w:rsidR="005B2A41">
        <w:t xml:space="preserve"> </w:t>
      </w:r>
      <w:r w:rsidRPr="00B02247">
        <w:t>combine</w:t>
      </w:r>
      <w:r w:rsidR="005B2A41">
        <w:t xml:space="preserve"> </w:t>
      </w:r>
      <w:r w:rsidRPr="00B02247">
        <w:t>culture</w:t>
      </w:r>
      <w:r w:rsidR="005B2A41">
        <w:t xml:space="preserve"> </w:t>
      </w:r>
      <w:r w:rsidRPr="00B02247">
        <w:t>and</w:t>
      </w:r>
      <w:r w:rsidR="005B2A41">
        <w:t xml:space="preserve"> </w:t>
      </w:r>
      <w:r w:rsidRPr="00B02247">
        <w:t>art</w:t>
      </w:r>
      <w:r w:rsidR="005B2A41">
        <w:t xml:space="preserve"> </w:t>
      </w:r>
      <w:r w:rsidRPr="00B02247">
        <w:t>with</w:t>
      </w:r>
      <w:r w:rsidR="005B2A41">
        <w:t xml:space="preserve"> </w:t>
      </w:r>
      <w:r w:rsidRPr="00B02247">
        <w:t>awareness</w:t>
      </w:r>
      <w:r w:rsidR="005B2A41">
        <w:t xml:space="preserve"> </w:t>
      </w:r>
      <w:r w:rsidRPr="00B02247">
        <w:t>raising</w:t>
      </w:r>
      <w:r w:rsidR="005B2A41">
        <w:t xml:space="preserve"> </w:t>
      </w:r>
      <w:r w:rsidRPr="00B02247">
        <w:t>and</w:t>
      </w:r>
      <w:r w:rsidR="005B2A41">
        <w:t xml:space="preserve"> </w:t>
      </w:r>
      <w:r w:rsidRPr="00B02247">
        <w:t>social</w:t>
      </w:r>
      <w:r w:rsidR="005B2A41">
        <w:t xml:space="preserve"> </w:t>
      </w:r>
      <w:r w:rsidRPr="00B02247">
        <w:t>activism.</w:t>
      </w:r>
      <w:r w:rsidR="005B2A41">
        <w:t xml:space="preserve"> </w:t>
      </w:r>
      <w:r w:rsidRPr="00B02247">
        <w:t>The</w:t>
      </w:r>
      <w:r w:rsidR="005B2A41">
        <w:t xml:space="preserve"> </w:t>
      </w:r>
      <w:r w:rsidRPr="00B02247">
        <w:t>Second</w:t>
      </w:r>
      <w:r w:rsidR="005B2A41">
        <w:t xml:space="preserve"> </w:t>
      </w:r>
      <w:r w:rsidRPr="00B02247">
        <w:t>Break</w:t>
      </w:r>
      <w:r w:rsidR="005B2A41">
        <w:t xml:space="preserve"> </w:t>
      </w:r>
      <w:r w:rsidRPr="00B02247">
        <w:t>the</w:t>
      </w:r>
      <w:r w:rsidR="005B2A41">
        <w:t xml:space="preserve"> </w:t>
      </w:r>
      <w:r w:rsidRPr="00B02247">
        <w:t>Chain</w:t>
      </w:r>
      <w:r w:rsidR="005B2A41">
        <w:t xml:space="preserve"> </w:t>
      </w:r>
      <w:r w:rsidRPr="00B02247">
        <w:t>Festival</w:t>
      </w:r>
      <w:r w:rsidR="005B2A41">
        <w:t xml:space="preserve"> </w:t>
      </w:r>
      <w:r w:rsidRPr="00B02247">
        <w:t>(BtC</w:t>
      </w:r>
      <w:r w:rsidR="005B2A41">
        <w:t xml:space="preserve"> </w:t>
      </w:r>
      <w:r w:rsidRPr="00B02247">
        <w:t>#2)</w:t>
      </w:r>
      <w:r w:rsidR="005B2A41">
        <w:t xml:space="preserve"> </w:t>
      </w:r>
      <w:r w:rsidRPr="00B02247">
        <w:t>took</w:t>
      </w:r>
      <w:r w:rsidR="005B2A41">
        <w:t xml:space="preserve"> </w:t>
      </w:r>
      <w:r w:rsidRPr="00B02247">
        <w:t>place</w:t>
      </w:r>
      <w:r w:rsidR="005B2A41">
        <w:t xml:space="preserve"> </w:t>
      </w:r>
      <w:r w:rsidRPr="00B02247">
        <w:t>on</w:t>
      </w:r>
      <w:r w:rsidR="005B2A41">
        <w:t xml:space="preserve"> </w:t>
      </w:r>
      <w:r w:rsidRPr="00B02247">
        <w:t>the</w:t>
      </w:r>
      <w:r w:rsidR="005B2A41">
        <w:t xml:space="preserve"> </w:t>
      </w:r>
      <w:r w:rsidRPr="00B02247">
        <w:t>occasion</w:t>
      </w:r>
      <w:r w:rsidR="005B2A41">
        <w:t xml:space="preserve"> </w:t>
      </w:r>
      <w:r w:rsidRPr="00B02247">
        <w:t>of</w:t>
      </w:r>
      <w:r w:rsidR="005B2A41">
        <w:t xml:space="preserve"> </w:t>
      </w:r>
      <w:r w:rsidRPr="00B02247">
        <w:t>the</w:t>
      </w:r>
      <w:r w:rsidR="005B2A41">
        <w:t xml:space="preserve"> </w:t>
      </w:r>
      <w:r w:rsidRPr="00B02247">
        <w:t>10th</w:t>
      </w:r>
      <w:r w:rsidR="005B2A41">
        <w:t xml:space="preserve"> </w:t>
      </w:r>
      <w:r w:rsidRPr="00B02247">
        <w:t>EU</w:t>
      </w:r>
      <w:r w:rsidR="005B2A41">
        <w:t xml:space="preserve"> </w:t>
      </w:r>
      <w:r w:rsidRPr="00B02247">
        <w:t>Anti-Trafficking</w:t>
      </w:r>
      <w:r w:rsidR="005B2A41">
        <w:t xml:space="preserve"> </w:t>
      </w:r>
      <w:r w:rsidRPr="00B02247">
        <w:t>Day,</w:t>
      </w:r>
      <w:r w:rsidR="005B2A41">
        <w:t xml:space="preserve"> </w:t>
      </w:r>
      <w:r w:rsidRPr="00B02247">
        <w:t>in</w:t>
      </w:r>
      <w:r w:rsidR="005B2A41">
        <w:t xml:space="preserve"> </w:t>
      </w:r>
      <w:r w:rsidRPr="00B02247">
        <w:t>a</w:t>
      </w:r>
      <w:r w:rsidR="005B2A41">
        <w:t xml:space="preserve"> </w:t>
      </w:r>
      <w:r w:rsidRPr="00B02247">
        <w:t>popular</w:t>
      </w:r>
      <w:r w:rsidR="005B2A41">
        <w:t xml:space="preserve"> </w:t>
      </w:r>
      <w:r w:rsidRPr="00B02247">
        <w:t>Athens</w:t>
      </w:r>
      <w:r w:rsidR="005B2A41">
        <w:t xml:space="preserve"> </w:t>
      </w:r>
      <w:r w:rsidRPr="00B02247">
        <w:t>venue</w:t>
      </w:r>
      <w:r w:rsidR="005B2A41">
        <w:t xml:space="preserve"> </w:t>
      </w:r>
      <w:r w:rsidRPr="00B02247">
        <w:t>(Technopolis,</w:t>
      </w:r>
      <w:r w:rsidR="005B2A41">
        <w:t xml:space="preserve"> </w:t>
      </w:r>
      <w:r w:rsidRPr="00B02247">
        <w:t>22</w:t>
      </w:r>
      <w:r w:rsidR="00915034">
        <w:t>–</w:t>
      </w:r>
      <w:r w:rsidRPr="00B02247">
        <w:t>23.10.2016)</w:t>
      </w:r>
      <w:r w:rsidR="005B2A41">
        <w:t xml:space="preserve"> </w:t>
      </w:r>
      <w:r w:rsidRPr="00B02247">
        <w:t>and</w:t>
      </w:r>
      <w:r w:rsidR="005B2A41">
        <w:t xml:space="preserve"> </w:t>
      </w:r>
      <w:r w:rsidRPr="00B02247">
        <w:t>involved</w:t>
      </w:r>
      <w:r w:rsidR="005B2A41">
        <w:t xml:space="preserve"> </w:t>
      </w:r>
      <w:r w:rsidRPr="00B02247">
        <w:t>the</w:t>
      </w:r>
      <w:r w:rsidR="005B2A41">
        <w:t xml:space="preserve"> </w:t>
      </w:r>
      <w:r w:rsidRPr="00B02247">
        <w:t>participation</w:t>
      </w:r>
      <w:r w:rsidR="005B2A41">
        <w:t xml:space="preserve"> </w:t>
      </w:r>
      <w:r w:rsidRPr="00B02247">
        <w:t>of</w:t>
      </w:r>
      <w:r w:rsidR="005B2A41">
        <w:t xml:space="preserve"> </w:t>
      </w:r>
      <w:r w:rsidRPr="00B02247">
        <w:t>40</w:t>
      </w:r>
      <w:r w:rsidR="005B2A41">
        <w:t xml:space="preserve"> </w:t>
      </w:r>
      <w:r w:rsidRPr="00B02247">
        <w:t>stakeholders</w:t>
      </w:r>
      <w:r w:rsidR="005B2A41">
        <w:t xml:space="preserve"> </w:t>
      </w:r>
      <w:r w:rsidRPr="00B02247">
        <w:t>(state</w:t>
      </w:r>
      <w:r w:rsidR="005B2A41">
        <w:t xml:space="preserve"> </w:t>
      </w:r>
      <w:r w:rsidRPr="00B02247">
        <w:t>authorities,</w:t>
      </w:r>
      <w:r w:rsidR="005B2A41">
        <w:t xml:space="preserve"> </w:t>
      </w:r>
      <w:r w:rsidRPr="00B02247">
        <w:t>NGOs,</w:t>
      </w:r>
      <w:r w:rsidR="005B2A41">
        <w:t xml:space="preserve"> </w:t>
      </w:r>
      <w:r w:rsidRPr="00B02247">
        <w:t>IOs,</w:t>
      </w:r>
      <w:r w:rsidR="005B2A41">
        <w:t xml:space="preserve"> </w:t>
      </w:r>
      <w:r w:rsidRPr="00B02247">
        <w:t>CSR,</w:t>
      </w:r>
      <w:r w:rsidR="005B2A41">
        <w:t xml:space="preserve"> </w:t>
      </w:r>
      <w:r w:rsidRPr="00B02247">
        <w:t>universities</w:t>
      </w:r>
      <w:r w:rsidR="005B2A41">
        <w:t xml:space="preserve"> </w:t>
      </w:r>
      <w:r w:rsidRPr="00B02247">
        <w:t>and</w:t>
      </w:r>
      <w:r w:rsidR="005B2A41">
        <w:t xml:space="preserve"> </w:t>
      </w:r>
      <w:r w:rsidRPr="00B02247">
        <w:t>cultural</w:t>
      </w:r>
      <w:r w:rsidR="005B2A41">
        <w:t xml:space="preserve"> </w:t>
      </w:r>
      <w:r w:rsidRPr="00B02247">
        <w:t>sector)</w:t>
      </w:r>
      <w:r w:rsidR="005B2A41">
        <w:t xml:space="preserve"> </w:t>
      </w:r>
      <w:r w:rsidRPr="00B02247">
        <w:t>and</w:t>
      </w:r>
      <w:r w:rsidR="005B2A41">
        <w:t xml:space="preserve"> </w:t>
      </w:r>
      <w:r w:rsidRPr="00B02247">
        <w:t>150</w:t>
      </w:r>
      <w:r w:rsidR="005B2A41">
        <w:t xml:space="preserve"> </w:t>
      </w:r>
      <w:r w:rsidRPr="00B02247">
        <w:t>artists.</w:t>
      </w:r>
      <w:r w:rsidR="005B2A41">
        <w:t xml:space="preserve"> </w:t>
      </w:r>
      <w:r w:rsidRPr="00B02247">
        <w:t>The</w:t>
      </w:r>
      <w:r w:rsidR="005B2A41">
        <w:t xml:space="preserve"> </w:t>
      </w:r>
      <w:r w:rsidRPr="00B02247">
        <w:t>Festival</w:t>
      </w:r>
      <w:r w:rsidR="005B2A41">
        <w:t xml:space="preserve"> </w:t>
      </w:r>
      <w:r w:rsidRPr="00B02247">
        <w:t>attracted</w:t>
      </w:r>
      <w:r w:rsidR="005B2A41">
        <w:t xml:space="preserve"> </w:t>
      </w:r>
      <w:r w:rsidRPr="00B02247">
        <w:t>large</w:t>
      </w:r>
      <w:r w:rsidR="005B2A41">
        <w:t xml:space="preserve"> </w:t>
      </w:r>
      <w:r w:rsidRPr="00B02247">
        <w:t>audience</w:t>
      </w:r>
      <w:r w:rsidR="005B2A41">
        <w:t xml:space="preserve"> </w:t>
      </w:r>
      <w:r w:rsidRPr="00B02247">
        <w:t>of</w:t>
      </w:r>
      <w:r w:rsidR="005B2A41">
        <w:t xml:space="preserve"> </w:t>
      </w:r>
      <w:r w:rsidRPr="00B02247">
        <w:t>6.000</w:t>
      </w:r>
      <w:r w:rsidR="005B2A41">
        <w:t xml:space="preserve"> </w:t>
      </w:r>
      <w:r w:rsidRPr="00B02247">
        <w:t>visitors</w:t>
      </w:r>
      <w:r w:rsidR="005B2A41">
        <w:t xml:space="preserve"> </w:t>
      </w:r>
      <w:r w:rsidRPr="00B02247">
        <w:t>as</w:t>
      </w:r>
      <w:r w:rsidR="005B2A41">
        <w:t xml:space="preserve"> </w:t>
      </w:r>
      <w:r w:rsidRPr="00B02247">
        <w:t>well</w:t>
      </w:r>
      <w:r w:rsidR="005B2A41">
        <w:t xml:space="preserve"> </w:t>
      </w:r>
      <w:r w:rsidRPr="00B02247">
        <w:t>as</w:t>
      </w:r>
      <w:r w:rsidR="005B2A41">
        <w:t xml:space="preserve"> </w:t>
      </w:r>
      <w:r w:rsidRPr="00B02247">
        <w:t>a</w:t>
      </w:r>
      <w:r w:rsidR="005B2A41">
        <w:t xml:space="preserve"> </w:t>
      </w:r>
      <w:r w:rsidRPr="00B02247">
        <w:t>strong</w:t>
      </w:r>
      <w:r w:rsidR="005B2A41">
        <w:t xml:space="preserve"> </w:t>
      </w:r>
      <w:r w:rsidRPr="00B02247">
        <w:t>publicity</w:t>
      </w:r>
      <w:r w:rsidR="005B2A41">
        <w:t xml:space="preserve"> </w:t>
      </w:r>
      <w:r w:rsidRPr="00B02247">
        <w:t>from</w:t>
      </w:r>
      <w:r w:rsidR="005B2A41">
        <w:t xml:space="preserve"> </w:t>
      </w:r>
      <w:r w:rsidRPr="00B02247">
        <w:t>mass</w:t>
      </w:r>
      <w:r w:rsidR="005B2A41">
        <w:t xml:space="preserve"> </w:t>
      </w:r>
      <w:r w:rsidRPr="00B02247">
        <w:t>and</w:t>
      </w:r>
      <w:r w:rsidR="005B2A41">
        <w:t xml:space="preserve"> </w:t>
      </w:r>
      <w:r w:rsidRPr="00B02247">
        <w:t>social</w:t>
      </w:r>
      <w:r w:rsidR="005B2A41">
        <w:t xml:space="preserve"> </w:t>
      </w:r>
      <w:r w:rsidRPr="00B02247">
        <w:t>media.</w:t>
      </w:r>
      <w:r w:rsidR="005B2A41">
        <w:t xml:space="preserve"> </w:t>
      </w:r>
      <w:r w:rsidRPr="00B02247">
        <w:t>A</w:t>
      </w:r>
      <w:r w:rsidR="005B2A41">
        <w:t xml:space="preserve"> </w:t>
      </w:r>
      <w:r w:rsidRPr="00B02247">
        <w:t>major</w:t>
      </w:r>
      <w:r w:rsidR="005B2A41">
        <w:t xml:space="preserve"> </w:t>
      </w:r>
      <w:r w:rsidRPr="00B02247">
        <w:t>Conference,</w:t>
      </w:r>
      <w:r w:rsidR="005B2A41">
        <w:t xml:space="preserve"> </w:t>
      </w:r>
      <w:r w:rsidRPr="00B02247">
        <w:t>was</w:t>
      </w:r>
      <w:r w:rsidR="005B2A41">
        <w:t xml:space="preserve"> </w:t>
      </w:r>
      <w:r w:rsidRPr="00B02247">
        <w:t>organized</w:t>
      </w:r>
      <w:r w:rsidR="005B2A41">
        <w:t xml:space="preserve"> </w:t>
      </w:r>
      <w:r w:rsidRPr="00B02247">
        <w:t>at</w:t>
      </w:r>
      <w:r w:rsidR="005B2A41">
        <w:t xml:space="preserve"> </w:t>
      </w:r>
      <w:r w:rsidRPr="00B02247">
        <w:t>the</w:t>
      </w:r>
      <w:r w:rsidR="005B2A41">
        <w:t xml:space="preserve"> </w:t>
      </w:r>
      <w:r w:rsidRPr="00B02247">
        <w:t>margins</w:t>
      </w:r>
      <w:r w:rsidR="005B2A41">
        <w:t xml:space="preserve"> </w:t>
      </w:r>
      <w:r w:rsidRPr="00B02247">
        <w:t>of</w:t>
      </w:r>
      <w:r w:rsidR="005B2A41">
        <w:t xml:space="preserve"> </w:t>
      </w:r>
      <w:r w:rsidRPr="00B02247">
        <w:t>the</w:t>
      </w:r>
      <w:r w:rsidR="005B2A41">
        <w:t xml:space="preserve"> </w:t>
      </w:r>
      <w:r w:rsidRPr="00B02247">
        <w:lastRenderedPageBreak/>
        <w:t>Festival,</w:t>
      </w:r>
      <w:r w:rsidR="005B2A41">
        <w:t xml:space="preserve"> </w:t>
      </w:r>
      <w:r w:rsidRPr="00B02247">
        <w:t>addressing</w:t>
      </w:r>
      <w:r w:rsidR="005B2A41">
        <w:t xml:space="preserve"> </w:t>
      </w:r>
      <w:r w:rsidRPr="00B02247">
        <w:t>key</w:t>
      </w:r>
      <w:r w:rsidR="005B2A41">
        <w:t xml:space="preserve"> </w:t>
      </w:r>
      <w:r w:rsidRPr="00B02247">
        <w:t>issues</w:t>
      </w:r>
      <w:r w:rsidR="005B2A41">
        <w:t xml:space="preserve"> </w:t>
      </w:r>
      <w:r w:rsidRPr="00B02247">
        <w:t>such</w:t>
      </w:r>
      <w:r w:rsidR="005B2A41">
        <w:t xml:space="preserve"> </w:t>
      </w:r>
      <w:r w:rsidRPr="00B02247">
        <w:t>as:</w:t>
      </w:r>
      <w:r w:rsidR="005B2A41">
        <w:t xml:space="preserve"> </w:t>
      </w:r>
      <w:r w:rsidRPr="00B02247">
        <w:t>1.</w:t>
      </w:r>
      <w:r w:rsidR="005B2A41">
        <w:t xml:space="preserve"> </w:t>
      </w:r>
      <w:r w:rsidRPr="00B02247">
        <w:t>Τhe</w:t>
      </w:r>
      <w:r w:rsidR="005B2A41">
        <w:t xml:space="preserve"> </w:t>
      </w:r>
      <w:r w:rsidRPr="00B02247">
        <w:t>challenges</w:t>
      </w:r>
      <w:r w:rsidR="005B2A41">
        <w:t xml:space="preserve"> </w:t>
      </w:r>
      <w:r w:rsidRPr="00B02247">
        <w:t>regarding</w:t>
      </w:r>
      <w:r w:rsidR="005B2A41">
        <w:t xml:space="preserve"> </w:t>
      </w:r>
      <w:r w:rsidRPr="00B02247">
        <w:t>the</w:t>
      </w:r>
      <w:r w:rsidR="005B2A41">
        <w:t xml:space="preserve"> </w:t>
      </w:r>
      <w:r w:rsidRPr="00B02247">
        <w:t>nexus</w:t>
      </w:r>
      <w:r w:rsidR="005B2A41">
        <w:t xml:space="preserve"> </w:t>
      </w:r>
      <w:r w:rsidRPr="00B02247">
        <w:t>between</w:t>
      </w:r>
      <w:r w:rsidR="005B2A41">
        <w:t xml:space="preserve"> </w:t>
      </w:r>
      <w:r w:rsidRPr="00B02247">
        <w:t>SOM</w:t>
      </w:r>
      <w:r w:rsidR="005B2A41">
        <w:t xml:space="preserve"> </w:t>
      </w:r>
      <w:r w:rsidRPr="00B02247">
        <w:t>and</w:t>
      </w:r>
      <w:r w:rsidR="005B2A41">
        <w:t xml:space="preserve"> </w:t>
      </w:r>
      <w:r w:rsidRPr="00B02247">
        <w:t>THB</w:t>
      </w:r>
      <w:r w:rsidR="005B2A41">
        <w:t xml:space="preserve"> </w:t>
      </w:r>
      <w:r w:rsidRPr="00B02247">
        <w:t>in</w:t>
      </w:r>
      <w:r w:rsidR="005B2A41">
        <w:t xml:space="preserve"> </w:t>
      </w:r>
      <w:r w:rsidRPr="00B02247">
        <w:t>mixed</w:t>
      </w:r>
      <w:r w:rsidR="005B2A41">
        <w:t xml:space="preserve"> </w:t>
      </w:r>
      <w:r w:rsidRPr="00B02247">
        <w:t>migration</w:t>
      </w:r>
      <w:r w:rsidR="005B2A41">
        <w:t xml:space="preserve"> </w:t>
      </w:r>
      <w:r w:rsidRPr="00B02247">
        <w:t>flows,</w:t>
      </w:r>
      <w:r w:rsidR="005B2A41">
        <w:t xml:space="preserve"> </w:t>
      </w:r>
      <w:r w:rsidRPr="00B02247">
        <w:t>2.</w:t>
      </w:r>
      <w:r w:rsidR="005B2A41">
        <w:t xml:space="preserve"> </w:t>
      </w:r>
      <w:r w:rsidRPr="00B02247">
        <w:t>Τhe</w:t>
      </w:r>
      <w:r w:rsidR="005B2A41">
        <w:t xml:space="preserve"> </w:t>
      </w:r>
      <w:r w:rsidRPr="00B02247">
        <w:t>nexus</w:t>
      </w:r>
      <w:r w:rsidR="005B2A41">
        <w:t xml:space="preserve"> </w:t>
      </w:r>
      <w:r w:rsidRPr="00B02247">
        <w:t>between</w:t>
      </w:r>
      <w:r w:rsidR="005B2A41">
        <w:t xml:space="preserve"> </w:t>
      </w:r>
      <w:r w:rsidRPr="00B02247">
        <w:t>prostitution</w:t>
      </w:r>
      <w:r w:rsidR="005B2A41">
        <w:t xml:space="preserve"> </w:t>
      </w:r>
      <w:r w:rsidRPr="00B02247">
        <w:t>and</w:t>
      </w:r>
      <w:r w:rsidR="005B2A41">
        <w:t xml:space="preserve"> </w:t>
      </w:r>
      <w:r w:rsidRPr="00B02247">
        <w:t>THB,</w:t>
      </w:r>
      <w:r w:rsidR="005B2A41">
        <w:t xml:space="preserve"> </w:t>
      </w:r>
      <w:r w:rsidRPr="00B02247">
        <w:t>specifically</w:t>
      </w:r>
      <w:r w:rsidR="005B2A41">
        <w:t xml:space="preserve"> </w:t>
      </w:r>
      <w:r w:rsidRPr="00B02247">
        <w:t>the</w:t>
      </w:r>
      <w:r w:rsidR="005B2A41">
        <w:t xml:space="preserve"> </w:t>
      </w:r>
      <w:r w:rsidRPr="00B02247">
        <w:t>assessment</w:t>
      </w:r>
      <w:r w:rsidR="005B2A41">
        <w:t xml:space="preserve"> </w:t>
      </w:r>
      <w:r w:rsidRPr="00B02247">
        <w:t>of</w:t>
      </w:r>
      <w:r w:rsidR="005B2A41">
        <w:t xml:space="preserve"> </w:t>
      </w:r>
      <w:r w:rsidRPr="00B02247">
        <w:t>the</w:t>
      </w:r>
      <w:r w:rsidR="005B2A41">
        <w:t xml:space="preserve"> </w:t>
      </w:r>
      <w:r w:rsidRPr="00B02247">
        <w:t>existing</w:t>
      </w:r>
      <w:r w:rsidR="005B2A41">
        <w:t xml:space="preserve"> </w:t>
      </w:r>
      <w:r w:rsidRPr="00B02247">
        <w:t>legal</w:t>
      </w:r>
      <w:r w:rsidR="005B2A41">
        <w:t xml:space="preserve"> </w:t>
      </w:r>
      <w:r w:rsidRPr="00B02247">
        <w:t>framework</w:t>
      </w:r>
      <w:r w:rsidR="005B2A41">
        <w:t xml:space="preserve"> </w:t>
      </w:r>
      <w:r w:rsidRPr="00B02247">
        <w:t>and</w:t>
      </w:r>
      <w:r w:rsidR="005B2A41">
        <w:t xml:space="preserve"> </w:t>
      </w:r>
      <w:r w:rsidRPr="00B02247">
        <w:t>the</w:t>
      </w:r>
      <w:r w:rsidR="005B2A41">
        <w:t xml:space="preserve"> </w:t>
      </w:r>
      <w:r w:rsidRPr="00B02247">
        <w:t>comparison</w:t>
      </w:r>
      <w:r w:rsidR="005B2A41">
        <w:t xml:space="preserve"> </w:t>
      </w:r>
      <w:r w:rsidRPr="00B02247">
        <w:t>between</w:t>
      </w:r>
      <w:r w:rsidR="005B2A41">
        <w:t xml:space="preserve"> </w:t>
      </w:r>
      <w:r w:rsidRPr="00B02247">
        <w:t>the</w:t>
      </w:r>
      <w:r w:rsidR="005B2A41">
        <w:t xml:space="preserve"> </w:t>
      </w:r>
      <w:r w:rsidR="003E731F">
        <w:t>‘</w:t>
      </w:r>
      <w:r w:rsidRPr="00B02247">
        <w:t>Nordic</w:t>
      </w:r>
      <w:r w:rsidR="003E731F">
        <w:t>’</w:t>
      </w:r>
      <w:r w:rsidR="005B2A41">
        <w:t xml:space="preserve"> </w:t>
      </w:r>
      <w:r w:rsidRPr="00B02247">
        <w:t>and</w:t>
      </w:r>
      <w:r w:rsidR="005B2A41">
        <w:t xml:space="preserve"> </w:t>
      </w:r>
      <w:r w:rsidR="003E731F">
        <w:t>‘</w:t>
      </w:r>
      <w:r w:rsidRPr="00B02247">
        <w:t>sex</w:t>
      </w:r>
      <w:r w:rsidR="005B2A41">
        <w:t xml:space="preserve"> </w:t>
      </w:r>
      <w:r w:rsidRPr="00B02247">
        <w:t>worker</w:t>
      </w:r>
      <w:r w:rsidR="003E731F">
        <w:t>’</w:t>
      </w:r>
      <w:r w:rsidR="005B2A41">
        <w:t xml:space="preserve"> </w:t>
      </w:r>
      <w:r w:rsidRPr="00B02247">
        <w:t>paradigms</w:t>
      </w:r>
      <w:r w:rsidR="005B2A41">
        <w:t xml:space="preserve"> </w:t>
      </w:r>
      <w:r w:rsidRPr="00B02247">
        <w:t>on</w:t>
      </w:r>
      <w:r w:rsidR="005B2A41">
        <w:t xml:space="preserve"> </w:t>
      </w:r>
      <w:r w:rsidRPr="00B02247">
        <w:t>demand,</w:t>
      </w:r>
      <w:r w:rsidR="005B2A41">
        <w:t xml:space="preserve"> </w:t>
      </w:r>
      <w:r w:rsidRPr="00B02247">
        <w:t>3.</w:t>
      </w:r>
      <w:r w:rsidR="005B2A41">
        <w:t xml:space="preserve"> </w:t>
      </w:r>
      <w:r w:rsidRPr="00B02247">
        <w:t>Unaccompanied</w:t>
      </w:r>
      <w:r w:rsidR="005B2A41">
        <w:t xml:space="preserve"> </w:t>
      </w:r>
      <w:r w:rsidRPr="00B02247">
        <w:t>minors</w:t>
      </w:r>
      <w:r w:rsidR="005B2A41">
        <w:t xml:space="preserve"> </w:t>
      </w:r>
      <w:r w:rsidRPr="00B02247">
        <w:t>with</w:t>
      </w:r>
      <w:r w:rsidR="005B2A41">
        <w:t xml:space="preserve"> </w:t>
      </w:r>
      <w:r w:rsidRPr="00B02247">
        <w:t>reference</w:t>
      </w:r>
      <w:r w:rsidR="005B2A41">
        <w:t xml:space="preserve"> </w:t>
      </w:r>
      <w:r w:rsidRPr="00B02247">
        <w:t>to</w:t>
      </w:r>
      <w:r w:rsidR="005B2A41">
        <w:t xml:space="preserve"> </w:t>
      </w:r>
      <w:r w:rsidRPr="00B02247">
        <w:t>low-level</w:t>
      </w:r>
      <w:r w:rsidR="005B2A41">
        <w:t xml:space="preserve"> </w:t>
      </w:r>
      <w:r w:rsidRPr="00B02247">
        <w:t>exploitation</w:t>
      </w:r>
      <w:r w:rsidR="005B2A41">
        <w:t xml:space="preserve"> </w:t>
      </w:r>
      <w:r w:rsidRPr="00B02247">
        <w:t>and</w:t>
      </w:r>
      <w:r w:rsidR="005B2A41">
        <w:t xml:space="preserve"> </w:t>
      </w:r>
      <w:r w:rsidRPr="00B02247">
        <w:t>forced</w:t>
      </w:r>
      <w:r w:rsidR="005B2A41">
        <w:t xml:space="preserve"> </w:t>
      </w:r>
      <w:r w:rsidRPr="00B02247">
        <w:t>criminality,</w:t>
      </w:r>
      <w:r w:rsidR="005B2A41">
        <w:t xml:space="preserve"> </w:t>
      </w:r>
      <w:r w:rsidRPr="00B02247">
        <w:t>4.</w:t>
      </w:r>
      <w:r w:rsidR="005B2A41">
        <w:t xml:space="preserve"> </w:t>
      </w:r>
      <w:r w:rsidRPr="00B02247">
        <w:t>Private</w:t>
      </w:r>
      <w:r w:rsidR="005B2A41">
        <w:t xml:space="preserve"> </w:t>
      </w:r>
      <w:r w:rsidRPr="00B02247">
        <w:t>sector</w:t>
      </w:r>
      <w:r w:rsidR="005B2A41">
        <w:t xml:space="preserve"> </w:t>
      </w:r>
      <w:r w:rsidRPr="00B02247">
        <w:t>and</w:t>
      </w:r>
      <w:r w:rsidR="005B2A41">
        <w:t xml:space="preserve"> </w:t>
      </w:r>
      <w:r w:rsidRPr="00B02247">
        <w:t>CSR</w:t>
      </w:r>
      <w:r w:rsidR="005B2A41">
        <w:t xml:space="preserve"> </w:t>
      </w:r>
      <w:r w:rsidRPr="00B02247">
        <w:t>Vs</w:t>
      </w:r>
      <w:r w:rsidR="005B2A41">
        <w:t xml:space="preserve"> </w:t>
      </w:r>
      <w:r w:rsidRPr="00B02247">
        <w:t>THB</w:t>
      </w:r>
      <w:r w:rsidR="005B2A41">
        <w:t xml:space="preserve"> </w:t>
      </w:r>
      <w:r w:rsidRPr="00B02247">
        <w:t>with</w:t>
      </w:r>
      <w:r w:rsidR="005B2A41">
        <w:t xml:space="preserve"> </w:t>
      </w:r>
      <w:r w:rsidRPr="00B02247">
        <w:t>special</w:t>
      </w:r>
      <w:r w:rsidR="005B2A41">
        <w:t xml:space="preserve"> </w:t>
      </w:r>
      <w:r w:rsidRPr="00B02247">
        <w:t>reference</w:t>
      </w:r>
      <w:r w:rsidR="005B2A41">
        <w:t xml:space="preserve"> </w:t>
      </w:r>
      <w:r w:rsidRPr="00B02247">
        <w:t>to</w:t>
      </w:r>
      <w:r w:rsidR="005B2A41">
        <w:t xml:space="preserve"> </w:t>
      </w:r>
      <w:r w:rsidRPr="00B02247">
        <w:t>THB-free</w:t>
      </w:r>
      <w:r w:rsidR="005B2A41">
        <w:t xml:space="preserve"> </w:t>
      </w:r>
      <w:r w:rsidRPr="00B02247">
        <w:t>supply</w:t>
      </w:r>
      <w:r w:rsidR="005B2A41">
        <w:t xml:space="preserve"> </w:t>
      </w:r>
      <w:r w:rsidRPr="00B02247">
        <w:t>chains,</w:t>
      </w:r>
      <w:r w:rsidR="005B2A41">
        <w:t xml:space="preserve"> </w:t>
      </w:r>
      <w:r w:rsidRPr="00B02247">
        <w:t>5.</w:t>
      </w:r>
      <w:r w:rsidR="005B2A41">
        <w:t xml:space="preserve"> </w:t>
      </w:r>
      <w:r w:rsidRPr="00B02247">
        <w:t>Human</w:t>
      </w:r>
      <w:r w:rsidR="005B2A41">
        <w:t xml:space="preserve"> </w:t>
      </w:r>
      <w:r w:rsidRPr="00B02247">
        <w:t>rights</w:t>
      </w:r>
      <w:r w:rsidR="005B2A41">
        <w:t xml:space="preserve"> </w:t>
      </w:r>
      <w:r w:rsidRPr="00B02247">
        <w:t>education</w:t>
      </w:r>
      <w:r w:rsidR="005B2A41">
        <w:t xml:space="preserve"> </w:t>
      </w:r>
      <w:r w:rsidRPr="00B02247">
        <w:t>in</w:t>
      </w:r>
      <w:r w:rsidR="005B2A41">
        <w:t xml:space="preserve"> </w:t>
      </w:r>
      <w:r w:rsidRPr="00B02247">
        <w:t>Schools</w:t>
      </w:r>
      <w:r w:rsidR="005B2A41">
        <w:t xml:space="preserve"> </w:t>
      </w:r>
      <w:r w:rsidRPr="00B02247">
        <w:t>and</w:t>
      </w:r>
      <w:r w:rsidR="005B2A41">
        <w:t xml:space="preserve"> </w:t>
      </w:r>
      <w:r w:rsidRPr="00B02247">
        <w:t>front</w:t>
      </w:r>
      <w:r w:rsidR="005B2A41">
        <w:t xml:space="preserve"> </w:t>
      </w:r>
      <w:r w:rsidRPr="00B02247">
        <w:t>line</w:t>
      </w:r>
      <w:r w:rsidR="005B2A41">
        <w:t xml:space="preserve"> </w:t>
      </w:r>
      <w:r w:rsidRPr="00B02247">
        <w:t>training</w:t>
      </w:r>
      <w:r w:rsidR="005B2A41">
        <w:t xml:space="preserve"> </w:t>
      </w:r>
      <w:r w:rsidRPr="00B02247">
        <w:t>of</w:t>
      </w:r>
      <w:r w:rsidR="005B2A41">
        <w:t xml:space="preserve"> </w:t>
      </w:r>
      <w:r w:rsidRPr="00B02247">
        <w:t>Civil</w:t>
      </w:r>
      <w:r w:rsidR="005B2A41">
        <w:t xml:space="preserve"> </w:t>
      </w:r>
      <w:r w:rsidRPr="00B02247">
        <w:t>Servants</w:t>
      </w:r>
      <w:r w:rsidR="005B2A41">
        <w:t xml:space="preserve"> </w:t>
      </w:r>
      <w:r w:rsidRPr="00B02247">
        <w:t>with</w:t>
      </w:r>
      <w:r w:rsidR="005B2A41">
        <w:t xml:space="preserve"> </w:t>
      </w:r>
      <w:r w:rsidRPr="00B02247">
        <w:t>a</w:t>
      </w:r>
      <w:r w:rsidR="005B2A41">
        <w:t xml:space="preserve"> </w:t>
      </w:r>
      <w:r w:rsidRPr="00B02247">
        <w:t>view</w:t>
      </w:r>
      <w:r w:rsidR="005B2A41">
        <w:t xml:space="preserve"> </w:t>
      </w:r>
      <w:r w:rsidRPr="00B02247">
        <w:t>to</w:t>
      </w:r>
      <w:r w:rsidR="005B2A41">
        <w:t xml:space="preserve"> </w:t>
      </w:r>
      <w:r w:rsidRPr="00B02247">
        <w:t>bring</w:t>
      </w:r>
      <w:r w:rsidR="005B2A41">
        <w:t xml:space="preserve"> </w:t>
      </w:r>
      <w:r w:rsidRPr="00B02247">
        <w:t>in</w:t>
      </w:r>
      <w:r w:rsidR="005B2A41">
        <w:t xml:space="preserve"> </w:t>
      </w:r>
      <w:r w:rsidRPr="00B02247">
        <w:t>more</w:t>
      </w:r>
      <w:r w:rsidR="005B2A41">
        <w:t xml:space="preserve"> </w:t>
      </w:r>
      <w:r w:rsidRPr="00B02247">
        <w:t>stakeholders</w:t>
      </w:r>
      <w:r w:rsidR="005B2A41">
        <w:t xml:space="preserve"> </w:t>
      </w:r>
      <w:r w:rsidRPr="00B02247">
        <w:t>in</w:t>
      </w:r>
      <w:r w:rsidR="005B2A41">
        <w:t xml:space="preserve"> </w:t>
      </w:r>
      <w:r w:rsidRPr="00B02247">
        <w:t>first</w:t>
      </w:r>
      <w:r w:rsidR="005B2A41">
        <w:t xml:space="preserve"> </w:t>
      </w:r>
      <w:r w:rsidRPr="00B02247">
        <w:t>level</w:t>
      </w:r>
      <w:r w:rsidR="005B2A41">
        <w:t xml:space="preserve"> </w:t>
      </w:r>
      <w:r w:rsidRPr="00B02247">
        <w:t>identification,</w:t>
      </w:r>
      <w:r w:rsidR="005B2A41">
        <w:t xml:space="preserve"> </w:t>
      </w:r>
      <w:r w:rsidRPr="00B02247">
        <w:t>and</w:t>
      </w:r>
      <w:r w:rsidR="005B2A41">
        <w:t xml:space="preserve"> </w:t>
      </w:r>
      <w:r w:rsidRPr="00B02247">
        <w:t>6.</w:t>
      </w:r>
      <w:r w:rsidR="005B2A41">
        <w:t xml:space="preserve"> </w:t>
      </w:r>
      <w:r w:rsidRPr="00B02247">
        <w:t>The</w:t>
      </w:r>
      <w:r w:rsidR="005B2A41">
        <w:t xml:space="preserve"> </w:t>
      </w:r>
      <w:r w:rsidRPr="00B02247">
        <w:t>role</w:t>
      </w:r>
      <w:r w:rsidR="005B2A41">
        <w:t xml:space="preserve"> </w:t>
      </w:r>
      <w:r w:rsidRPr="00B02247">
        <w:t>of</w:t>
      </w:r>
      <w:r w:rsidR="005B2A41">
        <w:t xml:space="preserve"> </w:t>
      </w:r>
      <w:r w:rsidRPr="00B02247">
        <w:t>the</w:t>
      </w:r>
      <w:r w:rsidR="005B2A41">
        <w:t xml:space="preserve"> </w:t>
      </w:r>
      <w:r w:rsidRPr="00B02247">
        <w:t>media</w:t>
      </w:r>
      <w:r w:rsidR="005B2A41">
        <w:t xml:space="preserve"> </w:t>
      </w:r>
      <w:r w:rsidRPr="00B02247">
        <w:t>in</w:t>
      </w:r>
      <w:r w:rsidR="005B2A41">
        <w:t xml:space="preserve"> </w:t>
      </w:r>
      <w:r w:rsidRPr="00B02247">
        <w:t>portraying</w:t>
      </w:r>
      <w:r w:rsidR="005B2A41">
        <w:t xml:space="preserve"> </w:t>
      </w:r>
      <w:r w:rsidRPr="00B02247">
        <w:t>the</w:t>
      </w:r>
      <w:r w:rsidR="005B2A41">
        <w:t xml:space="preserve"> </w:t>
      </w:r>
      <w:r w:rsidRPr="00B02247">
        <w:t>THB</w:t>
      </w:r>
      <w:r w:rsidR="005B2A41">
        <w:t xml:space="preserve"> </w:t>
      </w:r>
      <w:r w:rsidRPr="00B02247">
        <w:t>phenomenon.</w:t>
      </w:r>
    </w:p>
    <w:p w:rsidR="00F233AB" w:rsidRPr="00B02247" w:rsidRDefault="00F233AB" w:rsidP="00E1307D">
      <w:pPr>
        <w:pStyle w:val="SingleTxtG"/>
      </w:pPr>
      <w:r w:rsidRPr="00B02247">
        <w:t>121.</w:t>
      </w:r>
      <w:r w:rsidRPr="00B02247">
        <w:tab/>
        <w:t>In</w:t>
      </w:r>
      <w:r w:rsidR="005B2A41">
        <w:t xml:space="preserve"> </w:t>
      </w:r>
      <w:r w:rsidRPr="00B02247">
        <w:t>addition,</w:t>
      </w:r>
      <w:r w:rsidR="005B2A41">
        <w:t xml:space="preserve"> </w:t>
      </w:r>
      <w:r w:rsidRPr="00B02247">
        <w:t>the</w:t>
      </w:r>
      <w:r w:rsidR="005B2A41">
        <w:t xml:space="preserve"> </w:t>
      </w:r>
      <w:r w:rsidRPr="00B02247">
        <w:t>Office</w:t>
      </w:r>
      <w:r w:rsidR="005B2A41">
        <w:t xml:space="preserve"> </w:t>
      </w:r>
      <w:r w:rsidRPr="00B02247">
        <w:t>of</w:t>
      </w:r>
      <w:r w:rsidR="005B2A41">
        <w:t xml:space="preserve"> </w:t>
      </w:r>
      <w:r w:rsidRPr="00B02247">
        <w:t>the</w:t>
      </w:r>
      <w:r w:rsidR="005B2A41">
        <w:t xml:space="preserve"> </w:t>
      </w:r>
      <w:r w:rsidRPr="00B02247">
        <w:t>National</w:t>
      </w:r>
      <w:r w:rsidR="005B2A41">
        <w:t xml:space="preserve"> </w:t>
      </w:r>
      <w:r w:rsidRPr="00B02247">
        <w:t>Rapporteur,</w:t>
      </w:r>
      <w:r w:rsidR="005B2A41">
        <w:t xml:space="preserve"> </w:t>
      </w:r>
      <w:r w:rsidRPr="00B02247">
        <w:t>in</w:t>
      </w:r>
      <w:r w:rsidR="005B2A41">
        <w:t xml:space="preserve"> </w:t>
      </w:r>
      <w:r w:rsidRPr="00B02247">
        <w:t>accordance</w:t>
      </w:r>
      <w:r w:rsidR="005B2A41">
        <w:t xml:space="preserve"> </w:t>
      </w:r>
      <w:r w:rsidRPr="00B02247">
        <w:t>with</w:t>
      </w:r>
      <w:r w:rsidR="005B2A41">
        <w:t xml:space="preserve"> </w:t>
      </w:r>
      <w:r w:rsidRPr="00B02247">
        <w:t>international</w:t>
      </w:r>
      <w:r w:rsidR="005B2A41">
        <w:t xml:space="preserve"> </w:t>
      </w:r>
      <w:r w:rsidRPr="00B02247">
        <w:t>standards</w:t>
      </w:r>
      <w:r w:rsidR="005B2A41">
        <w:t xml:space="preserve"> </w:t>
      </w:r>
      <w:r w:rsidRPr="00B02247">
        <w:t>and</w:t>
      </w:r>
      <w:r w:rsidR="005B2A41">
        <w:t xml:space="preserve"> </w:t>
      </w:r>
      <w:r w:rsidRPr="00B02247">
        <w:t>best</w:t>
      </w:r>
      <w:r w:rsidR="005B2A41">
        <w:t xml:space="preserve"> </w:t>
      </w:r>
      <w:r w:rsidRPr="00B02247">
        <w:t>practices,</w:t>
      </w:r>
      <w:r w:rsidR="005B2A41">
        <w:t xml:space="preserve"> </w:t>
      </w:r>
      <w:r w:rsidRPr="00B02247">
        <w:t>works</w:t>
      </w:r>
      <w:r w:rsidR="005B2A41">
        <w:t xml:space="preserve"> </w:t>
      </w:r>
      <w:r w:rsidRPr="00B02247">
        <w:t>towards</w:t>
      </w:r>
      <w:r w:rsidR="005B2A41">
        <w:t xml:space="preserve"> </w:t>
      </w:r>
      <w:r w:rsidRPr="00B02247">
        <w:t>engaging</w:t>
      </w:r>
      <w:r w:rsidR="005B2A41">
        <w:t xml:space="preserve"> </w:t>
      </w:r>
      <w:r w:rsidRPr="00B02247">
        <w:t>key</w:t>
      </w:r>
      <w:r w:rsidR="005B2A41">
        <w:t xml:space="preserve"> </w:t>
      </w:r>
      <w:r w:rsidRPr="00B02247">
        <w:t>private</w:t>
      </w:r>
      <w:r w:rsidR="005B2A41">
        <w:t xml:space="preserve"> </w:t>
      </w:r>
      <w:r w:rsidRPr="00B02247">
        <w:t>sector</w:t>
      </w:r>
      <w:r w:rsidR="005B2A41">
        <w:t xml:space="preserve"> </w:t>
      </w:r>
      <w:r w:rsidRPr="00B02247">
        <w:t>stakeholders</w:t>
      </w:r>
      <w:r w:rsidR="005B2A41">
        <w:t xml:space="preserve"> </w:t>
      </w:r>
      <w:r w:rsidRPr="00B02247">
        <w:t>for</w:t>
      </w:r>
      <w:r w:rsidR="005B2A41">
        <w:t xml:space="preserve"> </w:t>
      </w:r>
      <w:r w:rsidRPr="00B02247">
        <w:t>the</w:t>
      </w:r>
      <w:r w:rsidR="005B2A41">
        <w:t xml:space="preserve"> </w:t>
      </w:r>
      <w:r w:rsidRPr="00B02247">
        <w:t>promotion</w:t>
      </w:r>
      <w:r w:rsidR="005B2A41">
        <w:t xml:space="preserve"> </w:t>
      </w:r>
      <w:r w:rsidRPr="00B02247">
        <w:t>and</w:t>
      </w:r>
      <w:r w:rsidR="005B2A41">
        <w:t xml:space="preserve"> </w:t>
      </w:r>
      <w:r w:rsidRPr="00B02247">
        <w:t>establishment</w:t>
      </w:r>
      <w:r w:rsidR="005B2A41">
        <w:t xml:space="preserve"> </w:t>
      </w:r>
      <w:r w:rsidRPr="00B02247">
        <w:t>of</w:t>
      </w:r>
      <w:r w:rsidR="005B2A41">
        <w:t xml:space="preserve"> </w:t>
      </w:r>
      <w:r w:rsidR="003E731F">
        <w:t>“</w:t>
      </w:r>
      <w:r w:rsidRPr="00B02247">
        <w:t>slavery-free</w:t>
      </w:r>
      <w:r w:rsidR="003E731F">
        <w:t>”</w:t>
      </w:r>
      <w:r w:rsidR="005B2A41">
        <w:t xml:space="preserve"> </w:t>
      </w:r>
      <w:r w:rsidRPr="00B02247">
        <w:t>supply</w:t>
      </w:r>
      <w:r w:rsidR="005B2A41">
        <w:t xml:space="preserve"> </w:t>
      </w:r>
      <w:r w:rsidRPr="00B02247">
        <w:t>chains.</w:t>
      </w:r>
      <w:r w:rsidR="005B2A41">
        <w:t xml:space="preserve"> </w:t>
      </w:r>
      <w:r w:rsidRPr="00B02247">
        <w:t>In</w:t>
      </w:r>
      <w:r w:rsidR="005B2A41">
        <w:t xml:space="preserve"> </w:t>
      </w:r>
      <w:r w:rsidRPr="00B02247">
        <w:t>this</w:t>
      </w:r>
      <w:r w:rsidR="005B2A41">
        <w:t xml:space="preserve"> </w:t>
      </w:r>
      <w:r w:rsidRPr="00B02247">
        <w:t>framework,</w:t>
      </w:r>
      <w:r w:rsidR="005B2A41">
        <w:t xml:space="preserve"> </w:t>
      </w:r>
      <w:r w:rsidRPr="00B02247">
        <w:t>the</w:t>
      </w:r>
      <w:r w:rsidR="005B2A41">
        <w:t xml:space="preserve"> </w:t>
      </w:r>
      <w:r w:rsidRPr="00B02247">
        <w:t>NRO</w:t>
      </w:r>
      <w:r w:rsidR="005B2A41">
        <w:t xml:space="preserve"> </w:t>
      </w:r>
      <w:r w:rsidRPr="00B02247">
        <w:t>has</w:t>
      </w:r>
      <w:r w:rsidR="005B2A41">
        <w:t xml:space="preserve"> </w:t>
      </w:r>
      <w:r w:rsidRPr="00B02247">
        <w:t>signed</w:t>
      </w:r>
      <w:r w:rsidR="005B2A41">
        <w:t xml:space="preserve"> </w:t>
      </w:r>
      <w:r w:rsidRPr="00B02247">
        <w:t>a</w:t>
      </w:r>
      <w:r w:rsidR="005B2A41">
        <w:t xml:space="preserve"> </w:t>
      </w:r>
      <w:r w:rsidRPr="00B02247">
        <w:t>Memorandum</w:t>
      </w:r>
      <w:r w:rsidR="005B2A41">
        <w:t xml:space="preserve"> </w:t>
      </w:r>
      <w:r w:rsidRPr="00B02247">
        <w:t>of</w:t>
      </w:r>
      <w:r w:rsidR="005B2A41">
        <w:t xml:space="preserve"> </w:t>
      </w:r>
      <w:r w:rsidRPr="00B02247">
        <w:t>Cooperation</w:t>
      </w:r>
      <w:r w:rsidR="005B2A41">
        <w:t xml:space="preserve"> </w:t>
      </w:r>
      <w:r w:rsidRPr="00B02247">
        <w:t>with</w:t>
      </w:r>
      <w:r w:rsidR="005B2A41">
        <w:t xml:space="preserve"> </w:t>
      </w:r>
      <w:r w:rsidRPr="00B02247">
        <w:t>the</w:t>
      </w:r>
      <w:r w:rsidR="005B2A41">
        <w:t xml:space="preserve"> </w:t>
      </w:r>
      <w:r w:rsidRPr="00B02247">
        <w:t>Corporate</w:t>
      </w:r>
      <w:r w:rsidR="005B2A41">
        <w:t xml:space="preserve"> </w:t>
      </w:r>
      <w:r w:rsidRPr="00B02247">
        <w:t>Social</w:t>
      </w:r>
      <w:r w:rsidR="005B2A41">
        <w:t xml:space="preserve"> </w:t>
      </w:r>
      <w:r w:rsidRPr="00B02247">
        <w:t>Responsibility</w:t>
      </w:r>
      <w:r w:rsidR="005B2A41">
        <w:t xml:space="preserve"> </w:t>
      </w:r>
      <w:r w:rsidRPr="00B02247">
        <w:t>Hellas</w:t>
      </w:r>
      <w:r w:rsidR="005B2A41">
        <w:t xml:space="preserve"> </w:t>
      </w:r>
      <w:r w:rsidRPr="00B02247">
        <w:t>Network</w:t>
      </w:r>
      <w:r w:rsidR="005B2A41">
        <w:t xml:space="preserve"> </w:t>
      </w:r>
      <w:r w:rsidRPr="00B02247">
        <w:t>(CSR</w:t>
      </w:r>
      <w:r w:rsidR="005B2A41">
        <w:t xml:space="preserve"> </w:t>
      </w:r>
      <w:r w:rsidRPr="00B02247">
        <w:t>Hellas),</w:t>
      </w:r>
      <w:r w:rsidR="005B2A41">
        <w:t xml:space="preserve"> </w:t>
      </w:r>
      <w:r w:rsidRPr="00B02247">
        <w:t>aiming</w:t>
      </w:r>
      <w:r w:rsidR="005B2A41">
        <w:t xml:space="preserve"> </w:t>
      </w:r>
      <w:r w:rsidRPr="00B02247">
        <w:t>at</w:t>
      </w:r>
      <w:r w:rsidR="005B2A41">
        <w:t xml:space="preserve"> </w:t>
      </w:r>
      <w:r w:rsidRPr="00B02247">
        <w:t>raising</w:t>
      </w:r>
      <w:r w:rsidR="005B2A41">
        <w:t xml:space="preserve"> </w:t>
      </w:r>
      <w:r w:rsidRPr="00B02247">
        <w:t>awareness</w:t>
      </w:r>
      <w:r w:rsidR="005B2A41">
        <w:t xml:space="preserve"> </w:t>
      </w:r>
      <w:r w:rsidRPr="00B02247">
        <w:t>and</w:t>
      </w:r>
      <w:r w:rsidR="005B2A41">
        <w:t xml:space="preserve"> </w:t>
      </w:r>
      <w:r w:rsidRPr="00B02247">
        <w:t>organizing</w:t>
      </w:r>
      <w:r w:rsidR="005B2A41">
        <w:t xml:space="preserve"> </w:t>
      </w:r>
      <w:r w:rsidRPr="00B02247">
        <w:t>trainings</w:t>
      </w:r>
      <w:r w:rsidR="005B2A41">
        <w:t xml:space="preserve"> </w:t>
      </w:r>
      <w:r w:rsidRPr="00B02247">
        <w:t>among</w:t>
      </w:r>
      <w:r w:rsidR="005B2A41">
        <w:t xml:space="preserve"> </w:t>
      </w:r>
      <w:r w:rsidRPr="00B02247">
        <w:t>businesses</w:t>
      </w:r>
      <w:r w:rsidR="005B2A41">
        <w:t xml:space="preserve"> </w:t>
      </w:r>
      <w:r w:rsidRPr="00B02247">
        <w:t>consumers</w:t>
      </w:r>
      <w:r w:rsidR="005B2A41">
        <w:t xml:space="preserve"> </w:t>
      </w:r>
      <w:r w:rsidRPr="00B02247">
        <w:t>and</w:t>
      </w:r>
      <w:r w:rsidR="005B2A41">
        <w:t xml:space="preserve"> </w:t>
      </w:r>
      <w:r w:rsidRPr="00B02247">
        <w:t>employees.</w:t>
      </w:r>
      <w:r w:rsidR="005B2A41">
        <w:t xml:space="preserve"> </w:t>
      </w:r>
    </w:p>
    <w:p w:rsidR="00F233AB" w:rsidRPr="00B02247" w:rsidRDefault="00F233AB" w:rsidP="00E1307D">
      <w:pPr>
        <w:pStyle w:val="SingleTxtG"/>
      </w:pPr>
      <w:r w:rsidRPr="00B02247">
        <w:t>122.</w:t>
      </w:r>
      <w:r w:rsidRPr="00B02247">
        <w:tab/>
        <w:t>Last</w:t>
      </w:r>
      <w:r w:rsidR="005B2A41">
        <w:t xml:space="preserve"> </w:t>
      </w:r>
      <w:r w:rsidRPr="00B02247">
        <w:t>but</w:t>
      </w:r>
      <w:r w:rsidR="005B2A41">
        <w:t xml:space="preserve"> </w:t>
      </w:r>
      <w:r w:rsidRPr="00B02247">
        <w:t>not</w:t>
      </w:r>
      <w:r w:rsidR="005B2A41">
        <w:t xml:space="preserve"> </w:t>
      </w:r>
      <w:r w:rsidRPr="00B02247">
        <w:t>least,</w:t>
      </w:r>
      <w:r w:rsidR="005B2A41">
        <w:t xml:space="preserve"> </w:t>
      </w:r>
      <w:r w:rsidRPr="00B02247">
        <w:t>the</w:t>
      </w:r>
      <w:r w:rsidR="005B2A41">
        <w:t xml:space="preserve"> </w:t>
      </w:r>
      <w:r w:rsidRPr="00B02247">
        <w:t>Office</w:t>
      </w:r>
      <w:r w:rsidR="005B2A41">
        <w:t xml:space="preserve"> </w:t>
      </w:r>
      <w:r w:rsidRPr="00B02247">
        <w:t>of</w:t>
      </w:r>
      <w:r w:rsidR="005B2A41">
        <w:t xml:space="preserve"> </w:t>
      </w:r>
      <w:r w:rsidRPr="00B02247">
        <w:t>the</w:t>
      </w:r>
      <w:r w:rsidR="005B2A41">
        <w:t xml:space="preserve"> </w:t>
      </w:r>
      <w:r w:rsidRPr="00B02247">
        <w:t>National</w:t>
      </w:r>
      <w:r w:rsidR="005B2A41">
        <w:t xml:space="preserve"> </w:t>
      </w:r>
      <w:r w:rsidRPr="00B02247">
        <w:t>Rapporteur,</w:t>
      </w:r>
      <w:r w:rsidR="005B2A41">
        <w:t xml:space="preserve"> </w:t>
      </w:r>
      <w:r w:rsidRPr="00B02247">
        <w:t>as</w:t>
      </w:r>
      <w:r w:rsidR="005B2A41">
        <w:t xml:space="preserve"> </w:t>
      </w:r>
      <w:r w:rsidRPr="00B02247">
        <w:t>a</w:t>
      </w:r>
      <w:r w:rsidR="005B2A41">
        <w:t xml:space="preserve"> </w:t>
      </w:r>
      <w:r w:rsidRPr="00B02247">
        <w:t>permanent</w:t>
      </w:r>
      <w:r w:rsidR="005B2A41">
        <w:t xml:space="preserve"> </w:t>
      </w:r>
      <w:r w:rsidRPr="00B02247">
        <w:t>member</w:t>
      </w:r>
      <w:r w:rsidR="005B2A41">
        <w:t xml:space="preserve"> </w:t>
      </w:r>
      <w:r w:rsidRPr="00B02247">
        <w:t>of</w:t>
      </w:r>
      <w:r w:rsidR="005B2A41">
        <w:t xml:space="preserve"> </w:t>
      </w:r>
      <w:r w:rsidRPr="00B02247">
        <w:t>National</w:t>
      </w:r>
      <w:r w:rsidR="005B2A41">
        <w:t xml:space="preserve"> </w:t>
      </w:r>
      <w:r w:rsidRPr="00B02247">
        <w:t>Council</w:t>
      </w:r>
      <w:r w:rsidR="005B2A41">
        <w:t xml:space="preserve"> </w:t>
      </w:r>
      <w:r w:rsidRPr="00B02247">
        <w:t>against</w:t>
      </w:r>
      <w:r w:rsidR="005B2A41">
        <w:t xml:space="preserve"> </w:t>
      </w:r>
      <w:r w:rsidRPr="00B02247">
        <w:t>Racism</w:t>
      </w:r>
      <w:r w:rsidR="005B2A41">
        <w:t xml:space="preserve"> </w:t>
      </w:r>
      <w:r w:rsidRPr="00B02247">
        <w:t>and</w:t>
      </w:r>
      <w:r w:rsidR="005B2A41">
        <w:t xml:space="preserve"> </w:t>
      </w:r>
      <w:r w:rsidRPr="00B02247">
        <w:t>Intolerance</w:t>
      </w:r>
      <w:r w:rsidR="005B2A41">
        <w:t xml:space="preserve"> </w:t>
      </w:r>
      <w:r w:rsidRPr="00B02247">
        <w:t>of</w:t>
      </w:r>
      <w:r w:rsidR="005B2A41">
        <w:t xml:space="preserve"> </w:t>
      </w:r>
      <w:r w:rsidRPr="00B02247">
        <w:t>the</w:t>
      </w:r>
      <w:r w:rsidR="005B2A41">
        <w:t xml:space="preserve"> </w:t>
      </w:r>
      <w:r w:rsidRPr="00B02247">
        <w:t>Ministry</w:t>
      </w:r>
      <w:r w:rsidR="005B2A41">
        <w:t xml:space="preserve"> </w:t>
      </w:r>
      <w:r w:rsidRPr="00B02247">
        <w:t>of</w:t>
      </w:r>
      <w:r w:rsidR="005B2A41">
        <w:t xml:space="preserve"> </w:t>
      </w:r>
      <w:r w:rsidRPr="00B02247">
        <w:t>Justice,</w:t>
      </w:r>
      <w:r w:rsidR="005B2A41">
        <w:t xml:space="preserve"> </w:t>
      </w:r>
      <w:r w:rsidRPr="00B02247">
        <w:t>aims</w:t>
      </w:r>
      <w:r w:rsidR="005B2A41">
        <w:t xml:space="preserve"> </w:t>
      </w:r>
      <w:r w:rsidRPr="00B02247">
        <w:t>at</w:t>
      </w:r>
      <w:r w:rsidR="005B2A41">
        <w:t xml:space="preserve"> </w:t>
      </w:r>
      <w:r w:rsidRPr="00B02247">
        <w:t>promoting</w:t>
      </w:r>
      <w:r w:rsidR="005B2A41">
        <w:t xml:space="preserve"> </w:t>
      </w:r>
      <w:r w:rsidRPr="00B02247">
        <w:t>human</w:t>
      </w:r>
      <w:r w:rsidR="005B2A41">
        <w:t xml:space="preserve"> </w:t>
      </w:r>
      <w:r w:rsidRPr="00B02247">
        <w:t>rights</w:t>
      </w:r>
      <w:r w:rsidR="005B2A41">
        <w:t xml:space="preserve"> </w:t>
      </w:r>
      <w:r w:rsidRPr="00B02247">
        <w:t>education</w:t>
      </w:r>
      <w:r w:rsidR="005B2A41">
        <w:t xml:space="preserve"> </w:t>
      </w:r>
      <w:r w:rsidRPr="00B02247">
        <w:t>at</w:t>
      </w:r>
      <w:r w:rsidR="005B2A41">
        <w:t xml:space="preserve"> </w:t>
      </w:r>
      <w:r w:rsidRPr="00B02247">
        <w:t>schools,</w:t>
      </w:r>
      <w:r w:rsidR="005B2A41">
        <w:t xml:space="preserve"> </w:t>
      </w:r>
      <w:r w:rsidRPr="00B02247">
        <w:t>in</w:t>
      </w:r>
      <w:r w:rsidR="005B2A41">
        <w:t xml:space="preserve"> </w:t>
      </w:r>
      <w:r w:rsidRPr="00B02247">
        <w:t>collaboration</w:t>
      </w:r>
      <w:r w:rsidR="005B2A41">
        <w:t xml:space="preserve"> </w:t>
      </w:r>
      <w:r w:rsidRPr="00B02247">
        <w:t>with</w:t>
      </w:r>
      <w:r w:rsidR="005B2A41">
        <w:t xml:space="preserve"> </w:t>
      </w:r>
      <w:r w:rsidRPr="00B02247">
        <w:t>the</w:t>
      </w:r>
      <w:r w:rsidR="005B2A41">
        <w:t xml:space="preserve"> </w:t>
      </w:r>
      <w:r w:rsidRPr="00B02247">
        <w:t>Ministry</w:t>
      </w:r>
      <w:r w:rsidR="005B2A41">
        <w:t xml:space="preserve"> </w:t>
      </w:r>
      <w:r w:rsidRPr="00B02247">
        <w:t>of</w:t>
      </w:r>
      <w:r w:rsidR="005B2A41">
        <w:t xml:space="preserve"> </w:t>
      </w:r>
      <w:r w:rsidRPr="00B02247">
        <w:t>Education.</w:t>
      </w:r>
      <w:r w:rsidR="005B2A41">
        <w:t xml:space="preserve"> </w:t>
      </w:r>
      <w:r w:rsidRPr="00B02247">
        <w:t>The</w:t>
      </w:r>
      <w:r w:rsidR="005B2A41">
        <w:t xml:space="preserve"> </w:t>
      </w:r>
      <w:r w:rsidRPr="00B02247">
        <w:t>main</w:t>
      </w:r>
      <w:r w:rsidR="005B2A41">
        <w:t xml:space="preserve"> </w:t>
      </w:r>
      <w:r w:rsidRPr="00B02247">
        <w:t>objective</w:t>
      </w:r>
      <w:r w:rsidR="005B2A41">
        <w:t xml:space="preserve"> </w:t>
      </w:r>
      <w:r w:rsidRPr="00B02247">
        <w:t>is</w:t>
      </w:r>
      <w:r w:rsidR="005B2A41">
        <w:t xml:space="preserve"> </w:t>
      </w:r>
      <w:r w:rsidRPr="00B02247">
        <w:t>to</w:t>
      </w:r>
      <w:r w:rsidR="005B2A41">
        <w:t xml:space="preserve"> </w:t>
      </w:r>
      <w:r w:rsidRPr="00B02247">
        <w:t>educate</w:t>
      </w:r>
      <w:r w:rsidR="005B2A41">
        <w:t xml:space="preserve"> </w:t>
      </w:r>
      <w:r w:rsidRPr="00B02247">
        <w:t>students</w:t>
      </w:r>
      <w:r w:rsidR="005B2A41">
        <w:t xml:space="preserve"> </w:t>
      </w:r>
      <w:r w:rsidRPr="00B02247">
        <w:t>at</w:t>
      </w:r>
      <w:r w:rsidR="005B2A41">
        <w:t xml:space="preserve"> </w:t>
      </w:r>
      <w:r w:rsidRPr="00B02247">
        <w:t>a</w:t>
      </w:r>
      <w:r w:rsidR="005B2A41">
        <w:t xml:space="preserve"> </w:t>
      </w:r>
      <w:r w:rsidRPr="00B02247">
        <w:t>young</w:t>
      </w:r>
      <w:r w:rsidR="005B2A41">
        <w:t xml:space="preserve"> </w:t>
      </w:r>
      <w:r w:rsidRPr="00B02247">
        <w:t>age</w:t>
      </w:r>
      <w:r w:rsidR="005B2A41">
        <w:t xml:space="preserve"> </w:t>
      </w:r>
      <w:r w:rsidRPr="00B02247">
        <w:t>about</w:t>
      </w:r>
      <w:r w:rsidR="005B2A41">
        <w:t xml:space="preserve"> </w:t>
      </w:r>
      <w:r w:rsidRPr="00B02247">
        <w:t>fundamental</w:t>
      </w:r>
      <w:r w:rsidR="005B2A41">
        <w:t xml:space="preserve"> </w:t>
      </w:r>
      <w:r w:rsidRPr="00B02247">
        <w:t>rights,</w:t>
      </w:r>
      <w:r w:rsidR="005B2A41">
        <w:t xml:space="preserve"> </w:t>
      </w:r>
      <w:r w:rsidRPr="00B02247">
        <w:t>sexual</w:t>
      </w:r>
      <w:r w:rsidR="005B2A41">
        <w:t xml:space="preserve"> </w:t>
      </w:r>
      <w:r w:rsidRPr="00B02247">
        <w:t>and</w:t>
      </w:r>
      <w:r w:rsidR="005B2A41">
        <w:t xml:space="preserve"> </w:t>
      </w:r>
      <w:r w:rsidRPr="00B02247">
        <w:t>reproductive</w:t>
      </w:r>
      <w:r w:rsidR="005B2A41">
        <w:t xml:space="preserve"> </w:t>
      </w:r>
      <w:r w:rsidRPr="00B02247">
        <w:t>health.</w:t>
      </w:r>
    </w:p>
    <w:p w:rsidR="00F233AB" w:rsidRPr="00B02247" w:rsidRDefault="00F233AB" w:rsidP="006B654C">
      <w:pPr>
        <w:pStyle w:val="H4G"/>
      </w:pPr>
      <w:r w:rsidRPr="00B02247">
        <w:tab/>
      </w:r>
      <w:r w:rsidRPr="00B02247">
        <w:tab/>
        <w:t>Training</w:t>
      </w:r>
      <w:r w:rsidR="005B2A41">
        <w:t xml:space="preserve"> </w:t>
      </w:r>
      <w:r w:rsidRPr="00B02247">
        <w:t>of</w:t>
      </w:r>
      <w:r w:rsidR="005B2A41">
        <w:t xml:space="preserve"> </w:t>
      </w:r>
      <w:r w:rsidRPr="00B02247">
        <w:t>the</w:t>
      </w:r>
      <w:r w:rsidR="005B2A41">
        <w:t xml:space="preserve"> </w:t>
      </w:r>
      <w:r w:rsidRPr="00B02247">
        <w:t>Hellenic</w:t>
      </w:r>
      <w:r w:rsidR="005B2A41">
        <w:t xml:space="preserve"> </w:t>
      </w:r>
      <w:r w:rsidRPr="00B02247">
        <w:t>Police</w:t>
      </w:r>
      <w:r w:rsidR="005B2A41">
        <w:t xml:space="preserve"> </w:t>
      </w:r>
      <w:r w:rsidRPr="00B02247">
        <w:t>personnel</w:t>
      </w:r>
    </w:p>
    <w:p w:rsidR="00F233AB" w:rsidRPr="00B02247" w:rsidRDefault="00F233AB" w:rsidP="00E1307D">
      <w:pPr>
        <w:pStyle w:val="SingleTxtG"/>
      </w:pPr>
      <w:r w:rsidRPr="00B02247">
        <w:t>123.</w:t>
      </w:r>
      <w:r w:rsidRPr="00B02247">
        <w:tab/>
        <w:t>The</w:t>
      </w:r>
      <w:r w:rsidR="005B2A41">
        <w:t xml:space="preserve"> </w:t>
      </w:r>
      <w:r w:rsidRPr="00B02247">
        <w:t>uniformed</w:t>
      </w:r>
      <w:r w:rsidR="005B2A41">
        <w:t xml:space="preserve"> </w:t>
      </w:r>
      <w:r w:rsidRPr="00B02247">
        <w:t>personnel</w:t>
      </w:r>
      <w:r w:rsidR="005B2A41">
        <w:t xml:space="preserve"> </w:t>
      </w:r>
      <w:r w:rsidRPr="00B02247">
        <w:t>of</w:t>
      </w:r>
      <w:r w:rsidR="005B2A41">
        <w:t xml:space="preserve"> </w:t>
      </w:r>
      <w:r w:rsidRPr="00B02247">
        <w:t>the</w:t>
      </w:r>
      <w:r w:rsidR="005B2A41">
        <w:t xml:space="preserve"> </w:t>
      </w:r>
      <w:r w:rsidRPr="00B02247">
        <w:t>Hellenic</w:t>
      </w:r>
      <w:r w:rsidR="005B2A41">
        <w:t xml:space="preserve"> </w:t>
      </w:r>
      <w:r w:rsidRPr="00B02247">
        <w:t>Police</w:t>
      </w:r>
      <w:r w:rsidR="005B2A41">
        <w:t xml:space="preserve"> </w:t>
      </w:r>
      <w:r w:rsidRPr="00B02247">
        <w:t>is</w:t>
      </w:r>
      <w:r w:rsidR="005B2A41">
        <w:t xml:space="preserve"> </w:t>
      </w:r>
      <w:r w:rsidRPr="00B02247">
        <w:t>trained</w:t>
      </w:r>
      <w:r w:rsidR="005B2A41">
        <w:t xml:space="preserve"> </w:t>
      </w:r>
      <w:r w:rsidRPr="00B02247">
        <w:t>and</w:t>
      </w:r>
      <w:r w:rsidR="005B2A41">
        <w:t xml:space="preserve"> </w:t>
      </w:r>
      <w:r w:rsidRPr="00B02247">
        <w:t>retrained</w:t>
      </w:r>
      <w:r w:rsidR="005B2A41">
        <w:t xml:space="preserve"> </w:t>
      </w:r>
      <w:r w:rsidRPr="00B02247">
        <w:t>at</w:t>
      </w:r>
      <w:r w:rsidR="005B2A41">
        <w:t xml:space="preserve"> </w:t>
      </w:r>
      <w:r w:rsidRPr="00B02247">
        <w:t>national</w:t>
      </w:r>
      <w:r w:rsidR="005B2A41">
        <w:t xml:space="preserve"> </w:t>
      </w:r>
      <w:r w:rsidRPr="00B02247">
        <w:t>level,</w:t>
      </w:r>
      <w:r w:rsidR="005B2A41">
        <w:t xml:space="preserve"> </w:t>
      </w:r>
      <w:r w:rsidRPr="00B02247">
        <w:t>in</w:t>
      </w:r>
      <w:r w:rsidR="005B2A41">
        <w:t xml:space="preserve"> </w:t>
      </w:r>
      <w:r w:rsidRPr="00B02247">
        <w:t>the</w:t>
      </w:r>
      <w:r w:rsidR="005B2A41">
        <w:t xml:space="preserve"> </w:t>
      </w:r>
      <w:r w:rsidRPr="00B02247">
        <w:t>Schools</w:t>
      </w:r>
      <w:r w:rsidR="005B2A41">
        <w:t xml:space="preserve"> </w:t>
      </w:r>
      <w:r w:rsidRPr="00B02247">
        <w:t>of</w:t>
      </w:r>
      <w:r w:rsidR="005B2A41">
        <w:t xml:space="preserve"> </w:t>
      </w:r>
      <w:r w:rsidRPr="00B02247">
        <w:t>the</w:t>
      </w:r>
      <w:r w:rsidR="005B2A41">
        <w:t xml:space="preserve"> </w:t>
      </w:r>
      <w:r w:rsidRPr="00B02247">
        <w:t>Police</w:t>
      </w:r>
      <w:r w:rsidR="005B2A41">
        <w:t xml:space="preserve"> </w:t>
      </w:r>
      <w:r w:rsidRPr="00B02247">
        <w:t>Academy,</w:t>
      </w:r>
      <w:r w:rsidR="005B2A41">
        <w:t xml:space="preserve"> </w:t>
      </w:r>
      <w:r w:rsidRPr="00B02247">
        <w:t>as</w:t>
      </w:r>
      <w:r w:rsidR="005B2A41">
        <w:t xml:space="preserve"> </w:t>
      </w:r>
      <w:r w:rsidRPr="00B02247">
        <w:t>well</w:t>
      </w:r>
      <w:r w:rsidR="005B2A41">
        <w:t xml:space="preserve"> </w:t>
      </w:r>
      <w:r w:rsidRPr="00B02247">
        <w:t>as,</w:t>
      </w:r>
      <w:r w:rsidR="005B2A41">
        <w:t xml:space="preserve"> </w:t>
      </w:r>
      <w:r w:rsidRPr="00B02247">
        <w:t>at</w:t>
      </w:r>
      <w:r w:rsidR="005B2A41">
        <w:t xml:space="preserve"> </w:t>
      </w:r>
      <w:r w:rsidRPr="00B02247">
        <w:t>international</w:t>
      </w:r>
      <w:r w:rsidR="005B2A41">
        <w:t xml:space="preserve"> </w:t>
      </w:r>
      <w:r w:rsidRPr="00B02247">
        <w:t>level,</w:t>
      </w:r>
      <w:r w:rsidR="005B2A41">
        <w:t xml:space="preserve"> </w:t>
      </w:r>
      <w:r w:rsidRPr="00B02247">
        <w:t>with</w:t>
      </w:r>
      <w:r w:rsidR="005B2A41">
        <w:t xml:space="preserve"> </w:t>
      </w:r>
      <w:r w:rsidRPr="00B02247">
        <w:t>relevant</w:t>
      </w:r>
      <w:r w:rsidR="005B2A41">
        <w:t xml:space="preserve"> </w:t>
      </w:r>
      <w:r w:rsidRPr="00B02247">
        <w:t>seminars</w:t>
      </w:r>
      <w:r w:rsidR="005B2A41">
        <w:t xml:space="preserve"> </w:t>
      </w:r>
      <w:r w:rsidRPr="00B02247">
        <w:t>on</w:t>
      </w:r>
      <w:r w:rsidR="005B2A41">
        <w:t xml:space="preserve"> </w:t>
      </w:r>
      <w:r w:rsidRPr="00B02247">
        <w:t>the</w:t>
      </w:r>
      <w:r w:rsidR="005B2A41">
        <w:t xml:space="preserve"> </w:t>
      </w:r>
      <w:r w:rsidRPr="00B02247">
        <w:t>topics</w:t>
      </w:r>
      <w:r w:rsidR="005B2A41">
        <w:t xml:space="preserve"> </w:t>
      </w:r>
      <w:r w:rsidRPr="00B02247">
        <w:t>of</w:t>
      </w:r>
      <w:r w:rsidR="005B2A41">
        <w:t xml:space="preserve"> </w:t>
      </w:r>
      <w:r w:rsidRPr="00B02247">
        <w:t>protection</w:t>
      </w:r>
      <w:r w:rsidR="005B2A41">
        <w:t xml:space="preserve"> </w:t>
      </w:r>
      <w:r w:rsidRPr="00B02247">
        <w:t>of</w:t>
      </w:r>
      <w:r w:rsidR="005B2A41">
        <w:t xml:space="preserve"> </w:t>
      </w:r>
      <w:r w:rsidRPr="00B02247">
        <w:t>human</w:t>
      </w:r>
      <w:r w:rsidR="005B2A41">
        <w:t xml:space="preserve"> </w:t>
      </w:r>
      <w:r w:rsidRPr="00B02247">
        <w:t>rights</w:t>
      </w:r>
      <w:r w:rsidR="005B2A41">
        <w:t xml:space="preserve"> </w:t>
      </w:r>
      <w:r w:rsidRPr="00B02247">
        <w:t>and</w:t>
      </w:r>
      <w:r w:rsidR="005B2A41">
        <w:t xml:space="preserve"> </w:t>
      </w:r>
      <w:r w:rsidRPr="00B02247">
        <w:t>tackling</w:t>
      </w:r>
      <w:r w:rsidR="005B2A41">
        <w:t xml:space="preserve"> </w:t>
      </w:r>
      <w:r w:rsidRPr="00B02247">
        <w:t>racist</w:t>
      </w:r>
      <w:r w:rsidR="005B2A41">
        <w:t xml:space="preserve"> </w:t>
      </w:r>
      <w:r w:rsidRPr="00B02247">
        <w:t>violence</w:t>
      </w:r>
      <w:r w:rsidR="005B2A41">
        <w:t xml:space="preserve"> </w:t>
      </w:r>
      <w:r w:rsidRPr="00B02247">
        <w:t>and</w:t>
      </w:r>
      <w:r w:rsidR="005B2A41">
        <w:t xml:space="preserve"> </w:t>
      </w:r>
      <w:r w:rsidRPr="00B02247">
        <w:t>discrimination</w:t>
      </w:r>
      <w:r w:rsidR="005B2A41">
        <w:t xml:space="preserve"> </w:t>
      </w:r>
      <w:r w:rsidRPr="00B02247">
        <w:t>phenomena.</w:t>
      </w:r>
    </w:p>
    <w:p w:rsidR="00F233AB" w:rsidRPr="00B02247" w:rsidRDefault="00F233AB" w:rsidP="00E1307D">
      <w:pPr>
        <w:pStyle w:val="SingleTxtG"/>
      </w:pPr>
      <w:r w:rsidRPr="00B02247">
        <w:t>124.</w:t>
      </w:r>
      <w:r w:rsidRPr="00B02247">
        <w:tab/>
        <w:t>At</w:t>
      </w:r>
      <w:r w:rsidR="005B2A41">
        <w:t xml:space="preserve"> </w:t>
      </w:r>
      <w:r w:rsidRPr="00B02247">
        <w:t>the</w:t>
      </w:r>
      <w:r w:rsidR="005B2A41">
        <w:t xml:space="preserve"> </w:t>
      </w:r>
      <w:r w:rsidRPr="00B02247">
        <w:t>level</w:t>
      </w:r>
      <w:r w:rsidR="005B2A41">
        <w:t xml:space="preserve"> </w:t>
      </w:r>
      <w:r w:rsidRPr="00B02247">
        <w:t>of</w:t>
      </w:r>
      <w:r w:rsidR="005B2A41">
        <w:t xml:space="preserve"> </w:t>
      </w:r>
      <w:r w:rsidRPr="00B02247">
        <w:t>basic</w:t>
      </w:r>
      <w:r w:rsidR="005B2A41">
        <w:t xml:space="preserve"> </w:t>
      </w:r>
      <w:r w:rsidRPr="00B02247">
        <w:t>training,</w:t>
      </w:r>
      <w:r w:rsidR="005B2A41">
        <w:t xml:space="preserve"> </w:t>
      </w:r>
      <w:r w:rsidRPr="00B02247">
        <w:t>the</w:t>
      </w:r>
      <w:r w:rsidR="005B2A41">
        <w:t xml:space="preserve"> </w:t>
      </w:r>
      <w:r w:rsidRPr="00B02247">
        <w:t>students</w:t>
      </w:r>
      <w:r w:rsidR="005B2A41">
        <w:t xml:space="preserve"> </w:t>
      </w:r>
      <w:r w:rsidRPr="00B02247">
        <w:t>of</w:t>
      </w:r>
      <w:r w:rsidR="005B2A41">
        <w:t xml:space="preserve"> </w:t>
      </w:r>
      <w:r w:rsidRPr="00B02247">
        <w:t>the</w:t>
      </w:r>
      <w:r w:rsidR="005B2A41">
        <w:t xml:space="preserve"> </w:t>
      </w:r>
      <w:r w:rsidRPr="00B02247">
        <w:t>Schools</w:t>
      </w:r>
      <w:r w:rsidR="005B2A41">
        <w:t xml:space="preserve"> </w:t>
      </w:r>
      <w:r w:rsidRPr="00B02247">
        <w:t>of</w:t>
      </w:r>
      <w:r w:rsidR="005B2A41">
        <w:t xml:space="preserve"> </w:t>
      </w:r>
      <w:r w:rsidRPr="00B02247">
        <w:t>the</w:t>
      </w:r>
      <w:r w:rsidR="005B2A41">
        <w:t xml:space="preserve"> </w:t>
      </w:r>
      <w:r w:rsidRPr="00B02247">
        <w:t>Police</w:t>
      </w:r>
      <w:r w:rsidR="005B2A41">
        <w:t xml:space="preserve"> </w:t>
      </w:r>
      <w:r w:rsidRPr="00B02247">
        <w:t>Academy</w:t>
      </w:r>
      <w:r w:rsidR="005B2A41">
        <w:t xml:space="preserve"> </w:t>
      </w:r>
      <w:r w:rsidRPr="00B02247">
        <w:t>are</w:t>
      </w:r>
      <w:r w:rsidR="005B2A41">
        <w:t xml:space="preserve"> </w:t>
      </w:r>
      <w:r w:rsidRPr="00B02247">
        <w:t>taught</w:t>
      </w:r>
      <w:r w:rsidR="005B2A41">
        <w:t xml:space="preserve"> </w:t>
      </w:r>
      <w:r w:rsidRPr="00B02247">
        <w:t>the</w:t>
      </w:r>
      <w:r w:rsidR="005B2A41">
        <w:t xml:space="preserve"> </w:t>
      </w:r>
      <w:r w:rsidRPr="00B02247">
        <w:t>thematic</w:t>
      </w:r>
      <w:r w:rsidR="005B2A41">
        <w:t xml:space="preserve"> </w:t>
      </w:r>
      <w:r w:rsidRPr="00B02247">
        <w:t>unit</w:t>
      </w:r>
      <w:r w:rsidR="005B2A41">
        <w:t xml:space="preserve"> </w:t>
      </w:r>
      <w:r w:rsidR="003E731F">
        <w:t>“</w:t>
      </w:r>
      <w:r w:rsidRPr="00B02247">
        <w:t>Human</w:t>
      </w:r>
      <w:r w:rsidR="005B2A41">
        <w:t xml:space="preserve"> </w:t>
      </w:r>
      <w:r w:rsidRPr="00B02247">
        <w:t>Rights</w:t>
      </w:r>
      <w:r w:rsidR="003E731F">
        <w:t>”</w:t>
      </w:r>
      <w:r w:rsidRPr="00B02247">
        <w:t>,</w:t>
      </w:r>
      <w:r w:rsidR="005B2A41">
        <w:t xml:space="preserve"> </w:t>
      </w:r>
      <w:r w:rsidRPr="00B02247">
        <w:t>as</w:t>
      </w:r>
      <w:r w:rsidR="005B2A41">
        <w:t xml:space="preserve"> </w:t>
      </w:r>
      <w:r w:rsidRPr="00B02247">
        <w:t>an</w:t>
      </w:r>
      <w:r w:rsidR="005B2A41">
        <w:t xml:space="preserve"> </w:t>
      </w:r>
      <w:r w:rsidRPr="00B02247">
        <w:t>independent</w:t>
      </w:r>
      <w:r w:rsidR="005B2A41">
        <w:t xml:space="preserve"> </w:t>
      </w:r>
      <w:r w:rsidRPr="00B02247">
        <w:t>field</w:t>
      </w:r>
      <w:r w:rsidR="005B2A41">
        <w:t xml:space="preserve"> </w:t>
      </w:r>
      <w:r w:rsidRPr="00B02247">
        <w:t>of</w:t>
      </w:r>
      <w:r w:rsidR="005B2A41">
        <w:t xml:space="preserve"> </w:t>
      </w:r>
      <w:r w:rsidRPr="00B02247">
        <w:t>study,</w:t>
      </w:r>
      <w:r w:rsidR="005B2A41">
        <w:t xml:space="preserve"> </w:t>
      </w:r>
      <w:r w:rsidRPr="00B02247">
        <w:t>in</w:t>
      </w:r>
      <w:r w:rsidR="005B2A41">
        <w:t xml:space="preserve"> </w:t>
      </w:r>
      <w:r w:rsidRPr="00B02247">
        <w:t>the</w:t>
      </w:r>
      <w:r w:rsidR="005B2A41">
        <w:t xml:space="preserve"> </w:t>
      </w:r>
      <w:r w:rsidRPr="00B02247">
        <w:t>context</w:t>
      </w:r>
      <w:r w:rsidR="005B2A41">
        <w:t xml:space="preserve"> </w:t>
      </w:r>
      <w:r w:rsidRPr="00B02247">
        <w:t>of</w:t>
      </w:r>
      <w:r w:rsidR="005B2A41">
        <w:t xml:space="preserve"> </w:t>
      </w:r>
      <w:r w:rsidRPr="00B02247">
        <w:t>the</w:t>
      </w:r>
      <w:r w:rsidR="005B2A41">
        <w:t xml:space="preserve"> </w:t>
      </w:r>
      <w:r w:rsidRPr="00B02247">
        <w:t>subjects</w:t>
      </w:r>
      <w:r w:rsidR="005B2A41">
        <w:t xml:space="preserve"> </w:t>
      </w:r>
      <w:r w:rsidR="003E731F">
        <w:t>“</w:t>
      </w:r>
      <w:r w:rsidRPr="00B02247">
        <w:t>Constitutional</w:t>
      </w:r>
      <w:r w:rsidR="005B2A41">
        <w:t xml:space="preserve"> </w:t>
      </w:r>
      <w:r w:rsidRPr="00B02247">
        <w:t>Law-Human</w:t>
      </w:r>
      <w:r w:rsidR="005B2A41">
        <w:t xml:space="preserve"> </w:t>
      </w:r>
      <w:r w:rsidRPr="00B02247">
        <w:t>Rights</w:t>
      </w:r>
      <w:r w:rsidR="003E731F">
        <w:t>”</w:t>
      </w:r>
      <w:r w:rsidR="005B2A41">
        <w:t xml:space="preserve"> </w:t>
      </w:r>
      <w:r w:rsidRPr="00B02247">
        <w:t>and</w:t>
      </w:r>
      <w:r w:rsidR="005B2A41">
        <w:t xml:space="preserve"> </w:t>
      </w:r>
      <w:r w:rsidR="003E731F">
        <w:t>“</w:t>
      </w:r>
      <w:r w:rsidRPr="00B02247">
        <w:t>Elements</w:t>
      </w:r>
      <w:r w:rsidR="005B2A41">
        <w:t xml:space="preserve"> </w:t>
      </w:r>
      <w:r w:rsidRPr="00B02247">
        <w:t>of</w:t>
      </w:r>
      <w:r w:rsidR="005B2A41">
        <w:t xml:space="preserve"> </w:t>
      </w:r>
      <w:r w:rsidRPr="00B02247">
        <w:t>Constitutional</w:t>
      </w:r>
      <w:r w:rsidR="005B2A41">
        <w:t xml:space="preserve"> </w:t>
      </w:r>
      <w:r w:rsidRPr="00B02247">
        <w:t>Law-Human</w:t>
      </w:r>
      <w:r w:rsidR="005B2A41">
        <w:t xml:space="preserve"> </w:t>
      </w:r>
      <w:r w:rsidRPr="00B02247">
        <w:t>Rights</w:t>
      </w:r>
      <w:r w:rsidR="005B2A41">
        <w:t xml:space="preserve"> </w:t>
      </w:r>
      <w:r w:rsidRPr="00B02247">
        <w:t>and</w:t>
      </w:r>
      <w:r w:rsidR="005B2A41">
        <w:t xml:space="preserve"> </w:t>
      </w:r>
      <w:r w:rsidRPr="00B02247">
        <w:t>elements</w:t>
      </w:r>
      <w:r w:rsidR="005B2A41">
        <w:t xml:space="preserve"> </w:t>
      </w:r>
      <w:r w:rsidRPr="00B02247">
        <w:t>of</w:t>
      </w:r>
      <w:r w:rsidR="005B2A41">
        <w:t xml:space="preserve"> </w:t>
      </w:r>
      <w:r w:rsidRPr="00B02247">
        <w:t>Administrative</w:t>
      </w:r>
      <w:r w:rsidR="005B2A41">
        <w:t xml:space="preserve"> </w:t>
      </w:r>
      <w:r w:rsidRPr="00B02247">
        <w:t>Law</w:t>
      </w:r>
      <w:r w:rsidR="003E731F">
        <w:t>”</w:t>
      </w:r>
      <w:r w:rsidR="005B2A41">
        <w:t xml:space="preserve"> </w:t>
      </w:r>
      <w:r w:rsidRPr="00B02247">
        <w:t>from</w:t>
      </w:r>
      <w:r w:rsidR="005B2A41">
        <w:t xml:space="preserve"> </w:t>
      </w:r>
      <w:r w:rsidRPr="00B02247">
        <w:t>well-known</w:t>
      </w:r>
      <w:r w:rsidR="005B2A41">
        <w:t xml:space="preserve"> </w:t>
      </w:r>
      <w:r w:rsidRPr="00B02247">
        <w:t>University</w:t>
      </w:r>
      <w:r w:rsidR="005B2A41">
        <w:t xml:space="preserve"> </w:t>
      </w:r>
      <w:r w:rsidRPr="00B02247">
        <w:t>professors</w:t>
      </w:r>
      <w:r w:rsidR="005B2A41">
        <w:t xml:space="preserve"> </w:t>
      </w:r>
      <w:r w:rsidRPr="00B02247">
        <w:t>and</w:t>
      </w:r>
      <w:r w:rsidR="005B2A41">
        <w:t xml:space="preserve"> </w:t>
      </w:r>
      <w:r w:rsidRPr="00B02247">
        <w:t>specialized</w:t>
      </w:r>
      <w:r w:rsidR="005B2A41">
        <w:t xml:space="preserve"> </w:t>
      </w:r>
      <w:r w:rsidRPr="00B02247">
        <w:t>scientific</w:t>
      </w:r>
      <w:r w:rsidR="005B2A41">
        <w:t xml:space="preserve"> </w:t>
      </w:r>
      <w:r w:rsidRPr="00B02247">
        <w:t>personnel.</w:t>
      </w:r>
      <w:r w:rsidR="005B2A41">
        <w:t xml:space="preserve"> </w:t>
      </w:r>
      <w:r w:rsidRPr="00B02247">
        <w:t>Moreover,</w:t>
      </w:r>
      <w:r w:rsidR="005B2A41">
        <w:t xml:space="preserve"> </w:t>
      </w:r>
      <w:r w:rsidRPr="00B02247">
        <w:t>lectures</w:t>
      </w:r>
      <w:r w:rsidR="005B2A41">
        <w:t xml:space="preserve"> </w:t>
      </w:r>
      <w:r w:rsidRPr="00B02247">
        <w:t>are</w:t>
      </w:r>
      <w:r w:rsidR="005B2A41">
        <w:t xml:space="preserve"> </w:t>
      </w:r>
      <w:r w:rsidRPr="00B02247">
        <w:t>conducted</w:t>
      </w:r>
      <w:r w:rsidR="005B2A41">
        <w:t xml:space="preserve"> </w:t>
      </w:r>
      <w:r w:rsidRPr="00B02247">
        <w:t>on</w:t>
      </w:r>
      <w:r w:rsidR="005B2A41">
        <w:t xml:space="preserve"> </w:t>
      </w:r>
      <w:r w:rsidRPr="00B02247">
        <w:t>topics</w:t>
      </w:r>
      <w:r w:rsidR="005B2A41">
        <w:t xml:space="preserve"> </w:t>
      </w:r>
      <w:r w:rsidRPr="00B02247">
        <w:t>such</w:t>
      </w:r>
      <w:r w:rsidR="005B2A41">
        <w:t xml:space="preserve"> </w:t>
      </w:r>
      <w:r w:rsidRPr="00B02247">
        <w:t>as:</w:t>
      </w:r>
      <w:r w:rsidR="005B2A41">
        <w:t xml:space="preserve"> </w:t>
      </w:r>
      <w:r w:rsidRPr="00B02247">
        <w:t>racism</w:t>
      </w:r>
      <w:r w:rsidR="005B2A41">
        <w:t xml:space="preserve"> </w:t>
      </w:r>
      <w:r w:rsidRPr="00B02247">
        <w:t>and</w:t>
      </w:r>
      <w:r w:rsidR="005B2A41">
        <w:t xml:space="preserve"> </w:t>
      </w:r>
      <w:r w:rsidRPr="00B02247">
        <w:t>xenophobia,</w:t>
      </w:r>
      <w:r w:rsidR="005B2A41">
        <w:t xml:space="preserve"> </w:t>
      </w:r>
      <w:r w:rsidRPr="00B02247">
        <w:t>migration</w:t>
      </w:r>
      <w:r w:rsidR="005B2A41">
        <w:t xml:space="preserve"> </w:t>
      </w:r>
      <w:r w:rsidRPr="00B02247">
        <w:t>in</w:t>
      </w:r>
      <w:r w:rsidR="005B2A41">
        <w:t xml:space="preserve"> </w:t>
      </w:r>
      <w:r w:rsidRPr="00B02247">
        <w:t>the</w:t>
      </w:r>
      <w:r w:rsidR="005B2A41">
        <w:t xml:space="preserve"> </w:t>
      </w:r>
      <w:r w:rsidRPr="00B02247">
        <w:t>21st</w:t>
      </w:r>
      <w:r w:rsidR="005B2A41">
        <w:t xml:space="preserve"> </w:t>
      </w:r>
      <w:r w:rsidRPr="00B02247">
        <w:t>Century:</w:t>
      </w:r>
      <w:r w:rsidR="005B2A41">
        <w:t xml:space="preserve"> </w:t>
      </w:r>
      <w:r w:rsidRPr="00B02247">
        <w:t>political</w:t>
      </w:r>
      <w:r w:rsidR="005B2A41">
        <w:t xml:space="preserve"> </w:t>
      </w:r>
      <w:r w:rsidRPr="00B02247">
        <w:t>identities,</w:t>
      </w:r>
      <w:r w:rsidR="005B2A41">
        <w:t xml:space="preserve"> </w:t>
      </w:r>
      <w:r w:rsidRPr="00B02247">
        <w:t>integration</w:t>
      </w:r>
      <w:r w:rsidR="005B2A41">
        <w:t xml:space="preserve"> </w:t>
      </w:r>
      <w:r w:rsidRPr="00B02247">
        <w:t>models,</w:t>
      </w:r>
      <w:r w:rsidR="005B2A41">
        <w:t xml:space="preserve"> </w:t>
      </w:r>
      <w:r w:rsidRPr="00B02247">
        <w:t>borders</w:t>
      </w:r>
      <w:r w:rsidR="005B2A41">
        <w:t xml:space="preserve"> </w:t>
      </w:r>
      <w:r w:rsidRPr="00B02247">
        <w:t>and</w:t>
      </w:r>
      <w:r w:rsidR="005B2A41">
        <w:t xml:space="preserve"> </w:t>
      </w:r>
      <w:r w:rsidRPr="00B02247">
        <w:t>boundaries,</w:t>
      </w:r>
      <w:r w:rsidR="005B2A41">
        <w:t xml:space="preserve"> </w:t>
      </w:r>
      <w:r w:rsidRPr="00B02247">
        <w:t>sensitization</w:t>
      </w:r>
      <w:r w:rsidR="005B2A41">
        <w:t xml:space="preserve"> </w:t>
      </w:r>
      <w:r w:rsidRPr="00B02247">
        <w:t>on</w:t>
      </w:r>
      <w:r w:rsidR="005B2A41">
        <w:t xml:space="preserve"> </w:t>
      </w:r>
      <w:r w:rsidRPr="00B02247">
        <w:t>topics</w:t>
      </w:r>
      <w:r w:rsidR="005B2A41">
        <w:t xml:space="preserve"> </w:t>
      </w:r>
      <w:r w:rsidRPr="00B02247">
        <w:t>regarding</w:t>
      </w:r>
      <w:r w:rsidR="005B2A41">
        <w:t xml:space="preserve"> </w:t>
      </w:r>
      <w:r w:rsidRPr="00B02247">
        <w:t>drug</w:t>
      </w:r>
      <w:r w:rsidR="005B2A41">
        <w:t xml:space="preserve"> </w:t>
      </w:r>
      <w:r w:rsidRPr="00B02247">
        <w:t>addicts</w:t>
      </w:r>
      <w:r w:rsidR="005B2A41">
        <w:t xml:space="preserve"> </w:t>
      </w:r>
      <w:r w:rsidRPr="00B02247">
        <w:t>and</w:t>
      </w:r>
      <w:r w:rsidR="005B2A41">
        <w:t xml:space="preserve"> </w:t>
      </w:r>
      <w:r w:rsidRPr="00B02247">
        <w:t>HIV/AIDS,</w:t>
      </w:r>
      <w:r w:rsidR="005B2A41">
        <w:t xml:space="preserve"> </w:t>
      </w:r>
      <w:r w:rsidRPr="00B02247">
        <w:t>trafficking</w:t>
      </w:r>
      <w:r w:rsidR="005B2A41">
        <w:t xml:space="preserve"> </w:t>
      </w:r>
      <w:r w:rsidRPr="00B02247">
        <w:t>in</w:t>
      </w:r>
      <w:r w:rsidR="005B2A41">
        <w:t xml:space="preserve"> </w:t>
      </w:r>
      <w:r w:rsidRPr="00B02247">
        <w:t>human</w:t>
      </w:r>
      <w:r w:rsidR="005B2A41">
        <w:t xml:space="preserve"> </w:t>
      </w:r>
      <w:r w:rsidRPr="00B02247">
        <w:t>beings,</w:t>
      </w:r>
      <w:r w:rsidR="005B2A41">
        <w:t xml:space="preserve"> </w:t>
      </w:r>
      <w:r w:rsidRPr="00B02247">
        <w:t>fight</w:t>
      </w:r>
      <w:r w:rsidR="005B2A41">
        <w:t xml:space="preserve"> </w:t>
      </w:r>
      <w:r w:rsidRPr="00B02247">
        <w:t>against</w:t>
      </w:r>
      <w:r w:rsidR="005B2A41">
        <w:t xml:space="preserve"> </w:t>
      </w:r>
      <w:r w:rsidRPr="00B02247">
        <w:t>discrimination,</w:t>
      </w:r>
      <w:r w:rsidR="005B2A41">
        <w:t xml:space="preserve"> </w:t>
      </w:r>
      <w:r w:rsidRPr="00B02247">
        <w:t>rights</w:t>
      </w:r>
      <w:r w:rsidR="005B2A41">
        <w:t xml:space="preserve"> </w:t>
      </w:r>
      <w:r w:rsidRPr="00B02247">
        <w:t>of</w:t>
      </w:r>
      <w:r w:rsidR="005B2A41">
        <w:t xml:space="preserve"> </w:t>
      </w:r>
      <w:r w:rsidRPr="00B02247">
        <w:t>LGBTI</w:t>
      </w:r>
      <w:r w:rsidR="005B2A41">
        <w:t xml:space="preserve"> </w:t>
      </w:r>
      <w:r w:rsidRPr="00B02247">
        <w:t>individuals.</w:t>
      </w:r>
    </w:p>
    <w:p w:rsidR="00F233AB" w:rsidRPr="00B02247" w:rsidRDefault="00F233AB" w:rsidP="00E1307D">
      <w:pPr>
        <w:pStyle w:val="SingleTxtG"/>
      </w:pPr>
      <w:r w:rsidRPr="00B02247">
        <w:t>125.</w:t>
      </w:r>
      <w:r w:rsidRPr="00B02247">
        <w:tab/>
        <w:t>Furthermore,</w:t>
      </w:r>
      <w:r w:rsidR="005B2A41">
        <w:t xml:space="preserve"> </w:t>
      </w:r>
      <w:r w:rsidRPr="00B02247">
        <w:t>at</w:t>
      </w:r>
      <w:r w:rsidR="005B2A41">
        <w:t xml:space="preserve"> </w:t>
      </w:r>
      <w:r w:rsidRPr="00B02247">
        <w:t>the</w:t>
      </w:r>
      <w:r w:rsidR="005B2A41">
        <w:t xml:space="preserve"> </w:t>
      </w:r>
      <w:r w:rsidRPr="00B02247">
        <w:t>level</w:t>
      </w:r>
      <w:r w:rsidR="005B2A41">
        <w:t xml:space="preserve"> </w:t>
      </w:r>
      <w:r w:rsidRPr="00B02247">
        <w:t>of</w:t>
      </w:r>
      <w:r w:rsidR="005B2A41">
        <w:t xml:space="preserve"> </w:t>
      </w:r>
      <w:r w:rsidRPr="00B02247">
        <w:t>higher</w:t>
      </w:r>
      <w:r w:rsidR="005B2A41">
        <w:t xml:space="preserve"> </w:t>
      </w:r>
      <w:r w:rsidRPr="00B02247">
        <w:t>training,</w:t>
      </w:r>
      <w:r w:rsidR="005B2A41">
        <w:t xml:space="preserve"> </w:t>
      </w:r>
      <w:r w:rsidRPr="00B02247">
        <w:t>seminars,</w:t>
      </w:r>
      <w:r w:rsidR="005B2A41">
        <w:t xml:space="preserve"> </w:t>
      </w:r>
      <w:r w:rsidRPr="00B02247">
        <w:t>online</w:t>
      </w:r>
      <w:r w:rsidR="005B2A41">
        <w:t xml:space="preserve"> </w:t>
      </w:r>
      <w:r w:rsidRPr="00B02247">
        <w:t>seminars</w:t>
      </w:r>
      <w:r w:rsidR="005B2A41">
        <w:t xml:space="preserve"> </w:t>
      </w:r>
      <w:r w:rsidRPr="00B02247">
        <w:t>and</w:t>
      </w:r>
      <w:r w:rsidR="005B2A41">
        <w:t xml:space="preserve"> </w:t>
      </w:r>
      <w:r w:rsidRPr="00B02247">
        <w:t>lectures</w:t>
      </w:r>
      <w:r w:rsidR="005B2A41">
        <w:t xml:space="preserve"> </w:t>
      </w:r>
      <w:r w:rsidRPr="00B02247">
        <w:t>are</w:t>
      </w:r>
      <w:r w:rsidR="005B2A41">
        <w:t xml:space="preserve"> </w:t>
      </w:r>
      <w:r w:rsidRPr="00B02247">
        <w:t>conducted,</w:t>
      </w:r>
      <w:r w:rsidR="005B2A41">
        <w:t xml:space="preserve"> </w:t>
      </w:r>
      <w:r w:rsidRPr="00B02247">
        <w:t>in</w:t>
      </w:r>
      <w:r w:rsidR="005B2A41">
        <w:t xml:space="preserve"> </w:t>
      </w:r>
      <w:r w:rsidRPr="00B02247">
        <w:t>Greece</w:t>
      </w:r>
      <w:r w:rsidR="005B2A41">
        <w:t xml:space="preserve"> </w:t>
      </w:r>
      <w:r w:rsidRPr="00B02247">
        <w:t>as</w:t>
      </w:r>
      <w:r w:rsidR="005B2A41">
        <w:t xml:space="preserve"> </w:t>
      </w:r>
      <w:r w:rsidRPr="00B02247">
        <w:t>well</w:t>
      </w:r>
      <w:r w:rsidR="005B2A41">
        <w:t xml:space="preserve"> </w:t>
      </w:r>
      <w:r w:rsidRPr="00B02247">
        <w:t>as</w:t>
      </w:r>
      <w:r w:rsidR="005B2A41">
        <w:t xml:space="preserve"> </w:t>
      </w:r>
      <w:r w:rsidRPr="00B02247">
        <w:t>abroad,</w:t>
      </w:r>
      <w:r w:rsidR="005B2A41">
        <w:t xml:space="preserve"> </w:t>
      </w:r>
      <w:r w:rsidRPr="00B02247">
        <w:t>on</w:t>
      </w:r>
      <w:r w:rsidR="005B2A41">
        <w:t xml:space="preserve"> </w:t>
      </w:r>
      <w:r w:rsidRPr="00B02247">
        <w:t>topics</w:t>
      </w:r>
      <w:r w:rsidR="005B2A41">
        <w:t xml:space="preserve"> </w:t>
      </w:r>
      <w:r w:rsidRPr="00B02247">
        <w:t>regarding</w:t>
      </w:r>
      <w:r w:rsidR="005B2A41">
        <w:t xml:space="preserve"> </w:t>
      </w:r>
      <w:r w:rsidRPr="00B02247">
        <w:t>human</w:t>
      </w:r>
      <w:r w:rsidR="005B2A41">
        <w:t xml:space="preserve"> </w:t>
      </w:r>
      <w:r w:rsidRPr="00B02247">
        <w:t>rights,</w:t>
      </w:r>
      <w:r w:rsidR="005B2A41">
        <w:t xml:space="preserve"> </w:t>
      </w:r>
      <w:r w:rsidRPr="00B02247">
        <w:t>such</w:t>
      </w:r>
      <w:r w:rsidR="005B2A41">
        <w:t xml:space="preserve"> </w:t>
      </w:r>
      <w:r w:rsidRPr="00B02247">
        <w:t>as:</w:t>
      </w:r>
      <w:r w:rsidR="005B2A41">
        <w:t xml:space="preserve"> </w:t>
      </w:r>
      <w:r w:rsidRPr="00B02247">
        <w:t>fundamental</w:t>
      </w:r>
      <w:r w:rsidR="005B2A41">
        <w:t xml:space="preserve"> </w:t>
      </w:r>
      <w:r w:rsidRPr="00B02247">
        <w:t>rights</w:t>
      </w:r>
      <w:r w:rsidR="005B2A41">
        <w:t xml:space="preserve"> </w:t>
      </w:r>
      <w:r w:rsidRPr="00B02247">
        <w:t>and</w:t>
      </w:r>
      <w:r w:rsidR="005B2A41">
        <w:t xml:space="preserve"> </w:t>
      </w:r>
      <w:r w:rsidRPr="00B02247">
        <w:t>police</w:t>
      </w:r>
      <w:r w:rsidR="005B2A41">
        <w:t xml:space="preserve"> </w:t>
      </w:r>
      <w:r w:rsidRPr="00B02247">
        <w:t>ethics,</w:t>
      </w:r>
      <w:r w:rsidR="005B2A41">
        <w:t xml:space="preserve"> </w:t>
      </w:r>
      <w:r w:rsidRPr="00B02247">
        <w:t>management</w:t>
      </w:r>
      <w:r w:rsidR="005B2A41">
        <w:t xml:space="preserve"> </w:t>
      </w:r>
      <w:r w:rsidRPr="00B02247">
        <w:t>of</w:t>
      </w:r>
      <w:r w:rsidR="005B2A41">
        <w:t xml:space="preserve"> </w:t>
      </w:r>
      <w:r w:rsidRPr="00B02247">
        <w:t>diversity,</w:t>
      </w:r>
      <w:r w:rsidR="005B2A41">
        <w:t xml:space="preserve"> </w:t>
      </w:r>
      <w:r w:rsidRPr="00B02247">
        <w:t>hate</w:t>
      </w:r>
      <w:r w:rsidR="005B2A41">
        <w:t xml:space="preserve"> </w:t>
      </w:r>
      <w:r w:rsidRPr="00B02247">
        <w:t>crimes,</w:t>
      </w:r>
      <w:r w:rsidR="005B2A41">
        <w:t xml:space="preserve"> </w:t>
      </w:r>
      <w:r w:rsidRPr="00B02247">
        <w:t>racist</w:t>
      </w:r>
      <w:r w:rsidR="005B2A41">
        <w:t xml:space="preserve"> </w:t>
      </w:r>
      <w:r w:rsidRPr="00B02247">
        <w:t>violence</w:t>
      </w:r>
      <w:r w:rsidR="005B2A41">
        <w:t xml:space="preserve"> </w:t>
      </w:r>
      <w:r w:rsidRPr="00B02247">
        <w:t>in</w:t>
      </w:r>
      <w:r w:rsidR="005B2A41">
        <w:t xml:space="preserve"> </w:t>
      </w:r>
      <w:r w:rsidRPr="00B02247">
        <w:t>general,</w:t>
      </w:r>
      <w:r w:rsidR="005B2A41">
        <w:t xml:space="preserve"> </w:t>
      </w:r>
      <w:r w:rsidRPr="00B02247">
        <w:t>racist</w:t>
      </w:r>
      <w:r w:rsidR="005B2A41">
        <w:t xml:space="preserve"> </w:t>
      </w:r>
      <w:r w:rsidRPr="00B02247">
        <w:t>violence</w:t>
      </w:r>
      <w:r w:rsidR="005B2A41">
        <w:t xml:space="preserve"> </w:t>
      </w:r>
      <w:r w:rsidRPr="00B02247">
        <w:t>against</w:t>
      </w:r>
      <w:r w:rsidR="005B2A41">
        <w:t xml:space="preserve"> </w:t>
      </w:r>
      <w:r w:rsidRPr="00B02247">
        <w:t>members</w:t>
      </w:r>
      <w:r w:rsidR="005B2A41">
        <w:t xml:space="preserve"> </w:t>
      </w:r>
      <w:r w:rsidRPr="00B02247">
        <w:t>of</w:t>
      </w:r>
      <w:r w:rsidR="005B2A41">
        <w:t xml:space="preserve"> </w:t>
      </w:r>
      <w:r w:rsidRPr="00B02247">
        <w:t>the</w:t>
      </w:r>
      <w:r w:rsidR="005B2A41">
        <w:t xml:space="preserve"> </w:t>
      </w:r>
      <w:r w:rsidRPr="00B02247">
        <w:t>LGBT</w:t>
      </w:r>
      <w:r w:rsidR="005B2A41">
        <w:t xml:space="preserve"> </w:t>
      </w:r>
      <w:r w:rsidRPr="00B02247">
        <w:t>community,</w:t>
      </w:r>
      <w:r w:rsidR="005B2A41">
        <w:t xml:space="preserve"> </w:t>
      </w:r>
      <w:r w:rsidRPr="00B02247">
        <w:t>fight</w:t>
      </w:r>
      <w:r w:rsidR="005B2A41">
        <w:t xml:space="preserve"> </w:t>
      </w:r>
      <w:r w:rsidRPr="00B02247">
        <w:t>against</w:t>
      </w:r>
      <w:r w:rsidR="005B2A41">
        <w:t xml:space="preserve"> </w:t>
      </w:r>
      <w:r w:rsidRPr="00B02247">
        <w:t>discrimination</w:t>
      </w:r>
      <w:r w:rsidR="005B2A41">
        <w:t xml:space="preserve"> </w:t>
      </w:r>
      <w:r w:rsidRPr="00B02247">
        <w:t>with</w:t>
      </w:r>
      <w:r w:rsidR="005B2A41">
        <w:t xml:space="preserve"> </w:t>
      </w:r>
      <w:r w:rsidRPr="00B02247">
        <w:t>emphasis</w:t>
      </w:r>
      <w:r w:rsidR="005B2A41">
        <w:t xml:space="preserve"> </w:t>
      </w:r>
      <w:r w:rsidRPr="00B02247">
        <w:t>on</w:t>
      </w:r>
      <w:r w:rsidR="005B2A41">
        <w:t xml:space="preserve"> </w:t>
      </w:r>
      <w:r w:rsidRPr="00B02247">
        <w:t>issues</w:t>
      </w:r>
      <w:r w:rsidR="005B2A41">
        <w:t xml:space="preserve"> </w:t>
      </w:r>
      <w:r w:rsidRPr="00B02247">
        <w:t>affecting</w:t>
      </w:r>
      <w:r w:rsidR="005B2A41">
        <w:t xml:space="preserve"> </w:t>
      </w:r>
      <w:r w:rsidRPr="00B02247">
        <w:t>the</w:t>
      </w:r>
      <w:r w:rsidR="005B2A41">
        <w:t xml:space="preserve"> </w:t>
      </w:r>
      <w:r w:rsidRPr="00B02247">
        <w:t>Roma,</w:t>
      </w:r>
      <w:r w:rsidR="005B2A41">
        <w:t xml:space="preserve"> </w:t>
      </w:r>
      <w:r w:rsidRPr="00B02247">
        <w:t>refugee</w:t>
      </w:r>
      <w:r w:rsidR="005B2A41">
        <w:t xml:space="preserve"> </w:t>
      </w:r>
      <w:r w:rsidRPr="00B02247">
        <w:t>Law</w:t>
      </w:r>
      <w:r w:rsidR="005B2A41">
        <w:t xml:space="preserve"> </w:t>
      </w:r>
      <w:r w:rsidRPr="00B02247">
        <w:t>and</w:t>
      </w:r>
      <w:r w:rsidR="005B2A41">
        <w:t xml:space="preserve"> </w:t>
      </w:r>
      <w:r w:rsidRPr="00B02247">
        <w:t>legal</w:t>
      </w:r>
      <w:r w:rsidR="005B2A41">
        <w:t xml:space="preserve"> </w:t>
      </w:r>
      <w:r w:rsidRPr="00B02247">
        <w:t>protection</w:t>
      </w:r>
      <w:r w:rsidR="005B2A41">
        <w:t xml:space="preserve"> </w:t>
      </w:r>
      <w:r w:rsidRPr="00B02247">
        <w:t>of</w:t>
      </w:r>
      <w:r w:rsidR="005B2A41">
        <w:t xml:space="preserve"> </w:t>
      </w:r>
      <w:r w:rsidRPr="00B02247">
        <w:t>refugees</w:t>
      </w:r>
      <w:r w:rsidR="005B2A41">
        <w:t xml:space="preserve"> </w:t>
      </w:r>
      <w:r w:rsidRPr="00B02247">
        <w:t>in</w:t>
      </w:r>
      <w:r w:rsidR="005B2A41">
        <w:t xml:space="preserve"> </w:t>
      </w:r>
      <w:r w:rsidRPr="00B02247">
        <w:t>Greece,</w:t>
      </w:r>
      <w:r w:rsidR="005B2A41">
        <w:t xml:space="preserve"> </w:t>
      </w:r>
      <w:r w:rsidRPr="00B02247">
        <w:t>comprehensive</w:t>
      </w:r>
      <w:r w:rsidR="005B2A41">
        <w:t xml:space="preserve"> </w:t>
      </w:r>
      <w:r w:rsidRPr="00B02247">
        <w:t>management</w:t>
      </w:r>
      <w:r w:rsidR="005B2A41">
        <w:t xml:space="preserve"> </w:t>
      </w:r>
      <w:r w:rsidRPr="00B02247">
        <w:t>of</w:t>
      </w:r>
      <w:r w:rsidR="005B2A41">
        <w:t xml:space="preserve"> </w:t>
      </w:r>
      <w:r w:rsidRPr="00B02247">
        <w:t>external</w:t>
      </w:r>
      <w:r w:rsidR="005B2A41">
        <w:t xml:space="preserve"> </w:t>
      </w:r>
      <w:r w:rsidRPr="00B02247">
        <w:t>borders,</w:t>
      </w:r>
      <w:r w:rsidR="005B2A41">
        <w:t xml:space="preserve"> </w:t>
      </w:r>
      <w:r w:rsidRPr="00B02247">
        <w:t>racism,</w:t>
      </w:r>
      <w:r w:rsidR="005B2A41">
        <w:t xml:space="preserve"> </w:t>
      </w:r>
      <w:r w:rsidRPr="00B02247">
        <w:t>hate</w:t>
      </w:r>
      <w:r w:rsidR="005B2A41">
        <w:t xml:space="preserve"> </w:t>
      </w:r>
      <w:r w:rsidRPr="00B02247">
        <w:t>speech,</w:t>
      </w:r>
      <w:r w:rsidR="005B2A41">
        <w:t xml:space="preserve"> </w:t>
      </w:r>
      <w:r w:rsidRPr="00B02247">
        <w:t>etc.</w:t>
      </w:r>
      <w:r w:rsidR="005B2A41">
        <w:t xml:space="preserve"> </w:t>
      </w:r>
    </w:p>
    <w:p w:rsidR="00F233AB" w:rsidRPr="00B02247" w:rsidRDefault="00F233AB" w:rsidP="00260961">
      <w:pPr>
        <w:pStyle w:val="H4G"/>
      </w:pPr>
      <w:r w:rsidRPr="00B02247">
        <w:tab/>
      </w:r>
      <w:r w:rsidRPr="00B02247">
        <w:tab/>
        <w:t>Activities</w:t>
      </w:r>
      <w:r w:rsidR="005B2A41">
        <w:t xml:space="preserve"> </w:t>
      </w:r>
      <w:r w:rsidRPr="00B02247">
        <w:t>in</w:t>
      </w:r>
      <w:r w:rsidR="005B2A41">
        <w:t xml:space="preserve"> </w:t>
      </w:r>
      <w:r w:rsidRPr="00B02247">
        <w:t>the</w:t>
      </w:r>
      <w:r w:rsidR="005B2A41">
        <w:t xml:space="preserve"> </w:t>
      </w:r>
      <w:r w:rsidRPr="00B02247">
        <w:t>field</w:t>
      </w:r>
      <w:r w:rsidR="005B2A41">
        <w:t xml:space="preserve"> </w:t>
      </w:r>
      <w:r w:rsidRPr="00B02247">
        <w:t>of</w:t>
      </w:r>
      <w:r w:rsidR="005B2A41">
        <w:t xml:space="preserve"> </w:t>
      </w:r>
      <w:r w:rsidRPr="00B02247">
        <w:t>education</w:t>
      </w:r>
    </w:p>
    <w:p w:rsidR="00F233AB" w:rsidRPr="00B02247" w:rsidRDefault="00F233AB" w:rsidP="00E1307D">
      <w:pPr>
        <w:pStyle w:val="SingleTxtG"/>
      </w:pPr>
      <w:r w:rsidRPr="00B02247">
        <w:t>126.</w:t>
      </w:r>
      <w:r w:rsidRPr="00B02247">
        <w:tab/>
        <w:t>The</w:t>
      </w:r>
      <w:r w:rsidR="005B2A41">
        <w:t xml:space="preserve"> </w:t>
      </w:r>
      <w:r w:rsidRPr="00B02247">
        <w:t>Ministry</w:t>
      </w:r>
      <w:r w:rsidR="005B2A41">
        <w:t xml:space="preserve"> </w:t>
      </w:r>
      <w:r w:rsidRPr="00B02247">
        <w:t>of</w:t>
      </w:r>
      <w:r w:rsidR="005B2A41">
        <w:t xml:space="preserve"> </w:t>
      </w:r>
      <w:r w:rsidRPr="00B02247">
        <w:t>Education</w:t>
      </w:r>
      <w:r w:rsidR="005B2A41">
        <w:t xml:space="preserve"> </w:t>
      </w:r>
      <w:r w:rsidRPr="00B02247">
        <w:t>develops</w:t>
      </w:r>
      <w:r w:rsidR="005B2A41">
        <w:t xml:space="preserve"> </w:t>
      </w:r>
      <w:r w:rsidRPr="00B02247">
        <w:t>and</w:t>
      </w:r>
      <w:r w:rsidR="005B2A41">
        <w:t xml:space="preserve"> </w:t>
      </w:r>
      <w:r w:rsidRPr="00B02247">
        <w:t>participates</w:t>
      </w:r>
      <w:r w:rsidR="005B2A41">
        <w:t xml:space="preserve"> </w:t>
      </w:r>
      <w:r w:rsidRPr="00B02247">
        <w:t>in</w:t>
      </w:r>
      <w:r w:rsidR="005B2A41">
        <w:t xml:space="preserve"> </w:t>
      </w:r>
      <w:r w:rsidRPr="00B02247">
        <w:t>many</w:t>
      </w:r>
      <w:r w:rsidR="005B2A41">
        <w:t xml:space="preserve"> </w:t>
      </w:r>
      <w:r w:rsidRPr="00B02247">
        <w:t>educational</w:t>
      </w:r>
      <w:r w:rsidR="005B2A41">
        <w:t xml:space="preserve"> </w:t>
      </w:r>
      <w:r w:rsidRPr="00B02247">
        <w:t>programmes,</w:t>
      </w:r>
      <w:r w:rsidR="005B2A41">
        <w:t xml:space="preserve"> </w:t>
      </w:r>
      <w:r w:rsidRPr="00B02247">
        <w:t>through</w:t>
      </w:r>
      <w:r w:rsidR="005B2A41">
        <w:t xml:space="preserve"> </w:t>
      </w:r>
      <w:r w:rsidRPr="00B02247">
        <w:t>primary</w:t>
      </w:r>
      <w:r w:rsidR="005B2A41">
        <w:t xml:space="preserve"> </w:t>
      </w:r>
      <w:r w:rsidRPr="00B02247">
        <w:t>and</w:t>
      </w:r>
      <w:r w:rsidR="005B2A41">
        <w:t xml:space="preserve"> </w:t>
      </w:r>
      <w:r w:rsidRPr="00B02247">
        <w:t>secondary</w:t>
      </w:r>
      <w:r w:rsidR="005B2A41">
        <w:t xml:space="preserve"> </w:t>
      </w:r>
      <w:r w:rsidRPr="00B02247">
        <w:t>schools,</w:t>
      </w:r>
      <w:r w:rsidR="005B2A41">
        <w:t xml:space="preserve"> </w:t>
      </w:r>
      <w:r w:rsidRPr="00B02247">
        <w:t>aiming</w:t>
      </w:r>
      <w:r w:rsidR="005B2A41">
        <w:t xml:space="preserve"> </w:t>
      </w:r>
      <w:r w:rsidRPr="00B02247">
        <w:t>among</w:t>
      </w:r>
      <w:r w:rsidR="005B2A41">
        <w:t xml:space="preserve"> </w:t>
      </w:r>
      <w:r w:rsidRPr="00B02247">
        <w:t>others,</w:t>
      </w:r>
      <w:r w:rsidR="005B2A41">
        <w:t xml:space="preserve"> </w:t>
      </w:r>
      <w:r w:rsidRPr="00B02247">
        <w:t>at</w:t>
      </w:r>
      <w:r w:rsidR="005B2A41">
        <w:t xml:space="preserve"> </w:t>
      </w:r>
      <w:r w:rsidRPr="00B02247">
        <w:t>raising</w:t>
      </w:r>
      <w:r w:rsidR="005B2A41">
        <w:t xml:space="preserve"> </w:t>
      </w:r>
      <w:r w:rsidRPr="00B02247">
        <w:t>human</w:t>
      </w:r>
      <w:r w:rsidR="005B2A41">
        <w:t xml:space="preserve"> </w:t>
      </w:r>
      <w:r w:rsidRPr="00B02247">
        <w:t>rights</w:t>
      </w:r>
      <w:r w:rsidR="005B2A41">
        <w:t xml:space="preserve"> </w:t>
      </w:r>
      <w:r w:rsidRPr="00B02247">
        <w:t>awareness,</w:t>
      </w:r>
      <w:r w:rsidR="005B2A41">
        <w:t xml:space="preserve"> </w:t>
      </w:r>
      <w:r w:rsidRPr="00B02247">
        <w:t>preventing</w:t>
      </w:r>
      <w:r w:rsidR="005B2A41">
        <w:t xml:space="preserve"> </w:t>
      </w:r>
      <w:r w:rsidRPr="00B02247">
        <w:t>all</w:t>
      </w:r>
      <w:r w:rsidR="005B2A41">
        <w:t xml:space="preserve"> </w:t>
      </w:r>
      <w:r w:rsidRPr="00B02247">
        <w:t>kinds</w:t>
      </w:r>
      <w:r w:rsidR="005B2A41">
        <w:t xml:space="preserve"> </w:t>
      </w:r>
      <w:r w:rsidRPr="00B02247">
        <w:t>of</w:t>
      </w:r>
      <w:r w:rsidR="005B2A41">
        <w:t xml:space="preserve"> </w:t>
      </w:r>
      <w:r w:rsidRPr="00B02247">
        <w:t>discriminations</w:t>
      </w:r>
      <w:r w:rsidR="005B2A41">
        <w:t xml:space="preserve"> </w:t>
      </w:r>
      <w:r w:rsidRPr="00B02247">
        <w:t>and</w:t>
      </w:r>
      <w:r w:rsidR="005B2A41">
        <w:t xml:space="preserve"> </w:t>
      </w:r>
      <w:r w:rsidRPr="00B02247">
        <w:t>eliminating</w:t>
      </w:r>
      <w:r w:rsidR="005B2A41">
        <w:t xml:space="preserve"> </w:t>
      </w:r>
      <w:r w:rsidRPr="00B02247">
        <w:t>negative</w:t>
      </w:r>
      <w:r w:rsidR="005B2A41">
        <w:t xml:space="preserve"> </w:t>
      </w:r>
      <w:r w:rsidRPr="00B02247">
        <w:t>attitudes,</w:t>
      </w:r>
      <w:r w:rsidR="005B2A41">
        <w:t xml:space="preserve"> </w:t>
      </w:r>
      <w:r w:rsidRPr="00B02247">
        <w:t>school</w:t>
      </w:r>
      <w:r w:rsidR="005B2A41">
        <w:t xml:space="preserve"> </w:t>
      </w:r>
      <w:r w:rsidRPr="00B02247">
        <w:t>violence,</w:t>
      </w:r>
      <w:r w:rsidR="005B2A41">
        <w:t xml:space="preserve"> </w:t>
      </w:r>
      <w:r w:rsidRPr="00B02247">
        <w:t>prejudice</w:t>
      </w:r>
      <w:r w:rsidR="005B2A41">
        <w:t xml:space="preserve"> </w:t>
      </w:r>
      <w:r w:rsidRPr="00B02247">
        <w:t>and</w:t>
      </w:r>
      <w:r w:rsidR="005B2A41">
        <w:t xml:space="preserve"> </w:t>
      </w:r>
      <w:r w:rsidRPr="00B02247">
        <w:t>inequalities.</w:t>
      </w:r>
    </w:p>
    <w:p w:rsidR="00F233AB" w:rsidRPr="00B02247" w:rsidRDefault="00F233AB" w:rsidP="008C2A78">
      <w:pPr>
        <w:pStyle w:val="SingleTxtG"/>
      </w:pPr>
      <w:r w:rsidRPr="00B02247">
        <w:t>127.</w:t>
      </w:r>
      <w:r w:rsidRPr="00B02247">
        <w:tab/>
        <w:t>Some</w:t>
      </w:r>
      <w:r w:rsidR="005B2A41">
        <w:t xml:space="preserve"> </w:t>
      </w:r>
      <w:r w:rsidRPr="00B02247">
        <w:t>examples</w:t>
      </w:r>
      <w:r w:rsidR="005B2A41">
        <w:t xml:space="preserve"> </w:t>
      </w:r>
      <w:r w:rsidRPr="00B02247">
        <w:t>of</w:t>
      </w:r>
      <w:r w:rsidR="005B2A41">
        <w:t xml:space="preserve"> </w:t>
      </w:r>
      <w:r w:rsidRPr="00B02247">
        <w:t>programmes</w:t>
      </w:r>
      <w:r w:rsidR="005B2A41">
        <w:t xml:space="preserve"> </w:t>
      </w:r>
      <w:r w:rsidRPr="00B02247">
        <w:t>on</w:t>
      </w:r>
      <w:r w:rsidR="005B2A41">
        <w:t xml:space="preserve"> </w:t>
      </w:r>
      <w:r w:rsidRPr="00B02247">
        <w:t>Human</w:t>
      </w:r>
      <w:r w:rsidR="005B2A41">
        <w:t xml:space="preserve"> </w:t>
      </w:r>
      <w:r w:rsidRPr="00B02247">
        <w:t>Rights,</w:t>
      </w:r>
      <w:r w:rsidR="005B2A41">
        <w:t xml:space="preserve"> </w:t>
      </w:r>
      <w:r w:rsidRPr="00B02247">
        <w:t>Democracy</w:t>
      </w:r>
      <w:r w:rsidR="005B2A41">
        <w:t xml:space="preserve"> </w:t>
      </w:r>
      <w:r w:rsidRPr="00B02247">
        <w:t>and</w:t>
      </w:r>
      <w:r w:rsidR="005B2A41">
        <w:t xml:space="preserve"> </w:t>
      </w:r>
      <w:r w:rsidRPr="00B02247">
        <w:t>Active</w:t>
      </w:r>
      <w:r w:rsidR="005B2A41">
        <w:t xml:space="preserve"> </w:t>
      </w:r>
      <w:r w:rsidRPr="00B02247">
        <w:t>Citizenship</w:t>
      </w:r>
      <w:r w:rsidR="005B2A41">
        <w:t xml:space="preserve"> </w:t>
      </w:r>
      <w:r w:rsidRPr="00B02247">
        <w:t>for</w:t>
      </w:r>
      <w:r w:rsidR="005B2A41">
        <w:t xml:space="preserve"> </w:t>
      </w:r>
      <w:r w:rsidRPr="00B02247">
        <w:t>teachers</w:t>
      </w:r>
      <w:r w:rsidR="005B2A41">
        <w:t xml:space="preserve"> </w:t>
      </w:r>
      <w:r w:rsidRPr="00B02247">
        <w:t>of</w:t>
      </w:r>
      <w:r w:rsidR="005B2A41">
        <w:t xml:space="preserve"> </w:t>
      </w:r>
      <w:r w:rsidRPr="00B02247">
        <w:t>primary</w:t>
      </w:r>
      <w:r w:rsidR="005B2A41">
        <w:t xml:space="preserve"> </w:t>
      </w:r>
      <w:r w:rsidRPr="00B02247">
        <w:t>and</w:t>
      </w:r>
      <w:r w:rsidR="005B2A41">
        <w:t xml:space="preserve"> </w:t>
      </w:r>
      <w:r w:rsidRPr="00B02247">
        <w:t>secondary</w:t>
      </w:r>
      <w:r w:rsidR="005B2A41">
        <w:t xml:space="preserve"> </w:t>
      </w:r>
      <w:r w:rsidRPr="00B02247">
        <w:t>education,</w:t>
      </w:r>
      <w:r w:rsidR="005B2A41">
        <w:t xml:space="preserve"> </w:t>
      </w:r>
      <w:r w:rsidRPr="00B02247">
        <w:t>are:</w:t>
      </w:r>
      <w:r w:rsidR="005B2A41">
        <w:t xml:space="preserve"> </w:t>
      </w:r>
      <w:r w:rsidRPr="00B02247">
        <w:t>the</w:t>
      </w:r>
      <w:r w:rsidR="005B2A41">
        <w:t xml:space="preserve"> </w:t>
      </w:r>
      <w:r w:rsidR="003E731F">
        <w:t>“</w:t>
      </w:r>
      <w:r w:rsidRPr="00B02247">
        <w:t>Act</w:t>
      </w:r>
      <w:r w:rsidR="003E731F">
        <w:t>”</w:t>
      </w:r>
      <w:r w:rsidR="005B2A41">
        <w:t xml:space="preserve"> </w:t>
      </w:r>
      <w:r w:rsidRPr="00B02247">
        <w:t>Programme</w:t>
      </w:r>
      <w:r w:rsidR="005B2A41">
        <w:t xml:space="preserve"> </w:t>
      </w:r>
      <w:r w:rsidRPr="00B02247">
        <w:t>on</w:t>
      </w:r>
      <w:r w:rsidR="005B2A41">
        <w:t xml:space="preserve"> </w:t>
      </w:r>
      <w:r w:rsidRPr="00B02247">
        <w:t>active</w:t>
      </w:r>
      <w:r w:rsidR="005B2A41">
        <w:t xml:space="preserve"> </w:t>
      </w:r>
      <w:r w:rsidRPr="00B02247">
        <w:t>citizenship</w:t>
      </w:r>
      <w:r w:rsidR="005B2A41">
        <w:t xml:space="preserve"> </w:t>
      </w:r>
      <w:r w:rsidRPr="00B02247">
        <w:t>(E.U.),</w:t>
      </w:r>
      <w:r w:rsidR="005B2A41">
        <w:t xml:space="preserve"> </w:t>
      </w:r>
      <w:r w:rsidRPr="00B02247">
        <w:t>the</w:t>
      </w:r>
      <w:r w:rsidR="005B2A41">
        <w:t xml:space="preserve"> </w:t>
      </w:r>
      <w:r w:rsidRPr="00B02247">
        <w:t>Summer</w:t>
      </w:r>
      <w:r w:rsidR="005B2A41">
        <w:t xml:space="preserve"> </w:t>
      </w:r>
      <w:r w:rsidRPr="00B02247">
        <w:t>Academy</w:t>
      </w:r>
      <w:r w:rsidR="005B2A41">
        <w:t xml:space="preserve"> </w:t>
      </w:r>
      <w:r w:rsidRPr="00B02247">
        <w:t>on</w:t>
      </w:r>
      <w:r w:rsidR="005B2A41">
        <w:t xml:space="preserve"> </w:t>
      </w:r>
      <w:r w:rsidRPr="00B02247">
        <w:t>Education</w:t>
      </w:r>
      <w:r w:rsidR="005B2A41">
        <w:t xml:space="preserve"> </w:t>
      </w:r>
      <w:r w:rsidRPr="00B02247">
        <w:t>for</w:t>
      </w:r>
      <w:r w:rsidR="005B2A41">
        <w:t xml:space="preserve"> </w:t>
      </w:r>
      <w:r w:rsidRPr="00B02247">
        <w:t>democratic</w:t>
      </w:r>
      <w:r w:rsidR="005B2A41">
        <w:t xml:space="preserve"> </w:t>
      </w:r>
      <w:r w:rsidRPr="00B02247">
        <w:t>citizenship,</w:t>
      </w:r>
      <w:r w:rsidR="005B2A41">
        <w:t xml:space="preserve"> </w:t>
      </w:r>
      <w:r w:rsidRPr="00B02247">
        <w:t>Human</w:t>
      </w:r>
      <w:r w:rsidR="005B2A41">
        <w:t xml:space="preserve"> </w:t>
      </w:r>
      <w:r w:rsidRPr="00B02247">
        <w:t>Rights</w:t>
      </w:r>
      <w:r w:rsidR="005B2A41">
        <w:t xml:space="preserve"> </w:t>
      </w:r>
      <w:r w:rsidRPr="00B02247">
        <w:t>Education</w:t>
      </w:r>
      <w:r w:rsidR="005B2A41">
        <w:t xml:space="preserve"> </w:t>
      </w:r>
      <w:r w:rsidR="008C2A78">
        <w:t>—</w:t>
      </w:r>
      <w:r w:rsidR="005B2A41">
        <w:t xml:space="preserve"> </w:t>
      </w:r>
      <w:r w:rsidRPr="00B02247">
        <w:t>EDC/HRE</w:t>
      </w:r>
      <w:r w:rsidR="005B2A41">
        <w:t xml:space="preserve"> </w:t>
      </w:r>
      <w:r w:rsidRPr="00B02247">
        <w:t>(Wergeland</w:t>
      </w:r>
      <w:r w:rsidR="005B2A41">
        <w:t xml:space="preserve"> </w:t>
      </w:r>
      <w:r w:rsidRPr="00B02247">
        <w:t>Center</w:t>
      </w:r>
      <w:r w:rsidR="005B2A41">
        <w:t xml:space="preserve"> </w:t>
      </w:r>
      <w:r w:rsidR="00541260">
        <w:t>—</w:t>
      </w:r>
      <w:r w:rsidR="005B2A41">
        <w:t xml:space="preserve"> </w:t>
      </w:r>
      <w:r w:rsidRPr="00B02247">
        <w:t>CoE),</w:t>
      </w:r>
      <w:r w:rsidR="005B2A41">
        <w:t xml:space="preserve"> </w:t>
      </w:r>
      <w:r w:rsidRPr="00B02247">
        <w:t>national</w:t>
      </w:r>
      <w:r w:rsidR="005B2A41">
        <w:t xml:space="preserve"> </w:t>
      </w:r>
      <w:r w:rsidRPr="00B02247">
        <w:t>dissemination</w:t>
      </w:r>
      <w:r w:rsidR="005B2A41">
        <w:t xml:space="preserve"> </w:t>
      </w:r>
      <w:r w:rsidRPr="00B02247">
        <w:t>events</w:t>
      </w:r>
      <w:r w:rsidR="005B2A41">
        <w:t xml:space="preserve"> </w:t>
      </w:r>
      <w:r w:rsidRPr="00B02247">
        <w:t>on</w:t>
      </w:r>
      <w:r w:rsidR="005B2A41">
        <w:t xml:space="preserve"> </w:t>
      </w:r>
      <w:r w:rsidRPr="00B02247">
        <w:t>the</w:t>
      </w:r>
      <w:r w:rsidR="005B2A41">
        <w:t xml:space="preserve"> </w:t>
      </w:r>
      <w:r w:rsidRPr="00B02247">
        <w:t>values</w:t>
      </w:r>
      <w:r w:rsidR="005B2A41">
        <w:t xml:space="preserve"> </w:t>
      </w:r>
      <w:r w:rsidRPr="00B02247">
        <w:t>of</w:t>
      </w:r>
      <w:r w:rsidR="005B2A41">
        <w:t xml:space="preserve"> </w:t>
      </w:r>
      <w:r w:rsidRPr="00B02247">
        <w:t>the</w:t>
      </w:r>
      <w:r w:rsidR="005B2A41">
        <w:t xml:space="preserve"> </w:t>
      </w:r>
      <w:r w:rsidRPr="00B02247">
        <w:t>CoE</w:t>
      </w:r>
      <w:r w:rsidR="005B2A41">
        <w:t xml:space="preserve"> </w:t>
      </w:r>
      <w:r w:rsidRPr="00B02247">
        <w:t>in</w:t>
      </w:r>
      <w:r w:rsidR="005B2A41">
        <w:t xml:space="preserve"> </w:t>
      </w:r>
      <w:r w:rsidRPr="00B02247">
        <w:t>the</w:t>
      </w:r>
      <w:r w:rsidR="005B2A41">
        <w:t xml:space="preserve"> </w:t>
      </w:r>
      <w:r w:rsidRPr="00B02247">
        <w:t>context</w:t>
      </w:r>
      <w:r w:rsidR="005B2A41">
        <w:t xml:space="preserve"> </w:t>
      </w:r>
      <w:r w:rsidRPr="00B02247">
        <w:t>of</w:t>
      </w:r>
      <w:r w:rsidR="005B2A41">
        <w:t xml:space="preserve"> </w:t>
      </w:r>
      <w:r w:rsidRPr="00B02247">
        <w:t>the</w:t>
      </w:r>
      <w:r w:rsidR="005B2A41">
        <w:t xml:space="preserve"> </w:t>
      </w:r>
      <w:r w:rsidRPr="00B02247">
        <w:t>Pestalozzi</w:t>
      </w:r>
      <w:r w:rsidR="005B2A41">
        <w:t xml:space="preserve"> </w:t>
      </w:r>
      <w:r w:rsidRPr="00B02247">
        <w:t>Programme</w:t>
      </w:r>
      <w:r w:rsidR="005B2A41">
        <w:t xml:space="preserve"> </w:t>
      </w:r>
      <w:r w:rsidRPr="00B02247">
        <w:t>(CoE)</w:t>
      </w:r>
      <w:r w:rsidR="005B2A41">
        <w:t xml:space="preserve"> </w:t>
      </w:r>
      <w:r w:rsidRPr="00B02247">
        <w:t>for</w:t>
      </w:r>
      <w:r w:rsidR="005B2A41">
        <w:t xml:space="preserve"> </w:t>
      </w:r>
      <w:r w:rsidRPr="00B02247">
        <w:t>primary</w:t>
      </w:r>
      <w:r w:rsidR="005B2A41">
        <w:t xml:space="preserve"> </w:t>
      </w:r>
      <w:r w:rsidRPr="00B02247">
        <w:t>and</w:t>
      </w:r>
      <w:r w:rsidR="005B2A41">
        <w:t xml:space="preserve"> </w:t>
      </w:r>
      <w:r w:rsidRPr="00B02247">
        <w:t>secondary</w:t>
      </w:r>
      <w:r w:rsidR="005B2A41">
        <w:t xml:space="preserve"> </w:t>
      </w:r>
      <w:r w:rsidRPr="00B02247">
        <w:t>school</w:t>
      </w:r>
      <w:r w:rsidR="005B2A41">
        <w:t xml:space="preserve"> </w:t>
      </w:r>
      <w:r w:rsidRPr="00B02247">
        <w:t>teachers,</w:t>
      </w:r>
      <w:r w:rsidR="005B2A41">
        <w:t xml:space="preserve"> </w:t>
      </w:r>
      <w:r w:rsidRPr="00B02247">
        <w:t>etc.</w:t>
      </w:r>
    </w:p>
    <w:p w:rsidR="00F233AB" w:rsidRPr="00B02247" w:rsidRDefault="00F233AB" w:rsidP="00E1307D">
      <w:pPr>
        <w:pStyle w:val="SingleTxtG"/>
      </w:pPr>
      <w:r w:rsidRPr="00B02247">
        <w:t>128.</w:t>
      </w:r>
      <w:r w:rsidRPr="00B02247">
        <w:tab/>
        <w:t>Various</w:t>
      </w:r>
      <w:r w:rsidR="005B2A41">
        <w:t xml:space="preserve"> </w:t>
      </w:r>
      <w:r w:rsidRPr="00B02247">
        <w:t>events</w:t>
      </w:r>
      <w:r w:rsidR="005B2A41">
        <w:t xml:space="preserve"> </w:t>
      </w:r>
      <w:r w:rsidRPr="00B02247">
        <w:t>on</w:t>
      </w:r>
      <w:r w:rsidR="005B2A41">
        <w:t xml:space="preserve"> </w:t>
      </w:r>
      <w:r w:rsidRPr="00B02247">
        <w:t>the</w:t>
      </w:r>
      <w:r w:rsidR="005B2A41">
        <w:t xml:space="preserve"> </w:t>
      </w:r>
      <w:r w:rsidRPr="00B02247">
        <w:t>remembrance</w:t>
      </w:r>
      <w:r w:rsidR="005B2A41">
        <w:t xml:space="preserve"> </w:t>
      </w:r>
      <w:r w:rsidRPr="00B02247">
        <w:t>of</w:t>
      </w:r>
      <w:r w:rsidR="005B2A41">
        <w:t xml:space="preserve"> </w:t>
      </w:r>
      <w:r w:rsidRPr="00B02247">
        <w:t>the</w:t>
      </w:r>
      <w:r w:rsidR="005B2A41">
        <w:t xml:space="preserve"> </w:t>
      </w:r>
      <w:r w:rsidRPr="00B02247">
        <w:t>Holocaust</w:t>
      </w:r>
      <w:r w:rsidR="005B2A41">
        <w:t xml:space="preserve"> </w:t>
      </w:r>
      <w:r w:rsidRPr="00B02247">
        <w:t>are</w:t>
      </w:r>
      <w:r w:rsidR="005B2A41">
        <w:t xml:space="preserve"> </w:t>
      </w:r>
      <w:r w:rsidRPr="00B02247">
        <w:t>organized</w:t>
      </w:r>
      <w:r w:rsidR="005B2A41">
        <w:t xml:space="preserve"> </w:t>
      </w:r>
      <w:r w:rsidRPr="00B02247">
        <w:t>in</w:t>
      </w:r>
      <w:r w:rsidR="005B2A41">
        <w:t xml:space="preserve"> </w:t>
      </w:r>
      <w:r w:rsidRPr="00B02247">
        <w:t>all</w:t>
      </w:r>
      <w:r w:rsidR="005B2A41">
        <w:t xml:space="preserve"> </w:t>
      </w:r>
      <w:r w:rsidRPr="00B02247">
        <w:t>schools.</w:t>
      </w:r>
    </w:p>
    <w:p w:rsidR="00F233AB" w:rsidRPr="00B02247" w:rsidRDefault="00F233AB" w:rsidP="00E1307D">
      <w:pPr>
        <w:pStyle w:val="SingleTxtG"/>
      </w:pPr>
      <w:r w:rsidRPr="00B02247">
        <w:lastRenderedPageBreak/>
        <w:t>129.</w:t>
      </w:r>
      <w:r w:rsidRPr="00B02247">
        <w:tab/>
        <w:t>Other</w:t>
      </w:r>
      <w:r w:rsidR="005B2A41">
        <w:t xml:space="preserve"> </w:t>
      </w:r>
      <w:r w:rsidRPr="00B02247">
        <w:t>programmes</w:t>
      </w:r>
      <w:r w:rsidR="005B2A41">
        <w:t xml:space="preserve"> </w:t>
      </w:r>
      <w:r w:rsidRPr="00B02247">
        <w:t>of</w:t>
      </w:r>
      <w:r w:rsidR="005B2A41">
        <w:t xml:space="preserve"> </w:t>
      </w:r>
      <w:r w:rsidRPr="00B02247">
        <w:t>the</w:t>
      </w:r>
      <w:r w:rsidR="005B2A41">
        <w:t xml:space="preserve"> </w:t>
      </w:r>
      <w:r w:rsidRPr="00B02247">
        <w:t>European</w:t>
      </w:r>
      <w:r w:rsidR="005B2A41">
        <w:t xml:space="preserve"> </w:t>
      </w:r>
      <w:r w:rsidRPr="00B02247">
        <w:t>Union</w:t>
      </w:r>
      <w:r w:rsidR="005B2A41">
        <w:t xml:space="preserve"> </w:t>
      </w:r>
      <w:r w:rsidRPr="00B02247">
        <w:t>(e-twinning,</w:t>
      </w:r>
      <w:r w:rsidR="005B2A41">
        <w:t xml:space="preserve"> </w:t>
      </w:r>
      <w:r w:rsidRPr="00B02247">
        <w:t>Erasmus+),</w:t>
      </w:r>
      <w:r w:rsidR="005B2A41">
        <w:t xml:space="preserve"> </w:t>
      </w:r>
      <w:r w:rsidRPr="00B02247">
        <w:t>of</w:t>
      </w:r>
      <w:r w:rsidR="005B2A41">
        <w:t xml:space="preserve"> </w:t>
      </w:r>
      <w:r w:rsidRPr="00B02247">
        <w:t>the</w:t>
      </w:r>
      <w:r w:rsidR="005B2A41">
        <w:t xml:space="preserve"> </w:t>
      </w:r>
      <w:r w:rsidRPr="00B02247">
        <w:t>Council</w:t>
      </w:r>
      <w:r w:rsidR="005B2A41">
        <w:t xml:space="preserve"> </w:t>
      </w:r>
      <w:r w:rsidRPr="00B02247">
        <w:t>of</w:t>
      </w:r>
      <w:r w:rsidR="005B2A41">
        <w:t xml:space="preserve"> </w:t>
      </w:r>
      <w:r w:rsidRPr="00B02247">
        <w:t>Europe</w:t>
      </w:r>
      <w:r w:rsidR="005B2A41">
        <w:t xml:space="preserve"> </w:t>
      </w:r>
      <w:r w:rsidRPr="00B02247">
        <w:t>(see</w:t>
      </w:r>
      <w:r w:rsidR="005B2A41">
        <w:t xml:space="preserve"> </w:t>
      </w:r>
      <w:r w:rsidRPr="00B02247">
        <w:t>above),</w:t>
      </w:r>
      <w:r w:rsidR="005B2A41">
        <w:t xml:space="preserve"> </w:t>
      </w:r>
      <w:r w:rsidRPr="00B02247">
        <w:t>the</w:t>
      </w:r>
      <w:r w:rsidR="005B2A41">
        <w:t xml:space="preserve"> </w:t>
      </w:r>
      <w:r w:rsidRPr="00B02247">
        <w:t>UNESCO</w:t>
      </w:r>
      <w:r w:rsidR="005B2A41">
        <w:t xml:space="preserve"> </w:t>
      </w:r>
      <w:r w:rsidRPr="00B02247">
        <w:t>(Education</w:t>
      </w:r>
      <w:r w:rsidR="005B2A41">
        <w:t xml:space="preserve"> </w:t>
      </w:r>
      <w:r w:rsidRPr="00B02247">
        <w:t>for</w:t>
      </w:r>
      <w:r w:rsidR="005B2A41">
        <w:t xml:space="preserve"> </w:t>
      </w:r>
      <w:r w:rsidRPr="00B02247">
        <w:t>Peace</w:t>
      </w:r>
      <w:r w:rsidR="005B2A41">
        <w:t xml:space="preserve"> </w:t>
      </w:r>
      <w:r w:rsidRPr="00B02247">
        <w:t>and</w:t>
      </w:r>
      <w:r w:rsidR="005B2A41">
        <w:t xml:space="preserve"> </w:t>
      </w:r>
      <w:r w:rsidRPr="00B02247">
        <w:t>Human</w:t>
      </w:r>
      <w:r w:rsidR="005B2A41">
        <w:t xml:space="preserve"> </w:t>
      </w:r>
      <w:r w:rsidRPr="00B02247">
        <w:t>Rights),</w:t>
      </w:r>
      <w:r w:rsidR="005B2A41">
        <w:t xml:space="preserve"> </w:t>
      </w:r>
      <w:r w:rsidRPr="00B02247">
        <w:t>etc.,</w:t>
      </w:r>
      <w:r w:rsidR="005B2A41">
        <w:t xml:space="preserve"> </w:t>
      </w:r>
      <w:r w:rsidRPr="00B02247">
        <w:t>in</w:t>
      </w:r>
      <w:r w:rsidR="005B2A41">
        <w:t xml:space="preserve"> </w:t>
      </w:r>
      <w:r w:rsidRPr="00B02247">
        <w:t>which</w:t>
      </w:r>
      <w:r w:rsidR="005B2A41">
        <w:t xml:space="preserve"> </w:t>
      </w:r>
      <w:r w:rsidRPr="00B02247">
        <w:t>participates</w:t>
      </w:r>
      <w:r w:rsidR="005B2A41">
        <w:t xml:space="preserve"> </w:t>
      </w:r>
      <w:r w:rsidRPr="00B02247">
        <w:t>the</w:t>
      </w:r>
      <w:r w:rsidR="005B2A41">
        <w:t xml:space="preserve"> </w:t>
      </w:r>
      <w:r w:rsidRPr="00B02247">
        <w:t>majority</w:t>
      </w:r>
      <w:r w:rsidR="005B2A41">
        <w:t xml:space="preserve"> </w:t>
      </w:r>
      <w:r w:rsidRPr="00B02247">
        <w:t>of</w:t>
      </w:r>
      <w:r w:rsidR="005B2A41">
        <w:t xml:space="preserve"> </w:t>
      </w:r>
      <w:r w:rsidRPr="00B02247">
        <w:t>primary</w:t>
      </w:r>
      <w:r w:rsidR="005B2A41">
        <w:t xml:space="preserve"> </w:t>
      </w:r>
      <w:r w:rsidRPr="00B02247">
        <w:t>and</w:t>
      </w:r>
      <w:r w:rsidR="005B2A41">
        <w:t xml:space="preserve"> </w:t>
      </w:r>
      <w:r w:rsidRPr="00B02247">
        <w:t>secondary</w:t>
      </w:r>
      <w:r w:rsidR="005B2A41">
        <w:t xml:space="preserve"> </w:t>
      </w:r>
      <w:r w:rsidRPr="00B02247">
        <w:t>schools</w:t>
      </w:r>
      <w:r w:rsidR="005B2A41">
        <w:t xml:space="preserve"> </w:t>
      </w:r>
      <w:r w:rsidRPr="00B02247">
        <w:t>of</w:t>
      </w:r>
      <w:r w:rsidR="005B2A41">
        <w:t xml:space="preserve"> </w:t>
      </w:r>
      <w:r w:rsidRPr="00B02247">
        <w:t>the</w:t>
      </w:r>
      <w:r w:rsidR="005B2A41">
        <w:t xml:space="preserve"> </w:t>
      </w:r>
      <w:r w:rsidRPr="00B02247">
        <w:t>country,</w:t>
      </w:r>
      <w:r w:rsidR="005B2A41">
        <w:t xml:space="preserve"> </w:t>
      </w:r>
      <w:r w:rsidRPr="00B02247">
        <w:t>focusing</w:t>
      </w:r>
      <w:r w:rsidR="005B2A41">
        <w:t xml:space="preserve"> </w:t>
      </w:r>
      <w:r w:rsidRPr="00B02247">
        <w:t>on</w:t>
      </w:r>
      <w:r w:rsidR="005B2A41">
        <w:t xml:space="preserve"> </w:t>
      </w:r>
      <w:r w:rsidRPr="00B02247">
        <w:t>human</w:t>
      </w:r>
      <w:r w:rsidR="005B2A41">
        <w:t xml:space="preserve"> </w:t>
      </w:r>
      <w:r w:rsidRPr="00B02247">
        <w:t>rights.</w:t>
      </w:r>
    </w:p>
    <w:p w:rsidR="00F233AB" w:rsidRPr="00B02247" w:rsidRDefault="00F233AB" w:rsidP="00E1307D">
      <w:pPr>
        <w:pStyle w:val="SingleTxtG"/>
      </w:pPr>
      <w:r w:rsidRPr="00B02247">
        <w:t>130.</w:t>
      </w:r>
      <w:r w:rsidRPr="00B02247">
        <w:tab/>
        <w:t>The</w:t>
      </w:r>
      <w:r w:rsidR="005B2A41">
        <w:t xml:space="preserve"> </w:t>
      </w:r>
      <w:r w:rsidRPr="00B02247">
        <w:t>Ministry</w:t>
      </w:r>
      <w:r w:rsidR="005B2A41">
        <w:t xml:space="preserve"> </w:t>
      </w:r>
      <w:r w:rsidRPr="00B02247">
        <w:t>of</w:t>
      </w:r>
      <w:r w:rsidR="005B2A41">
        <w:t xml:space="preserve"> </w:t>
      </w:r>
      <w:r w:rsidRPr="00B02247">
        <w:t>Education</w:t>
      </w:r>
      <w:r w:rsidR="005B2A41">
        <w:t xml:space="preserve"> </w:t>
      </w:r>
      <w:r w:rsidRPr="00B02247">
        <w:t>in</w:t>
      </w:r>
      <w:r w:rsidR="005B2A41">
        <w:t xml:space="preserve"> </w:t>
      </w:r>
      <w:r w:rsidRPr="00B02247">
        <w:t>cooperation</w:t>
      </w:r>
      <w:r w:rsidR="005B2A41">
        <w:t xml:space="preserve"> </w:t>
      </w:r>
      <w:r w:rsidRPr="00B02247">
        <w:t>with</w:t>
      </w:r>
      <w:r w:rsidR="005B2A41">
        <w:t xml:space="preserve"> </w:t>
      </w:r>
      <w:r w:rsidRPr="00B02247">
        <w:t>the</w:t>
      </w:r>
      <w:r w:rsidR="005B2A41">
        <w:t xml:space="preserve"> </w:t>
      </w:r>
      <w:r w:rsidRPr="00B02247">
        <w:t>Council</w:t>
      </w:r>
      <w:r w:rsidR="005B2A41">
        <w:t xml:space="preserve"> </w:t>
      </w:r>
      <w:r w:rsidRPr="00B02247">
        <w:t>of</w:t>
      </w:r>
      <w:r w:rsidR="005B2A41">
        <w:t xml:space="preserve"> </w:t>
      </w:r>
      <w:r w:rsidRPr="00B02247">
        <w:t>Europe</w:t>
      </w:r>
      <w:r w:rsidR="005B2A41">
        <w:t xml:space="preserve"> </w:t>
      </w:r>
      <w:r w:rsidRPr="00B02247">
        <w:t>and</w:t>
      </w:r>
      <w:r w:rsidR="005B2A41">
        <w:t xml:space="preserve"> </w:t>
      </w:r>
      <w:r w:rsidRPr="00B02247">
        <w:t>the</w:t>
      </w:r>
      <w:r w:rsidR="005B2A41">
        <w:t xml:space="preserve"> </w:t>
      </w:r>
      <w:r w:rsidRPr="00B02247">
        <w:t>ENIC/NARIC</w:t>
      </w:r>
      <w:r w:rsidR="005B2A41">
        <w:t xml:space="preserve"> </w:t>
      </w:r>
      <w:r w:rsidRPr="00B02247">
        <w:t>of</w:t>
      </w:r>
      <w:r w:rsidR="005B2A41">
        <w:t xml:space="preserve"> </w:t>
      </w:r>
      <w:r w:rsidRPr="00B02247">
        <w:t>Norway,</w:t>
      </w:r>
      <w:r w:rsidR="005B2A41">
        <w:t xml:space="preserve"> </w:t>
      </w:r>
      <w:r w:rsidRPr="00B02247">
        <w:t>the</w:t>
      </w:r>
      <w:r w:rsidR="005B2A41">
        <w:t xml:space="preserve"> </w:t>
      </w:r>
      <w:r w:rsidRPr="00B02247">
        <w:t>U.K.</w:t>
      </w:r>
      <w:r w:rsidR="005B2A41">
        <w:t xml:space="preserve"> </w:t>
      </w:r>
      <w:r w:rsidRPr="00B02247">
        <w:t>and</w:t>
      </w:r>
      <w:r w:rsidR="005B2A41">
        <w:t xml:space="preserve"> </w:t>
      </w:r>
      <w:r w:rsidRPr="00B02247">
        <w:t>Italy,</w:t>
      </w:r>
      <w:r w:rsidR="005B2A41">
        <w:t xml:space="preserve"> </w:t>
      </w:r>
      <w:r w:rsidRPr="00B02247">
        <w:t>in</w:t>
      </w:r>
      <w:r w:rsidR="005B2A41">
        <w:t xml:space="preserve"> </w:t>
      </w:r>
      <w:r w:rsidRPr="00B02247">
        <w:t>2016</w:t>
      </w:r>
      <w:r w:rsidR="005B2A41">
        <w:t xml:space="preserve"> </w:t>
      </w:r>
      <w:r w:rsidRPr="00B02247">
        <w:t>initiated</w:t>
      </w:r>
      <w:r w:rsidR="005B2A41">
        <w:t xml:space="preserve"> </w:t>
      </w:r>
      <w:r w:rsidRPr="00B02247">
        <w:t>an</w:t>
      </w:r>
      <w:r w:rsidR="005B2A41">
        <w:t xml:space="preserve"> </w:t>
      </w:r>
      <w:r w:rsidRPr="00B02247">
        <w:t>effort</w:t>
      </w:r>
      <w:r w:rsidR="005B2A41">
        <w:t xml:space="preserve"> </w:t>
      </w:r>
      <w:r w:rsidRPr="00B02247">
        <w:t>to</w:t>
      </w:r>
      <w:r w:rsidR="005B2A41">
        <w:t xml:space="preserve"> </w:t>
      </w:r>
      <w:r w:rsidRPr="00B02247">
        <w:t>create</w:t>
      </w:r>
      <w:r w:rsidR="005B2A41">
        <w:t xml:space="preserve"> </w:t>
      </w:r>
      <w:r w:rsidRPr="00B02247">
        <w:t>a</w:t>
      </w:r>
      <w:r w:rsidR="005B2A41">
        <w:t xml:space="preserve"> </w:t>
      </w:r>
      <w:r w:rsidR="003E731F">
        <w:t>“</w:t>
      </w:r>
      <w:r w:rsidRPr="00B02247">
        <w:t>passport</w:t>
      </w:r>
      <w:r w:rsidR="003E731F">
        <w:t>”</w:t>
      </w:r>
      <w:r w:rsidR="005B2A41">
        <w:t xml:space="preserve"> </w:t>
      </w:r>
      <w:r w:rsidRPr="00B02247">
        <w:t>for</w:t>
      </w:r>
      <w:r w:rsidR="005B2A41">
        <w:t xml:space="preserve"> </w:t>
      </w:r>
      <w:r w:rsidRPr="00B02247">
        <w:t>the</w:t>
      </w:r>
      <w:r w:rsidR="005B2A41">
        <w:t xml:space="preserve"> </w:t>
      </w:r>
      <w:r w:rsidRPr="00B02247">
        <w:t>recognition</w:t>
      </w:r>
      <w:r w:rsidR="005B2A41">
        <w:t xml:space="preserve"> </w:t>
      </w:r>
      <w:r w:rsidRPr="00B02247">
        <w:t>of</w:t>
      </w:r>
      <w:r w:rsidR="005B2A41">
        <w:t xml:space="preserve"> </w:t>
      </w:r>
      <w:r w:rsidRPr="00B02247">
        <w:t>refugees</w:t>
      </w:r>
      <w:r w:rsidR="003E731F">
        <w:t>’</w:t>
      </w:r>
      <w:r w:rsidR="005B2A41">
        <w:t xml:space="preserve"> </w:t>
      </w:r>
      <w:r w:rsidRPr="00B02247">
        <w:t>higher</w:t>
      </w:r>
      <w:r w:rsidR="005B2A41">
        <w:t xml:space="preserve"> </w:t>
      </w:r>
      <w:r w:rsidRPr="00B02247">
        <w:t>education</w:t>
      </w:r>
      <w:r w:rsidR="005B2A41">
        <w:t xml:space="preserve"> </w:t>
      </w:r>
      <w:r w:rsidRPr="00B02247">
        <w:t>qualifications,</w:t>
      </w:r>
      <w:r w:rsidR="005B2A41">
        <w:t xml:space="preserve"> </w:t>
      </w:r>
      <w:r w:rsidRPr="00B02247">
        <w:t>the</w:t>
      </w:r>
      <w:r w:rsidR="005B2A41">
        <w:t xml:space="preserve"> </w:t>
      </w:r>
      <w:r w:rsidRPr="00B02247">
        <w:t>so-called</w:t>
      </w:r>
      <w:r w:rsidR="005B2A41">
        <w:t xml:space="preserve"> </w:t>
      </w:r>
      <w:r w:rsidR="003E731F">
        <w:t>“</w:t>
      </w:r>
      <w:r w:rsidRPr="00B02247">
        <w:t>Refugees</w:t>
      </w:r>
      <w:r w:rsidR="003E731F">
        <w:t>’</w:t>
      </w:r>
      <w:r w:rsidR="005B2A41">
        <w:t xml:space="preserve"> </w:t>
      </w:r>
      <w:r w:rsidRPr="00B02247">
        <w:t>Qualifications</w:t>
      </w:r>
      <w:r w:rsidR="005B2A41">
        <w:t xml:space="preserve"> </w:t>
      </w:r>
      <w:r w:rsidRPr="00B02247">
        <w:t>Passport</w:t>
      </w:r>
      <w:r w:rsidR="003E731F">
        <w:t>”</w:t>
      </w:r>
      <w:r w:rsidRPr="00B02247">
        <w:t>.</w:t>
      </w:r>
      <w:r w:rsidR="005B2A41">
        <w:t xml:space="preserve"> </w:t>
      </w:r>
    </w:p>
    <w:p w:rsidR="00F233AB" w:rsidRPr="00B02247" w:rsidRDefault="00F233AB" w:rsidP="00E1307D">
      <w:pPr>
        <w:pStyle w:val="SingleTxtG"/>
      </w:pPr>
      <w:r w:rsidRPr="00B02247">
        <w:t>131.</w:t>
      </w:r>
      <w:r w:rsidRPr="00B02247">
        <w:tab/>
        <w:t>Finally,</w:t>
      </w:r>
      <w:r w:rsidR="005B2A41">
        <w:t xml:space="preserve"> </w:t>
      </w:r>
      <w:r w:rsidRPr="00B02247">
        <w:t>the</w:t>
      </w:r>
      <w:r w:rsidR="005B2A41">
        <w:t xml:space="preserve"> </w:t>
      </w:r>
      <w:r w:rsidRPr="00B02247">
        <w:t>Ministry</w:t>
      </w:r>
      <w:r w:rsidR="005B2A41">
        <w:t xml:space="preserve"> </w:t>
      </w:r>
      <w:r w:rsidRPr="00B02247">
        <w:t>of</w:t>
      </w:r>
      <w:r w:rsidR="005B2A41">
        <w:t xml:space="preserve"> </w:t>
      </w:r>
      <w:r w:rsidRPr="00B02247">
        <w:t>Education</w:t>
      </w:r>
      <w:r w:rsidR="005B2A41">
        <w:t xml:space="preserve"> </w:t>
      </w:r>
      <w:r w:rsidRPr="00B02247">
        <w:t>participates</w:t>
      </w:r>
      <w:r w:rsidR="005B2A41">
        <w:t xml:space="preserve"> </w:t>
      </w:r>
      <w:r w:rsidRPr="00B02247">
        <w:t>in</w:t>
      </w:r>
      <w:r w:rsidR="005B2A41">
        <w:t xml:space="preserve"> </w:t>
      </w:r>
      <w:r w:rsidRPr="00B02247">
        <w:t>short</w:t>
      </w:r>
      <w:r w:rsidR="005B2A41">
        <w:t xml:space="preserve"> </w:t>
      </w:r>
      <w:r w:rsidRPr="00B02247">
        <w:t>training</w:t>
      </w:r>
      <w:r w:rsidR="005B2A41">
        <w:t xml:space="preserve"> </w:t>
      </w:r>
      <w:r w:rsidRPr="00B02247">
        <w:t>on</w:t>
      </w:r>
      <w:r w:rsidR="005B2A41">
        <w:t xml:space="preserve"> </w:t>
      </w:r>
      <w:r w:rsidRPr="00B02247">
        <w:t>human</w:t>
      </w:r>
      <w:r w:rsidR="005B2A41">
        <w:t xml:space="preserve"> </w:t>
      </w:r>
      <w:r w:rsidRPr="00B02247">
        <w:t>rights</w:t>
      </w:r>
      <w:r w:rsidR="005B2A41">
        <w:t xml:space="preserve"> </w:t>
      </w:r>
      <w:r w:rsidRPr="00B02247">
        <w:t>for</w:t>
      </w:r>
      <w:r w:rsidR="005B2A41">
        <w:t xml:space="preserve"> </w:t>
      </w:r>
      <w:r w:rsidRPr="00B02247">
        <w:t>primary</w:t>
      </w:r>
      <w:r w:rsidR="005B2A41">
        <w:t xml:space="preserve"> </w:t>
      </w:r>
      <w:r w:rsidRPr="00B02247">
        <w:t>and</w:t>
      </w:r>
      <w:r w:rsidR="005B2A41">
        <w:t xml:space="preserve"> </w:t>
      </w:r>
      <w:r w:rsidRPr="00B02247">
        <w:t>secondary</w:t>
      </w:r>
      <w:r w:rsidR="005B2A41">
        <w:t xml:space="preserve"> </w:t>
      </w:r>
      <w:r w:rsidRPr="00B02247">
        <w:t>education</w:t>
      </w:r>
      <w:r w:rsidR="005B2A41">
        <w:t xml:space="preserve"> </w:t>
      </w:r>
      <w:r w:rsidRPr="00B02247">
        <w:t>teachers</w:t>
      </w:r>
      <w:r w:rsidR="005B2A41">
        <w:t xml:space="preserve"> </w:t>
      </w:r>
      <w:r w:rsidRPr="00B02247">
        <w:t>of</w:t>
      </w:r>
      <w:r w:rsidR="005B2A41">
        <w:t xml:space="preserve"> </w:t>
      </w:r>
      <w:r w:rsidRPr="00B02247">
        <w:t>the</w:t>
      </w:r>
      <w:r w:rsidR="005B2A41">
        <w:t xml:space="preserve"> </w:t>
      </w:r>
      <w:r w:rsidRPr="00B02247">
        <w:t>CoE</w:t>
      </w:r>
      <w:r w:rsidR="005B2A41">
        <w:t xml:space="preserve"> </w:t>
      </w:r>
      <w:r w:rsidRPr="00B02247">
        <w:t>(e.g.</w:t>
      </w:r>
      <w:r w:rsidR="005B2A41">
        <w:t xml:space="preserve"> </w:t>
      </w:r>
      <w:r w:rsidRPr="00B02247">
        <w:t>the</w:t>
      </w:r>
      <w:r w:rsidR="005B2A41">
        <w:t xml:space="preserve"> </w:t>
      </w:r>
      <w:r w:rsidRPr="00B02247">
        <w:t>Pestalozzi</w:t>
      </w:r>
      <w:r w:rsidR="005B2A41">
        <w:t xml:space="preserve"> </w:t>
      </w:r>
      <w:r w:rsidRPr="00B02247">
        <w:t>programme),</w:t>
      </w:r>
      <w:r w:rsidR="005B2A41">
        <w:t xml:space="preserve"> </w:t>
      </w:r>
      <w:r w:rsidRPr="00B02247">
        <w:t>etc.</w:t>
      </w:r>
    </w:p>
    <w:p w:rsidR="00F233AB" w:rsidRPr="00B02247" w:rsidRDefault="00F233AB" w:rsidP="00E1307D">
      <w:pPr>
        <w:pStyle w:val="SingleTxtG"/>
      </w:pPr>
      <w:r w:rsidRPr="00B02247">
        <w:t>132.</w:t>
      </w:r>
      <w:r w:rsidRPr="00B02247">
        <w:tab/>
        <w:t>In</w:t>
      </w:r>
      <w:r w:rsidR="005B2A41">
        <w:t xml:space="preserve"> </w:t>
      </w:r>
      <w:r w:rsidRPr="00B02247">
        <w:t>addition,</w:t>
      </w:r>
      <w:r w:rsidR="005B2A41">
        <w:t xml:space="preserve"> </w:t>
      </w:r>
      <w:r w:rsidRPr="00B02247">
        <w:t>various</w:t>
      </w:r>
      <w:r w:rsidR="005B2A41">
        <w:t xml:space="preserve"> </w:t>
      </w:r>
      <w:r w:rsidRPr="00B02247">
        <w:t>other</w:t>
      </w:r>
      <w:r w:rsidR="005B2A41">
        <w:t xml:space="preserve"> </w:t>
      </w:r>
      <w:r w:rsidRPr="00B02247">
        <w:t>entities,</w:t>
      </w:r>
      <w:r w:rsidR="005B2A41">
        <w:t xml:space="preserve"> </w:t>
      </w:r>
      <w:r w:rsidRPr="00B02247">
        <w:t>like</w:t>
      </w:r>
      <w:r w:rsidR="005B2A41">
        <w:t xml:space="preserve"> </w:t>
      </w:r>
      <w:r w:rsidRPr="00B02247">
        <w:t>the</w:t>
      </w:r>
      <w:r w:rsidR="005B2A41">
        <w:t xml:space="preserve"> </w:t>
      </w:r>
      <w:r w:rsidRPr="00B02247">
        <w:t>National</w:t>
      </w:r>
      <w:r w:rsidR="005B2A41">
        <w:t xml:space="preserve"> </w:t>
      </w:r>
      <w:r w:rsidRPr="00B02247">
        <w:t>Commission</w:t>
      </w:r>
      <w:r w:rsidR="005B2A41">
        <w:t xml:space="preserve"> </w:t>
      </w:r>
      <w:r w:rsidRPr="00B02247">
        <w:t>for</w:t>
      </w:r>
      <w:r w:rsidR="005B2A41">
        <w:t xml:space="preserve"> </w:t>
      </w:r>
      <w:r w:rsidRPr="00B02247">
        <w:t>Human</w:t>
      </w:r>
      <w:r w:rsidR="005B2A41">
        <w:t xml:space="preserve"> </w:t>
      </w:r>
      <w:r w:rsidRPr="00B02247">
        <w:t>Rights,</w:t>
      </w:r>
      <w:r w:rsidR="005B2A41">
        <w:t xml:space="preserve"> </w:t>
      </w:r>
      <w:r w:rsidRPr="00B02247">
        <w:t>the</w:t>
      </w:r>
      <w:r w:rsidR="005B2A41">
        <w:t xml:space="preserve"> </w:t>
      </w:r>
      <w:r w:rsidRPr="00B02247">
        <w:t>National</w:t>
      </w:r>
      <w:r w:rsidR="005B2A41">
        <w:t xml:space="preserve"> </w:t>
      </w:r>
      <w:r w:rsidRPr="00B02247">
        <w:t>Kapodistrian</w:t>
      </w:r>
      <w:r w:rsidR="005B2A41">
        <w:t xml:space="preserve"> </w:t>
      </w:r>
      <w:r w:rsidRPr="00B02247">
        <w:t>University</w:t>
      </w:r>
      <w:r w:rsidR="005B2A41">
        <w:t xml:space="preserve"> </w:t>
      </w:r>
      <w:r w:rsidRPr="00B02247">
        <w:t>of</w:t>
      </w:r>
      <w:r w:rsidR="005B2A41">
        <w:t xml:space="preserve"> </w:t>
      </w:r>
      <w:r w:rsidRPr="00B02247">
        <w:t>Athens,</w:t>
      </w:r>
      <w:r w:rsidR="005B2A41">
        <w:t xml:space="preserve"> </w:t>
      </w:r>
      <w:r w:rsidRPr="00B02247">
        <w:t>the</w:t>
      </w:r>
      <w:r w:rsidR="005B2A41">
        <w:t xml:space="preserve"> </w:t>
      </w:r>
      <w:r w:rsidRPr="00B02247">
        <w:t>Aristotle</w:t>
      </w:r>
      <w:r w:rsidR="005B2A41">
        <w:t xml:space="preserve"> </w:t>
      </w:r>
      <w:r w:rsidRPr="00B02247">
        <w:t>University</w:t>
      </w:r>
      <w:r w:rsidR="005B2A41">
        <w:t xml:space="preserve"> </w:t>
      </w:r>
      <w:r w:rsidRPr="00B02247">
        <w:t>of</w:t>
      </w:r>
      <w:r w:rsidR="005B2A41">
        <w:t xml:space="preserve"> </w:t>
      </w:r>
      <w:r w:rsidRPr="00B02247">
        <w:t>Thessaloniki</w:t>
      </w:r>
      <w:r w:rsidR="005B2A41">
        <w:t xml:space="preserve"> </w:t>
      </w:r>
      <w:r w:rsidRPr="00B02247">
        <w:t>and</w:t>
      </w:r>
      <w:r w:rsidR="005B2A41">
        <w:t xml:space="preserve"> </w:t>
      </w:r>
      <w:r w:rsidRPr="00B02247">
        <w:t>others</w:t>
      </w:r>
      <w:r w:rsidR="005B2A41">
        <w:t xml:space="preserve"> </w:t>
      </w:r>
      <w:r w:rsidRPr="00B02247">
        <w:t>organize</w:t>
      </w:r>
      <w:r w:rsidR="005B2A41">
        <w:t xml:space="preserve"> </w:t>
      </w:r>
      <w:r w:rsidRPr="00B02247">
        <w:t>similar</w:t>
      </w:r>
      <w:r w:rsidR="005B2A41">
        <w:t xml:space="preserve"> </w:t>
      </w:r>
      <w:r w:rsidRPr="00B02247">
        <w:t>events</w:t>
      </w:r>
      <w:r w:rsidR="005B2A41">
        <w:t xml:space="preserve"> </w:t>
      </w:r>
      <w:r w:rsidRPr="00B02247">
        <w:t>on</w:t>
      </w:r>
      <w:r w:rsidR="005B2A41">
        <w:t xml:space="preserve"> </w:t>
      </w:r>
      <w:r w:rsidRPr="00B02247">
        <w:t>human</w:t>
      </w:r>
      <w:r w:rsidR="005B2A41">
        <w:t xml:space="preserve"> </w:t>
      </w:r>
      <w:r w:rsidRPr="00B02247">
        <w:t>rights</w:t>
      </w:r>
      <w:r w:rsidR="005B2A41">
        <w:t xml:space="preserve"> </w:t>
      </w:r>
      <w:r w:rsidRPr="00B02247">
        <w:t>(conferences,</w:t>
      </w:r>
      <w:r w:rsidR="005B2A41">
        <w:t xml:space="preserve"> </w:t>
      </w:r>
      <w:r w:rsidRPr="00B02247">
        <w:t>printing</w:t>
      </w:r>
      <w:r w:rsidR="005B2A41">
        <w:t xml:space="preserve"> </w:t>
      </w:r>
      <w:r w:rsidRPr="00B02247">
        <w:t>leaflets</w:t>
      </w:r>
      <w:r w:rsidR="005B2A41">
        <w:t xml:space="preserve"> </w:t>
      </w:r>
      <w:r w:rsidRPr="00B02247">
        <w:t>for</w:t>
      </w:r>
      <w:r w:rsidR="005B2A41">
        <w:t xml:space="preserve"> </w:t>
      </w:r>
      <w:r w:rsidRPr="00B02247">
        <w:t>teachers,</w:t>
      </w:r>
      <w:r w:rsidR="005B2A41">
        <w:t xml:space="preserve"> </w:t>
      </w:r>
      <w:r w:rsidRPr="00B02247">
        <w:t>etc.).</w:t>
      </w:r>
    </w:p>
    <w:p w:rsidR="00F233AB" w:rsidRPr="00B02247" w:rsidRDefault="00F233AB" w:rsidP="00E1307D">
      <w:pPr>
        <w:pStyle w:val="SingleTxtG"/>
      </w:pPr>
      <w:r w:rsidRPr="00B02247">
        <w:t>133.</w:t>
      </w:r>
      <w:r w:rsidRPr="00B02247">
        <w:tab/>
        <w:t>As</w:t>
      </w:r>
      <w:r w:rsidR="005B2A41">
        <w:t xml:space="preserve"> </w:t>
      </w:r>
      <w:r w:rsidRPr="00B02247">
        <w:t>far</w:t>
      </w:r>
      <w:r w:rsidR="005B2A41">
        <w:t xml:space="preserve"> </w:t>
      </w:r>
      <w:r w:rsidRPr="00B02247">
        <w:t>as</w:t>
      </w:r>
      <w:r w:rsidR="005B2A41">
        <w:t xml:space="preserve"> </w:t>
      </w:r>
      <w:r w:rsidRPr="00B02247">
        <w:t>the</w:t>
      </w:r>
      <w:r w:rsidR="005B2A41">
        <w:t xml:space="preserve"> </w:t>
      </w:r>
      <w:r w:rsidRPr="00B02247">
        <w:t>Universities</w:t>
      </w:r>
      <w:r w:rsidR="005B2A41">
        <w:t xml:space="preserve"> </w:t>
      </w:r>
      <w:r w:rsidRPr="00B02247">
        <w:t>and</w:t>
      </w:r>
      <w:r w:rsidR="005B2A41">
        <w:t xml:space="preserve"> </w:t>
      </w:r>
      <w:r w:rsidRPr="00B02247">
        <w:t>Technological</w:t>
      </w:r>
      <w:r w:rsidR="005B2A41">
        <w:t xml:space="preserve"> </w:t>
      </w:r>
      <w:r w:rsidRPr="00B02247">
        <w:t>Institutions</w:t>
      </w:r>
      <w:r w:rsidR="005B2A41">
        <w:t xml:space="preserve"> </w:t>
      </w:r>
      <w:r w:rsidRPr="00B02247">
        <w:t>are</w:t>
      </w:r>
      <w:r w:rsidR="005B2A41">
        <w:t xml:space="preserve"> </w:t>
      </w:r>
      <w:r w:rsidRPr="00B02247">
        <w:t>concerned,</w:t>
      </w:r>
      <w:r w:rsidR="005B2A41">
        <w:t xml:space="preserve"> </w:t>
      </w:r>
      <w:r w:rsidRPr="00B02247">
        <w:t>as</w:t>
      </w:r>
      <w:r w:rsidR="005B2A41">
        <w:t xml:space="preserve"> </w:t>
      </w:r>
      <w:r w:rsidRPr="00B02247">
        <w:t>autonomous</w:t>
      </w:r>
      <w:r w:rsidR="005B2A41">
        <w:t xml:space="preserve"> </w:t>
      </w:r>
      <w:r w:rsidRPr="00B02247">
        <w:t>and</w:t>
      </w:r>
      <w:r w:rsidR="005B2A41">
        <w:t xml:space="preserve"> </w:t>
      </w:r>
      <w:r w:rsidRPr="00B02247">
        <w:t>independent</w:t>
      </w:r>
      <w:r w:rsidR="005B2A41">
        <w:t xml:space="preserve"> </w:t>
      </w:r>
      <w:r w:rsidRPr="00B02247">
        <w:t>organizations,</w:t>
      </w:r>
      <w:r w:rsidR="005B2A41">
        <w:t xml:space="preserve"> </w:t>
      </w:r>
      <w:r w:rsidRPr="00B02247">
        <w:t>they</w:t>
      </w:r>
      <w:r w:rsidR="005B2A41">
        <w:t xml:space="preserve"> </w:t>
      </w:r>
      <w:r w:rsidRPr="00B02247">
        <w:t>participate</w:t>
      </w:r>
      <w:r w:rsidR="005B2A41">
        <w:t xml:space="preserve"> </w:t>
      </w:r>
      <w:r w:rsidRPr="00B02247">
        <w:t>in</w:t>
      </w:r>
      <w:r w:rsidR="005B2A41">
        <w:t xml:space="preserve"> </w:t>
      </w:r>
      <w:r w:rsidRPr="00B02247">
        <w:t>various</w:t>
      </w:r>
      <w:r w:rsidR="005B2A41">
        <w:t xml:space="preserve"> </w:t>
      </w:r>
      <w:r w:rsidRPr="00B02247">
        <w:t>programmes</w:t>
      </w:r>
      <w:r w:rsidR="005B2A41">
        <w:t xml:space="preserve"> </w:t>
      </w:r>
      <w:r w:rsidRPr="00B02247">
        <w:t>and</w:t>
      </w:r>
      <w:r w:rsidR="005B2A41">
        <w:t xml:space="preserve"> </w:t>
      </w:r>
      <w:r w:rsidRPr="00B02247">
        <w:t>organize</w:t>
      </w:r>
      <w:r w:rsidR="005B2A41">
        <w:t xml:space="preserve"> </w:t>
      </w:r>
      <w:r w:rsidRPr="00B02247">
        <w:t>events</w:t>
      </w:r>
      <w:r w:rsidR="005B2A41">
        <w:t xml:space="preserve"> </w:t>
      </w:r>
      <w:r w:rsidRPr="00B02247">
        <w:t>on</w:t>
      </w:r>
      <w:r w:rsidR="005B2A41">
        <w:t xml:space="preserve"> </w:t>
      </w:r>
      <w:r w:rsidRPr="00B02247">
        <w:t>human</w:t>
      </w:r>
      <w:r w:rsidR="005B2A41">
        <w:t xml:space="preserve"> </w:t>
      </w:r>
      <w:r w:rsidRPr="00B02247">
        <w:t>rights.</w:t>
      </w:r>
      <w:r w:rsidR="005B2A41">
        <w:t xml:space="preserve"> </w:t>
      </w:r>
    </w:p>
    <w:p w:rsidR="00F233AB" w:rsidRPr="00B02247" w:rsidRDefault="00F233AB" w:rsidP="00260961">
      <w:pPr>
        <w:pStyle w:val="H23G"/>
      </w:pPr>
      <w:r w:rsidRPr="00B02247">
        <w:tab/>
        <w:t>4.</w:t>
      </w:r>
      <w:r w:rsidRPr="00B02247">
        <w:tab/>
        <w:t>Activities</w:t>
      </w:r>
      <w:r w:rsidR="005B2A41">
        <w:t xml:space="preserve"> </w:t>
      </w:r>
      <w:r w:rsidRPr="00B02247">
        <w:t>in</w:t>
      </w:r>
      <w:r w:rsidR="005B2A41">
        <w:t xml:space="preserve"> </w:t>
      </w:r>
      <w:r w:rsidRPr="00B02247">
        <w:t>the</w:t>
      </w:r>
      <w:r w:rsidR="005B2A41">
        <w:t xml:space="preserve"> </w:t>
      </w:r>
      <w:r w:rsidRPr="00B02247">
        <w:t>field</w:t>
      </w:r>
      <w:r w:rsidR="005B2A41">
        <w:t xml:space="preserve"> </w:t>
      </w:r>
      <w:r w:rsidRPr="00B02247">
        <w:t>of</w:t>
      </w:r>
      <w:r w:rsidR="005B2A41">
        <w:t xml:space="preserve"> </w:t>
      </w:r>
      <w:r w:rsidRPr="00B02247">
        <w:t>healthcare</w:t>
      </w:r>
    </w:p>
    <w:p w:rsidR="00F233AB" w:rsidRPr="00B02247" w:rsidRDefault="00F233AB" w:rsidP="00E1307D">
      <w:pPr>
        <w:pStyle w:val="SingleTxtG"/>
      </w:pPr>
      <w:r w:rsidRPr="00B02247">
        <w:t>134.</w:t>
      </w:r>
      <w:r w:rsidRPr="00B02247">
        <w:tab/>
        <w:t>In</w:t>
      </w:r>
      <w:r w:rsidR="005B2A41">
        <w:t xml:space="preserve"> </w:t>
      </w:r>
      <w:r w:rsidRPr="00B02247">
        <w:t>addition</w:t>
      </w:r>
      <w:r w:rsidR="005B2A41">
        <w:t xml:space="preserve"> </w:t>
      </w:r>
      <w:r w:rsidRPr="00B02247">
        <w:t>to</w:t>
      </w:r>
      <w:r w:rsidR="005B2A41">
        <w:t xml:space="preserve"> </w:t>
      </w:r>
      <w:r w:rsidRPr="00B02247">
        <w:t>the</w:t>
      </w:r>
      <w:r w:rsidR="005B2A41">
        <w:t xml:space="preserve"> </w:t>
      </w:r>
      <w:r w:rsidRPr="00B02247">
        <w:t>legal</w:t>
      </w:r>
      <w:r w:rsidR="005B2A41">
        <w:t xml:space="preserve"> </w:t>
      </w:r>
      <w:r w:rsidRPr="00B02247">
        <w:t>safeguards</w:t>
      </w:r>
      <w:r w:rsidR="005B2A41">
        <w:t xml:space="preserve"> </w:t>
      </w:r>
      <w:r w:rsidRPr="00B02247">
        <w:t>for</w:t>
      </w:r>
      <w:r w:rsidR="005B2A41">
        <w:t xml:space="preserve"> </w:t>
      </w:r>
      <w:r w:rsidRPr="00B02247">
        <w:t>the</w:t>
      </w:r>
      <w:r w:rsidR="005B2A41">
        <w:t xml:space="preserve"> </w:t>
      </w:r>
      <w:r w:rsidRPr="00B02247">
        <w:t>rights</w:t>
      </w:r>
      <w:r w:rsidR="005B2A41">
        <w:t xml:space="preserve"> </w:t>
      </w:r>
      <w:r w:rsidRPr="00B02247">
        <w:t>for</w:t>
      </w:r>
      <w:r w:rsidR="005B2A41">
        <w:t xml:space="preserve"> </w:t>
      </w:r>
      <w:r w:rsidRPr="00B02247">
        <w:t>rights</w:t>
      </w:r>
      <w:r w:rsidR="005B2A41">
        <w:t xml:space="preserve"> </w:t>
      </w:r>
      <w:r w:rsidRPr="00B02247">
        <w:t>of</w:t>
      </w:r>
      <w:r w:rsidR="005B2A41">
        <w:t xml:space="preserve"> </w:t>
      </w:r>
      <w:r w:rsidRPr="00B02247">
        <w:t>hospital</w:t>
      </w:r>
      <w:r w:rsidR="005B2A41">
        <w:t xml:space="preserve"> </w:t>
      </w:r>
      <w:r w:rsidRPr="00B02247">
        <w:t>patients</w:t>
      </w:r>
      <w:r w:rsidR="005B2A41">
        <w:t xml:space="preserve"> </w:t>
      </w:r>
      <w:r w:rsidRPr="00B02247">
        <w:t>and</w:t>
      </w:r>
      <w:r w:rsidR="005B2A41">
        <w:t xml:space="preserve"> </w:t>
      </w:r>
      <w:r w:rsidRPr="00B02247">
        <w:t>person</w:t>
      </w:r>
      <w:r w:rsidR="005B2A41">
        <w:t xml:space="preserve"> </w:t>
      </w:r>
      <w:r w:rsidRPr="00B02247">
        <w:t>with</w:t>
      </w:r>
      <w:r w:rsidR="005B2A41">
        <w:t xml:space="preserve"> </w:t>
      </w:r>
      <w:r w:rsidRPr="00B02247">
        <w:t>mental</w:t>
      </w:r>
      <w:r w:rsidR="005B2A41">
        <w:t xml:space="preserve"> </w:t>
      </w:r>
      <w:r w:rsidRPr="00B02247">
        <w:t>disorders,</w:t>
      </w:r>
      <w:r w:rsidR="005B2A41">
        <w:t xml:space="preserve"> </w:t>
      </w:r>
      <w:r w:rsidRPr="00B02247">
        <w:t>the</w:t>
      </w:r>
      <w:r w:rsidR="005B2A41">
        <w:t xml:space="preserve"> </w:t>
      </w:r>
      <w:r w:rsidRPr="00B02247">
        <w:t>Ministry</w:t>
      </w:r>
      <w:r w:rsidR="005B2A41">
        <w:t xml:space="preserve"> </w:t>
      </w:r>
      <w:r w:rsidRPr="00B02247">
        <w:t>of</w:t>
      </w:r>
      <w:r w:rsidR="005B2A41">
        <w:t xml:space="preserve"> </w:t>
      </w:r>
      <w:r w:rsidRPr="00B02247">
        <w:t>Health</w:t>
      </w:r>
      <w:r w:rsidR="005B2A41">
        <w:t xml:space="preserve"> </w:t>
      </w:r>
      <w:r w:rsidRPr="00B02247">
        <w:t>has</w:t>
      </w:r>
      <w:r w:rsidR="005B2A41">
        <w:t xml:space="preserve"> </w:t>
      </w:r>
      <w:r w:rsidRPr="00B02247">
        <w:t>undertaken</w:t>
      </w:r>
      <w:r w:rsidR="005B2A41">
        <w:t xml:space="preserve"> </w:t>
      </w:r>
      <w:r w:rsidRPr="00B02247">
        <w:t>the</w:t>
      </w:r>
      <w:r w:rsidR="005B2A41">
        <w:t xml:space="preserve"> </w:t>
      </w:r>
      <w:r w:rsidRPr="00B02247">
        <w:t>following</w:t>
      </w:r>
      <w:r w:rsidR="005B2A41">
        <w:t xml:space="preserve"> </w:t>
      </w:r>
      <w:r w:rsidRPr="00B02247">
        <w:t>initiatives:</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Establishment</w:t>
      </w:r>
      <w:r w:rsidR="005B2A41">
        <w:t xml:space="preserve"> </w:t>
      </w:r>
      <w:r w:rsidR="00F233AB" w:rsidRPr="00B02247">
        <w:t>of</w:t>
      </w:r>
      <w:r w:rsidR="005B2A41">
        <w:t xml:space="preserve"> </w:t>
      </w:r>
      <w:r w:rsidR="00F233AB" w:rsidRPr="00B02247">
        <w:t>Offices</w:t>
      </w:r>
      <w:r w:rsidR="005B2A41">
        <w:t xml:space="preserve"> </w:t>
      </w:r>
      <w:r w:rsidR="00F233AB" w:rsidRPr="00B02247">
        <w:t>for</w:t>
      </w:r>
      <w:r w:rsidR="005B2A41">
        <w:t xml:space="preserve"> </w:t>
      </w:r>
      <w:r w:rsidR="00F233AB" w:rsidRPr="00B02247">
        <w:t>the</w:t>
      </w:r>
      <w:r w:rsidR="005B2A41">
        <w:t xml:space="preserve"> </w:t>
      </w:r>
      <w:r w:rsidR="00F233AB" w:rsidRPr="00B02247">
        <w:t>Protection</w:t>
      </w:r>
      <w:r w:rsidR="005B2A41">
        <w:t xml:space="preserve"> </w:t>
      </w:r>
      <w:r w:rsidR="00F233AB" w:rsidRPr="00B02247">
        <w:t>of</w:t>
      </w:r>
      <w:r w:rsidR="005B2A41">
        <w:t xml:space="preserve"> </w:t>
      </w:r>
      <w:r w:rsidR="00F233AB" w:rsidRPr="00B02247">
        <w:t>the</w:t>
      </w:r>
      <w:r w:rsidR="005B2A41">
        <w:t xml:space="preserve"> </w:t>
      </w:r>
      <w:r w:rsidR="00F233AB" w:rsidRPr="00B02247">
        <w:t>Rights</w:t>
      </w:r>
      <w:r w:rsidR="005B2A41">
        <w:t xml:space="preserve"> </w:t>
      </w:r>
      <w:r w:rsidR="00F233AB" w:rsidRPr="00B02247">
        <w:t>of</w:t>
      </w:r>
      <w:r w:rsidR="005B2A41">
        <w:t xml:space="preserve"> </w:t>
      </w:r>
      <w:r w:rsidR="00F233AB" w:rsidRPr="00B02247">
        <w:t>Health</w:t>
      </w:r>
      <w:r w:rsidR="005B2A41">
        <w:t xml:space="preserve"> </w:t>
      </w:r>
      <w:r w:rsidR="00F233AB" w:rsidRPr="00B02247">
        <w:t>Service</w:t>
      </w:r>
      <w:r w:rsidR="005B2A41">
        <w:t xml:space="preserve"> </w:t>
      </w:r>
      <w:r w:rsidR="00F233AB" w:rsidRPr="00B02247">
        <w:t>Recipients</w:t>
      </w:r>
      <w:r w:rsidR="005B2A41">
        <w:t xml:space="preserve"> </w:t>
      </w:r>
      <w:r w:rsidR="00F233AB" w:rsidRPr="00B02247">
        <w:t>in</w:t>
      </w:r>
      <w:r w:rsidR="005B2A41">
        <w:t xml:space="preserve"> </w:t>
      </w:r>
      <w:r w:rsidR="00F233AB" w:rsidRPr="00B02247">
        <w:t>NHS</w:t>
      </w:r>
      <w:r w:rsidR="005B2A41">
        <w:t xml:space="preserve"> </w:t>
      </w:r>
      <w:r w:rsidR="00F233AB" w:rsidRPr="00B02247">
        <w:t>Hospitals</w:t>
      </w:r>
      <w:r w:rsidR="005B2A41">
        <w:t xml:space="preserve"> </w:t>
      </w:r>
      <w:r w:rsidR="00F233AB" w:rsidRPr="00B02247">
        <w:t>as</w:t>
      </w:r>
      <w:r w:rsidR="005B2A41">
        <w:t xml:space="preserve"> </w:t>
      </w:r>
      <w:r w:rsidR="00F233AB" w:rsidRPr="00B02247">
        <w:t>well</w:t>
      </w:r>
      <w:r w:rsidR="005B2A41">
        <w:t xml:space="preserve"> </w:t>
      </w:r>
      <w:r w:rsidR="00F233AB" w:rsidRPr="00B02247">
        <w:t>as</w:t>
      </w:r>
      <w:r w:rsidR="005B2A41">
        <w:t xml:space="preserve"> </w:t>
      </w:r>
      <w:r w:rsidR="00F233AB" w:rsidRPr="00B02247">
        <w:t>establishment</w:t>
      </w:r>
      <w:r w:rsidR="005B2A41">
        <w:t xml:space="preserve"> </w:t>
      </w:r>
      <w:r w:rsidR="00F233AB" w:rsidRPr="00B02247">
        <w:t>of</w:t>
      </w:r>
      <w:r w:rsidR="005B2A41">
        <w:t xml:space="preserve"> </w:t>
      </w:r>
      <w:r w:rsidR="00F233AB" w:rsidRPr="00B02247">
        <w:t>the</w:t>
      </w:r>
      <w:r w:rsidR="005B2A41">
        <w:t xml:space="preserve"> </w:t>
      </w:r>
      <w:r w:rsidR="00F233AB" w:rsidRPr="00B02247">
        <w:t>Monitoring</w:t>
      </w:r>
      <w:r w:rsidR="005B2A41">
        <w:t xml:space="preserve"> </w:t>
      </w:r>
      <w:r w:rsidR="00F233AB" w:rsidRPr="00B02247">
        <w:t>Committee</w:t>
      </w:r>
      <w:r w:rsidR="005B2A41">
        <w:t xml:space="preserve"> </w:t>
      </w:r>
      <w:r w:rsidR="00F233AB" w:rsidRPr="00B02247">
        <w:t>for</w:t>
      </w:r>
      <w:r w:rsidR="005B2A41">
        <w:t xml:space="preserve"> </w:t>
      </w:r>
      <w:r w:rsidR="00F233AB" w:rsidRPr="00B02247">
        <w:t>the</w:t>
      </w:r>
      <w:r w:rsidR="005B2A41">
        <w:t xml:space="preserve"> </w:t>
      </w:r>
      <w:r w:rsidR="00F233AB" w:rsidRPr="00B02247">
        <w:t>Protection</w:t>
      </w:r>
      <w:r w:rsidR="005B2A41">
        <w:t xml:space="preserve"> </w:t>
      </w:r>
      <w:r w:rsidR="00F233AB" w:rsidRPr="00B02247">
        <w:t>of</w:t>
      </w:r>
      <w:r w:rsidR="005B2A41">
        <w:t xml:space="preserve"> </w:t>
      </w:r>
      <w:r w:rsidR="00F233AB" w:rsidRPr="00B02247">
        <w:t>the</w:t>
      </w:r>
      <w:r w:rsidR="005B2A41">
        <w:t xml:space="preserve"> </w:t>
      </w:r>
      <w:r w:rsidR="00F233AB" w:rsidRPr="00B02247">
        <w:t>Rights</w:t>
      </w:r>
      <w:r w:rsidR="005B2A41">
        <w:t xml:space="preserve"> </w:t>
      </w:r>
      <w:r w:rsidR="00F233AB" w:rsidRPr="00B02247">
        <w:t>of</w:t>
      </w:r>
      <w:r w:rsidR="005B2A41">
        <w:t xml:space="preserve"> </w:t>
      </w:r>
      <w:r w:rsidR="00F233AB" w:rsidRPr="00B02247">
        <w:t>Health</w:t>
      </w:r>
      <w:r w:rsidR="005B2A41">
        <w:t xml:space="preserve"> </w:t>
      </w:r>
      <w:r w:rsidR="00F233AB" w:rsidRPr="00B02247">
        <w:t>Service</w:t>
      </w:r>
      <w:r w:rsidR="005B2A41">
        <w:t xml:space="preserve"> </w:t>
      </w:r>
      <w:r w:rsidR="00F233AB" w:rsidRPr="00B02247">
        <w:t>Recipients,</w:t>
      </w:r>
      <w:r w:rsidR="005B2A41">
        <w:t xml:space="preserve"> </w:t>
      </w:r>
      <w:r w:rsidR="00F233AB" w:rsidRPr="00B02247">
        <w:t>within</w:t>
      </w:r>
      <w:r w:rsidR="005B2A41">
        <w:t xml:space="preserve"> </w:t>
      </w:r>
      <w:r w:rsidR="00F233AB" w:rsidRPr="00B02247">
        <w:t>the</w:t>
      </w:r>
      <w:r w:rsidR="005B2A41">
        <w:t xml:space="preserve"> </w:t>
      </w:r>
      <w:r w:rsidR="00F233AB" w:rsidRPr="00B02247">
        <w:t>Ministry</w:t>
      </w:r>
      <w:r w:rsidR="005B2A41">
        <w:t xml:space="preserve"> </w:t>
      </w:r>
      <w:r w:rsidR="00F233AB" w:rsidRPr="00B02247">
        <w:t>of</w:t>
      </w:r>
      <w:r w:rsidR="005B2A41">
        <w:t xml:space="preserve"> </w:t>
      </w:r>
      <w:r w:rsidR="00F233AB" w:rsidRPr="00B02247">
        <w:t>Health,</w:t>
      </w:r>
      <w:r w:rsidR="005B2A41">
        <w:t xml:space="preserve"> </w:t>
      </w:r>
      <w:r w:rsidR="00F233AB" w:rsidRPr="00B02247">
        <w:t>based</w:t>
      </w:r>
      <w:r w:rsidR="005B2A41">
        <w:t xml:space="preserve"> </w:t>
      </w:r>
      <w:r w:rsidR="00F233AB" w:rsidRPr="00B02247">
        <w:t>on</w:t>
      </w:r>
      <w:r w:rsidR="005B2A41">
        <w:t xml:space="preserve"> </w:t>
      </w:r>
      <w:r w:rsidR="00F233AB" w:rsidRPr="00B02247">
        <w:t>Law</w:t>
      </w:r>
      <w:r w:rsidR="005B2A41">
        <w:t xml:space="preserve"> </w:t>
      </w:r>
      <w:r w:rsidR="00F233AB" w:rsidRPr="00B02247">
        <w:t>4368/2016;</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Publication</w:t>
      </w:r>
      <w:r w:rsidR="005B2A41">
        <w:t xml:space="preserve"> </w:t>
      </w:r>
      <w:r w:rsidR="00F233AB" w:rsidRPr="00B02247">
        <w:t>of</w:t>
      </w:r>
      <w:r w:rsidR="005B2A41">
        <w:t xml:space="preserve"> </w:t>
      </w:r>
      <w:r w:rsidR="00F233AB" w:rsidRPr="00B02247">
        <w:t>circulars</w:t>
      </w:r>
      <w:r w:rsidR="005B2A41">
        <w:t xml:space="preserve"> </w:t>
      </w:r>
      <w:r w:rsidR="00F233AB" w:rsidRPr="00B02247">
        <w:t>on</w:t>
      </w:r>
      <w:r w:rsidR="005B2A41">
        <w:t xml:space="preserve"> </w:t>
      </w:r>
      <w:r w:rsidR="00F233AB" w:rsidRPr="00B02247">
        <w:t>the</w:t>
      </w:r>
      <w:r w:rsidR="005B2A41">
        <w:t xml:space="preserve"> </w:t>
      </w:r>
      <w:r w:rsidR="00F233AB" w:rsidRPr="00B02247">
        <w:t>occasion</w:t>
      </w:r>
      <w:r w:rsidR="005B2A41">
        <w:t xml:space="preserve"> </w:t>
      </w:r>
      <w:r w:rsidR="00F233AB" w:rsidRPr="00B02247">
        <w:t>of</w:t>
      </w:r>
      <w:r w:rsidR="005B2A41">
        <w:t xml:space="preserve"> </w:t>
      </w:r>
      <w:r w:rsidR="00F233AB" w:rsidRPr="00B02247">
        <w:t>the</w:t>
      </w:r>
      <w:r w:rsidR="005B2A41">
        <w:t xml:space="preserve"> </w:t>
      </w:r>
      <w:r w:rsidR="00F233AB" w:rsidRPr="00B02247">
        <w:t>European</w:t>
      </w:r>
      <w:r w:rsidR="005B2A41">
        <w:t xml:space="preserve"> </w:t>
      </w:r>
      <w:r w:rsidR="00F233AB" w:rsidRPr="00B02247">
        <w:t>Day</w:t>
      </w:r>
      <w:r w:rsidR="005B2A41">
        <w:t xml:space="preserve"> </w:t>
      </w:r>
      <w:r w:rsidR="00F233AB" w:rsidRPr="00B02247">
        <w:t>for</w:t>
      </w:r>
      <w:r w:rsidR="005B2A41">
        <w:t xml:space="preserve"> </w:t>
      </w:r>
      <w:r w:rsidR="00F233AB" w:rsidRPr="00B02247">
        <w:t>Patient</w:t>
      </w:r>
      <w:r w:rsidR="005B2A41">
        <w:t xml:space="preserve"> </w:t>
      </w:r>
      <w:r w:rsidR="00F233AB" w:rsidRPr="00B02247">
        <w:t>Rights</w:t>
      </w:r>
      <w:r w:rsidR="005B2A41">
        <w:t xml:space="preserve"> </w:t>
      </w:r>
      <w:r w:rsidR="00F233AB" w:rsidRPr="00B02247">
        <w:t>on</w:t>
      </w:r>
      <w:r w:rsidR="005B2A41">
        <w:t xml:space="preserve"> </w:t>
      </w:r>
      <w:r w:rsidR="00F233AB" w:rsidRPr="00B02247">
        <w:t>15-4-2016</w:t>
      </w:r>
      <w:r w:rsidR="005B2A41">
        <w:t xml:space="preserve"> </w:t>
      </w:r>
      <w:r w:rsidR="00F233AB" w:rsidRPr="00B02247">
        <w:t>and</w:t>
      </w:r>
      <w:r w:rsidR="005B2A41">
        <w:t xml:space="preserve"> </w:t>
      </w:r>
      <w:r w:rsidR="00F233AB" w:rsidRPr="00B02247">
        <w:t>13-4-2017;</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Publication</w:t>
      </w:r>
      <w:r w:rsidR="005B2A41">
        <w:t xml:space="preserve"> </w:t>
      </w:r>
      <w:r w:rsidR="00F233AB" w:rsidRPr="00B02247">
        <w:t>of</w:t>
      </w:r>
      <w:r w:rsidR="005B2A41">
        <w:t xml:space="preserve"> </w:t>
      </w:r>
      <w:r w:rsidR="00F233AB" w:rsidRPr="00B02247">
        <w:t>a</w:t>
      </w:r>
      <w:r w:rsidR="005B2A41">
        <w:t xml:space="preserve"> </w:t>
      </w:r>
      <w:r w:rsidR="00F233AB" w:rsidRPr="00B02247">
        <w:t>Joint</w:t>
      </w:r>
      <w:r w:rsidR="005B2A41">
        <w:t xml:space="preserve"> </w:t>
      </w:r>
      <w:r w:rsidR="00F233AB" w:rsidRPr="00B02247">
        <w:t>Ministerial</w:t>
      </w:r>
      <w:r w:rsidR="005B2A41">
        <w:t xml:space="preserve"> </w:t>
      </w:r>
      <w:r w:rsidR="00F233AB" w:rsidRPr="00B02247">
        <w:t>Decision</w:t>
      </w:r>
      <w:r w:rsidR="005B2A41">
        <w:t xml:space="preserve"> </w:t>
      </w:r>
      <w:r w:rsidR="00F233AB" w:rsidRPr="00B02247">
        <w:t>dated</w:t>
      </w:r>
      <w:r w:rsidR="005B2A41">
        <w:t xml:space="preserve"> </w:t>
      </w:r>
      <w:r w:rsidR="00F233AB" w:rsidRPr="00B02247">
        <w:t>4/4/2016,</w:t>
      </w:r>
      <w:r w:rsidR="005B2A41">
        <w:t xml:space="preserve"> </w:t>
      </w:r>
      <w:r w:rsidR="00F233AB" w:rsidRPr="00B02247">
        <w:t>referring</w:t>
      </w:r>
      <w:r w:rsidR="005B2A41">
        <w:t xml:space="preserve"> </w:t>
      </w:r>
      <w:r w:rsidR="00F233AB" w:rsidRPr="00B02247">
        <w:t>to</w:t>
      </w:r>
      <w:r w:rsidR="005B2A41">
        <w:t xml:space="preserve"> </w:t>
      </w:r>
      <w:r w:rsidR="00F233AB" w:rsidRPr="00B02247">
        <w:t>arrangements</w:t>
      </w:r>
      <w:r w:rsidR="005B2A41">
        <w:t xml:space="preserve"> </w:t>
      </w:r>
      <w:r w:rsidR="00F233AB" w:rsidRPr="00B02247">
        <w:t>that</w:t>
      </w:r>
      <w:r w:rsidR="005B2A41">
        <w:t xml:space="preserve"> </w:t>
      </w:r>
      <w:r w:rsidR="00F233AB" w:rsidRPr="00B02247">
        <w:t>ensure</w:t>
      </w:r>
      <w:r w:rsidR="005B2A41">
        <w:t xml:space="preserve"> </w:t>
      </w:r>
      <w:r w:rsidR="00F233AB" w:rsidRPr="00B02247">
        <w:t>access</w:t>
      </w:r>
      <w:r w:rsidR="005B2A41">
        <w:t xml:space="preserve"> </w:t>
      </w:r>
      <w:r w:rsidR="00F233AB" w:rsidRPr="00B02247">
        <w:t>of</w:t>
      </w:r>
      <w:r w:rsidR="005B2A41">
        <w:t xml:space="preserve"> </w:t>
      </w:r>
      <w:r w:rsidR="00F233AB" w:rsidRPr="00B02247">
        <w:t>the</w:t>
      </w:r>
      <w:r w:rsidR="005B2A41">
        <w:t xml:space="preserve"> </w:t>
      </w:r>
      <w:r w:rsidR="00F233AB" w:rsidRPr="00B02247">
        <w:t>uninsured</w:t>
      </w:r>
      <w:r w:rsidR="005B2A41">
        <w:t xml:space="preserve"> </w:t>
      </w:r>
      <w:r w:rsidR="00F233AB" w:rsidRPr="00B02247">
        <w:t>to</w:t>
      </w:r>
      <w:r w:rsidR="005B2A41">
        <w:t xml:space="preserve"> </w:t>
      </w:r>
      <w:r w:rsidR="00F233AB" w:rsidRPr="00B02247">
        <w:t>the</w:t>
      </w:r>
      <w:r w:rsidR="005B2A41">
        <w:t xml:space="preserve"> </w:t>
      </w:r>
      <w:r w:rsidR="00F233AB" w:rsidRPr="00B02247">
        <w:t>Public</w:t>
      </w:r>
      <w:r w:rsidR="005B2A41">
        <w:t xml:space="preserve"> </w:t>
      </w:r>
      <w:r w:rsidR="00F233AB" w:rsidRPr="00B02247">
        <w:t>Health</w:t>
      </w:r>
      <w:r w:rsidR="005B2A41">
        <w:t xml:space="preserve"> </w:t>
      </w:r>
      <w:r w:rsidR="00F233AB" w:rsidRPr="00B02247">
        <w:t>System;</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Publication</w:t>
      </w:r>
      <w:r w:rsidR="005B2A41">
        <w:t xml:space="preserve"> </w:t>
      </w:r>
      <w:r w:rsidR="00F233AB" w:rsidRPr="00B02247">
        <w:t>of</w:t>
      </w:r>
      <w:r w:rsidR="005B2A41">
        <w:t xml:space="preserve"> </w:t>
      </w:r>
      <w:r w:rsidR="00F233AB" w:rsidRPr="00B02247">
        <w:t>a</w:t>
      </w:r>
      <w:r w:rsidR="005B2A41">
        <w:t xml:space="preserve"> </w:t>
      </w:r>
      <w:r w:rsidR="00F233AB" w:rsidRPr="00B02247">
        <w:t>Ministerial</w:t>
      </w:r>
      <w:r w:rsidR="005B2A41">
        <w:t xml:space="preserve"> </w:t>
      </w:r>
      <w:r w:rsidR="00F233AB" w:rsidRPr="00B02247">
        <w:t>Decision</w:t>
      </w:r>
      <w:r w:rsidR="005B2A41">
        <w:t xml:space="preserve"> </w:t>
      </w:r>
      <w:r w:rsidR="00F233AB" w:rsidRPr="00B02247">
        <w:t>dated</w:t>
      </w:r>
      <w:r w:rsidR="005B2A41">
        <w:t xml:space="preserve"> </w:t>
      </w:r>
      <w:r w:rsidR="00F233AB" w:rsidRPr="00B02247">
        <w:t>10/2/2017,</w:t>
      </w:r>
      <w:r w:rsidR="005B2A41">
        <w:t xml:space="preserve"> </w:t>
      </w:r>
      <w:r w:rsidR="00F233AB" w:rsidRPr="00B02247">
        <w:t>referring</w:t>
      </w:r>
      <w:r w:rsidR="005B2A41">
        <w:t xml:space="preserve"> </w:t>
      </w:r>
      <w:r w:rsidR="00F233AB" w:rsidRPr="00B02247">
        <w:t>to</w:t>
      </w:r>
      <w:r w:rsidR="005B2A41">
        <w:t xml:space="preserve"> </w:t>
      </w:r>
      <w:r w:rsidR="00F233AB" w:rsidRPr="00B02247">
        <w:t>the</w:t>
      </w:r>
      <w:r w:rsidR="005B2A41">
        <w:t xml:space="preserve"> </w:t>
      </w:r>
      <w:r w:rsidR="003E731F">
        <w:t>“</w:t>
      </w:r>
      <w:r w:rsidR="00F233AB" w:rsidRPr="00B02247">
        <w:t>Organization</w:t>
      </w:r>
      <w:r w:rsidR="005B2A41">
        <w:t xml:space="preserve"> </w:t>
      </w:r>
      <w:r w:rsidR="00F233AB" w:rsidRPr="00B02247">
        <w:t>and</w:t>
      </w:r>
      <w:r w:rsidR="005B2A41">
        <w:t xml:space="preserve"> </w:t>
      </w:r>
      <w:r w:rsidR="00F233AB" w:rsidRPr="00B02247">
        <w:t>Operation</w:t>
      </w:r>
      <w:r w:rsidR="005B2A41">
        <w:t xml:space="preserve"> </w:t>
      </w:r>
      <w:r w:rsidR="00F233AB" w:rsidRPr="00B02247">
        <w:t>Framework</w:t>
      </w:r>
      <w:r w:rsidR="005B2A41">
        <w:t xml:space="preserve"> </w:t>
      </w:r>
      <w:r w:rsidR="00F233AB" w:rsidRPr="00B02247">
        <w:t>of</w:t>
      </w:r>
      <w:r w:rsidR="005B2A41">
        <w:t xml:space="preserve"> </w:t>
      </w:r>
      <w:r w:rsidR="00F233AB" w:rsidRPr="00B02247">
        <w:t>the</w:t>
      </w:r>
      <w:r w:rsidR="005B2A41">
        <w:t xml:space="preserve"> </w:t>
      </w:r>
      <w:r w:rsidR="00F233AB" w:rsidRPr="00B02247">
        <w:t>Office</w:t>
      </w:r>
      <w:r w:rsidR="005B2A41">
        <w:t xml:space="preserve"> </w:t>
      </w:r>
      <w:r w:rsidR="00F233AB" w:rsidRPr="00B02247">
        <w:t>for</w:t>
      </w:r>
      <w:r w:rsidR="005B2A41">
        <w:t xml:space="preserve"> </w:t>
      </w:r>
      <w:r w:rsidR="00F233AB" w:rsidRPr="00B02247">
        <w:t>the</w:t>
      </w:r>
      <w:r w:rsidR="005B2A41">
        <w:t xml:space="preserve"> </w:t>
      </w:r>
      <w:r w:rsidR="00F233AB" w:rsidRPr="00B02247">
        <w:t>Protection</w:t>
      </w:r>
      <w:r w:rsidR="005B2A41">
        <w:t xml:space="preserve"> </w:t>
      </w:r>
      <w:r w:rsidR="00F233AB" w:rsidRPr="00B02247">
        <w:t>of</w:t>
      </w:r>
      <w:r w:rsidR="005B2A41">
        <w:t xml:space="preserve"> </w:t>
      </w:r>
      <w:r w:rsidR="00F233AB" w:rsidRPr="00B02247">
        <w:t>the</w:t>
      </w:r>
      <w:r w:rsidR="005B2A41">
        <w:t xml:space="preserve"> </w:t>
      </w:r>
      <w:r w:rsidR="00F233AB" w:rsidRPr="00B02247">
        <w:t>Rights</w:t>
      </w:r>
      <w:r w:rsidR="005B2A41">
        <w:t xml:space="preserve"> </w:t>
      </w:r>
      <w:r w:rsidR="00F233AB" w:rsidRPr="00B02247">
        <w:t>of</w:t>
      </w:r>
      <w:r w:rsidR="005B2A41">
        <w:t xml:space="preserve"> </w:t>
      </w:r>
      <w:r w:rsidR="00F233AB" w:rsidRPr="00B02247">
        <w:t>Health</w:t>
      </w:r>
      <w:r w:rsidR="005B2A41">
        <w:t xml:space="preserve"> </w:t>
      </w:r>
      <w:r w:rsidR="00F233AB" w:rsidRPr="00B02247">
        <w:t>Service</w:t>
      </w:r>
      <w:r w:rsidR="005B2A41">
        <w:t xml:space="preserve"> </w:t>
      </w:r>
      <w:r w:rsidR="00F233AB" w:rsidRPr="00B02247">
        <w:t>Recipients</w:t>
      </w:r>
      <w:r w:rsidR="005B2A41">
        <w:t xml:space="preserve"> </w:t>
      </w:r>
      <w:r w:rsidR="00F233AB" w:rsidRPr="00B02247">
        <w:t>in</w:t>
      </w:r>
      <w:r w:rsidR="005B2A41">
        <w:t xml:space="preserve"> </w:t>
      </w:r>
      <w:r w:rsidR="00F233AB" w:rsidRPr="00B02247">
        <w:t>NHS</w:t>
      </w:r>
      <w:r w:rsidR="005B2A41">
        <w:t xml:space="preserve"> </w:t>
      </w:r>
      <w:r w:rsidR="00F233AB" w:rsidRPr="00B02247">
        <w:t>Hospitals</w:t>
      </w:r>
      <w:r w:rsidR="003E731F">
        <w:t>”</w:t>
      </w:r>
      <w:r w:rsidR="00F233AB" w:rsidRPr="00B02247">
        <w:t>;</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Legislative</w:t>
      </w:r>
      <w:r w:rsidR="005B2A41">
        <w:t xml:space="preserve"> </w:t>
      </w:r>
      <w:r w:rsidR="00F233AB" w:rsidRPr="00B02247">
        <w:t>Reform</w:t>
      </w:r>
      <w:r w:rsidR="005B2A41">
        <w:t xml:space="preserve"> </w:t>
      </w:r>
      <w:r w:rsidR="00F233AB" w:rsidRPr="00B02247">
        <w:t>of</w:t>
      </w:r>
      <w:r w:rsidR="005B2A41">
        <w:t xml:space="preserve"> </w:t>
      </w:r>
      <w:r w:rsidR="00F233AB" w:rsidRPr="00B02247">
        <w:t>the</w:t>
      </w:r>
      <w:r w:rsidR="005B2A41">
        <w:t xml:space="preserve"> </w:t>
      </w:r>
      <w:r w:rsidR="00F233AB" w:rsidRPr="00B02247">
        <w:t>Administrative</w:t>
      </w:r>
      <w:r w:rsidR="005B2A41">
        <w:t xml:space="preserve"> </w:t>
      </w:r>
      <w:r w:rsidR="00F233AB" w:rsidRPr="00B02247">
        <w:t>Organization</w:t>
      </w:r>
      <w:r w:rsidR="005B2A41">
        <w:t xml:space="preserve"> </w:t>
      </w:r>
      <w:r w:rsidR="00F233AB" w:rsidRPr="00B02247">
        <w:t>of</w:t>
      </w:r>
      <w:r w:rsidR="005B2A41">
        <w:t xml:space="preserve"> </w:t>
      </w:r>
      <w:r w:rsidR="00F233AB" w:rsidRPr="00B02247">
        <w:t>Mental</w:t>
      </w:r>
      <w:r w:rsidR="005B2A41">
        <w:t xml:space="preserve"> </w:t>
      </w:r>
      <w:r w:rsidR="00F233AB" w:rsidRPr="00B02247">
        <w:t>Health</w:t>
      </w:r>
      <w:r w:rsidR="005B2A41">
        <w:t xml:space="preserve"> </w:t>
      </w:r>
      <w:r w:rsidR="00F233AB" w:rsidRPr="00B02247">
        <w:t>Services</w:t>
      </w:r>
      <w:r w:rsidR="005B2A41">
        <w:t xml:space="preserve"> </w:t>
      </w:r>
      <w:r w:rsidR="00F233AB" w:rsidRPr="00B02247">
        <w:t>(Law</w:t>
      </w:r>
      <w:r w:rsidR="005B2A41">
        <w:t xml:space="preserve"> </w:t>
      </w:r>
      <w:r w:rsidR="00F233AB" w:rsidRPr="00B02247">
        <w:t>4461/2017),</w:t>
      </w:r>
      <w:r w:rsidR="005B2A41">
        <w:t xml:space="preserve"> </w:t>
      </w:r>
      <w:r w:rsidR="00F233AB" w:rsidRPr="00B02247">
        <w:t>which</w:t>
      </w:r>
      <w:r w:rsidR="005B2A41">
        <w:t xml:space="preserve"> </w:t>
      </w:r>
      <w:r w:rsidR="00F233AB" w:rsidRPr="00B02247">
        <w:t>concerns,</w:t>
      </w:r>
      <w:r w:rsidR="005B2A41">
        <w:t xml:space="preserve"> </w:t>
      </w:r>
      <w:r w:rsidR="00F233AB" w:rsidRPr="00B02247">
        <w:t>inter</w:t>
      </w:r>
      <w:r w:rsidR="005B2A41">
        <w:t xml:space="preserve"> </w:t>
      </w:r>
      <w:r w:rsidR="00F233AB" w:rsidRPr="00B02247">
        <w:t>alia,</w:t>
      </w:r>
      <w:r w:rsidR="005B2A41">
        <w:t xml:space="preserve"> </w:t>
      </w:r>
      <w:r w:rsidR="00F233AB" w:rsidRPr="00B02247">
        <w:t>the</w:t>
      </w:r>
      <w:r w:rsidR="005B2A41">
        <w:t xml:space="preserve"> </w:t>
      </w:r>
      <w:r w:rsidR="00F233AB" w:rsidRPr="00B02247">
        <w:t>establishment</w:t>
      </w:r>
      <w:r w:rsidR="005B2A41">
        <w:t xml:space="preserve"> </w:t>
      </w:r>
      <w:r w:rsidR="00F233AB" w:rsidRPr="00B02247">
        <w:t>of</w:t>
      </w:r>
      <w:r w:rsidR="005B2A41">
        <w:t xml:space="preserve"> </w:t>
      </w:r>
      <w:r w:rsidR="00F233AB" w:rsidRPr="00B02247">
        <w:t>Sectoral</w:t>
      </w:r>
      <w:r w:rsidR="005B2A41">
        <w:t xml:space="preserve"> </w:t>
      </w:r>
      <w:r w:rsidR="00F233AB" w:rsidRPr="00B02247">
        <w:t>Scientific</w:t>
      </w:r>
      <w:r w:rsidR="005B2A41">
        <w:t xml:space="preserve"> </w:t>
      </w:r>
      <w:r w:rsidR="00F233AB" w:rsidRPr="00B02247">
        <w:t>Committees</w:t>
      </w:r>
      <w:r w:rsidR="005B2A41">
        <w:t xml:space="preserve"> </w:t>
      </w:r>
      <w:r w:rsidR="00F233AB" w:rsidRPr="00B02247">
        <w:t>for</w:t>
      </w:r>
      <w:r w:rsidR="005B2A41">
        <w:t xml:space="preserve"> </w:t>
      </w:r>
      <w:r w:rsidR="00F233AB" w:rsidRPr="00B02247">
        <w:t>Mental</w:t>
      </w:r>
      <w:r w:rsidR="005B2A41">
        <w:t xml:space="preserve"> </w:t>
      </w:r>
      <w:r w:rsidR="00F233AB" w:rsidRPr="00B02247">
        <w:t>Health</w:t>
      </w:r>
      <w:r w:rsidR="005B2A41">
        <w:t xml:space="preserve"> </w:t>
      </w:r>
      <w:r w:rsidR="00F233AB" w:rsidRPr="00B02247">
        <w:t>as</w:t>
      </w:r>
      <w:r w:rsidR="005B2A41">
        <w:t xml:space="preserve"> </w:t>
      </w:r>
      <w:r w:rsidR="00F233AB" w:rsidRPr="00B02247">
        <w:t>well</w:t>
      </w:r>
      <w:r w:rsidR="005B2A41">
        <w:t xml:space="preserve"> </w:t>
      </w:r>
      <w:r w:rsidR="00F233AB" w:rsidRPr="00B02247">
        <w:t>as</w:t>
      </w:r>
      <w:r w:rsidR="005B2A41">
        <w:t xml:space="preserve"> </w:t>
      </w:r>
      <w:r w:rsidR="00F233AB" w:rsidRPr="00B02247">
        <w:t>a</w:t>
      </w:r>
      <w:r w:rsidR="005B2A41">
        <w:t xml:space="preserve"> </w:t>
      </w:r>
      <w:r w:rsidR="00F233AB" w:rsidRPr="00B02247">
        <w:t>Monitoring</w:t>
      </w:r>
      <w:r w:rsidR="005B2A41">
        <w:t xml:space="preserve"> </w:t>
      </w:r>
      <w:r w:rsidR="00F233AB" w:rsidRPr="00B02247">
        <w:t>Committee</w:t>
      </w:r>
      <w:r w:rsidR="005B2A41">
        <w:t xml:space="preserve"> </w:t>
      </w:r>
      <w:r w:rsidR="00F233AB" w:rsidRPr="00B02247">
        <w:t>for</w:t>
      </w:r>
      <w:r w:rsidR="005B2A41">
        <w:t xml:space="preserve"> </w:t>
      </w:r>
      <w:r w:rsidR="00F233AB" w:rsidRPr="00B02247">
        <w:t>the</w:t>
      </w:r>
      <w:r w:rsidR="005B2A41">
        <w:t xml:space="preserve"> </w:t>
      </w:r>
      <w:r w:rsidR="00F233AB" w:rsidRPr="00B02247">
        <w:t>Protection</w:t>
      </w:r>
      <w:r w:rsidR="005B2A41">
        <w:t xml:space="preserve"> </w:t>
      </w:r>
      <w:r w:rsidR="00F233AB" w:rsidRPr="00B02247">
        <w:t>of</w:t>
      </w:r>
      <w:r w:rsidR="005B2A41">
        <w:t xml:space="preserve"> </w:t>
      </w:r>
      <w:r w:rsidR="00F233AB" w:rsidRPr="00B02247">
        <w:t>the</w:t>
      </w:r>
      <w:r w:rsidR="005B2A41">
        <w:t xml:space="preserve"> </w:t>
      </w:r>
      <w:r w:rsidR="00F233AB" w:rsidRPr="00B02247">
        <w:t>Rights</w:t>
      </w:r>
      <w:r w:rsidR="005B2A41">
        <w:t xml:space="preserve"> </w:t>
      </w:r>
      <w:r w:rsidR="00F233AB" w:rsidRPr="00B02247">
        <w:t>of</w:t>
      </w:r>
      <w:r w:rsidR="005B2A41">
        <w:t xml:space="preserve"> </w:t>
      </w:r>
      <w:r w:rsidR="00F233AB" w:rsidRPr="00B02247">
        <w:t>Mental</w:t>
      </w:r>
      <w:r w:rsidR="005B2A41">
        <w:t xml:space="preserve"> </w:t>
      </w:r>
      <w:r w:rsidR="00F233AB" w:rsidRPr="00B02247">
        <w:t>Health</w:t>
      </w:r>
      <w:r w:rsidR="005B2A41">
        <w:t xml:space="preserve"> </w:t>
      </w:r>
      <w:r w:rsidR="00F233AB" w:rsidRPr="00B02247">
        <w:t>Service</w:t>
      </w:r>
      <w:r w:rsidR="005B2A41">
        <w:t xml:space="preserve"> </w:t>
      </w:r>
      <w:r w:rsidR="00F233AB" w:rsidRPr="00B02247">
        <w:t>Recipients;</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Organization</w:t>
      </w:r>
      <w:r w:rsidR="005B2A41">
        <w:t xml:space="preserve"> </w:t>
      </w:r>
      <w:r w:rsidR="00F233AB" w:rsidRPr="00B02247">
        <w:t>of</w:t>
      </w:r>
      <w:r w:rsidR="005B2A41">
        <w:t xml:space="preserve"> </w:t>
      </w:r>
      <w:r w:rsidR="00F233AB" w:rsidRPr="00B02247">
        <w:t>a</w:t>
      </w:r>
      <w:r w:rsidR="005B2A41">
        <w:t xml:space="preserve"> </w:t>
      </w:r>
      <w:r w:rsidR="00F233AB" w:rsidRPr="00B02247">
        <w:t>one-day</w:t>
      </w:r>
      <w:r w:rsidR="005B2A41">
        <w:t xml:space="preserve"> </w:t>
      </w:r>
      <w:r w:rsidR="00F233AB" w:rsidRPr="00B02247">
        <w:t>workshop,</w:t>
      </w:r>
      <w:r w:rsidR="005B2A41">
        <w:t xml:space="preserve"> </w:t>
      </w:r>
      <w:r w:rsidR="00F233AB" w:rsidRPr="00B02247">
        <w:t>on</w:t>
      </w:r>
      <w:r w:rsidR="005B2A41">
        <w:t xml:space="preserve"> </w:t>
      </w:r>
      <w:r w:rsidR="00F233AB" w:rsidRPr="00B02247">
        <w:t>26/4/2017,</w:t>
      </w:r>
      <w:r w:rsidR="005B2A41">
        <w:t xml:space="preserve"> </w:t>
      </w:r>
      <w:r w:rsidR="00F233AB" w:rsidRPr="00B02247">
        <w:t>entitled</w:t>
      </w:r>
      <w:r w:rsidR="005B2A41">
        <w:t xml:space="preserve"> </w:t>
      </w:r>
      <w:r w:rsidR="003E731F">
        <w:t>“</w:t>
      </w:r>
      <w:r w:rsidR="00F233AB" w:rsidRPr="00B02247">
        <w:t>Human-centered</w:t>
      </w:r>
      <w:r w:rsidR="005B2A41">
        <w:t xml:space="preserve"> </w:t>
      </w:r>
      <w:r w:rsidR="00F233AB" w:rsidRPr="00B02247">
        <w:t>and</w:t>
      </w:r>
      <w:r w:rsidR="005B2A41">
        <w:t xml:space="preserve"> </w:t>
      </w:r>
      <w:r w:rsidR="00F233AB" w:rsidRPr="00B02247">
        <w:t>qualitative</w:t>
      </w:r>
      <w:r w:rsidR="005B2A41">
        <w:t xml:space="preserve"> </w:t>
      </w:r>
      <w:r w:rsidR="00F233AB" w:rsidRPr="00B02247">
        <w:t>health</w:t>
      </w:r>
      <w:r w:rsidR="005B2A41">
        <w:t xml:space="preserve"> </w:t>
      </w:r>
      <w:r w:rsidR="00F233AB" w:rsidRPr="00B02247">
        <w:t>care</w:t>
      </w:r>
      <w:r w:rsidR="005B2A41">
        <w:t xml:space="preserve"> </w:t>
      </w:r>
      <w:r w:rsidR="00F233AB" w:rsidRPr="00B02247">
        <w:t>with</w:t>
      </w:r>
      <w:r w:rsidR="005B2A41">
        <w:t xml:space="preserve"> </w:t>
      </w:r>
      <w:r w:rsidR="00F233AB" w:rsidRPr="00B02247">
        <w:t>emphasis</w:t>
      </w:r>
      <w:r w:rsidR="005B2A41">
        <w:t xml:space="preserve"> </w:t>
      </w:r>
      <w:r w:rsidR="00F233AB" w:rsidRPr="00B02247">
        <w:t>on</w:t>
      </w:r>
      <w:r w:rsidR="005B2A41">
        <w:t xml:space="preserve"> </w:t>
      </w:r>
      <w:r w:rsidR="00F233AB" w:rsidRPr="00B02247">
        <w:t>patients</w:t>
      </w:r>
      <w:r w:rsidR="003E731F">
        <w:t>’</w:t>
      </w:r>
      <w:r w:rsidR="005B2A41">
        <w:t xml:space="preserve"> </w:t>
      </w:r>
      <w:r w:rsidR="00F233AB" w:rsidRPr="00B02247">
        <w:t>rights</w:t>
      </w:r>
      <w:r w:rsidR="003E731F">
        <w:t>”</w:t>
      </w:r>
      <w:r w:rsidR="00F233AB" w:rsidRPr="00B02247">
        <w:t>;</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Organization</w:t>
      </w:r>
      <w:r w:rsidR="005B2A41">
        <w:t xml:space="preserve"> </w:t>
      </w:r>
      <w:r w:rsidR="00F233AB" w:rsidRPr="00B02247">
        <w:t>by</w:t>
      </w:r>
      <w:r w:rsidR="005B2A41">
        <w:t xml:space="preserve"> </w:t>
      </w:r>
      <w:r w:rsidR="00F233AB" w:rsidRPr="00B02247">
        <w:t>the</w:t>
      </w:r>
      <w:r w:rsidR="005B2A41">
        <w:t xml:space="preserve"> </w:t>
      </w:r>
      <w:r w:rsidR="00F233AB" w:rsidRPr="00B02247">
        <w:t>Ministry</w:t>
      </w:r>
      <w:r w:rsidR="005B2A41">
        <w:t xml:space="preserve"> </w:t>
      </w:r>
      <w:r w:rsidR="00F233AB" w:rsidRPr="00B02247">
        <w:t>of</w:t>
      </w:r>
      <w:r w:rsidR="005B2A41">
        <w:t xml:space="preserve"> </w:t>
      </w:r>
      <w:r w:rsidR="00F233AB" w:rsidRPr="00B02247">
        <w:t>a</w:t>
      </w:r>
      <w:r w:rsidR="005B2A41">
        <w:t xml:space="preserve"> </w:t>
      </w:r>
      <w:r w:rsidR="00F233AB" w:rsidRPr="00B02247">
        <w:t>training</w:t>
      </w:r>
      <w:r w:rsidR="005B2A41">
        <w:t xml:space="preserve"> </w:t>
      </w:r>
      <w:r w:rsidR="00F233AB" w:rsidRPr="00B02247">
        <w:t>course</w:t>
      </w:r>
      <w:r w:rsidR="005B2A41">
        <w:t xml:space="preserve"> </w:t>
      </w:r>
      <w:r w:rsidR="00F233AB" w:rsidRPr="00B02247">
        <w:t>for</w:t>
      </w:r>
      <w:r w:rsidR="005B2A41">
        <w:t xml:space="preserve"> </w:t>
      </w:r>
      <w:r w:rsidR="00F233AB" w:rsidRPr="00B02247">
        <w:t>Hospitals</w:t>
      </w:r>
      <w:r w:rsidR="003E731F">
        <w:t>’</w:t>
      </w:r>
      <w:r w:rsidR="005B2A41">
        <w:t xml:space="preserve"> </w:t>
      </w:r>
      <w:r w:rsidR="00F233AB" w:rsidRPr="00B02247">
        <w:t>staff</w:t>
      </w:r>
      <w:r w:rsidR="005B2A41">
        <w:t xml:space="preserve"> </w:t>
      </w:r>
      <w:r w:rsidR="00F233AB" w:rsidRPr="00B02247">
        <w:t>serving</w:t>
      </w:r>
      <w:r w:rsidR="005B2A41">
        <w:t xml:space="preserve"> </w:t>
      </w:r>
      <w:r w:rsidR="00F233AB" w:rsidRPr="00B02247">
        <w:t>at</w:t>
      </w:r>
      <w:r w:rsidR="005B2A41">
        <w:t xml:space="preserve"> </w:t>
      </w:r>
      <w:r w:rsidR="00F233AB" w:rsidRPr="00B02247">
        <w:t>the</w:t>
      </w:r>
      <w:r w:rsidR="005B2A41">
        <w:t xml:space="preserve"> </w:t>
      </w:r>
      <w:r w:rsidR="00F233AB" w:rsidRPr="00B02247">
        <w:t>Offices</w:t>
      </w:r>
      <w:r w:rsidR="005B2A41">
        <w:t xml:space="preserve"> </w:t>
      </w:r>
      <w:r w:rsidR="00F233AB" w:rsidRPr="00B02247">
        <w:t>for</w:t>
      </w:r>
      <w:r w:rsidR="005B2A41">
        <w:t xml:space="preserve"> </w:t>
      </w:r>
      <w:r w:rsidR="00F233AB" w:rsidRPr="00B02247">
        <w:t>the</w:t>
      </w:r>
      <w:r w:rsidR="005B2A41">
        <w:t xml:space="preserve"> </w:t>
      </w:r>
      <w:r w:rsidR="00F233AB" w:rsidRPr="00B02247">
        <w:t>Protection</w:t>
      </w:r>
      <w:r w:rsidR="005B2A41">
        <w:t xml:space="preserve"> </w:t>
      </w:r>
      <w:r w:rsidR="00F233AB" w:rsidRPr="00B02247">
        <w:t>of</w:t>
      </w:r>
      <w:r w:rsidR="005B2A41">
        <w:t xml:space="preserve"> </w:t>
      </w:r>
      <w:r w:rsidR="00F233AB" w:rsidRPr="00B02247">
        <w:t>the</w:t>
      </w:r>
      <w:r w:rsidR="005B2A41">
        <w:t xml:space="preserve"> </w:t>
      </w:r>
      <w:r w:rsidR="00F233AB" w:rsidRPr="00B02247">
        <w:t>Rights</w:t>
      </w:r>
      <w:r w:rsidR="005B2A41">
        <w:t xml:space="preserve"> </w:t>
      </w:r>
      <w:r w:rsidR="00F233AB" w:rsidRPr="00B02247">
        <w:t>of</w:t>
      </w:r>
      <w:r w:rsidR="005B2A41">
        <w:t xml:space="preserve"> </w:t>
      </w:r>
      <w:r w:rsidR="00F233AB" w:rsidRPr="00B02247">
        <w:t>Health</w:t>
      </w:r>
      <w:r w:rsidR="005B2A41">
        <w:t xml:space="preserve"> </w:t>
      </w:r>
      <w:r w:rsidR="00F233AB" w:rsidRPr="00B02247">
        <w:t>Service</w:t>
      </w:r>
      <w:r w:rsidR="005B2A41">
        <w:t xml:space="preserve"> </w:t>
      </w:r>
      <w:r w:rsidR="00F233AB" w:rsidRPr="00B02247">
        <w:t>Recipients.</w:t>
      </w:r>
    </w:p>
    <w:p w:rsidR="00F233AB" w:rsidRPr="00B02247" w:rsidRDefault="00F233AB" w:rsidP="00541260">
      <w:pPr>
        <w:pStyle w:val="SingleTxtG"/>
      </w:pPr>
      <w:r w:rsidRPr="00B02247">
        <w:t>135.</w:t>
      </w:r>
      <w:r w:rsidRPr="00B02247">
        <w:tab/>
        <w:t>Furthermore,</w:t>
      </w:r>
      <w:r w:rsidR="005B2A41">
        <w:t xml:space="preserve"> </w:t>
      </w:r>
      <w:r w:rsidRPr="00B02247">
        <w:t>the</w:t>
      </w:r>
      <w:r w:rsidR="005B2A41">
        <w:t xml:space="preserve"> </w:t>
      </w:r>
      <w:r w:rsidRPr="00B02247">
        <w:t>Directorate</w:t>
      </w:r>
      <w:r w:rsidR="005B2A41">
        <w:t xml:space="preserve"> </w:t>
      </w:r>
      <w:r w:rsidRPr="00B02247">
        <w:t>of</w:t>
      </w:r>
      <w:r w:rsidR="005B2A41">
        <w:t xml:space="preserve"> </w:t>
      </w:r>
      <w:r w:rsidRPr="00B02247">
        <w:t>Primary</w:t>
      </w:r>
      <w:r w:rsidR="005B2A41">
        <w:t xml:space="preserve"> </w:t>
      </w:r>
      <w:r w:rsidRPr="00B02247">
        <w:t>Health</w:t>
      </w:r>
      <w:r w:rsidR="005B2A41">
        <w:t xml:space="preserve"> </w:t>
      </w:r>
      <w:r w:rsidRPr="00B02247">
        <w:t>Care</w:t>
      </w:r>
      <w:r w:rsidR="005B2A41">
        <w:t xml:space="preserve"> </w:t>
      </w:r>
      <w:r w:rsidRPr="00B02247">
        <w:t>and</w:t>
      </w:r>
      <w:r w:rsidR="005B2A41">
        <w:t xml:space="preserve"> </w:t>
      </w:r>
      <w:r w:rsidRPr="00B02247">
        <w:t>Prevention,</w:t>
      </w:r>
      <w:r w:rsidR="005B2A41">
        <w:t xml:space="preserve"> </w:t>
      </w:r>
      <w:r w:rsidRPr="00B02247">
        <w:t>Section</w:t>
      </w:r>
      <w:r w:rsidR="005B2A41">
        <w:t xml:space="preserve"> </w:t>
      </w:r>
      <w:r w:rsidRPr="00B02247">
        <w:t>D:</w:t>
      </w:r>
      <w:r w:rsidR="005B2A41">
        <w:t xml:space="preserve"> </w:t>
      </w:r>
      <w:r w:rsidRPr="00B02247">
        <w:t>Health</w:t>
      </w:r>
      <w:r w:rsidR="005B2A41">
        <w:t xml:space="preserve"> </w:t>
      </w:r>
      <w:r w:rsidRPr="00B02247">
        <w:t>Promotion</w:t>
      </w:r>
      <w:r w:rsidR="005B2A41">
        <w:t xml:space="preserve"> </w:t>
      </w:r>
      <w:r w:rsidRPr="00B02247">
        <w:t>&amp;</w:t>
      </w:r>
      <w:r w:rsidR="005B2A41">
        <w:t xml:space="preserve"> </w:t>
      </w:r>
      <w:r w:rsidRPr="00B02247">
        <w:t>Prevention</w:t>
      </w:r>
      <w:r w:rsidR="005B2A41">
        <w:t xml:space="preserve"> </w:t>
      </w:r>
      <w:r w:rsidRPr="00B02247">
        <w:t>in</w:t>
      </w:r>
      <w:r w:rsidR="005B2A41">
        <w:t xml:space="preserve"> </w:t>
      </w:r>
      <w:r w:rsidRPr="00B02247">
        <w:t>collaboration</w:t>
      </w:r>
      <w:r w:rsidR="005B2A41">
        <w:t xml:space="preserve"> </w:t>
      </w:r>
      <w:r w:rsidRPr="00B02247">
        <w:t>with</w:t>
      </w:r>
      <w:r w:rsidR="005B2A41">
        <w:t xml:space="preserve"> </w:t>
      </w:r>
      <w:r w:rsidRPr="00B02247">
        <w:t>scientific</w:t>
      </w:r>
      <w:r w:rsidR="005B2A41">
        <w:t xml:space="preserve"> </w:t>
      </w:r>
      <w:r w:rsidRPr="00B02247">
        <w:t>and</w:t>
      </w:r>
      <w:r w:rsidR="005B2A41">
        <w:t xml:space="preserve"> </w:t>
      </w:r>
      <w:r w:rsidRPr="00B02247">
        <w:t>professional</w:t>
      </w:r>
      <w:r w:rsidR="005B2A41">
        <w:t xml:space="preserve"> </w:t>
      </w:r>
      <w:r w:rsidRPr="00B02247">
        <w:t>entities,</w:t>
      </w:r>
      <w:r w:rsidR="005B2A41">
        <w:t xml:space="preserve"> </w:t>
      </w:r>
      <w:r w:rsidRPr="00B02247">
        <w:t>has</w:t>
      </w:r>
      <w:r w:rsidR="005B2A41">
        <w:t xml:space="preserve"> </w:t>
      </w:r>
      <w:r w:rsidRPr="00B02247">
        <w:t>drafted</w:t>
      </w:r>
      <w:r w:rsidR="005B2A41">
        <w:t xml:space="preserve"> </w:t>
      </w:r>
      <w:r w:rsidRPr="00B02247">
        <w:t>and</w:t>
      </w:r>
      <w:r w:rsidR="005B2A41">
        <w:t xml:space="preserve"> </w:t>
      </w:r>
      <w:r w:rsidRPr="00B02247">
        <w:t>developed</w:t>
      </w:r>
      <w:r w:rsidR="005B2A41">
        <w:t xml:space="preserve"> </w:t>
      </w:r>
      <w:r w:rsidRPr="00B02247">
        <w:t>the</w:t>
      </w:r>
      <w:r w:rsidR="005B2A41">
        <w:t xml:space="preserve"> </w:t>
      </w:r>
      <w:r w:rsidR="003E731F">
        <w:t>“</w:t>
      </w:r>
      <w:r w:rsidRPr="00B02247">
        <w:t>National</w:t>
      </w:r>
      <w:r w:rsidR="005B2A41">
        <w:t xml:space="preserve"> </w:t>
      </w:r>
      <w:r w:rsidRPr="00B02247">
        <w:t>Pilot</w:t>
      </w:r>
      <w:r w:rsidR="005B2A41">
        <w:t xml:space="preserve"> </w:t>
      </w:r>
      <w:r w:rsidRPr="00B02247">
        <w:t>Program</w:t>
      </w:r>
      <w:r w:rsidR="005B2A41">
        <w:t xml:space="preserve"> </w:t>
      </w:r>
      <w:r w:rsidRPr="00B02247">
        <w:t>for</w:t>
      </w:r>
      <w:r w:rsidR="005B2A41">
        <w:t xml:space="preserve"> </w:t>
      </w:r>
      <w:r w:rsidRPr="00B02247">
        <w:t>the</w:t>
      </w:r>
      <w:r w:rsidR="005B2A41">
        <w:t xml:space="preserve"> </w:t>
      </w:r>
      <w:r w:rsidRPr="00B02247">
        <w:t>Prevention</w:t>
      </w:r>
      <w:r w:rsidR="005B2A41">
        <w:t xml:space="preserve"> </w:t>
      </w:r>
      <w:r w:rsidRPr="00B02247">
        <w:t>and</w:t>
      </w:r>
      <w:r w:rsidR="005B2A41">
        <w:t xml:space="preserve"> </w:t>
      </w:r>
      <w:r w:rsidRPr="00B02247">
        <w:t>Health</w:t>
      </w:r>
      <w:r w:rsidR="005B2A41">
        <w:t xml:space="preserve"> </w:t>
      </w:r>
      <w:r w:rsidRPr="00B02247">
        <w:t>Promotion</w:t>
      </w:r>
      <w:r w:rsidR="005B2A41">
        <w:t xml:space="preserve"> </w:t>
      </w:r>
      <w:r w:rsidRPr="00B02247">
        <w:t>of</w:t>
      </w:r>
      <w:r w:rsidR="005B2A41">
        <w:t xml:space="preserve"> </w:t>
      </w:r>
      <w:r w:rsidRPr="00B02247">
        <w:t>the</w:t>
      </w:r>
      <w:r w:rsidR="005B2A41">
        <w:t xml:space="preserve"> </w:t>
      </w:r>
      <w:r w:rsidRPr="00B02247">
        <w:t>Elderly</w:t>
      </w:r>
      <w:r w:rsidR="005B2A41">
        <w:t xml:space="preserve"> </w:t>
      </w:r>
      <w:r w:rsidRPr="00B02247">
        <w:t>People</w:t>
      </w:r>
      <w:r w:rsidR="005B2A41">
        <w:t xml:space="preserve"> </w:t>
      </w:r>
      <w:r w:rsidR="00541260">
        <w:t>—</w:t>
      </w:r>
      <w:r w:rsidR="005B2A41">
        <w:t xml:space="preserve"> </w:t>
      </w:r>
      <w:r w:rsidRPr="00B02247">
        <w:t>Ipioni</w:t>
      </w:r>
      <w:r w:rsidR="005B2A41">
        <w:t xml:space="preserve"> </w:t>
      </w:r>
      <w:r w:rsidR="003E731F">
        <w:t>“</w:t>
      </w:r>
      <w:r w:rsidRPr="00B02247">
        <w:t>,</w:t>
      </w:r>
      <w:r w:rsidR="005B2A41">
        <w:t xml:space="preserve"> </w:t>
      </w:r>
      <w:r w:rsidRPr="00B02247">
        <w:t>focusing,</w:t>
      </w:r>
      <w:r w:rsidR="005B2A41">
        <w:t xml:space="preserve"> </w:t>
      </w:r>
      <w:r w:rsidRPr="00B02247">
        <w:t>each</w:t>
      </w:r>
      <w:r w:rsidR="005B2A41">
        <w:t xml:space="preserve"> </w:t>
      </w:r>
      <w:r w:rsidRPr="00B02247">
        <w:t>year,</w:t>
      </w:r>
      <w:r w:rsidR="005B2A41">
        <w:t xml:space="preserve"> </w:t>
      </w:r>
      <w:r w:rsidRPr="00B02247">
        <w:t>on</w:t>
      </w:r>
      <w:r w:rsidR="005B2A41">
        <w:t xml:space="preserve"> </w:t>
      </w:r>
      <w:r w:rsidRPr="00B02247">
        <w:t>a</w:t>
      </w:r>
      <w:r w:rsidR="005B2A41">
        <w:t xml:space="preserve"> </w:t>
      </w:r>
      <w:r w:rsidRPr="00B02247">
        <w:t>different</w:t>
      </w:r>
      <w:r w:rsidR="005B2A41">
        <w:t xml:space="preserve"> </w:t>
      </w:r>
      <w:r w:rsidRPr="00B02247">
        <w:t>topic</w:t>
      </w:r>
      <w:r w:rsidR="005B2A41">
        <w:t xml:space="preserve"> </w:t>
      </w:r>
      <w:r w:rsidRPr="00B02247">
        <w:t>(in</w:t>
      </w:r>
      <w:r w:rsidR="005B2A41">
        <w:t xml:space="preserve"> </w:t>
      </w:r>
      <w:r w:rsidRPr="00B02247">
        <w:t>2015</w:t>
      </w:r>
      <w:r w:rsidR="005B2A41">
        <w:t xml:space="preserve"> </w:t>
      </w:r>
      <w:r w:rsidRPr="00B02247">
        <w:t>on</w:t>
      </w:r>
      <w:r w:rsidR="005B2A41">
        <w:t xml:space="preserve"> </w:t>
      </w:r>
      <w:r w:rsidR="003E731F">
        <w:t>“</w:t>
      </w:r>
      <w:r w:rsidRPr="00B02247">
        <w:t>Diabetes</w:t>
      </w:r>
      <w:r w:rsidR="005B2A41">
        <w:t xml:space="preserve"> </w:t>
      </w:r>
      <w:r w:rsidRPr="00B02247">
        <w:t>mellitus</w:t>
      </w:r>
      <w:r w:rsidR="003E731F">
        <w:t>”</w:t>
      </w:r>
      <w:r w:rsidR="005B2A41">
        <w:t xml:space="preserve"> </w:t>
      </w:r>
      <w:r w:rsidRPr="00B02247">
        <w:t>and</w:t>
      </w:r>
      <w:r w:rsidR="005B2A41">
        <w:t xml:space="preserve"> </w:t>
      </w:r>
      <w:r w:rsidRPr="00B02247">
        <w:t>in</w:t>
      </w:r>
      <w:r w:rsidR="005B2A41">
        <w:t xml:space="preserve"> </w:t>
      </w:r>
      <w:r w:rsidRPr="00B02247">
        <w:t>2016</w:t>
      </w:r>
      <w:r w:rsidR="005B2A41">
        <w:t xml:space="preserve"> </w:t>
      </w:r>
      <w:r w:rsidRPr="00B02247">
        <w:t>on</w:t>
      </w:r>
      <w:r w:rsidR="005B2A41">
        <w:t xml:space="preserve"> </w:t>
      </w:r>
      <w:r w:rsidR="003E731F">
        <w:t>“</w:t>
      </w:r>
      <w:r w:rsidRPr="00B02247">
        <w:t>Preventing</w:t>
      </w:r>
      <w:r w:rsidR="005B2A41">
        <w:t xml:space="preserve"> </w:t>
      </w:r>
      <w:r w:rsidRPr="00B02247">
        <w:t>Osteoporosis</w:t>
      </w:r>
      <w:r w:rsidR="005B2A41">
        <w:t xml:space="preserve"> </w:t>
      </w:r>
      <w:r w:rsidRPr="00B02247">
        <w:t>and</w:t>
      </w:r>
      <w:r w:rsidR="005B2A41">
        <w:t xml:space="preserve"> </w:t>
      </w:r>
      <w:r w:rsidRPr="00B02247">
        <w:t>Falls</w:t>
      </w:r>
      <w:r w:rsidR="003E731F">
        <w:t>”</w:t>
      </w:r>
      <w:r w:rsidRPr="00B02247">
        <w:t>).</w:t>
      </w:r>
      <w:r w:rsidR="005B2A41">
        <w:t xml:space="preserve"> </w:t>
      </w:r>
      <w:r w:rsidRPr="00B02247">
        <w:t>The</w:t>
      </w:r>
      <w:r w:rsidR="005B2A41">
        <w:t xml:space="preserve"> </w:t>
      </w:r>
      <w:r w:rsidRPr="00B02247">
        <w:t>philosophy</w:t>
      </w:r>
      <w:r w:rsidR="005B2A41">
        <w:t xml:space="preserve"> </w:t>
      </w:r>
      <w:r w:rsidRPr="00B02247">
        <w:t>of</w:t>
      </w:r>
      <w:r w:rsidR="005B2A41">
        <w:t xml:space="preserve"> </w:t>
      </w:r>
      <w:r w:rsidRPr="00B02247">
        <w:t>the</w:t>
      </w:r>
      <w:r w:rsidR="005B2A41">
        <w:t xml:space="preserve"> </w:t>
      </w:r>
      <w:r w:rsidRPr="00B02247">
        <w:t>program</w:t>
      </w:r>
      <w:r w:rsidR="005B2A41">
        <w:t xml:space="preserve"> </w:t>
      </w:r>
      <w:r w:rsidRPr="00B02247">
        <w:t>is</w:t>
      </w:r>
      <w:r w:rsidR="005B2A41">
        <w:t xml:space="preserve"> </w:t>
      </w:r>
      <w:r w:rsidRPr="00B02247">
        <w:t>to</w:t>
      </w:r>
      <w:r w:rsidR="005B2A41">
        <w:t xml:space="preserve"> </w:t>
      </w:r>
      <w:r w:rsidRPr="00B02247">
        <w:t>highlight</w:t>
      </w:r>
      <w:r w:rsidR="005B2A41">
        <w:t xml:space="preserve"> </w:t>
      </w:r>
      <w:r w:rsidRPr="00B02247">
        <w:t>the</w:t>
      </w:r>
      <w:r w:rsidR="005B2A41">
        <w:t xml:space="preserve"> </w:t>
      </w:r>
      <w:r w:rsidRPr="00B02247">
        <w:t>importance</w:t>
      </w:r>
      <w:r w:rsidR="005B2A41">
        <w:t xml:space="preserve"> </w:t>
      </w:r>
      <w:r w:rsidRPr="00B02247">
        <w:t>of</w:t>
      </w:r>
      <w:r w:rsidR="005B2A41">
        <w:t xml:space="preserve"> </w:t>
      </w:r>
      <w:r w:rsidRPr="00B02247">
        <w:t>active</w:t>
      </w:r>
      <w:r w:rsidR="005B2A41">
        <w:t xml:space="preserve"> </w:t>
      </w:r>
      <w:r w:rsidRPr="00B02247">
        <w:t>and</w:t>
      </w:r>
      <w:r w:rsidR="005B2A41">
        <w:t xml:space="preserve"> </w:t>
      </w:r>
      <w:r w:rsidRPr="00B02247">
        <w:t>healthy</w:t>
      </w:r>
      <w:r w:rsidR="005B2A41">
        <w:t xml:space="preserve"> </w:t>
      </w:r>
      <w:r w:rsidRPr="00B02247">
        <w:t>aging</w:t>
      </w:r>
      <w:r w:rsidR="005B2A41">
        <w:t xml:space="preserve"> </w:t>
      </w:r>
      <w:r w:rsidRPr="00B02247">
        <w:t>by</w:t>
      </w:r>
      <w:r w:rsidR="005B2A41">
        <w:t xml:space="preserve"> </w:t>
      </w:r>
      <w:r w:rsidRPr="00B02247">
        <w:t>protecting</w:t>
      </w:r>
      <w:r w:rsidR="005B2A41">
        <w:t xml:space="preserve"> </w:t>
      </w:r>
      <w:r w:rsidRPr="00B02247">
        <w:t>the</w:t>
      </w:r>
      <w:r w:rsidR="005B2A41">
        <w:t xml:space="preserve"> </w:t>
      </w:r>
      <w:r w:rsidRPr="00B02247">
        <w:t>rights</w:t>
      </w:r>
      <w:r w:rsidR="005B2A41">
        <w:t xml:space="preserve"> </w:t>
      </w:r>
      <w:r w:rsidRPr="00B02247">
        <w:t>of</w:t>
      </w:r>
      <w:r w:rsidR="005B2A41">
        <w:t xml:space="preserve"> </w:t>
      </w:r>
      <w:r w:rsidRPr="00B02247">
        <w:t>older</w:t>
      </w:r>
      <w:r w:rsidR="005B2A41">
        <w:t xml:space="preserve"> </w:t>
      </w:r>
      <w:r w:rsidRPr="00B02247">
        <w:t>people,</w:t>
      </w:r>
      <w:r w:rsidR="005B2A41">
        <w:t xml:space="preserve"> </w:t>
      </w:r>
      <w:r w:rsidRPr="00B02247">
        <w:t>improving</w:t>
      </w:r>
      <w:r w:rsidR="005B2A41">
        <w:t xml:space="preserve"> </w:t>
      </w:r>
      <w:r w:rsidRPr="00B02247">
        <w:t>quality</w:t>
      </w:r>
      <w:r w:rsidR="005B2A41">
        <w:t xml:space="preserve"> </w:t>
      </w:r>
      <w:r w:rsidRPr="00B02247">
        <w:t>of</w:t>
      </w:r>
      <w:r w:rsidR="005B2A41">
        <w:t xml:space="preserve"> </w:t>
      </w:r>
      <w:r w:rsidRPr="00B02247">
        <w:t>life</w:t>
      </w:r>
      <w:r w:rsidR="005B2A41">
        <w:t xml:space="preserve"> </w:t>
      </w:r>
      <w:r w:rsidRPr="00B02247">
        <w:t>for</w:t>
      </w:r>
      <w:r w:rsidR="005B2A41">
        <w:t xml:space="preserve"> </w:t>
      </w:r>
      <w:r w:rsidRPr="00B02247">
        <w:t>them</w:t>
      </w:r>
      <w:r w:rsidR="005B2A41">
        <w:t xml:space="preserve"> </w:t>
      </w:r>
      <w:r w:rsidRPr="00B02247">
        <w:t>and</w:t>
      </w:r>
      <w:r w:rsidR="005B2A41">
        <w:t xml:space="preserve"> </w:t>
      </w:r>
      <w:r w:rsidRPr="00B02247">
        <w:t>for</w:t>
      </w:r>
      <w:r w:rsidR="005B2A41">
        <w:t xml:space="preserve"> </w:t>
      </w:r>
      <w:r w:rsidRPr="00B02247">
        <w:t>their</w:t>
      </w:r>
      <w:r w:rsidR="005B2A41">
        <w:t xml:space="preserve"> </w:t>
      </w:r>
      <w:r w:rsidRPr="00B02247">
        <w:t>families,</w:t>
      </w:r>
      <w:r w:rsidR="005B2A41">
        <w:t xml:space="preserve"> </w:t>
      </w:r>
      <w:r w:rsidRPr="00B02247">
        <w:t>strengthening</w:t>
      </w:r>
      <w:r w:rsidR="005B2A41">
        <w:t xml:space="preserve"> </w:t>
      </w:r>
      <w:r w:rsidRPr="00B02247">
        <w:t>autonomous</w:t>
      </w:r>
      <w:r w:rsidR="005B2A41">
        <w:t xml:space="preserve"> </w:t>
      </w:r>
      <w:r w:rsidRPr="00B02247">
        <w:t>living,</w:t>
      </w:r>
      <w:r w:rsidR="005B2A41">
        <w:t xml:space="preserve"> </w:t>
      </w:r>
      <w:r w:rsidRPr="00B02247">
        <w:t>social</w:t>
      </w:r>
      <w:r w:rsidR="005B2A41">
        <w:t xml:space="preserve"> </w:t>
      </w:r>
      <w:r w:rsidRPr="00B02247">
        <w:t>participation,</w:t>
      </w:r>
      <w:r w:rsidR="005B2A41">
        <w:t xml:space="preserve"> </w:t>
      </w:r>
      <w:r w:rsidRPr="00B02247">
        <w:t>and</w:t>
      </w:r>
      <w:r w:rsidR="005B2A41">
        <w:t xml:space="preserve"> </w:t>
      </w:r>
      <w:r w:rsidRPr="00B02247">
        <w:t>integration,</w:t>
      </w:r>
      <w:r w:rsidR="005B2A41">
        <w:t xml:space="preserve"> </w:t>
      </w:r>
      <w:r w:rsidRPr="00B02247">
        <w:t>as</w:t>
      </w:r>
      <w:r w:rsidR="005B2A41">
        <w:t xml:space="preserve"> </w:t>
      </w:r>
      <w:r w:rsidRPr="00B02247">
        <w:t>well</w:t>
      </w:r>
      <w:r w:rsidR="005B2A41">
        <w:t xml:space="preserve"> </w:t>
      </w:r>
      <w:r w:rsidRPr="00B02247">
        <w:t>as,</w:t>
      </w:r>
      <w:r w:rsidR="005B2A41">
        <w:t xml:space="preserve"> </w:t>
      </w:r>
      <w:r w:rsidRPr="00B02247">
        <w:t>enhancing</w:t>
      </w:r>
      <w:r w:rsidR="005B2A41">
        <w:t xml:space="preserve"> </w:t>
      </w:r>
      <w:r w:rsidRPr="00B02247">
        <w:t>their</w:t>
      </w:r>
      <w:r w:rsidR="005B2A41">
        <w:t xml:space="preserve"> </w:t>
      </w:r>
      <w:r w:rsidRPr="00B02247">
        <w:t>role</w:t>
      </w:r>
      <w:r w:rsidR="005B2A41">
        <w:t xml:space="preserve"> </w:t>
      </w:r>
      <w:r w:rsidRPr="00B02247">
        <w:t>at</w:t>
      </w:r>
      <w:r w:rsidR="005B2A41">
        <w:t xml:space="preserve"> </w:t>
      </w:r>
      <w:r w:rsidRPr="00B02247">
        <w:t>social,</w:t>
      </w:r>
      <w:r w:rsidR="005B2A41">
        <w:t xml:space="preserve"> </w:t>
      </w:r>
      <w:r w:rsidRPr="00B02247">
        <w:t>economic</w:t>
      </w:r>
      <w:r w:rsidR="005B2A41">
        <w:t xml:space="preserve"> </w:t>
      </w:r>
      <w:r w:rsidRPr="00B02247">
        <w:t>and</w:t>
      </w:r>
      <w:r w:rsidR="005B2A41">
        <w:t xml:space="preserve"> </w:t>
      </w:r>
      <w:r w:rsidRPr="00B02247">
        <w:t>cultural</w:t>
      </w:r>
      <w:r w:rsidR="005B2A41">
        <w:t xml:space="preserve"> </w:t>
      </w:r>
      <w:r w:rsidRPr="00B02247">
        <w:t>level.</w:t>
      </w:r>
    </w:p>
    <w:p w:rsidR="00F233AB" w:rsidRPr="00B02247" w:rsidRDefault="00F233AB" w:rsidP="009B4CC6">
      <w:pPr>
        <w:pStyle w:val="H23G"/>
      </w:pPr>
      <w:r w:rsidRPr="00B02247">
        <w:lastRenderedPageBreak/>
        <w:tab/>
        <w:t>5.</w:t>
      </w:r>
      <w:r w:rsidRPr="00B02247">
        <w:tab/>
        <w:t>Official</w:t>
      </w:r>
      <w:r w:rsidR="005B2A41">
        <w:t xml:space="preserve"> </w:t>
      </w:r>
      <w:r w:rsidRPr="00B02247">
        <w:t>Development</w:t>
      </w:r>
      <w:r w:rsidR="005B2A41">
        <w:t xml:space="preserve"> </w:t>
      </w:r>
      <w:r w:rsidRPr="00B02247">
        <w:t>Assistance</w:t>
      </w:r>
      <w:r w:rsidR="005B2A41">
        <w:t xml:space="preserve"> </w:t>
      </w:r>
      <w:r w:rsidRPr="00B02247">
        <w:t>of</w:t>
      </w:r>
      <w:r w:rsidR="005B2A41">
        <w:t xml:space="preserve"> </w:t>
      </w:r>
      <w:r w:rsidRPr="00B02247">
        <w:t>Greece</w:t>
      </w:r>
      <w:r w:rsidR="005B2A41">
        <w:t xml:space="preserve"> </w:t>
      </w:r>
      <w:r w:rsidR="009B4CC6">
        <w:t>—</w:t>
      </w:r>
      <w:r w:rsidR="005B2A41">
        <w:t xml:space="preserve"> </w:t>
      </w:r>
      <w:r w:rsidRPr="00B02247">
        <w:t>2015</w:t>
      </w:r>
    </w:p>
    <w:p w:rsidR="00F233AB" w:rsidRPr="00B02247" w:rsidRDefault="00F233AB" w:rsidP="00E1307D">
      <w:pPr>
        <w:pStyle w:val="SingleTxtG"/>
      </w:pPr>
      <w:r w:rsidRPr="00B02247">
        <w:t>136.</w:t>
      </w:r>
      <w:r w:rsidRPr="00B02247">
        <w:tab/>
        <w:t>The</w:t>
      </w:r>
      <w:r w:rsidR="005B2A41">
        <w:t xml:space="preserve"> </w:t>
      </w:r>
      <w:r w:rsidRPr="00B02247">
        <w:t>total</w:t>
      </w:r>
      <w:r w:rsidR="005B2A41">
        <w:t xml:space="preserve"> </w:t>
      </w:r>
      <w:r w:rsidRPr="00B02247">
        <w:t>Official</w:t>
      </w:r>
      <w:r w:rsidR="005B2A41">
        <w:t xml:space="preserve"> </w:t>
      </w:r>
      <w:r w:rsidRPr="00B02247">
        <w:t>Development</w:t>
      </w:r>
      <w:r w:rsidR="005B2A41">
        <w:t xml:space="preserve"> </w:t>
      </w:r>
      <w:r w:rsidRPr="00B02247">
        <w:t>Assistance</w:t>
      </w:r>
      <w:r w:rsidR="005B2A41">
        <w:t xml:space="preserve"> </w:t>
      </w:r>
      <w:r w:rsidRPr="00B02247">
        <w:t>of</w:t>
      </w:r>
      <w:r w:rsidR="005B2A41">
        <w:t xml:space="preserve"> </w:t>
      </w:r>
      <w:r w:rsidRPr="00B02247">
        <w:t>Greece</w:t>
      </w:r>
      <w:r w:rsidR="005B2A41">
        <w:t xml:space="preserve"> </w:t>
      </w:r>
      <w:r w:rsidRPr="00B02247">
        <w:t>(bilateral</w:t>
      </w:r>
      <w:r w:rsidR="005B2A41">
        <w:t xml:space="preserve"> </w:t>
      </w:r>
      <w:r w:rsidRPr="00B02247">
        <w:t>and</w:t>
      </w:r>
      <w:r w:rsidR="005B2A41">
        <w:t xml:space="preserve"> </w:t>
      </w:r>
      <w:r w:rsidRPr="00B02247">
        <w:t>multilateral</w:t>
      </w:r>
      <w:r w:rsidR="005B2A41">
        <w:t xml:space="preserve"> </w:t>
      </w:r>
      <w:r w:rsidRPr="00B02247">
        <w:t>ODA)</w:t>
      </w:r>
      <w:r w:rsidR="005B2A41">
        <w:t xml:space="preserve"> </w:t>
      </w:r>
      <w:r w:rsidRPr="00B02247">
        <w:t>in</w:t>
      </w:r>
      <w:r w:rsidR="005B2A41">
        <w:t xml:space="preserve"> </w:t>
      </w:r>
      <w:r w:rsidRPr="00B02247">
        <w:t>2015</w:t>
      </w:r>
      <w:r w:rsidR="005B2A41">
        <w:t xml:space="preserve"> </w:t>
      </w:r>
      <w:r w:rsidRPr="00B02247">
        <w:t>amounted</w:t>
      </w:r>
      <w:r w:rsidR="005B2A41">
        <w:t xml:space="preserve"> </w:t>
      </w:r>
      <w:r w:rsidRPr="00B02247">
        <w:t>to</w:t>
      </w:r>
      <w:r w:rsidR="005B2A41">
        <w:t xml:space="preserve"> </w:t>
      </w:r>
      <w:r w:rsidRPr="00B02247">
        <w:t>238.70</w:t>
      </w:r>
      <w:r w:rsidR="005B2A41">
        <w:t xml:space="preserve"> </w:t>
      </w:r>
      <w:r w:rsidRPr="00B02247">
        <w:t>m.</w:t>
      </w:r>
      <w:r w:rsidR="005B2A41">
        <w:t xml:space="preserve"> </w:t>
      </w:r>
      <w:r w:rsidRPr="00B02247">
        <w:t>USD</w:t>
      </w:r>
      <w:r w:rsidR="005B2A41">
        <w:t xml:space="preserve"> </w:t>
      </w:r>
      <w:r w:rsidRPr="00B02247">
        <w:t>i.e.</w:t>
      </w:r>
      <w:r w:rsidR="005B2A41">
        <w:t xml:space="preserve"> </w:t>
      </w:r>
      <w:r w:rsidRPr="00B02247">
        <w:t>0.12%</w:t>
      </w:r>
      <w:r w:rsidR="005B2A41">
        <w:t xml:space="preserve"> </w:t>
      </w:r>
      <w:r w:rsidRPr="00B02247">
        <w:t>of</w:t>
      </w:r>
      <w:r w:rsidR="005B2A41">
        <w:t xml:space="preserve"> </w:t>
      </w:r>
      <w:r w:rsidRPr="00B02247">
        <w:t>Gross</w:t>
      </w:r>
      <w:r w:rsidR="005B2A41">
        <w:t xml:space="preserve"> </w:t>
      </w:r>
      <w:r w:rsidRPr="00B02247">
        <w:t>National</w:t>
      </w:r>
      <w:r w:rsidR="005B2A41">
        <w:t xml:space="preserve"> </w:t>
      </w:r>
      <w:r w:rsidRPr="00B02247">
        <w:t>Income</w:t>
      </w:r>
      <w:r w:rsidR="005B2A41">
        <w:t xml:space="preserve"> </w:t>
      </w:r>
      <w:r w:rsidRPr="00B02247">
        <w:t>(GNI</w:t>
      </w:r>
      <w:r w:rsidR="005B2A41">
        <w:t xml:space="preserve"> </w:t>
      </w:r>
      <w:r w:rsidRPr="00B02247">
        <w:t>2015=195,784.80</w:t>
      </w:r>
      <w:r w:rsidR="005B2A41">
        <w:t xml:space="preserve"> </w:t>
      </w:r>
      <w:r w:rsidRPr="00B02247">
        <w:t>m.</w:t>
      </w:r>
      <w:r w:rsidR="005B2A41">
        <w:t xml:space="preserve"> </w:t>
      </w:r>
      <w:r w:rsidRPr="00B02247">
        <w:t>USD</w:t>
      </w:r>
      <w:r w:rsidR="005B2A41">
        <w:t xml:space="preserve"> </w:t>
      </w:r>
      <w:r w:rsidRPr="00B02247">
        <w:t>according</w:t>
      </w:r>
      <w:r w:rsidR="005B2A41">
        <w:t xml:space="preserve"> </w:t>
      </w:r>
      <w:r w:rsidRPr="00B02247">
        <w:t>to</w:t>
      </w:r>
      <w:r w:rsidR="005B2A41">
        <w:t xml:space="preserve"> </w:t>
      </w:r>
      <w:r w:rsidRPr="00B02247">
        <w:t>data</w:t>
      </w:r>
      <w:r w:rsidR="005B2A41">
        <w:t xml:space="preserve"> </w:t>
      </w:r>
      <w:r w:rsidRPr="00B02247">
        <w:t>from</w:t>
      </w:r>
      <w:r w:rsidR="005B2A41">
        <w:t xml:space="preserve"> </w:t>
      </w:r>
      <w:r w:rsidRPr="00B02247">
        <w:t>the</w:t>
      </w:r>
      <w:r w:rsidR="005B2A41">
        <w:t xml:space="preserve"> </w:t>
      </w:r>
      <w:r w:rsidRPr="00B02247">
        <w:t>Ministry</w:t>
      </w:r>
      <w:r w:rsidR="005B2A41">
        <w:t xml:space="preserve"> </w:t>
      </w:r>
      <w:r w:rsidRPr="00B02247">
        <w:t>of</w:t>
      </w:r>
      <w:r w:rsidR="005B2A41">
        <w:t xml:space="preserve"> </w:t>
      </w:r>
      <w:r w:rsidRPr="00B02247">
        <w:t>Finance).</w:t>
      </w:r>
      <w:r w:rsidR="005B2A41">
        <w:t xml:space="preserve"> </w:t>
      </w:r>
      <w:r w:rsidRPr="00B02247">
        <w:t>The</w:t>
      </w:r>
      <w:r w:rsidR="005B2A41">
        <w:t xml:space="preserve"> </w:t>
      </w:r>
      <w:r w:rsidRPr="00B02247">
        <w:t>total</w:t>
      </w:r>
      <w:r w:rsidR="005B2A41">
        <w:t xml:space="preserve"> </w:t>
      </w:r>
      <w:r w:rsidRPr="00B02247">
        <w:t>bilateral</w:t>
      </w:r>
      <w:r w:rsidR="005B2A41">
        <w:t xml:space="preserve"> </w:t>
      </w:r>
      <w:r w:rsidRPr="00B02247">
        <w:t>ODA</w:t>
      </w:r>
      <w:r w:rsidR="005B2A41">
        <w:t xml:space="preserve"> </w:t>
      </w:r>
      <w:r w:rsidRPr="00B02247">
        <w:t>granted</w:t>
      </w:r>
      <w:r w:rsidR="005B2A41">
        <w:t xml:space="preserve"> </w:t>
      </w:r>
      <w:r w:rsidRPr="00B02247">
        <w:t>by</w:t>
      </w:r>
      <w:r w:rsidR="005B2A41">
        <w:t xml:space="preserve"> </w:t>
      </w:r>
      <w:r w:rsidRPr="00B02247">
        <w:t>Greece</w:t>
      </w:r>
      <w:r w:rsidR="005B2A41">
        <w:t xml:space="preserve"> </w:t>
      </w:r>
      <w:r w:rsidRPr="00B02247">
        <w:t>in</w:t>
      </w:r>
      <w:r w:rsidR="005B2A41">
        <w:t xml:space="preserve"> </w:t>
      </w:r>
      <w:r w:rsidRPr="00B02247">
        <w:t>2015</w:t>
      </w:r>
      <w:r w:rsidR="005B2A41">
        <w:t xml:space="preserve"> </w:t>
      </w:r>
      <w:r w:rsidRPr="00B02247">
        <w:t>amounted</w:t>
      </w:r>
      <w:r w:rsidR="005B2A41">
        <w:t xml:space="preserve"> </w:t>
      </w:r>
      <w:r w:rsidRPr="00B02247">
        <w:t>to</w:t>
      </w:r>
      <w:r w:rsidR="005B2A41">
        <w:t xml:space="preserve"> </w:t>
      </w:r>
      <w:r w:rsidRPr="00B02247">
        <w:t>71.88</w:t>
      </w:r>
      <w:r w:rsidR="005B2A41">
        <w:t xml:space="preserve"> </w:t>
      </w:r>
      <w:r w:rsidRPr="00B02247">
        <w:t>m.</w:t>
      </w:r>
      <w:r w:rsidR="005B2A41">
        <w:t xml:space="preserve"> </w:t>
      </w:r>
      <w:r w:rsidRPr="00B02247">
        <w:t>USD.</w:t>
      </w:r>
      <w:r w:rsidR="005B2A41">
        <w:t xml:space="preserve"> </w:t>
      </w:r>
    </w:p>
    <w:p w:rsidR="00F233AB" w:rsidRPr="00B02247" w:rsidRDefault="00F233AB" w:rsidP="001B4C71">
      <w:pPr>
        <w:pStyle w:val="H4G"/>
      </w:pPr>
      <w:r w:rsidRPr="00B02247">
        <w:tab/>
      </w:r>
      <w:r w:rsidRPr="00B02247">
        <w:tab/>
        <w:t>Aid</w:t>
      </w:r>
      <w:r w:rsidR="005B2A41">
        <w:t xml:space="preserve"> </w:t>
      </w:r>
      <w:r w:rsidRPr="00B02247">
        <w:t>Allocation</w:t>
      </w:r>
      <w:r w:rsidR="005B2A41">
        <w:t xml:space="preserve"> </w:t>
      </w:r>
      <w:r w:rsidRPr="00B02247">
        <w:t>by</w:t>
      </w:r>
      <w:r w:rsidR="005B2A41">
        <w:t xml:space="preserve"> </w:t>
      </w:r>
      <w:r w:rsidRPr="00B02247">
        <w:t>Type</w:t>
      </w:r>
      <w:r w:rsidR="005B2A41">
        <w:t xml:space="preserve"> </w:t>
      </w:r>
      <w:r w:rsidRPr="00B02247">
        <w:t>of</w:t>
      </w:r>
      <w:r w:rsidR="005B2A41">
        <w:t xml:space="preserve"> </w:t>
      </w:r>
      <w:r w:rsidRPr="00B02247">
        <w:t>Aid</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Contributions</w:t>
      </w:r>
      <w:r w:rsidR="005B2A41">
        <w:t xml:space="preserve"> </w:t>
      </w:r>
      <w:r w:rsidR="00F233AB" w:rsidRPr="00B02247">
        <w:t>to</w:t>
      </w:r>
      <w:r w:rsidR="005B2A41">
        <w:t xml:space="preserve"> </w:t>
      </w:r>
      <w:r w:rsidR="00F233AB" w:rsidRPr="00B02247">
        <w:t>specific</w:t>
      </w:r>
      <w:r w:rsidR="005B2A41">
        <w:t xml:space="preserve"> </w:t>
      </w:r>
      <w:r w:rsidR="00F233AB" w:rsidRPr="00B02247">
        <w:t>programmes</w:t>
      </w:r>
      <w:r w:rsidR="005B2A41">
        <w:t xml:space="preserve"> </w:t>
      </w:r>
      <w:r w:rsidR="00F233AB" w:rsidRPr="00B02247">
        <w:t>and</w:t>
      </w:r>
      <w:r w:rsidR="005B2A41">
        <w:t xml:space="preserve"> </w:t>
      </w:r>
      <w:r w:rsidR="00F233AB" w:rsidRPr="00B02247">
        <w:t>funds</w:t>
      </w:r>
      <w:r w:rsidR="005B2A41">
        <w:t xml:space="preserve"> </w:t>
      </w:r>
      <w:r w:rsidR="00F233AB" w:rsidRPr="00B02247">
        <w:t>managed</w:t>
      </w:r>
      <w:r w:rsidR="005B2A41">
        <w:t xml:space="preserve"> </w:t>
      </w:r>
      <w:r w:rsidR="00F233AB" w:rsidRPr="00B02247">
        <w:t>by</w:t>
      </w:r>
      <w:r w:rsidR="005B2A41">
        <w:t xml:space="preserve"> </w:t>
      </w:r>
      <w:r w:rsidR="00F233AB" w:rsidRPr="00B02247">
        <w:t>International;</w:t>
      </w:r>
      <w:r w:rsidR="005B2A41">
        <w:t xml:space="preserve"> </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Organizations:</w:t>
      </w:r>
      <w:r w:rsidR="005B2A41">
        <w:t xml:space="preserve"> </w:t>
      </w:r>
      <w:r w:rsidR="00F233AB" w:rsidRPr="00B02247">
        <w:t>0.35</w:t>
      </w:r>
      <w:r w:rsidR="005B2A41">
        <w:t xml:space="preserve"> </w:t>
      </w:r>
      <w:r w:rsidR="00F233AB" w:rsidRPr="00B02247">
        <w:t>m.</w:t>
      </w:r>
      <w:r w:rsidR="005B2A41">
        <w:t xml:space="preserve"> </w:t>
      </w:r>
      <w:r w:rsidR="00F233AB" w:rsidRPr="00B02247">
        <w:t>USD;</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Projects:</w:t>
      </w:r>
      <w:r w:rsidR="005B2A41">
        <w:t xml:space="preserve"> </w:t>
      </w:r>
      <w:r w:rsidR="00F233AB" w:rsidRPr="00B02247">
        <w:t>0.91</w:t>
      </w:r>
      <w:r w:rsidR="005B2A41">
        <w:t xml:space="preserve"> </w:t>
      </w:r>
      <w:r w:rsidR="00F233AB" w:rsidRPr="00B02247">
        <w:t>m.</w:t>
      </w:r>
      <w:r w:rsidR="005B2A41">
        <w:t xml:space="preserve"> </w:t>
      </w:r>
      <w:r w:rsidR="00F233AB" w:rsidRPr="00B02247">
        <w:t>USD;</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Experts</w:t>
      </w:r>
      <w:r w:rsidR="005B2A41">
        <w:t xml:space="preserve"> </w:t>
      </w:r>
      <w:r w:rsidR="00F233AB" w:rsidRPr="00B02247">
        <w:t>and</w:t>
      </w:r>
      <w:r w:rsidR="005B2A41">
        <w:t xml:space="preserve"> </w:t>
      </w:r>
      <w:r w:rsidR="00F233AB" w:rsidRPr="00B02247">
        <w:t>other</w:t>
      </w:r>
      <w:r w:rsidR="005B2A41">
        <w:t xml:space="preserve"> </w:t>
      </w:r>
      <w:r w:rsidR="00F233AB" w:rsidRPr="00B02247">
        <w:t>technical</w:t>
      </w:r>
      <w:r w:rsidR="005B2A41">
        <w:t xml:space="preserve"> </w:t>
      </w:r>
      <w:r w:rsidR="00F233AB" w:rsidRPr="00B02247">
        <w:t>co-operation:</w:t>
      </w:r>
      <w:r w:rsidR="005B2A41">
        <w:t xml:space="preserve"> </w:t>
      </w:r>
      <w:r w:rsidR="00F233AB" w:rsidRPr="00B02247">
        <w:t>1.25</w:t>
      </w:r>
      <w:r w:rsidR="005B2A41">
        <w:t xml:space="preserve"> </w:t>
      </w:r>
      <w:r w:rsidR="00F233AB" w:rsidRPr="00B02247">
        <w:t>m.</w:t>
      </w:r>
      <w:r w:rsidR="005B2A41">
        <w:t xml:space="preserve"> </w:t>
      </w:r>
      <w:r w:rsidR="00F233AB" w:rsidRPr="00B02247">
        <w:t>USD;</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Scholarships</w:t>
      </w:r>
      <w:r w:rsidR="005B2A41">
        <w:t xml:space="preserve"> </w:t>
      </w:r>
      <w:r w:rsidR="00F233AB" w:rsidRPr="00B02247">
        <w:t>and</w:t>
      </w:r>
      <w:r w:rsidR="005B2A41">
        <w:t xml:space="preserve"> </w:t>
      </w:r>
      <w:r w:rsidR="00F233AB" w:rsidRPr="00B02247">
        <w:t>imputed</w:t>
      </w:r>
      <w:r w:rsidR="005B2A41">
        <w:t xml:space="preserve"> </w:t>
      </w:r>
      <w:r w:rsidR="00F233AB" w:rsidRPr="00B02247">
        <w:t>costs</w:t>
      </w:r>
      <w:r w:rsidR="005B2A41">
        <w:t xml:space="preserve"> </w:t>
      </w:r>
      <w:r w:rsidR="00F233AB" w:rsidRPr="00B02247">
        <w:t>of</w:t>
      </w:r>
      <w:r w:rsidR="005B2A41">
        <w:t xml:space="preserve"> </w:t>
      </w:r>
      <w:r w:rsidR="00F233AB" w:rsidRPr="00B02247">
        <w:t>students</w:t>
      </w:r>
      <w:r w:rsidR="005B2A41">
        <w:t xml:space="preserve"> </w:t>
      </w:r>
      <w:r w:rsidR="00F233AB" w:rsidRPr="00B02247">
        <w:t>from</w:t>
      </w:r>
      <w:r w:rsidR="005B2A41">
        <w:t xml:space="preserve"> </w:t>
      </w:r>
      <w:r w:rsidR="00F233AB" w:rsidRPr="00B02247">
        <w:t>developing</w:t>
      </w:r>
      <w:r w:rsidR="005B2A41">
        <w:t xml:space="preserve"> </w:t>
      </w:r>
      <w:r w:rsidR="00F233AB" w:rsidRPr="00B02247">
        <w:t>countries</w:t>
      </w:r>
      <w:r w:rsidR="005B2A41">
        <w:t xml:space="preserve"> </w:t>
      </w:r>
      <w:r w:rsidR="00F233AB" w:rsidRPr="00B02247">
        <w:t>studying</w:t>
      </w:r>
      <w:r w:rsidR="005B2A41">
        <w:t xml:space="preserve"> </w:t>
      </w:r>
      <w:r w:rsidR="00F233AB" w:rsidRPr="00B02247">
        <w:t>at</w:t>
      </w:r>
      <w:r w:rsidR="005B2A41">
        <w:t xml:space="preserve"> </w:t>
      </w:r>
      <w:r w:rsidR="00F233AB" w:rsidRPr="00B02247">
        <w:t>Greek</w:t>
      </w:r>
      <w:r w:rsidR="005B2A41">
        <w:t xml:space="preserve"> </w:t>
      </w:r>
      <w:r w:rsidR="00F233AB" w:rsidRPr="00B02247">
        <w:t>Universities:</w:t>
      </w:r>
      <w:r w:rsidR="005B2A41">
        <w:t xml:space="preserve"> </w:t>
      </w:r>
      <w:r w:rsidR="00F233AB" w:rsidRPr="00B02247">
        <w:t>9.86</w:t>
      </w:r>
      <w:r w:rsidR="005B2A41">
        <w:t xml:space="preserve"> </w:t>
      </w:r>
      <w:r w:rsidR="00F233AB" w:rsidRPr="00B02247">
        <w:t>m.</w:t>
      </w:r>
      <w:r w:rsidR="005B2A41">
        <w:t xml:space="preserve"> </w:t>
      </w:r>
      <w:r w:rsidR="00F233AB" w:rsidRPr="00B02247">
        <w:t>USD;</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Refugees</w:t>
      </w:r>
      <w:r w:rsidR="005B2A41">
        <w:t xml:space="preserve"> </w:t>
      </w:r>
      <w:r w:rsidR="00F233AB" w:rsidRPr="00B02247">
        <w:t>in</w:t>
      </w:r>
      <w:r w:rsidR="005B2A41">
        <w:t xml:space="preserve"> </w:t>
      </w:r>
      <w:r w:rsidR="00F233AB" w:rsidRPr="00B02247">
        <w:t>the</w:t>
      </w:r>
      <w:r w:rsidR="005B2A41">
        <w:t xml:space="preserve"> </w:t>
      </w:r>
      <w:r w:rsidR="00F233AB" w:rsidRPr="00B02247">
        <w:t>donor</w:t>
      </w:r>
      <w:r w:rsidR="005B2A41">
        <w:t xml:space="preserve"> </w:t>
      </w:r>
      <w:r w:rsidR="00F233AB" w:rsidRPr="00B02247">
        <w:t>country:</w:t>
      </w:r>
      <w:r w:rsidR="005B2A41">
        <w:t xml:space="preserve"> </w:t>
      </w:r>
      <w:r w:rsidR="00F233AB" w:rsidRPr="00B02247">
        <w:t>59.43</w:t>
      </w:r>
      <w:r w:rsidR="005B2A41">
        <w:t xml:space="preserve"> </w:t>
      </w:r>
      <w:r w:rsidR="00F233AB" w:rsidRPr="00B02247">
        <w:t>m.</w:t>
      </w:r>
      <w:r w:rsidR="005B2A41">
        <w:t xml:space="preserve"> </w:t>
      </w:r>
      <w:r w:rsidR="00F233AB" w:rsidRPr="00B02247">
        <w:t>USD.</w:t>
      </w:r>
    </w:p>
    <w:p w:rsidR="00F233AB" w:rsidRPr="00B02247" w:rsidRDefault="00F233AB" w:rsidP="001B4C71">
      <w:pPr>
        <w:pStyle w:val="H4G"/>
      </w:pPr>
      <w:r w:rsidRPr="00B02247">
        <w:tab/>
      </w:r>
      <w:r w:rsidRPr="00B02247">
        <w:tab/>
        <w:t>Aid</w:t>
      </w:r>
      <w:r w:rsidR="005B2A41">
        <w:t xml:space="preserve"> </w:t>
      </w:r>
      <w:r w:rsidRPr="00B02247">
        <w:t>Allocation</w:t>
      </w:r>
      <w:r w:rsidR="005B2A41">
        <w:t xml:space="preserve"> </w:t>
      </w:r>
      <w:r w:rsidRPr="00B02247">
        <w:t>by</w:t>
      </w:r>
      <w:r w:rsidR="005B2A41">
        <w:t xml:space="preserve"> </w:t>
      </w:r>
      <w:r w:rsidRPr="00B02247">
        <w:t>Sector</w:t>
      </w:r>
      <w:r w:rsidR="005B2A41">
        <w:t xml:space="preserve"> </w:t>
      </w:r>
      <w:r w:rsidRPr="00B02247">
        <w:t>of</w:t>
      </w:r>
      <w:r w:rsidR="005B2A41">
        <w:t xml:space="preserve"> </w:t>
      </w:r>
      <w:r w:rsidRPr="00B02247">
        <w:t>Aid</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Social</w:t>
      </w:r>
      <w:r w:rsidR="005B2A41">
        <w:t xml:space="preserve"> </w:t>
      </w:r>
      <w:r w:rsidR="00F233AB" w:rsidRPr="00B02247">
        <w:t>Infrastructure</w:t>
      </w:r>
      <w:r w:rsidR="005B2A41">
        <w:t xml:space="preserve"> </w:t>
      </w:r>
      <w:r w:rsidR="00F233AB" w:rsidRPr="00B02247">
        <w:t>and</w:t>
      </w:r>
      <w:r w:rsidR="005B2A41">
        <w:t xml:space="preserve"> </w:t>
      </w:r>
      <w:r w:rsidR="00F233AB" w:rsidRPr="00B02247">
        <w:t>Services:</w:t>
      </w:r>
      <w:r w:rsidR="005B2A41">
        <w:t xml:space="preserve"> </w:t>
      </w:r>
      <w:r w:rsidR="00F233AB" w:rsidRPr="00B02247">
        <w:t>10.24</w:t>
      </w:r>
      <w:r w:rsidR="005B2A41">
        <w:t xml:space="preserve"> </w:t>
      </w:r>
      <w:r w:rsidR="00F233AB" w:rsidRPr="00B02247">
        <w:t>m.</w:t>
      </w:r>
      <w:r w:rsidR="001A1DC0">
        <w:t xml:space="preserve"> </w:t>
      </w:r>
      <w:r w:rsidR="00F233AB" w:rsidRPr="00B02247">
        <w:t>USD;</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Education:</w:t>
      </w:r>
      <w:r w:rsidR="005B2A41">
        <w:t xml:space="preserve"> </w:t>
      </w:r>
      <w:r w:rsidR="00F233AB" w:rsidRPr="00B02247">
        <w:t>9.16</w:t>
      </w:r>
      <w:r w:rsidR="005B2A41">
        <w:t xml:space="preserve"> </w:t>
      </w:r>
      <w:r w:rsidR="00F233AB" w:rsidRPr="00B02247">
        <w:t>m.</w:t>
      </w:r>
      <w:r w:rsidR="005B2A41">
        <w:t xml:space="preserve"> </w:t>
      </w:r>
      <w:r w:rsidR="00F233AB" w:rsidRPr="00B02247">
        <w:t>USD;</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Health:</w:t>
      </w:r>
      <w:r w:rsidR="005B2A41">
        <w:t xml:space="preserve"> </w:t>
      </w:r>
      <w:r w:rsidR="00F233AB" w:rsidRPr="00B02247">
        <w:t>0.21</w:t>
      </w:r>
      <w:r w:rsidR="005B2A41">
        <w:t xml:space="preserve"> </w:t>
      </w:r>
      <w:r w:rsidR="00F233AB" w:rsidRPr="00B02247">
        <w:t>m.</w:t>
      </w:r>
      <w:r w:rsidR="005B2A41">
        <w:t xml:space="preserve"> </w:t>
      </w:r>
      <w:r w:rsidR="00F233AB" w:rsidRPr="00B02247">
        <w:t>USD;</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Government</w:t>
      </w:r>
      <w:r w:rsidR="005B2A41">
        <w:t xml:space="preserve"> </w:t>
      </w:r>
      <w:r w:rsidR="00F233AB" w:rsidRPr="00B02247">
        <w:t>and</w:t>
      </w:r>
      <w:r w:rsidR="005B2A41">
        <w:t xml:space="preserve"> </w:t>
      </w:r>
      <w:r w:rsidR="00F233AB" w:rsidRPr="00B02247">
        <w:t>civil</w:t>
      </w:r>
      <w:r w:rsidR="005B2A41">
        <w:t xml:space="preserve"> </w:t>
      </w:r>
      <w:r w:rsidR="00F233AB" w:rsidRPr="00B02247">
        <w:t>society:</w:t>
      </w:r>
      <w:r w:rsidR="005B2A41">
        <w:t xml:space="preserve"> </w:t>
      </w:r>
      <w:r w:rsidR="00F233AB" w:rsidRPr="00B02247">
        <w:t>0.72</w:t>
      </w:r>
      <w:r w:rsidR="005B2A41">
        <w:t xml:space="preserve"> </w:t>
      </w:r>
      <w:r w:rsidR="00F233AB" w:rsidRPr="00B02247">
        <w:t>m.</w:t>
      </w:r>
      <w:r w:rsidR="005B2A41">
        <w:t xml:space="preserve"> </w:t>
      </w:r>
      <w:r w:rsidR="00F233AB" w:rsidRPr="00B02247">
        <w:t>USD;</w:t>
      </w:r>
      <w:r w:rsidR="005B2A41">
        <w:t xml:space="preserve"> </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Other</w:t>
      </w:r>
      <w:r w:rsidR="005B2A41">
        <w:t xml:space="preserve"> </w:t>
      </w:r>
      <w:r w:rsidR="00F233AB" w:rsidRPr="00B02247">
        <w:t>social</w:t>
      </w:r>
      <w:r w:rsidR="005B2A41">
        <w:t xml:space="preserve"> </w:t>
      </w:r>
      <w:r w:rsidR="00F233AB" w:rsidRPr="00B02247">
        <w:t>infrastructure</w:t>
      </w:r>
      <w:r w:rsidR="005B2A41">
        <w:t xml:space="preserve"> </w:t>
      </w:r>
      <w:r w:rsidR="00F233AB" w:rsidRPr="00B02247">
        <w:t>and</w:t>
      </w:r>
      <w:r w:rsidR="005B2A41">
        <w:t xml:space="preserve"> </w:t>
      </w:r>
      <w:r w:rsidR="00F233AB" w:rsidRPr="00B02247">
        <w:t>services:</w:t>
      </w:r>
      <w:r w:rsidR="005B2A41">
        <w:t xml:space="preserve"> </w:t>
      </w:r>
      <w:r w:rsidR="00F233AB" w:rsidRPr="00B02247">
        <w:t>0.15</w:t>
      </w:r>
      <w:r w:rsidR="005B2A41">
        <w:t xml:space="preserve"> </w:t>
      </w:r>
      <w:r w:rsidR="00F233AB" w:rsidRPr="00B02247">
        <w:t>m.</w:t>
      </w:r>
      <w:r w:rsidR="005B2A41">
        <w:t xml:space="preserve"> </w:t>
      </w:r>
      <w:r w:rsidR="00F233AB" w:rsidRPr="00B02247">
        <w:t>USD.</w:t>
      </w:r>
    </w:p>
    <w:p w:rsidR="00F233AB" w:rsidRPr="00B02247" w:rsidRDefault="00F233AB" w:rsidP="001B4C71">
      <w:pPr>
        <w:pStyle w:val="H4G"/>
      </w:pPr>
      <w:r w:rsidRPr="00B02247">
        <w:tab/>
      </w:r>
      <w:r w:rsidRPr="00B02247">
        <w:tab/>
        <w:t>Crosscutting:</w:t>
      </w:r>
      <w:r w:rsidR="005B2A41">
        <w:t xml:space="preserve"> </w:t>
      </w:r>
      <w:r w:rsidRPr="00B02247">
        <w:t>2.07</w:t>
      </w:r>
      <w:r w:rsidR="005B2A41">
        <w:t xml:space="preserve"> </w:t>
      </w:r>
      <w:r w:rsidRPr="00B02247">
        <w:t>m</w:t>
      </w:r>
      <w:r w:rsidR="005B2A41">
        <w:t xml:space="preserve"> </w:t>
      </w:r>
      <w:r w:rsidRPr="00B02247">
        <w:t>USD</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Water</w:t>
      </w:r>
      <w:r w:rsidR="005B2A41">
        <w:t xml:space="preserve"> </w:t>
      </w:r>
      <w:r w:rsidR="00F233AB" w:rsidRPr="00B02247">
        <w:t>supply</w:t>
      </w:r>
      <w:r w:rsidR="005B2A41">
        <w:t xml:space="preserve"> </w:t>
      </w:r>
      <w:r w:rsidR="00F233AB" w:rsidRPr="00B02247">
        <w:t>and</w:t>
      </w:r>
      <w:r w:rsidR="005B2A41">
        <w:t xml:space="preserve"> </w:t>
      </w:r>
      <w:r w:rsidR="00F233AB" w:rsidRPr="00B02247">
        <w:t>Sanitation:</w:t>
      </w:r>
      <w:r w:rsidR="005B2A41">
        <w:t xml:space="preserve"> </w:t>
      </w:r>
      <w:r w:rsidR="00F233AB" w:rsidRPr="00B02247">
        <w:t>0.15</w:t>
      </w:r>
      <w:r w:rsidR="005B2A41">
        <w:t xml:space="preserve"> </w:t>
      </w:r>
      <w:r w:rsidR="00F233AB" w:rsidRPr="00B02247">
        <w:t>m.</w:t>
      </w:r>
      <w:r w:rsidR="005B2A41">
        <w:t xml:space="preserve"> </w:t>
      </w:r>
      <w:r w:rsidR="00F233AB" w:rsidRPr="00B02247">
        <w:t>USD;</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General</w:t>
      </w:r>
      <w:r w:rsidR="005B2A41">
        <w:t xml:space="preserve"> </w:t>
      </w:r>
      <w:r w:rsidR="00F233AB" w:rsidRPr="00B02247">
        <w:t>environmental</w:t>
      </w:r>
      <w:r w:rsidR="005B2A41">
        <w:t xml:space="preserve"> </w:t>
      </w:r>
      <w:r w:rsidR="00F233AB" w:rsidRPr="00B02247">
        <w:t>protection:</w:t>
      </w:r>
      <w:r w:rsidR="005B2A41">
        <w:t xml:space="preserve"> </w:t>
      </w:r>
      <w:r w:rsidR="00F233AB" w:rsidRPr="00B02247">
        <w:t>0.19</w:t>
      </w:r>
      <w:r w:rsidR="005B2A41">
        <w:t xml:space="preserve"> </w:t>
      </w:r>
      <w:r w:rsidR="00F233AB" w:rsidRPr="00B02247">
        <w:t>m.</w:t>
      </w:r>
      <w:r w:rsidR="005B2A41">
        <w:t xml:space="preserve"> </w:t>
      </w:r>
      <w:r w:rsidR="00F233AB" w:rsidRPr="00B02247">
        <w:t>USD;</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Tertiary</w:t>
      </w:r>
      <w:r w:rsidR="005B2A41">
        <w:t xml:space="preserve"> </w:t>
      </w:r>
      <w:r w:rsidR="00F233AB" w:rsidRPr="00B02247">
        <w:t>Scholarships:</w:t>
      </w:r>
      <w:r w:rsidR="005B2A41">
        <w:t xml:space="preserve"> </w:t>
      </w:r>
      <w:r w:rsidR="00F233AB" w:rsidRPr="00B02247">
        <w:t>1.97</w:t>
      </w:r>
      <w:r w:rsidR="005B2A41">
        <w:t xml:space="preserve"> </w:t>
      </w:r>
      <w:r w:rsidR="00F233AB" w:rsidRPr="00B02247">
        <w:t>m.</w:t>
      </w:r>
      <w:r w:rsidR="005B2A41">
        <w:t xml:space="preserve"> </w:t>
      </w:r>
      <w:r w:rsidR="00F233AB" w:rsidRPr="00B02247">
        <w:t>USD.</w:t>
      </w:r>
    </w:p>
    <w:p w:rsidR="00F233AB" w:rsidRPr="00B02247" w:rsidRDefault="00F233AB" w:rsidP="001B4C71">
      <w:pPr>
        <w:pStyle w:val="H4G"/>
      </w:pPr>
      <w:r w:rsidRPr="00B02247">
        <w:tab/>
      </w:r>
      <w:r w:rsidRPr="00B02247">
        <w:tab/>
        <w:t>Humanitarian</w:t>
      </w:r>
      <w:r w:rsidR="005B2A41">
        <w:t xml:space="preserve"> </w:t>
      </w:r>
      <w:r w:rsidRPr="00B02247">
        <w:t>assistance:</w:t>
      </w:r>
      <w:r w:rsidR="005B2A41">
        <w:t xml:space="preserve"> </w:t>
      </w:r>
      <w:r w:rsidRPr="00B02247">
        <w:t>0.07</w:t>
      </w:r>
      <w:r w:rsidR="005B2A41">
        <w:t xml:space="preserve"> </w:t>
      </w:r>
      <w:r w:rsidRPr="00B02247">
        <w:t>m.</w:t>
      </w:r>
      <w:r w:rsidR="005B2A41">
        <w:t xml:space="preserve"> </w:t>
      </w:r>
      <w:r w:rsidRPr="00B02247">
        <w:t>USD</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Costs</w:t>
      </w:r>
      <w:r w:rsidR="005B2A41">
        <w:t xml:space="preserve"> </w:t>
      </w:r>
      <w:r w:rsidR="00F233AB" w:rsidRPr="00B02247">
        <w:t>of</w:t>
      </w:r>
      <w:r w:rsidR="005B2A41">
        <w:t xml:space="preserve"> </w:t>
      </w:r>
      <w:r w:rsidR="00F233AB" w:rsidRPr="00B02247">
        <w:t>refugees:</w:t>
      </w:r>
      <w:r w:rsidR="005B2A41">
        <w:t xml:space="preserve"> </w:t>
      </w:r>
      <w:r w:rsidR="00F233AB" w:rsidRPr="00B02247">
        <w:t>59.43</w:t>
      </w:r>
      <w:r w:rsidR="005B2A41">
        <w:t xml:space="preserve"> </w:t>
      </w:r>
      <w:r w:rsidR="00F233AB" w:rsidRPr="00B02247">
        <w:t>m.</w:t>
      </w:r>
      <w:r w:rsidR="005B2A41">
        <w:t xml:space="preserve"> </w:t>
      </w:r>
      <w:r w:rsidR="00F233AB" w:rsidRPr="00B02247">
        <w:t>USD.</w:t>
      </w:r>
    </w:p>
    <w:p w:rsidR="00F233AB" w:rsidRPr="00B02247" w:rsidRDefault="00F233AB" w:rsidP="00E1307D">
      <w:pPr>
        <w:pStyle w:val="SingleTxtG"/>
      </w:pPr>
      <w:r w:rsidRPr="00B02247">
        <w:t>137.</w:t>
      </w:r>
      <w:r w:rsidRPr="00B02247">
        <w:tab/>
        <w:t>The</w:t>
      </w:r>
      <w:r w:rsidR="005B2A41">
        <w:t xml:space="preserve"> </w:t>
      </w:r>
      <w:r w:rsidRPr="00B02247">
        <w:t>total</w:t>
      </w:r>
      <w:r w:rsidR="005B2A41">
        <w:t xml:space="preserve"> </w:t>
      </w:r>
      <w:r w:rsidRPr="00B02247">
        <w:t>multilateral</w:t>
      </w:r>
      <w:r w:rsidR="005B2A41">
        <w:t xml:space="preserve"> </w:t>
      </w:r>
      <w:r w:rsidRPr="00B02247">
        <w:t>ODA</w:t>
      </w:r>
      <w:r w:rsidR="005B2A41">
        <w:t xml:space="preserve"> </w:t>
      </w:r>
      <w:r w:rsidRPr="00B02247">
        <w:t>granted</w:t>
      </w:r>
      <w:r w:rsidR="005B2A41">
        <w:t xml:space="preserve"> </w:t>
      </w:r>
      <w:r w:rsidRPr="00B02247">
        <w:t>by</w:t>
      </w:r>
      <w:r w:rsidR="005B2A41">
        <w:t xml:space="preserve"> </w:t>
      </w:r>
      <w:r w:rsidRPr="00B02247">
        <w:t>Greece</w:t>
      </w:r>
      <w:r w:rsidR="005B2A41">
        <w:t xml:space="preserve"> </w:t>
      </w:r>
      <w:r w:rsidRPr="00B02247">
        <w:t>in</w:t>
      </w:r>
      <w:r w:rsidR="005B2A41">
        <w:t xml:space="preserve"> </w:t>
      </w:r>
      <w:r w:rsidRPr="00B02247">
        <w:t>2015</w:t>
      </w:r>
      <w:r w:rsidR="005B2A41">
        <w:t xml:space="preserve"> </w:t>
      </w:r>
      <w:r w:rsidRPr="00B02247">
        <w:t>amounted</w:t>
      </w:r>
      <w:r w:rsidR="005B2A41">
        <w:t xml:space="preserve"> </w:t>
      </w:r>
      <w:r w:rsidRPr="00B02247">
        <w:t>to</w:t>
      </w:r>
      <w:r w:rsidR="005B2A41">
        <w:t xml:space="preserve"> </w:t>
      </w:r>
      <w:r w:rsidRPr="00B02247">
        <w:t>166.82</w:t>
      </w:r>
      <w:r w:rsidR="005B2A41">
        <w:t xml:space="preserve"> </w:t>
      </w:r>
      <w:r w:rsidRPr="00B02247">
        <w:t>m.</w:t>
      </w:r>
      <w:r w:rsidR="005B2A41">
        <w:t xml:space="preserve"> </w:t>
      </w:r>
      <w:r w:rsidRPr="00B02247">
        <w:t>USD.</w:t>
      </w:r>
      <w:r w:rsidR="005B2A41">
        <w:t xml:space="preserve"> </w:t>
      </w:r>
      <w:r w:rsidRPr="00B02247">
        <w:t>Multilateral</w:t>
      </w:r>
      <w:r w:rsidR="005B2A41">
        <w:t xml:space="preserve"> </w:t>
      </w:r>
      <w:r w:rsidRPr="00B02247">
        <w:t>ODA</w:t>
      </w:r>
      <w:r w:rsidR="005B2A41">
        <w:t xml:space="preserve"> </w:t>
      </w:r>
      <w:r w:rsidRPr="00B02247">
        <w:t>is</w:t>
      </w:r>
      <w:r w:rsidR="005B2A41">
        <w:t xml:space="preserve"> </w:t>
      </w:r>
      <w:r w:rsidRPr="00B02247">
        <w:t>provided</w:t>
      </w:r>
      <w:r w:rsidR="005B2A41">
        <w:t xml:space="preserve"> </w:t>
      </w:r>
      <w:r w:rsidRPr="00B02247">
        <w:t>by</w:t>
      </w:r>
      <w:r w:rsidR="005B2A41">
        <w:t xml:space="preserve"> </w:t>
      </w:r>
      <w:r w:rsidRPr="00B02247">
        <w:t>line</w:t>
      </w:r>
      <w:r w:rsidR="005B2A41">
        <w:t xml:space="preserve"> </w:t>
      </w:r>
      <w:r w:rsidRPr="00B02247">
        <w:t>Ministries</w:t>
      </w:r>
      <w:r w:rsidR="005B2A41">
        <w:t xml:space="preserve"> </w:t>
      </w:r>
      <w:r w:rsidRPr="00B02247">
        <w:t>which,</w:t>
      </w:r>
      <w:r w:rsidR="005B2A41">
        <w:t xml:space="preserve"> </w:t>
      </w:r>
      <w:r w:rsidRPr="00B02247">
        <w:t>depending</w:t>
      </w:r>
      <w:r w:rsidR="005B2A41">
        <w:t xml:space="preserve"> </w:t>
      </w:r>
      <w:r w:rsidRPr="00B02247">
        <w:t>on</w:t>
      </w:r>
      <w:r w:rsidR="005B2A41">
        <w:t xml:space="preserve"> </w:t>
      </w:r>
      <w:r w:rsidRPr="00B02247">
        <w:t>their</w:t>
      </w:r>
      <w:r w:rsidR="005B2A41">
        <w:t xml:space="preserve"> </w:t>
      </w:r>
      <w:r w:rsidRPr="00B02247">
        <w:t>subject</w:t>
      </w:r>
      <w:r w:rsidR="005B2A41">
        <w:t xml:space="preserve"> </w:t>
      </w:r>
      <w:r w:rsidRPr="00B02247">
        <w:t>and</w:t>
      </w:r>
      <w:r w:rsidR="005B2A41">
        <w:t xml:space="preserve"> </w:t>
      </w:r>
      <w:r w:rsidRPr="00B02247">
        <w:t>competences,</w:t>
      </w:r>
      <w:r w:rsidR="005B2A41">
        <w:t xml:space="preserve"> </w:t>
      </w:r>
      <w:r w:rsidRPr="00B02247">
        <w:t>provide</w:t>
      </w:r>
      <w:r w:rsidR="005B2A41">
        <w:t xml:space="preserve"> </w:t>
      </w:r>
      <w:r w:rsidRPr="00B02247">
        <w:t>funds</w:t>
      </w:r>
      <w:r w:rsidR="005B2A41">
        <w:t xml:space="preserve"> </w:t>
      </w:r>
      <w:r w:rsidRPr="00B02247">
        <w:t>for</w:t>
      </w:r>
      <w:r w:rsidR="005B2A41">
        <w:t xml:space="preserve"> </w:t>
      </w:r>
      <w:r w:rsidRPr="00B02247">
        <w:t>international</w:t>
      </w:r>
      <w:r w:rsidR="005B2A41">
        <w:t xml:space="preserve"> </w:t>
      </w:r>
      <w:r w:rsidRPr="00B02247">
        <w:t>development</w:t>
      </w:r>
      <w:r w:rsidR="005B2A41">
        <w:t xml:space="preserve"> </w:t>
      </w:r>
      <w:r w:rsidRPr="00B02247">
        <w:t>purposes</w:t>
      </w:r>
      <w:r w:rsidR="005B2A41">
        <w:t xml:space="preserve"> </w:t>
      </w:r>
      <w:r w:rsidRPr="00B02247">
        <w:t>via</w:t>
      </w:r>
      <w:r w:rsidR="005B2A41">
        <w:t xml:space="preserve"> </w:t>
      </w:r>
      <w:r w:rsidRPr="00B02247">
        <w:t>International</w:t>
      </w:r>
      <w:r w:rsidR="005B2A41">
        <w:t xml:space="preserve"> </w:t>
      </w:r>
      <w:r w:rsidRPr="00B02247">
        <w:t>Organizations.</w:t>
      </w:r>
      <w:r w:rsidR="005B2A41">
        <w:t xml:space="preserve"> </w:t>
      </w:r>
      <w:r w:rsidRPr="00B02247">
        <w:t>These</w:t>
      </w:r>
      <w:r w:rsidR="005B2A41">
        <w:t xml:space="preserve"> </w:t>
      </w:r>
      <w:r w:rsidRPr="00B02247">
        <w:t>Organizations</w:t>
      </w:r>
      <w:r w:rsidR="005B2A41">
        <w:t xml:space="preserve"> </w:t>
      </w:r>
      <w:r w:rsidRPr="00B02247">
        <w:t>support</w:t>
      </w:r>
      <w:r w:rsidR="005B2A41">
        <w:t xml:space="preserve"> </w:t>
      </w:r>
      <w:r w:rsidRPr="00B02247">
        <w:t>developing</w:t>
      </w:r>
      <w:r w:rsidR="005B2A41">
        <w:t xml:space="preserve"> </w:t>
      </w:r>
      <w:r w:rsidRPr="00B02247">
        <w:t>countries,</w:t>
      </w:r>
      <w:r w:rsidR="005B2A41">
        <w:t xml:space="preserve"> </w:t>
      </w:r>
      <w:r w:rsidRPr="00B02247">
        <w:t>promote</w:t>
      </w:r>
      <w:r w:rsidR="005B2A41">
        <w:t xml:space="preserve"> </w:t>
      </w:r>
      <w:r w:rsidRPr="00B02247">
        <w:t>human</w:t>
      </w:r>
      <w:r w:rsidR="005B2A41">
        <w:t xml:space="preserve"> </w:t>
      </w:r>
      <w:r w:rsidRPr="00B02247">
        <w:t>rights</w:t>
      </w:r>
      <w:r w:rsidR="005B2A41">
        <w:t xml:space="preserve"> </w:t>
      </w:r>
      <w:r w:rsidRPr="00B02247">
        <w:t>and</w:t>
      </w:r>
      <w:r w:rsidR="005B2A41">
        <w:t xml:space="preserve"> </w:t>
      </w:r>
      <w:r w:rsidRPr="00B02247">
        <w:t>provide</w:t>
      </w:r>
      <w:r w:rsidR="005B2A41">
        <w:t xml:space="preserve"> </w:t>
      </w:r>
      <w:r w:rsidRPr="00B02247">
        <w:t>assistance</w:t>
      </w:r>
      <w:r w:rsidR="005B2A41">
        <w:t xml:space="preserve"> </w:t>
      </w:r>
      <w:r w:rsidRPr="00B02247">
        <w:t>in</w:t>
      </w:r>
      <w:r w:rsidR="005B2A41">
        <w:t xml:space="preserve"> </w:t>
      </w:r>
      <w:r w:rsidRPr="00B02247">
        <w:t>emergency</w:t>
      </w:r>
      <w:r w:rsidR="005B2A41">
        <w:t xml:space="preserve"> </w:t>
      </w:r>
      <w:r w:rsidRPr="00B02247">
        <w:t>situations.</w:t>
      </w:r>
    </w:p>
    <w:p w:rsidR="00F233AB" w:rsidRPr="00B02247" w:rsidRDefault="00F233AB" w:rsidP="00E1307D">
      <w:pPr>
        <w:pStyle w:val="SingleTxtG"/>
      </w:pPr>
      <w:r w:rsidRPr="00B02247">
        <w:t>138.</w:t>
      </w:r>
      <w:r w:rsidRPr="00B02247">
        <w:tab/>
        <w:t>Total</w:t>
      </w:r>
      <w:r w:rsidR="005B2A41">
        <w:t xml:space="preserve"> </w:t>
      </w:r>
      <w:r w:rsidRPr="00B02247">
        <w:t>flows</w:t>
      </w:r>
      <w:r w:rsidR="005B2A41">
        <w:t xml:space="preserve"> </w:t>
      </w:r>
      <w:r w:rsidRPr="00B02247">
        <w:t>granted</w:t>
      </w:r>
      <w:r w:rsidR="005B2A41">
        <w:t xml:space="preserve"> </w:t>
      </w:r>
      <w:r w:rsidRPr="00B02247">
        <w:t>by</w:t>
      </w:r>
      <w:r w:rsidR="005B2A41">
        <w:t xml:space="preserve"> </w:t>
      </w:r>
      <w:r w:rsidRPr="00B02247">
        <w:t>Greece</w:t>
      </w:r>
      <w:r w:rsidR="005B2A41">
        <w:t xml:space="preserve"> </w:t>
      </w:r>
      <w:r w:rsidRPr="00B02247">
        <w:t>to</w:t>
      </w:r>
      <w:r w:rsidR="005B2A41">
        <w:t xml:space="preserve"> </w:t>
      </w:r>
      <w:r w:rsidRPr="00B02247">
        <w:t>EU</w:t>
      </w:r>
      <w:r w:rsidR="005B2A41">
        <w:t xml:space="preserve"> </w:t>
      </w:r>
      <w:r w:rsidRPr="00B02247">
        <w:t>institutions</w:t>
      </w:r>
      <w:r w:rsidR="005B2A41">
        <w:t xml:space="preserve"> </w:t>
      </w:r>
      <w:r w:rsidRPr="00B02247">
        <w:t>for</w:t>
      </w:r>
      <w:r w:rsidR="005B2A41">
        <w:t xml:space="preserve"> </w:t>
      </w:r>
      <w:r w:rsidRPr="00B02247">
        <w:t>foreign</w:t>
      </w:r>
      <w:r w:rsidR="005B2A41">
        <w:t xml:space="preserve"> </w:t>
      </w:r>
      <w:r w:rsidRPr="00B02247">
        <w:t>development</w:t>
      </w:r>
      <w:r w:rsidR="005B2A41">
        <w:t xml:space="preserve"> </w:t>
      </w:r>
      <w:r w:rsidRPr="00B02247">
        <w:t>assistance</w:t>
      </w:r>
      <w:r w:rsidR="005B2A41">
        <w:t xml:space="preserve"> </w:t>
      </w:r>
      <w:r w:rsidRPr="00B02247">
        <w:t>amounted</w:t>
      </w:r>
      <w:r w:rsidR="005B2A41">
        <w:t xml:space="preserve"> </w:t>
      </w:r>
      <w:r w:rsidRPr="00B02247">
        <w:t>to</w:t>
      </w:r>
      <w:r w:rsidR="005B2A41">
        <w:t xml:space="preserve"> </w:t>
      </w:r>
      <w:r w:rsidRPr="00B02247">
        <w:t>157.90</w:t>
      </w:r>
      <w:r w:rsidR="005B2A41">
        <w:t xml:space="preserve"> </w:t>
      </w:r>
      <w:r w:rsidRPr="00B02247">
        <w:t>m.</w:t>
      </w:r>
      <w:r w:rsidR="005B2A41">
        <w:t xml:space="preserve"> </w:t>
      </w:r>
      <w:r w:rsidRPr="00B02247">
        <w:t>USD</w:t>
      </w:r>
      <w:r w:rsidR="005B2A41">
        <w:t xml:space="preserve"> </w:t>
      </w:r>
      <w:r w:rsidRPr="00B02247">
        <w:t>of</w:t>
      </w:r>
      <w:r w:rsidR="005B2A41">
        <w:t xml:space="preserve"> </w:t>
      </w:r>
      <w:r w:rsidRPr="00B02247">
        <w:t>which</w:t>
      </w:r>
      <w:r w:rsidR="005B2A41">
        <w:t xml:space="preserve"> </w:t>
      </w:r>
      <w:r w:rsidRPr="00B02247">
        <w:t>102.46</w:t>
      </w:r>
      <w:r w:rsidR="005B2A41">
        <w:t xml:space="preserve"> </w:t>
      </w:r>
      <w:r w:rsidRPr="00B02247">
        <w:t>m.</w:t>
      </w:r>
      <w:r w:rsidR="005B2A41">
        <w:t xml:space="preserve"> </w:t>
      </w:r>
      <w:r w:rsidRPr="00B02247">
        <w:t>USD</w:t>
      </w:r>
      <w:r w:rsidR="005B2A41">
        <w:t xml:space="preserve"> </w:t>
      </w:r>
      <w:r w:rsidRPr="00B02247">
        <w:t>accounted</w:t>
      </w:r>
      <w:r w:rsidR="005B2A41">
        <w:t xml:space="preserve"> </w:t>
      </w:r>
      <w:r w:rsidRPr="00B02247">
        <w:t>for</w:t>
      </w:r>
      <w:r w:rsidR="005B2A41">
        <w:t xml:space="preserve"> </w:t>
      </w:r>
      <w:r w:rsidRPr="00B02247">
        <w:t>Greece</w:t>
      </w:r>
      <w:r w:rsidR="003E731F">
        <w:t>’</w:t>
      </w:r>
      <w:r w:rsidRPr="00B02247">
        <w:t>s</w:t>
      </w:r>
      <w:r w:rsidR="005B2A41">
        <w:t xml:space="preserve"> </w:t>
      </w:r>
      <w:r w:rsidRPr="00B02247">
        <w:t>share</w:t>
      </w:r>
      <w:r w:rsidR="005B2A41">
        <w:t xml:space="preserve"> </w:t>
      </w:r>
      <w:r w:rsidRPr="00B02247">
        <w:t>to</w:t>
      </w:r>
      <w:r w:rsidR="005B2A41">
        <w:t xml:space="preserve"> </w:t>
      </w:r>
      <w:r w:rsidRPr="00B02247">
        <w:t>the</w:t>
      </w:r>
      <w:r w:rsidR="005B2A41">
        <w:t xml:space="preserve"> </w:t>
      </w:r>
      <w:r w:rsidRPr="00B02247">
        <w:t>EU</w:t>
      </w:r>
      <w:r w:rsidR="005B2A41">
        <w:t xml:space="preserve"> </w:t>
      </w:r>
      <w:r w:rsidRPr="00B02247">
        <w:t>budget</w:t>
      </w:r>
      <w:r w:rsidR="005B2A41">
        <w:t xml:space="preserve"> </w:t>
      </w:r>
      <w:r w:rsidRPr="00B02247">
        <w:t>for</w:t>
      </w:r>
      <w:r w:rsidR="005B2A41">
        <w:t xml:space="preserve"> </w:t>
      </w:r>
      <w:r w:rsidRPr="00B02247">
        <w:t>development</w:t>
      </w:r>
      <w:r w:rsidR="005B2A41">
        <w:t xml:space="preserve"> </w:t>
      </w:r>
      <w:r w:rsidRPr="00B02247">
        <w:t>cooperation,</w:t>
      </w:r>
      <w:r w:rsidR="005B2A41">
        <w:t xml:space="preserve"> </w:t>
      </w:r>
      <w:r w:rsidRPr="00B02247">
        <w:t>while</w:t>
      </w:r>
      <w:r w:rsidR="005B2A41">
        <w:t xml:space="preserve"> </w:t>
      </w:r>
      <w:r w:rsidRPr="00B02247">
        <w:t>55.44</w:t>
      </w:r>
      <w:r w:rsidR="005B2A41">
        <w:t xml:space="preserve"> </w:t>
      </w:r>
      <w:r w:rsidRPr="00B02247">
        <w:t>m.</w:t>
      </w:r>
      <w:r w:rsidR="005B2A41">
        <w:t xml:space="preserve"> </w:t>
      </w:r>
      <w:r w:rsidRPr="00B02247">
        <w:t>USD</w:t>
      </w:r>
      <w:r w:rsidR="005B2A41">
        <w:t xml:space="preserve"> </w:t>
      </w:r>
      <w:r w:rsidRPr="00B02247">
        <w:t>was</w:t>
      </w:r>
      <w:r w:rsidR="005B2A41">
        <w:t xml:space="preserve"> </w:t>
      </w:r>
      <w:r w:rsidRPr="00B02247">
        <w:t>the</w:t>
      </w:r>
      <w:r w:rsidR="005B2A41">
        <w:t xml:space="preserve"> </w:t>
      </w:r>
      <w:r w:rsidRPr="00B02247">
        <w:t>country</w:t>
      </w:r>
      <w:r w:rsidR="003E731F">
        <w:t>’</w:t>
      </w:r>
      <w:r w:rsidRPr="00B02247">
        <w:t>s</w:t>
      </w:r>
      <w:r w:rsidR="005B2A41">
        <w:t xml:space="preserve"> </w:t>
      </w:r>
      <w:r w:rsidRPr="00B02247">
        <w:t>contribution</w:t>
      </w:r>
      <w:r w:rsidR="005B2A41">
        <w:t xml:space="preserve"> </w:t>
      </w:r>
      <w:r w:rsidRPr="00B02247">
        <w:t>to</w:t>
      </w:r>
      <w:r w:rsidR="005B2A41">
        <w:t xml:space="preserve"> </w:t>
      </w:r>
      <w:r w:rsidRPr="00B02247">
        <w:t>the</w:t>
      </w:r>
      <w:r w:rsidR="005B2A41">
        <w:t xml:space="preserve"> </w:t>
      </w:r>
      <w:r w:rsidRPr="00B02247">
        <w:t>European</w:t>
      </w:r>
      <w:r w:rsidR="005B2A41">
        <w:t xml:space="preserve"> </w:t>
      </w:r>
      <w:r w:rsidRPr="00B02247">
        <w:t>Development</w:t>
      </w:r>
      <w:r w:rsidR="005B2A41">
        <w:t xml:space="preserve"> </w:t>
      </w:r>
      <w:r w:rsidRPr="00B02247">
        <w:t>Fund</w:t>
      </w:r>
      <w:r w:rsidR="005B2A41">
        <w:t xml:space="preserve"> </w:t>
      </w:r>
      <w:r w:rsidRPr="00B02247">
        <w:t>(EDF).</w:t>
      </w:r>
    </w:p>
    <w:p w:rsidR="00F233AB" w:rsidRPr="00B02247" w:rsidRDefault="00F233AB" w:rsidP="00E1307D">
      <w:pPr>
        <w:pStyle w:val="SingleTxtG"/>
      </w:pPr>
      <w:r w:rsidRPr="00B02247">
        <w:t>139.</w:t>
      </w:r>
      <w:r w:rsidRPr="00B02247">
        <w:tab/>
        <w:t>ODA</w:t>
      </w:r>
      <w:r w:rsidR="005B2A41">
        <w:t xml:space="preserve"> </w:t>
      </w:r>
      <w:r w:rsidRPr="00B02247">
        <w:t>amounting</w:t>
      </w:r>
      <w:r w:rsidR="005B2A41">
        <w:t xml:space="preserve"> </w:t>
      </w:r>
      <w:r w:rsidRPr="00B02247">
        <w:t>to</w:t>
      </w:r>
      <w:r w:rsidR="005B2A41">
        <w:t xml:space="preserve"> </w:t>
      </w:r>
      <w:r w:rsidRPr="00B02247">
        <w:t>7.64</w:t>
      </w:r>
      <w:r w:rsidR="005B2A41">
        <w:t xml:space="preserve"> </w:t>
      </w:r>
      <w:r w:rsidRPr="00B02247">
        <w:t>m.</w:t>
      </w:r>
      <w:r w:rsidR="005B2A41">
        <w:t xml:space="preserve"> </w:t>
      </w:r>
      <w:r w:rsidRPr="00B02247">
        <w:t>USD</w:t>
      </w:r>
      <w:r w:rsidR="005B2A41">
        <w:t xml:space="preserve"> </w:t>
      </w:r>
      <w:r w:rsidRPr="00B02247">
        <w:t>was</w:t>
      </w:r>
      <w:r w:rsidR="005B2A41">
        <w:t xml:space="preserve"> </w:t>
      </w:r>
      <w:r w:rsidRPr="00B02247">
        <w:t>also</w:t>
      </w:r>
      <w:r w:rsidR="005B2A41">
        <w:t xml:space="preserve"> </w:t>
      </w:r>
      <w:r w:rsidRPr="00B02247">
        <w:t>granted</w:t>
      </w:r>
      <w:r w:rsidR="005B2A41">
        <w:t xml:space="preserve"> </w:t>
      </w:r>
      <w:r w:rsidRPr="00B02247">
        <w:t>through</w:t>
      </w:r>
      <w:r w:rsidR="005B2A41">
        <w:t xml:space="preserve"> </w:t>
      </w:r>
      <w:r w:rsidRPr="00B02247">
        <w:t>the</w:t>
      </w:r>
      <w:r w:rsidR="005B2A41">
        <w:t xml:space="preserve"> </w:t>
      </w:r>
      <w:r w:rsidRPr="00B02247">
        <w:t>United</w:t>
      </w:r>
      <w:r w:rsidR="005B2A41">
        <w:t xml:space="preserve"> </w:t>
      </w:r>
      <w:r w:rsidRPr="00B02247">
        <w:t>Nations</w:t>
      </w:r>
      <w:r w:rsidR="005B2A41">
        <w:t xml:space="preserve"> </w:t>
      </w:r>
      <w:r w:rsidRPr="00B02247">
        <w:t>system</w:t>
      </w:r>
      <w:r w:rsidR="005B2A41">
        <w:t xml:space="preserve"> </w:t>
      </w:r>
      <w:r w:rsidRPr="00B02247">
        <w:t>mainly</w:t>
      </w:r>
      <w:r w:rsidR="005B2A41">
        <w:t xml:space="preserve"> </w:t>
      </w:r>
      <w:r w:rsidRPr="00B02247">
        <w:t>to</w:t>
      </w:r>
      <w:r w:rsidR="005B2A41">
        <w:t xml:space="preserve"> </w:t>
      </w:r>
      <w:r w:rsidRPr="00B02247">
        <w:t>UNESCO,</w:t>
      </w:r>
      <w:r w:rsidR="005B2A41">
        <w:t xml:space="preserve"> </w:t>
      </w:r>
      <w:r w:rsidRPr="00B02247">
        <w:t>UNIDO,</w:t>
      </w:r>
      <w:r w:rsidR="005B2A41">
        <w:t xml:space="preserve"> </w:t>
      </w:r>
      <w:r w:rsidRPr="00B02247">
        <w:t>UNEP,</w:t>
      </w:r>
      <w:r w:rsidR="005B2A41">
        <w:t xml:space="preserve"> </w:t>
      </w:r>
      <w:r w:rsidRPr="00B02247">
        <w:t>UNDPKO,</w:t>
      </w:r>
      <w:r w:rsidR="005B2A41">
        <w:t xml:space="preserve"> </w:t>
      </w:r>
      <w:r w:rsidRPr="00B02247">
        <w:t>UNFCCC,</w:t>
      </w:r>
      <w:r w:rsidR="005B2A41">
        <w:t xml:space="preserve"> </w:t>
      </w:r>
      <w:r w:rsidRPr="00B02247">
        <w:t>FAO,</w:t>
      </w:r>
      <w:r w:rsidR="005B2A41">
        <w:t xml:space="preserve"> </w:t>
      </w:r>
      <w:r w:rsidRPr="00B02247">
        <w:t>WHO,</w:t>
      </w:r>
      <w:r w:rsidR="005B2A41">
        <w:t xml:space="preserve"> </w:t>
      </w:r>
      <w:r w:rsidRPr="00B02247">
        <w:t>WMO,</w:t>
      </w:r>
      <w:r w:rsidR="005B2A41">
        <w:t xml:space="preserve"> </w:t>
      </w:r>
      <w:r w:rsidRPr="00B02247">
        <w:t>while</w:t>
      </w:r>
      <w:r w:rsidR="005B2A41">
        <w:t xml:space="preserve"> </w:t>
      </w:r>
      <w:r w:rsidRPr="00B02247">
        <w:t>the</w:t>
      </w:r>
      <w:r w:rsidR="005B2A41">
        <w:t xml:space="preserve"> </w:t>
      </w:r>
      <w:r w:rsidRPr="00B02247">
        <w:t>amount</w:t>
      </w:r>
      <w:r w:rsidR="005B2A41">
        <w:t xml:space="preserve"> </w:t>
      </w:r>
      <w:r w:rsidRPr="00B02247">
        <w:t>of</w:t>
      </w:r>
      <w:r w:rsidR="005B2A41">
        <w:t xml:space="preserve"> </w:t>
      </w:r>
      <w:r w:rsidRPr="00B02247">
        <w:t>1.27</w:t>
      </w:r>
      <w:r w:rsidR="005B2A41">
        <w:t xml:space="preserve"> </w:t>
      </w:r>
      <w:r w:rsidRPr="00B02247">
        <w:t>m.</w:t>
      </w:r>
      <w:r w:rsidR="005B2A41">
        <w:t xml:space="preserve"> </w:t>
      </w:r>
      <w:r w:rsidRPr="00B02247">
        <w:t>USD</w:t>
      </w:r>
      <w:r w:rsidR="005B2A41">
        <w:t xml:space="preserve"> </w:t>
      </w:r>
      <w:r w:rsidRPr="00B02247">
        <w:t>was</w:t>
      </w:r>
      <w:r w:rsidR="005B2A41">
        <w:t xml:space="preserve"> </w:t>
      </w:r>
      <w:r w:rsidRPr="00B02247">
        <w:t>granted</w:t>
      </w:r>
      <w:r w:rsidR="005B2A41">
        <w:t xml:space="preserve"> </w:t>
      </w:r>
      <w:r w:rsidRPr="00B02247">
        <w:t>to</w:t>
      </w:r>
      <w:r w:rsidR="005B2A41">
        <w:t xml:space="preserve"> </w:t>
      </w:r>
      <w:r w:rsidRPr="00B02247">
        <w:t>other</w:t>
      </w:r>
      <w:r w:rsidR="005B2A41">
        <w:t xml:space="preserve"> </w:t>
      </w:r>
      <w:r w:rsidRPr="00B02247">
        <w:t>International</w:t>
      </w:r>
      <w:r w:rsidR="005B2A41">
        <w:t xml:space="preserve"> </w:t>
      </w:r>
      <w:r w:rsidRPr="00B02247">
        <w:t>Organizations</w:t>
      </w:r>
      <w:r w:rsidR="005B2A41">
        <w:t xml:space="preserve"> </w:t>
      </w:r>
      <w:r w:rsidRPr="00B02247">
        <w:t>to</w:t>
      </w:r>
      <w:r w:rsidR="005B2A41">
        <w:t xml:space="preserve"> </w:t>
      </w:r>
      <w:r w:rsidRPr="00B02247">
        <w:t>implement</w:t>
      </w:r>
      <w:r w:rsidR="005B2A41">
        <w:t xml:space="preserve"> </w:t>
      </w:r>
      <w:r w:rsidRPr="00B02247">
        <w:t>development</w:t>
      </w:r>
      <w:r w:rsidR="005B2A41">
        <w:t xml:space="preserve"> </w:t>
      </w:r>
      <w:r w:rsidRPr="00B02247">
        <w:t>projects,</w:t>
      </w:r>
      <w:r w:rsidR="005B2A41">
        <w:t xml:space="preserve"> </w:t>
      </w:r>
      <w:r w:rsidRPr="00B02247">
        <w:t>mainly</w:t>
      </w:r>
      <w:r w:rsidR="005B2A41">
        <w:t xml:space="preserve"> </w:t>
      </w:r>
      <w:r w:rsidRPr="00B02247">
        <w:t>to</w:t>
      </w:r>
      <w:r w:rsidR="005B2A41">
        <w:t xml:space="preserve"> </w:t>
      </w:r>
      <w:r w:rsidRPr="00B02247">
        <w:t>CIHEAM</w:t>
      </w:r>
      <w:r w:rsidR="005B2A41">
        <w:t xml:space="preserve"> </w:t>
      </w:r>
      <w:r w:rsidRPr="00B02247">
        <w:t>and</w:t>
      </w:r>
      <w:r w:rsidR="005B2A41">
        <w:t xml:space="preserve"> </w:t>
      </w:r>
      <w:r w:rsidRPr="00B02247">
        <w:t>ISTA.</w:t>
      </w:r>
    </w:p>
    <w:p w:rsidR="00F233AB" w:rsidRPr="00B02247" w:rsidRDefault="00F233AB" w:rsidP="00E1307D">
      <w:pPr>
        <w:pStyle w:val="SingleTxtG"/>
      </w:pPr>
      <w:r w:rsidRPr="00B02247">
        <w:t>140.</w:t>
      </w:r>
      <w:r w:rsidRPr="00B02247">
        <w:tab/>
        <w:t>It</w:t>
      </w:r>
      <w:r w:rsidR="005B2A41">
        <w:t xml:space="preserve"> </w:t>
      </w:r>
      <w:r w:rsidRPr="00B02247">
        <w:t>is</w:t>
      </w:r>
      <w:r w:rsidR="005B2A41">
        <w:t xml:space="preserve"> </w:t>
      </w:r>
      <w:r w:rsidRPr="00B02247">
        <w:t>to</w:t>
      </w:r>
      <w:r w:rsidR="005B2A41">
        <w:t xml:space="preserve"> </w:t>
      </w:r>
      <w:r w:rsidRPr="00B02247">
        <w:t>be</w:t>
      </w:r>
      <w:r w:rsidR="005B2A41">
        <w:t xml:space="preserve"> </w:t>
      </w:r>
      <w:r w:rsidRPr="00B02247">
        <w:t>noted</w:t>
      </w:r>
      <w:r w:rsidR="005B2A41">
        <w:t xml:space="preserve"> </w:t>
      </w:r>
      <w:r w:rsidRPr="00B02247">
        <w:t>that</w:t>
      </w:r>
      <w:r w:rsidR="005B2A41">
        <w:t xml:space="preserve"> </w:t>
      </w:r>
      <w:r w:rsidRPr="00B02247">
        <w:t>the</w:t>
      </w:r>
      <w:r w:rsidR="005B2A41">
        <w:t xml:space="preserve"> </w:t>
      </w:r>
      <w:r w:rsidRPr="00B02247">
        <w:t>human</w:t>
      </w:r>
      <w:r w:rsidR="005B2A41">
        <w:t xml:space="preserve"> </w:t>
      </w:r>
      <w:r w:rsidRPr="00B02247">
        <w:t>rights</w:t>
      </w:r>
      <w:r w:rsidR="005B2A41">
        <w:t xml:space="preserve"> </w:t>
      </w:r>
      <w:r w:rsidRPr="00B02247">
        <w:t>dimension</w:t>
      </w:r>
      <w:r w:rsidR="005B2A41">
        <w:t xml:space="preserve"> </w:t>
      </w:r>
      <w:r w:rsidRPr="00B02247">
        <w:t>runs</w:t>
      </w:r>
      <w:r w:rsidR="005B2A41">
        <w:t xml:space="preserve"> </w:t>
      </w:r>
      <w:r w:rsidRPr="00B02247">
        <w:t>through</w:t>
      </w:r>
      <w:r w:rsidR="005B2A41">
        <w:t xml:space="preserve"> </w:t>
      </w:r>
      <w:r w:rsidRPr="00B02247">
        <w:t>the</w:t>
      </w:r>
      <w:r w:rsidR="005B2A41">
        <w:t xml:space="preserve"> </w:t>
      </w:r>
      <w:r w:rsidRPr="00B02247">
        <w:t>total</w:t>
      </w:r>
      <w:r w:rsidR="005B2A41">
        <w:t xml:space="preserve"> </w:t>
      </w:r>
      <w:r w:rsidRPr="00B02247">
        <w:t>development/humanitarian</w:t>
      </w:r>
      <w:r w:rsidR="005B2A41">
        <w:t xml:space="preserve"> </w:t>
      </w:r>
      <w:r w:rsidRPr="00B02247">
        <w:t>aid</w:t>
      </w:r>
      <w:r w:rsidR="005B2A41">
        <w:t xml:space="preserve"> </w:t>
      </w:r>
      <w:r w:rsidRPr="00B02247">
        <w:t>that</w:t>
      </w:r>
      <w:r w:rsidR="005B2A41">
        <w:t xml:space="preserve"> </w:t>
      </w:r>
      <w:r w:rsidRPr="00B02247">
        <w:t>is</w:t>
      </w:r>
      <w:r w:rsidR="005B2A41">
        <w:t xml:space="preserve"> </w:t>
      </w:r>
      <w:r w:rsidRPr="00B02247">
        <w:t>provided</w:t>
      </w:r>
      <w:r w:rsidR="005B2A41">
        <w:t xml:space="preserve"> </w:t>
      </w:r>
      <w:r w:rsidRPr="00B02247">
        <w:t>by</w:t>
      </w:r>
      <w:r w:rsidR="005B2A41">
        <w:t xml:space="preserve"> </w:t>
      </w:r>
      <w:r w:rsidRPr="00B02247">
        <w:t>Greece.</w:t>
      </w:r>
    </w:p>
    <w:p w:rsidR="00F233AB" w:rsidRPr="00B02247" w:rsidRDefault="00F233AB" w:rsidP="00E1307D">
      <w:pPr>
        <w:pStyle w:val="SingleTxtG"/>
      </w:pPr>
      <w:r w:rsidRPr="00B02247">
        <w:t>141.</w:t>
      </w:r>
      <w:r w:rsidRPr="00B02247">
        <w:tab/>
        <w:t>There</w:t>
      </w:r>
      <w:r w:rsidR="005B2A41">
        <w:t xml:space="preserve"> </w:t>
      </w:r>
      <w:r w:rsidRPr="00B02247">
        <w:t>is</w:t>
      </w:r>
      <w:r w:rsidR="005B2A41">
        <w:t xml:space="preserve"> </w:t>
      </w:r>
      <w:r w:rsidRPr="00B02247">
        <w:t>a</w:t>
      </w:r>
      <w:r w:rsidR="005B2A41">
        <w:t xml:space="preserve"> </w:t>
      </w:r>
      <w:r w:rsidRPr="00B02247">
        <w:t>large</w:t>
      </w:r>
      <w:r w:rsidR="005B2A41">
        <w:t xml:space="preserve"> </w:t>
      </w:r>
      <w:r w:rsidRPr="00B02247">
        <w:t>number</w:t>
      </w:r>
      <w:r w:rsidR="005B2A41">
        <w:t xml:space="preserve"> </w:t>
      </w:r>
      <w:r w:rsidRPr="00B02247">
        <w:t>of</w:t>
      </w:r>
      <w:r w:rsidR="005B2A41">
        <w:t xml:space="preserve"> </w:t>
      </w:r>
      <w:r w:rsidRPr="00B02247">
        <w:t>NGOs</w:t>
      </w:r>
      <w:r w:rsidR="005B2A41">
        <w:t xml:space="preserve"> </w:t>
      </w:r>
      <w:r w:rsidRPr="00B02247">
        <w:t>in</w:t>
      </w:r>
      <w:r w:rsidR="005B2A41">
        <w:t xml:space="preserve"> </w:t>
      </w:r>
      <w:r w:rsidRPr="00B02247">
        <w:t>Greece</w:t>
      </w:r>
      <w:r w:rsidR="005B2A41">
        <w:t xml:space="preserve"> </w:t>
      </w:r>
      <w:r w:rsidRPr="00B02247">
        <w:t>active</w:t>
      </w:r>
      <w:r w:rsidR="005B2A41">
        <w:t xml:space="preserve"> </w:t>
      </w:r>
      <w:r w:rsidRPr="00B02247">
        <w:t>in</w:t>
      </w:r>
      <w:r w:rsidR="005B2A41">
        <w:t xml:space="preserve"> </w:t>
      </w:r>
      <w:r w:rsidRPr="00B02247">
        <w:t>the</w:t>
      </w:r>
      <w:r w:rsidR="005B2A41">
        <w:t xml:space="preserve"> </w:t>
      </w:r>
      <w:r w:rsidRPr="00B02247">
        <w:t>field</w:t>
      </w:r>
      <w:r w:rsidR="005B2A41">
        <w:t xml:space="preserve"> </w:t>
      </w:r>
      <w:r w:rsidRPr="00B02247">
        <w:t>of</w:t>
      </w:r>
      <w:r w:rsidR="005B2A41">
        <w:t xml:space="preserve"> </w:t>
      </w:r>
      <w:r w:rsidRPr="00B02247">
        <w:t>human</w:t>
      </w:r>
      <w:r w:rsidR="005B2A41">
        <w:t xml:space="preserve"> </w:t>
      </w:r>
      <w:r w:rsidRPr="00B02247">
        <w:t>Rights.</w:t>
      </w:r>
      <w:r w:rsidR="005B2A41">
        <w:t xml:space="preserve"> </w:t>
      </w:r>
      <w:r w:rsidRPr="00B02247">
        <w:t>NGOs</w:t>
      </w:r>
      <w:r w:rsidR="005B2A41">
        <w:t xml:space="preserve"> </w:t>
      </w:r>
      <w:r w:rsidRPr="00B02247">
        <w:t>are</w:t>
      </w:r>
      <w:r w:rsidR="005B2A41">
        <w:t xml:space="preserve"> </w:t>
      </w:r>
      <w:r w:rsidRPr="00B02247">
        <w:t>systematically</w:t>
      </w:r>
      <w:r w:rsidR="005B2A41">
        <w:t xml:space="preserve"> </w:t>
      </w:r>
      <w:r w:rsidRPr="00B02247">
        <w:t>involved</w:t>
      </w:r>
      <w:r w:rsidR="005B2A41">
        <w:t xml:space="preserve"> </w:t>
      </w:r>
      <w:r w:rsidRPr="00B02247">
        <w:t>in</w:t>
      </w:r>
      <w:r w:rsidR="005B2A41">
        <w:t xml:space="preserve"> </w:t>
      </w:r>
      <w:r w:rsidRPr="00B02247">
        <w:t>the</w:t>
      </w:r>
      <w:r w:rsidR="005B2A41">
        <w:t xml:space="preserve"> </w:t>
      </w:r>
      <w:r w:rsidRPr="00B02247">
        <w:t>designing</w:t>
      </w:r>
      <w:r w:rsidR="005B2A41">
        <w:t xml:space="preserve"> </w:t>
      </w:r>
      <w:r w:rsidRPr="00B02247">
        <w:t>and</w:t>
      </w:r>
      <w:r w:rsidR="005B2A41">
        <w:t xml:space="preserve"> </w:t>
      </w:r>
      <w:r w:rsidRPr="00B02247">
        <w:t>implementation</w:t>
      </w:r>
      <w:r w:rsidR="005B2A41">
        <w:t xml:space="preserve"> </w:t>
      </w:r>
      <w:r w:rsidRPr="00B02247">
        <w:t>of</w:t>
      </w:r>
      <w:r w:rsidR="005B2A41">
        <w:t xml:space="preserve"> </w:t>
      </w:r>
      <w:r w:rsidRPr="00B02247">
        <w:t>policies</w:t>
      </w:r>
      <w:r w:rsidR="005B2A41">
        <w:t xml:space="preserve"> </w:t>
      </w:r>
      <w:r w:rsidRPr="00B02247">
        <w:t>in</w:t>
      </w:r>
      <w:r w:rsidR="005B2A41">
        <w:t xml:space="preserve"> </w:t>
      </w:r>
      <w:r w:rsidRPr="00B02247">
        <w:t>a</w:t>
      </w:r>
      <w:r w:rsidR="005B2A41">
        <w:t xml:space="preserve"> </w:t>
      </w:r>
      <w:r w:rsidRPr="00B02247">
        <w:t>variety</w:t>
      </w:r>
      <w:r w:rsidR="005B2A41">
        <w:t xml:space="preserve"> </w:t>
      </w:r>
      <w:r w:rsidRPr="00B02247">
        <w:t>of</w:t>
      </w:r>
      <w:r w:rsidR="005B2A41">
        <w:t xml:space="preserve"> </w:t>
      </w:r>
      <w:r w:rsidRPr="00B02247">
        <w:t>fields,</w:t>
      </w:r>
      <w:r w:rsidR="005B2A41">
        <w:t xml:space="preserve"> </w:t>
      </w:r>
      <w:r w:rsidRPr="00B02247">
        <w:t>such</w:t>
      </w:r>
      <w:r w:rsidR="005B2A41">
        <w:t xml:space="preserve"> </w:t>
      </w:r>
      <w:r w:rsidRPr="00B02247">
        <w:t>as</w:t>
      </w:r>
      <w:r w:rsidR="005B2A41">
        <w:t xml:space="preserve"> </w:t>
      </w:r>
      <w:r w:rsidRPr="00B02247">
        <w:t>gender</w:t>
      </w:r>
      <w:r w:rsidR="005B2A41">
        <w:t xml:space="preserve"> </w:t>
      </w:r>
      <w:r w:rsidRPr="00B02247">
        <w:t>equality,</w:t>
      </w:r>
      <w:r w:rsidR="005B2A41">
        <w:t xml:space="preserve"> </w:t>
      </w:r>
      <w:r w:rsidRPr="00B02247">
        <w:t>the</w:t>
      </w:r>
      <w:r w:rsidR="005B2A41">
        <w:t xml:space="preserve"> </w:t>
      </w:r>
      <w:r w:rsidRPr="00B02247">
        <w:t>fight</w:t>
      </w:r>
      <w:r w:rsidR="005B2A41">
        <w:t xml:space="preserve"> </w:t>
      </w:r>
      <w:r w:rsidRPr="00B02247">
        <w:t>against</w:t>
      </w:r>
      <w:r w:rsidR="005B2A41">
        <w:t xml:space="preserve"> </w:t>
      </w:r>
      <w:r w:rsidRPr="00B02247">
        <w:t>trafficking</w:t>
      </w:r>
      <w:r w:rsidR="005B2A41">
        <w:t xml:space="preserve"> </w:t>
      </w:r>
      <w:r w:rsidRPr="00B02247">
        <w:t>in</w:t>
      </w:r>
      <w:r w:rsidR="005B2A41">
        <w:t xml:space="preserve"> </w:t>
      </w:r>
      <w:r w:rsidRPr="00B02247">
        <w:t>human</w:t>
      </w:r>
      <w:r w:rsidR="005B2A41">
        <w:t xml:space="preserve"> </w:t>
      </w:r>
      <w:r w:rsidRPr="00B02247">
        <w:t>beings,</w:t>
      </w:r>
      <w:r w:rsidR="005B2A41">
        <w:t xml:space="preserve"> </w:t>
      </w:r>
      <w:r w:rsidRPr="00B02247">
        <w:t>etc.</w:t>
      </w:r>
      <w:r w:rsidR="005B2A41">
        <w:t xml:space="preserve"> </w:t>
      </w:r>
      <w:r w:rsidRPr="00B02247">
        <w:t>They</w:t>
      </w:r>
      <w:r w:rsidR="005B2A41">
        <w:t xml:space="preserve"> </w:t>
      </w:r>
      <w:r w:rsidRPr="00B02247">
        <w:t>are</w:t>
      </w:r>
      <w:r w:rsidR="005B2A41">
        <w:t xml:space="preserve"> </w:t>
      </w:r>
      <w:r w:rsidRPr="00B02247">
        <w:t>also</w:t>
      </w:r>
      <w:r w:rsidR="005B2A41">
        <w:t xml:space="preserve"> </w:t>
      </w:r>
      <w:r w:rsidRPr="00B02247">
        <w:t>consulted</w:t>
      </w:r>
      <w:r w:rsidR="005B2A41">
        <w:t xml:space="preserve"> </w:t>
      </w:r>
      <w:r w:rsidRPr="00B02247">
        <w:t>in</w:t>
      </w:r>
      <w:r w:rsidR="005B2A41">
        <w:t xml:space="preserve"> </w:t>
      </w:r>
      <w:r w:rsidRPr="00B02247">
        <w:t>the</w:t>
      </w:r>
      <w:r w:rsidR="005B2A41">
        <w:t xml:space="preserve"> </w:t>
      </w:r>
      <w:r w:rsidRPr="00B02247">
        <w:t>context</w:t>
      </w:r>
      <w:r w:rsidR="005B2A41">
        <w:t xml:space="preserve"> </w:t>
      </w:r>
      <w:r w:rsidRPr="00B02247">
        <w:t>of</w:t>
      </w:r>
      <w:r w:rsidR="005B2A41">
        <w:t xml:space="preserve"> </w:t>
      </w:r>
      <w:r w:rsidRPr="00B02247">
        <w:t>the</w:t>
      </w:r>
      <w:r w:rsidR="005B2A41">
        <w:t xml:space="preserve"> </w:t>
      </w:r>
      <w:r w:rsidRPr="00B02247">
        <w:t>elaboration</w:t>
      </w:r>
      <w:r w:rsidR="005B2A41">
        <w:t xml:space="preserve"> </w:t>
      </w:r>
      <w:r w:rsidRPr="00B02247">
        <w:t>of</w:t>
      </w:r>
      <w:r w:rsidR="005B2A41">
        <w:t xml:space="preserve"> </w:t>
      </w:r>
      <w:r w:rsidRPr="00B02247">
        <w:t>national</w:t>
      </w:r>
      <w:r w:rsidR="005B2A41">
        <w:t xml:space="preserve"> </w:t>
      </w:r>
      <w:r w:rsidRPr="00B02247">
        <w:t>action</w:t>
      </w:r>
      <w:r w:rsidR="005B2A41">
        <w:t xml:space="preserve"> </w:t>
      </w:r>
      <w:r w:rsidRPr="00B02247">
        <w:t>plans</w:t>
      </w:r>
      <w:r w:rsidR="005B2A41">
        <w:t xml:space="preserve"> </w:t>
      </w:r>
      <w:r w:rsidRPr="00B02247">
        <w:t>in</w:t>
      </w:r>
      <w:r w:rsidR="005B2A41">
        <w:t xml:space="preserve"> </w:t>
      </w:r>
      <w:r w:rsidRPr="00B02247">
        <w:t>the</w:t>
      </w:r>
      <w:r w:rsidR="005B2A41">
        <w:t xml:space="preserve"> </w:t>
      </w:r>
      <w:r w:rsidRPr="00B02247">
        <w:t>field</w:t>
      </w:r>
      <w:r w:rsidR="005B2A41">
        <w:t xml:space="preserve"> </w:t>
      </w:r>
      <w:r w:rsidRPr="00B02247">
        <w:lastRenderedPageBreak/>
        <w:t>of</w:t>
      </w:r>
      <w:r w:rsidR="005B2A41">
        <w:t xml:space="preserve"> </w:t>
      </w:r>
      <w:r w:rsidRPr="00B02247">
        <w:t>human</w:t>
      </w:r>
      <w:r w:rsidR="005B2A41">
        <w:t xml:space="preserve"> </w:t>
      </w:r>
      <w:r w:rsidRPr="00B02247">
        <w:t>rights.</w:t>
      </w:r>
      <w:r w:rsidR="005B2A41">
        <w:t xml:space="preserve"> </w:t>
      </w:r>
      <w:r w:rsidRPr="00B02247">
        <w:t>Six</w:t>
      </w:r>
      <w:r w:rsidR="005B2A41">
        <w:t xml:space="preserve"> </w:t>
      </w:r>
      <w:r w:rsidRPr="00B02247">
        <w:t>major</w:t>
      </w:r>
      <w:r w:rsidR="005B2A41">
        <w:t xml:space="preserve"> </w:t>
      </w:r>
      <w:r w:rsidRPr="00B02247">
        <w:t>NGOs</w:t>
      </w:r>
      <w:r w:rsidR="005B2A41">
        <w:t xml:space="preserve"> </w:t>
      </w:r>
      <w:r w:rsidRPr="00B02247">
        <w:t>are</w:t>
      </w:r>
      <w:r w:rsidR="005B2A41">
        <w:t xml:space="preserve"> </w:t>
      </w:r>
      <w:r w:rsidRPr="00B02247">
        <w:t>members</w:t>
      </w:r>
      <w:r w:rsidR="005B2A41">
        <w:t xml:space="preserve"> </w:t>
      </w:r>
      <w:r w:rsidRPr="00B02247">
        <w:t>of</w:t>
      </w:r>
      <w:r w:rsidR="005B2A41">
        <w:t xml:space="preserve"> </w:t>
      </w:r>
      <w:r w:rsidRPr="00B02247">
        <w:t>the</w:t>
      </w:r>
      <w:r w:rsidR="005B2A41">
        <w:t xml:space="preserve"> </w:t>
      </w:r>
      <w:r w:rsidRPr="00B02247">
        <w:t>National</w:t>
      </w:r>
      <w:r w:rsidR="005B2A41">
        <w:t xml:space="preserve"> </w:t>
      </w:r>
      <w:r w:rsidRPr="00B02247">
        <w:t>Commission</w:t>
      </w:r>
      <w:r w:rsidR="005B2A41">
        <w:t xml:space="preserve"> </w:t>
      </w:r>
      <w:r w:rsidRPr="00B02247">
        <w:t>for</w:t>
      </w:r>
      <w:r w:rsidR="005B2A41">
        <w:t xml:space="preserve"> </w:t>
      </w:r>
      <w:r w:rsidRPr="00B02247">
        <w:t>Human</w:t>
      </w:r>
      <w:r w:rsidR="005B2A41">
        <w:t xml:space="preserve"> </w:t>
      </w:r>
      <w:r w:rsidRPr="00B02247">
        <w:t>Rights.</w:t>
      </w:r>
    </w:p>
    <w:p w:rsidR="00F233AB" w:rsidRPr="00B02247" w:rsidRDefault="00F233AB" w:rsidP="00E1307D">
      <w:pPr>
        <w:pStyle w:val="SingleTxtG"/>
      </w:pPr>
      <w:r w:rsidRPr="00B02247">
        <w:t>142.</w:t>
      </w:r>
      <w:r w:rsidRPr="00B02247">
        <w:tab/>
        <w:t>The</w:t>
      </w:r>
      <w:r w:rsidR="005B2A41">
        <w:t xml:space="preserve"> </w:t>
      </w:r>
      <w:r w:rsidRPr="00B02247">
        <w:t>Institute</w:t>
      </w:r>
      <w:r w:rsidR="005B2A41">
        <w:t xml:space="preserve"> </w:t>
      </w:r>
      <w:r w:rsidRPr="00B02247">
        <w:t>of</w:t>
      </w:r>
      <w:r w:rsidR="005B2A41">
        <w:t xml:space="preserve"> </w:t>
      </w:r>
      <w:r w:rsidRPr="00B02247">
        <w:t>Educational</w:t>
      </w:r>
      <w:r w:rsidR="005B2A41">
        <w:t xml:space="preserve"> </w:t>
      </w:r>
      <w:r w:rsidRPr="00B02247">
        <w:t>Policy</w:t>
      </w:r>
      <w:r w:rsidR="005B2A41">
        <w:t xml:space="preserve"> </w:t>
      </w:r>
      <w:r w:rsidRPr="00B02247">
        <w:t>(IEP),</w:t>
      </w:r>
      <w:r w:rsidR="005B2A41">
        <w:t xml:space="preserve"> </w:t>
      </w:r>
      <w:r w:rsidRPr="00B02247">
        <w:t>a</w:t>
      </w:r>
      <w:r w:rsidR="005B2A41">
        <w:t xml:space="preserve"> </w:t>
      </w:r>
      <w:r w:rsidRPr="00B02247">
        <w:t>body</w:t>
      </w:r>
      <w:r w:rsidR="005B2A41">
        <w:t xml:space="preserve"> </w:t>
      </w:r>
      <w:r w:rsidRPr="00B02247">
        <w:t>supervised</w:t>
      </w:r>
      <w:r w:rsidR="005B2A41">
        <w:t xml:space="preserve"> </w:t>
      </w:r>
      <w:r w:rsidRPr="00B02247">
        <w:t>by</w:t>
      </w:r>
      <w:r w:rsidR="005B2A41">
        <w:t xml:space="preserve"> </w:t>
      </w:r>
      <w:r w:rsidRPr="00B02247">
        <w:t>the</w:t>
      </w:r>
      <w:r w:rsidR="005B2A41">
        <w:t xml:space="preserve"> </w:t>
      </w:r>
      <w:r w:rsidRPr="00B02247">
        <w:t>Ministry</w:t>
      </w:r>
      <w:r w:rsidR="005B2A41">
        <w:t xml:space="preserve"> </w:t>
      </w:r>
      <w:r w:rsidRPr="00B02247">
        <w:t>of</w:t>
      </w:r>
      <w:r w:rsidR="005B2A41">
        <w:t xml:space="preserve"> </w:t>
      </w:r>
      <w:r w:rsidRPr="00B02247">
        <w:t>Education,</w:t>
      </w:r>
      <w:r w:rsidR="005B2A41">
        <w:t xml:space="preserve"> </w:t>
      </w:r>
      <w:r w:rsidRPr="00B02247">
        <w:t>through</w:t>
      </w:r>
      <w:r w:rsidR="005B2A41">
        <w:t xml:space="preserve"> </w:t>
      </w:r>
      <w:r w:rsidRPr="00B02247">
        <w:t>its</w:t>
      </w:r>
      <w:r w:rsidR="005B2A41">
        <w:t xml:space="preserve"> </w:t>
      </w:r>
      <w:r w:rsidRPr="00B02247">
        <w:t>Department</w:t>
      </w:r>
      <w:r w:rsidR="005B2A41">
        <w:t xml:space="preserve"> </w:t>
      </w:r>
      <w:r w:rsidRPr="00B02247">
        <w:t>of</w:t>
      </w:r>
      <w:r w:rsidR="005B2A41">
        <w:t xml:space="preserve"> </w:t>
      </w:r>
      <w:r w:rsidRPr="00B02247">
        <w:t>Intercultural</w:t>
      </w:r>
      <w:r w:rsidR="005B2A41">
        <w:t xml:space="preserve"> </w:t>
      </w:r>
      <w:r w:rsidRPr="00B02247">
        <w:t>Education,</w:t>
      </w:r>
      <w:r w:rsidR="005B2A41">
        <w:t xml:space="preserve"> </w:t>
      </w:r>
      <w:r w:rsidRPr="00B02247">
        <w:t>has</w:t>
      </w:r>
      <w:r w:rsidR="005B2A41">
        <w:t xml:space="preserve"> </w:t>
      </w:r>
      <w:r w:rsidRPr="00B02247">
        <w:t>developed</w:t>
      </w:r>
      <w:r w:rsidR="005B2A41">
        <w:t xml:space="preserve"> </w:t>
      </w:r>
      <w:r w:rsidRPr="00B02247">
        <w:t>an</w:t>
      </w:r>
      <w:r w:rsidR="005B2A41">
        <w:t xml:space="preserve"> </w:t>
      </w:r>
      <w:r w:rsidRPr="00B02247">
        <w:t>accreditation</w:t>
      </w:r>
      <w:r w:rsidR="005B2A41">
        <w:t xml:space="preserve"> </w:t>
      </w:r>
      <w:r w:rsidRPr="00B02247">
        <w:t>procedure</w:t>
      </w:r>
      <w:r w:rsidR="005B2A41">
        <w:t xml:space="preserve"> </w:t>
      </w:r>
      <w:r w:rsidRPr="00B02247">
        <w:t>for</w:t>
      </w:r>
      <w:r w:rsidR="005B2A41">
        <w:t xml:space="preserve"> </w:t>
      </w:r>
      <w:r w:rsidRPr="00B02247">
        <w:t>NGO</w:t>
      </w:r>
      <w:r w:rsidR="005B2A41">
        <w:t xml:space="preserve"> </w:t>
      </w:r>
      <w:r w:rsidRPr="00B02247">
        <w:t>activities</w:t>
      </w:r>
      <w:r w:rsidR="005B2A41">
        <w:t xml:space="preserve"> </w:t>
      </w:r>
      <w:r w:rsidRPr="00B02247">
        <w:t>in</w:t>
      </w:r>
      <w:r w:rsidR="005B2A41">
        <w:t xml:space="preserve"> </w:t>
      </w:r>
      <w:r w:rsidRPr="00B02247">
        <w:t>Greece</w:t>
      </w:r>
      <w:r w:rsidR="005B2A41">
        <w:t xml:space="preserve"> </w:t>
      </w:r>
      <w:r w:rsidRPr="00B02247">
        <w:t>that</w:t>
      </w:r>
      <w:r w:rsidR="005B2A41">
        <w:t xml:space="preserve"> </w:t>
      </w:r>
      <w:r w:rsidRPr="00B02247">
        <w:t>refers</w:t>
      </w:r>
      <w:r w:rsidR="005B2A41">
        <w:t xml:space="preserve"> </w:t>
      </w:r>
      <w:r w:rsidRPr="00B02247">
        <w:t>to</w:t>
      </w:r>
      <w:r w:rsidR="005B2A41">
        <w:t xml:space="preserve"> </w:t>
      </w:r>
      <w:r w:rsidRPr="00B02247">
        <w:t>refugee</w:t>
      </w:r>
      <w:r w:rsidR="005B2A41">
        <w:t xml:space="preserve"> </w:t>
      </w:r>
      <w:r w:rsidRPr="00B02247">
        <w:t>children</w:t>
      </w:r>
      <w:r w:rsidR="005B2A41">
        <w:t xml:space="preserve"> </w:t>
      </w:r>
      <w:r w:rsidRPr="00B02247">
        <w:t>(5</w:t>
      </w:r>
      <w:r w:rsidR="00915034">
        <w:t>–</w:t>
      </w:r>
      <w:r w:rsidRPr="00B02247">
        <w:t>18</w:t>
      </w:r>
      <w:r w:rsidR="005B2A41">
        <w:t xml:space="preserve"> </w:t>
      </w:r>
      <w:r w:rsidRPr="00B02247">
        <w:t>years</w:t>
      </w:r>
      <w:r w:rsidR="005B2A41">
        <w:t xml:space="preserve"> </w:t>
      </w:r>
      <w:r w:rsidRPr="00B02247">
        <w:t>old).</w:t>
      </w:r>
      <w:r w:rsidR="005B2A41">
        <w:t xml:space="preserve"> </w:t>
      </w:r>
      <w:r w:rsidRPr="00B02247">
        <w:t>NGOs</w:t>
      </w:r>
      <w:r w:rsidR="005B2A41">
        <w:t xml:space="preserve"> </w:t>
      </w:r>
      <w:r w:rsidRPr="00B02247">
        <w:t>submit</w:t>
      </w:r>
      <w:r w:rsidR="005B2A41">
        <w:t xml:space="preserve"> </w:t>
      </w:r>
      <w:r w:rsidRPr="00B02247">
        <w:t>their</w:t>
      </w:r>
      <w:r w:rsidR="005B2A41">
        <w:t xml:space="preserve"> </w:t>
      </w:r>
      <w:r w:rsidRPr="00B02247">
        <w:t>educational</w:t>
      </w:r>
      <w:r w:rsidR="005B2A41">
        <w:t xml:space="preserve"> </w:t>
      </w:r>
      <w:r w:rsidRPr="00B02247">
        <w:t>programme</w:t>
      </w:r>
      <w:r w:rsidR="005B2A41">
        <w:t xml:space="preserve"> </w:t>
      </w:r>
      <w:r w:rsidRPr="00B02247">
        <w:t>via</w:t>
      </w:r>
      <w:r w:rsidR="005B2A41">
        <w:t xml:space="preserve"> </w:t>
      </w:r>
      <w:r w:rsidRPr="00B02247">
        <w:t>a</w:t>
      </w:r>
      <w:r w:rsidR="005B2A41">
        <w:t xml:space="preserve"> </w:t>
      </w:r>
      <w:r w:rsidRPr="00B02247">
        <w:t>specific</w:t>
      </w:r>
      <w:r w:rsidR="005B2A41">
        <w:t xml:space="preserve"> </w:t>
      </w:r>
      <w:r w:rsidRPr="00B02247">
        <w:t>platform</w:t>
      </w:r>
      <w:r w:rsidR="005B2A41">
        <w:t xml:space="preserve"> </w:t>
      </w:r>
      <w:r w:rsidRPr="00B02247">
        <w:t>(https://www.iep.edu.gr/services/mitroo/mko/)</w:t>
      </w:r>
      <w:r w:rsidR="005B2A41">
        <w:t xml:space="preserve"> </w:t>
      </w:r>
      <w:r w:rsidRPr="00B02247">
        <w:t>and</w:t>
      </w:r>
      <w:r w:rsidR="005B2A41">
        <w:t xml:space="preserve"> </w:t>
      </w:r>
      <w:r w:rsidRPr="00B02247">
        <w:t>receive</w:t>
      </w:r>
      <w:r w:rsidR="005B2A41">
        <w:t xml:space="preserve"> </w:t>
      </w:r>
      <w:r w:rsidRPr="00B02247">
        <w:t>approval</w:t>
      </w:r>
      <w:r w:rsidR="005B2A41">
        <w:t xml:space="preserve"> </w:t>
      </w:r>
      <w:r w:rsidRPr="00B02247">
        <w:t>for</w:t>
      </w:r>
      <w:r w:rsidR="005B2A41">
        <w:t xml:space="preserve"> </w:t>
      </w:r>
      <w:r w:rsidRPr="00B02247">
        <w:t>implementing</w:t>
      </w:r>
      <w:r w:rsidR="005B2A41">
        <w:t xml:space="preserve"> </w:t>
      </w:r>
      <w:r w:rsidRPr="00B02247">
        <w:t>educational</w:t>
      </w:r>
      <w:r w:rsidR="005B2A41">
        <w:t xml:space="preserve"> </w:t>
      </w:r>
      <w:r w:rsidRPr="00B02247">
        <w:t>activities.</w:t>
      </w:r>
      <w:r w:rsidR="005B2A41">
        <w:t xml:space="preserve"> </w:t>
      </w:r>
      <w:r w:rsidRPr="00B02247">
        <w:t>In</w:t>
      </w:r>
      <w:r w:rsidR="005B2A41">
        <w:t xml:space="preserve"> </w:t>
      </w:r>
      <w:r w:rsidRPr="00B02247">
        <w:t>this</w:t>
      </w:r>
      <w:r w:rsidR="005B2A41">
        <w:t xml:space="preserve"> </w:t>
      </w:r>
      <w:r w:rsidRPr="00B02247">
        <w:t>way,</w:t>
      </w:r>
      <w:r w:rsidR="005B2A41">
        <w:t xml:space="preserve"> </w:t>
      </w:r>
      <w:r w:rsidRPr="00B02247">
        <w:t>it</w:t>
      </w:r>
      <w:r w:rsidR="005B2A41">
        <w:t xml:space="preserve"> </w:t>
      </w:r>
      <w:r w:rsidRPr="00B02247">
        <w:t>is</w:t>
      </w:r>
      <w:r w:rsidR="005B2A41">
        <w:t xml:space="preserve"> </w:t>
      </w:r>
      <w:r w:rsidRPr="00B02247">
        <w:t>ensured</w:t>
      </w:r>
      <w:r w:rsidR="005B2A41">
        <w:t xml:space="preserve"> </w:t>
      </w:r>
      <w:r w:rsidRPr="00B02247">
        <w:t>that</w:t>
      </w:r>
      <w:r w:rsidR="005B2A41">
        <w:t xml:space="preserve"> </w:t>
      </w:r>
      <w:r w:rsidRPr="00B02247">
        <w:t>the</w:t>
      </w:r>
      <w:r w:rsidR="005B2A41">
        <w:t xml:space="preserve"> </w:t>
      </w:r>
      <w:r w:rsidRPr="00B02247">
        <w:t>programmes</w:t>
      </w:r>
      <w:r w:rsidR="005B2A41">
        <w:t xml:space="preserve"> </w:t>
      </w:r>
      <w:r w:rsidRPr="00B02247">
        <w:t>offered</w:t>
      </w:r>
      <w:r w:rsidR="005B2A41">
        <w:t xml:space="preserve"> </w:t>
      </w:r>
      <w:r w:rsidRPr="00B02247">
        <w:t>comply</w:t>
      </w:r>
      <w:r w:rsidR="005B2A41">
        <w:t xml:space="preserve"> </w:t>
      </w:r>
      <w:r w:rsidRPr="00B02247">
        <w:t>with</w:t>
      </w:r>
      <w:r w:rsidR="005B2A41">
        <w:t xml:space="preserve"> </w:t>
      </w:r>
      <w:r w:rsidRPr="00B02247">
        <w:t>the</w:t>
      </w:r>
      <w:r w:rsidR="005B2A41">
        <w:t xml:space="preserve"> </w:t>
      </w:r>
      <w:r w:rsidRPr="00B02247">
        <w:t>international</w:t>
      </w:r>
      <w:r w:rsidR="005B2A41">
        <w:t xml:space="preserve"> </w:t>
      </w:r>
      <w:r w:rsidRPr="00B02247">
        <w:t>educational</w:t>
      </w:r>
      <w:r w:rsidR="005B2A41">
        <w:t xml:space="preserve"> </w:t>
      </w:r>
      <w:r w:rsidRPr="00B02247">
        <w:t>standards</w:t>
      </w:r>
      <w:r w:rsidR="005B2A41">
        <w:t xml:space="preserve"> </w:t>
      </w:r>
      <w:r w:rsidRPr="00B02247">
        <w:t>and</w:t>
      </w:r>
      <w:r w:rsidR="005B2A41">
        <w:t xml:space="preserve"> </w:t>
      </w:r>
      <w:r w:rsidRPr="00B02247">
        <w:t>the</w:t>
      </w:r>
      <w:r w:rsidR="005B2A41">
        <w:t xml:space="preserve"> </w:t>
      </w:r>
      <w:r w:rsidRPr="00B02247">
        <w:t>acknowledged</w:t>
      </w:r>
      <w:r w:rsidR="005B2A41">
        <w:t xml:space="preserve"> </w:t>
      </w:r>
      <w:r w:rsidRPr="00B02247">
        <w:t>needs</w:t>
      </w:r>
      <w:r w:rsidR="005B2A41">
        <w:t xml:space="preserve"> </w:t>
      </w:r>
      <w:r w:rsidRPr="00B02247">
        <w:t>of</w:t>
      </w:r>
      <w:r w:rsidR="005B2A41">
        <w:t xml:space="preserve"> </w:t>
      </w:r>
      <w:r w:rsidRPr="00B02247">
        <w:t>the</w:t>
      </w:r>
      <w:r w:rsidR="005B2A41">
        <w:t xml:space="preserve"> </w:t>
      </w:r>
      <w:r w:rsidRPr="00B02247">
        <w:t>refugee</w:t>
      </w:r>
      <w:r w:rsidR="005B2A41">
        <w:t xml:space="preserve"> </w:t>
      </w:r>
      <w:r w:rsidRPr="00B02247">
        <w:t>target</w:t>
      </w:r>
      <w:r w:rsidR="005B2A41">
        <w:t xml:space="preserve"> </w:t>
      </w:r>
      <w:r w:rsidRPr="00B02247">
        <w:t>education</w:t>
      </w:r>
      <w:r w:rsidR="005B2A41">
        <w:t xml:space="preserve"> </w:t>
      </w:r>
      <w:r w:rsidRPr="00B02247">
        <w:t>group.</w:t>
      </w:r>
      <w:r w:rsidR="005B2A41">
        <w:t xml:space="preserve"> </w:t>
      </w:r>
    </w:p>
    <w:p w:rsidR="00F233AB" w:rsidRPr="00B02247" w:rsidRDefault="00F233AB" w:rsidP="00E1307D">
      <w:pPr>
        <w:pStyle w:val="SingleTxtG"/>
      </w:pPr>
      <w:r w:rsidRPr="00B02247">
        <w:t>143.</w:t>
      </w:r>
      <w:r w:rsidRPr="00B02247">
        <w:tab/>
        <w:t>Moreover,</w:t>
      </w:r>
      <w:r w:rsidR="005B2A41">
        <w:t xml:space="preserve"> </w:t>
      </w:r>
      <w:r w:rsidRPr="00B02247">
        <w:t>the</w:t>
      </w:r>
      <w:r w:rsidR="005B2A41">
        <w:t xml:space="preserve"> </w:t>
      </w:r>
      <w:r w:rsidRPr="00B02247">
        <w:t>Institute</w:t>
      </w:r>
      <w:r w:rsidR="005B2A41">
        <w:t xml:space="preserve"> </w:t>
      </w:r>
      <w:r w:rsidRPr="00B02247">
        <w:t>of</w:t>
      </w:r>
      <w:r w:rsidR="005B2A41">
        <w:t xml:space="preserve"> </w:t>
      </w:r>
      <w:r w:rsidRPr="00B02247">
        <w:t>Educational</w:t>
      </w:r>
      <w:r w:rsidR="005B2A41">
        <w:t xml:space="preserve"> </w:t>
      </w:r>
      <w:r w:rsidRPr="00B02247">
        <w:t>Policy</w:t>
      </w:r>
      <w:r w:rsidR="005B2A41">
        <w:t xml:space="preserve"> </w:t>
      </w:r>
      <w:r w:rsidRPr="00B02247">
        <w:t>has</w:t>
      </w:r>
      <w:r w:rsidR="005B2A41">
        <w:t xml:space="preserve"> </w:t>
      </w:r>
      <w:r w:rsidRPr="00B02247">
        <w:t>developed</w:t>
      </w:r>
      <w:r w:rsidR="005B2A41">
        <w:t xml:space="preserve"> </w:t>
      </w:r>
      <w:r w:rsidRPr="00B02247">
        <w:t>a</w:t>
      </w:r>
      <w:r w:rsidR="005B2A41">
        <w:t xml:space="preserve"> </w:t>
      </w:r>
      <w:r w:rsidRPr="00B02247">
        <w:t>platform</w:t>
      </w:r>
      <w:r w:rsidR="005B2A41">
        <w:t xml:space="preserve"> </w:t>
      </w:r>
      <w:r w:rsidRPr="00B02247">
        <w:t>(http://www.iep.edu.gr/diapolitismiki/)</w:t>
      </w:r>
      <w:r w:rsidR="005B2A41">
        <w:t xml:space="preserve"> </w:t>
      </w:r>
      <w:r w:rsidRPr="00B02247">
        <w:t>as</w:t>
      </w:r>
      <w:r w:rsidR="005B2A41">
        <w:t xml:space="preserve"> </w:t>
      </w:r>
      <w:r w:rsidRPr="00B02247">
        <w:t>an</w:t>
      </w:r>
      <w:r w:rsidR="005B2A41">
        <w:t xml:space="preserve"> </w:t>
      </w:r>
      <w:r w:rsidRPr="00B02247">
        <w:t>aggregator</w:t>
      </w:r>
      <w:r w:rsidR="005B2A41">
        <w:t xml:space="preserve"> </w:t>
      </w:r>
      <w:r w:rsidRPr="00B02247">
        <w:t>for</w:t>
      </w:r>
      <w:r w:rsidR="005B2A41">
        <w:t xml:space="preserve"> </w:t>
      </w:r>
      <w:r w:rsidRPr="00B02247">
        <w:t>the</w:t>
      </w:r>
      <w:r w:rsidR="005B2A41">
        <w:t xml:space="preserve"> </w:t>
      </w:r>
      <w:r w:rsidRPr="00B02247">
        <w:t>educational</w:t>
      </w:r>
      <w:r w:rsidR="005B2A41">
        <w:t xml:space="preserve"> </w:t>
      </w:r>
      <w:r w:rsidRPr="00B02247">
        <w:t>material</w:t>
      </w:r>
      <w:r w:rsidR="005B2A41">
        <w:t xml:space="preserve"> </w:t>
      </w:r>
      <w:r w:rsidRPr="00B02247">
        <w:t>that</w:t>
      </w:r>
      <w:r w:rsidR="005B2A41">
        <w:t xml:space="preserve"> </w:t>
      </w:r>
      <w:r w:rsidRPr="00B02247">
        <w:t>has</w:t>
      </w:r>
      <w:r w:rsidR="005B2A41">
        <w:t xml:space="preserve"> </w:t>
      </w:r>
      <w:r w:rsidRPr="00B02247">
        <w:t>been</w:t>
      </w:r>
      <w:r w:rsidR="005B2A41">
        <w:t xml:space="preserve"> </w:t>
      </w:r>
      <w:r w:rsidRPr="00B02247">
        <w:t>developed</w:t>
      </w:r>
      <w:r w:rsidR="005B2A41">
        <w:t xml:space="preserve"> </w:t>
      </w:r>
      <w:r w:rsidRPr="00B02247">
        <w:t>for</w:t>
      </w:r>
      <w:r w:rsidR="005B2A41">
        <w:t xml:space="preserve"> </w:t>
      </w:r>
      <w:r w:rsidRPr="00B02247">
        <w:t>teaching</w:t>
      </w:r>
      <w:r w:rsidR="005B2A41">
        <w:t xml:space="preserve"> </w:t>
      </w:r>
      <w:r w:rsidRPr="00B02247">
        <w:t>Greek</w:t>
      </w:r>
      <w:r w:rsidR="005B2A41">
        <w:t xml:space="preserve"> </w:t>
      </w:r>
      <w:r w:rsidRPr="00B02247">
        <w:t>as</w:t>
      </w:r>
      <w:r w:rsidR="005B2A41">
        <w:t xml:space="preserve"> </w:t>
      </w:r>
      <w:r w:rsidRPr="00B02247">
        <w:t>a</w:t>
      </w:r>
      <w:r w:rsidR="005B2A41">
        <w:t xml:space="preserve"> </w:t>
      </w:r>
      <w:r w:rsidRPr="00B02247">
        <w:t>second</w:t>
      </w:r>
      <w:r w:rsidR="005B2A41">
        <w:t xml:space="preserve"> </w:t>
      </w:r>
      <w:r w:rsidRPr="00B02247">
        <w:t>language</w:t>
      </w:r>
      <w:r w:rsidR="005B2A41">
        <w:t xml:space="preserve"> </w:t>
      </w:r>
      <w:r w:rsidRPr="00B02247">
        <w:t>to</w:t>
      </w:r>
      <w:r w:rsidR="005B2A41">
        <w:t xml:space="preserve"> </w:t>
      </w:r>
      <w:r w:rsidRPr="00B02247">
        <w:t>immigrant</w:t>
      </w:r>
      <w:r w:rsidR="005B2A41">
        <w:t xml:space="preserve"> </w:t>
      </w:r>
      <w:r w:rsidRPr="00B02247">
        <w:t>students,</w:t>
      </w:r>
      <w:r w:rsidR="005B2A41">
        <w:t xml:space="preserve"> </w:t>
      </w:r>
      <w:r w:rsidRPr="00B02247">
        <w:t>Roma</w:t>
      </w:r>
      <w:r w:rsidR="005B2A41">
        <w:t xml:space="preserve"> </w:t>
      </w:r>
      <w:r w:rsidRPr="00B02247">
        <w:t>students</w:t>
      </w:r>
      <w:r w:rsidR="005B2A41">
        <w:t xml:space="preserve"> </w:t>
      </w:r>
      <w:r w:rsidRPr="00B02247">
        <w:t>and</w:t>
      </w:r>
      <w:r w:rsidR="005B2A41">
        <w:t xml:space="preserve"> </w:t>
      </w:r>
      <w:r w:rsidRPr="00B02247">
        <w:t>Muslim</w:t>
      </w:r>
      <w:r w:rsidR="005B2A41">
        <w:t xml:space="preserve"> </w:t>
      </w:r>
      <w:r w:rsidRPr="00B02247">
        <w:t>Minority</w:t>
      </w:r>
      <w:r w:rsidR="005B2A41">
        <w:t xml:space="preserve"> </w:t>
      </w:r>
      <w:r w:rsidRPr="00B02247">
        <w:t>children</w:t>
      </w:r>
      <w:r w:rsidR="005B2A41">
        <w:t xml:space="preserve"> </w:t>
      </w:r>
      <w:r w:rsidRPr="00B02247">
        <w:t>in</w:t>
      </w:r>
      <w:r w:rsidR="005B2A41">
        <w:t xml:space="preserve"> </w:t>
      </w:r>
      <w:r w:rsidRPr="00B02247">
        <w:t>Thrace.</w:t>
      </w:r>
      <w:r w:rsidR="005B2A41">
        <w:t xml:space="preserve"> </w:t>
      </w:r>
    </w:p>
    <w:p w:rsidR="00F233AB" w:rsidRPr="00B02247" w:rsidRDefault="00F233AB" w:rsidP="000C4514">
      <w:pPr>
        <w:pStyle w:val="H1G"/>
      </w:pPr>
      <w:bookmarkStart w:id="12" w:name="_Toc133268784"/>
      <w:r w:rsidRPr="00B02247">
        <w:tab/>
        <w:t>F.</w:t>
      </w:r>
      <w:r w:rsidRPr="00B02247">
        <w:tab/>
        <w:t>Reporting</w:t>
      </w:r>
      <w:r w:rsidR="005B2A41">
        <w:t xml:space="preserve"> </w:t>
      </w:r>
      <w:r w:rsidRPr="00B02247">
        <w:t>process</w:t>
      </w:r>
      <w:r w:rsidR="005B2A41">
        <w:t xml:space="preserve"> </w:t>
      </w:r>
      <w:r w:rsidRPr="00B02247">
        <w:t>at</w:t>
      </w:r>
      <w:r w:rsidR="005B2A41">
        <w:t xml:space="preserve"> </w:t>
      </w:r>
      <w:r w:rsidRPr="00B02247">
        <w:t>the</w:t>
      </w:r>
      <w:r w:rsidR="005B2A41">
        <w:t xml:space="preserve"> </w:t>
      </w:r>
      <w:r w:rsidRPr="00B02247">
        <w:t>national</w:t>
      </w:r>
      <w:r w:rsidR="005B2A41">
        <w:t xml:space="preserve"> </w:t>
      </w:r>
      <w:r w:rsidRPr="00B02247">
        <w:t>level</w:t>
      </w:r>
      <w:bookmarkEnd w:id="12"/>
    </w:p>
    <w:p w:rsidR="00F233AB" w:rsidRPr="00B02247" w:rsidRDefault="00F233AB" w:rsidP="00E1307D">
      <w:pPr>
        <w:pStyle w:val="SingleTxtG"/>
      </w:pPr>
      <w:r w:rsidRPr="00B02247">
        <w:t>144.</w:t>
      </w:r>
      <w:r w:rsidRPr="00B02247">
        <w:tab/>
        <w:t>Greece</w:t>
      </w:r>
      <w:r w:rsidR="003E731F">
        <w:t>’</w:t>
      </w:r>
      <w:r w:rsidRPr="00B02247">
        <w:t>s</w:t>
      </w:r>
      <w:r w:rsidR="005B2A41">
        <w:t xml:space="preserve"> </w:t>
      </w:r>
      <w:r w:rsidRPr="00B02247">
        <w:t>common</w:t>
      </w:r>
      <w:r w:rsidR="005B2A41">
        <w:t xml:space="preserve"> </w:t>
      </w:r>
      <w:r w:rsidRPr="00B02247">
        <w:t>core</w:t>
      </w:r>
      <w:r w:rsidR="005B2A41">
        <w:t xml:space="preserve"> </w:t>
      </w:r>
      <w:r w:rsidRPr="00B02247">
        <w:t>document</w:t>
      </w:r>
      <w:r w:rsidR="005B2A41">
        <w:t xml:space="preserve"> </w:t>
      </w:r>
      <w:r w:rsidRPr="00B02247">
        <w:t>and</w:t>
      </w:r>
      <w:r w:rsidR="005B2A41">
        <w:t xml:space="preserve"> </w:t>
      </w:r>
      <w:r w:rsidRPr="00B02247">
        <w:t>treaty-specific</w:t>
      </w:r>
      <w:r w:rsidR="005B2A41">
        <w:t xml:space="preserve"> </w:t>
      </w:r>
      <w:r w:rsidRPr="00B02247">
        <w:t>(initial</w:t>
      </w:r>
      <w:r w:rsidR="005B2A41">
        <w:t xml:space="preserve"> </w:t>
      </w:r>
      <w:r w:rsidRPr="00B02247">
        <w:t>and</w:t>
      </w:r>
      <w:r w:rsidR="005B2A41">
        <w:t xml:space="preserve"> </w:t>
      </w:r>
      <w:r w:rsidRPr="00B02247">
        <w:t>periodic</w:t>
      </w:r>
      <w:r w:rsidR="005B2A41">
        <w:t xml:space="preserve"> </w:t>
      </w:r>
      <w:r w:rsidRPr="00B02247">
        <w:t>reports),</w:t>
      </w:r>
      <w:r w:rsidR="005B2A41">
        <w:t xml:space="preserve"> </w:t>
      </w:r>
      <w:r w:rsidRPr="00B02247">
        <w:t>as</w:t>
      </w:r>
      <w:r w:rsidR="005B2A41">
        <w:t xml:space="preserve"> </w:t>
      </w:r>
      <w:r w:rsidRPr="00B02247">
        <w:t>well</w:t>
      </w:r>
      <w:r w:rsidR="005B2A41">
        <w:t xml:space="preserve"> </w:t>
      </w:r>
      <w:r w:rsidRPr="00B02247">
        <w:t>as</w:t>
      </w:r>
      <w:r w:rsidR="005B2A41">
        <w:t xml:space="preserve"> </w:t>
      </w:r>
      <w:r w:rsidRPr="00B02247">
        <w:t>the</w:t>
      </w:r>
      <w:r w:rsidR="005B2A41">
        <w:t xml:space="preserve"> </w:t>
      </w:r>
      <w:r w:rsidRPr="00B02247">
        <w:t>UPR</w:t>
      </w:r>
      <w:r w:rsidR="005B2A41">
        <w:t xml:space="preserve"> </w:t>
      </w:r>
      <w:r w:rsidRPr="00B02247">
        <w:t>report,</w:t>
      </w:r>
      <w:r w:rsidR="005B2A41">
        <w:t xml:space="preserve"> </w:t>
      </w:r>
      <w:r w:rsidRPr="00B02247">
        <w:t>are</w:t>
      </w:r>
      <w:r w:rsidR="005B2A41">
        <w:t xml:space="preserve"> </w:t>
      </w:r>
      <w:r w:rsidRPr="00B02247">
        <w:t>drafted</w:t>
      </w:r>
      <w:r w:rsidR="005B2A41">
        <w:t xml:space="preserve"> </w:t>
      </w:r>
      <w:r w:rsidRPr="00B02247">
        <w:t>following</w:t>
      </w:r>
      <w:r w:rsidR="005B2A41">
        <w:t xml:space="preserve"> </w:t>
      </w:r>
      <w:r w:rsidRPr="00B02247">
        <w:t>wide</w:t>
      </w:r>
      <w:r w:rsidR="005B2A41">
        <w:t xml:space="preserve"> </w:t>
      </w:r>
      <w:r w:rsidRPr="00B02247">
        <w:t>consultations</w:t>
      </w:r>
      <w:r w:rsidR="005B2A41">
        <w:t xml:space="preserve"> </w:t>
      </w:r>
      <w:r w:rsidRPr="00B02247">
        <w:t>among</w:t>
      </w:r>
      <w:r w:rsidR="005B2A41">
        <w:t xml:space="preserve"> </w:t>
      </w:r>
      <w:r w:rsidRPr="00B02247">
        <w:t>all</w:t>
      </w:r>
      <w:r w:rsidR="005B2A41">
        <w:t xml:space="preserve"> </w:t>
      </w:r>
      <w:r w:rsidRPr="00B02247">
        <w:t>the</w:t>
      </w:r>
      <w:r w:rsidR="005B2A41">
        <w:t xml:space="preserve"> </w:t>
      </w:r>
      <w:r w:rsidRPr="00B02247">
        <w:t>Ministries</w:t>
      </w:r>
      <w:r w:rsidR="005B2A41">
        <w:t xml:space="preserve"> </w:t>
      </w:r>
      <w:r w:rsidRPr="00B02247">
        <w:t>involved</w:t>
      </w:r>
      <w:r w:rsidR="005B2A41">
        <w:t xml:space="preserve"> </w:t>
      </w:r>
      <w:r w:rsidRPr="00B02247">
        <w:t>in</w:t>
      </w:r>
      <w:r w:rsidR="005B2A41">
        <w:t xml:space="preserve"> </w:t>
      </w:r>
      <w:r w:rsidRPr="00B02247">
        <w:t>the</w:t>
      </w:r>
      <w:r w:rsidR="005B2A41">
        <w:t xml:space="preserve"> </w:t>
      </w:r>
      <w:r w:rsidRPr="00B02247">
        <w:t>implementation</w:t>
      </w:r>
      <w:r w:rsidR="005B2A41">
        <w:t xml:space="preserve"> </w:t>
      </w:r>
      <w:r w:rsidRPr="00B02247">
        <w:t>of</w:t>
      </w:r>
      <w:r w:rsidR="005B2A41">
        <w:t xml:space="preserve"> </w:t>
      </w:r>
      <w:r w:rsidRPr="00B02247">
        <w:t>the</w:t>
      </w:r>
      <w:r w:rsidR="005B2A41">
        <w:t xml:space="preserve"> </w:t>
      </w:r>
      <w:r w:rsidRPr="00B02247">
        <w:t>relevant</w:t>
      </w:r>
      <w:r w:rsidR="005B2A41">
        <w:t xml:space="preserve"> </w:t>
      </w:r>
      <w:r w:rsidRPr="00B02247">
        <w:t>human</w:t>
      </w:r>
      <w:r w:rsidR="005B2A41">
        <w:t xml:space="preserve"> </w:t>
      </w:r>
      <w:r w:rsidRPr="00B02247">
        <w:t>rights</w:t>
      </w:r>
      <w:r w:rsidR="005B2A41">
        <w:t xml:space="preserve"> </w:t>
      </w:r>
      <w:r w:rsidRPr="00B02247">
        <w:t>treaty,</w:t>
      </w:r>
      <w:r w:rsidR="005B2A41">
        <w:t xml:space="preserve"> </w:t>
      </w:r>
      <w:r w:rsidRPr="00B02247">
        <w:t>coordinated</w:t>
      </w:r>
      <w:r w:rsidR="005B2A41">
        <w:t xml:space="preserve"> </w:t>
      </w:r>
      <w:r w:rsidRPr="00B02247">
        <w:t>either</w:t>
      </w:r>
      <w:r w:rsidR="005B2A41">
        <w:t xml:space="preserve"> </w:t>
      </w:r>
      <w:r w:rsidRPr="00B02247">
        <w:t>by</w:t>
      </w:r>
      <w:r w:rsidR="005B2A41">
        <w:t xml:space="preserve"> </w:t>
      </w:r>
      <w:r w:rsidRPr="00B02247">
        <w:t>the</w:t>
      </w:r>
      <w:r w:rsidR="005B2A41">
        <w:t xml:space="preserve"> </w:t>
      </w:r>
      <w:r w:rsidRPr="00B02247">
        <w:t>Ministry</w:t>
      </w:r>
      <w:r w:rsidR="005B2A41">
        <w:t xml:space="preserve"> </w:t>
      </w:r>
      <w:r w:rsidRPr="00B02247">
        <w:t>of</w:t>
      </w:r>
      <w:r w:rsidR="005B2A41">
        <w:t xml:space="preserve"> </w:t>
      </w:r>
      <w:r w:rsidRPr="00B02247">
        <w:t>Foreign</w:t>
      </w:r>
      <w:r w:rsidR="005B2A41">
        <w:t xml:space="preserve"> </w:t>
      </w:r>
      <w:r w:rsidRPr="00B02247">
        <w:t>Affairs</w:t>
      </w:r>
      <w:r w:rsidR="005B2A41">
        <w:t xml:space="preserve"> </w:t>
      </w:r>
      <w:r w:rsidRPr="00B02247">
        <w:t>or</w:t>
      </w:r>
      <w:r w:rsidR="005B2A41">
        <w:t xml:space="preserve"> </w:t>
      </w:r>
      <w:r w:rsidRPr="00B02247">
        <w:t>a</w:t>
      </w:r>
      <w:r w:rsidR="005B2A41">
        <w:t xml:space="preserve"> </w:t>
      </w:r>
      <w:r w:rsidRPr="00B02247">
        <w:t>Ministry</w:t>
      </w:r>
      <w:r w:rsidR="005B2A41">
        <w:t xml:space="preserve"> </w:t>
      </w:r>
      <w:r w:rsidRPr="00B02247">
        <w:t>with</w:t>
      </w:r>
      <w:r w:rsidR="005B2A41">
        <w:t xml:space="preserve"> </w:t>
      </w:r>
      <w:r w:rsidRPr="00B02247">
        <w:t>particular</w:t>
      </w:r>
      <w:r w:rsidR="005B2A41">
        <w:t xml:space="preserve"> </w:t>
      </w:r>
      <w:r w:rsidRPr="00B02247">
        <w:t>responsibilities</w:t>
      </w:r>
      <w:r w:rsidR="005B2A41">
        <w:t xml:space="preserve"> </w:t>
      </w:r>
      <w:r w:rsidRPr="00B02247">
        <w:t>and/or</w:t>
      </w:r>
      <w:r w:rsidR="005B2A41">
        <w:t xml:space="preserve"> </w:t>
      </w:r>
      <w:r w:rsidRPr="00B02247">
        <w:t>expertise</w:t>
      </w:r>
      <w:r w:rsidR="005B2A41">
        <w:t xml:space="preserve"> </w:t>
      </w:r>
      <w:r w:rsidRPr="00B02247">
        <w:t>on</w:t>
      </w:r>
      <w:r w:rsidR="005B2A41">
        <w:t xml:space="preserve"> </w:t>
      </w:r>
      <w:r w:rsidRPr="00B02247">
        <w:t>the</w:t>
      </w:r>
      <w:r w:rsidR="005B2A41">
        <w:t xml:space="preserve"> </w:t>
      </w:r>
      <w:r w:rsidRPr="00B02247">
        <w:t>issues</w:t>
      </w:r>
      <w:r w:rsidR="005B2A41">
        <w:t xml:space="preserve"> </w:t>
      </w:r>
      <w:r w:rsidRPr="00B02247">
        <w:t>covered</w:t>
      </w:r>
      <w:r w:rsidR="005B2A41">
        <w:t xml:space="preserve"> </w:t>
      </w:r>
      <w:r w:rsidRPr="00B02247">
        <w:t>by</w:t>
      </w:r>
      <w:r w:rsidR="005B2A41">
        <w:t xml:space="preserve"> </w:t>
      </w:r>
      <w:r w:rsidRPr="00B02247">
        <w:t>a</w:t>
      </w:r>
      <w:r w:rsidR="005B2A41">
        <w:t xml:space="preserve"> </w:t>
      </w:r>
      <w:r w:rsidRPr="00B02247">
        <w:t>specific</w:t>
      </w:r>
      <w:r w:rsidR="005B2A41">
        <w:t xml:space="preserve"> </w:t>
      </w:r>
      <w:r w:rsidRPr="00B02247">
        <w:t>treaty.</w:t>
      </w:r>
      <w:r w:rsidR="005B2A41">
        <w:t xml:space="preserve"> </w:t>
      </w:r>
    </w:p>
    <w:p w:rsidR="00F233AB" w:rsidRPr="00B02247" w:rsidRDefault="00F233AB" w:rsidP="00E1307D">
      <w:pPr>
        <w:pStyle w:val="SingleTxtG"/>
      </w:pPr>
      <w:r w:rsidRPr="00B02247">
        <w:t>145.</w:t>
      </w:r>
      <w:r w:rsidRPr="00B02247">
        <w:tab/>
        <w:t>For</w:t>
      </w:r>
      <w:r w:rsidR="005B2A41">
        <w:t xml:space="preserve"> </w:t>
      </w:r>
      <w:r w:rsidRPr="00B02247">
        <w:t>instance,</w:t>
      </w:r>
      <w:r w:rsidR="005B2A41">
        <w:t xml:space="preserve"> </w:t>
      </w:r>
      <w:r w:rsidRPr="00B02247">
        <w:t>in</w:t>
      </w:r>
      <w:r w:rsidR="005B2A41">
        <w:t xml:space="preserve"> </w:t>
      </w:r>
      <w:r w:rsidRPr="00B02247">
        <w:t>view</w:t>
      </w:r>
      <w:r w:rsidR="005B2A41">
        <w:t xml:space="preserve"> </w:t>
      </w:r>
      <w:r w:rsidRPr="00B02247">
        <w:t>of</w:t>
      </w:r>
      <w:r w:rsidR="005B2A41">
        <w:t xml:space="preserve"> </w:t>
      </w:r>
      <w:r w:rsidRPr="00B02247">
        <w:t>the</w:t>
      </w:r>
      <w:r w:rsidR="005B2A41">
        <w:t xml:space="preserve"> </w:t>
      </w:r>
      <w:r w:rsidRPr="00B02247">
        <w:t>drafting</w:t>
      </w:r>
      <w:r w:rsidR="005B2A41">
        <w:t xml:space="preserve"> </w:t>
      </w:r>
      <w:r w:rsidRPr="00B02247">
        <w:t>of</w:t>
      </w:r>
      <w:r w:rsidR="005B2A41">
        <w:t xml:space="preserve"> </w:t>
      </w:r>
      <w:r w:rsidRPr="00B02247">
        <w:t>the</w:t>
      </w:r>
      <w:r w:rsidR="005B2A41">
        <w:t xml:space="preserve"> </w:t>
      </w:r>
      <w:r w:rsidRPr="00B02247">
        <w:t>most</w:t>
      </w:r>
      <w:r w:rsidR="005B2A41">
        <w:t xml:space="preserve"> </w:t>
      </w:r>
      <w:r w:rsidRPr="00B02247">
        <w:t>recent</w:t>
      </w:r>
      <w:r w:rsidR="005B2A41">
        <w:t xml:space="preserve"> </w:t>
      </w:r>
      <w:r w:rsidRPr="00B02247">
        <w:t>CEDAW</w:t>
      </w:r>
      <w:r w:rsidR="005B2A41">
        <w:t xml:space="preserve"> </w:t>
      </w:r>
      <w:r w:rsidRPr="00B02247">
        <w:t>report,</w:t>
      </w:r>
      <w:r w:rsidR="005B2A41">
        <w:t xml:space="preserve"> </w:t>
      </w:r>
      <w:r w:rsidRPr="00B02247">
        <w:t>an</w:t>
      </w:r>
      <w:r w:rsidR="005B2A41">
        <w:t xml:space="preserve"> </w:t>
      </w:r>
      <w:r w:rsidRPr="00B02247">
        <w:t>Inter-Ministerial</w:t>
      </w:r>
      <w:r w:rsidR="005B2A41">
        <w:t xml:space="preserve"> </w:t>
      </w:r>
      <w:r w:rsidRPr="00B02247">
        <w:t>Working</w:t>
      </w:r>
      <w:r w:rsidR="005B2A41">
        <w:t xml:space="preserve"> </w:t>
      </w:r>
      <w:r w:rsidRPr="00B02247">
        <w:t>Group</w:t>
      </w:r>
      <w:r w:rsidR="005B2A41">
        <w:t xml:space="preserve"> </w:t>
      </w:r>
      <w:r w:rsidRPr="00B02247">
        <w:t>was</w:t>
      </w:r>
      <w:r w:rsidR="005B2A41">
        <w:t xml:space="preserve"> </w:t>
      </w:r>
      <w:r w:rsidRPr="00B02247">
        <w:t>set</w:t>
      </w:r>
      <w:r w:rsidR="005B2A41">
        <w:t xml:space="preserve"> </w:t>
      </w:r>
      <w:r w:rsidRPr="00B02247">
        <w:t>up</w:t>
      </w:r>
      <w:r w:rsidR="005B2A41">
        <w:t xml:space="preserve"> </w:t>
      </w:r>
      <w:r w:rsidRPr="00B02247">
        <w:t>upon</w:t>
      </w:r>
      <w:r w:rsidR="005B2A41">
        <w:t xml:space="preserve"> </w:t>
      </w:r>
      <w:r w:rsidRPr="00B02247">
        <w:t>the</w:t>
      </w:r>
      <w:r w:rsidR="005B2A41">
        <w:t xml:space="preserve"> </w:t>
      </w:r>
      <w:r w:rsidRPr="00B02247">
        <w:t>initiative</w:t>
      </w:r>
      <w:r w:rsidR="005B2A41">
        <w:t xml:space="preserve"> </w:t>
      </w:r>
      <w:r w:rsidRPr="00B02247">
        <w:t>of</w:t>
      </w:r>
      <w:r w:rsidR="005B2A41">
        <w:t xml:space="preserve"> </w:t>
      </w:r>
      <w:r w:rsidRPr="00B02247">
        <w:t>the</w:t>
      </w:r>
      <w:r w:rsidR="005B2A41">
        <w:t xml:space="preserve"> </w:t>
      </w:r>
      <w:r w:rsidRPr="00B02247">
        <w:t>General</w:t>
      </w:r>
      <w:r w:rsidR="005B2A41">
        <w:t xml:space="preserve"> </w:t>
      </w:r>
      <w:r w:rsidRPr="00B02247">
        <w:t>Secretariat</w:t>
      </w:r>
      <w:r w:rsidR="005B2A41">
        <w:t xml:space="preserve"> </w:t>
      </w:r>
      <w:r w:rsidRPr="00B02247">
        <w:t>for</w:t>
      </w:r>
      <w:r w:rsidR="005B2A41">
        <w:t xml:space="preserve"> </w:t>
      </w:r>
      <w:r w:rsidRPr="00B02247">
        <w:t>Gender</w:t>
      </w:r>
      <w:r w:rsidR="005B2A41">
        <w:t xml:space="preserve"> </w:t>
      </w:r>
      <w:r w:rsidRPr="00B02247">
        <w:t>Equality.</w:t>
      </w:r>
      <w:r w:rsidR="005B2A41">
        <w:t xml:space="preserve"> </w:t>
      </w:r>
      <w:r w:rsidRPr="00B02247">
        <w:t>In</w:t>
      </w:r>
      <w:r w:rsidR="005B2A41">
        <w:t xml:space="preserve"> </w:t>
      </w:r>
      <w:r w:rsidRPr="00B02247">
        <w:t>addition,</w:t>
      </w:r>
      <w:r w:rsidR="005B2A41">
        <w:t xml:space="preserve"> </w:t>
      </w:r>
      <w:r w:rsidRPr="00B02247">
        <w:t>all</w:t>
      </w:r>
      <w:r w:rsidR="005B2A41">
        <w:t xml:space="preserve"> </w:t>
      </w:r>
      <w:r w:rsidRPr="00B02247">
        <w:t>women</w:t>
      </w:r>
      <w:r w:rsidR="003E731F">
        <w:t>’</w:t>
      </w:r>
      <w:r w:rsidRPr="00B02247">
        <w:t>s</w:t>
      </w:r>
      <w:r w:rsidR="005B2A41">
        <w:t xml:space="preserve"> </w:t>
      </w:r>
      <w:r w:rsidRPr="00B02247">
        <w:t>NGOs</w:t>
      </w:r>
      <w:r w:rsidR="005B2A41">
        <w:t xml:space="preserve"> </w:t>
      </w:r>
      <w:r w:rsidRPr="00B02247">
        <w:t>and</w:t>
      </w:r>
      <w:r w:rsidR="005B2A41">
        <w:t xml:space="preserve"> </w:t>
      </w:r>
      <w:r w:rsidRPr="00B02247">
        <w:t>NGOs</w:t>
      </w:r>
      <w:r w:rsidR="005B2A41">
        <w:t xml:space="preserve"> </w:t>
      </w:r>
      <w:r w:rsidRPr="00B02247">
        <w:t>active</w:t>
      </w:r>
      <w:r w:rsidR="005B2A41">
        <w:t xml:space="preserve"> </w:t>
      </w:r>
      <w:r w:rsidRPr="00B02247">
        <w:t>in</w:t>
      </w:r>
      <w:r w:rsidR="005B2A41">
        <w:t xml:space="preserve"> </w:t>
      </w:r>
      <w:r w:rsidRPr="00B02247">
        <w:t>the</w:t>
      </w:r>
      <w:r w:rsidR="005B2A41">
        <w:t xml:space="preserve"> </w:t>
      </w:r>
      <w:r w:rsidRPr="00B02247">
        <w:t>field</w:t>
      </w:r>
      <w:r w:rsidR="005B2A41">
        <w:t xml:space="preserve"> </w:t>
      </w:r>
      <w:r w:rsidRPr="00B02247">
        <w:t>of</w:t>
      </w:r>
      <w:r w:rsidR="005B2A41">
        <w:t xml:space="preserve"> </w:t>
      </w:r>
      <w:r w:rsidRPr="00B02247">
        <w:t>gender</w:t>
      </w:r>
      <w:r w:rsidR="005B2A41">
        <w:t xml:space="preserve"> </w:t>
      </w:r>
      <w:r w:rsidRPr="00B02247">
        <w:t>equality</w:t>
      </w:r>
      <w:r w:rsidR="005B2A41">
        <w:t xml:space="preserve"> </w:t>
      </w:r>
      <w:r w:rsidRPr="00B02247">
        <w:t>were</w:t>
      </w:r>
      <w:r w:rsidR="005B2A41">
        <w:t xml:space="preserve"> </w:t>
      </w:r>
      <w:r w:rsidRPr="00B02247">
        <w:t>invited</w:t>
      </w:r>
      <w:r w:rsidR="005B2A41">
        <w:t xml:space="preserve"> </w:t>
      </w:r>
      <w:r w:rsidRPr="00B02247">
        <w:t>to</w:t>
      </w:r>
      <w:r w:rsidR="005B2A41">
        <w:t xml:space="preserve"> </w:t>
      </w:r>
      <w:r w:rsidRPr="00B02247">
        <w:t>submit</w:t>
      </w:r>
      <w:r w:rsidR="005B2A41">
        <w:t xml:space="preserve"> </w:t>
      </w:r>
      <w:r w:rsidRPr="00B02247">
        <w:t>their</w:t>
      </w:r>
      <w:r w:rsidR="005B2A41">
        <w:t xml:space="preserve"> </w:t>
      </w:r>
      <w:r w:rsidRPr="00B02247">
        <w:t>contribution.</w:t>
      </w:r>
      <w:r w:rsidR="005B2A41">
        <w:t xml:space="preserve"> </w:t>
      </w:r>
      <w:r w:rsidRPr="00B02247">
        <w:t>After</w:t>
      </w:r>
      <w:r w:rsidR="005B2A41">
        <w:t xml:space="preserve"> </w:t>
      </w:r>
      <w:r w:rsidRPr="00B02247">
        <w:t>the</w:t>
      </w:r>
      <w:r w:rsidR="005B2A41">
        <w:t xml:space="preserve"> </w:t>
      </w:r>
      <w:r w:rsidRPr="00B02247">
        <w:t>collection</w:t>
      </w:r>
      <w:r w:rsidR="005B2A41">
        <w:t xml:space="preserve"> </w:t>
      </w:r>
      <w:r w:rsidRPr="00B02247">
        <w:t>of</w:t>
      </w:r>
      <w:r w:rsidR="005B2A41">
        <w:t xml:space="preserve"> </w:t>
      </w:r>
      <w:r w:rsidRPr="00B02247">
        <w:t>the</w:t>
      </w:r>
      <w:r w:rsidR="005B2A41">
        <w:t xml:space="preserve"> </w:t>
      </w:r>
      <w:r w:rsidRPr="00B02247">
        <w:t>material,</w:t>
      </w:r>
      <w:r w:rsidR="005B2A41">
        <w:t xml:space="preserve"> </w:t>
      </w:r>
      <w:r w:rsidRPr="00B02247">
        <w:t>a</w:t>
      </w:r>
      <w:r w:rsidR="005B2A41">
        <w:t xml:space="preserve"> </w:t>
      </w:r>
      <w:r w:rsidRPr="00B02247">
        <w:t>Working</w:t>
      </w:r>
      <w:r w:rsidR="005B2A41">
        <w:t xml:space="preserve"> </w:t>
      </w:r>
      <w:r w:rsidRPr="00B02247">
        <w:t>Group</w:t>
      </w:r>
      <w:r w:rsidR="005B2A41">
        <w:t xml:space="preserve"> </w:t>
      </w:r>
      <w:r w:rsidRPr="00B02247">
        <w:t>composed</w:t>
      </w:r>
      <w:r w:rsidR="005B2A41">
        <w:t xml:space="preserve"> </w:t>
      </w:r>
      <w:r w:rsidRPr="00B02247">
        <w:t>of</w:t>
      </w:r>
      <w:r w:rsidR="005B2A41">
        <w:t xml:space="preserve"> </w:t>
      </w:r>
      <w:r w:rsidRPr="00B02247">
        <w:t>senior</w:t>
      </w:r>
      <w:r w:rsidR="005B2A41">
        <w:t xml:space="preserve"> </w:t>
      </w:r>
      <w:r w:rsidRPr="00B02247">
        <w:t>officials</w:t>
      </w:r>
      <w:r w:rsidR="005B2A41">
        <w:t xml:space="preserve"> </w:t>
      </w:r>
      <w:r w:rsidRPr="00B02247">
        <w:t>of</w:t>
      </w:r>
      <w:r w:rsidR="005B2A41">
        <w:t xml:space="preserve"> </w:t>
      </w:r>
      <w:r w:rsidRPr="00B02247">
        <w:t>the</w:t>
      </w:r>
      <w:r w:rsidR="005B2A41">
        <w:t xml:space="preserve"> </w:t>
      </w:r>
      <w:r w:rsidRPr="00B02247">
        <w:t>General</w:t>
      </w:r>
      <w:r w:rsidR="005B2A41">
        <w:t xml:space="preserve"> </w:t>
      </w:r>
      <w:r w:rsidRPr="00B02247">
        <w:t>Secretariat</w:t>
      </w:r>
      <w:r w:rsidR="005B2A41">
        <w:t xml:space="preserve"> </w:t>
      </w:r>
      <w:r w:rsidRPr="00B02247">
        <w:t>for</w:t>
      </w:r>
      <w:r w:rsidR="005B2A41">
        <w:t xml:space="preserve"> </w:t>
      </w:r>
      <w:r w:rsidRPr="00B02247">
        <w:t>Gender</w:t>
      </w:r>
      <w:r w:rsidR="005B2A41">
        <w:t xml:space="preserve"> </w:t>
      </w:r>
      <w:r w:rsidRPr="00B02247">
        <w:t>Equality</w:t>
      </w:r>
      <w:r w:rsidR="005B2A41">
        <w:t xml:space="preserve"> </w:t>
      </w:r>
      <w:r w:rsidRPr="00B02247">
        <w:t>prepared</w:t>
      </w:r>
      <w:r w:rsidR="005B2A41">
        <w:t xml:space="preserve"> </w:t>
      </w:r>
      <w:r w:rsidRPr="00B02247">
        <w:t>the</w:t>
      </w:r>
      <w:r w:rsidR="005B2A41">
        <w:t xml:space="preserve"> </w:t>
      </w:r>
      <w:r w:rsidRPr="00B02247">
        <w:t>final</w:t>
      </w:r>
      <w:r w:rsidR="005B2A41">
        <w:t xml:space="preserve"> </w:t>
      </w:r>
      <w:r w:rsidRPr="00B02247">
        <w:t>version</w:t>
      </w:r>
      <w:r w:rsidR="005B2A41">
        <w:t xml:space="preserve"> </w:t>
      </w:r>
      <w:r w:rsidRPr="00B02247">
        <w:t>of</w:t>
      </w:r>
      <w:r w:rsidR="005B2A41">
        <w:t xml:space="preserve"> </w:t>
      </w:r>
      <w:r w:rsidRPr="00B02247">
        <w:t>the</w:t>
      </w:r>
      <w:r w:rsidR="005B2A41">
        <w:t xml:space="preserve"> </w:t>
      </w:r>
      <w:r w:rsidRPr="00B02247">
        <w:t>report.</w:t>
      </w:r>
      <w:r w:rsidR="005B2A41">
        <w:t xml:space="preserve"> </w:t>
      </w:r>
      <w:r w:rsidRPr="00B02247">
        <w:t>The</w:t>
      </w:r>
      <w:r w:rsidR="005B2A41">
        <w:t xml:space="preserve"> </w:t>
      </w:r>
      <w:r w:rsidRPr="00B02247">
        <w:t>said</w:t>
      </w:r>
      <w:r w:rsidR="005B2A41">
        <w:t xml:space="preserve"> </w:t>
      </w:r>
      <w:r w:rsidRPr="00B02247">
        <w:t>periodic</w:t>
      </w:r>
      <w:r w:rsidR="005B2A41">
        <w:t xml:space="preserve"> </w:t>
      </w:r>
      <w:r w:rsidRPr="00B02247">
        <w:t>report</w:t>
      </w:r>
      <w:r w:rsidR="005B2A41">
        <w:t xml:space="preserve"> </w:t>
      </w:r>
      <w:r w:rsidRPr="00B02247">
        <w:t>was</w:t>
      </w:r>
      <w:r w:rsidR="005B2A41">
        <w:t xml:space="preserve"> </w:t>
      </w:r>
      <w:r w:rsidRPr="00B02247">
        <w:t>printed</w:t>
      </w:r>
      <w:r w:rsidR="005B2A41">
        <w:t xml:space="preserve"> </w:t>
      </w:r>
      <w:r w:rsidRPr="00B02247">
        <w:t>by</w:t>
      </w:r>
      <w:r w:rsidR="005B2A41">
        <w:t xml:space="preserve"> </w:t>
      </w:r>
      <w:r w:rsidRPr="00B02247">
        <w:t>the</w:t>
      </w:r>
      <w:r w:rsidR="005B2A41">
        <w:t xml:space="preserve"> </w:t>
      </w:r>
      <w:r w:rsidRPr="00B02247">
        <w:t>National</w:t>
      </w:r>
      <w:r w:rsidR="005B2A41">
        <w:t xml:space="preserve"> </w:t>
      </w:r>
      <w:r w:rsidRPr="00B02247">
        <w:t>Printing</w:t>
      </w:r>
      <w:r w:rsidR="005B2A41">
        <w:t xml:space="preserve"> </w:t>
      </w:r>
      <w:r w:rsidRPr="00B02247">
        <w:t>House</w:t>
      </w:r>
      <w:r w:rsidR="005B2A41">
        <w:t xml:space="preserve"> </w:t>
      </w:r>
      <w:r w:rsidRPr="00B02247">
        <w:t>both</w:t>
      </w:r>
      <w:r w:rsidR="005B2A41">
        <w:t xml:space="preserve"> </w:t>
      </w:r>
      <w:r w:rsidRPr="00B02247">
        <w:t>in</w:t>
      </w:r>
      <w:r w:rsidR="005B2A41">
        <w:t xml:space="preserve"> </w:t>
      </w:r>
      <w:r w:rsidRPr="00B02247">
        <w:t>Greek</w:t>
      </w:r>
      <w:r w:rsidR="005B2A41">
        <w:t xml:space="preserve"> </w:t>
      </w:r>
      <w:r w:rsidRPr="00B02247">
        <w:t>and</w:t>
      </w:r>
      <w:r w:rsidR="005B2A41">
        <w:t xml:space="preserve"> </w:t>
      </w:r>
      <w:r w:rsidRPr="00B02247">
        <w:t>in</w:t>
      </w:r>
      <w:r w:rsidR="005B2A41">
        <w:t xml:space="preserve"> </w:t>
      </w:r>
      <w:r w:rsidRPr="00B02247">
        <w:t>English</w:t>
      </w:r>
      <w:r w:rsidR="005B2A41">
        <w:t xml:space="preserve"> </w:t>
      </w:r>
      <w:r w:rsidRPr="00B02247">
        <w:t>and</w:t>
      </w:r>
      <w:r w:rsidR="005B2A41">
        <w:t xml:space="preserve"> </w:t>
      </w:r>
      <w:r w:rsidRPr="00B02247">
        <w:t>has</w:t>
      </w:r>
      <w:r w:rsidR="005B2A41">
        <w:t xml:space="preserve"> </w:t>
      </w:r>
      <w:r w:rsidRPr="00B02247">
        <w:t>been</w:t>
      </w:r>
      <w:r w:rsidR="005B2A41">
        <w:t xml:space="preserve"> </w:t>
      </w:r>
      <w:r w:rsidRPr="00B02247">
        <w:t>disseminated</w:t>
      </w:r>
      <w:r w:rsidR="005B2A41">
        <w:t xml:space="preserve"> </w:t>
      </w:r>
      <w:r w:rsidRPr="00B02247">
        <w:t>to</w:t>
      </w:r>
      <w:r w:rsidR="005B2A41">
        <w:t xml:space="preserve"> </w:t>
      </w:r>
      <w:r w:rsidRPr="00B02247">
        <w:t>all</w:t>
      </w:r>
      <w:r w:rsidR="005B2A41">
        <w:t xml:space="preserve"> </w:t>
      </w:r>
      <w:r w:rsidRPr="00B02247">
        <w:t>Ministries,</w:t>
      </w:r>
      <w:r w:rsidR="005B2A41">
        <w:t xml:space="preserve"> </w:t>
      </w:r>
      <w:r w:rsidRPr="00B02247">
        <w:t>Public</w:t>
      </w:r>
      <w:r w:rsidR="005B2A41">
        <w:t xml:space="preserve"> </w:t>
      </w:r>
      <w:r w:rsidRPr="00B02247">
        <w:t>Authorities,</w:t>
      </w:r>
      <w:r w:rsidR="005B2A41">
        <w:t xml:space="preserve"> </w:t>
      </w:r>
      <w:r w:rsidRPr="00B02247">
        <w:t>the</w:t>
      </w:r>
      <w:r w:rsidR="005B2A41">
        <w:t xml:space="preserve"> </w:t>
      </w:r>
      <w:r w:rsidRPr="00B02247">
        <w:t>Hellenic</w:t>
      </w:r>
      <w:r w:rsidR="005B2A41">
        <w:t xml:space="preserve"> </w:t>
      </w:r>
      <w:r w:rsidRPr="00B02247">
        <w:t>Parliament,</w:t>
      </w:r>
      <w:r w:rsidR="005B2A41">
        <w:t xml:space="preserve"> </w:t>
      </w:r>
      <w:r w:rsidRPr="00B02247">
        <w:t>NGOs,</w:t>
      </w:r>
      <w:r w:rsidR="005B2A41">
        <w:t xml:space="preserve"> </w:t>
      </w:r>
      <w:r w:rsidRPr="00B02247">
        <w:t>civil</w:t>
      </w:r>
      <w:r w:rsidR="005B2A41">
        <w:t xml:space="preserve"> </w:t>
      </w:r>
      <w:r w:rsidRPr="00B02247">
        <w:t>society</w:t>
      </w:r>
      <w:r w:rsidR="005B2A41">
        <w:t xml:space="preserve"> </w:t>
      </w:r>
      <w:r w:rsidRPr="00B02247">
        <w:t>and</w:t>
      </w:r>
      <w:r w:rsidR="005B2A41">
        <w:t xml:space="preserve"> </w:t>
      </w:r>
      <w:r w:rsidRPr="00B02247">
        <w:t>other</w:t>
      </w:r>
      <w:r w:rsidR="005B2A41">
        <w:t xml:space="preserve"> </w:t>
      </w:r>
      <w:r w:rsidRPr="00B02247">
        <w:t>relevant</w:t>
      </w:r>
      <w:r w:rsidR="005B2A41">
        <w:t xml:space="preserve"> </w:t>
      </w:r>
      <w:r w:rsidRPr="00B02247">
        <w:t>stakeholders</w:t>
      </w:r>
      <w:r w:rsidR="005B2A41">
        <w:t xml:space="preserve"> </w:t>
      </w:r>
      <w:r w:rsidRPr="00B02247">
        <w:t>in</w:t>
      </w:r>
      <w:r w:rsidR="005B2A41">
        <w:t xml:space="preserve"> </w:t>
      </w:r>
      <w:r w:rsidRPr="00B02247">
        <w:t>Greece</w:t>
      </w:r>
      <w:r w:rsidR="005B2A41">
        <w:t xml:space="preserve"> </w:t>
      </w:r>
      <w:r w:rsidRPr="00B02247">
        <w:t>and</w:t>
      </w:r>
      <w:r w:rsidR="005B2A41">
        <w:t xml:space="preserve"> </w:t>
      </w:r>
      <w:r w:rsidRPr="00B02247">
        <w:t>abroad.</w:t>
      </w:r>
    </w:p>
    <w:p w:rsidR="00F233AB" w:rsidRPr="00B02247" w:rsidRDefault="00F233AB" w:rsidP="00E1307D">
      <w:pPr>
        <w:pStyle w:val="SingleTxtG"/>
      </w:pPr>
      <w:r w:rsidRPr="00B02247">
        <w:t>146.</w:t>
      </w:r>
      <w:r w:rsidRPr="00B02247">
        <w:tab/>
        <w:t>The</w:t>
      </w:r>
      <w:r w:rsidR="005B2A41">
        <w:t xml:space="preserve"> </w:t>
      </w:r>
      <w:r w:rsidRPr="00B02247">
        <w:t>initial</w:t>
      </w:r>
      <w:r w:rsidR="005B2A41">
        <w:t xml:space="preserve"> </w:t>
      </w:r>
      <w:r w:rsidRPr="00B02247">
        <w:t>report</w:t>
      </w:r>
      <w:r w:rsidR="005B2A41">
        <w:t xml:space="preserve"> </w:t>
      </w:r>
      <w:r w:rsidRPr="00B02247">
        <w:t>submitted</w:t>
      </w:r>
      <w:r w:rsidR="005B2A41">
        <w:t xml:space="preserve"> </w:t>
      </w:r>
      <w:r w:rsidRPr="00B02247">
        <w:t>to</w:t>
      </w:r>
      <w:r w:rsidR="005B2A41">
        <w:t xml:space="preserve"> </w:t>
      </w:r>
      <w:r w:rsidRPr="00B02247">
        <w:t>the</w:t>
      </w:r>
      <w:r w:rsidR="005B2A41">
        <w:t xml:space="preserve"> </w:t>
      </w:r>
      <w:r w:rsidRPr="00B02247">
        <w:t>Committee</w:t>
      </w:r>
      <w:r w:rsidR="005B2A41">
        <w:t xml:space="preserve"> </w:t>
      </w:r>
      <w:r w:rsidRPr="00B02247">
        <w:t>on</w:t>
      </w:r>
      <w:r w:rsidR="005B2A41">
        <w:t xml:space="preserve"> </w:t>
      </w:r>
      <w:r w:rsidRPr="00B02247">
        <w:t>the</w:t>
      </w:r>
      <w:r w:rsidR="005B2A41">
        <w:t xml:space="preserve"> </w:t>
      </w:r>
      <w:r w:rsidRPr="00B02247">
        <w:t>Rights</w:t>
      </w:r>
      <w:r w:rsidR="005B2A41">
        <w:t xml:space="preserve"> </w:t>
      </w:r>
      <w:r w:rsidRPr="00B02247">
        <w:t>of</w:t>
      </w:r>
      <w:r w:rsidR="005B2A41">
        <w:t xml:space="preserve"> </w:t>
      </w:r>
      <w:r w:rsidRPr="00B02247">
        <w:t>Persons</w:t>
      </w:r>
      <w:r w:rsidR="005B2A41">
        <w:t xml:space="preserve"> </w:t>
      </w:r>
      <w:r w:rsidRPr="00B02247">
        <w:t>with</w:t>
      </w:r>
      <w:r w:rsidR="005B2A41">
        <w:t xml:space="preserve"> </w:t>
      </w:r>
      <w:r w:rsidRPr="00B02247">
        <w:t>Disabilities</w:t>
      </w:r>
      <w:r w:rsidR="005B2A41">
        <w:t xml:space="preserve"> </w:t>
      </w:r>
      <w:r w:rsidRPr="00B02247">
        <w:t>was</w:t>
      </w:r>
      <w:r w:rsidR="005B2A41">
        <w:t xml:space="preserve"> </w:t>
      </w:r>
      <w:r w:rsidRPr="00B02247">
        <w:t>drafted</w:t>
      </w:r>
      <w:r w:rsidR="005B2A41">
        <w:t xml:space="preserve"> </w:t>
      </w:r>
      <w:r w:rsidRPr="00B02247">
        <w:t>by</w:t>
      </w:r>
      <w:r w:rsidR="005B2A41">
        <w:t xml:space="preserve"> </w:t>
      </w:r>
      <w:r w:rsidRPr="00B02247">
        <w:t>the</w:t>
      </w:r>
      <w:r w:rsidR="005B2A41">
        <w:t xml:space="preserve"> </w:t>
      </w:r>
      <w:r w:rsidRPr="00B02247">
        <w:t>Directorate</w:t>
      </w:r>
      <w:r w:rsidR="005B2A41">
        <w:t xml:space="preserve"> </w:t>
      </w:r>
      <w:r w:rsidRPr="00B02247">
        <w:t>of</w:t>
      </w:r>
      <w:r w:rsidR="005B2A41">
        <w:t xml:space="preserve"> </w:t>
      </w:r>
      <w:r w:rsidRPr="00B02247">
        <w:t>International</w:t>
      </w:r>
      <w:r w:rsidR="005B2A41">
        <w:t xml:space="preserve"> </w:t>
      </w:r>
      <w:r w:rsidRPr="00B02247">
        <w:t>Relations</w:t>
      </w:r>
      <w:r w:rsidR="005B2A41">
        <w:t xml:space="preserve"> </w:t>
      </w:r>
      <w:r w:rsidRPr="00B02247">
        <w:t>of</w:t>
      </w:r>
      <w:r w:rsidR="005B2A41">
        <w:t xml:space="preserve"> </w:t>
      </w:r>
      <w:r w:rsidRPr="00B02247">
        <w:t>the</w:t>
      </w:r>
      <w:r w:rsidR="005B2A41">
        <w:t xml:space="preserve"> </w:t>
      </w:r>
      <w:r w:rsidRPr="00B02247">
        <w:t>Ministry</w:t>
      </w:r>
      <w:r w:rsidR="005B2A41">
        <w:t xml:space="preserve"> </w:t>
      </w:r>
      <w:r w:rsidRPr="00B02247">
        <w:t>of</w:t>
      </w:r>
      <w:r w:rsidR="005B2A41">
        <w:t xml:space="preserve"> </w:t>
      </w:r>
      <w:r w:rsidRPr="00B02247">
        <w:t>Labour,</w:t>
      </w:r>
      <w:r w:rsidR="005B2A41">
        <w:t xml:space="preserve"> </w:t>
      </w:r>
      <w:r w:rsidRPr="00B02247">
        <w:t>Social</w:t>
      </w:r>
      <w:r w:rsidR="005B2A41">
        <w:t xml:space="preserve"> </w:t>
      </w:r>
      <w:r w:rsidRPr="00B02247">
        <w:t>Security</w:t>
      </w:r>
      <w:r w:rsidR="005B2A41">
        <w:t xml:space="preserve"> </w:t>
      </w:r>
      <w:r w:rsidRPr="00B02247">
        <w:t>and</w:t>
      </w:r>
      <w:r w:rsidR="005B2A41">
        <w:t xml:space="preserve"> </w:t>
      </w:r>
      <w:r w:rsidRPr="00B02247">
        <w:t>Social</w:t>
      </w:r>
      <w:r w:rsidR="005B2A41">
        <w:t xml:space="preserve"> </w:t>
      </w:r>
      <w:r w:rsidRPr="00B02247">
        <w:t>Solidarity</w:t>
      </w:r>
      <w:r w:rsidR="005B2A41">
        <w:t xml:space="preserve"> </w:t>
      </w:r>
      <w:r w:rsidRPr="00B02247">
        <w:t>(the</w:t>
      </w:r>
      <w:r w:rsidR="005B2A41">
        <w:t xml:space="preserve"> </w:t>
      </w:r>
      <w:r w:rsidRPr="00B02247">
        <w:t>then</w:t>
      </w:r>
      <w:r w:rsidR="005B2A41">
        <w:t xml:space="preserve"> </w:t>
      </w:r>
      <w:r w:rsidRPr="00B02247">
        <w:t>focal</w:t>
      </w:r>
      <w:r w:rsidR="005B2A41">
        <w:t xml:space="preserve"> </w:t>
      </w:r>
      <w:r w:rsidRPr="00B02247">
        <w:t>point</w:t>
      </w:r>
      <w:r w:rsidR="005B2A41">
        <w:t xml:space="preserve"> </w:t>
      </w:r>
      <w:r w:rsidRPr="00B02247">
        <w:t>for</w:t>
      </w:r>
      <w:r w:rsidR="005B2A41">
        <w:t xml:space="preserve"> </w:t>
      </w:r>
      <w:r w:rsidRPr="00B02247">
        <w:t>the</w:t>
      </w:r>
      <w:r w:rsidR="005B2A41">
        <w:t xml:space="preserve"> </w:t>
      </w:r>
      <w:r w:rsidRPr="00B02247">
        <w:t>purposes</w:t>
      </w:r>
      <w:r w:rsidR="005B2A41">
        <w:t xml:space="preserve"> </w:t>
      </w:r>
      <w:r w:rsidRPr="00B02247">
        <w:t>of</w:t>
      </w:r>
      <w:r w:rsidR="005B2A41">
        <w:t xml:space="preserve"> </w:t>
      </w:r>
      <w:r w:rsidRPr="00B02247">
        <w:t>Article</w:t>
      </w:r>
      <w:r w:rsidR="005B2A41">
        <w:t xml:space="preserve"> </w:t>
      </w:r>
      <w:r w:rsidRPr="00B02247">
        <w:t>33</w:t>
      </w:r>
      <w:r w:rsidR="005B2A41">
        <w:t xml:space="preserve"> </w:t>
      </w:r>
      <w:r w:rsidRPr="00B02247">
        <w:t>of</w:t>
      </w:r>
      <w:r w:rsidR="005B2A41">
        <w:t xml:space="preserve"> </w:t>
      </w:r>
      <w:r w:rsidRPr="00B02247">
        <w:t>the</w:t>
      </w:r>
      <w:r w:rsidR="005B2A41">
        <w:t xml:space="preserve"> </w:t>
      </w:r>
      <w:r w:rsidRPr="00B02247">
        <w:t>Convention),</w:t>
      </w:r>
      <w:r w:rsidR="005B2A41">
        <w:t xml:space="preserve"> </w:t>
      </w:r>
      <w:r w:rsidRPr="00B02247">
        <w:t>in</w:t>
      </w:r>
      <w:r w:rsidR="005B2A41">
        <w:t xml:space="preserve"> </w:t>
      </w:r>
      <w:r w:rsidRPr="00B02247">
        <w:t>cooperation</w:t>
      </w:r>
      <w:r w:rsidR="005B2A41">
        <w:t xml:space="preserve"> </w:t>
      </w:r>
      <w:r w:rsidRPr="00B02247">
        <w:t>with,</w:t>
      </w:r>
      <w:r w:rsidR="005B2A41">
        <w:t xml:space="preserve"> </w:t>
      </w:r>
      <w:r w:rsidRPr="00B02247">
        <w:t>along</w:t>
      </w:r>
      <w:r w:rsidR="005B2A41">
        <w:t xml:space="preserve"> </w:t>
      </w:r>
      <w:r w:rsidRPr="00B02247">
        <w:t>with</w:t>
      </w:r>
      <w:r w:rsidR="005B2A41">
        <w:t xml:space="preserve"> </w:t>
      </w:r>
      <w:r w:rsidRPr="00B02247">
        <w:t>the</w:t>
      </w:r>
      <w:r w:rsidR="005B2A41">
        <w:t xml:space="preserve"> </w:t>
      </w:r>
      <w:r w:rsidRPr="00B02247">
        <w:t>Ministries,</w:t>
      </w:r>
      <w:r w:rsidR="005B2A41">
        <w:t xml:space="preserve"> </w:t>
      </w:r>
      <w:r w:rsidRPr="00B02247">
        <w:t>Authorities</w:t>
      </w:r>
      <w:r w:rsidR="005B2A41">
        <w:t xml:space="preserve"> </w:t>
      </w:r>
      <w:r w:rsidRPr="00B02247">
        <w:t>and</w:t>
      </w:r>
      <w:r w:rsidR="005B2A41">
        <w:t xml:space="preserve"> </w:t>
      </w:r>
      <w:r w:rsidRPr="00B02247">
        <w:t>Agencies</w:t>
      </w:r>
      <w:r w:rsidR="005B2A41">
        <w:t xml:space="preserve"> </w:t>
      </w:r>
      <w:r w:rsidRPr="00B02247">
        <w:t>involved,</w:t>
      </w:r>
      <w:r w:rsidR="005B2A41">
        <w:t xml:space="preserve"> </w:t>
      </w:r>
      <w:r w:rsidRPr="00B02247">
        <w:t>the</w:t>
      </w:r>
      <w:r w:rsidR="005B2A41">
        <w:t xml:space="preserve"> </w:t>
      </w:r>
      <w:r w:rsidRPr="00B02247">
        <w:t>National</w:t>
      </w:r>
      <w:r w:rsidR="005B2A41">
        <w:t xml:space="preserve"> </w:t>
      </w:r>
      <w:r w:rsidRPr="00B02247">
        <w:t>Confederation</w:t>
      </w:r>
      <w:r w:rsidR="005B2A41">
        <w:t xml:space="preserve"> </w:t>
      </w:r>
      <w:r w:rsidRPr="00B02247">
        <w:t>of</w:t>
      </w:r>
      <w:r w:rsidR="005B2A41">
        <w:t xml:space="preserve"> </w:t>
      </w:r>
      <w:r w:rsidRPr="00B02247">
        <w:t>Persons</w:t>
      </w:r>
      <w:r w:rsidR="005B2A41">
        <w:t xml:space="preserve"> </w:t>
      </w:r>
      <w:r w:rsidRPr="00B02247">
        <w:t>with</w:t>
      </w:r>
      <w:r w:rsidR="005B2A41">
        <w:t xml:space="preserve"> </w:t>
      </w:r>
      <w:r w:rsidRPr="00B02247">
        <w:t>Disabilities.</w:t>
      </w:r>
      <w:r w:rsidR="005B2A41">
        <w:t xml:space="preserve"> </w:t>
      </w:r>
    </w:p>
    <w:p w:rsidR="00F233AB" w:rsidRPr="00B02247" w:rsidRDefault="00F233AB" w:rsidP="00E1307D">
      <w:pPr>
        <w:pStyle w:val="SingleTxtG"/>
      </w:pPr>
      <w:r w:rsidRPr="00B02247">
        <w:t>147.</w:t>
      </w:r>
      <w:r w:rsidRPr="00B02247">
        <w:tab/>
        <w:t>In</w:t>
      </w:r>
      <w:r w:rsidR="005B2A41">
        <w:t xml:space="preserve"> </w:t>
      </w:r>
      <w:r w:rsidRPr="00B02247">
        <w:t>view</w:t>
      </w:r>
      <w:r w:rsidR="005B2A41">
        <w:t xml:space="preserve"> </w:t>
      </w:r>
      <w:r w:rsidRPr="00B02247">
        <w:t>of</w:t>
      </w:r>
      <w:r w:rsidR="005B2A41">
        <w:t xml:space="preserve"> </w:t>
      </w:r>
      <w:r w:rsidRPr="00B02247">
        <w:t>the</w:t>
      </w:r>
      <w:r w:rsidR="005B2A41">
        <w:t xml:space="preserve"> </w:t>
      </w:r>
      <w:r w:rsidRPr="00B02247">
        <w:t>preparation</w:t>
      </w:r>
      <w:r w:rsidR="005B2A41">
        <w:t xml:space="preserve"> </w:t>
      </w:r>
      <w:r w:rsidRPr="00B02247">
        <w:t>of</w:t>
      </w:r>
      <w:r w:rsidR="005B2A41">
        <w:t xml:space="preserve"> </w:t>
      </w:r>
      <w:r w:rsidRPr="00B02247">
        <w:t>Greece</w:t>
      </w:r>
      <w:r w:rsidR="003E731F">
        <w:t>’</w:t>
      </w:r>
      <w:r w:rsidRPr="00B02247">
        <w:t>s</w:t>
      </w:r>
      <w:r w:rsidR="005B2A41">
        <w:t xml:space="preserve"> </w:t>
      </w:r>
      <w:r w:rsidRPr="00B02247">
        <w:t>UPR</w:t>
      </w:r>
      <w:r w:rsidR="005B2A41">
        <w:t xml:space="preserve"> </w:t>
      </w:r>
      <w:r w:rsidRPr="00B02247">
        <w:t>report,</w:t>
      </w:r>
      <w:r w:rsidR="005B2A41">
        <w:t xml:space="preserve"> </w:t>
      </w:r>
      <w:r w:rsidRPr="00B02247">
        <w:t>an</w:t>
      </w:r>
      <w:r w:rsidR="005B2A41">
        <w:t xml:space="preserve"> </w:t>
      </w:r>
      <w:r w:rsidRPr="00B02247">
        <w:t>open</w:t>
      </w:r>
      <w:r w:rsidR="005B2A41">
        <w:t xml:space="preserve"> </w:t>
      </w:r>
      <w:r w:rsidRPr="00B02247">
        <w:t>invitation</w:t>
      </w:r>
      <w:r w:rsidR="005B2A41">
        <w:t xml:space="preserve"> </w:t>
      </w:r>
      <w:r w:rsidRPr="00B02247">
        <w:t>to</w:t>
      </w:r>
      <w:r w:rsidR="005B2A41">
        <w:t xml:space="preserve"> </w:t>
      </w:r>
      <w:r w:rsidRPr="00B02247">
        <w:t>a</w:t>
      </w:r>
      <w:r w:rsidR="005B2A41">
        <w:t xml:space="preserve"> </w:t>
      </w:r>
      <w:r w:rsidRPr="00B02247">
        <w:t>public</w:t>
      </w:r>
      <w:r w:rsidR="005B2A41">
        <w:t xml:space="preserve"> </w:t>
      </w:r>
      <w:r w:rsidRPr="00B02247">
        <w:t>consultation</w:t>
      </w:r>
      <w:r w:rsidR="005B2A41">
        <w:t xml:space="preserve"> </w:t>
      </w:r>
      <w:r w:rsidRPr="00B02247">
        <w:t>with</w:t>
      </w:r>
      <w:r w:rsidR="005B2A41">
        <w:t xml:space="preserve"> </w:t>
      </w:r>
      <w:r w:rsidRPr="00B02247">
        <w:t>civil</w:t>
      </w:r>
      <w:r w:rsidR="005B2A41">
        <w:t xml:space="preserve"> </w:t>
      </w:r>
      <w:r w:rsidRPr="00B02247">
        <w:t>society</w:t>
      </w:r>
      <w:r w:rsidR="005B2A41">
        <w:t xml:space="preserve"> </w:t>
      </w:r>
      <w:r w:rsidRPr="00B02247">
        <w:t>representatives</w:t>
      </w:r>
      <w:r w:rsidR="005B2A41">
        <w:t xml:space="preserve"> </w:t>
      </w:r>
      <w:r w:rsidRPr="00B02247">
        <w:t>of</w:t>
      </w:r>
      <w:r w:rsidR="005B2A41">
        <w:t xml:space="preserve"> </w:t>
      </w:r>
      <w:r w:rsidRPr="00B02247">
        <w:t>the</w:t>
      </w:r>
      <w:r w:rsidR="005B2A41">
        <w:t xml:space="preserve"> </w:t>
      </w:r>
      <w:r w:rsidRPr="00B02247">
        <w:t>General</w:t>
      </w:r>
      <w:r w:rsidR="005B2A41">
        <w:t xml:space="preserve"> </w:t>
      </w:r>
      <w:r w:rsidRPr="00B02247">
        <w:t>Secretariat</w:t>
      </w:r>
      <w:r w:rsidR="005B2A41">
        <w:t xml:space="preserve"> </w:t>
      </w:r>
      <w:r w:rsidRPr="00B02247">
        <w:t>for</w:t>
      </w:r>
      <w:r w:rsidR="005B2A41">
        <w:t xml:space="preserve"> </w:t>
      </w:r>
      <w:r w:rsidRPr="00B02247">
        <w:t>Transparency</w:t>
      </w:r>
      <w:r w:rsidR="005B2A41">
        <w:t xml:space="preserve"> </w:t>
      </w:r>
      <w:r w:rsidRPr="00B02247">
        <w:t>and</w:t>
      </w:r>
      <w:r w:rsidR="005B2A41">
        <w:t xml:space="preserve"> </w:t>
      </w:r>
      <w:r w:rsidRPr="00B02247">
        <w:t>Human</w:t>
      </w:r>
      <w:r w:rsidR="005B2A41">
        <w:t xml:space="preserve"> </w:t>
      </w:r>
      <w:r w:rsidRPr="00B02247">
        <w:t>Rights</w:t>
      </w:r>
      <w:r w:rsidR="005B2A41">
        <w:t xml:space="preserve"> </w:t>
      </w:r>
      <w:r w:rsidRPr="00B02247">
        <w:t>of</w:t>
      </w:r>
      <w:r w:rsidR="005B2A41">
        <w:t xml:space="preserve"> </w:t>
      </w:r>
      <w:r w:rsidRPr="00B02247">
        <w:t>the</w:t>
      </w:r>
      <w:r w:rsidR="005B2A41">
        <w:t xml:space="preserve"> </w:t>
      </w:r>
      <w:r w:rsidRPr="00B02247">
        <w:t>Ministry</w:t>
      </w:r>
      <w:r w:rsidR="005B2A41">
        <w:t xml:space="preserve"> </w:t>
      </w:r>
      <w:r w:rsidRPr="00B02247">
        <w:t>of</w:t>
      </w:r>
      <w:r w:rsidR="005B2A41">
        <w:t xml:space="preserve"> </w:t>
      </w:r>
      <w:r w:rsidRPr="00B02247">
        <w:t>Justice,</w:t>
      </w:r>
      <w:r w:rsidR="005B2A41">
        <w:t xml:space="preserve"> </w:t>
      </w:r>
      <w:r w:rsidRPr="00B02247">
        <w:t>Transparency</w:t>
      </w:r>
      <w:r w:rsidR="005B2A41">
        <w:t xml:space="preserve"> </w:t>
      </w:r>
      <w:r w:rsidRPr="00B02247">
        <w:t>and</w:t>
      </w:r>
      <w:r w:rsidR="005B2A41">
        <w:t xml:space="preserve"> </w:t>
      </w:r>
      <w:r w:rsidRPr="00B02247">
        <w:t>Human</w:t>
      </w:r>
      <w:r w:rsidR="005B2A41">
        <w:t xml:space="preserve"> </w:t>
      </w:r>
      <w:r w:rsidRPr="00B02247">
        <w:t>Rights</w:t>
      </w:r>
      <w:r w:rsidR="005B2A41">
        <w:t xml:space="preserve"> </w:t>
      </w:r>
      <w:r w:rsidRPr="00B02247">
        <w:t>was</w:t>
      </w:r>
      <w:r w:rsidR="005B2A41">
        <w:t xml:space="preserve"> </w:t>
      </w:r>
      <w:r w:rsidRPr="00B02247">
        <w:t>posted</w:t>
      </w:r>
      <w:r w:rsidR="005B2A41">
        <w:t xml:space="preserve"> </w:t>
      </w:r>
      <w:r w:rsidRPr="00B02247">
        <w:t>on</w:t>
      </w:r>
      <w:r w:rsidR="005B2A41">
        <w:t xml:space="preserve"> </w:t>
      </w:r>
      <w:r w:rsidRPr="00B02247">
        <w:t>the</w:t>
      </w:r>
      <w:r w:rsidR="005B2A41">
        <w:t xml:space="preserve"> </w:t>
      </w:r>
      <w:r w:rsidRPr="00B02247">
        <w:t>Ministry</w:t>
      </w:r>
      <w:r w:rsidR="003E731F">
        <w:t>’</w:t>
      </w:r>
      <w:r w:rsidRPr="00B02247">
        <w:t>s</w:t>
      </w:r>
      <w:r w:rsidR="005B2A41">
        <w:t xml:space="preserve"> </w:t>
      </w:r>
      <w:r w:rsidRPr="00B02247">
        <w:t>website</w:t>
      </w:r>
      <w:r w:rsidR="005B2A41">
        <w:t xml:space="preserve"> </w:t>
      </w:r>
      <w:r w:rsidRPr="00B02247">
        <w:t>and</w:t>
      </w:r>
      <w:r w:rsidR="005B2A41">
        <w:t xml:space="preserve"> </w:t>
      </w:r>
      <w:r w:rsidRPr="00B02247">
        <w:t>was</w:t>
      </w:r>
      <w:r w:rsidR="005B2A41">
        <w:t xml:space="preserve"> </w:t>
      </w:r>
      <w:r w:rsidRPr="00B02247">
        <w:t>widely</w:t>
      </w:r>
      <w:r w:rsidR="005B2A41">
        <w:t xml:space="preserve"> </w:t>
      </w:r>
      <w:r w:rsidRPr="00B02247">
        <w:t>disseminated.</w:t>
      </w:r>
      <w:r w:rsidR="005B2A41">
        <w:t xml:space="preserve"> </w:t>
      </w:r>
      <w:r w:rsidRPr="00B02247">
        <w:t>The</w:t>
      </w:r>
      <w:r w:rsidR="005B2A41">
        <w:t xml:space="preserve"> </w:t>
      </w:r>
      <w:r w:rsidRPr="00B02247">
        <w:t>National</w:t>
      </w:r>
      <w:r w:rsidR="005B2A41">
        <w:t xml:space="preserve"> </w:t>
      </w:r>
      <w:r w:rsidRPr="00B02247">
        <w:t>Commission</w:t>
      </w:r>
      <w:r w:rsidR="005B2A41">
        <w:t xml:space="preserve"> </w:t>
      </w:r>
      <w:r w:rsidRPr="00B02247">
        <w:t>for</w:t>
      </w:r>
      <w:r w:rsidR="005B2A41">
        <w:t xml:space="preserve"> </w:t>
      </w:r>
      <w:r w:rsidRPr="00B02247">
        <w:t>Human</w:t>
      </w:r>
      <w:r w:rsidR="005B2A41">
        <w:t xml:space="preserve"> </w:t>
      </w:r>
      <w:r w:rsidRPr="00B02247">
        <w:t>Rights</w:t>
      </w:r>
      <w:r w:rsidR="005B2A41">
        <w:t xml:space="preserve"> </w:t>
      </w:r>
      <w:r w:rsidRPr="00B02247">
        <w:t>has</w:t>
      </w:r>
      <w:r w:rsidR="005B2A41">
        <w:t xml:space="preserve"> </w:t>
      </w:r>
      <w:r w:rsidRPr="00B02247">
        <w:t>also</w:t>
      </w:r>
      <w:r w:rsidR="005B2A41">
        <w:t xml:space="preserve"> </w:t>
      </w:r>
      <w:r w:rsidRPr="00B02247">
        <w:t>informed</w:t>
      </w:r>
      <w:r w:rsidR="005B2A41">
        <w:t xml:space="preserve"> </w:t>
      </w:r>
      <w:r w:rsidRPr="00B02247">
        <w:t>its</w:t>
      </w:r>
      <w:r w:rsidR="005B2A41">
        <w:t xml:space="preserve"> </w:t>
      </w:r>
      <w:r w:rsidRPr="00B02247">
        <w:t>members</w:t>
      </w:r>
      <w:r w:rsidR="005B2A41">
        <w:t xml:space="preserve"> </w:t>
      </w:r>
      <w:r w:rsidRPr="00B02247">
        <w:t>about</w:t>
      </w:r>
      <w:r w:rsidR="005B2A41">
        <w:t xml:space="preserve"> </w:t>
      </w:r>
      <w:r w:rsidRPr="00B02247">
        <w:t>the</w:t>
      </w:r>
      <w:r w:rsidR="005B2A41">
        <w:t xml:space="preserve"> </w:t>
      </w:r>
      <w:r w:rsidRPr="00B02247">
        <w:t>consultation.</w:t>
      </w:r>
      <w:r w:rsidR="005B2A41">
        <w:t xml:space="preserve"> </w:t>
      </w:r>
      <w:r w:rsidRPr="00B02247">
        <w:t>A</w:t>
      </w:r>
      <w:r w:rsidR="005B2A41">
        <w:t xml:space="preserve"> </w:t>
      </w:r>
      <w:r w:rsidRPr="00B02247">
        <w:t>number</w:t>
      </w:r>
      <w:r w:rsidR="005B2A41">
        <w:t xml:space="preserve"> </w:t>
      </w:r>
      <w:r w:rsidRPr="00B02247">
        <w:t>of</w:t>
      </w:r>
      <w:r w:rsidR="005B2A41">
        <w:t xml:space="preserve"> </w:t>
      </w:r>
      <w:r w:rsidRPr="00B02247">
        <w:t>civil</w:t>
      </w:r>
      <w:r w:rsidR="005B2A41">
        <w:t xml:space="preserve"> </w:t>
      </w:r>
      <w:r w:rsidRPr="00B02247">
        <w:t>society</w:t>
      </w:r>
      <w:r w:rsidR="005B2A41">
        <w:t xml:space="preserve"> </w:t>
      </w:r>
      <w:r w:rsidRPr="00B02247">
        <w:t>organizations</w:t>
      </w:r>
      <w:r w:rsidR="005B2A41">
        <w:t xml:space="preserve"> </w:t>
      </w:r>
      <w:r w:rsidRPr="00B02247">
        <w:t>submitted</w:t>
      </w:r>
      <w:r w:rsidR="005B2A41">
        <w:t xml:space="preserve"> </w:t>
      </w:r>
      <w:r w:rsidRPr="00B02247">
        <w:t>written</w:t>
      </w:r>
      <w:r w:rsidR="005B2A41">
        <w:t xml:space="preserve"> </w:t>
      </w:r>
      <w:r w:rsidRPr="00B02247">
        <w:t>documents.</w:t>
      </w:r>
      <w:r w:rsidR="005B2A41">
        <w:t xml:space="preserve"> </w:t>
      </w:r>
      <w:r w:rsidRPr="00B02247">
        <w:t>Following</w:t>
      </w:r>
      <w:r w:rsidR="005B2A41">
        <w:t xml:space="preserve"> </w:t>
      </w:r>
      <w:r w:rsidRPr="00B02247">
        <w:t>that,</w:t>
      </w:r>
      <w:r w:rsidR="005B2A41">
        <w:t xml:space="preserve"> </w:t>
      </w:r>
      <w:r w:rsidRPr="00B02247">
        <w:t>a</w:t>
      </w:r>
      <w:r w:rsidR="005B2A41">
        <w:t xml:space="preserve"> </w:t>
      </w:r>
      <w:r w:rsidRPr="00B02247">
        <w:t>public</w:t>
      </w:r>
      <w:r w:rsidR="005B2A41">
        <w:t xml:space="preserve"> </w:t>
      </w:r>
      <w:r w:rsidRPr="00B02247">
        <w:t>hearing</w:t>
      </w:r>
      <w:r w:rsidR="005B2A41">
        <w:t xml:space="preserve"> </w:t>
      </w:r>
      <w:r w:rsidRPr="00B02247">
        <w:t>of</w:t>
      </w:r>
      <w:r w:rsidR="005B2A41">
        <w:t xml:space="preserve"> </w:t>
      </w:r>
      <w:r w:rsidRPr="00B02247">
        <w:t>the</w:t>
      </w:r>
      <w:r w:rsidR="005B2A41">
        <w:t xml:space="preserve"> </w:t>
      </w:r>
      <w:r w:rsidRPr="00B02247">
        <w:t>abovementioned</w:t>
      </w:r>
      <w:r w:rsidR="005B2A41">
        <w:t xml:space="preserve"> </w:t>
      </w:r>
      <w:r w:rsidRPr="00B02247">
        <w:t>civil</w:t>
      </w:r>
      <w:r w:rsidR="005B2A41">
        <w:t xml:space="preserve"> </w:t>
      </w:r>
      <w:r w:rsidRPr="00B02247">
        <w:t>society</w:t>
      </w:r>
      <w:r w:rsidR="005B2A41">
        <w:t xml:space="preserve"> </w:t>
      </w:r>
      <w:r w:rsidRPr="00B02247">
        <w:t>organizations</w:t>
      </w:r>
      <w:r w:rsidR="005B2A41">
        <w:t xml:space="preserve"> </w:t>
      </w:r>
      <w:r w:rsidRPr="00B02247">
        <w:t>was</w:t>
      </w:r>
      <w:r w:rsidR="005B2A41">
        <w:t xml:space="preserve"> </w:t>
      </w:r>
      <w:r w:rsidRPr="00B02247">
        <w:t>held,</w:t>
      </w:r>
      <w:r w:rsidR="005B2A41">
        <w:t xml:space="preserve"> </w:t>
      </w:r>
      <w:r w:rsidRPr="00B02247">
        <w:t>organized</w:t>
      </w:r>
      <w:r w:rsidR="005B2A41">
        <w:t xml:space="preserve"> </w:t>
      </w:r>
      <w:r w:rsidRPr="00B02247">
        <w:t>by</w:t>
      </w:r>
      <w:r w:rsidR="005B2A41">
        <w:t xml:space="preserve"> </w:t>
      </w:r>
      <w:r w:rsidRPr="00B02247">
        <w:t>the</w:t>
      </w:r>
      <w:r w:rsidR="005B2A41">
        <w:t xml:space="preserve"> </w:t>
      </w:r>
      <w:r w:rsidRPr="00B02247">
        <w:t>General</w:t>
      </w:r>
      <w:r w:rsidR="005B2A41">
        <w:t xml:space="preserve"> </w:t>
      </w:r>
      <w:r w:rsidRPr="00B02247">
        <w:t>Secretariat</w:t>
      </w:r>
      <w:r w:rsidR="005B2A41">
        <w:t xml:space="preserve"> </w:t>
      </w:r>
      <w:r w:rsidRPr="00B02247">
        <w:t>for</w:t>
      </w:r>
      <w:r w:rsidR="005B2A41">
        <w:t xml:space="preserve"> </w:t>
      </w:r>
      <w:r w:rsidRPr="00B02247">
        <w:t>Transparency</w:t>
      </w:r>
      <w:r w:rsidR="005B2A41">
        <w:t xml:space="preserve"> </w:t>
      </w:r>
      <w:r w:rsidRPr="00B02247">
        <w:t>and</w:t>
      </w:r>
      <w:r w:rsidR="005B2A41">
        <w:t xml:space="preserve"> </w:t>
      </w:r>
      <w:r w:rsidRPr="00B02247">
        <w:t>Human</w:t>
      </w:r>
      <w:r w:rsidR="005B2A41">
        <w:t xml:space="preserve"> </w:t>
      </w:r>
      <w:r w:rsidRPr="00B02247">
        <w:t>Rights.</w:t>
      </w:r>
    </w:p>
    <w:p w:rsidR="00F233AB" w:rsidRPr="00B02247" w:rsidRDefault="00F233AB" w:rsidP="00E1307D">
      <w:pPr>
        <w:pStyle w:val="SingleTxtG"/>
      </w:pPr>
      <w:r w:rsidRPr="00B02247">
        <w:t>148.</w:t>
      </w:r>
      <w:r w:rsidRPr="00B02247">
        <w:tab/>
        <w:t>According</w:t>
      </w:r>
      <w:r w:rsidR="005B2A41">
        <w:t xml:space="preserve"> </w:t>
      </w:r>
      <w:r w:rsidRPr="00B02247">
        <w:t>to</w:t>
      </w:r>
      <w:r w:rsidR="005B2A41">
        <w:t xml:space="preserve"> </w:t>
      </w:r>
      <w:r w:rsidRPr="00B02247">
        <w:t>the</w:t>
      </w:r>
      <w:r w:rsidR="005B2A41">
        <w:t xml:space="preserve"> </w:t>
      </w:r>
      <w:r w:rsidRPr="00B02247">
        <w:t>Law</w:t>
      </w:r>
      <w:r w:rsidR="005B2A41">
        <w:t xml:space="preserve"> </w:t>
      </w:r>
      <w:r w:rsidRPr="00B02247">
        <w:t>establishing</w:t>
      </w:r>
      <w:r w:rsidR="005B2A41">
        <w:t xml:space="preserve"> </w:t>
      </w:r>
      <w:r w:rsidRPr="00B02247">
        <w:t>the</w:t>
      </w:r>
      <w:r w:rsidR="005B2A41">
        <w:t xml:space="preserve"> </w:t>
      </w:r>
      <w:r w:rsidRPr="00B02247">
        <w:t>NCHR,</w:t>
      </w:r>
      <w:r w:rsidR="005B2A41">
        <w:t xml:space="preserve"> </w:t>
      </w:r>
      <w:r w:rsidRPr="00B02247">
        <w:t>the</w:t>
      </w:r>
      <w:r w:rsidR="005B2A41">
        <w:t xml:space="preserve"> </w:t>
      </w:r>
      <w:r w:rsidRPr="00B02247">
        <w:t>Commission</w:t>
      </w:r>
      <w:r w:rsidR="005B2A41">
        <w:t xml:space="preserve"> </w:t>
      </w:r>
      <w:r w:rsidRPr="00B02247">
        <w:t>delivers</w:t>
      </w:r>
      <w:r w:rsidR="005B2A41">
        <w:t xml:space="preserve"> </w:t>
      </w:r>
      <w:r w:rsidRPr="00B02247">
        <w:t>an</w:t>
      </w:r>
      <w:r w:rsidR="005B2A41">
        <w:t xml:space="preserve"> </w:t>
      </w:r>
      <w:r w:rsidRPr="00B02247">
        <w:t>opinion</w:t>
      </w:r>
      <w:r w:rsidR="005B2A41">
        <w:t xml:space="preserve"> </w:t>
      </w:r>
      <w:r w:rsidRPr="00B02247">
        <w:t>on</w:t>
      </w:r>
      <w:r w:rsidR="005B2A41">
        <w:t xml:space="preserve"> </w:t>
      </w:r>
      <w:r w:rsidRPr="00B02247">
        <w:t>reports</w:t>
      </w:r>
      <w:r w:rsidR="005B2A41">
        <w:t xml:space="preserve"> </w:t>
      </w:r>
      <w:r w:rsidRPr="00B02247">
        <w:t>which</w:t>
      </w:r>
      <w:r w:rsidR="005B2A41">
        <w:t xml:space="preserve"> </w:t>
      </w:r>
      <w:r w:rsidRPr="00B02247">
        <w:t>the</w:t>
      </w:r>
      <w:r w:rsidR="005B2A41">
        <w:t xml:space="preserve"> </w:t>
      </w:r>
      <w:r w:rsidRPr="00B02247">
        <w:t>country</w:t>
      </w:r>
      <w:r w:rsidR="005B2A41">
        <w:t xml:space="preserve"> </w:t>
      </w:r>
      <w:r w:rsidRPr="00B02247">
        <w:t>is</w:t>
      </w:r>
      <w:r w:rsidR="005B2A41">
        <w:t xml:space="preserve"> </w:t>
      </w:r>
      <w:r w:rsidRPr="00B02247">
        <w:t>to</w:t>
      </w:r>
      <w:r w:rsidR="005B2A41">
        <w:t xml:space="preserve"> </w:t>
      </w:r>
      <w:r w:rsidRPr="00B02247">
        <w:t>submit</w:t>
      </w:r>
      <w:r w:rsidR="005B2A41">
        <w:t xml:space="preserve"> </w:t>
      </w:r>
      <w:r w:rsidRPr="00B02247">
        <w:t>to</w:t>
      </w:r>
      <w:r w:rsidR="005B2A41">
        <w:t xml:space="preserve"> </w:t>
      </w:r>
      <w:r w:rsidRPr="00B02247">
        <w:t>international</w:t>
      </w:r>
      <w:r w:rsidR="005B2A41">
        <w:t xml:space="preserve"> </w:t>
      </w:r>
      <w:r w:rsidRPr="00B02247">
        <w:t>organizations</w:t>
      </w:r>
      <w:r w:rsidR="005B2A41">
        <w:t xml:space="preserve"> </w:t>
      </w:r>
      <w:r w:rsidRPr="00B02247">
        <w:t>on</w:t>
      </w:r>
      <w:r w:rsidR="005B2A41">
        <w:t xml:space="preserve"> </w:t>
      </w:r>
      <w:r w:rsidRPr="00B02247">
        <w:t>related</w:t>
      </w:r>
      <w:r w:rsidR="005B2A41">
        <w:t xml:space="preserve"> </w:t>
      </w:r>
      <w:r w:rsidRPr="00B02247">
        <w:t>matters.</w:t>
      </w:r>
      <w:r w:rsidR="005B2A41">
        <w:t xml:space="preserve"> </w:t>
      </w:r>
      <w:r w:rsidRPr="00B02247">
        <w:t>On</w:t>
      </w:r>
      <w:r w:rsidR="005B2A41">
        <w:t xml:space="preserve"> </w:t>
      </w:r>
      <w:r w:rsidRPr="00B02247">
        <w:t>the</w:t>
      </w:r>
      <w:r w:rsidR="005B2A41">
        <w:t xml:space="preserve"> </w:t>
      </w:r>
      <w:r w:rsidRPr="00B02247">
        <w:t>basis</w:t>
      </w:r>
      <w:r w:rsidR="005B2A41">
        <w:t xml:space="preserve"> </w:t>
      </w:r>
      <w:r w:rsidRPr="00B02247">
        <w:t>of</w:t>
      </w:r>
      <w:r w:rsidR="005B2A41">
        <w:t xml:space="preserve"> </w:t>
      </w:r>
      <w:r w:rsidRPr="00B02247">
        <w:t>that</w:t>
      </w:r>
      <w:r w:rsidR="005B2A41">
        <w:t xml:space="preserve"> </w:t>
      </w:r>
      <w:r w:rsidRPr="00B02247">
        <w:t>provision,</w:t>
      </w:r>
      <w:r w:rsidR="005B2A41">
        <w:t xml:space="preserve"> </w:t>
      </w:r>
      <w:r w:rsidRPr="00B02247">
        <w:t>the</w:t>
      </w:r>
      <w:r w:rsidR="005B2A41">
        <w:t xml:space="preserve"> </w:t>
      </w:r>
      <w:r w:rsidRPr="00B02247">
        <w:t>first</w:t>
      </w:r>
      <w:r w:rsidR="005B2A41">
        <w:t xml:space="preserve"> </w:t>
      </w:r>
      <w:r w:rsidRPr="00B02247">
        <w:t>draft</w:t>
      </w:r>
      <w:r w:rsidR="005B2A41">
        <w:t xml:space="preserve"> </w:t>
      </w:r>
      <w:r w:rsidRPr="00B02247">
        <w:t>of</w:t>
      </w:r>
      <w:r w:rsidR="005B2A41">
        <w:t xml:space="preserve"> </w:t>
      </w:r>
      <w:r w:rsidRPr="00B02247">
        <w:t>reports</w:t>
      </w:r>
      <w:r w:rsidR="005B2A41">
        <w:t xml:space="preserve"> </w:t>
      </w:r>
      <w:r w:rsidRPr="00B02247">
        <w:t>to</w:t>
      </w:r>
      <w:r w:rsidR="005B2A41">
        <w:t xml:space="preserve"> </w:t>
      </w:r>
      <w:r w:rsidRPr="00B02247">
        <w:t>UN</w:t>
      </w:r>
      <w:r w:rsidR="005B2A41">
        <w:t xml:space="preserve"> </w:t>
      </w:r>
      <w:r w:rsidRPr="00B02247">
        <w:t>human</w:t>
      </w:r>
      <w:r w:rsidR="005B2A41">
        <w:t xml:space="preserve"> </w:t>
      </w:r>
      <w:r w:rsidRPr="00B02247">
        <w:t>rights</w:t>
      </w:r>
      <w:r w:rsidR="005B2A41">
        <w:t xml:space="preserve"> </w:t>
      </w:r>
      <w:r w:rsidRPr="00B02247">
        <w:t>treaty</w:t>
      </w:r>
      <w:r w:rsidR="005B2A41">
        <w:t xml:space="preserve"> </w:t>
      </w:r>
      <w:r w:rsidRPr="00B02247">
        <w:t>bodies</w:t>
      </w:r>
      <w:r w:rsidR="005B2A41">
        <w:t xml:space="preserve"> </w:t>
      </w:r>
      <w:r w:rsidRPr="00B02247">
        <w:t>is</w:t>
      </w:r>
      <w:r w:rsidR="005B2A41">
        <w:t xml:space="preserve"> </w:t>
      </w:r>
      <w:r w:rsidRPr="00B02247">
        <w:t>submitted</w:t>
      </w:r>
      <w:r w:rsidR="005B2A41">
        <w:t xml:space="preserve"> </w:t>
      </w:r>
      <w:r w:rsidRPr="00B02247">
        <w:t>to</w:t>
      </w:r>
      <w:r w:rsidR="005B2A41">
        <w:t xml:space="preserve"> </w:t>
      </w:r>
      <w:r w:rsidRPr="00B02247">
        <w:t>the</w:t>
      </w:r>
      <w:r w:rsidR="005B2A41">
        <w:t xml:space="preserve"> </w:t>
      </w:r>
      <w:r w:rsidRPr="00B02247">
        <w:t>NCHR,</w:t>
      </w:r>
      <w:r w:rsidR="005B2A41">
        <w:t xml:space="preserve"> </w:t>
      </w:r>
      <w:r w:rsidRPr="00B02247">
        <w:t>in</w:t>
      </w:r>
      <w:r w:rsidR="005B2A41">
        <w:t xml:space="preserve"> </w:t>
      </w:r>
      <w:r w:rsidRPr="00B02247">
        <w:t>which</w:t>
      </w:r>
      <w:r w:rsidR="005B2A41">
        <w:t xml:space="preserve"> </w:t>
      </w:r>
      <w:r w:rsidRPr="00B02247">
        <w:t>participate,</w:t>
      </w:r>
      <w:r w:rsidR="005B2A41">
        <w:t xml:space="preserve"> </w:t>
      </w:r>
      <w:r w:rsidRPr="00B02247">
        <w:t>as</w:t>
      </w:r>
      <w:r w:rsidR="005B2A41">
        <w:t xml:space="preserve"> </w:t>
      </w:r>
      <w:r w:rsidRPr="00B02247">
        <w:t>already</w:t>
      </w:r>
      <w:r w:rsidR="005B2A41">
        <w:t xml:space="preserve"> </w:t>
      </w:r>
      <w:r w:rsidRPr="00B02247">
        <w:t>explained,</w:t>
      </w:r>
      <w:r w:rsidR="005B2A41">
        <w:t xml:space="preserve"> </w:t>
      </w:r>
      <w:r w:rsidRPr="00B02247">
        <w:t>thirty-five</w:t>
      </w:r>
      <w:r w:rsidR="005B2A41">
        <w:t xml:space="preserve"> </w:t>
      </w:r>
      <w:r w:rsidRPr="00B02247">
        <w:t>institutions,</w:t>
      </w:r>
      <w:r w:rsidR="005B2A41">
        <w:t xml:space="preserve"> </w:t>
      </w:r>
      <w:r w:rsidRPr="00B02247">
        <w:t>whose</w:t>
      </w:r>
      <w:r w:rsidR="005B2A41">
        <w:t xml:space="preserve"> </w:t>
      </w:r>
      <w:r w:rsidRPr="00B02247">
        <w:t>activities</w:t>
      </w:r>
      <w:r w:rsidR="005B2A41">
        <w:t xml:space="preserve"> </w:t>
      </w:r>
      <w:r w:rsidRPr="00B02247">
        <w:t>cover</w:t>
      </w:r>
      <w:r w:rsidR="005B2A41">
        <w:t xml:space="preserve"> </w:t>
      </w:r>
      <w:r w:rsidRPr="00B02247">
        <w:t>the</w:t>
      </w:r>
      <w:r w:rsidR="005B2A41">
        <w:t xml:space="preserve"> </w:t>
      </w:r>
      <w:r w:rsidRPr="00B02247">
        <w:t>field</w:t>
      </w:r>
      <w:r w:rsidR="005B2A41">
        <w:t xml:space="preserve"> </w:t>
      </w:r>
      <w:r w:rsidRPr="00B02247">
        <w:t>of</w:t>
      </w:r>
      <w:r w:rsidR="005B2A41">
        <w:t xml:space="preserve"> </w:t>
      </w:r>
      <w:r w:rsidRPr="00B02247">
        <w:t>human</w:t>
      </w:r>
      <w:r w:rsidR="005B2A41">
        <w:t xml:space="preserve"> </w:t>
      </w:r>
      <w:r w:rsidRPr="00B02247">
        <w:t>rights,</w:t>
      </w:r>
      <w:r w:rsidR="005B2A41">
        <w:t xml:space="preserve"> </w:t>
      </w:r>
      <w:r w:rsidRPr="00B02247">
        <w:t>including</w:t>
      </w:r>
      <w:r w:rsidR="005B2A41">
        <w:t xml:space="preserve"> </w:t>
      </w:r>
      <w:r w:rsidRPr="00B02247">
        <w:t>six</w:t>
      </w:r>
      <w:r w:rsidR="005B2A41">
        <w:t xml:space="preserve"> </w:t>
      </w:r>
      <w:r w:rsidRPr="00B02247">
        <w:t>major</w:t>
      </w:r>
      <w:r w:rsidR="005B2A41">
        <w:t xml:space="preserve"> </w:t>
      </w:r>
      <w:r w:rsidRPr="00B02247">
        <w:t>NGOs.</w:t>
      </w:r>
      <w:r w:rsidR="005B2A41">
        <w:t xml:space="preserve"> </w:t>
      </w:r>
      <w:r w:rsidRPr="00B02247">
        <w:t>The</w:t>
      </w:r>
      <w:r w:rsidR="005B2A41">
        <w:t xml:space="preserve"> </w:t>
      </w:r>
      <w:r w:rsidRPr="00B02247">
        <w:t>comments</w:t>
      </w:r>
      <w:r w:rsidR="005B2A41">
        <w:t xml:space="preserve"> </w:t>
      </w:r>
      <w:r w:rsidRPr="00B02247">
        <w:t>of</w:t>
      </w:r>
      <w:r w:rsidR="005B2A41">
        <w:t xml:space="preserve"> </w:t>
      </w:r>
      <w:r w:rsidRPr="00B02247">
        <w:t>the</w:t>
      </w:r>
      <w:r w:rsidR="005B2A41">
        <w:t xml:space="preserve"> </w:t>
      </w:r>
      <w:r w:rsidRPr="00B02247">
        <w:t>NCHR</w:t>
      </w:r>
      <w:r w:rsidR="005B2A41">
        <w:t xml:space="preserve"> </w:t>
      </w:r>
      <w:r w:rsidRPr="00B02247">
        <w:t>are</w:t>
      </w:r>
      <w:r w:rsidR="005B2A41">
        <w:t xml:space="preserve"> </w:t>
      </w:r>
      <w:r w:rsidRPr="00B02247">
        <w:t>incorporated,</w:t>
      </w:r>
      <w:r w:rsidR="005B2A41">
        <w:t xml:space="preserve"> </w:t>
      </w:r>
      <w:r w:rsidRPr="00B02247">
        <w:t>to</w:t>
      </w:r>
      <w:r w:rsidR="005B2A41">
        <w:t xml:space="preserve"> </w:t>
      </w:r>
      <w:r w:rsidRPr="00B02247">
        <w:t>the</w:t>
      </w:r>
      <w:r w:rsidR="005B2A41">
        <w:t xml:space="preserve"> </w:t>
      </w:r>
      <w:r w:rsidRPr="00B02247">
        <w:t>largest</w:t>
      </w:r>
      <w:r w:rsidR="005B2A41">
        <w:t xml:space="preserve"> </w:t>
      </w:r>
      <w:r w:rsidRPr="00B02247">
        <w:t>extent</w:t>
      </w:r>
      <w:r w:rsidR="005B2A41">
        <w:t xml:space="preserve"> </w:t>
      </w:r>
      <w:r w:rsidRPr="00B02247">
        <w:t>possible,</w:t>
      </w:r>
      <w:r w:rsidR="005B2A41">
        <w:t xml:space="preserve"> </w:t>
      </w:r>
      <w:r w:rsidRPr="00B02247">
        <w:t>into</w:t>
      </w:r>
      <w:r w:rsidR="005B2A41">
        <w:t xml:space="preserve"> </w:t>
      </w:r>
      <w:r w:rsidRPr="00B02247">
        <w:t>the</w:t>
      </w:r>
      <w:r w:rsidR="005B2A41">
        <w:t xml:space="preserve"> </w:t>
      </w:r>
      <w:r w:rsidRPr="00B02247">
        <w:t>final</w:t>
      </w:r>
      <w:r w:rsidR="005B2A41">
        <w:t xml:space="preserve"> </w:t>
      </w:r>
      <w:r w:rsidRPr="00B02247">
        <w:t>text</w:t>
      </w:r>
      <w:r w:rsidR="005B2A41">
        <w:t xml:space="preserve"> </w:t>
      </w:r>
      <w:r w:rsidRPr="00B02247">
        <w:t>of</w:t>
      </w:r>
      <w:r w:rsidR="005B2A41">
        <w:t xml:space="preserve"> </w:t>
      </w:r>
      <w:r w:rsidRPr="00B02247">
        <w:t>the</w:t>
      </w:r>
      <w:r w:rsidR="005B2A41">
        <w:t xml:space="preserve"> </w:t>
      </w:r>
      <w:r w:rsidRPr="00B02247">
        <w:t>report.</w:t>
      </w:r>
      <w:r w:rsidR="005B2A41">
        <w:t xml:space="preserve"> </w:t>
      </w:r>
    </w:p>
    <w:p w:rsidR="00F233AB" w:rsidRPr="00B02247" w:rsidRDefault="00F233AB" w:rsidP="00E1307D">
      <w:pPr>
        <w:pStyle w:val="SingleTxtG"/>
      </w:pPr>
      <w:r w:rsidRPr="00B02247">
        <w:t>149.</w:t>
      </w:r>
      <w:r w:rsidRPr="00B02247">
        <w:tab/>
        <w:t>The</w:t>
      </w:r>
      <w:r w:rsidR="005B2A41">
        <w:t xml:space="preserve"> </w:t>
      </w:r>
      <w:r w:rsidRPr="00B02247">
        <w:t>Concluding</w:t>
      </w:r>
      <w:r w:rsidR="005B2A41">
        <w:t xml:space="preserve"> </w:t>
      </w:r>
      <w:r w:rsidRPr="00B02247">
        <w:t>Observations</w:t>
      </w:r>
      <w:r w:rsidR="005B2A41">
        <w:t xml:space="preserve"> </w:t>
      </w:r>
      <w:r w:rsidRPr="00B02247">
        <w:t>of</w:t>
      </w:r>
      <w:r w:rsidR="005B2A41">
        <w:t xml:space="preserve"> </w:t>
      </w:r>
      <w:r w:rsidRPr="00B02247">
        <w:t>the</w:t>
      </w:r>
      <w:r w:rsidR="005B2A41">
        <w:t xml:space="preserve"> </w:t>
      </w:r>
      <w:r w:rsidRPr="00B02247">
        <w:t>UN</w:t>
      </w:r>
      <w:r w:rsidR="005B2A41">
        <w:t xml:space="preserve"> </w:t>
      </w:r>
      <w:r w:rsidRPr="00B02247">
        <w:t>treaty</w:t>
      </w:r>
      <w:r w:rsidR="005B2A41">
        <w:t xml:space="preserve"> </w:t>
      </w:r>
      <w:r w:rsidRPr="00B02247">
        <w:t>bodies</w:t>
      </w:r>
      <w:r w:rsidR="005B2A41">
        <w:t xml:space="preserve"> </w:t>
      </w:r>
      <w:r w:rsidRPr="00B02247">
        <w:t>are,</w:t>
      </w:r>
      <w:r w:rsidR="005B2A41">
        <w:t xml:space="preserve"> </w:t>
      </w:r>
      <w:r w:rsidRPr="00B02247">
        <w:t>usually,</w:t>
      </w:r>
      <w:r w:rsidR="005B2A41">
        <w:t xml:space="preserve"> </w:t>
      </w:r>
      <w:r w:rsidRPr="00B02247">
        <w:t>translated</w:t>
      </w:r>
      <w:r w:rsidR="005B2A41">
        <w:t xml:space="preserve"> </w:t>
      </w:r>
      <w:r w:rsidRPr="00B02247">
        <w:t>into</w:t>
      </w:r>
      <w:r w:rsidR="005B2A41">
        <w:t xml:space="preserve"> </w:t>
      </w:r>
      <w:r w:rsidRPr="00B02247">
        <w:t>Greek</w:t>
      </w:r>
      <w:r w:rsidR="005B2A41">
        <w:t xml:space="preserve"> </w:t>
      </w:r>
      <w:r w:rsidRPr="00B02247">
        <w:t>and</w:t>
      </w:r>
      <w:r w:rsidR="005B2A41">
        <w:t xml:space="preserve"> </w:t>
      </w:r>
      <w:r w:rsidRPr="00B02247">
        <w:t>posted</w:t>
      </w:r>
      <w:r w:rsidR="005B2A41">
        <w:t xml:space="preserve"> </w:t>
      </w:r>
      <w:r w:rsidRPr="00B02247">
        <w:t>on</w:t>
      </w:r>
      <w:r w:rsidR="005B2A41">
        <w:t xml:space="preserve"> </w:t>
      </w:r>
      <w:r w:rsidRPr="00B02247">
        <w:t>the</w:t>
      </w:r>
      <w:r w:rsidR="005B2A41">
        <w:t xml:space="preserve"> </w:t>
      </w:r>
      <w:r w:rsidRPr="00B02247">
        <w:t>website</w:t>
      </w:r>
      <w:r w:rsidR="005B2A41">
        <w:t xml:space="preserve"> </w:t>
      </w:r>
      <w:r w:rsidRPr="00B02247">
        <w:t>of</w:t>
      </w:r>
      <w:r w:rsidR="005B2A41">
        <w:t xml:space="preserve"> </w:t>
      </w:r>
      <w:r w:rsidRPr="00B02247">
        <w:t>the</w:t>
      </w:r>
      <w:r w:rsidR="005B2A41">
        <w:t xml:space="preserve"> </w:t>
      </w:r>
      <w:r w:rsidRPr="00B02247">
        <w:t>NCHR.</w:t>
      </w:r>
      <w:r w:rsidR="005B2A41">
        <w:t xml:space="preserve"> </w:t>
      </w:r>
      <w:r w:rsidRPr="00B02247">
        <w:t>They</w:t>
      </w:r>
      <w:r w:rsidR="005B2A41">
        <w:t xml:space="preserve"> </w:t>
      </w:r>
      <w:r w:rsidRPr="00B02247">
        <w:t>are</w:t>
      </w:r>
      <w:r w:rsidR="005B2A41">
        <w:t xml:space="preserve"> </w:t>
      </w:r>
      <w:r w:rsidRPr="00B02247">
        <w:t>also</w:t>
      </w:r>
      <w:r w:rsidR="005B2A41">
        <w:t xml:space="preserve"> </w:t>
      </w:r>
      <w:r w:rsidRPr="00B02247">
        <w:t>widely</w:t>
      </w:r>
      <w:r w:rsidR="005B2A41">
        <w:t xml:space="preserve"> </w:t>
      </w:r>
      <w:r w:rsidRPr="00B02247">
        <w:t>disseminated</w:t>
      </w:r>
      <w:r w:rsidR="005B2A41">
        <w:t xml:space="preserve"> </w:t>
      </w:r>
      <w:r w:rsidRPr="00B02247">
        <w:t>within</w:t>
      </w:r>
      <w:r w:rsidR="005B2A41">
        <w:t xml:space="preserve"> </w:t>
      </w:r>
      <w:r w:rsidRPr="00B02247">
        <w:t>the</w:t>
      </w:r>
      <w:r w:rsidR="005B2A41">
        <w:t xml:space="preserve"> </w:t>
      </w:r>
      <w:r w:rsidRPr="00B02247">
        <w:t>Administration.</w:t>
      </w:r>
      <w:r w:rsidR="005B2A41">
        <w:t xml:space="preserve"> </w:t>
      </w:r>
      <w:r w:rsidRPr="00B02247">
        <w:t>Relevant</w:t>
      </w:r>
      <w:r w:rsidR="005B2A41">
        <w:t xml:space="preserve"> </w:t>
      </w:r>
      <w:r w:rsidRPr="00B02247">
        <w:t>articles</w:t>
      </w:r>
      <w:r w:rsidR="005B2A41">
        <w:t xml:space="preserve"> </w:t>
      </w:r>
      <w:r w:rsidRPr="00B02247">
        <w:t>are</w:t>
      </w:r>
      <w:r w:rsidR="005B2A41">
        <w:t xml:space="preserve"> </w:t>
      </w:r>
      <w:r w:rsidRPr="00B02247">
        <w:t>often</w:t>
      </w:r>
      <w:r w:rsidR="005B2A41">
        <w:t xml:space="preserve"> </w:t>
      </w:r>
      <w:r w:rsidRPr="00B02247">
        <w:t>published</w:t>
      </w:r>
      <w:r w:rsidR="005B2A41">
        <w:t xml:space="preserve"> </w:t>
      </w:r>
      <w:r w:rsidRPr="00B02247">
        <w:t>in</w:t>
      </w:r>
      <w:r w:rsidR="005B2A41">
        <w:t xml:space="preserve"> </w:t>
      </w:r>
      <w:r w:rsidRPr="00B02247">
        <w:t>the</w:t>
      </w:r>
      <w:r w:rsidR="005B2A41">
        <w:t xml:space="preserve"> </w:t>
      </w:r>
      <w:r w:rsidRPr="00B02247">
        <w:t>press.</w:t>
      </w:r>
      <w:r w:rsidR="005B2A41">
        <w:t xml:space="preserve"> </w:t>
      </w:r>
      <w:r w:rsidRPr="00B02247">
        <w:t>Further</w:t>
      </w:r>
      <w:r w:rsidR="005B2A41">
        <w:t xml:space="preserve"> </w:t>
      </w:r>
      <w:r w:rsidRPr="00B02247">
        <w:t>efforts</w:t>
      </w:r>
      <w:r w:rsidR="005B2A41">
        <w:t xml:space="preserve"> </w:t>
      </w:r>
      <w:r w:rsidRPr="00B02247">
        <w:t>will</w:t>
      </w:r>
      <w:r w:rsidR="005B2A41">
        <w:t xml:space="preserve"> </w:t>
      </w:r>
      <w:r w:rsidRPr="00B02247">
        <w:t>be</w:t>
      </w:r>
      <w:r w:rsidR="005B2A41">
        <w:t xml:space="preserve"> </w:t>
      </w:r>
      <w:r w:rsidRPr="00B02247">
        <w:t>made</w:t>
      </w:r>
      <w:r w:rsidR="005B2A41">
        <w:t xml:space="preserve"> </w:t>
      </w:r>
      <w:r w:rsidRPr="00B02247">
        <w:t>to</w:t>
      </w:r>
      <w:r w:rsidR="005B2A41">
        <w:t xml:space="preserve"> </w:t>
      </w:r>
      <w:r w:rsidRPr="00B02247">
        <w:t>increase</w:t>
      </w:r>
      <w:r w:rsidR="005B2A41">
        <w:t xml:space="preserve"> </w:t>
      </w:r>
      <w:r w:rsidRPr="00B02247">
        <w:t>dissemination</w:t>
      </w:r>
      <w:r w:rsidR="005B2A41">
        <w:t xml:space="preserve"> </w:t>
      </w:r>
      <w:r w:rsidRPr="00B02247">
        <w:t>and</w:t>
      </w:r>
      <w:r w:rsidR="005B2A41">
        <w:t xml:space="preserve"> </w:t>
      </w:r>
      <w:r w:rsidRPr="00B02247">
        <w:t>public</w:t>
      </w:r>
      <w:r w:rsidR="005B2A41">
        <w:t xml:space="preserve"> </w:t>
      </w:r>
      <w:r w:rsidRPr="00B02247">
        <w:t>awareness</w:t>
      </w:r>
      <w:r w:rsidR="005B2A41">
        <w:t xml:space="preserve"> </w:t>
      </w:r>
      <w:r w:rsidRPr="00B02247">
        <w:t>of</w:t>
      </w:r>
      <w:r w:rsidR="005B2A41">
        <w:t xml:space="preserve"> </w:t>
      </w:r>
      <w:r w:rsidRPr="00B02247">
        <w:t>treaty</w:t>
      </w:r>
      <w:r w:rsidR="005B2A41">
        <w:t xml:space="preserve"> </w:t>
      </w:r>
      <w:r w:rsidRPr="00B02247">
        <w:t>bodies</w:t>
      </w:r>
      <w:r w:rsidR="003E731F">
        <w:t>’</w:t>
      </w:r>
      <w:r w:rsidR="005B2A41">
        <w:t xml:space="preserve"> </w:t>
      </w:r>
      <w:r w:rsidRPr="00B02247">
        <w:t>recommendations.</w:t>
      </w:r>
      <w:r w:rsidR="005B2A41">
        <w:t xml:space="preserve"> </w:t>
      </w:r>
    </w:p>
    <w:p w:rsidR="00F233AB" w:rsidRPr="00B02247" w:rsidRDefault="00F233AB" w:rsidP="00A5132A">
      <w:pPr>
        <w:pStyle w:val="HChG"/>
      </w:pPr>
      <w:bookmarkStart w:id="13" w:name="_Toc72567232"/>
      <w:bookmarkStart w:id="14" w:name="_Toc72567492"/>
      <w:bookmarkStart w:id="15" w:name="_Toc73328518"/>
      <w:bookmarkStart w:id="16" w:name="_Toc133268787"/>
      <w:r w:rsidRPr="00B02247">
        <w:lastRenderedPageBreak/>
        <w:tab/>
        <w:t>III.</w:t>
      </w:r>
      <w:r w:rsidRPr="00B02247">
        <w:tab/>
        <w:t>Information</w:t>
      </w:r>
      <w:r w:rsidR="005B2A41">
        <w:t xml:space="preserve"> </w:t>
      </w:r>
      <w:r w:rsidRPr="00B02247">
        <w:t>on</w:t>
      </w:r>
      <w:r w:rsidR="005B2A41">
        <w:t xml:space="preserve"> </w:t>
      </w:r>
      <w:r w:rsidRPr="00B02247">
        <w:t>non-discrimination</w:t>
      </w:r>
      <w:r w:rsidR="005B2A41">
        <w:t xml:space="preserve"> </w:t>
      </w:r>
      <w:r w:rsidRPr="00B02247">
        <w:t>and</w:t>
      </w:r>
      <w:r w:rsidR="005B2A41">
        <w:t xml:space="preserve"> </w:t>
      </w:r>
      <w:r w:rsidRPr="00B02247">
        <w:t>equality</w:t>
      </w:r>
      <w:r w:rsidR="005B2A41">
        <w:t xml:space="preserve"> </w:t>
      </w:r>
      <w:r w:rsidRPr="00B02247">
        <w:t>and</w:t>
      </w:r>
      <w:r w:rsidR="005B2A41">
        <w:t xml:space="preserve"> </w:t>
      </w:r>
      <w:r w:rsidRPr="00B02247">
        <w:t>effective</w:t>
      </w:r>
      <w:r w:rsidR="005B2A41">
        <w:t xml:space="preserve"> </w:t>
      </w:r>
      <w:r w:rsidRPr="00B02247">
        <w:t>remedies</w:t>
      </w:r>
      <w:bookmarkEnd w:id="13"/>
      <w:bookmarkEnd w:id="14"/>
      <w:bookmarkEnd w:id="15"/>
      <w:bookmarkEnd w:id="16"/>
    </w:p>
    <w:p w:rsidR="00F233AB" w:rsidRPr="00B02247" w:rsidRDefault="00F233AB" w:rsidP="007C1ADB">
      <w:pPr>
        <w:pStyle w:val="H1G"/>
      </w:pPr>
      <w:r w:rsidRPr="00B02247">
        <w:tab/>
      </w:r>
      <w:r w:rsidRPr="00B02247">
        <w:tab/>
        <w:t>Constitutional</w:t>
      </w:r>
      <w:r w:rsidR="005B2A41">
        <w:t xml:space="preserve"> </w:t>
      </w:r>
      <w:r w:rsidRPr="00B02247">
        <w:t>level</w:t>
      </w:r>
    </w:p>
    <w:p w:rsidR="00F233AB" w:rsidRPr="00B02247" w:rsidRDefault="00F233AB" w:rsidP="00E1307D">
      <w:pPr>
        <w:pStyle w:val="SingleTxtG"/>
      </w:pPr>
      <w:r w:rsidRPr="00B02247">
        <w:t>150.</w:t>
      </w:r>
      <w:r w:rsidRPr="00B02247">
        <w:tab/>
        <w:t>The</w:t>
      </w:r>
      <w:r w:rsidR="005B2A41">
        <w:t xml:space="preserve"> </w:t>
      </w:r>
      <w:r w:rsidRPr="00B02247">
        <w:t>general</w:t>
      </w:r>
      <w:r w:rsidR="005B2A41">
        <w:t xml:space="preserve"> </w:t>
      </w:r>
      <w:r w:rsidRPr="00B02247">
        <w:t>principle</w:t>
      </w:r>
      <w:r w:rsidR="005B2A41">
        <w:t xml:space="preserve"> </w:t>
      </w:r>
      <w:r w:rsidRPr="00B02247">
        <w:t>of</w:t>
      </w:r>
      <w:r w:rsidR="005B2A41">
        <w:t xml:space="preserve"> </w:t>
      </w:r>
      <w:r w:rsidRPr="00B02247">
        <w:t>equality</w:t>
      </w:r>
      <w:r w:rsidR="005B2A41">
        <w:t xml:space="preserve"> </w:t>
      </w:r>
      <w:r w:rsidRPr="00B02247">
        <w:t>before</w:t>
      </w:r>
      <w:r w:rsidR="005B2A41">
        <w:t xml:space="preserve"> </w:t>
      </w:r>
      <w:r w:rsidRPr="00B02247">
        <w:t>the</w:t>
      </w:r>
      <w:r w:rsidR="005B2A41">
        <w:t xml:space="preserve"> </w:t>
      </w:r>
      <w:r w:rsidRPr="00B02247">
        <w:t>law</w:t>
      </w:r>
      <w:r w:rsidR="005B2A41">
        <w:t xml:space="preserve"> </w:t>
      </w:r>
      <w:r w:rsidRPr="00B02247">
        <w:t>is</w:t>
      </w:r>
      <w:r w:rsidR="005B2A41">
        <w:t xml:space="preserve"> </w:t>
      </w:r>
      <w:r w:rsidRPr="00B02247">
        <w:t>established</w:t>
      </w:r>
      <w:r w:rsidR="005B2A41">
        <w:t xml:space="preserve"> </w:t>
      </w:r>
      <w:r w:rsidRPr="00B02247">
        <w:t>in</w:t>
      </w:r>
      <w:r w:rsidR="005B2A41">
        <w:t xml:space="preserve"> </w:t>
      </w:r>
      <w:r w:rsidRPr="00B02247">
        <w:t>article</w:t>
      </w:r>
      <w:r w:rsidR="005B2A41">
        <w:t xml:space="preserve"> </w:t>
      </w:r>
      <w:r w:rsidRPr="00B02247">
        <w:t>4</w:t>
      </w:r>
      <w:r w:rsidR="005B2A41">
        <w:t xml:space="preserve"> </w:t>
      </w:r>
      <w:r w:rsidRPr="00B02247">
        <w:t>(1)</w:t>
      </w:r>
      <w:r w:rsidR="005B2A41">
        <w:t xml:space="preserve"> </w:t>
      </w:r>
      <w:r w:rsidRPr="00B02247">
        <w:t>of</w:t>
      </w:r>
      <w:r w:rsidR="005B2A41">
        <w:t xml:space="preserve"> </w:t>
      </w:r>
      <w:r w:rsidRPr="00B02247">
        <w:t>the</w:t>
      </w:r>
      <w:r w:rsidR="005B2A41">
        <w:t xml:space="preserve"> </w:t>
      </w:r>
      <w:r w:rsidRPr="00B02247">
        <w:t>Greek</w:t>
      </w:r>
      <w:r w:rsidR="005B2A41">
        <w:t xml:space="preserve"> </w:t>
      </w:r>
      <w:r w:rsidRPr="00B02247">
        <w:t>Constitution,</w:t>
      </w:r>
      <w:r w:rsidR="005B2A41">
        <w:t xml:space="preserve"> </w:t>
      </w:r>
      <w:r w:rsidRPr="00B02247">
        <w:t>which</w:t>
      </w:r>
      <w:r w:rsidR="005B2A41">
        <w:t xml:space="preserve"> </w:t>
      </w:r>
      <w:r w:rsidRPr="00B02247">
        <w:t>provides</w:t>
      </w:r>
      <w:r w:rsidR="005B2A41">
        <w:t xml:space="preserve"> </w:t>
      </w:r>
      <w:r w:rsidRPr="00B02247">
        <w:t>that</w:t>
      </w:r>
      <w:r w:rsidR="005B2A41">
        <w:t xml:space="preserve"> </w:t>
      </w:r>
      <w:r w:rsidR="003E731F">
        <w:t>“</w:t>
      </w:r>
      <w:r w:rsidRPr="00B02247">
        <w:t>Greeks</w:t>
      </w:r>
      <w:r w:rsidR="005B2A41">
        <w:t xml:space="preserve"> </w:t>
      </w:r>
      <w:r w:rsidRPr="00B02247">
        <w:t>are</w:t>
      </w:r>
      <w:r w:rsidR="005B2A41">
        <w:t xml:space="preserve"> </w:t>
      </w:r>
      <w:r w:rsidRPr="00B02247">
        <w:t>equal</w:t>
      </w:r>
      <w:r w:rsidR="005B2A41">
        <w:t xml:space="preserve"> </w:t>
      </w:r>
      <w:r w:rsidRPr="00B02247">
        <w:t>before</w:t>
      </w:r>
      <w:r w:rsidR="005B2A41">
        <w:t xml:space="preserve"> </w:t>
      </w:r>
      <w:r w:rsidRPr="00B02247">
        <w:t>the</w:t>
      </w:r>
      <w:r w:rsidR="005B2A41">
        <w:t xml:space="preserve"> </w:t>
      </w:r>
      <w:r w:rsidRPr="00B02247">
        <w:t>law</w:t>
      </w:r>
      <w:r w:rsidR="003E731F">
        <w:t>”</w:t>
      </w:r>
      <w:r w:rsidR="005B2A41">
        <w:t xml:space="preserve"> </w:t>
      </w:r>
      <w:r w:rsidRPr="00B02247">
        <w:t>and</w:t>
      </w:r>
      <w:r w:rsidR="005B2A41">
        <w:t xml:space="preserve"> </w:t>
      </w:r>
      <w:r w:rsidRPr="00B02247">
        <w:t>is</w:t>
      </w:r>
      <w:r w:rsidR="005B2A41">
        <w:t xml:space="preserve"> </w:t>
      </w:r>
      <w:r w:rsidRPr="00B02247">
        <w:t>binding</w:t>
      </w:r>
      <w:r w:rsidR="005B2A41">
        <w:t xml:space="preserve"> </w:t>
      </w:r>
      <w:r w:rsidRPr="00B02247">
        <w:t>on</w:t>
      </w:r>
      <w:r w:rsidR="005B2A41">
        <w:t xml:space="preserve"> </w:t>
      </w:r>
      <w:r w:rsidRPr="00B02247">
        <w:t>both</w:t>
      </w:r>
      <w:r w:rsidR="005B2A41">
        <w:t xml:space="preserve"> </w:t>
      </w:r>
      <w:r w:rsidRPr="00B02247">
        <w:t>the</w:t>
      </w:r>
      <w:r w:rsidR="005B2A41">
        <w:t xml:space="preserve"> </w:t>
      </w:r>
      <w:r w:rsidRPr="00B02247">
        <w:t>legislator</w:t>
      </w:r>
      <w:r w:rsidR="005B2A41">
        <w:t xml:space="preserve"> </w:t>
      </w:r>
      <w:r w:rsidRPr="00B02247">
        <w:t>and</w:t>
      </w:r>
      <w:r w:rsidR="005B2A41">
        <w:t xml:space="preserve"> </w:t>
      </w:r>
      <w:r w:rsidRPr="00B02247">
        <w:t>the</w:t>
      </w:r>
      <w:r w:rsidR="005B2A41">
        <w:t xml:space="preserve"> </w:t>
      </w:r>
      <w:r w:rsidRPr="00B02247">
        <w:t>judiciary.</w:t>
      </w:r>
      <w:r w:rsidR="005B2A41">
        <w:t xml:space="preserve"> </w:t>
      </w:r>
      <w:r w:rsidRPr="00B02247">
        <w:t>According</w:t>
      </w:r>
      <w:r w:rsidR="005B2A41">
        <w:t xml:space="preserve"> </w:t>
      </w:r>
      <w:r w:rsidRPr="00B02247">
        <w:t>to</w:t>
      </w:r>
      <w:r w:rsidR="005B2A41">
        <w:t xml:space="preserve"> </w:t>
      </w:r>
      <w:r w:rsidRPr="00B02247">
        <w:t>the</w:t>
      </w:r>
      <w:r w:rsidR="005B2A41">
        <w:t xml:space="preserve"> </w:t>
      </w:r>
      <w:r w:rsidRPr="00B02247">
        <w:t>content</w:t>
      </w:r>
      <w:r w:rsidR="005B2A41">
        <w:t xml:space="preserve"> </w:t>
      </w:r>
      <w:r w:rsidRPr="00B02247">
        <w:t>of</w:t>
      </w:r>
      <w:r w:rsidR="005B2A41">
        <w:t xml:space="preserve"> </w:t>
      </w:r>
      <w:r w:rsidRPr="00B02247">
        <w:t>article</w:t>
      </w:r>
      <w:r w:rsidR="005B2A41">
        <w:t xml:space="preserve"> </w:t>
      </w:r>
      <w:r w:rsidRPr="00B02247">
        <w:t>4</w:t>
      </w:r>
      <w:r w:rsidR="005B2A41">
        <w:t xml:space="preserve"> </w:t>
      </w:r>
      <w:r w:rsidRPr="00B02247">
        <w:t>(1),</w:t>
      </w:r>
      <w:r w:rsidR="005B2A41">
        <w:t xml:space="preserve"> </w:t>
      </w:r>
      <w:r w:rsidRPr="00B02247">
        <w:t>equality</w:t>
      </w:r>
      <w:r w:rsidR="005B2A41">
        <w:t xml:space="preserve"> </w:t>
      </w:r>
      <w:r w:rsidRPr="00B02247">
        <w:t>is</w:t>
      </w:r>
      <w:r w:rsidR="005B2A41">
        <w:t xml:space="preserve"> </w:t>
      </w:r>
      <w:r w:rsidRPr="00B02247">
        <w:t>to</w:t>
      </w:r>
      <w:r w:rsidR="005B2A41">
        <w:t xml:space="preserve"> </w:t>
      </w:r>
      <w:r w:rsidRPr="00B02247">
        <w:t>be</w:t>
      </w:r>
      <w:r w:rsidR="005B2A41">
        <w:t xml:space="preserve"> </w:t>
      </w:r>
      <w:r w:rsidRPr="00B02247">
        <w:t>construed</w:t>
      </w:r>
      <w:r w:rsidR="005B2A41">
        <w:t xml:space="preserve"> </w:t>
      </w:r>
      <w:r w:rsidRPr="00B02247">
        <w:t>not</w:t>
      </w:r>
      <w:r w:rsidR="005B2A41">
        <w:t xml:space="preserve"> </w:t>
      </w:r>
      <w:r w:rsidRPr="00B02247">
        <w:t>solely</w:t>
      </w:r>
      <w:r w:rsidR="005B2A41">
        <w:t xml:space="preserve"> </w:t>
      </w:r>
      <w:r w:rsidRPr="00B02247">
        <w:t>as</w:t>
      </w:r>
      <w:r w:rsidR="005B2A41">
        <w:t xml:space="preserve"> </w:t>
      </w:r>
      <w:r w:rsidRPr="00B02247">
        <w:t>equal</w:t>
      </w:r>
      <w:r w:rsidR="005B2A41">
        <w:t xml:space="preserve"> </w:t>
      </w:r>
      <w:r w:rsidRPr="00B02247">
        <w:t>treatment</w:t>
      </w:r>
      <w:r w:rsidR="005B2A41">
        <w:t xml:space="preserve"> </w:t>
      </w:r>
      <w:r w:rsidRPr="00B02247">
        <w:t>of</w:t>
      </w:r>
      <w:r w:rsidR="005B2A41">
        <w:t xml:space="preserve"> </w:t>
      </w:r>
      <w:r w:rsidRPr="00B02247">
        <w:t>citizens</w:t>
      </w:r>
      <w:r w:rsidR="005B2A41">
        <w:t xml:space="preserve"> </w:t>
      </w:r>
      <w:r w:rsidRPr="00B02247">
        <w:t>in</w:t>
      </w:r>
      <w:r w:rsidR="005B2A41">
        <w:t xml:space="preserve"> </w:t>
      </w:r>
      <w:r w:rsidRPr="00B02247">
        <w:t>the</w:t>
      </w:r>
      <w:r w:rsidR="005B2A41">
        <w:t xml:space="preserve"> </w:t>
      </w:r>
      <w:r w:rsidRPr="00B02247">
        <w:t>implementation</w:t>
      </w:r>
      <w:r w:rsidR="005B2A41">
        <w:t xml:space="preserve"> </w:t>
      </w:r>
      <w:r w:rsidRPr="00B02247">
        <w:t>of</w:t>
      </w:r>
      <w:r w:rsidR="005B2A41">
        <w:t xml:space="preserve"> </w:t>
      </w:r>
      <w:r w:rsidRPr="00B02247">
        <w:t>the</w:t>
      </w:r>
      <w:r w:rsidR="005B2A41">
        <w:t xml:space="preserve"> </w:t>
      </w:r>
      <w:r w:rsidRPr="00B02247">
        <w:t>law,</w:t>
      </w:r>
      <w:r w:rsidR="005B2A41">
        <w:t xml:space="preserve"> </w:t>
      </w:r>
      <w:r w:rsidRPr="00B02247">
        <w:t>i.e.</w:t>
      </w:r>
      <w:r w:rsidR="005B2A41">
        <w:t xml:space="preserve"> </w:t>
      </w:r>
      <w:r w:rsidRPr="00B02247">
        <w:t>an</w:t>
      </w:r>
      <w:r w:rsidR="005B2A41">
        <w:t xml:space="preserve"> </w:t>
      </w:r>
      <w:r w:rsidRPr="00B02247">
        <w:t>obligation</w:t>
      </w:r>
      <w:r w:rsidR="005B2A41">
        <w:t xml:space="preserve"> </w:t>
      </w:r>
      <w:r w:rsidRPr="00B02247">
        <w:t>of</w:t>
      </w:r>
      <w:r w:rsidR="005B2A41">
        <w:t xml:space="preserve"> </w:t>
      </w:r>
      <w:r w:rsidRPr="00B02247">
        <w:t>the</w:t>
      </w:r>
      <w:r w:rsidR="005B2A41">
        <w:t xml:space="preserve"> </w:t>
      </w:r>
      <w:r w:rsidRPr="00B02247">
        <w:t>administration</w:t>
      </w:r>
      <w:r w:rsidR="005B2A41">
        <w:t xml:space="preserve"> </w:t>
      </w:r>
      <w:r w:rsidRPr="00B02247">
        <w:t>to</w:t>
      </w:r>
      <w:r w:rsidR="005B2A41">
        <w:t xml:space="preserve"> </w:t>
      </w:r>
      <w:r w:rsidRPr="00B02247">
        <w:t>apply</w:t>
      </w:r>
      <w:r w:rsidR="005B2A41">
        <w:t xml:space="preserve"> </w:t>
      </w:r>
      <w:r w:rsidRPr="00B02247">
        <w:t>the</w:t>
      </w:r>
      <w:r w:rsidR="005B2A41">
        <w:t xml:space="preserve"> </w:t>
      </w:r>
      <w:r w:rsidRPr="00B02247">
        <w:t>law</w:t>
      </w:r>
      <w:r w:rsidR="005B2A41">
        <w:t xml:space="preserve"> </w:t>
      </w:r>
      <w:r w:rsidRPr="00B02247">
        <w:t>in</w:t>
      </w:r>
      <w:r w:rsidR="005B2A41">
        <w:t xml:space="preserve"> </w:t>
      </w:r>
      <w:r w:rsidRPr="00B02247">
        <w:t>a</w:t>
      </w:r>
      <w:r w:rsidR="005B2A41">
        <w:t xml:space="preserve"> </w:t>
      </w:r>
      <w:r w:rsidRPr="00B02247">
        <w:t>non-discriminatory</w:t>
      </w:r>
      <w:r w:rsidR="005B2A41">
        <w:t xml:space="preserve"> </w:t>
      </w:r>
      <w:r w:rsidRPr="00B02247">
        <w:t>manner</w:t>
      </w:r>
      <w:r w:rsidR="005B2A41">
        <w:t xml:space="preserve"> </w:t>
      </w:r>
      <w:r w:rsidRPr="00B02247">
        <w:t>(equality</w:t>
      </w:r>
      <w:r w:rsidR="005B2A41">
        <w:t xml:space="preserve"> </w:t>
      </w:r>
      <w:r w:rsidRPr="00B02247">
        <w:t>before</w:t>
      </w:r>
      <w:r w:rsidR="005B2A41">
        <w:t xml:space="preserve"> </w:t>
      </w:r>
      <w:r w:rsidRPr="00B02247">
        <w:t>the</w:t>
      </w:r>
      <w:r w:rsidR="005B2A41">
        <w:t xml:space="preserve"> </w:t>
      </w:r>
      <w:r w:rsidRPr="00B02247">
        <w:t>law),</w:t>
      </w:r>
      <w:r w:rsidR="005B2A41">
        <w:t xml:space="preserve"> </w:t>
      </w:r>
      <w:r w:rsidRPr="00B02247">
        <w:t>but</w:t>
      </w:r>
      <w:r w:rsidR="005B2A41">
        <w:t xml:space="preserve"> </w:t>
      </w:r>
      <w:r w:rsidRPr="00B02247">
        <w:t>also</w:t>
      </w:r>
      <w:r w:rsidR="005B2A41">
        <w:t xml:space="preserve"> </w:t>
      </w:r>
      <w:r w:rsidRPr="00B02247">
        <w:t>as</w:t>
      </w:r>
      <w:r w:rsidR="005B2A41">
        <w:t xml:space="preserve"> </w:t>
      </w:r>
      <w:r w:rsidRPr="00B02247">
        <w:t>an</w:t>
      </w:r>
      <w:r w:rsidR="005B2A41">
        <w:t xml:space="preserve"> </w:t>
      </w:r>
      <w:r w:rsidRPr="00B02247">
        <w:t>obligation</w:t>
      </w:r>
      <w:r w:rsidR="005B2A41">
        <w:t xml:space="preserve"> </w:t>
      </w:r>
      <w:r w:rsidRPr="00B02247">
        <w:t>of</w:t>
      </w:r>
      <w:r w:rsidR="005B2A41">
        <w:t xml:space="preserve"> </w:t>
      </w:r>
      <w:r w:rsidRPr="00B02247">
        <w:t>the</w:t>
      </w:r>
      <w:r w:rsidR="005B2A41">
        <w:t xml:space="preserve"> </w:t>
      </w:r>
      <w:r w:rsidRPr="00B02247">
        <w:t>legislator</w:t>
      </w:r>
      <w:r w:rsidR="005B2A41">
        <w:t xml:space="preserve"> </w:t>
      </w:r>
      <w:r w:rsidRPr="00B02247">
        <w:t>to</w:t>
      </w:r>
      <w:r w:rsidR="005B2A41">
        <w:t xml:space="preserve"> </w:t>
      </w:r>
      <w:r w:rsidRPr="00B02247">
        <w:t>treat</w:t>
      </w:r>
      <w:r w:rsidR="005B2A41">
        <w:t xml:space="preserve"> </w:t>
      </w:r>
      <w:r w:rsidRPr="00B02247">
        <w:t>significantly</w:t>
      </w:r>
      <w:r w:rsidR="005B2A41">
        <w:t xml:space="preserve"> </w:t>
      </w:r>
      <w:r w:rsidRPr="00B02247">
        <w:t>similar</w:t>
      </w:r>
      <w:r w:rsidR="005B2A41">
        <w:t xml:space="preserve"> </w:t>
      </w:r>
      <w:r w:rsidRPr="00B02247">
        <w:t>situations</w:t>
      </w:r>
      <w:r w:rsidR="005B2A41">
        <w:t xml:space="preserve"> </w:t>
      </w:r>
      <w:r w:rsidRPr="00B02247">
        <w:t>in</w:t>
      </w:r>
      <w:r w:rsidR="005B2A41">
        <w:t xml:space="preserve"> </w:t>
      </w:r>
      <w:r w:rsidRPr="00B02247">
        <w:t>a</w:t>
      </w:r>
      <w:r w:rsidR="005B2A41">
        <w:t xml:space="preserve"> </w:t>
      </w:r>
      <w:r w:rsidRPr="00B02247">
        <w:t>similar</w:t>
      </w:r>
      <w:r w:rsidR="005B2A41">
        <w:t xml:space="preserve"> </w:t>
      </w:r>
      <w:r w:rsidRPr="00B02247">
        <w:t>manner,</w:t>
      </w:r>
      <w:r w:rsidR="005B2A41">
        <w:t xml:space="preserve"> </w:t>
      </w:r>
      <w:r w:rsidRPr="00B02247">
        <w:t>and</w:t>
      </w:r>
      <w:r w:rsidR="005B2A41">
        <w:t xml:space="preserve"> </w:t>
      </w:r>
      <w:r w:rsidRPr="00B02247">
        <w:t>significantly</w:t>
      </w:r>
      <w:r w:rsidR="005B2A41">
        <w:t xml:space="preserve"> </w:t>
      </w:r>
      <w:r w:rsidRPr="00B02247">
        <w:t>different</w:t>
      </w:r>
      <w:r w:rsidR="005B2A41">
        <w:t xml:space="preserve"> </w:t>
      </w:r>
      <w:r w:rsidRPr="00B02247">
        <w:t>situations</w:t>
      </w:r>
      <w:r w:rsidR="005B2A41">
        <w:t xml:space="preserve"> </w:t>
      </w:r>
      <w:r w:rsidRPr="00B02247">
        <w:t>in</w:t>
      </w:r>
      <w:r w:rsidR="005B2A41">
        <w:t xml:space="preserve"> </w:t>
      </w:r>
      <w:r w:rsidRPr="00B02247">
        <w:t>a</w:t>
      </w:r>
      <w:r w:rsidR="005B2A41">
        <w:t xml:space="preserve"> </w:t>
      </w:r>
      <w:r w:rsidRPr="00B02247">
        <w:t>different</w:t>
      </w:r>
      <w:r w:rsidR="005B2A41">
        <w:t xml:space="preserve"> </w:t>
      </w:r>
      <w:r w:rsidRPr="00B02247">
        <w:t>manner,</w:t>
      </w:r>
      <w:r w:rsidR="005B2A41">
        <w:t xml:space="preserve"> </w:t>
      </w:r>
      <w:r w:rsidRPr="00B02247">
        <w:t>when</w:t>
      </w:r>
      <w:r w:rsidR="005B2A41">
        <w:t xml:space="preserve"> </w:t>
      </w:r>
      <w:r w:rsidRPr="00B02247">
        <w:t>enacting</w:t>
      </w:r>
      <w:r w:rsidR="005B2A41">
        <w:t xml:space="preserve"> </w:t>
      </w:r>
      <w:r w:rsidRPr="00B02247">
        <w:t>a</w:t>
      </w:r>
      <w:r w:rsidR="005B2A41">
        <w:t xml:space="preserve"> </w:t>
      </w:r>
      <w:r w:rsidRPr="00B02247">
        <w:t>legal</w:t>
      </w:r>
      <w:r w:rsidR="005B2A41">
        <w:t xml:space="preserve"> </w:t>
      </w:r>
      <w:r w:rsidRPr="00B02247">
        <w:t>instrument</w:t>
      </w:r>
      <w:r w:rsidR="005B2A41">
        <w:t xml:space="preserve"> </w:t>
      </w:r>
      <w:r w:rsidRPr="00B02247">
        <w:t>(equal</w:t>
      </w:r>
      <w:r w:rsidR="005B2A41">
        <w:t xml:space="preserve"> </w:t>
      </w:r>
      <w:r w:rsidRPr="00B02247">
        <w:t>protection</w:t>
      </w:r>
      <w:r w:rsidR="005B2A41">
        <w:t xml:space="preserve"> </w:t>
      </w:r>
      <w:r w:rsidRPr="00B02247">
        <w:t>of</w:t>
      </w:r>
      <w:r w:rsidR="005B2A41">
        <w:t xml:space="preserve"> </w:t>
      </w:r>
      <w:r w:rsidRPr="00B02247">
        <w:t>the</w:t>
      </w:r>
      <w:r w:rsidR="005B2A41">
        <w:t xml:space="preserve"> </w:t>
      </w:r>
      <w:r w:rsidRPr="00B02247">
        <w:t>law).</w:t>
      </w:r>
      <w:r w:rsidR="005B2A41">
        <w:t xml:space="preserve"> </w:t>
      </w:r>
      <w:r w:rsidRPr="00B02247">
        <w:t>Any</w:t>
      </w:r>
      <w:r w:rsidR="005B2A41">
        <w:t xml:space="preserve"> </w:t>
      </w:r>
      <w:r w:rsidRPr="00B02247">
        <w:t>differential</w:t>
      </w:r>
      <w:r w:rsidR="005B2A41">
        <w:t xml:space="preserve"> </w:t>
      </w:r>
      <w:r w:rsidRPr="00B02247">
        <w:t>treatment</w:t>
      </w:r>
      <w:r w:rsidR="005B2A41">
        <w:t xml:space="preserve"> </w:t>
      </w:r>
      <w:r w:rsidRPr="00B02247">
        <w:t>must</w:t>
      </w:r>
      <w:r w:rsidR="005B2A41">
        <w:t xml:space="preserve"> </w:t>
      </w:r>
      <w:r w:rsidRPr="00B02247">
        <w:t>be</w:t>
      </w:r>
      <w:r w:rsidR="005B2A41">
        <w:t xml:space="preserve"> </w:t>
      </w:r>
      <w:r w:rsidRPr="00B02247">
        <w:t>based</w:t>
      </w:r>
      <w:r w:rsidR="005B2A41">
        <w:t xml:space="preserve"> </w:t>
      </w:r>
      <w:r w:rsidRPr="00B02247">
        <w:t>on</w:t>
      </w:r>
      <w:r w:rsidR="005B2A41">
        <w:t xml:space="preserve"> </w:t>
      </w:r>
      <w:r w:rsidRPr="00B02247">
        <w:t>reasonable</w:t>
      </w:r>
      <w:r w:rsidR="005B2A41">
        <w:t xml:space="preserve"> </w:t>
      </w:r>
      <w:r w:rsidRPr="00B02247">
        <w:t>and</w:t>
      </w:r>
      <w:r w:rsidR="005B2A41">
        <w:t xml:space="preserve"> </w:t>
      </w:r>
      <w:r w:rsidRPr="00B02247">
        <w:t>objective</w:t>
      </w:r>
      <w:r w:rsidR="005B2A41">
        <w:t xml:space="preserve"> </w:t>
      </w:r>
      <w:r w:rsidRPr="00B02247">
        <w:t>criteria</w:t>
      </w:r>
      <w:r w:rsidR="005B2A41">
        <w:t xml:space="preserve"> </w:t>
      </w:r>
      <w:r w:rsidRPr="00B02247">
        <w:t>or</w:t>
      </w:r>
      <w:r w:rsidR="005B2A41">
        <w:t xml:space="preserve"> </w:t>
      </w:r>
      <w:r w:rsidRPr="00B02247">
        <w:t>be</w:t>
      </w:r>
      <w:r w:rsidR="005B2A41">
        <w:t xml:space="preserve"> </w:t>
      </w:r>
      <w:r w:rsidRPr="00B02247">
        <w:t>justified</w:t>
      </w:r>
      <w:r w:rsidR="005B2A41">
        <w:t xml:space="preserve"> </w:t>
      </w:r>
      <w:r w:rsidRPr="00B02247">
        <w:t>by</w:t>
      </w:r>
      <w:r w:rsidR="005B2A41">
        <w:t xml:space="preserve"> </w:t>
      </w:r>
      <w:r w:rsidRPr="00B02247">
        <w:t>special</w:t>
      </w:r>
      <w:r w:rsidR="005B2A41">
        <w:t xml:space="preserve"> </w:t>
      </w:r>
      <w:r w:rsidRPr="00B02247">
        <w:t>circumstances</w:t>
      </w:r>
      <w:r w:rsidR="005B2A41">
        <w:t xml:space="preserve"> </w:t>
      </w:r>
      <w:r w:rsidRPr="00B02247">
        <w:t>or</w:t>
      </w:r>
      <w:r w:rsidR="005B2A41">
        <w:t xml:space="preserve"> </w:t>
      </w:r>
      <w:r w:rsidRPr="00B02247">
        <w:t>other</w:t>
      </w:r>
      <w:r w:rsidR="005B2A41">
        <w:t xml:space="preserve"> </w:t>
      </w:r>
      <w:r w:rsidRPr="00B02247">
        <w:t>specific</w:t>
      </w:r>
      <w:r w:rsidR="005B2A41">
        <w:t xml:space="preserve"> </w:t>
      </w:r>
      <w:r w:rsidRPr="00B02247">
        <w:t>reasons</w:t>
      </w:r>
      <w:r w:rsidR="005B2A41">
        <w:t xml:space="preserve"> </w:t>
      </w:r>
      <w:r w:rsidRPr="00B02247">
        <w:t>that</w:t>
      </w:r>
      <w:r w:rsidR="005B2A41">
        <w:t xml:space="preserve"> </w:t>
      </w:r>
      <w:r w:rsidRPr="00B02247">
        <w:t>will</w:t>
      </w:r>
      <w:r w:rsidR="005B2A41">
        <w:t xml:space="preserve"> </w:t>
      </w:r>
      <w:r w:rsidRPr="00B02247">
        <w:t>promote</w:t>
      </w:r>
      <w:r w:rsidR="005B2A41">
        <w:t xml:space="preserve"> </w:t>
      </w:r>
      <w:r w:rsidRPr="00B02247">
        <w:t>the</w:t>
      </w:r>
      <w:r w:rsidR="005B2A41">
        <w:t xml:space="preserve"> </w:t>
      </w:r>
      <w:r w:rsidRPr="00B02247">
        <w:t>general</w:t>
      </w:r>
      <w:r w:rsidR="005B2A41">
        <w:t xml:space="preserve"> </w:t>
      </w:r>
      <w:r w:rsidRPr="00B02247">
        <w:t>interest.</w:t>
      </w:r>
    </w:p>
    <w:p w:rsidR="00F233AB" w:rsidRPr="00B02247" w:rsidRDefault="00F233AB" w:rsidP="00E1307D">
      <w:pPr>
        <w:pStyle w:val="SingleTxtG"/>
      </w:pPr>
      <w:r w:rsidRPr="00B02247">
        <w:t>151.</w:t>
      </w:r>
      <w:r w:rsidRPr="00B02247">
        <w:tab/>
        <w:t>The</w:t>
      </w:r>
      <w:r w:rsidR="005B2A41">
        <w:t xml:space="preserve"> </w:t>
      </w:r>
      <w:r w:rsidRPr="00B02247">
        <w:t>special</w:t>
      </w:r>
      <w:r w:rsidR="005B2A41">
        <w:t xml:space="preserve"> </w:t>
      </w:r>
      <w:r w:rsidRPr="00B02247">
        <w:t>provision</w:t>
      </w:r>
      <w:r w:rsidR="005B2A41">
        <w:t xml:space="preserve"> </w:t>
      </w:r>
      <w:r w:rsidRPr="00B02247">
        <w:t>of</w:t>
      </w:r>
      <w:r w:rsidR="005B2A41">
        <w:t xml:space="preserve"> </w:t>
      </w:r>
      <w:r w:rsidRPr="00B02247">
        <w:t>Article</w:t>
      </w:r>
      <w:r w:rsidR="005B2A41">
        <w:t xml:space="preserve"> </w:t>
      </w:r>
      <w:r w:rsidRPr="00B02247">
        <w:t>5</w:t>
      </w:r>
      <w:r w:rsidR="005B2A41">
        <w:t xml:space="preserve"> </w:t>
      </w:r>
      <w:r w:rsidRPr="00B02247">
        <w:t>(2)</w:t>
      </w:r>
      <w:r w:rsidR="005B2A41">
        <w:t xml:space="preserve"> </w:t>
      </w:r>
      <w:r w:rsidRPr="00B02247">
        <w:t>of</w:t>
      </w:r>
      <w:r w:rsidR="005B2A41">
        <w:t xml:space="preserve"> </w:t>
      </w:r>
      <w:r w:rsidRPr="00B02247">
        <w:t>the</w:t>
      </w:r>
      <w:r w:rsidR="005B2A41">
        <w:t xml:space="preserve"> </w:t>
      </w:r>
      <w:r w:rsidRPr="00B02247">
        <w:t>Constitution</w:t>
      </w:r>
      <w:r w:rsidR="005B2A41">
        <w:t xml:space="preserve"> </w:t>
      </w:r>
      <w:r w:rsidRPr="00B02247">
        <w:t>supplements</w:t>
      </w:r>
      <w:r w:rsidR="005B2A41">
        <w:t xml:space="preserve"> </w:t>
      </w:r>
      <w:r w:rsidRPr="00B02247">
        <w:t>the</w:t>
      </w:r>
      <w:r w:rsidR="005B2A41">
        <w:t xml:space="preserve"> </w:t>
      </w:r>
      <w:r w:rsidRPr="00B02247">
        <w:t>general</w:t>
      </w:r>
      <w:r w:rsidR="005B2A41">
        <w:t xml:space="preserve"> </w:t>
      </w:r>
      <w:r w:rsidRPr="00B02247">
        <w:t>principle</w:t>
      </w:r>
      <w:r w:rsidR="005B2A41">
        <w:t xml:space="preserve"> </w:t>
      </w:r>
      <w:r w:rsidRPr="00B02247">
        <w:t>of</w:t>
      </w:r>
      <w:r w:rsidR="005B2A41">
        <w:t xml:space="preserve"> </w:t>
      </w:r>
      <w:r w:rsidRPr="00B02247">
        <w:t>equality</w:t>
      </w:r>
      <w:r w:rsidR="005B2A41">
        <w:t xml:space="preserve"> </w:t>
      </w:r>
      <w:r w:rsidRPr="00B02247">
        <w:t>before</w:t>
      </w:r>
      <w:r w:rsidR="005B2A41">
        <w:t xml:space="preserve"> </w:t>
      </w:r>
      <w:r w:rsidRPr="00B02247">
        <w:t>the</w:t>
      </w:r>
      <w:r w:rsidR="005B2A41">
        <w:t xml:space="preserve"> </w:t>
      </w:r>
      <w:r w:rsidRPr="00B02247">
        <w:t>law.</w:t>
      </w:r>
      <w:r w:rsidR="005B2A41">
        <w:t xml:space="preserve"> </w:t>
      </w:r>
      <w:r w:rsidRPr="00B02247">
        <w:t>This</w:t>
      </w:r>
      <w:r w:rsidR="005B2A41">
        <w:t xml:space="preserve"> </w:t>
      </w:r>
      <w:r w:rsidRPr="00B02247">
        <w:t>provision</w:t>
      </w:r>
      <w:r w:rsidR="005B2A41">
        <w:t xml:space="preserve"> </w:t>
      </w:r>
      <w:r w:rsidRPr="00B02247">
        <w:t>establishes</w:t>
      </w:r>
      <w:r w:rsidR="005B2A41">
        <w:t xml:space="preserve"> </w:t>
      </w:r>
      <w:r w:rsidRPr="00B02247">
        <w:t>the</w:t>
      </w:r>
      <w:r w:rsidR="005B2A41">
        <w:t xml:space="preserve"> </w:t>
      </w:r>
      <w:r w:rsidRPr="00B02247">
        <w:t>right</w:t>
      </w:r>
      <w:r w:rsidR="005B2A41">
        <w:t xml:space="preserve"> </w:t>
      </w:r>
      <w:r w:rsidRPr="00B02247">
        <w:t>of</w:t>
      </w:r>
      <w:r w:rsidR="005B2A41">
        <w:t xml:space="preserve"> </w:t>
      </w:r>
      <w:r w:rsidRPr="00B02247">
        <w:t>equal</w:t>
      </w:r>
      <w:r w:rsidR="005B2A41">
        <w:t xml:space="preserve"> </w:t>
      </w:r>
      <w:r w:rsidRPr="00B02247">
        <w:t>enjoyment</w:t>
      </w:r>
      <w:r w:rsidR="005B2A41">
        <w:t xml:space="preserve"> </w:t>
      </w:r>
      <w:r w:rsidRPr="00B02247">
        <w:t>of</w:t>
      </w:r>
      <w:r w:rsidR="005B2A41">
        <w:t xml:space="preserve"> </w:t>
      </w:r>
      <w:r w:rsidRPr="00B02247">
        <w:t>rights</w:t>
      </w:r>
      <w:r w:rsidR="005B2A41">
        <w:t xml:space="preserve"> </w:t>
      </w:r>
      <w:r w:rsidRPr="00B02247">
        <w:t>both</w:t>
      </w:r>
      <w:r w:rsidR="005B2A41">
        <w:t xml:space="preserve"> </w:t>
      </w:r>
      <w:r w:rsidRPr="00B02247">
        <w:t>for</w:t>
      </w:r>
      <w:r w:rsidR="005B2A41">
        <w:t xml:space="preserve"> </w:t>
      </w:r>
      <w:r w:rsidRPr="00B02247">
        <w:t>Greek</w:t>
      </w:r>
      <w:r w:rsidR="005B2A41">
        <w:t xml:space="preserve"> </w:t>
      </w:r>
      <w:r w:rsidRPr="00B02247">
        <w:t>citizens</w:t>
      </w:r>
      <w:r w:rsidR="005B2A41">
        <w:t xml:space="preserve"> </w:t>
      </w:r>
      <w:r w:rsidRPr="00B02247">
        <w:t>and</w:t>
      </w:r>
      <w:r w:rsidR="005B2A41">
        <w:t xml:space="preserve"> </w:t>
      </w:r>
      <w:r w:rsidRPr="00B02247">
        <w:t>aliens.</w:t>
      </w:r>
      <w:r w:rsidR="005B2A41">
        <w:t xml:space="preserve"> </w:t>
      </w:r>
      <w:r w:rsidRPr="00B02247">
        <w:t>According</w:t>
      </w:r>
      <w:r w:rsidR="005B2A41">
        <w:t xml:space="preserve"> </w:t>
      </w:r>
      <w:r w:rsidRPr="00B02247">
        <w:t>to</w:t>
      </w:r>
      <w:r w:rsidR="005B2A41">
        <w:t xml:space="preserve"> </w:t>
      </w:r>
      <w:r w:rsidRPr="00B02247">
        <w:t>the</w:t>
      </w:r>
      <w:r w:rsidR="005B2A41">
        <w:t xml:space="preserve"> </w:t>
      </w:r>
      <w:r w:rsidRPr="00B02247">
        <w:t>said</w:t>
      </w:r>
      <w:r w:rsidR="005B2A41">
        <w:t xml:space="preserve"> </w:t>
      </w:r>
      <w:r w:rsidRPr="00B02247">
        <w:t>provision,</w:t>
      </w:r>
      <w:r w:rsidR="005B2A41">
        <w:t xml:space="preserve"> </w:t>
      </w:r>
      <w:r w:rsidR="003E731F">
        <w:t>“</w:t>
      </w:r>
      <w:r w:rsidRPr="00B02247">
        <w:t>All</w:t>
      </w:r>
      <w:r w:rsidR="005B2A41">
        <w:t xml:space="preserve"> </w:t>
      </w:r>
      <w:r w:rsidRPr="00B02247">
        <w:t>persons</w:t>
      </w:r>
      <w:r w:rsidR="005B2A41">
        <w:t xml:space="preserve"> </w:t>
      </w:r>
      <w:r w:rsidRPr="00B02247">
        <w:t>living</w:t>
      </w:r>
      <w:r w:rsidR="005B2A41">
        <w:t xml:space="preserve"> </w:t>
      </w:r>
      <w:r w:rsidRPr="00B02247">
        <w:t>within</w:t>
      </w:r>
      <w:r w:rsidR="005B2A41">
        <w:t xml:space="preserve"> </w:t>
      </w:r>
      <w:r w:rsidRPr="00B02247">
        <w:t>the</w:t>
      </w:r>
      <w:r w:rsidR="005B2A41">
        <w:t xml:space="preserve"> </w:t>
      </w:r>
      <w:r w:rsidRPr="00B02247">
        <w:t>Greek</w:t>
      </w:r>
      <w:r w:rsidR="005B2A41">
        <w:t xml:space="preserve"> </w:t>
      </w:r>
      <w:r w:rsidRPr="00B02247">
        <w:t>territory</w:t>
      </w:r>
      <w:r w:rsidR="005B2A41">
        <w:t xml:space="preserve"> </w:t>
      </w:r>
      <w:r w:rsidRPr="00B02247">
        <w:t>shall</w:t>
      </w:r>
      <w:r w:rsidR="005B2A41">
        <w:t xml:space="preserve"> </w:t>
      </w:r>
      <w:r w:rsidRPr="00B02247">
        <w:t>enjoy</w:t>
      </w:r>
      <w:r w:rsidR="005B2A41">
        <w:t xml:space="preserve"> </w:t>
      </w:r>
      <w:r w:rsidRPr="00B02247">
        <w:t>full</w:t>
      </w:r>
      <w:r w:rsidR="005B2A41">
        <w:t xml:space="preserve"> </w:t>
      </w:r>
      <w:r w:rsidRPr="00B02247">
        <w:t>protection</w:t>
      </w:r>
      <w:r w:rsidR="005B2A41">
        <w:t xml:space="preserve"> </w:t>
      </w:r>
      <w:r w:rsidRPr="00B02247">
        <w:t>of</w:t>
      </w:r>
      <w:r w:rsidR="005B2A41">
        <w:t xml:space="preserve"> </w:t>
      </w:r>
      <w:r w:rsidRPr="00B02247">
        <w:t>their</w:t>
      </w:r>
      <w:r w:rsidR="005B2A41">
        <w:t xml:space="preserve"> </w:t>
      </w:r>
      <w:r w:rsidRPr="00B02247">
        <w:t>life,</w:t>
      </w:r>
      <w:r w:rsidR="005B2A41">
        <w:t xml:space="preserve"> </w:t>
      </w:r>
      <w:r w:rsidRPr="00B02247">
        <w:t>honor</w:t>
      </w:r>
      <w:r w:rsidR="005B2A41">
        <w:t xml:space="preserve"> </w:t>
      </w:r>
      <w:r w:rsidRPr="00B02247">
        <w:t>and</w:t>
      </w:r>
      <w:r w:rsidR="005B2A41">
        <w:t xml:space="preserve"> </w:t>
      </w:r>
      <w:r w:rsidRPr="00B02247">
        <w:t>freedom,</w:t>
      </w:r>
      <w:r w:rsidR="005B2A41">
        <w:t xml:space="preserve"> </w:t>
      </w:r>
      <w:r w:rsidRPr="00B02247">
        <w:t>irrespective</w:t>
      </w:r>
      <w:r w:rsidR="005B2A41">
        <w:t xml:space="preserve"> </w:t>
      </w:r>
      <w:r w:rsidRPr="00B02247">
        <w:t>of</w:t>
      </w:r>
      <w:r w:rsidR="005B2A41">
        <w:t xml:space="preserve"> </w:t>
      </w:r>
      <w:r w:rsidRPr="00B02247">
        <w:t>nationality,</w:t>
      </w:r>
      <w:r w:rsidR="005B2A41">
        <w:t xml:space="preserve"> </w:t>
      </w:r>
      <w:r w:rsidRPr="00B02247">
        <w:t>race</w:t>
      </w:r>
      <w:r w:rsidR="005B2A41">
        <w:t xml:space="preserve"> </w:t>
      </w:r>
      <w:r w:rsidRPr="00B02247">
        <w:t>or</w:t>
      </w:r>
      <w:r w:rsidR="005B2A41">
        <w:t xml:space="preserve"> </w:t>
      </w:r>
      <w:r w:rsidRPr="00B02247">
        <w:t>language</w:t>
      </w:r>
      <w:r w:rsidR="005B2A41">
        <w:t xml:space="preserve"> </w:t>
      </w:r>
      <w:r w:rsidRPr="00B02247">
        <w:t>and</w:t>
      </w:r>
      <w:r w:rsidR="005B2A41">
        <w:t xml:space="preserve"> </w:t>
      </w:r>
      <w:r w:rsidRPr="00B02247">
        <w:t>of</w:t>
      </w:r>
      <w:r w:rsidR="005B2A41">
        <w:t xml:space="preserve"> </w:t>
      </w:r>
      <w:r w:rsidRPr="00B02247">
        <w:t>religious</w:t>
      </w:r>
      <w:r w:rsidR="005B2A41">
        <w:t xml:space="preserve"> </w:t>
      </w:r>
      <w:r w:rsidRPr="00B02247">
        <w:t>or</w:t>
      </w:r>
      <w:r w:rsidR="005B2A41">
        <w:t xml:space="preserve"> </w:t>
      </w:r>
      <w:r w:rsidRPr="00B02247">
        <w:t>political</w:t>
      </w:r>
      <w:r w:rsidR="005B2A41">
        <w:t xml:space="preserve"> </w:t>
      </w:r>
      <w:r w:rsidRPr="00B02247">
        <w:t>beliefs.</w:t>
      </w:r>
      <w:r w:rsidR="005B2A41">
        <w:t xml:space="preserve"> </w:t>
      </w:r>
      <w:r w:rsidRPr="00B02247">
        <w:t>Exceptions</w:t>
      </w:r>
      <w:r w:rsidR="005B2A41">
        <w:t xml:space="preserve"> </w:t>
      </w:r>
      <w:r w:rsidRPr="00B02247">
        <w:t>shall</w:t>
      </w:r>
      <w:r w:rsidR="005B2A41">
        <w:t xml:space="preserve"> </w:t>
      </w:r>
      <w:r w:rsidRPr="00B02247">
        <w:t>be</w:t>
      </w:r>
      <w:r w:rsidR="005B2A41">
        <w:t xml:space="preserve"> </w:t>
      </w:r>
      <w:r w:rsidRPr="00B02247">
        <w:t>permitted</w:t>
      </w:r>
      <w:r w:rsidR="005B2A41">
        <w:t xml:space="preserve"> </w:t>
      </w:r>
      <w:r w:rsidRPr="00B02247">
        <w:t>only</w:t>
      </w:r>
      <w:r w:rsidR="005B2A41">
        <w:t xml:space="preserve"> </w:t>
      </w:r>
      <w:r w:rsidRPr="00B02247">
        <w:t>in</w:t>
      </w:r>
      <w:r w:rsidR="005B2A41">
        <w:t xml:space="preserve"> </w:t>
      </w:r>
      <w:r w:rsidRPr="00B02247">
        <w:t>cases</w:t>
      </w:r>
      <w:r w:rsidR="005B2A41">
        <w:t xml:space="preserve"> </w:t>
      </w:r>
      <w:r w:rsidRPr="00B02247">
        <w:t>provided</w:t>
      </w:r>
      <w:r w:rsidR="005B2A41">
        <w:t xml:space="preserve"> </w:t>
      </w:r>
      <w:r w:rsidRPr="00B02247">
        <w:t>for</w:t>
      </w:r>
      <w:r w:rsidR="005B2A41">
        <w:t xml:space="preserve"> </w:t>
      </w:r>
      <w:r w:rsidRPr="00B02247">
        <w:t>by</w:t>
      </w:r>
      <w:r w:rsidR="005B2A41">
        <w:t xml:space="preserve"> </w:t>
      </w:r>
      <w:r w:rsidRPr="00B02247">
        <w:t>international</w:t>
      </w:r>
      <w:r w:rsidR="005B2A41">
        <w:t xml:space="preserve"> </w:t>
      </w:r>
      <w:r w:rsidRPr="00B02247">
        <w:t>law</w:t>
      </w:r>
      <w:r w:rsidR="003E731F">
        <w:t>”</w:t>
      </w:r>
      <w:r w:rsidRPr="00B02247">
        <w:t>.</w:t>
      </w:r>
      <w:r w:rsidR="005B2A41">
        <w:t xml:space="preserve"> </w:t>
      </w:r>
    </w:p>
    <w:p w:rsidR="00F233AB" w:rsidRPr="00B02247" w:rsidRDefault="00F233AB" w:rsidP="00E1307D">
      <w:pPr>
        <w:pStyle w:val="SingleTxtG"/>
      </w:pPr>
      <w:r w:rsidRPr="00B02247">
        <w:t>152.</w:t>
      </w:r>
      <w:r w:rsidRPr="00B02247">
        <w:tab/>
        <w:t>As</w:t>
      </w:r>
      <w:r w:rsidR="005B2A41">
        <w:t xml:space="preserve"> </w:t>
      </w:r>
      <w:r w:rsidRPr="00B02247">
        <w:t>already</w:t>
      </w:r>
      <w:r w:rsidR="005B2A41">
        <w:t xml:space="preserve"> </w:t>
      </w:r>
      <w:r w:rsidRPr="00B02247">
        <w:t>explained,</w:t>
      </w:r>
      <w:r w:rsidR="005B2A41">
        <w:t xml:space="preserve"> </w:t>
      </w:r>
      <w:r w:rsidRPr="00B02247">
        <w:t>the</w:t>
      </w:r>
      <w:r w:rsidR="005B2A41">
        <w:t xml:space="preserve"> </w:t>
      </w:r>
      <w:r w:rsidRPr="00B02247">
        <w:t>principle</w:t>
      </w:r>
      <w:r w:rsidR="005B2A41">
        <w:t xml:space="preserve"> </w:t>
      </w:r>
      <w:r w:rsidRPr="00B02247">
        <w:t>of</w:t>
      </w:r>
      <w:r w:rsidR="005B2A41">
        <w:t xml:space="preserve"> </w:t>
      </w:r>
      <w:r w:rsidRPr="00B02247">
        <w:t>equality</w:t>
      </w:r>
      <w:r w:rsidR="005B2A41">
        <w:t xml:space="preserve"> </w:t>
      </w:r>
      <w:r w:rsidRPr="00B02247">
        <w:t>implies</w:t>
      </w:r>
      <w:r w:rsidR="005B2A41">
        <w:t xml:space="preserve"> </w:t>
      </w:r>
      <w:r w:rsidRPr="00B02247">
        <w:t>that</w:t>
      </w:r>
      <w:r w:rsidR="005B2A41">
        <w:t xml:space="preserve"> </w:t>
      </w:r>
      <w:r w:rsidRPr="00B02247">
        <w:t>significantly</w:t>
      </w:r>
      <w:r w:rsidR="005B2A41">
        <w:t xml:space="preserve"> </w:t>
      </w:r>
      <w:r w:rsidRPr="00B02247">
        <w:t>similar</w:t>
      </w:r>
      <w:r w:rsidR="005B2A41">
        <w:t xml:space="preserve"> </w:t>
      </w:r>
      <w:r w:rsidRPr="00B02247">
        <w:t>situations</w:t>
      </w:r>
      <w:r w:rsidR="005B2A41">
        <w:t xml:space="preserve"> </w:t>
      </w:r>
      <w:r w:rsidRPr="00B02247">
        <w:t>are</w:t>
      </w:r>
      <w:r w:rsidR="005B2A41">
        <w:t xml:space="preserve"> </w:t>
      </w:r>
      <w:r w:rsidRPr="00B02247">
        <w:t>dealt</w:t>
      </w:r>
      <w:r w:rsidR="005B2A41">
        <w:t xml:space="preserve"> </w:t>
      </w:r>
      <w:r w:rsidRPr="00B02247">
        <w:t>with</w:t>
      </w:r>
      <w:r w:rsidR="005B2A41">
        <w:t xml:space="preserve"> </w:t>
      </w:r>
      <w:r w:rsidRPr="00B02247">
        <w:t>in</w:t>
      </w:r>
      <w:r w:rsidR="005B2A41">
        <w:t xml:space="preserve"> </w:t>
      </w:r>
      <w:r w:rsidRPr="00B02247">
        <w:t>a</w:t>
      </w:r>
      <w:r w:rsidR="005B2A41">
        <w:t xml:space="preserve"> </w:t>
      </w:r>
      <w:r w:rsidRPr="00B02247">
        <w:t>similar</w:t>
      </w:r>
      <w:r w:rsidR="005B2A41">
        <w:t xml:space="preserve"> </w:t>
      </w:r>
      <w:r w:rsidRPr="00B02247">
        <w:t>manner,</w:t>
      </w:r>
      <w:r w:rsidR="005B2A41">
        <w:t xml:space="preserve"> </w:t>
      </w:r>
      <w:r w:rsidRPr="00B02247">
        <w:t>and</w:t>
      </w:r>
      <w:r w:rsidR="005B2A41">
        <w:t xml:space="preserve"> </w:t>
      </w:r>
      <w:r w:rsidRPr="00B02247">
        <w:t>significantly</w:t>
      </w:r>
      <w:r w:rsidR="005B2A41">
        <w:t xml:space="preserve"> </w:t>
      </w:r>
      <w:r w:rsidRPr="00B02247">
        <w:t>different</w:t>
      </w:r>
      <w:r w:rsidR="005B2A41">
        <w:t xml:space="preserve"> </w:t>
      </w:r>
      <w:r w:rsidRPr="00B02247">
        <w:t>situations</w:t>
      </w:r>
      <w:r w:rsidR="005B2A41">
        <w:t xml:space="preserve"> </w:t>
      </w:r>
      <w:r w:rsidRPr="00B02247">
        <w:t>are</w:t>
      </w:r>
      <w:r w:rsidR="005B2A41">
        <w:t xml:space="preserve"> </w:t>
      </w:r>
      <w:r w:rsidRPr="00B02247">
        <w:t>dealt</w:t>
      </w:r>
      <w:r w:rsidR="005B2A41">
        <w:t xml:space="preserve"> </w:t>
      </w:r>
      <w:r w:rsidRPr="00B02247">
        <w:t>with</w:t>
      </w:r>
      <w:r w:rsidR="005B2A41">
        <w:t xml:space="preserve"> </w:t>
      </w:r>
      <w:r w:rsidRPr="00B02247">
        <w:t>in</w:t>
      </w:r>
      <w:r w:rsidR="005B2A41">
        <w:t xml:space="preserve"> </w:t>
      </w:r>
      <w:r w:rsidRPr="00B02247">
        <w:t>different</w:t>
      </w:r>
      <w:r w:rsidR="005B2A41">
        <w:t xml:space="preserve"> </w:t>
      </w:r>
      <w:r w:rsidRPr="00B02247">
        <w:t>manners.</w:t>
      </w:r>
      <w:r w:rsidR="005B2A41">
        <w:t xml:space="preserve"> </w:t>
      </w:r>
      <w:r w:rsidRPr="00B02247">
        <w:t>Some</w:t>
      </w:r>
      <w:r w:rsidR="005B2A41">
        <w:t xml:space="preserve"> </w:t>
      </w:r>
      <w:r w:rsidRPr="00B02247">
        <w:t>criteria</w:t>
      </w:r>
      <w:r w:rsidR="005B2A41">
        <w:t xml:space="preserve"> </w:t>
      </w:r>
      <w:r w:rsidRPr="00B02247">
        <w:t>of</w:t>
      </w:r>
      <w:r w:rsidR="005B2A41">
        <w:t xml:space="preserve"> </w:t>
      </w:r>
      <w:r w:rsidRPr="00B02247">
        <w:t>differentiation</w:t>
      </w:r>
      <w:r w:rsidR="005B2A41">
        <w:t xml:space="preserve"> </w:t>
      </w:r>
      <w:r w:rsidRPr="00B02247">
        <w:t>are</w:t>
      </w:r>
      <w:r w:rsidR="005B2A41">
        <w:t xml:space="preserve"> </w:t>
      </w:r>
      <w:r w:rsidRPr="00B02247">
        <w:t>dictated</w:t>
      </w:r>
      <w:r w:rsidR="005B2A41">
        <w:t xml:space="preserve"> </w:t>
      </w:r>
      <w:r w:rsidRPr="00B02247">
        <w:t>by</w:t>
      </w:r>
      <w:r w:rsidR="005B2A41">
        <w:t xml:space="preserve"> </w:t>
      </w:r>
      <w:r w:rsidRPr="00B02247">
        <w:t>the</w:t>
      </w:r>
      <w:r w:rsidR="005B2A41">
        <w:t xml:space="preserve"> </w:t>
      </w:r>
      <w:r w:rsidRPr="00B02247">
        <w:t>Constitution</w:t>
      </w:r>
      <w:r w:rsidR="005B2A41">
        <w:t xml:space="preserve"> </w:t>
      </w:r>
      <w:r w:rsidRPr="00B02247">
        <w:t>itself.</w:t>
      </w:r>
      <w:r w:rsidR="005B2A41">
        <w:t xml:space="preserve"> </w:t>
      </w:r>
      <w:r w:rsidRPr="00B02247">
        <w:t>These</w:t>
      </w:r>
      <w:r w:rsidR="005B2A41">
        <w:t xml:space="preserve"> </w:t>
      </w:r>
      <w:r w:rsidRPr="00B02247">
        <w:t>criteria</w:t>
      </w:r>
      <w:r w:rsidR="005B2A41">
        <w:t xml:space="preserve"> </w:t>
      </w:r>
      <w:r w:rsidRPr="00B02247">
        <w:t>are</w:t>
      </w:r>
      <w:r w:rsidR="005B2A41">
        <w:t xml:space="preserve"> </w:t>
      </w:r>
      <w:r w:rsidRPr="00B02247">
        <w:t>often</w:t>
      </w:r>
      <w:r w:rsidR="005B2A41">
        <w:t xml:space="preserve"> </w:t>
      </w:r>
      <w:r w:rsidRPr="00B02247">
        <w:t>associated</w:t>
      </w:r>
      <w:r w:rsidR="005B2A41">
        <w:t xml:space="preserve"> </w:t>
      </w:r>
      <w:r w:rsidRPr="00B02247">
        <w:t>with</w:t>
      </w:r>
      <w:r w:rsidR="005B2A41">
        <w:t xml:space="preserve"> </w:t>
      </w:r>
      <w:r w:rsidRPr="00B02247">
        <w:t>the</w:t>
      </w:r>
      <w:r w:rsidR="005B2A41">
        <w:t xml:space="preserve"> </w:t>
      </w:r>
      <w:r w:rsidRPr="00B02247">
        <w:t>protection</w:t>
      </w:r>
      <w:r w:rsidR="005B2A41">
        <w:t xml:space="preserve"> </w:t>
      </w:r>
      <w:r w:rsidRPr="00B02247">
        <w:t>of</w:t>
      </w:r>
      <w:r w:rsidR="005B2A41">
        <w:t xml:space="preserve"> </w:t>
      </w:r>
      <w:r w:rsidRPr="00B02247">
        <w:t>some</w:t>
      </w:r>
      <w:r w:rsidR="005B2A41">
        <w:t xml:space="preserve"> </w:t>
      </w:r>
      <w:r w:rsidRPr="00B02247">
        <w:t>important</w:t>
      </w:r>
      <w:r w:rsidR="005B2A41">
        <w:t xml:space="preserve"> </w:t>
      </w:r>
      <w:r w:rsidRPr="00B02247">
        <w:t>social</w:t>
      </w:r>
      <w:r w:rsidR="005B2A41">
        <w:t xml:space="preserve"> </w:t>
      </w:r>
      <w:r w:rsidRPr="00B02247">
        <w:t>rights.</w:t>
      </w:r>
      <w:r w:rsidR="005B2A41">
        <w:t xml:space="preserve"> </w:t>
      </w:r>
      <w:r w:rsidRPr="00B02247">
        <w:t>Thus,</w:t>
      </w:r>
      <w:r w:rsidR="005B2A41">
        <w:t xml:space="preserve"> </w:t>
      </w:r>
      <w:r w:rsidRPr="00B02247">
        <w:t>article</w:t>
      </w:r>
      <w:r w:rsidR="005B2A41">
        <w:t xml:space="preserve"> </w:t>
      </w:r>
      <w:r w:rsidRPr="00B02247">
        <w:t>21</w:t>
      </w:r>
      <w:r w:rsidR="005B2A41">
        <w:t xml:space="preserve"> </w:t>
      </w:r>
      <w:r w:rsidRPr="00B02247">
        <w:t>(1)</w:t>
      </w:r>
      <w:r w:rsidR="005B2A41">
        <w:t xml:space="preserve"> </w:t>
      </w:r>
      <w:r w:rsidRPr="00B02247">
        <w:t>provides</w:t>
      </w:r>
      <w:r w:rsidR="005B2A41">
        <w:t xml:space="preserve"> </w:t>
      </w:r>
      <w:r w:rsidRPr="00B02247">
        <w:t>for</w:t>
      </w:r>
      <w:r w:rsidR="005B2A41">
        <w:t xml:space="preserve"> </w:t>
      </w:r>
      <w:r w:rsidRPr="00B02247">
        <w:t>the</w:t>
      </w:r>
      <w:r w:rsidR="005B2A41">
        <w:t xml:space="preserve"> </w:t>
      </w:r>
      <w:r w:rsidRPr="00B02247">
        <w:t>protection</w:t>
      </w:r>
      <w:r w:rsidR="005B2A41">
        <w:t xml:space="preserve"> </w:t>
      </w:r>
      <w:r w:rsidRPr="00B02247">
        <w:t>of</w:t>
      </w:r>
      <w:r w:rsidR="005B2A41">
        <w:t xml:space="preserve"> </w:t>
      </w:r>
      <w:r w:rsidRPr="00B02247">
        <w:t>family,</w:t>
      </w:r>
      <w:r w:rsidR="005B2A41">
        <w:t xml:space="preserve"> </w:t>
      </w:r>
      <w:r w:rsidRPr="00B02247">
        <w:t>marriage,</w:t>
      </w:r>
      <w:r w:rsidR="005B2A41">
        <w:t xml:space="preserve"> </w:t>
      </w:r>
      <w:r w:rsidRPr="00B02247">
        <w:t>motherhood</w:t>
      </w:r>
      <w:r w:rsidR="005B2A41">
        <w:t xml:space="preserve"> </w:t>
      </w:r>
      <w:r w:rsidRPr="00B02247">
        <w:t>and</w:t>
      </w:r>
      <w:r w:rsidR="005B2A41">
        <w:t xml:space="preserve"> </w:t>
      </w:r>
      <w:r w:rsidRPr="00B02247">
        <w:t>childhood.</w:t>
      </w:r>
      <w:r w:rsidR="005B2A41">
        <w:t xml:space="preserve"> </w:t>
      </w:r>
      <w:r w:rsidRPr="00B02247">
        <w:t>According</w:t>
      </w:r>
      <w:r w:rsidR="005B2A41">
        <w:t xml:space="preserve"> </w:t>
      </w:r>
      <w:r w:rsidRPr="00B02247">
        <w:t>to</w:t>
      </w:r>
      <w:r w:rsidR="005B2A41">
        <w:t xml:space="preserve"> </w:t>
      </w:r>
      <w:r w:rsidRPr="00B02247">
        <w:t>the</w:t>
      </w:r>
      <w:r w:rsidR="005B2A41">
        <w:t xml:space="preserve"> </w:t>
      </w:r>
      <w:r w:rsidRPr="00B02247">
        <w:t>Constitution,</w:t>
      </w:r>
      <w:r w:rsidR="005B2A41">
        <w:t xml:space="preserve"> </w:t>
      </w:r>
      <w:r w:rsidRPr="00B02247">
        <w:t>some</w:t>
      </w:r>
      <w:r w:rsidR="005B2A41">
        <w:t xml:space="preserve"> </w:t>
      </w:r>
      <w:r w:rsidRPr="00B02247">
        <w:t>categories</w:t>
      </w:r>
      <w:r w:rsidR="005B2A41">
        <w:t xml:space="preserve"> </w:t>
      </w:r>
      <w:r w:rsidRPr="00B02247">
        <w:t>of</w:t>
      </w:r>
      <w:r w:rsidR="005B2A41">
        <w:t xml:space="preserve"> </w:t>
      </w:r>
      <w:r w:rsidRPr="00B02247">
        <w:t>persons</w:t>
      </w:r>
      <w:r w:rsidR="005B2A41">
        <w:t xml:space="preserve"> </w:t>
      </w:r>
      <w:r w:rsidRPr="00B02247">
        <w:t>deserve</w:t>
      </w:r>
      <w:r w:rsidR="005B2A41">
        <w:t xml:space="preserve"> </w:t>
      </w:r>
      <w:r w:rsidRPr="00B02247">
        <w:t>special</w:t>
      </w:r>
      <w:r w:rsidR="005B2A41">
        <w:t xml:space="preserve"> </w:t>
      </w:r>
      <w:r w:rsidRPr="00B02247">
        <w:t>care.</w:t>
      </w:r>
      <w:r w:rsidR="005B2A41">
        <w:t xml:space="preserve"> </w:t>
      </w:r>
      <w:r w:rsidRPr="00B02247">
        <w:t>These</w:t>
      </w:r>
      <w:r w:rsidR="005B2A41">
        <w:t xml:space="preserve"> </w:t>
      </w:r>
      <w:r w:rsidRPr="00B02247">
        <w:t>are</w:t>
      </w:r>
      <w:r w:rsidR="005B2A41">
        <w:t xml:space="preserve"> </w:t>
      </w:r>
      <w:r w:rsidRPr="00B02247">
        <w:t>disabled</w:t>
      </w:r>
      <w:r w:rsidR="005B2A41">
        <w:t xml:space="preserve"> </w:t>
      </w:r>
      <w:r w:rsidRPr="00B02247">
        <w:t>persons,</w:t>
      </w:r>
      <w:r w:rsidR="005B2A41">
        <w:t xml:space="preserve"> </w:t>
      </w:r>
      <w:r w:rsidRPr="00B02247">
        <w:t>families</w:t>
      </w:r>
      <w:r w:rsidR="005B2A41">
        <w:t xml:space="preserve"> </w:t>
      </w:r>
      <w:r w:rsidRPr="00B02247">
        <w:t>with</w:t>
      </w:r>
      <w:r w:rsidR="005B2A41">
        <w:t xml:space="preserve"> </w:t>
      </w:r>
      <w:r w:rsidRPr="00B02247">
        <w:t>many</w:t>
      </w:r>
      <w:r w:rsidR="005B2A41">
        <w:t xml:space="preserve"> </w:t>
      </w:r>
      <w:r w:rsidRPr="00B02247">
        <w:t>children,</w:t>
      </w:r>
      <w:r w:rsidR="005B2A41">
        <w:t xml:space="preserve"> </w:t>
      </w:r>
      <w:r w:rsidRPr="00B02247">
        <w:t>persons</w:t>
      </w:r>
      <w:r w:rsidR="005B2A41">
        <w:t xml:space="preserve"> </w:t>
      </w:r>
      <w:r w:rsidRPr="00B02247">
        <w:t>suffering</w:t>
      </w:r>
      <w:r w:rsidR="005B2A41">
        <w:t xml:space="preserve"> </w:t>
      </w:r>
      <w:r w:rsidRPr="00B02247">
        <w:t>from</w:t>
      </w:r>
      <w:r w:rsidR="005B2A41">
        <w:t xml:space="preserve"> </w:t>
      </w:r>
      <w:r w:rsidRPr="00B02247">
        <w:t>incurable</w:t>
      </w:r>
      <w:r w:rsidR="005B2A41">
        <w:t xml:space="preserve"> </w:t>
      </w:r>
      <w:r w:rsidRPr="00B02247">
        <w:t>bodily</w:t>
      </w:r>
      <w:r w:rsidR="005B2A41">
        <w:t xml:space="preserve"> </w:t>
      </w:r>
      <w:r w:rsidRPr="00B02247">
        <w:t>or</w:t>
      </w:r>
      <w:r w:rsidR="005B2A41">
        <w:t xml:space="preserve"> </w:t>
      </w:r>
      <w:r w:rsidRPr="00B02247">
        <w:t>mental</w:t>
      </w:r>
      <w:r w:rsidR="005B2A41">
        <w:t xml:space="preserve"> </w:t>
      </w:r>
      <w:r w:rsidRPr="00B02247">
        <w:t>ailments</w:t>
      </w:r>
      <w:r w:rsidR="005B2A41">
        <w:t xml:space="preserve"> </w:t>
      </w:r>
      <w:r w:rsidRPr="00B02247">
        <w:t>etc.</w:t>
      </w:r>
      <w:r w:rsidR="005B2A41">
        <w:t xml:space="preserve"> </w:t>
      </w:r>
      <w:r w:rsidRPr="00B02247">
        <w:t>(articles</w:t>
      </w:r>
      <w:r w:rsidR="005B2A41">
        <w:t xml:space="preserve"> </w:t>
      </w:r>
      <w:r w:rsidRPr="00B02247">
        <w:t>21</w:t>
      </w:r>
      <w:r w:rsidR="005B2A41">
        <w:t xml:space="preserve"> </w:t>
      </w:r>
      <w:r w:rsidRPr="00B02247">
        <w:t>(2),</w:t>
      </w:r>
      <w:r w:rsidR="005B2A41">
        <w:t xml:space="preserve"> </w:t>
      </w:r>
      <w:r w:rsidRPr="00B02247">
        <w:t>(3),</w:t>
      </w:r>
      <w:r w:rsidR="005B2A41">
        <w:t xml:space="preserve"> </w:t>
      </w:r>
      <w:r w:rsidRPr="00B02247">
        <w:t>(5)</w:t>
      </w:r>
      <w:r w:rsidR="005B2A41">
        <w:t xml:space="preserve"> </w:t>
      </w:r>
      <w:r w:rsidRPr="00B02247">
        <w:t>and</w:t>
      </w:r>
      <w:r w:rsidR="005B2A41">
        <w:t xml:space="preserve"> </w:t>
      </w:r>
      <w:r w:rsidRPr="00B02247">
        <w:t>(6)).</w:t>
      </w:r>
      <w:r w:rsidR="005B2A41">
        <w:t xml:space="preserve"> </w:t>
      </w:r>
      <w:r w:rsidRPr="00B02247">
        <w:t>The</w:t>
      </w:r>
      <w:r w:rsidR="005B2A41">
        <w:t xml:space="preserve"> </w:t>
      </w:r>
      <w:r w:rsidRPr="00B02247">
        <w:t>case-law</w:t>
      </w:r>
      <w:r w:rsidR="005B2A41">
        <w:t xml:space="preserve"> </w:t>
      </w:r>
      <w:r w:rsidRPr="00B02247">
        <w:t>of</w:t>
      </w:r>
      <w:r w:rsidR="005B2A41">
        <w:t xml:space="preserve"> </w:t>
      </w:r>
      <w:r w:rsidRPr="00B02247">
        <w:t>the</w:t>
      </w:r>
      <w:r w:rsidR="005B2A41">
        <w:t xml:space="preserve"> </w:t>
      </w:r>
      <w:r w:rsidRPr="00B02247">
        <w:t>courts</w:t>
      </w:r>
      <w:r w:rsidR="005B2A41">
        <w:t xml:space="preserve"> </w:t>
      </w:r>
      <w:r w:rsidRPr="00B02247">
        <w:t>proves</w:t>
      </w:r>
      <w:r w:rsidR="005B2A41">
        <w:t xml:space="preserve"> </w:t>
      </w:r>
      <w:r w:rsidRPr="00B02247">
        <w:t>that</w:t>
      </w:r>
      <w:r w:rsidR="005B2A41">
        <w:t xml:space="preserve"> </w:t>
      </w:r>
      <w:r w:rsidRPr="00B02247">
        <w:t>the</w:t>
      </w:r>
      <w:r w:rsidR="005B2A41">
        <w:t xml:space="preserve"> </w:t>
      </w:r>
      <w:r w:rsidRPr="00B02247">
        <w:t>aforementioned</w:t>
      </w:r>
      <w:r w:rsidR="005B2A41">
        <w:t xml:space="preserve"> </w:t>
      </w:r>
      <w:r w:rsidRPr="00B02247">
        <w:t>criteria</w:t>
      </w:r>
      <w:r w:rsidR="005B2A41">
        <w:t xml:space="preserve"> </w:t>
      </w:r>
      <w:r w:rsidRPr="00B02247">
        <w:t>of</w:t>
      </w:r>
      <w:r w:rsidR="005B2A41">
        <w:t xml:space="preserve"> </w:t>
      </w:r>
      <w:r w:rsidRPr="00B02247">
        <w:t>differentiation</w:t>
      </w:r>
      <w:r w:rsidR="005B2A41">
        <w:t xml:space="preserve"> </w:t>
      </w:r>
      <w:r w:rsidRPr="00B02247">
        <w:t>are</w:t>
      </w:r>
      <w:r w:rsidR="005B2A41">
        <w:t xml:space="preserve"> </w:t>
      </w:r>
      <w:r w:rsidRPr="00B02247">
        <w:t>indeed</w:t>
      </w:r>
      <w:r w:rsidR="005B2A41">
        <w:t xml:space="preserve"> </w:t>
      </w:r>
      <w:r w:rsidRPr="00B02247">
        <w:t>being</w:t>
      </w:r>
      <w:r w:rsidR="005B2A41">
        <w:t xml:space="preserve"> </w:t>
      </w:r>
      <w:r w:rsidRPr="00B02247">
        <w:t>applied,</w:t>
      </w:r>
      <w:r w:rsidR="005B2A41">
        <w:t xml:space="preserve"> </w:t>
      </w:r>
      <w:r w:rsidRPr="00B02247">
        <w:t>to</w:t>
      </w:r>
      <w:r w:rsidR="005B2A41">
        <w:t xml:space="preserve"> </w:t>
      </w:r>
      <w:r w:rsidRPr="00B02247">
        <w:t>the</w:t>
      </w:r>
      <w:r w:rsidR="005B2A41">
        <w:t xml:space="preserve"> </w:t>
      </w:r>
      <w:r w:rsidRPr="00B02247">
        <w:t>benefit</w:t>
      </w:r>
      <w:r w:rsidR="005B2A41">
        <w:t xml:space="preserve"> </w:t>
      </w:r>
      <w:r w:rsidRPr="00B02247">
        <w:t>of</w:t>
      </w:r>
      <w:r w:rsidR="005B2A41">
        <w:t xml:space="preserve"> </w:t>
      </w:r>
      <w:r w:rsidRPr="00B02247">
        <w:t>the</w:t>
      </w:r>
      <w:r w:rsidR="005B2A41">
        <w:t xml:space="preserve"> </w:t>
      </w:r>
      <w:r w:rsidRPr="00B02247">
        <w:t>persons</w:t>
      </w:r>
      <w:r w:rsidR="005B2A41">
        <w:t xml:space="preserve"> </w:t>
      </w:r>
      <w:r w:rsidRPr="00B02247">
        <w:t>concerned.</w:t>
      </w:r>
      <w:r w:rsidR="005B2A41">
        <w:t xml:space="preserve"> </w:t>
      </w:r>
    </w:p>
    <w:p w:rsidR="00F233AB" w:rsidRPr="00B02247" w:rsidRDefault="00F233AB" w:rsidP="00E1307D">
      <w:pPr>
        <w:pStyle w:val="SingleTxtG"/>
      </w:pPr>
      <w:r w:rsidRPr="00B02247">
        <w:t>153.</w:t>
      </w:r>
      <w:r w:rsidRPr="00B02247">
        <w:tab/>
        <w:t>Under</w:t>
      </w:r>
      <w:r w:rsidR="005B2A41">
        <w:t xml:space="preserve"> </w:t>
      </w:r>
      <w:r w:rsidRPr="00B02247">
        <w:t>paragraph</w:t>
      </w:r>
      <w:r w:rsidR="005B2A41">
        <w:t xml:space="preserve"> </w:t>
      </w:r>
      <w:r w:rsidRPr="00B02247">
        <w:t>2</w:t>
      </w:r>
      <w:r w:rsidR="005B2A41">
        <w:t xml:space="preserve"> </w:t>
      </w:r>
      <w:r w:rsidRPr="00B02247">
        <w:t>of</w:t>
      </w:r>
      <w:r w:rsidR="005B2A41">
        <w:t xml:space="preserve"> </w:t>
      </w:r>
      <w:r w:rsidRPr="00B02247">
        <w:t>Article</w:t>
      </w:r>
      <w:r w:rsidR="005B2A41">
        <w:t xml:space="preserve"> </w:t>
      </w:r>
      <w:r w:rsidRPr="00B02247">
        <w:t>116</w:t>
      </w:r>
      <w:r w:rsidR="005B2A41">
        <w:t xml:space="preserve"> </w:t>
      </w:r>
      <w:r w:rsidRPr="00B02247">
        <w:t>of</w:t>
      </w:r>
      <w:r w:rsidR="005B2A41">
        <w:t xml:space="preserve"> </w:t>
      </w:r>
      <w:r w:rsidRPr="00B02247">
        <w:t>the</w:t>
      </w:r>
      <w:r w:rsidR="005B2A41">
        <w:t xml:space="preserve"> </w:t>
      </w:r>
      <w:r w:rsidRPr="00B02247">
        <w:t>Constitution,</w:t>
      </w:r>
      <w:r w:rsidR="005B2A41">
        <w:t xml:space="preserve"> </w:t>
      </w:r>
      <w:r w:rsidR="003E731F">
        <w:t>“</w:t>
      </w:r>
      <w:r w:rsidRPr="00B02247">
        <w:t>adoption</w:t>
      </w:r>
      <w:r w:rsidR="005B2A41">
        <w:t xml:space="preserve"> </w:t>
      </w:r>
      <w:r w:rsidRPr="00B02247">
        <w:t>of</w:t>
      </w:r>
      <w:r w:rsidR="005B2A41">
        <w:t xml:space="preserve"> </w:t>
      </w:r>
      <w:r w:rsidRPr="00B02247">
        <w:t>positive</w:t>
      </w:r>
      <w:r w:rsidR="005B2A41">
        <w:t xml:space="preserve"> </w:t>
      </w:r>
      <w:r w:rsidRPr="00B02247">
        <w:t>measures</w:t>
      </w:r>
      <w:r w:rsidR="005B2A41">
        <w:t xml:space="preserve"> </w:t>
      </w:r>
      <w:r w:rsidRPr="00B02247">
        <w:t>for</w:t>
      </w:r>
      <w:r w:rsidR="005B2A41">
        <w:t xml:space="preserve"> </w:t>
      </w:r>
      <w:r w:rsidRPr="00B02247">
        <w:t>promoting</w:t>
      </w:r>
      <w:r w:rsidR="005B2A41">
        <w:t xml:space="preserve"> </w:t>
      </w:r>
      <w:r w:rsidRPr="00B02247">
        <w:t>equality</w:t>
      </w:r>
      <w:r w:rsidR="005B2A41">
        <w:t xml:space="preserve"> </w:t>
      </w:r>
      <w:r w:rsidRPr="00B02247">
        <w:t>between</w:t>
      </w:r>
      <w:r w:rsidR="005B2A41">
        <w:t xml:space="preserve"> </w:t>
      </w:r>
      <w:r w:rsidRPr="00B02247">
        <w:t>men</w:t>
      </w:r>
      <w:r w:rsidR="005B2A41">
        <w:t xml:space="preserve"> </w:t>
      </w:r>
      <w:r w:rsidRPr="00B02247">
        <w:t>and</w:t>
      </w:r>
      <w:r w:rsidR="005B2A41">
        <w:t xml:space="preserve"> </w:t>
      </w:r>
      <w:r w:rsidRPr="00B02247">
        <w:t>women</w:t>
      </w:r>
      <w:r w:rsidR="005B2A41">
        <w:t xml:space="preserve"> </w:t>
      </w:r>
      <w:r w:rsidRPr="00B02247">
        <w:t>does</w:t>
      </w:r>
      <w:r w:rsidR="005B2A41">
        <w:t xml:space="preserve"> </w:t>
      </w:r>
      <w:r w:rsidRPr="00B02247">
        <w:t>not</w:t>
      </w:r>
      <w:r w:rsidR="005B2A41">
        <w:t xml:space="preserve"> </w:t>
      </w:r>
      <w:r w:rsidRPr="00B02247">
        <w:t>constitute</w:t>
      </w:r>
      <w:r w:rsidR="005B2A41">
        <w:t xml:space="preserve"> </w:t>
      </w:r>
      <w:r w:rsidRPr="00B02247">
        <w:t>discrimination</w:t>
      </w:r>
      <w:r w:rsidR="005B2A41">
        <w:t xml:space="preserve"> </w:t>
      </w:r>
      <w:r w:rsidRPr="00B02247">
        <w:t>on</w:t>
      </w:r>
      <w:r w:rsidR="005B2A41">
        <w:t xml:space="preserve"> </w:t>
      </w:r>
      <w:r w:rsidRPr="00B02247">
        <w:t>the</w:t>
      </w:r>
      <w:r w:rsidR="005B2A41">
        <w:t xml:space="preserve"> </w:t>
      </w:r>
      <w:r w:rsidRPr="00B02247">
        <w:t>basis</w:t>
      </w:r>
      <w:r w:rsidR="005B2A41">
        <w:t xml:space="preserve"> </w:t>
      </w:r>
      <w:r w:rsidRPr="00B02247">
        <w:t>of</w:t>
      </w:r>
      <w:r w:rsidR="005B2A41">
        <w:t xml:space="preserve"> </w:t>
      </w:r>
      <w:r w:rsidRPr="00B02247">
        <w:t>gender.</w:t>
      </w:r>
      <w:r w:rsidR="005B2A41">
        <w:t xml:space="preserve"> </w:t>
      </w:r>
      <w:r w:rsidRPr="00B02247">
        <w:t>The</w:t>
      </w:r>
      <w:r w:rsidR="005B2A41">
        <w:t xml:space="preserve"> </w:t>
      </w:r>
      <w:r w:rsidRPr="00B02247">
        <w:t>State</w:t>
      </w:r>
      <w:r w:rsidR="005B2A41">
        <w:t xml:space="preserve"> </w:t>
      </w:r>
      <w:r w:rsidRPr="00B02247">
        <w:t>shall</w:t>
      </w:r>
      <w:r w:rsidR="005B2A41">
        <w:t xml:space="preserve"> </w:t>
      </w:r>
      <w:r w:rsidRPr="00B02247">
        <w:t>attend</w:t>
      </w:r>
      <w:r w:rsidR="005B2A41">
        <w:t xml:space="preserve"> </w:t>
      </w:r>
      <w:r w:rsidRPr="00B02247">
        <w:t>to</w:t>
      </w:r>
      <w:r w:rsidR="005B2A41">
        <w:t xml:space="preserve"> </w:t>
      </w:r>
      <w:r w:rsidRPr="00B02247">
        <w:t>the</w:t>
      </w:r>
      <w:r w:rsidR="005B2A41">
        <w:t xml:space="preserve"> </w:t>
      </w:r>
      <w:r w:rsidRPr="00B02247">
        <w:t>elimination</w:t>
      </w:r>
      <w:r w:rsidR="005B2A41">
        <w:t xml:space="preserve"> </w:t>
      </w:r>
      <w:r w:rsidRPr="00B02247">
        <w:t>of</w:t>
      </w:r>
      <w:r w:rsidR="005B2A41">
        <w:t xml:space="preserve"> </w:t>
      </w:r>
      <w:r w:rsidRPr="00B02247">
        <w:t>inequalities</w:t>
      </w:r>
      <w:r w:rsidR="005B2A41">
        <w:t xml:space="preserve"> </w:t>
      </w:r>
      <w:r w:rsidRPr="00B02247">
        <w:t>actually</w:t>
      </w:r>
      <w:r w:rsidR="005B2A41">
        <w:t xml:space="preserve"> </w:t>
      </w:r>
      <w:r w:rsidRPr="00B02247">
        <w:t>existing,</w:t>
      </w:r>
      <w:r w:rsidR="005B2A41">
        <w:t xml:space="preserve"> </w:t>
      </w:r>
      <w:r w:rsidRPr="00B02247">
        <w:t>especially</w:t>
      </w:r>
      <w:r w:rsidR="005B2A41">
        <w:t xml:space="preserve"> </w:t>
      </w:r>
      <w:r w:rsidRPr="00B02247">
        <w:t>to</w:t>
      </w:r>
      <w:r w:rsidR="005B2A41">
        <w:t xml:space="preserve"> </w:t>
      </w:r>
      <w:r w:rsidRPr="00B02247">
        <w:t>the</w:t>
      </w:r>
      <w:r w:rsidR="005B2A41">
        <w:t xml:space="preserve"> </w:t>
      </w:r>
      <w:r w:rsidRPr="00B02247">
        <w:t>detriment</w:t>
      </w:r>
      <w:r w:rsidR="005B2A41">
        <w:t xml:space="preserve"> </w:t>
      </w:r>
      <w:r w:rsidRPr="00B02247">
        <w:t>of</w:t>
      </w:r>
      <w:r w:rsidR="005B2A41">
        <w:t xml:space="preserve"> </w:t>
      </w:r>
      <w:r w:rsidRPr="00B02247">
        <w:t>women</w:t>
      </w:r>
      <w:r w:rsidR="003E731F">
        <w:t>”</w:t>
      </w:r>
      <w:r w:rsidRPr="00B02247">
        <w:t>.</w:t>
      </w:r>
    </w:p>
    <w:p w:rsidR="00F233AB" w:rsidRPr="00B02247" w:rsidRDefault="00F233AB" w:rsidP="00E1307D">
      <w:pPr>
        <w:pStyle w:val="SingleTxtG"/>
      </w:pPr>
      <w:r w:rsidRPr="00B02247">
        <w:t>154.</w:t>
      </w:r>
      <w:r w:rsidRPr="00B02247">
        <w:tab/>
        <w:t>It</w:t>
      </w:r>
      <w:r w:rsidR="005B2A41">
        <w:t xml:space="preserve"> </w:t>
      </w:r>
      <w:r w:rsidRPr="00B02247">
        <w:t>is</w:t>
      </w:r>
      <w:r w:rsidR="005B2A41">
        <w:t xml:space="preserve"> </w:t>
      </w:r>
      <w:r w:rsidRPr="00B02247">
        <w:t>noteworthy</w:t>
      </w:r>
      <w:r w:rsidR="005B2A41">
        <w:t xml:space="preserve"> </w:t>
      </w:r>
      <w:r w:rsidRPr="00B02247">
        <w:t>that</w:t>
      </w:r>
      <w:r w:rsidR="005B2A41">
        <w:t xml:space="preserve"> </w:t>
      </w:r>
      <w:r w:rsidRPr="00B02247">
        <w:t>the</w:t>
      </w:r>
      <w:r w:rsidR="005B2A41">
        <w:t xml:space="preserve"> </w:t>
      </w:r>
      <w:r w:rsidRPr="00B02247">
        <w:t>effective</w:t>
      </w:r>
      <w:r w:rsidR="005B2A41">
        <w:t xml:space="preserve"> </w:t>
      </w:r>
      <w:r w:rsidRPr="00B02247">
        <w:t>application</w:t>
      </w:r>
      <w:r w:rsidR="005B2A41">
        <w:t xml:space="preserve"> </w:t>
      </w:r>
      <w:r w:rsidRPr="00B02247">
        <w:t>of</w:t>
      </w:r>
      <w:r w:rsidR="005B2A41">
        <w:t xml:space="preserve"> </w:t>
      </w:r>
      <w:r w:rsidRPr="00B02247">
        <w:t>the</w:t>
      </w:r>
      <w:r w:rsidR="005B2A41">
        <w:t xml:space="preserve"> </w:t>
      </w:r>
      <w:r w:rsidRPr="00B02247">
        <w:t>principle</w:t>
      </w:r>
      <w:r w:rsidR="005B2A41">
        <w:t xml:space="preserve"> </w:t>
      </w:r>
      <w:r w:rsidRPr="00B02247">
        <w:t>of</w:t>
      </w:r>
      <w:r w:rsidR="005B2A41">
        <w:t xml:space="preserve"> </w:t>
      </w:r>
      <w:r w:rsidRPr="00B02247">
        <w:t>equality</w:t>
      </w:r>
      <w:r w:rsidR="005B2A41">
        <w:t xml:space="preserve"> </w:t>
      </w:r>
      <w:r w:rsidRPr="00B02247">
        <w:t>is</w:t>
      </w:r>
      <w:r w:rsidR="005B2A41">
        <w:t xml:space="preserve"> </w:t>
      </w:r>
      <w:r w:rsidRPr="00B02247">
        <w:t>enhanced</w:t>
      </w:r>
      <w:r w:rsidR="005B2A41">
        <w:t xml:space="preserve"> </w:t>
      </w:r>
      <w:r w:rsidRPr="00B02247">
        <w:t>by</w:t>
      </w:r>
      <w:r w:rsidR="005B2A41">
        <w:t xml:space="preserve"> </w:t>
      </w:r>
      <w:r w:rsidRPr="00B02247">
        <w:t>the</w:t>
      </w:r>
      <w:r w:rsidR="005B2A41">
        <w:t xml:space="preserve"> </w:t>
      </w:r>
      <w:r w:rsidRPr="00B02247">
        <w:t>competence</w:t>
      </w:r>
      <w:r w:rsidR="005B2A41">
        <w:t xml:space="preserve"> </w:t>
      </w:r>
      <w:r w:rsidRPr="00B02247">
        <w:t>of</w:t>
      </w:r>
      <w:r w:rsidR="005B2A41">
        <w:t xml:space="preserve"> </w:t>
      </w:r>
      <w:r w:rsidRPr="00B02247">
        <w:t>the</w:t>
      </w:r>
      <w:r w:rsidR="005B2A41">
        <w:t xml:space="preserve"> </w:t>
      </w:r>
      <w:r w:rsidRPr="00B02247">
        <w:t>courts</w:t>
      </w:r>
      <w:r w:rsidR="005B2A41">
        <w:t xml:space="preserve"> </w:t>
      </w:r>
      <w:r w:rsidRPr="00B02247">
        <w:t>to</w:t>
      </w:r>
      <w:r w:rsidR="005B2A41">
        <w:t xml:space="preserve"> </w:t>
      </w:r>
      <w:r w:rsidRPr="00B02247">
        <w:t>deny</w:t>
      </w:r>
      <w:r w:rsidR="005B2A41">
        <w:t xml:space="preserve"> </w:t>
      </w:r>
      <w:r w:rsidRPr="00B02247">
        <w:t>the</w:t>
      </w:r>
      <w:r w:rsidR="005B2A41">
        <w:t xml:space="preserve"> </w:t>
      </w:r>
      <w:r w:rsidRPr="00B02247">
        <w:t>application</w:t>
      </w:r>
      <w:r w:rsidR="005B2A41">
        <w:t xml:space="preserve"> </w:t>
      </w:r>
      <w:r w:rsidRPr="00B02247">
        <w:t>of</w:t>
      </w:r>
      <w:r w:rsidR="005B2A41">
        <w:t xml:space="preserve"> </w:t>
      </w:r>
      <w:r w:rsidRPr="00B02247">
        <w:t>any</w:t>
      </w:r>
      <w:r w:rsidR="005B2A41">
        <w:t xml:space="preserve"> </w:t>
      </w:r>
      <w:r w:rsidRPr="00B02247">
        <w:t>provision</w:t>
      </w:r>
      <w:r w:rsidR="005B2A41">
        <w:t xml:space="preserve"> </w:t>
      </w:r>
      <w:r w:rsidRPr="00B02247">
        <w:t>of</w:t>
      </w:r>
      <w:r w:rsidR="005B2A41">
        <w:t xml:space="preserve"> </w:t>
      </w:r>
      <w:r w:rsidRPr="00B02247">
        <w:t>any</w:t>
      </w:r>
      <w:r w:rsidR="005B2A41">
        <w:t xml:space="preserve"> </w:t>
      </w:r>
      <w:r w:rsidRPr="00B02247">
        <w:t>law,</w:t>
      </w:r>
      <w:r w:rsidR="005B2A41">
        <w:t xml:space="preserve"> </w:t>
      </w:r>
      <w:r w:rsidRPr="00B02247">
        <w:t>which</w:t>
      </w:r>
      <w:r w:rsidR="005B2A41">
        <w:t xml:space="preserve"> </w:t>
      </w:r>
      <w:r w:rsidRPr="00B02247">
        <w:t>violates</w:t>
      </w:r>
      <w:r w:rsidR="005B2A41">
        <w:t xml:space="preserve"> </w:t>
      </w:r>
      <w:r w:rsidRPr="00B02247">
        <w:t>the</w:t>
      </w:r>
      <w:r w:rsidR="005B2A41">
        <w:t xml:space="preserve"> </w:t>
      </w:r>
      <w:r w:rsidRPr="00B02247">
        <w:t>principle</w:t>
      </w:r>
      <w:r w:rsidR="005B2A41">
        <w:t xml:space="preserve"> </w:t>
      </w:r>
      <w:r w:rsidRPr="00B02247">
        <w:t>of</w:t>
      </w:r>
      <w:r w:rsidR="005B2A41">
        <w:t xml:space="preserve"> </w:t>
      </w:r>
      <w:r w:rsidRPr="00B02247">
        <w:t>equality</w:t>
      </w:r>
      <w:r w:rsidR="005B2A41">
        <w:t xml:space="preserve"> </w:t>
      </w:r>
      <w:r w:rsidRPr="00B02247">
        <w:t>or</w:t>
      </w:r>
      <w:r w:rsidR="005B2A41">
        <w:t xml:space="preserve"> </w:t>
      </w:r>
      <w:r w:rsidRPr="00B02247">
        <w:t>the</w:t>
      </w:r>
      <w:r w:rsidR="005B2A41">
        <w:t xml:space="preserve"> </w:t>
      </w:r>
      <w:r w:rsidRPr="00B02247">
        <w:t>relevant</w:t>
      </w:r>
      <w:r w:rsidR="005B2A41">
        <w:t xml:space="preserve"> </w:t>
      </w:r>
      <w:r w:rsidRPr="00B02247">
        <w:t>provisions</w:t>
      </w:r>
      <w:r w:rsidR="005B2A41">
        <w:t xml:space="preserve"> </w:t>
      </w:r>
      <w:r w:rsidRPr="00B02247">
        <w:t>of</w:t>
      </w:r>
      <w:r w:rsidR="005B2A41">
        <w:t xml:space="preserve"> </w:t>
      </w:r>
      <w:r w:rsidRPr="00B02247">
        <w:t>international</w:t>
      </w:r>
      <w:r w:rsidR="005B2A41">
        <w:t xml:space="preserve"> </w:t>
      </w:r>
      <w:r w:rsidRPr="00B02247">
        <w:t>conventions</w:t>
      </w:r>
      <w:r w:rsidR="005B2A41">
        <w:t xml:space="preserve"> </w:t>
      </w:r>
      <w:r w:rsidRPr="00B02247">
        <w:t>that</w:t>
      </w:r>
      <w:r w:rsidR="005B2A41">
        <w:t xml:space="preserve"> </w:t>
      </w:r>
      <w:r w:rsidRPr="00B02247">
        <w:t>establish</w:t>
      </w:r>
      <w:r w:rsidR="005B2A41">
        <w:t xml:space="preserve"> </w:t>
      </w:r>
      <w:r w:rsidRPr="00B02247">
        <w:t>the</w:t>
      </w:r>
      <w:r w:rsidR="005B2A41">
        <w:t xml:space="preserve"> </w:t>
      </w:r>
      <w:r w:rsidRPr="00B02247">
        <w:t>principle</w:t>
      </w:r>
      <w:r w:rsidR="005B2A41">
        <w:t xml:space="preserve"> </w:t>
      </w:r>
      <w:r w:rsidRPr="00B02247">
        <w:t>of</w:t>
      </w:r>
      <w:r w:rsidR="005B2A41">
        <w:t xml:space="preserve"> </w:t>
      </w:r>
      <w:r w:rsidRPr="00B02247">
        <w:t>non-discrimination.</w:t>
      </w:r>
      <w:r w:rsidR="005B2A41">
        <w:t xml:space="preserve"> </w:t>
      </w:r>
      <w:r w:rsidRPr="00B02247">
        <w:t>The</w:t>
      </w:r>
      <w:r w:rsidR="005B2A41">
        <w:t xml:space="preserve"> </w:t>
      </w:r>
      <w:r w:rsidRPr="00B02247">
        <w:t>power</w:t>
      </w:r>
      <w:r w:rsidR="005B2A41">
        <w:t xml:space="preserve"> </w:t>
      </w:r>
      <w:r w:rsidRPr="00B02247">
        <w:t>of</w:t>
      </w:r>
      <w:r w:rsidR="005B2A41">
        <w:t xml:space="preserve"> </w:t>
      </w:r>
      <w:r w:rsidRPr="00B02247">
        <w:t>the</w:t>
      </w:r>
      <w:r w:rsidR="005B2A41">
        <w:t xml:space="preserve"> </w:t>
      </w:r>
      <w:r w:rsidRPr="00B02247">
        <w:t>courts</w:t>
      </w:r>
      <w:r w:rsidR="005B2A41">
        <w:t xml:space="preserve"> </w:t>
      </w:r>
      <w:r w:rsidRPr="00B02247">
        <w:t>not</w:t>
      </w:r>
      <w:r w:rsidR="005B2A41">
        <w:t xml:space="preserve"> </w:t>
      </w:r>
      <w:r w:rsidRPr="00B02247">
        <w:t>to</w:t>
      </w:r>
      <w:r w:rsidR="005B2A41">
        <w:t xml:space="preserve"> </w:t>
      </w:r>
      <w:r w:rsidRPr="00B02247">
        <w:t>apply</w:t>
      </w:r>
      <w:r w:rsidR="005B2A41">
        <w:t xml:space="preserve"> </w:t>
      </w:r>
      <w:r w:rsidRPr="00B02247">
        <w:t>a</w:t>
      </w:r>
      <w:r w:rsidR="005B2A41">
        <w:t xml:space="preserve"> </w:t>
      </w:r>
      <w:r w:rsidRPr="00B02247">
        <w:t>statute</w:t>
      </w:r>
      <w:r w:rsidR="005B2A41">
        <w:t xml:space="preserve"> </w:t>
      </w:r>
      <w:r w:rsidRPr="00B02247">
        <w:t>whose</w:t>
      </w:r>
      <w:r w:rsidR="005B2A41">
        <w:t xml:space="preserve"> </w:t>
      </w:r>
      <w:r w:rsidRPr="00B02247">
        <w:t>content</w:t>
      </w:r>
      <w:r w:rsidR="005B2A41">
        <w:t xml:space="preserve"> </w:t>
      </w:r>
      <w:r w:rsidRPr="00B02247">
        <w:t>is</w:t>
      </w:r>
      <w:r w:rsidR="005B2A41">
        <w:t xml:space="preserve"> </w:t>
      </w:r>
      <w:r w:rsidRPr="00B02247">
        <w:t>contrary</w:t>
      </w:r>
      <w:r w:rsidR="005B2A41">
        <w:t xml:space="preserve"> </w:t>
      </w:r>
      <w:r w:rsidRPr="00B02247">
        <w:t>to</w:t>
      </w:r>
      <w:r w:rsidR="005B2A41">
        <w:t xml:space="preserve"> </w:t>
      </w:r>
      <w:r w:rsidRPr="00B02247">
        <w:t>the</w:t>
      </w:r>
      <w:r w:rsidR="005B2A41">
        <w:t xml:space="preserve"> </w:t>
      </w:r>
      <w:r w:rsidRPr="00B02247">
        <w:t>Constitution</w:t>
      </w:r>
      <w:r w:rsidR="005B2A41">
        <w:t xml:space="preserve"> </w:t>
      </w:r>
      <w:r w:rsidRPr="00B02247">
        <w:t>is</w:t>
      </w:r>
      <w:r w:rsidR="005B2A41">
        <w:t xml:space="preserve"> </w:t>
      </w:r>
      <w:r w:rsidRPr="00B02247">
        <w:t>provided</w:t>
      </w:r>
      <w:r w:rsidR="005B2A41">
        <w:t xml:space="preserve"> </w:t>
      </w:r>
      <w:r w:rsidRPr="00B02247">
        <w:t>for</w:t>
      </w:r>
      <w:r w:rsidR="005B2A41">
        <w:t xml:space="preserve"> </w:t>
      </w:r>
      <w:r w:rsidRPr="00B02247">
        <w:t>in</w:t>
      </w:r>
      <w:r w:rsidR="005B2A41">
        <w:t xml:space="preserve"> </w:t>
      </w:r>
      <w:r w:rsidRPr="00B02247">
        <w:t>the</w:t>
      </w:r>
      <w:r w:rsidR="005B2A41">
        <w:t xml:space="preserve"> </w:t>
      </w:r>
      <w:r w:rsidRPr="00B02247">
        <w:t>Constitution</w:t>
      </w:r>
      <w:r w:rsidR="005B2A41">
        <w:t xml:space="preserve"> </w:t>
      </w:r>
      <w:r w:rsidRPr="00B02247">
        <w:t>itself</w:t>
      </w:r>
      <w:r w:rsidR="005B2A41">
        <w:t xml:space="preserve"> </w:t>
      </w:r>
      <w:r w:rsidRPr="00B02247">
        <w:t>(article</w:t>
      </w:r>
      <w:r w:rsidR="005B2A41">
        <w:t xml:space="preserve"> </w:t>
      </w:r>
      <w:r w:rsidRPr="00B02247">
        <w:t>93</w:t>
      </w:r>
      <w:r w:rsidR="005B2A41">
        <w:t xml:space="preserve"> </w:t>
      </w:r>
      <w:r w:rsidRPr="00B02247">
        <w:t>(4)).</w:t>
      </w:r>
    </w:p>
    <w:p w:rsidR="00F233AB" w:rsidRPr="00B02247" w:rsidRDefault="00F233AB" w:rsidP="00E1307D">
      <w:pPr>
        <w:pStyle w:val="SingleTxtG"/>
      </w:pPr>
      <w:r w:rsidRPr="00B02247">
        <w:t>155.</w:t>
      </w:r>
      <w:r w:rsidRPr="00B02247">
        <w:tab/>
        <w:t>The</w:t>
      </w:r>
      <w:r w:rsidR="005B2A41">
        <w:t xml:space="preserve"> </w:t>
      </w:r>
      <w:r w:rsidRPr="00B02247">
        <w:t>equality</w:t>
      </w:r>
      <w:r w:rsidR="005B2A41">
        <w:t xml:space="preserve"> </w:t>
      </w:r>
      <w:r w:rsidRPr="00B02247">
        <w:t>of</w:t>
      </w:r>
      <w:r w:rsidR="005B2A41">
        <w:t xml:space="preserve"> </w:t>
      </w:r>
      <w:r w:rsidRPr="00B02247">
        <w:t>remuneration</w:t>
      </w:r>
      <w:r w:rsidR="005B2A41">
        <w:t xml:space="preserve"> </w:t>
      </w:r>
      <w:r w:rsidRPr="00B02247">
        <w:t>for</w:t>
      </w:r>
      <w:r w:rsidR="005B2A41">
        <w:t xml:space="preserve"> </w:t>
      </w:r>
      <w:r w:rsidRPr="00B02247">
        <w:t>work</w:t>
      </w:r>
      <w:r w:rsidR="005B2A41">
        <w:t xml:space="preserve"> </w:t>
      </w:r>
      <w:r w:rsidRPr="00B02247">
        <w:t>of</w:t>
      </w:r>
      <w:r w:rsidR="005B2A41">
        <w:t xml:space="preserve"> </w:t>
      </w:r>
      <w:r w:rsidRPr="00B02247">
        <w:t>equal</w:t>
      </w:r>
      <w:r w:rsidR="005B2A41">
        <w:t xml:space="preserve"> </w:t>
      </w:r>
      <w:r w:rsidRPr="00B02247">
        <w:t>value</w:t>
      </w:r>
      <w:r w:rsidR="005B2A41">
        <w:t xml:space="preserve"> </w:t>
      </w:r>
      <w:r w:rsidRPr="00B02247">
        <w:t>is</w:t>
      </w:r>
      <w:r w:rsidR="005B2A41">
        <w:t xml:space="preserve"> </w:t>
      </w:r>
      <w:r w:rsidRPr="00B02247">
        <w:t>provided</w:t>
      </w:r>
      <w:r w:rsidR="005B2A41">
        <w:t xml:space="preserve"> </w:t>
      </w:r>
      <w:r w:rsidRPr="00B02247">
        <w:t>for</w:t>
      </w:r>
      <w:r w:rsidR="005B2A41">
        <w:t xml:space="preserve"> </w:t>
      </w:r>
      <w:r w:rsidRPr="00B02247">
        <w:t>in</w:t>
      </w:r>
      <w:r w:rsidR="005B2A41">
        <w:t xml:space="preserve"> </w:t>
      </w:r>
      <w:r w:rsidRPr="00B02247">
        <w:t>article</w:t>
      </w:r>
      <w:r w:rsidR="005B2A41">
        <w:t xml:space="preserve"> </w:t>
      </w:r>
      <w:r w:rsidRPr="00B02247">
        <w:t>22</w:t>
      </w:r>
      <w:r w:rsidR="005B2A41">
        <w:t xml:space="preserve"> </w:t>
      </w:r>
      <w:r w:rsidRPr="00B02247">
        <w:t>(1)</w:t>
      </w:r>
      <w:r w:rsidR="005B2A41">
        <w:t xml:space="preserve"> </w:t>
      </w:r>
      <w:r w:rsidRPr="00B02247">
        <w:t>(b)</w:t>
      </w:r>
      <w:r w:rsidR="005B2A41">
        <w:t xml:space="preserve"> </w:t>
      </w:r>
      <w:r w:rsidRPr="00B02247">
        <w:t>of</w:t>
      </w:r>
      <w:r w:rsidR="005B2A41">
        <w:t xml:space="preserve"> </w:t>
      </w:r>
      <w:r w:rsidRPr="00B02247">
        <w:t>the</w:t>
      </w:r>
      <w:r w:rsidR="005B2A41">
        <w:t xml:space="preserve"> </w:t>
      </w:r>
      <w:r w:rsidRPr="00B02247">
        <w:t>Constitution.</w:t>
      </w:r>
      <w:r w:rsidR="005B2A41">
        <w:t xml:space="preserve"> </w:t>
      </w:r>
      <w:r w:rsidRPr="00B02247">
        <w:t>According</w:t>
      </w:r>
      <w:r w:rsidR="005B2A41">
        <w:t xml:space="preserve"> </w:t>
      </w:r>
      <w:r w:rsidRPr="00B02247">
        <w:t>to</w:t>
      </w:r>
      <w:r w:rsidR="005B2A41">
        <w:t xml:space="preserve"> </w:t>
      </w:r>
      <w:r w:rsidRPr="00B02247">
        <w:t>the</w:t>
      </w:r>
      <w:r w:rsidR="005B2A41">
        <w:t xml:space="preserve"> </w:t>
      </w:r>
      <w:r w:rsidRPr="00B02247">
        <w:t>jurisprudence</w:t>
      </w:r>
      <w:r w:rsidR="005B2A41">
        <w:t xml:space="preserve"> </w:t>
      </w:r>
      <w:r w:rsidRPr="00B02247">
        <w:t>of</w:t>
      </w:r>
      <w:r w:rsidR="005B2A41">
        <w:t xml:space="preserve"> </w:t>
      </w:r>
      <w:r w:rsidRPr="00B02247">
        <w:t>the</w:t>
      </w:r>
      <w:r w:rsidR="005B2A41">
        <w:t xml:space="preserve"> </w:t>
      </w:r>
      <w:r w:rsidRPr="00B02247">
        <w:t>Special</w:t>
      </w:r>
      <w:r w:rsidR="005B2A41">
        <w:t xml:space="preserve"> </w:t>
      </w:r>
      <w:r w:rsidRPr="00B02247">
        <w:t>Supreme</w:t>
      </w:r>
      <w:r w:rsidR="005B2A41">
        <w:t xml:space="preserve"> </w:t>
      </w:r>
      <w:r w:rsidRPr="00B02247">
        <w:t>Court,</w:t>
      </w:r>
      <w:r w:rsidR="005B2A41">
        <w:t xml:space="preserve"> </w:t>
      </w:r>
      <w:r w:rsidRPr="00B02247">
        <w:t>this</w:t>
      </w:r>
      <w:r w:rsidR="005B2A41">
        <w:t xml:space="preserve"> </w:t>
      </w:r>
      <w:r w:rsidRPr="00B02247">
        <w:t>provision</w:t>
      </w:r>
      <w:r w:rsidR="005B2A41">
        <w:t xml:space="preserve"> </w:t>
      </w:r>
      <w:r w:rsidRPr="00B02247">
        <w:t>is</w:t>
      </w:r>
      <w:r w:rsidR="005B2A41">
        <w:t xml:space="preserve"> </w:t>
      </w:r>
      <w:r w:rsidRPr="00B02247">
        <w:t>applicable</w:t>
      </w:r>
      <w:r w:rsidR="005B2A41">
        <w:t xml:space="preserve"> </w:t>
      </w:r>
      <w:r w:rsidRPr="00B02247">
        <w:t>solely</w:t>
      </w:r>
      <w:r w:rsidR="005B2A41">
        <w:t xml:space="preserve"> </w:t>
      </w:r>
      <w:r w:rsidRPr="00B02247">
        <w:t>on</w:t>
      </w:r>
      <w:r w:rsidR="005B2A41">
        <w:t xml:space="preserve"> </w:t>
      </w:r>
      <w:r w:rsidRPr="00B02247">
        <w:t>those</w:t>
      </w:r>
      <w:r w:rsidR="005B2A41">
        <w:t xml:space="preserve"> </w:t>
      </w:r>
      <w:r w:rsidRPr="00B02247">
        <w:t>employed</w:t>
      </w:r>
      <w:r w:rsidR="005B2A41">
        <w:t xml:space="preserve"> </w:t>
      </w:r>
      <w:r w:rsidRPr="00B02247">
        <w:t>in</w:t>
      </w:r>
      <w:r w:rsidR="005B2A41">
        <w:t xml:space="preserve"> </w:t>
      </w:r>
      <w:r w:rsidRPr="00B02247">
        <w:t>the</w:t>
      </w:r>
      <w:r w:rsidR="005B2A41">
        <w:t xml:space="preserve"> </w:t>
      </w:r>
      <w:r w:rsidRPr="00B02247">
        <w:t>private</w:t>
      </w:r>
      <w:r w:rsidR="005B2A41">
        <w:t xml:space="preserve"> </w:t>
      </w:r>
      <w:r w:rsidRPr="00B02247">
        <w:t>sector</w:t>
      </w:r>
      <w:r w:rsidR="005B2A41">
        <w:t xml:space="preserve"> </w:t>
      </w:r>
      <w:r w:rsidRPr="00B02247">
        <w:t>and</w:t>
      </w:r>
      <w:r w:rsidR="005B2A41">
        <w:t xml:space="preserve"> </w:t>
      </w:r>
      <w:r w:rsidRPr="00B02247">
        <w:t>not</w:t>
      </w:r>
      <w:r w:rsidR="005B2A41">
        <w:t xml:space="preserve"> </w:t>
      </w:r>
      <w:r w:rsidRPr="00B02247">
        <w:t>on</w:t>
      </w:r>
      <w:r w:rsidR="005B2A41">
        <w:t xml:space="preserve"> </w:t>
      </w:r>
      <w:r w:rsidRPr="00B02247">
        <w:t>those</w:t>
      </w:r>
      <w:r w:rsidR="005B2A41">
        <w:t xml:space="preserve"> </w:t>
      </w:r>
      <w:r w:rsidRPr="00B02247">
        <w:t>employed</w:t>
      </w:r>
      <w:r w:rsidR="005B2A41">
        <w:t xml:space="preserve"> </w:t>
      </w:r>
      <w:r w:rsidRPr="00B02247">
        <w:t>in</w:t>
      </w:r>
      <w:r w:rsidR="005B2A41">
        <w:t xml:space="preserve"> </w:t>
      </w:r>
      <w:r w:rsidRPr="00B02247">
        <w:t>the</w:t>
      </w:r>
      <w:r w:rsidR="005B2A41">
        <w:t xml:space="preserve"> </w:t>
      </w:r>
      <w:r w:rsidRPr="00B02247">
        <w:t>public</w:t>
      </w:r>
      <w:r w:rsidR="005B2A41">
        <w:t xml:space="preserve"> </w:t>
      </w:r>
      <w:r w:rsidRPr="00B02247">
        <w:t>sector</w:t>
      </w:r>
      <w:r w:rsidR="005B2A41">
        <w:t xml:space="preserve"> </w:t>
      </w:r>
      <w:r w:rsidRPr="00B02247">
        <w:t>or</w:t>
      </w:r>
      <w:r w:rsidR="005B2A41">
        <w:t xml:space="preserve"> </w:t>
      </w:r>
      <w:r w:rsidRPr="00B02247">
        <w:t>self-employed</w:t>
      </w:r>
      <w:r w:rsidR="005B2A41">
        <w:t xml:space="preserve"> </w:t>
      </w:r>
      <w:r w:rsidRPr="00B02247">
        <w:t>and</w:t>
      </w:r>
      <w:r w:rsidR="005B2A41">
        <w:t xml:space="preserve"> </w:t>
      </w:r>
      <w:r w:rsidRPr="00B02247">
        <w:t>entrepreneurs.</w:t>
      </w:r>
      <w:r w:rsidR="005B2A41">
        <w:t xml:space="preserve"> </w:t>
      </w:r>
      <w:r w:rsidRPr="00B02247">
        <w:t>Similar</w:t>
      </w:r>
      <w:r w:rsidR="005B2A41">
        <w:t xml:space="preserve"> </w:t>
      </w:r>
      <w:r w:rsidRPr="00B02247">
        <w:t>conditions</w:t>
      </w:r>
      <w:r w:rsidR="005B2A41">
        <w:t xml:space="preserve"> </w:t>
      </w:r>
      <w:r w:rsidRPr="00B02247">
        <w:t>of</w:t>
      </w:r>
      <w:r w:rsidR="005B2A41">
        <w:t xml:space="preserve"> </w:t>
      </w:r>
      <w:r w:rsidRPr="00B02247">
        <w:t>employment</w:t>
      </w:r>
      <w:r w:rsidR="005B2A41">
        <w:t xml:space="preserve"> </w:t>
      </w:r>
      <w:r w:rsidRPr="00B02247">
        <w:t>and</w:t>
      </w:r>
      <w:r w:rsidR="005B2A41">
        <w:t xml:space="preserve"> </w:t>
      </w:r>
      <w:r w:rsidRPr="00B02247">
        <w:t>provision</w:t>
      </w:r>
      <w:r w:rsidR="005B2A41">
        <w:t xml:space="preserve"> </w:t>
      </w:r>
      <w:r w:rsidRPr="00B02247">
        <w:t>of</w:t>
      </w:r>
      <w:r w:rsidR="005B2A41">
        <w:t xml:space="preserve"> </w:t>
      </w:r>
      <w:r w:rsidRPr="00B02247">
        <w:t>services,</w:t>
      </w:r>
      <w:r w:rsidR="005B2A41">
        <w:t xml:space="preserve"> </w:t>
      </w:r>
      <w:r w:rsidRPr="00B02247">
        <w:t>as</w:t>
      </w:r>
      <w:r w:rsidR="005B2A41">
        <w:t xml:space="preserve"> </w:t>
      </w:r>
      <w:r w:rsidRPr="00B02247">
        <w:t>well</w:t>
      </w:r>
      <w:r w:rsidR="005B2A41">
        <w:t xml:space="preserve"> </w:t>
      </w:r>
      <w:r w:rsidRPr="00B02247">
        <w:t>as</w:t>
      </w:r>
      <w:r w:rsidR="005B2A41">
        <w:t xml:space="preserve"> </w:t>
      </w:r>
      <w:r w:rsidRPr="00B02247">
        <w:t>similar</w:t>
      </w:r>
      <w:r w:rsidR="005B2A41">
        <w:t xml:space="preserve"> </w:t>
      </w:r>
      <w:r w:rsidRPr="00B02247">
        <w:t>qualifications</w:t>
      </w:r>
      <w:r w:rsidR="005B2A41">
        <w:t xml:space="preserve"> </w:t>
      </w:r>
      <w:r w:rsidRPr="00B02247">
        <w:t>constitute</w:t>
      </w:r>
      <w:r w:rsidR="005B2A41">
        <w:t xml:space="preserve"> </w:t>
      </w:r>
      <w:r w:rsidRPr="00B02247">
        <w:t>a</w:t>
      </w:r>
      <w:r w:rsidR="005B2A41">
        <w:t xml:space="preserve"> </w:t>
      </w:r>
      <w:r w:rsidRPr="00B02247">
        <w:t>prerequisite</w:t>
      </w:r>
      <w:r w:rsidR="005B2A41">
        <w:t xml:space="preserve"> </w:t>
      </w:r>
      <w:r w:rsidRPr="00B02247">
        <w:t>for</w:t>
      </w:r>
      <w:r w:rsidR="005B2A41">
        <w:t xml:space="preserve"> </w:t>
      </w:r>
      <w:r w:rsidRPr="00B02247">
        <w:t>the</w:t>
      </w:r>
      <w:r w:rsidR="005B2A41">
        <w:t xml:space="preserve"> </w:t>
      </w:r>
      <w:r w:rsidRPr="00B02247">
        <w:t>application</w:t>
      </w:r>
      <w:r w:rsidR="005B2A41">
        <w:t xml:space="preserve"> </w:t>
      </w:r>
      <w:r w:rsidRPr="00B02247">
        <w:t>of</w:t>
      </w:r>
      <w:r w:rsidR="005B2A41">
        <w:t xml:space="preserve"> </w:t>
      </w:r>
      <w:r w:rsidRPr="00B02247">
        <w:t>the</w:t>
      </w:r>
      <w:r w:rsidR="005B2A41">
        <w:t xml:space="preserve"> </w:t>
      </w:r>
      <w:r w:rsidRPr="00B02247">
        <w:t>principle</w:t>
      </w:r>
      <w:r w:rsidR="005B2A41">
        <w:t xml:space="preserve"> </w:t>
      </w:r>
      <w:r w:rsidRPr="00B02247">
        <w:t>of</w:t>
      </w:r>
      <w:r w:rsidR="005B2A41">
        <w:t xml:space="preserve"> </w:t>
      </w:r>
      <w:r w:rsidRPr="00B02247">
        <w:t>equality</w:t>
      </w:r>
      <w:r w:rsidR="005B2A41">
        <w:t xml:space="preserve"> </w:t>
      </w:r>
      <w:r w:rsidRPr="00B02247">
        <w:t>in</w:t>
      </w:r>
      <w:r w:rsidR="005B2A41">
        <w:t xml:space="preserve"> </w:t>
      </w:r>
      <w:r w:rsidRPr="00B02247">
        <w:t>the</w:t>
      </w:r>
      <w:r w:rsidR="005B2A41">
        <w:t xml:space="preserve"> </w:t>
      </w:r>
      <w:r w:rsidRPr="00B02247">
        <w:t>framework</w:t>
      </w:r>
      <w:r w:rsidR="005B2A41">
        <w:t xml:space="preserve"> </w:t>
      </w:r>
      <w:r w:rsidRPr="00B02247">
        <w:t>of</w:t>
      </w:r>
      <w:r w:rsidR="005B2A41">
        <w:t xml:space="preserve"> </w:t>
      </w:r>
      <w:r w:rsidRPr="00B02247">
        <w:t>an</w:t>
      </w:r>
      <w:r w:rsidR="005B2A41">
        <w:t xml:space="preserve"> </w:t>
      </w:r>
      <w:r w:rsidRPr="00B02247">
        <w:t>employment</w:t>
      </w:r>
      <w:r w:rsidR="005B2A41">
        <w:t xml:space="preserve"> </w:t>
      </w:r>
      <w:r w:rsidRPr="00B02247">
        <w:t>contract.</w:t>
      </w:r>
      <w:r w:rsidR="005B2A41">
        <w:t xml:space="preserve"> </w:t>
      </w:r>
      <w:r w:rsidRPr="00B02247">
        <w:t>It</w:t>
      </w:r>
      <w:r w:rsidR="005B2A41">
        <w:t xml:space="preserve"> </w:t>
      </w:r>
      <w:r w:rsidRPr="00B02247">
        <w:t>is</w:t>
      </w:r>
      <w:r w:rsidR="005B2A41">
        <w:t xml:space="preserve"> </w:t>
      </w:r>
      <w:r w:rsidRPr="00B02247">
        <w:t>self-evident</w:t>
      </w:r>
      <w:r w:rsidR="005B2A41">
        <w:t xml:space="preserve"> </w:t>
      </w:r>
      <w:r w:rsidRPr="00B02247">
        <w:t>that</w:t>
      </w:r>
      <w:r w:rsidR="005B2A41">
        <w:t xml:space="preserve"> </w:t>
      </w:r>
      <w:r w:rsidRPr="00B02247">
        <w:t>foreign</w:t>
      </w:r>
      <w:r w:rsidR="005B2A41">
        <w:t xml:space="preserve"> </w:t>
      </w:r>
      <w:r w:rsidRPr="00B02247">
        <w:t>citizens</w:t>
      </w:r>
      <w:r w:rsidR="005B2A41">
        <w:t xml:space="preserve"> </w:t>
      </w:r>
      <w:r w:rsidRPr="00B02247">
        <w:t>are</w:t>
      </w:r>
      <w:r w:rsidR="005B2A41">
        <w:t xml:space="preserve"> </w:t>
      </w:r>
      <w:r w:rsidRPr="00B02247">
        <w:t>also</w:t>
      </w:r>
      <w:r w:rsidR="005B2A41">
        <w:t xml:space="preserve"> </w:t>
      </w:r>
      <w:r w:rsidRPr="00B02247">
        <w:t>beneficiaries</w:t>
      </w:r>
      <w:r w:rsidR="005B2A41">
        <w:t xml:space="preserve"> </w:t>
      </w:r>
      <w:r w:rsidRPr="00B02247">
        <w:t>of</w:t>
      </w:r>
      <w:r w:rsidR="005B2A41">
        <w:t xml:space="preserve"> </w:t>
      </w:r>
      <w:r w:rsidRPr="00B02247">
        <w:t>the</w:t>
      </w:r>
      <w:r w:rsidR="005B2A41">
        <w:t xml:space="preserve"> </w:t>
      </w:r>
      <w:r w:rsidRPr="00B02247">
        <w:t>right</w:t>
      </w:r>
      <w:r w:rsidR="005B2A41">
        <w:t xml:space="preserve"> </w:t>
      </w:r>
      <w:r w:rsidRPr="00B02247">
        <w:t>to</w:t>
      </w:r>
      <w:r w:rsidR="005B2A41">
        <w:t xml:space="preserve"> </w:t>
      </w:r>
      <w:r w:rsidRPr="00B02247">
        <w:t>equal</w:t>
      </w:r>
      <w:r w:rsidR="005B2A41">
        <w:t xml:space="preserve"> </w:t>
      </w:r>
      <w:r w:rsidRPr="00B02247">
        <w:t>remuneration.</w:t>
      </w:r>
    </w:p>
    <w:p w:rsidR="00F233AB" w:rsidRPr="00B02247" w:rsidRDefault="00F233AB" w:rsidP="00684CF3">
      <w:pPr>
        <w:pStyle w:val="SingleTxtG"/>
      </w:pPr>
      <w:r w:rsidRPr="00B02247">
        <w:t>156.</w:t>
      </w:r>
      <w:r w:rsidRPr="00B02247">
        <w:tab/>
        <w:t>Equality</w:t>
      </w:r>
      <w:r w:rsidR="005B2A41">
        <w:t xml:space="preserve"> </w:t>
      </w:r>
      <w:r w:rsidRPr="00B02247">
        <w:t>in</w:t>
      </w:r>
      <w:r w:rsidR="005B2A41">
        <w:t xml:space="preserve"> </w:t>
      </w:r>
      <w:r w:rsidRPr="00B02247">
        <w:t>taxation</w:t>
      </w:r>
      <w:r w:rsidR="005B2A41">
        <w:t xml:space="preserve"> </w:t>
      </w:r>
      <w:r w:rsidRPr="00B02247">
        <w:t>means</w:t>
      </w:r>
      <w:r w:rsidR="005B2A41">
        <w:t xml:space="preserve"> </w:t>
      </w:r>
      <w:r w:rsidRPr="00B02247">
        <w:t>that</w:t>
      </w:r>
      <w:r w:rsidR="005B2A41">
        <w:t xml:space="preserve"> </w:t>
      </w:r>
      <w:r w:rsidRPr="00B02247">
        <w:t>all</w:t>
      </w:r>
      <w:r w:rsidR="005B2A41">
        <w:t xml:space="preserve"> </w:t>
      </w:r>
      <w:r w:rsidRPr="00B02247">
        <w:t>citizens</w:t>
      </w:r>
      <w:r w:rsidR="005B2A41">
        <w:t xml:space="preserve"> </w:t>
      </w:r>
      <w:r w:rsidRPr="00B02247">
        <w:t>have</w:t>
      </w:r>
      <w:r w:rsidR="005B2A41">
        <w:t xml:space="preserve"> </w:t>
      </w:r>
      <w:r w:rsidRPr="00B02247">
        <w:t>to</w:t>
      </w:r>
      <w:r w:rsidR="005B2A41">
        <w:t xml:space="preserve"> </w:t>
      </w:r>
      <w:r w:rsidRPr="00B02247">
        <w:t>contribute</w:t>
      </w:r>
      <w:r w:rsidR="005B2A41">
        <w:t xml:space="preserve"> </w:t>
      </w:r>
      <w:r w:rsidRPr="00B02247">
        <w:t>to</w:t>
      </w:r>
      <w:r w:rsidR="005B2A41">
        <w:t xml:space="preserve"> </w:t>
      </w:r>
      <w:r w:rsidRPr="00B02247">
        <w:t>public</w:t>
      </w:r>
      <w:r w:rsidR="005B2A41">
        <w:t xml:space="preserve"> </w:t>
      </w:r>
      <w:r w:rsidRPr="00B02247">
        <w:t>charges</w:t>
      </w:r>
      <w:r w:rsidR="005B2A41">
        <w:t xml:space="preserve"> </w:t>
      </w:r>
      <w:r w:rsidRPr="00B02247">
        <w:t>in</w:t>
      </w:r>
      <w:r w:rsidR="005B2A41">
        <w:t xml:space="preserve"> </w:t>
      </w:r>
      <w:r w:rsidRPr="00B02247">
        <w:t>proportion</w:t>
      </w:r>
      <w:r w:rsidR="005B2A41">
        <w:t xml:space="preserve"> </w:t>
      </w:r>
      <w:r w:rsidRPr="00B02247">
        <w:t>to</w:t>
      </w:r>
      <w:r w:rsidR="005B2A41">
        <w:t xml:space="preserve"> </w:t>
      </w:r>
      <w:r w:rsidRPr="00B02247">
        <w:t>their</w:t>
      </w:r>
      <w:r w:rsidR="005B2A41">
        <w:t xml:space="preserve"> </w:t>
      </w:r>
      <w:r w:rsidRPr="00B02247">
        <w:t>means</w:t>
      </w:r>
      <w:r w:rsidR="005B2A41">
        <w:t xml:space="preserve"> </w:t>
      </w:r>
      <w:r w:rsidRPr="00B02247">
        <w:t>(article</w:t>
      </w:r>
      <w:r w:rsidR="005B2A41">
        <w:t xml:space="preserve"> </w:t>
      </w:r>
      <w:r w:rsidRPr="00B02247">
        <w:t>4</w:t>
      </w:r>
      <w:r w:rsidR="005B2A41">
        <w:t xml:space="preserve"> </w:t>
      </w:r>
      <w:r w:rsidRPr="00B02247">
        <w:t>(5)</w:t>
      </w:r>
      <w:r w:rsidR="005B2A41">
        <w:t xml:space="preserve"> </w:t>
      </w:r>
      <w:r w:rsidRPr="00B02247">
        <w:t>of</w:t>
      </w:r>
      <w:r w:rsidR="005B2A41">
        <w:t xml:space="preserve"> </w:t>
      </w:r>
      <w:r w:rsidRPr="00B02247">
        <w:t>the</w:t>
      </w:r>
      <w:r w:rsidR="005B2A41">
        <w:t xml:space="preserve"> </w:t>
      </w:r>
      <w:r w:rsidRPr="00B02247">
        <w:t>Constitution)</w:t>
      </w:r>
      <w:r w:rsidR="00684CF3">
        <w:t>.</w:t>
      </w:r>
      <w:r w:rsidR="005B2A41">
        <w:t xml:space="preserve"> </w:t>
      </w:r>
    </w:p>
    <w:p w:rsidR="00F233AB" w:rsidRPr="00B02247" w:rsidRDefault="00F233AB" w:rsidP="00E1307D">
      <w:pPr>
        <w:pStyle w:val="SingleTxtG"/>
      </w:pPr>
      <w:r w:rsidRPr="00B02247">
        <w:t>157.</w:t>
      </w:r>
      <w:r w:rsidRPr="00B02247">
        <w:tab/>
        <w:t>Article</w:t>
      </w:r>
      <w:r w:rsidR="005B2A41">
        <w:t xml:space="preserve"> </w:t>
      </w:r>
      <w:r w:rsidRPr="00B02247">
        <w:t>4</w:t>
      </w:r>
      <w:r w:rsidR="005B2A41">
        <w:t xml:space="preserve"> </w:t>
      </w:r>
      <w:r w:rsidRPr="00B02247">
        <w:t>(6)</w:t>
      </w:r>
      <w:r w:rsidR="005B2A41">
        <w:t xml:space="preserve"> </w:t>
      </w:r>
      <w:r w:rsidRPr="00B02247">
        <w:t>of</w:t>
      </w:r>
      <w:r w:rsidR="005B2A41">
        <w:t xml:space="preserve"> </w:t>
      </w:r>
      <w:r w:rsidRPr="00B02247">
        <w:t>the</w:t>
      </w:r>
      <w:r w:rsidR="005B2A41">
        <w:t xml:space="preserve"> </w:t>
      </w:r>
      <w:r w:rsidRPr="00B02247">
        <w:t>Constitution</w:t>
      </w:r>
      <w:r w:rsidR="005B2A41">
        <w:t xml:space="preserve"> </w:t>
      </w:r>
      <w:r w:rsidRPr="00B02247">
        <w:t>provides</w:t>
      </w:r>
      <w:r w:rsidR="005B2A41">
        <w:t xml:space="preserve"> </w:t>
      </w:r>
      <w:r w:rsidRPr="00B02247">
        <w:t>for</w:t>
      </w:r>
      <w:r w:rsidR="005B2A41">
        <w:t xml:space="preserve"> </w:t>
      </w:r>
      <w:r w:rsidRPr="00B02247">
        <w:t>equality</w:t>
      </w:r>
      <w:r w:rsidR="005B2A41">
        <w:t xml:space="preserve"> </w:t>
      </w:r>
      <w:r w:rsidRPr="00B02247">
        <w:t>in</w:t>
      </w:r>
      <w:r w:rsidR="005B2A41">
        <w:t xml:space="preserve"> </w:t>
      </w:r>
      <w:r w:rsidRPr="00B02247">
        <w:t>the</w:t>
      </w:r>
      <w:r w:rsidR="005B2A41">
        <w:t xml:space="preserve"> </w:t>
      </w:r>
      <w:r w:rsidRPr="00B02247">
        <w:t>obligation</w:t>
      </w:r>
      <w:r w:rsidR="005B2A41">
        <w:t xml:space="preserve"> </w:t>
      </w:r>
      <w:r w:rsidRPr="00B02247">
        <w:t>for</w:t>
      </w:r>
      <w:r w:rsidR="005B2A41">
        <w:t xml:space="preserve"> </w:t>
      </w:r>
      <w:r w:rsidRPr="00B02247">
        <w:t>military</w:t>
      </w:r>
      <w:r w:rsidR="005B2A41">
        <w:t xml:space="preserve"> </w:t>
      </w:r>
      <w:r w:rsidRPr="00B02247">
        <w:t>service.</w:t>
      </w:r>
      <w:r w:rsidR="005B2A41">
        <w:t xml:space="preserve"> </w:t>
      </w:r>
    </w:p>
    <w:p w:rsidR="00F233AB" w:rsidRPr="00B02247" w:rsidRDefault="00F233AB" w:rsidP="004A33C6">
      <w:pPr>
        <w:pStyle w:val="H1G"/>
      </w:pPr>
      <w:r w:rsidRPr="00B02247">
        <w:lastRenderedPageBreak/>
        <w:tab/>
      </w:r>
      <w:r w:rsidRPr="00B02247">
        <w:tab/>
        <w:t>Legislative</w:t>
      </w:r>
      <w:r w:rsidR="005B2A41">
        <w:t xml:space="preserve"> </w:t>
      </w:r>
      <w:r w:rsidRPr="00B02247">
        <w:t>level</w:t>
      </w:r>
    </w:p>
    <w:p w:rsidR="00F233AB" w:rsidRPr="00B02247" w:rsidRDefault="00F233AB" w:rsidP="00E1307D">
      <w:pPr>
        <w:pStyle w:val="SingleTxtG"/>
      </w:pPr>
      <w:r w:rsidRPr="00B02247">
        <w:t>158.</w:t>
      </w:r>
      <w:r w:rsidRPr="00B02247">
        <w:tab/>
        <w:t>In</w:t>
      </w:r>
      <w:r w:rsidR="005B2A41">
        <w:t xml:space="preserve"> </w:t>
      </w:r>
      <w:r w:rsidRPr="00B02247">
        <w:t>accordance</w:t>
      </w:r>
      <w:r w:rsidR="005B2A41">
        <w:t xml:space="preserve"> </w:t>
      </w:r>
      <w:r w:rsidRPr="00B02247">
        <w:t>with</w:t>
      </w:r>
      <w:r w:rsidR="005B2A41">
        <w:t xml:space="preserve"> </w:t>
      </w:r>
      <w:r w:rsidRPr="00B02247">
        <w:t>article</w:t>
      </w:r>
      <w:r w:rsidR="005B2A41">
        <w:t xml:space="preserve"> </w:t>
      </w:r>
      <w:r w:rsidRPr="00B02247">
        <w:t>4</w:t>
      </w:r>
      <w:r w:rsidR="005B2A41">
        <w:t xml:space="preserve"> </w:t>
      </w:r>
      <w:r w:rsidRPr="00B02247">
        <w:t>of</w:t>
      </w:r>
      <w:r w:rsidR="005B2A41">
        <w:t xml:space="preserve"> </w:t>
      </w:r>
      <w:r w:rsidRPr="00B02247">
        <w:t>the</w:t>
      </w:r>
      <w:r w:rsidR="005B2A41">
        <w:t xml:space="preserve"> </w:t>
      </w:r>
      <w:r w:rsidRPr="00B02247">
        <w:t>Civil</w:t>
      </w:r>
      <w:r w:rsidR="005B2A41">
        <w:t xml:space="preserve"> </w:t>
      </w:r>
      <w:r w:rsidRPr="00B02247">
        <w:t>Code</w:t>
      </w:r>
      <w:r w:rsidR="005B2A41">
        <w:t xml:space="preserve"> </w:t>
      </w:r>
      <w:r w:rsidRPr="00B02247">
        <w:t>(hereinafter:</w:t>
      </w:r>
      <w:r w:rsidR="005B2A41">
        <w:t xml:space="preserve"> </w:t>
      </w:r>
      <w:r w:rsidRPr="00B02247">
        <w:t>CC),</w:t>
      </w:r>
      <w:r w:rsidR="005B2A41">
        <w:t xml:space="preserve"> </w:t>
      </w:r>
      <w:r w:rsidRPr="00B02247">
        <w:t>a</w:t>
      </w:r>
      <w:r w:rsidR="005B2A41">
        <w:t xml:space="preserve"> </w:t>
      </w:r>
      <w:r w:rsidRPr="00B02247">
        <w:t>foreign</w:t>
      </w:r>
      <w:r w:rsidR="005B2A41">
        <w:t xml:space="preserve"> </w:t>
      </w:r>
      <w:r w:rsidRPr="00B02247">
        <w:t>national</w:t>
      </w:r>
      <w:r w:rsidR="005B2A41">
        <w:t xml:space="preserve"> </w:t>
      </w:r>
      <w:r w:rsidRPr="00B02247">
        <w:t>enjoys</w:t>
      </w:r>
      <w:r w:rsidR="005B2A41">
        <w:t xml:space="preserve"> </w:t>
      </w:r>
      <w:r w:rsidRPr="00B02247">
        <w:t>the</w:t>
      </w:r>
      <w:r w:rsidR="005B2A41">
        <w:t xml:space="preserve"> </w:t>
      </w:r>
      <w:r w:rsidRPr="00B02247">
        <w:t>same</w:t>
      </w:r>
      <w:r w:rsidR="005B2A41">
        <w:t xml:space="preserve"> </w:t>
      </w:r>
      <w:r w:rsidRPr="00B02247">
        <w:t>civil</w:t>
      </w:r>
      <w:r w:rsidR="005B2A41">
        <w:t xml:space="preserve"> </w:t>
      </w:r>
      <w:r w:rsidRPr="00B02247">
        <w:t>rights</w:t>
      </w:r>
      <w:r w:rsidR="005B2A41">
        <w:t xml:space="preserve"> </w:t>
      </w:r>
      <w:r w:rsidRPr="00B02247">
        <w:t>that</w:t>
      </w:r>
      <w:r w:rsidR="005B2A41">
        <w:t xml:space="preserve"> </w:t>
      </w:r>
      <w:r w:rsidRPr="00B02247">
        <w:t>are</w:t>
      </w:r>
      <w:r w:rsidR="005B2A41">
        <w:t xml:space="preserve"> </w:t>
      </w:r>
      <w:r w:rsidRPr="00B02247">
        <w:t>afforded</w:t>
      </w:r>
      <w:r w:rsidR="005B2A41">
        <w:t xml:space="preserve"> </w:t>
      </w:r>
      <w:r w:rsidRPr="00B02247">
        <w:t>to</w:t>
      </w:r>
      <w:r w:rsidR="005B2A41">
        <w:t xml:space="preserve"> </w:t>
      </w:r>
      <w:r w:rsidRPr="00B02247">
        <w:t>Greek</w:t>
      </w:r>
      <w:r w:rsidR="005B2A41">
        <w:t xml:space="preserve"> </w:t>
      </w:r>
      <w:r w:rsidRPr="00B02247">
        <w:t>citizens.</w:t>
      </w:r>
      <w:r w:rsidR="005B2A41">
        <w:t xml:space="preserve"> </w:t>
      </w:r>
      <w:r w:rsidRPr="00B02247">
        <w:t>All</w:t>
      </w:r>
      <w:r w:rsidR="005B2A41">
        <w:t xml:space="preserve"> </w:t>
      </w:r>
      <w:r w:rsidRPr="00B02247">
        <w:t>persons</w:t>
      </w:r>
      <w:r w:rsidR="005B2A41">
        <w:t xml:space="preserve"> </w:t>
      </w:r>
      <w:r w:rsidRPr="00B02247">
        <w:t>legally</w:t>
      </w:r>
      <w:r w:rsidR="005B2A41">
        <w:t xml:space="preserve"> </w:t>
      </w:r>
      <w:r w:rsidRPr="00B02247">
        <w:t>residing</w:t>
      </w:r>
      <w:r w:rsidR="005B2A41">
        <w:t xml:space="preserve"> </w:t>
      </w:r>
      <w:r w:rsidRPr="00B02247">
        <w:t>in</w:t>
      </w:r>
      <w:r w:rsidR="005B2A41">
        <w:t xml:space="preserve"> </w:t>
      </w:r>
      <w:r w:rsidRPr="00B02247">
        <w:t>Greece</w:t>
      </w:r>
      <w:r w:rsidR="005B2A41">
        <w:t xml:space="preserve"> </w:t>
      </w:r>
      <w:r w:rsidRPr="00B02247">
        <w:t>enjoy</w:t>
      </w:r>
      <w:r w:rsidR="005B2A41">
        <w:t xml:space="preserve"> </w:t>
      </w:r>
      <w:r w:rsidRPr="00B02247">
        <w:t>equal</w:t>
      </w:r>
      <w:r w:rsidR="005B2A41">
        <w:t xml:space="preserve"> </w:t>
      </w:r>
      <w:r w:rsidRPr="00B02247">
        <w:t>social</w:t>
      </w:r>
      <w:r w:rsidR="005B2A41">
        <w:t xml:space="preserve"> </w:t>
      </w:r>
      <w:r w:rsidRPr="00B02247">
        <w:t>security</w:t>
      </w:r>
      <w:r w:rsidR="005B2A41">
        <w:t xml:space="preserve"> </w:t>
      </w:r>
      <w:r w:rsidRPr="00B02247">
        <w:t>rights</w:t>
      </w:r>
      <w:r w:rsidR="005B2A41">
        <w:t xml:space="preserve"> </w:t>
      </w:r>
      <w:r w:rsidRPr="00B02247">
        <w:t>as</w:t>
      </w:r>
      <w:r w:rsidR="005B2A41">
        <w:t xml:space="preserve"> </w:t>
      </w:r>
      <w:r w:rsidRPr="00B02247">
        <w:t>Greek</w:t>
      </w:r>
      <w:r w:rsidR="005B2A41">
        <w:t xml:space="preserve"> </w:t>
      </w:r>
      <w:r w:rsidRPr="00B02247">
        <w:t>nationals</w:t>
      </w:r>
      <w:r w:rsidR="005B2A41">
        <w:t xml:space="preserve"> </w:t>
      </w:r>
      <w:r w:rsidRPr="00B02247">
        <w:t>under</w:t>
      </w:r>
      <w:r w:rsidR="005B2A41">
        <w:t xml:space="preserve"> </w:t>
      </w:r>
      <w:r w:rsidRPr="00B02247">
        <w:t>the</w:t>
      </w:r>
      <w:r w:rsidR="005B2A41">
        <w:t xml:space="preserve"> </w:t>
      </w:r>
      <w:r w:rsidRPr="00B02247">
        <w:t>same</w:t>
      </w:r>
      <w:r w:rsidR="005B2A41">
        <w:t xml:space="preserve"> </w:t>
      </w:r>
      <w:r w:rsidRPr="00B02247">
        <w:t>employment</w:t>
      </w:r>
      <w:r w:rsidR="005B2A41">
        <w:t xml:space="preserve"> </w:t>
      </w:r>
      <w:r w:rsidRPr="00B02247">
        <w:t>status,</w:t>
      </w:r>
      <w:r w:rsidR="005B2A41">
        <w:t xml:space="preserve"> </w:t>
      </w:r>
      <w:r w:rsidRPr="00B02247">
        <w:t>the</w:t>
      </w:r>
      <w:r w:rsidR="005B2A41">
        <w:t xml:space="preserve"> </w:t>
      </w:r>
      <w:r w:rsidRPr="00B02247">
        <w:t>right</w:t>
      </w:r>
      <w:r w:rsidR="005B2A41">
        <w:t xml:space="preserve"> </w:t>
      </w:r>
      <w:r w:rsidRPr="00B02247">
        <w:t>to</w:t>
      </w:r>
      <w:r w:rsidR="005B2A41">
        <w:t xml:space="preserve"> </w:t>
      </w:r>
      <w:r w:rsidRPr="00B02247">
        <w:t>social</w:t>
      </w:r>
      <w:r w:rsidR="005B2A41">
        <w:t xml:space="preserve"> </w:t>
      </w:r>
      <w:r w:rsidRPr="00B02247">
        <w:t>protection,</w:t>
      </w:r>
      <w:r w:rsidR="005B2A41">
        <w:t xml:space="preserve"> </w:t>
      </w:r>
      <w:r w:rsidRPr="00B02247">
        <w:t>equal</w:t>
      </w:r>
      <w:r w:rsidR="005B2A41">
        <w:t xml:space="preserve"> </w:t>
      </w:r>
      <w:r w:rsidRPr="00B02247">
        <w:t>access</w:t>
      </w:r>
      <w:r w:rsidR="005B2A41">
        <w:t xml:space="preserve"> </w:t>
      </w:r>
      <w:r w:rsidRPr="00B02247">
        <w:t>to</w:t>
      </w:r>
      <w:r w:rsidR="005B2A41">
        <w:t xml:space="preserve"> </w:t>
      </w:r>
      <w:r w:rsidRPr="00B02247">
        <w:t>services</w:t>
      </w:r>
      <w:r w:rsidR="005B2A41">
        <w:t xml:space="preserve"> </w:t>
      </w:r>
      <w:r w:rsidRPr="00B02247">
        <w:t>provided</w:t>
      </w:r>
      <w:r w:rsidR="005B2A41">
        <w:t xml:space="preserve"> </w:t>
      </w:r>
      <w:r w:rsidRPr="00B02247">
        <w:t>by</w:t>
      </w:r>
      <w:r w:rsidR="005B2A41">
        <w:t xml:space="preserve"> </w:t>
      </w:r>
      <w:r w:rsidRPr="00B02247">
        <w:t>public</w:t>
      </w:r>
      <w:r w:rsidR="005B2A41">
        <w:t xml:space="preserve"> </w:t>
      </w:r>
      <w:r w:rsidRPr="00B02247">
        <w:t>agencies</w:t>
      </w:r>
      <w:r w:rsidR="005B2A41">
        <w:t xml:space="preserve"> </w:t>
      </w:r>
      <w:r w:rsidRPr="00B02247">
        <w:t>or</w:t>
      </w:r>
      <w:r w:rsidR="005B2A41">
        <w:t xml:space="preserve"> </w:t>
      </w:r>
      <w:r w:rsidRPr="00B02247">
        <w:t>entities,</w:t>
      </w:r>
      <w:r w:rsidR="005B2A41">
        <w:t xml:space="preserve"> </w:t>
      </w:r>
      <w:r w:rsidRPr="00B02247">
        <w:t>local</w:t>
      </w:r>
      <w:r w:rsidR="005B2A41">
        <w:t xml:space="preserve"> </w:t>
      </w:r>
      <w:r w:rsidRPr="00B02247">
        <w:t>government</w:t>
      </w:r>
      <w:r w:rsidR="005B2A41">
        <w:t xml:space="preserve"> </w:t>
      </w:r>
      <w:r w:rsidRPr="00B02247">
        <w:t>organizations</w:t>
      </w:r>
      <w:r w:rsidR="005B2A41">
        <w:t xml:space="preserve"> </w:t>
      </w:r>
      <w:r w:rsidRPr="00B02247">
        <w:t>and</w:t>
      </w:r>
      <w:r w:rsidR="005B2A41">
        <w:t xml:space="preserve"> </w:t>
      </w:r>
      <w:r w:rsidRPr="00B02247">
        <w:t>public</w:t>
      </w:r>
      <w:r w:rsidR="005B2A41">
        <w:t xml:space="preserve"> </w:t>
      </w:r>
      <w:r w:rsidRPr="00B02247">
        <w:t>utilities</w:t>
      </w:r>
      <w:r w:rsidR="005B2A41">
        <w:t xml:space="preserve"> </w:t>
      </w:r>
      <w:r w:rsidRPr="00B02247">
        <w:t>and</w:t>
      </w:r>
      <w:r w:rsidR="005B2A41">
        <w:t xml:space="preserve"> </w:t>
      </w:r>
      <w:r w:rsidRPr="00B02247">
        <w:t>the</w:t>
      </w:r>
      <w:r w:rsidR="005B2A41">
        <w:t xml:space="preserve"> </w:t>
      </w:r>
      <w:r w:rsidRPr="00B02247">
        <w:t>right</w:t>
      </w:r>
      <w:r w:rsidR="005B2A41">
        <w:t xml:space="preserve"> </w:t>
      </w:r>
      <w:r w:rsidRPr="00B02247">
        <w:t>to</w:t>
      </w:r>
      <w:r w:rsidR="005B2A41">
        <w:t xml:space="preserve"> </w:t>
      </w:r>
      <w:r w:rsidRPr="00B02247">
        <w:t>be</w:t>
      </w:r>
      <w:r w:rsidR="005B2A41">
        <w:t xml:space="preserve"> </w:t>
      </w:r>
      <w:r w:rsidRPr="00B02247">
        <w:t>admitted</w:t>
      </w:r>
      <w:r w:rsidR="005B2A41">
        <w:t xml:space="preserve"> </w:t>
      </w:r>
      <w:r w:rsidRPr="00B02247">
        <w:t>in</w:t>
      </w:r>
      <w:r w:rsidR="005B2A41">
        <w:t xml:space="preserve"> </w:t>
      </w:r>
      <w:r w:rsidRPr="00B02247">
        <w:t>public</w:t>
      </w:r>
      <w:r w:rsidR="005B2A41">
        <w:t xml:space="preserve"> </w:t>
      </w:r>
      <w:r w:rsidRPr="00B02247">
        <w:t>hospitals</w:t>
      </w:r>
      <w:r w:rsidR="005B2A41">
        <w:t xml:space="preserve"> </w:t>
      </w:r>
      <w:r w:rsidRPr="00B02247">
        <w:t>and</w:t>
      </w:r>
      <w:r w:rsidR="005B2A41">
        <w:t xml:space="preserve"> </w:t>
      </w:r>
      <w:r w:rsidRPr="00B02247">
        <w:t>clinics</w:t>
      </w:r>
      <w:r w:rsidR="005B2A41">
        <w:t xml:space="preserve"> </w:t>
      </w:r>
      <w:r w:rsidRPr="00B02247">
        <w:t>(art.</w:t>
      </w:r>
      <w:r w:rsidR="005B2A41">
        <w:t xml:space="preserve"> </w:t>
      </w:r>
      <w:r w:rsidRPr="00B02247">
        <w:t>21</w:t>
      </w:r>
      <w:r w:rsidR="005B2A41">
        <w:t xml:space="preserve"> </w:t>
      </w:r>
      <w:r w:rsidRPr="00B02247">
        <w:t>and</w:t>
      </w:r>
      <w:r w:rsidR="005B2A41">
        <w:t xml:space="preserve"> </w:t>
      </w:r>
      <w:r w:rsidRPr="00B02247">
        <w:t>26</w:t>
      </w:r>
      <w:r w:rsidR="005B2A41">
        <w:t xml:space="preserve"> </w:t>
      </w:r>
      <w:r w:rsidRPr="00B02247">
        <w:t>of</w:t>
      </w:r>
      <w:r w:rsidR="005B2A41">
        <w:t xml:space="preserve"> </w:t>
      </w:r>
      <w:r w:rsidRPr="00B02247">
        <w:t>Migration</w:t>
      </w:r>
      <w:r w:rsidR="005B2A41">
        <w:t xml:space="preserve"> </w:t>
      </w:r>
      <w:r w:rsidRPr="00B02247">
        <w:t>and</w:t>
      </w:r>
      <w:r w:rsidR="005B2A41">
        <w:t xml:space="preserve"> </w:t>
      </w:r>
      <w:r w:rsidRPr="00B02247">
        <w:t>Social</w:t>
      </w:r>
      <w:r w:rsidR="005B2A41">
        <w:t xml:space="preserve"> </w:t>
      </w:r>
      <w:r w:rsidRPr="00B02247">
        <w:t>Integration</w:t>
      </w:r>
      <w:r w:rsidR="005B2A41">
        <w:t xml:space="preserve"> </w:t>
      </w:r>
      <w:r w:rsidRPr="00B02247">
        <w:t>Code</w:t>
      </w:r>
      <w:r w:rsidR="005B2A41">
        <w:t xml:space="preserve"> </w:t>
      </w:r>
      <w:r w:rsidRPr="00B02247">
        <w:t>/</w:t>
      </w:r>
      <w:r w:rsidR="005B2A41">
        <w:t xml:space="preserve"> </w:t>
      </w:r>
      <w:r w:rsidRPr="00B02247">
        <w:t>Law</w:t>
      </w:r>
      <w:r w:rsidR="005B2A41">
        <w:t xml:space="preserve"> </w:t>
      </w:r>
      <w:r w:rsidRPr="00B02247">
        <w:t>4251/2014)).</w:t>
      </w:r>
      <w:r w:rsidR="005B2A41">
        <w:t xml:space="preserve"> </w:t>
      </w:r>
      <w:r w:rsidRPr="00B02247">
        <w:t>Furthermore,</w:t>
      </w:r>
      <w:r w:rsidR="005B2A41">
        <w:t xml:space="preserve"> </w:t>
      </w:r>
      <w:r w:rsidRPr="00B02247">
        <w:t>the</w:t>
      </w:r>
      <w:r w:rsidR="005B2A41">
        <w:t xml:space="preserve"> </w:t>
      </w:r>
      <w:r w:rsidRPr="00B02247">
        <w:t>Migration</w:t>
      </w:r>
      <w:r w:rsidR="005B2A41">
        <w:t xml:space="preserve"> </w:t>
      </w:r>
      <w:r w:rsidRPr="00B02247">
        <w:t>and</w:t>
      </w:r>
      <w:r w:rsidR="005B2A41">
        <w:t xml:space="preserve"> </w:t>
      </w:r>
      <w:r w:rsidRPr="00B02247">
        <w:t>Social</w:t>
      </w:r>
      <w:r w:rsidR="005B2A41">
        <w:t xml:space="preserve"> </w:t>
      </w:r>
      <w:r w:rsidRPr="00B02247">
        <w:t>Integration</w:t>
      </w:r>
      <w:r w:rsidR="005B2A41">
        <w:t xml:space="preserve"> </w:t>
      </w:r>
      <w:r w:rsidRPr="00B02247">
        <w:t>Code</w:t>
      </w:r>
      <w:r w:rsidR="005B2A41">
        <w:t xml:space="preserve"> </w:t>
      </w:r>
      <w:r w:rsidRPr="00B02247">
        <w:t>sets</w:t>
      </w:r>
      <w:r w:rsidR="005B2A41">
        <w:t xml:space="preserve"> </w:t>
      </w:r>
      <w:r w:rsidRPr="00B02247">
        <w:t>out</w:t>
      </w:r>
      <w:r w:rsidR="005B2A41">
        <w:t xml:space="preserve"> </w:t>
      </w:r>
      <w:r w:rsidRPr="00B02247">
        <w:t>the</w:t>
      </w:r>
      <w:r w:rsidR="005B2A41">
        <w:t xml:space="preserve"> </w:t>
      </w:r>
      <w:r w:rsidRPr="00B02247">
        <w:t>conditions</w:t>
      </w:r>
      <w:r w:rsidR="005B2A41">
        <w:t xml:space="preserve"> </w:t>
      </w:r>
      <w:r w:rsidRPr="00B02247">
        <w:t>for</w:t>
      </w:r>
      <w:r w:rsidR="005B2A41">
        <w:t xml:space="preserve"> </w:t>
      </w:r>
      <w:r w:rsidRPr="00B02247">
        <w:t>granting</w:t>
      </w:r>
      <w:r w:rsidR="005B2A41">
        <w:t xml:space="preserve"> </w:t>
      </w:r>
      <w:r w:rsidRPr="00B02247">
        <w:t>the</w:t>
      </w:r>
      <w:r w:rsidR="005B2A41">
        <w:t xml:space="preserve"> </w:t>
      </w:r>
      <w:r w:rsidRPr="00B02247">
        <w:t>EC</w:t>
      </w:r>
      <w:r w:rsidR="005B2A41">
        <w:t xml:space="preserve"> </w:t>
      </w:r>
      <w:r w:rsidRPr="00B02247">
        <w:t>long-term</w:t>
      </w:r>
      <w:r w:rsidR="005B2A41">
        <w:t xml:space="preserve"> </w:t>
      </w:r>
      <w:r w:rsidRPr="00B02247">
        <w:t>resident</w:t>
      </w:r>
      <w:r w:rsidR="005B2A41">
        <w:t xml:space="preserve"> </w:t>
      </w:r>
      <w:r w:rsidRPr="00B02247">
        <w:t>status</w:t>
      </w:r>
      <w:r w:rsidR="005B2A41">
        <w:t xml:space="preserve"> </w:t>
      </w:r>
      <w:r w:rsidRPr="00B02247">
        <w:t>(Directive</w:t>
      </w:r>
      <w:r w:rsidR="005B2A41">
        <w:t xml:space="preserve"> </w:t>
      </w:r>
      <w:r w:rsidRPr="00B02247">
        <w:t>2004/109/EC)</w:t>
      </w:r>
      <w:r w:rsidR="005B2A41">
        <w:t xml:space="preserve"> </w:t>
      </w:r>
      <w:r w:rsidRPr="00B02247">
        <w:t>or</w:t>
      </w:r>
      <w:r w:rsidR="005B2A41">
        <w:t xml:space="preserve"> </w:t>
      </w:r>
      <w:r w:rsidRPr="00B02247">
        <w:t>other</w:t>
      </w:r>
      <w:r w:rsidR="005B2A41">
        <w:t xml:space="preserve"> </w:t>
      </w:r>
      <w:r w:rsidRPr="00B02247">
        <w:t>national</w:t>
      </w:r>
      <w:r w:rsidR="005B2A41">
        <w:t xml:space="preserve"> </w:t>
      </w:r>
      <w:r w:rsidRPr="00B02247">
        <w:t>residence</w:t>
      </w:r>
      <w:r w:rsidR="005B2A41">
        <w:t xml:space="preserve"> </w:t>
      </w:r>
      <w:r w:rsidRPr="00B02247">
        <w:t>permits</w:t>
      </w:r>
      <w:r w:rsidR="005B2A41">
        <w:t xml:space="preserve"> </w:t>
      </w:r>
      <w:r w:rsidRPr="00B02247">
        <w:t>of</w:t>
      </w:r>
      <w:r w:rsidR="005B2A41">
        <w:t xml:space="preserve"> </w:t>
      </w:r>
      <w:r w:rsidRPr="00B02247">
        <w:t>long</w:t>
      </w:r>
      <w:r w:rsidR="005B2A41">
        <w:t xml:space="preserve"> </w:t>
      </w:r>
      <w:r w:rsidRPr="00B02247">
        <w:t>duration,</w:t>
      </w:r>
      <w:r w:rsidR="005B2A41">
        <w:t xml:space="preserve"> </w:t>
      </w:r>
      <w:r w:rsidRPr="00B02247">
        <w:t>which</w:t>
      </w:r>
      <w:r w:rsidR="005B2A41">
        <w:t xml:space="preserve"> </w:t>
      </w:r>
      <w:r w:rsidRPr="00B02247">
        <w:t>further</w:t>
      </w:r>
      <w:r w:rsidR="005B2A41">
        <w:t xml:space="preserve"> </w:t>
      </w:r>
      <w:r w:rsidRPr="00B02247">
        <w:t>extend</w:t>
      </w:r>
      <w:r w:rsidR="005B2A41">
        <w:t xml:space="preserve"> </w:t>
      </w:r>
      <w:r w:rsidRPr="00B02247">
        <w:t>equal</w:t>
      </w:r>
      <w:r w:rsidR="005B2A41">
        <w:t xml:space="preserve"> </w:t>
      </w:r>
      <w:r w:rsidRPr="00B02247">
        <w:t>treatment</w:t>
      </w:r>
      <w:r w:rsidR="005B2A41">
        <w:t xml:space="preserve"> </w:t>
      </w:r>
      <w:r w:rsidRPr="00B02247">
        <w:t>with</w:t>
      </w:r>
      <w:r w:rsidR="005B2A41">
        <w:t xml:space="preserve"> </w:t>
      </w:r>
      <w:r w:rsidRPr="00B02247">
        <w:t>nationals.</w:t>
      </w:r>
      <w:r w:rsidR="005B2A41">
        <w:t xml:space="preserve"> </w:t>
      </w:r>
      <w:r w:rsidRPr="00B02247">
        <w:t>The</w:t>
      </w:r>
      <w:r w:rsidR="005B2A41">
        <w:t xml:space="preserve"> </w:t>
      </w:r>
      <w:r w:rsidRPr="00B02247">
        <w:t>implementation</w:t>
      </w:r>
      <w:r w:rsidR="005B2A41">
        <w:t xml:space="preserve"> </w:t>
      </w:r>
      <w:r w:rsidRPr="00B02247">
        <w:t>of</w:t>
      </w:r>
      <w:r w:rsidR="005B2A41">
        <w:t xml:space="preserve"> </w:t>
      </w:r>
      <w:r w:rsidRPr="00B02247">
        <w:t>equal</w:t>
      </w:r>
      <w:r w:rsidR="005B2A41">
        <w:t xml:space="preserve"> </w:t>
      </w:r>
      <w:r w:rsidRPr="00B02247">
        <w:t>treatment</w:t>
      </w:r>
      <w:r w:rsidR="005B2A41">
        <w:t xml:space="preserve"> </w:t>
      </w:r>
      <w:r w:rsidRPr="00B02247">
        <w:t>principle</w:t>
      </w:r>
      <w:r w:rsidR="005B2A41">
        <w:t xml:space="preserve"> </w:t>
      </w:r>
      <w:r w:rsidRPr="00B02247">
        <w:t>is</w:t>
      </w:r>
      <w:r w:rsidR="005B2A41">
        <w:t xml:space="preserve"> </w:t>
      </w:r>
      <w:r w:rsidRPr="00B02247">
        <w:t>linked</w:t>
      </w:r>
      <w:r w:rsidR="005B2A41">
        <w:t xml:space="preserve"> </w:t>
      </w:r>
      <w:r w:rsidRPr="00B02247">
        <w:t>to</w:t>
      </w:r>
      <w:r w:rsidR="005B2A41">
        <w:t xml:space="preserve"> </w:t>
      </w:r>
      <w:r w:rsidRPr="00B02247">
        <w:t>the</w:t>
      </w:r>
      <w:r w:rsidR="005B2A41">
        <w:t xml:space="preserve"> </w:t>
      </w:r>
      <w:r w:rsidRPr="00B02247">
        <w:t>purpose</w:t>
      </w:r>
      <w:r w:rsidR="005B2A41">
        <w:t xml:space="preserve"> </w:t>
      </w:r>
      <w:r w:rsidRPr="00B02247">
        <w:t>and</w:t>
      </w:r>
      <w:r w:rsidR="005B2A41">
        <w:t xml:space="preserve"> </w:t>
      </w:r>
      <w:r w:rsidRPr="00B02247">
        <w:t>duration</w:t>
      </w:r>
      <w:r w:rsidR="005B2A41">
        <w:t xml:space="preserve"> </w:t>
      </w:r>
      <w:r w:rsidRPr="00B02247">
        <w:t>of</w:t>
      </w:r>
      <w:r w:rsidR="005B2A41">
        <w:t xml:space="preserve"> </w:t>
      </w:r>
      <w:r w:rsidRPr="00B02247">
        <w:t>residence.</w:t>
      </w:r>
      <w:r w:rsidR="005B2A41">
        <w:t xml:space="preserve"> </w:t>
      </w:r>
      <w:r w:rsidRPr="00B02247">
        <w:t>Undocumented</w:t>
      </w:r>
      <w:r w:rsidR="005B2A41">
        <w:t xml:space="preserve"> </w:t>
      </w:r>
      <w:r w:rsidRPr="00B02247">
        <w:t>migrants</w:t>
      </w:r>
      <w:r w:rsidR="005B2A41">
        <w:t xml:space="preserve"> </w:t>
      </w:r>
      <w:r w:rsidRPr="00B02247">
        <w:t>are</w:t>
      </w:r>
      <w:r w:rsidR="005B2A41">
        <w:t xml:space="preserve"> </w:t>
      </w:r>
      <w:r w:rsidRPr="00B02247">
        <w:t>entitled</w:t>
      </w:r>
      <w:r w:rsidR="005B2A41">
        <w:t xml:space="preserve"> </w:t>
      </w:r>
      <w:r w:rsidRPr="00B02247">
        <w:t>to</w:t>
      </w:r>
      <w:r w:rsidR="005B2A41">
        <w:t xml:space="preserve"> </w:t>
      </w:r>
      <w:r w:rsidRPr="00B02247">
        <w:t>free</w:t>
      </w:r>
      <w:r w:rsidR="005B2A41">
        <w:t xml:space="preserve"> </w:t>
      </w:r>
      <w:r w:rsidRPr="00B02247">
        <w:t>healthcare,</w:t>
      </w:r>
      <w:r w:rsidR="005B2A41">
        <w:t xml:space="preserve"> </w:t>
      </w:r>
      <w:r w:rsidRPr="00B02247">
        <w:t>if</w:t>
      </w:r>
      <w:r w:rsidR="005B2A41">
        <w:t xml:space="preserve"> </w:t>
      </w:r>
      <w:r w:rsidRPr="00B02247">
        <w:t>they</w:t>
      </w:r>
      <w:r w:rsidR="005B2A41">
        <w:t xml:space="preserve"> </w:t>
      </w:r>
      <w:r w:rsidRPr="00B02247">
        <w:t>belong</w:t>
      </w:r>
      <w:r w:rsidR="005B2A41">
        <w:t xml:space="preserve"> </w:t>
      </w:r>
      <w:r w:rsidRPr="00B02247">
        <w:t>to</w:t>
      </w:r>
      <w:r w:rsidR="005B2A41">
        <w:t xml:space="preserve"> </w:t>
      </w:r>
      <w:r w:rsidRPr="00B02247">
        <w:t>vulnerable</w:t>
      </w:r>
      <w:r w:rsidR="005B2A41">
        <w:t xml:space="preserve"> </w:t>
      </w:r>
      <w:r w:rsidRPr="00B02247">
        <w:t>groups.</w:t>
      </w:r>
      <w:r w:rsidR="005B2A41">
        <w:t xml:space="preserve"> </w:t>
      </w:r>
      <w:r w:rsidRPr="00B02247">
        <w:t>At</w:t>
      </w:r>
      <w:r w:rsidR="005B2A41">
        <w:t xml:space="preserve"> </w:t>
      </w:r>
      <w:r w:rsidRPr="00B02247">
        <w:t>the</w:t>
      </w:r>
      <w:r w:rsidR="005B2A41">
        <w:t xml:space="preserve"> </w:t>
      </w:r>
      <w:r w:rsidRPr="00B02247">
        <w:t>same</w:t>
      </w:r>
      <w:r w:rsidR="005B2A41">
        <w:t xml:space="preserve"> </w:t>
      </w:r>
      <w:r w:rsidRPr="00B02247">
        <w:t>time,</w:t>
      </w:r>
      <w:r w:rsidR="005B2A41">
        <w:t xml:space="preserve"> </w:t>
      </w:r>
      <w:r w:rsidRPr="00B02247">
        <w:t>access</w:t>
      </w:r>
      <w:r w:rsidR="005B2A41">
        <w:t xml:space="preserve"> </w:t>
      </w:r>
      <w:r w:rsidRPr="00B02247">
        <w:t>to</w:t>
      </w:r>
      <w:r w:rsidR="005B2A41">
        <w:t xml:space="preserve"> </w:t>
      </w:r>
      <w:r w:rsidRPr="00B02247">
        <w:t>emergency</w:t>
      </w:r>
      <w:r w:rsidR="005B2A41">
        <w:t xml:space="preserve"> </w:t>
      </w:r>
      <w:r w:rsidRPr="00B02247">
        <w:t>care</w:t>
      </w:r>
      <w:r w:rsidR="005B2A41">
        <w:t xml:space="preserve"> </w:t>
      </w:r>
      <w:r w:rsidRPr="00B02247">
        <w:t>and</w:t>
      </w:r>
      <w:r w:rsidR="005B2A41">
        <w:t xml:space="preserve"> </w:t>
      </w:r>
      <w:r w:rsidRPr="00B02247">
        <w:t>childbirth</w:t>
      </w:r>
      <w:r w:rsidR="005B2A41">
        <w:t xml:space="preserve"> </w:t>
      </w:r>
      <w:r w:rsidRPr="00B02247">
        <w:t>in</w:t>
      </w:r>
      <w:r w:rsidR="005B2A41">
        <w:t xml:space="preserve"> </w:t>
      </w:r>
      <w:r w:rsidRPr="00B02247">
        <w:t>hospitals</w:t>
      </w:r>
      <w:r w:rsidR="005B2A41">
        <w:t xml:space="preserve"> </w:t>
      </w:r>
      <w:r w:rsidRPr="00B02247">
        <w:t>is</w:t>
      </w:r>
      <w:r w:rsidR="005B2A41">
        <w:t xml:space="preserve"> </w:t>
      </w:r>
      <w:r w:rsidRPr="00B02247">
        <w:t>available</w:t>
      </w:r>
      <w:r w:rsidR="005B2A41">
        <w:t xml:space="preserve"> </w:t>
      </w:r>
      <w:r w:rsidRPr="00B02247">
        <w:t>to</w:t>
      </w:r>
      <w:r w:rsidR="005B2A41">
        <w:t xml:space="preserve"> </w:t>
      </w:r>
      <w:r w:rsidRPr="00B02247">
        <w:t>third-country</w:t>
      </w:r>
      <w:r w:rsidR="005B2A41">
        <w:t xml:space="preserve"> </w:t>
      </w:r>
      <w:r w:rsidRPr="00B02247">
        <w:t>nationals</w:t>
      </w:r>
      <w:r w:rsidR="005B2A41">
        <w:t xml:space="preserve"> </w:t>
      </w:r>
      <w:r w:rsidRPr="00B02247">
        <w:t>regardless</w:t>
      </w:r>
      <w:r w:rsidR="005B2A41">
        <w:t xml:space="preserve"> </w:t>
      </w:r>
      <w:r w:rsidRPr="00B02247">
        <w:t>of</w:t>
      </w:r>
      <w:r w:rsidR="005B2A41">
        <w:t xml:space="preserve"> </w:t>
      </w:r>
      <w:r w:rsidRPr="00B02247">
        <w:t>their</w:t>
      </w:r>
      <w:r w:rsidR="005B2A41">
        <w:t xml:space="preserve"> </w:t>
      </w:r>
      <w:r w:rsidRPr="00B02247">
        <w:t>residence</w:t>
      </w:r>
      <w:r w:rsidR="005B2A41">
        <w:t xml:space="preserve"> </w:t>
      </w:r>
      <w:r w:rsidRPr="00B02247">
        <w:t>status.</w:t>
      </w:r>
      <w:r w:rsidR="005B2A41">
        <w:t xml:space="preserve"> </w:t>
      </w:r>
      <w:r w:rsidRPr="00B02247">
        <w:t>Foreign</w:t>
      </w:r>
      <w:r w:rsidR="005B2A41">
        <w:t xml:space="preserve"> </w:t>
      </w:r>
      <w:r w:rsidRPr="00B02247">
        <w:t>minors</w:t>
      </w:r>
      <w:r w:rsidR="005B2A41">
        <w:t xml:space="preserve"> </w:t>
      </w:r>
      <w:r w:rsidRPr="00B02247">
        <w:t>have</w:t>
      </w:r>
      <w:r w:rsidR="005B2A41">
        <w:t xml:space="preserve"> </w:t>
      </w:r>
      <w:r w:rsidRPr="00B02247">
        <w:t>access</w:t>
      </w:r>
      <w:r w:rsidR="005B2A41">
        <w:t xml:space="preserve"> </w:t>
      </w:r>
      <w:r w:rsidRPr="00B02247">
        <w:t>to</w:t>
      </w:r>
      <w:r w:rsidR="005B2A41">
        <w:t xml:space="preserve"> </w:t>
      </w:r>
      <w:r w:rsidRPr="00B02247">
        <w:t>health</w:t>
      </w:r>
      <w:r w:rsidR="005B2A41">
        <w:t xml:space="preserve"> </w:t>
      </w:r>
      <w:r w:rsidRPr="00B02247">
        <w:t>care</w:t>
      </w:r>
      <w:r w:rsidR="005B2A41">
        <w:t xml:space="preserve"> </w:t>
      </w:r>
      <w:r w:rsidRPr="00B02247">
        <w:t>institutions,</w:t>
      </w:r>
      <w:r w:rsidR="005B2A41">
        <w:t xml:space="preserve"> </w:t>
      </w:r>
      <w:r w:rsidRPr="00B02247">
        <w:t>regardless</w:t>
      </w:r>
      <w:r w:rsidR="005B2A41">
        <w:t xml:space="preserve"> </w:t>
      </w:r>
      <w:r w:rsidRPr="00B02247">
        <w:t>of</w:t>
      </w:r>
      <w:r w:rsidR="005B2A41">
        <w:t xml:space="preserve"> </w:t>
      </w:r>
      <w:r w:rsidRPr="00B02247">
        <w:t>their</w:t>
      </w:r>
      <w:r w:rsidR="005B2A41">
        <w:t xml:space="preserve"> </w:t>
      </w:r>
      <w:r w:rsidRPr="00B02247">
        <w:t>legal</w:t>
      </w:r>
      <w:r w:rsidR="005B2A41">
        <w:t xml:space="preserve"> </w:t>
      </w:r>
      <w:r w:rsidRPr="00B02247">
        <w:t>status</w:t>
      </w:r>
      <w:r w:rsidR="005B2A41">
        <w:t xml:space="preserve"> </w:t>
      </w:r>
      <w:r w:rsidRPr="00B02247">
        <w:t>or</w:t>
      </w:r>
      <w:r w:rsidR="005B2A41">
        <w:t xml:space="preserve"> </w:t>
      </w:r>
      <w:r w:rsidRPr="00B02247">
        <w:t>that</w:t>
      </w:r>
      <w:r w:rsidR="005B2A41">
        <w:t xml:space="preserve"> </w:t>
      </w:r>
      <w:r w:rsidRPr="00B02247">
        <w:t>of</w:t>
      </w:r>
      <w:r w:rsidR="005B2A41">
        <w:t xml:space="preserve"> </w:t>
      </w:r>
      <w:r w:rsidRPr="00B02247">
        <w:t>their</w:t>
      </w:r>
      <w:r w:rsidR="005B2A41">
        <w:t xml:space="preserve"> </w:t>
      </w:r>
      <w:r w:rsidRPr="00B02247">
        <w:t>parents.</w:t>
      </w:r>
      <w:r w:rsidR="005B2A41">
        <w:t xml:space="preserve"> </w:t>
      </w:r>
      <w:r w:rsidRPr="00B02247">
        <w:t>Children</w:t>
      </w:r>
      <w:r w:rsidR="005B2A41">
        <w:t xml:space="preserve"> </w:t>
      </w:r>
      <w:r w:rsidRPr="00B02247">
        <w:t>of</w:t>
      </w:r>
      <w:r w:rsidR="005B2A41">
        <w:t xml:space="preserve"> </w:t>
      </w:r>
      <w:r w:rsidRPr="00B02247">
        <w:t>refugees,</w:t>
      </w:r>
      <w:r w:rsidR="005B2A41">
        <w:t xml:space="preserve"> </w:t>
      </w:r>
      <w:r w:rsidRPr="00B02247">
        <w:t>asylum</w:t>
      </w:r>
      <w:r w:rsidR="005B2A41">
        <w:t xml:space="preserve"> </w:t>
      </w:r>
      <w:r w:rsidRPr="00B02247">
        <w:t>seekers</w:t>
      </w:r>
      <w:r w:rsidR="005B2A41">
        <w:t xml:space="preserve"> </w:t>
      </w:r>
      <w:r w:rsidRPr="00B02247">
        <w:t>and</w:t>
      </w:r>
      <w:r w:rsidR="005B2A41">
        <w:t xml:space="preserve"> </w:t>
      </w:r>
      <w:r w:rsidRPr="00B02247">
        <w:t>foreign</w:t>
      </w:r>
      <w:r w:rsidR="005B2A41">
        <w:t xml:space="preserve"> </w:t>
      </w:r>
      <w:r w:rsidRPr="00B02247">
        <w:t>citizens,</w:t>
      </w:r>
      <w:r w:rsidR="005B2A41">
        <w:t xml:space="preserve"> </w:t>
      </w:r>
      <w:r w:rsidRPr="00B02247">
        <w:t>regardless</w:t>
      </w:r>
      <w:r w:rsidR="005B2A41">
        <w:t xml:space="preserve"> </w:t>
      </w:r>
      <w:r w:rsidRPr="00B02247">
        <w:t>of</w:t>
      </w:r>
      <w:r w:rsidR="005B2A41">
        <w:t xml:space="preserve"> </w:t>
      </w:r>
      <w:r w:rsidRPr="00B02247">
        <w:t>their</w:t>
      </w:r>
      <w:r w:rsidR="005B2A41">
        <w:t xml:space="preserve"> </w:t>
      </w:r>
      <w:r w:rsidRPr="00B02247">
        <w:t>legal</w:t>
      </w:r>
      <w:r w:rsidR="005B2A41">
        <w:t xml:space="preserve"> </w:t>
      </w:r>
      <w:r w:rsidRPr="00B02247">
        <w:t>status</w:t>
      </w:r>
      <w:r w:rsidR="005B2A41">
        <w:t xml:space="preserve"> </w:t>
      </w:r>
      <w:r w:rsidRPr="00B02247">
        <w:t>or</w:t>
      </w:r>
      <w:r w:rsidR="005B2A41">
        <w:t xml:space="preserve"> </w:t>
      </w:r>
      <w:r w:rsidRPr="00B02247">
        <w:t>that</w:t>
      </w:r>
      <w:r w:rsidR="005B2A41">
        <w:t xml:space="preserve"> </w:t>
      </w:r>
      <w:r w:rsidRPr="00B02247">
        <w:t>of</w:t>
      </w:r>
      <w:r w:rsidR="005B2A41">
        <w:t xml:space="preserve"> </w:t>
      </w:r>
      <w:r w:rsidRPr="00B02247">
        <w:t>their</w:t>
      </w:r>
      <w:r w:rsidR="005B2A41">
        <w:t xml:space="preserve"> </w:t>
      </w:r>
      <w:r w:rsidRPr="00B02247">
        <w:t>parents,</w:t>
      </w:r>
      <w:r w:rsidR="005B2A41">
        <w:t xml:space="preserve"> </w:t>
      </w:r>
      <w:r w:rsidRPr="00B02247">
        <w:t>have</w:t>
      </w:r>
      <w:r w:rsidR="005B2A41">
        <w:t xml:space="preserve"> </w:t>
      </w:r>
      <w:r w:rsidRPr="00B02247">
        <w:t>the</w:t>
      </w:r>
      <w:r w:rsidR="005B2A41">
        <w:t xml:space="preserve"> </w:t>
      </w:r>
      <w:r w:rsidRPr="00B02247">
        <w:t>right</w:t>
      </w:r>
      <w:r w:rsidR="005B2A41">
        <w:t xml:space="preserve"> </w:t>
      </w:r>
      <w:r w:rsidRPr="00B02247">
        <w:t>to</w:t>
      </w:r>
      <w:r w:rsidR="005B2A41">
        <w:t xml:space="preserve"> </w:t>
      </w:r>
      <w:r w:rsidRPr="00B02247">
        <w:t>education</w:t>
      </w:r>
      <w:r w:rsidR="005B2A41">
        <w:t xml:space="preserve"> </w:t>
      </w:r>
      <w:r w:rsidRPr="00B02247">
        <w:t>including</w:t>
      </w:r>
      <w:r w:rsidR="005B2A41">
        <w:t xml:space="preserve"> </w:t>
      </w:r>
      <w:r w:rsidRPr="00B02247">
        <w:t>the</w:t>
      </w:r>
      <w:r w:rsidR="005B2A41">
        <w:t xml:space="preserve"> </w:t>
      </w:r>
      <w:r w:rsidRPr="00B02247">
        <w:t>enrolment</w:t>
      </w:r>
      <w:r w:rsidR="005B2A41">
        <w:t xml:space="preserve"> </w:t>
      </w:r>
      <w:r w:rsidRPr="00B02247">
        <w:t>to</w:t>
      </w:r>
      <w:r w:rsidR="005B2A41">
        <w:t xml:space="preserve"> </w:t>
      </w:r>
      <w:r w:rsidRPr="00B02247">
        <w:t>public</w:t>
      </w:r>
      <w:r w:rsidR="005B2A41">
        <w:t xml:space="preserve"> </w:t>
      </w:r>
      <w:r w:rsidRPr="00B02247">
        <w:t>schools.</w:t>
      </w:r>
    </w:p>
    <w:p w:rsidR="00F233AB" w:rsidRPr="00B02247" w:rsidRDefault="00F233AB" w:rsidP="00E1307D">
      <w:pPr>
        <w:pStyle w:val="SingleTxtG"/>
      </w:pPr>
      <w:r w:rsidRPr="00B02247">
        <w:t>159.</w:t>
      </w:r>
      <w:r w:rsidRPr="00B02247">
        <w:tab/>
        <w:t>In</w:t>
      </w:r>
      <w:r w:rsidR="005B2A41">
        <w:t xml:space="preserve"> </w:t>
      </w:r>
      <w:r w:rsidRPr="00B02247">
        <w:t>December</w:t>
      </w:r>
      <w:r w:rsidR="005B2A41">
        <w:t xml:space="preserve"> </w:t>
      </w:r>
      <w:r w:rsidRPr="00B02247">
        <w:t>2016,</w:t>
      </w:r>
      <w:r w:rsidR="005B2A41">
        <w:t xml:space="preserve"> </w:t>
      </w:r>
      <w:r w:rsidRPr="00B02247">
        <w:t>Parliament</w:t>
      </w:r>
      <w:r w:rsidR="005B2A41">
        <w:t xml:space="preserve"> </w:t>
      </w:r>
      <w:r w:rsidRPr="00B02247">
        <w:t>adopted</w:t>
      </w:r>
      <w:r w:rsidR="005B2A41">
        <w:t xml:space="preserve"> </w:t>
      </w:r>
      <w:r w:rsidRPr="00B02247">
        <w:t>Law</w:t>
      </w:r>
      <w:r w:rsidR="005B2A41">
        <w:t xml:space="preserve"> </w:t>
      </w:r>
      <w:r w:rsidRPr="00B02247">
        <w:t>4443/2016,</w:t>
      </w:r>
      <w:r w:rsidR="005B2A41">
        <w:t xml:space="preserve"> </w:t>
      </w:r>
      <w:r w:rsidRPr="00B02247">
        <w:t>which</w:t>
      </w:r>
      <w:r w:rsidR="005B2A41">
        <w:t xml:space="preserve"> </w:t>
      </w:r>
      <w:r w:rsidRPr="00B02247">
        <w:t>substantially</w:t>
      </w:r>
      <w:r w:rsidR="005B2A41">
        <w:t xml:space="preserve"> </w:t>
      </w:r>
      <w:r w:rsidRPr="00B02247">
        <w:t>amended</w:t>
      </w:r>
      <w:r w:rsidR="005B2A41">
        <w:t xml:space="preserve"> </w:t>
      </w:r>
      <w:r w:rsidRPr="00B02247">
        <w:t>and</w:t>
      </w:r>
      <w:r w:rsidR="005B2A41">
        <w:t xml:space="preserve"> </w:t>
      </w:r>
      <w:r w:rsidRPr="00B02247">
        <w:t>replaced</w:t>
      </w:r>
      <w:r w:rsidR="005B2A41">
        <w:t xml:space="preserve"> </w:t>
      </w:r>
      <w:r w:rsidRPr="00B02247">
        <w:t>Law</w:t>
      </w:r>
      <w:r w:rsidR="005B2A41">
        <w:t xml:space="preserve"> </w:t>
      </w:r>
      <w:r w:rsidRPr="00B02247">
        <w:t>3304/2005,</w:t>
      </w:r>
      <w:r w:rsidR="005B2A41">
        <w:t xml:space="preserve"> </w:t>
      </w:r>
      <w:r w:rsidRPr="00B02247">
        <w:t>incorporating</w:t>
      </w:r>
      <w:r w:rsidR="005B2A41">
        <w:t xml:space="preserve"> </w:t>
      </w:r>
      <w:r w:rsidRPr="00B02247">
        <w:t>three</w:t>
      </w:r>
      <w:r w:rsidR="005B2A41">
        <w:t xml:space="preserve"> </w:t>
      </w:r>
      <w:r w:rsidRPr="00B02247">
        <w:t>relevant</w:t>
      </w:r>
      <w:r w:rsidR="005B2A41">
        <w:t xml:space="preserve"> </w:t>
      </w:r>
      <w:r w:rsidRPr="00B02247">
        <w:t>EU</w:t>
      </w:r>
      <w:r w:rsidR="005B2A41">
        <w:t xml:space="preserve"> </w:t>
      </w:r>
      <w:r w:rsidRPr="00B02247">
        <w:t>directives</w:t>
      </w:r>
      <w:r w:rsidR="005B2A41">
        <w:t xml:space="preserve"> </w:t>
      </w:r>
      <w:r w:rsidRPr="00B02247">
        <w:t>(2000/43/EC</w:t>
      </w:r>
      <w:r w:rsidR="005B2A41">
        <w:t xml:space="preserve"> </w:t>
      </w:r>
      <w:r w:rsidRPr="00B02247">
        <w:t>dated</w:t>
      </w:r>
      <w:r w:rsidR="005B2A41">
        <w:t xml:space="preserve"> </w:t>
      </w:r>
      <w:r w:rsidRPr="00B02247">
        <w:t>29</w:t>
      </w:r>
      <w:r w:rsidR="005B2A41">
        <w:t xml:space="preserve"> </w:t>
      </w:r>
      <w:r w:rsidRPr="00B02247">
        <w:t>June</w:t>
      </w:r>
      <w:r w:rsidR="005B2A41">
        <w:t xml:space="preserve"> </w:t>
      </w:r>
      <w:r w:rsidRPr="00B02247">
        <w:t>2000,</w:t>
      </w:r>
      <w:r w:rsidR="005B2A41">
        <w:t xml:space="preserve"> </w:t>
      </w:r>
      <w:r w:rsidRPr="00B02247">
        <w:t>implementing</w:t>
      </w:r>
      <w:r w:rsidR="005B2A41">
        <w:t xml:space="preserve"> </w:t>
      </w:r>
      <w:r w:rsidRPr="00B02247">
        <w:t>the</w:t>
      </w:r>
      <w:r w:rsidR="005B2A41">
        <w:t xml:space="preserve"> </w:t>
      </w:r>
      <w:r w:rsidRPr="00B02247">
        <w:t>principle</w:t>
      </w:r>
      <w:r w:rsidR="005B2A41">
        <w:t xml:space="preserve"> </w:t>
      </w:r>
      <w:r w:rsidRPr="00B02247">
        <w:t>of</w:t>
      </w:r>
      <w:r w:rsidR="005B2A41">
        <w:t xml:space="preserve"> </w:t>
      </w:r>
      <w:r w:rsidRPr="00B02247">
        <w:t>equal</w:t>
      </w:r>
      <w:r w:rsidR="005B2A41">
        <w:t xml:space="preserve"> </w:t>
      </w:r>
      <w:r w:rsidRPr="00B02247">
        <w:t>treatment</w:t>
      </w:r>
      <w:r w:rsidR="005B2A41">
        <w:t xml:space="preserve"> </w:t>
      </w:r>
      <w:r w:rsidRPr="00B02247">
        <w:t>between</w:t>
      </w:r>
      <w:r w:rsidR="005B2A41">
        <w:t xml:space="preserve"> </w:t>
      </w:r>
      <w:r w:rsidRPr="00B02247">
        <w:t>persons</w:t>
      </w:r>
      <w:r w:rsidR="005B2A41">
        <w:t xml:space="preserve"> </w:t>
      </w:r>
      <w:r w:rsidRPr="00B02247">
        <w:t>irrespective</w:t>
      </w:r>
      <w:r w:rsidR="005B2A41">
        <w:t xml:space="preserve"> </w:t>
      </w:r>
      <w:r w:rsidRPr="00B02247">
        <w:t>of</w:t>
      </w:r>
      <w:r w:rsidR="005B2A41">
        <w:t xml:space="preserve"> </w:t>
      </w:r>
      <w:r w:rsidRPr="00B02247">
        <w:t>racial</w:t>
      </w:r>
      <w:r w:rsidR="005B2A41">
        <w:t xml:space="preserve"> </w:t>
      </w:r>
      <w:r w:rsidRPr="00B02247">
        <w:t>or</w:t>
      </w:r>
      <w:r w:rsidR="005B2A41">
        <w:t xml:space="preserve"> </w:t>
      </w:r>
      <w:r w:rsidRPr="00B02247">
        <w:t>ethnic</w:t>
      </w:r>
      <w:r w:rsidR="005B2A41">
        <w:t xml:space="preserve"> </w:t>
      </w:r>
      <w:r w:rsidRPr="00B02247">
        <w:t>origin,</w:t>
      </w:r>
      <w:r w:rsidR="005B2A41">
        <w:t xml:space="preserve"> </w:t>
      </w:r>
      <w:r w:rsidRPr="00B02247">
        <w:t>2000/78/EC</w:t>
      </w:r>
      <w:r w:rsidR="005B2A41">
        <w:t xml:space="preserve"> </w:t>
      </w:r>
      <w:r w:rsidRPr="00B02247">
        <w:t>dated</w:t>
      </w:r>
      <w:r w:rsidR="005B2A41">
        <w:t xml:space="preserve"> </w:t>
      </w:r>
      <w:r w:rsidRPr="00B02247">
        <w:t>27</w:t>
      </w:r>
      <w:r w:rsidR="005B2A41">
        <w:t xml:space="preserve"> </w:t>
      </w:r>
      <w:r w:rsidRPr="00B02247">
        <w:t>November</w:t>
      </w:r>
      <w:r w:rsidR="005B2A41">
        <w:t xml:space="preserve"> </w:t>
      </w:r>
      <w:r w:rsidRPr="00B02247">
        <w:t>2000,</w:t>
      </w:r>
      <w:r w:rsidR="005B2A41">
        <w:t xml:space="preserve"> </w:t>
      </w:r>
      <w:r w:rsidRPr="00B02247">
        <w:t>establishing</w:t>
      </w:r>
      <w:r w:rsidR="005B2A41">
        <w:t xml:space="preserve"> </w:t>
      </w:r>
      <w:r w:rsidRPr="00B02247">
        <w:t>a</w:t>
      </w:r>
      <w:r w:rsidR="005B2A41">
        <w:t xml:space="preserve"> </w:t>
      </w:r>
      <w:r w:rsidRPr="00B02247">
        <w:t>general</w:t>
      </w:r>
      <w:r w:rsidR="005B2A41">
        <w:t xml:space="preserve"> </w:t>
      </w:r>
      <w:r w:rsidRPr="00B02247">
        <w:t>framework</w:t>
      </w:r>
      <w:r w:rsidR="005B2A41">
        <w:t xml:space="preserve"> </w:t>
      </w:r>
      <w:r w:rsidRPr="00B02247">
        <w:t>for</w:t>
      </w:r>
      <w:r w:rsidR="005B2A41">
        <w:t xml:space="preserve"> </w:t>
      </w:r>
      <w:r w:rsidRPr="00B02247">
        <w:t>equal</w:t>
      </w:r>
      <w:r w:rsidR="005B2A41">
        <w:t xml:space="preserve"> </w:t>
      </w:r>
      <w:r w:rsidRPr="00B02247">
        <w:t>treatment</w:t>
      </w:r>
      <w:r w:rsidR="005B2A41">
        <w:t xml:space="preserve"> </w:t>
      </w:r>
      <w:r w:rsidRPr="00B02247">
        <w:t>in</w:t>
      </w:r>
      <w:r w:rsidR="005B2A41">
        <w:t xml:space="preserve"> </w:t>
      </w:r>
      <w:r w:rsidRPr="00B02247">
        <w:t>employment</w:t>
      </w:r>
      <w:r w:rsidR="005B2A41">
        <w:t xml:space="preserve"> </w:t>
      </w:r>
      <w:r w:rsidRPr="00B02247">
        <w:t>and</w:t>
      </w:r>
      <w:r w:rsidR="005B2A41">
        <w:t xml:space="preserve"> </w:t>
      </w:r>
      <w:r w:rsidRPr="00B02247">
        <w:t>occupation</w:t>
      </w:r>
      <w:r w:rsidR="005B2A41">
        <w:t xml:space="preserve"> </w:t>
      </w:r>
      <w:r w:rsidRPr="00B02247">
        <w:t>and</w:t>
      </w:r>
      <w:r w:rsidR="005B2A41">
        <w:t xml:space="preserve"> </w:t>
      </w:r>
      <w:r w:rsidRPr="00B02247">
        <w:t>2014/54/EU</w:t>
      </w:r>
      <w:r w:rsidR="005B2A41">
        <w:t xml:space="preserve"> </w:t>
      </w:r>
      <w:r w:rsidRPr="00B02247">
        <w:t>of</w:t>
      </w:r>
      <w:r w:rsidR="005B2A41">
        <w:t xml:space="preserve"> </w:t>
      </w:r>
      <w:r w:rsidRPr="00B02247">
        <w:t>the</w:t>
      </w:r>
      <w:r w:rsidR="005B2A41">
        <w:t xml:space="preserve"> </w:t>
      </w:r>
      <w:r w:rsidRPr="00B02247">
        <w:t>European</w:t>
      </w:r>
      <w:r w:rsidR="005B2A41">
        <w:t xml:space="preserve"> </w:t>
      </w:r>
      <w:r w:rsidRPr="00B02247">
        <w:t>Parliament</w:t>
      </w:r>
      <w:r w:rsidR="005B2A41">
        <w:t xml:space="preserve"> </w:t>
      </w:r>
      <w:r w:rsidRPr="00B02247">
        <w:t>and</w:t>
      </w:r>
      <w:r w:rsidR="005B2A41">
        <w:t xml:space="preserve"> </w:t>
      </w:r>
      <w:r w:rsidRPr="00B02247">
        <w:t>of</w:t>
      </w:r>
      <w:r w:rsidR="005B2A41">
        <w:t xml:space="preserve"> </w:t>
      </w:r>
      <w:r w:rsidRPr="00B02247">
        <w:t>the</w:t>
      </w:r>
      <w:r w:rsidR="005B2A41">
        <w:t xml:space="preserve"> </w:t>
      </w:r>
      <w:r w:rsidRPr="00B02247">
        <w:t>Council</w:t>
      </w:r>
      <w:r w:rsidR="005B2A41">
        <w:t xml:space="preserve"> </w:t>
      </w:r>
      <w:r w:rsidRPr="00B02247">
        <w:t>of</w:t>
      </w:r>
      <w:r w:rsidR="005B2A41">
        <w:t xml:space="preserve"> </w:t>
      </w:r>
      <w:r w:rsidRPr="00B02247">
        <w:t>16</w:t>
      </w:r>
      <w:r w:rsidR="005B2A41">
        <w:t xml:space="preserve"> </w:t>
      </w:r>
      <w:r w:rsidRPr="00B02247">
        <w:t>April</w:t>
      </w:r>
      <w:r w:rsidR="005B2A41">
        <w:t xml:space="preserve"> </w:t>
      </w:r>
      <w:r w:rsidRPr="00B02247">
        <w:t>2014,</w:t>
      </w:r>
      <w:r w:rsidR="005B2A41">
        <w:t xml:space="preserve"> </w:t>
      </w:r>
      <w:r w:rsidRPr="00B02247">
        <w:t>on</w:t>
      </w:r>
      <w:r w:rsidR="005B2A41">
        <w:t xml:space="preserve"> </w:t>
      </w:r>
      <w:r w:rsidRPr="00B02247">
        <w:t>measures</w:t>
      </w:r>
      <w:r w:rsidR="005B2A41">
        <w:t xml:space="preserve"> </w:t>
      </w:r>
      <w:r w:rsidRPr="00B02247">
        <w:t>facilitating</w:t>
      </w:r>
      <w:r w:rsidR="005B2A41">
        <w:t xml:space="preserve"> </w:t>
      </w:r>
      <w:r w:rsidRPr="00B02247">
        <w:t>the</w:t>
      </w:r>
      <w:r w:rsidR="005B2A41">
        <w:t xml:space="preserve"> </w:t>
      </w:r>
      <w:r w:rsidRPr="00B02247">
        <w:t>exercise</w:t>
      </w:r>
      <w:r w:rsidR="005B2A41">
        <w:t xml:space="preserve"> </w:t>
      </w:r>
      <w:r w:rsidRPr="00B02247">
        <w:t>of</w:t>
      </w:r>
      <w:r w:rsidR="005B2A41">
        <w:t xml:space="preserve"> </w:t>
      </w:r>
      <w:r w:rsidRPr="00B02247">
        <w:t>rights</w:t>
      </w:r>
      <w:r w:rsidR="005B2A41">
        <w:t xml:space="preserve"> </w:t>
      </w:r>
      <w:r w:rsidRPr="00B02247">
        <w:t>conferred</w:t>
      </w:r>
      <w:r w:rsidR="005B2A41">
        <w:t xml:space="preserve"> </w:t>
      </w:r>
      <w:r w:rsidRPr="00B02247">
        <w:t>on</w:t>
      </w:r>
      <w:r w:rsidR="005B2A41">
        <w:t xml:space="preserve"> </w:t>
      </w:r>
      <w:r w:rsidRPr="00B02247">
        <w:t>workers</w:t>
      </w:r>
      <w:r w:rsidR="005B2A41">
        <w:t xml:space="preserve"> </w:t>
      </w:r>
      <w:r w:rsidRPr="00B02247">
        <w:t>in</w:t>
      </w:r>
      <w:r w:rsidR="005B2A41">
        <w:t xml:space="preserve"> </w:t>
      </w:r>
      <w:r w:rsidRPr="00B02247">
        <w:t>the</w:t>
      </w:r>
      <w:r w:rsidR="005B2A41">
        <w:t xml:space="preserve"> </w:t>
      </w:r>
      <w:r w:rsidRPr="00B02247">
        <w:t>context</w:t>
      </w:r>
      <w:r w:rsidR="005B2A41">
        <w:t xml:space="preserve"> </w:t>
      </w:r>
      <w:r w:rsidRPr="00B02247">
        <w:t>of</w:t>
      </w:r>
      <w:r w:rsidR="005B2A41">
        <w:t xml:space="preserve"> </w:t>
      </w:r>
      <w:r w:rsidRPr="00B02247">
        <w:t>freedom</w:t>
      </w:r>
      <w:r w:rsidR="005B2A41">
        <w:t xml:space="preserve"> </w:t>
      </w:r>
      <w:r w:rsidRPr="00B02247">
        <w:t>of</w:t>
      </w:r>
      <w:r w:rsidR="005B2A41">
        <w:t xml:space="preserve"> </w:t>
      </w:r>
      <w:r w:rsidRPr="00B02247">
        <w:t>movement</w:t>
      </w:r>
      <w:r w:rsidR="005B2A41">
        <w:t xml:space="preserve"> </w:t>
      </w:r>
      <w:r w:rsidRPr="00B02247">
        <w:t>for</w:t>
      </w:r>
      <w:r w:rsidR="005B2A41">
        <w:t xml:space="preserve"> </w:t>
      </w:r>
      <w:r w:rsidRPr="00B02247">
        <w:t>workers.</w:t>
      </w:r>
    </w:p>
    <w:p w:rsidR="00F233AB" w:rsidRPr="00B02247" w:rsidRDefault="00F233AB" w:rsidP="00E1307D">
      <w:pPr>
        <w:pStyle w:val="SingleTxtG"/>
      </w:pPr>
      <w:r w:rsidRPr="00B02247">
        <w:t>160.</w:t>
      </w:r>
      <w:r w:rsidRPr="00B02247">
        <w:tab/>
        <w:t>The</w:t>
      </w:r>
      <w:r w:rsidR="005B2A41">
        <w:t xml:space="preserve"> </w:t>
      </w:r>
      <w:r w:rsidRPr="00B02247">
        <w:t>Law</w:t>
      </w:r>
      <w:r w:rsidR="005B2A41">
        <w:t xml:space="preserve"> </w:t>
      </w:r>
      <w:r w:rsidRPr="00B02247">
        <w:t>establishes</w:t>
      </w:r>
      <w:r w:rsidR="005B2A41">
        <w:t xml:space="preserve"> </w:t>
      </w:r>
      <w:r w:rsidRPr="00B02247">
        <w:t>a</w:t>
      </w:r>
      <w:r w:rsidR="005B2A41">
        <w:t xml:space="preserve"> </w:t>
      </w:r>
      <w:r w:rsidRPr="00B02247">
        <w:t>single</w:t>
      </w:r>
      <w:r w:rsidR="005B2A41">
        <w:t xml:space="preserve"> </w:t>
      </w:r>
      <w:r w:rsidRPr="00B02247">
        <w:t>and</w:t>
      </w:r>
      <w:r w:rsidR="005B2A41">
        <w:t xml:space="preserve"> </w:t>
      </w:r>
      <w:r w:rsidRPr="00B02247">
        <w:t>comprehensive</w:t>
      </w:r>
      <w:r w:rsidR="005B2A41">
        <w:t xml:space="preserve"> </w:t>
      </w:r>
      <w:r w:rsidRPr="00B02247">
        <w:t>regulatory</w:t>
      </w:r>
      <w:r w:rsidR="005B2A41">
        <w:t xml:space="preserve"> </w:t>
      </w:r>
      <w:r w:rsidRPr="00B02247">
        <w:t>framework</w:t>
      </w:r>
      <w:r w:rsidR="005B2A41">
        <w:t xml:space="preserve"> </w:t>
      </w:r>
      <w:r w:rsidRPr="00B02247">
        <w:t>for</w:t>
      </w:r>
      <w:r w:rsidR="005B2A41">
        <w:t xml:space="preserve"> </w:t>
      </w:r>
      <w:r w:rsidRPr="00B02247">
        <w:t>the</w:t>
      </w:r>
      <w:r w:rsidR="005B2A41">
        <w:t xml:space="preserve"> </w:t>
      </w:r>
      <w:r w:rsidRPr="00B02247">
        <w:t>implementation</w:t>
      </w:r>
      <w:r w:rsidR="005B2A41">
        <w:t xml:space="preserve"> </w:t>
      </w:r>
      <w:r w:rsidRPr="00B02247">
        <w:t>of</w:t>
      </w:r>
      <w:r w:rsidR="005B2A41">
        <w:t xml:space="preserve"> </w:t>
      </w:r>
      <w:r w:rsidRPr="00B02247">
        <w:t>the</w:t>
      </w:r>
      <w:r w:rsidR="005B2A41">
        <w:t xml:space="preserve"> </w:t>
      </w:r>
      <w:r w:rsidRPr="00B02247">
        <w:t>principle</w:t>
      </w:r>
      <w:r w:rsidR="005B2A41">
        <w:t xml:space="preserve"> </w:t>
      </w:r>
      <w:r w:rsidRPr="00B02247">
        <w:t>of</w:t>
      </w:r>
      <w:r w:rsidR="005B2A41">
        <w:t xml:space="preserve"> </w:t>
      </w:r>
      <w:r w:rsidRPr="00B02247">
        <w:t>non-discrimination</w:t>
      </w:r>
      <w:r w:rsidR="005B2A41">
        <w:t xml:space="preserve"> </w:t>
      </w:r>
      <w:r w:rsidRPr="00B02247">
        <w:t>and</w:t>
      </w:r>
      <w:r w:rsidR="005B2A41">
        <w:t xml:space="preserve"> </w:t>
      </w:r>
      <w:r w:rsidRPr="00B02247">
        <w:t>defines</w:t>
      </w:r>
      <w:r w:rsidR="005B2A41">
        <w:t xml:space="preserve"> </w:t>
      </w:r>
      <w:r w:rsidRPr="00B02247">
        <w:t>the</w:t>
      </w:r>
      <w:r w:rsidR="005B2A41">
        <w:t xml:space="preserve"> </w:t>
      </w:r>
      <w:r w:rsidRPr="00B02247">
        <w:t>bodies</w:t>
      </w:r>
      <w:r w:rsidR="005B2A41">
        <w:t xml:space="preserve"> </w:t>
      </w:r>
      <w:r w:rsidRPr="00B02247">
        <w:t>responsible</w:t>
      </w:r>
      <w:r w:rsidR="005B2A41">
        <w:t xml:space="preserve"> </w:t>
      </w:r>
      <w:r w:rsidRPr="00B02247">
        <w:t>for</w:t>
      </w:r>
      <w:r w:rsidR="005B2A41">
        <w:t xml:space="preserve"> </w:t>
      </w:r>
      <w:r w:rsidRPr="00B02247">
        <w:t>protecting,</w:t>
      </w:r>
      <w:r w:rsidR="005B2A41">
        <w:t xml:space="preserve"> </w:t>
      </w:r>
      <w:r w:rsidRPr="00B02247">
        <w:t>promoting</w:t>
      </w:r>
      <w:r w:rsidR="005B2A41">
        <w:t xml:space="preserve"> </w:t>
      </w:r>
      <w:r w:rsidRPr="00B02247">
        <w:t>and</w:t>
      </w:r>
      <w:r w:rsidR="005B2A41">
        <w:t xml:space="preserve"> </w:t>
      </w:r>
      <w:r w:rsidRPr="00B02247">
        <w:t>monitoring</w:t>
      </w:r>
      <w:r w:rsidR="005B2A41">
        <w:t xml:space="preserve"> </w:t>
      </w:r>
      <w:r w:rsidRPr="00B02247">
        <w:t>compliance</w:t>
      </w:r>
      <w:r w:rsidR="005B2A41">
        <w:t xml:space="preserve"> </w:t>
      </w:r>
      <w:r w:rsidRPr="00B02247">
        <w:t>with</w:t>
      </w:r>
      <w:r w:rsidR="005B2A41">
        <w:t xml:space="preserve"> </w:t>
      </w:r>
      <w:r w:rsidRPr="00B02247">
        <w:t>the</w:t>
      </w:r>
      <w:r w:rsidR="005B2A41">
        <w:t xml:space="preserve"> </w:t>
      </w:r>
      <w:r w:rsidRPr="00B02247">
        <w:t>abovementioned</w:t>
      </w:r>
      <w:r w:rsidR="005B2A41">
        <w:t xml:space="preserve"> </w:t>
      </w:r>
      <w:r w:rsidRPr="00B02247">
        <w:t>principle,</w:t>
      </w:r>
      <w:r w:rsidR="005B2A41">
        <w:t xml:space="preserve"> </w:t>
      </w:r>
      <w:r w:rsidRPr="00B02247">
        <w:t>expanding,</w:t>
      </w:r>
      <w:r w:rsidR="005B2A41">
        <w:t xml:space="preserve"> </w:t>
      </w:r>
      <w:r w:rsidRPr="00B02247">
        <w:t>in</w:t>
      </w:r>
      <w:r w:rsidR="005B2A41">
        <w:t xml:space="preserve"> </w:t>
      </w:r>
      <w:r w:rsidRPr="00B02247">
        <w:t>this</w:t>
      </w:r>
      <w:r w:rsidR="005B2A41">
        <w:t xml:space="preserve"> </w:t>
      </w:r>
      <w:r w:rsidRPr="00B02247">
        <w:t>regard,</w:t>
      </w:r>
      <w:r w:rsidR="005B2A41">
        <w:t xml:space="preserve"> </w:t>
      </w:r>
      <w:r w:rsidRPr="00B02247">
        <w:t>the</w:t>
      </w:r>
      <w:r w:rsidR="005B2A41">
        <w:t xml:space="preserve"> </w:t>
      </w:r>
      <w:r w:rsidRPr="00B02247">
        <w:t>tasks</w:t>
      </w:r>
      <w:r w:rsidR="005B2A41">
        <w:t xml:space="preserve"> </w:t>
      </w:r>
      <w:r w:rsidRPr="00B02247">
        <w:t>assigned</w:t>
      </w:r>
      <w:r w:rsidR="005B2A41">
        <w:t xml:space="preserve"> </w:t>
      </w:r>
      <w:r w:rsidRPr="00B02247">
        <w:t>to</w:t>
      </w:r>
      <w:r w:rsidR="005B2A41">
        <w:t xml:space="preserve"> </w:t>
      </w:r>
      <w:r w:rsidRPr="00B02247">
        <w:t>the</w:t>
      </w:r>
      <w:r w:rsidR="005B2A41">
        <w:t xml:space="preserve"> </w:t>
      </w:r>
      <w:r w:rsidRPr="00B02247">
        <w:t>Greek</w:t>
      </w:r>
      <w:r w:rsidR="005B2A41">
        <w:t xml:space="preserve"> </w:t>
      </w:r>
      <w:r w:rsidRPr="00B02247">
        <w:t>Ombudsman.</w:t>
      </w:r>
      <w:r w:rsidR="005B2A41">
        <w:t xml:space="preserve"> </w:t>
      </w:r>
    </w:p>
    <w:p w:rsidR="00F233AB" w:rsidRPr="00B02247" w:rsidRDefault="00F233AB" w:rsidP="00E1307D">
      <w:pPr>
        <w:pStyle w:val="SingleTxtG"/>
      </w:pPr>
      <w:r w:rsidRPr="00B02247">
        <w:t>161.</w:t>
      </w:r>
      <w:r w:rsidRPr="00B02247">
        <w:tab/>
        <w:t>The</w:t>
      </w:r>
      <w:r w:rsidR="005B2A41">
        <w:t xml:space="preserve"> </w:t>
      </w:r>
      <w:r w:rsidRPr="00B02247">
        <w:t>prohibited</w:t>
      </w:r>
      <w:r w:rsidR="005B2A41">
        <w:t xml:space="preserve"> </w:t>
      </w:r>
      <w:r w:rsidRPr="00B02247">
        <w:t>forms</w:t>
      </w:r>
      <w:r w:rsidR="005B2A41">
        <w:t xml:space="preserve"> </w:t>
      </w:r>
      <w:r w:rsidRPr="00B02247">
        <w:t>of</w:t>
      </w:r>
      <w:r w:rsidR="005B2A41">
        <w:t xml:space="preserve"> </w:t>
      </w:r>
      <w:r w:rsidRPr="00B02247">
        <w:t>discrimination</w:t>
      </w:r>
      <w:r w:rsidR="005B2A41">
        <w:t xml:space="preserve"> </w:t>
      </w:r>
      <w:r w:rsidRPr="00B02247">
        <w:t>are</w:t>
      </w:r>
      <w:r w:rsidR="005B2A41">
        <w:t xml:space="preserve"> </w:t>
      </w:r>
      <w:r w:rsidRPr="00B02247">
        <w:t>the</w:t>
      </w:r>
      <w:r w:rsidR="005B2A41">
        <w:t xml:space="preserve"> </w:t>
      </w:r>
      <w:r w:rsidRPr="00B02247">
        <w:t>following:</w:t>
      </w:r>
      <w:r w:rsidR="005B2A41">
        <w:t xml:space="preserve"> </w:t>
      </w:r>
      <w:r w:rsidRPr="00B02247">
        <w:t>direct</w:t>
      </w:r>
      <w:r w:rsidR="005B2A41">
        <w:t xml:space="preserve"> </w:t>
      </w:r>
      <w:r w:rsidRPr="00B02247">
        <w:t>discrimination,</w:t>
      </w:r>
      <w:r w:rsidR="005B2A41">
        <w:t xml:space="preserve"> </w:t>
      </w:r>
      <w:r w:rsidRPr="00B02247">
        <w:t>indirect</w:t>
      </w:r>
      <w:r w:rsidR="005B2A41">
        <w:t xml:space="preserve"> </w:t>
      </w:r>
      <w:r w:rsidRPr="00B02247">
        <w:t>discrimination,</w:t>
      </w:r>
      <w:r w:rsidR="005B2A41">
        <w:t xml:space="preserve"> </w:t>
      </w:r>
      <w:r w:rsidRPr="00B02247">
        <w:t>harassment</w:t>
      </w:r>
      <w:r w:rsidR="005B2A41">
        <w:t xml:space="preserve"> </w:t>
      </w:r>
      <w:r w:rsidRPr="00B02247">
        <w:t>(which</w:t>
      </w:r>
      <w:r w:rsidR="005B2A41">
        <w:t xml:space="preserve"> </w:t>
      </w:r>
      <w:r w:rsidRPr="00B02247">
        <w:t>manifests</w:t>
      </w:r>
      <w:r w:rsidR="005B2A41">
        <w:t xml:space="preserve"> </w:t>
      </w:r>
      <w:r w:rsidRPr="00B02247">
        <w:t>itself</w:t>
      </w:r>
      <w:r w:rsidR="005B2A41">
        <w:t xml:space="preserve"> </w:t>
      </w:r>
      <w:r w:rsidRPr="00B02247">
        <w:t>through</w:t>
      </w:r>
      <w:r w:rsidR="005B2A41">
        <w:t xml:space="preserve"> </w:t>
      </w:r>
      <w:r w:rsidRPr="00B02247">
        <w:t>an</w:t>
      </w:r>
      <w:r w:rsidR="005B2A41">
        <w:t xml:space="preserve"> </w:t>
      </w:r>
      <w:r w:rsidRPr="00B02247">
        <w:t>unwanted</w:t>
      </w:r>
      <w:r w:rsidR="005B2A41">
        <w:t xml:space="preserve"> </w:t>
      </w:r>
      <w:r w:rsidRPr="00B02247">
        <w:t>conduct</w:t>
      </w:r>
      <w:r w:rsidR="005B2A41">
        <w:t xml:space="preserve"> </w:t>
      </w:r>
      <w:r w:rsidRPr="00B02247">
        <w:t>related</w:t>
      </w:r>
      <w:r w:rsidR="005B2A41">
        <w:t xml:space="preserve"> </w:t>
      </w:r>
      <w:r w:rsidRPr="00B02247">
        <w:t>to</w:t>
      </w:r>
      <w:r w:rsidR="005B2A41">
        <w:t xml:space="preserve"> </w:t>
      </w:r>
      <w:r w:rsidRPr="00B02247">
        <w:t>a</w:t>
      </w:r>
      <w:r w:rsidR="005B2A41">
        <w:t xml:space="preserve"> </w:t>
      </w:r>
      <w:r w:rsidRPr="00B02247">
        <w:t>prohibited</w:t>
      </w:r>
      <w:r w:rsidR="005B2A41">
        <w:t xml:space="preserve"> </w:t>
      </w:r>
      <w:r w:rsidRPr="00B02247">
        <w:t>ground</w:t>
      </w:r>
      <w:r w:rsidR="005B2A41">
        <w:t xml:space="preserve"> </w:t>
      </w:r>
      <w:r w:rsidRPr="00B02247">
        <w:t>of</w:t>
      </w:r>
      <w:r w:rsidR="005B2A41">
        <w:t xml:space="preserve"> </w:t>
      </w:r>
      <w:r w:rsidRPr="00B02247">
        <w:t>discrimination,</w:t>
      </w:r>
      <w:r w:rsidR="005B2A41">
        <w:t xml:space="preserve"> </w:t>
      </w:r>
      <w:r w:rsidRPr="00B02247">
        <w:t>with</w:t>
      </w:r>
      <w:r w:rsidR="005B2A41">
        <w:t xml:space="preserve"> </w:t>
      </w:r>
      <w:r w:rsidRPr="00B02247">
        <w:t>the</w:t>
      </w:r>
      <w:r w:rsidR="005B2A41">
        <w:t xml:space="preserve"> </w:t>
      </w:r>
      <w:r w:rsidRPr="00B02247">
        <w:t>purpose</w:t>
      </w:r>
      <w:r w:rsidR="005B2A41">
        <w:t xml:space="preserve"> </w:t>
      </w:r>
      <w:r w:rsidRPr="00B02247">
        <w:t>or</w:t>
      </w:r>
      <w:r w:rsidR="005B2A41">
        <w:t xml:space="preserve"> </w:t>
      </w:r>
      <w:r w:rsidRPr="00B02247">
        <w:t>effect</w:t>
      </w:r>
      <w:r w:rsidR="005B2A41">
        <w:t xml:space="preserve"> </w:t>
      </w:r>
      <w:r w:rsidRPr="00B02247">
        <w:t>of</w:t>
      </w:r>
      <w:r w:rsidR="005B2A41">
        <w:t xml:space="preserve"> </w:t>
      </w:r>
      <w:r w:rsidRPr="00B02247">
        <w:t>insulting</w:t>
      </w:r>
      <w:r w:rsidR="005B2A41">
        <w:t xml:space="preserve"> </w:t>
      </w:r>
      <w:r w:rsidRPr="00B02247">
        <w:t>the</w:t>
      </w:r>
      <w:r w:rsidR="005B2A41">
        <w:t xml:space="preserve"> </w:t>
      </w:r>
      <w:r w:rsidRPr="00B02247">
        <w:t>dignity</w:t>
      </w:r>
      <w:r w:rsidR="005B2A41">
        <w:t xml:space="preserve"> </w:t>
      </w:r>
      <w:r w:rsidRPr="00B02247">
        <w:t>of</w:t>
      </w:r>
      <w:r w:rsidR="005B2A41">
        <w:t xml:space="preserve"> </w:t>
      </w:r>
      <w:r w:rsidRPr="00B02247">
        <w:t>a</w:t>
      </w:r>
      <w:r w:rsidR="005B2A41">
        <w:t xml:space="preserve"> </w:t>
      </w:r>
      <w:r w:rsidRPr="00B02247">
        <w:t>person</w:t>
      </w:r>
      <w:r w:rsidR="005B2A41">
        <w:t xml:space="preserve"> </w:t>
      </w:r>
      <w:r w:rsidRPr="00B02247">
        <w:t>and</w:t>
      </w:r>
      <w:r w:rsidR="005B2A41">
        <w:t xml:space="preserve"> </w:t>
      </w:r>
      <w:r w:rsidRPr="00B02247">
        <w:t>of</w:t>
      </w:r>
      <w:r w:rsidR="005B2A41">
        <w:t xml:space="preserve"> </w:t>
      </w:r>
      <w:r w:rsidRPr="00B02247">
        <w:t>creating</w:t>
      </w:r>
      <w:r w:rsidR="005B2A41">
        <w:t xml:space="preserve"> </w:t>
      </w:r>
      <w:r w:rsidRPr="00B02247">
        <w:t>an</w:t>
      </w:r>
      <w:r w:rsidR="005B2A41">
        <w:t xml:space="preserve"> </w:t>
      </w:r>
      <w:r w:rsidRPr="00B02247">
        <w:t>intimidating,</w:t>
      </w:r>
      <w:r w:rsidR="005B2A41">
        <w:t xml:space="preserve"> </w:t>
      </w:r>
      <w:r w:rsidRPr="00B02247">
        <w:t>hostile,</w:t>
      </w:r>
      <w:r w:rsidR="005B2A41">
        <w:t xml:space="preserve"> </w:t>
      </w:r>
      <w:r w:rsidRPr="00B02247">
        <w:t>degrading,</w:t>
      </w:r>
      <w:r w:rsidR="005B2A41">
        <w:t xml:space="preserve"> </w:t>
      </w:r>
      <w:r w:rsidRPr="00B02247">
        <w:t>humiliating</w:t>
      </w:r>
      <w:r w:rsidR="005B2A41">
        <w:t xml:space="preserve"> </w:t>
      </w:r>
      <w:r w:rsidRPr="00B02247">
        <w:t>or</w:t>
      </w:r>
      <w:r w:rsidR="005B2A41">
        <w:t xml:space="preserve"> </w:t>
      </w:r>
      <w:r w:rsidRPr="00B02247">
        <w:t>offensive</w:t>
      </w:r>
      <w:r w:rsidR="005B2A41">
        <w:t xml:space="preserve"> </w:t>
      </w:r>
      <w:r w:rsidRPr="00B02247">
        <w:t>environment),</w:t>
      </w:r>
      <w:r w:rsidR="005B2A41">
        <w:t xml:space="preserve"> </w:t>
      </w:r>
      <w:r w:rsidRPr="00B02247">
        <w:t>instruction</w:t>
      </w:r>
      <w:r w:rsidR="005B2A41">
        <w:t xml:space="preserve"> </w:t>
      </w:r>
      <w:r w:rsidRPr="00B02247">
        <w:t>to</w:t>
      </w:r>
      <w:r w:rsidR="005B2A41">
        <w:t xml:space="preserve"> </w:t>
      </w:r>
      <w:r w:rsidRPr="00B02247">
        <w:t>apply</w:t>
      </w:r>
      <w:r w:rsidR="005B2A41">
        <w:t xml:space="preserve"> </w:t>
      </w:r>
      <w:r w:rsidRPr="00B02247">
        <w:t>a</w:t>
      </w:r>
      <w:r w:rsidR="005B2A41">
        <w:t xml:space="preserve"> </w:t>
      </w:r>
      <w:r w:rsidRPr="00B02247">
        <w:t>discriminatory</w:t>
      </w:r>
      <w:r w:rsidR="005B2A41">
        <w:t xml:space="preserve"> </w:t>
      </w:r>
      <w:r w:rsidRPr="00B02247">
        <w:t>treatment</w:t>
      </w:r>
      <w:r w:rsidR="005B2A41">
        <w:t xml:space="preserve"> </w:t>
      </w:r>
      <w:r w:rsidRPr="00B02247">
        <w:t>against</w:t>
      </w:r>
      <w:r w:rsidR="005B2A41">
        <w:t xml:space="preserve"> </w:t>
      </w:r>
      <w:r w:rsidRPr="00B02247">
        <w:t>a</w:t>
      </w:r>
      <w:r w:rsidR="005B2A41">
        <w:t xml:space="preserve"> </w:t>
      </w:r>
      <w:r w:rsidRPr="00B02247">
        <w:t>person</w:t>
      </w:r>
      <w:r w:rsidR="005B2A41">
        <w:t xml:space="preserve"> </w:t>
      </w:r>
      <w:r w:rsidRPr="00B02247">
        <w:t>on</w:t>
      </w:r>
      <w:r w:rsidR="005B2A41">
        <w:t xml:space="preserve"> </w:t>
      </w:r>
      <w:r w:rsidRPr="00B02247">
        <w:t>the</w:t>
      </w:r>
      <w:r w:rsidR="005B2A41">
        <w:t xml:space="preserve"> </w:t>
      </w:r>
      <w:r w:rsidRPr="00B02247">
        <w:t>prohibited</w:t>
      </w:r>
      <w:r w:rsidR="005B2A41">
        <w:t xml:space="preserve"> </w:t>
      </w:r>
      <w:r w:rsidRPr="00B02247">
        <w:t>grounds,</w:t>
      </w:r>
      <w:r w:rsidR="005B2A41">
        <w:t xml:space="preserve"> </w:t>
      </w:r>
      <w:r w:rsidRPr="00B02247">
        <w:t>discrimination</w:t>
      </w:r>
      <w:r w:rsidR="005B2A41">
        <w:t xml:space="preserve"> </w:t>
      </w:r>
      <w:r w:rsidRPr="00B02247">
        <w:t>by</w:t>
      </w:r>
      <w:r w:rsidR="005B2A41">
        <w:t xml:space="preserve"> </w:t>
      </w:r>
      <w:r w:rsidRPr="00B02247">
        <w:t>association</w:t>
      </w:r>
      <w:r w:rsidR="005B2A41">
        <w:t xml:space="preserve"> </w:t>
      </w:r>
      <w:r w:rsidRPr="00B02247">
        <w:t>(less</w:t>
      </w:r>
      <w:r w:rsidR="005B2A41">
        <w:t xml:space="preserve"> </w:t>
      </w:r>
      <w:r w:rsidRPr="00B02247">
        <w:t>favourable</w:t>
      </w:r>
      <w:r w:rsidR="005B2A41">
        <w:t xml:space="preserve"> </w:t>
      </w:r>
      <w:r w:rsidRPr="00B02247">
        <w:t>treatment</w:t>
      </w:r>
      <w:r w:rsidR="005B2A41">
        <w:t xml:space="preserve"> </w:t>
      </w:r>
      <w:r w:rsidRPr="00B02247">
        <w:t>due</w:t>
      </w:r>
      <w:r w:rsidR="005B2A41">
        <w:t xml:space="preserve"> </w:t>
      </w:r>
      <w:r w:rsidRPr="00B02247">
        <w:t>to</w:t>
      </w:r>
      <w:r w:rsidR="005B2A41">
        <w:t xml:space="preserve"> </w:t>
      </w:r>
      <w:r w:rsidRPr="00B02247">
        <w:t>the</w:t>
      </w:r>
      <w:r w:rsidR="005B2A41">
        <w:t xml:space="preserve"> </w:t>
      </w:r>
      <w:r w:rsidRPr="00B02247">
        <w:t>close</w:t>
      </w:r>
      <w:r w:rsidR="005B2A41">
        <w:t xml:space="preserve"> </w:t>
      </w:r>
      <w:r w:rsidRPr="00B02247">
        <w:t>relationship</w:t>
      </w:r>
      <w:r w:rsidR="005B2A41">
        <w:t xml:space="preserve"> </w:t>
      </w:r>
      <w:r w:rsidRPr="00B02247">
        <w:t>of</w:t>
      </w:r>
      <w:r w:rsidR="005B2A41">
        <w:t xml:space="preserve"> </w:t>
      </w:r>
      <w:r w:rsidRPr="00B02247">
        <w:t>a</w:t>
      </w:r>
      <w:r w:rsidR="005B2A41">
        <w:t xml:space="preserve"> </w:t>
      </w:r>
      <w:r w:rsidRPr="00B02247">
        <w:t>person</w:t>
      </w:r>
      <w:r w:rsidR="005B2A41">
        <w:t xml:space="preserve"> </w:t>
      </w:r>
      <w:r w:rsidRPr="00B02247">
        <w:t>with</w:t>
      </w:r>
      <w:r w:rsidR="005B2A41">
        <w:t xml:space="preserve"> </w:t>
      </w:r>
      <w:r w:rsidRPr="00B02247">
        <w:t>a</w:t>
      </w:r>
      <w:r w:rsidR="005B2A41">
        <w:t xml:space="preserve"> </w:t>
      </w:r>
      <w:r w:rsidRPr="00B02247">
        <w:t>person</w:t>
      </w:r>
      <w:r w:rsidR="005B2A41">
        <w:t xml:space="preserve"> </w:t>
      </w:r>
      <w:r w:rsidRPr="00B02247">
        <w:t>bearing</w:t>
      </w:r>
      <w:r w:rsidR="005B2A41">
        <w:t xml:space="preserve"> </w:t>
      </w:r>
      <w:r w:rsidRPr="00B02247">
        <w:t>characteristics</w:t>
      </w:r>
      <w:r w:rsidR="005B2A41">
        <w:t xml:space="preserve"> </w:t>
      </w:r>
      <w:r w:rsidRPr="00B02247">
        <w:t>covered</w:t>
      </w:r>
      <w:r w:rsidR="005B2A41">
        <w:t xml:space="preserve"> </w:t>
      </w:r>
      <w:r w:rsidRPr="00B02247">
        <w:t>by</w:t>
      </w:r>
      <w:r w:rsidR="005B2A41">
        <w:t xml:space="preserve"> </w:t>
      </w:r>
      <w:r w:rsidRPr="00B02247">
        <w:t>the</w:t>
      </w:r>
      <w:r w:rsidR="005B2A41">
        <w:t xml:space="preserve"> </w:t>
      </w:r>
      <w:r w:rsidRPr="00B02247">
        <w:t>prohibited</w:t>
      </w:r>
      <w:r w:rsidR="005B2A41">
        <w:t xml:space="preserve"> </w:t>
      </w:r>
      <w:r w:rsidRPr="00B02247">
        <w:t>grounds</w:t>
      </w:r>
      <w:r w:rsidR="005B2A41">
        <w:t xml:space="preserve"> </w:t>
      </w:r>
      <w:r w:rsidRPr="00B02247">
        <w:t>of</w:t>
      </w:r>
      <w:r w:rsidR="005B2A41">
        <w:t xml:space="preserve"> </w:t>
      </w:r>
      <w:r w:rsidRPr="00B02247">
        <w:t>discrimination),</w:t>
      </w:r>
      <w:r w:rsidR="005B2A41">
        <w:t xml:space="preserve"> </w:t>
      </w:r>
      <w:r w:rsidRPr="00B02247">
        <w:t>discrimination</w:t>
      </w:r>
      <w:r w:rsidR="005B2A41">
        <w:t xml:space="preserve"> </w:t>
      </w:r>
      <w:r w:rsidRPr="00B02247">
        <w:t>by</w:t>
      </w:r>
      <w:r w:rsidR="005B2A41">
        <w:t xml:space="preserve"> </w:t>
      </w:r>
      <w:r w:rsidRPr="00B02247">
        <w:t>perception</w:t>
      </w:r>
      <w:r w:rsidR="005B2A41">
        <w:t xml:space="preserve"> </w:t>
      </w:r>
      <w:r w:rsidRPr="00B02247">
        <w:t>(less</w:t>
      </w:r>
      <w:r w:rsidR="005B2A41">
        <w:t xml:space="preserve"> </w:t>
      </w:r>
      <w:r w:rsidRPr="00B02247">
        <w:t>favourable</w:t>
      </w:r>
      <w:r w:rsidR="005B2A41">
        <w:t xml:space="preserve"> </w:t>
      </w:r>
      <w:r w:rsidRPr="00B02247">
        <w:t>treatment</w:t>
      </w:r>
      <w:r w:rsidR="005B2A41">
        <w:t xml:space="preserve"> </w:t>
      </w:r>
      <w:r w:rsidRPr="00B02247">
        <w:t>of</w:t>
      </w:r>
      <w:r w:rsidR="005B2A41">
        <w:t xml:space="preserve"> </w:t>
      </w:r>
      <w:r w:rsidRPr="00B02247">
        <w:t>a</w:t>
      </w:r>
      <w:r w:rsidR="005B2A41">
        <w:t xml:space="preserve"> </w:t>
      </w:r>
      <w:r w:rsidRPr="00B02247">
        <w:t>person</w:t>
      </w:r>
      <w:r w:rsidR="005B2A41">
        <w:t xml:space="preserve"> </w:t>
      </w:r>
      <w:r w:rsidRPr="00B02247">
        <w:t>perceived</w:t>
      </w:r>
      <w:r w:rsidR="005B2A41">
        <w:t xml:space="preserve"> </w:t>
      </w:r>
      <w:r w:rsidRPr="00B02247">
        <w:t>to</w:t>
      </w:r>
      <w:r w:rsidR="005B2A41">
        <w:t xml:space="preserve"> </w:t>
      </w:r>
      <w:r w:rsidRPr="00B02247">
        <w:t>have</w:t>
      </w:r>
      <w:r w:rsidR="005B2A41">
        <w:t xml:space="preserve"> </w:t>
      </w:r>
      <w:r w:rsidRPr="00B02247">
        <w:t>the</w:t>
      </w:r>
      <w:r w:rsidR="005B2A41">
        <w:t xml:space="preserve"> </w:t>
      </w:r>
      <w:r w:rsidRPr="00B02247">
        <w:t>abovementioned</w:t>
      </w:r>
      <w:r w:rsidR="005B2A41">
        <w:t xml:space="preserve"> </w:t>
      </w:r>
      <w:r w:rsidRPr="00B02247">
        <w:t>specific</w:t>
      </w:r>
      <w:r w:rsidR="005B2A41">
        <w:t xml:space="preserve"> </w:t>
      </w:r>
      <w:r w:rsidRPr="00B02247">
        <w:t>characteristics),</w:t>
      </w:r>
      <w:r w:rsidR="005B2A41">
        <w:t xml:space="preserve"> </w:t>
      </w:r>
      <w:r w:rsidRPr="00B02247">
        <w:t>multiple</w:t>
      </w:r>
      <w:r w:rsidR="005B2A41">
        <w:t xml:space="preserve"> </w:t>
      </w:r>
      <w:r w:rsidRPr="00B02247">
        <w:t>discrimination</w:t>
      </w:r>
      <w:r w:rsidR="005B2A41">
        <w:t xml:space="preserve"> </w:t>
      </w:r>
      <w:r w:rsidRPr="00B02247">
        <w:t>and</w:t>
      </w:r>
      <w:r w:rsidR="005B2A41">
        <w:t xml:space="preserve"> </w:t>
      </w:r>
      <w:r w:rsidRPr="00B02247">
        <w:t>refusal</w:t>
      </w:r>
      <w:r w:rsidR="005B2A41">
        <w:t xml:space="preserve"> </w:t>
      </w:r>
      <w:r w:rsidRPr="00B02247">
        <w:t>of</w:t>
      </w:r>
      <w:r w:rsidR="005B2A41">
        <w:t xml:space="preserve"> </w:t>
      </w:r>
      <w:r w:rsidRPr="00B02247">
        <w:t>reasonable</w:t>
      </w:r>
      <w:r w:rsidR="005B2A41">
        <w:t xml:space="preserve"> </w:t>
      </w:r>
      <w:r w:rsidRPr="00B02247">
        <w:t>accommodation</w:t>
      </w:r>
      <w:r w:rsidR="005B2A41">
        <w:t xml:space="preserve"> </w:t>
      </w:r>
      <w:r w:rsidRPr="00B02247">
        <w:t>of</w:t>
      </w:r>
      <w:r w:rsidR="005B2A41">
        <w:t xml:space="preserve"> </w:t>
      </w:r>
      <w:r w:rsidRPr="00B02247">
        <w:t>persons</w:t>
      </w:r>
      <w:r w:rsidR="005B2A41">
        <w:t xml:space="preserve"> </w:t>
      </w:r>
      <w:r w:rsidRPr="00B02247">
        <w:t>with</w:t>
      </w:r>
      <w:r w:rsidR="005B2A41">
        <w:t xml:space="preserve"> </w:t>
      </w:r>
      <w:r w:rsidRPr="00B02247">
        <w:t>disabilities</w:t>
      </w:r>
      <w:r w:rsidR="005B2A41">
        <w:t xml:space="preserve"> </w:t>
      </w:r>
      <w:r w:rsidRPr="00B02247">
        <w:t>or</w:t>
      </w:r>
      <w:r w:rsidR="005B2A41">
        <w:t xml:space="preserve"> </w:t>
      </w:r>
      <w:r w:rsidRPr="00B02247">
        <w:t>suffering</w:t>
      </w:r>
      <w:r w:rsidR="005B2A41">
        <w:t xml:space="preserve"> </w:t>
      </w:r>
      <w:r w:rsidRPr="00B02247">
        <w:t>from</w:t>
      </w:r>
      <w:r w:rsidR="005B2A41">
        <w:t xml:space="preserve"> </w:t>
      </w:r>
      <w:r w:rsidRPr="00B02247">
        <w:t>chronic</w:t>
      </w:r>
      <w:r w:rsidR="005B2A41">
        <w:t xml:space="preserve"> </w:t>
      </w:r>
      <w:r w:rsidRPr="00B02247">
        <w:t>disease.</w:t>
      </w:r>
    </w:p>
    <w:p w:rsidR="00F233AB" w:rsidRPr="00B02247" w:rsidRDefault="00F233AB" w:rsidP="00E1307D">
      <w:pPr>
        <w:pStyle w:val="SingleTxtG"/>
      </w:pPr>
      <w:r w:rsidRPr="00B02247">
        <w:t>162.</w:t>
      </w:r>
      <w:r w:rsidRPr="00B02247">
        <w:tab/>
        <w:t>The</w:t>
      </w:r>
      <w:r w:rsidR="005B2A41">
        <w:t xml:space="preserve"> </w:t>
      </w:r>
      <w:r w:rsidRPr="00B02247">
        <w:t>prohibited</w:t>
      </w:r>
      <w:r w:rsidR="005B2A41">
        <w:t xml:space="preserve"> </w:t>
      </w:r>
      <w:r w:rsidRPr="00B02247">
        <w:t>grounds</w:t>
      </w:r>
      <w:r w:rsidR="005B2A41">
        <w:t xml:space="preserve"> </w:t>
      </w:r>
      <w:r w:rsidRPr="00B02247">
        <w:t>of</w:t>
      </w:r>
      <w:r w:rsidR="005B2A41">
        <w:t xml:space="preserve"> </w:t>
      </w:r>
      <w:r w:rsidRPr="00B02247">
        <w:t>discrimination</w:t>
      </w:r>
      <w:r w:rsidR="005B2A41">
        <w:t xml:space="preserve"> </w:t>
      </w:r>
      <w:r w:rsidRPr="00B02247">
        <w:t>are</w:t>
      </w:r>
      <w:r w:rsidR="005B2A41">
        <w:t xml:space="preserve"> </w:t>
      </w:r>
      <w:r w:rsidRPr="00B02247">
        <w:t>the</w:t>
      </w:r>
      <w:r w:rsidR="005B2A41">
        <w:t xml:space="preserve"> </w:t>
      </w:r>
      <w:r w:rsidRPr="00B02247">
        <w:t>following:</w:t>
      </w:r>
      <w:r w:rsidR="005B2A41">
        <w:t xml:space="preserve"> </w:t>
      </w:r>
      <w:r w:rsidRPr="00B02247">
        <w:t>race,</w:t>
      </w:r>
      <w:r w:rsidR="005B2A41">
        <w:t xml:space="preserve"> </w:t>
      </w:r>
      <w:r w:rsidRPr="00B02247">
        <w:t>colour,</w:t>
      </w:r>
      <w:r w:rsidR="005B2A41">
        <w:t xml:space="preserve"> </w:t>
      </w:r>
      <w:r w:rsidRPr="00B02247">
        <w:t>national</w:t>
      </w:r>
      <w:r w:rsidR="005B2A41">
        <w:t xml:space="preserve"> </w:t>
      </w:r>
      <w:r w:rsidRPr="00B02247">
        <w:t>or</w:t>
      </w:r>
      <w:r w:rsidR="005B2A41">
        <w:t xml:space="preserve"> </w:t>
      </w:r>
      <w:r w:rsidRPr="00B02247">
        <w:t>ethnic</w:t>
      </w:r>
      <w:r w:rsidR="005B2A41">
        <w:t xml:space="preserve"> </w:t>
      </w:r>
      <w:r w:rsidRPr="00B02247">
        <w:t>origin,</w:t>
      </w:r>
      <w:r w:rsidR="005B2A41">
        <w:t xml:space="preserve"> </w:t>
      </w:r>
      <w:r w:rsidRPr="00B02247">
        <w:t>descent,</w:t>
      </w:r>
      <w:r w:rsidR="005B2A41">
        <w:t xml:space="preserve"> </w:t>
      </w:r>
      <w:r w:rsidRPr="00B02247">
        <w:t>religious</w:t>
      </w:r>
      <w:r w:rsidR="005B2A41">
        <w:t xml:space="preserve"> </w:t>
      </w:r>
      <w:r w:rsidRPr="00B02247">
        <w:t>or</w:t>
      </w:r>
      <w:r w:rsidR="005B2A41">
        <w:t xml:space="preserve"> </w:t>
      </w:r>
      <w:r w:rsidRPr="00B02247">
        <w:t>other</w:t>
      </w:r>
      <w:r w:rsidR="005B2A41">
        <w:t xml:space="preserve"> </w:t>
      </w:r>
      <w:r w:rsidRPr="00B02247">
        <w:t>beliefs,</w:t>
      </w:r>
      <w:r w:rsidR="005B2A41">
        <w:t xml:space="preserve"> </w:t>
      </w:r>
      <w:r w:rsidRPr="00B02247">
        <w:t>disability</w:t>
      </w:r>
      <w:r w:rsidR="005B2A41">
        <w:t xml:space="preserve"> </w:t>
      </w:r>
      <w:r w:rsidRPr="00B02247">
        <w:t>or</w:t>
      </w:r>
      <w:r w:rsidR="005B2A41">
        <w:t xml:space="preserve"> </w:t>
      </w:r>
      <w:r w:rsidRPr="00B02247">
        <w:t>chronic</w:t>
      </w:r>
      <w:r w:rsidR="005B2A41">
        <w:t xml:space="preserve"> </w:t>
      </w:r>
      <w:r w:rsidRPr="00B02247">
        <w:t>condition,</w:t>
      </w:r>
      <w:r w:rsidR="005B2A41">
        <w:t xml:space="preserve"> </w:t>
      </w:r>
      <w:r w:rsidRPr="00B02247">
        <w:t>age,</w:t>
      </w:r>
      <w:r w:rsidR="005B2A41">
        <w:t xml:space="preserve"> </w:t>
      </w:r>
      <w:r w:rsidRPr="00B02247">
        <w:t>family</w:t>
      </w:r>
      <w:r w:rsidR="005B2A41">
        <w:t xml:space="preserve"> </w:t>
      </w:r>
      <w:r w:rsidRPr="00B02247">
        <w:t>or</w:t>
      </w:r>
      <w:r w:rsidR="005B2A41">
        <w:t xml:space="preserve"> </w:t>
      </w:r>
      <w:r w:rsidRPr="00B02247">
        <w:t>social</w:t>
      </w:r>
      <w:r w:rsidR="005B2A41">
        <w:t xml:space="preserve"> </w:t>
      </w:r>
      <w:r w:rsidRPr="00B02247">
        <w:t>status,</w:t>
      </w:r>
      <w:r w:rsidR="005B2A41">
        <w:t xml:space="preserve"> </w:t>
      </w:r>
      <w:r w:rsidRPr="00B02247">
        <w:t>sexual</w:t>
      </w:r>
      <w:r w:rsidR="005B2A41">
        <w:t xml:space="preserve"> </w:t>
      </w:r>
      <w:r w:rsidRPr="00B02247">
        <w:t>orientation,</w:t>
      </w:r>
      <w:r w:rsidR="005B2A41">
        <w:t xml:space="preserve"> </w:t>
      </w:r>
      <w:r w:rsidRPr="00B02247">
        <w:t>gender</w:t>
      </w:r>
      <w:r w:rsidR="005B2A41">
        <w:t xml:space="preserve"> </w:t>
      </w:r>
      <w:r w:rsidRPr="00B02247">
        <w:t>identity</w:t>
      </w:r>
      <w:r w:rsidR="005B2A41">
        <w:t xml:space="preserve"> </w:t>
      </w:r>
      <w:r w:rsidRPr="00B02247">
        <w:t>or</w:t>
      </w:r>
      <w:r w:rsidR="005B2A41">
        <w:t xml:space="preserve"> </w:t>
      </w:r>
      <w:r w:rsidRPr="00B02247">
        <w:t>characteristics.</w:t>
      </w:r>
      <w:r w:rsidR="005B2A41">
        <w:t xml:space="preserve"> </w:t>
      </w:r>
    </w:p>
    <w:p w:rsidR="00F233AB" w:rsidRPr="00B02247" w:rsidRDefault="00F233AB" w:rsidP="00E1307D">
      <w:pPr>
        <w:pStyle w:val="SingleTxtG"/>
      </w:pPr>
      <w:r w:rsidRPr="00B02247">
        <w:t>163.</w:t>
      </w:r>
      <w:r w:rsidRPr="00B02247">
        <w:tab/>
        <w:t>The</w:t>
      </w:r>
      <w:r w:rsidR="005B2A41">
        <w:t xml:space="preserve"> </w:t>
      </w:r>
      <w:r w:rsidRPr="00B02247">
        <w:t>scope</w:t>
      </w:r>
      <w:r w:rsidR="005B2A41">
        <w:t xml:space="preserve"> </w:t>
      </w:r>
      <w:r w:rsidRPr="00B02247">
        <w:t>of</w:t>
      </w:r>
      <w:r w:rsidR="005B2A41">
        <w:t xml:space="preserve"> </w:t>
      </w:r>
      <w:r w:rsidRPr="00B02247">
        <w:t>the</w:t>
      </w:r>
      <w:r w:rsidR="005B2A41">
        <w:t xml:space="preserve"> </w:t>
      </w:r>
      <w:r w:rsidRPr="00B02247">
        <w:t>Law,</w:t>
      </w:r>
      <w:r w:rsidR="005B2A41">
        <w:t xml:space="preserve"> </w:t>
      </w:r>
      <w:r w:rsidRPr="00B02247">
        <w:t>in</w:t>
      </w:r>
      <w:r w:rsidR="005B2A41">
        <w:t xml:space="preserve"> </w:t>
      </w:r>
      <w:r w:rsidRPr="00B02247">
        <w:t>respect</w:t>
      </w:r>
      <w:r w:rsidR="005B2A41">
        <w:t xml:space="preserve"> </w:t>
      </w:r>
      <w:r w:rsidRPr="00B02247">
        <w:t>of</w:t>
      </w:r>
      <w:r w:rsidR="005B2A41">
        <w:t xml:space="preserve"> </w:t>
      </w:r>
      <w:r w:rsidRPr="00B02247">
        <w:t>all</w:t>
      </w:r>
      <w:r w:rsidR="005B2A41">
        <w:t xml:space="preserve"> </w:t>
      </w:r>
      <w:r w:rsidRPr="00B02247">
        <w:t>of</w:t>
      </w:r>
      <w:r w:rsidR="005B2A41">
        <w:t xml:space="preserve"> </w:t>
      </w:r>
      <w:r w:rsidRPr="00B02247">
        <w:t>the</w:t>
      </w:r>
      <w:r w:rsidR="005B2A41">
        <w:t xml:space="preserve"> </w:t>
      </w:r>
      <w:r w:rsidRPr="00B02247">
        <w:t>abovementioned</w:t>
      </w:r>
      <w:r w:rsidR="005B2A41">
        <w:t xml:space="preserve"> </w:t>
      </w:r>
      <w:r w:rsidRPr="00B02247">
        <w:t>prohibited</w:t>
      </w:r>
      <w:r w:rsidR="005B2A41">
        <w:t xml:space="preserve"> </w:t>
      </w:r>
      <w:r w:rsidRPr="00B02247">
        <w:t>grounds</w:t>
      </w:r>
      <w:r w:rsidR="005B2A41">
        <w:t xml:space="preserve"> </w:t>
      </w:r>
      <w:r w:rsidRPr="00B02247">
        <w:t>of</w:t>
      </w:r>
      <w:r w:rsidR="005B2A41">
        <w:t xml:space="preserve"> </w:t>
      </w:r>
      <w:r w:rsidRPr="00B02247">
        <w:t>discrimination</w:t>
      </w:r>
      <w:r w:rsidR="005B2A41">
        <w:t xml:space="preserve"> </w:t>
      </w:r>
      <w:r w:rsidRPr="00B02247">
        <w:t>includes:</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conditions</w:t>
      </w:r>
      <w:r w:rsidR="005B2A41">
        <w:t xml:space="preserve"> </w:t>
      </w:r>
      <w:r w:rsidR="00F233AB" w:rsidRPr="00B02247">
        <w:t>of</w:t>
      </w:r>
      <w:r w:rsidR="005B2A41">
        <w:t xml:space="preserve"> </w:t>
      </w:r>
      <w:r w:rsidR="00F233AB" w:rsidRPr="00B02247">
        <w:t>access</w:t>
      </w:r>
      <w:r w:rsidR="005B2A41">
        <w:t xml:space="preserve"> </w:t>
      </w:r>
      <w:r w:rsidR="00F233AB" w:rsidRPr="00B02247">
        <w:t>to</w:t>
      </w:r>
      <w:r w:rsidR="005B2A41">
        <w:t xml:space="preserve"> </w:t>
      </w:r>
      <w:r w:rsidR="00F233AB" w:rsidRPr="00B02247">
        <w:t>employment</w:t>
      </w:r>
      <w:r w:rsidR="005B2A41">
        <w:t xml:space="preserve"> </w:t>
      </w:r>
      <w:r w:rsidR="00F233AB" w:rsidRPr="00B02247">
        <w:t>and</w:t>
      </w:r>
      <w:r w:rsidR="005B2A41">
        <w:t xml:space="preserve"> </w:t>
      </w:r>
      <w:r w:rsidR="00F233AB" w:rsidRPr="00B02247">
        <w:t>to</w:t>
      </w:r>
      <w:r w:rsidR="005B2A41">
        <w:t xml:space="preserve"> </w:t>
      </w:r>
      <w:r w:rsidR="00F233AB" w:rsidRPr="00B02247">
        <w:t>occupation</w:t>
      </w:r>
      <w:r w:rsidR="005B2A41">
        <w:t xml:space="preserve"> </w:t>
      </w:r>
      <w:r w:rsidR="00F233AB" w:rsidRPr="00B02247">
        <w:t>in</w:t>
      </w:r>
      <w:r w:rsidR="005B2A41">
        <w:t xml:space="preserve"> </w:t>
      </w:r>
      <w:r w:rsidR="00F233AB" w:rsidRPr="00B02247">
        <w:t>general,</w:t>
      </w:r>
      <w:r w:rsidR="005B2A41">
        <w:t xml:space="preserve"> </w:t>
      </w:r>
      <w:r w:rsidR="00F233AB" w:rsidRPr="00B02247">
        <w:t>including</w:t>
      </w:r>
      <w:r w:rsidR="005B2A41">
        <w:t xml:space="preserve"> </w:t>
      </w:r>
      <w:r w:rsidR="00F233AB" w:rsidRPr="00B02247">
        <w:t>selection</w:t>
      </w:r>
      <w:r w:rsidR="005B2A41">
        <w:t xml:space="preserve"> </w:t>
      </w:r>
      <w:r w:rsidR="00F233AB" w:rsidRPr="00B02247">
        <w:t>criteria</w:t>
      </w:r>
      <w:r w:rsidR="005B2A41">
        <w:t xml:space="preserve"> </w:t>
      </w:r>
      <w:r w:rsidR="00F233AB" w:rsidRPr="00B02247">
        <w:t>and</w:t>
      </w:r>
      <w:r w:rsidR="005B2A41">
        <w:t xml:space="preserve"> </w:t>
      </w:r>
      <w:r w:rsidR="00F233AB" w:rsidRPr="00B02247">
        <w:t>recruitment</w:t>
      </w:r>
      <w:r w:rsidR="005B2A41">
        <w:t xml:space="preserve"> </w:t>
      </w:r>
      <w:r w:rsidR="00F233AB" w:rsidRPr="00B02247">
        <w:t>conditions,</w:t>
      </w:r>
      <w:r w:rsidR="005B2A41">
        <w:t xml:space="preserve"> </w:t>
      </w:r>
      <w:r w:rsidR="00F233AB" w:rsidRPr="00B02247">
        <w:t>in</w:t>
      </w:r>
      <w:r w:rsidR="005B2A41">
        <w:t xml:space="preserve"> </w:t>
      </w:r>
      <w:r w:rsidR="00F233AB" w:rsidRPr="00B02247">
        <w:t>all</w:t>
      </w:r>
      <w:r w:rsidR="005B2A41">
        <w:t xml:space="preserve"> </w:t>
      </w:r>
      <w:r w:rsidR="00F233AB" w:rsidRPr="00B02247">
        <w:t>branches</w:t>
      </w:r>
      <w:r w:rsidR="005B2A41">
        <w:t xml:space="preserve"> </w:t>
      </w:r>
      <w:r w:rsidR="00F233AB" w:rsidRPr="00B02247">
        <w:t>of</w:t>
      </w:r>
      <w:r w:rsidR="005B2A41">
        <w:t xml:space="preserve"> </w:t>
      </w:r>
      <w:r w:rsidR="00F233AB" w:rsidRPr="00B02247">
        <w:t>activity</w:t>
      </w:r>
      <w:r w:rsidR="005B2A41">
        <w:t xml:space="preserve"> </w:t>
      </w:r>
      <w:r w:rsidR="00F233AB" w:rsidRPr="00B02247">
        <w:t>and</w:t>
      </w:r>
      <w:r w:rsidR="005B2A41">
        <w:t xml:space="preserve"> </w:t>
      </w:r>
      <w:r w:rsidR="00F233AB" w:rsidRPr="00B02247">
        <w:t>levels</w:t>
      </w:r>
      <w:r w:rsidR="005B2A41">
        <w:t xml:space="preserve"> </w:t>
      </w:r>
      <w:r w:rsidR="00F233AB" w:rsidRPr="00B02247">
        <w:t>of</w:t>
      </w:r>
      <w:r w:rsidR="005B2A41">
        <w:t xml:space="preserve"> </w:t>
      </w:r>
      <w:r w:rsidR="00F233AB" w:rsidRPr="00B02247">
        <w:t>the</w:t>
      </w:r>
      <w:r w:rsidR="005B2A41">
        <w:t xml:space="preserve"> </w:t>
      </w:r>
      <w:r w:rsidR="00F233AB" w:rsidRPr="00B02247">
        <w:t>professional</w:t>
      </w:r>
      <w:r w:rsidR="005B2A41">
        <w:t xml:space="preserve"> </w:t>
      </w:r>
      <w:r w:rsidR="00F233AB" w:rsidRPr="00B02247">
        <w:t>hierarchy,</w:t>
      </w:r>
      <w:r w:rsidR="005B2A41">
        <w:t xml:space="preserve"> </w:t>
      </w:r>
      <w:r w:rsidR="00F233AB" w:rsidRPr="00B02247">
        <w:t>as</w:t>
      </w:r>
      <w:r w:rsidR="005B2A41">
        <w:t xml:space="preserve"> </w:t>
      </w:r>
      <w:r w:rsidR="00F233AB" w:rsidRPr="00B02247">
        <w:t>well</w:t>
      </w:r>
      <w:r w:rsidR="005B2A41">
        <w:t xml:space="preserve"> </w:t>
      </w:r>
      <w:r w:rsidR="00F233AB" w:rsidRPr="00B02247">
        <w:t>as</w:t>
      </w:r>
      <w:r w:rsidR="005B2A41">
        <w:t xml:space="preserve"> </w:t>
      </w:r>
      <w:r w:rsidR="00F233AB" w:rsidRPr="00B02247">
        <w:t>the</w:t>
      </w:r>
      <w:r w:rsidR="005B2A41">
        <w:t xml:space="preserve"> </w:t>
      </w:r>
      <w:r w:rsidR="00F233AB" w:rsidRPr="00B02247">
        <w:t>terms</w:t>
      </w:r>
      <w:r w:rsidR="005B2A41">
        <w:t xml:space="preserve"> </w:t>
      </w:r>
      <w:r w:rsidR="00F233AB" w:rsidRPr="00B02247">
        <w:t>and</w:t>
      </w:r>
      <w:r w:rsidR="005B2A41">
        <w:t xml:space="preserve"> </w:t>
      </w:r>
      <w:r w:rsidR="00F233AB" w:rsidRPr="00B02247">
        <w:t>conditions</w:t>
      </w:r>
      <w:r w:rsidR="005B2A41">
        <w:t xml:space="preserve"> </w:t>
      </w:r>
      <w:r w:rsidR="00F233AB" w:rsidRPr="00B02247">
        <w:t>of</w:t>
      </w:r>
      <w:r w:rsidR="005B2A41">
        <w:t xml:space="preserve"> </w:t>
      </w:r>
      <w:r w:rsidR="00F233AB" w:rsidRPr="00B02247">
        <w:t>hierarchical</w:t>
      </w:r>
      <w:r w:rsidR="005B2A41">
        <w:t xml:space="preserve"> </w:t>
      </w:r>
      <w:r w:rsidR="00F233AB" w:rsidRPr="00B02247">
        <w:t>and</w:t>
      </w:r>
      <w:r w:rsidR="005B2A41">
        <w:t xml:space="preserve"> </w:t>
      </w:r>
      <w:r w:rsidR="00F233AB" w:rsidRPr="00B02247">
        <w:t>professional</w:t>
      </w:r>
      <w:r w:rsidR="005B2A41">
        <w:t xml:space="preserve"> </w:t>
      </w:r>
      <w:r w:rsidR="00F233AB" w:rsidRPr="00B02247">
        <w:t>advancement;</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access</w:t>
      </w:r>
      <w:r w:rsidR="005B2A41">
        <w:t xml:space="preserve"> </w:t>
      </w:r>
      <w:r w:rsidR="00F233AB" w:rsidRPr="00B02247">
        <w:t>to</w:t>
      </w:r>
      <w:r w:rsidR="005B2A41">
        <w:t xml:space="preserve"> </w:t>
      </w:r>
      <w:r w:rsidR="00F233AB" w:rsidRPr="00B02247">
        <w:t>all</w:t>
      </w:r>
      <w:r w:rsidR="005B2A41">
        <w:t xml:space="preserve"> </w:t>
      </w:r>
      <w:r w:rsidR="00F233AB" w:rsidRPr="00B02247">
        <w:t>types</w:t>
      </w:r>
      <w:r w:rsidR="005B2A41">
        <w:t xml:space="preserve"> </w:t>
      </w:r>
      <w:r w:rsidR="00F233AB" w:rsidRPr="00B02247">
        <w:t>and</w:t>
      </w:r>
      <w:r w:rsidR="005B2A41">
        <w:t xml:space="preserve"> </w:t>
      </w:r>
      <w:r w:rsidR="00F233AB" w:rsidRPr="00B02247">
        <w:t>levels</w:t>
      </w:r>
      <w:r w:rsidR="005B2A41">
        <w:t xml:space="preserve"> </w:t>
      </w:r>
      <w:r w:rsidR="00F233AB" w:rsidRPr="00B02247">
        <w:t>of</w:t>
      </w:r>
      <w:r w:rsidR="005B2A41">
        <w:t xml:space="preserve"> </w:t>
      </w:r>
      <w:r w:rsidR="00F233AB" w:rsidRPr="00B02247">
        <w:t>vocational</w:t>
      </w:r>
      <w:r w:rsidR="005B2A41">
        <w:t xml:space="preserve"> </w:t>
      </w:r>
      <w:r w:rsidR="00F233AB" w:rsidRPr="00B02247">
        <w:t>guidance,</w:t>
      </w:r>
      <w:r w:rsidR="005B2A41">
        <w:t xml:space="preserve"> </w:t>
      </w:r>
      <w:r w:rsidR="00F233AB" w:rsidRPr="00B02247">
        <w:t>training,</w:t>
      </w:r>
      <w:r w:rsidR="005B2A41">
        <w:t xml:space="preserve"> </w:t>
      </w:r>
      <w:r w:rsidR="00F233AB" w:rsidRPr="00B02247">
        <w:t>retraining</w:t>
      </w:r>
      <w:r w:rsidR="005B2A41">
        <w:t xml:space="preserve"> </w:t>
      </w:r>
      <w:r w:rsidR="00F233AB" w:rsidRPr="00B02247">
        <w:t>and</w:t>
      </w:r>
      <w:r w:rsidR="005B2A41">
        <w:t xml:space="preserve"> </w:t>
      </w:r>
      <w:r w:rsidR="00F233AB" w:rsidRPr="00B02247">
        <w:t>practical</w:t>
      </w:r>
      <w:r w:rsidR="005B2A41">
        <w:t xml:space="preserve"> </w:t>
      </w:r>
      <w:r w:rsidR="00F233AB" w:rsidRPr="00B02247">
        <w:t>work</w:t>
      </w:r>
      <w:r w:rsidR="005B2A41">
        <w:t xml:space="preserve"> </w:t>
      </w:r>
      <w:r w:rsidR="00F233AB" w:rsidRPr="00B02247">
        <w:t>experience;</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employment</w:t>
      </w:r>
      <w:r w:rsidR="005B2A41">
        <w:t xml:space="preserve"> </w:t>
      </w:r>
      <w:r w:rsidR="00F233AB" w:rsidRPr="00B02247">
        <w:t>and</w:t>
      </w:r>
      <w:r w:rsidR="005B2A41">
        <w:t xml:space="preserve"> </w:t>
      </w:r>
      <w:r w:rsidR="00F233AB" w:rsidRPr="00B02247">
        <w:t>working</w:t>
      </w:r>
      <w:r w:rsidR="005B2A41">
        <w:t xml:space="preserve"> </w:t>
      </w:r>
      <w:r w:rsidR="00F233AB" w:rsidRPr="00B02247">
        <w:t>conditions,</w:t>
      </w:r>
      <w:r w:rsidR="005B2A41">
        <w:t xml:space="preserve"> </w:t>
      </w:r>
      <w:r w:rsidR="00F233AB" w:rsidRPr="00B02247">
        <w:t>including</w:t>
      </w:r>
      <w:r w:rsidR="005B2A41">
        <w:t xml:space="preserve"> </w:t>
      </w:r>
      <w:r w:rsidR="00F233AB" w:rsidRPr="00B02247">
        <w:t>dismissals,</w:t>
      </w:r>
      <w:r w:rsidR="005B2A41">
        <w:t xml:space="preserve"> </w:t>
      </w:r>
      <w:r w:rsidR="00F233AB" w:rsidRPr="00B02247">
        <w:t>remuneration,</w:t>
      </w:r>
      <w:r w:rsidR="005B2A41">
        <w:t xml:space="preserve"> </w:t>
      </w:r>
      <w:r w:rsidR="00F233AB" w:rsidRPr="00B02247">
        <w:t>health</w:t>
      </w:r>
      <w:r w:rsidR="005B2A41">
        <w:t xml:space="preserve"> </w:t>
      </w:r>
      <w:r w:rsidR="00F233AB" w:rsidRPr="00B02247">
        <w:t>and</w:t>
      </w:r>
      <w:r w:rsidR="005B2A41">
        <w:t xml:space="preserve"> </w:t>
      </w:r>
      <w:r w:rsidR="00F233AB" w:rsidRPr="00B02247">
        <w:t>safety</w:t>
      </w:r>
      <w:r w:rsidR="005B2A41">
        <w:t xml:space="preserve"> </w:t>
      </w:r>
      <w:r w:rsidR="00F233AB" w:rsidRPr="00B02247">
        <w:t>at</w:t>
      </w:r>
      <w:r w:rsidR="005B2A41">
        <w:t xml:space="preserve"> </w:t>
      </w:r>
      <w:r w:rsidR="00F233AB" w:rsidRPr="00B02247">
        <w:t>work,</w:t>
      </w:r>
      <w:r w:rsidR="005B2A41">
        <w:t xml:space="preserve"> </w:t>
      </w:r>
      <w:r w:rsidR="00F233AB" w:rsidRPr="00B02247">
        <w:t>reinstatement</w:t>
      </w:r>
      <w:r w:rsidR="005B2A41">
        <w:t xml:space="preserve"> </w:t>
      </w:r>
      <w:r w:rsidR="00F233AB" w:rsidRPr="00B02247">
        <w:t>and</w:t>
      </w:r>
      <w:r w:rsidR="005B2A41">
        <w:t xml:space="preserve"> </w:t>
      </w:r>
      <w:r w:rsidR="00F233AB" w:rsidRPr="00B02247">
        <w:t>re-employment</w:t>
      </w:r>
      <w:r w:rsidR="005B2A41">
        <w:t xml:space="preserve"> </w:t>
      </w:r>
      <w:r w:rsidR="00F233AB" w:rsidRPr="00B02247">
        <w:t>of</w:t>
      </w:r>
      <w:r w:rsidR="005B2A41">
        <w:t xml:space="preserve"> </w:t>
      </w:r>
      <w:r w:rsidR="00F233AB" w:rsidRPr="00B02247">
        <w:t>those</w:t>
      </w:r>
      <w:r w:rsidR="005B2A41">
        <w:t xml:space="preserve"> </w:t>
      </w:r>
      <w:r w:rsidR="00F233AB" w:rsidRPr="00B02247">
        <w:t>that</w:t>
      </w:r>
      <w:r w:rsidR="005B2A41">
        <w:t xml:space="preserve"> </w:t>
      </w:r>
      <w:r w:rsidR="00F233AB" w:rsidRPr="00B02247">
        <w:t>had</w:t>
      </w:r>
      <w:r w:rsidR="005B2A41">
        <w:t xml:space="preserve"> </w:t>
      </w:r>
      <w:r w:rsidR="00F233AB" w:rsidRPr="00B02247">
        <w:t>become</w:t>
      </w:r>
      <w:r w:rsidR="005B2A41">
        <w:t xml:space="preserve"> </w:t>
      </w:r>
      <w:r w:rsidR="00F233AB" w:rsidRPr="00B02247">
        <w:t>unemployed;</w:t>
      </w:r>
    </w:p>
    <w:p w:rsidR="00F233AB" w:rsidRPr="00B02247" w:rsidRDefault="00102678" w:rsidP="00102678">
      <w:pPr>
        <w:pStyle w:val="Bullet1G"/>
        <w:numPr>
          <w:ilvl w:val="0"/>
          <w:numId w:val="0"/>
        </w:numPr>
        <w:tabs>
          <w:tab w:val="left" w:pos="1701"/>
        </w:tabs>
        <w:ind w:left="1701" w:hanging="170"/>
      </w:pPr>
      <w:r w:rsidRPr="00B02247">
        <w:lastRenderedPageBreak/>
        <w:t>•</w:t>
      </w:r>
      <w:r w:rsidRPr="00B02247">
        <w:tab/>
      </w:r>
      <w:r w:rsidR="00F233AB" w:rsidRPr="00B02247">
        <w:t>membership</w:t>
      </w:r>
      <w:r w:rsidR="005B2A41">
        <w:t xml:space="preserve"> </w:t>
      </w:r>
      <w:r w:rsidR="00F233AB" w:rsidRPr="00B02247">
        <w:t>of</w:t>
      </w:r>
      <w:r w:rsidR="005B2A41">
        <w:t xml:space="preserve"> </w:t>
      </w:r>
      <w:r w:rsidR="00F233AB" w:rsidRPr="00B02247">
        <w:t>and</w:t>
      </w:r>
      <w:r w:rsidR="005B2A41">
        <w:t xml:space="preserve"> </w:t>
      </w:r>
      <w:r w:rsidR="00F233AB" w:rsidRPr="00B02247">
        <w:t>participation</w:t>
      </w:r>
      <w:r w:rsidR="005B2A41">
        <w:t xml:space="preserve"> </w:t>
      </w:r>
      <w:r w:rsidR="00F233AB" w:rsidRPr="00B02247">
        <w:t>to</w:t>
      </w:r>
      <w:r w:rsidR="005B2A41">
        <w:t xml:space="preserve"> </w:t>
      </w:r>
      <w:r w:rsidR="00F233AB" w:rsidRPr="00B02247">
        <w:t>an</w:t>
      </w:r>
      <w:r w:rsidR="005B2A41">
        <w:t xml:space="preserve"> </w:t>
      </w:r>
      <w:r w:rsidR="00F233AB" w:rsidRPr="00B02247">
        <w:t>organization</w:t>
      </w:r>
      <w:r w:rsidR="005B2A41">
        <w:t xml:space="preserve"> </w:t>
      </w:r>
      <w:r w:rsidR="00F233AB" w:rsidRPr="00B02247">
        <w:t>of</w:t>
      </w:r>
      <w:r w:rsidR="005B2A41">
        <w:t xml:space="preserve"> </w:t>
      </w:r>
      <w:r w:rsidR="00F233AB" w:rsidRPr="00B02247">
        <w:t>workers</w:t>
      </w:r>
      <w:r w:rsidR="005B2A41">
        <w:t xml:space="preserve"> </w:t>
      </w:r>
      <w:r w:rsidR="00F233AB" w:rsidRPr="00B02247">
        <w:t>or</w:t>
      </w:r>
      <w:r w:rsidR="005B2A41">
        <w:t xml:space="preserve"> </w:t>
      </w:r>
      <w:r w:rsidR="00F233AB" w:rsidRPr="00B02247">
        <w:t>employers</w:t>
      </w:r>
      <w:r w:rsidR="005B2A41">
        <w:t xml:space="preserve"> </w:t>
      </w:r>
      <w:r w:rsidR="00F233AB" w:rsidRPr="00B02247">
        <w:t>or</w:t>
      </w:r>
      <w:r w:rsidR="005B2A41">
        <w:t xml:space="preserve"> </w:t>
      </w:r>
      <w:r w:rsidR="00F233AB" w:rsidRPr="00B02247">
        <w:t>any</w:t>
      </w:r>
      <w:r w:rsidR="005B2A41">
        <w:t xml:space="preserve"> </w:t>
      </w:r>
      <w:r w:rsidR="00F233AB" w:rsidRPr="00B02247">
        <w:t>other</w:t>
      </w:r>
      <w:r w:rsidR="005B2A41">
        <w:t xml:space="preserve"> </w:t>
      </w:r>
      <w:r w:rsidR="00F233AB" w:rsidRPr="00B02247">
        <w:t>professional</w:t>
      </w:r>
      <w:r w:rsidR="005B2A41">
        <w:t xml:space="preserve"> </w:t>
      </w:r>
      <w:r w:rsidR="00F233AB" w:rsidRPr="00B02247">
        <w:t>organization.</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187.</w:t>
      </w:r>
      <w:r w:rsidR="00F233AB" w:rsidRPr="00B02247">
        <w:tab/>
        <w:t>The</w:t>
      </w:r>
      <w:r w:rsidR="005B2A41">
        <w:t xml:space="preserve"> </w:t>
      </w:r>
      <w:r w:rsidR="00F233AB" w:rsidRPr="00B02247">
        <w:t>scope</w:t>
      </w:r>
      <w:r w:rsidR="005B2A41">
        <w:t xml:space="preserve"> </w:t>
      </w:r>
      <w:r w:rsidR="00F233AB" w:rsidRPr="00B02247">
        <w:t>of</w:t>
      </w:r>
      <w:r w:rsidR="005B2A41">
        <w:t xml:space="preserve"> </w:t>
      </w:r>
      <w:r w:rsidR="00F233AB" w:rsidRPr="00B02247">
        <w:t>the</w:t>
      </w:r>
      <w:r w:rsidR="005B2A41">
        <w:t xml:space="preserve"> </w:t>
      </w:r>
      <w:r w:rsidR="00F233AB" w:rsidRPr="00B02247">
        <w:t>Law</w:t>
      </w:r>
      <w:r w:rsidR="005B2A41">
        <w:t xml:space="preserve"> </w:t>
      </w:r>
      <w:r w:rsidR="00F233AB" w:rsidRPr="00B02247">
        <w:t>extends,</w:t>
      </w:r>
      <w:r w:rsidR="005B2A41">
        <w:t xml:space="preserve"> </w:t>
      </w:r>
      <w:r w:rsidR="00F233AB" w:rsidRPr="00B02247">
        <w:t>in</w:t>
      </w:r>
      <w:r w:rsidR="005B2A41">
        <w:t xml:space="preserve"> </w:t>
      </w:r>
      <w:r w:rsidR="00F233AB" w:rsidRPr="00B02247">
        <w:t>case</w:t>
      </w:r>
      <w:r w:rsidR="005B2A41">
        <w:t xml:space="preserve"> </w:t>
      </w:r>
      <w:r w:rsidR="00F233AB" w:rsidRPr="00B02247">
        <w:t>of</w:t>
      </w:r>
      <w:r w:rsidR="005B2A41">
        <w:t xml:space="preserve"> </w:t>
      </w:r>
      <w:r w:rsidR="00F233AB" w:rsidRPr="00B02247">
        <w:t>discrimination</w:t>
      </w:r>
      <w:r w:rsidR="005B2A41">
        <w:t xml:space="preserve"> </w:t>
      </w:r>
      <w:r w:rsidR="00F233AB" w:rsidRPr="00B02247">
        <w:t>on</w:t>
      </w:r>
      <w:r w:rsidR="005B2A41">
        <w:t xml:space="preserve"> </w:t>
      </w:r>
      <w:r w:rsidR="00F233AB" w:rsidRPr="00B02247">
        <w:t>the</w:t>
      </w:r>
      <w:r w:rsidR="005B2A41">
        <w:t xml:space="preserve"> </w:t>
      </w:r>
      <w:r w:rsidR="00F233AB" w:rsidRPr="00B02247">
        <w:t>grounds</w:t>
      </w:r>
      <w:r w:rsidR="005B2A41">
        <w:t xml:space="preserve"> </w:t>
      </w:r>
      <w:r w:rsidR="00F233AB" w:rsidRPr="00B02247">
        <w:t>of</w:t>
      </w:r>
      <w:r w:rsidR="005B2A41">
        <w:t xml:space="preserve"> </w:t>
      </w:r>
      <w:r w:rsidR="00F233AB" w:rsidRPr="00B02247">
        <w:t>race,</w:t>
      </w:r>
      <w:r w:rsidR="005B2A41">
        <w:t xml:space="preserve"> </w:t>
      </w:r>
      <w:r w:rsidR="00F233AB" w:rsidRPr="00B02247">
        <w:t>color,</w:t>
      </w:r>
      <w:r w:rsidR="005B2A41">
        <w:t xml:space="preserve"> </w:t>
      </w:r>
      <w:r w:rsidR="00F233AB" w:rsidRPr="00B02247">
        <w:t>national</w:t>
      </w:r>
      <w:r w:rsidR="005B2A41">
        <w:t xml:space="preserve"> </w:t>
      </w:r>
      <w:r w:rsidR="00F233AB" w:rsidRPr="00B02247">
        <w:t>or</w:t>
      </w:r>
      <w:r w:rsidR="005B2A41">
        <w:t xml:space="preserve"> </w:t>
      </w:r>
      <w:r w:rsidR="00F233AB" w:rsidRPr="00B02247">
        <w:t>ethnic</w:t>
      </w:r>
      <w:r w:rsidR="005B2A41">
        <w:t xml:space="preserve"> </w:t>
      </w:r>
      <w:r w:rsidR="00F233AB" w:rsidRPr="00B02247">
        <w:t>origin</w:t>
      </w:r>
      <w:r w:rsidR="005B2A41">
        <w:t xml:space="preserve"> </w:t>
      </w:r>
      <w:r w:rsidR="00F233AB" w:rsidRPr="00B02247">
        <w:t>and</w:t>
      </w:r>
      <w:r w:rsidR="005B2A41">
        <w:t xml:space="preserve"> </w:t>
      </w:r>
      <w:r w:rsidR="00F233AB" w:rsidRPr="00B02247">
        <w:t>descent,</w:t>
      </w:r>
      <w:r w:rsidR="005B2A41">
        <w:t xml:space="preserve"> </w:t>
      </w:r>
      <w:r w:rsidR="00F233AB" w:rsidRPr="00B02247">
        <w:t>to</w:t>
      </w:r>
      <w:r w:rsidR="005B2A41">
        <w:t xml:space="preserve"> </w:t>
      </w:r>
      <w:r w:rsidR="00F233AB" w:rsidRPr="00B02247">
        <w:t>the</w:t>
      </w:r>
      <w:r w:rsidR="005B2A41">
        <w:t xml:space="preserve"> </w:t>
      </w:r>
      <w:r w:rsidR="00F233AB" w:rsidRPr="00B02247">
        <w:t>following</w:t>
      </w:r>
      <w:r w:rsidR="005B2A41">
        <w:t xml:space="preserve"> </w:t>
      </w:r>
      <w:r w:rsidR="00F233AB" w:rsidRPr="00B02247">
        <w:t>fields:</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social</w:t>
      </w:r>
      <w:r w:rsidR="005B2A41">
        <w:t xml:space="preserve"> </w:t>
      </w:r>
      <w:r w:rsidR="00F233AB" w:rsidRPr="00B02247">
        <w:t>protection,</w:t>
      </w:r>
      <w:r w:rsidR="005B2A41">
        <w:t xml:space="preserve"> </w:t>
      </w:r>
      <w:r w:rsidR="00F233AB" w:rsidRPr="00B02247">
        <w:t>including</w:t>
      </w:r>
      <w:r w:rsidR="005B2A41">
        <w:t xml:space="preserve"> </w:t>
      </w:r>
      <w:r w:rsidR="00F233AB" w:rsidRPr="00B02247">
        <w:t>social</w:t>
      </w:r>
      <w:r w:rsidR="005B2A41">
        <w:t xml:space="preserve"> </w:t>
      </w:r>
      <w:r w:rsidR="00F233AB" w:rsidRPr="00B02247">
        <w:t>security</w:t>
      </w:r>
      <w:r w:rsidR="005B2A41">
        <w:t xml:space="preserve"> </w:t>
      </w:r>
      <w:r w:rsidR="00F233AB" w:rsidRPr="00B02247">
        <w:t>and</w:t>
      </w:r>
      <w:r w:rsidR="005B2A41">
        <w:t xml:space="preserve"> </w:t>
      </w:r>
      <w:r w:rsidR="00F233AB" w:rsidRPr="00B02247">
        <w:t>health</w:t>
      </w:r>
      <w:r w:rsidR="005B2A41">
        <w:t xml:space="preserve"> </w:t>
      </w:r>
      <w:r w:rsidR="00F233AB" w:rsidRPr="00B02247">
        <w:t>care;</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5B2A41">
        <w:t xml:space="preserve"> </w:t>
      </w:r>
      <w:r w:rsidR="00F233AB" w:rsidRPr="00B02247">
        <w:t>social</w:t>
      </w:r>
      <w:r w:rsidR="005B2A41">
        <w:t xml:space="preserve"> </w:t>
      </w:r>
      <w:r w:rsidR="00F233AB" w:rsidRPr="00B02247">
        <w:t>and</w:t>
      </w:r>
      <w:r w:rsidR="005B2A41">
        <w:t xml:space="preserve"> </w:t>
      </w:r>
      <w:r w:rsidR="00F233AB" w:rsidRPr="00B02247">
        <w:t>tax</w:t>
      </w:r>
      <w:r w:rsidR="005B2A41">
        <w:t xml:space="preserve"> </w:t>
      </w:r>
      <w:r w:rsidR="00F233AB" w:rsidRPr="00B02247">
        <w:t>advantages;</w:t>
      </w:r>
      <w:r w:rsidR="005B2A41">
        <w:t xml:space="preserve"> </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education;</w:t>
      </w:r>
      <w:r w:rsidR="005B2A41">
        <w:t xml:space="preserve"> </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access</w:t>
      </w:r>
      <w:r w:rsidR="005B2A41">
        <w:t xml:space="preserve"> </w:t>
      </w:r>
      <w:r w:rsidR="00F233AB" w:rsidRPr="00B02247">
        <w:t>to</w:t>
      </w:r>
      <w:r w:rsidR="005B2A41">
        <w:t xml:space="preserve"> </w:t>
      </w:r>
      <w:r w:rsidR="00F233AB" w:rsidRPr="00B02247">
        <w:t>and</w:t>
      </w:r>
      <w:r w:rsidR="005B2A41">
        <w:t xml:space="preserve"> </w:t>
      </w:r>
      <w:r w:rsidR="00F233AB" w:rsidRPr="00B02247">
        <w:t>supply</w:t>
      </w:r>
      <w:r w:rsidR="005B2A41">
        <w:t xml:space="preserve"> </w:t>
      </w:r>
      <w:r w:rsidR="00F233AB" w:rsidRPr="00B02247">
        <w:t>of</w:t>
      </w:r>
      <w:r w:rsidR="005B2A41">
        <w:t xml:space="preserve"> </w:t>
      </w:r>
      <w:r w:rsidR="00F233AB" w:rsidRPr="00B02247">
        <w:t>goods</w:t>
      </w:r>
      <w:r w:rsidR="005B2A41">
        <w:t xml:space="preserve"> </w:t>
      </w:r>
      <w:r w:rsidR="00F233AB" w:rsidRPr="00B02247">
        <w:t>and</w:t>
      </w:r>
      <w:r w:rsidR="005B2A41">
        <w:t xml:space="preserve"> </w:t>
      </w:r>
      <w:r w:rsidR="00F233AB" w:rsidRPr="00B02247">
        <w:t>services</w:t>
      </w:r>
      <w:r w:rsidR="005B2A41">
        <w:t xml:space="preserve"> </w:t>
      </w:r>
      <w:r w:rsidR="00F233AB" w:rsidRPr="00B02247">
        <w:t>which</w:t>
      </w:r>
      <w:r w:rsidR="005B2A41">
        <w:t xml:space="preserve"> </w:t>
      </w:r>
      <w:r w:rsidR="00F233AB" w:rsidRPr="00B02247">
        <w:t>are</w:t>
      </w:r>
      <w:r w:rsidR="005B2A41">
        <w:t xml:space="preserve"> </w:t>
      </w:r>
      <w:r w:rsidR="00F233AB" w:rsidRPr="00B02247">
        <w:t>made</w:t>
      </w:r>
      <w:r w:rsidR="005B2A41">
        <w:t xml:space="preserve"> </w:t>
      </w:r>
      <w:r w:rsidR="00F233AB" w:rsidRPr="00B02247">
        <w:t>available</w:t>
      </w:r>
      <w:r w:rsidR="005B2A41">
        <w:t xml:space="preserve"> </w:t>
      </w:r>
      <w:r w:rsidR="00F233AB" w:rsidRPr="00B02247">
        <w:t>to</w:t>
      </w:r>
      <w:r w:rsidR="005B2A41">
        <w:t xml:space="preserve"> </w:t>
      </w:r>
      <w:r w:rsidR="00F233AB" w:rsidRPr="00B02247">
        <w:t>the</w:t>
      </w:r>
      <w:r w:rsidR="005B2A41">
        <w:t xml:space="preserve"> </w:t>
      </w:r>
      <w:r w:rsidR="00F233AB" w:rsidRPr="00B02247">
        <w:t>public,</w:t>
      </w:r>
      <w:r w:rsidR="005B2A41">
        <w:t xml:space="preserve"> </w:t>
      </w:r>
      <w:r w:rsidR="00F233AB" w:rsidRPr="00B02247">
        <w:t>including</w:t>
      </w:r>
      <w:r w:rsidR="005B2A41">
        <w:t xml:space="preserve"> </w:t>
      </w:r>
      <w:r w:rsidR="00F233AB" w:rsidRPr="00B02247">
        <w:t>housing.</w:t>
      </w:r>
    </w:p>
    <w:p w:rsidR="00F233AB" w:rsidRPr="00B02247" w:rsidRDefault="00F233AB" w:rsidP="00E1307D">
      <w:pPr>
        <w:pStyle w:val="SingleTxtG"/>
      </w:pPr>
      <w:r w:rsidRPr="00B02247">
        <w:t>164.</w:t>
      </w:r>
      <w:r w:rsidRPr="00B02247">
        <w:tab/>
        <w:t>It</w:t>
      </w:r>
      <w:r w:rsidR="005B2A41">
        <w:t xml:space="preserve"> </w:t>
      </w:r>
      <w:r w:rsidRPr="00B02247">
        <w:t>is,</w:t>
      </w:r>
      <w:r w:rsidR="005B2A41">
        <w:t xml:space="preserve"> </w:t>
      </w:r>
      <w:r w:rsidRPr="00B02247">
        <w:t>however,</w:t>
      </w:r>
      <w:r w:rsidR="005B2A41">
        <w:t xml:space="preserve"> </w:t>
      </w:r>
      <w:r w:rsidRPr="00B02247">
        <w:t>to</w:t>
      </w:r>
      <w:r w:rsidR="005B2A41">
        <w:t xml:space="preserve"> </w:t>
      </w:r>
      <w:r w:rsidRPr="00B02247">
        <w:t>be</w:t>
      </w:r>
      <w:r w:rsidR="005B2A41">
        <w:t xml:space="preserve"> </w:t>
      </w:r>
      <w:r w:rsidRPr="00B02247">
        <w:t>noted</w:t>
      </w:r>
      <w:r w:rsidR="005B2A41">
        <w:t xml:space="preserve"> </w:t>
      </w:r>
      <w:r w:rsidRPr="00B02247">
        <w:t>that</w:t>
      </w:r>
      <w:r w:rsidR="005B2A41">
        <w:t xml:space="preserve"> </w:t>
      </w:r>
      <w:r w:rsidRPr="00B02247">
        <w:t>the</w:t>
      </w:r>
      <w:r w:rsidR="005B2A41">
        <w:t xml:space="preserve"> </w:t>
      </w:r>
      <w:r w:rsidRPr="00B02247">
        <w:t>said</w:t>
      </w:r>
      <w:r w:rsidR="005B2A41">
        <w:t xml:space="preserve"> </w:t>
      </w:r>
      <w:r w:rsidRPr="00B02247">
        <w:t>provisions</w:t>
      </w:r>
      <w:r w:rsidR="005B2A41">
        <w:t xml:space="preserve"> </w:t>
      </w:r>
      <w:r w:rsidRPr="00B02247">
        <w:t>do</w:t>
      </w:r>
      <w:r w:rsidR="005B2A41">
        <w:t xml:space="preserve"> </w:t>
      </w:r>
      <w:r w:rsidRPr="00B02247">
        <w:t>not</w:t>
      </w:r>
      <w:r w:rsidR="005B2A41">
        <w:t xml:space="preserve"> </w:t>
      </w:r>
      <w:r w:rsidRPr="00B02247">
        <w:t>apply</w:t>
      </w:r>
      <w:r w:rsidR="005B2A41">
        <w:t xml:space="preserve"> </w:t>
      </w:r>
      <w:r w:rsidRPr="00B02247">
        <w:t>in</w:t>
      </w:r>
      <w:r w:rsidR="005B2A41">
        <w:t xml:space="preserve"> </w:t>
      </w:r>
      <w:r w:rsidRPr="00B02247">
        <w:t>cases</w:t>
      </w:r>
      <w:r w:rsidR="005B2A41">
        <w:t xml:space="preserve"> </w:t>
      </w:r>
      <w:r w:rsidRPr="00B02247">
        <w:t>where</w:t>
      </w:r>
      <w:r w:rsidR="005B2A41">
        <w:t xml:space="preserve"> </w:t>
      </w:r>
      <w:r w:rsidRPr="00B02247">
        <w:t>a</w:t>
      </w:r>
      <w:r w:rsidR="005B2A41">
        <w:t xml:space="preserve"> </w:t>
      </w:r>
      <w:r w:rsidRPr="00B02247">
        <w:t>justified</w:t>
      </w:r>
      <w:r w:rsidR="005B2A41">
        <w:t xml:space="preserve"> </w:t>
      </w:r>
      <w:r w:rsidRPr="00B02247">
        <w:t>different</w:t>
      </w:r>
      <w:r w:rsidR="005B2A41">
        <w:t xml:space="preserve"> </w:t>
      </w:r>
      <w:r w:rsidRPr="00B02247">
        <w:t>treatment</w:t>
      </w:r>
      <w:r w:rsidR="005B2A41">
        <w:t xml:space="preserve"> </w:t>
      </w:r>
      <w:r w:rsidRPr="00B02247">
        <w:t>on</w:t>
      </w:r>
      <w:r w:rsidR="005B2A41">
        <w:t xml:space="preserve"> </w:t>
      </w:r>
      <w:r w:rsidRPr="00B02247">
        <w:t>the</w:t>
      </w:r>
      <w:r w:rsidR="005B2A41">
        <w:t xml:space="preserve"> </w:t>
      </w:r>
      <w:r w:rsidRPr="00B02247">
        <w:t>ground</w:t>
      </w:r>
      <w:r w:rsidR="005B2A41">
        <w:t xml:space="preserve"> </w:t>
      </w:r>
      <w:r w:rsidRPr="00B02247">
        <w:t>of</w:t>
      </w:r>
      <w:r w:rsidR="005B2A41">
        <w:t xml:space="preserve"> </w:t>
      </w:r>
      <w:r w:rsidRPr="00B02247">
        <w:t>nationality</w:t>
      </w:r>
      <w:r w:rsidR="005B2A41">
        <w:t xml:space="preserve"> </w:t>
      </w:r>
      <w:r w:rsidRPr="00B02247">
        <w:t>is</w:t>
      </w:r>
      <w:r w:rsidR="005B2A41">
        <w:t xml:space="preserve"> </w:t>
      </w:r>
      <w:r w:rsidRPr="00B02247">
        <w:t>specifically</w:t>
      </w:r>
      <w:r w:rsidR="005B2A41">
        <w:t xml:space="preserve"> </w:t>
      </w:r>
      <w:r w:rsidRPr="00B02247">
        <w:t>provided</w:t>
      </w:r>
      <w:r w:rsidR="005B2A41">
        <w:t xml:space="preserve"> </w:t>
      </w:r>
      <w:r w:rsidRPr="00B02247">
        <w:t>for</w:t>
      </w:r>
      <w:r w:rsidR="005B2A41">
        <w:t xml:space="preserve"> </w:t>
      </w:r>
      <w:r w:rsidRPr="00B02247">
        <w:t>(for</w:t>
      </w:r>
      <w:r w:rsidR="005B2A41">
        <w:t xml:space="preserve"> </w:t>
      </w:r>
      <w:r w:rsidRPr="00B02247">
        <w:t>instance</w:t>
      </w:r>
      <w:r w:rsidR="005B2A41">
        <w:t xml:space="preserve"> </w:t>
      </w:r>
      <w:r w:rsidRPr="00B02247">
        <w:t>employment</w:t>
      </w:r>
      <w:r w:rsidR="005B2A41">
        <w:t xml:space="preserve"> </w:t>
      </w:r>
      <w:r w:rsidRPr="00B02247">
        <w:t>in</w:t>
      </w:r>
      <w:r w:rsidR="005B2A41">
        <w:t xml:space="preserve"> </w:t>
      </w:r>
      <w:r w:rsidRPr="00B02247">
        <w:t>the</w:t>
      </w:r>
      <w:r w:rsidR="005B2A41">
        <w:t xml:space="preserve"> </w:t>
      </w:r>
      <w:r w:rsidRPr="00B02247">
        <w:t>public</w:t>
      </w:r>
      <w:r w:rsidR="005B2A41">
        <w:t xml:space="preserve"> </w:t>
      </w:r>
      <w:r w:rsidRPr="00B02247">
        <w:t>service)</w:t>
      </w:r>
      <w:r w:rsidR="005B2A41">
        <w:t xml:space="preserve"> </w:t>
      </w:r>
      <w:r w:rsidRPr="00B02247">
        <w:t>and</w:t>
      </w:r>
      <w:r w:rsidR="005B2A41">
        <w:t xml:space="preserve"> </w:t>
      </w:r>
      <w:r w:rsidRPr="00B02247">
        <w:t>do</w:t>
      </w:r>
      <w:r w:rsidR="005B2A41">
        <w:t xml:space="preserve"> </w:t>
      </w:r>
      <w:r w:rsidRPr="00B02247">
        <w:t>not</w:t>
      </w:r>
      <w:r w:rsidR="005B2A41">
        <w:t xml:space="preserve"> </w:t>
      </w:r>
      <w:r w:rsidRPr="00B02247">
        <w:t>affect</w:t>
      </w:r>
      <w:r w:rsidR="005B2A41">
        <w:t xml:space="preserve"> </w:t>
      </w:r>
      <w:r w:rsidRPr="00B02247">
        <w:t>provisions</w:t>
      </w:r>
      <w:r w:rsidR="005B2A41">
        <w:t xml:space="preserve"> </w:t>
      </w:r>
      <w:r w:rsidRPr="00B02247">
        <w:t>and</w:t>
      </w:r>
      <w:r w:rsidR="005B2A41">
        <w:t xml:space="preserve"> </w:t>
      </w:r>
      <w:r w:rsidRPr="00B02247">
        <w:t>conditions</w:t>
      </w:r>
      <w:r w:rsidR="005B2A41">
        <w:t xml:space="preserve"> </w:t>
      </w:r>
      <w:r w:rsidRPr="00B02247">
        <w:t>of</w:t>
      </w:r>
      <w:r w:rsidR="005B2A41">
        <w:t xml:space="preserve"> </w:t>
      </w:r>
      <w:r w:rsidRPr="00B02247">
        <w:t>the</w:t>
      </w:r>
      <w:r w:rsidR="005B2A41">
        <w:t xml:space="preserve"> </w:t>
      </w:r>
      <w:r w:rsidRPr="00B02247">
        <w:t>legal</w:t>
      </w:r>
      <w:r w:rsidR="005B2A41">
        <w:t xml:space="preserve"> </w:t>
      </w:r>
      <w:r w:rsidRPr="00B02247">
        <w:t>status</w:t>
      </w:r>
      <w:r w:rsidR="005B2A41">
        <w:t xml:space="preserve"> </w:t>
      </w:r>
      <w:r w:rsidRPr="00B02247">
        <w:t>of</w:t>
      </w:r>
      <w:r w:rsidR="005B2A41">
        <w:t xml:space="preserve"> </w:t>
      </w:r>
      <w:r w:rsidRPr="00B02247">
        <w:t>third-country</w:t>
      </w:r>
      <w:r w:rsidR="005B2A41">
        <w:t xml:space="preserve"> </w:t>
      </w:r>
      <w:r w:rsidRPr="00B02247">
        <w:t>nationals</w:t>
      </w:r>
      <w:r w:rsidR="005B2A41">
        <w:t xml:space="preserve"> </w:t>
      </w:r>
      <w:r w:rsidRPr="00B02247">
        <w:t>or</w:t>
      </w:r>
      <w:r w:rsidR="005B2A41">
        <w:t xml:space="preserve"> </w:t>
      </w:r>
      <w:r w:rsidRPr="00B02247">
        <w:t>stateless</w:t>
      </w:r>
      <w:r w:rsidR="005B2A41">
        <w:t xml:space="preserve"> </w:t>
      </w:r>
      <w:r w:rsidRPr="00B02247">
        <w:t>persons.</w:t>
      </w:r>
      <w:r w:rsidR="005B2A41">
        <w:t xml:space="preserve"> </w:t>
      </w:r>
    </w:p>
    <w:p w:rsidR="00F233AB" w:rsidRPr="00B02247" w:rsidRDefault="00F233AB" w:rsidP="00E1307D">
      <w:pPr>
        <w:pStyle w:val="SingleTxtG"/>
      </w:pPr>
      <w:r w:rsidRPr="00B02247">
        <w:t>165.</w:t>
      </w:r>
      <w:r w:rsidRPr="00B02247">
        <w:tab/>
        <w:t>Furthermore,</w:t>
      </w:r>
      <w:r w:rsidR="005B2A41">
        <w:t xml:space="preserve"> </w:t>
      </w:r>
      <w:r w:rsidRPr="00B02247">
        <w:t>a</w:t>
      </w:r>
      <w:r w:rsidR="005B2A41">
        <w:t xml:space="preserve"> </w:t>
      </w:r>
      <w:r w:rsidRPr="00B02247">
        <w:t>difference</w:t>
      </w:r>
      <w:r w:rsidR="005B2A41">
        <w:t xml:space="preserve"> </w:t>
      </w:r>
      <w:r w:rsidRPr="00B02247">
        <w:t>of</w:t>
      </w:r>
      <w:r w:rsidR="005B2A41">
        <w:t xml:space="preserve"> </w:t>
      </w:r>
      <w:r w:rsidRPr="00B02247">
        <w:t>treatment</w:t>
      </w:r>
      <w:r w:rsidR="005B2A41">
        <w:t xml:space="preserve"> </w:t>
      </w:r>
      <w:r w:rsidRPr="00B02247">
        <w:t>based</w:t>
      </w:r>
      <w:r w:rsidR="005B2A41">
        <w:t xml:space="preserve"> </w:t>
      </w:r>
      <w:r w:rsidRPr="00B02247">
        <w:t>on</w:t>
      </w:r>
      <w:r w:rsidR="005B2A41">
        <w:t xml:space="preserve"> </w:t>
      </w:r>
      <w:r w:rsidRPr="00B02247">
        <w:t>a</w:t>
      </w:r>
      <w:r w:rsidR="005B2A41">
        <w:t xml:space="preserve"> </w:t>
      </w:r>
      <w:r w:rsidRPr="00B02247">
        <w:t>characteristic</w:t>
      </w:r>
      <w:r w:rsidR="005B2A41">
        <w:t xml:space="preserve"> </w:t>
      </w:r>
      <w:r w:rsidRPr="00B02247">
        <w:t>related</w:t>
      </w:r>
      <w:r w:rsidR="005B2A41">
        <w:t xml:space="preserve"> </w:t>
      </w:r>
      <w:r w:rsidRPr="00B02247">
        <w:t>to</w:t>
      </w:r>
      <w:r w:rsidR="005B2A41">
        <w:t xml:space="preserve"> </w:t>
      </w:r>
      <w:r w:rsidRPr="00B02247">
        <w:t>one</w:t>
      </w:r>
      <w:r w:rsidR="005B2A41">
        <w:t xml:space="preserve"> </w:t>
      </w:r>
      <w:r w:rsidRPr="00B02247">
        <w:t>of</w:t>
      </w:r>
      <w:r w:rsidR="005B2A41">
        <w:t xml:space="preserve"> </w:t>
      </w:r>
      <w:r w:rsidRPr="00B02247">
        <w:t>the</w:t>
      </w:r>
      <w:r w:rsidR="005B2A41">
        <w:t xml:space="preserve"> </w:t>
      </w:r>
      <w:r w:rsidRPr="00B02247">
        <w:t>abovementioned</w:t>
      </w:r>
      <w:r w:rsidR="005B2A41">
        <w:t xml:space="preserve"> </w:t>
      </w:r>
      <w:r w:rsidRPr="00B02247">
        <w:t>grounds</w:t>
      </w:r>
      <w:r w:rsidR="005B2A41">
        <w:t xml:space="preserve"> </w:t>
      </w:r>
      <w:r w:rsidRPr="00B02247">
        <w:t>of</w:t>
      </w:r>
      <w:r w:rsidR="005B2A41">
        <w:t xml:space="preserve"> </w:t>
      </w:r>
      <w:r w:rsidRPr="00B02247">
        <w:t>discrimination,</w:t>
      </w:r>
      <w:r w:rsidR="005B2A41">
        <w:t xml:space="preserve"> </w:t>
      </w:r>
      <w:r w:rsidRPr="00B02247">
        <w:t>which,</w:t>
      </w:r>
      <w:r w:rsidR="005B2A41">
        <w:t xml:space="preserve"> </w:t>
      </w:r>
      <w:r w:rsidRPr="00B02247">
        <w:t>by</w:t>
      </w:r>
      <w:r w:rsidR="005B2A41">
        <w:t xml:space="preserve"> </w:t>
      </w:r>
      <w:r w:rsidRPr="00B02247">
        <w:t>reason</w:t>
      </w:r>
      <w:r w:rsidR="005B2A41">
        <w:t xml:space="preserve"> </w:t>
      </w:r>
      <w:r w:rsidRPr="00B02247">
        <w:t>of</w:t>
      </w:r>
      <w:r w:rsidR="005B2A41">
        <w:t xml:space="preserve"> </w:t>
      </w:r>
      <w:r w:rsidRPr="00B02247">
        <w:t>the</w:t>
      </w:r>
      <w:r w:rsidR="005B2A41">
        <w:t xml:space="preserve"> </w:t>
      </w:r>
      <w:r w:rsidRPr="00B02247">
        <w:t>nature</w:t>
      </w:r>
      <w:r w:rsidR="005B2A41">
        <w:t xml:space="preserve"> </w:t>
      </w:r>
      <w:r w:rsidRPr="00B02247">
        <w:t>or</w:t>
      </w:r>
      <w:r w:rsidR="005B2A41">
        <w:t xml:space="preserve"> </w:t>
      </w:r>
      <w:r w:rsidRPr="00B02247">
        <w:t>the</w:t>
      </w:r>
      <w:r w:rsidR="005B2A41">
        <w:t xml:space="preserve"> </w:t>
      </w:r>
      <w:r w:rsidRPr="00B02247">
        <w:t>context</w:t>
      </w:r>
      <w:r w:rsidR="005B2A41">
        <w:t xml:space="preserve"> </w:t>
      </w:r>
      <w:r w:rsidRPr="00B02247">
        <w:t>of</w:t>
      </w:r>
      <w:r w:rsidR="005B2A41">
        <w:t xml:space="preserve"> </w:t>
      </w:r>
      <w:r w:rsidRPr="00B02247">
        <w:t>the</w:t>
      </w:r>
      <w:r w:rsidR="005B2A41">
        <w:t xml:space="preserve"> </w:t>
      </w:r>
      <w:r w:rsidRPr="00B02247">
        <w:t>particular</w:t>
      </w:r>
      <w:r w:rsidR="005B2A41">
        <w:t xml:space="preserve"> </w:t>
      </w:r>
      <w:r w:rsidRPr="00B02247">
        <w:t>occupational</w:t>
      </w:r>
      <w:r w:rsidR="005B2A41">
        <w:t xml:space="preserve"> </w:t>
      </w:r>
      <w:r w:rsidRPr="00B02247">
        <w:t>activities,</w:t>
      </w:r>
      <w:r w:rsidR="005B2A41">
        <w:t xml:space="preserve"> </w:t>
      </w:r>
      <w:r w:rsidRPr="00B02247">
        <w:t>constitutes</w:t>
      </w:r>
      <w:r w:rsidR="005B2A41">
        <w:t xml:space="preserve"> </w:t>
      </w:r>
      <w:r w:rsidRPr="00B02247">
        <w:t>a</w:t>
      </w:r>
      <w:r w:rsidR="005B2A41">
        <w:t xml:space="preserve"> </w:t>
      </w:r>
      <w:r w:rsidRPr="00B02247">
        <w:t>genuine</w:t>
      </w:r>
      <w:r w:rsidR="005B2A41">
        <w:t xml:space="preserve"> </w:t>
      </w:r>
      <w:r w:rsidRPr="00B02247">
        <w:t>and</w:t>
      </w:r>
      <w:r w:rsidR="005B2A41">
        <w:t xml:space="preserve"> </w:t>
      </w:r>
      <w:r w:rsidRPr="00B02247">
        <w:t>determining</w:t>
      </w:r>
      <w:r w:rsidR="005B2A41">
        <w:t xml:space="preserve"> </w:t>
      </w:r>
      <w:r w:rsidRPr="00B02247">
        <w:t>occupational</w:t>
      </w:r>
      <w:r w:rsidR="005B2A41">
        <w:t xml:space="preserve"> </w:t>
      </w:r>
      <w:r w:rsidRPr="00B02247">
        <w:t>requirement,</w:t>
      </w:r>
      <w:r w:rsidR="005B2A41">
        <w:t xml:space="preserve"> </w:t>
      </w:r>
      <w:r w:rsidRPr="00B02247">
        <w:t>is</w:t>
      </w:r>
      <w:r w:rsidR="005B2A41">
        <w:t xml:space="preserve"> </w:t>
      </w:r>
      <w:r w:rsidRPr="00B02247">
        <w:t>not</w:t>
      </w:r>
      <w:r w:rsidR="005B2A41">
        <w:t xml:space="preserve"> </w:t>
      </w:r>
      <w:r w:rsidRPr="00B02247">
        <w:t>deemed</w:t>
      </w:r>
      <w:r w:rsidR="005B2A41">
        <w:t xml:space="preserve"> </w:t>
      </w:r>
      <w:r w:rsidRPr="00B02247">
        <w:t>as</w:t>
      </w:r>
      <w:r w:rsidR="005B2A41">
        <w:t xml:space="preserve"> </w:t>
      </w:r>
      <w:r w:rsidR="003E731F">
        <w:t>“</w:t>
      </w:r>
      <w:r w:rsidRPr="00B02247">
        <w:t>discriminatory</w:t>
      </w:r>
      <w:r w:rsidR="003E731F">
        <w:t>”</w:t>
      </w:r>
      <w:r w:rsidR="005B2A41">
        <w:t xml:space="preserve"> </w:t>
      </w:r>
      <w:r w:rsidRPr="00B02247">
        <w:t>provided</w:t>
      </w:r>
      <w:r w:rsidR="005B2A41">
        <w:t xml:space="preserve"> </w:t>
      </w:r>
      <w:r w:rsidRPr="00B02247">
        <w:t>that</w:t>
      </w:r>
      <w:r w:rsidR="005B2A41">
        <w:t xml:space="preserve"> </w:t>
      </w:r>
      <w:r w:rsidRPr="00B02247">
        <w:t>the</w:t>
      </w:r>
      <w:r w:rsidR="005B2A41">
        <w:t xml:space="preserve"> </w:t>
      </w:r>
      <w:r w:rsidRPr="00B02247">
        <w:t>aim</w:t>
      </w:r>
      <w:r w:rsidR="005B2A41">
        <w:t xml:space="preserve"> </w:t>
      </w:r>
      <w:r w:rsidRPr="00B02247">
        <w:t>pursued</w:t>
      </w:r>
      <w:r w:rsidR="005B2A41">
        <w:t xml:space="preserve"> </w:t>
      </w:r>
      <w:r w:rsidRPr="00B02247">
        <w:t>is</w:t>
      </w:r>
      <w:r w:rsidR="005B2A41">
        <w:t xml:space="preserve"> </w:t>
      </w:r>
      <w:r w:rsidRPr="00B02247">
        <w:t>legitimate</w:t>
      </w:r>
      <w:r w:rsidR="005B2A41">
        <w:t xml:space="preserve"> </w:t>
      </w:r>
      <w:r w:rsidRPr="00B02247">
        <w:t>and</w:t>
      </w:r>
      <w:r w:rsidR="005B2A41">
        <w:t xml:space="preserve"> </w:t>
      </w:r>
      <w:r w:rsidRPr="00B02247">
        <w:t>the</w:t>
      </w:r>
      <w:r w:rsidR="005B2A41">
        <w:t xml:space="preserve"> </w:t>
      </w:r>
      <w:r w:rsidRPr="00B02247">
        <w:t>requirement</w:t>
      </w:r>
      <w:r w:rsidR="005B2A41">
        <w:t xml:space="preserve"> </w:t>
      </w:r>
      <w:r w:rsidRPr="00B02247">
        <w:t>is</w:t>
      </w:r>
      <w:r w:rsidR="005B2A41">
        <w:t xml:space="preserve"> </w:t>
      </w:r>
      <w:r w:rsidRPr="00B02247">
        <w:t>proportionate</w:t>
      </w:r>
      <w:r w:rsidR="005B2A41">
        <w:t xml:space="preserve"> </w:t>
      </w:r>
      <w:r w:rsidRPr="00B02247">
        <w:t>(Article</w:t>
      </w:r>
      <w:r w:rsidR="005B2A41">
        <w:t xml:space="preserve"> </w:t>
      </w:r>
      <w:r w:rsidRPr="00B02247">
        <w:t>4).</w:t>
      </w:r>
    </w:p>
    <w:p w:rsidR="00F233AB" w:rsidRPr="00B02247" w:rsidRDefault="00F233AB" w:rsidP="00E1307D">
      <w:pPr>
        <w:pStyle w:val="SingleTxtG"/>
      </w:pPr>
      <w:r w:rsidRPr="00B02247">
        <w:t>166.</w:t>
      </w:r>
      <w:r w:rsidRPr="00B02247">
        <w:tab/>
        <w:t>In</w:t>
      </w:r>
      <w:r w:rsidR="005B2A41">
        <w:t xml:space="preserve"> </w:t>
      </w:r>
      <w:r w:rsidRPr="00B02247">
        <w:t>order</w:t>
      </w:r>
      <w:r w:rsidR="005B2A41">
        <w:t xml:space="preserve"> </w:t>
      </w:r>
      <w:r w:rsidRPr="00B02247">
        <w:t>to</w:t>
      </w:r>
      <w:r w:rsidR="005B2A41">
        <w:t xml:space="preserve"> </w:t>
      </w:r>
      <w:r w:rsidRPr="00B02247">
        <w:t>dispel</w:t>
      </w:r>
      <w:r w:rsidR="005B2A41">
        <w:t xml:space="preserve"> </w:t>
      </w:r>
      <w:r w:rsidRPr="00B02247">
        <w:t>any</w:t>
      </w:r>
      <w:r w:rsidR="005B2A41">
        <w:t xml:space="preserve"> </w:t>
      </w:r>
      <w:r w:rsidRPr="00B02247">
        <w:t>ambiguity,</w:t>
      </w:r>
      <w:r w:rsidR="005B2A41">
        <w:t xml:space="preserve"> </w:t>
      </w:r>
      <w:r w:rsidRPr="00B02247">
        <w:t>Article</w:t>
      </w:r>
      <w:r w:rsidR="005B2A41">
        <w:t xml:space="preserve"> </w:t>
      </w:r>
      <w:r w:rsidRPr="00B02247">
        <w:t>7</w:t>
      </w:r>
      <w:r w:rsidR="005B2A41">
        <w:t xml:space="preserve"> </w:t>
      </w:r>
      <w:r w:rsidRPr="00B02247">
        <w:t>of</w:t>
      </w:r>
      <w:r w:rsidR="005B2A41">
        <w:t xml:space="preserve"> </w:t>
      </w:r>
      <w:r w:rsidRPr="00B02247">
        <w:t>the</w:t>
      </w:r>
      <w:r w:rsidR="005B2A41">
        <w:t xml:space="preserve"> </w:t>
      </w:r>
      <w:r w:rsidRPr="00B02247">
        <w:t>Law</w:t>
      </w:r>
      <w:r w:rsidR="005B2A41">
        <w:t xml:space="preserve"> </w:t>
      </w:r>
      <w:r w:rsidRPr="00B02247">
        <w:t>clarifies</w:t>
      </w:r>
      <w:r w:rsidR="005B2A41">
        <w:t xml:space="preserve"> </w:t>
      </w:r>
      <w:r w:rsidRPr="00B02247">
        <w:t>that</w:t>
      </w:r>
      <w:r w:rsidR="005B2A41">
        <w:t xml:space="preserve"> </w:t>
      </w:r>
      <w:r w:rsidRPr="00B02247">
        <w:t>the</w:t>
      </w:r>
      <w:r w:rsidR="005B2A41">
        <w:t xml:space="preserve"> </w:t>
      </w:r>
      <w:r w:rsidRPr="00B02247">
        <w:t>adoption</w:t>
      </w:r>
      <w:r w:rsidR="005B2A41">
        <w:t xml:space="preserve"> </w:t>
      </w:r>
      <w:r w:rsidRPr="00B02247">
        <w:t>or</w:t>
      </w:r>
      <w:r w:rsidR="005B2A41">
        <w:t xml:space="preserve"> </w:t>
      </w:r>
      <w:r w:rsidRPr="00B02247">
        <w:t>maintaining</w:t>
      </w:r>
      <w:r w:rsidR="005B2A41">
        <w:t xml:space="preserve"> </w:t>
      </w:r>
      <w:r w:rsidRPr="00B02247">
        <w:t>of</w:t>
      </w:r>
      <w:r w:rsidR="005B2A41">
        <w:t xml:space="preserve"> </w:t>
      </w:r>
      <w:r w:rsidRPr="00B02247">
        <w:t>special</w:t>
      </w:r>
      <w:r w:rsidR="005B2A41">
        <w:t xml:space="preserve"> </w:t>
      </w:r>
      <w:r w:rsidRPr="00B02247">
        <w:t>measures</w:t>
      </w:r>
      <w:r w:rsidR="005B2A41">
        <w:t xml:space="preserve"> </w:t>
      </w:r>
      <w:r w:rsidRPr="00B02247">
        <w:t>with</w:t>
      </w:r>
      <w:r w:rsidR="005B2A41">
        <w:t xml:space="preserve"> </w:t>
      </w:r>
      <w:r w:rsidRPr="00B02247">
        <w:t>the</w:t>
      </w:r>
      <w:r w:rsidR="005B2A41">
        <w:t xml:space="preserve"> </w:t>
      </w:r>
      <w:r w:rsidRPr="00B02247">
        <w:t>aim</w:t>
      </w:r>
      <w:r w:rsidR="005B2A41">
        <w:t xml:space="preserve"> </w:t>
      </w:r>
      <w:r w:rsidRPr="00B02247">
        <w:t>to</w:t>
      </w:r>
      <w:r w:rsidR="005B2A41">
        <w:t xml:space="preserve"> </w:t>
      </w:r>
      <w:r w:rsidRPr="00B02247">
        <w:t>preventing</w:t>
      </w:r>
      <w:r w:rsidR="005B2A41">
        <w:t xml:space="preserve"> </w:t>
      </w:r>
      <w:r w:rsidRPr="00B02247">
        <w:t>or</w:t>
      </w:r>
      <w:r w:rsidR="005B2A41">
        <w:t xml:space="preserve"> </w:t>
      </w:r>
      <w:r w:rsidRPr="00B02247">
        <w:t>compensating</w:t>
      </w:r>
      <w:r w:rsidR="005B2A41">
        <w:t xml:space="preserve"> </w:t>
      </w:r>
      <w:r w:rsidRPr="00B02247">
        <w:t>disadvantages</w:t>
      </w:r>
      <w:r w:rsidR="005B2A41">
        <w:t xml:space="preserve"> </w:t>
      </w:r>
      <w:r w:rsidRPr="00B02247">
        <w:t>on</w:t>
      </w:r>
      <w:r w:rsidR="005B2A41">
        <w:t xml:space="preserve"> </w:t>
      </w:r>
      <w:r w:rsidRPr="00B02247">
        <w:t>the</w:t>
      </w:r>
      <w:r w:rsidR="005B2A41">
        <w:t xml:space="preserve"> </w:t>
      </w:r>
      <w:r w:rsidRPr="00B02247">
        <w:t>above</w:t>
      </w:r>
      <w:r w:rsidR="005B2A41">
        <w:t xml:space="preserve"> </w:t>
      </w:r>
      <w:r w:rsidRPr="00B02247">
        <w:t>grounds</w:t>
      </w:r>
      <w:r w:rsidR="005B2A41">
        <w:t xml:space="preserve"> </w:t>
      </w:r>
      <w:r w:rsidRPr="00B02247">
        <w:t>does</w:t>
      </w:r>
      <w:r w:rsidR="005B2A41">
        <w:t xml:space="preserve"> </w:t>
      </w:r>
      <w:r w:rsidRPr="00B02247">
        <w:t>not</w:t>
      </w:r>
      <w:r w:rsidR="005B2A41">
        <w:t xml:space="preserve"> </w:t>
      </w:r>
      <w:r w:rsidRPr="00B02247">
        <w:t>constitute</w:t>
      </w:r>
      <w:r w:rsidR="005B2A41">
        <w:t xml:space="preserve"> </w:t>
      </w:r>
      <w:r w:rsidR="003E731F">
        <w:t>“</w:t>
      </w:r>
      <w:r w:rsidRPr="00B02247">
        <w:t>discrimination</w:t>
      </w:r>
      <w:r w:rsidR="003E731F">
        <w:t>”</w:t>
      </w:r>
      <w:r w:rsidRPr="00B02247">
        <w:t>,</w:t>
      </w:r>
      <w:r w:rsidR="005B2A41">
        <w:t xml:space="preserve"> </w:t>
      </w:r>
      <w:r w:rsidRPr="00B02247">
        <w:t>thus</w:t>
      </w:r>
      <w:r w:rsidR="005B2A41">
        <w:t xml:space="preserve"> </w:t>
      </w:r>
      <w:r w:rsidRPr="00B02247">
        <w:t>confirming</w:t>
      </w:r>
      <w:r w:rsidR="005B2A41">
        <w:t xml:space="preserve"> </w:t>
      </w:r>
      <w:r w:rsidRPr="00B02247">
        <w:t>the</w:t>
      </w:r>
      <w:r w:rsidR="005B2A41">
        <w:t xml:space="preserve"> </w:t>
      </w:r>
      <w:r w:rsidRPr="00B02247">
        <w:t>conformity</w:t>
      </w:r>
      <w:r w:rsidR="005B2A41">
        <w:t xml:space="preserve"> </w:t>
      </w:r>
      <w:r w:rsidRPr="00B02247">
        <w:t>of</w:t>
      </w:r>
      <w:r w:rsidR="005B2A41">
        <w:t xml:space="preserve"> </w:t>
      </w:r>
      <w:r w:rsidR="003E731F">
        <w:t>“</w:t>
      </w:r>
      <w:r w:rsidRPr="00B02247">
        <w:t>positive</w:t>
      </w:r>
      <w:r w:rsidR="005B2A41">
        <w:t xml:space="preserve"> </w:t>
      </w:r>
      <w:r w:rsidRPr="00B02247">
        <w:t>action</w:t>
      </w:r>
      <w:r w:rsidR="003E731F">
        <w:t>”</w:t>
      </w:r>
      <w:r w:rsidR="005B2A41">
        <w:t xml:space="preserve"> </w:t>
      </w:r>
      <w:r w:rsidRPr="00B02247">
        <w:t>with</w:t>
      </w:r>
      <w:r w:rsidR="005B2A41">
        <w:t xml:space="preserve"> </w:t>
      </w:r>
      <w:r w:rsidRPr="00B02247">
        <w:t>the</w:t>
      </w:r>
      <w:r w:rsidR="005B2A41">
        <w:t xml:space="preserve"> </w:t>
      </w:r>
      <w:r w:rsidRPr="00B02247">
        <w:t>principle</w:t>
      </w:r>
      <w:r w:rsidR="005B2A41">
        <w:t xml:space="preserve"> </w:t>
      </w:r>
      <w:r w:rsidRPr="00B02247">
        <w:t>of</w:t>
      </w:r>
      <w:r w:rsidR="005B2A41">
        <w:t xml:space="preserve"> </w:t>
      </w:r>
      <w:r w:rsidRPr="00B02247">
        <w:t>equal</w:t>
      </w:r>
      <w:r w:rsidR="005B2A41">
        <w:t xml:space="preserve"> </w:t>
      </w:r>
      <w:r w:rsidRPr="00B02247">
        <w:t>treatment.</w:t>
      </w:r>
    </w:p>
    <w:p w:rsidR="00F233AB" w:rsidRPr="00B02247" w:rsidRDefault="00F233AB" w:rsidP="00E1307D">
      <w:pPr>
        <w:pStyle w:val="SingleTxtG"/>
      </w:pPr>
      <w:r w:rsidRPr="00B02247">
        <w:t>167.</w:t>
      </w:r>
      <w:r w:rsidRPr="00B02247">
        <w:tab/>
        <w:t>Moreover,</w:t>
      </w:r>
      <w:r w:rsidR="005B2A41">
        <w:t xml:space="preserve"> </w:t>
      </w:r>
      <w:r w:rsidRPr="00B02247">
        <w:t>the</w:t>
      </w:r>
      <w:r w:rsidR="005B2A41">
        <w:t xml:space="preserve"> </w:t>
      </w:r>
      <w:r w:rsidRPr="00B02247">
        <w:t>Law</w:t>
      </w:r>
      <w:r w:rsidR="005B2A41">
        <w:t xml:space="preserve"> </w:t>
      </w:r>
      <w:r w:rsidRPr="00B02247">
        <w:t>contains</w:t>
      </w:r>
      <w:r w:rsidR="005B2A41">
        <w:t xml:space="preserve"> </w:t>
      </w:r>
      <w:r w:rsidRPr="00B02247">
        <w:t>provisions</w:t>
      </w:r>
      <w:r w:rsidR="005B2A41">
        <w:t xml:space="preserve"> </w:t>
      </w:r>
      <w:r w:rsidRPr="00B02247">
        <w:t>on</w:t>
      </w:r>
      <w:r w:rsidR="005B2A41">
        <w:t xml:space="preserve"> </w:t>
      </w:r>
      <w:r w:rsidRPr="00B02247">
        <w:t>reasonable</w:t>
      </w:r>
      <w:r w:rsidR="005B2A41">
        <w:t xml:space="preserve"> </w:t>
      </w:r>
      <w:r w:rsidRPr="00B02247">
        <w:t>accommodation</w:t>
      </w:r>
      <w:r w:rsidR="005B2A41">
        <w:t xml:space="preserve"> </w:t>
      </w:r>
      <w:r w:rsidRPr="00B02247">
        <w:t>of</w:t>
      </w:r>
      <w:r w:rsidR="005B2A41">
        <w:t xml:space="preserve"> </w:t>
      </w:r>
      <w:r w:rsidRPr="00B02247">
        <w:t>persons</w:t>
      </w:r>
      <w:r w:rsidR="005B2A41">
        <w:t xml:space="preserve"> </w:t>
      </w:r>
      <w:r w:rsidRPr="00B02247">
        <w:t>with</w:t>
      </w:r>
      <w:r w:rsidR="005B2A41">
        <w:t xml:space="preserve"> </w:t>
      </w:r>
      <w:r w:rsidRPr="00B02247">
        <w:t>disabilities</w:t>
      </w:r>
      <w:r w:rsidR="005B2A41">
        <w:t xml:space="preserve"> </w:t>
      </w:r>
      <w:r w:rsidRPr="00B02247">
        <w:t>or</w:t>
      </w:r>
      <w:r w:rsidR="005B2A41">
        <w:t xml:space="preserve"> </w:t>
      </w:r>
      <w:r w:rsidRPr="00B02247">
        <w:t>chronic</w:t>
      </w:r>
      <w:r w:rsidR="005B2A41">
        <w:t xml:space="preserve"> </w:t>
      </w:r>
      <w:r w:rsidRPr="00B02247">
        <w:t>disease,</w:t>
      </w:r>
      <w:r w:rsidR="005B2A41">
        <w:t xml:space="preserve"> </w:t>
      </w:r>
      <w:r w:rsidRPr="00B02247">
        <w:t>as</w:t>
      </w:r>
      <w:r w:rsidR="005B2A41">
        <w:t xml:space="preserve"> </w:t>
      </w:r>
      <w:r w:rsidRPr="00B02247">
        <w:t>well</w:t>
      </w:r>
      <w:r w:rsidR="005B2A41">
        <w:t xml:space="preserve"> </w:t>
      </w:r>
      <w:r w:rsidRPr="00B02247">
        <w:t>as</w:t>
      </w:r>
      <w:r w:rsidR="005B2A41">
        <w:t xml:space="preserve"> </w:t>
      </w:r>
      <w:r w:rsidRPr="00B02247">
        <w:t>on</w:t>
      </w:r>
      <w:r w:rsidR="005B2A41">
        <w:t xml:space="preserve"> </w:t>
      </w:r>
      <w:r w:rsidRPr="00B02247">
        <w:t>the</w:t>
      </w:r>
      <w:r w:rsidR="005B2A41">
        <w:t xml:space="preserve"> </w:t>
      </w:r>
      <w:r w:rsidRPr="00B02247">
        <w:t>justification</w:t>
      </w:r>
      <w:r w:rsidR="005B2A41">
        <w:t xml:space="preserve"> </w:t>
      </w:r>
      <w:r w:rsidRPr="00B02247">
        <w:t>of</w:t>
      </w:r>
      <w:r w:rsidR="005B2A41">
        <w:t xml:space="preserve"> </w:t>
      </w:r>
      <w:r w:rsidRPr="00B02247">
        <w:t>differences</w:t>
      </w:r>
      <w:r w:rsidR="005B2A41">
        <w:t xml:space="preserve"> </w:t>
      </w:r>
      <w:r w:rsidRPr="00B02247">
        <w:t>of</w:t>
      </w:r>
      <w:r w:rsidR="005B2A41">
        <w:t xml:space="preserve"> </w:t>
      </w:r>
      <w:r w:rsidRPr="00B02247">
        <w:t>treatment</w:t>
      </w:r>
      <w:r w:rsidR="005B2A41">
        <w:t xml:space="preserve"> </w:t>
      </w:r>
      <w:r w:rsidRPr="00B02247">
        <w:t>on</w:t>
      </w:r>
      <w:r w:rsidR="005B2A41">
        <w:t xml:space="preserve"> </w:t>
      </w:r>
      <w:r w:rsidRPr="00B02247">
        <w:t>the</w:t>
      </w:r>
      <w:r w:rsidR="005B2A41">
        <w:t xml:space="preserve"> </w:t>
      </w:r>
      <w:r w:rsidRPr="00B02247">
        <w:t>ground</w:t>
      </w:r>
      <w:r w:rsidR="005B2A41">
        <w:t xml:space="preserve"> </w:t>
      </w:r>
      <w:r w:rsidRPr="00B02247">
        <w:t>of</w:t>
      </w:r>
      <w:r w:rsidR="005B2A41">
        <w:t xml:space="preserve"> </w:t>
      </w:r>
      <w:r w:rsidRPr="00B02247">
        <w:t>age.</w:t>
      </w:r>
      <w:r w:rsidR="005B2A41">
        <w:t xml:space="preserve"> </w:t>
      </w:r>
    </w:p>
    <w:p w:rsidR="00F233AB" w:rsidRPr="00B02247" w:rsidRDefault="00F233AB" w:rsidP="00E1307D">
      <w:pPr>
        <w:pStyle w:val="SingleTxtG"/>
      </w:pPr>
      <w:r w:rsidRPr="00B02247">
        <w:t>168.</w:t>
      </w:r>
      <w:r w:rsidRPr="00B02247">
        <w:tab/>
        <w:t>A</w:t>
      </w:r>
      <w:r w:rsidR="005B2A41">
        <w:t xml:space="preserve"> </w:t>
      </w:r>
      <w:r w:rsidRPr="00B02247">
        <w:t>specific</w:t>
      </w:r>
      <w:r w:rsidR="005B2A41">
        <w:t xml:space="preserve"> </w:t>
      </w:r>
      <w:r w:rsidRPr="00B02247">
        <w:t>Chapter</w:t>
      </w:r>
      <w:r w:rsidR="005B2A41">
        <w:t xml:space="preserve"> </w:t>
      </w:r>
      <w:r w:rsidRPr="00B02247">
        <w:t>(III)</w:t>
      </w:r>
      <w:r w:rsidR="005B2A41">
        <w:t xml:space="preserve"> </w:t>
      </w:r>
      <w:r w:rsidRPr="00B02247">
        <w:t>of</w:t>
      </w:r>
      <w:r w:rsidR="005B2A41">
        <w:t xml:space="preserve"> </w:t>
      </w:r>
      <w:r w:rsidRPr="00B02247">
        <w:t>Law</w:t>
      </w:r>
      <w:r w:rsidR="005B2A41">
        <w:t xml:space="preserve"> </w:t>
      </w:r>
      <w:r w:rsidRPr="00B02247">
        <w:t>4443/2016</w:t>
      </w:r>
      <w:r w:rsidR="005B2A41">
        <w:t xml:space="preserve"> </w:t>
      </w:r>
      <w:r w:rsidRPr="00B02247">
        <w:t>is</w:t>
      </w:r>
      <w:r w:rsidR="005B2A41">
        <w:t xml:space="preserve"> </w:t>
      </w:r>
      <w:r w:rsidRPr="00B02247">
        <w:t>devoted</w:t>
      </w:r>
      <w:r w:rsidR="005B2A41">
        <w:t xml:space="preserve"> </w:t>
      </w:r>
      <w:r w:rsidRPr="00B02247">
        <w:t>to</w:t>
      </w:r>
      <w:r w:rsidR="005B2A41">
        <w:t xml:space="preserve"> </w:t>
      </w:r>
      <w:r w:rsidRPr="00B02247">
        <w:t>the</w:t>
      </w:r>
      <w:r w:rsidR="005B2A41">
        <w:t xml:space="preserve"> </w:t>
      </w:r>
      <w:r w:rsidRPr="00B02247">
        <w:t>protection</w:t>
      </w:r>
      <w:r w:rsidR="005B2A41">
        <w:t xml:space="preserve"> </w:t>
      </w:r>
      <w:r w:rsidRPr="00B02247">
        <w:t>of</w:t>
      </w:r>
      <w:r w:rsidR="005B2A41">
        <w:t xml:space="preserve"> </w:t>
      </w:r>
      <w:r w:rsidRPr="00B02247">
        <w:t>victims</w:t>
      </w:r>
      <w:r w:rsidR="005B2A41">
        <w:t xml:space="preserve"> </w:t>
      </w:r>
      <w:r w:rsidRPr="00B02247">
        <w:t>of</w:t>
      </w:r>
      <w:r w:rsidR="005B2A41">
        <w:t xml:space="preserve"> </w:t>
      </w:r>
      <w:r w:rsidRPr="00B02247">
        <w:t>discrimination.</w:t>
      </w:r>
      <w:r w:rsidR="005B2A41">
        <w:t xml:space="preserve"> </w:t>
      </w:r>
      <w:r w:rsidRPr="00B02247">
        <w:t>Besides</w:t>
      </w:r>
      <w:r w:rsidR="005B2A41">
        <w:t xml:space="preserve"> </w:t>
      </w:r>
      <w:r w:rsidRPr="00B02247">
        <w:t>judicial</w:t>
      </w:r>
      <w:r w:rsidR="005B2A41">
        <w:t xml:space="preserve"> </w:t>
      </w:r>
      <w:r w:rsidRPr="00B02247">
        <w:t>protection,</w:t>
      </w:r>
      <w:r w:rsidR="005B2A41">
        <w:t xml:space="preserve"> </w:t>
      </w:r>
      <w:r w:rsidRPr="00B02247">
        <w:t>the</w:t>
      </w:r>
      <w:r w:rsidR="005B2A41">
        <w:t xml:space="preserve"> </w:t>
      </w:r>
      <w:r w:rsidRPr="00B02247">
        <w:t>aggrieved</w:t>
      </w:r>
      <w:r w:rsidR="005B2A41">
        <w:t xml:space="preserve"> </w:t>
      </w:r>
      <w:r w:rsidRPr="00B02247">
        <w:t>party,</w:t>
      </w:r>
      <w:r w:rsidR="005B2A41">
        <w:t xml:space="preserve"> </w:t>
      </w:r>
      <w:r w:rsidRPr="00B02247">
        <w:t>according</w:t>
      </w:r>
      <w:r w:rsidR="005B2A41">
        <w:t xml:space="preserve"> </w:t>
      </w:r>
      <w:r w:rsidRPr="00B02247">
        <w:t>to</w:t>
      </w:r>
      <w:r w:rsidR="005B2A41">
        <w:t xml:space="preserve"> </w:t>
      </w:r>
      <w:r w:rsidRPr="00B02247">
        <w:t>Article</w:t>
      </w:r>
      <w:r w:rsidR="005B2A41">
        <w:t xml:space="preserve"> </w:t>
      </w:r>
      <w:r w:rsidRPr="00B02247">
        <w:t>8</w:t>
      </w:r>
      <w:r w:rsidR="005B2A41">
        <w:t xml:space="preserve"> </w:t>
      </w:r>
      <w:r w:rsidRPr="00B02247">
        <w:t>(1),</w:t>
      </w:r>
      <w:r w:rsidR="005B2A41">
        <w:t xml:space="preserve"> </w:t>
      </w:r>
      <w:r w:rsidRPr="00B02247">
        <w:t>may</w:t>
      </w:r>
      <w:r w:rsidR="005B2A41">
        <w:t xml:space="preserve"> </w:t>
      </w:r>
      <w:r w:rsidRPr="00B02247">
        <w:t>resort</w:t>
      </w:r>
      <w:r w:rsidR="005B2A41">
        <w:t xml:space="preserve"> </w:t>
      </w:r>
      <w:r w:rsidRPr="00B02247">
        <w:t>to</w:t>
      </w:r>
      <w:r w:rsidR="005B2A41">
        <w:t xml:space="preserve"> </w:t>
      </w:r>
      <w:r w:rsidRPr="00B02247">
        <w:t>administrative</w:t>
      </w:r>
      <w:r w:rsidR="005B2A41">
        <w:t xml:space="preserve"> </w:t>
      </w:r>
      <w:r w:rsidRPr="00B02247">
        <w:t>recourses</w:t>
      </w:r>
      <w:r w:rsidR="005B2A41">
        <w:t xml:space="preserve"> </w:t>
      </w:r>
      <w:r w:rsidRPr="00B02247">
        <w:t>(petitions</w:t>
      </w:r>
      <w:r w:rsidR="005B2A41">
        <w:t xml:space="preserve"> </w:t>
      </w:r>
      <w:r w:rsidRPr="00B02247">
        <w:t>and</w:t>
      </w:r>
      <w:r w:rsidR="005B2A41">
        <w:t xml:space="preserve"> </w:t>
      </w:r>
      <w:r w:rsidRPr="00B02247">
        <w:t>complaints),</w:t>
      </w:r>
      <w:r w:rsidR="005B2A41">
        <w:t xml:space="preserve"> </w:t>
      </w:r>
      <w:r w:rsidRPr="00B02247">
        <w:t>which</w:t>
      </w:r>
      <w:r w:rsidR="005B2A41">
        <w:t xml:space="preserve"> </w:t>
      </w:r>
      <w:r w:rsidRPr="00B02247">
        <w:t>may</w:t>
      </w:r>
      <w:r w:rsidR="005B2A41">
        <w:t xml:space="preserve"> </w:t>
      </w:r>
      <w:r w:rsidRPr="00B02247">
        <w:t>lead</w:t>
      </w:r>
      <w:r w:rsidR="005B2A41">
        <w:t xml:space="preserve"> </w:t>
      </w:r>
      <w:r w:rsidRPr="00B02247">
        <w:t>to</w:t>
      </w:r>
      <w:r w:rsidR="005B2A41">
        <w:t xml:space="preserve"> </w:t>
      </w:r>
      <w:r w:rsidRPr="00B02247">
        <w:t>the</w:t>
      </w:r>
      <w:r w:rsidR="005B2A41">
        <w:t xml:space="preserve"> </w:t>
      </w:r>
      <w:r w:rsidRPr="00B02247">
        <w:t>withdrawal,</w:t>
      </w:r>
      <w:r w:rsidR="005B2A41">
        <w:t xml:space="preserve"> </w:t>
      </w:r>
      <w:r w:rsidRPr="00B02247">
        <w:t>amendment</w:t>
      </w:r>
      <w:r w:rsidR="005B2A41">
        <w:t xml:space="preserve"> </w:t>
      </w:r>
      <w:r w:rsidRPr="00B02247">
        <w:t>or</w:t>
      </w:r>
      <w:r w:rsidR="005B2A41">
        <w:t xml:space="preserve"> </w:t>
      </w:r>
      <w:r w:rsidRPr="00B02247">
        <w:t>annulment</w:t>
      </w:r>
      <w:r w:rsidR="005B2A41">
        <w:t xml:space="preserve"> </w:t>
      </w:r>
      <w:r w:rsidRPr="00B02247">
        <w:t>of</w:t>
      </w:r>
      <w:r w:rsidR="005B2A41">
        <w:t xml:space="preserve"> </w:t>
      </w:r>
      <w:r w:rsidRPr="00B02247">
        <w:t>the</w:t>
      </w:r>
      <w:r w:rsidR="005B2A41">
        <w:t xml:space="preserve"> </w:t>
      </w:r>
      <w:r w:rsidRPr="00B02247">
        <w:t>relevant</w:t>
      </w:r>
      <w:r w:rsidR="005B2A41">
        <w:t xml:space="preserve"> </w:t>
      </w:r>
      <w:r w:rsidRPr="00B02247">
        <w:t>administrative</w:t>
      </w:r>
      <w:r w:rsidR="005B2A41">
        <w:t xml:space="preserve"> </w:t>
      </w:r>
      <w:r w:rsidRPr="00B02247">
        <w:t>act.</w:t>
      </w:r>
    </w:p>
    <w:p w:rsidR="00F233AB" w:rsidRPr="00B02247" w:rsidRDefault="00F233AB" w:rsidP="00E1307D">
      <w:pPr>
        <w:pStyle w:val="SingleTxtG"/>
      </w:pPr>
      <w:r w:rsidRPr="00B02247">
        <w:t>169.</w:t>
      </w:r>
      <w:r w:rsidRPr="00B02247">
        <w:tab/>
        <w:t>In</w:t>
      </w:r>
      <w:r w:rsidR="005B2A41">
        <w:t xml:space="preserve"> </w:t>
      </w:r>
      <w:r w:rsidRPr="00B02247">
        <w:t>order</w:t>
      </w:r>
      <w:r w:rsidR="005B2A41">
        <w:t xml:space="preserve"> </w:t>
      </w:r>
      <w:r w:rsidRPr="00B02247">
        <w:t>to</w:t>
      </w:r>
      <w:r w:rsidR="005B2A41">
        <w:t xml:space="preserve"> </w:t>
      </w:r>
      <w:r w:rsidRPr="00B02247">
        <w:t>strengthen</w:t>
      </w:r>
      <w:r w:rsidR="005B2A41">
        <w:t xml:space="preserve"> </w:t>
      </w:r>
      <w:r w:rsidRPr="00B02247">
        <w:t>the</w:t>
      </w:r>
      <w:r w:rsidR="005B2A41">
        <w:t xml:space="preserve"> </w:t>
      </w:r>
      <w:r w:rsidRPr="00B02247">
        <w:t>defense</w:t>
      </w:r>
      <w:r w:rsidR="005B2A41">
        <w:t xml:space="preserve"> </w:t>
      </w:r>
      <w:r w:rsidRPr="00B02247">
        <w:t>of</w:t>
      </w:r>
      <w:r w:rsidR="005B2A41">
        <w:t xml:space="preserve"> </w:t>
      </w:r>
      <w:r w:rsidRPr="00B02247">
        <w:t>victims</w:t>
      </w:r>
      <w:r w:rsidR="005B2A41">
        <w:t xml:space="preserve"> </w:t>
      </w:r>
      <w:r w:rsidRPr="00B02247">
        <w:t>of</w:t>
      </w:r>
      <w:r w:rsidR="005B2A41">
        <w:t xml:space="preserve"> </w:t>
      </w:r>
      <w:r w:rsidRPr="00B02247">
        <w:t>discrimination,</w:t>
      </w:r>
      <w:r w:rsidR="005B2A41">
        <w:t xml:space="preserve"> </w:t>
      </w:r>
      <w:r w:rsidRPr="00B02247">
        <w:t>it</w:t>
      </w:r>
      <w:r w:rsidR="005B2A41">
        <w:t xml:space="preserve"> </w:t>
      </w:r>
      <w:r w:rsidRPr="00B02247">
        <w:t>is</w:t>
      </w:r>
      <w:r w:rsidR="005B2A41">
        <w:t xml:space="preserve"> </w:t>
      </w:r>
      <w:r w:rsidRPr="00B02247">
        <w:t>foreseen</w:t>
      </w:r>
      <w:r w:rsidR="005B2A41">
        <w:t xml:space="preserve"> </w:t>
      </w:r>
      <w:r w:rsidRPr="00B02247">
        <w:t>that</w:t>
      </w:r>
      <w:r w:rsidR="005B2A41">
        <w:t xml:space="preserve"> </w:t>
      </w:r>
      <w:r w:rsidRPr="00B02247">
        <w:t>legal</w:t>
      </w:r>
      <w:r w:rsidR="005B2A41">
        <w:t xml:space="preserve"> </w:t>
      </w:r>
      <w:r w:rsidRPr="00B02247">
        <w:t>persons,</w:t>
      </w:r>
      <w:r w:rsidR="005B2A41">
        <w:t xml:space="preserve"> </w:t>
      </w:r>
      <w:r w:rsidRPr="00B02247">
        <w:t>whose</w:t>
      </w:r>
      <w:r w:rsidR="005B2A41">
        <w:t xml:space="preserve"> </w:t>
      </w:r>
      <w:r w:rsidRPr="00B02247">
        <w:t>aim</w:t>
      </w:r>
      <w:r w:rsidR="005B2A41">
        <w:t xml:space="preserve"> </w:t>
      </w:r>
      <w:r w:rsidRPr="00B02247">
        <w:t>is</w:t>
      </w:r>
      <w:r w:rsidR="005B2A41">
        <w:t xml:space="preserve"> </w:t>
      </w:r>
      <w:r w:rsidRPr="00B02247">
        <w:t>to</w:t>
      </w:r>
      <w:r w:rsidR="005B2A41">
        <w:t xml:space="preserve"> </w:t>
      </w:r>
      <w:r w:rsidRPr="00B02247">
        <w:t>ensure</w:t>
      </w:r>
      <w:r w:rsidR="005B2A41">
        <w:t xml:space="preserve"> </w:t>
      </w:r>
      <w:r w:rsidRPr="00B02247">
        <w:t>respect</w:t>
      </w:r>
      <w:r w:rsidR="005B2A41">
        <w:t xml:space="preserve"> </w:t>
      </w:r>
      <w:r w:rsidRPr="00B02247">
        <w:t>of</w:t>
      </w:r>
      <w:r w:rsidR="005B2A41">
        <w:t xml:space="preserve"> </w:t>
      </w:r>
      <w:r w:rsidRPr="00B02247">
        <w:t>the</w:t>
      </w:r>
      <w:r w:rsidR="005B2A41">
        <w:t xml:space="preserve"> </w:t>
      </w:r>
      <w:r w:rsidRPr="00B02247">
        <w:t>principle</w:t>
      </w:r>
      <w:r w:rsidR="005B2A41">
        <w:t xml:space="preserve"> </w:t>
      </w:r>
      <w:r w:rsidRPr="00B02247">
        <w:t>of</w:t>
      </w:r>
      <w:r w:rsidR="005B2A41">
        <w:t xml:space="preserve"> </w:t>
      </w:r>
      <w:r w:rsidRPr="00B02247">
        <w:t>equal</w:t>
      </w:r>
      <w:r w:rsidR="005B2A41">
        <w:t xml:space="preserve"> </w:t>
      </w:r>
      <w:r w:rsidRPr="00B02247">
        <w:t>treatment</w:t>
      </w:r>
      <w:r w:rsidR="005B2A41">
        <w:t xml:space="preserve"> </w:t>
      </w:r>
      <w:r w:rsidRPr="00B02247">
        <w:t>regardless</w:t>
      </w:r>
      <w:r w:rsidR="005B2A41">
        <w:t xml:space="preserve"> </w:t>
      </w:r>
      <w:r w:rsidRPr="00B02247">
        <w:t>of</w:t>
      </w:r>
      <w:r w:rsidR="005B2A41">
        <w:t xml:space="preserve"> </w:t>
      </w:r>
      <w:r w:rsidRPr="00B02247">
        <w:t>the</w:t>
      </w:r>
      <w:r w:rsidR="005B2A41">
        <w:t xml:space="preserve"> </w:t>
      </w:r>
      <w:r w:rsidRPr="00B02247">
        <w:t>grounds</w:t>
      </w:r>
      <w:r w:rsidR="005B2A41">
        <w:t xml:space="preserve"> </w:t>
      </w:r>
      <w:r w:rsidRPr="00B02247">
        <w:t>set</w:t>
      </w:r>
      <w:r w:rsidR="005B2A41">
        <w:t xml:space="preserve"> </w:t>
      </w:r>
      <w:r w:rsidRPr="00B02247">
        <w:t>out</w:t>
      </w:r>
      <w:r w:rsidR="005B2A41">
        <w:t xml:space="preserve"> </w:t>
      </w:r>
      <w:r w:rsidRPr="00B02247">
        <w:t>in</w:t>
      </w:r>
      <w:r w:rsidR="005B2A41">
        <w:t xml:space="preserve"> </w:t>
      </w:r>
      <w:r w:rsidRPr="00B02247">
        <w:t>the</w:t>
      </w:r>
      <w:r w:rsidR="005B2A41">
        <w:t xml:space="preserve"> </w:t>
      </w:r>
      <w:r w:rsidRPr="00B02247">
        <w:t>Law,</w:t>
      </w:r>
      <w:r w:rsidR="005B2A41">
        <w:t xml:space="preserve"> </w:t>
      </w:r>
      <w:r w:rsidRPr="00B02247">
        <w:t>may</w:t>
      </w:r>
      <w:r w:rsidR="005B2A41">
        <w:t xml:space="preserve"> </w:t>
      </w:r>
      <w:r w:rsidRPr="00B02247">
        <w:t>represent</w:t>
      </w:r>
      <w:r w:rsidR="005B2A41">
        <w:t xml:space="preserve"> </w:t>
      </w:r>
      <w:r w:rsidRPr="00B02247">
        <w:t>the</w:t>
      </w:r>
      <w:r w:rsidR="005B2A41">
        <w:t xml:space="preserve"> </w:t>
      </w:r>
      <w:r w:rsidRPr="00B02247">
        <w:t>aggrieved</w:t>
      </w:r>
      <w:r w:rsidR="005B2A41">
        <w:t xml:space="preserve"> </w:t>
      </w:r>
      <w:r w:rsidRPr="00B02247">
        <w:t>party</w:t>
      </w:r>
      <w:r w:rsidR="005B2A41">
        <w:t xml:space="preserve"> </w:t>
      </w:r>
      <w:r w:rsidRPr="00B02247">
        <w:t>before</w:t>
      </w:r>
      <w:r w:rsidR="005B2A41">
        <w:t xml:space="preserve"> </w:t>
      </w:r>
      <w:r w:rsidRPr="00B02247">
        <w:t>the</w:t>
      </w:r>
      <w:r w:rsidR="005B2A41">
        <w:t xml:space="preserve"> </w:t>
      </w:r>
      <w:r w:rsidRPr="00B02247">
        <w:t>competent</w:t>
      </w:r>
      <w:r w:rsidR="005B2A41">
        <w:t xml:space="preserve"> </w:t>
      </w:r>
      <w:r w:rsidRPr="00B02247">
        <w:t>court</w:t>
      </w:r>
      <w:r w:rsidR="005B2A41">
        <w:t xml:space="preserve"> </w:t>
      </w:r>
      <w:r w:rsidRPr="00B02247">
        <w:t>or</w:t>
      </w:r>
      <w:r w:rsidR="005B2A41">
        <w:t xml:space="preserve"> </w:t>
      </w:r>
      <w:r w:rsidRPr="00B02247">
        <w:t>any</w:t>
      </w:r>
      <w:r w:rsidR="005B2A41">
        <w:t xml:space="preserve"> </w:t>
      </w:r>
      <w:r w:rsidRPr="00B02247">
        <w:t>administrative</w:t>
      </w:r>
      <w:r w:rsidR="005B2A41">
        <w:t xml:space="preserve"> </w:t>
      </w:r>
      <w:r w:rsidRPr="00B02247">
        <w:t>authority</w:t>
      </w:r>
      <w:r w:rsidR="005B2A41">
        <w:t xml:space="preserve"> </w:t>
      </w:r>
      <w:r w:rsidRPr="00B02247">
        <w:t>or</w:t>
      </w:r>
      <w:r w:rsidR="005B2A41">
        <w:t xml:space="preserve"> </w:t>
      </w:r>
      <w:r w:rsidRPr="00B02247">
        <w:t>organ,</w:t>
      </w:r>
      <w:r w:rsidR="005B2A41">
        <w:t xml:space="preserve"> </w:t>
      </w:r>
      <w:r w:rsidRPr="00B02247">
        <w:t>provided</w:t>
      </w:r>
      <w:r w:rsidR="005B2A41">
        <w:t xml:space="preserve"> </w:t>
      </w:r>
      <w:r w:rsidRPr="00B02247">
        <w:t>that</w:t>
      </w:r>
      <w:r w:rsidR="005B2A41">
        <w:t xml:space="preserve"> </w:t>
      </w:r>
      <w:r w:rsidRPr="00B02247">
        <w:t>the</w:t>
      </w:r>
      <w:r w:rsidR="005B2A41">
        <w:t xml:space="preserve"> </w:t>
      </w:r>
      <w:r w:rsidRPr="00B02247">
        <w:t>interested</w:t>
      </w:r>
      <w:r w:rsidR="005B2A41">
        <w:t xml:space="preserve"> </w:t>
      </w:r>
      <w:r w:rsidRPr="00B02247">
        <w:t>person</w:t>
      </w:r>
      <w:r w:rsidR="005B2A41">
        <w:t xml:space="preserve"> </w:t>
      </w:r>
      <w:r w:rsidRPr="00B02247">
        <w:t>has</w:t>
      </w:r>
      <w:r w:rsidR="005B2A41">
        <w:t xml:space="preserve"> </w:t>
      </w:r>
      <w:r w:rsidRPr="00B02247">
        <w:t>previously</w:t>
      </w:r>
      <w:r w:rsidR="005B2A41">
        <w:t xml:space="preserve"> </w:t>
      </w:r>
      <w:r w:rsidRPr="00B02247">
        <w:t>given</w:t>
      </w:r>
      <w:r w:rsidR="005B2A41">
        <w:t xml:space="preserve"> </w:t>
      </w:r>
      <w:r w:rsidRPr="00B02247">
        <w:t>his</w:t>
      </w:r>
      <w:r w:rsidR="005B2A41">
        <w:t xml:space="preserve"> </w:t>
      </w:r>
      <w:r w:rsidRPr="00B02247">
        <w:t>or</w:t>
      </w:r>
      <w:r w:rsidR="005B2A41">
        <w:t xml:space="preserve"> </w:t>
      </w:r>
      <w:r w:rsidRPr="00B02247">
        <w:t>her</w:t>
      </w:r>
      <w:r w:rsidR="005B2A41">
        <w:t xml:space="preserve"> </w:t>
      </w:r>
      <w:r w:rsidRPr="00B02247">
        <w:t>written</w:t>
      </w:r>
      <w:r w:rsidR="005B2A41">
        <w:t xml:space="preserve"> </w:t>
      </w:r>
      <w:r w:rsidRPr="00B02247">
        <w:t>consent</w:t>
      </w:r>
      <w:r w:rsidR="005B2A41">
        <w:t xml:space="preserve"> </w:t>
      </w:r>
      <w:r w:rsidRPr="00B02247">
        <w:t>(Article</w:t>
      </w:r>
      <w:r w:rsidR="005B2A41">
        <w:t xml:space="preserve"> </w:t>
      </w:r>
      <w:r w:rsidRPr="00B02247">
        <w:t>8</w:t>
      </w:r>
      <w:r w:rsidR="005B2A41">
        <w:t xml:space="preserve"> </w:t>
      </w:r>
      <w:r w:rsidRPr="00B02247">
        <w:t>(3)).</w:t>
      </w:r>
      <w:r w:rsidR="005B2A41">
        <w:t xml:space="preserve"> </w:t>
      </w:r>
      <w:r w:rsidRPr="00B02247">
        <w:t>Such</w:t>
      </w:r>
      <w:r w:rsidR="005B2A41">
        <w:t xml:space="preserve"> </w:t>
      </w:r>
      <w:r w:rsidRPr="00B02247">
        <w:t>legal</w:t>
      </w:r>
      <w:r w:rsidR="005B2A41">
        <w:t xml:space="preserve"> </w:t>
      </w:r>
      <w:r w:rsidRPr="00B02247">
        <w:t>persons</w:t>
      </w:r>
      <w:r w:rsidR="005B2A41">
        <w:t xml:space="preserve"> </w:t>
      </w:r>
      <w:r w:rsidRPr="00B02247">
        <w:t>may</w:t>
      </w:r>
      <w:r w:rsidR="005B2A41">
        <w:t xml:space="preserve"> </w:t>
      </w:r>
      <w:r w:rsidRPr="00B02247">
        <w:t>also</w:t>
      </w:r>
      <w:r w:rsidR="005B2A41">
        <w:t xml:space="preserve"> </w:t>
      </w:r>
      <w:r w:rsidRPr="00B02247">
        <w:t>lodge</w:t>
      </w:r>
      <w:r w:rsidR="005B2A41">
        <w:t xml:space="preserve"> </w:t>
      </w:r>
      <w:r w:rsidRPr="00B02247">
        <w:t>a</w:t>
      </w:r>
      <w:r w:rsidR="005B2A41">
        <w:t xml:space="preserve"> </w:t>
      </w:r>
      <w:r w:rsidRPr="00B02247">
        <w:t>third</w:t>
      </w:r>
      <w:r w:rsidR="005B2A41">
        <w:t xml:space="preserve"> </w:t>
      </w:r>
      <w:r w:rsidRPr="00B02247">
        <w:t>party</w:t>
      </w:r>
      <w:r w:rsidR="005B2A41">
        <w:t xml:space="preserve"> </w:t>
      </w:r>
      <w:r w:rsidRPr="00B02247">
        <w:t>intervention</w:t>
      </w:r>
      <w:r w:rsidR="005B2A41">
        <w:t xml:space="preserve"> </w:t>
      </w:r>
      <w:r w:rsidRPr="00B02247">
        <w:t>(in</w:t>
      </w:r>
      <w:r w:rsidR="005B2A41">
        <w:t xml:space="preserve"> </w:t>
      </w:r>
      <w:r w:rsidRPr="00B02247">
        <w:t>favor</w:t>
      </w:r>
      <w:r w:rsidR="005B2A41">
        <w:t xml:space="preserve"> </w:t>
      </w:r>
      <w:r w:rsidRPr="00B02247">
        <w:t>of</w:t>
      </w:r>
      <w:r w:rsidR="005B2A41">
        <w:t xml:space="preserve"> </w:t>
      </w:r>
      <w:r w:rsidRPr="00B02247">
        <w:t>the</w:t>
      </w:r>
      <w:r w:rsidR="005B2A41">
        <w:t xml:space="preserve"> </w:t>
      </w:r>
      <w:r w:rsidRPr="00B02247">
        <w:t>alleged</w:t>
      </w:r>
      <w:r w:rsidR="005B2A41">
        <w:t xml:space="preserve"> </w:t>
      </w:r>
      <w:r w:rsidRPr="00B02247">
        <w:t>victim)</w:t>
      </w:r>
      <w:r w:rsidR="005B2A41">
        <w:t xml:space="preserve"> </w:t>
      </w:r>
      <w:r w:rsidRPr="00B02247">
        <w:t>before</w:t>
      </w:r>
      <w:r w:rsidR="005B2A41">
        <w:t xml:space="preserve"> </w:t>
      </w:r>
      <w:r w:rsidRPr="00B02247">
        <w:t>the</w:t>
      </w:r>
      <w:r w:rsidR="005B2A41">
        <w:t xml:space="preserve"> </w:t>
      </w:r>
      <w:r w:rsidRPr="00B02247">
        <w:t>competent</w:t>
      </w:r>
      <w:r w:rsidR="005B2A41">
        <w:t xml:space="preserve"> </w:t>
      </w:r>
      <w:r w:rsidRPr="00B02247">
        <w:t>civil</w:t>
      </w:r>
      <w:r w:rsidR="005B2A41">
        <w:t xml:space="preserve"> </w:t>
      </w:r>
      <w:r w:rsidRPr="00B02247">
        <w:t>and</w:t>
      </w:r>
      <w:r w:rsidR="005B2A41">
        <w:t xml:space="preserve"> </w:t>
      </w:r>
      <w:r w:rsidRPr="00B02247">
        <w:t>administrative</w:t>
      </w:r>
      <w:r w:rsidR="005B2A41">
        <w:t xml:space="preserve"> </w:t>
      </w:r>
      <w:r w:rsidRPr="00B02247">
        <w:t>courts</w:t>
      </w:r>
      <w:r w:rsidR="005B2A41">
        <w:t xml:space="preserve"> </w:t>
      </w:r>
      <w:r w:rsidRPr="00B02247">
        <w:t>and</w:t>
      </w:r>
      <w:r w:rsidR="005B2A41">
        <w:t xml:space="preserve"> </w:t>
      </w:r>
      <w:r w:rsidRPr="00B02247">
        <w:t>are</w:t>
      </w:r>
      <w:r w:rsidR="005B2A41">
        <w:t xml:space="preserve"> </w:t>
      </w:r>
      <w:r w:rsidRPr="00B02247">
        <w:t>exempted</w:t>
      </w:r>
      <w:r w:rsidR="005B2A41">
        <w:t xml:space="preserve"> </w:t>
      </w:r>
      <w:r w:rsidRPr="00B02247">
        <w:t>from</w:t>
      </w:r>
      <w:r w:rsidR="005B2A41">
        <w:t xml:space="preserve"> </w:t>
      </w:r>
      <w:r w:rsidRPr="00B02247">
        <w:t>the</w:t>
      </w:r>
      <w:r w:rsidR="005B2A41">
        <w:t xml:space="preserve"> </w:t>
      </w:r>
      <w:r w:rsidRPr="00B02247">
        <w:t>relevant</w:t>
      </w:r>
      <w:r w:rsidR="005B2A41">
        <w:t xml:space="preserve"> </w:t>
      </w:r>
      <w:r w:rsidRPr="00B02247">
        <w:t>fees.</w:t>
      </w:r>
    </w:p>
    <w:p w:rsidR="00F233AB" w:rsidRPr="00B02247" w:rsidRDefault="00F233AB" w:rsidP="00E1307D">
      <w:pPr>
        <w:pStyle w:val="SingleTxtG"/>
      </w:pPr>
      <w:r w:rsidRPr="00B02247">
        <w:t>170.</w:t>
      </w:r>
      <w:r w:rsidRPr="00B02247">
        <w:tab/>
        <w:t>When</w:t>
      </w:r>
      <w:r w:rsidR="005B2A41">
        <w:t xml:space="preserve"> </w:t>
      </w:r>
      <w:r w:rsidRPr="00B02247">
        <w:t>persons</w:t>
      </w:r>
      <w:r w:rsidR="005B2A41">
        <w:t xml:space="preserve"> </w:t>
      </w:r>
      <w:r w:rsidRPr="00B02247">
        <w:t>who</w:t>
      </w:r>
      <w:r w:rsidR="005B2A41">
        <w:t xml:space="preserve"> </w:t>
      </w:r>
      <w:r w:rsidRPr="00B02247">
        <w:t>consider</w:t>
      </w:r>
      <w:r w:rsidR="005B2A41">
        <w:t xml:space="preserve"> </w:t>
      </w:r>
      <w:r w:rsidRPr="00B02247">
        <w:t>themselves</w:t>
      </w:r>
      <w:r w:rsidR="005B2A41">
        <w:t xml:space="preserve"> </w:t>
      </w:r>
      <w:r w:rsidRPr="00B02247">
        <w:t>wronged</w:t>
      </w:r>
      <w:r w:rsidR="005B2A41">
        <w:t xml:space="preserve"> </w:t>
      </w:r>
      <w:r w:rsidRPr="00B02247">
        <w:t>establish</w:t>
      </w:r>
      <w:r w:rsidR="005B2A41">
        <w:t xml:space="preserve"> </w:t>
      </w:r>
      <w:r w:rsidRPr="00B02247">
        <w:t>before</w:t>
      </w:r>
      <w:r w:rsidR="005B2A41">
        <w:t xml:space="preserve"> </w:t>
      </w:r>
      <w:r w:rsidRPr="00B02247">
        <w:t>a</w:t>
      </w:r>
      <w:r w:rsidR="005B2A41">
        <w:t xml:space="preserve"> </w:t>
      </w:r>
      <w:r w:rsidRPr="00B02247">
        <w:t>court</w:t>
      </w:r>
      <w:r w:rsidR="005B2A41">
        <w:t xml:space="preserve"> </w:t>
      </w:r>
      <w:r w:rsidRPr="00B02247">
        <w:t>or</w:t>
      </w:r>
      <w:r w:rsidR="005B2A41">
        <w:t xml:space="preserve"> </w:t>
      </w:r>
      <w:r w:rsidRPr="00B02247">
        <w:t>a</w:t>
      </w:r>
      <w:r w:rsidR="005B2A41">
        <w:t xml:space="preserve"> </w:t>
      </w:r>
      <w:r w:rsidRPr="00B02247">
        <w:t>competent</w:t>
      </w:r>
      <w:r w:rsidR="005B2A41">
        <w:t xml:space="preserve"> </w:t>
      </w:r>
      <w:r w:rsidRPr="00B02247">
        <w:t>administrative</w:t>
      </w:r>
      <w:r w:rsidR="005B2A41">
        <w:t xml:space="preserve"> </w:t>
      </w:r>
      <w:r w:rsidRPr="00B02247">
        <w:t>authority</w:t>
      </w:r>
      <w:r w:rsidR="005B2A41">
        <w:t xml:space="preserve"> </w:t>
      </w:r>
      <w:r w:rsidRPr="00B02247">
        <w:t>facts</w:t>
      </w:r>
      <w:r w:rsidR="005B2A41">
        <w:t xml:space="preserve"> </w:t>
      </w:r>
      <w:r w:rsidRPr="00B02247">
        <w:t>from</w:t>
      </w:r>
      <w:r w:rsidR="005B2A41">
        <w:t xml:space="preserve"> </w:t>
      </w:r>
      <w:r w:rsidRPr="00B02247">
        <w:t>which</w:t>
      </w:r>
      <w:r w:rsidR="005B2A41">
        <w:t xml:space="preserve"> </w:t>
      </w:r>
      <w:r w:rsidRPr="00B02247">
        <w:t>it</w:t>
      </w:r>
      <w:r w:rsidR="005B2A41">
        <w:t xml:space="preserve"> </w:t>
      </w:r>
      <w:r w:rsidRPr="00B02247">
        <w:t>may</w:t>
      </w:r>
      <w:r w:rsidR="005B2A41">
        <w:t xml:space="preserve"> </w:t>
      </w:r>
      <w:r w:rsidRPr="00B02247">
        <w:t>be</w:t>
      </w:r>
      <w:r w:rsidR="005B2A41">
        <w:t xml:space="preserve"> </w:t>
      </w:r>
      <w:r w:rsidRPr="00B02247">
        <w:t>presumed</w:t>
      </w:r>
      <w:r w:rsidR="005B2A41">
        <w:t xml:space="preserve"> </w:t>
      </w:r>
      <w:r w:rsidRPr="00B02247">
        <w:t>that</w:t>
      </w:r>
      <w:r w:rsidR="005B2A41">
        <w:t xml:space="preserve"> </w:t>
      </w:r>
      <w:r w:rsidRPr="00B02247">
        <w:t>there</w:t>
      </w:r>
      <w:r w:rsidR="005B2A41">
        <w:t xml:space="preserve"> </w:t>
      </w:r>
      <w:r w:rsidRPr="00B02247">
        <w:t>has</w:t>
      </w:r>
      <w:r w:rsidR="005B2A41">
        <w:t xml:space="preserve"> </w:t>
      </w:r>
      <w:r w:rsidRPr="00B02247">
        <w:t>been</w:t>
      </w:r>
      <w:r w:rsidR="005B2A41">
        <w:t xml:space="preserve"> </w:t>
      </w:r>
      <w:r w:rsidRPr="00B02247">
        <w:t>direct</w:t>
      </w:r>
      <w:r w:rsidR="005B2A41">
        <w:t xml:space="preserve"> </w:t>
      </w:r>
      <w:r w:rsidRPr="00B02247">
        <w:t>or</w:t>
      </w:r>
      <w:r w:rsidR="005B2A41">
        <w:t xml:space="preserve"> </w:t>
      </w:r>
      <w:r w:rsidRPr="00B02247">
        <w:t>indirect</w:t>
      </w:r>
      <w:r w:rsidR="005B2A41">
        <w:t xml:space="preserve"> </w:t>
      </w:r>
      <w:r w:rsidRPr="00B02247">
        <w:t>discrimination,</w:t>
      </w:r>
      <w:r w:rsidR="005B2A41">
        <w:t xml:space="preserve"> </w:t>
      </w:r>
      <w:r w:rsidRPr="00B02247">
        <w:t>it</w:t>
      </w:r>
      <w:r w:rsidR="005B2A41">
        <w:t xml:space="preserve"> </w:t>
      </w:r>
      <w:r w:rsidRPr="00B02247">
        <w:t>shall</w:t>
      </w:r>
      <w:r w:rsidR="005B2A41">
        <w:t xml:space="preserve"> </w:t>
      </w:r>
      <w:r w:rsidRPr="00B02247">
        <w:t>be</w:t>
      </w:r>
      <w:r w:rsidR="005B2A41">
        <w:t xml:space="preserve"> </w:t>
      </w:r>
      <w:r w:rsidRPr="00B02247">
        <w:t>for</w:t>
      </w:r>
      <w:r w:rsidR="005B2A41">
        <w:t xml:space="preserve"> </w:t>
      </w:r>
      <w:r w:rsidRPr="00B02247">
        <w:t>the</w:t>
      </w:r>
      <w:r w:rsidR="005B2A41">
        <w:t xml:space="preserve"> </w:t>
      </w:r>
      <w:r w:rsidRPr="00B02247">
        <w:t>respondent</w:t>
      </w:r>
      <w:r w:rsidR="005B2A41">
        <w:t xml:space="preserve"> </w:t>
      </w:r>
      <w:r w:rsidRPr="00B02247">
        <w:t>to</w:t>
      </w:r>
      <w:r w:rsidR="005B2A41">
        <w:t xml:space="preserve"> </w:t>
      </w:r>
      <w:r w:rsidRPr="00B02247">
        <w:t>prove,</w:t>
      </w:r>
      <w:r w:rsidR="005B2A41">
        <w:t xml:space="preserve"> </w:t>
      </w:r>
      <w:r w:rsidRPr="00B02247">
        <w:t>or</w:t>
      </w:r>
      <w:r w:rsidR="005B2A41">
        <w:t xml:space="preserve"> </w:t>
      </w:r>
      <w:r w:rsidRPr="00B02247">
        <w:t>for</w:t>
      </w:r>
      <w:r w:rsidR="005B2A41">
        <w:t xml:space="preserve"> </w:t>
      </w:r>
      <w:r w:rsidRPr="00B02247">
        <w:t>the</w:t>
      </w:r>
      <w:r w:rsidR="005B2A41">
        <w:t xml:space="preserve"> </w:t>
      </w:r>
      <w:r w:rsidRPr="00B02247">
        <w:t>administrative</w:t>
      </w:r>
      <w:r w:rsidR="005B2A41">
        <w:t xml:space="preserve"> </w:t>
      </w:r>
      <w:r w:rsidRPr="00B02247">
        <w:t>authority</w:t>
      </w:r>
      <w:r w:rsidR="005B2A41">
        <w:t xml:space="preserve"> </w:t>
      </w:r>
      <w:r w:rsidRPr="00B02247">
        <w:t>to</w:t>
      </w:r>
      <w:r w:rsidR="005B2A41">
        <w:t xml:space="preserve"> </w:t>
      </w:r>
      <w:r w:rsidRPr="00B02247">
        <w:t>establish,</w:t>
      </w:r>
      <w:r w:rsidR="005B2A41">
        <w:t xml:space="preserve"> </w:t>
      </w:r>
      <w:r w:rsidRPr="00B02247">
        <w:t>that</w:t>
      </w:r>
      <w:r w:rsidR="005B2A41">
        <w:t xml:space="preserve"> </w:t>
      </w:r>
      <w:r w:rsidRPr="00B02247">
        <w:t>there</w:t>
      </w:r>
      <w:r w:rsidR="005B2A41">
        <w:t xml:space="preserve"> </w:t>
      </w:r>
      <w:r w:rsidRPr="00B02247">
        <w:t>have</w:t>
      </w:r>
      <w:r w:rsidR="005B2A41">
        <w:t xml:space="preserve"> </w:t>
      </w:r>
      <w:r w:rsidRPr="00B02247">
        <w:t>been</w:t>
      </w:r>
      <w:r w:rsidR="005B2A41">
        <w:t xml:space="preserve"> </w:t>
      </w:r>
      <w:r w:rsidRPr="00B02247">
        <w:t>no</w:t>
      </w:r>
      <w:r w:rsidR="005B2A41">
        <w:t xml:space="preserve"> </w:t>
      </w:r>
      <w:r w:rsidRPr="00B02247">
        <w:t>circumstances</w:t>
      </w:r>
      <w:r w:rsidR="005B2A41">
        <w:t xml:space="preserve"> </w:t>
      </w:r>
      <w:r w:rsidRPr="00B02247">
        <w:t>constituting</w:t>
      </w:r>
      <w:r w:rsidR="005B2A41">
        <w:t xml:space="preserve"> </w:t>
      </w:r>
      <w:r w:rsidRPr="00B02247">
        <w:t>a</w:t>
      </w:r>
      <w:r w:rsidR="005B2A41">
        <w:t xml:space="preserve"> </w:t>
      </w:r>
      <w:r w:rsidRPr="00B02247">
        <w:t>breach</w:t>
      </w:r>
      <w:r w:rsidR="005B2A41">
        <w:t xml:space="preserve"> </w:t>
      </w:r>
      <w:r w:rsidRPr="00B02247">
        <w:t>of</w:t>
      </w:r>
      <w:r w:rsidR="005B2A41">
        <w:t xml:space="preserve"> </w:t>
      </w:r>
      <w:r w:rsidRPr="00B02247">
        <w:t>the</w:t>
      </w:r>
      <w:r w:rsidR="005B2A41">
        <w:t xml:space="preserve"> </w:t>
      </w:r>
      <w:r w:rsidRPr="00B02247">
        <w:t>principle</w:t>
      </w:r>
      <w:r w:rsidR="005B2A41">
        <w:t xml:space="preserve"> </w:t>
      </w:r>
      <w:r w:rsidRPr="00B02247">
        <w:t>of</w:t>
      </w:r>
      <w:r w:rsidR="005B2A41">
        <w:t xml:space="preserve"> </w:t>
      </w:r>
      <w:r w:rsidRPr="00B02247">
        <w:t>equal</w:t>
      </w:r>
      <w:r w:rsidR="005B2A41">
        <w:t xml:space="preserve"> </w:t>
      </w:r>
      <w:r w:rsidRPr="00B02247">
        <w:t>treatment</w:t>
      </w:r>
      <w:r w:rsidR="005B2A41">
        <w:t xml:space="preserve"> </w:t>
      </w:r>
      <w:r w:rsidRPr="00B02247">
        <w:t>(Article</w:t>
      </w:r>
      <w:r w:rsidR="005B2A41">
        <w:t xml:space="preserve"> </w:t>
      </w:r>
      <w:r w:rsidRPr="00B02247">
        <w:t>9</w:t>
      </w:r>
      <w:r w:rsidR="005B2A41">
        <w:t xml:space="preserve"> </w:t>
      </w:r>
      <w:r w:rsidRPr="00B02247">
        <w:t>(1)).</w:t>
      </w:r>
      <w:r w:rsidR="005B2A41">
        <w:t xml:space="preserve"> </w:t>
      </w:r>
      <w:r w:rsidRPr="00B02247">
        <w:t>The</w:t>
      </w:r>
      <w:r w:rsidR="005B2A41">
        <w:t xml:space="preserve"> </w:t>
      </w:r>
      <w:r w:rsidRPr="00B02247">
        <w:t>shift</w:t>
      </w:r>
      <w:r w:rsidR="005B2A41">
        <w:t xml:space="preserve"> </w:t>
      </w:r>
      <w:r w:rsidRPr="00B02247">
        <w:t>of</w:t>
      </w:r>
      <w:r w:rsidR="005B2A41">
        <w:t xml:space="preserve"> </w:t>
      </w:r>
      <w:r w:rsidRPr="00B02247">
        <w:t>the</w:t>
      </w:r>
      <w:r w:rsidR="005B2A41">
        <w:t xml:space="preserve"> </w:t>
      </w:r>
      <w:r w:rsidRPr="00B02247">
        <w:t>burden</w:t>
      </w:r>
      <w:r w:rsidR="005B2A41">
        <w:t xml:space="preserve"> </w:t>
      </w:r>
      <w:r w:rsidRPr="00B02247">
        <w:t>of</w:t>
      </w:r>
      <w:r w:rsidR="005B2A41">
        <w:t xml:space="preserve"> </w:t>
      </w:r>
      <w:r w:rsidRPr="00B02247">
        <w:t>proof</w:t>
      </w:r>
      <w:r w:rsidR="005B2A41">
        <w:t xml:space="preserve"> </w:t>
      </w:r>
      <w:r w:rsidRPr="00B02247">
        <w:t>in</w:t>
      </w:r>
      <w:r w:rsidR="005B2A41">
        <w:t xml:space="preserve"> </w:t>
      </w:r>
      <w:r w:rsidRPr="00B02247">
        <w:t>civil</w:t>
      </w:r>
      <w:r w:rsidR="005B2A41">
        <w:t xml:space="preserve"> </w:t>
      </w:r>
      <w:r w:rsidRPr="00B02247">
        <w:t>cases</w:t>
      </w:r>
      <w:r w:rsidR="005B2A41">
        <w:t xml:space="preserve"> </w:t>
      </w:r>
      <w:r w:rsidRPr="00B02247">
        <w:t>does</w:t>
      </w:r>
      <w:r w:rsidR="005B2A41">
        <w:t xml:space="preserve"> </w:t>
      </w:r>
      <w:r w:rsidRPr="00B02247">
        <w:t>not</w:t>
      </w:r>
      <w:r w:rsidR="005B2A41">
        <w:t xml:space="preserve"> </w:t>
      </w:r>
      <w:r w:rsidRPr="00B02247">
        <w:t>apply</w:t>
      </w:r>
      <w:r w:rsidR="005B2A41">
        <w:t xml:space="preserve"> </w:t>
      </w:r>
      <w:r w:rsidRPr="00B02247">
        <w:t>to</w:t>
      </w:r>
      <w:r w:rsidR="005B2A41">
        <w:t xml:space="preserve"> </w:t>
      </w:r>
      <w:r w:rsidRPr="00B02247">
        <w:t>criminal</w:t>
      </w:r>
      <w:r w:rsidR="005B2A41">
        <w:t xml:space="preserve"> </w:t>
      </w:r>
      <w:r w:rsidRPr="00B02247">
        <w:t>procedures</w:t>
      </w:r>
      <w:r w:rsidR="005B2A41">
        <w:t xml:space="preserve"> </w:t>
      </w:r>
      <w:r w:rsidRPr="00B02247">
        <w:t>(Article</w:t>
      </w:r>
      <w:r w:rsidR="005B2A41">
        <w:t xml:space="preserve"> </w:t>
      </w:r>
      <w:r w:rsidRPr="00B02247">
        <w:t>9</w:t>
      </w:r>
      <w:r w:rsidR="005B2A41">
        <w:t xml:space="preserve"> </w:t>
      </w:r>
      <w:r w:rsidRPr="00B02247">
        <w:t>(2)).</w:t>
      </w:r>
      <w:r w:rsidR="005B2A41">
        <w:t xml:space="preserve"> </w:t>
      </w:r>
    </w:p>
    <w:p w:rsidR="00F233AB" w:rsidRPr="00B02247" w:rsidRDefault="00F233AB" w:rsidP="00E1307D">
      <w:pPr>
        <w:pStyle w:val="SingleTxtG"/>
      </w:pPr>
      <w:r w:rsidRPr="00B02247">
        <w:t>171.</w:t>
      </w:r>
      <w:r w:rsidRPr="00B02247">
        <w:tab/>
        <w:t>Furthermore,</w:t>
      </w:r>
      <w:r w:rsidR="005B2A41">
        <w:t xml:space="preserve"> </w:t>
      </w:r>
      <w:r w:rsidRPr="00B02247">
        <w:t>protection</w:t>
      </w:r>
      <w:r w:rsidR="005B2A41">
        <w:t xml:space="preserve"> </w:t>
      </w:r>
      <w:r w:rsidRPr="00B02247">
        <w:t>is</w:t>
      </w:r>
      <w:r w:rsidR="005B2A41">
        <w:t xml:space="preserve"> </w:t>
      </w:r>
      <w:r w:rsidRPr="00B02247">
        <w:t>afforded</w:t>
      </w:r>
      <w:r w:rsidR="005B2A41">
        <w:t xml:space="preserve"> </w:t>
      </w:r>
      <w:r w:rsidRPr="00B02247">
        <w:t>against</w:t>
      </w:r>
      <w:r w:rsidR="005B2A41">
        <w:t xml:space="preserve"> </w:t>
      </w:r>
      <w:r w:rsidRPr="00B02247">
        <w:t>the</w:t>
      </w:r>
      <w:r w:rsidR="005B2A41">
        <w:t xml:space="preserve"> </w:t>
      </w:r>
      <w:r w:rsidRPr="00B02247">
        <w:t>victimization</w:t>
      </w:r>
      <w:r w:rsidR="005B2A41">
        <w:t xml:space="preserve"> </w:t>
      </w:r>
      <w:r w:rsidRPr="00B02247">
        <w:t>of</w:t>
      </w:r>
      <w:r w:rsidR="005B2A41">
        <w:t xml:space="preserve"> </w:t>
      </w:r>
      <w:r w:rsidRPr="00B02247">
        <w:t>the</w:t>
      </w:r>
      <w:r w:rsidR="005B2A41">
        <w:t xml:space="preserve"> </w:t>
      </w:r>
      <w:r w:rsidRPr="00B02247">
        <w:t>complainant</w:t>
      </w:r>
      <w:r w:rsidR="005B2A41">
        <w:t xml:space="preserve"> </w:t>
      </w:r>
      <w:r w:rsidRPr="00B02247">
        <w:t>(Article</w:t>
      </w:r>
      <w:r w:rsidR="005B2A41">
        <w:t xml:space="preserve"> </w:t>
      </w:r>
      <w:r w:rsidRPr="00B02247">
        <w:t>10).</w:t>
      </w:r>
      <w:r w:rsidR="005B2A41">
        <w:t xml:space="preserve"> </w:t>
      </w:r>
      <w:r w:rsidRPr="00B02247">
        <w:t>Criminal</w:t>
      </w:r>
      <w:r w:rsidR="005B2A41">
        <w:t xml:space="preserve"> </w:t>
      </w:r>
      <w:r w:rsidRPr="00B02247">
        <w:t>sanctions</w:t>
      </w:r>
      <w:r w:rsidR="005B2A41">
        <w:t xml:space="preserve"> </w:t>
      </w:r>
      <w:r w:rsidRPr="00B02247">
        <w:t>may</w:t>
      </w:r>
      <w:r w:rsidR="005B2A41">
        <w:t xml:space="preserve"> </w:t>
      </w:r>
      <w:r w:rsidRPr="00B02247">
        <w:t>be</w:t>
      </w:r>
      <w:r w:rsidR="005B2A41">
        <w:t xml:space="preserve"> </w:t>
      </w:r>
      <w:r w:rsidRPr="00B02247">
        <w:t>imposed</w:t>
      </w:r>
      <w:r w:rsidR="005B2A41">
        <w:t xml:space="preserve"> </w:t>
      </w:r>
      <w:r w:rsidRPr="00B02247">
        <w:t>regarding</w:t>
      </w:r>
      <w:r w:rsidR="005B2A41">
        <w:t xml:space="preserve"> </w:t>
      </w:r>
      <w:r w:rsidRPr="00B02247">
        <w:t>the</w:t>
      </w:r>
      <w:r w:rsidR="005B2A41">
        <w:t xml:space="preserve"> </w:t>
      </w:r>
      <w:r w:rsidRPr="00B02247">
        <w:t>supply</w:t>
      </w:r>
      <w:r w:rsidR="005B2A41">
        <w:t xml:space="preserve"> </w:t>
      </w:r>
      <w:r w:rsidRPr="00B02247">
        <w:t>of</w:t>
      </w:r>
      <w:r w:rsidR="005B2A41">
        <w:t xml:space="preserve"> </w:t>
      </w:r>
      <w:r w:rsidRPr="00B02247">
        <w:t>goods</w:t>
      </w:r>
      <w:r w:rsidR="005B2A41">
        <w:t xml:space="preserve"> </w:t>
      </w:r>
      <w:r w:rsidRPr="00B02247">
        <w:t>or</w:t>
      </w:r>
      <w:r w:rsidR="005B2A41">
        <w:t xml:space="preserve"> </w:t>
      </w:r>
      <w:r w:rsidRPr="00B02247">
        <w:t>services</w:t>
      </w:r>
      <w:r w:rsidR="005B2A41">
        <w:t xml:space="preserve"> </w:t>
      </w:r>
      <w:r w:rsidRPr="00B02247">
        <w:t>to</w:t>
      </w:r>
      <w:r w:rsidR="005B2A41">
        <w:t xml:space="preserve"> </w:t>
      </w:r>
      <w:r w:rsidRPr="00B02247">
        <w:t>the</w:t>
      </w:r>
      <w:r w:rsidR="005B2A41">
        <w:t xml:space="preserve"> </w:t>
      </w:r>
      <w:r w:rsidRPr="00B02247">
        <w:t>public</w:t>
      </w:r>
      <w:r w:rsidR="005B2A41">
        <w:t xml:space="preserve"> </w:t>
      </w:r>
      <w:r w:rsidRPr="00B02247">
        <w:t>in</w:t>
      </w:r>
      <w:r w:rsidR="005B2A41">
        <w:t xml:space="preserve"> </w:t>
      </w:r>
      <w:r w:rsidRPr="00B02247">
        <w:t>contravention</w:t>
      </w:r>
      <w:r w:rsidR="005B2A41">
        <w:t xml:space="preserve"> </w:t>
      </w:r>
      <w:r w:rsidRPr="00B02247">
        <w:t>of</w:t>
      </w:r>
      <w:r w:rsidR="005B2A41">
        <w:t xml:space="preserve"> </w:t>
      </w:r>
      <w:r w:rsidRPr="00B02247">
        <w:t>the</w:t>
      </w:r>
      <w:r w:rsidR="005B2A41">
        <w:t xml:space="preserve"> </w:t>
      </w:r>
      <w:r w:rsidRPr="00B02247">
        <w:t>principle</w:t>
      </w:r>
      <w:r w:rsidR="005B2A41">
        <w:t xml:space="preserve"> </w:t>
      </w:r>
      <w:r w:rsidRPr="00B02247">
        <w:t>of</w:t>
      </w:r>
      <w:r w:rsidR="005B2A41">
        <w:t xml:space="preserve"> </w:t>
      </w:r>
      <w:r w:rsidRPr="00B02247">
        <w:t>equal</w:t>
      </w:r>
      <w:r w:rsidR="005B2A41">
        <w:t xml:space="preserve"> </w:t>
      </w:r>
      <w:r w:rsidRPr="00B02247">
        <w:t>treatment,</w:t>
      </w:r>
      <w:r w:rsidR="005B2A41">
        <w:t xml:space="preserve"> </w:t>
      </w:r>
      <w:r w:rsidRPr="00B02247">
        <w:t>according</w:t>
      </w:r>
      <w:r w:rsidR="005B2A41">
        <w:t xml:space="preserve"> </w:t>
      </w:r>
      <w:r w:rsidRPr="00B02247">
        <w:t>to</w:t>
      </w:r>
      <w:r w:rsidR="005B2A41">
        <w:t xml:space="preserve"> </w:t>
      </w:r>
      <w:r w:rsidRPr="00B02247">
        <w:t>Article</w:t>
      </w:r>
      <w:r w:rsidR="005B2A41">
        <w:t xml:space="preserve"> </w:t>
      </w:r>
      <w:r w:rsidRPr="00B02247">
        <w:t>11</w:t>
      </w:r>
      <w:r w:rsidR="005B2A41">
        <w:t xml:space="preserve"> </w:t>
      </w:r>
      <w:r w:rsidRPr="00B02247">
        <w:t>(1).</w:t>
      </w:r>
      <w:r w:rsidR="005B2A41">
        <w:t xml:space="preserve"> </w:t>
      </w:r>
      <w:r w:rsidRPr="00B02247">
        <w:t>An</w:t>
      </w:r>
      <w:r w:rsidR="005B2A41">
        <w:t xml:space="preserve"> </w:t>
      </w:r>
      <w:r w:rsidRPr="00B02247">
        <w:t>infringement</w:t>
      </w:r>
      <w:r w:rsidR="005B2A41">
        <w:t xml:space="preserve"> </w:t>
      </w:r>
      <w:r w:rsidRPr="00B02247">
        <w:t>of</w:t>
      </w:r>
      <w:r w:rsidR="005B2A41">
        <w:t xml:space="preserve"> </w:t>
      </w:r>
      <w:r w:rsidRPr="00B02247">
        <w:t>the</w:t>
      </w:r>
      <w:r w:rsidR="005B2A41">
        <w:t xml:space="preserve"> </w:t>
      </w:r>
      <w:r w:rsidRPr="00B02247">
        <w:t>prohibition</w:t>
      </w:r>
      <w:r w:rsidR="005B2A41">
        <w:t xml:space="preserve"> </w:t>
      </w:r>
      <w:r w:rsidRPr="00B02247">
        <w:t>of</w:t>
      </w:r>
      <w:r w:rsidR="005B2A41">
        <w:t xml:space="preserve"> </w:t>
      </w:r>
      <w:r w:rsidRPr="00B02247">
        <w:t>discriminatory</w:t>
      </w:r>
      <w:r w:rsidR="005B2A41">
        <w:t xml:space="preserve"> </w:t>
      </w:r>
      <w:r w:rsidRPr="00B02247">
        <w:t>treatment</w:t>
      </w:r>
      <w:r w:rsidR="005B2A41">
        <w:t xml:space="preserve"> </w:t>
      </w:r>
      <w:r w:rsidRPr="00B02247">
        <w:t>by</w:t>
      </w:r>
      <w:r w:rsidR="005B2A41">
        <w:t xml:space="preserve"> </w:t>
      </w:r>
      <w:r w:rsidRPr="00B02247">
        <w:t>an</w:t>
      </w:r>
      <w:r w:rsidR="005B2A41">
        <w:t xml:space="preserve"> </w:t>
      </w:r>
      <w:r w:rsidRPr="00B02247">
        <w:t>employer,</w:t>
      </w:r>
      <w:r w:rsidR="005B2A41">
        <w:t xml:space="preserve"> </w:t>
      </w:r>
      <w:r w:rsidRPr="00B02247">
        <w:t>concerning</w:t>
      </w:r>
      <w:r w:rsidR="005B2A41">
        <w:t xml:space="preserve"> </w:t>
      </w:r>
      <w:r w:rsidRPr="00B02247">
        <w:t>the</w:t>
      </w:r>
      <w:r w:rsidR="005B2A41">
        <w:t xml:space="preserve"> </w:t>
      </w:r>
      <w:r w:rsidRPr="00B02247">
        <w:t>conclusion</w:t>
      </w:r>
      <w:r w:rsidR="005B2A41">
        <w:t xml:space="preserve"> </w:t>
      </w:r>
      <w:r w:rsidRPr="00B02247">
        <w:t>or</w:t>
      </w:r>
      <w:r w:rsidR="005B2A41">
        <w:t xml:space="preserve"> </w:t>
      </w:r>
      <w:r w:rsidRPr="00B02247">
        <w:t>the</w:t>
      </w:r>
      <w:r w:rsidR="005B2A41">
        <w:t xml:space="preserve"> </w:t>
      </w:r>
      <w:r w:rsidRPr="00B02247">
        <w:t>refusal</w:t>
      </w:r>
      <w:r w:rsidR="005B2A41">
        <w:t xml:space="preserve"> </w:t>
      </w:r>
      <w:r w:rsidRPr="00B02247">
        <w:t>to</w:t>
      </w:r>
      <w:r w:rsidR="005B2A41">
        <w:t xml:space="preserve"> </w:t>
      </w:r>
      <w:r w:rsidRPr="00B02247">
        <w:t>conclude</w:t>
      </w:r>
      <w:r w:rsidR="005B2A41">
        <w:t xml:space="preserve"> </w:t>
      </w:r>
      <w:r w:rsidRPr="00B02247">
        <w:t>a</w:t>
      </w:r>
      <w:r w:rsidR="005B2A41">
        <w:t xml:space="preserve"> </w:t>
      </w:r>
      <w:r w:rsidRPr="00B02247">
        <w:t>labor</w:t>
      </w:r>
      <w:r w:rsidR="005B2A41">
        <w:t xml:space="preserve"> </w:t>
      </w:r>
      <w:r w:rsidRPr="00B02247">
        <w:t>relationship,</w:t>
      </w:r>
      <w:r w:rsidR="005B2A41">
        <w:t xml:space="preserve"> </w:t>
      </w:r>
      <w:r w:rsidRPr="00B02247">
        <w:t>as</w:t>
      </w:r>
      <w:r w:rsidR="005B2A41">
        <w:t xml:space="preserve"> </w:t>
      </w:r>
      <w:r w:rsidRPr="00B02247">
        <w:t>well</w:t>
      </w:r>
      <w:r w:rsidR="005B2A41">
        <w:t xml:space="preserve"> </w:t>
      </w:r>
      <w:r w:rsidRPr="00B02247">
        <w:t>the</w:t>
      </w:r>
      <w:r w:rsidR="005B2A41">
        <w:t xml:space="preserve"> </w:t>
      </w:r>
      <w:r w:rsidRPr="00B02247">
        <w:t>latter</w:t>
      </w:r>
      <w:r w:rsidR="003E731F">
        <w:t>’</w:t>
      </w:r>
      <w:r w:rsidRPr="00B02247">
        <w:t>s</w:t>
      </w:r>
      <w:r w:rsidR="005B2A41">
        <w:t xml:space="preserve"> </w:t>
      </w:r>
      <w:r w:rsidRPr="00B02247">
        <w:t>operation</w:t>
      </w:r>
      <w:r w:rsidR="005B2A41">
        <w:t xml:space="preserve"> </w:t>
      </w:r>
      <w:r w:rsidRPr="00B02247">
        <w:t>or</w:t>
      </w:r>
      <w:r w:rsidR="005B2A41">
        <w:t xml:space="preserve"> </w:t>
      </w:r>
      <w:r w:rsidRPr="00B02247">
        <w:t>termination,</w:t>
      </w:r>
      <w:r w:rsidR="005B2A41">
        <w:t xml:space="preserve"> </w:t>
      </w:r>
      <w:r w:rsidRPr="00B02247">
        <w:t>is</w:t>
      </w:r>
      <w:r w:rsidR="005B2A41">
        <w:t xml:space="preserve"> </w:t>
      </w:r>
      <w:r w:rsidRPr="00B02247">
        <w:t>considered</w:t>
      </w:r>
      <w:r w:rsidR="005B2A41">
        <w:t xml:space="preserve"> </w:t>
      </w:r>
      <w:r w:rsidRPr="00B02247">
        <w:t>as</w:t>
      </w:r>
      <w:r w:rsidR="005B2A41">
        <w:t xml:space="preserve"> </w:t>
      </w:r>
      <w:r w:rsidRPr="00B02247">
        <w:t>a</w:t>
      </w:r>
      <w:r w:rsidR="005B2A41">
        <w:t xml:space="preserve"> </w:t>
      </w:r>
      <w:r w:rsidRPr="00B02247">
        <w:t>breach</w:t>
      </w:r>
      <w:r w:rsidR="005B2A41">
        <w:t xml:space="preserve"> </w:t>
      </w:r>
      <w:r w:rsidRPr="00B02247">
        <w:t>of</w:t>
      </w:r>
      <w:r w:rsidR="005B2A41">
        <w:t xml:space="preserve"> </w:t>
      </w:r>
      <w:r w:rsidRPr="00B02247">
        <w:t>labor</w:t>
      </w:r>
      <w:r w:rsidR="005B2A41">
        <w:t xml:space="preserve"> </w:t>
      </w:r>
      <w:r w:rsidRPr="00B02247">
        <w:t>legislation</w:t>
      </w:r>
      <w:r w:rsidR="005B2A41">
        <w:t xml:space="preserve"> </w:t>
      </w:r>
      <w:r w:rsidRPr="00B02247">
        <w:t>and</w:t>
      </w:r>
      <w:r w:rsidR="005B2A41">
        <w:t xml:space="preserve"> </w:t>
      </w:r>
      <w:r w:rsidRPr="00B02247">
        <w:t>is</w:t>
      </w:r>
      <w:r w:rsidR="005B2A41">
        <w:t xml:space="preserve"> </w:t>
      </w:r>
      <w:r w:rsidRPr="00B02247">
        <w:t>sanctioned</w:t>
      </w:r>
      <w:r w:rsidR="005B2A41">
        <w:t xml:space="preserve"> </w:t>
      </w:r>
      <w:r w:rsidRPr="00B02247">
        <w:t>by</w:t>
      </w:r>
      <w:r w:rsidR="005B2A41">
        <w:t xml:space="preserve"> </w:t>
      </w:r>
      <w:r w:rsidRPr="00B02247">
        <w:t>a</w:t>
      </w:r>
      <w:r w:rsidR="005B2A41">
        <w:t xml:space="preserve"> </w:t>
      </w:r>
      <w:r w:rsidRPr="00B02247">
        <w:t>fine</w:t>
      </w:r>
      <w:r w:rsidR="005B2A41">
        <w:t xml:space="preserve"> </w:t>
      </w:r>
      <w:r w:rsidRPr="00B02247">
        <w:t>(Article</w:t>
      </w:r>
      <w:r w:rsidR="005B2A41">
        <w:t xml:space="preserve"> </w:t>
      </w:r>
      <w:r w:rsidRPr="00B02247">
        <w:t>11</w:t>
      </w:r>
      <w:r w:rsidR="005B2A41">
        <w:t xml:space="preserve"> </w:t>
      </w:r>
      <w:r w:rsidRPr="00B02247">
        <w:t>(2)).</w:t>
      </w:r>
    </w:p>
    <w:p w:rsidR="00F233AB" w:rsidRPr="00B02247" w:rsidRDefault="00F233AB" w:rsidP="00E1307D">
      <w:pPr>
        <w:pStyle w:val="SingleTxtG"/>
      </w:pPr>
      <w:r w:rsidRPr="00B02247">
        <w:t>172.</w:t>
      </w:r>
      <w:r w:rsidRPr="00B02247">
        <w:tab/>
        <w:t>A</w:t>
      </w:r>
      <w:r w:rsidR="005B2A41">
        <w:t xml:space="preserve"> </w:t>
      </w:r>
      <w:r w:rsidRPr="00B02247">
        <w:t>most</w:t>
      </w:r>
      <w:r w:rsidR="005B2A41">
        <w:t xml:space="preserve"> </w:t>
      </w:r>
      <w:r w:rsidRPr="00B02247">
        <w:t>important</w:t>
      </w:r>
      <w:r w:rsidR="005B2A41">
        <w:t xml:space="preserve"> </w:t>
      </w:r>
      <w:r w:rsidRPr="00B02247">
        <w:t>aspect</w:t>
      </w:r>
      <w:r w:rsidR="005B2A41">
        <w:t xml:space="preserve"> </w:t>
      </w:r>
      <w:r w:rsidRPr="00B02247">
        <w:t>of</w:t>
      </w:r>
      <w:r w:rsidR="005B2A41">
        <w:t xml:space="preserve"> </w:t>
      </w:r>
      <w:r w:rsidRPr="00B02247">
        <w:t>Law</w:t>
      </w:r>
      <w:r w:rsidR="005B2A41">
        <w:t xml:space="preserve"> </w:t>
      </w:r>
      <w:r w:rsidRPr="00B02247">
        <w:t>4443/2016</w:t>
      </w:r>
      <w:r w:rsidR="005B2A41">
        <w:t xml:space="preserve"> </w:t>
      </w:r>
      <w:r w:rsidRPr="00B02247">
        <w:t>is</w:t>
      </w:r>
      <w:r w:rsidR="005B2A41">
        <w:t xml:space="preserve"> </w:t>
      </w:r>
      <w:r w:rsidRPr="00B02247">
        <w:t>the</w:t>
      </w:r>
      <w:r w:rsidR="005B2A41">
        <w:t xml:space="preserve"> </w:t>
      </w:r>
      <w:r w:rsidRPr="00B02247">
        <w:t>designation</w:t>
      </w:r>
      <w:r w:rsidR="005B2A41">
        <w:t xml:space="preserve"> </w:t>
      </w:r>
      <w:r w:rsidRPr="00B02247">
        <w:t>of</w:t>
      </w:r>
      <w:r w:rsidR="005B2A41">
        <w:t xml:space="preserve"> </w:t>
      </w:r>
      <w:r w:rsidRPr="00B02247">
        <w:t>the</w:t>
      </w:r>
      <w:r w:rsidR="005B2A41">
        <w:t xml:space="preserve"> </w:t>
      </w:r>
      <w:r w:rsidRPr="00B02247">
        <w:t>Greek</w:t>
      </w:r>
      <w:r w:rsidR="005B2A41">
        <w:t xml:space="preserve"> </w:t>
      </w:r>
      <w:r w:rsidRPr="00B02247">
        <w:t>Ombudsman,</w:t>
      </w:r>
      <w:r w:rsidR="005B2A41">
        <w:t xml:space="preserve"> </w:t>
      </w:r>
      <w:r w:rsidRPr="00B02247">
        <w:t>an</w:t>
      </w:r>
      <w:r w:rsidR="005B2A41">
        <w:t xml:space="preserve"> </w:t>
      </w:r>
      <w:r w:rsidRPr="00B02247">
        <w:t>independent</w:t>
      </w:r>
      <w:r w:rsidR="005B2A41">
        <w:t xml:space="preserve"> </w:t>
      </w:r>
      <w:r w:rsidRPr="00B02247">
        <w:t>authority,</w:t>
      </w:r>
      <w:r w:rsidR="005B2A41">
        <w:t xml:space="preserve"> </w:t>
      </w:r>
      <w:r w:rsidRPr="00B02247">
        <w:t>as</w:t>
      </w:r>
      <w:r w:rsidR="005B2A41">
        <w:t xml:space="preserve"> </w:t>
      </w:r>
      <w:r w:rsidRPr="00B02247">
        <w:t>the</w:t>
      </w:r>
      <w:r w:rsidR="005B2A41">
        <w:t xml:space="preserve"> </w:t>
      </w:r>
      <w:r w:rsidRPr="00B02247">
        <w:t>body</w:t>
      </w:r>
      <w:r w:rsidR="005B2A41">
        <w:t xml:space="preserve"> </w:t>
      </w:r>
      <w:r w:rsidRPr="00B02247">
        <w:t>responsible</w:t>
      </w:r>
      <w:r w:rsidR="005B2A41">
        <w:t xml:space="preserve"> </w:t>
      </w:r>
      <w:r w:rsidRPr="00B02247">
        <w:t>for</w:t>
      </w:r>
      <w:r w:rsidR="005B2A41">
        <w:t xml:space="preserve"> </w:t>
      </w:r>
      <w:r w:rsidRPr="00B02247">
        <w:t>monitoring</w:t>
      </w:r>
      <w:r w:rsidR="005B2A41">
        <w:t xml:space="preserve"> </w:t>
      </w:r>
      <w:r w:rsidRPr="00B02247">
        <w:t>and</w:t>
      </w:r>
      <w:r w:rsidR="005B2A41">
        <w:t xml:space="preserve"> </w:t>
      </w:r>
      <w:r w:rsidRPr="00B02247">
        <w:t>promoting</w:t>
      </w:r>
      <w:r w:rsidR="005B2A41">
        <w:t xml:space="preserve"> </w:t>
      </w:r>
      <w:r w:rsidRPr="00B02247">
        <w:t>the</w:t>
      </w:r>
      <w:r w:rsidR="005B2A41">
        <w:t xml:space="preserve"> </w:t>
      </w:r>
      <w:r w:rsidRPr="00B02247">
        <w:t>implementation</w:t>
      </w:r>
      <w:r w:rsidR="005B2A41">
        <w:t xml:space="preserve"> </w:t>
      </w:r>
      <w:r w:rsidRPr="00B02247">
        <w:t>of</w:t>
      </w:r>
      <w:r w:rsidR="005B2A41">
        <w:t xml:space="preserve"> </w:t>
      </w:r>
      <w:r w:rsidRPr="00B02247">
        <w:t>the</w:t>
      </w:r>
      <w:r w:rsidR="005B2A41">
        <w:t xml:space="preserve"> </w:t>
      </w:r>
      <w:r w:rsidRPr="00B02247">
        <w:t>principle</w:t>
      </w:r>
      <w:r w:rsidR="005B2A41">
        <w:t xml:space="preserve"> </w:t>
      </w:r>
      <w:r w:rsidRPr="00B02247">
        <w:t>of</w:t>
      </w:r>
      <w:r w:rsidR="005B2A41">
        <w:t xml:space="preserve"> </w:t>
      </w:r>
      <w:r w:rsidRPr="00B02247">
        <w:t>equal</w:t>
      </w:r>
      <w:r w:rsidR="005B2A41">
        <w:t xml:space="preserve"> </w:t>
      </w:r>
      <w:r w:rsidRPr="00B02247">
        <w:t>treatment</w:t>
      </w:r>
      <w:r w:rsidR="005B2A41">
        <w:t xml:space="preserve"> </w:t>
      </w:r>
      <w:r w:rsidRPr="00B02247">
        <w:t>in</w:t>
      </w:r>
      <w:r w:rsidR="005B2A41">
        <w:t xml:space="preserve"> </w:t>
      </w:r>
      <w:r w:rsidRPr="00B02247">
        <w:t>the</w:t>
      </w:r>
      <w:r w:rsidR="005B2A41">
        <w:t xml:space="preserve"> </w:t>
      </w:r>
      <w:r w:rsidRPr="00B02247">
        <w:t>fields</w:t>
      </w:r>
      <w:r w:rsidR="005B2A41">
        <w:t xml:space="preserve"> </w:t>
      </w:r>
      <w:r w:rsidRPr="00B02247">
        <w:t>covered</w:t>
      </w:r>
      <w:r w:rsidR="005B2A41">
        <w:t xml:space="preserve"> </w:t>
      </w:r>
      <w:r w:rsidRPr="00B02247">
        <w:t>by</w:t>
      </w:r>
      <w:r w:rsidR="005B2A41">
        <w:t xml:space="preserve"> </w:t>
      </w:r>
      <w:r w:rsidRPr="00B02247">
        <w:lastRenderedPageBreak/>
        <w:t>the</w:t>
      </w:r>
      <w:r w:rsidR="005B2A41">
        <w:t xml:space="preserve"> </w:t>
      </w:r>
      <w:r w:rsidRPr="00B02247">
        <w:t>law,</w:t>
      </w:r>
      <w:r w:rsidR="005B2A41">
        <w:t xml:space="preserve"> </w:t>
      </w:r>
      <w:r w:rsidRPr="00B02247">
        <w:t>both</w:t>
      </w:r>
      <w:r w:rsidR="005B2A41">
        <w:t xml:space="preserve"> </w:t>
      </w:r>
      <w:r w:rsidRPr="00B02247">
        <w:t>in</w:t>
      </w:r>
      <w:r w:rsidR="005B2A41">
        <w:t xml:space="preserve"> </w:t>
      </w:r>
      <w:r w:rsidRPr="00B02247">
        <w:t>the</w:t>
      </w:r>
      <w:r w:rsidR="005B2A41">
        <w:t xml:space="preserve"> </w:t>
      </w:r>
      <w:r w:rsidRPr="00B02247">
        <w:t>public</w:t>
      </w:r>
      <w:r w:rsidR="005B2A41">
        <w:t xml:space="preserve"> </w:t>
      </w:r>
      <w:r w:rsidRPr="00B02247">
        <w:t>and</w:t>
      </w:r>
      <w:r w:rsidR="005B2A41">
        <w:t xml:space="preserve"> </w:t>
      </w:r>
      <w:r w:rsidRPr="00B02247">
        <w:t>the</w:t>
      </w:r>
      <w:r w:rsidR="005B2A41">
        <w:t xml:space="preserve"> </w:t>
      </w:r>
      <w:r w:rsidRPr="00B02247">
        <w:t>private</w:t>
      </w:r>
      <w:r w:rsidR="005B2A41">
        <w:t xml:space="preserve"> </w:t>
      </w:r>
      <w:r w:rsidRPr="00B02247">
        <w:t>sectors,</w:t>
      </w:r>
      <w:r w:rsidR="005B2A41">
        <w:t xml:space="preserve"> </w:t>
      </w:r>
      <w:r w:rsidRPr="00B02247">
        <w:t>with</w:t>
      </w:r>
      <w:r w:rsidR="005B2A41">
        <w:t xml:space="preserve"> </w:t>
      </w:r>
      <w:r w:rsidRPr="00B02247">
        <w:t>regard</w:t>
      </w:r>
      <w:r w:rsidR="005B2A41">
        <w:t xml:space="preserve"> </w:t>
      </w:r>
      <w:r w:rsidRPr="00B02247">
        <w:t>to</w:t>
      </w:r>
      <w:r w:rsidR="005B2A41">
        <w:t xml:space="preserve"> </w:t>
      </w:r>
      <w:r w:rsidRPr="00B02247">
        <w:t>the</w:t>
      </w:r>
      <w:r w:rsidR="005B2A41">
        <w:t xml:space="preserve"> </w:t>
      </w:r>
      <w:r w:rsidRPr="00B02247">
        <w:t>abovementioned</w:t>
      </w:r>
      <w:r w:rsidR="005B2A41">
        <w:t xml:space="preserve"> </w:t>
      </w:r>
      <w:r w:rsidRPr="00B02247">
        <w:t>prohibited</w:t>
      </w:r>
      <w:r w:rsidR="005B2A41">
        <w:t xml:space="preserve"> </w:t>
      </w:r>
      <w:r w:rsidRPr="00B02247">
        <w:t>grounds</w:t>
      </w:r>
      <w:r w:rsidR="005B2A41">
        <w:t xml:space="preserve"> </w:t>
      </w:r>
      <w:r w:rsidRPr="00B02247">
        <w:t>of</w:t>
      </w:r>
      <w:r w:rsidR="005B2A41">
        <w:t xml:space="preserve"> </w:t>
      </w:r>
      <w:r w:rsidRPr="00B02247">
        <w:t>discrimination.</w:t>
      </w:r>
      <w:r w:rsidR="005B2A41">
        <w:t xml:space="preserve"> </w:t>
      </w:r>
      <w:r w:rsidRPr="00B02247">
        <w:t>More</w:t>
      </w:r>
      <w:r w:rsidR="005B2A41">
        <w:t xml:space="preserve"> </w:t>
      </w:r>
      <w:r w:rsidRPr="00B02247">
        <w:t>specifically,</w:t>
      </w:r>
      <w:r w:rsidR="005B2A41">
        <w:t xml:space="preserve"> </w:t>
      </w:r>
      <w:r w:rsidRPr="00B02247">
        <w:t>the</w:t>
      </w:r>
      <w:r w:rsidR="005B2A41">
        <w:t xml:space="preserve"> </w:t>
      </w:r>
      <w:r w:rsidRPr="00B02247">
        <w:t>Greek</w:t>
      </w:r>
      <w:r w:rsidR="005B2A41">
        <w:t xml:space="preserve"> </w:t>
      </w:r>
      <w:r w:rsidRPr="00B02247">
        <w:t>Ombudsman</w:t>
      </w:r>
      <w:r w:rsidR="005B2A41">
        <w:t xml:space="preserve"> </w:t>
      </w:r>
      <w:r w:rsidRPr="00B02247">
        <w:t>assists</w:t>
      </w:r>
      <w:r w:rsidR="005B2A41">
        <w:t xml:space="preserve"> </w:t>
      </w:r>
      <w:r w:rsidRPr="00B02247">
        <w:t>victims</w:t>
      </w:r>
      <w:r w:rsidR="005B2A41">
        <w:t xml:space="preserve"> </w:t>
      </w:r>
      <w:r w:rsidRPr="00B02247">
        <w:t>of</w:t>
      </w:r>
      <w:r w:rsidR="005B2A41">
        <w:t xml:space="preserve"> </w:t>
      </w:r>
      <w:r w:rsidRPr="00B02247">
        <w:t>discrimination</w:t>
      </w:r>
      <w:r w:rsidR="005B2A41">
        <w:t xml:space="preserve"> </w:t>
      </w:r>
      <w:r w:rsidRPr="00B02247">
        <w:t>through</w:t>
      </w:r>
      <w:r w:rsidR="005B2A41">
        <w:t xml:space="preserve"> </w:t>
      </w:r>
      <w:r w:rsidRPr="00B02247">
        <w:t>mediation</w:t>
      </w:r>
      <w:r w:rsidR="005B2A41">
        <w:t xml:space="preserve"> </w:t>
      </w:r>
      <w:r w:rsidRPr="00B02247">
        <w:t>or,</w:t>
      </w:r>
      <w:r w:rsidR="005B2A41">
        <w:t xml:space="preserve"> </w:t>
      </w:r>
      <w:r w:rsidRPr="00B02247">
        <w:t>in</w:t>
      </w:r>
      <w:r w:rsidR="005B2A41">
        <w:t xml:space="preserve"> </w:t>
      </w:r>
      <w:r w:rsidRPr="00B02247">
        <w:t>case</w:t>
      </w:r>
      <w:r w:rsidR="005B2A41">
        <w:t xml:space="preserve"> </w:t>
      </w:r>
      <w:r w:rsidRPr="00B02247">
        <w:t>the</w:t>
      </w:r>
      <w:r w:rsidR="005B2A41">
        <w:t xml:space="preserve"> </w:t>
      </w:r>
      <w:r w:rsidRPr="00B02247">
        <w:t>latter</w:t>
      </w:r>
      <w:r w:rsidR="005B2A41">
        <w:t xml:space="preserve"> </w:t>
      </w:r>
      <w:r w:rsidRPr="00B02247">
        <w:t>does</w:t>
      </w:r>
      <w:r w:rsidR="005B2A41">
        <w:t xml:space="preserve"> </w:t>
      </w:r>
      <w:r w:rsidRPr="00B02247">
        <w:t>not</w:t>
      </w:r>
      <w:r w:rsidR="005B2A41">
        <w:t xml:space="preserve"> </w:t>
      </w:r>
      <w:r w:rsidRPr="00B02247">
        <w:t>produce</w:t>
      </w:r>
      <w:r w:rsidR="005B2A41">
        <w:t xml:space="preserve"> </w:t>
      </w:r>
      <w:r w:rsidRPr="00B02247">
        <w:t>satisfactory</w:t>
      </w:r>
      <w:r w:rsidR="005B2A41">
        <w:t xml:space="preserve"> </w:t>
      </w:r>
      <w:r w:rsidRPr="00B02247">
        <w:t>results,</w:t>
      </w:r>
      <w:r w:rsidR="005B2A41">
        <w:t xml:space="preserve"> </w:t>
      </w:r>
      <w:r w:rsidRPr="00B02247">
        <w:t>by</w:t>
      </w:r>
      <w:r w:rsidR="005B2A41">
        <w:t xml:space="preserve"> </w:t>
      </w:r>
      <w:r w:rsidRPr="00B02247">
        <w:t>forwarding</w:t>
      </w:r>
      <w:r w:rsidR="005B2A41">
        <w:t xml:space="preserve"> </w:t>
      </w:r>
      <w:r w:rsidRPr="00B02247">
        <w:t>its</w:t>
      </w:r>
      <w:r w:rsidR="005B2A41">
        <w:t xml:space="preserve"> </w:t>
      </w:r>
      <w:r w:rsidRPr="00B02247">
        <w:t>findings</w:t>
      </w:r>
      <w:r w:rsidR="005B2A41">
        <w:t xml:space="preserve"> </w:t>
      </w:r>
      <w:r w:rsidRPr="00B02247">
        <w:t>to</w:t>
      </w:r>
      <w:r w:rsidR="005B2A41">
        <w:t xml:space="preserve"> </w:t>
      </w:r>
      <w:r w:rsidRPr="00B02247">
        <w:t>the</w:t>
      </w:r>
      <w:r w:rsidR="005B2A41">
        <w:t xml:space="preserve"> </w:t>
      </w:r>
      <w:r w:rsidRPr="00B02247">
        <w:t>body</w:t>
      </w:r>
      <w:r w:rsidR="005B2A41">
        <w:t xml:space="preserve"> </w:t>
      </w:r>
      <w:r w:rsidRPr="00B02247">
        <w:t>responsible</w:t>
      </w:r>
      <w:r w:rsidR="005B2A41">
        <w:t xml:space="preserve"> </w:t>
      </w:r>
      <w:r w:rsidRPr="00B02247">
        <w:t>for</w:t>
      </w:r>
      <w:r w:rsidR="005B2A41">
        <w:t xml:space="preserve"> </w:t>
      </w:r>
      <w:r w:rsidRPr="00B02247">
        <w:t>taking</w:t>
      </w:r>
      <w:r w:rsidR="005B2A41">
        <w:t xml:space="preserve"> </w:t>
      </w:r>
      <w:r w:rsidRPr="00B02247">
        <w:t>disciplinary</w:t>
      </w:r>
      <w:r w:rsidR="005B2A41">
        <w:t xml:space="preserve"> </w:t>
      </w:r>
      <w:r w:rsidRPr="00B02247">
        <w:t>action</w:t>
      </w:r>
      <w:r w:rsidR="005B2A41">
        <w:t xml:space="preserve"> </w:t>
      </w:r>
      <w:r w:rsidRPr="00B02247">
        <w:t>or</w:t>
      </w:r>
      <w:r w:rsidR="005B2A41">
        <w:t xml:space="preserve"> </w:t>
      </w:r>
      <w:r w:rsidRPr="00B02247">
        <w:t>imposing</w:t>
      </w:r>
      <w:r w:rsidR="005B2A41">
        <w:t xml:space="preserve"> </w:t>
      </w:r>
      <w:r w:rsidRPr="00B02247">
        <w:t>sanctions,</w:t>
      </w:r>
      <w:r w:rsidR="005B2A41">
        <w:t xml:space="preserve"> </w:t>
      </w:r>
      <w:r w:rsidRPr="00B02247">
        <w:t>conducts</w:t>
      </w:r>
      <w:r w:rsidR="005B2A41">
        <w:t xml:space="preserve"> </w:t>
      </w:r>
      <w:r w:rsidRPr="00B02247">
        <w:t>investigations</w:t>
      </w:r>
      <w:r w:rsidR="005B2A41">
        <w:t xml:space="preserve"> </w:t>
      </w:r>
      <w:r w:rsidRPr="00B02247">
        <w:t>with</w:t>
      </w:r>
      <w:r w:rsidR="005B2A41">
        <w:t xml:space="preserve"> </w:t>
      </w:r>
      <w:r w:rsidRPr="00B02247">
        <w:t>regard</w:t>
      </w:r>
      <w:r w:rsidR="005B2A41">
        <w:t xml:space="preserve"> </w:t>
      </w:r>
      <w:r w:rsidRPr="00B02247">
        <w:t>to</w:t>
      </w:r>
      <w:r w:rsidR="005B2A41">
        <w:t xml:space="preserve"> </w:t>
      </w:r>
      <w:r w:rsidRPr="00B02247">
        <w:t>the</w:t>
      </w:r>
      <w:r w:rsidR="005B2A41">
        <w:t xml:space="preserve"> </w:t>
      </w:r>
      <w:r w:rsidRPr="00B02247">
        <w:t>alleged</w:t>
      </w:r>
      <w:r w:rsidR="005B2A41">
        <w:t xml:space="preserve"> </w:t>
      </w:r>
      <w:r w:rsidRPr="00B02247">
        <w:t>discrimination,</w:t>
      </w:r>
      <w:r w:rsidR="005B2A41">
        <w:t xml:space="preserve"> </w:t>
      </w:r>
      <w:r w:rsidRPr="00B02247">
        <w:t>following</w:t>
      </w:r>
      <w:r w:rsidR="005B2A41">
        <w:t xml:space="preserve"> </w:t>
      </w:r>
      <w:r w:rsidRPr="00B02247">
        <w:t>a</w:t>
      </w:r>
      <w:r w:rsidR="005B2A41">
        <w:t xml:space="preserve"> </w:t>
      </w:r>
      <w:r w:rsidRPr="00B02247">
        <w:t>complaint</w:t>
      </w:r>
      <w:r w:rsidR="005B2A41">
        <w:t xml:space="preserve"> </w:t>
      </w:r>
      <w:r w:rsidRPr="00B02247">
        <w:t>or</w:t>
      </w:r>
      <w:r w:rsidR="005B2A41">
        <w:t xml:space="preserve"> </w:t>
      </w:r>
      <w:r w:rsidRPr="00B02247">
        <w:t>on</w:t>
      </w:r>
      <w:r w:rsidR="005B2A41">
        <w:t xml:space="preserve"> </w:t>
      </w:r>
      <w:r w:rsidRPr="00B02247">
        <w:t>its</w:t>
      </w:r>
      <w:r w:rsidR="005B2A41">
        <w:t xml:space="preserve"> </w:t>
      </w:r>
      <w:r w:rsidRPr="00B02247">
        <w:t>own</w:t>
      </w:r>
      <w:r w:rsidR="005B2A41">
        <w:t xml:space="preserve"> </w:t>
      </w:r>
      <w:r w:rsidRPr="00B02247">
        <w:t>initiative,</w:t>
      </w:r>
      <w:r w:rsidR="005B2A41">
        <w:t xml:space="preserve"> </w:t>
      </w:r>
      <w:r w:rsidRPr="00B02247">
        <w:t>publishes</w:t>
      </w:r>
      <w:r w:rsidR="005B2A41">
        <w:t xml:space="preserve"> </w:t>
      </w:r>
      <w:r w:rsidRPr="00B02247">
        <w:t>relevant</w:t>
      </w:r>
      <w:r w:rsidR="005B2A41">
        <w:t xml:space="preserve"> </w:t>
      </w:r>
      <w:r w:rsidRPr="00B02247">
        <w:t>reports</w:t>
      </w:r>
      <w:r w:rsidR="005B2A41">
        <w:t xml:space="preserve"> </w:t>
      </w:r>
      <w:r w:rsidRPr="00B02247">
        <w:t>and</w:t>
      </w:r>
      <w:r w:rsidR="005B2A41">
        <w:t xml:space="preserve"> </w:t>
      </w:r>
      <w:r w:rsidRPr="00B02247">
        <w:t>delivers</w:t>
      </w:r>
      <w:r w:rsidR="005B2A41">
        <w:t xml:space="preserve"> </w:t>
      </w:r>
      <w:r w:rsidRPr="00B02247">
        <w:t>opinions</w:t>
      </w:r>
      <w:r w:rsidR="005B2A41">
        <w:t xml:space="preserve"> </w:t>
      </w:r>
      <w:r w:rsidRPr="00B02247">
        <w:t>on</w:t>
      </w:r>
      <w:r w:rsidR="005B2A41">
        <w:t xml:space="preserve"> </w:t>
      </w:r>
      <w:r w:rsidRPr="00B02247">
        <w:t>the</w:t>
      </w:r>
      <w:r w:rsidR="005B2A41">
        <w:t xml:space="preserve"> </w:t>
      </w:r>
      <w:r w:rsidRPr="00B02247">
        <w:t>interpretation</w:t>
      </w:r>
      <w:r w:rsidR="005B2A41">
        <w:t xml:space="preserve"> </w:t>
      </w:r>
      <w:r w:rsidRPr="00B02247">
        <w:t>of</w:t>
      </w:r>
      <w:r w:rsidR="005B2A41">
        <w:t xml:space="preserve"> </w:t>
      </w:r>
      <w:r w:rsidRPr="00B02247">
        <w:t>the</w:t>
      </w:r>
      <w:r w:rsidR="005B2A41">
        <w:t xml:space="preserve"> </w:t>
      </w:r>
      <w:r w:rsidRPr="00B02247">
        <w:t>Law</w:t>
      </w:r>
      <w:r w:rsidR="005B2A41">
        <w:t xml:space="preserve"> </w:t>
      </w:r>
      <w:r w:rsidRPr="00B02247">
        <w:t>(Article</w:t>
      </w:r>
      <w:r w:rsidR="005B2A41">
        <w:t xml:space="preserve"> </w:t>
      </w:r>
      <w:r w:rsidRPr="00B02247">
        <w:t>14).</w:t>
      </w:r>
      <w:r w:rsidR="005B2A41">
        <w:t xml:space="preserve"> </w:t>
      </w:r>
    </w:p>
    <w:p w:rsidR="00F233AB" w:rsidRPr="00B02247" w:rsidRDefault="00F233AB" w:rsidP="00E1307D">
      <w:pPr>
        <w:pStyle w:val="SingleTxtG"/>
      </w:pPr>
      <w:r w:rsidRPr="00B02247">
        <w:t>173.</w:t>
      </w:r>
      <w:r w:rsidRPr="00B02247">
        <w:tab/>
        <w:t>In</w:t>
      </w:r>
      <w:r w:rsidR="005B2A41">
        <w:t xml:space="preserve"> </w:t>
      </w:r>
      <w:r w:rsidRPr="00B02247">
        <w:t>addition,</w:t>
      </w:r>
      <w:r w:rsidR="005B2A41">
        <w:t xml:space="preserve"> </w:t>
      </w:r>
      <w:r w:rsidRPr="00B02247">
        <w:t>the</w:t>
      </w:r>
      <w:r w:rsidR="005B2A41">
        <w:t xml:space="preserve"> </w:t>
      </w:r>
      <w:r w:rsidRPr="00B02247">
        <w:t>violation</w:t>
      </w:r>
      <w:r w:rsidR="005B2A41">
        <w:t xml:space="preserve"> </w:t>
      </w:r>
      <w:r w:rsidRPr="00B02247">
        <w:t>of</w:t>
      </w:r>
      <w:r w:rsidR="005B2A41">
        <w:t xml:space="preserve"> </w:t>
      </w:r>
      <w:r w:rsidRPr="00B02247">
        <w:t>the</w:t>
      </w:r>
      <w:r w:rsidR="005B2A41">
        <w:t xml:space="preserve"> </w:t>
      </w:r>
      <w:r w:rsidRPr="00B02247">
        <w:t>principle</w:t>
      </w:r>
      <w:r w:rsidR="005B2A41">
        <w:t xml:space="preserve"> </w:t>
      </w:r>
      <w:r w:rsidRPr="00B02247">
        <w:t>of</w:t>
      </w:r>
      <w:r w:rsidR="005B2A41">
        <w:t xml:space="preserve"> </w:t>
      </w:r>
      <w:r w:rsidRPr="00B02247">
        <w:t>the</w:t>
      </w:r>
      <w:r w:rsidR="005B2A41">
        <w:t xml:space="preserve"> </w:t>
      </w:r>
      <w:r w:rsidRPr="00B02247">
        <w:t>equal</w:t>
      </w:r>
      <w:r w:rsidR="005B2A41">
        <w:t xml:space="preserve"> </w:t>
      </w:r>
      <w:r w:rsidRPr="00B02247">
        <w:t>treatment</w:t>
      </w:r>
      <w:r w:rsidR="005B2A41">
        <w:t xml:space="preserve"> </w:t>
      </w:r>
      <w:r w:rsidRPr="00B02247">
        <w:t>at</w:t>
      </w:r>
      <w:r w:rsidR="005B2A41">
        <w:t xml:space="preserve"> </w:t>
      </w:r>
      <w:r w:rsidRPr="00B02247">
        <w:t>work</w:t>
      </w:r>
      <w:r w:rsidR="005B2A41">
        <w:t xml:space="preserve"> </w:t>
      </w:r>
      <w:r w:rsidRPr="00B02247">
        <w:t>and</w:t>
      </w:r>
      <w:r w:rsidR="005B2A41">
        <w:t xml:space="preserve"> </w:t>
      </w:r>
      <w:r w:rsidRPr="00B02247">
        <w:t>employment</w:t>
      </w:r>
      <w:r w:rsidR="005B2A41">
        <w:t xml:space="preserve"> </w:t>
      </w:r>
      <w:r w:rsidRPr="00B02247">
        <w:t>constitutes</w:t>
      </w:r>
      <w:r w:rsidR="005B2A41">
        <w:t xml:space="preserve"> </w:t>
      </w:r>
      <w:r w:rsidRPr="00B02247">
        <w:t>a</w:t>
      </w:r>
      <w:r w:rsidR="005B2A41">
        <w:t xml:space="preserve"> </w:t>
      </w:r>
      <w:r w:rsidRPr="00B02247">
        <w:t>violation</w:t>
      </w:r>
      <w:r w:rsidR="005B2A41">
        <w:t xml:space="preserve"> </w:t>
      </w:r>
      <w:r w:rsidRPr="00B02247">
        <w:t>of</w:t>
      </w:r>
      <w:r w:rsidR="005B2A41">
        <w:t xml:space="preserve"> </w:t>
      </w:r>
      <w:r w:rsidRPr="00B02247">
        <w:t>the</w:t>
      </w:r>
      <w:r w:rsidR="005B2A41">
        <w:t xml:space="preserve"> </w:t>
      </w:r>
      <w:r w:rsidRPr="00B02247">
        <w:t>labor</w:t>
      </w:r>
      <w:r w:rsidR="005B2A41">
        <w:t xml:space="preserve"> </w:t>
      </w:r>
      <w:r w:rsidRPr="00B02247">
        <w:t>law.</w:t>
      </w:r>
      <w:r w:rsidR="005B2A41">
        <w:t xml:space="preserve"> </w:t>
      </w:r>
      <w:r w:rsidRPr="00B02247">
        <w:t>For</w:t>
      </w:r>
      <w:r w:rsidR="005B2A41">
        <w:t xml:space="preserve"> </w:t>
      </w:r>
      <w:r w:rsidRPr="00B02247">
        <w:t>this</w:t>
      </w:r>
      <w:r w:rsidR="005B2A41">
        <w:t xml:space="preserve"> </w:t>
      </w:r>
      <w:r w:rsidRPr="00B02247">
        <w:t>reason,</w:t>
      </w:r>
      <w:r w:rsidR="005B2A41">
        <w:t xml:space="preserve"> </w:t>
      </w:r>
      <w:r w:rsidRPr="00B02247">
        <w:t>the</w:t>
      </w:r>
      <w:r w:rsidR="005B2A41">
        <w:t xml:space="preserve"> </w:t>
      </w:r>
      <w:r w:rsidRPr="00B02247">
        <w:t>Labour</w:t>
      </w:r>
      <w:r w:rsidR="005B2A41">
        <w:t xml:space="preserve"> </w:t>
      </w:r>
      <w:r w:rsidRPr="00B02247">
        <w:t>Inspectorate</w:t>
      </w:r>
      <w:r w:rsidR="005B2A41">
        <w:t xml:space="preserve"> </w:t>
      </w:r>
      <w:r w:rsidRPr="00B02247">
        <w:t>may,</w:t>
      </w:r>
      <w:r w:rsidR="005B2A41">
        <w:t xml:space="preserve"> </w:t>
      </w:r>
      <w:r w:rsidRPr="00B02247">
        <w:t>among</w:t>
      </w:r>
      <w:r w:rsidR="005B2A41">
        <w:t xml:space="preserve"> </w:t>
      </w:r>
      <w:r w:rsidRPr="00B02247">
        <w:t>others,</w:t>
      </w:r>
      <w:r w:rsidR="005B2A41">
        <w:t xml:space="preserve"> </w:t>
      </w:r>
      <w:r w:rsidRPr="00B02247">
        <w:t>conduct</w:t>
      </w:r>
      <w:r w:rsidR="005B2A41">
        <w:t xml:space="preserve"> </w:t>
      </w:r>
      <w:r w:rsidRPr="00B02247">
        <w:t>researches</w:t>
      </w:r>
      <w:r w:rsidR="005B2A41">
        <w:t xml:space="preserve"> </w:t>
      </w:r>
      <w:r w:rsidRPr="00B02247">
        <w:t>for</w:t>
      </w:r>
      <w:r w:rsidR="005B2A41">
        <w:t xml:space="preserve"> </w:t>
      </w:r>
      <w:r w:rsidRPr="00B02247">
        <w:t>the</w:t>
      </w:r>
      <w:r w:rsidR="005B2A41">
        <w:t xml:space="preserve"> </w:t>
      </w:r>
      <w:r w:rsidRPr="00B02247">
        <w:t>implementation</w:t>
      </w:r>
      <w:r w:rsidR="005B2A41">
        <w:t xml:space="preserve"> </w:t>
      </w:r>
      <w:r w:rsidRPr="00B02247">
        <w:t>of</w:t>
      </w:r>
      <w:r w:rsidR="005B2A41">
        <w:t xml:space="preserve"> </w:t>
      </w:r>
      <w:r w:rsidRPr="00B02247">
        <w:t>the</w:t>
      </w:r>
      <w:r w:rsidR="005B2A41">
        <w:t xml:space="preserve"> </w:t>
      </w:r>
      <w:r w:rsidRPr="00B02247">
        <w:t>labor</w:t>
      </w:r>
      <w:r w:rsidR="005B2A41">
        <w:t xml:space="preserve"> </w:t>
      </w:r>
      <w:r w:rsidRPr="00B02247">
        <w:t>law</w:t>
      </w:r>
      <w:r w:rsidR="005B2A41">
        <w:t xml:space="preserve"> </w:t>
      </w:r>
      <w:r w:rsidRPr="00B02247">
        <w:t>provisions,</w:t>
      </w:r>
      <w:r w:rsidR="005B2A41">
        <w:t xml:space="preserve"> </w:t>
      </w:r>
      <w:r w:rsidRPr="00B02247">
        <w:t>examine</w:t>
      </w:r>
      <w:r w:rsidR="005B2A41">
        <w:t xml:space="preserve"> </w:t>
      </w:r>
      <w:r w:rsidRPr="00B02247">
        <w:t>complaints</w:t>
      </w:r>
      <w:r w:rsidR="005B2A41">
        <w:t xml:space="preserve"> </w:t>
      </w:r>
      <w:r w:rsidRPr="00B02247">
        <w:t>filed</w:t>
      </w:r>
      <w:r w:rsidR="005B2A41">
        <w:t xml:space="preserve"> </w:t>
      </w:r>
      <w:r w:rsidRPr="00B02247">
        <w:t>by</w:t>
      </w:r>
      <w:r w:rsidR="005B2A41">
        <w:t xml:space="preserve"> </w:t>
      </w:r>
      <w:r w:rsidRPr="00B02247">
        <w:t>discrimination</w:t>
      </w:r>
      <w:r w:rsidR="005B2A41">
        <w:t xml:space="preserve"> </w:t>
      </w:r>
      <w:r w:rsidRPr="00B02247">
        <w:t>victims,</w:t>
      </w:r>
      <w:r w:rsidR="005B2A41">
        <w:t xml:space="preserve"> </w:t>
      </w:r>
      <w:r w:rsidRPr="00B02247">
        <w:t>inform</w:t>
      </w:r>
      <w:r w:rsidR="005B2A41">
        <w:t xml:space="preserve"> </w:t>
      </w:r>
      <w:r w:rsidRPr="00B02247">
        <w:t>the</w:t>
      </w:r>
      <w:r w:rsidR="005B2A41">
        <w:t xml:space="preserve"> </w:t>
      </w:r>
      <w:r w:rsidRPr="00B02247">
        <w:t>citizens</w:t>
      </w:r>
      <w:r w:rsidR="005B2A41">
        <w:t xml:space="preserve"> </w:t>
      </w:r>
      <w:r w:rsidRPr="00B02247">
        <w:t>regarding</w:t>
      </w:r>
      <w:r w:rsidR="005B2A41">
        <w:t xml:space="preserve"> </w:t>
      </w:r>
      <w:r w:rsidRPr="00B02247">
        <w:t>their</w:t>
      </w:r>
      <w:r w:rsidR="005B2A41">
        <w:t xml:space="preserve"> </w:t>
      </w:r>
      <w:r w:rsidRPr="00B02247">
        <w:t>rights</w:t>
      </w:r>
      <w:r w:rsidR="005B2A41">
        <w:t xml:space="preserve"> </w:t>
      </w:r>
      <w:r w:rsidRPr="00B02247">
        <w:t>prescribed</w:t>
      </w:r>
      <w:r w:rsidR="005B2A41">
        <w:t xml:space="preserve"> </w:t>
      </w:r>
      <w:r w:rsidRPr="00B02247">
        <w:t>in</w:t>
      </w:r>
      <w:r w:rsidR="005B2A41">
        <w:t xml:space="preserve"> </w:t>
      </w:r>
      <w:r w:rsidRPr="00B02247">
        <w:t>Law</w:t>
      </w:r>
      <w:r w:rsidR="005B2A41">
        <w:t xml:space="preserve"> </w:t>
      </w:r>
      <w:r w:rsidRPr="00B02247">
        <w:t>4443/2016,</w:t>
      </w:r>
      <w:r w:rsidR="005B2A41">
        <w:t xml:space="preserve"> </w:t>
      </w:r>
      <w:r w:rsidRPr="00B02247">
        <w:t>undertake</w:t>
      </w:r>
      <w:r w:rsidR="005B2A41">
        <w:t xml:space="preserve"> </w:t>
      </w:r>
      <w:r w:rsidRPr="00B02247">
        <w:t>conciliation</w:t>
      </w:r>
      <w:r w:rsidR="005B2A41">
        <w:t xml:space="preserve"> </w:t>
      </w:r>
      <w:r w:rsidRPr="00B02247">
        <w:t>actions</w:t>
      </w:r>
      <w:r w:rsidR="005B2A41">
        <w:t xml:space="preserve"> </w:t>
      </w:r>
      <w:r w:rsidRPr="00B02247">
        <w:t>for</w:t>
      </w:r>
      <w:r w:rsidR="005B2A41">
        <w:t xml:space="preserve"> </w:t>
      </w:r>
      <w:r w:rsidRPr="00B02247">
        <w:t>the</w:t>
      </w:r>
      <w:r w:rsidR="005B2A41">
        <w:t xml:space="preserve"> </w:t>
      </w:r>
      <w:r w:rsidRPr="00B02247">
        <w:t>resolution</w:t>
      </w:r>
      <w:r w:rsidR="005B2A41">
        <w:t xml:space="preserve"> </w:t>
      </w:r>
      <w:r w:rsidRPr="00B02247">
        <w:t>of</w:t>
      </w:r>
      <w:r w:rsidR="005B2A41">
        <w:t xml:space="preserve"> </w:t>
      </w:r>
      <w:r w:rsidRPr="00B02247">
        <w:t>individual</w:t>
      </w:r>
      <w:r w:rsidR="005B2A41">
        <w:t xml:space="preserve"> </w:t>
      </w:r>
      <w:r w:rsidRPr="00B02247">
        <w:t>or</w:t>
      </w:r>
      <w:r w:rsidR="005B2A41">
        <w:t xml:space="preserve"> </w:t>
      </w:r>
      <w:r w:rsidRPr="00B02247">
        <w:t>collective</w:t>
      </w:r>
      <w:r w:rsidR="005B2A41">
        <w:t xml:space="preserve"> </w:t>
      </w:r>
      <w:r w:rsidRPr="00B02247">
        <w:t>labour</w:t>
      </w:r>
      <w:r w:rsidR="005B2A41">
        <w:t xml:space="preserve"> </w:t>
      </w:r>
      <w:r w:rsidRPr="00B02247">
        <w:t>disputes</w:t>
      </w:r>
      <w:r w:rsidR="005B2A41">
        <w:t xml:space="preserve"> </w:t>
      </w:r>
      <w:r w:rsidRPr="00B02247">
        <w:t>between</w:t>
      </w:r>
      <w:r w:rsidR="005B2A41">
        <w:t xml:space="preserve"> </w:t>
      </w:r>
      <w:r w:rsidRPr="00B02247">
        <w:t>employers</w:t>
      </w:r>
      <w:r w:rsidR="005B2A41">
        <w:t xml:space="preserve"> </w:t>
      </w:r>
      <w:r w:rsidRPr="00B02247">
        <w:t>and</w:t>
      </w:r>
      <w:r w:rsidR="005B2A41">
        <w:t xml:space="preserve"> </w:t>
      </w:r>
      <w:r w:rsidRPr="00B02247">
        <w:t>employees.</w:t>
      </w:r>
      <w:r w:rsidR="005B2A41">
        <w:t xml:space="preserve"> </w:t>
      </w:r>
      <w:r w:rsidRPr="00B02247">
        <w:t>According</w:t>
      </w:r>
      <w:r w:rsidR="005B2A41">
        <w:t xml:space="preserve"> </w:t>
      </w:r>
      <w:r w:rsidRPr="00B02247">
        <w:t>to</w:t>
      </w:r>
      <w:r w:rsidR="005B2A41">
        <w:t xml:space="preserve"> </w:t>
      </w:r>
      <w:r w:rsidRPr="00B02247">
        <w:t>article</w:t>
      </w:r>
      <w:r w:rsidR="005B2A41">
        <w:t xml:space="preserve"> </w:t>
      </w:r>
      <w:r w:rsidRPr="00B02247">
        <w:t>24</w:t>
      </w:r>
      <w:r w:rsidR="005B2A41">
        <w:t xml:space="preserve"> </w:t>
      </w:r>
      <w:r w:rsidRPr="00B02247">
        <w:t>of</w:t>
      </w:r>
      <w:r w:rsidR="005B2A41">
        <w:t xml:space="preserve"> </w:t>
      </w:r>
      <w:r w:rsidRPr="00B02247">
        <w:t>Law.</w:t>
      </w:r>
      <w:r w:rsidR="005B2A41">
        <w:t xml:space="preserve"> </w:t>
      </w:r>
      <w:r w:rsidRPr="00B02247">
        <w:t>3996/2011,</w:t>
      </w:r>
      <w:r w:rsidR="005B2A41">
        <w:t xml:space="preserve"> </w:t>
      </w:r>
      <w:r w:rsidRPr="00B02247">
        <w:t>the</w:t>
      </w:r>
      <w:r w:rsidR="005B2A41">
        <w:t xml:space="preserve"> </w:t>
      </w:r>
      <w:r w:rsidRPr="00B02247">
        <w:t>Labour</w:t>
      </w:r>
      <w:r w:rsidR="005B2A41">
        <w:t xml:space="preserve"> </w:t>
      </w:r>
      <w:r w:rsidRPr="00B02247">
        <w:t>Inspectorate</w:t>
      </w:r>
      <w:r w:rsidR="005B2A41">
        <w:t xml:space="preserve"> </w:t>
      </w:r>
      <w:r w:rsidRPr="00B02247">
        <w:t>may</w:t>
      </w:r>
      <w:r w:rsidR="005B2A41">
        <w:t xml:space="preserve"> </w:t>
      </w:r>
      <w:r w:rsidRPr="00B02247">
        <w:t>impose</w:t>
      </w:r>
      <w:r w:rsidR="005B2A41">
        <w:t xml:space="preserve"> </w:t>
      </w:r>
      <w:r w:rsidRPr="00B02247">
        <w:t>administrative</w:t>
      </w:r>
      <w:r w:rsidR="005B2A41">
        <w:t xml:space="preserve"> </w:t>
      </w:r>
      <w:r w:rsidRPr="00B02247">
        <w:t>fines.</w:t>
      </w:r>
      <w:r w:rsidR="005B2A41">
        <w:t xml:space="preserve"> </w:t>
      </w:r>
      <w:r w:rsidRPr="00B02247">
        <w:t>In</w:t>
      </w:r>
      <w:r w:rsidR="005B2A41">
        <w:t xml:space="preserve"> </w:t>
      </w:r>
      <w:r w:rsidRPr="00B02247">
        <w:t>any</w:t>
      </w:r>
      <w:r w:rsidR="005B2A41">
        <w:t xml:space="preserve"> </w:t>
      </w:r>
      <w:r w:rsidRPr="00B02247">
        <w:t>case,</w:t>
      </w:r>
      <w:r w:rsidR="005B2A41">
        <w:t xml:space="preserve"> </w:t>
      </w:r>
      <w:r w:rsidRPr="00B02247">
        <w:t>the</w:t>
      </w:r>
      <w:r w:rsidR="005B2A41">
        <w:t xml:space="preserve"> </w:t>
      </w:r>
      <w:r w:rsidRPr="00B02247">
        <w:t>Labour</w:t>
      </w:r>
      <w:r w:rsidR="005B2A41">
        <w:t xml:space="preserve"> </w:t>
      </w:r>
      <w:r w:rsidRPr="00B02247">
        <w:t>Inspectorate</w:t>
      </w:r>
      <w:r w:rsidR="005B2A41">
        <w:t xml:space="preserve"> </w:t>
      </w:r>
      <w:r w:rsidRPr="00B02247">
        <w:t>cooperates</w:t>
      </w:r>
      <w:r w:rsidR="005B2A41">
        <w:t xml:space="preserve"> </w:t>
      </w:r>
      <w:r w:rsidRPr="00B02247">
        <w:t>closely</w:t>
      </w:r>
      <w:r w:rsidR="005B2A41">
        <w:t xml:space="preserve"> </w:t>
      </w:r>
      <w:r w:rsidRPr="00B02247">
        <w:t>with</w:t>
      </w:r>
      <w:r w:rsidR="005B2A41">
        <w:t xml:space="preserve"> </w:t>
      </w:r>
      <w:r w:rsidRPr="00B02247">
        <w:t>the</w:t>
      </w:r>
      <w:r w:rsidR="005B2A41">
        <w:t xml:space="preserve"> </w:t>
      </w:r>
      <w:r w:rsidRPr="00B02247">
        <w:t>Office</w:t>
      </w:r>
      <w:r w:rsidR="005B2A41">
        <w:t xml:space="preserve"> </w:t>
      </w:r>
      <w:r w:rsidRPr="00B02247">
        <w:t>of</w:t>
      </w:r>
      <w:r w:rsidR="005B2A41">
        <w:t xml:space="preserve"> </w:t>
      </w:r>
      <w:r w:rsidRPr="00B02247">
        <w:t>the</w:t>
      </w:r>
      <w:r w:rsidR="005B2A41">
        <w:t xml:space="preserve"> </w:t>
      </w:r>
      <w:r w:rsidRPr="00B02247">
        <w:t>Ombudsman.</w:t>
      </w:r>
      <w:r w:rsidR="005B2A41">
        <w:t xml:space="preserve"> </w:t>
      </w:r>
    </w:p>
    <w:p w:rsidR="00F233AB" w:rsidRPr="00B02247" w:rsidRDefault="00F233AB" w:rsidP="00E1307D">
      <w:pPr>
        <w:pStyle w:val="SingleTxtG"/>
      </w:pPr>
      <w:r w:rsidRPr="00B02247">
        <w:t>174.</w:t>
      </w:r>
      <w:r w:rsidRPr="00B02247">
        <w:tab/>
        <w:t>As</w:t>
      </w:r>
      <w:r w:rsidR="005B2A41">
        <w:t xml:space="preserve"> </w:t>
      </w:r>
      <w:r w:rsidRPr="00B02247">
        <w:t>authorities</w:t>
      </w:r>
      <w:r w:rsidR="005B2A41">
        <w:t xml:space="preserve"> </w:t>
      </w:r>
      <w:r w:rsidRPr="00B02247">
        <w:t>and</w:t>
      </w:r>
      <w:r w:rsidR="005B2A41">
        <w:t xml:space="preserve"> </w:t>
      </w:r>
      <w:r w:rsidRPr="00B02247">
        <w:t>Services</w:t>
      </w:r>
      <w:r w:rsidR="005B2A41">
        <w:t xml:space="preserve"> </w:t>
      </w:r>
      <w:r w:rsidRPr="00B02247">
        <w:t>responsible</w:t>
      </w:r>
      <w:r w:rsidR="005B2A41">
        <w:t xml:space="preserve"> </w:t>
      </w:r>
      <w:r w:rsidRPr="00B02247">
        <w:t>for</w:t>
      </w:r>
      <w:r w:rsidR="005B2A41">
        <w:t xml:space="preserve"> </w:t>
      </w:r>
      <w:r w:rsidRPr="00B02247">
        <w:t>monitoring</w:t>
      </w:r>
      <w:r w:rsidR="005B2A41">
        <w:t xml:space="preserve"> </w:t>
      </w:r>
      <w:r w:rsidRPr="00B02247">
        <w:t>and</w:t>
      </w:r>
      <w:r w:rsidR="005B2A41">
        <w:t xml:space="preserve"> </w:t>
      </w:r>
      <w:r w:rsidRPr="00B02247">
        <w:t>promoting</w:t>
      </w:r>
      <w:r w:rsidR="005B2A41">
        <w:t xml:space="preserve"> </w:t>
      </w:r>
      <w:r w:rsidRPr="00B02247">
        <w:t>the</w:t>
      </w:r>
      <w:r w:rsidR="005B2A41">
        <w:t xml:space="preserve"> </w:t>
      </w:r>
      <w:r w:rsidRPr="00B02247">
        <w:t>principle</w:t>
      </w:r>
      <w:r w:rsidR="005B2A41">
        <w:t xml:space="preserve"> </w:t>
      </w:r>
      <w:r w:rsidRPr="00B02247">
        <w:t>of</w:t>
      </w:r>
      <w:r w:rsidR="005B2A41">
        <w:t xml:space="preserve"> </w:t>
      </w:r>
      <w:r w:rsidRPr="00B02247">
        <w:t>equal</w:t>
      </w:r>
      <w:r w:rsidR="005B2A41">
        <w:t xml:space="preserve"> </w:t>
      </w:r>
      <w:r w:rsidRPr="00B02247">
        <w:t>treatment</w:t>
      </w:r>
      <w:r w:rsidR="005B2A41">
        <w:t xml:space="preserve"> </w:t>
      </w:r>
      <w:r w:rsidRPr="00B02247">
        <w:t>have</w:t>
      </w:r>
      <w:r w:rsidR="005B2A41">
        <w:t xml:space="preserve"> </w:t>
      </w:r>
      <w:r w:rsidRPr="00B02247">
        <w:t>been</w:t>
      </w:r>
      <w:r w:rsidR="005B2A41">
        <w:t xml:space="preserve"> </w:t>
      </w:r>
      <w:r w:rsidRPr="00B02247">
        <w:t>designated</w:t>
      </w:r>
      <w:r w:rsidR="005B2A41">
        <w:t xml:space="preserve"> </w:t>
      </w:r>
      <w:r w:rsidRPr="00B02247">
        <w:t>all</w:t>
      </w:r>
      <w:r w:rsidR="005B2A41">
        <w:t xml:space="preserve"> </w:t>
      </w:r>
      <w:r w:rsidRPr="00B02247">
        <w:t>the</w:t>
      </w:r>
      <w:r w:rsidR="005B2A41">
        <w:t xml:space="preserve"> </w:t>
      </w:r>
      <w:r w:rsidRPr="00B02247">
        <w:t>independent</w:t>
      </w:r>
      <w:r w:rsidR="005B2A41">
        <w:t xml:space="preserve"> </w:t>
      </w:r>
      <w:r w:rsidRPr="00B02247">
        <w:t>authorities,</w:t>
      </w:r>
      <w:r w:rsidR="005B2A41">
        <w:t xml:space="preserve"> </w:t>
      </w:r>
      <w:r w:rsidRPr="00B02247">
        <w:t>in</w:t>
      </w:r>
      <w:r w:rsidR="005B2A41">
        <w:t xml:space="preserve"> </w:t>
      </w:r>
      <w:r w:rsidRPr="00B02247">
        <w:t>the</w:t>
      </w:r>
      <w:r w:rsidR="005B2A41">
        <w:t xml:space="preserve"> </w:t>
      </w:r>
      <w:r w:rsidRPr="00B02247">
        <w:t>framework</w:t>
      </w:r>
      <w:r w:rsidR="005B2A41">
        <w:t xml:space="preserve"> </w:t>
      </w:r>
      <w:r w:rsidRPr="00B02247">
        <w:t>of</w:t>
      </w:r>
      <w:r w:rsidR="005B2A41">
        <w:t xml:space="preserve"> </w:t>
      </w:r>
      <w:r w:rsidRPr="00B02247">
        <w:t>exercising</w:t>
      </w:r>
      <w:r w:rsidR="005B2A41">
        <w:t xml:space="preserve"> </w:t>
      </w:r>
      <w:r w:rsidRPr="00B02247">
        <w:t>their</w:t>
      </w:r>
      <w:r w:rsidR="005B2A41">
        <w:t xml:space="preserve"> </w:t>
      </w:r>
      <w:r w:rsidRPr="00B02247">
        <w:t>main</w:t>
      </w:r>
      <w:r w:rsidR="005B2A41">
        <w:t xml:space="preserve"> </w:t>
      </w:r>
      <w:r w:rsidRPr="00B02247">
        <w:t>responsibilities,</w:t>
      </w:r>
      <w:r w:rsidR="005B2A41">
        <w:t xml:space="preserve"> </w:t>
      </w:r>
      <w:r w:rsidRPr="00B02247">
        <w:t>the</w:t>
      </w:r>
      <w:r w:rsidR="005B2A41">
        <w:t xml:space="preserve"> </w:t>
      </w:r>
      <w:r w:rsidRPr="00B02247">
        <w:t>General</w:t>
      </w:r>
      <w:r w:rsidR="005B2A41">
        <w:t xml:space="preserve"> </w:t>
      </w:r>
      <w:r w:rsidRPr="00B02247">
        <w:t>Secretariat</w:t>
      </w:r>
      <w:r w:rsidR="005B2A41">
        <w:t xml:space="preserve"> </w:t>
      </w:r>
      <w:r w:rsidRPr="00B02247">
        <w:t>of</w:t>
      </w:r>
      <w:r w:rsidR="005B2A41">
        <w:t xml:space="preserve"> </w:t>
      </w:r>
      <w:r w:rsidRPr="00B02247">
        <w:t>Transparency</w:t>
      </w:r>
      <w:r w:rsidR="005B2A41">
        <w:t xml:space="preserve"> </w:t>
      </w:r>
      <w:r w:rsidRPr="00B02247">
        <w:t>and</w:t>
      </w:r>
      <w:r w:rsidR="005B2A41">
        <w:t xml:space="preserve"> </w:t>
      </w:r>
      <w:r w:rsidRPr="00B02247">
        <w:t>Human</w:t>
      </w:r>
      <w:r w:rsidR="005B2A41">
        <w:t xml:space="preserve"> </w:t>
      </w:r>
      <w:r w:rsidRPr="00B02247">
        <w:t>Rights</w:t>
      </w:r>
      <w:r w:rsidR="005B2A41">
        <w:t xml:space="preserve"> </w:t>
      </w:r>
      <w:r w:rsidRPr="00B02247">
        <w:t>of</w:t>
      </w:r>
      <w:r w:rsidR="005B2A41">
        <w:t xml:space="preserve"> </w:t>
      </w:r>
      <w:r w:rsidRPr="00B02247">
        <w:t>the</w:t>
      </w:r>
      <w:r w:rsidR="005B2A41">
        <w:t xml:space="preserve"> </w:t>
      </w:r>
      <w:r w:rsidRPr="00B02247">
        <w:t>Ministry</w:t>
      </w:r>
      <w:r w:rsidR="005B2A41">
        <w:t xml:space="preserve"> </w:t>
      </w:r>
      <w:r w:rsidRPr="00B02247">
        <w:t>of</w:t>
      </w:r>
      <w:r w:rsidR="005B2A41">
        <w:t xml:space="preserve"> </w:t>
      </w:r>
      <w:r w:rsidRPr="00B02247">
        <w:t>Justice,</w:t>
      </w:r>
      <w:r w:rsidR="005B2A41">
        <w:t xml:space="preserve"> </w:t>
      </w:r>
      <w:r w:rsidRPr="00B02247">
        <w:t>Transparency</w:t>
      </w:r>
      <w:r w:rsidR="005B2A41">
        <w:t xml:space="preserve"> </w:t>
      </w:r>
      <w:r w:rsidRPr="00B02247">
        <w:t>and</w:t>
      </w:r>
      <w:r w:rsidR="005B2A41">
        <w:t xml:space="preserve"> </w:t>
      </w:r>
      <w:r w:rsidRPr="00B02247">
        <w:t>Human</w:t>
      </w:r>
      <w:r w:rsidR="005B2A41">
        <w:t xml:space="preserve"> </w:t>
      </w:r>
      <w:r w:rsidRPr="00B02247">
        <w:t>Rights,</w:t>
      </w:r>
      <w:r w:rsidR="005B2A41">
        <w:t xml:space="preserve"> </w:t>
      </w:r>
      <w:r w:rsidRPr="00B02247">
        <w:t>the</w:t>
      </w:r>
      <w:r w:rsidR="005B2A41">
        <w:t xml:space="preserve"> </w:t>
      </w:r>
      <w:r w:rsidRPr="00B02247">
        <w:t>Department</w:t>
      </w:r>
      <w:r w:rsidR="005B2A41">
        <w:t xml:space="preserve"> </w:t>
      </w:r>
      <w:r w:rsidRPr="00B02247">
        <w:t>of</w:t>
      </w:r>
      <w:r w:rsidR="005B2A41">
        <w:t xml:space="preserve"> </w:t>
      </w:r>
      <w:r w:rsidRPr="00B02247">
        <w:t>Social</w:t>
      </w:r>
      <w:r w:rsidR="005B2A41">
        <w:t xml:space="preserve"> </w:t>
      </w:r>
      <w:r w:rsidRPr="00B02247">
        <w:t>Protection</w:t>
      </w:r>
      <w:r w:rsidR="005B2A41">
        <w:t xml:space="preserve"> </w:t>
      </w:r>
      <w:r w:rsidRPr="00B02247">
        <w:t>and</w:t>
      </w:r>
      <w:r w:rsidR="005B2A41">
        <w:t xml:space="preserve"> </w:t>
      </w:r>
      <w:r w:rsidRPr="00B02247">
        <w:t>Social</w:t>
      </w:r>
      <w:r w:rsidR="005B2A41">
        <w:t xml:space="preserve"> </w:t>
      </w:r>
      <w:r w:rsidRPr="00B02247">
        <w:t>Cohesion</w:t>
      </w:r>
      <w:r w:rsidR="005B2A41">
        <w:t xml:space="preserve"> </w:t>
      </w:r>
      <w:r w:rsidRPr="00B02247">
        <w:t>of</w:t>
      </w:r>
      <w:r w:rsidR="005B2A41">
        <w:t xml:space="preserve"> </w:t>
      </w:r>
      <w:r w:rsidRPr="00B02247">
        <w:t>the</w:t>
      </w:r>
      <w:r w:rsidR="005B2A41">
        <w:t xml:space="preserve"> </w:t>
      </w:r>
      <w:r w:rsidRPr="00B02247">
        <w:t>Ministry</w:t>
      </w:r>
      <w:r w:rsidR="005B2A41">
        <w:t xml:space="preserve"> </w:t>
      </w:r>
      <w:r w:rsidRPr="00B02247">
        <w:t>of</w:t>
      </w:r>
      <w:r w:rsidR="005B2A41">
        <w:t xml:space="preserve"> </w:t>
      </w:r>
      <w:r w:rsidRPr="00B02247">
        <w:t>Labour,</w:t>
      </w:r>
      <w:r w:rsidR="005B2A41">
        <w:t xml:space="preserve"> </w:t>
      </w:r>
      <w:r w:rsidRPr="00B02247">
        <w:t>Social</w:t>
      </w:r>
      <w:r w:rsidR="005B2A41">
        <w:t xml:space="preserve"> </w:t>
      </w:r>
      <w:r w:rsidRPr="00B02247">
        <w:t>Security</w:t>
      </w:r>
      <w:r w:rsidR="005B2A41">
        <w:t xml:space="preserve"> </w:t>
      </w:r>
      <w:r w:rsidRPr="00B02247">
        <w:t>and</w:t>
      </w:r>
      <w:r w:rsidR="005B2A41">
        <w:t xml:space="preserve"> </w:t>
      </w:r>
      <w:r w:rsidRPr="00B02247">
        <w:t>Social</w:t>
      </w:r>
      <w:r w:rsidR="005B2A41">
        <w:t xml:space="preserve"> </w:t>
      </w:r>
      <w:r w:rsidRPr="00B02247">
        <w:t>Solidarity,</w:t>
      </w:r>
      <w:r w:rsidR="005B2A41">
        <w:t xml:space="preserve"> </w:t>
      </w:r>
      <w:r w:rsidRPr="00B02247">
        <w:t>as</w:t>
      </w:r>
      <w:r w:rsidR="005B2A41">
        <w:t xml:space="preserve"> </w:t>
      </w:r>
      <w:r w:rsidRPr="00B02247">
        <w:t>well</w:t>
      </w:r>
      <w:r w:rsidR="005B2A41">
        <w:t xml:space="preserve"> </w:t>
      </w:r>
      <w:r w:rsidRPr="00B02247">
        <w:t>as</w:t>
      </w:r>
      <w:r w:rsidR="005B2A41">
        <w:t xml:space="preserve"> </w:t>
      </w:r>
      <w:r w:rsidRPr="00B02247">
        <w:t>a</w:t>
      </w:r>
      <w:r w:rsidR="005B2A41">
        <w:t xml:space="preserve"> </w:t>
      </w:r>
      <w:r w:rsidRPr="00B02247">
        <w:t>number</w:t>
      </w:r>
      <w:r w:rsidR="005B2A41">
        <w:t xml:space="preserve"> </w:t>
      </w:r>
      <w:r w:rsidRPr="00B02247">
        <w:t>of</w:t>
      </w:r>
      <w:r w:rsidR="005B2A41">
        <w:t xml:space="preserve"> </w:t>
      </w:r>
      <w:r w:rsidRPr="00B02247">
        <w:t>other</w:t>
      </w:r>
      <w:r w:rsidR="005B2A41">
        <w:t xml:space="preserve"> </w:t>
      </w:r>
      <w:r w:rsidRPr="00B02247">
        <w:t>Departments</w:t>
      </w:r>
      <w:r w:rsidR="005B2A41">
        <w:t xml:space="preserve"> </w:t>
      </w:r>
      <w:r w:rsidRPr="00B02247">
        <w:t>within</w:t>
      </w:r>
      <w:r w:rsidR="005B2A41">
        <w:t xml:space="preserve"> </w:t>
      </w:r>
      <w:r w:rsidRPr="00B02247">
        <w:t>the</w:t>
      </w:r>
      <w:r w:rsidR="005B2A41">
        <w:t xml:space="preserve"> </w:t>
      </w:r>
      <w:r w:rsidRPr="00B02247">
        <w:t>Administration,</w:t>
      </w:r>
      <w:r w:rsidR="005B2A41">
        <w:t xml:space="preserve"> </w:t>
      </w:r>
      <w:r w:rsidRPr="00B02247">
        <w:t>in</w:t>
      </w:r>
      <w:r w:rsidR="005B2A41">
        <w:t xml:space="preserve"> </w:t>
      </w:r>
      <w:r w:rsidRPr="00B02247">
        <w:t>the</w:t>
      </w:r>
      <w:r w:rsidR="005B2A41">
        <w:t xml:space="preserve"> </w:t>
      </w:r>
      <w:r w:rsidRPr="00B02247">
        <w:t>exercise</w:t>
      </w:r>
      <w:r w:rsidR="005B2A41">
        <w:t xml:space="preserve"> </w:t>
      </w:r>
      <w:r w:rsidRPr="00B02247">
        <w:t>of</w:t>
      </w:r>
      <w:r w:rsidR="005B2A41">
        <w:t xml:space="preserve"> </w:t>
      </w:r>
      <w:r w:rsidRPr="00B02247">
        <w:t>their</w:t>
      </w:r>
      <w:r w:rsidR="005B2A41">
        <w:t xml:space="preserve"> </w:t>
      </w:r>
      <w:r w:rsidRPr="00B02247">
        <w:t>main</w:t>
      </w:r>
      <w:r w:rsidR="005B2A41">
        <w:t xml:space="preserve"> </w:t>
      </w:r>
      <w:r w:rsidRPr="00B02247">
        <w:t>tasks</w:t>
      </w:r>
      <w:r w:rsidR="005B2A41">
        <w:t xml:space="preserve"> </w:t>
      </w:r>
      <w:r w:rsidRPr="00B02247">
        <w:t>(Article</w:t>
      </w:r>
      <w:r w:rsidR="005B2A41">
        <w:t xml:space="preserve"> </w:t>
      </w:r>
      <w:r w:rsidRPr="00B02247">
        <w:t>15).</w:t>
      </w:r>
    </w:p>
    <w:p w:rsidR="00F233AB" w:rsidRPr="00B02247" w:rsidRDefault="00F233AB" w:rsidP="00E1307D">
      <w:pPr>
        <w:pStyle w:val="SingleTxtG"/>
      </w:pPr>
      <w:r w:rsidRPr="00B02247">
        <w:t>175.</w:t>
      </w:r>
      <w:r w:rsidRPr="00B02247">
        <w:tab/>
        <w:t>Furthermore,</w:t>
      </w:r>
      <w:r w:rsidR="005B2A41">
        <w:t xml:space="preserve"> </w:t>
      </w:r>
      <w:r w:rsidRPr="00B02247">
        <w:t>the</w:t>
      </w:r>
      <w:r w:rsidR="005B2A41">
        <w:t xml:space="preserve"> </w:t>
      </w:r>
      <w:r w:rsidRPr="00B02247">
        <w:t>Law</w:t>
      </w:r>
      <w:r w:rsidR="005B2A41">
        <w:t xml:space="preserve"> </w:t>
      </w:r>
      <w:r w:rsidRPr="00B02247">
        <w:t>contains</w:t>
      </w:r>
      <w:r w:rsidR="005B2A41">
        <w:t xml:space="preserve"> </w:t>
      </w:r>
      <w:r w:rsidRPr="00B02247">
        <w:t>provisions</w:t>
      </w:r>
      <w:r w:rsidR="005B2A41">
        <w:t xml:space="preserve"> </w:t>
      </w:r>
      <w:r w:rsidRPr="00B02247">
        <w:t>on</w:t>
      </w:r>
      <w:r w:rsidR="005B2A41">
        <w:t xml:space="preserve"> </w:t>
      </w:r>
      <w:r w:rsidRPr="00B02247">
        <w:t>social</w:t>
      </w:r>
      <w:r w:rsidR="005B2A41">
        <w:t xml:space="preserve"> </w:t>
      </w:r>
      <w:r w:rsidRPr="00B02247">
        <w:t>dialogue</w:t>
      </w:r>
      <w:r w:rsidR="005B2A41">
        <w:t xml:space="preserve"> </w:t>
      </w:r>
      <w:r w:rsidRPr="00B02247">
        <w:t>between</w:t>
      </w:r>
      <w:r w:rsidR="005B2A41">
        <w:t xml:space="preserve"> </w:t>
      </w:r>
      <w:r w:rsidRPr="00B02247">
        <w:t>the</w:t>
      </w:r>
      <w:r w:rsidR="005B2A41">
        <w:t xml:space="preserve"> </w:t>
      </w:r>
      <w:r w:rsidRPr="00B02247">
        <w:t>social</w:t>
      </w:r>
      <w:r w:rsidR="005B2A41">
        <w:t xml:space="preserve"> </w:t>
      </w:r>
      <w:r w:rsidRPr="00B02247">
        <w:t>partners,</w:t>
      </w:r>
      <w:r w:rsidR="005B2A41">
        <w:t xml:space="preserve"> </w:t>
      </w:r>
      <w:r w:rsidRPr="00B02247">
        <w:t>as</w:t>
      </w:r>
      <w:r w:rsidR="005B2A41">
        <w:t xml:space="preserve"> </w:t>
      </w:r>
      <w:r w:rsidRPr="00B02247">
        <w:t>well</w:t>
      </w:r>
      <w:r w:rsidR="005B2A41">
        <w:t xml:space="preserve"> </w:t>
      </w:r>
      <w:r w:rsidRPr="00B02247">
        <w:t>as</w:t>
      </w:r>
      <w:r w:rsidR="005B2A41">
        <w:t xml:space="preserve"> </w:t>
      </w:r>
      <w:r w:rsidRPr="00B02247">
        <w:t>with</w:t>
      </w:r>
      <w:r w:rsidR="005B2A41">
        <w:t xml:space="preserve"> </w:t>
      </w:r>
      <w:r w:rsidRPr="00B02247">
        <w:t>NGOs,</w:t>
      </w:r>
      <w:r w:rsidR="005B2A41">
        <w:t xml:space="preserve"> </w:t>
      </w:r>
      <w:r w:rsidRPr="00B02247">
        <w:t>for</w:t>
      </w:r>
      <w:r w:rsidR="005B2A41">
        <w:t xml:space="preserve"> </w:t>
      </w:r>
      <w:r w:rsidRPr="00B02247">
        <w:t>the</w:t>
      </w:r>
      <w:r w:rsidR="005B2A41">
        <w:t xml:space="preserve"> </w:t>
      </w:r>
      <w:r w:rsidRPr="00B02247">
        <w:t>promotion</w:t>
      </w:r>
      <w:r w:rsidR="005B2A41">
        <w:t xml:space="preserve"> </w:t>
      </w:r>
      <w:r w:rsidRPr="00B02247">
        <w:t>of</w:t>
      </w:r>
      <w:r w:rsidR="005B2A41">
        <w:t xml:space="preserve"> </w:t>
      </w:r>
      <w:r w:rsidRPr="00B02247">
        <w:t>the</w:t>
      </w:r>
      <w:r w:rsidR="005B2A41">
        <w:t xml:space="preserve"> </w:t>
      </w:r>
      <w:r w:rsidRPr="00B02247">
        <w:t>principles</w:t>
      </w:r>
      <w:r w:rsidR="005B2A41">
        <w:t xml:space="preserve"> </w:t>
      </w:r>
      <w:r w:rsidRPr="00B02247">
        <w:t>of</w:t>
      </w:r>
      <w:r w:rsidR="005B2A41">
        <w:t xml:space="preserve"> </w:t>
      </w:r>
      <w:r w:rsidRPr="00B02247">
        <w:t>equal</w:t>
      </w:r>
      <w:r w:rsidR="005B2A41">
        <w:t xml:space="preserve"> </w:t>
      </w:r>
      <w:r w:rsidRPr="00B02247">
        <w:t>opportunities</w:t>
      </w:r>
      <w:r w:rsidR="005B2A41">
        <w:t xml:space="preserve"> </w:t>
      </w:r>
      <w:r w:rsidRPr="00B02247">
        <w:t>and</w:t>
      </w:r>
      <w:r w:rsidR="005B2A41">
        <w:t xml:space="preserve"> </w:t>
      </w:r>
      <w:r w:rsidRPr="00B02247">
        <w:t>equal</w:t>
      </w:r>
      <w:r w:rsidR="005B2A41">
        <w:t xml:space="preserve"> </w:t>
      </w:r>
      <w:r w:rsidRPr="00B02247">
        <w:t>treatment</w:t>
      </w:r>
      <w:r w:rsidR="005B2A41">
        <w:t xml:space="preserve"> </w:t>
      </w:r>
      <w:r w:rsidRPr="00B02247">
        <w:t>and</w:t>
      </w:r>
      <w:r w:rsidR="005B2A41">
        <w:t xml:space="preserve"> </w:t>
      </w:r>
      <w:r w:rsidRPr="00B02247">
        <w:t>assigns</w:t>
      </w:r>
      <w:r w:rsidR="005B2A41">
        <w:t xml:space="preserve"> </w:t>
      </w:r>
      <w:r w:rsidRPr="00B02247">
        <w:t>a</w:t>
      </w:r>
      <w:r w:rsidR="005B2A41">
        <w:t xml:space="preserve"> </w:t>
      </w:r>
      <w:r w:rsidRPr="00B02247">
        <w:t>crucial</w:t>
      </w:r>
      <w:r w:rsidR="005B2A41">
        <w:t xml:space="preserve"> </w:t>
      </w:r>
      <w:r w:rsidRPr="00B02247">
        <w:t>role</w:t>
      </w:r>
      <w:r w:rsidR="005B2A41">
        <w:t xml:space="preserve"> </w:t>
      </w:r>
      <w:r w:rsidRPr="00B02247">
        <w:t>in</w:t>
      </w:r>
      <w:r w:rsidR="005B2A41">
        <w:t xml:space="preserve"> </w:t>
      </w:r>
      <w:r w:rsidRPr="00B02247">
        <w:t>this</w:t>
      </w:r>
      <w:r w:rsidR="005B2A41">
        <w:t xml:space="preserve"> </w:t>
      </w:r>
      <w:r w:rsidRPr="00B02247">
        <w:t>respect</w:t>
      </w:r>
      <w:r w:rsidR="005B2A41">
        <w:t xml:space="preserve"> </w:t>
      </w:r>
      <w:r w:rsidRPr="00B02247">
        <w:t>to</w:t>
      </w:r>
      <w:r w:rsidR="005B2A41">
        <w:t xml:space="preserve"> </w:t>
      </w:r>
      <w:r w:rsidRPr="00B02247">
        <w:t>the</w:t>
      </w:r>
      <w:r w:rsidR="005B2A41">
        <w:t xml:space="preserve"> </w:t>
      </w:r>
      <w:r w:rsidRPr="00B02247">
        <w:t>Economic</w:t>
      </w:r>
      <w:r w:rsidR="005B2A41">
        <w:t xml:space="preserve"> </w:t>
      </w:r>
      <w:r w:rsidRPr="00B02247">
        <w:t>and</w:t>
      </w:r>
      <w:r w:rsidR="005B2A41">
        <w:t xml:space="preserve"> </w:t>
      </w:r>
      <w:r w:rsidRPr="00B02247">
        <w:t>Social</w:t>
      </w:r>
      <w:r w:rsidR="005B2A41">
        <w:t xml:space="preserve"> </w:t>
      </w:r>
      <w:r w:rsidRPr="00B02247">
        <w:t>Committee</w:t>
      </w:r>
      <w:r w:rsidR="005B2A41">
        <w:t xml:space="preserve"> </w:t>
      </w:r>
      <w:r w:rsidRPr="00B02247">
        <w:t>(Article</w:t>
      </w:r>
      <w:r w:rsidR="005B2A41">
        <w:t xml:space="preserve"> </w:t>
      </w:r>
      <w:r w:rsidRPr="00B02247">
        <w:t>13).</w:t>
      </w:r>
      <w:r w:rsidR="005B2A41">
        <w:t xml:space="preserve"> </w:t>
      </w:r>
      <w:r w:rsidRPr="00B02247">
        <w:t>In</w:t>
      </w:r>
      <w:r w:rsidR="005B2A41">
        <w:t xml:space="preserve"> </w:t>
      </w:r>
      <w:r w:rsidRPr="00B02247">
        <w:t>addition,</w:t>
      </w:r>
      <w:r w:rsidR="005B2A41">
        <w:t xml:space="preserve"> </w:t>
      </w:r>
      <w:r w:rsidRPr="00B02247">
        <w:t>it</w:t>
      </w:r>
      <w:r w:rsidR="005B2A41">
        <w:t xml:space="preserve"> </w:t>
      </w:r>
      <w:r w:rsidRPr="00B02247">
        <w:t>places</w:t>
      </w:r>
      <w:r w:rsidR="005B2A41">
        <w:t xml:space="preserve"> </w:t>
      </w:r>
      <w:r w:rsidRPr="00B02247">
        <w:t>special</w:t>
      </w:r>
      <w:r w:rsidR="005B2A41">
        <w:t xml:space="preserve"> </w:t>
      </w:r>
      <w:r w:rsidRPr="00B02247">
        <w:t>emphasis</w:t>
      </w:r>
      <w:r w:rsidR="005B2A41">
        <w:t xml:space="preserve"> </w:t>
      </w:r>
      <w:r w:rsidRPr="00B02247">
        <w:t>on</w:t>
      </w:r>
      <w:r w:rsidR="005B2A41">
        <w:t xml:space="preserve"> </w:t>
      </w:r>
      <w:r w:rsidRPr="00B02247">
        <w:t>cooperation</w:t>
      </w:r>
      <w:r w:rsidR="005B2A41">
        <w:t xml:space="preserve"> </w:t>
      </w:r>
      <w:r w:rsidRPr="00B02247">
        <w:t>of</w:t>
      </w:r>
      <w:r w:rsidR="005B2A41">
        <w:t xml:space="preserve"> </w:t>
      </w:r>
      <w:r w:rsidRPr="00B02247">
        <w:t>the</w:t>
      </w:r>
      <w:r w:rsidR="005B2A41">
        <w:t xml:space="preserve"> </w:t>
      </w:r>
      <w:r w:rsidR="003E731F">
        <w:t>“</w:t>
      </w:r>
      <w:r w:rsidRPr="00B02247">
        <w:t>equal</w:t>
      </w:r>
      <w:r w:rsidR="005B2A41">
        <w:t xml:space="preserve"> </w:t>
      </w:r>
      <w:r w:rsidRPr="00B02247">
        <w:t>treatment</w:t>
      </w:r>
      <w:r w:rsidR="005B2A41">
        <w:t xml:space="preserve"> </w:t>
      </w:r>
      <w:r w:rsidRPr="00B02247">
        <w:t>body</w:t>
      </w:r>
      <w:r w:rsidR="003E731F">
        <w:t>”</w:t>
      </w:r>
      <w:r w:rsidR="005B2A41">
        <w:t xml:space="preserve"> </w:t>
      </w:r>
      <w:r w:rsidRPr="00B02247">
        <w:t>(the</w:t>
      </w:r>
      <w:r w:rsidR="005B2A41">
        <w:t xml:space="preserve"> </w:t>
      </w:r>
      <w:r w:rsidRPr="00B02247">
        <w:t>Greek</w:t>
      </w:r>
      <w:r w:rsidR="005B2A41">
        <w:t xml:space="preserve"> </w:t>
      </w:r>
      <w:r w:rsidRPr="00B02247">
        <w:t>Ombudsman)</w:t>
      </w:r>
      <w:r w:rsidR="005B2A41">
        <w:t xml:space="preserve"> </w:t>
      </w:r>
      <w:r w:rsidRPr="00B02247">
        <w:t>with</w:t>
      </w:r>
      <w:r w:rsidR="005B2A41">
        <w:t xml:space="preserve"> </w:t>
      </w:r>
      <w:r w:rsidRPr="00B02247">
        <w:t>the</w:t>
      </w:r>
      <w:r w:rsidR="005B2A41">
        <w:t xml:space="preserve"> </w:t>
      </w:r>
      <w:r w:rsidRPr="00B02247">
        <w:t>abovementioned</w:t>
      </w:r>
      <w:r w:rsidR="005B2A41">
        <w:t xml:space="preserve"> </w:t>
      </w:r>
      <w:r w:rsidRPr="00B02247">
        <w:t>Departments</w:t>
      </w:r>
      <w:r w:rsidR="005B2A41">
        <w:t xml:space="preserve"> </w:t>
      </w:r>
      <w:r w:rsidRPr="00B02247">
        <w:t>and</w:t>
      </w:r>
      <w:r w:rsidR="005B2A41">
        <w:t xml:space="preserve"> </w:t>
      </w:r>
      <w:r w:rsidRPr="00B02247">
        <w:t>Services,</w:t>
      </w:r>
      <w:r w:rsidR="005B2A41">
        <w:t xml:space="preserve"> </w:t>
      </w:r>
      <w:r w:rsidRPr="00B02247">
        <w:t>as</w:t>
      </w:r>
      <w:r w:rsidR="005B2A41">
        <w:t xml:space="preserve"> </w:t>
      </w:r>
      <w:r w:rsidRPr="00B02247">
        <w:t>well</w:t>
      </w:r>
      <w:r w:rsidR="005B2A41">
        <w:t xml:space="preserve"> </w:t>
      </w:r>
      <w:r w:rsidRPr="00B02247">
        <w:t>as</w:t>
      </w:r>
      <w:r w:rsidR="005B2A41">
        <w:t xml:space="preserve"> </w:t>
      </w:r>
      <w:r w:rsidRPr="00B02247">
        <w:t>social</w:t>
      </w:r>
      <w:r w:rsidR="005B2A41">
        <w:t xml:space="preserve"> </w:t>
      </w:r>
      <w:r w:rsidRPr="00B02247">
        <w:t>partners</w:t>
      </w:r>
      <w:r w:rsidR="003E731F">
        <w:t>’</w:t>
      </w:r>
      <w:r w:rsidR="005B2A41">
        <w:t xml:space="preserve"> </w:t>
      </w:r>
      <w:r w:rsidRPr="00B02247">
        <w:t>organizations</w:t>
      </w:r>
      <w:r w:rsidR="005B2A41">
        <w:t xml:space="preserve"> </w:t>
      </w:r>
      <w:r w:rsidRPr="00B02247">
        <w:t>(Article</w:t>
      </w:r>
      <w:r w:rsidR="005B2A41">
        <w:t xml:space="preserve"> </w:t>
      </w:r>
      <w:r w:rsidRPr="00B02247">
        <w:t>16).</w:t>
      </w:r>
    </w:p>
    <w:p w:rsidR="00F233AB" w:rsidRPr="00B02247" w:rsidRDefault="00F233AB" w:rsidP="00E1307D">
      <w:pPr>
        <w:pStyle w:val="SingleTxtG"/>
      </w:pPr>
      <w:r w:rsidRPr="00B02247">
        <w:t>176.</w:t>
      </w:r>
      <w:r w:rsidRPr="00B02247">
        <w:tab/>
        <w:t>With</w:t>
      </w:r>
      <w:r w:rsidR="005B2A41">
        <w:t xml:space="preserve"> </w:t>
      </w:r>
      <w:r w:rsidRPr="00B02247">
        <w:t>regard</w:t>
      </w:r>
      <w:r w:rsidR="005B2A41">
        <w:t xml:space="preserve"> </w:t>
      </w:r>
      <w:r w:rsidRPr="00B02247">
        <w:t>to</w:t>
      </w:r>
      <w:r w:rsidR="005B2A41">
        <w:t xml:space="preserve"> </w:t>
      </w:r>
      <w:r w:rsidRPr="00B02247">
        <w:t>existing</w:t>
      </w:r>
      <w:r w:rsidR="005B2A41">
        <w:t xml:space="preserve"> </w:t>
      </w:r>
      <w:r w:rsidRPr="00B02247">
        <w:t>penal</w:t>
      </w:r>
      <w:r w:rsidR="005B2A41">
        <w:t xml:space="preserve"> </w:t>
      </w:r>
      <w:r w:rsidRPr="00B02247">
        <w:t>laws</w:t>
      </w:r>
      <w:r w:rsidR="005B2A41">
        <w:t xml:space="preserve"> </w:t>
      </w:r>
      <w:r w:rsidRPr="00B02247">
        <w:t>against</w:t>
      </w:r>
      <w:r w:rsidR="005B2A41">
        <w:t xml:space="preserve"> </w:t>
      </w:r>
      <w:r w:rsidRPr="00B02247">
        <w:t>discrimination,</w:t>
      </w:r>
      <w:r w:rsidR="005B2A41">
        <w:t xml:space="preserve"> </w:t>
      </w:r>
      <w:r w:rsidRPr="00B02247">
        <w:t>in</w:t>
      </w:r>
      <w:r w:rsidR="005B2A41">
        <w:t xml:space="preserve"> </w:t>
      </w:r>
      <w:r w:rsidRPr="00B02247">
        <w:t>September</w:t>
      </w:r>
      <w:r w:rsidR="005B2A41">
        <w:t xml:space="preserve"> </w:t>
      </w:r>
      <w:r w:rsidRPr="00B02247">
        <w:t>2014,</w:t>
      </w:r>
      <w:r w:rsidR="005B2A41">
        <w:t xml:space="preserve"> </w:t>
      </w:r>
      <w:r w:rsidRPr="00B02247">
        <w:t>Parliament</w:t>
      </w:r>
      <w:r w:rsidR="005B2A41">
        <w:t xml:space="preserve"> </w:t>
      </w:r>
      <w:r w:rsidRPr="00B02247">
        <w:t>adopted</w:t>
      </w:r>
      <w:r w:rsidR="005B2A41">
        <w:t xml:space="preserve"> </w:t>
      </w:r>
      <w:r w:rsidRPr="00B02247">
        <w:t>Law</w:t>
      </w:r>
      <w:r w:rsidR="005B2A41">
        <w:t xml:space="preserve"> </w:t>
      </w:r>
      <w:r w:rsidRPr="00B02247">
        <w:t>4285/2014,</w:t>
      </w:r>
      <w:r w:rsidR="005B2A41">
        <w:t xml:space="preserve"> </w:t>
      </w:r>
      <w:r w:rsidRPr="00B02247">
        <w:t>amending</w:t>
      </w:r>
      <w:r w:rsidR="005B2A41">
        <w:t xml:space="preserve"> </w:t>
      </w:r>
      <w:r w:rsidRPr="00B02247">
        <w:t>Law</w:t>
      </w:r>
      <w:r w:rsidR="005B2A41">
        <w:t xml:space="preserve"> </w:t>
      </w:r>
      <w:r w:rsidRPr="00B02247">
        <w:t>927/1979,</w:t>
      </w:r>
      <w:r w:rsidR="005B2A41">
        <w:t xml:space="preserve"> </w:t>
      </w:r>
      <w:r w:rsidRPr="00B02247">
        <w:t>with</w:t>
      </w:r>
      <w:r w:rsidR="005B2A41">
        <w:t xml:space="preserve"> </w:t>
      </w:r>
      <w:r w:rsidRPr="00B02247">
        <w:t>the</w:t>
      </w:r>
      <w:r w:rsidR="005B2A41">
        <w:t xml:space="preserve"> </w:t>
      </w:r>
      <w:r w:rsidRPr="00B02247">
        <w:t>aim</w:t>
      </w:r>
      <w:r w:rsidR="005B2A41">
        <w:t xml:space="preserve"> </w:t>
      </w:r>
      <w:r w:rsidRPr="00B02247">
        <w:t>to</w:t>
      </w:r>
      <w:r w:rsidR="005B2A41">
        <w:t xml:space="preserve"> </w:t>
      </w:r>
      <w:r w:rsidRPr="00B02247">
        <w:t>strengthening</w:t>
      </w:r>
      <w:r w:rsidR="005B2A41">
        <w:t xml:space="preserve"> </w:t>
      </w:r>
      <w:r w:rsidRPr="00B02247">
        <w:t>the</w:t>
      </w:r>
      <w:r w:rsidR="005B2A41">
        <w:t xml:space="preserve"> </w:t>
      </w:r>
      <w:r w:rsidRPr="00B02247">
        <w:t>country</w:t>
      </w:r>
      <w:r w:rsidR="003E731F">
        <w:t>’</w:t>
      </w:r>
      <w:r w:rsidRPr="00B02247">
        <w:t>s</w:t>
      </w:r>
      <w:r w:rsidR="005B2A41">
        <w:t xml:space="preserve"> </w:t>
      </w:r>
      <w:r w:rsidRPr="00B02247">
        <w:t>criminal</w:t>
      </w:r>
      <w:r w:rsidR="005B2A41">
        <w:t xml:space="preserve"> </w:t>
      </w:r>
      <w:r w:rsidRPr="00B02247">
        <w:t>anti-racism</w:t>
      </w:r>
      <w:r w:rsidR="005B2A41">
        <w:t xml:space="preserve"> </w:t>
      </w:r>
      <w:r w:rsidRPr="00B02247">
        <w:t>legislation</w:t>
      </w:r>
      <w:r w:rsidR="005B2A41">
        <w:t xml:space="preserve"> </w:t>
      </w:r>
      <w:r w:rsidRPr="00B02247">
        <w:t>and</w:t>
      </w:r>
      <w:r w:rsidR="005B2A41">
        <w:t xml:space="preserve"> </w:t>
      </w:r>
      <w:r w:rsidRPr="00B02247">
        <w:t>adjusting</w:t>
      </w:r>
      <w:r w:rsidR="005B2A41">
        <w:t xml:space="preserve"> </w:t>
      </w:r>
      <w:r w:rsidRPr="00B02247">
        <w:t>the</w:t>
      </w:r>
      <w:r w:rsidR="005B2A41">
        <w:t xml:space="preserve"> </w:t>
      </w:r>
      <w:r w:rsidRPr="00B02247">
        <w:t>relevant</w:t>
      </w:r>
      <w:r w:rsidR="005B2A41">
        <w:t xml:space="preserve"> </w:t>
      </w:r>
      <w:r w:rsidRPr="00B02247">
        <w:t>legislative</w:t>
      </w:r>
      <w:r w:rsidR="005B2A41">
        <w:t xml:space="preserve"> </w:t>
      </w:r>
      <w:r w:rsidRPr="00B02247">
        <w:t>framework</w:t>
      </w:r>
      <w:r w:rsidR="005B2A41">
        <w:t xml:space="preserve"> </w:t>
      </w:r>
      <w:r w:rsidRPr="00B02247">
        <w:t>with</w:t>
      </w:r>
      <w:r w:rsidR="005B2A41">
        <w:t xml:space="preserve"> </w:t>
      </w:r>
      <w:r w:rsidRPr="00B02247">
        <w:t>EU</w:t>
      </w:r>
      <w:r w:rsidR="005B2A41">
        <w:t xml:space="preserve"> </w:t>
      </w:r>
      <w:r w:rsidRPr="00B02247">
        <w:t>Council</w:t>
      </w:r>
      <w:r w:rsidR="005B2A41">
        <w:t xml:space="preserve"> </w:t>
      </w:r>
      <w:r w:rsidRPr="00B02247">
        <w:t>Framework</w:t>
      </w:r>
      <w:r w:rsidR="005B2A41">
        <w:t xml:space="preserve"> </w:t>
      </w:r>
      <w:r w:rsidRPr="00B02247">
        <w:t>Decision</w:t>
      </w:r>
      <w:r w:rsidR="005B2A41">
        <w:t xml:space="preserve"> </w:t>
      </w:r>
      <w:r w:rsidRPr="00B02247">
        <w:t>2008/913/JHA.</w:t>
      </w:r>
    </w:p>
    <w:p w:rsidR="00F233AB" w:rsidRPr="00B02247" w:rsidRDefault="00F233AB" w:rsidP="00E1307D">
      <w:pPr>
        <w:pStyle w:val="SingleTxtG"/>
      </w:pPr>
      <w:r w:rsidRPr="00B02247">
        <w:t>177.</w:t>
      </w:r>
      <w:r w:rsidRPr="00B02247">
        <w:tab/>
        <w:t>Law</w:t>
      </w:r>
      <w:r w:rsidR="005B2A41">
        <w:t xml:space="preserve"> </w:t>
      </w:r>
      <w:r w:rsidRPr="00B02247">
        <w:t>4285/2014</w:t>
      </w:r>
      <w:r w:rsidR="005B2A41">
        <w:t xml:space="preserve"> </w:t>
      </w:r>
      <w:r w:rsidRPr="00B02247">
        <w:t>punishes,</w:t>
      </w:r>
      <w:r w:rsidR="005B2A41">
        <w:t xml:space="preserve"> </w:t>
      </w:r>
      <w:r w:rsidRPr="00B02247">
        <w:t>inter</w:t>
      </w:r>
      <w:r w:rsidR="005B2A41">
        <w:t xml:space="preserve"> </w:t>
      </w:r>
      <w:r w:rsidRPr="00B02247">
        <w:t>alia,</w:t>
      </w:r>
      <w:r w:rsidR="005B2A41">
        <w:t xml:space="preserve"> </w:t>
      </w:r>
      <w:r w:rsidRPr="00B02247">
        <w:t>public</w:t>
      </w:r>
      <w:r w:rsidR="005B2A41">
        <w:t xml:space="preserve"> </w:t>
      </w:r>
      <w:r w:rsidRPr="00B02247">
        <w:t>incitement</w:t>
      </w:r>
      <w:r w:rsidR="005B2A41">
        <w:t xml:space="preserve"> </w:t>
      </w:r>
      <w:r w:rsidRPr="00B02247">
        <w:t>to</w:t>
      </w:r>
      <w:r w:rsidR="005B2A41">
        <w:t xml:space="preserve"> </w:t>
      </w:r>
      <w:r w:rsidRPr="00B02247">
        <w:t>acts</w:t>
      </w:r>
      <w:r w:rsidR="005B2A41">
        <w:t xml:space="preserve"> </w:t>
      </w:r>
      <w:r w:rsidRPr="00B02247">
        <w:t>or</w:t>
      </w:r>
      <w:r w:rsidR="005B2A41">
        <w:t xml:space="preserve"> </w:t>
      </w:r>
      <w:r w:rsidRPr="00B02247">
        <w:t>activities</w:t>
      </w:r>
      <w:r w:rsidR="005B2A41">
        <w:t xml:space="preserve"> </w:t>
      </w:r>
      <w:r w:rsidRPr="00B02247">
        <w:t>which</w:t>
      </w:r>
      <w:r w:rsidR="005B2A41">
        <w:t xml:space="preserve"> </w:t>
      </w:r>
      <w:r w:rsidRPr="00B02247">
        <w:t>may</w:t>
      </w:r>
      <w:r w:rsidR="005B2A41">
        <w:t xml:space="preserve"> </w:t>
      </w:r>
      <w:r w:rsidRPr="00B02247">
        <w:t>result</w:t>
      </w:r>
      <w:r w:rsidR="005B2A41">
        <w:t xml:space="preserve"> </w:t>
      </w:r>
      <w:r w:rsidRPr="00B02247">
        <w:t>to</w:t>
      </w:r>
      <w:r w:rsidR="005B2A41">
        <w:t xml:space="preserve"> </w:t>
      </w:r>
      <w:r w:rsidRPr="00B02247">
        <w:t>discrimination,</w:t>
      </w:r>
      <w:r w:rsidR="005B2A41">
        <w:t xml:space="preserve"> </w:t>
      </w:r>
      <w:r w:rsidRPr="00B02247">
        <w:t>hatred</w:t>
      </w:r>
      <w:r w:rsidR="005B2A41">
        <w:t xml:space="preserve"> </w:t>
      </w:r>
      <w:r w:rsidRPr="00B02247">
        <w:t>or</w:t>
      </w:r>
      <w:r w:rsidR="005B2A41">
        <w:t xml:space="preserve"> </w:t>
      </w:r>
      <w:r w:rsidRPr="00B02247">
        <w:t>violence</w:t>
      </w:r>
      <w:r w:rsidR="005B2A41">
        <w:t xml:space="preserve"> </w:t>
      </w:r>
      <w:r w:rsidRPr="00B02247">
        <w:t>against</w:t>
      </w:r>
      <w:r w:rsidR="005B2A41">
        <w:t xml:space="preserve"> </w:t>
      </w:r>
      <w:r w:rsidRPr="00B02247">
        <w:t>individuals</w:t>
      </w:r>
      <w:r w:rsidR="005B2A41">
        <w:t xml:space="preserve"> </w:t>
      </w:r>
      <w:r w:rsidRPr="00B02247">
        <w:t>or</w:t>
      </w:r>
      <w:r w:rsidR="005B2A41">
        <w:t xml:space="preserve"> </w:t>
      </w:r>
      <w:r w:rsidRPr="00B02247">
        <w:t>groups</w:t>
      </w:r>
      <w:r w:rsidR="005B2A41">
        <w:t xml:space="preserve"> </w:t>
      </w:r>
      <w:r w:rsidRPr="00B02247">
        <w:t>of</w:t>
      </w:r>
      <w:r w:rsidR="005B2A41">
        <w:t xml:space="preserve"> </w:t>
      </w:r>
      <w:r w:rsidRPr="00B02247">
        <w:t>individuals</w:t>
      </w:r>
      <w:r w:rsidR="005B2A41">
        <w:t xml:space="preserve"> </w:t>
      </w:r>
      <w:r w:rsidRPr="00B02247">
        <w:t>defined</w:t>
      </w:r>
      <w:r w:rsidR="005B2A41">
        <w:t xml:space="preserve"> </w:t>
      </w:r>
      <w:r w:rsidRPr="00B02247">
        <w:t>by</w:t>
      </w:r>
      <w:r w:rsidR="005B2A41">
        <w:t xml:space="preserve"> </w:t>
      </w:r>
      <w:r w:rsidRPr="00B02247">
        <w:t>reference</w:t>
      </w:r>
      <w:r w:rsidR="005B2A41">
        <w:t xml:space="preserve"> </w:t>
      </w:r>
      <w:r w:rsidRPr="00B02247">
        <w:t>to</w:t>
      </w:r>
      <w:r w:rsidR="005B2A41">
        <w:t xml:space="preserve"> </w:t>
      </w:r>
      <w:r w:rsidRPr="00B02247">
        <w:t>race,</w:t>
      </w:r>
      <w:r w:rsidR="005B2A41">
        <w:t xml:space="preserve"> </w:t>
      </w:r>
      <w:r w:rsidRPr="00B02247">
        <w:t>colour,</w:t>
      </w:r>
      <w:r w:rsidR="005B2A41">
        <w:t xml:space="preserve"> </w:t>
      </w:r>
      <w:r w:rsidRPr="00B02247">
        <w:t>religion,</w:t>
      </w:r>
      <w:r w:rsidR="005B2A41">
        <w:t xml:space="preserve"> </w:t>
      </w:r>
      <w:r w:rsidRPr="00B02247">
        <w:t>descent,</w:t>
      </w:r>
      <w:r w:rsidR="005B2A41">
        <w:t xml:space="preserve"> </w:t>
      </w:r>
      <w:r w:rsidRPr="00B02247">
        <w:t>national</w:t>
      </w:r>
      <w:r w:rsidR="005B2A41">
        <w:t xml:space="preserve"> </w:t>
      </w:r>
      <w:r w:rsidRPr="00B02247">
        <w:t>or</w:t>
      </w:r>
      <w:r w:rsidR="005B2A41">
        <w:t xml:space="preserve"> </w:t>
      </w:r>
      <w:r w:rsidRPr="00B02247">
        <w:t>ethnic</w:t>
      </w:r>
      <w:r w:rsidR="005B2A41">
        <w:t xml:space="preserve"> </w:t>
      </w:r>
      <w:r w:rsidRPr="00B02247">
        <w:t>origin,</w:t>
      </w:r>
      <w:r w:rsidR="005B2A41">
        <w:t xml:space="preserve"> </w:t>
      </w:r>
      <w:r w:rsidRPr="00B02247">
        <w:t>sexual</w:t>
      </w:r>
      <w:r w:rsidR="005B2A41">
        <w:t xml:space="preserve"> </w:t>
      </w:r>
      <w:r w:rsidRPr="00B02247">
        <w:t>orientation,</w:t>
      </w:r>
      <w:r w:rsidR="005B2A41">
        <w:t xml:space="preserve"> </w:t>
      </w:r>
      <w:r w:rsidRPr="00B02247">
        <w:t>gender</w:t>
      </w:r>
      <w:r w:rsidR="005B2A41">
        <w:t xml:space="preserve"> </w:t>
      </w:r>
      <w:r w:rsidRPr="00B02247">
        <w:t>identity,</w:t>
      </w:r>
      <w:r w:rsidR="005B2A41">
        <w:t xml:space="preserve"> </w:t>
      </w:r>
      <w:r w:rsidRPr="00B02247">
        <w:t>or</w:t>
      </w:r>
      <w:r w:rsidR="005B2A41">
        <w:t xml:space="preserve"> </w:t>
      </w:r>
      <w:r w:rsidRPr="00B02247">
        <w:t>disability,</w:t>
      </w:r>
      <w:r w:rsidR="005B2A41">
        <w:t xml:space="preserve"> </w:t>
      </w:r>
      <w:r w:rsidRPr="00B02247">
        <w:t>in</w:t>
      </w:r>
      <w:r w:rsidR="005B2A41">
        <w:t xml:space="preserve"> </w:t>
      </w:r>
      <w:r w:rsidRPr="00B02247">
        <w:t>a</w:t>
      </w:r>
      <w:r w:rsidR="005B2A41">
        <w:t xml:space="preserve"> </w:t>
      </w:r>
      <w:r w:rsidRPr="00B02247">
        <w:t>manner</w:t>
      </w:r>
      <w:r w:rsidR="005B2A41">
        <w:t xml:space="preserve"> </w:t>
      </w:r>
      <w:r w:rsidRPr="00B02247">
        <w:t>which</w:t>
      </w:r>
      <w:r w:rsidR="005B2A41">
        <w:t xml:space="preserve"> </w:t>
      </w:r>
      <w:r w:rsidRPr="00B02247">
        <w:t>endangers</w:t>
      </w:r>
      <w:r w:rsidR="005B2A41">
        <w:t xml:space="preserve"> </w:t>
      </w:r>
      <w:r w:rsidRPr="00B02247">
        <w:t>public</w:t>
      </w:r>
      <w:r w:rsidR="005B2A41">
        <w:t xml:space="preserve"> </w:t>
      </w:r>
      <w:r w:rsidRPr="00B02247">
        <w:t>order</w:t>
      </w:r>
      <w:r w:rsidR="005B2A41">
        <w:t xml:space="preserve"> </w:t>
      </w:r>
      <w:r w:rsidRPr="00B02247">
        <w:t>or</w:t>
      </w:r>
      <w:r w:rsidR="005B2A41">
        <w:t xml:space="preserve"> </w:t>
      </w:r>
      <w:r w:rsidRPr="00B02247">
        <w:t>threatens</w:t>
      </w:r>
      <w:r w:rsidR="005B2A41">
        <w:t xml:space="preserve"> </w:t>
      </w:r>
      <w:r w:rsidRPr="00B02247">
        <w:t>life,</w:t>
      </w:r>
      <w:r w:rsidR="005B2A41">
        <w:t xml:space="preserve"> </w:t>
      </w:r>
      <w:r w:rsidRPr="00B02247">
        <w:t>liberty</w:t>
      </w:r>
      <w:r w:rsidR="005B2A41">
        <w:t xml:space="preserve"> </w:t>
      </w:r>
      <w:r w:rsidRPr="00B02247">
        <w:t>or</w:t>
      </w:r>
      <w:r w:rsidR="005B2A41">
        <w:t xml:space="preserve"> </w:t>
      </w:r>
      <w:r w:rsidRPr="00B02247">
        <w:t>physical</w:t>
      </w:r>
      <w:r w:rsidR="005B2A41">
        <w:t xml:space="preserve"> </w:t>
      </w:r>
      <w:r w:rsidRPr="00B02247">
        <w:t>integrity</w:t>
      </w:r>
      <w:r w:rsidR="005B2A41">
        <w:t xml:space="preserve"> </w:t>
      </w:r>
      <w:r w:rsidRPr="00B02247">
        <w:t>of</w:t>
      </w:r>
      <w:r w:rsidR="005B2A41">
        <w:t xml:space="preserve"> </w:t>
      </w:r>
      <w:r w:rsidRPr="00B02247">
        <w:t>the</w:t>
      </w:r>
      <w:r w:rsidR="005B2A41">
        <w:t xml:space="preserve"> </w:t>
      </w:r>
      <w:r w:rsidRPr="00B02247">
        <w:t>abovementioned</w:t>
      </w:r>
      <w:r w:rsidR="005B2A41">
        <w:t xml:space="preserve"> </w:t>
      </w:r>
      <w:r w:rsidRPr="00B02247">
        <w:t>persons;</w:t>
      </w:r>
      <w:r w:rsidR="005B2A41">
        <w:t xml:space="preserve"> </w:t>
      </w:r>
      <w:r w:rsidRPr="00B02247">
        <w:t>the</w:t>
      </w:r>
      <w:r w:rsidR="005B2A41">
        <w:t xml:space="preserve"> </w:t>
      </w:r>
      <w:r w:rsidRPr="00B02247">
        <w:t>establishment</w:t>
      </w:r>
      <w:r w:rsidR="005B2A41">
        <w:t xml:space="preserve"> </w:t>
      </w:r>
      <w:r w:rsidRPr="00B02247">
        <w:t>of</w:t>
      </w:r>
      <w:r w:rsidR="005B2A41">
        <w:t xml:space="preserve"> </w:t>
      </w:r>
      <w:r w:rsidRPr="00B02247">
        <w:t>or</w:t>
      </w:r>
      <w:r w:rsidR="005B2A41">
        <w:t xml:space="preserve"> </w:t>
      </w:r>
      <w:r w:rsidRPr="00B02247">
        <w:t>participation</w:t>
      </w:r>
      <w:r w:rsidR="005B2A41">
        <w:t xml:space="preserve"> </w:t>
      </w:r>
      <w:r w:rsidRPr="00B02247">
        <w:t>in</w:t>
      </w:r>
      <w:r w:rsidR="005B2A41">
        <w:t xml:space="preserve"> </w:t>
      </w:r>
      <w:r w:rsidRPr="00B02247">
        <w:t>an</w:t>
      </w:r>
      <w:r w:rsidR="005B2A41">
        <w:t xml:space="preserve"> </w:t>
      </w:r>
      <w:r w:rsidRPr="00B02247">
        <w:t>organization</w:t>
      </w:r>
      <w:r w:rsidR="005B2A41">
        <w:t xml:space="preserve"> </w:t>
      </w:r>
      <w:r w:rsidRPr="00B02247">
        <w:t>or</w:t>
      </w:r>
      <w:r w:rsidR="005B2A41">
        <w:t xml:space="preserve"> </w:t>
      </w:r>
      <w:r w:rsidRPr="00B02247">
        <w:t>union</w:t>
      </w:r>
      <w:r w:rsidR="005B2A41">
        <w:t xml:space="preserve"> </w:t>
      </w:r>
      <w:r w:rsidRPr="00B02247">
        <w:t>of</w:t>
      </w:r>
      <w:r w:rsidR="005B2A41">
        <w:t xml:space="preserve"> </w:t>
      </w:r>
      <w:r w:rsidRPr="00B02247">
        <w:t>persons</w:t>
      </w:r>
      <w:r w:rsidR="005B2A41">
        <w:t xml:space="preserve"> </w:t>
      </w:r>
      <w:r w:rsidRPr="00B02247">
        <w:t>of</w:t>
      </w:r>
      <w:r w:rsidR="005B2A41">
        <w:t xml:space="preserve"> </w:t>
      </w:r>
      <w:r w:rsidRPr="00B02247">
        <w:t>any</w:t>
      </w:r>
      <w:r w:rsidR="005B2A41">
        <w:t xml:space="preserve"> </w:t>
      </w:r>
      <w:r w:rsidRPr="00B02247">
        <w:t>kind</w:t>
      </w:r>
      <w:r w:rsidR="005B2A41">
        <w:t xml:space="preserve"> </w:t>
      </w:r>
      <w:r w:rsidRPr="00B02247">
        <w:t>systematically</w:t>
      </w:r>
      <w:r w:rsidR="005B2A41">
        <w:t xml:space="preserve"> </w:t>
      </w:r>
      <w:r w:rsidRPr="00B02247">
        <w:t>pursuing</w:t>
      </w:r>
      <w:r w:rsidR="005B2A41">
        <w:t xml:space="preserve"> </w:t>
      </w:r>
      <w:r w:rsidRPr="00B02247">
        <w:t>the</w:t>
      </w:r>
      <w:r w:rsidR="005B2A41">
        <w:t xml:space="preserve"> </w:t>
      </w:r>
      <w:r w:rsidRPr="00B02247">
        <w:t>commission</w:t>
      </w:r>
      <w:r w:rsidR="005B2A41">
        <w:t xml:space="preserve"> </w:t>
      </w:r>
      <w:r w:rsidRPr="00B02247">
        <w:t>of</w:t>
      </w:r>
      <w:r w:rsidR="005B2A41">
        <w:t xml:space="preserve"> </w:t>
      </w:r>
      <w:r w:rsidRPr="00B02247">
        <w:t>the</w:t>
      </w:r>
      <w:r w:rsidR="005B2A41">
        <w:t xml:space="preserve"> </w:t>
      </w:r>
      <w:r w:rsidRPr="00B02247">
        <w:t>abovementioned</w:t>
      </w:r>
      <w:r w:rsidR="005B2A41">
        <w:t xml:space="preserve"> </w:t>
      </w:r>
      <w:r w:rsidRPr="00B02247">
        <w:t>acts;</w:t>
      </w:r>
      <w:r w:rsidR="005B2A41">
        <w:t xml:space="preserve"> </w:t>
      </w:r>
      <w:r w:rsidRPr="00B02247">
        <w:t>under</w:t>
      </w:r>
      <w:r w:rsidR="005B2A41">
        <w:t xml:space="preserve"> </w:t>
      </w:r>
      <w:r w:rsidRPr="00B02247">
        <w:t>the</w:t>
      </w:r>
      <w:r w:rsidR="005B2A41">
        <w:t xml:space="preserve"> </w:t>
      </w:r>
      <w:r w:rsidRPr="00B02247">
        <w:t>circumstances</w:t>
      </w:r>
      <w:r w:rsidR="005B2A41">
        <w:t xml:space="preserve"> </w:t>
      </w:r>
      <w:r w:rsidRPr="00B02247">
        <w:t>prescribed</w:t>
      </w:r>
      <w:r w:rsidR="005B2A41">
        <w:t xml:space="preserve"> </w:t>
      </w:r>
      <w:r w:rsidRPr="00B02247">
        <w:t>by</w:t>
      </w:r>
      <w:r w:rsidR="005B2A41">
        <w:t xml:space="preserve"> </w:t>
      </w:r>
      <w:r w:rsidRPr="00B02247">
        <w:t>the</w:t>
      </w:r>
      <w:r w:rsidR="005B2A41">
        <w:t xml:space="preserve"> </w:t>
      </w:r>
      <w:r w:rsidRPr="00B02247">
        <w:t>law,</w:t>
      </w:r>
      <w:r w:rsidR="005B2A41">
        <w:t xml:space="preserve"> </w:t>
      </w:r>
      <w:r w:rsidRPr="00B02247">
        <w:t>the</w:t>
      </w:r>
      <w:r w:rsidR="005B2A41">
        <w:t xml:space="preserve"> </w:t>
      </w:r>
      <w:r w:rsidRPr="00B02247">
        <w:t>act</w:t>
      </w:r>
      <w:r w:rsidR="005B2A41">
        <w:t xml:space="preserve"> </w:t>
      </w:r>
      <w:r w:rsidRPr="00B02247">
        <w:t>of</w:t>
      </w:r>
      <w:r w:rsidR="005B2A41">
        <w:t xml:space="preserve"> </w:t>
      </w:r>
      <w:r w:rsidRPr="00B02247">
        <w:t>publicly</w:t>
      </w:r>
      <w:r w:rsidR="005B2A41">
        <w:t xml:space="preserve"> </w:t>
      </w:r>
      <w:r w:rsidRPr="00B02247">
        <w:t>condoning,</w:t>
      </w:r>
      <w:r w:rsidR="005B2A41">
        <w:t xml:space="preserve"> </w:t>
      </w:r>
      <w:r w:rsidRPr="00B02247">
        <w:t>trivializing</w:t>
      </w:r>
      <w:r w:rsidR="005B2A41">
        <w:t xml:space="preserve"> </w:t>
      </w:r>
      <w:r w:rsidRPr="00B02247">
        <w:t>or</w:t>
      </w:r>
      <w:r w:rsidR="005B2A41">
        <w:t xml:space="preserve"> </w:t>
      </w:r>
      <w:r w:rsidRPr="00B02247">
        <w:t>maliciously</w:t>
      </w:r>
      <w:r w:rsidR="005B2A41">
        <w:t xml:space="preserve"> </w:t>
      </w:r>
      <w:r w:rsidRPr="00B02247">
        <w:t>denying</w:t>
      </w:r>
      <w:r w:rsidR="005B2A41">
        <w:t xml:space="preserve"> </w:t>
      </w:r>
      <w:r w:rsidRPr="00B02247">
        <w:t>the</w:t>
      </w:r>
      <w:r w:rsidR="005B2A41">
        <w:t xml:space="preserve"> </w:t>
      </w:r>
      <w:r w:rsidRPr="00B02247">
        <w:t>commission</w:t>
      </w:r>
      <w:r w:rsidR="005B2A41">
        <w:t xml:space="preserve"> </w:t>
      </w:r>
      <w:r w:rsidRPr="00B02247">
        <w:t>or</w:t>
      </w:r>
      <w:r w:rsidR="005B2A41">
        <w:t xml:space="preserve"> </w:t>
      </w:r>
      <w:r w:rsidRPr="00B02247">
        <w:t>seriousness</w:t>
      </w:r>
      <w:r w:rsidR="005B2A41">
        <w:t xml:space="preserve"> </w:t>
      </w:r>
      <w:r w:rsidRPr="00B02247">
        <w:t>of</w:t>
      </w:r>
      <w:r w:rsidR="005B2A41">
        <w:t xml:space="preserve"> </w:t>
      </w:r>
      <w:r w:rsidRPr="00B02247">
        <w:t>crimes</w:t>
      </w:r>
      <w:r w:rsidR="005B2A41">
        <w:t xml:space="preserve"> </w:t>
      </w:r>
      <w:r w:rsidRPr="00B02247">
        <w:t>of</w:t>
      </w:r>
      <w:r w:rsidR="005B2A41">
        <w:t xml:space="preserve"> </w:t>
      </w:r>
      <w:r w:rsidRPr="00B02247">
        <w:t>genocide,</w:t>
      </w:r>
      <w:r w:rsidR="005B2A41">
        <w:t xml:space="preserve"> </w:t>
      </w:r>
      <w:r w:rsidRPr="00B02247">
        <w:t>war</w:t>
      </w:r>
      <w:r w:rsidR="005B2A41">
        <w:t xml:space="preserve"> </w:t>
      </w:r>
      <w:r w:rsidRPr="00B02247">
        <w:t>crimes,</w:t>
      </w:r>
      <w:r w:rsidR="005B2A41">
        <w:t xml:space="preserve"> </w:t>
      </w:r>
      <w:r w:rsidRPr="00B02247">
        <w:t>crimes</w:t>
      </w:r>
      <w:r w:rsidR="005B2A41">
        <w:t xml:space="preserve"> </w:t>
      </w:r>
      <w:r w:rsidRPr="00B02247">
        <w:t>against</w:t>
      </w:r>
      <w:r w:rsidR="005B2A41">
        <w:t xml:space="preserve"> </w:t>
      </w:r>
      <w:r w:rsidRPr="00B02247">
        <w:t>humanity,</w:t>
      </w:r>
      <w:r w:rsidR="005B2A41">
        <w:t xml:space="preserve"> </w:t>
      </w:r>
      <w:r w:rsidRPr="00B02247">
        <w:t>the</w:t>
      </w:r>
      <w:r w:rsidR="005B2A41">
        <w:t xml:space="preserve"> </w:t>
      </w:r>
      <w:r w:rsidRPr="00B02247">
        <w:t>Holocaust</w:t>
      </w:r>
      <w:r w:rsidR="005B2A41">
        <w:t xml:space="preserve"> </w:t>
      </w:r>
      <w:r w:rsidRPr="00B02247">
        <w:t>and</w:t>
      </w:r>
      <w:r w:rsidR="005B2A41">
        <w:t xml:space="preserve"> </w:t>
      </w:r>
      <w:r w:rsidRPr="00B02247">
        <w:t>Nazi</w:t>
      </w:r>
      <w:r w:rsidR="005B2A41">
        <w:t xml:space="preserve"> </w:t>
      </w:r>
      <w:r w:rsidRPr="00B02247">
        <w:t>crimes,</w:t>
      </w:r>
      <w:r w:rsidR="005B2A41">
        <w:t xml:space="preserve"> </w:t>
      </w:r>
      <w:r w:rsidRPr="00B02247">
        <w:t>recognized</w:t>
      </w:r>
      <w:r w:rsidR="005B2A41">
        <w:t xml:space="preserve"> </w:t>
      </w:r>
      <w:r w:rsidRPr="00B02247">
        <w:t>by</w:t>
      </w:r>
      <w:r w:rsidR="005B2A41">
        <w:t xml:space="preserve"> </w:t>
      </w:r>
      <w:r w:rsidRPr="00B02247">
        <w:t>decisions</w:t>
      </w:r>
      <w:r w:rsidR="005B2A41">
        <w:t xml:space="preserve"> </w:t>
      </w:r>
      <w:r w:rsidRPr="00B02247">
        <w:t>of</w:t>
      </w:r>
      <w:r w:rsidR="005B2A41">
        <w:t xml:space="preserve"> </w:t>
      </w:r>
      <w:r w:rsidRPr="00B02247">
        <w:t>international</w:t>
      </w:r>
      <w:r w:rsidR="005B2A41">
        <w:t xml:space="preserve"> </w:t>
      </w:r>
      <w:r w:rsidRPr="00B02247">
        <w:t>courts</w:t>
      </w:r>
      <w:r w:rsidR="005B2A41">
        <w:t xml:space="preserve"> </w:t>
      </w:r>
      <w:r w:rsidRPr="00B02247">
        <w:t>or</w:t>
      </w:r>
      <w:r w:rsidR="005B2A41">
        <w:t xml:space="preserve"> </w:t>
      </w:r>
      <w:r w:rsidRPr="00B02247">
        <w:t>the</w:t>
      </w:r>
      <w:r w:rsidR="005B2A41">
        <w:t xml:space="preserve"> </w:t>
      </w:r>
      <w:r w:rsidRPr="00B02247">
        <w:t>Hellenic</w:t>
      </w:r>
      <w:r w:rsidR="005B2A41">
        <w:t xml:space="preserve"> </w:t>
      </w:r>
      <w:r w:rsidRPr="00B02247">
        <w:t>Parliament.</w:t>
      </w:r>
      <w:r w:rsidR="005B2A41">
        <w:t xml:space="preserve"> </w:t>
      </w:r>
      <w:r w:rsidRPr="00B02247">
        <w:t>The</w:t>
      </w:r>
      <w:r w:rsidR="005B2A41">
        <w:t xml:space="preserve"> </w:t>
      </w:r>
      <w:r w:rsidRPr="00B02247">
        <w:t>penalties</w:t>
      </w:r>
      <w:r w:rsidR="005B2A41">
        <w:t xml:space="preserve"> </w:t>
      </w:r>
      <w:r w:rsidRPr="00B02247">
        <w:t>are</w:t>
      </w:r>
      <w:r w:rsidR="005B2A41">
        <w:t xml:space="preserve"> </w:t>
      </w:r>
      <w:r w:rsidRPr="00B02247">
        <w:t>stricter</w:t>
      </w:r>
      <w:r w:rsidR="005B2A41">
        <w:t xml:space="preserve"> </w:t>
      </w:r>
      <w:r w:rsidRPr="00B02247">
        <w:t>if</w:t>
      </w:r>
      <w:r w:rsidR="005B2A41">
        <w:t xml:space="preserve"> </w:t>
      </w:r>
      <w:r w:rsidRPr="00B02247">
        <w:t>these</w:t>
      </w:r>
      <w:r w:rsidR="005B2A41">
        <w:t xml:space="preserve"> </w:t>
      </w:r>
      <w:r w:rsidRPr="00B02247">
        <w:t>crimes</w:t>
      </w:r>
      <w:r w:rsidR="005B2A41">
        <w:t xml:space="preserve"> </w:t>
      </w:r>
      <w:r w:rsidRPr="00B02247">
        <w:t>are</w:t>
      </w:r>
      <w:r w:rsidR="005B2A41">
        <w:t xml:space="preserve"> </w:t>
      </w:r>
      <w:r w:rsidRPr="00B02247">
        <w:t>committed</w:t>
      </w:r>
      <w:r w:rsidR="005B2A41">
        <w:t xml:space="preserve"> </w:t>
      </w:r>
      <w:r w:rsidRPr="00B02247">
        <w:t>by</w:t>
      </w:r>
      <w:r w:rsidR="005B2A41">
        <w:t xml:space="preserve"> </w:t>
      </w:r>
      <w:r w:rsidRPr="00B02247">
        <w:t>a</w:t>
      </w:r>
      <w:r w:rsidR="005B2A41">
        <w:t xml:space="preserve"> </w:t>
      </w:r>
      <w:r w:rsidRPr="00B02247">
        <w:t>civil</w:t>
      </w:r>
      <w:r w:rsidR="005B2A41">
        <w:t xml:space="preserve"> </w:t>
      </w:r>
      <w:r w:rsidRPr="00B02247">
        <w:t>servant.</w:t>
      </w:r>
      <w:r w:rsidR="005B2A41">
        <w:t xml:space="preserve"> </w:t>
      </w:r>
      <w:r w:rsidRPr="00B02247">
        <w:t>In</w:t>
      </w:r>
      <w:r w:rsidR="005B2A41">
        <w:t xml:space="preserve"> </w:t>
      </w:r>
      <w:r w:rsidRPr="00B02247">
        <w:t>addition,</w:t>
      </w:r>
      <w:r w:rsidR="005B2A41">
        <w:t xml:space="preserve"> </w:t>
      </w:r>
      <w:r w:rsidRPr="00B02247">
        <w:t>the</w:t>
      </w:r>
      <w:r w:rsidR="005B2A41">
        <w:t xml:space="preserve"> </w:t>
      </w:r>
      <w:r w:rsidRPr="00B02247">
        <w:t>law</w:t>
      </w:r>
      <w:r w:rsidR="005B2A41">
        <w:t xml:space="preserve"> </w:t>
      </w:r>
      <w:r w:rsidRPr="00B02247">
        <w:t>introduces</w:t>
      </w:r>
      <w:r w:rsidR="005B2A41">
        <w:t xml:space="preserve"> </w:t>
      </w:r>
      <w:r w:rsidRPr="00B02247">
        <w:t>the</w:t>
      </w:r>
      <w:r w:rsidR="005B2A41">
        <w:t xml:space="preserve"> </w:t>
      </w:r>
      <w:r w:rsidRPr="00B02247">
        <w:t>administrative</w:t>
      </w:r>
      <w:r w:rsidR="005B2A41">
        <w:t xml:space="preserve"> </w:t>
      </w:r>
      <w:r w:rsidRPr="00B02247">
        <w:t>liability</w:t>
      </w:r>
      <w:r w:rsidR="005B2A41">
        <w:t xml:space="preserve"> </w:t>
      </w:r>
      <w:r w:rsidRPr="00B02247">
        <w:t>of</w:t>
      </w:r>
      <w:r w:rsidR="005B2A41">
        <w:t xml:space="preserve"> </w:t>
      </w:r>
      <w:r w:rsidRPr="00B02247">
        <w:t>legal</w:t>
      </w:r>
      <w:r w:rsidR="005B2A41">
        <w:t xml:space="preserve"> </w:t>
      </w:r>
      <w:r w:rsidRPr="00B02247">
        <w:t>persons</w:t>
      </w:r>
      <w:r w:rsidR="005B2A41">
        <w:t xml:space="preserve"> </w:t>
      </w:r>
      <w:r w:rsidRPr="00B02247">
        <w:t>or</w:t>
      </w:r>
      <w:r w:rsidR="005B2A41">
        <w:t xml:space="preserve"> </w:t>
      </w:r>
      <w:r w:rsidRPr="00B02247">
        <w:t>unions</w:t>
      </w:r>
      <w:r w:rsidR="005B2A41">
        <w:t xml:space="preserve"> </w:t>
      </w:r>
      <w:r w:rsidRPr="00B02247">
        <w:t>of</w:t>
      </w:r>
      <w:r w:rsidR="005B2A41">
        <w:t xml:space="preserve"> </w:t>
      </w:r>
      <w:r w:rsidRPr="00B02247">
        <w:t>persons.</w:t>
      </w:r>
    </w:p>
    <w:p w:rsidR="00F233AB" w:rsidRPr="00B02247" w:rsidRDefault="00F233AB" w:rsidP="00E1307D">
      <w:pPr>
        <w:pStyle w:val="SingleTxtG"/>
      </w:pPr>
      <w:r w:rsidRPr="00B02247">
        <w:t>178.</w:t>
      </w:r>
      <w:r w:rsidRPr="00B02247">
        <w:tab/>
        <w:t>Penalties</w:t>
      </w:r>
      <w:r w:rsidR="005B2A41">
        <w:t xml:space="preserve"> </w:t>
      </w:r>
      <w:r w:rsidRPr="00B02247">
        <w:t>for</w:t>
      </w:r>
      <w:r w:rsidR="005B2A41">
        <w:t xml:space="preserve"> </w:t>
      </w:r>
      <w:r w:rsidRPr="00B02247">
        <w:t>racist</w:t>
      </w:r>
      <w:r w:rsidR="005B2A41">
        <w:t xml:space="preserve"> </w:t>
      </w:r>
      <w:r w:rsidRPr="00B02247">
        <w:t>crimes</w:t>
      </w:r>
      <w:r w:rsidR="005B2A41">
        <w:t xml:space="preserve"> </w:t>
      </w:r>
      <w:r w:rsidRPr="00B02247">
        <w:t>have</w:t>
      </w:r>
      <w:r w:rsidR="005B2A41">
        <w:t xml:space="preserve"> </w:t>
      </w:r>
      <w:r w:rsidRPr="00B02247">
        <w:t>been</w:t>
      </w:r>
      <w:r w:rsidR="005B2A41">
        <w:t xml:space="preserve"> </w:t>
      </w:r>
      <w:r w:rsidRPr="00B02247">
        <w:t>stiffened.</w:t>
      </w:r>
      <w:r w:rsidR="005B2A41">
        <w:t xml:space="preserve"> </w:t>
      </w:r>
      <w:r w:rsidRPr="00B02247">
        <w:t>The</w:t>
      </w:r>
      <w:r w:rsidR="005B2A41">
        <w:t xml:space="preserve"> </w:t>
      </w:r>
      <w:r w:rsidRPr="00B02247">
        <w:t>new</w:t>
      </w:r>
      <w:r w:rsidR="005B2A41">
        <w:t xml:space="preserve"> </w:t>
      </w:r>
      <w:r w:rsidRPr="00B02247">
        <w:t>article</w:t>
      </w:r>
      <w:r w:rsidR="005B2A41">
        <w:t xml:space="preserve"> </w:t>
      </w:r>
      <w:r w:rsidRPr="00B02247">
        <w:t>81A</w:t>
      </w:r>
      <w:r w:rsidR="005B2A41">
        <w:t xml:space="preserve"> </w:t>
      </w:r>
      <w:r w:rsidRPr="00B02247">
        <w:t>introduced</w:t>
      </w:r>
      <w:r w:rsidR="005B2A41">
        <w:t xml:space="preserve"> </w:t>
      </w:r>
      <w:r w:rsidRPr="00B02247">
        <w:t>in</w:t>
      </w:r>
      <w:r w:rsidR="005B2A41">
        <w:t xml:space="preserve"> </w:t>
      </w:r>
      <w:r w:rsidRPr="00B02247">
        <w:t>the</w:t>
      </w:r>
      <w:r w:rsidR="005B2A41">
        <w:t xml:space="preserve"> </w:t>
      </w:r>
      <w:r w:rsidRPr="00B02247">
        <w:t>Criminal</w:t>
      </w:r>
      <w:r w:rsidR="005B2A41">
        <w:t xml:space="preserve"> </w:t>
      </w:r>
      <w:r w:rsidRPr="00B02247">
        <w:t>Code</w:t>
      </w:r>
      <w:r w:rsidR="005B2A41">
        <w:t xml:space="preserve"> </w:t>
      </w:r>
      <w:r w:rsidRPr="00B02247">
        <w:t>raises</w:t>
      </w:r>
      <w:r w:rsidR="005B2A41">
        <w:t xml:space="preserve"> </w:t>
      </w:r>
      <w:r w:rsidRPr="00B02247">
        <w:t>the</w:t>
      </w:r>
      <w:r w:rsidR="005B2A41">
        <w:t xml:space="preserve"> </w:t>
      </w:r>
      <w:r w:rsidRPr="00B02247">
        <w:t>minimum</w:t>
      </w:r>
      <w:r w:rsidR="005B2A41">
        <w:t xml:space="preserve"> </w:t>
      </w:r>
      <w:r w:rsidRPr="00B02247">
        <w:t>penalty</w:t>
      </w:r>
      <w:r w:rsidR="005B2A41">
        <w:t xml:space="preserve"> </w:t>
      </w:r>
      <w:r w:rsidRPr="00B02247">
        <w:t>and</w:t>
      </w:r>
      <w:r w:rsidR="005B2A41">
        <w:t xml:space="preserve"> </w:t>
      </w:r>
      <w:r w:rsidRPr="00B02247">
        <w:t>doubles</w:t>
      </w:r>
      <w:r w:rsidR="005B2A41">
        <w:t xml:space="preserve"> </w:t>
      </w:r>
      <w:r w:rsidRPr="00B02247">
        <w:t>the</w:t>
      </w:r>
      <w:r w:rsidR="005B2A41">
        <w:t xml:space="preserve"> </w:t>
      </w:r>
      <w:r w:rsidRPr="00B02247">
        <w:t>monetary</w:t>
      </w:r>
      <w:r w:rsidR="005B2A41">
        <w:t xml:space="preserve"> </w:t>
      </w:r>
      <w:r w:rsidRPr="00B02247">
        <w:t>penalties</w:t>
      </w:r>
      <w:r w:rsidR="005B2A41">
        <w:t xml:space="preserve"> </w:t>
      </w:r>
      <w:r w:rsidRPr="00B02247">
        <w:t>that</w:t>
      </w:r>
      <w:r w:rsidR="005B2A41">
        <w:t xml:space="preserve"> </w:t>
      </w:r>
      <w:r w:rsidRPr="00B02247">
        <w:t>may</w:t>
      </w:r>
      <w:r w:rsidR="005B2A41">
        <w:t xml:space="preserve"> </w:t>
      </w:r>
      <w:r w:rsidRPr="00B02247">
        <w:t>be</w:t>
      </w:r>
      <w:r w:rsidR="005B2A41">
        <w:t xml:space="preserve"> </w:t>
      </w:r>
      <w:r w:rsidRPr="00B02247">
        <w:t>imposed</w:t>
      </w:r>
      <w:r w:rsidR="005B2A41">
        <w:t xml:space="preserve"> </w:t>
      </w:r>
      <w:r w:rsidRPr="00B02247">
        <w:t>for</w:t>
      </w:r>
      <w:r w:rsidR="005B2A41">
        <w:t xml:space="preserve"> </w:t>
      </w:r>
      <w:r w:rsidRPr="00B02247">
        <w:t>racist</w:t>
      </w:r>
      <w:r w:rsidR="005B2A41">
        <w:t xml:space="preserve"> </w:t>
      </w:r>
      <w:r w:rsidRPr="00B02247">
        <w:t>crimes.</w:t>
      </w:r>
      <w:r w:rsidR="005B2A41">
        <w:t xml:space="preserve"> </w:t>
      </w:r>
      <w:r w:rsidRPr="00B02247">
        <w:t>Under</w:t>
      </w:r>
      <w:r w:rsidR="005B2A41">
        <w:t xml:space="preserve"> </w:t>
      </w:r>
      <w:r w:rsidRPr="00B02247">
        <w:t>the</w:t>
      </w:r>
      <w:r w:rsidR="005B2A41">
        <w:t xml:space="preserve"> </w:t>
      </w:r>
      <w:r w:rsidRPr="00B02247">
        <w:t>same</w:t>
      </w:r>
      <w:r w:rsidR="005B2A41">
        <w:t xml:space="preserve"> </w:t>
      </w:r>
      <w:r w:rsidRPr="00B02247">
        <w:t>article,</w:t>
      </w:r>
      <w:r w:rsidR="005B2A41">
        <w:t xml:space="preserve"> </w:t>
      </w:r>
      <w:r w:rsidRPr="00B02247">
        <w:t>the</w:t>
      </w:r>
      <w:r w:rsidR="005B2A41">
        <w:t xml:space="preserve"> </w:t>
      </w:r>
      <w:r w:rsidRPr="00B02247">
        <w:t>commission</w:t>
      </w:r>
      <w:r w:rsidR="005B2A41">
        <w:t xml:space="preserve"> </w:t>
      </w:r>
      <w:r w:rsidRPr="00B02247">
        <w:t>of</w:t>
      </w:r>
      <w:r w:rsidR="005B2A41">
        <w:t xml:space="preserve"> </w:t>
      </w:r>
      <w:r w:rsidRPr="00B02247">
        <w:t>an</w:t>
      </w:r>
      <w:r w:rsidR="005B2A41">
        <w:t xml:space="preserve"> </w:t>
      </w:r>
      <w:r w:rsidRPr="00B02247">
        <w:t>offense</w:t>
      </w:r>
      <w:r w:rsidR="005B2A41">
        <w:t xml:space="preserve"> </w:t>
      </w:r>
      <w:r w:rsidRPr="00B02247">
        <w:t>on</w:t>
      </w:r>
      <w:r w:rsidR="005B2A41">
        <w:t xml:space="preserve"> </w:t>
      </w:r>
      <w:r w:rsidRPr="00B02247">
        <w:t>racist</w:t>
      </w:r>
      <w:r w:rsidR="005B2A41">
        <w:t xml:space="preserve"> </w:t>
      </w:r>
      <w:r w:rsidRPr="00B02247">
        <w:t>grounds</w:t>
      </w:r>
      <w:r w:rsidR="005B2A41">
        <w:t xml:space="preserve"> </w:t>
      </w:r>
      <w:r w:rsidRPr="00B02247">
        <w:t>(i.e.</w:t>
      </w:r>
      <w:r w:rsidR="005B2A41">
        <w:t xml:space="preserve"> </w:t>
      </w:r>
      <w:r w:rsidRPr="00B02247">
        <w:t>on</w:t>
      </w:r>
      <w:r w:rsidR="005B2A41">
        <w:t xml:space="preserve"> </w:t>
      </w:r>
      <w:r w:rsidRPr="00B02247">
        <w:t>account</w:t>
      </w:r>
      <w:r w:rsidR="005B2A41">
        <w:t xml:space="preserve"> </w:t>
      </w:r>
      <w:r w:rsidRPr="00B02247">
        <w:t>of</w:t>
      </w:r>
      <w:r w:rsidR="005B2A41">
        <w:t xml:space="preserve"> </w:t>
      </w:r>
      <w:r w:rsidRPr="00B02247">
        <w:t>race,</w:t>
      </w:r>
      <w:r w:rsidR="005B2A41">
        <w:t xml:space="preserve"> </w:t>
      </w:r>
      <w:r w:rsidRPr="00B02247">
        <w:t>colour,</w:t>
      </w:r>
      <w:r w:rsidR="005B2A41">
        <w:t xml:space="preserve"> </w:t>
      </w:r>
      <w:r w:rsidRPr="00B02247">
        <w:t>religion,</w:t>
      </w:r>
      <w:r w:rsidR="005B2A41">
        <w:t xml:space="preserve"> </w:t>
      </w:r>
      <w:r w:rsidRPr="00B02247">
        <w:t>descent,</w:t>
      </w:r>
      <w:r w:rsidR="005B2A41">
        <w:t xml:space="preserve"> </w:t>
      </w:r>
      <w:r w:rsidRPr="00B02247">
        <w:t>national</w:t>
      </w:r>
      <w:r w:rsidR="005B2A41">
        <w:t xml:space="preserve"> </w:t>
      </w:r>
      <w:r w:rsidRPr="00B02247">
        <w:t>or</w:t>
      </w:r>
      <w:r w:rsidR="005B2A41">
        <w:t xml:space="preserve"> </w:t>
      </w:r>
      <w:r w:rsidRPr="00B02247">
        <w:t>ethnic</w:t>
      </w:r>
      <w:r w:rsidR="005B2A41">
        <w:t xml:space="preserve"> </w:t>
      </w:r>
      <w:r w:rsidRPr="00B02247">
        <w:t>origin,</w:t>
      </w:r>
      <w:r w:rsidR="005B2A41">
        <w:t xml:space="preserve"> </w:t>
      </w:r>
      <w:r w:rsidRPr="00B02247">
        <w:t>sexual</w:t>
      </w:r>
      <w:r w:rsidR="005B2A41">
        <w:t xml:space="preserve"> </w:t>
      </w:r>
      <w:r w:rsidRPr="00B02247">
        <w:t>orientation,</w:t>
      </w:r>
      <w:r w:rsidR="005B2A41">
        <w:t xml:space="preserve"> </w:t>
      </w:r>
      <w:r w:rsidRPr="00B02247">
        <w:t>disability,</w:t>
      </w:r>
      <w:r w:rsidR="005B2A41">
        <w:t xml:space="preserve"> </w:t>
      </w:r>
      <w:r w:rsidRPr="00B02247">
        <w:t>gender</w:t>
      </w:r>
      <w:r w:rsidR="005B2A41">
        <w:t xml:space="preserve"> </w:t>
      </w:r>
      <w:r w:rsidRPr="00B02247">
        <w:t>identity</w:t>
      </w:r>
      <w:r w:rsidR="005B2A41">
        <w:t xml:space="preserve"> </w:t>
      </w:r>
      <w:r w:rsidRPr="00B02247">
        <w:t>and,</w:t>
      </w:r>
      <w:r w:rsidR="005B2A41">
        <w:t xml:space="preserve"> </w:t>
      </w:r>
      <w:r w:rsidRPr="00B02247">
        <w:t>as</w:t>
      </w:r>
      <w:r w:rsidR="005B2A41">
        <w:t xml:space="preserve"> </w:t>
      </w:r>
      <w:r w:rsidRPr="00B02247">
        <w:t>recently</w:t>
      </w:r>
      <w:r w:rsidR="005B2A41">
        <w:t xml:space="preserve"> </w:t>
      </w:r>
      <w:r w:rsidRPr="00B02247">
        <w:t>added,</w:t>
      </w:r>
      <w:r w:rsidR="005B2A41">
        <w:t xml:space="preserve"> </w:t>
      </w:r>
      <w:r w:rsidRPr="00B02247">
        <w:t>gender</w:t>
      </w:r>
      <w:r w:rsidR="005B2A41">
        <w:t xml:space="preserve"> </w:t>
      </w:r>
      <w:r w:rsidRPr="00B02247">
        <w:t>characteristics)</w:t>
      </w:r>
      <w:r w:rsidR="005B2A41">
        <w:t xml:space="preserve"> </w:t>
      </w:r>
      <w:r w:rsidRPr="00B02247">
        <w:t>constitutes</w:t>
      </w:r>
      <w:r w:rsidR="005B2A41">
        <w:t xml:space="preserve"> </w:t>
      </w:r>
      <w:r w:rsidRPr="00B02247">
        <w:t>an</w:t>
      </w:r>
      <w:r w:rsidR="005B2A41">
        <w:t xml:space="preserve"> </w:t>
      </w:r>
      <w:r w:rsidRPr="00B02247">
        <w:t>aggravating</w:t>
      </w:r>
      <w:r w:rsidR="005B2A41">
        <w:t xml:space="preserve"> </w:t>
      </w:r>
      <w:r w:rsidRPr="00B02247">
        <w:t>circumstance,</w:t>
      </w:r>
      <w:r w:rsidR="005B2A41">
        <w:t xml:space="preserve"> </w:t>
      </w:r>
      <w:r w:rsidRPr="00B02247">
        <w:t>while</w:t>
      </w:r>
      <w:r w:rsidR="005B2A41">
        <w:t xml:space="preserve"> </w:t>
      </w:r>
      <w:r w:rsidRPr="00B02247">
        <w:t>law</w:t>
      </w:r>
      <w:r w:rsidR="005B2A41">
        <w:t xml:space="preserve"> </w:t>
      </w:r>
      <w:r w:rsidRPr="00B02247">
        <w:t>enforcement</w:t>
      </w:r>
      <w:r w:rsidR="005B2A41">
        <w:t xml:space="preserve"> </w:t>
      </w:r>
      <w:r w:rsidRPr="00B02247">
        <w:t>personnel,</w:t>
      </w:r>
      <w:r w:rsidR="005B2A41">
        <w:t xml:space="preserve"> </w:t>
      </w:r>
      <w:r w:rsidRPr="00B02247">
        <w:t>prosecutors</w:t>
      </w:r>
      <w:r w:rsidR="005B2A41">
        <w:t xml:space="preserve"> </w:t>
      </w:r>
      <w:r w:rsidRPr="00B02247">
        <w:t>and</w:t>
      </w:r>
      <w:r w:rsidR="005B2A41">
        <w:t xml:space="preserve"> </w:t>
      </w:r>
      <w:r w:rsidRPr="00B02247">
        <w:t>judges</w:t>
      </w:r>
      <w:r w:rsidR="005B2A41">
        <w:t xml:space="preserve"> </w:t>
      </w:r>
      <w:r w:rsidRPr="00B02247">
        <w:t>have</w:t>
      </w:r>
      <w:r w:rsidR="005B2A41">
        <w:t xml:space="preserve"> </w:t>
      </w:r>
      <w:r w:rsidRPr="00B02247">
        <w:t>the</w:t>
      </w:r>
      <w:r w:rsidR="005B2A41">
        <w:t xml:space="preserve"> </w:t>
      </w:r>
      <w:r w:rsidRPr="00B02247">
        <w:t>power</w:t>
      </w:r>
      <w:r w:rsidR="005B2A41">
        <w:t xml:space="preserve"> </w:t>
      </w:r>
      <w:r w:rsidRPr="00B02247">
        <w:t>to</w:t>
      </w:r>
      <w:r w:rsidR="005B2A41">
        <w:t xml:space="preserve"> </w:t>
      </w:r>
      <w:r w:rsidRPr="00B02247">
        <w:t>investigate</w:t>
      </w:r>
      <w:r w:rsidR="005B2A41">
        <w:t xml:space="preserve"> </w:t>
      </w:r>
      <w:r w:rsidRPr="00B02247">
        <w:t>and</w:t>
      </w:r>
      <w:r w:rsidR="005B2A41">
        <w:t xml:space="preserve"> </w:t>
      </w:r>
      <w:r w:rsidRPr="00B02247">
        <w:t>take</w:t>
      </w:r>
      <w:r w:rsidR="005B2A41">
        <w:t xml:space="preserve"> </w:t>
      </w:r>
      <w:r w:rsidRPr="00B02247">
        <w:t>into</w:t>
      </w:r>
      <w:r w:rsidR="005B2A41">
        <w:t xml:space="preserve"> </w:t>
      </w:r>
      <w:r w:rsidRPr="00B02247">
        <w:t>consideration</w:t>
      </w:r>
      <w:r w:rsidR="005B2A41">
        <w:t xml:space="preserve"> </w:t>
      </w:r>
      <w:r w:rsidRPr="00B02247">
        <w:t>the</w:t>
      </w:r>
      <w:r w:rsidR="005B2A41">
        <w:t xml:space="preserve"> </w:t>
      </w:r>
      <w:r w:rsidRPr="00B02247">
        <w:t>potential</w:t>
      </w:r>
      <w:r w:rsidR="005B2A41">
        <w:t xml:space="preserve"> </w:t>
      </w:r>
      <w:r w:rsidRPr="00B02247">
        <w:t>racist</w:t>
      </w:r>
      <w:r w:rsidR="005B2A41">
        <w:t xml:space="preserve"> </w:t>
      </w:r>
      <w:r w:rsidRPr="00B02247">
        <w:t>motivation</w:t>
      </w:r>
      <w:r w:rsidR="005B2A41">
        <w:t xml:space="preserve"> </w:t>
      </w:r>
      <w:r w:rsidRPr="00B02247">
        <w:t>at</w:t>
      </w:r>
      <w:r w:rsidR="005B2A41">
        <w:t xml:space="preserve"> </w:t>
      </w:r>
      <w:r w:rsidRPr="00B02247">
        <w:t>all</w:t>
      </w:r>
      <w:r w:rsidR="005B2A41">
        <w:t xml:space="preserve"> </w:t>
      </w:r>
      <w:r w:rsidRPr="00B02247">
        <w:t>stages</w:t>
      </w:r>
      <w:r w:rsidR="005B2A41">
        <w:t xml:space="preserve"> </w:t>
      </w:r>
      <w:r w:rsidRPr="00B02247">
        <w:t>of</w:t>
      </w:r>
      <w:r w:rsidR="005B2A41">
        <w:t xml:space="preserve"> </w:t>
      </w:r>
      <w:r w:rsidRPr="00B02247">
        <w:t>criminal</w:t>
      </w:r>
      <w:r w:rsidR="005B2A41">
        <w:t xml:space="preserve"> </w:t>
      </w:r>
      <w:r w:rsidRPr="00B02247">
        <w:t>proceedings.</w:t>
      </w:r>
      <w:r w:rsidR="005B2A41">
        <w:t xml:space="preserve"> </w:t>
      </w:r>
      <w:r w:rsidRPr="00B02247">
        <w:t>A</w:t>
      </w:r>
      <w:r w:rsidR="005B2A41">
        <w:t xml:space="preserve"> </w:t>
      </w:r>
      <w:r w:rsidRPr="00B02247">
        <w:t>recent</w:t>
      </w:r>
      <w:r w:rsidR="005B2A41">
        <w:t xml:space="preserve"> </w:t>
      </w:r>
      <w:r w:rsidRPr="00B02247">
        <w:t>legislative</w:t>
      </w:r>
      <w:r w:rsidR="005B2A41">
        <w:t xml:space="preserve"> </w:t>
      </w:r>
      <w:r w:rsidRPr="00B02247">
        <w:t>amendment</w:t>
      </w:r>
      <w:r w:rsidR="005B2A41">
        <w:t xml:space="preserve"> </w:t>
      </w:r>
      <w:r w:rsidRPr="00B02247">
        <w:t>by</w:t>
      </w:r>
      <w:r w:rsidR="005B2A41">
        <w:t xml:space="preserve"> </w:t>
      </w:r>
      <w:r w:rsidRPr="00B02247">
        <w:t>Law</w:t>
      </w:r>
      <w:r w:rsidR="005B2A41">
        <w:t xml:space="preserve"> </w:t>
      </w:r>
      <w:r w:rsidRPr="00B02247">
        <w:t>4356/2015,</w:t>
      </w:r>
      <w:r w:rsidR="005B2A41">
        <w:t xml:space="preserve"> </w:t>
      </w:r>
      <w:r w:rsidRPr="00B02247">
        <w:t>which</w:t>
      </w:r>
      <w:r w:rsidR="005B2A41">
        <w:t xml:space="preserve"> </w:t>
      </w:r>
      <w:r w:rsidRPr="00B02247">
        <w:t>eliminated</w:t>
      </w:r>
      <w:r w:rsidR="005B2A41">
        <w:t xml:space="preserve"> </w:t>
      </w:r>
      <w:r w:rsidRPr="00B02247">
        <w:t>the</w:t>
      </w:r>
      <w:r w:rsidR="005B2A41">
        <w:t xml:space="preserve"> </w:t>
      </w:r>
      <w:r w:rsidRPr="00B02247">
        <w:t>notion</w:t>
      </w:r>
      <w:r w:rsidR="005B2A41">
        <w:t xml:space="preserve"> </w:t>
      </w:r>
      <w:r w:rsidRPr="00B02247">
        <w:t>of</w:t>
      </w:r>
      <w:r w:rsidR="005B2A41">
        <w:t xml:space="preserve"> </w:t>
      </w:r>
      <w:r w:rsidR="003E731F">
        <w:t>“</w:t>
      </w:r>
      <w:r w:rsidRPr="00B02247">
        <w:t>hatred</w:t>
      </w:r>
      <w:r w:rsidR="003E731F">
        <w:t>”</w:t>
      </w:r>
      <w:r w:rsidR="005B2A41">
        <w:t xml:space="preserve"> </w:t>
      </w:r>
      <w:r w:rsidRPr="00B02247">
        <w:t>from</w:t>
      </w:r>
      <w:r w:rsidR="005B2A41">
        <w:t xml:space="preserve"> </w:t>
      </w:r>
      <w:r w:rsidRPr="00B02247">
        <w:t>the</w:t>
      </w:r>
      <w:r w:rsidR="005B2A41">
        <w:t xml:space="preserve"> </w:t>
      </w:r>
      <w:r w:rsidRPr="00B02247">
        <w:t>elements</w:t>
      </w:r>
      <w:r w:rsidR="005B2A41">
        <w:t xml:space="preserve"> </w:t>
      </w:r>
      <w:r w:rsidRPr="00B02247">
        <w:t>of</w:t>
      </w:r>
      <w:r w:rsidR="005B2A41">
        <w:t xml:space="preserve"> </w:t>
      </w:r>
      <w:r w:rsidRPr="00B02247">
        <w:t>the</w:t>
      </w:r>
      <w:r w:rsidR="005B2A41">
        <w:t xml:space="preserve"> </w:t>
      </w:r>
      <w:r w:rsidRPr="00B02247">
        <w:t>crime,</w:t>
      </w:r>
      <w:r w:rsidR="005B2A41">
        <w:t xml:space="preserve"> </w:t>
      </w:r>
      <w:r w:rsidRPr="00B02247">
        <w:t>facilitates</w:t>
      </w:r>
      <w:r w:rsidR="005B2A41">
        <w:t xml:space="preserve"> </w:t>
      </w:r>
      <w:r w:rsidRPr="00B02247">
        <w:t>even</w:t>
      </w:r>
      <w:r w:rsidR="005B2A41">
        <w:t xml:space="preserve"> </w:t>
      </w:r>
      <w:r w:rsidRPr="00B02247">
        <w:t>more</w:t>
      </w:r>
      <w:r w:rsidR="005B2A41">
        <w:t xml:space="preserve"> </w:t>
      </w:r>
      <w:r w:rsidRPr="00B02247">
        <w:t>the</w:t>
      </w:r>
      <w:r w:rsidR="005B2A41">
        <w:t xml:space="preserve"> </w:t>
      </w:r>
      <w:r w:rsidRPr="00B02247">
        <w:t>applicability</w:t>
      </w:r>
      <w:r w:rsidR="005B2A41">
        <w:t xml:space="preserve"> </w:t>
      </w:r>
      <w:r w:rsidRPr="00B02247">
        <w:t>of</w:t>
      </w:r>
      <w:r w:rsidR="005B2A41">
        <w:t xml:space="preserve"> </w:t>
      </w:r>
      <w:r w:rsidRPr="00B02247">
        <w:t>art.</w:t>
      </w:r>
      <w:r w:rsidR="005B2A41">
        <w:t xml:space="preserve"> </w:t>
      </w:r>
      <w:r w:rsidRPr="00B02247">
        <w:t>81A.</w:t>
      </w:r>
      <w:r w:rsidR="005B2A41">
        <w:t xml:space="preserve"> </w:t>
      </w:r>
      <w:r w:rsidRPr="00B02247">
        <w:t>Moreover,</w:t>
      </w:r>
      <w:r w:rsidR="005B2A41">
        <w:t xml:space="preserve"> </w:t>
      </w:r>
      <w:r w:rsidRPr="00B02247">
        <w:t>a</w:t>
      </w:r>
      <w:r w:rsidR="005B2A41">
        <w:t xml:space="preserve"> </w:t>
      </w:r>
      <w:r w:rsidRPr="00B02247">
        <w:t>new</w:t>
      </w:r>
      <w:r w:rsidR="005B2A41">
        <w:t xml:space="preserve"> </w:t>
      </w:r>
      <w:r w:rsidRPr="00B02247">
        <w:t>criminal</w:t>
      </w:r>
      <w:r w:rsidR="005B2A41">
        <w:t xml:space="preserve"> </w:t>
      </w:r>
      <w:r w:rsidRPr="00B02247">
        <w:t>offence</w:t>
      </w:r>
      <w:r w:rsidR="005B2A41">
        <w:t xml:space="preserve"> </w:t>
      </w:r>
      <w:r w:rsidRPr="00B02247">
        <w:t>has</w:t>
      </w:r>
      <w:r w:rsidR="005B2A41">
        <w:t xml:space="preserve"> </w:t>
      </w:r>
      <w:r w:rsidRPr="00B02247">
        <w:lastRenderedPageBreak/>
        <w:t>been</w:t>
      </w:r>
      <w:r w:rsidR="005B2A41">
        <w:t xml:space="preserve"> </w:t>
      </w:r>
      <w:r w:rsidRPr="00B02247">
        <w:t>established</w:t>
      </w:r>
      <w:r w:rsidR="005B2A41">
        <w:t xml:space="preserve"> </w:t>
      </w:r>
      <w:r w:rsidRPr="00B02247">
        <w:t>(art.</w:t>
      </w:r>
      <w:r w:rsidR="005B2A41">
        <w:t xml:space="preserve"> </w:t>
      </w:r>
      <w:r w:rsidRPr="00B02247">
        <w:t>361B</w:t>
      </w:r>
      <w:r w:rsidR="005B2A41">
        <w:t xml:space="preserve"> </w:t>
      </w:r>
      <w:r w:rsidRPr="00B02247">
        <w:t>of</w:t>
      </w:r>
      <w:r w:rsidR="005B2A41">
        <w:t xml:space="preserve"> </w:t>
      </w:r>
      <w:r w:rsidRPr="00B02247">
        <w:t>the</w:t>
      </w:r>
      <w:r w:rsidR="005B2A41">
        <w:t xml:space="preserve"> </w:t>
      </w:r>
      <w:r w:rsidRPr="00B02247">
        <w:t>Criminal</w:t>
      </w:r>
      <w:r w:rsidR="005B2A41">
        <w:t xml:space="preserve"> </w:t>
      </w:r>
      <w:r w:rsidRPr="00B02247">
        <w:t>Code)</w:t>
      </w:r>
      <w:r w:rsidR="005B2A41">
        <w:t xml:space="preserve"> </w:t>
      </w:r>
      <w:r w:rsidRPr="00B02247">
        <w:t>punishing</w:t>
      </w:r>
      <w:r w:rsidR="005B2A41">
        <w:t xml:space="preserve"> </w:t>
      </w:r>
      <w:r w:rsidRPr="00B02247">
        <w:t>the</w:t>
      </w:r>
      <w:r w:rsidR="005B2A41">
        <w:t xml:space="preserve"> </w:t>
      </w:r>
      <w:r w:rsidRPr="00B02247">
        <w:t>provision</w:t>
      </w:r>
      <w:r w:rsidR="005B2A41">
        <w:t xml:space="preserve"> </w:t>
      </w:r>
      <w:r w:rsidRPr="00B02247">
        <w:t>of</w:t>
      </w:r>
      <w:r w:rsidR="005B2A41">
        <w:t xml:space="preserve"> </w:t>
      </w:r>
      <w:r w:rsidRPr="00B02247">
        <w:t>goods</w:t>
      </w:r>
      <w:r w:rsidR="005B2A41">
        <w:t xml:space="preserve"> </w:t>
      </w:r>
      <w:r w:rsidRPr="00B02247">
        <w:t>and</w:t>
      </w:r>
      <w:r w:rsidR="005B2A41">
        <w:t xml:space="preserve"> </w:t>
      </w:r>
      <w:r w:rsidRPr="00B02247">
        <w:t>services</w:t>
      </w:r>
      <w:r w:rsidR="005B2A41">
        <w:t xml:space="preserve"> </w:t>
      </w:r>
      <w:r w:rsidRPr="00B02247">
        <w:t>with</w:t>
      </w:r>
      <w:r w:rsidR="005B2A41">
        <w:t xml:space="preserve"> </w:t>
      </w:r>
      <w:r w:rsidRPr="00B02247">
        <w:t>the</w:t>
      </w:r>
      <w:r w:rsidR="005B2A41">
        <w:t xml:space="preserve"> </w:t>
      </w:r>
      <w:r w:rsidRPr="00B02247">
        <w:t>contemptuous</w:t>
      </w:r>
      <w:r w:rsidR="005B2A41">
        <w:t xml:space="preserve"> </w:t>
      </w:r>
      <w:r w:rsidRPr="00B02247">
        <w:t>exclusion</w:t>
      </w:r>
      <w:r w:rsidR="005B2A41">
        <w:t xml:space="preserve"> </w:t>
      </w:r>
      <w:r w:rsidRPr="00B02247">
        <w:t>of</w:t>
      </w:r>
      <w:r w:rsidR="005B2A41">
        <w:t xml:space="preserve"> </w:t>
      </w:r>
      <w:r w:rsidRPr="00B02247">
        <w:t>a</w:t>
      </w:r>
      <w:r w:rsidR="005B2A41">
        <w:t xml:space="preserve"> </w:t>
      </w:r>
      <w:r w:rsidRPr="00B02247">
        <w:t>person</w:t>
      </w:r>
      <w:r w:rsidR="005B2A41">
        <w:t xml:space="preserve"> </w:t>
      </w:r>
      <w:r w:rsidRPr="00B02247">
        <w:t>on</w:t>
      </w:r>
      <w:r w:rsidR="005B2A41">
        <w:t xml:space="preserve"> </w:t>
      </w:r>
      <w:r w:rsidRPr="00B02247">
        <w:t>racist</w:t>
      </w:r>
      <w:r w:rsidR="005B2A41">
        <w:t xml:space="preserve"> </w:t>
      </w:r>
      <w:r w:rsidRPr="00B02247">
        <w:t>grounds.</w:t>
      </w:r>
      <w:r w:rsidR="005B2A41">
        <w:t xml:space="preserve"> </w:t>
      </w:r>
      <w:r w:rsidRPr="00B02247">
        <w:t>In</w:t>
      </w:r>
      <w:r w:rsidR="005B2A41">
        <w:t xml:space="preserve"> </w:t>
      </w:r>
      <w:r w:rsidRPr="00B02247">
        <w:t>addition,</w:t>
      </w:r>
      <w:r w:rsidR="005B2A41">
        <w:t xml:space="preserve"> </w:t>
      </w:r>
      <w:r w:rsidRPr="00B02247">
        <w:t>Greece</w:t>
      </w:r>
      <w:r w:rsidR="005B2A41">
        <w:t xml:space="preserve"> </w:t>
      </w:r>
      <w:r w:rsidRPr="00B02247">
        <w:t>has</w:t>
      </w:r>
      <w:r w:rsidR="005B2A41">
        <w:t xml:space="preserve"> </w:t>
      </w:r>
      <w:r w:rsidRPr="00B02247">
        <w:t>ratified,</w:t>
      </w:r>
      <w:r w:rsidR="005B2A41">
        <w:t xml:space="preserve"> </w:t>
      </w:r>
      <w:r w:rsidRPr="00B02247">
        <w:t>in</w:t>
      </w:r>
      <w:r w:rsidR="005B2A41">
        <w:t xml:space="preserve"> </w:t>
      </w:r>
      <w:r w:rsidRPr="00B02247">
        <w:t>2016,</w:t>
      </w:r>
      <w:r w:rsidR="005B2A41">
        <w:t xml:space="preserve"> </w:t>
      </w:r>
      <w:r w:rsidRPr="00B02247">
        <w:t>the</w:t>
      </w:r>
      <w:r w:rsidR="005B2A41">
        <w:t xml:space="preserve"> </w:t>
      </w:r>
      <w:r w:rsidRPr="00B02247">
        <w:t>Council</w:t>
      </w:r>
      <w:r w:rsidR="005B2A41">
        <w:t xml:space="preserve"> </w:t>
      </w:r>
      <w:r w:rsidRPr="00B02247">
        <w:t>of</w:t>
      </w:r>
      <w:r w:rsidR="005B2A41">
        <w:t xml:space="preserve"> </w:t>
      </w:r>
      <w:r w:rsidRPr="00B02247">
        <w:t>Europe</w:t>
      </w:r>
      <w:r w:rsidR="005B2A41">
        <w:t xml:space="preserve"> </w:t>
      </w:r>
      <w:r w:rsidRPr="00B02247">
        <w:t>(CoE)</w:t>
      </w:r>
      <w:r w:rsidR="005B2A41">
        <w:t xml:space="preserve"> </w:t>
      </w:r>
      <w:r w:rsidRPr="00B02247">
        <w:t>Cybercrime</w:t>
      </w:r>
      <w:r w:rsidR="005B2A41">
        <w:t xml:space="preserve"> </w:t>
      </w:r>
      <w:r w:rsidRPr="00B02247">
        <w:t>Convention</w:t>
      </w:r>
      <w:r w:rsidR="005B2A41">
        <w:t xml:space="preserve"> </w:t>
      </w:r>
      <w:r w:rsidRPr="00B02247">
        <w:t>and</w:t>
      </w:r>
      <w:r w:rsidR="005B2A41">
        <w:t xml:space="preserve"> </w:t>
      </w:r>
      <w:r w:rsidRPr="00B02247">
        <w:t>its</w:t>
      </w:r>
      <w:r w:rsidR="005B2A41">
        <w:t xml:space="preserve"> </w:t>
      </w:r>
      <w:r w:rsidRPr="00B02247">
        <w:t>Additional</w:t>
      </w:r>
      <w:r w:rsidR="005B2A41">
        <w:t xml:space="preserve"> </w:t>
      </w:r>
      <w:r w:rsidRPr="00B02247">
        <w:t>Protocol</w:t>
      </w:r>
      <w:r w:rsidR="005B2A41">
        <w:t xml:space="preserve"> </w:t>
      </w:r>
      <w:r w:rsidRPr="00B02247">
        <w:t>concerning</w:t>
      </w:r>
      <w:r w:rsidR="005B2A41">
        <w:t xml:space="preserve"> </w:t>
      </w:r>
      <w:r w:rsidRPr="00B02247">
        <w:t>the</w:t>
      </w:r>
      <w:r w:rsidR="005B2A41">
        <w:t xml:space="preserve"> </w:t>
      </w:r>
      <w:r w:rsidRPr="00B02247">
        <w:t>criminalisation</w:t>
      </w:r>
      <w:r w:rsidR="005B2A41">
        <w:t xml:space="preserve"> </w:t>
      </w:r>
      <w:r w:rsidRPr="00B02247">
        <w:t>of</w:t>
      </w:r>
      <w:r w:rsidR="005B2A41">
        <w:t xml:space="preserve"> </w:t>
      </w:r>
      <w:r w:rsidRPr="00B02247">
        <w:t>acts</w:t>
      </w:r>
      <w:r w:rsidR="005B2A41">
        <w:t xml:space="preserve"> </w:t>
      </w:r>
      <w:r w:rsidRPr="00B02247">
        <w:t>of</w:t>
      </w:r>
      <w:r w:rsidR="005B2A41">
        <w:t xml:space="preserve"> </w:t>
      </w:r>
      <w:r w:rsidRPr="00B02247">
        <w:t>a</w:t>
      </w:r>
      <w:r w:rsidR="005B2A41">
        <w:t xml:space="preserve"> </w:t>
      </w:r>
      <w:r w:rsidRPr="00B02247">
        <w:t>racist</w:t>
      </w:r>
      <w:r w:rsidR="005B2A41">
        <w:t xml:space="preserve"> </w:t>
      </w:r>
      <w:r w:rsidRPr="00B02247">
        <w:t>and</w:t>
      </w:r>
      <w:r w:rsidR="005B2A41">
        <w:t xml:space="preserve"> </w:t>
      </w:r>
      <w:r w:rsidRPr="00B02247">
        <w:t>xenophobic</w:t>
      </w:r>
      <w:r w:rsidR="005B2A41">
        <w:t xml:space="preserve"> </w:t>
      </w:r>
      <w:r w:rsidRPr="00B02247">
        <w:t>nature</w:t>
      </w:r>
      <w:r w:rsidR="005B2A41">
        <w:t xml:space="preserve"> </w:t>
      </w:r>
      <w:r w:rsidRPr="00B02247">
        <w:t>committed</w:t>
      </w:r>
      <w:r w:rsidR="005B2A41">
        <w:t xml:space="preserve"> </w:t>
      </w:r>
      <w:r w:rsidRPr="00B02247">
        <w:t>through</w:t>
      </w:r>
      <w:r w:rsidR="005B2A41">
        <w:t xml:space="preserve"> </w:t>
      </w:r>
      <w:r w:rsidRPr="00B02247">
        <w:t>computer</w:t>
      </w:r>
      <w:r w:rsidR="005B2A41">
        <w:t xml:space="preserve"> </w:t>
      </w:r>
      <w:r w:rsidRPr="00B02247">
        <w:t>systems.</w:t>
      </w:r>
      <w:r w:rsidR="005B2A41">
        <w:t xml:space="preserve"> </w:t>
      </w:r>
    </w:p>
    <w:p w:rsidR="00F233AB" w:rsidRPr="00B02247" w:rsidRDefault="00F233AB" w:rsidP="00E1307D">
      <w:pPr>
        <w:pStyle w:val="SingleTxtG"/>
      </w:pPr>
      <w:r w:rsidRPr="00B02247">
        <w:t>179.</w:t>
      </w:r>
      <w:r w:rsidRPr="00B02247">
        <w:tab/>
        <w:t>The</w:t>
      </w:r>
      <w:r w:rsidR="005B2A41">
        <w:t xml:space="preserve"> </w:t>
      </w:r>
      <w:r w:rsidRPr="00B02247">
        <w:t>punishable</w:t>
      </w:r>
      <w:r w:rsidR="005B2A41">
        <w:t xml:space="preserve"> </w:t>
      </w:r>
      <w:r w:rsidRPr="00B02247">
        <w:t>acts</w:t>
      </w:r>
      <w:r w:rsidR="005B2A41">
        <w:t xml:space="preserve"> </w:t>
      </w:r>
      <w:r w:rsidRPr="00B02247">
        <w:t>under</w:t>
      </w:r>
      <w:r w:rsidR="005B2A41">
        <w:t xml:space="preserve"> </w:t>
      </w:r>
      <w:r w:rsidRPr="00B02247">
        <w:t>the</w:t>
      </w:r>
      <w:r w:rsidR="005B2A41">
        <w:t xml:space="preserve"> </w:t>
      </w:r>
      <w:r w:rsidRPr="00B02247">
        <w:t>law,</w:t>
      </w:r>
      <w:r w:rsidR="005B2A41">
        <w:t xml:space="preserve"> </w:t>
      </w:r>
      <w:r w:rsidRPr="00B02247">
        <w:t>as</w:t>
      </w:r>
      <w:r w:rsidR="005B2A41">
        <w:t xml:space="preserve"> </w:t>
      </w:r>
      <w:r w:rsidRPr="00B02247">
        <w:t>well</w:t>
      </w:r>
      <w:r w:rsidR="005B2A41">
        <w:t xml:space="preserve"> </w:t>
      </w:r>
      <w:r w:rsidRPr="00B02247">
        <w:t>as</w:t>
      </w:r>
      <w:r w:rsidR="005B2A41">
        <w:t xml:space="preserve"> </w:t>
      </w:r>
      <w:r w:rsidRPr="00B02247">
        <w:t>any</w:t>
      </w:r>
      <w:r w:rsidR="005B2A41">
        <w:t xml:space="preserve"> </w:t>
      </w:r>
      <w:r w:rsidRPr="00B02247">
        <w:t>crimes</w:t>
      </w:r>
      <w:r w:rsidR="005B2A41">
        <w:t xml:space="preserve"> </w:t>
      </w:r>
      <w:r w:rsidRPr="00B02247">
        <w:t>committed</w:t>
      </w:r>
      <w:r w:rsidR="005B2A41">
        <w:t xml:space="preserve"> </w:t>
      </w:r>
      <w:r w:rsidRPr="00B02247">
        <w:t>as</w:t>
      </w:r>
      <w:r w:rsidR="005B2A41">
        <w:t xml:space="preserve"> </w:t>
      </w:r>
      <w:r w:rsidRPr="00B02247">
        <w:t>a</w:t>
      </w:r>
      <w:r w:rsidR="005B2A41">
        <w:t xml:space="preserve"> </w:t>
      </w:r>
      <w:r w:rsidRPr="00B02247">
        <w:t>result</w:t>
      </w:r>
      <w:r w:rsidR="005B2A41">
        <w:t xml:space="preserve"> </w:t>
      </w:r>
      <w:r w:rsidRPr="00B02247">
        <w:t>thereof,</w:t>
      </w:r>
      <w:r w:rsidR="005B2A41">
        <w:t xml:space="preserve"> </w:t>
      </w:r>
      <w:r w:rsidRPr="00B02247">
        <w:t>are</w:t>
      </w:r>
      <w:r w:rsidR="005B2A41">
        <w:t xml:space="preserve"> </w:t>
      </w:r>
      <w:r w:rsidRPr="00B02247">
        <w:t>prosecuted</w:t>
      </w:r>
      <w:r w:rsidR="005B2A41">
        <w:t xml:space="preserve"> </w:t>
      </w:r>
      <w:r w:rsidRPr="00B02247">
        <w:t>ex</w:t>
      </w:r>
      <w:r w:rsidR="005B2A41">
        <w:t xml:space="preserve"> </w:t>
      </w:r>
      <w:r w:rsidRPr="00B02247">
        <w:t>officio.</w:t>
      </w:r>
      <w:r w:rsidR="005B2A41">
        <w:t xml:space="preserve"> </w:t>
      </w:r>
      <w:r w:rsidRPr="00B02247">
        <w:t>Victims</w:t>
      </w:r>
      <w:r w:rsidR="005B2A41">
        <w:t xml:space="preserve"> </w:t>
      </w:r>
      <w:r w:rsidRPr="00B02247">
        <w:t>of</w:t>
      </w:r>
      <w:r w:rsidR="005B2A41">
        <w:t xml:space="preserve"> </w:t>
      </w:r>
      <w:r w:rsidRPr="00B02247">
        <w:t>such</w:t>
      </w:r>
      <w:r w:rsidR="005B2A41">
        <w:t xml:space="preserve"> </w:t>
      </w:r>
      <w:r w:rsidRPr="00B02247">
        <w:t>offenses</w:t>
      </w:r>
      <w:r w:rsidR="005B2A41">
        <w:t xml:space="preserve"> </w:t>
      </w:r>
      <w:r w:rsidRPr="00B02247">
        <w:t>are</w:t>
      </w:r>
      <w:r w:rsidR="005B2A41">
        <w:t xml:space="preserve"> </w:t>
      </w:r>
      <w:r w:rsidRPr="00B02247">
        <w:t>exempted</w:t>
      </w:r>
      <w:r w:rsidR="005B2A41">
        <w:t xml:space="preserve"> </w:t>
      </w:r>
      <w:r w:rsidRPr="00B02247">
        <w:t>from</w:t>
      </w:r>
      <w:r w:rsidR="005B2A41">
        <w:t xml:space="preserve"> </w:t>
      </w:r>
      <w:r w:rsidRPr="00B02247">
        <w:t>the</w:t>
      </w:r>
      <w:r w:rsidR="005B2A41">
        <w:t xml:space="preserve"> </w:t>
      </w:r>
      <w:r w:rsidRPr="00B02247">
        <w:t>obligation</w:t>
      </w:r>
      <w:r w:rsidR="005B2A41">
        <w:t xml:space="preserve"> </w:t>
      </w:r>
      <w:r w:rsidRPr="00B02247">
        <w:t>to</w:t>
      </w:r>
      <w:r w:rsidR="005B2A41">
        <w:t xml:space="preserve"> </w:t>
      </w:r>
      <w:r w:rsidRPr="00B02247">
        <w:t>pay</w:t>
      </w:r>
      <w:r w:rsidR="005B2A41">
        <w:t xml:space="preserve"> </w:t>
      </w:r>
      <w:r w:rsidRPr="00B02247">
        <w:t>a</w:t>
      </w:r>
      <w:r w:rsidR="005B2A41">
        <w:t xml:space="preserve"> </w:t>
      </w:r>
      <w:r w:rsidRPr="00B02247">
        <w:t>fee</w:t>
      </w:r>
      <w:r w:rsidR="005B2A41">
        <w:t xml:space="preserve"> </w:t>
      </w:r>
      <w:r w:rsidRPr="00B02247">
        <w:t>when</w:t>
      </w:r>
      <w:r w:rsidR="005B2A41">
        <w:t xml:space="preserve"> </w:t>
      </w:r>
      <w:r w:rsidRPr="00B02247">
        <w:t>submitting</w:t>
      </w:r>
      <w:r w:rsidR="005B2A41">
        <w:t xml:space="preserve"> </w:t>
      </w:r>
      <w:r w:rsidRPr="00B02247">
        <w:t>a</w:t>
      </w:r>
      <w:r w:rsidR="005B2A41">
        <w:t xml:space="preserve"> </w:t>
      </w:r>
      <w:r w:rsidRPr="00B02247">
        <w:t>criminal</w:t>
      </w:r>
      <w:r w:rsidR="005B2A41">
        <w:t xml:space="preserve"> </w:t>
      </w:r>
      <w:r w:rsidRPr="00B02247">
        <w:t>complaint</w:t>
      </w:r>
      <w:r w:rsidR="005B2A41">
        <w:t xml:space="preserve"> </w:t>
      </w:r>
      <w:r w:rsidRPr="00B02247">
        <w:t>or</w:t>
      </w:r>
      <w:r w:rsidR="005B2A41">
        <w:t xml:space="preserve"> </w:t>
      </w:r>
      <w:r w:rsidRPr="00B02247">
        <w:t>participating</w:t>
      </w:r>
      <w:r w:rsidR="005B2A41">
        <w:t xml:space="preserve"> </w:t>
      </w:r>
      <w:r w:rsidRPr="00B02247">
        <w:t>as</w:t>
      </w:r>
      <w:r w:rsidR="005B2A41">
        <w:t xml:space="preserve"> </w:t>
      </w:r>
      <w:r w:rsidRPr="00B02247">
        <w:t>a</w:t>
      </w:r>
      <w:r w:rsidR="005B2A41">
        <w:t xml:space="preserve"> </w:t>
      </w:r>
      <w:r w:rsidRPr="00B02247">
        <w:t>civil</w:t>
      </w:r>
      <w:r w:rsidR="005B2A41">
        <w:t xml:space="preserve"> </w:t>
      </w:r>
      <w:r w:rsidRPr="00B02247">
        <w:t>party</w:t>
      </w:r>
      <w:r w:rsidR="005B2A41">
        <w:t xml:space="preserve"> </w:t>
      </w:r>
      <w:r w:rsidRPr="00B02247">
        <w:t>in</w:t>
      </w:r>
      <w:r w:rsidR="005B2A41">
        <w:t xml:space="preserve"> </w:t>
      </w:r>
      <w:r w:rsidRPr="00B02247">
        <w:t>a</w:t>
      </w:r>
      <w:r w:rsidR="005B2A41">
        <w:t xml:space="preserve"> </w:t>
      </w:r>
      <w:r w:rsidRPr="00B02247">
        <w:t>criminal</w:t>
      </w:r>
      <w:r w:rsidR="005B2A41">
        <w:t xml:space="preserve"> </w:t>
      </w:r>
      <w:r w:rsidRPr="00B02247">
        <w:t>procedure.</w:t>
      </w:r>
      <w:r w:rsidR="005B2A41">
        <w:t xml:space="preserve"> </w:t>
      </w:r>
      <w:r w:rsidRPr="00B02247">
        <w:t>Victims</w:t>
      </w:r>
      <w:r w:rsidR="005B2A41">
        <w:t xml:space="preserve"> </w:t>
      </w:r>
      <w:r w:rsidRPr="00B02247">
        <w:t>of</w:t>
      </w:r>
      <w:r w:rsidR="005B2A41">
        <w:t xml:space="preserve"> </w:t>
      </w:r>
      <w:r w:rsidRPr="00B02247">
        <w:t>hate</w:t>
      </w:r>
      <w:r w:rsidR="005B2A41">
        <w:t xml:space="preserve"> </w:t>
      </w:r>
      <w:r w:rsidRPr="00B02247">
        <w:t>crimes</w:t>
      </w:r>
      <w:r w:rsidR="005B2A41">
        <w:t xml:space="preserve"> </w:t>
      </w:r>
      <w:r w:rsidRPr="00B02247">
        <w:t>may</w:t>
      </w:r>
      <w:r w:rsidR="005B2A41">
        <w:t xml:space="preserve"> </w:t>
      </w:r>
      <w:r w:rsidRPr="00B02247">
        <w:t>also</w:t>
      </w:r>
      <w:r w:rsidR="005B2A41">
        <w:t xml:space="preserve"> </w:t>
      </w:r>
      <w:r w:rsidRPr="00B02247">
        <w:t>be</w:t>
      </w:r>
      <w:r w:rsidR="005B2A41">
        <w:t xml:space="preserve"> </w:t>
      </w:r>
      <w:r w:rsidRPr="00B02247">
        <w:t>provided</w:t>
      </w:r>
      <w:r w:rsidR="005B2A41">
        <w:t xml:space="preserve"> </w:t>
      </w:r>
      <w:r w:rsidRPr="00B02247">
        <w:t>with</w:t>
      </w:r>
      <w:r w:rsidR="005B2A41">
        <w:t xml:space="preserve"> </w:t>
      </w:r>
      <w:r w:rsidRPr="00B02247">
        <w:t>free</w:t>
      </w:r>
      <w:r w:rsidR="005B2A41">
        <w:t xml:space="preserve"> </w:t>
      </w:r>
      <w:r w:rsidRPr="00B02247">
        <w:t>legal</w:t>
      </w:r>
      <w:r w:rsidR="005B2A41">
        <w:t xml:space="preserve"> </w:t>
      </w:r>
      <w:r w:rsidRPr="00B02247">
        <w:t>aid</w:t>
      </w:r>
      <w:r w:rsidR="005B2A41">
        <w:t xml:space="preserve"> </w:t>
      </w:r>
      <w:r w:rsidRPr="00B02247">
        <w:t>and</w:t>
      </w:r>
      <w:r w:rsidR="005B2A41">
        <w:t xml:space="preserve"> </w:t>
      </w:r>
      <w:r w:rsidRPr="00B02247">
        <w:t>are</w:t>
      </w:r>
      <w:r w:rsidR="005B2A41">
        <w:t xml:space="preserve"> </w:t>
      </w:r>
      <w:r w:rsidRPr="00B02247">
        <w:t>exempted</w:t>
      </w:r>
      <w:r w:rsidR="005B2A41">
        <w:t xml:space="preserve"> </w:t>
      </w:r>
      <w:r w:rsidRPr="00B02247">
        <w:t>from</w:t>
      </w:r>
      <w:r w:rsidR="005B2A41">
        <w:t xml:space="preserve"> </w:t>
      </w:r>
      <w:r w:rsidRPr="00B02247">
        <w:t>the</w:t>
      </w:r>
      <w:r w:rsidR="005B2A41">
        <w:t xml:space="preserve"> </w:t>
      </w:r>
      <w:r w:rsidRPr="00B02247">
        <w:t>obligation</w:t>
      </w:r>
      <w:r w:rsidR="005B2A41">
        <w:t xml:space="preserve"> </w:t>
      </w:r>
      <w:r w:rsidRPr="00B02247">
        <w:t>to</w:t>
      </w:r>
      <w:r w:rsidR="005B2A41">
        <w:t xml:space="preserve"> </w:t>
      </w:r>
      <w:r w:rsidRPr="00B02247">
        <w:t>pay</w:t>
      </w:r>
      <w:r w:rsidR="005B2A41">
        <w:t xml:space="preserve"> </w:t>
      </w:r>
      <w:r w:rsidRPr="00B02247">
        <w:t>a</w:t>
      </w:r>
      <w:r w:rsidR="005B2A41">
        <w:t xml:space="preserve"> </w:t>
      </w:r>
      <w:r w:rsidRPr="00B02247">
        <w:t>fee</w:t>
      </w:r>
      <w:r w:rsidR="005B2A41">
        <w:t xml:space="preserve"> </w:t>
      </w:r>
      <w:r w:rsidRPr="00B02247">
        <w:t>to</w:t>
      </w:r>
      <w:r w:rsidR="005B2A41">
        <w:t xml:space="preserve"> </w:t>
      </w:r>
      <w:r w:rsidRPr="00B02247">
        <w:t>file</w:t>
      </w:r>
      <w:r w:rsidR="005B2A41">
        <w:t xml:space="preserve"> </w:t>
      </w:r>
      <w:r w:rsidRPr="00B02247">
        <w:t>a</w:t>
      </w:r>
      <w:r w:rsidR="005B2A41">
        <w:t xml:space="preserve"> </w:t>
      </w:r>
      <w:r w:rsidRPr="00B02247">
        <w:t>criminal</w:t>
      </w:r>
      <w:r w:rsidR="005B2A41">
        <w:t xml:space="preserve"> </w:t>
      </w:r>
      <w:r w:rsidRPr="00B02247">
        <w:t>complaint</w:t>
      </w:r>
      <w:r w:rsidR="005B2A41">
        <w:t xml:space="preserve"> </w:t>
      </w:r>
      <w:r w:rsidRPr="00B02247">
        <w:t>or</w:t>
      </w:r>
      <w:r w:rsidR="005B2A41">
        <w:t xml:space="preserve"> </w:t>
      </w:r>
      <w:r w:rsidRPr="00B02247">
        <w:t>participate</w:t>
      </w:r>
      <w:r w:rsidR="005B2A41">
        <w:t xml:space="preserve"> </w:t>
      </w:r>
      <w:r w:rsidRPr="00B02247">
        <w:t>in</w:t>
      </w:r>
      <w:r w:rsidR="005B2A41">
        <w:t xml:space="preserve"> </w:t>
      </w:r>
      <w:r w:rsidRPr="00B02247">
        <w:t>the</w:t>
      </w:r>
      <w:r w:rsidR="005B2A41">
        <w:t xml:space="preserve"> </w:t>
      </w:r>
      <w:r w:rsidRPr="00B02247">
        <w:t>criminal</w:t>
      </w:r>
      <w:r w:rsidR="005B2A41">
        <w:t xml:space="preserve"> </w:t>
      </w:r>
      <w:r w:rsidRPr="00B02247">
        <w:t>proceedings</w:t>
      </w:r>
      <w:r w:rsidR="005B2A41">
        <w:t xml:space="preserve"> </w:t>
      </w:r>
      <w:r w:rsidRPr="00B02247">
        <w:t>for</w:t>
      </w:r>
      <w:r w:rsidR="005B2A41">
        <w:t xml:space="preserve"> </w:t>
      </w:r>
      <w:r w:rsidRPr="00B02247">
        <w:t>crimes</w:t>
      </w:r>
      <w:r w:rsidR="005B2A41">
        <w:t xml:space="preserve"> </w:t>
      </w:r>
      <w:r w:rsidRPr="00B02247">
        <w:t>prosecuted</w:t>
      </w:r>
      <w:r w:rsidR="005B2A41">
        <w:t xml:space="preserve"> </w:t>
      </w:r>
      <w:r w:rsidRPr="00B02247">
        <w:t>ex</w:t>
      </w:r>
      <w:r w:rsidR="005B2A41">
        <w:t xml:space="preserve"> </w:t>
      </w:r>
      <w:r w:rsidRPr="00B02247">
        <w:t>officio.</w:t>
      </w:r>
      <w:r w:rsidR="005B2A41">
        <w:t xml:space="preserve"> </w:t>
      </w:r>
      <w:r w:rsidRPr="00B02247">
        <w:t>Furthermore,</w:t>
      </w:r>
      <w:r w:rsidR="005B2A41">
        <w:t xml:space="preserve"> </w:t>
      </w:r>
      <w:r w:rsidRPr="00B02247">
        <w:t>third-country</w:t>
      </w:r>
      <w:r w:rsidR="005B2A41">
        <w:t xml:space="preserve"> </w:t>
      </w:r>
      <w:r w:rsidRPr="00B02247">
        <w:t>nationals</w:t>
      </w:r>
      <w:r w:rsidR="005B2A41">
        <w:t xml:space="preserve"> </w:t>
      </w:r>
      <w:r w:rsidRPr="00B02247">
        <w:t>who</w:t>
      </w:r>
      <w:r w:rsidR="005B2A41">
        <w:t xml:space="preserve"> </w:t>
      </w:r>
      <w:r w:rsidRPr="00B02247">
        <w:t>are</w:t>
      </w:r>
      <w:r w:rsidR="005B2A41">
        <w:t xml:space="preserve"> </w:t>
      </w:r>
      <w:r w:rsidRPr="00B02247">
        <w:t>victims</w:t>
      </w:r>
      <w:r w:rsidR="005B2A41">
        <w:t xml:space="preserve"> </w:t>
      </w:r>
      <w:r w:rsidRPr="00B02247">
        <w:t>or</w:t>
      </w:r>
      <w:r w:rsidR="005B2A41">
        <w:t xml:space="preserve"> </w:t>
      </w:r>
      <w:r w:rsidRPr="00B02247">
        <w:t>material</w:t>
      </w:r>
      <w:r w:rsidR="005B2A41">
        <w:t xml:space="preserve"> </w:t>
      </w:r>
      <w:r w:rsidRPr="00B02247">
        <w:t>witnesses</w:t>
      </w:r>
      <w:r w:rsidR="005B2A41">
        <w:t xml:space="preserve"> </w:t>
      </w:r>
      <w:r w:rsidRPr="00B02247">
        <w:t>of</w:t>
      </w:r>
      <w:r w:rsidR="005B2A41">
        <w:t xml:space="preserve"> </w:t>
      </w:r>
      <w:r w:rsidRPr="00B02247">
        <w:t>racist</w:t>
      </w:r>
      <w:r w:rsidR="005B2A41">
        <w:t xml:space="preserve"> </w:t>
      </w:r>
      <w:r w:rsidRPr="00B02247">
        <w:t>acts</w:t>
      </w:r>
      <w:r w:rsidR="005B2A41">
        <w:t xml:space="preserve"> </w:t>
      </w:r>
      <w:r w:rsidRPr="00B02247">
        <w:t>may</w:t>
      </w:r>
      <w:r w:rsidR="005B2A41">
        <w:t xml:space="preserve"> </w:t>
      </w:r>
      <w:r w:rsidRPr="00B02247">
        <w:t>be</w:t>
      </w:r>
      <w:r w:rsidR="005B2A41">
        <w:t xml:space="preserve"> </w:t>
      </w:r>
      <w:r w:rsidRPr="00B02247">
        <w:t>granted</w:t>
      </w:r>
      <w:r w:rsidR="005B2A41">
        <w:t xml:space="preserve"> </w:t>
      </w:r>
      <w:r w:rsidRPr="00B02247">
        <w:t>a</w:t>
      </w:r>
      <w:r w:rsidR="005B2A41">
        <w:t xml:space="preserve"> </w:t>
      </w:r>
      <w:r w:rsidRPr="00B02247">
        <w:t>residence</w:t>
      </w:r>
      <w:r w:rsidR="005B2A41">
        <w:t xml:space="preserve"> </w:t>
      </w:r>
      <w:r w:rsidRPr="00B02247">
        <w:t>permit</w:t>
      </w:r>
      <w:r w:rsidR="005B2A41">
        <w:t xml:space="preserve"> </w:t>
      </w:r>
      <w:r w:rsidRPr="00B02247">
        <w:t>on</w:t>
      </w:r>
      <w:r w:rsidR="005B2A41">
        <w:t xml:space="preserve"> </w:t>
      </w:r>
      <w:r w:rsidRPr="00B02247">
        <w:t>humanitarian</w:t>
      </w:r>
      <w:r w:rsidR="005B2A41">
        <w:t xml:space="preserve"> </w:t>
      </w:r>
      <w:r w:rsidRPr="00B02247">
        <w:t>grounds.</w:t>
      </w:r>
      <w:r w:rsidR="005B2A41">
        <w:t xml:space="preserve"> </w:t>
      </w:r>
      <w:r w:rsidRPr="00B02247">
        <w:t>A</w:t>
      </w:r>
      <w:r w:rsidR="005B2A41">
        <w:t xml:space="preserve"> </w:t>
      </w:r>
      <w:r w:rsidRPr="00B02247">
        <w:t>recent</w:t>
      </w:r>
      <w:r w:rsidR="005B2A41">
        <w:t xml:space="preserve"> </w:t>
      </w:r>
      <w:r w:rsidRPr="00B02247">
        <w:t>legislative</w:t>
      </w:r>
      <w:r w:rsidR="005B2A41">
        <w:t xml:space="preserve"> </w:t>
      </w:r>
      <w:r w:rsidRPr="00B02247">
        <w:t>amendment</w:t>
      </w:r>
      <w:r w:rsidR="005B2A41">
        <w:t xml:space="preserve"> </w:t>
      </w:r>
      <w:r w:rsidRPr="00B02247">
        <w:t>provides,</w:t>
      </w:r>
      <w:r w:rsidR="005B2A41">
        <w:t xml:space="preserve"> </w:t>
      </w:r>
      <w:r w:rsidRPr="00B02247">
        <w:t>also,</w:t>
      </w:r>
      <w:r w:rsidR="005B2A41">
        <w:t xml:space="preserve"> </w:t>
      </w:r>
      <w:r w:rsidRPr="00B02247">
        <w:t>that</w:t>
      </w:r>
      <w:r w:rsidR="005B2A41">
        <w:t xml:space="preserve"> </w:t>
      </w:r>
      <w:r w:rsidRPr="00B02247">
        <w:t>undocumented</w:t>
      </w:r>
      <w:r w:rsidR="005B2A41">
        <w:t xml:space="preserve"> </w:t>
      </w:r>
      <w:r w:rsidRPr="00B02247">
        <w:t>migrants</w:t>
      </w:r>
      <w:r w:rsidR="005B2A41">
        <w:t xml:space="preserve"> </w:t>
      </w:r>
      <w:r w:rsidRPr="00B02247">
        <w:t>who</w:t>
      </w:r>
      <w:r w:rsidR="005B2A41">
        <w:t xml:space="preserve"> </w:t>
      </w:r>
      <w:r w:rsidRPr="00B02247">
        <w:t>report</w:t>
      </w:r>
      <w:r w:rsidR="005B2A41">
        <w:t xml:space="preserve"> </w:t>
      </w:r>
      <w:r w:rsidRPr="00B02247">
        <w:t>racist</w:t>
      </w:r>
      <w:r w:rsidR="005B2A41">
        <w:t xml:space="preserve"> </w:t>
      </w:r>
      <w:r w:rsidRPr="00B02247">
        <w:t>crimes</w:t>
      </w:r>
      <w:r w:rsidR="005B2A41">
        <w:t xml:space="preserve"> </w:t>
      </w:r>
      <w:r w:rsidRPr="00B02247">
        <w:t>are</w:t>
      </w:r>
      <w:r w:rsidR="005B2A41">
        <w:t xml:space="preserve"> </w:t>
      </w:r>
      <w:r w:rsidRPr="00B02247">
        <w:t>not</w:t>
      </w:r>
      <w:r w:rsidR="005B2A41">
        <w:t xml:space="preserve"> </w:t>
      </w:r>
      <w:r w:rsidRPr="00B02247">
        <w:t>to</w:t>
      </w:r>
      <w:r w:rsidR="005B2A41">
        <w:t xml:space="preserve"> </w:t>
      </w:r>
      <w:r w:rsidRPr="00B02247">
        <w:t>be</w:t>
      </w:r>
      <w:r w:rsidR="005B2A41">
        <w:t xml:space="preserve"> </w:t>
      </w:r>
      <w:r w:rsidRPr="00B02247">
        <w:t>submitted</w:t>
      </w:r>
      <w:r w:rsidR="005B2A41">
        <w:t xml:space="preserve"> </w:t>
      </w:r>
      <w:r w:rsidRPr="00B02247">
        <w:t>to</w:t>
      </w:r>
      <w:r w:rsidR="005B2A41">
        <w:t xml:space="preserve"> </w:t>
      </w:r>
      <w:r w:rsidRPr="00B02247">
        <w:t>return</w:t>
      </w:r>
      <w:r w:rsidR="005B2A41">
        <w:t xml:space="preserve"> </w:t>
      </w:r>
      <w:r w:rsidRPr="00B02247">
        <w:t>procedures.</w:t>
      </w:r>
    </w:p>
    <w:p w:rsidR="00F233AB" w:rsidRPr="00B02247" w:rsidRDefault="00F233AB" w:rsidP="00E1307D">
      <w:pPr>
        <w:pStyle w:val="SingleTxtG"/>
      </w:pPr>
      <w:r w:rsidRPr="00B02247">
        <w:t>180.</w:t>
      </w:r>
      <w:r w:rsidRPr="00B02247">
        <w:tab/>
        <w:t>Data</w:t>
      </w:r>
      <w:r w:rsidR="005B2A41">
        <w:t xml:space="preserve"> </w:t>
      </w:r>
      <w:r w:rsidRPr="00B02247">
        <w:t>collection</w:t>
      </w:r>
      <w:r w:rsidR="005B2A41">
        <w:t xml:space="preserve"> </w:t>
      </w:r>
      <w:r w:rsidRPr="00B02247">
        <w:t>with</w:t>
      </w:r>
      <w:r w:rsidR="005B2A41">
        <w:t xml:space="preserve"> </w:t>
      </w:r>
      <w:r w:rsidRPr="00B02247">
        <w:t>regard</w:t>
      </w:r>
      <w:r w:rsidR="005B2A41">
        <w:t xml:space="preserve"> </w:t>
      </w:r>
      <w:r w:rsidRPr="00B02247">
        <w:t>to</w:t>
      </w:r>
      <w:r w:rsidR="005B2A41">
        <w:t xml:space="preserve"> </w:t>
      </w:r>
      <w:r w:rsidRPr="00B02247">
        <w:t>racist</w:t>
      </w:r>
      <w:r w:rsidR="005B2A41">
        <w:t xml:space="preserve"> </w:t>
      </w:r>
      <w:r w:rsidRPr="00B02247">
        <w:t>crimes</w:t>
      </w:r>
      <w:r w:rsidR="005B2A41">
        <w:t xml:space="preserve"> </w:t>
      </w:r>
      <w:r w:rsidRPr="00B02247">
        <w:t>has</w:t>
      </w:r>
      <w:r w:rsidR="005B2A41">
        <w:t xml:space="preserve"> </w:t>
      </w:r>
      <w:r w:rsidRPr="00B02247">
        <w:t>significantly</w:t>
      </w:r>
      <w:r w:rsidR="005B2A41">
        <w:t xml:space="preserve"> </w:t>
      </w:r>
      <w:r w:rsidRPr="00B02247">
        <w:t>improved</w:t>
      </w:r>
      <w:r w:rsidR="005B2A41">
        <w:t xml:space="preserve"> </w:t>
      </w:r>
      <w:r w:rsidRPr="00B02247">
        <w:t>and</w:t>
      </w:r>
      <w:r w:rsidR="005B2A41">
        <w:t xml:space="preserve"> </w:t>
      </w:r>
      <w:r w:rsidRPr="00B02247">
        <w:t>is</w:t>
      </w:r>
      <w:r w:rsidR="005B2A41">
        <w:t xml:space="preserve"> </w:t>
      </w:r>
      <w:r w:rsidRPr="00B02247">
        <w:t>expected</w:t>
      </w:r>
      <w:r w:rsidR="005B2A41">
        <w:t xml:space="preserve"> </w:t>
      </w:r>
      <w:r w:rsidRPr="00B02247">
        <w:t>to</w:t>
      </w:r>
      <w:r w:rsidR="005B2A41">
        <w:t xml:space="preserve"> </w:t>
      </w:r>
      <w:r w:rsidRPr="00B02247">
        <w:t>further</w:t>
      </w:r>
      <w:r w:rsidR="005B2A41">
        <w:t xml:space="preserve"> </w:t>
      </w:r>
      <w:r w:rsidRPr="00B02247">
        <w:t>improve</w:t>
      </w:r>
      <w:r w:rsidR="005B2A41">
        <w:t xml:space="preserve"> </w:t>
      </w:r>
      <w:r w:rsidRPr="00B02247">
        <w:t>following</w:t>
      </w:r>
      <w:r w:rsidR="005B2A41">
        <w:t xml:space="preserve"> </w:t>
      </w:r>
      <w:r w:rsidRPr="00B02247">
        <w:t>the</w:t>
      </w:r>
      <w:r w:rsidR="005B2A41">
        <w:t xml:space="preserve"> </w:t>
      </w:r>
      <w:r w:rsidRPr="00B02247">
        <w:t>operation</w:t>
      </w:r>
      <w:r w:rsidR="005B2A41">
        <w:t xml:space="preserve"> </w:t>
      </w:r>
      <w:r w:rsidRPr="00B02247">
        <w:t>of</w:t>
      </w:r>
      <w:r w:rsidR="005B2A41">
        <w:t xml:space="preserve"> </w:t>
      </w:r>
      <w:r w:rsidRPr="00B02247">
        <w:t>the</w:t>
      </w:r>
      <w:r w:rsidR="005B2A41">
        <w:t xml:space="preserve"> </w:t>
      </w:r>
      <w:r w:rsidRPr="00B02247">
        <w:t>new</w:t>
      </w:r>
      <w:r w:rsidR="005B2A41">
        <w:t xml:space="preserve"> </w:t>
      </w:r>
      <w:r w:rsidRPr="00B02247">
        <w:t>computerization</w:t>
      </w:r>
      <w:r w:rsidR="005B2A41">
        <w:t xml:space="preserve"> </w:t>
      </w:r>
      <w:r w:rsidRPr="00B02247">
        <w:t>system</w:t>
      </w:r>
      <w:r w:rsidR="005B2A41">
        <w:t xml:space="preserve"> </w:t>
      </w:r>
      <w:r w:rsidRPr="00B02247">
        <w:t>of</w:t>
      </w:r>
      <w:r w:rsidR="005B2A41">
        <w:t xml:space="preserve"> </w:t>
      </w:r>
      <w:r w:rsidRPr="00B02247">
        <w:t>the</w:t>
      </w:r>
      <w:r w:rsidR="005B2A41">
        <w:t xml:space="preserve"> </w:t>
      </w:r>
      <w:r w:rsidRPr="00B02247">
        <w:t>courts.</w:t>
      </w:r>
      <w:r w:rsidR="005B2A41">
        <w:t xml:space="preserve"> </w:t>
      </w:r>
      <w:r w:rsidRPr="00B02247">
        <w:t>A</w:t>
      </w:r>
      <w:r w:rsidR="005B2A41">
        <w:t xml:space="preserve"> </w:t>
      </w:r>
      <w:r w:rsidRPr="00B02247">
        <w:t>unified</w:t>
      </w:r>
      <w:r w:rsidR="005B2A41">
        <w:t xml:space="preserve"> </w:t>
      </w:r>
      <w:r w:rsidRPr="00B02247">
        <w:t>mechanism</w:t>
      </w:r>
      <w:r w:rsidR="005B2A41">
        <w:t xml:space="preserve"> </w:t>
      </w:r>
      <w:r w:rsidRPr="00B02247">
        <w:t>and</w:t>
      </w:r>
      <w:r w:rsidR="005B2A41">
        <w:t xml:space="preserve"> </w:t>
      </w:r>
      <w:r w:rsidRPr="00B02247">
        <w:t>database</w:t>
      </w:r>
      <w:r w:rsidR="005B2A41">
        <w:t xml:space="preserve"> </w:t>
      </w:r>
      <w:r w:rsidRPr="00B02247">
        <w:t>for</w:t>
      </w:r>
      <w:r w:rsidR="005B2A41">
        <w:t xml:space="preserve"> </w:t>
      </w:r>
      <w:r w:rsidRPr="00B02247">
        <w:t>registering</w:t>
      </w:r>
      <w:r w:rsidR="005B2A41">
        <w:t xml:space="preserve"> </w:t>
      </w:r>
      <w:r w:rsidRPr="00B02247">
        <w:t>alleged</w:t>
      </w:r>
      <w:r w:rsidR="005B2A41">
        <w:t xml:space="preserve"> </w:t>
      </w:r>
      <w:r w:rsidRPr="00B02247">
        <w:t>incidents</w:t>
      </w:r>
      <w:r w:rsidR="005B2A41">
        <w:t xml:space="preserve"> </w:t>
      </w:r>
      <w:r w:rsidRPr="00B02247">
        <w:t>of</w:t>
      </w:r>
      <w:r w:rsidR="005B2A41">
        <w:t xml:space="preserve"> </w:t>
      </w:r>
      <w:r w:rsidRPr="00B02247">
        <w:t>racist</w:t>
      </w:r>
      <w:r w:rsidR="005B2A41">
        <w:t xml:space="preserve"> </w:t>
      </w:r>
      <w:r w:rsidRPr="00B02247">
        <w:t>and</w:t>
      </w:r>
      <w:r w:rsidR="005B2A41">
        <w:t xml:space="preserve"> </w:t>
      </w:r>
      <w:r w:rsidRPr="00B02247">
        <w:t>xenophobic</w:t>
      </w:r>
      <w:r w:rsidR="005B2A41">
        <w:t xml:space="preserve"> </w:t>
      </w:r>
      <w:r w:rsidRPr="00B02247">
        <w:t>violence</w:t>
      </w:r>
      <w:r w:rsidR="005B2A41">
        <w:t xml:space="preserve"> </w:t>
      </w:r>
      <w:r w:rsidRPr="00B02247">
        <w:t>(including</w:t>
      </w:r>
      <w:r w:rsidR="005B2A41">
        <w:t xml:space="preserve"> </w:t>
      </w:r>
      <w:r w:rsidRPr="00B02247">
        <w:t>allegations</w:t>
      </w:r>
      <w:r w:rsidR="005B2A41">
        <w:t xml:space="preserve"> </w:t>
      </w:r>
      <w:r w:rsidRPr="00B02247">
        <w:t>against</w:t>
      </w:r>
      <w:r w:rsidR="005B2A41">
        <w:t xml:space="preserve"> </w:t>
      </w:r>
      <w:r w:rsidRPr="00B02247">
        <w:t>police</w:t>
      </w:r>
      <w:r w:rsidR="005B2A41">
        <w:t xml:space="preserve"> </w:t>
      </w:r>
      <w:r w:rsidRPr="00B02247">
        <w:t>personnel)</w:t>
      </w:r>
      <w:r w:rsidR="005B2A41">
        <w:t xml:space="preserve"> </w:t>
      </w:r>
      <w:r w:rsidRPr="00B02247">
        <w:t>has</w:t>
      </w:r>
      <w:r w:rsidR="005B2A41">
        <w:t xml:space="preserve"> </w:t>
      </w:r>
      <w:r w:rsidRPr="00B02247">
        <w:t>been</w:t>
      </w:r>
      <w:r w:rsidR="005B2A41">
        <w:t xml:space="preserve"> </w:t>
      </w:r>
      <w:r w:rsidRPr="00B02247">
        <w:t>created.</w:t>
      </w:r>
    </w:p>
    <w:p w:rsidR="00F233AB" w:rsidRPr="00B02247" w:rsidRDefault="00F233AB" w:rsidP="00E1307D">
      <w:pPr>
        <w:pStyle w:val="SingleTxtG"/>
      </w:pPr>
      <w:r w:rsidRPr="00B02247">
        <w:t>181.</w:t>
      </w:r>
      <w:r w:rsidRPr="00B02247">
        <w:tab/>
        <w:t>The</w:t>
      </w:r>
      <w:r w:rsidR="005B2A41">
        <w:t xml:space="preserve"> </w:t>
      </w:r>
      <w:r w:rsidRPr="00B02247">
        <w:t>most</w:t>
      </w:r>
      <w:r w:rsidR="005B2A41">
        <w:t xml:space="preserve"> </w:t>
      </w:r>
      <w:r w:rsidRPr="00B02247">
        <w:t>important</w:t>
      </w:r>
      <w:r w:rsidR="005B2A41">
        <w:t xml:space="preserve"> </w:t>
      </w:r>
      <w:r w:rsidRPr="00B02247">
        <w:t>measures</w:t>
      </w:r>
      <w:r w:rsidR="005B2A41">
        <w:t xml:space="preserve"> </w:t>
      </w:r>
      <w:r w:rsidRPr="00B02247">
        <w:t>taken</w:t>
      </w:r>
      <w:r w:rsidR="005B2A41">
        <w:t xml:space="preserve"> </w:t>
      </w:r>
      <w:r w:rsidRPr="00B02247">
        <w:t>in</w:t>
      </w:r>
      <w:r w:rsidR="005B2A41">
        <w:t xml:space="preserve"> </w:t>
      </w:r>
      <w:r w:rsidRPr="00B02247">
        <w:t>the</w:t>
      </w:r>
      <w:r w:rsidR="005B2A41">
        <w:t xml:space="preserve"> </w:t>
      </w:r>
      <w:r w:rsidRPr="00B02247">
        <w:t>field</w:t>
      </w:r>
      <w:r w:rsidR="005B2A41">
        <w:t xml:space="preserve"> </w:t>
      </w:r>
      <w:r w:rsidRPr="00B02247">
        <w:t>of</w:t>
      </w:r>
      <w:r w:rsidR="005B2A41">
        <w:t xml:space="preserve"> </w:t>
      </w:r>
      <w:r w:rsidRPr="00B02247">
        <w:t>law</w:t>
      </w:r>
      <w:r w:rsidR="005B2A41">
        <w:t xml:space="preserve"> </w:t>
      </w:r>
      <w:r w:rsidRPr="00B02247">
        <w:t>enforcement</w:t>
      </w:r>
      <w:r w:rsidR="005B2A41">
        <w:t xml:space="preserve"> </w:t>
      </w:r>
      <w:r w:rsidRPr="00B02247">
        <w:t>are</w:t>
      </w:r>
      <w:r w:rsidR="005B2A41">
        <w:t xml:space="preserve"> </w:t>
      </w:r>
      <w:r w:rsidRPr="00B02247">
        <w:t>the</w:t>
      </w:r>
      <w:r w:rsidR="005B2A41">
        <w:t xml:space="preserve"> </w:t>
      </w:r>
      <w:r w:rsidRPr="00B02247">
        <w:t>establishment</w:t>
      </w:r>
      <w:r w:rsidR="005B2A41">
        <w:t xml:space="preserve"> </w:t>
      </w:r>
      <w:r w:rsidRPr="00B02247">
        <w:t>of</w:t>
      </w:r>
      <w:r w:rsidR="005B2A41">
        <w:t xml:space="preserve"> </w:t>
      </w:r>
      <w:r w:rsidRPr="00B02247">
        <w:t>two</w:t>
      </w:r>
      <w:r w:rsidR="005B2A41">
        <w:t xml:space="preserve"> </w:t>
      </w:r>
      <w:r w:rsidRPr="00B02247">
        <w:t>specialized</w:t>
      </w:r>
      <w:r w:rsidR="005B2A41">
        <w:t xml:space="preserve"> </w:t>
      </w:r>
      <w:r w:rsidRPr="00B02247">
        <w:t>Departments</w:t>
      </w:r>
      <w:r w:rsidR="005B2A41">
        <w:t xml:space="preserve"> </w:t>
      </w:r>
      <w:r w:rsidRPr="00B02247">
        <w:t>and</w:t>
      </w:r>
      <w:r w:rsidR="005B2A41">
        <w:t xml:space="preserve"> </w:t>
      </w:r>
      <w:r w:rsidRPr="00B02247">
        <w:t>68</w:t>
      </w:r>
      <w:r w:rsidR="005B2A41">
        <w:t xml:space="preserve"> </w:t>
      </w:r>
      <w:r w:rsidRPr="00B02247">
        <w:t>Offices</w:t>
      </w:r>
      <w:r w:rsidR="005B2A41">
        <w:t xml:space="preserve"> </w:t>
      </w:r>
      <w:r w:rsidRPr="00B02247">
        <w:t>throughout</w:t>
      </w:r>
      <w:r w:rsidR="005B2A41">
        <w:t xml:space="preserve"> </w:t>
      </w:r>
      <w:r w:rsidRPr="00B02247">
        <w:t>the</w:t>
      </w:r>
      <w:r w:rsidR="005B2A41">
        <w:t xml:space="preserve"> </w:t>
      </w:r>
      <w:r w:rsidRPr="00B02247">
        <w:t>country</w:t>
      </w:r>
      <w:r w:rsidR="005B2A41">
        <w:t xml:space="preserve"> </w:t>
      </w:r>
      <w:r w:rsidRPr="00B02247">
        <w:t>and</w:t>
      </w:r>
      <w:r w:rsidR="005B2A41">
        <w:t xml:space="preserve"> </w:t>
      </w:r>
      <w:r w:rsidRPr="00B02247">
        <w:t>the</w:t>
      </w:r>
      <w:r w:rsidR="005B2A41">
        <w:t xml:space="preserve"> </w:t>
      </w:r>
      <w:r w:rsidRPr="00B02247">
        <w:t>operation</w:t>
      </w:r>
      <w:r w:rsidR="005B2A41">
        <w:t xml:space="preserve"> </w:t>
      </w:r>
      <w:r w:rsidRPr="00B02247">
        <w:t>of</w:t>
      </w:r>
      <w:r w:rsidR="005B2A41">
        <w:t xml:space="preserve"> </w:t>
      </w:r>
      <w:r w:rsidRPr="00B02247">
        <w:t>a</w:t>
      </w:r>
      <w:r w:rsidR="005B2A41">
        <w:t xml:space="preserve"> </w:t>
      </w:r>
      <w:r w:rsidRPr="00B02247">
        <w:t>hotline</w:t>
      </w:r>
      <w:r w:rsidR="005B2A41">
        <w:t xml:space="preserve"> </w:t>
      </w:r>
      <w:r w:rsidRPr="00B02247">
        <w:t>and</w:t>
      </w:r>
      <w:r w:rsidR="005B2A41">
        <w:t xml:space="preserve"> </w:t>
      </w:r>
      <w:r w:rsidRPr="00B02247">
        <w:t>a</w:t>
      </w:r>
      <w:r w:rsidR="005B2A41">
        <w:t xml:space="preserve"> </w:t>
      </w:r>
      <w:r w:rsidRPr="00B02247">
        <w:t>web</w:t>
      </w:r>
      <w:r w:rsidR="005B2A41">
        <w:t xml:space="preserve"> </w:t>
      </w:r>
      <w:r w:rsidRPr="00B02247">
        <w:t>site</w:t>
      </w:r>
      <w:r w:rsidR="005B2A41">
        <w:t xml:space="preserve"> </w:t>
      </w:r>
      <w:r w:rsidRPr="00B02247">
        <w:t>for</w:t>
      </w:r>
      <w:r w:rsidR="005B2A41">
        <w:t xml:space="preserve"> </w:t>
      </w:r>
      <w:r w:rsidRPr="00B02247">
        <w:t>complaints</w:t>
      </w:r>
      <w:r w:rsidR="005B2A41">
        <w:t xml:space="preserve"> </w:t>
      </w:r>
      <w:r w:rsidRPr="00B02247">
        <w:t>about</w:t>
      </w:r>
      <w:r w:rsidR="005B2A41">
        <w:t xml:space="preserve"> </w:t>
      </w:r>
      <w:r w:rsidRPr="00B02247">
        <w:t>racist</w:t>
      </w:r>
      <w:r w:rsidR="005B2A41">
        <w:t xml:space="preserve"> </w:t>
      </w:r>
      <w:r w:rsidRPr="00B02247">
        <w:t>violence</w:t>
      </w:r>
      <w:r w:rsidR="005B2A41">
        <w:t xml:space="preserve"> </w:t>
      </w:r>
      <w:r w:rsidRPr="00B02247">
        <w:t>or</w:t>
      </w:r>
      <w:r w:rsidR="005B2A41">
        <w:t xml:space="preserve"> </w:t>
      </w:r>
      <w:r w:rsidRPr="00B02247">
        <w:t>information</w:t>
      </w:r>
      <w:r w:rsidR="005B2A41">
        <w:t xml:space="preserve"> </w:t>
      </w:r>
      <w:r w:rsidRPr="00B02247">
        <w:t>on</w:t>
      </w:r>
      <w:r w:rsidR="005B2A41">
        <w:t xml:space="preserve"> </w:t>
      </w:r>
      <w:r w:rsidRPr="00B02247">
        <w:t>the</w:t>
      </w:r>
      <w:r w:rsidR="005B2A41">
        <w:t xml:space="preserve"> </w:t>
      </w:r>
      <w:r w:rsidRPr="00B02247">
        <w:t>rights</w:t>
      </w:r>
      <w:r w:rsidR="005B2A41">
        <w:t xml:space="preserve"> </w:t>
      </w:r>
      <w:r w:rsidRPr="00B02247">
        <w:t>of</w:t>
      </w:r>
      <w:r w:rsidR="005B2A41">
        <w:t xml:space="preserve"> </w:t>
      </w:r>
      <w:r w:rsidRPr="00B02247">
        <w:t>the</w:t>
      </w:r>
      <w:r w:rsidR="005B2A41">
        <w:t xml:space="preserve"> </w:t>
      </w:r>
      <w:r w:rsidRPr="00B02247">
        <w:t>victims;</w:t>
      </w:r>
      <w:r w:rsidR="005B2A41">
        <w:t xml:space="preserve"> </w:t>
      </w:r>
      <w:r w:rsidRPr="00B02247">
        <w:t>the</w:t>
      </w:r>
      <w:r w:rsidR="005B2A41">
        <w:t xml:space="preserve"> </w:t>
      </w:r>
      <w:r w:rsidRPr="00B02247">
        <w:t>obligation</w:t>
      </w:r>
      <w:r w:rsidR="005B2A41">
        <w:t xml:space="preserve"> </w:t>
      </w:r>
      <w:r w:rsidRPr="00B02247">
        <w:t>for</w:t>
      </w:r>
      <w:r w:rsidR="005B2A41">
        <w:t xml:space="preserve"> </w:t>
      </w:r>
      <w:r w:rsidRPr="00B02247">
        <w:t>police</w:t>
      </w:r>
      <w:r w:rsidR="005B2A41">
        <w:t xml:space="preserve"> </w:t>
      </w:r>
      <w:r w:rsidRPr="00B02247">
        <w:t>officers</w:t>
      </w:r>
      <w:r w:rsidR="005B2A41">
        <w:t xml:space="preserve"> </w:t>
      </w:r>
      <w:r w:rsidRPr="00B02247">
        <w:t>to</w:t>
      </w:r>
      <w:r w:rsidR="005B2A41">
        <w:t xml:space="preserve"> </w:t>
      </w:r>
      <w:r w:rsidRPr="00B02247">
        <w:t>ascertain</w:t>
      </w:r>
      <w:r w:rsidR="005B2A41">
        <w:t xml:space="preserve"> </w:t>
      </w:r>
      <w:r w:rsidRPr="00B02247">
        <w:t>whether</w:t>
      </w:r>
      <w:r w:rsidR="005B2A41">
        <w:t xml:space="preserve"> </w:t>
      </w:r>
      <w:r w:rsidRPr="00B02247">
        <w:t>a</w:t>
      </w:r>
      <w:r w:rsidR="005B2A41">
        <w:t xml:space="preserve"> </w:t>
      </w:r>
      <w:r w:rsidRPr="00B02247">
        <w:t>criminal</w:t>
      </w:r>
      <w:r w:rsidR="005B2A41">
        <w:t xml:space="preserve"> </w:t>
      </w:r>
      <w:r w:rsidRPr="00B02247">
        <w:t>act</w:t>
      </w:r>
      <w:r w:rsidR="005B2A41">
        <w:t xml:space="preserve"> </w:t>
      </w:r>
      <w:r w:rsidRPr="00B02247">
        <w:t>has</w:t>
      </w:r>
      <w:r w:rsidR="005B2A41">
        <w:t xml:space="preserve"> </w:t>
      </w:r>
      <w:r w:rsidRPr="00B02247">
        <w:t>been</w:t>
      </w:r>
      <w:r w:rsidR="005B2A41">
        <w:t xml:space="preserve"> </w:t>
      </w:r>
      <w:r w:rsidRPr="00B02247">
        <w:t>racially</w:t>
      </w:r>
      <w:r w:rsidR="005B2A41">
        <w:t xml:space="preserve"> </w:t>
      </w:r>
      <w:r w:rsidRPr="00B02247">
        <w:t>motivated</w:t>
      </w:r>
      <w:r w:rsidR="005B2A41">
        <w:t xml:space="preserve"> </w:t>
      </w:r>
      <w:r w:rsidRPr="00B02247">
        <w:t>(the</w:t>
      </w:r>
      <w:r w:rsidR="005B2A41">
        <w:t xml:space="preserve"> </w:t>
      </w:r>
      <w:r w:rsidRPr="00B02247">
        <w:t>same</w:t>
      </w:r>
      <w:r w:rsidR="005B2A41">
        <w:t xml:space="preserve"> </w:t>
      </w:r>
      <w:r w:rsidRPr="00B02247">
        <w:t>applies</w:t>
      </w:r>
      <w:r w:rsidR="005B2A41">
        <w:t xml:space="preserve"> </w:t>
      </w:r>
      <w:r w:rsidRPr="00B02247">
        <w:t>to</w:t>
      </w:r>
      <w:r w:rsidR="005B2A41">
        <w:t xml:space="preserve"> </w:t>
      </w:r>
      <w:r w:rsidRPr="00B02247">
        <w:t>the</w:t>
      </w:r>
      <w:r w:rsidR="005B2A41">
        <w:t xml:space="preserve"> </w:t>
      </w:r>
      <w:r w:rsidRPr="00B02247">
        <w:t>disciplinary</w:t>
      </w:r>
      <w:r w:rsidR="005B2A41">
        <w:t xml:space="preserve"> </w:t>
      </w:r>
      <w:r w:rsidRPr="00B02247">
        <w:t>investigation</w:t>
      </w:r>
      <w:r w:rsidR="005B2A41">
        <w:t xml:space="preserve"> </w:t>
      </w:r>
      <w:r w:rsidRPr="00B02247">
        <w:t>of</w:t>
      </w:r>
      <w:r w:rsidR="005B2A41">
        <w:t xml:space="preserve"> </w:t>
      </w:r>
      <w:r w:rsidRPr="00B02247">
        <w:t>cases</w:t>
      </w:r>
      <w:r w:rsidR="005B2A41">
        <w:t xml:space="preserve"> </w:t>
      </w:r>
      <w:r w:rsidRPr="00B02247">
        <w:t>involving</w:t>
      </w:r>
      <w:r w:rsidR="005B2A41">
        <w:t xml:space="preserve"> </w:t>
      </w:r>
      <w:r w:rsidRPr="00B02247">
        <w:t>inappropriate</w:t>
      </w:r>
      <w:r w:rsidR="005B2A41">
        <w:t xml:space="preserve"> </w:t>
      </w:r>
      <w:r w:rsidRPr="00B02247">
        <w:t>behaviour</w:t>
      </w:r>
      <w:r w:rsidR="005B2A41">
        <w:t xml:space="preserve"> </w:t>
      </w:r>
      <w:r w:rsidRPr="00B02247">
        <w:t>of</w:t>
      </w:r>
      <w:r w:rsidR="005B2A41">
        <w:t xml:space="preserve"> </w:t>
      </w:r>
      <w:r w:rsidRPr="00B02247">
        <w:t>police</w:t>
      </w:r>
      <w:r w:rsidR="005B2A41">
        <w:t xml:space="preserve"> </w:t>
      </w:r>
      <w:r w:rsidRPr="00B02247">
        <w:t>officers</w:t>
      </w:r>
      <w:r w:rsidR="005B2A41">
        <w:t xml:space="preserve"> </w:t>
      </w:r>
      <w:r w:rsidRPr="00B02247">
        <w:t>against</w:t>
      </w:r>
      <w:r w:rsidR="005B2A41">
        <w:t xml:space="preserve"> </w:t>
      </w:r>
      <w:r w:rsidRPr="00B02247">
        <w:t>persons</w:t>
      </w:r>
      <w:r w:rsidR="005B2A41">
        <w:t xml:space="preserve"> </w:t>
      </w:r>
      <w:r w:rsidRPr="00B02247">
        <w:t>belonging</w:t>
      </w:r>
      <w:r w:rsidR="005B2A41">
        <w:t xml:space="preserve"> </w:t>
      </w:r>
      <w:r w:rsidRPr="00B02247">
        <w:t>to</w:t>
      </w:r>
      <w:r w:rsidR="005B2A41">
        <w:t xml:space="preserve"> </w:t>
      </w:r>
      <w:r w:rsidRPr="00B02247">
        <w:t>vulnerable</w:t>
      </w:r>
      <w:r w:rsidR="005B2A41">
        <w:t xml:space="preserve"> </w:t>
      </w:r>
      <w:r w:rsidRPr="00B02247">
        <w:t>groups</w:t>
      </w:r>
      <w:r w:rsidR="005B2A41">
        <w:t xml:space="preserve"> </w:t>
      </w:r>
      <w:r w:rsidRPr="00B02247">
        <w:t>or</w:t>
      </w:r>
      <w:r w:rsidR="005B2A41">
        <w:t xml:space="preserve"> </w:t>
      </w:r>
      <w:r w:rsidRPr="00B02247">
        <w:t>foreign</w:t>
      </w:r>
      <w:r w:rsidR="005B2A41">
        <w:t xml:space="preserve"> </w:t>
      </w:r>
      <w:r w:rsidRPr="00B02247">
        <w:t>nationals);</w:t>
      </w:r>
      <w:r w:rsidR="005B2A41">
        <w:t xml:space="preserve"> </w:t>
      </w:r>
      <w:r w:rsidRPr="00B02247">
        <w:t>co-ordination</w:t>
      </w:r>
      <w:r w:rsidR="005B2A41">
        <w:t xml:space="preserve"> </w:t>
      </w:r>
      <w:r w:rsidRPr="00B02247">
        <w:t>with</w:t>
      </w:r>
      <w:r w:rsidR="005B2A41">
        <w:t xml:space="preserve"> </w:t>
      </w:r>
      <w:r w:rsidRPr="00B02247">
        <w:t>local</w:t>
      </w:r>
      <w:r w:rsidR="005B2A41">
        <w:t xml:space="preserve"> </w:t>
      </w:r>
      <w:r w:rsidRPr="00B02247">
        <w:t>and</w:t>
      </w:r>
      <w:r w:rsidR="005B2A41">
        <w:t xml:space="preserve"> </w:t>
      </w:r>
      <w:r w:rsidRPr="00B02247">
        <w:t>non-governmental</w:t>
      </w:r>
      <w:r w:rsidR="005B2A41">
        <w:t xml:space="preserve"> </w:t>
      </w:r>
      <w:r w:rsidRPr="00B02247">
        <w:t>organizations</w:t>
      </w:r>
      <w:r w:rsidR="005B2A41">
        <w:t xml:space="preserve"> </w:t>
      </w:r>
      <w:r w:rsidRPr="00B02247">
        <w:t>and</w:t>
      </w:r>
      <w:r w:rsidR="005B2A41">
        <w:t xml:space="preserve"> </w:t>
      </w:r>
      <w:r w:rsidRPr="00B02247">
        <w:t>training</w:t>
      </w:r>
      <w:r w:rsidR="005B2A41">
        <w:t xml:space="preserve"> </w:t>
      </w:r>
      <w:r w:rsidRPr="00B02247">
        <w:t>of</w:t>
      </w:r>
      <w:r w:rsidR="005B2A41">
        <w:t xml:space="preserve"> </w:t>
      </w:r>
      <w:r w:rsidRPr="00B02247">
        <w:t>police</w:t>
      </w:r>
      <w:r w:rsidR="005B2A41">
        <w:t xml:space="preserve"> </w:t>
      </w:r>
      <w:r w:rsidRPr="00B02247">
        <w:t>staff.</w:t>
      </w:r>
      <w:r w:rsidR="005B2A41">
        <w:t xml:space="preserve"> </w:t>
      </w:r>
      <w:r w:rsidRPr="00B02247">
        <w:t>In</w:t>
      </w:r>
      <w:r w:rsidR="005B2A41">
        <w:t xml:space="preserve"> </w:t>
      </w:r>
      <w:r w:rsidRPr="00B02247">
        <w:t>the</w:t>
      </w:r>
      <w:r w:rsidR="005B2A41">
        <w:t xml:space="preserve"> </w:t>
      </w:r>
      <w:r w:rsidRPr="00B02247">
        <w:t>field</w:t>
      </w:r>
      <w:r w:rsidR="005B2A41">
        <w:t xml:space="preserve"> </w:t>
      </w:r>
      <w:r w:rsidRPr="00B02247">
        <w:t>of</w:t>
      </w:r>
      <w:r w:rsidR="005B2A41">
        <w:t xml:space="preserve"> </w:t>
      </w:r>
      <w:r w:rsidRPr="00B02247">
        <w:t>training</w:t>
      </w:r>
      <w:r w:rsidR="005B2A41">
        <w:t xml:space="preserve"> </w:t>
      </w:r>
      <w:r w:rsidRPr="00B02247">
        <w:t>of</w:t>
      </w:r>
      <w:r w:rsidR="005B2A41">
        <w:t xml:space="preserve"> </w:t>
      </w:r>
      <w:r w:rsidRPr="00B02247">
        <w:t>police</w:t>
      </w:r>
      <w:r w:rsidR="005B2A41">
        <w:t xml:space="preserve"> </w:t>
      </w:r>
      <w:r w:rsidRPr="00B02247">
        <w:t>officers</w:t>
      </w:r>
      <w:r w:rsidR="005B2A41">
        <w:t xml:space="preserve"> </w:t>
      </w:r>
      <w:r w:rsidRPr="00B02247">
        <w:t>and</w:t>
      </w:r>
      <w:r w:rsidR="005B2A41">
        <w:t xml:space="preserve"> </w:t>
      </w:r>
      <w:r w:rsidRPr="00B02247">
        <w:t>prosecutors,</w:t>
      </w:r>
      <w:r w:rsidR="005B2A41">
        <w:t xml:space="preserve"> </w:t>
      </w:r>
      <w:r w:rsidRPr="00B02247">
        <w:t>Greece</w:t>
      </w:r>
      <w:r w:rsidR="005B2A41">
        <w:t xml:space="preserve"> </w:t>
      </w:r>
      <w:r w:rsidRPr="00B02247">
        <w:t>is</w:t>
      </w:r>
      <w:r w:rsidR="005B2A41">
        <w:t xml:space="preserve"> </w:t>
      </w:r>
      <w:r w:rsidRPr="00B02247">
        <w:t>cooperating</w:t>
      </w:r>
      <w:r w:rsidR="005B2A41">
        <w:t xml:space="preserve"> </w:t>
      </w:r>
      <w:r w:rsidRPr="00B02247">
        <w:t>with</w:t>
      </w:r>
      <w:r w:rsidR="005B2A41">
        <w:t xml:space="preserve"> </w:t>
      </w:r>
      <w:r w:rsidRPr="00B02247">
        <w:t>the</w:t>
      </w:r>
      <w:r w:rsidR="005B2A41">
        <w:t xml:space="preserve"> </w:t>
      </w:r>
      <w:r w:rsidRPr="00B02247">
        <w:t>CoE</w:t>
      </w:r>
      <w:r w:rsidR="005B2A41">
        <w:t xml:space="preserve"> </w:t>
      </w:r>
      <w:r w:rsidRPr="00B02247">
        <w:t>and</w:t>
      </w:r>
      <w:r w:rsidR="005B2A41">
        <w:t xml:space="preserve"> </w:t>
      </w:r>
      <w:r w:rsidRPr="00B02247">
        <w:t>the</w:t>
      </w:r>
      <w:r w:rsidR="005B2A41">
        <w:t xml:space="preserve"> </w:t>
      </w:r>
      <w:r w:rsidRPr="00B02247">
        <w:t>OSCE.</w:t>
      </w:r>
    </w:p>
    <w:p w:rsidR="00F233AB" w:rsidRPr="00B02247" w:rsidRDefault="00F233AB" w:rsidP="00E1307D">
      <w:pPr>
        <w:pStyle w:val="SingleTxtG"/>
      </w:pPr>
      <w:r w:rsidRPr="00B02247">
        <w:t>182.</w:t>
      </w:r>
      <w:r w:rsidRPr="00B02247">
        <w:tab/>
        <w:t>Furthermore,</w:t>
      </w:r>
      <w:r w:rsidR="005B2A41">
        <w:t xml:space="preserve"> </w:t>
      </w:r>
      <w:r w:rsidRPr="00B02247">
        <w:t>five</w:t>
      </w:r>
      <w:r w:rsidR="005B2A41">
        <w:t xml:space="preserve"> </w:t>
      </w:r>
      <w:r w:rsidRPr="00B02247">
        <w:t>special</w:t>
      </w:r>
      <w:r w:rsidR="005B2A41">
        <w:t xml:space="preserve"> </w:t>
      </w:r>
      <w:r w:rsidRPr="00B02247">
        <w:t>prosecutors</w:t>
      </w:r>
      <w:r w:rsidR="005B2A41">
        <w:t xml:space="preserve"> </w:t>
      </w:r>
      <w:r w:rsidRPr="00B02247">
        <w:t>have</w:t>
      </w:r>
      <w:r w:rsidR="005B2A41">
        <w:t xml:space="preserve"> </w:t>
      </w:r>
      <w:r w:rsidRPr="00B02247">
        <w:t>been</w:t>
      </w:r>
      <w:r w:rsidR="005B2A41">
        <w:t xml:space="preserve"> </w:t>
      </w:r>
      <w:r w:rsidRPr="00B02247">
        <w:t>appointed</w:t>
      </w:r>
      <w:r w:rsidR="005B2A41">
        <w:t xml:space="preserve"> </w:t>
      </w:r>
      <w:r w:rsidRPr="00B02247">
        <w:t>for</w:t>
      </w:r>
      <w:r w:rsidR="005B2A41">
        <w:t xml:space="preserve"> </w:t>
      </w:r>
      <w:r w:rsidRPr="00B02247">
        <w:t>the</w:t>
      </w:r>
      <w:r w:rsidR="005B2A41">
        <w:t xml:space="preserve"> </w:t>
      </w:r>
      <w:r w:rsidRPr="00B02247">
        <w:t>investigation</w:t>
      </w:r>
      <w:r w:rsidR="005B2A41">
        <w:t xml:space="preserve"> </w:t>
      </w:r>
      <w:r w:rsidRPr="00B02247">
        <w:t>of</w:t>
      </w:r>
      <w:r w:rsidR="005B2A41">
        <w:t xml:space="preserve"> </w:t>
      </w:r>
      <w:r w:rsidRPr="00B02247">
        <w:t>racist</w:t>
      </w:r>
      <w:r w:rsidR="005B2A41">
        <w:t xml:space="preserve"> </w:t>
      </w:r>
      <w:r w:rsidRPr="00B02247">
        <w:t>crimes</w:t>
      </w:r>
      <w:r w:rsidR="005B2A41">
        <w:t xml:space="preserve"> </w:t>
      </w:r>
      <w:r w:rsidRPr="00B02247">
        <w:t>in</w:t>
      </w:r>
      <w:r w:rsidR="005B2A41">
        <w:t xml:space="preserve"> </w:t>
      </w:r>
      <w:r w:rsidRPr="00B02247">
        <w:t>Athens,</w:t>
      </w:r>
      <w:r w:rsidR="005B2A41">
        <w:t xml:space="preserve"> </w:t>
      </w:r>
      <w:r w:rsidRPr="00B02247">
        <w:t>Piraeus,</w:t>
      </w:r>
      <w:r w:rsidR="005B2A41">
        <w:t xml:space="preserve"> </w:t>
      </w:r>
      <w:r w:rsidRPr="00B02247">
        <w:t>Thessalonica,</w:t>
      </w:r>
      <w:r w:rsidR="005B2A41">
        <w:t xml:space="preserve"> </w:t>
      </w:r>
      <w:r w:rsidRPr="00B02247">
        <w:t>Patra</w:t>
      </w:r>
      <w:r w:rsidR="005B2A41">
        <w:t xml:space="preserve"> </w:t>
      </w:r>
      <w:r w:rsidRPr="00B02247">
        <w:t>and</w:t>
      </w:r>
      <w:r w:rsidR="005B2A41">
        <w:t xml:space="preserve"> </w:t>
      </w:r>
      <w:r w:rsidRPr="00B02247">
        <w:t>Heraklion.</w:t>
      </w:r>
      <w:r w:rsidR="005B2A41">
        <w:t xml:space="preserve"> </w:t>
      </w:r>
    </w:p>
    <w:p w:rsidR="00F233AB" w:rsidRPr="00B02247" w:rsidRDefault="00F233AB" w:rsidP="00E1307D">
      <w:pPr>
        <w:pStyle w:val="SingleTxtG"/>
      </w:pPr>
      <w:r w:rsidRPr="00B02247">
        <w:t>183.</w:t>
      </w:r>
      <w:r w:rsidRPr="00B02247">
        <w:tab/>
        <w:t>As</w:t>
      </w:r>
      <w:r w:rsidR="005B2A41">
        <w:t xml:space="preserve"> </w:t>
      </w:r>
      <w:r w:rsidRPr="00B02247">
        <w:t>already</w:t>
      </w:r>
      <w:r w:rsidR="005B2A41">
        <w:t xml:space="preserve"> </w:t>
      </w:r>
      <w:r w:rsidRPr="00B02247">
        <w:t>mentioned,</w:t>
      </w:r>
      <w:r w:rsidR="005B2A41">
        <w:t xml:space="preserve"> </w:t>
      </w:r>
      <w:r w:rsidRPr="00B02247">
        <w:t>the</w:t>
      </w:r>
      <w:r w:rsidR="005B2A41">
        <w:t xml:space="preserve"> </w:t>
      </w:r>
      <w:r w:rsidRPr="00B02247">
        <w:t>NCHR</w:t>
      </w:r>
      <w:r w:rsidR="005B2A41">
        <w:t xml:space="preserve"> </w:t>
      </w:r>
      <w:r w:rsidRPr="00B02247">
        <w:t>and</w:t>
      </w:r>
      <w:r w:rsidR="005B2A41">
        <w:t xml:space="preserve"> </w:t>
      </w:r>
      <w:r w:rsidRPr="00B02247">
        <w:t>the</w:t>
      </w:r>
      <w:r w:rsidR="005B2A41">
        <w:t xml:space="preserve"> </w:t>
      </w:r>
      <w:r w:rsidRPr="00B02247">
        <w:t>Office</w:t>
      </w:r>
      <w:r w:rsidR="005B2A41">
        <w:t xml:space="preserve"> </w:t>
      </w:r>
      <w:r w:rsidRPr="00B02247">
        <w:t>of</w:t>
      </w:r>
      <w:r w:rsidR="005B2A41">
        <w:t xml:space="preserve"> </w:t>
      </w:r>
      <w:r w:rsidRPr="00B02247">
        <w:t>the</w:t>
      </w:r>
      <w:r w:rsidR="005B2A41">
        <w:t xml:space="preserve"> </w:t>
      </w:r>
      <w:r w:rsidRPr="00B02247">
        <w:t>UNHCR</w:t>
      </w:r>
      <w:r w:rsidR="005B2A41">
        <w:t xml:space="preserve"> </w:t>
      </w:r>
      <w:r w:rsidRPr="00B02247">
        <w:t>in</w:t>
      </w:r>
      <w:r w:rsidR="005B2A41">
        <w:t xml:space="preserve"> </w:t>
      </w:r>
      <w:r w:rsidRPr="00B02247">
        <w:t>Greece</w:t>
      </w:r>
      <w:r w:rsidR="005B2A41">
        <w:t xml:space="preserve"> </w:t>
      </w:r>
      <w:r w:rsidRPr="00B02247">
        <w:t>established,</w:t>
      </w:r>
      <w:r w:rsidR="005B2A41">
        <w:t xml:space="preserve"> </w:t>
      </w:r>
      <w:r w:rsidRPr="00B02247">
        <w:t>in</w:t>
      </w:r>
      <w:r w:rsidR="005B2A41">
        <w:t xml:space="preserve"> </w:t>
      </w:r>
      <w:r w:rsidRPr="00B02247">
        <w:t>2011,</w:t>
      </w:r>
      <w:r w:rsidR="005B2A41">
        <w:t xml:space="preserve"> </w:t>
      </w:r>
      <w:r w:rsidRPr="00B02247">
        <w:t>the</w:t>
      </w:r>
      <w:r w:rsidR="005B2A41">
        <w:t xml:space="preserve"> </w:t>
      </w:r>
      <w:r w:rsidR="003E731F">
        <w:t>“</w:t>
      </w:r>
      <w:r w:rsidRPr="00B02247">
        <w:t>Racist</w:t>
      </w:r>
      <w:r w:rsidR="005B2A41">
        <w:t xml:space="preserve"> </w:t>
      </w:r>
      <w:r w:rsidRPr="00B02247">
        <w:t>Violence</w:t>
      </w:r>
      <w:r w:rsidR="005B2A41">
        <w:t xml:space="preserve"> </w:t>
      </w:r>
      <w:r w:rsidRPr="00B02247">
        <w:t>Recording</w:t>
      </w:r>
      <w:r w:rsidR="005B2A41">
        <w:t xml:space="preserve"> </w:t>
      </w:r>
      <w:r w:rsidRPr="00B02247">
        <w:t>Network</w:t>
      </w:r>
      <w:r w:rsidR="003E731F">
        <w:t>”</w:t>
      </w:r>
      <w:r w:rsidR="005B2A41">
        <w:t xml:space="preserve"> </w:t>
      </w:r>
      <w:r w:rsidRPr="00B02247">
        <w:t>(RVRN)</w:t>
      </w:r>
      <w:r w:rsidR="005B2A41">
        <w:t xml:space="preserve"> </w:t>
      </w:r>
      <w:r w:rsidRPr="00B02247">
        <w:t>in</w:t>
      </w:r>
      <w:r w:rsidR="005B2A41">
        <w:t xml:space="preserve"> </w:t>
      </w:r>
      <w:r w:rsidRPr="00B02247">
        <w:t>which</w:t>
      </w:r>
      <w:r w:rsidR="005B2A41">
        <w:t xml:space="preserve"> </w:t>
      </w:r>
      <w:r w:rsidRPr="00B02247">
        <w:t>participate</w:t>
      </w:r>
      <w:r w:rsidR="005B2A41">
        <w:t xml:space="preserve"> </w:t>
      </w:r>
      <w:r w:rsidRPr="00B02247">
        <w:t>35</w:t>
      </w:r>
      <w:r w:rsidR="005B2A41">
        <w:t xml:space="preserve"> </w:t>
      </w:r>
      <w:r w:rsidRPr="00B02247">
        <w:t>NGOs</w:t>
      </w:r>
      <w:r w:rsidR="005B2A41">
        <w:t xml:space="preserve"> </w:t>
      </w:r>
      <w:r w:rsidRPr="00B02247">
        <w:t>and</w:t>
      </w:r>
      <w:r w:rsidR="005B2A41">
        <w:t xml:space="preserve"> </w:t>
      </w:r>
      <w:r w:rsidRPr="00B02247">
        <w:t>other</w:t>
      </w:r>
      <w:r w:rsidR="005B2A41">
        <w:t xml:space="preserve"> </w:t>
      </w:r>
      <w:r w:rsidRPr="00B02247">
        <w:t>bodies,</w:t>
      </w:r>
      <w:r w:rsidR="005B2A41">
        <w:t xml:space="preserve"> </w:t>
      </w:r>
      <w:r w:rsidRPr="00B02247">
        <w:t>having</w:t>
      </w:r>
      <w:r w:rsidR="005B2A41">
        <w:t xml:space="preserve"> </w:t>
      </w:r>
      <w:r w:rsidRPr="00B02247">
        <w:t>as</w:t>
      </w:r>
      <w:r w:rsidR="005B2A41">
        <w:t xml:space="preserve"> </w:t>
      </w:r>
      <w:r w:rsidRPr="00B02247">
        <w:t>a</w:t>
      </w:r>
      <w:r w:rsidR="005B2A41">
        <w:t xml:space="preserve"> </w:t>
      </w:r>
      <w:r w:rsidRPr="00B02247">
        <w:t>primary</w:t>
      </w:r>
      <w:r w:rsidR="005B2A41">
        <w:t xml:space="preserve"> </w:t>
      </w:r>
      <w:r w:rsidRPr="00B02247">
        <w:t>goal</w:t>
      </w:r>
      <w:r w:rsidR="005B2A41">
        <w:t xml:space="preserve"> </w:t>
      </w:r>
      <w:r w:rsidRPr="00B02247">
        <w:t>the</w:t>
      </w:r>
      <w:r w:rsidR="005B2A41">
        <w:t xml:space="preserve"> </w:t>
      </w:r>
      <w:r w:rsidRPr="00B02247">
        <w:t>documentation</w:t>
      </w:r>
      <w:r w:rsidR="005B2A41">
        <w:t xml:space="preserve"> </w:t>
      </w:r>
      <w:r w:rsidRPr="00B02247">
        <w:t>of</w:t>
      </w:r>
      <w:r w:rsidR="005B2A41">
        <w:t xml:space="preserve"> </w:t>
      </w:r>
      <w:r w:rsidRPr="00B02247">
        <w:t>racist</w:t>
      </w:r>
      <w:r w:rsidR="005B2A41">
        <w:t xml:space="preserve"> </w:t>
      </w:r>
      <w:r w:rsidRPr="00B02247">
        <w:t>incidents.</w:t>
      </w:r>
      <w:r w:rsidR="005B2A41">
        <w:t xml:space="preserve"> </w:t>
      </w:r>
      <w:r w:rsidRPr="00B02247">
        <w:t>Moreover,</w:t>
      </w:r>
      <w:r w:rsidR="005B2A41">
        <w:t xml:space="preserve"> </w:t>
      </w:r>
      <w:r w:rsidRPr="00B02247">
        <w:t>the</w:t>
      </w:r>
      <w:r w:rsidR="005B2A41">
        <w:t xml:space="preserve"> </w:t>
      </w:r>
      <w:r w:rsidR="003E731F">
        <w:t>“</w:t>
      </w:r>
      <w:r w:rsidRPr="00B02247">
        <w:t>National</w:t>
      </w:r>
      <w:r w:rsidR="005B2A41">
        <w:t xml:space="preserve"> </w:t>
      </w:r>
      <w:r w:rsidRPr="00B02247">
        <w:t>Council</w:t>
      </w:r>
      <w:r w:rsidR="005B2A41">
        <w:t xml:space="preserve"> </w:t>
      </w:r>
      <w:r w:rsidRPr="00B02247">
        <w:t>against</w:t>
      </w:r>
      <w:r w:rsidR="005B2A41">
        <w:t xml:space="preserve"> </w:t>
      </w:r>
      <w:r w:rsidRPr="00B02247">
        <w:t>Racism</w:t>
      </w:r>
      <w:r w:rsidR="005B2A41">
        <w:t xml:space="preserve"> </w:t>
      </w:r>
      <w:r w:rsidRPr="00B02247">
        <w:t>and</w:t>
      </w:r>
      <w:r w:rsidR="005B2A41">
        <w:t xml:space="preserve"> </w:t>
      </w:r>
      <w:r w:rsidRPr="00B02247">
        <w:t>Intolerance</w:t>
      </w:r>
      <w:r w:rsidR="003E731F">
        <w:t>”</w:t>
      </w:r>
      <w:r w:rsidR="005B2A41">
        <w:t xml:space="preserve"> </w:t>
      </w:r>
      <w:r w:rsidRPr="00B02247">
        <w:t>has</w:t>
      </w:r>
      <w:r w:rsidR="005B2A41">
        <w:t xml:space="preserve"> </w:t>
      </w:r>
      <w:r w:rsidRPr="00B02247">
        <w:t>been</w:t>
      </w:r>
      <w:r w:rsidR="005B2A41">
        <w:t xml:space="preserve"> </w:t>
      </w:r>
      <w:r w:rsidRPr="00B02247">
        <w:t>established</w:t>
      </w:r>
      <w:r w:rsidR="005B2A41">
        <w:t xml:space="preserve"> </w:t>
      </w:r>
      <w:r w:rsidRPr="00B02247">
        <w:t>with</w:t>
      </w:r>
      <w:r w:rsidR="005B2A41">
        <w:t xml:space="preserve"> </w:t>
      </w:r>
      <w:r w:rsidRPr="00B02247">
        <w:t>the</w:t>
      </w:r>
      <w:r w:rsidR="005B2A41">
        <w:t xml:space="preserve"> </w:t>
      </w:r>
      <w:r w:rsidRPr="00B02247">
        <w:t>participation,</w:t>
      </w:r>
      <w:r w:rsidR="005B2A41">
        <w:t xml:space="preserve"> </w:t>
      </w:r>
      <w:r w:rsidRPr="00B02247">
        <w:t>inter</w:t>
      </w:r>
      <w:r w:rsidR="005B2A41">
        <w:t xml:space="preserve"> </w:t>
      </w:r>
      <w:r w:rsidRPr="00B02247">
        <w:t>alia,</w:t>
      </w:r>
      <w:r w:rsidR="005B2A41">
        <w:t xml:space="preserve"> </w:t>
      </w:r>
      <w:r w:rsidRPr="00B02247">
        <w:t>of</w:t>
      </w:r>
      <w:r w:rsidR="005B2A41">
        <w:t xml:space="preserve"> </w:t>
      </w:r>
      <w:r w:rsidRPr="00B02247">
        <w:t>the</w:t>
      </w:r>
      <w:r w:rsidR="005B2A41">
        <w:t xml:space="preserve"> </w:t>
      </w:r>
      <w:r w:rsidRPr="00B02247">
        <w:t>NCHR,</w:t>
      </w:r>
      <w:r w:rsidR="005B2A41">
        <w:t xml:space="preserve"> </w:t>
      </w:r>
      <w:r w:rsidRPr="00B02247">
        <w:t>the</w:t>
      </w:r>
      <w:r w:rsidR="005B2A41">
        <w:t xml:space="preserve"> </w:t>
      </w:r>
      <w:r w:rsidRPr="00B02247">
        <w:t>RVRN,</w:t>
      </w:r>
      <w:r w:rsidR="005B2A41">
        <w:t xml:space="preserve"> </w:t>
      </w:r>
      <w:r w:rsidRPr="00B02247">
        <w:t>the</w:t>
      </w:r>
      <w:r w:rsidR="005B2A41">
        <w:t xml:space="preserve"> </w:t>
      </w:r>
      <w:r w:rsidRPr="00B02247">
        <w:t>UNHCR</w:t>
      </w:r>
      <w:r w:rsidR="005B2A41">
        <w:t xml:space="preserve"> </w:t>
      </w:r>
      <w:r w:rsidRPr="00B02247">
        <w:t>and</w:t>
      </w:r>
      <w:r w:rsidR="005B2A41">
        <w:t xml:space="preserve"> </w:t>
      </w:r>
      <w:r w:rsidRPr="00B02247">
        <w:t>the</w:t>
      </w:r>
      <w:r w:rsidR="005B2A41">
        <w:t xml:space="preserve"> </w:t>
      </w:r>
      <w:r w:rsidRPr="00B02247">
        <w:t>Greek</w:t>
      </w:r>
      <w:r w:rsidR="005B2A41">
        <w:t xml:space="preserve"> </w:t>
      </w:r>
      <w:r w:rsidRPr="00B02247">
        <w:t>Ombudsman.</w:t>
      </w:r>
      <w:r w:rsidR="005B2A41">
        <w:t xml:space="preserve"> </w:t>
      </w:r>
      <w:r w:rsidRPr="00B02247">
        <w:t>The</w:t>
      </w:r>
      <w:r w:rsidR="005B2A41">
        <w:t xml:space="preserve"> </w:t>
      </w:r>
      <w:r w:rsidRPr="00B02247">
        <w:t>purpose</w:t>
      </w:r>
      <w:r w:rsidR="005B2A41">
        <w:t xml:space="preserve"> </w:t>
      </w:r>
      <w:r w:rsidRPr="00B02247">
        <w:t>of</w:t>
      </w:r>
      <w:r w:rsidR="005B2A41">
        <w:t xml:space="preserve"> </w:t>
      </w:r>
      <w:r w:rsidRPr="00B02247">
        <w:t>this</w:t>
      </w:r>
      <w:r w:rsidR="005B2A41">
        <w:t xml:space="preserve"> </w:t>
      </w:r>
      <w:r w:rsidRPr="00B02247">
        <w:t>Council</w:t>
      </w:r>
      <w:r w:rsidR="005B2A41">
        <w:t xml:space="preserve"> </w:t>
      </w:r>
      <w:r w:rsidRPr="00B02247">
        <w:t>is</w:t>
      </w:r>
      <w:r w:rsidR="005B2A41">
        <w:t xml:space="preserve"> </w:t>
      </w:r>
      <w:r w:rsidRPr="00B02247">
        <w:t>the</w:t>
      </w:r>
      <w:r w:rsidR="005B2A41">
        <w:t xml:space="preserve"> </w:t>
      </w:r>
      <w:r w:rsidRPr="00B02247">
        <w:t>development</w:t>
      </w:r>
      <w:r w:rsidR="005B2A41">
        <w:t xml:space="preserve"> </w:t>
      </w:r>
      <w:r w:rsidRPr="00B02247">
        <w:t>of</w:t>
      </w:r>
      <w:r w:rsidR="005B2A41">
        <w:t xml:space="preserve"> </w:t>
      </w:r>
      <w:r w:rsidRPr="00B02247">
        <w:t>a</w:t>
      </w:r>
      <w:r w:rsidR="005B2A41">
        <w:t xml:space="preserve"> </w:t>
      </w:r>
      <w:r w:rsidRPr="00B02247">
        <w:t>comprehensive</w:t>
      </w:r>
      <w:r w:rsidR="005B2A41">
        <w:t xml:space="preserve"> </w:t>
      </w:r>
      <w:r w:rsidRPr="00B02247">
        <w:t>anti-racist</w:t>
      </w:r>
      <w:r w:rsidR="005B2A41">
        <w:t xml:space="preserve"> </w:t>
      </w:r>
      <w:r w:rsidRPr="00B02247">
        <w:t>strategy,</w:t>
      </w:r>
      <w:r w:rsidR="005B2A41">
        <w:t xml:space="preserve"> </w:t>
      </w:r>
      <w:r w:rsidRPr="00B02247">
        <w:t>the</w:t>
      </w:r>
      <w:r w:rsidR="005B2A41">
        <w:t xml:space="preserve"> </w:t>
      </w:r>
      <w:r w:rsidRPr="00B02247">
        <w:t>coordination</w:t>
      </w:r>
      <w:r w:rsidR="005B2A41">
        <w:t xml:space="preserve"> </w:t>
      </w:r>
      <w:r w:rsidRPr="00B02247">
        <w:t>of</w:t>
      </w:r>
      <w:r w:rsidR="005B2A41">
        <w:t xml:space="preserve"> </w:t>
      </w:r>
      <w:r w:rsidRPr="00B02247">
        <w:t>all</w:t>
      </w:r>
      <w:r w:rsidR="005B2A41">
        <w:t xml:space="preserve"> </w:t>
      </w:r>
      <w:r w:rsidRPr="00B02247">
        <w:t>relevant</w:t>
      </w:r>
      <w:r w:rsidR="005B2A41">
        <w:t xml:space="preserve"> </w:t>
      </w:r>
      <w:r w:rsidRPr="00B02247">
        <w:t>stakeholders</w:t>
      </w:r>
      <w:r w:rsidR="005B2A41">
        <w:t xml:space="preserve"> </w:t>
      </w:r>
      <w:r w:rsidRPr="00B02247">
        <w:t>and</w:t>
      </w:r>
      <w:r w:rsidR="005B2A41">
        <w:t xml:space="preserve"> </w:t>
      </w:r>
      <w:r w:rsidRPr="00B02247">
        <w:t>the</w:t>
      </w:r>
      <w:r w:rsidR="005B2A41">
        <w:t xml:space="preserve"> </w:t>
      </w:r>
      <w:r w:rsidRPr="00B02247">
        <w:t>monitoring</w:t>
      </w:r>
      <w:r w:rsidR="005B2A41">
        <w:t xml:space="preserve"> </w:t>
      </w:r>
      <w:r w:rsidRPr="00B02247">
        <w:t>of</w:t>
      </w:r>
      <w:r w:rsidR="005B2A41">
        <w:t xml:space="preserve"> </w:t>
      </w:r>
      <w:r w:rsidRPr="00B02247">
        <w:t>the</w:t>
      </w:r>
      <w:r w:rsidR="005B2A41">
        <w:t xml:space="preserve"> </w:t>
      </w:r>
      <w:r w:rsidRPr="00B02247">
        <w:t>application</w:t>
      </w:r>
      <w:r w:rsidR="005B2A41">
        <w:t xml:space="preserve"> </w:t>
      </w:r>
      <w:r w:rsidRPr="00B02247">
        <w:t>of</w:t>
      </w:r>
      <w:r w:rsidR="005B2A41">
        <w:t xml:space="preserve"> </w:t>
      </w:r>
      <w:r w:rsidRPr="00B02247">
        <w:t>international,</w:t>
      </w:r>
      <w:r w:rsidR="005B2A41">
        <w:t xml:space="preserve"> </w:t>
      </w:r>
      <w:r w:rsidRPr="00B02247">
        <w:t>European</w:t>
      </w:r>
      <w:r w:rsidR="005B2A41">
        <w:t xml:space="preserve"> </w:t>
      </w:r>
      <w:r w:rsidRPr="00B02247">
        <w:t>and</w:t>
      </w:r>
      <w:r w:rsidR="005B2A41">
        <w:t xml:space="preserve"> </w:t>
      </w:r>
      <w:r w:rsidRPr="00B02247">
        <w:t>national</w:t>
      </w:r>
      <w:r w:rsidR="005B2A41">
        <w:t xml:space="preserve"> </w:t>
      </w:r>
      <w:r w:rsidRPr="00B02247">
        <w:t>legislation.</w:t>
      </w:r>
      <w:r w:rsidR="005B2A41">
        <w:t xml:space="preserve"> </w:t>
      </w:r>
      <w:r w:rsidRPr="00B02247">
        <w:t>A</w:t>
      </w:r>
      <w:r w:rsidR="005B2A41">
        <w:t xml:space="preserve"> </w:t>
      </w:r>
      <w:r w:rsidRPr="00B02247">
        <w:t>National</w:t>
      </w:r>
      <w:r w:rsidR="005B2A41">
        <w:t xml:space="preserve"> </w:t>
      </w:r>
      <w:r w:rsidRPr="00B02247">
        <w:t>Action</w:t>
      </w:r>
      <w:r w:rsidR="005B2A41">
        <w:t xml:space="preserve"> </w:t>
      </w:r>
      <w:r w:rsidRPr="00B02247">
        <w:t>Plan</w:t>
      </w:r>
      <w:r w:rsidR="005B2A41">
        <w:t xml:space="preserve"> </w:t>
      </w:r>
      <w:r w:rsidRPr="00B02247">
        <w:t>against</w:t>
      </w:r>
      <w:r w:rsidR="005B2A41">
        <w:t xml:space="preserve"> </w:t>
      </w:r>
      <w:r w:rsidRPr="00B02247">
        <w:t>Racism</w:t>
      </w:r>
      <w:r w:rsidR="005B2A41">
        <w:t xml:space="preserve"> </w:t>
      </w:r>
      <w:r w:rsidRPr="00B02247">
        <w:t>and</w:t>
      </w:r>
      <w:r w:rsidR="005B2A41">
        <w:t xml:space="preserve"> </w:t>
      </w:r>
      <w:r w:rsidRPr="00B02247">
        <w:t>Intolerance</w:t>
      </w:r>
      <w:r w:rsidR="005B2A41">
        <w:t xml:space="preserve"> </w:t>
      </w:r>
      <w:r w:rsidRPr="00B02247">
        <w:t>is</w:t>
      </w:r>
      <w:r w:rsidR="005B2A41">
        <w:t xml:space="preserve"> </w:t>
      </w:r>
      <w:r w:rsidRPr="00B02247">
        <w:t>also</w:t>
      </w:r>
      <w:r w:rsidR="005B2A41">
        <w:t xml:space="preserve"> </w:t>
      </w:r>
      <w:r w:rsidRPr="00B02247">
        <w:t>among</w:t>
      </w:r>
      <w:r w:rsidR="005B2A41">
        <w:t xml:space="preserve"> </w:t>
      </w:r>
      <w:r w:rsidRPr="00B02247">
        <w:t>the</w:t>
      </w:r>
      <w:r w:rsidR="005B2A41">
        <w:t xml:space="preserve"> </w:t>
      </w:r>
      <w:r w:rsidRPr="00B02247">
        <w:t>tasks</w:t>
      </w:r>
      <w:r w:rsidR="005B2A41">
        <w:t xml:space="preserve"> </w:t>
      </w:r>
      <w:r w:rsidRPr="00B02247">
        <w:t>of</w:t>
      </w:r>
      <w:r w:rsidR="005B2A41">
        <w:t xml:space="preserve"> </w:t>
      </w:r>
      <w:r w:rsidRPr="00B02247">
        <w:t>the</w:t>
      </w:r>
      <w:r w:rsidR="005B2A41">
        <w:t xml:space="preserve"> </w:t>
      </w:r>
      <w:r w:rsidRPr="00B02247">
        <w:t>Council.</w:t>
      </w:r>
      <w:r w:rsidR="005B2A41">
        <w:t xml:space="preserve"> </w:t>
      </w:r>
    </w:p>
    <w:p w:rsidR="00F233AB" w:rsidRPr="00B02247" w:rsidRDefault="00F233AB" w:rsidP="00BB3A83">
      <w:pPr>
        <w:pStyle w:val="SingleTxtG"/>
      </w:pPr>
      <w:r w:rsidRPr="00B02247">
        <w:t>184.</w:t>
      </w:r>
      <w:r w:rsidRPr="00B02247">
        <w:tab/>
        <w:t>Law</w:t>
      </w:r>
      <w:r w:rsidR="005B2A41">
        <w:t xml:space="preserve"> </w:t>
      </w:r>
      <w:r w:rsidRPr="00B02247">
        <w:t>3986/2010</w:t>
      </w:r>
      <w:r w:rsidR="005B2A41">
        <w:t xml:space="preserve"> </w:t>
      </w:r>
      <w:r w:rsidRPr="00B02247">
        <w:t>on</w:t>
      </w:r>
      <w:r w:rsidR="005B2A41">
        <w:t xml:space="preserve"> </w:t>
      </w:r>
      <w:r w:rsidRPr="00B02247">
        <w:t>the</w:t>
      </w:r>
      <w:r w:rsidR="005B2A41">
        <w:t xml:space="preserve"> </w:t>
      </w:r>
      <w:r w:rsidR="003E731F">
        <w:t>“</w:t>
      </w:r>
      <w:r w:rsidRPr="00B02247">
        <w:t>Implementation</w:t>
      </w:r>
      <w:r w:rsidR="005B2A41">
        <w:t xml:space="preserve"> </w:t>
      </w:r>
      <w:r w:rsidRPr="00B02247">
        <w:t>of</w:t>
      </w:r>
      <w:r w:rsidR="005B2A41">
        <w:t xml:space="preserve"> </w:t>
      </w:r>
      <w:r w:rsidRPr="00B02247">
        <w:t>the</w:t>
      </w:r>
      <w:r w:rsidR="005B2A41">
        <w:t xml:space="preserve"> </w:t>
      </w:r>
      <w:r w:rsidRPr="00B02247">
        <w:t>principle</w:t>
      </w:r>
      <w:r w:rsidR="005B2A41">
        <w:t xml:space="preserve"> </w:t>
      </w:r>
      <w:r w:rsidRPr="00B02247">
        <w:t>of</w:t>
      </w:r>
      <w:r w:rsidR="005B2A41">
        <w:t xml:space="preserve"> </w:t>
      </w:r>
      <w:r w:rsidRPr="00B02247">
        <w:t>equal</w:t>
      </w:r>
      <w:r w:rsidR="005B2A41">
        <w:t xml:space="preserve"> </w:t>
      </w:r>
      <w:r w:rsidRPr="00B02247">
        <w:t>opportunities</w:t>
      </w:r>
      <w:r w:rsidR="005B2A41">
        <w:t xml:space="preserve"> </w:t>
      </w:r>
      <w:r w:rsidRPr="00B02247">
        <w:t>and</w:t>
      </w:r>
      <w:r w:rsidR="005B2A41">
        <w:t xml:space="preserve"> </w:t>
      </w:r>
      <w:r w:rsidRPr="00B02247">
        <w:t>equal</w:t>
      </w:r>
      <w:r w:rsidR="005B2A41">
        <w:t xml:space="preserve"> </w:t>
      </w:r>
      <w:r w:rsidRPr="00B02247">
        <w:t>treatment</w:t>
      </w:r>
      <w:r w:rsidR="005B2A41">
        <w:t xml:space="preserve"> </w:t>
      </w:r>
      <w:r w:rsidRPr="00B02247">
        <w:t>of</w:t>
      </w:r>
      <w:r w:rsidR="005B2A41">
        <w:t xml:space="preserve"> </w:t>
      </w:r>
      <w:r w:rsidRPr="00B02247">
        <w:t>men</w:t>
      </w:r>
      <w:r w:rsidR="005B2A41">
        <w:t xml:space="preserve"> </w:t>
      </w:r>
      <w:r w:rsidRPr="00B02247">
        <w:t>and</w:t>
      </w:r>
      <w:r w:rsidR="005B2A41">
        <w:t xml:space="preserve"> </w:t>
      </w:r>
      <w:r w:rsidRPr="00B02247">
        <w:t>women</w:t>
      </w:r>
      <w:r w:rsidR="005B2A41">
        <w:t xml:space="preserve"> </w:t>
      </w:r>
      <w:r w:rsidRPr="00B02247">
        <w:t>in</w:t>
      </w:r>
      <w:r w:rsidR="005B2A41">
        <w:t xml:space="preserve"> </w:t>
      </w:r>
      <w:r w:rsidRPr="00B02247">
        <w:t>matters</w:t>
      </w:r>
      <w:r w:rsidR="005B2A41">
        <w:t xml:space="preserve"> </w:t>
      </w:r>
      <w:r w:rsidRPr="00B02247">
        <w:t>of</w:t>
      </w:r>
      <w:r w:rsidR="005B2A41">
        <w:t xml:space="preserve"> </w:t>
      </w:r>
      <w:r w:rsidRPr="00B02247">
        <w:t>work</w:t>
      </w:r>
      <w:r w:rsidR="005B2A41">
        <w:t xml:space="preserve"> </w:t>
      </w:r>
      <w:r w:rsidRPr="00B02247">
        <w:t>and</w:t>
      </w:r>
      <w:r w:rsidR="005B2A41">
        <w:t xml:space="preserve"> </w:t>
      </w:r>
      <w:r w:rsidRPr="00B02247">
        <w:t>employment</w:t>
      </w:r>
      <w:r w:rsidR="005B2A41">
        <w:t xml:space="preserve"> </w:t>
      </w:r>
      <w:r w:rsidR="00BB3A83">
        <w:t>—</w:t>
      </w:r>
      <w:r w:rsidR="005B2A41">
        <w:t xml:space="preserve"> </w:t>
      </w:r>
      <w:r w:rsidRPr="00B02247">
        <w:t>Harmonization</w:t>
      </w:r>
      <w:r w:rsidR="005B2A41">
        <w:t xml:space="preserve"> </w:t>
      </w:r>
      <w:r w:rsidRPr="00B02247">
        <w:t>of</w:t>
      </w:r>
      <w:r w:rsidR="005B2A41">
        <w:t xml:space="preserve"> </w:t>
      </w:r>
      <w:r w:rsidRPr="00B02247">
        <w:t>the</w:t>
      </w:r>
      <w:r w:rsidR="005B2A41">
        <w:t xml:space="preserve"> </w:t>
      </w:r>
      <w:r w:rsidRPr="00B02247">
        <w:t>current</w:t>
      </w:r>
      <w:r w:rsidR="005B2A41">
        <w:t xml:space="preserve"> </w:t>
      </w:r>
      <w:r w:rsidRPr="00B02247">
        <w:t>legislation</w:t>
      </w:r>
      <w:r w:rsidR="005B2A41">
        <w:t xml:space="preserve"> </w:t>
      </w:r>
      <w:r w:rsidRPr="00B02247">
        <w:t>with</w:t>
      </w:r>
      <w:r w:rsidR="005B2A41">
        <w:t xml:space="preserve"> </w:t>
      </w:r>
      <w:r w:rsidRPr="00B02247">
        <w:t>Directive</w:t>
      </w:r>
      <w:r w:rsidR="005B2A41">
        <w:t xml:space="preserve"> </w:t>
      </w:r>
      <w:r w:rsidRPr="00B02247">
        <w:t>2006/54/EC</w:t>
      </w:r>
      <w:r w:rsidR="005B2A41">
        <w:t xml:space="preserve"> </w:t>
      </w:r>
      <w:r w:rsidRPr="00B02247">
        <w:t>of</w:t>
      </w:r>
      <w:r w:rsidR="005B2A41">
        <w:t xml:space="preserve"> </w:t>
      </w:r>
      <w:r w:rsidRPr="00B02247">
        <w:t>the</w:t>
      </w:r>
      <w:r w:rsidR="005B2A41">
        <w:t xml:space="preserve"> </w:t>
      </w:r>
      <w:r w:rsidRPr="00B02247">
        <w:t>European</w:t>
      </w:r>
      <w:r w:rsidR="005B2A41">
        <w:t xml:space="preserve"> </w:t>
      </w:r>
      <w:r w:rsidRPr="00B02247">
        <w:t>Parliament</w:t>
      </w:r>
      <w:r w:rsidR="005B2A41">
        <w:t xml:space="preserve"> </w:t>
      </w:r>
      <w:r w:rsidRPr="00B02247">
        <w:t>and</w:t>
      </w:r>
      <w:r w:rsidR="005B2A41">
        <w:t xml:space="preserve"> </w:t>
      </w:r>
      <w:r w:rsidRPr="00B02247">
        <w:t>the</w:t>
      </w:r>
      <w:r w:rsidR="005B2A41">
        <w:t xml:space="preserve"> </w:t>
      </w:r>
      <w:r w:rsidRPr="00B02247">
        <w:t>Council,</w:t>
      </w:r>
      <w:r w:rsidR="005B2A41">
        <w:t xml:space="preserve"> </w:t>
      </w:r>
      <w:r w:rsidRPr="00B02247">
        <w:t>of</w:t>
      </w:r>
      <w:r w:rsidR="005B2A41">
        <w:t xml:space="preserve"> </w:t>
      </w:r>
      <w:r w:rsidRPr="00B02247">
        <w:t>July</w:t>
      </w:r>
      <w:r w:rsidR="005B2A41">
        <w:t xml:space="preserve"> </w:t>
      </w:r>
      <w:r w:rsidRPr="00B02247">
        <w:t>5th</w:t>
      </w:r>
      <w:r w:rsidR="005B2A41">
        <w:t xml:space="preserve"> </w:t>
      </w:r>
      <w:r w:rsidRPr="00B02247">
        <w:t>2006</w:t>
      </w:r>
      <w:r w:rsidR="005B2A41">
        <w:t xml:space="preserve"> </w:t>
      </w:r>
      <w:r w:rsidRPr="00B02247">
        <w:t>and</w:t>
      </w:r>
      <w:r w:rsidR="005B2A41">
        <w:t xml:space="preserve"> </w:t>
      </w:r>
      <w:r w:rsidRPr="00B02247">
        <w:t>other</w:t>
      </w:r>
      <w:r w:rsidR="005B2A41">
        <w:t xml:space="preserve"> </w:t>
      </w:r>
      <w:r w:rsidRPr="00B02247">
        <w:t>relevant</w:t>
      </w:r>
      <w:r w:rsidR="005B2A41">
        <w:t xml:space="preserve"> </w:t>
      </w:r>
      <w:r w:rsidRPr="00B02247">
        <w:t>provisions</w:t>
      </w:r>
      <w:r w:rsidR="003E731F">
        <w:t>”</w:t>
      </w:r>
      <w:r w:rsidRPr="00B02247">
        <w:t>,</w:t>
      </w:r>
      <w:r w:rsidR="005B2A41">
        <w:t xml:space="preserve"> </w:t>
      </w:r>
      <w:r w:rsidRPr="00B02247">
        <w:t>aims</w:t>
      </w:r>
      <w:r w:rsidR="005B2A41">
        <w:t xml:space="preserve"> </w:t>
      </w:r>
      <w:r w:rsidRPr="00B02247">
        <w:t>at</w:t>
      </w:r>
      <w:r w:rsidR="005B2A41">
        <w:t xml:space="preserve"> </w:t>
      </w:r>
      <w:r w:rsidRPr="00B02247">
        <w:t>establishing</w:t>
      </w:r>
      <w:r w:rsidR="005B2A41">
        <w:t xml:space="preserve"> </w:t>
      </w:r>
      <w:r w:rsidRPr="00B02247">
        <w:t>a</w:t>
      </w:r>
      <w:r w:rsidR="005B2A41">
        <w:t xml:space="preserve"> </w:t>
      </w:r>
      <w:r w:rsidRPr="00B02247">
        <w:t>clear</w:t>
      </w:r>
      <w:r w:rsidR="005B2A41">
        <w:t xml:space="preserve"> </w:t>
      </w:r>
      <w:r w:rsidRPr="00B02247">
        <w:t>and</w:t>
      </w:r>
      <w:r w:rsidR="005B2A41">
        <w:t xml:space="preserve"> </w:t>
      </w:r>
      <w:r w:rsidRPr="00B02247">
        <w:t>comprehensive</w:t>
      </w:r>
      <w:r w:rsidR="005B2A41">
        <w:t xml:space="preserve"> </w:t>
      </w:r>
      <w:r w:rsidRPr="00B02247">
        <w:t>legislative</w:t>
      </w:r>
      <w:r w:rsidR="005B2A41">
        <w:t xml:space="preserve"> </w:t>
      </w:r>
      <w:r w:rsidRPr="00B02247">
        <w:t>framework</w:t>
      </w:r>
      <w:r w:rsidR="005B2A41">
        <w:t xml:space="preserve"> </w:t>
      </w:r>
      <w:r w:rsidRPr="00B02247">
        <w:t>for</w:t>
      </w:r>
      <w:r w:rsidR="005B2A41">
        <w:t xml:space="preserve"> </w:t>
      </w:r>
      <w:r w:rsidRPr="00B02247">
        <w:t>the</w:t>
      </w:r>
      <w:r w:rsidR="005B2A41">
        <w:t xml:space="preserve"> </w:t>
      </w:r>
      <w:r w:rsidRPr="00B02247">
        <w:t>implementation</w:t>
      </w:r>
      <w:r w:rsidR="005B2A41">
        <w:t xml:space="preserve"> </w:t>
      </w:r>
      <w:r w:rsidRPr="00B02247">
        <w:t>in</w:t>
      </w:r>
      <w:r w:rsidR="005B2A41">
        <w:t xml:space="preserve"> </w:t>
      </w:r>
      <w:r w:rsidRPr="00B02247">
        <w:t>the</w:t>
      </w:r>
      <w:r w:rsidR="005B2A41">
        <w:t xml:space="preserve"> </w:t>
      </w:r>
      <w:r w:rsidRPr="00B02247">
        <w:t>private</w:t>
      </w:r>
      <w:r w:rsidR="005B2A41">
        <w:t xml:space="preserve"> </w:t>
      </w:r>
      <w:r w:rsidRPr="00B02247">
        <w:t>and</w:t>
      </w:r>
      <w:r w:rsidR="005B2A41">
        <w:t xml:space="preserve"> </w:t>
      </w:r>
      <w:r w:rsidRPr="00B02247">
        <w:t>the</w:t>
      </w:r>
      <w:r w:rsidR="005B2A41">
        <w:t xml:space="preserve"> </w:t>
      </w:r>
      <w:r w:rsidRPr="00B02247">
        <w:t>public</w:t>
      </w:r>
      <w:r w:rsidR="005B2A41">
        <w:t xml:space="preserve"> </w:t>
      </w:r>
      <w:r w:rsidRPr="00B02247">
        <w:t>sector</w:t>
      </w:r>
      <w:r w:rsidR="005B2A41">
        <w:t xml:space="preserve"> </w:t>
      </w:r>
      <w:r w:rsidRPr="00B02247">
        <w:t>of</w:t>
      </w:r>
      <w:r w:rsidR="005B2A41">
        <w:t xml:space="preserve"> </w:t>
      </w:r>
      <w:r w:rsidRPr="00B02247">
        <w:t>the</w:t>
      </w:r>
      <w:r w:rsidR="005B2A41">
        <w:t xml:space="preserve"> </w:t>
      </w:r>
      <w:r w:rsidRPr="00B02247">
        <w:t>principle</w:t>
      </w:r>
      <w:r w:rsidR="005B2A41">
        <w:t xml:space="preserve"> </w:t>
      </w:r>
      <w:r w:rsidRPr="00B02247">
        <w:t>of</w:t>
      </w:r>
      <w:r w:rsidR="005B2A41">
        <w:t xml:space="preserve"> </w:t>
      </w:r>
      <w:r w:rsidRPr="00B02247">
        <w:t>equal</w:t>
      </w:r>
      <w:r w:rsidR="005B2A41">
        <w:t xml:space="preserve"> </w:t>
      </w:r>
      <w:r w:rsidRPr="00B02247">
        <w:t>treatment</w:t>
      </w:r>
      <w:r w:rsidR="005B2A41">
        <w:t xml:space="preserve"> </w:t>
      </w:r>
      <w:r w:rsidRPr="00B02247">
        <w:t>of</w:t>
      </w:r>
      <w:r w:rsidR="005B2A41">
        <w:t xml:space="preserve"> </w:t>
      </w:r>
      <w:r w:rsidRPr="00B02247">
        <w:t>men</w:t>
      </w:r>
      <w:r w:rsidR="005B2A41">
        <w:t xml:space="preserve"> </w:t>
      </w:r>
      <w:r w:rsidRPr="00B02247">
        <w:t>and</w:t>
      </w:r>
      <w:r w:rsidR="005B2A41">
        <w:t xml:space="preserve"> </w:t>
      </w:r>
      <w:r w:rsidRPr="00B02247">
        <w:t>women</w:t>
      </w:r>
      <w:r w:rsidR="005B2A41">
        <w:t xml:space="preserve"> </w:t>
      </w:r>
      <w:r w:rsidRPr="00B02247">
        <w:t>in</w:t>
      </w:r>
      <w:r w:rsidR="005B2A41">
        <w:t xml:space="preserve"> </w:t>
      </w:r>
      <w:r w:rsidRPr="00B02247">
        <w:t>matters</w:t>
      </w:r>
      <w:r w:rsidR="005B2A41">
        <w:t xml:space="preserve"> </w:t>
      </w:r>
      <w:r w:rsidRPr="00B02247">
        <w:t>of</w:t>
      </w:r>
      <w:r w:rsidR="005B2A41">
        <w:t xml:space="preserve"> </w:t>
      </w:r>
      <w:r w:rsidRPr="00B02247">
        <w:t>work</w:t>
      </w:r>
      <w:r w:rsidR="005B2A41">
        <w:t xml:space="preserve"> </w:t>
      </w:r>
      <w:r w:rsidRPr="00B02247">
        <w:t>and</w:t>
      </w:r>
      <w:r w:rsidR="005B2A41">
        <w:t xml:space="preserve"> </w:t>
      </w:r>
      <w:r w:rsidRPr="00B02247">
        <w:t>employment.</w:t>
      </w:r>
    </w:p>
    <w:p w:rsidR="00F233AB" w:rsidRPr="00B02247" w:rsidRDefault="00F233AB" w:rsidP="00E1307D">
      <w:pPr>
        <w:pStyle w:val="SingleTxtG"/>
      </w:pPr>
      <w:r w:rsidRPr="00B02247">
        <w:t>185.</w:t>
      </w:r>
      <w:r w:rsidRPr="00B02247">
        <w:tab/>
        <w:t>In</w:t>
      </w:r>
      <w:r w:rsidR="005B2A41">
        <w:t xml:space="preserve"> </w:t>
      </w:r>
      <w:r w:rsidRPr="00B02247">
        <w:t>addition,</w:t>
      </w:r>
      <w:r w:rsidR="005B2A41">
        <w:t xml:space="preserve"> </w:t>
      </w:r>
      <w:r w:rsidRPr="00B02247">
        <w:t>the</w:t>
      </w:r>
      <w:r w:rsidR="005B2A41">
        <w:t xml:space="preserve"> </w:t>
      </w:r>
      <w:r w:rsidRPr="00B02247">
        <w:t>Law</w:t>
      </w:r>
      <w:r w:rsidR="005B2A41">
        <w:t xml:space="preserve"> </w:t>
      </w:r>
      <w:r w:rsidRPr="00B02247">
        <w:t>seeks</w:t>
      </w:r>
      <w:r w:rsidR="005B2A41">
        <w:t xml:space="preserve"> </w:t>
      </w:r>
      <w:r w:rsidRPr="00B02247">
        <w:t>to</w:t>
      </w:r>
      <w:r w:rsidR="005B2A41">
        <w:t xml:space="preserve"> </w:t>
      </w:r>
      <w:r w:rsidRPr="00B02247">
        <w:t>promote</w:t>
      </w:r>
      <w:r w:rsidR="005B2A41">
        <w:t xml:space="preserve"> </w:t>
      </w:r>
      <w:r w:rsidRPr="00B02247">
        <w:t>cooperation</w:t>
      </w:r>
      <w:r w:rsidR="005B2A41">
        <w:t xml:space="preserve"> </w:t>
      </w:r>
      <w:r w:rsidRPr="00B02247">
        <w:t>of</w:t>
      </w:r>
      <w:r w:rsidR="005B2A41">
        <w:t xml:space="preserve"> </w:t>
      </w:r>
      <w:r w:rsidRPr="00B02247">
        <w:t>all</w:t>
      </w:r>
      <w:r w:rsidR="005B2A41">
        <w:t xml:space="preserve"> </w:t>
      </w:r>
      <w:r w:rsidRPr="00B02247">
        <w:t>competent</w:t>
      </w:r>
      <w:r w:rsidR="005B2A41">
        <w:t xml:space="preserve"> </w:t>
      </w:r>
      <w:r w:rsidRPr="00B02247">
        <w:t>institutional</w:t>
      </w:r>
      <w:r w:rsidR="005B2A41">
        <w:t xml:space="preserve"> </w:t>
      </w:r>
      <w:r w:rsidRPr="00B02247">
        <w:t>mechanisms</w:t>
      </w:r>
      <w:r w:rsidR="005B2A41">
        <w:t xml:space="preserve"> </w:t>
      </w:r>
      <w:r w:rsidRPr="00B02247">
        <w:t>of</w:t>
      </w:r>
      <w:r w:rsidR="005B2A41">
        <w:t xml:space="preserve"> </w:t>
      </w:r>
      <w:r w:rsidRPr="00B02247">
        <w:t>the</w:t>
      </w:r>
      <w:r w:rsidR="005B2A41">
        <w:t xml:space="preserve"> </w:t>
      </w:r>
      <w:r w:rsidRPr="00B02247">
        <w:t>State</w:t>
      </w:r>
      <w:r w:rsidR="005B2A41">
        <w:t xml:space="preserve"> </w:t>
      </w:r>
      <w:r w:rsidRPr="00B02247">
        <w:t>among</w:t>
      </w:r>
      <w:r w:rsidR="005B2A41">
        <w:t xml:space="preserve"> </w:t>
      </w:r>
      <w:r w:rsidRPr="00B02247">
        <w:t>themselves</w:t>
      </w:r>
      <w:r w:rsidR="005B2A41">
        <w:t xml:space="preserve"> </w:t>
      </w:r>
      <w:r w:rsidRPr="00B02247">
        <w:t>and</w:t>
      </w:r>
      <w:r w:rsidR="005B2A41">
        <w:t xml:space="preserve"> </w:t>
      </w:r>
      <w:r w:rsidRPr="00B02247">
        <w:t>with</w:t>
      </w:r>
      <w:r w:rsidR="005B2A41">
        <w:t xml:space="preserve"> </w:t>
      </w:r>
      <w:r w:rsidRPr="00B02247">
        <w:t>the</w:t>
      </w:r>
      <w:r w:rsidR="005B2A41">
        <w:t xml:space="preserve"> </w:t>
      </w:r>
      <w:r w:rsidRPr="00B02247">
        <w:t>social</w:t>
      </w:r>
      <w:r w:rsidR="005B2A41">
        <w:t xml:space="preserve"> </w:t>
      </w:r>
      <w:r w:rsidRPr="00B02247">
        <w:t>partners,</w:t>
      </w:r>
      <w:r w:rsidR="005B2A41">
        <w:t xml:space="preserve"> </w:t>
      </w:r>
      <w:r w:rsidRPr="00B02247">
        <w:t>NGOs</w:t>
      </w:r>
      <w:r w:rsidR="005B2A41">
        <w:t xml:space="preserve"> </w:t>
      </w:r>
      <w:r w:rsidRPr="00B02247">
        <w:t>and</w:t>
      </w:r>
      <w:r w:rsidR="005B2A41">
        <w:t xml:space="preserve"> </w:t>
      </w:r>
      <w:r w:rsidRPr="00B02247">
        <w:t>enterprises,</w:t>
      </w:r>
      <w:r w:rsidR="005B2A41">
        <w:t xml:space="preserve"> </w:t>
      </w:r>
      <w:r w:rsidRPr="00B02247">
        <w:t>in</w:t>
      </w:r>
      <w:r w:rsidR="005B2A41">
        <w:t xml:space="preserve"> </w:t>
      </w:r>
      <w:r w:rsidRPr="00B02247">
        <w:t>order</w:t>
      </w:r>
      <w:r w:rsidR="005B2A41">
        <w:t xml:space="preserve"> </w:t>
      </w:r>
      <w:r w:rsidRPr="00B02247">
        <w:t>to</w:t>
      </w:r>
      <w:r w:rsidR="005B2A41">
        <w:t xml:space="preserve"> </w:t>
      </w:r>
      <w:r w:rsidRPr="00B02247">
        <w:t>fight</w:t>
      </w:r>
      <w:r w:rsidR="005B2A41">
        <w:t xml:space="preserve"> </w:t>
      </w:r>
      <w:r w:rsidRPr="00B02247">
        <w:t>against</w:t>
      </w:r>
      <w:r w:rsidR="005B2A41">
        <w:t xml:space="preserve"> </w:t>
      </w:r>
      <w:r w:rsidRPr="00B02247">
        <w:t>gender</w:t>
      </w:r>
      <w:r w:rsidR="005B2A41">
        <w:t xml:space="preserve"> </w:t>
      </w:r>
      <w:r w:rsidRPr="00B02247">
        <w:t>equality</w:t>
      </w:r>
      <w:r w:rsidR="005B2A41">
        <w:t xml:space="preserve"> </w:t>
      </w:r>
      <w:r w:rsidRPr="00B02247">
        <w:t>gaps</w:t>
      </w:r>
      <w:r w:rsidR="005B2A41">
        <w:t xml:space="preserve"> </w:t>
      </w:r>
      <w:r w:rsidRPr="00B02247">
        <w:t>that</w:t>
      </w:r>
      <w:r w:rsidR="005B2A41">
        <w:t xml:space="preserve"> </w:t>
      </w:r>
      <w:r w:rsidRPr="00B02247">
        <w:t>are</w:t>
      </w:r>
      <w:r w:rsidR="005B2A41">
        <w:t xml:space="preserve"> </w:t>
      </w:r>
      <w:r w:rsidRPr="00B02247">
        <w:t>prevalent</w:t>
      </w:r>
      <w:r w:rsidR="005B2A41">
        <w:t xml:space="preserve"> </w:t>
      </w:r>
      <w:r w:rsidRPr="00B02247">
        <w:t>at</w:t>
      </w:r>
      <w:r w:rsidR="005B2A41">
        <w:t xml:space="preserve"> </w:t>
      </w:r>
      <w:r w:rsidRPr="00B02247">
        <w:t>the</w:t>
      </w:r>
      <w:r w:rsidR="005B2A41">
        <w:t xml:space="preserve"> </w:t>
      </w:r>
      <w:r w:rsidRPr="00B02247">
        <w:t>labour</w:t>
      </w:r>
      <w:r w:rsidR="005B2A41">
        <w:t xml:space="preserve"> </w:t>
      </w:r>
      <w:r w:rsidRPr="00B02247">
        <w:t>market,</w:t>
      </w:r>
      <w:r w:rsidR="005B2A41">
        <w:t xml:space="preserve"> </w:t>
      </w:r>
      <w:r w:rsidRPr="00B02247">
        <w:t>making</w:t>
      </w:r>
      <w:r w:rsidR="005B2A41">
        <w:t xml:space="preserve"> </w:t>
      </w:r>
      <w:r w:rsidRPr="00B02247">
        <w:t>difficult</w:t>
      </w:r>
      <w:r w:rsidR="005B2A41">
        <w:t xml:space="preserve"> </w:t>
      </w:r>
      <w:r w:rsidRPr="00B02247">
        <w:t>women</w:t>
      </w:r>
      <w:r w:rsidR="003E731F">
        <w:t>’</w:t>
      </w:r>
      <w:r w:rsidRPr="00B02247">
        <w:t>s</w:t>
      </w:r>
      <w:r w:rsidR="005B2A41">
        <w:t xml:space="preserve"> </w:t>
      </w:r>
      <w:r w:rsidRPr="00B02247">
        <w:t>access</w:t>
      </w:r>
      <w:r w:rsidR="005B2A41">
        <w:t xml:space="preserve"> </w:t>
      </w:r>
      <w:r w:rsidRPr="00B02247">
        <w:t>to</w:t>
      </w:r>
      <w:r w:rsidR="005B2A41">
        <w:t xml:space="preserve"> </w:t>
      </w:r>
      <w:r w:rsidRPr="00B02247">
        <w:t>employment</w:t>
      </w:r>
      <w:r w:rsidR="005B2A41">
        <w:t xml:space="preserve"> </w:t>
      </w:r>
      <w:r w:rsidRPr="00B02247">
        <w:t>and</w:t>
      </w:r>
      <w:r w:rsidR="005B2A41">
        <w:t xml:space="preserve"> </w:t>
      </w:r>
      <w:r w:rsidRPr="00B02247">
        <w:t>increasing</w:t>
      </w:r>
      <w:r w:rsidR="005B2A41">
        <w:t xml:space="preserve"> </w:t>
      </w:r>
      <w:r w:rsidRPr="00B02247">
        <w:t>respectively,</w:t>
      </w:r>
      <w:r w:rsidR="005B2A41">
        <w:t xml:space="preserve"> </w:t>
      </w:r>
      <w:r w:rsidRPr="00B02247">
        <w:t>women</w:t>
      </w:r>
      <w:r w:rsidR="003E731F">
        <w:t>’</w:t>
      </w:r>
      <w:r w:rsidRPr="00B02247">
        <w:t>s</w:t>
      </w:r>
      <w:r w:rsidR="005B2A41">
        <w:t xml:space="preserve"> </w:t>
      </w:r>
      <w:r w:rsidRPr="00B02247">
        <w:t>unemployment</w:t>
      </w:r>
      <w:r w:rsidR="005B2A41">
        <w:t xml:space="preserve"> </w:t>
      </w:r>
      <w:r w:rsidRPr="00B02247">
        <w:t>rate.</w:t>
      </w:r>
      <w:r w:rsidR="005B2A41">
        <w:t xml:space="preserve"> </w:t>
      </w:r>
      <w:r w:rsidRPr="00B02247">
        <w:t>The</w:t>
      </w:r>
      <w:r w:rsidR="005B2A41">
        <w:t xml:space="preserve"> </w:t>
      </w:r>
      <w:r w:rsidRPr="00B02247">
        <w:t>law</w:t>
      </w:r>
      <w:r w:rsidR="005B2A41">
        <w:t xml:space="preserve"> </w:t>
      </w:r>
      <w:r w:rsidRPr="00B02247">
        <w:t>aims</w:t>
      </w:r>
      <w:r w:rsidR="005B2A41">
        <w:t xml:space="preserve"> </w:t>
      </w:r>
      <w:r w:rsidRPr="00B02247">
        <w:t>to</w:t>
      </w:r>
      <w:r w:rsidR="005B2A41">
        <w:t xml:space="preserve"> </w:t>
      </w:r>
      <w:r w:rsidRPr="00B02247">
        <w:t>encourage</w:t>
      </w:r>
      <w:r w:rsidR="005B2A41">
        <w:t xml:space="preserve"> </w:t>
      </w:r>
      <w:r w:rsidRPr="00B02247">
        <w:t>changes</w:t>
      </w:r>
      <w:r w:rsidR="005B2A41">
        <w:t xml:space="preserve"> </w:t>
      </w:r>
      <w:r w:rsidRPr="00B02247">
        <w:t>(proactive</w:t>
      </w:r>
      <w:r w:rsidR="005B2A41">
        <w:t xml:space="preserve"> </w:t>
      </w:r>
      <w:r w:rsidRPr="00B02247">
        <w:t>legislation)</w:t>
      </w:r>
      <w:r w:rsidR="005B2A41">
        <w:t xml:space="preserve"> </w:t>
      </w:r>
      <w:r w:rsidRPr="00B02247">
        <w:t>by</w:t>
      </w:r>
      <w:r w:rsidR="005B2A41">
        <w:t xml:space="preserve"> </w:t>
      </w:r>
      <w:r w:rsidRPr="00B02247">
        <w:t>enacting</w:t>
      </w:r>
      <w:r w:rsidR="005B2A41">
        <w:t xml:space="preserve"> </w:t>
      </w:r>
      <w:r w:rsidRPr="00B02247">
        <w:t>a</w:t>
      </w:r>
      <w:r w:rsidR="005B2A41">
        <w:t xml:space="preserve"> </w:t>
      </w:r>
      <w:r w:rsidRPr="00B02247">
        <w:t>net</w:t>
      </w:r>
      <w:r w:rsidR="005B2A41">
        <w:t xml:space="preserve"> </w:t>
      </w:r>
      <w:r w:rsidRPr="00B02247">
        <w:t>of</w:t>
      </w:r>
      <w:r w:rsidR="005B2A41">
        <w:t xml:space="preserve"> </w:t>
      </w:r>
      <w:r w:rsidRPr="00B02247">
        <w:t>provisions</w:t>
      </w:r>
      <w:r w:rsidR="005B2A41">
        <w:t xml:space="preserve"> </w:t>
      </w:r>
      <w:r w:rsidRPr="00B02247">
        <w:t>that</w:t>
      </w:r>
      <w:r w:rsidR="005B2A41">
        <w:t xml:space="preserve"> </w:t>
      </w:r>
      <w:r w:rsidRPr="00B02247">
        <w:t>would</w:t>
      </w:r>
      <w:r w:rsidR="005B2A41">
        <w:t xml:space="preserve"> </w:t>
      </w:r>
      <w:r w:rsidRPr="00B02247">
        <w:t>safeguard</w:t>
      </w:r>
      <w:r w:rsidR="005B2A41">
        <w:t xml:space="preserve"> </w:t>
      </w:r>
      <w:r w:rsidRPr="00B02247">
        <w:t>the</w:t>
      </w:r>
      <w:r w:rsidR="005B2A41">
        <w:t xml:space="preserve"> </w:t>
      </w:r>
      <w:r w:rsidRPr="00B02247">
        <w:t>effective</w:t>
      </w:r>
      <w:r w:rsidR="005B2A41">
        <w:t xml:space="preserve"> </w:t>
      </w:r>
      <w:r w:rsidRPr="00B02247">
        <w:t>implementation</w:t>
      </w:r>
      <w:r w:rsidR="005B2A41">
        <w:t xml:space="preserve"> </w:t>
      </w:r>
      <w:r w:rsidRPr="00B02247">
        <w:t>of</w:t>
      </w:r>
      <w:r w:rsidR="005B2A41">
        <w:t xml:space="preserve"> </w:t>
      </w:r>
      <w:r w:rsidRPr="00B02247">
        <w:t>the</w:t>
      </w:r>
      <w:r w:rsidR="005B2A41">
        <w:t xml:space="preserve"> </w:t>
      </w:r>
      <w:r w:rsidRPr="00B02247">
        <w:t>principle,</w:t>
      </w:r>
      <w:r w:rsidR="005B2A41">
        <w:t xml:space="preserve"> </w:t>
      </w:r>
      <w:r w:rsidRPr="00B02247">
        <w:t>through</w:t>
      </w:r>
      <w:r w:rsidR="005B2A41">
        <w:t xml:space="preserve"> </w:t>
      </w:r>
      <w:r w:rsidRPr="00B02247">
        <w:t>the</w:t>
      </w:r>
      <w:r w:rsidR="005B2A41">
        <w:t xml:space="preserve"> </w:t>
      </w:r>
      <w:r w:rsidRPr="00B02247">
        <w:t>designation</w:t>
      </w:r>
      <w:r w:rsidR="005B2A41">
        <w:t xml:space="preserve"> </w:t>
      </w:r>
      <w:r w:rsidRPr="00B02247">
        <w:t>of</w:t>
      </w:r>
      <w:r w:rsidR="005B2A41">
        <w:t xml:space="preserve"> </w:t>
      </w:r>
      <w:r w:rsidRPr="00B02247">
        <w:t>a</w:t>
      </w:r>
      <w:r w:rsidR="005B2A41">
        <w:t xml:space="preserve"> </w:t>
      </w:r>
      <w:r w:rsidRPr="00B02247">
        <w:t>competent</w:t>
      </w:r>
      <w:r w:rsidR="005B2A41">
        <w:t xml:space="preserve"> </w:t>
      </w:r>
      <w:r w:rsidRPr="00B02247">
        <w:t>body</w:t>
      </w:r>
      <w:r w:rsidR="005B2A41">
        <w:t xml:space="preserve"> </w:t>
      </w:r>
      <w:r w:rsidRPr="00B02247">
        <w:t>for</w:t>
      </w:r>
      <w:r w:rsidR="005B2A41">
        <w:t xml:space="preserve"> </w:t>
      </w:r>
      <w:r w:rsidRPr="00B02247">
        <w:t>the</w:t>
      </w:r>
      <w:r w:rsidR="005B2A41">
        <w:t xml:space="preserve"> </w:t>
      </w:r>
      <w:r w:rsidRPr="00B02247">
        <w:t>unified</w:t>
      </w:r>
      <w:r w:rsidR="005B2A41">
        <w:t xml:space="preserve"> </w:t>
      </w:r>
      <w:r w:rsidRPr="00B02247">
        <w:t>examination</w:t>
      </w:r>
      <w:r w:rsidR="005B2A41">
        <w:t xml:space="preserve"> </w:t>
      </w:r>
      <w:r w:rsidRPr="00B02247">
        <w:t>of</w:t>
      </w:r>
      <w:r w:rsidR="005B2A41">
        <w:t xml:space="preserve"> </w:t>
      </w:r>
      <w:r w:rsidRPr="00B02247">
        <w:t>the</w:t>
      </w:r>
      <w:r w:rsidR="005B2A41">
        <w:t xml:space="preserve"> </w:t>
      </w:r>
      <w:r w:rsidRPr="00B02247">
        <w:t>complaints</w:t>
      </w:r>
      <w:r w:rsidR="005B2A41">
        <w:t xml:space="preserve"> </w:t>
      </w:r>
      <w:r w:rsidRPr="00B02247">
        <w:t>concerning</w:t>
      </w:r>
      <w:r w:rsidR="005B2A41">
        <w:t xml:space="preserve"> </w:t>
      </w:r>
      <w:r w:rsidRPr="00B02247">
        <w:t>violation</w:t>
      </w:r>
      <w:r w:rsidR="005B2A41">
        <w:t xml:space="preserve"> </w:t>
      </w:r>
      <w:r w:rsidRPr="00B02247">
        <w:t>of</w:t>
      </w:r>
      <w:r w:rsidR="005B2A41">
        <w:t xml:space="preserve"> </w:t>
      </w:r>
      <w:r w:rsidRPr="00B02247">
        <w:t>the</w:t>
      </w:r>
      <w:r w:rsidR="005B2A41">
        <w:t xml:space="preserve"> </w:t>
      </w:r>
      <w:r w:rsidRPr="00B02247">
        <w:t>same,</w:t>
      </w:r>
      <w:r w:rsidR="005B2A41">
        <w:t xml:space="preserve"> </w:t>
      </w:r>
      <w:r w:rsidRPr="00B02247">
        <w:t>but</w:t>
      </w:r>
      <w:r w:rsidR="005B2A41">
        <w:t xml:space="preserve"> </w:t>
      </w:r>
      <w:r w:rsidRPr="00B02247">
        <w:t>also</w:t>
      </w:r>
      <w:r w:rsidR="005B2A41">
        <w:t xml:space="preserve"> </w:t>
      </w:r>
      <w:r w:rsidRPr="00B02247">
        <w:t>through</w:t>
      </w:r>
      <w:r w:rsidR="005B2A41">
        <w:t xml:space="preserve"> </w:t>
      </w:r>
      <w:r w:rsidRPr="00B02247">
        <w:t>a</w:t>
      </w:r>
      <w:r w:rsidR="005B2A41">
        <w:t xml:space="preserve"> </w:t>
      </w:r>
      <w:r w:rsidRPr="00B02247">
        <w:t>system</w:t>
      </w:r>
      <w:r w:rsidR="005B2A41">
        <w:t xml:space="preserve"> </w:t>
      </w:r>
      <w:r w:rsidRPr="00B02247">
        <w:t>of</w:t>
      </w:r>
      <w:r w:rsidR="005B2A41">
        <w:t xml:space="preserve"> </w:t>
      </w:r>
      <w:r w:rsidRPr="00B02247">
        <w:t>enhanced</w:t>
      </w:r>
      <w:r w:rsidR="005B2A41">
        <w:t xml:space="preserve"> </w:t>
      </w:r>
      <w:r w:rsidRPr="00B02247">
        <w:t>legal</w:t>
      </w:r>
      <w:r w:rsidR="005B2A41">
        <w:t xml:space="preserve"> </w:t>
      </w:r>
      <w:r w:rsidRPr="00B02247">
        <w:t>protection</w:t>
      </w:r>
      <w:r w:rsidR="005B2A41">
        <w:t xml:space="preserve"> </w:t>
      </w:r>
      <w:r w:rsidRPr="00B02247">
        <w:t>and</w:t>
      </w:r>
      <w:r w:rsidR="005B2A41">
        <w:t xml:space="preserve"> </w:t>
      </w:r>
      <w:r w:rsidRPr="00B02247">
        <w:t>appropriate</w:t>
      </w:r>
      <w:r w:rsidR="005B2A41">
        <w:t xml:space="preserve"> </w:t>
      </w:r>
      <w:r w:rsidRPr="00B02247">
        <w:t>and</w:t>
      </w:r>
      <w:r w:rsidR="005B2A41">
        <w:t xml:space="preserve"> </w:t>
      </w:r>
      <w:r w:rsidRPr="00B02247">
        <w:t>dissuasive</w:t>
      </w:r>
      <w:r w:rsidR="005B2A41">
        <w:t xml:space="preserve"> </w:t>
      </w:r>
      <w:r w:rsidRPr="00B02247">
        <w:t>sanctions.</w:t>
      </w:r>
    </w:p>
    <w:p w:rsidR="00F233AB" w:rsidRPr="00B02247" w:rsidRDefault="00F233AB" w:rsidP="00E1307D">
      <w:pPr>
        <w:pStyle w:val="SingleTxtG"/>
      </w:pPr>
      <w:r w:rsidRPr="00B02247">
        <w:lastRenderedPageBreak/>
        <w:t>186.</w:t>
      </w:r>
      <w:r w:rsidRPr="00B02247">
        <w:tab/>
        <w:t>The</w:t>
      </w:r>
      <w:r w:rsidR="005B2A41">
        <w:t xml:space="preserve"> </w:t>
      </w:r>
      <w:r w:rsidRPr="00B02247">
        <w:t>law</w:t>
      </w:r>
      <w:r w:rsidR="005B2A41">
        <w:t xml:space="preserve"> </w:t>
      </w:r>
      <w:r w:rsidRPr="00B02247">
        <w:t>has</w:t>
      </w:r>
      <w:r w:rsidR="005B2A41">
        <w:t xml:space="preserve"> </w:t>
      </w:r>
      <w:r w:rsidRPr="00B02247">
        <w:t>a</w:t>
      </w:r>
      <w:r w:rsidR="005B2A41">
        <w:t xml:space="preserve"> </w:t>
      </w:r>
      <w:r w:rsidRPr="00B02247">
        <w:t>very</w:t>
      </w:r>
      <w:r w:rsidR="005B2A41">
        <w:t xml:space="preserve"> </w:t>
      </w:r>
      <w:r w:rsidRPr="00B02247">
        <w:t>wide</w:t>
      </w:r>
      <w:r w:rsidR="005B2A41">
        <w:t xml:space="preserve"> </w:t>
      </w:r>
      <w:r w:rsidRPr="00B02247">
        <w:t>field</w:t>
      </w:r>
      <w:r w:rsidR="005B2A41">
        <w:t xml:space="preserve"> </w:t>
      </w:r>
      <w:r w:rsidRPr="00B02247">
        <w:t>of</w:t>
      </w:r>
      <w:r w:rsidR="005B2A41">
        <w:t xml:space="preserve"> </w:t>
      </w:r>
      <w:r w:rsidRPr="00B02247">
        <w:t>application</w:t>
      </w:r>
      <w:r w:rsidR="005B2A41">
        <w:t xml:space="preserve"> </w:t>
      </w:r>
      <w:r w:rsidRPr="00B02247">
        <w:t>that</w:t>
      </w:r>
      <w:r w:rsidR="005B2A41">
        <w:t xml:space="preserve"> </w:t>
      </w:r>
      <w:r w:rsidRPr="00B02247">
        <w:t>covers</w:t>
      </w:r>
      <w:r w:rsidR="005B2A41">
        <w:t xml:space="preserve"> </w:t>
      </w:r>
      <w:r w:rsidRPr="00B02247">
        <w:t>the</w:t>
      </w:r>
      <w:r w:rsidR="005B2A41">
        <w:t xml:space="preserve"> </w:t>
      </w:r>
      <w:r w:rsidRPr="00B02247">
        <w:t>persons</w:t>
      </w:r>
      <w:r w:rsidR="005B2A41">
        <w:t xml:space="preserve"> </w:t>
      </w:r>
      <w:r w:rsidRPr="00B02247">
        <w:t>employed</w:t>
      </w:r>
      <w:r w:rsidR="005B2A41">
        <w:t xml:space="preserve"> </w:t>
      </w:r>
      <w:r w:rsidRPr="00B02247">
        <w:t>or</w:t>
      </w:r>
      <w:r w:rsidR="005B2A41">
        <w:t xml:space="preserve"> </w:t>
      </w:r>
      <w:r w:rsidRPr="00B02247">
        <w:t>are</w:t>
      </w:r>
      <w:r w:rsidR="005B2A41">
        <w:t xml:space="preserve"> </w:t>
      </w:r>
      <w:r w:rsidRPr="00B02247">
        <w:t>candidates</w:t>
      </w:r>
      <w:r w:rsidR="005B2A41">
        <w:t xml:space="preserve"> </w:t>
      </w:r>
      <w:r w:rsidRPr="00B02247">
        <w:t>to</w:t>
      </w:r>
      <w:r w:rsidR="005B2A41">
        <w:t xml:space="preserve"> </w:t>
      </w:r>
      <w:r w:rsidRPr="00B02247">
        <w:t>be</w:t>
      </w:r>
      <w:r w:rsidR="005B2A41">
        <w:t xml:space="preserve"> </w:t>
      </w:r>
      <w:r w:rsidRPr="00B02247">
        <w:t>employed</w:t>
      </w:r>
      <w:r w:rsidR="005B2A41">
        <w:t xml:space="preserve"> </w:t>
      </w:r>
      <w:r w:rsidRPr="00B02247">
        <w:t>at</w:t>
      </w:r>
      <w:r w:rsidR="005B2A41">
        <w:t xml:space="preserve"> </w:t>
      </w:r>
      <w:r w:rsidRPr="00B02247">
        <w:t>the</w:t>
      </w:r>
      <w:r w:rsidR="005B2A41">
        <w:t xml:space="preserve"> </w:t>
      </w:r>
      <w:r w:rsidRPr="00B02247">
        <w:t>State</w:t>
      </w:r>
      <w:r w:rsidR="005B2A41">
        <w:t xml:space="preserve"> </w:t>
      </w:r>
      <w:r w:rsidRPr="00B02247">
        <w:t>and</w:t>
      </w:r>
      <w:r w:rsidR="005B2A41">
        <w:t xml:space="preserve"> </w:t>
      </w:r>
      <w:r w:rsidRPr="00B02247">
        <w:t>the</w:t>
      </w:r>
      <w:r w:rsidR="005B2A41">
        <w:t xml:space="preserve"> </w:t>
      </w:r>
      <w:r w:rsidRPr="00B02247">
        <w:t>wider</w:t>
      </w:r>
      <w:r w:rsidR="005B2A41">
        <w:t xml:space="preserve"> </w:t>
      </w:r>
      <w:r w:rsidRPr="00B02247">
        <w:t>public</w:t>
      </w:r>
      <w:r w:rsidR="005B2A41">
        <w:t xml:space="preserve"> </w:t>
      </w:r>
      <w:r w:rsidRPr="00B02247">
        <w:t>sector,</w:t>
      </w:r>
      <w:r w:rsidR="005B2A41">
        <w:t xml:space="preserve"> </w:t>
      </w:r>
      <w:r w:rsidRPr="00B02247">
        <w:t>as</w:t>
      </w:r>
      <w:r w:rsidR="005B2A41">
        <w:t xml:space="preserve"> </w:t>
      </w:r>
      <w:r w:rsidRPr="00B02247">
        <w:t>well</w:t>
      </w:r>
      <w:r w:rsidR="005B2A41">
        <w:t xml:space="preserve"> </w:t>
      </w:r>
      <w:r w:rsidRPr="00B02247">
        <w:t>as</w:t>
      </w:r>
      <w:r w:rsidR="005B2A41">
        <w:t xml:space="preserve"> </w:t>
      </w:r>
      <w:r w:rsidRPr="00B02247">
        <w:t>the</w:t>
      </w:r>
      <w:r w:rsidR="005B2A41">
        <w:t xml:space="preserve"> </w:t>
      </w:r>
      <w:r w:rsidRPr="00B02247">
        <w:t>private</w:t>
      </w:r>
      <w:r w:rsidR="005B2A41">
        <w:t xml:space="preserve"> </w:t>
      </w:r>
      <w:r w:rsidRPr="00B02247">
        <w:t>sector,</w:t>
      </w:r>
      <w:r w:rsidR="005B2A41">
        <w:t xml:space="preserve"> </w:t>
      </w:r>
      <w:r w:rsidRPr="00B02247">
        <w:t>under</w:t>
      </w:r>
      <w:r w:rsidR="005B2A41">
        <w:t xml:space="preserve"> </w:t>
      </w:r>
      <w:r w:rsidRPr="00B02247">
        <w:t>any</w:t>
      </w:r>
      <w:r w:rsidR="005B2A41">
        <w:t xml:space="preserve"> </w:t>
      </w:r>
      <w:r w:rsidRPr="00B02247">
        <w:t>relation</w:t>
      </w:r>
      <w:r w:rsidR="005B2A41">
        <w:t xml:space="preserve"> </w:t>
      </w:r>
      <w:r w:rsidRPr="00B02247">
        <w:t>of</w:t>
      </w:r>
      <w:r w:rsidR="005B2A41">
        <w:t xml:space="preserve"> </w:t>
      </w:r>
      <w:r w:rsidRPr="00B02247">
        <w:t>work</w:t>
      </w:r>
      <w:r w:rsidR="005B2A41">
        <w:t xml:space="preserve"> </w:t>
      </w:r>
      <w:r w:rsidRPr="00B02247">
        <w:t>or</w:t>
      </w:r>
      <w:r w:rsidR="005B2A41">
        <w:t xml:space="preserve"> </w:t>
      </w:r>
      <w:r w:rsidRPr="00B02247">
        <w:t>form</w:t>
      </w:r>
      <w:r w:rsidR="005B2A41">
        <w:t xml:space="preserve"> </w:t>
      </w:r>
      <w:r w:rsidRPr="00B02247">
        <w:t>of</w:t>
      </w:r>
      <w:r w:rsidR="005B2A41">
        <w:t xml:space="preserve"> </w:t>
      </w:r>
      <w:r w:rsidRPr="00B02247">
        <w:t>employment.</w:t>
      </w:r>
      <w:r w:rsidR="005B2A41">
        <w:t xml:space="preserve"> </w:t>
      </w:r>
      <w:r w:rsidRPr="00B02247">
        <w:t>It</w:t>
      </w:r>
      <w:r w:rsidR="005B2A41">
        <w:t xml:space="preserve"> </w:t>
      </w:r>
      <w:r w:rsidRPr="00B02247">
        <w:t>prohibits</w:t>
      </w:r>
      <w:r w:rsidR="005B2A41">
        <w:t xml:space="preserve"> </w:t>
      </w:r>
      <w:r w:rsidRPr="00B02247">
        <w:t>all</w:t>
      </w:r>
      <w:r w:rsidR="005B2A41">
        <w:t xml:space="preserve"> </w:t>
      </w:r>
      <w:r w:rsidRPr="00B02247">
        <w:t>forms</w:t>
      </w:r>
      <w:r w:rsidR="005B2A41">
        <w:t xml:space="preserve"> </w:t>
      </w:r>
      <w:r w:rsidRPr="00B02247">
        <w:t>of</w:t>
      </w:r>
      <w:r w:rsidR="005B2A41">
        <w:t xml:space="preserve"> </w:t>
      </w:r>
      <w:r w:rsidRPr="00B02247">
        <w:t>direct</w:t>
      </w:r>
      <w:r w:rsidR="005B2A41">
        <w:t xml:space="preserve"> </w:t>
      </w:r>
      <w:r w:rsidRPr="00B02247">
        <w:t>and</w:t>
      </w:r>
      <w:r w:rsidR="005B2A41">
        <w:t xml:space="preserve"> </w:t>
      </w:r>
      <w:r w:rsidRPr="00B02247">
        <w:t>indirect</w:t>
      </w:r>
      <w:r w:rsidR="005B2A41">
        <w:t xml:space="preserve"> </w:t>
      </w:r>
      <w:r w:rsidRPr="00B02247">
        <w:t>discrimination</w:t>
      </w:r>
      <w:r w:rsidR="005B2A41">
        <w:t xml:space="preserve"> </w:t>
      </w:r>
      <w:r w:rsidRPr="00B02247">
        <w:t>on</w:t>
      </w:r>
      <w:r w:rsidR="005B2A41">
        <w:t xml:space="preserve"> </w:t>
      </w:r>
      <w:r w:rsidRPr="00B02247">
        <w:t>the</w:t>
      </w:r>
      <w:r w:rsidR="005B2A41">
        <w:t xml:space="preserve"> </w:t>
      </w:r>
      <w:r w:rsidRPr="00B02247">
        <w:t>grounds</w:t>
      </w:r>
      <w:r w:rsidR="005B2A41">
        <w:t xml:space="preserve"> </w:t>
      </w:r>
      <w:r w:rsidRPr="00B02247">
        <w:t>of</w:t>
      </w:r>
      <w:r w:rsidR="005B2A41">
        <w:t xml:space="preserve"> </w:t>
      </w:r>
      <w:r w:rsidRPr="00B02247">
        <w:t>gender</w:t>
      </w:r>
      <w:r w:rsidR="005B2A41">
        <w:t xml:space="preserve"> </w:t>
      </w:r>
      <w:r w:rsidRPr="00B02247">
        <w:t>and</w:t>
      </w:r>
      <w:r w:rsidR="005B2A41">
        <w:t xml:space="preserve"> </w:t>
      </w:r>
      <w:r w:rsidRPr="00B02247">
        <w:t>family</w:t>
      </w:r>
      <w:r w:rsidR="005B2A41">
        <w:t xml:space="preserve"> </w:t>
      </w:r>
      <w:r w:rsidRPr="00B02247">
        <w:t>status</w:t>
      </w:r>
      <w:r w:rsidR="005B2A41">
        <w:t xml:space="preserve"> </w:t>
      </w:r>
      <w:r w:rsidRPr="00B02247">
        <w:t>in</w:t>
      </w:r>
      <w:r w:rsidR="005B2A41">
        <w:t xml:space="preserve"> </w:t>
      </w:r>
      <w:r w:rsidRPr="00B02247">
        <w:t>relation</w:t>
      </w:r>
      <w:r w:rsidR="005B2A41">
        <w:t xml:space="preserve"> </w:t>
      </w:r>
      <w:r w:rsidRPr="00B02247">
        <w:t>to</w:t>
      </w:r>
      <w:r w:rsidR="005B2A41">
        <w:t xml:space="preserve"> </w:t>
      </w:r>
      <w:r w:rsidRPr="00B02247">
        <w:t>access</w:t>
      </w:r>
      <w:r w:rsidR="005B2A41">
        <w:t xml:space="preserve"> </w:t>
      </w:r>
      <w:r w:rsidRPr="00B02247">
        <w:t>to</w:t>
      </w:r>
      <w:r w:rsidR="005B2A41">
        <w:t xml:space="preserve"> </w:t>
      </w:r>
      <w:r w:rsidRPr="00B02247">
        <w:t>salaried</w:t>
      </w:r>
      <w:r w:rsidR="005B2A41">
        <w:t xml:space="preserve"> </w:t>
      </w:r>
      <w:r w:rsidRPr="00B02247">
        <w:t>or</w:t>
      </w:r>
      <w:r w:rsidR="005B2A41">
        <w:t xml:space="preserve"> </w:t>
      </w:r>
      <w:r w:rsidRPr="00B02247">
        <w:t>not</w:t>
      </w:r>
      <w:r w:rsidR="005B2A41">
        <w:t xml:space="preserve"> </w:t>
      </w:r>
      <w:r w:rsidRPr="00B02247">
        <w:t>employment</w:t>
      </w:r>
      <w:r w:rsidR="005B2A41">
        <w:t xml:space="preserve"> </w:t>
      </w:r>
      <w:r w:rsidRPr="00B02247">
        <w:t>or</w:t>
      </w:r>
      <w:r w:rsidR="005B2A41">
        <w:t xml:space="preserve"> </w:t>
      </w:r>
      <w:r w:rsidRPr="00B02247">
        <w:t>the</w:t>
      </w:r>
      <w:r w:rsidR="005B2A41">
        <w:t xml:space="preserve"> </w:t>
      </w:r>
      <w:r w:rsidRPr="00B02247">
        <w:t>professional</w:t>
      </w:r>
      <w:r w:rsidR="005B2A41">
        <w:t xml:space="preserve"> </w:t>
      </w:r>
      <w:r w:rsidRPr="00B02247">
        <w:t>life</w:t>
      </w:r>
      <w:r w:rsidR="005B2A41">
        <w:t xml:space="preserve"> </w:t>
      </w:r>
      <w:r w:rsidRPr="00B02247">
        <w:t>in</w:t>
      </w:r>
      <w:r w:rsidR="005B2A41">
        <w:t xml:space="preserve"> </w:t>
      </w:r>
      <w:r w:rsidRPr="00B02247">
        <w:t>general,</w:t>
      </w:r>
      <w:r w:rsidR="005B2A41">
        <w:t xml:space="preserve"> </w:t>
      </w:r>
      <w:r w:rsidRPr="00B02247">
        <w:t>including</w:t>
      </w:r>
      <w:r w:rsidR="005B2A41">
        <w:t xml:space="preserve"> </w:t>
      </w:r>
      <w:r w:rsidRPr="00B02247">
        <w:t>selection</w:t>
      </w:r>
      <w:r w:rsidR="005B2A41">
        <w:t xml:space="preserve"> </w:t>
      </w:r>
      <w:r w:rsidRPr="00B02247">
        <w:t>criteria</w:t>
      </w:r>
      <w:r w:rsidR="005B2A41">
        <w:t xml:space="preserve"> </w:t>
      </w:r>
      <w:r w:rsidRPr="00B02247">
        <w:t>and</w:t>
      </w:r>
      <w:r w:rsidR="005B2A41">
        <w:t xml:space="preserve"> </w:t>
      </w:r>
      <w:r w:rsidRPr="00B02247">
        <w:t>recruitment</w:t>
      </w:r>
      <w:r w:rsidR="005B2A41">
        <w:t xml:space="preserve"> </w:t>
      </w:r>
      <w:r w:rsidRPr="00B02247">
        <w:t>conditions</w:t>
      </w:r>
      <w:r w:rsidR="005B2A41">
        <w:t xml:space="preserve"> </w:t>
      </w:r>
      <w:r w:rsidRPr="00B02247">
        <w:t>whatever</w:t>
      </w:r>
      <w:r w:rsidR="005B2A41">
        <w:t xml:space="preserve"> </w:t>
      </w:r>
      <w:r w:rsidRPr="00B02247">
        <w:t>the</w:t>
      </w:r>
      <w:r w:rsidR="005B2A41">
        <w:t xml:space="preserve"> </w:t>
      </w:r>
      <w:r w:rsidRPr="00B02247">
        <w:t>branch</w:t>
      </w:r>
      <w:r w:rsidR="005B2A41">
        <w:t xml:space="preserve"> </w:t>
      </w:r>
      <w:r w:rsidRPr="00B02247">
        <w:t>of</w:t>
      </w:r>
      <w:r w:rsidR="005B2A41">
        <w:t xml:space="preserve"> </w:t>
      </w:r>
      <w:r w:rsidRPr="00B02247">
        <w:t>activity</w:t>
      </w:r>
      <w:r w:rsidR="005B2A41">
        <w:t xml:space="preserve"> </w:t>
      </w:r>
      <w:r w:rsidRPr="00B02247">
        <w:t>and</w:t>
      </w:r>
      <w:r w:rsidR="005B2A41">
        <w:t xml:space="preserve"> </w:t>
      </w:r>
      <w:r w:rsidRPr="00B02247">
        <w:t>at</w:t>
      </w:r>
      <w:r w:rsidR="005B2A41">
        <w:t xml:space="preserve"> </w:t>
      </w:r>
      <w:r w:rsidRPr="00B02247">
        <w:t>all</w:t>
      </w:r>
      <w:r w:rsidR="005B2A41">
        <w:t xml:space="preserve"> </w:t>
      </w:r>
      <w:r w:rsidRPr="00B02247">
        <w:t>levels</w:t>
      </w:r>
      <w:r w:rsidR="005B2A41">
        <w:t xml:space="preserve"> </w:t>
      </w:r>
      <w:r w:rsidRPr="00B02247">
        <w:t>of</w:t>
      </w:r>
      <w:r w:rsidR="005B2A41">
        <w:t xml:space="preserve"> </w:t>
      </w:r>
      <w:r w:rsidRPr="00B02247">
        <w:t>the</w:t>
      </w:r>
      <w:r w:rsidR="005B2A41">
        <w:t xml:space="preserve"> </w:t>
      </w:r>
      <w:r w:rsidRPr="00B02247">
        <w:t>professional</w:t>
      </w:r>
      <w:r w:rsidR="005B2A41">
        <w:t xml:space="preserve"> </w:t>
      </w:r>
      <w:r w:rsidRPr="00B02247">
        <w:t>hierarchy,</w:t>
      </w:r>
      <w:r w:rsidR="005B2A41">
        <w:t xml:space="preserve"> </w:t>
      </w:r>
      <w:r w:rsidRPr="00B02247">
        <w:t>terms,</w:t>
      </w:r>
      <w:r w:rsidR="005B2A41">
        <w:t xml:space="preserve"> </w:t>
      </w:r>
      <w:r w:rsidRPr="00B02247">
        <w:t>work</w:t>
      </w:r>
      <w:r w:rsidR="005B2A41">
        <w:t xml:space="preserve"> </w:t>
      </w:r>
      <w:r w:rsidRPr="00B02247">
        <w:t>and</w:t>
      </w:r>
      <w:r w:rsidR="005B2A41">
        <w:t xml:space="preserve"> </w:t>
      </w:r>
      <w:r w:rsidRPr="00B02247">
        <w:t>employment</w:t>
      </w:r>
      <w:r w:rsidR="005B2A41">
        <w:t xml:space="preserve"> </w:t>
      </w:r>
      <w:r w:rsidRPr="00B02247">
        <w:t>conditions,</w:t>
      </w:r>
      <w:r w:rsidR="005B2A41">
        <w:t xml:space="preserve"> </w:t>
      </w:r>
      <w:r w:rsidRPr="00B02247">
        <w:t>promotions,</w:t>
      </w:r>
      <w:r w:rsidR="005B2A41">
        <w:t xml:space="preserve"> </w:t>
      </w:r>
      <w:r w:rsidRPr="00B02247">
        <w:t>staff</w:t>
      </w:r>
      <w:r w:rsidR="005B2A41">
        <w:t xml:space="preserve"> </w:t>
      </w:r>
      <w:r w:rsidRPr="00B02247">
        <w:t>evaluation</w:t>
      </w:r>
      <w:r w:rsidR="005B2A41">
        <w:t xml:space="preserve"> </w:t>
      </w:r>
      <w:r w:rsidRPr="00B02247">
        <w:t>systems.</w:t>
      </w:r>
      <w:r w:rsidR="005B2A41">
        <w:t xml:space="preserve"> </w:t>
      </w:r>
      <w:r w:rsidRPr="00B02247">
        <w:t>It</w:t>
      </w:r>
      <w:r w:rsidR="005B2A41">
        <w:t xml:space="preserve"> </w:t>
      </w:r>
      <w:r w:rsidRPr="00B02247">
        <w:t>also</w:t>
      </w:r>
      <w:r w:rsidR="005B2A41">
        <w:t xml:space="preserve"> </w:t>
      </w:r>
      <w:r w:rsidRPr="00B02247">
        <w:t>defines</w:t>
      </w:r>
      <w:r w:rsidR="005B2A41">
        <w:t xml:space="preserve"> </w:t>
      </w:r>
      <w:r w:rsidRPr="00B02247">
        <w:t>and</w:t>
      </w:r>
      <w:r w:rsidR="005B2A41">
        <w:t xml:space="preserve"> </w:t>
      </w:r>
      <w:r w:rsidRPr="00B02247">
        <w:t>prohibits</w:t>
      </w:r>
      <w:r w:rsidR="005B2A41">
        <w:t xml:space="preserve"> </w:t>
      </w:r>
      <w:r w:rsidRPr="00B02247">
        <w:t>sexual</w:t>
      </w:r>
      <w:r w:rsidR="005B2A41">
        <w:t xml:space="preserve"> </w:t>
      </w:r>
      <w:r w:rsidRPr="00B02247">
        <w:t>harassment.</w:t>
      </w:r>
      <w:r w:rsidR="005B2A41">
        <w:t xml:space="preserve"> </w:t>
      </w:r>
      <w:r w:rsidRPr="00B02247">
        <w:t>It</w:t>
      </w:r>
      <w:r w:rsidR="005B2A41">
        <w:t xml:space="preserve"> </w:t>
      </w:r>
      <w:r w:rsidRPr="00B02247">
        <w:t>provides</w:t>
      </w:r>
      <w:r w:rsidR="005B2A41">
        <w:t xml:space="preserve"> </w:t>
      </w:r>
      <w:r w:rsidRPr="00B02247">
        <w:t>that</w:t>
      </w:r>
      <w:r w:rsidR="005B2A41">
        <w:t xml:space="preserve"> </w:t>
      </w:r>
      <w:r w:rsidRPr="00B02247">
        <w:t>gender-based</w:t>
      </w:r>
      <w:r w:rsidR="005B2A41">
        <w:t xml:space="preserve"> </w:t>
      </w:r>
      <w:r w:rsidRPr="00B02247">
        <w:t>discrimination</w:t>
      </w:r>
      <w:r w:rsidR="005B2A41">
        <w:t xml:space="preserve"> </w:t>
      </w:r>
      <w:r w:rsidRPr="00B02247">
        <w:t>also</w:t>
      </w:r>
      <w:r w:rsidR="005B2A41">
        <w:t xml:space="preserve"> </w:t>
      </w:r>
      <w:r w:rsidRPr="00B02247">
        <w:t>constitute</w:t>
      </w:r>
      <w:r w:rsidR="005B2A41">
        <w:t xml:space="preserve"> </w:t>
      </w:r>
      <w:r w:rsidRPr="00B02247">
        <w:t>any</w:t>
      </w:r>
      <w:r w:rsidR="005B2A41">
        <w:t xml:space="preserve"> </w:t>
      </w:r>
      <w:r w:rsidRPr="00B02247">
        <w:t>less</w:t>
      </w:r>
      <w:r w:rsidR="005B2A41">
        <w:t xml:space="preserve"> </w:t>
      </w:r>
      <w:r w:rsidRPr="00B02247">
        <w:t>favourable</w:t>
      </w:r>
      <w:r w:rsidR="005B2A41">
        <w:t xml:space="preserve"> </w:t>
      </w:r>
      <w:r w:rsidRPr="00B02247">
        <w:t>treatment</w:t>
      </w:r>
      <w:r w:rsidR="005B2A41">
        <w:t xml:space="preserve"> </w:t>
      </w:r>
      <w:r w:rsidRPr="00B02247">
        <w:t>of</w:t>
      </w:r>
      <w:r w:rsidR="005B2A41">
        <w:t xml:space="preserve"> </w:t>
      </w:r>
      <w:r w:rsidRPr="00B02247">
        <w:t>a</w:t>
      </w:r>
      <w:r w:rsidR="005B2A41">
        <w:t xml:space="preserve"> </w:t>
      </w:r>
      <w:r w:rsidRPr="00B02247">
        <w:t>person</w:t>
      </w:r>
      <w:r w:rsidR="005B2A41">
        <w:t xml:space="preserve"> </w:t>
      </w:r>
      <w:r w:rsidRPr="00B02247">
        <w:t>on</w:t>
      </w:r>
      <w:r w:rsidR="005B2A41">
        <w:t xml:space="preserve"> </w:t>
      </w:r>
      <w:r w:rsidRPr="00B02247">
        <w:t>the</w:t>
      </w:r>
      <w:r w:rsidR="005B2A41">
        <w:t xml:space="preserve"> </w:t>
      </w:r>
      <w:r w:rsidRPr="00B02247">
        <w:t>grounds</w:t>
      </w:r>
      <w:r w:rsidR="005B2A41">
        <w:t xml:space="preserve"> </w:t>
      </w:r>
      <w:r w:rsidRPr="00B02247">
        <w:t>of</w:t>
      </w:r>
      <w:r w:rsidR="005B2A41">
        <w:t xml:space="preserve"> </w:t>
      </w:r>
      <w:r w:rsidRPr="00B02247">
        <w:t>gender</w:t>
      </w:r>
      <w:r w:rsidR="005B2A41">
        <w:t xml:space="preserve"> </w:t>
      </w:r>
      <w:r w:rsidRPr="00B02247">
        <w:t>re-assignment,</w:t>
      </w:r>
      <w:r w:rsidR="005B2A41">
        <w:t xml:space="preserve"> </w:t>
      </w:r>
      <w:r w:rsidRPr="00B02247">
        <w:t>the</w:t>
      </w:r>
      <w:r w:rsidR="005B2A41">
        <w:t xml:space="preserve"> </w:t>
      </w:r>
      <w:r w:rsidRPr="00B02247">
        <w:t>order</w:t>
      </w:r>
      <w:r w:rsidR="005B2A41">
        <w:t xml:space="preserve"> </w:t>
      </w:r>
      <w:r w:rsidRPr="00B02247">
        <w:t>containing</w:t>
      </w:r>
      <w:r w:rsidR="005B2A41">
        <w:t xml:space="preserve"> </w:t>
      </w:r>
      <w:r w:rsidRPr="00B02247">
        <w:t>gender-based</w:t>
      </w:r>
      <w:r w:rsidR="005B2A41">
        <w:t xml:space="preserve"> </w:t>
      </w:r>
      <w:r w:rsidRPr="00B02247">
        <w:t>discrimination</w:t>
      </w:r>
      <w:r w:rsidR="005B2A41">
        <w:t xml:space="preserve"> </w:t>
      </w:r>
      <w:r w:rsidRPr="00B02247">
        <w:t>against</w:t>
      </w:r>
      <w:r w:rsidR="005B2A41">
        <w:t xml:space="preserve"> </w:t>
      </w:r>
      <w:r w:rsidRPr="00B02247">
        <w:t>a</w:t>
      </w:r>
      <w:r w:rsidR="005B2A41">
        <w:t xml:space="preserve"> </w:t>
      </w:r>
      <w:r w:rsidRPr="00B02247">
        <w:t>person</w:t>
      </w:r>
      <w:r w:rsidR="005B2A41">
        <w:t xml:space="preserve"> </w:t>
      </w:r>
      <w:r w:rsidRPr="00B02247">
        <w:t>as</w:t>
      </w:r>
      <w:r w:rsidR="005B2A41">
        <w:t xml:space="preserve"> </w:t>
      </w:r>
      <w:r w:rsidRPr="00B02247">
        <w:t>well</w:t>
      </w:r>
      <w:r w:rsidR="005B2A41">
        <w:t xml:space="preserve"> </w:t>
      </w:r>
      <w:r w:rsidRPr="00B02247">
        <w:t>as</w:t>
      </w:r>
      <w:r w:rsidR="005B2A41">
        <w:t xml:space="preserve"> </w:t>
      </w:r>
      <w:r w:rsidRPr="00B02247">
        <w:t>the</w:t>
      </w:r>
      <w:r w:rsidR="005B2A41">
        <w:t xml:space="preserve"> </w:t>
      </w:r>
      <w:r w:rsidRPr="00B02247">
        <w:t>less</w:t>
      </w:r>
      <w:r w:rsidR="005B2A41">
        <w:t xml:space="preserve"> </w:t>
      </w:r>
      <w:r w:rsidRPr="00B02247">
        <w:t>favourable</w:t>
      </w:r>
      <w:r w:rsidR="005B2A41">
        <w:t xml:space="preserve"> </w:t>
      </w:r>
      <w:r w:rsidRPr="00B02247">
        <w:t>treatment</w:t>
      </w:r>
      <w:r w:rsidR="005B2A41">
        <w:t xml:space="preserve"> </w:t>
      </w:r>
      <w:r w:rsidRPr="00B02247">
        <w:t>of</w:t>
      </w:r>
      <w:r w:rsidR="005B2A41">
        <w:t xml:space="preserve"> </w:t>
      </w:r>
      <w:r w:rsidRPr="00B02247">
        <w:t>women</w:t>
      </w:r>
      <w:r w:rsidR="005B2A41">
        <w:t xml:space="preserve"> </w:t>
      </w:r>
      <w:r w:rsidRPr="00B02247">
        <w:t>due</w:t>
      </w:r>
      <w:r w:rsidR="005B2A41">
        <w:t xml:space="preserve"> </w:t>
      </w:r>
      <w:r w:rsidRPr="00B02247">
        <w:t>to</w:t>
      </w:r>
      <w:r w:rsidR="005B2A41">
        <w:t xml:space="preserve"> </w:t>
      </w:r>
      <w:r w:rsidRPr="00B02247">
        <w:t>pregnancy</w:t>
      </w:r>
      <w:r w:rsidR="005B2A41">
        <w:t xml:space="preserve"> </w:t>
      </w:r>
      <w:r w:rsidRPr="00B02247">
        <w:t>or</w:t>
      </w:r>
      <w:r w:rsidR="005B2A41">
        <w:t xml:space="preserve"> </w:t>
      </w:r>
      <w:r w:rsidRPr="00B02247">
        <w:t>maternity.</w:t>
      </w:r>
      <w:r w:rsidR="005B2A41">
        <w:t xml:space="preserve"> </w:t>
      </w:r>
      <w:r w:rsidRPr="00B02247">
        <w:t>At</w:t>
      </w:r>
      <w:r w:rsidR="005B2A41">
        <w:t xml:space="preserve"> </w:t>
      </w:r>
      <w:r w:rsidRPr="00B02247">
        <w:t>the</w:t>
      </w:r>
      <w:r w:rsidR="005B2A41">
        <w:t xml:space="preserve"> </w:t>
      </w:r>
      <w:r w:rsidRPr="00B02247">
        <w:t>same</w:t>
      </w:r>
      <w:r w:rsidR="005B2A41">
        <w:t xml:space="preserve"> </w:t>
      </w:r>
      <w:r w:rsidRPr="00B02247">
        <w:t>time,</w:t>
      </w:r>
      <w:r w:rsidR="005B2A41">
        <w:t xml:space="preserve"> </w:t>
      </w:r>
      <w:r w:rsidRPr="00B02247">
        <w:t>the</w:t>
      </w:r>
      <w:r w:rsidR="005B2A41">
        <w:t xml:space="preserve"> </w:t>
      </w:r>
      <w:r w:rsidRPr="00B02247">
        <w:t>law</w:t>
      </w:r>
      <w:r w:rsidR="005B2A41">
        <w:t xml:space="preserve"> </w:t>
      </w:r>
      <w:r w:rsidRPr="00B02247">
        <w:t>expressly</w:t>
      </w:r>
      <w:r w:rsidR="005B2A41">
        <w:t xml:space="preserve"> </w:t>
      </w:r>
      <w:r w:rsidRPr="00B02247">
        <w:t>prohibits</w:t>
      </w:r>
      <w:r w:rsidR="005B2A41">
        <w:t xml:space="preserve"> </w:t>
      </w:r>
      <w:r w:rsidRPr="00B02247">
        <w:t>the</w:t>
      </w:r>
      <w:r w:rsidR="005B2A41">
        <w:t xml:space="preserve"> </w:t>
      </w:r>
      <w:r w:rsidRPr="00B02247">
        <w:t>termination</w:t>
      </w:r>
      <w:r w:rsidR="005B2A41">
        <w:t xml:space="preserve"> </w:t>
      </w:r>
      <w:r w:rsidRPr="00B02247">
        <w:t>or</w:t>
      </w:r>
      <w:r w:rsidR="005B2A41">
        <w:t xml:space="preserve"> </w:t>
      </w:r>
      <w:r w:rsidRPr="00B02247">
        <w:t>otherwise</w:t>
      </w:r>
      <w:r w:rsidR="005B2A41">
        <w:t xml:space="preserve"> </w:t>
      </w:r>
      <w:r w:rsidRPr="00B02247">
        <w:t>the</w:t>
      </w:r>
      <w:r w:rsidR="005B2A41">
        <w:t xml:space="preserve"> </w:t>
      </w:r>
      <w:r w:rsidRPr="00B02247">
        <w:t>dissolution</w:t>
      </w:r>
      <w:r w:rsidR="005B2A41">
        <w:t xml:space="preserve"> </w:t>
      </w:r>
      <w:r w:rsidRPr="00B02247">
        <w:t>of</w:t>
      </w:r>
      <w:r w:rsidR="005B2A41">
        <w:t xml:space="preserve"> </w:t>
      </w:r>
      <w:r w:rsidRPr="00B02247">
        <w:t>the</w:t>
      </w:r>
      <w:r w:rsidR="005B2A41">
        <w:t xml:space="preserve"> </w:t>
      </w:r>
      <w:r w:rsidRPr="00B02247">
        <w:t>work</w:t>
      </w:r>
      <w:r w:rsidR="005B2A41">
        <w:t xml:space="preserve"> </w:t>
      </w:r>
      <w:r w:rsidRPr="00B02247">
        <w:t>contract</w:t>
      </w:r>
      <w:r w:rsidR="005B2A41">
        <w:t xml:space="preserve"> </w:t>
      </w:r>
      <w:r w:rsidRPr="00B02247">
        <w:t>and</w:t>
      </w:r>
      <w:r w:rsidR="005B2A41">
        <w:t xml:space="preserve"> </w:t>
      </w:r>
      <w:r w:rsidRPr="00B02247">
        <w:t>the</w:t>
      </w:r>
      <w:r w:rsidR="005B2A41">
        <w:t xml:space="preserve"> </w:t>
      </w:r>
      <w:r w:rsidRPr="00B02247">
        <w:t>employment</w:t>
      </w:r>
      <w:r w:rsidR="005B2A41">
        <w:t xml:space="preserve"> </w:t>
      </w:r>
      <w:r w:rsidRPr="00B02247">
        <w:t>relationship,</w:t>
      </w:r>
      <w:r w:rsidR="005B2A41">
        <w:t xml:space="preserve"> </w:t>
      </w:r>
      <w:r w:rsidRPr="00B02247">
        <w:t>as</w:t>
      </w:r>
      <w:r w:rsidR="005B2A41">
        <w:t xml:space="preserve"> </w:t>
      </w:r>
      <w:r w:rsidRPr="00B02247">
        <w:t>well</w:t>
      </w:r>
      <w:r w:rsidR="005B2A41">
        <w:t xml:space="preserve"> </w:t>
      </w:r>
      <w:r w:rsidRPr="00B02247">
        <w:t>as</w:t>
      </w:r>
      <w:r w:rsidR="005B2A41">
        <w:t xml:space="preserve"> </w:t>
      </w:r>
      <w:r w:rsidRPr="00B02247">
        <w:t>any</w:t>
      </w:r>
      <w:r w:rsidR="005B2A41">
        <w:t xml:space="preserve"> </w:t>
      </w:r>
      <w:r w:rsidRPr="00B02247">
        <w:t>other</w:t>
      </w:r>
      <w:r w:rsidR="005B2A41">
        <w:t xml:space="preserve"> </w:t>
      </w:r>
      <w:r w:rsidRPr="00B02247">
        <w:t>unfavourable</w:t>
      </w:r>
      <w:r w:rsidR="005B2A41">
        <w:t xml:space="preserve"> </w:t>
      </w:r>
      <w:r w:rsidRPr="00B02247">
        <w:t>treatment</w:t>
      </w:r>
      <w:r w:rsidR="005B2A41">
        <w:t xml:space="preserve"> </w:t>
      </w:r>
      <w:r w:rsidRPr="00B02247">
        <w:t>on</w:t>
      </w:r>
      <w:r w:rsidR="005B2A41">
        <w:t xml:space="preserve"> </w:t>
      </w:r>
      <w:r w:rsidRPr="00B02247">
        <w:t>the</w:t>
      </w:r>
      <w:r w:rsidR="005B2A41">
        <w:t xml:space="preserve"> </w:t>
      </w:r>
      <w:r w:rsidRPr="00B02247">
        <w:t>grounds</w:t>
      </w:r>
      <w:r w:rsidR="005B2A41">
        <w:t xml:space="preserve"> </w:t>
      </w:r>
      <w:r w:rsidRPr="00B02247">
        <w:t>of</w:t>
      </w:r>
      <w:r w:rsidR="005B2A41">
        <w:t xml:space="preserve"> </w:t>
      </w:r>
      <w:r w:rsidRPr="00B02247">
        <w:t>gender</w:t>
      </w:r>
      <w:r w:rsidR="005B2A41">
        <w:t xml:space="preserve"> </w:t>
      </w:r>
      <w:r w:rsidRPr="00B02247">
        <w:t>or</w:t>
      </w:r>
      <w:r w:rsidR="005B2A41">
        <w:t xml:space="preserve"> </w:t>
      </w:r>
      <w:r w:rsidRPr="00B02247">
        <w:t>family</w:t>
      </w:r>
      <w:r w:rsidR="005B2A41">
        <w:t xml:space="preserve"> </w:t>
      </w:r>
      <w:r w:rsidRPr="00B02247">
        <w:t>status</w:t>
      </w:r>
      <w:r w:rsidR="005B2A41">
        <w:t xml:space="preserve"> </w:t>
      </w:r>
      <w:r w:rsidRPr="00B02247">
        <w:t>or</w:t>
      </w:r>
      <w:r w:rsidR="005B2A41">
        <w:t xml:space="preserve"> </w:t>
      </w:r>
      <w:r w:rsidRPr="00B02247">
        <w:t>as</w:t>
      </w:r>
      <w:r w:rsidR="005B2A41">
        <w:t xml:space="preserve"> </w:t>
      </w:r>
      <w:r w:rsidRPr="00B02247">
        <w:t>an</w:t>
      </w:r>
      <w:r w:rsidR="005B2A41">
        <w:t xml:space="preserve"> </w:t>
      </w:r>
      <w:r w:rsidRPr="00B02247">
        <w:t>attempt</w:t>
      </w:r>
      <w:r w:rsidR="005B2A41">
        <w:t xml:space="preserve"> </w:t>
      </w:r>
      <w:r w:rsidRPr="00B02247">
        <w:t>to</w:t>
      </w:r>
      <w:r w:rsidR="005B2A41">
        <w:t xml:space="preserve"> </w:t>
      </w:r>
      <w:r w:rsidRPr="00B02247">
        <w:t>victimize</w:t>
      </w:r>
      <w:r w:rsidR="005B2A41">
        <w:t xml:space="preserve"> </w:t>
      </w:r>
      <w:r w:rsidRPr="00B02247">
        <w:t>the</w:t>
      </w:r>
      <w:r w:rsidR="005B2A41">
        <w:t xml:space="preserve"> </w:t>
      </w:r>
      <w:r w:rsidRPr="00B02247">
        <w:t>person</w:t>
      </w:r>
      <w:r w:rsidR="005B2A41">
        <w:t xml:space="preserve"> </w:t>
      </w:r>
      <w:r w:rsidRPr="00B02247">
        <w:t>concerned.</w:t>
      </w:r>
      <w:r w:rsidR="005B2A41">
        <w:t xml:space="preserve"> </w:t>
      </w:r>
      <w:r w:rsidRPr="00B02247">
        <w:t>It</w:t>
      </w:r>
      <w:r w:rsidR="005B2A41">
        <w:t xml:space="preserve"> </w:t>
      </w:r>
      <w:r w:rsidRPr="00B02247">
        <w:t>safeguards</w:t>
      </w:r>
      <w:r w:rsidR="005B2A41">
        <w:t xml:space="preserve"> </w:t>
      </w:r>
      <w:r w:rsidRPr="00B02247">
        <w:t>the</w:t>
      </w:r>
      <w:r w:rsidR="005B2A41">
        <w:t xml:space="preserve"> </w:t>
      </w:r>
      <w:r w:rsidRPr="00B02247">
        <w:t>right</w:t>
      </w:r>
      <w:r w:rsidR="005B2A41">
        <w:t xml:space="preserve"> </w:t>
      </w:r>
      <w:r w:rsidRPr="00B02247">
        <w:t>to</w:t>
      </w:r>
      <w:r w:rsidR="005B2A41">
        <w:t xml:space="preserve"> </w:t>
      </w:r>
      <w:r w:rsidRPr="00B02247">
        <w:t>return</w:t>
      </w:r>
      <w:r w:rsidR="005B2A41">
        <w:t xml:space="preserve"> </w:t>
      </w:r>
      <w:r w:rsidRPr="00B02247">
        <w:t>from</w:t>
      </w:r>
      <w:r w:rsidR="005B2A41">
        <w:t xml:space="preserve"> </w:t>
      </w:r>
      <w:r w:rsidRPr="00B02247">
        <w:t>maternity</w:t>
      </w:r>
      <w:r w:rsidR="005B2A41">
        <w:t xml:space="preserve"> </w:t>
      </w:r>
      <w:r w:rsidRPr="00B02247">
        <w:t>leave</w:t>
      </w:r>
      <w:r w:rsidR="005B2A41">
        <w:t xml:space="preserve"> </w:t>
      </w:r>
      <w:r w:rsidRPr="00B02247">
        <w:t>as</w:t>
      </w:r>
      <w:r w:rsidR="005B2A41">
        <w:t xml:space="preserve"> </w:t>
      </w:r>
      <w:r w:rsidRPr="00B02247">
        <w:t>well</w:t>
      </w:r>
      <w:r w:rsidR="005B2A41">
        <w:t xml:space="preserve"> </w:t>
      </w:r>
      <w:r w:rsidRPr="00B02247">
        <w:t>as</w:t>
      </w:r>
      <w:r w:rsidR="005B2A41">
        <w:t xml:space="preserve"> </w:t>
      </w:r>
      <w:r w:rsidRPr="00B02247">
        <w:t>any</w:t>
      </w:r>
      <w:r w:rsidR="005B2A41">
        <w:t xml:space="preserve"> </w:t>
      </w:r>
      <w:r w:rsidRPr="00B02247">
        <w:t>leave</w:t>
      </w:r>
      <w:r w:rsidR="005B2A41">
        <w:t xml:space="preserve"> </w:t>
      </w:r>
      <w:r w:rsidRPr="00B02247">
        <w:t>for</w:t>
      </w:r>
      <w:r w:rsidR="005B2A41">
        <w:t xml:space="preserve"> </w:t>
      </w:r>
      <w:r w:rsidRPr="00B02247">
        <w:t>the</w:t>
      </w:r>
      <w:r w:rsidR="005B2A41">
        <w:t xml:space="preserve"> </w:t>
      </w:r>
      <w:r w:rsidRPr="00B02247">
        <w:t>birth,</w:t>
      </w:r>
      <w:r w:rsidR="005B2A41">
        <w:t xml:space="preserve"> </w:t>
      </w:r>
      <w:r w:rsidRPr="00B02247">
        <w:t>upbringing</w:t>
      </w:r>
      <w:r w:rsidR="005B2A41">
        <w:t xml:space="preserve"> </w:t>
      </w:r>
      <w:r w:rsidRPr="00B02247">
        <w:t>or</w:t>
      </w:r>
      <w:r w:rsidR="005B2A41">
        <w:t xml:space="preserve"> </w:t>
      </w:r>
      <w:r w:rsidRPr="00B02247">
        <w:t>adoption</w:t>
      </w:r>
      <w:r w:rsidR="005B2A41">
        <w:t xml:space="preserve"> </w:t>
      </w:r>
      <w:r w:rsidRPr="00B02247">
        <w:t>of</w:t>
      </w:r>
      <w:r w:rsidR="005B2A41">
        <w:t xml:space="preserve"> </w:t>
      </w:r>
      <w:r w:rsidRPr="00B02247">
        <w:t>a</w:t>
      </w:r>
      <w:r w:rsidR="005B2A41">
        <w:t xml:space="preserve"> </w:t>
      </w:r>
      <w:r w:rsidRPr="00B02247">
        <w:t>child.</w:t>
      </w:r>
    </w:p>
    <w:p w:rsidR="00F233AB" w:rsidRPr="00B02247" w:rsidRDefault="00F233AB" w:rsidP="00E1307D">
      <w:pPr>
        <w:pStyle w:val="SingleTxtG"/>
      </w:pPr>
      <w:r w:rsidRPr="00B02247">
        <w:t>187.</w:t>
      </w:r>
      <w:r w:rsidRPr="00B02247">
        <w:tab/>
        <w:t>Furthermore,</w:t>
      </w:r>
      <w:r w:rsidR="005B2A41">
        <w:t xml:space="preserve"> </w:t>
      </w:r>
      <w:r w:rsidRPr="00B02247">
        <w:t>the</w:t>
      </w:r>
      <w:r w:rsidR="005B2A41">
        <w:t xml:space="preserve"> </w:t>
      </w:r>
      <w:r w:rsidRPr="00B02247">
        <w:t>law</w:t>
      </w:r>
      <w:r w:rsidR="005B2A41">
        <w:t xml:space="preserve"> </w:t>
      </w:r>
      <w:r w:rsidRPr="00B02247">
        <w:t>specifies</w:t>
      </w:r>
      <w:r w:rsidR="005B2A41">
        <w:t xml:space="preserve"> </w:t>
      </w:r>
      <w:r w:rsidRPr="00B02247">
        <w:t>that</w:t>
      </w:r>
      <w:r w:rsidR="005B2A41">
        <w:t xml:space="preserve"> </w:t>
      </w:r>
      <w:r w:rsidRPr="00B02247">
        <w:t>any</w:t>
      </w:r>
      <w:r w:rsidR="005B2A41">
        <w:t xml:space="preserve"> </w:t>
      </w:r>
      <w:r w:rsidRPr="00B02247">
        <w:t>person</w:t>
      </w:r>
      <w:r w:rsidR="005B2A41">
        <w:t xml:space="preserve"> </w:t>
      </w:r>
      <w:r w:rsidRPr="00B02247">
        <w:t>who</w:t>
      </w:r>
      <w:r w:rsidR="005B2A41">
        <w:t xml:space="preserve"> </w:t>
      </w:r>
      <w:r w:rsidRPr="00B02247">
        <w:t>believes</w:t>
      </w:r>
      <w:r w:rsidR="005B2A41">
        <w:t xml:space="preserve"> </w:t>
      </w:r>
      <w:r w:rsidRPr="00B02247">
        <w:t>that</w:t>
      </w:r>
      <w:r w:rsidR="005B2A41">
        <w:t xml:space="preserve"> </w:t>
      </w:r>
      <w:r w:rsidRPr="00B02247">
        <w:t>he</w:t>
      </w:r>
      <w:r w:rsidR="005B2A41">
        <w:t xml:space="preserve"> </w:t>
      </w:r>
      <w:r w:rsidRPr="00B02247">
        <w:t>or</w:t>
      </w:r>
      <w:r w:rsidR="005B2A41">
        <w:t xml:space="preserve"> </w:t>
      </w:r>
      <w:r w:rsidRPr="00B02247">
        <w:t>she</w:t>
      </w:r>
      <w:r w:rsidR="005B2A41">
        <w:t xml:space="preserve"> </w:t>
      </w:r>
      <w:r w:rsidRPr="00B02247">
        <w:t>has</w:t>
      </w:r>
      <w:r w:rsidR="005B2A41">
        <w:t xml:space="preserve"> </w:t>
      </w:r>
      <w:r w:rsidRPr="00B02247">
        <w:t>sustained</w:t>
      </w:r>
      <w:r w:rsidR="005B2A41">
        <w:t xml:space="preserve"> </w:t>
      </w:r>
      <w:r w:rsidRPr="00B02247">
        <w:t>damage</w:t>
      </w:r>
      <w:r w:rsidR="005B2A41">
        <w:t xml:space="preserve"> </w:t>
      </w:r>
      <w:r w:rsidRPr="00B02247">
        <w:t>due</w:t>
      </w:r>
      <w:r w:rsidR="005B2A41">
        <w:t xml:space="preserve"> </w:t>
      </w:r>
      <w:r w:rsidRPr="00B02247">
        <w:t>to</w:t>
      </w:r>
      <w:r w:rsidR="005B2A41">
        <w:t xml:space="preserve"> </w:t>
      </w:r>
      <w:r w:rsidRPr="00B02247">
        <w:t>lack</w:t>
      </w:r>
      <w:r w:rsidR="005B2A41">
        <w:t xml:space="preserve"> </w:t>
      </w:r>
      <w:r w:rsidRPr="00B02247">
        <w:t>of</w:t>
      </w:r>
      <w:r w:rsidR="005B2A41">
        <w:t xml:space="preserve"> </w:t>
      </w:r>
      <w:r w:rsidRPr="00B02247">
        <w:t>compliance</w:t>
      </w:r>
      <w:r w:rsidR="005B2A41">
        <w:t xml:space="preserve"> </w:t>
      </w:r>
      <w:r w:rsidRPr="00B02247">
        <w:t>with</w:t>
      </w:r>
      <w:r w:rsidR="005B2A41">
        <w:t xml:space="preserve"> </w:t>
      </w:r>
      <w:r w:rsidRPr="00B02247">
        <w:t>the</w:t>
      </w:r>
      <w:r w:rsidR="005B2A41">
        <w:t xml:space="preserve"> </w:t>
      </w:r>
      <w:r w:rsidRPr="00B02247">
        <w:t>provisions</w:t>
      </w:r>
      <w:r w:rsidR="005B2A41">
        <w:t xml:space="preserve"> </w:t>
      </w:r>
      <w:r w:rsidRPr="00B02247">
        <w:t>of</w:t>
      </w:r>
      <w:r w:rsidR="005B2A41">
        <w:t xml:space="preserve"> </w:t>
      </w:r>
      <w:r w:rsidRPr="00B02247">
        <w:t>the</w:t>
      </w:r>
      <w:r w:rsidR="005B2A41">
        <w:t xml:space="preserve"> </w:t>
      </w:r>
      <w:r w:rsidRPr="00B02247">
        <w:t>law,</w:t>
      </w:r>
      <w:r w:rsidR="005B2A41">
        <w:t xml:space="preserve"> </w:t>
      </w:r>
      <w:r w:rsidRPr="00B02247">
        <w:t>even</w:t>
      </w:r>
      <w:r w:rsidR="005B2A41">
        <w:t xml:space="preserve"> </w:t>
      </w:r>
      <w:r w:rsidRPr="00B02247">
        <w:t>if</w:t>
      </w:r>
      <w:r w:rsidR="005B2A41">
        <w:t xml:space="preserve"> </w:t>
      </w:r>
      <w:r w:rsidRPr="00B02247">
        <w:t>the</w:t>
      </w:r>
      <w:r w:rsidR="005B2A41">
        <w:t xml:space="preserve"> </w:t>
      </w:r>
      <w:r w:rsidRPr="00B02247">
        <w:t>work</w:t>
      </w:r>
      <w:r w:rsidR="005B2A41">
        <w:t xml:space="preserve"> </w:t>
      </w:r>
      <w:r w:rsidRPr="00B02247">
        <w:t>relation</w:t>
      </w:r>
      <w:r w:rsidR="005B2A41">
        <w:t xml:space="preserve"> </w:t>
      </w:r>
      <w:r w:rsidRPr="00B02247">
        <w:t>has</w:t>
      </w:r>
      <w:r w:rsidR="005B2A41">
        <w:t xml:space="preserve"> </w:t>
      </w:r>
      <w:r w:rsidRPr="00B02247">
        <w:t>ended,</w:t>
      </w:r>
      <w:r w:rsidR="005B2A41">
        <w:t xml:space="preserve"> </w:t>
      </w:r>
      <w:r w:rsidRPr="00B02247">
        <w:t>is</w:t>
      </w:r>
      <w:r w:rsidR="005B2A41">
        <w:t xml:space="preserve"> </w:t>
      </w:r>
      <w:r w:rsidRPr="00B02247">
        <w:t>entitled</w:t>
      </w:r>
      <w:r w:rsidR="005B2A41">
        <w:t xml:space="preserve"> </w:t>
      </w:r>
      <w:r w:rsidRPr="00B02247">
        <w:t>to</w:t>
      </w:r>
      <w:r w:rsidR="005B2A41">
        <w:t xml:space="preserve"> </w:t>
      </w:r>
      <w:r w:rsidRPr="00B02247">
        <w:t>protection</w:t>
      </w:r>
      <w:r w:rsidR="005B2A41">
        <w:t xml:space="preserve"> </w:t>
      </w:r>
      <w:r w:rsidRPr="00B02247">
        <w:t>from</w:t>
      </w:r>
      <w:r w:rsidR="005B2A41">
        <w:t xml:space="preserve"> </w:t>
      </w:r>
      <w:r w:rsidRPr="00B02247">
        <w:t>the</w:t>
      </w:r>
      <w:r w:rsidR="005B2A41">
        <w:t xml:space="preserve"> </w:t>
      </w:r>
      <w:r w:rsidRPr="00B02247">
        <w:t>courts,</w:t>
      </w:r>
      <w:r w:rsidR="005B2A41">
        <w:t xml:space="preserve"> </w:t>
      </w:r>
      <w:r w:rsidRPr="00B02247">
        <w:t>as</w:t>
      </w:r>
      <w:r w:rsidR="005B2A41">
        <w:t xml:space="preserve"> </w:t>
      </w:r>
      <w:r w:rsidRPr="00B02247">
        <w:t>well</w:t>
      </w:r>
      <w:r w:rsidR="005B2A41">
        <w:t xml:space="preserve"> </w:t>
      </w:r>
      <w:r w:rsidRPr="00B02247">
        <w:t>as</w:t>
      </w:r>
      <w:r w:rsidR="005B2A41">
        <w:t xml:space="preserve"> </w:t>
      </w:r>
      <w:r w:rsidRPr="00B02247">
        <w:t>to</w:t>
      </w:r>
      <w:r w:rsidR="005B2A41">
        <w:t xml:space="preserve"> </w:t>
      </w:r>
      <w:r w:rsidRPr="00B02247">
        <w:t>appeal</w:t>
      </w:r>
      <w:r w:rsidR="005B2A41">
        <w:t xml:space="preserve"> </w:t>
      </w:r>
      <w:r w:rsidRPr="00B02247">
        <w:t>before</w:t>
      </w:r>
      <w:r w:rsidR="005B2A41">
        <w:t xml:space="preserve"> </w:t>
      </w:r>
      <w:r w:rsidRPr="00B02247">
        <w:t>the</w:t>
      </w:r>
      <w:r w:rsidR="005B2A41">
        <w:t xml:space="preserve"> </w:t>
      </w:r>
      <w:r w:rsidRPr="00B02247">
        <w:t>competent</w:t>
      </w:r>
      <w:r w:rsidR="005B2A41">
        <w:t xml:space="preserve"> </w:t>
      </w:r>
      <w:r w:rsidRPr="00B02247">
        <w:t>administrative</w:t>
      </w:r>
      <w:r w:rsidR="005B2A41">
        <w:t xml:space="preserve"> </w:t>
      </w:r>
      <w:r w:rsidRPr="00B02247">
        <w:t>authorities</w:t>
      </w:r>
      <w:r w:rsidR="005B2A41">
        <w:t xml:space="preserve"> </w:t>
      </w:r>
      <w:r w:rsidRPr="00B02247">
        <w:t>(Labor</w:t>
      </w:r>
      <w:r w:rsidR="005B2A41">
        <w:t xml:space="preserve"> </w:t>
      </w:r>
      <w:r w:rsidRPr="00B02247">
        <w:t>Inspectorate)</w:t>
      </w:r>
      <w:r w:rsidR="005B2A41">
        <w:t xml:space="preserve"> </w:t>
      </w:r>
      <w:r w:rsidRPr="00B02247">
        <w:t>including</w:t>
      </w:r>
      <w:r w:rsidR="005B2A41">
        <w:t xml:space="preserve"> </w:t>
      </w:r>
      <w:r w:rsidRPr="00B02247">
        <w:t>the</w:t>
      </w:r>
      <w:r w:rsidR="005B2A41">
        <w:t xml:space="preserve"> </w:t>
      </w:r>
      <w:r w:rsidRPr="00B02247">
        <w:t>mediation</w:t>
      </w:r>
      <w:r w:rsidR="005B2A41">
        <w:t xml:space="preserve"> </w:t>
      </w:r>
      <w:r w:rsidRPr="00B02247">
        <w:t>proceedings</w:t>
      </w:r>
      <w:r w:rsidR="005B2A41">
        <w:t xml:space="preserve"> </w:t>
      </w:r>
      <w:r w:rsidRPr="00B02247">
        <w:t>by</w:t>
      </w:r>
      <w:r w:rsidR="005B2A41">
        <w:t xml:space="preserve"> </w:t>
      </w:r>
      <w:r w:rsidRPr="00B02247">
        <w:t>the</w:t>
      </w:r>
      <w:r w:rsidR="005B2A41">
        <w:t xml:space="preserve"> </w:t>
      </w:r>
      <w:r w:rsidRPr="00B02247">
        <w:t>Office</w:t>
      </w:r>
      <w:r w:rsidR="005B2A41">
        <w:t xml:space="preserve"> </w:t>
      </w:r>
      <w:r w:rsidRPr="00B02247">
        <w:t>of</w:t>
      </w:r>
      <w:r w:rsidR="005B2A41">
        <w:t xml:space="preserve"> </w:t>
      </w:r>
      <w:r w:rsidRPr="00B02247">
        <w:t>the</w:t>
      </w:r>
      <w:r w:rsidR="005B2A41">
        <w:t xml:space="preserve"> </w:t>
      </w:r>
      <w:r w:rsidRPr="00B02247">
        <w:t>Ombudsman.</w:t>
      </w:r>
      <w:r w:rsidR="005B2A41">
        <w:t xml:space="preserve"> </w:t>
      </w:r>
      <w:r w:rsidRPr="00B02247">
        <w:t>Legal</w:t>
      </w:r>
      <w:r w:rsidR="005B2A41">
        <w:t xml:space="preserve"> </w:t>
      </w:r>
      <w:r w:rsidRPr="00B02247">
        <w:t>entities</w:t>
      </w:r>
      <w:r w:rsidR="005B2A41">
        <w:t xml:space="preserve"> </w:t>
      </w:r>
      <w:r w:rsidRPr="00B02247">
        <w:t>and</w:t>
      </w:r>
      <w:r w:rsidR="005B2A41">
        <w:t xml:space="preserve"> </w:t>
      </w:r>
      <w:r w:rsidRPr="00B02247">
        <w:t>unions</w:t>
      </w:r>
      <w:r w:rsidR="005B2A41">
        <w:t xml:space="preserve"> </w:t>
      </w:r>
      <w:r w:rsidRPr="00B02247">
        <w:t>of</w:t>
      </w:r>
      <w:r w:rsidR="005B2A41">
        <w:t xml:space="preserve"> </w:t>
      </w:r>
      <w:r w:rsidRPr="00B02247">
        <w:t>persons</w:t>
      </w:r>
      <w:r w:rsidR="005B2A41">
        <w:t xml:space="preserve"> </w:t>
      </w:r>
      <w:r w:rsidRPr="00B02247">
        <w:t>having</w:t>
      </w:r>
      <w:r w:rsidR="005B2A41">
        <w:t xml:space="preserve"> </w:t>
      </w:r>
      <w:r w:rsidRPr="00B02247">
        <w:t>relevant</w:t>
      </w:r>
      <w:r w:rsidR="005B2A41">
        <w:t xml:space="preserve"> </w:t>
      </w:r>
      <w:r w:rsidRPr="00B02247">
        <w:t>legal</w:t>
      </w:r>
      <w:r w:rsidR="005B2A41">
        <w:t xml:space="preserve"> </w:t>
      </w:r>
      <w:r w:rsidRPr="00B02247">
        <w:t>interest</w:t>
      </w:r>
      <w:r w:rsidR="005B2A41">
        <w:t xml:space="preserve"> </w:t>
      </w:r>
      <w:r w:rsidRPr="00B02247">
        <w:t>may,</w:t>
      </w:r>
      <w:r w:rsidR="005B2A41">
        <w:t xml:space="preserve"> </w:t>
      </w:r>
      <w:r w:rsidRPr="00B02247">
        <w:t>with</w:t>
      </w:r>
      <w:r w:rsidR="005B2A41">
        <w:t xml:space="preserve"> </w:t>
      </w:r>
      <w:r w:rsidRPr="00B02247">
        <w:t>the</w:t>
      </w:r>
      <w:r w:rsidR="005B2A41">
        <w:t xml:space="preserve"> </w:t>
      </w:r>
      <w:r w:rsidRPr="00B02247">
        <w:t>consent</w:t>
      </w:r>
      <w:r w:rsidR="005B2A41">
        <w:t xml:space="preserve"> </w:t>
      </w:r>
      <w:r w:rsidRPr="00B02247">
        <w:t>of</w:t>
      </w:r>
      <w:r w:rsidR="005B2A41">
        <w:t xml:space="preserve"> </w:t>
      </w:r>
      <w:r w:rsidRPr="00B02247">
        <w:t>the</w:t>
      </w:r>
      <w:r w:rsidR="005B2A41">
        <w:t xml:space="preserve"> </w:t>
      </w:r>
      <w:r w:rsidRPr="00B02247">
        <w:t>party</w:t>
      </w:r>
      <w:r w:rsidR="005B2A41">
        <w:t xml:space="preserve"> </w:t>
      </w:r>
      <w:r w:rsidRPr="00B02247">
        <w:t>offended</w:t>
      </w:r>
      <w:r w:rsidR="005B2A41">
        <w:t xml:space="preserve"> </w:t>
      </w:r>
      <w:r w:rsidRPr="00B02247">
        <w:t>by</w:t>
      </w:r>
      <w:r w:rsidR="005B2A41">
        <w:t xml:space="preserve"> </w:t>
      </w:r>
      <w:r w:rsidRPr="00B02247">
        <w:t>violations</w:t>
      </w:r>
      <w:r w:rsidR="005B2A41">
        <w:t xml:space="preserve"> </w:t>
      </w:r>
      <w:r w:rsidRPr="00B02247">
        <w:t>of</w:t>
      </w:r>
      <w:r w:rsidR="005B2A41">
        <w:t xml:space="preserve"> </w:t>
      </w:r>
      <w:r w:rsidRPr="00B02247">
        <w:t>the</w:t>
      </w:r>
      <w:r w:rsidR="005B2A41">
        <w:t xml:space="preserve"> </w:t>
      </w:r>
      <w:r w:rsidRPr="00B02247">
        <w:t>present</w:t>
      </w:r>
      <w:r w:rsidR="005B2A41">
        <w:t xml:space="preserve"> </w:t>
      </w:r>
      <w:r w:rsidRPr="00B02247">
        <w:t>law,</w:t>
      </w:r>
      <w:r w:rsidR="005B2A41">
        <w:t xml:space="preserve"> </w:t>
      </w:r>
      <w:r w:rsidRPr="00B02247">
        <w:t>file</w:t>
      </w:r>
      <w:r w:rsidR="005B2A41">
        <w:t xml:space="preserve"> </w:t>
      </w:r>
      <w:r w:rsidRPr="00B02247">
        <w:t>in</w:t>
      </w:r>
      <w:r w:rsidR="005B2A41">
        <w:t xml:space="preserve"> </w:t>
      </w:r>
      <w:r w:rsidRPr="00B02247">
        <w:t>the</w:t>
      </w:r>
      <w:r w:rsidR="005B2A41">
        <w:t xml:space="preserve"> </w:t>
      </w:r>
      <w:r w:rsidRPr="00B02247">
        <w:t>latter</w:t>
      </w:r>
      <w:r w:rsidR="003E731F">
        <w:t>’</w:t>
      </w:r>
      <w:r w:rsidRPr="00B02247">
        <w:t>s</w:t>
      </w:r>
      <w:r w:rsidR="005B2A41">
        <w:t xml:space="preserve"> </w:t>
      </w:r>
      <w:r w:rsidRPr="00B02247">
        <w:t>name</w:t>
      </w:r>
      <w:r w:rsidR="005B2A41">
        <w:t xml:space="preserve"> </w:t>
      </w:r>
      <w:r w:rsidRPr="00B02247">
        <w:t>an</w:t>
      </w:r>
      <w:r w:rsidR="005B2A41">
        <w:t xml:space="preserve"> </w:t>
      </w:r>
      <w:r w:rsidRPr="00B02247">
        <w:t>appeal</w:t>
      </w:r>
      <w:r w:rsidR="005B2A41">
        <w:t xml:space="preserve"> </w:t>
      </w:r>
      <w:r w:rsidRPr="00B02247">
        <w:t>before</w:t>
      </w:r>
      <w:r w:rsidR="005B2A41">
        <w:t xml:space="preserve"> </w:t>
      </w:r>
      <w:r w:rsidRPr="00B02247">
        <w:t>the</w:t>
      </w:r>
      <w:r w:rsidR="005B2A41">
        <w:t xml:space="preserve"> </w:t>
      </w:r>
      <w:r w:rsidRPr="00B02247">
        <w:t>competent</w:t>
      </w:r>
      <w:r w:rsidR="005B2A41">
        <w:t xml:space="preserve"> </w:t>
      </w:r>
      <w:r w:rsidRPr="00B02247">
        <w:t>administrative</w:t>
      </w:r>
      <w:r w:rsidR="005B2A41">
        <w:t xml:space="preserve"> </w:t>
      </w:r>
      <w:r w:rsidRPr="00B02247">
        <w:t>or</w:t>
      </w:r>
      <w:r w:rsidR="005B2A41">
        <w:t xml:space="preserve"> </w:t>
      </w:r>
      <w:r w:rsidRPr="00B02247">
        <w:t>judicial</w:t>
      </w:r>
      <w:r w:rsidR="005B2A41">
        <w:t xml:space="preserve"> </w:t>
      </w:r>
      <w:r w:rsidRPr="00B02247">
        <w:t>authorities.</w:t>
      </w:r>
      <w:r w:rsidR="005B2A41">
        <w:t xml:space="preserve"> </w:t>
      </w:r>
      <w:r w:rsidRPr="00B02247">
        <w:t>They</w:t>
      </w:r>
      <w:r w:rsidR="005B2A41">
        <w:t xml:space="preserve"> </w:t>
      </w:r>
      <w:r w:rsidRPr="00B02247">
        <w:t>may</w:t>
      </w:r>
      <w:r w:rsidR="005B2A41">
        <w:t xml:space="preserve"> </w:t>
      </w:r>
      <w:r w:rsidRPr="00B02247">
        <w:t>also</w:t>
      </w:r>
      <w:r w:rsidR="005B2A41">
        <w:t xml:space="preserve"> </w:t>
      </w:r>
      <w:r w:rsidRPr="00B02247">
        <w:t>intervene</w:t>
      </w:r>
      <w:r w:rsidR="005B2A41">
        <w:t xml:space="preserve"> </w:t>
      </w:r>
      <w:r w:rsidRPr="00B02247">
        <w:t>to</w:t>
      </w:r>
      <w:r w:rsidR="005B2A41">
        <w:t xml:space="preserve"> </w:t>
      </w:r>
      <w:r w:rsidRPr="00B02247">
        <w:t>his</w:t>
      </w:r>
      <w:r w:rsidR="005B2A41">
        <w:t xml:space="preserve"> </w:t>
      </w:r>
      <w:r w:rsidRPr="00B02247">
        <w:t>or</w:t>
      </w:r>
      <w:r w:rsidR="005B2A41">
        <w:t xml:space="preserve"> </w:t>
      </w:r>
      <w:r w:rsidRPr="00B02247">
        <w:t>her</w:t>
      </w:r>
      <w:r w:rsidR="005B2A41">
        <w:t xml:space="preserve"> </w:t>
      </w:r>
      <w:r w:rsidRPr="00B02247">
        <w:t>defense</w:t>
      </w:r>
      <w:r w:rsidR="005B2A41">
        <w:t xml:space="preserve"> </w:t>
      </w:r>
      <w:r w:rsidRPr="00B02247">
        <w:t>before</w:t>
      </w:r>
      <w:r w:rsidR="005B2A41">
        <w:t xml:space="preserve"> </w:t>
      </w:r>
      <w:r w:rsidRPr="00B02247">
        <w:t>the</w:t>
      </w:r>
      <w:r w:rsidR="005B2A41">
        <w:t xml:space="preserve"> </w:t>
      </w:r>
      <w:r w:rsidRPr="00B02247">
        <w:t>administrative</w:t>
      </w:r>
      <w:r w:rsidR="005B2A41">
        <w:t xml:space="preserve"> </w:t>
      </w:r>
      <w:r w:rsidRPr="00B02247">
        <w:t>or</w:t>
      </w:r>
      <w:r w:rsidR="005B2A41">
        <w:t xml:space="preserve"> </w:t>
      </w:r>
      <w:r w:rsidRPr="00B02247">
        <w:t>judicial</w:t>
      </w:r>
      <w:r w:rsidR="005B2A41">
        <w:t xml:space="preserve"> </w:t>
      </w:r>
      <w:r w:rsidRPr="00B02247">
        <w:t>authorities.</w:t>
      </w:r>
      <w:r w:rsidR="005B2A41">
        <w:t xml:space="preserve"> </w:t>
      </w:r>
      <w:r w:rsidRPr="00B02247">
        <w:t>Finally,</w:t>
      </w:r>
      <w:r w:rsidR="005B2A41">
        <w:t xml:space="preserve"> </w:t>
      </w:r>
      <w:r w:rsidRPr="00B02247">
        <w:t>the</w:t>
      </w:r>
      <w:r w:rsidR="005B2A41">
        <w:t xml:space="preserve"> </w:t>
      </w:r>
      <w:r w:rsidRPr="00B02247">
        <w:t>law</w:t>
      </w:r>
      <w:r w:rsidR="005B2A41">
        <w:t xml:space="preserve"> </w:t>
      </w:r>
      <w:r w:rsidRPr="00B02247">
        <w:t>provides</w:t>
      </w:r>
      <w:r w:rsidR="005B2A41">
        <w:t xml:space="preserve"> </w:t>
      </w:r>
      <w:r w:rsidRPr="00B02247">
        <w:t>for</w:t>
      </w:r>
      <w:r w:rsidR="005B2A41">
        <w:t xml:space="preserve"> </w:t>
      </w:r>
      <w:r w:rsidRPr="00B02247">
        <w:t>the</w:t>
      </w:r>
      <w:r w:rsidR="005B2A41">
        <w:t xml:space="preserve"> </w:t>
      </w:r>
      <w:r w:rsidRPr="00B02247">
        <w:t>reversal</w:t>
      </w:r>
      <w:r w:rsidR="005B2A41">
        <w:t xml:space="preserve"> </w:t>
      </w:r>
      <w:r w:rsidRPr="00B02247">
        <w:t>of</w:t>
      </w:r>
      <w:r w:rsidR="005B2A41">
        <w:t xml:space="preserve"> </w:t>
      </w:r>
      <w:r w:rsidRPr="00B02247">
        <w:t>the</w:t>
      </w:r>
      <w:r w:rsidR="005B2A41">
        <w:t xml:space="preserve"> </w:t>
      </w:r>
      <w:r w:rsidRPr="00B02247">
        <w:t>burden</w:t>
      </w:r>
      <w:r w:rsidR="005B2A41">
        <w:t xml:space="preserve"> </w:t>
      </w:r>
      <w:r w:rsidRPr="00B02247">
        <w:t>of</w:t>
      </w:r>
      <w:r w:rsidR="005B2A41">
        <w:t xml:space="preserve"> </w:t>
      </w:r>
      <w:r w:rsidRPr="00B02247">
        <w:t>evidence</w:t>
      </w:r>
      <w:r w:rsidR="005B2A41">
        <w:t xml:space="preserve"> </w:t>
      </w:r>
      <w:r w:rsidRPr="00B02247">
        <w:t>in</w:t>
      </w:r>
      <w:r w:rsidR="005B2A41">
        <w:t xml:space="preserve"> </w:t>
      </w:r>
      <w:r w:rsidRPr="00B02247">
        <w:t>cases</w:t>
      </w:r>
      <w:r w:rsidR="005B2A41">
        <w:t xml:space="preserve"> </w:t>
      </w:r>
      <w:r w:rsidRPr="00B02247">
        <w:t>of</w:t>
      </w:r>
      <w:r w:rsidR="005B2A41">
        <w:t xml:space="preserve"> </w:t>
      </w:r>
      <w:r w:rsidRPr="00B02247">
        <w:t>gender-based</w:t>
      </w:r>
      <w:r w:rsidR="005B2A41">
        <w:t xml:space="preserve"> </w:t>
      </w:r>
      <w:r w:rsidRPr="00B02247">
        <w:t>discrimination</w:t>
      </w:r>
      <w:r w:rsidR="005B2A41">
        <w:t xml:space="preserve"> </w:t>
      </w:r>
      <w:r w:rsidRPr="00B02247">
        <w:t>(with</w:t>
      </w:r>
      <w:r w:rsidR="005B2A41">
        <w:t xml:space="preserve"> </w:t>
      </w:r>
      <w:r w:rsidRPr="00B02247">
        <w:t>the</w:t>
      </w:r>
      <w:r w:rsidR="005B2A41">
        <w:t xml:space="preserve"> </w:t>
      </w:r>
      <w:r w:rsidRPr="00B02247">
        <w:t>exceptions</w:t>
      </w:r>
      <w:r w:rsidR="005B2A41">
        <w:t xml:space="preserve"> </w:t>
      </w:r>
      <w:r w:rsidRPr="00B02247">
        <w:t>of</w:t>
      </w:r>
      <w:r w:rsidR="005B2A41">
        <w:t xml:space="preserve"> </w:t>
      </w:r>
      <w:r w:rsidRPr="00B02247">
        <w:t>criminal</w:t>
      </w:r>
      <w:r w:rsidR="005B2A41">
        <w:t xml:space="preserve"> </w:t>
      </w:r>
      <w:r w:rsidRPr="00B02247">
        <w:t>law</w:t>
      </w:r>
      <w:r w:rsidR="005B2A41">
        <w:t xml:space="preserve"> </w:t>
      </w:r>
      <w:r w:rsidRPr="00B02247">
        <w:t>cases).</w:t>
      </w:r>
    </w:p>
    <w:p w:rsidR="00F233AB" w:rsidRPr="00B02247" w:rsidRDefault="00F233AB" w:rsidP="00E1307D">
      <w:pPr>
        <w:pStyle w:val="SingleTxtG"/>
      </w:pPr>
      <w:r w:rsidRPr="00B02247">
        <w:t>188.</w:t>
      </w:r>
      <w:r w:rsidRPr="00B02247">
        <w:tab/>
        <w:t>The</w:t>
      </w:r>
      <w:r w:rsidR="005B2A41">
        <w:t xml:space="preserve"> </w:t>
      </w:r>
      <w:r w:rsidRPr="00B02247">
        <w:t>Greek</w:t>
      </w:r>
      <w:r w:rsidR="005B2A41">
        <w:t xml:space="preserve"> </w:t>
      </w:r>
      <w:r w:rsidRPr="00B02247">
        <w:t>Ombudsman</w:t>
      </w:r>
      <w:r w:rsidR="005B2A41">
        <w:t xml:space="preserve"> </w:t>
      </w:r>
      <w:r w:rsidRPr="00B02247">
        <w:t>has</w:t>
      </w:r>
      <w:r w:rsidR="005B2A41">
        <w:t xml:space="preserve"> </w:t>
      </w:r>
      <w:r w:rsidRPr="00B02247">
        <w:t>been</w:t>
      </w:r>
      <w:r w:rsidR="005B2A41">
        <w:t xml:space="preserve"> </w:t>
      </w:r>
      <w:r w:rsidRPr="00B02247">
        <w:t>appointed</w:t>
      </w:r>
      <w:r w:rsidR="005B2A41">
        <w:t xml:space="preserve"> </w:t>
      </w:r>
      <w:r w:rsidRPr="00B02247">
        <w:t>as</w:t>
      </w:r>
      <w:r w:rsidR="005B2A41">
        <w:t xml:space="preserve"> </w:t>
      </w:r>
      <w:r w:rsidRPr="00B02247">
        <w:t>the</w:t>
      </w:r>
      <w:r w:rsidR="005B2A41">
        <w:t xml:space="preserve"> </w:t>
      </w:r>
      <w:r w:rsidRPr="00B02247">
        <w:t>competent</w:t>
      </w:r>
      <w:r w:rsidR="005B2A41">
        <w:t xml:space="preserve"> </w:t>
      </w:r>
      <w:r w:rsidRPr="00B02247">
        <w:t>body</w:t>
      </w:r>
      <w:r w:rsidR="005B2A41">
        <w:t xml:space="preserve"> </w:t>
      </w:r>
      <w:r w:rsidRPr="00B02247">
        <w:t>to</w:t>
      </w:r>
      <w:r w:rsidR="005B2A41">
        <w:t xml:space="preserve"> </w:t>
      </w:r>
      <w:r w:rsidRPr="00B02247">
        <w:t>monitor</w:t>
      </w:r>
      <w:r w:rsidR="005B2A41">
        <w:t xml:space="preserve"> </w:t>
      </w:r>
      <w:r w:rsidRPr="00B02247">
        <w:t>the</w:t>
      </w:r>
      <w:r w:rsidR="005B2A41">
        <w:t xml:space="preserve"> </w:t>
      </w:r>
      <w:r w:rsidRPr="00B02247">
        <w:t>implementation</w:t>
      </w:r>
      <w:r w:rsidR="005B2A41">
        <w:t xml:space="preserve"> </w:t>
      </w:r>
      <w:r w:rsidRPr="00B02247">
        <w:t>of</w:t>
      </w:r>
      <w:r w:rsidR="005B2A41">
        <w:t xml:space="preserve"> </w:t>
      </w:r>
      <w:r w:rsidRPr="00B02247">
        <w:t>the</w:t>
      </w:r>
      <w:r w:rsidR="005B2A41">
        <w:t xml:space="preserve"> </w:t>
      </w:r>
      <w:r w:rsidRPr="00B02247">
        <w:t>principle</w:t>
      </w:r>
      <w:r w:rsidR="005B2A41">
        <w:t xml:space="preserve"> </w:t>
      </w:r>
      <w:r w:rsidRPr="00B02247">
        <w:t>of</w:t>
      </w:r>
      <w:r w:rsidR="005B2A41">
        <w:t xml:space="preserve"> </w:t>
      </w:r>
      <w:r w:rsidRPr="00B02247">
        <w:t>equal</w:t>
      </w:r>
      <w:r w:rsidR="005B2A41">
        <w:t xml:space="preserve"> </w:t>
      </w:r>
      <w:r w:rsidRPr="00B02247">
        <w:t>opportunities</w:t>
      </w:r>
      <w:r w:rsidR="005B2A41">
        <w:t xml:space="preserve"> </w:t>
      </w:r>
      <w:r w:rsidRPr="00B02247">
        <w:t>and</w:t>
      </w:r>
      <w:r w:rsidR="005B2A41">
        <w:t xml:space="preserve"> </w:t>
      </w:r>
      <w:r w:rsidRPr="00B02247">
        <w:t>equal</w:t>
      </w:r>
      <w:r w:rsidR="005B2A41">
        <w:t xml:space="preserve"> </w:t>
      </w:r>
      <w:r w:rsidRPr="00B02247">
        <w:t>treatment</w:t>
      </w:r>
      <w:r w:rsidR="005B2A41">
        <w:t xml:space="preserve"> </w:t>
      </w:r>
      <w:r w:rsidRPr="00B02247">
        <w:t>of</w:t>
      </w:r>
      <w:r w:rsidR="005B2A41">
        <w:t xml:space="preserve"> </w:t>
      </w:r>
      <w:r w:rsidRPr="00B02247">
        <w:t>men</w:t>
      </w:r>
      <w:r w:rsidR="005B2A41">
        <w:t xml:space="preserve"> </w:t>
      </w:r>
      <w:r w:rsidRPr="00B02247">
        <w:t>and</w:t>
      </w:r>
      <w:r w:rsidR="005B2A41">
        <w:t xml:space="preserve"> </w:t>
      </w:r>
      <w:r w:rsidRPr="00B02247">
        <w:t>women</w:t>
      </w:r>
      <w:r w:rsidR="005B2A41">
        <w:t xml:space="preserve"> </w:t>
      </w:r>
      <w:r w:rsidRPr="00B02247">
        <w:t>in</w:t>
      </w:r>
      <w:r w:rsidR="005B2A41">
        <w:t xml:space="preserve"> </w:t>
      </w:r>
      <w:r w:rsidRPr="00B02247">
        <w:t>terms</w:t>
      </w:r>
      <w:r w:rsidR="005B2A41">
        <w:t xml:space="preserve"> </w:t>
      </w:r>
      <w:r w:rsidRPr="00B02247">
        <w:t>of</w:t>
      </w:r>
      <w:r w:rsidR="005B2A41">
        <w:t xml:space="preserve"> </w:t>
      </w:r>
      <w:r w:rsidRPr="00B02247">
        <w:t>access</w:t>
      </w:r>
      <w:r w:rsidR="005B2A41">
        <w:t xml:space="preserve"> </w:t>
      </w:r>
      <w:r w:rsidRPr="00B02247">
        <w:t>to</w:t>
      </w:r>
      <w:r w:rsidR="005B2A41">
        <w:t xml:space="preserve"> </w:t>
      </w:r>
      <w:r w:rsidRPr="00B02247">
        <w:t>employment,</w:t>
      </w:r>
      <w:r w:rsidR="005B2A41">
        <w:t xml:space="preserve"> </w:t>
      </w:r>
      <w:r w:rsidRPr="00B02247">
        <w:t>vocational</w:t>
      </w:r>
      <w:r w:rsidR="005B2A41">
        <w:t xml:space="preserve"> </w:t>
      </w:r>
      <w:r w:rsidRPr="00B02247">
        <w:t>training</w:t>
      </w:r>
      <w:r w:rsidR="005B2A41">
        <w:t xml:space="preserve"> </w:t>
      </w:r>
      <w:r w:rsidRPr="00B02247">
        <w:t>and</w:t>
      </w:r>
      <w:r w:rsidR="005B2A41">
        <w:t xml:space="preserve"> </w:t>
      </w:r>
      <w:r w:rsidRPr="00B02247">
        <w:t>promotion</w:t>
      </w:r>
      <w:r w:rsidR="005B2A41">
        <w:t xml:space="preserve"> </w:t>
      </w:r>
      <w:r w:rsidRPr="00B02247">
        <w:t>and</w:t>
      </w:r>
      <w:r w:rsidR="005B2A41">
        <w:t xml:space="preserve"> </w:t>
      </w:r>
      <w:r w:rsidRPr="00B02247">
        <w:t>working</w:t>
      </w:r>
      <w:r w:rsidR="005B2A41">
        <w:t xml:space="preserve"> </w:t>
      </w:r>
      <w:r w:rsidRPr="00B02247">
        <w:t>conditions,</w:t>
      </w:r>
      <w:r w:rsidR="005B2A41">
        <w:t xml:space="preserve"> </w:t>
      </w:r>
      <w:r w:rsidRPr="00B02247">
        <w:t>while</w:t>
      </w:r>
      <w:r w:rsidR="005B2A41">
        <w:t xml:space="preserve"> </w:t>
      </w:r>
      <w:r w:rsidRPr="00B02247">
        <w:t>a</w:t>
      </w:r>
      <w:r w:rsidR="005B2A41">
        <w:t xml:space="preserve"> </w:t>
      </w:r>
      <w:r w:rsidRPr="00B02247">
        <w:t>special</w:t>
      </w:r>
      <w:r w:rsidR="005B2A41">
        <w:t xml:space="preserve"> </w:t>
      </w:r>
      <w:r w:rsidRPr="00B02247">
        <w:t>cooperative</w:t>
      </w:r>
      <w:r w:rsidR="005B2A41">
        <w:t xml:space="preserve"> </w:t>
      </w:r>
      <w:r w:rsidRPr="00B02247">
        <w:t>scheme</w:t>
      </w:r>
      <w:r w:rsidR="005B2A41">
        <w:t xml:space="preserve"> </w:t>
      </w:r>
      <w:r w:rsidRPr="00B02247">
        <w:t>with</w:t>
      </w:r>
      <w:r w:rsidR="005B2A41">
        <w:t xml:space="preserve"> </w:t>
      </w:r>
      <w:r w:rsidRPr="00B02247">
        <w:t>the</w:t>
      </w:r>
      <w:r w:rsidR="005B2A41">
        <w:t xml:space="preserve"> </w:t>
      </w:r>
      <w:r w:rsidRPr="00B02247">
        <w:t>Labour</w:t>
      </w:r>
      <w:r w:rsidR="005B2A41">
        <w:t xml:space="preserve"> </w:t>
      </w:r>
      <w:r w:rsidRPr="00B02247">
        <w:t>Inspectorate</w:t>
      </w:r>
      <w:r w:rsidR="005B2A41">
        <w:t xml:space="preserve"> </w:t>
      </w:r>
      <w:r w:rsidRPr="00B02247">
        <w:t>Authority</w:t>
      </w:r>
      <w:r w:rsidR="005B2A41">
        <w:t xml:space="preserve"> </w:t>
      </w:r>
      <w:r w:rsidRPr="00B02247">
        <w:t>has</w:t>
      </w:r>
      <w:r w:rsidR="005B2A41">
        <w:t xml:space="preserve"> </w:t>
      </w:r>
      <w:r w:rsidRPr="00B02247">
        <w:t>been</w:t>
      </w:r>
      <w:r w:rsidR="005B2A41">
        <w:t xml:space="preserve"> </w:t>
      </w:r>
      <w:r w:rsidRPr="00B02247">
        <w:t>developed,</w:t>
      </w:r>
      <w:r w:rsidR="005B2A41">
        <w:t xml:space="preserve"> </w:t>
      </w:r>
      <w:r w:rsidRPr="00B02247">
        <w:t>since</w:t>
      </w:r>
      <w:r w:rsidR="005B2A41">
        <w:t xml:space="preserve"> </w:t>
      </w:r>
      <w:r w:rsidRPr="00B02247">
        <w:t>the</w:t>
      </w:r>
      <w:r w:rsidR="005B2A41">
        <w:t xml:space="preserve"> </w:t>
      </w:r>
      <w:r w:rsidRPr="00B02247">
        <w:t>latter</w:t>
      </w:r>
      <w:r w:rsidR="005B2A41">
        <w:t xml:space="preserve"> </w:t>
      </w:r>
      <w:r w:rsidRPr="00B02247">
        <w:t>is</w:t>
      </w:r>
      <w:r w:rsidR="005B2A41">
        <w:t xml:space="preserve"> </w:t>
      </w:r>
      <w:r w:rsidRPr="00B02247">
        <w:t>the</w:t>
      </w:r>
      <w:r w:rsidR="005B2A41">
        <w:t xml:space="preserve"> </w:t>
      </w:r>
      <w:r w:rsidRPr="00B02247">
        <w:t>competent</w:t>
      </w:r>
      <w:r w:rsidR="005B2A41">
        <w:t xml:space="preserve"> </w:t>
      </w:r>
      <w:r w:rsidRPr="00B02247">
        <w:t>national</w:t>
      </w:r>
      <w:r w:rsidR="005B2A41">
        <w:t xml:space="preserve"> </w:t>
      </w:r>
      <w:r w:rsidRPr="00B02247">
        <w:t>mechanism</w:t>
      </w:r>
      <w:r w:rsidR="005B2A41">
        <w:t xml:space="preserve"> </w:t>
      </w:r>
      <w:r w:rsidRPr="00B02247">
        <w:t>for</w:t>
      </w:r>
      <w:r w:rsidR="005B2A41">
        <w:t xml:space="preserve"> </w:t>
      </w:r>
      <w:r w:rsidRPr="00B02247">
        <w:t>monitoring</w:t>
      </w:r>
      <w:r w:rsidR="005B2A41">
        <w:t xml:space="preserve"> </w:t>
      </w:r>
      <w:r w:rsidRPr="00B02247">
        <w:t>the</w:t>
      </w:r>
      <w:r w:rsidR="005B2A41">
        <w:t xml:space="preserve"> </w:t>
      </w:r>
      <w:r w:rsidRPr="00B02247">
        <w:t>implementation</w:t>
      </w:r>
      <w:r w:rsidR="005B2A41">
        <w:t xml:space="preserve"> </w:t>
      </w:r>
      <w:r w:rsidRPr="00B02247">
        <w:t>of</w:t>
      </w:r>
      <w:r w:rsidR="005B2A41">
        <w:t xml:space="preserve"> </w:t>
      </w:r>
      <w:r w:rsidRPr="00B02247">
        <w:t>the</w:t>
      </w:r>
      <w:r w:rsidR="005B2A41">
        <w:t xml:space="preserve"> </w:t>
      </w:r>
      <w:r w:rsidRPr="00B02247">
        <w:t>labor</w:t>
      </w:r>
      <w:r w:rsidR="005B2A41">
        <w:t xml:space="preserve"> </w:t>
      </w:r>
      <w:r w:rsidRPr="00B02247">
        <w:t>legislation</w:t>
      </w:r>
      <w:r w:rsidR="005B2A41">
        <w:t xml:space="preserve"> </w:t>
      </w:r>
      <w:r w:rsidRPr="00B02247">
        <w:t>as</w:t>
      </w:r>
      <w:r w:rsidR="005B2A41">
        <w:t xml:space="preserve"> </w:t>
      </w:r>
      <w:r w:rsidRPr="00B02247">
        <w:t>well</w:t>
      </w:r>
      <w:r w:rsidR="005B2A41">
        <w:t xml:space="preserve"> </w:t>
      </w:r>
      <w:r w:rsidRPr="00B02247">
        <w:t>as</w:t>
      </w:r>
      <w:r w:rsidR="005B2A41">
        <w:t xml:space="preserve"> </w:t>
      </w:r>
      <w:r w:rsidRPr="00B02247">
        <w:t>for</w:t>
      </w:r>
      <w:r w:rsidR="005B2A41">
        <w:t xml:space="preserve"> </w:t>
      </w:r>
      <w:r w:rsidRPr="00B02247">
        <w:t>imposing</w:t>
      </w:r>
      <w:r w:rsidR="005B2A41">
        <w:t xml:space="preserve"> </w:t>
      </w:r>
      <w:r w:rsidRPr="00B02247">
        <w:t>sanctions</w:t>
      </w:r>
      <w:r w:rsidR="005B2A41">
        <w:t xml:space="preserve"> </w:t>
      </w:r>
      <w:r w:rsidRPr="00B02247">
        <w:t>in</w:t>
      </w:r>
      <w:r w:rsidR="005B2A41">
        <w:t xml:space="preserve"> </w:t>
      </w:r>
      <w:r w:rsidRPr="00B02247">
        <w:t>case</w:t>
      </w:r>
      <w:r w:rsidR="005B2A41">
        <w:t xml:space="preserve"> </w:t>
      </w:r>
      <w:r w:rsidRPr="00B02247">
        <w:t>of</w:t>
      </w:r>
      <w:r w:rsidR="005B2A41">
        <w:t xml:space="preserve"> </w:t>
      </w:r>
      <w:r w:rsidRPr="00B02247">
        <w:t>non-compliance.</w:t>
      </w:r>
    </w:p>
    <w:p w:rsidR="00F233AB" w:rsidRPr="00B02247" w:rsidRDefault="00F233AB" w:rsidP="003D690C">
      <w:pPr>
        <w:pStyle w:val="H23G"/>
      </w:pPr>
      <w:r w:rsidRPr="00B02247">
        <w:tab/>
      </w:r>
      <w:r w:rsidRPr="00B02247">
        <w:tab/>
        <w:t>Educational</w:t>
      </w:r>
      <w:r w:rsidR="005B2A41">
        <w:t xml:space="preserve"> </w:t>
      </w:r>
      <w:r w:rsidRPr="00B02247">
        <w:t>programmes</w:t>
      </w:r>
      <w:r w:rsidR="005B2A41">
        <w:t xml:space="preserve"> </w:t>
      </w:r>
      <w:r w:rsidRPr="00B02247">
        <w:t>and</w:t>
      </w:r>
      <w:r w:rsidR="005B2A41">
        <w:t xml:space="preserve"> </w:t>
      </w:r>
      <w:r w:rsidRPr="00B02247">
        <w:t>public</w:t>
      </w:r>
      <w:r w:rsidR="005B2A41">
        <w:t xml:space="preserve"> </w:t>
      </w:r>
      <w:r w:rsidRPr="00B02247">
        <w:t>information</w:t>
      </w:r>
      <w:r w:rsidR="005B2A41">
        <w:t xml:space="preserve"> </w:t>
      </w:r>
      <w:r w:rsidRPr="00B02247">
        <w:t>campaigns</w:t>
      </w:r>
      <w:r w:rsidR="005B2A41">
        <w:t xml:space="preserve"> </w:t>
      </w:r>
      <w:r w:rsidRPr="00B02247">
        <w:t>to</w:t>
      </w:r>
      <w:r w:rsidR="005B2A41">
        <w:t xml:space="preserve"> </w:t>
      </w:r>
      <w:r w:rsidRPr="00B02247">
        <w:t>eliminate</w:t>
      </w:r>
      <w:r w:rsidR="005B2A41">
        <w:t xml:space="preserve"> </w:t>
      </w:r>
      <w:r w:rsidRPr="00B02247">
        <w:t>negative</w:t>
      </w:r>
      <w:r w:rsidR="005B2A41">
        <w:t xml:space="preserve"> </w:t>
      </w:r>
      <w:r w:rsidRPr="00B02247">
        <w:t>attitudes</w:t>
      </w:r>
      <w:r w:rsidR="005B2A41">
        <w:t xml:space="preserve"> </w:t>
      </w:r>
      <w:r w:rsidRPr="00B02247">
        <w:t>and</w:t>
      </w:r>
      <w:r w:rsidR="005B2A41">
        <w:t xml:space="preserve"> </w:t>
      </w:r>
      <w:r w:rsidRPr="00B02247">
        <w:t>prejudice</w:t>
      </w:r>
      <w:r w:rsidR="005B2A41">
        <w:t xml:space="preserve"> </w:t>
      </w:r>
    </w:p>
    <w:p w:rsidR="00F233AB" w:rsidRPr="00B02247" w:rsidRDefault="00F233AB" w:rsidP="00E1307D">
      <w:pPr>
        <w:pStyle w:val="SingleTxtG"/>
      </w:pPr>
      <w:r w:rsidRPr="00B02247">
        <w:t>189.</w:t>
      </w:r>
      <w:r w:rsidRPr="00B02247">
        <w:tab/>
        <w:t>Following</w:t>
      </w:r>
      <w:r w:rsidR="005B2A41">
        <w:t xml:space="preserve"> </w:t>
      </w:r>
      <w:r w:rsidRPr="00B02247">
        <w:t>the</w:t>
      </w:r>
      <w:r w:rsidR="005B2A41">
        <w:t xml:space="preserve"> </w:t>
      </w:r>
      <w:r w:rsidRPr="00B02247">
        <w:t>Protocol</w:t>
      </w:r>
      <w:r w:rsidR="005B2A41">
        <w:t xml:space="preserve"> </w:t>
      </w:r>
      <w:r w:rsidRPr="00B02247">
        <w:t>of</w:t>
      </w:r>
      <w:r w:rsidR="005B2A41">
        <w:t xml:space="preserve"> </w:t>
      </w:r>
      <w:r w:rsidRPr="00B02247">
        <w:t>Cooperation</w:t>
      </w:r>
      <w:r w:rsidR="005B2A41">
        <w:t xml:space="preserve"> </w:t>
      </w:r>
      <w:r w:rsidRPr="00B02247">
        <w:t>signed</w:t>
      </w:r>
      <w:r w:rsidR="005B2A41">
        <w:t xml:space="preserve"> </w:t>
      </w:r>
      <w:r w:rsidRPr="00B02247">
        <w:t>in</w:t>
      </w:r>
      <w:r w:rsidR="005B2A41">
        <w:t xml:space="preserve"> </w:t>
      </w:r>
      <w:r w:rsidRPr="00B02247">
        <w:t>July</w:t>
      </w:r>
      <w:r w:rsidR="005B2A41">
        <w:t xml:space="preserve"> </w:t>
      </w:r>
      <w:r w:rsidRPr="00B02247">
        <w:t>2015</w:t>
      </w:r>
      <w:r w:rsidR="005B2A41">
        <w:t xml:space="preserve"> </w:t>
      </w:r>
      <w:r w:rsidRPr="00B02247">
        <w:t>between</w:t>
      </w:r>
      <w:r w:rsidR="005B2A41">
        <w:t xml:space="preserve"> </w:t>
      </w:r>
      <w:r w:rsidRPr="00B02247">
        <w:t>the</w:t>
      </w:r>
      <w:r w:rsidR="005B2A41">
        <w:t xml:space="preserve"> </w:t>
      </w:r>
      <w:r w:rsidRPr="00B02247">
        <w:t>General</w:t>
      </w:r>
      <w:r w:rsidR="005B2A41">
        <w:t xml:space="preserve"> </w:t>
      </w:r>
      <w:r w:rsidRPr="00B02247">
        <w:t>Secretariat</w:t>
      </w:r>
      <w:r w:rsidR="005B2A41">
        <w:t xml:space="preserve"> </w:t>
      </w:r>
      <w:r w:rsidRPr="00B02247">
        <w:t>for</w:t>
      </w:r>
      <w:r w:rsidR="005B2A41">
        <w:t xml:space="preserve"> </w:t>
      </w:r>
      <w:r w:rsidRPr="00B02247">
        <w:t>Gender</w:t>
      </w:r>
      <w:r w:rsidR="005B2A41">
        <w:t xml:space="preserve"> </w:t>
      </w:r>
      <w:r w:rsidRPr="00B02247">
        <w:t>Equality</w:t>
      </w:r>
      <w:r w:rsidR="005B2A41">
        <w:t xml:space="preserve"> </w:t>
      </w:r>
      <w:r w:rsidRPr="00B02247">
        <w:t>(GSGE)</w:t>
      </w:r>
      <w:r w:rsidR="005B2A41">
        <w:t xml:space="preserve"> </w:t>
      </w:r>
      <w:r w:rsidRPr="00B02247">
        <w:t>and</w:t>
      </w:r>
      <w:r w:rsidR="005B2A41">
        <w:t xml:space="preserve"> </w:t>
      </w:r>
      <w:r w:rsidRPr="00B02247">
        <w:t>the</w:t>
      </w:r>
      <w:r w:rsidR="005B2A41">
        <w:t xml:space="preserve"> </w:t>
      </w:r>
      <w:r w:rsidRPr="00B02247">
        <w:t>Ministry</w:t>
      </w:r>
      <w:r w:rsidR="005B2A41">
        <w:t xml:space="preserve"> </w:t>
      </w:r>
      <w:r w:rsidRPr="00B02247">
        <w:t>of</w:t>
      </w:r>
      <w:r w:rsidR="005B2A41">
        <w:t xml:space="preserve"> </w:t>
      </w:r>
      <w:r w:rsidRPr="00B02247">
        <w:t>Education,</w:t>
      </w:r>
      <w:r w:rsidR="005B2A41">
        <w:t xml:space="preserve"> </w:t>
      </w:r>
      <w:r w:rsidRPr="00B02247">
        <w:t>1.142</w:t>
      </w:r>
      <w:r w:rsidR="005B2A41">
        <w:t xml:space="preserve"> </w:t>
      </w:r>
      <w:r w:rsidRPr="00B02247">
        <w:t>primary</w:t>
      </w:r>
      <w:r w:rsidR="005B2A41">
        <w:t xml:space="preserve"> </w:t>
      </w:r>
      <w:r w:rsidRPr="00B02247">
        <w:t>and</w:t>
      </w:r>
      <w:r w:rsidR="005B2A41">
        <w:t xml:space="preserve"> </w:t>
      </w:r>
      <w:r w:rsidRPr="00B02247">
        <w:t>secondary</w:t>
      </w:r>
      <w:r w:rsidR="005B2A41">
        <w:t xml:space="preserve"> </w:t>
      </w:r>
      <w:r w:rsidRPr="00B02247">
        <w:t>school</w:t>
      </w:r>
      <w:r w:rsidR="005B2A41">
        <w:t xml:space="preserve"> </w:t>
      </w:r>
      <w:r w:rsidRPr="00B02247">
        <w:t>students</w:t>
      </w:r>
      <w:r w:rsidR="005B2A41">
        <w:t xml:space="preserve"> </w:t>
      </w:r>
      <w:r w:rsidRPr="00B02247">
        <w:t>were</w:t>
      </w:r>
      <w:r w:rsidR="005B2A41">
        <w:t xml:space="preserve"> </w:t>
      </w:r>
      <w:r w:rsidRPr="00B02247">
        <w:t>educated</w:t>
      </w:r>
      <w:r w:rsidR="005B2A41">
        <w:t xml:space="preserve"> </w:t>
      </w:r>
      <w:r w:rsidRPr="00B02247">
        <w:t>in</w:t>
      </w:r>
      <w:r w:rsidR="005B2A41">
        <w:t xml:space="preserve"> </w:t>
      </w:r>
      <w:r w:rsidRPr="00B02247">
        <w:t>gender</w:t>
      </w:r>
      <w:r w:rsidR="005B2A41">
        <w:t xml:space="preserve"> </w:t>
      </w:r>
      <w:r w:rsidRPr="00B02247">
        <w:t>equality</w:t>
      </w:r>
      <w:r w:rsidR="005B2A41">
        <w:t xml:space="preserve"> </w:t>
      </w:r>
      <w:r w:rsidRPr="00B02247">
        <w:t>issues</w:t>
      </w:r>
      <w:r w:rsidR="005B2A41">
        <w:t xml:space="preserve"> </w:t>
      </w:r>
      <w:r w:rsidRPr="00B02247">
        <w:t>in</w:t>
      </w:r>
      <w:r w:rsidR="005B2A41">
        <w:t xml:space="preserve"> </w:t>
      </w:r>
      <w:r w:rsidRPr="00B02247">
        <w:t>14</w:t>
      </w:r>
      <w:r w:rsidR="005B2A41">
        <w:t xml:space="preserve"> </w:t>
      </w:r>
      <w:r w:rsidRPr="00B02247">
        <w:t>schools</w:t>
      </w:r>
      <w:r w:rsidR="005B2A41">
        <w:t xml:space="preserve"> </w:t>
      </w:r>
      <w:r w:rsidRPr="00B02247">
        <w:t>of</w:t>
      </w:r>
      <w:r w:rsidR="005B2A41">
        <w:t xml:space="preserve"> </w:t>
      </w:r>
      <w:r w:rsidRPr="00B02247">
        <w:t>Athens.</w:t>
      </w:r>
      <w:r w:rsidR="005B2A41">
        <w:t xml:space="preserve"> </w:t>
      </w:r>
      <w:r w:rsidRPr="00B02247">
        <w:t>Primary</w:t>
      </w:r>
      <w:r w:rsidR="005B2A41">
        <w:t xml:space="preserve"> </w:t>
      </w:r>
      <w:r w:rsidRPr="00B02247">
        <w:t>and</w:t>
      </w:r>
      <w:r w:rsidR="005B2A41">
        <w:t xml:space="preserve"> </w:t>
      </w:r>
      <w:r w:rsidRPr="00B02247">
        <w:t>secondary</w:t>
      </w:r>
      <w:r w:rsidR="005B2A41">
        <w:t xml:space="preserve"> </w:t>
      </w:r>
      <w:r w:rsidRPr="00B02247">
        <w:t>school</w:t>
      </w:r>
      <w:r w:rsidR="005B2A41">
        <w:t xml:space="preserve"> </w:t>
      </w:r>
      <w:r w:rsidRPr="00B02247">
        <w:t>students</w:t>
      </w:r>
      <w:r w:rsidR="005B2A41">
        <w:t xml:space="preserve"> </w:t>
      </w:r>
      <w:r w:rsidRPr="00B02247">
        <w:t>have</w:t>
      </w:r>
      <w:r w:rsidR="005B2A41">
        <w:t xml:space="preserve"> </w:t>
      </w:r>
      <w:r w:rsidRPr="00B02247">
        <w:t>regularly</w:t>
      </w:r>
      <w:r w:rsidR="005B2A41">
        <w:t xml:space="preserve"> </w:t>
      </w:r>
      <w:r w:rsidRPr="00B02247">
        <w:t>visited</w:t>
      </w:r>
      <w:r w:rsidR="005B2A41">
        <w:t xml:space="preserve"> </w:t>
      </w:r>
      <w:r w:rsidRPr="00B02247">
        <w:t>the</w:t>
      </w:r>
      <w:r w:rsidR="005B2A41">
        <w:t xml:space="preserve"> </w:t>
      </w:r>
      <w:r w:rsidRPr="00B02247">
        <w:t>premises</w:t>
      </w:r>
      <w:r w:rsidR="005B2A41">
        <w:t xml:space="preserve"> </w:t>
      </w:r>
      <w:r w:rsidRPr="00B02247">
        <w:t>of</w:t>
      </w:r>
      <w:r w:rsidR="005B2A41">
        <w:t xml:space="preserve"> </w:t>
      </w:r>
      <w:r w:rsidRPr="00B02247">
        <w:t>the</w:t>
      </w:r>
      <w:r w:rsidR="005B2A41">
        <w:t xml:space="preserve"> </w:t>
      </w:r>
      <w:r w:rsidRPr="00B02247">
        <w:t>General</w:t>
      </w:r>
      <w:r w:rsidR="005B2A41">
        <w:t xml:space="preserve"> </w:t>
      </w:r>
      <w:r w:rsidRPr="00B02247">
        <w:t>Secretariat</w:t>
      </w:r>
      <w:r w:rsidR="005B2A41">
        <w:t xml:space="preserve"> </w:t>
      </w:r>
      <w:r w:rsidRPr="00B02247">
        <w:t>for</w:t>
      </w:r>
      <w:r w:rsidR="005B2A41">
        <w:t xml:space="preserve"> </w:t>
      </w:r>
      <w:r w:rsidRPr="00B02247">
        <w:t>Gender</w:t>
      </w:r>
      <w:r w:rsidR="005B2A41">
        <w:t xml:space="preserve"> </w:t>
      </w:r>
      <w:r w:rsidRPr="00B02247">
        <w:t>Equality</w:t>
      </w:r>
      <w:r w:rsidR="005B2A41">
        <w:t xml:space="preserve"> </w:t>
      </w:r>
      <w:r w:rsidRPr="00B02247">
        <w:t>and</w:t>
      </w:r>
      <w:r w:rsidR="005B2A41">
        <w:t xml:space="preserve"> </w:t>
      </w:r>
      <w:r w:rsidRPr="00B02247">
        <w:t>were</w:t>
      </w:r>
      <w:r w:rsidR="005B2A41">
        <w:t xml:space="preserve"> </w:t>
      </w:r>
      <w:r w:rsidRPr="00B02247">
        <w:t>informed</w:t>
      </w:r>
      <w:r w:rsidR="005B2A41">
        <w:t xml:space="preserve"> </w:t>
      </w:r>
      <w:r w:rsidRPr="00B02247">
        <w:t>about</w:t>
      </w:r>
      <w:r w:rsidR="005B2A41">
        <w:t xml:space="preserve"> </w:t>
      </w:r>
      <w:r w:rsidRPr="00B02247">
        <w:t>gender</w:t>
      </w:r>
      <w:r w:rsidR="005B2A41">
        <w:t xml:space="preserve"> </w:t>
      </w:r>
      <w:r w:rsidRPr="00B02247">
        <w:t>equality</w:t>
      </w:r>
      <w:r w:rsidR="005B2A41">
        <w:t xml:space="preserve"> </w:t>
      </w:r>
      <w:r w:rsidRPr="00B02247">
        <w:t>issues</w:t>
      </w:r>
      <w:r w:rsidR="005B2A41">
        <w:t xml:space="preserve"> </w:t>
      </w:r>
      <w:r w:rsidRPr="00B02247">
        <w:t>by</w:t>
      </w:r>
      <w:r w:rsidR="005B2A41">
        <w:t xml:space="preserve"> </w:t>
      </w:r>
      <w:r w:rsidRPr="00B02247">
        <w:t>the</w:t>
      </w:r>
      <w:r w:rsidR="005B2A41">
        <w:t xml:space="preserve"> </w:t>
      </w:r>
      <w:r w:rsidRPr="00B02247">
        <w:t>gender</w:t>
      </w:r>
      <w:r w:rsidR="005B2A41">
        <w:t xml:space="preserve"> </w:t>
      </w:r>
      <w:r w:rsidRPr="00B02247">
        <w:t>experts</w:t>
      </w:r>
      <w:r w:rsidR="005B2A41">
        <w:t xml:space="preserve"> </w:t>
      </w:r>
      <w:r w:rsidRPr="00B02247">
        <w:t>of</w:t>
      </w:r>
      <w:r w:rsidR="005B2A41">
        <w:t xml:space="preserve"> </w:t>
      </w:r>
      <w:r w:rsidRPr="00B02247">
        <w:t>the</w:t>
      </w:r>
      <w:r w:rsidR="005B2A41">
        <w:t xml:space="preserve"> </w:t>
      </w:r>
      <w:r w:rsidRPr="00B02247">
        <w:t>GSGE.</w:t>
      </w:r>
    </w:p>
    <w:p w:rsidR="00F233AB" w:rsidRPr="00B02247" w:rsidRDefault="00F233AB" w:rsidP="00E1307D">
      <w:pPr>
        <w:pStyle w:val="SingleTxtG"/>
      </w:pPr>
      <w:r w:rsidRPr="00B02247">
        <w:t>190.</w:t>
      </w:r>
      <w:r w:rsidRPr="00B02247">
        <w:tab/>
        <w:t>In</w:t>
      </w:r>
      <w:r w:rsidR="005B2A41">
        <w:t xml:space="preserve"> </w:t>
      </w:r>
      <w:r w:rsidRPr="00B02247">
        <w:t>cooperation</w:t>
      </w:r>
      <w:r w:rsidR="005B2A41">
        <w:t xml:space="preserve"> </w:t>
      </w:r>
      <w:r w:rsidRPr="00B02247">
        <w:t>with</w:t>
      </w:r>
      <w:r w:rsidR="005B2A41">
        <w:t xml:space="preserve"> </w:t>
      </w:r>
      <w:r w:rsidRPr="00B02247">
        <w:t>Helena</w:t>
      </w:r>
      <w:r w:rsidR="003E731F">
        <w:t>’</w:t>
      </w:r>
      <w:r w:rsidRPr="00B02247">
        <w:t>s</w:t>
      </w:r>
      <w:r w:rsidR="005B2A41">
        <w:t xml:space="preserve"> </w:t>
      </w:r>
      <w:r w:rsidRPr="00B02247">
        <w:t>Maternity</w:t>
      </w:r>
      <w:r w:rsidR="005B2A41">
        <w:t xml:space="preserve"> </w:t>
      </w:r>
      <w:r w:rsidRPr="00B02247">
        <w:t>Hospital</w:t>
      </w:r>
      <w:r w:rsidR="005B2A41">
        <w:t xml:space="preserve"> </w:t>
      </w:r>
      <w:r w:rsidRPr="00B02247">
        <w:t>of</w:t>
      </w:r>
      <w:r w:rsidR="005B2A41">
        <w:t xml:space="preserve"> </w:t>
      </w:r>
      <w:r w:rsidRPr="00B02247">
        <w:t>Athens</w:t>
      </w:r>
      <w:r w:rsidR="005B2A41">
        <w:t xml:space="preserve"> </w:t>
      </w:r>
      <w:r w:rsidRPr="00B02247">
        <w:t>and</w:t>
      </w:r>
      <w:r w:rsidR="005B2A41">
        <w:t xml:space="preserve"> </w:t>
      </w:r>
      <w:r w:rsidRPr="00B02247">
        <w:t>Ministry</w:t>
      </w:r>
      <w:r w:rsidR="005B2A41">
        <w:t xml:space="preserve"> </w:t>
      </w:r>
      <w:r w:rsidRPr="00B02247">
        <w:t>of</w:t>
      </w:r>
      <w:r w:rsidR="005B2A41">
        <w:t xml:space="preserve"> </w:t>
      </w:r>
      <w:r w:rsidRPr="00B02247">
        <w:t>Education,</w:t>
      </w:r>
      <w:r w:rsidR="005B2A41">
        <w:t xml:space="preserve"> </w:t>
      </w:r>
      <w:r w:rsidRPr="00B02247">
        <w:t>the</w:t>
      </w:r>
      <w:r w:rsidR="005B2A41">
        <w:t xml:space="preserve"> </w:t>
      </w:r>
      <w:r w:rsidRPr="00B02247">
        <w:t>GSGE</w:t>
      </w:r>
      <w:r w:rsidR="005B2A41">
        <w:t xml:space="preserve"> </w:t>
      </w:r>
      <w:r w:rsidRPr="00B02247">
        <w:t>continued</w:t>
      </w:r>
      <w:r w:rsidR="005B2A41">
        <w:t xml:space="preserve"> </w:t>
      </w:r>
      <w:r w:rsidRPr="00B02247">
        <w:t>to</w:t>
      </w:r>
      <w:r w:rsidR="005B2A41">
        <w:t xml:space="preserve"> </w:t>
      </w:r>
      <w:r w:rsidRPr="00B02247">
        <w:t>offer</w:t>
      </w:r>
      <w:r w:rsidR="005B2A41">
        <w:t xml:space="preserve"> </w:t>
      </w:r>
      <w:r w:rsidRPr="00B02247">
        <w:t>information</w:t>
      </w:r>
      <w:r w:rsidR="005B2A41">
        <w:t xml:space="preserve"> </w:t>
      </w:r>
      <w:r w:rsidRPr="00B02247">
        <w:t>on</w:t>
      </w:r>
      <w:r w:rsidR="005B2A41">
        <w:t xml:space="preserve"> </w:t>
      </w:r>
      <w:r w:rsidRPr="00B02247">
        <w:t>sexual</w:t>
      </w:r>
      <w:r w:rsidR="005B2A41">
        <w:t xml:space="preserve"> </w:t>
      </w:r>
      <w:r w:rsidRPr="00B02247">
        <w:t>and</w:t>
      </w:r>
      <w:r w:rsidR="005B2A41">
        <w:t xml:space="preserve"> </w:t>
      </w:r>
      <w:r w:rsidRPr="00B02247">
        <w:t>reproductive</w:t>
      </w:r>
      <w:r w:rsidR="005B2A41">
        <w:t xml:space="preserve"> </w:t>
      </w:r>
      <w:r w:rsidRPr="00B02247">
        <w:t>health</w:t>
      </w:r>
      <w:r w:rsidR="005B2A41">
        <w:t xml:space="preserve"> </w:t>
      </w:r>
      <w:r w:rsidRPr="00B02247">
        <w:t>issues</w:t>
      </w:r>
      <w:r w:rsidR="005B2A41">
        <w:t xml:space="preserve"> </w:t>
      </w:r>
      <w:r w:rsidRPr="00B02247">
        <w:t>to</w:t>
      </w:r>
      <w:r w:rsidR="005B2A41">
        <w:t xml:space="preserve"> </w:t>
      </w:r>
      <w:r w:rsidRPr="00B02247">
        <w:t>secondary</w:t>
      </w:r>
      <w:r w:rsidR="005B2A41">
        <w:t xml:space="preserve"> </w:t>
      </w:r>
      <w:r w:rsidRPr="00B02247">
        <w:t>school</w:t>
      </w:r>
      <w:r w:rsidR="005B2A41">
        <w:t xml:space="preserve"> </w:t>
      </w:r>
      <w:r w:rsidRPr="00B02247">
        <w:t>students,</w:t>
      </w:r>
      <w:r w:rsidR="005B2A41">
        <w:t xml:space="preserve"> </w:t>
      </w:r>
      <w:r w:rsidRPr="00B02247">
        <w:t>for</w:t>
      </w:r>
      <w:r w:rsidR="005B2A41">
        <w:t xml:space="preserve"> </w:t>
      </w:r>
      <w:r w:rsidRPr="00B02247">
        <w:t>the</w:t>
      </w:r>
      <w:r w:rsidR="005B2A41">
        <w:t xml:space="preserve"> </w:t>
      </w:r>
      <w:r w:rsidRPr="00B02247">
        <w:t>year</w:t>
      </w:r>
      <w:r w:rsidR="005B2A41">
        <w:t xml:space="preserve"> </w:t>
      </w:r>
      <w:r w:rsidRPr="00B02247">
        <w:t>2015</w:t>
      </w:r>
      <w:r w:rsidR="00915034">
        <w:t>–</w:t>
      </w:r>
      <w:r w:rsidRPr="00B02247">
        <w:t>2016.</w:t>
      </w:r>
      <w:r w:rsidR="005B2A41">
        <w:t xml:space="preserve"> </w:t>
      </w:r>
    </w:p>
    <w:p w:rsidR="00F233AB" w:rsidRPr="00B02247" w:rsidRDefault="00F233AB" w:rsidP="00E1307D">
      <w:pPr>
        <w:pStyle w:val="SingleTxtG"/>
      </w:pPr>
      <w:r w:rsidRPr="00B02247">
        <w:t>191.</w:t>
      </w:r>
      <w:r w:rsidRPr="00B02247">
        <w:tab/>
        <w:t>A</w:t>
      </w:r>
      <w:r w:rsidR="005B2A41">
        <w:t xml:space="preserve"> </w:t>
      </w:r>
      <w:r w:rsidRPr="00B02247">
        <w:t>public</w:t>
      </w:r>
      <w:r w:rsidR="005B2A41">
        <w:t xml:space="preserve"> </w:t>
      </w:r>
      <w:r w:rsidRPr="00B02247">
        <w:t>awareness</w:t>
      </w:r>
      <w:r w:rsidR="005B2A41">
        <w:t xml:space="preserve"> </w:t>
      </w:r>
      <w:r w:rsidRPr="00B02247">
        <w:t>campaign</w:t>
      </w:r>
      <w:r w:rsidR="005B2A41">
        <w:t xml:space="preserve"> </w:t>
      </w:r>
      <w:r w:rsidRPr="00B02247">
        <w:t>is</w:t>
      </w:r>
      <w:r w:rsidR="005B2A41">
        <w:t xml:space="preserve"> </w:t>
      </w:r>
      <w:r w:rsidRPr="00B02247">
        <w:t>implemented</w:t>
      </w:r>
      <w:r w:rsidR="005B2A41">
        <w:t xml:space="preserve"> </w:t>
      </w:r>
      <w:r w:rsidRPr="00B02247">
        <w:t>every</w:t>
      </w:r>
      <w:r w:rsidR="005B2A41">
        <w:t xml:space="preserve"> </w:t>
      </w:r>
      <w:r w:rsidRPr="00B02247">
        <w:t>year</w:t>
      </w:r>
      <w:r w:rsidR="005B2A41">
        <w:t xml:space="preserve"> </w:t>
      </w:r>
      <w:r w:rsidRPr="00B02247">
        <w:t>including,</w:t>
      </w:r>
      <w:r w:rsidR="005B2A41">
        <w:t xml:space="preserve"> </w:t>
      </w:r>
      <w:r w:rsidRPr="00B02247">
        <w:t>promotion</w:t>
      </w:r>
      <w:r w:rsidR="005B2A41">
        <w:t xml:space="preserve"> </w:t>
      </w:r>
      <w:r w:rsidRPr="00B02247">
        <w:t>of</w:t>
      </w:r>
      <w:r w:rsidR="005B2A41">
        <w:t xml:space="preserve"> </w:t>
      </w:r>
      <w:r w:rsidRPr="00B02247">
        <w:t>informational</w:t>
      </w:r>
      <w:r w:rsidR="005B2A41">
        <w:t xml:space="preserve"> </w:t>
      </w:r>
      <w:r w:rsidRPr="00B02247">
        <w:t>material</w:t>
      </w:r>
      <w:r w:rsidR="005B2A41">
        <w:t xml:space="preserve"> </w:t>
      </w:r>
      <w:r w:rsidRPr="00B02247">
        <w:t>in</w:t>
      </w:r>
      <w:r w:rsidR="005B2A41">
        <w:t xml:space="preserve"> </w:t>
      </w:r>
      <w:r w:rsidRPr="00B02247">
        <w:t>several</w:t>
      </w:r>
      <w:r w:rsidR="005B2A41">
        <w:t xml:space="preserve"> </w:t>
      </w:r>
      <w:r w:rsidRPr="00B02247">
        <w:t>languages</w:t>
      </w:r>
      <w:r w:rsidR="005B2A41">
        <w:t xml:space="preserve"> </w:t>
      </w:r>
      <w:r w:rsidRPr="00B02247">
        <w:t>(Greek,</w:t>
      </w:r>
      <w:r w:rsidR="005B2A41">
        <w:t xml:space="preserve"> </w:t>
      </w:r>
      <w:r w:rsidRPr="00B02247">
        <w:t>English,</w:t>
      </w:r>
      <w:r w:rsidR="005B2A41">
        <w:t xml:space="preserve"> </w:t>
      </w:r>
      <w:r w:rsidRPr="00B02247">
        <w:t>French,</w:t>
      </w:r>
      <w:r w:rsidR="005B2A41">
        <w:t xml:space="preserve"> </w:t>
      </w:r>
      <w:r w:rsidRPr="00B02247">
        <w:t>Albanian),</w:t>
      </w:r>
      <w:r w:rsidR="005B2A41">
        <w:t xml:space="preserve"> </w:t>
      </w:r>
      <w:r w:rsidRPr="00B02247">
        <w:t>TV</w:t>
      </w:r>
      <w:r w:rsidR="005B2A41">
        <w:t xml:space="preserve"> </w:t>
      </w:r>
      <w:r w:rsidRPr="00B02247">
        <w:t>and</w:t>
      </w:r>
      <w:r w:rsidR="005B2A41">
        <w:t xml:space="preserve"> </w:t>
      </w:r>
      <w:r w:rsidRPr="00B02247">
        <w:t>radio</w:t>
      </w:r>
      <w:r w:rsidR="005B2A41">
        <w:t xml:space="preserve"> </w:t>
      </w:r>
      <w:r w:rsidRPr="00B02247">
        <w:t>spots,</w:t>
      </w:r>
      <w:r w:rsidR="005B2A41">
        <w:t xml:space="preserve"> </w:t>
      </w:r>
      <w:r w:rsidRPr="00B02247">
        <w:t>cultural</w:t>
      </w:r>
      <w:r w:rsidR="005B2A41">
        <w:t xml:space="preserve"> </w:t>
      </w:r>
      <w:r w:rsidRPr="00B02247">
        <w:t>events,</w:t>
      </w:r>
      <w:r w:rsidR="005B2A41">
        <w:t xml:space="preserve"> </w:t>
      </w:r>
      <w:r w:rsidRPr="00B02247">
        <w:t>publicity</w:t>
      </w:r>
      <w:r w:rsidR="005B2A41">
        <w:t xml:space="preserve"> </w:t>
      </w:r>
      <w:r w:rsidRPr="00B02247">
        <w:t>on</w:t>
      </w:r>
      <w:r w:rsidR="005B2A41">
        <w:t xml:space="preserve"> </w:t>
      </w:r>
      <w:r w:rsidRPr="00B02247">
        <w:t>public</w:t>
      </w:r>
      <w:r w:rsidR="005B2A41">
        <w:t xml:space="preserve"> </w:t>
      </w:r>
      <w:r w:rsidRPr="00B02247">
        <w:t>transport,</w:t>
      </w:r>
      <w:r w:rsidR="005B2A41">
        <w:t xml:space="preserve"> </w:t>
      </w:r>
      <w:r w:rsidRPr="00B02247">
        <w:t>entries</w:t>
      </w:r>
      <w:r w:rsidR="005B2A41">
        <w:t xml:space="preserve"> </w:t>
      </w:r>
      <w:r w:rsidRPr="00B02247">
        <w:t>in</w:t>
      </w:r>
      <w:r w:rsidR="005B2A41">
        <w:t xml:space="preserve"> </w:t>
      </w:r>
      <w:r w:rsidRPr="00B02247">
        <w:t>Press,</w:t>
      </w:r>
      <w:r w:rsidR="005B2A41">
        <w:t xml:space="preserve"> </w:t>
      </w:r>
      <w:r w:rsidRPr="00B02247">
        <w:t>a</w:t>
      </w:r>
      <w:r w:rsidR="005B2A41">
        <w:t xml:space="preserve"> </w:t>
      </w:r>
      <w:r w:rsidRPr="00B02247">
        <w:t>webpage</w:t>
      </w:r>
      <w:r w:rsidR="005B2A41">
        <w:t xml:space="preserve"> </w:t>
      </w:r>
      <w:r w:rsidRPr="00B02247">
        <w:t>(www.womensos.gr)</w:t>
      </w:r>
      <w:r w:rsidR="005B2A41">
        <w:t xml:space="preserve"> </w:t>
      </w:r>
      <w:r w:rsidRPr="00B02247">
        <w:t>and</w:t>
      </w:r>
      <w:r w:rsidR="005B2A41">
        <w:t xml:space="preserve"> </w:t>
      </w:r>
      <w:r w:rsidRPr="00B02247">
        <w:t>a</w:t>
      </w:r>
      <w:r w:rsidR="005B2A41">
        <w:t xml:space="preserve"> </w:t>
      </w:r>
      <w:r w:rsidRPr="00B02247">
        <w:t>Facebook</w:t>
      </w:r>
      <w:r w:rsidR="005B2A41">
        <w:t xml:space="preserve"> </w:t>
      </w:r>
      <w:r w:rsidRPr="00B02247">
        <w:t>page</w:t>
      </w:r>
      <w:r w:rsidR="005B2A41">
        <w:t xml:space="preserve"> </w:t>
      </w:r>
      <w:r w:rsidRPr="00B02247">
        <w:t>as</w:t>
      </w:r>
      <w:r w:rsidR="005B2A41">
        <w:t xml:space="preserve"> </w:t>
      </w:r>
      <w:r w:rsidRPr="00B02247">
        <w:t>well</w:t>
      </w:r>
      <w:r w:rsidR="005B2A41">
        <w:t xml:space="preserve"> </w:t>
      </w:r>
      <w:r w:rsidRPr="00B02247">
        <w:t>as</w:t>
      </w:r>
      <w:r w:rsidR="005B2A41">
        <w:t xml:space="preserve"> </w:t>
      </w:r>
      <w:r w:rsidRPr="00B02247">
        <w:t>banners</w:t>
      </w:r>
      <w:r w:rsidR="005B2A41">
        <w:t xml:space="preserve"> </w:t>
      </w:r>
      <w:r w:rsidRPr="00B02247">
        <w:t>in</w:t>
      </w:r>
      <w:r w:rsidR="005B2A41">
        <w:t xml:space="preserve"> </w:t>
      </w:r>
      <w:r w:rsidRPr="00B02247">
        <w:t>web</w:t>
      </w:r>
      <w:r w:rsidR="005B2A41">
        <w:t xml:space="preserve"> </w:t>
      </w:r>
      <w:r w:rsidRPr="00B02247">
        <w:t>pages.</w:t>
      </w:r>
      <w:r w:rsidR="005B2A41">
        <w:t xml:space="preserve"> </w:t>
      </w:r>
      <w:r w:rsidRPr="00B02247">
        <w:t>Its</w:t>
      </w:r>
      <w:r w:rsidR="005B2A41">
        <w:t xml:space="preserve"> </w:t>
      </w:r>
      <w:r w:rsidRPr="00B02247">
        <w:t>goal</w:t>
      </w:r>
      <w:r w:rsidR="005B2A41">
        <w:t xml:space="preserve"> </w:t>
      </w:r>
      <w:r w:rsidRPr="00B02247">
        <w:t>is</w:t>
      </w:r>
      <w:r w:rsidR="005B2A41">
        <w:t xml:space="preserve"> </w:t>
      </w:r>
      <w:r w:rsidRPr="00B02247">
        <w:t>to</w:t>
      </w:r>
      <w:r w:rsidR="005B2A41">
        <w:t xml:space="preserve"> </w:t>
      </w:r>
      <w:r w:rsidRPr="00B02247">
        <w:t>promote</w:t>
      </w:r>
      <w:r w:rsidR="005B2A41">
        <w:t xml:space="preserve"> </w:t>
      </w:r>
      <w:r w:rsidRPr="00B02247">
        <w:t>a</w:t>
      </w:r>
      <w:r w:rsidR="005B2A41">
        <w:t xml:space="preserve"> </w:t>
      </w:r>
      <w:r w:rsidRPr="00B02247">
        <w:t>zero-tolerance</w:t>
      </w:r>
      <w:r w:rsidR="005B2A41">
        <w:t xml:space="preserve"> </w:t>
      </w:r>
      <w:r w:rsidRPr="00B02247">
        <w:t>attitude</w:t>
      </w:r>
      <w:r w:rsidR="005B2A41">
        <w:t xml:space="preserve"> </w:t>
      </w:r>
      <w:r w:rsidRPr="00B02247">
        <w:t>towards</w:t>
      </w:r>
      <w:r w:rsidR="005B2A41">
        <w:t xml:space="preserve"> </w:t>
      </w:r>
      <w:r w:rsidRPr="00B02247">
        <w:t>violence</w:t>
      </w:r>
      <w:r w:rsidR="005B2A41">
        <w:t xml:space="preserve"> </w:t>
      </w:r>
      <w:r w:rsidRPr="00B02247">
        <w:t>against</w:t>
      </w:r>
      <w:r w:rsidR="005B2A41">
        <w:t xml:space="preserve"> </w:t>
      </w:r>
      <w:r w:rsidRPr="00B02247">
        <w:t>women</w:t>
      </w:r>
      <w:r w:rsidR="005B2A41">
        <w:t xml:space="preserve"> </w:t>
      </w:r>
      <w:r w:rsidRPr="00B02247">
        <w:t>and</w:t>
      </w:r>
      <w:r w:rsidR="005B2A41">
        <w:t xml:space="preserve"> </w:t>
      </w:r>
      <w:r w:rsidRPr="00B02247">
        <w:t>girls</w:t>
      </w:r>
      <w:r w:rsidR="005B2A41">
        <w:t xml:space="preserve"> </w:t>
      </w:r>
      <w:r w:rsidRPr="00B02247">
        <w:t>and</w:t>
      </w:r>
      <w:r w:rsidR="005B2A41">
        <w:t xml:space="preserve"> </w:t>
      </w:r>
      <w:r w:rsidRPr="00B02247">
        <w:t>to</w:t>
      </w:r>
      <w:r w:rsidR="005B2A41">
        <w:t xml:space="preserve"> </w:t>
      </w:r>
      <w:r w:rsidRPr="00B02247">
        <w:t>widely</w:t>
      </w:r>
      <w:r w:rsidR="005B2A41">
        <w:t xml:space="preserve"> </w:t>
      </w:r>
      <w:r w:rsidRPr="00B02247">
        <w:t>disseminate</w:t>
      </w:r>
      <w:r w:rsidR="005B2A41">
        <w:t xml:space="preserve"> </w:t>
      </w:r>
      <w:r w:rsidRPr="00B02247">
        <w:t>information</w:t>
      </w:r>
      <w:r w:rsidR="005B2A41">
        <w:t xml:space="preserve"> </w:t>
      </w:r>
      <w:r w:rsidRPr="00B02247">
        <w:t>on</w:t>
      </w:r>
      <w:r w:rsidR="005B2A41">
        <w:t xml:space="preserve"> </w:t>
      </w:r>
      <w:r w:rsidRPr="00B02247">
        <w:t>existing</w:t>
      </w:r>
      <w:r w:rsidR="005B2A41">
        <w:t xml:space="preserve"> </w:t>
      </w:r>
      <w:r w:rsidRPr="00B02247">
        <w:t>structures</w:t>
      </w:r>
      <w:r w:rsidR="005B2A41">
        <w:t xml:space="preserve"> </w:t>
      </w:r>
      <w:r w:rsidRPr="00B02247">
        <w:t>and</w:t>
      </w:r>
      <w:r w:rsidR="005B2A41">
        <w:t xml:space="preserve"> </w:t>
      </w:r>
      <w:r w:rsidRPr="00B02247">
        <w:t>measures</w:t>
      </w:r>
      <w:r w:rsidR="005B2A41">
        <w:t xml:space="preserve"> </w:t>
      </w:r>
      <w:r w:rsidRPr="00B02247">
        <w:t>regarding</w:t>
      </w:r>
      <w:r w:rsidR="005B2A41">
        <w:t xml:space="preserve"> </w:t>
      </w:r>
      <w:r w:rsidRPr="00B02247">
        <w:t>the</w:t>
      </w:r>
      <w:r w:rsidR="005B2A41">
        <w:t xml:space="preserve"> </w:t>
      </w:r>
      <w:r w:rsidRPr="00B02247">
        <w:t>protection</w:t>
      </w:r>
      <w:r w:rsidR="005B2A41">
        <w:t xml:space="preserve"> </w:t>
      </w:r>
      <w:r w:rsidRPr="00B02247">
        <w:t>of</w:t>
      </w:r>
      <w:r w:rsidR="005B2A41">
        <w:t xml:space="preserve"> </w:t>
      </w:r>
      <w:r w:rsidRPr="00B02247">
        <w:t>women</w:t>
      </w:r>
      <w:r w:rsidR="005B2A41">
        <w:t xml:space="preserve"> </w:t>
      </w:r>
      <w:r w:rsidRPr="00B02247">
        <w:t>victims.</w:t>
      </w:r>
    </w:p>
    <w:p w:rsidR="00F233AB" w:rsidRPr="00B02247" w:rsidRDefault="00F233AB" w:rsidP="00E1307D">
      <w:pPr>
        <w:pStyle w:val="SingleTxtG"/>
      </w:pPr>
      <w:r w:rsidRPr="00B02247">
        <w:t>192.</w:t>
      </w:r>
      <w:r w:rsidRPr="00B02247">
        <w:tab/>
        <w:t>Participation</w:t>
      </w:r>
      <w:r w:rsidR="005B2A41">
        <w:t xml:space="preserve"> </w:t>
      </w:r>
      <w:r w:rsidRPr="00B02247">
        <w:t>of</w:t>
      </w:r>
      <w:r w:rsidR="005B2A41">
        <w:t xml:space="preserve"> </w:t>
      </w:r>
      <w:r w:rsidRPr="00B02247">
        <w:t>the</w:t>
      </w:r>
      <w:r w:rsidR="005B2A41">
        <w:t xml:space="preserve"> </w:t>
      </w:r>
      <w:r w:rsidRPr="00B02247">
        <w:t>General</w:t>
      </w:r>
      <w:r w:rsidR="005B2A41">
        <w:t xml:space="preserve"> </w:t>
      </w:r>
      <w:r w:rsidRPr="00B02247">
        <w:t>Secretariat</w:t>
      </w:r>
      <w:r w:rsidR="005B2A41">
        <w:t xml:space="preserve"> </w:t>
      </w:r>
      <w:r w:rsidRPr="00B02247">
        <w:t>for</w:t>
      </w:r>
      <w:r w:rsidR="005B2A41">
        <w:t xml:space="preserve"> </w:t>
      </w:r>
      <w:r w:rsidRPr="00B02247">
        <w:t>Gender</w:t>
      </w:r>
      <w:r w:rsidR="005B2A41">
        <w:t xml:space="preserve"> </w:t>
      </w:r>
      <w:r w:rsidRPr="00B02247">
        <w:t>Equality</w:t>
      </w:r>
      <w:r w:rsidR="005B2A41">
        <w:t xml:space="preserve"> </w:t>
      </w:r>
      <w:r w:rsidRPr="00B02247">
        <w:t>for</w:t>
      </w:r>
      <w:r w:rsidR="005B2A41">
        <w:t xml:space="preserve"> </w:t>
      </w:r>
      <w:r w:rsidRPr="00B02247">
        <w:t>the</w:t>
      </w:r>
      <w:r w:rsidR="005B2A41">
        <w:t xml:space="preserve"> </w:t>
      </w:r>
      <w:r w:rsidRPr="00B02247">
        <w:t>first</w:t>
      </w:r>
      <w:r w:rsidR="005B2A41">
        <w:t xml:space="preserve"> </w:t>
      </w:r>
      <w:r w:rsidRPr="00B02247">
        <w:t>time</w:t>
      </w:r>
      <w:r w:rsidR="005B2A41">
        <w:t xml:space="preserve"> </w:t>
      </w:r>
      <w:r w:rsidRPr="00B02247">
        <w:t>in</w:t>
      </w:r>
      <w:r w:rsidR="005B2A41">
        <w:t xml:space="preserve"> </w:t>
      </w:r>
      <w:r w:rsidRPr="00B02247">
        <w:t>the</w:t>
      </w:r>
      <w:r w:rsidR="005B2A41">
        <w:t xml:space="preserve"> </w:t>
      </w:r>
      <w:r w:rsidRPr="00B02247">
        <w:t>19th</w:t>
      </w:r>
      <w:r w:rsidR="005B2A41">
        <w:t xml:space="preserve"> </w:t>
      </w:r>
      <w:r w:rsidRPr="00B02247">
        <w:t>International</w:t>
      </w:r>
      <w:r w:rsidR="005B2A41">
        <w:t xml:space="preserve"> </w:t>
      </w:r>
      <w:r w:rsidRPr="00B02247">
        <w:t>Film</w:t>
      </w:r>
      <w:r w:rsidR="005B2A41">
        <w:t xml:space="preserve"> </w:t>
      </w:r>
      <w:r w:rsidRPr="00B02247">
        <w:t>Festival</w:t>
      </w:r>
      <w:r w:rsidR="005B2A41">
        <w:t xml:space="preserve"> </w:t>
      </w:r>
      <w:r w:rsidRPr="00B02247">
        <w:t>for</w:t>
      </w:r>
      <w:r w:rsidR="005B2A41">
        <w:t xml:space="preserve"> </w:t>
      </w:r>
      <w:r w:rsidRPr="00B02247">
        <w:t>children</w:t>
      </w:r>
      <w:r w:rsidR="005B2A41">
        <w:t xml:space="preserve"> </w:t>
      </w:r>
      <w:r w:rsidRPr="00B02247">
        <w:t>and</w:t>
      </w:r>
      <w:r w:rsidR="005B2A41">
        <w:t xml:space="preserve"> </w:t>
      </w:r>
      <w:r w:rsidRPr="00B02247">
        <w:t>youth</w:t>
      </w:r>
      <w:r w:rsidR="005B2A41">
        <w:t xml:space="preserve"> </w:t>
      </w:r>
      <w:r w:rsidRPr="00B02247">
        <w:t>(Olympia,</w:t>
      </w:r>
      <w:r w:rsidR="005B2A41">
        <w:t xml:space="preserve"> </w:t>
      </w:r>
      <w:r w:rsidRPr="00B02247">
        <w:t>December</w:t>
      </w:r>
      <w:r w:rsidR="005B2A41">
        <w:t xml:space="preserve"> </w:t>
      </w:r>
      <w:r w:rsidRPr="00B02247">
        <w:t>2016).</w:t>
      </w:r>
    </w:p>
    <w:p w:rsidR="00F233AB" w:rsidRPr="00B02247" w:rsidRDefault="00F233AB" w:rsidP="00B23AFE">
      <w:pPr>
        <w:pStyle w:val="H23G"/>
      </w:pPr>
      <w:r w:rsidRPr="00B02247">
        <w:lastRenderedPageBreak/>
        <w:tab/>
      </w:r>
      <w:r w:rsidRPr="00B02247">
        <w:tab/>
        <w:t>Persons</w:t>
      </w:r>
      <w:r w:rsidR="005B2A41">
        <w:t xml:space="preserve"> </w:t>
      </w:r>
      <w:r w:rsidRPr="00B02247">
        <w:t>belonging</w:t>
      </w:r>
      <w:r w:rsidR="005B2A41">
        <w:t xml:space="preserve"> </w:t>
      </w:r>
      <w:r w:rsidRPr="00B02247">
        <w:t>to</w:t>
      </w:r>
      <w:r w:rsidR="005B2A41">
        <w:t xml:space="preserve"> </w:t>
      </w:r>
      <w:r w:rsidRPr="00B02247">
        <w:t>vulnerable</w:t>
      </w:r>
      <w:r w:rsidR="005B2A41">
        <w:t xml:space="preserve"> </w:t>
      </w:r>
      <w:r w:rsidRPr="00B02247">
        <w:t>groups</w:t>
      </w:r>
      <w:r w:rsidR="005B2A41">
        <w:t xml:space="preserve"> </w:t>
      </w:r>
      <w:r w:rsidRPr="00B02247">
        <w:t>–</w:t>
      </w:r>
      <w:r w:rsidR="005B2A41">
        <w:t xml:space="preserve"> </w:t>
      </w:r>
      <w:r w:rsidRPr="00B02247">
        <w:t>education</w:t>
      </w:r>
      <w:r w:rsidR="005B2A41">
        <w:t xml:space="preserve"> </w:t>
      </w:r>
      <w:r w:rsidRPr="00B02247">
        <w:t>of</w:t>
      </w:r>
      <w:r w:rsidR="005B2A41">
        <w:t xml:space="preserve"> </w:t>
      </w:r>
      <w:r w:rsidRPr="00B02247">
        <w:t>refugee</w:t>
      </w:r>
      <w:r w:rsidR="005B2A41">
        <w:t xml:space="preserve"> </w:t>
      </w:r>
      <w:r w:rsidRPr="00B02247">
        <w:t>and</w:t>
      </w:r>
      <w:r w:rsidR="005B2A41">
        <w:t xml:space="preserve"> </w:t>
      </w:r>
      <w:r w:rsidRPr="00B02247">
        <w:t>migrant</w:t>
      </w:r>
      <w:r w:rsidR="005B2A41">
        <w:t xml:space="preserve"> </w:t>
      </w:r>
      <w:r w:rsidRPr="00B02247">
        <w:t>children</w:t>
      </w:r>
    </w:p>
    <w:p w:rsidR="00F233AB" w:rsidRPr="00B02247" w:rsidRDefault="00F233AB" w:rsidP="00E1307D">
      <w:pPr>
        <w:pStyle w:val="SingleTxtG"/>
      </w:pPr>
      <w:r w:rsidRPr="00B02247">
        <w:t>193.</w:t>
      </w:r>
      <w:r w:rsidRPr="00B02247">
        <w:tab/>
        <w:t>Since</w:t>
      </w:r>
      <w:r w:rsidR="005B2A41">
        <w:t xml:space="preserve"> </w:t>
      </w:r>
      <w:r w:rsidRPr="00B02247">
        <w:t>September</w:t>
      </w:r>
      <w:r w:rsidR="005B2A41">
        <w:t xml:space="preserve"> </w:t>
      </w:r>
      <w:r w:rsidRPr="00B02247">
        <w:t>2016,</w:t>
      </w:r>
      <w:r w:rsidR="005B2A41">
        <w:t xml:space="preserve"> </w:t>
      </w:r>
      <w:r w:rsidRPr="00B02247">
        <w:t>all</w:t>
      </w:r>
      <w:r w:rsidR="005B2A41">
        <w:t xml:space="preserve"> </w:t>
      </w:r>
      <w:r w:rsidRPr="00B02247">
        <w:t>pre-primary</w:t>
      </w:r>
      <w:r w:rsidR="005B2A41">
        <w:t xml:space="preserve"> </w:t>
      </w:r>
      <w:r w:rsidRPr="00B02247">
        <w:t>and</w:t>
      </w:r>
      <w:r w:rsidR="005B2A41">
        <w:t xml:space="preserve"> </w:t>
      </w:r>
      <w:r w:rsidRPr="00B02247">
        <w:t>primary</w:t>
      </w:r>
      <w:r w:rsidR="005B2A41">
        <w:t xml:space="preserve"> </w:t>
      </w:r>
      <w:r w:rsidRPr="00B02247">
        <w:t>schools</w:t>
      </w:r>
      <w:r w:rsidR="005B2A41">
        <w:t xml:space="preserve"> </w:t>
      </w:r>
      <w:r w:rsidRPr="00B02247">
        <w:t>in</w:t>
      </w:r>
      <w:r w:rsidR="005B2A41">
        <w:t xml:space="preserve"> </w:t>
      </w:r>
      <w:r w:rsidRPr="00B02247">
        <w:t>Greece</w:t>
      </w:r>
      <w:r w:rsidR="005B2A41">
        <w:t xml:space="preserve"> </w:t>
      </w:r>
      <w:r w:rsidRPr="00B02247">
        <w:t>with</w:t>
      </w:r>
      <w:r w:rsidR="005B2A41">
        <w:t xml:space="preserve"> </w:t>
      </w:r>
      <w:r w:rsidRPr="00B02247">
        <w:t>four</w:t>
      </w:r>
      <w:r w:rsidR="005B2A41">
        <w:t xml:space="preserve"> </w:t>
      </w:r>
      <w:r w:rsidRPr="00B02247">
        <w:t>or</w:t>
      </w:r>
      <w:r w:rsidR="005B2A41">
        <w:t xml:space="preserve"> </w:t>
      </w:r>
      <w:r w:rsidRPr="00B02247">
        <w:t>more</w:t>
      </w:r>
      <w:r w:rsidR="005B2A41">
        <w:t xml:space="preserve"> </w:t>
      </w:r>
      <w:r w:rsidRPr="00B02247">
        <w:t>classes</w:t>
      </w:r>
      <w:r w:rsidR="005B2A41">
        <w:t xml:space="preserve"> </w:t>
      </w:r>
      <w:r w:rsidRPr="00B02247">
        <w:t>(e.g.:</w:t>
      </w:r>
      <w:r w:rsidR="005B2A41">
        <w:t xml:space="preserve"> </w:t>
      </w:r>
      <w:r w:rsidRPr="00B02247">
        <w:t>a</w:t>
      </w:r>
      <w:r w:rsidR="005B2A41">
        <w:t xml:space="preserve"> </w:t>
      </w:r>
      <w:r w:rsidRPr="00B02247">
        <w:t>total</w:t>
      </w:r>
      <w:r w:rsidR="005B2A41">
        <w:t xml:space="preserve"> </w:t>
      </w:r>
      <w:r w:rsidRPr="00B02247">
        <w:t>of</w:t>
      </w:r>
      <w:r w:rsidR="005B2A41">
        <w:t xml:space="preserve"> </w:t>
      </w:r>
      <w:r w:rsidRPr="00B02247">
        <w:t>13.373)</w:t>
      </w:r>
      <w:r w:rsidR="005B2A41">
        <w:t xml:space="preserve"> </w:t>
      </w:r>
      <w:r w:rsidRPr="00B02247">
        <w:t>have</w:t>
      </w:r>
      <w:r w:rsidR="005B2A41">
        <w:t xml:space="preserve"> </w:t>
      </w:r>
      <w:r w:rsidRPr="00B02247">
        <w:t>become</w:t>
      </w:r>
      <w:r w:rsidR="005B2A41">
        <w:t xml:space="preserve"> </w:t>
      </w:r>
      <w:r w:rsidR="003E731F">
        <w:t>“</w:t>
      </w:r>
      <w:r w:rsidRPr="00B02247">
        <w:t>Uniform</w:t>
      </w:r>
      <w:r w:rsidR="005B2A41">
        <w:t xml:space="preserve"> </w:t>
      </w:r>
      <w:r w:rsidRPr="00B02247">
        <w:t>All</w:t>
      </w:r>
      <w:r w:rsidR="005B2A41">
        <w:t xml:space="preserve"> </w:t>
      </w:r>
      <w:r w:rsidRPr="00B02247">
        <w:t>Day</w:t>
      </w:r>
      <w:r w:rsidR="005B2A41">
        <w:t xml:space="preserve"> </w:t>
      </w:r>
      <w:r w:rsidRPr="00B02247">
        <w:t>Schools</w:t>
      </w:r>
      <w:r w:rsidR="003E731F">
        <w:t>”</w:t>
      </w:r>
      <w:r w:rsidRPr="00B02247">
        <w:t>.</w:t>
      </w:r>
      <w:r w:rsidR="005B2A41">
        <w:t xml:space="preserve"> </w:t>
      </w:r>
      <w:r w:rsidRPr="00B02247">
        <w:t>This</w:t>
      </w:r>
      <w:r w:rsidR="005B2A41">
        <w:t xml:space="preserve"> </w:t>
      </w:r>
      <w:r w:rsidRPr="00B02247">
        <w:t>measure</w:t>
      </w:r>
      <w:r w:rsidR="005B2A41">
        <w:t xml:space="preserve"> </w:t>
      </w:r>
      <w:r w:rsidRPr="00B02247">
        <w:t>was</w:t>
      </w:r>
      <w:r w:rsidR="005B2A41">
        <w:t xml:space="preserve"> </w:t>
      </w:r>
      <w:r w:rsidRPr="00B02247">
        <w:t>taken</w:t>
      </w:r>
      <w:r w:rsidR="005B2A41">
        <w:t xml:space="preserve"> </w:t>
      </w:r>
      <w:r w:rsidRPr="00B02247">
        <w:t>by</w:t>
      </w:r>
      <w:r w:rsidR="005B2A41">
        <w:t xml:space="preserve"> </w:t>
      </w:r>
      <w:r w:rsidRPr="00B02247">
        <w:t>the</w:t>
      </w:r>
      <w:r w:rsidR="005B2A41">
        <w:t xml:space="preserve"> </w:t>
      </w:r>
      <w:r w:rsidRPr="00B02247">
        <w:t>Minister</w:t>
      </w:r>
      <w:r w:rsidR="005B2A41">
        <w:t xml:space="preserve"> </w:t>
      </w:r>
      <w:r w:rsidRPr="00B02247">
        <w:t>of</w:t>
      </w:r>
      <w:r w:rsidR="005B2A41">
        <w:t xml:space="preserve"> </w:t>
      </w:r>
      <w:r w:rsidRPr="00B02247">
        <w:t>Education,</w:t>
      </w:r>
      <w:r w:rsidR="005B2A41">
        <w:t xml:space="preserve"> </w:t>
      </w:r>
      <w:r w:rsidRPr="00B02247">
        <w:t>Research</w:t>
      </w:r>
      <w:r w:rsidR="005B2A41">
        <w:t xml:space="preserve"> </w:t>
      </w:r>
      <w:r w:rsidRPr="00B02247">
        <w:t>and</w:t>
      </w:r>
      <w:r w:rsidR="005B2A41">
        <w:t xml:space="preserve"> </w:t>
      </w:r>
      <w:r w:rsidRPr="00B02247">
        <w:t>Religious</w:t>
      </w:r>
      <w:r w:rsidR="005B2A41">
        <w:t xml:space="preserve"> </w:t>
      </w:r>
      <w:r w:rsidRPr="00B02247">
        <w:t>Affairs</w:t>
      </w:r>
      <w:r w:rsidR="005B2A41">
        <w:t xml:space="preserve"> </w:t>
      </w:r>
      <w:r w:rsidRPr="00B02247">
        <w:t>in</w:t>
      </w:r>
      <w:r w:rsidR="005B2A41">
        <w:t xml:space="preserve"> </w:t>
      </w:r>
      <w:r w:rsidRPr="00B02247">
        <w:t>order</w:t>
      </w:r>
      <w:r w:rsidR="005B2A41">
        <w:t xml:space="preserve"> </w:t>
      </w:r>
      <w:r w:rsidRPr="00B02247">
        <w:t>to</w:t>
      </w:r>
      <w:r w:rsidR="005B2A41">
        <w:t xml:space="preserve"> </w:t>
      </w:r>
      <w:r w:rsidRPr="00B02247">
        <w:t>prevent</w:t>
      </w:r>
      <w:r w:rsidR="005B2A41">
        <w:t xml:space="preserve"> </w:t>
      </w:r>
      <w:r w:rsidRPr="00B02247">
        <w:t>discrimination</w:t>
      </w:r>
      <w:r w:rsidR="005B2A41">
        <w:t xml:space="preserve"> </w:t>
      </w:r>
      <w:r w:rsidRPr="00B02247">
        <w:t>and</w:t>
      </w:r>
      <w:r w:rsidR="005B2A41">
        <w:t xml:space="preserve"> </w:t>
      </w:r>
      <w:r w:rsidRPr="00B02247">
        <w:t>inequalities,</w:t>
      </w:r>
      <w:r w:rsidR="005B2A41">
        <w:t xml:space="preserve"> </w:t>
      </w:r>
      <w:r w:rsidRPr="00B02247">
        <w:t>all</w:t>
      </w:r>
      <w:r w:rsidR="005B2A41">
        <w:t xml:space="preserve"> </w:t>
      </w:r>
      <w:r w:rsidRPr="00B02247">
        <w:t>over</w:t>
      </w:r>
      <w:r w:rsidR="005B2A41">
        <w:t xml:space="preserve"> </w:t>
      </w:r>
      <w:r w:rsidRPr="00B02247">
        <w:t>Greece,</w:t>
      </w:r>
      <w:r w:rsidR="005B2A41">
        <w:t xml:space="preserve"> </w:t>
      </w:r>
      <w:r w:rsidRPr="00B02247">
        <w:t>independently</w:t>
      </w:r>
      <w:r w:rsidR="005B2A41">
        <w:t xml:space="preserve"> </w:t>
      </w:r>
      <w:r w:rsidRPr="00B02247">
        <w:t>of</w:t>
      </w:r>
      <w:r w:rsidR="005B2A41">
        <w:t xml:space="preserve"> </w:t>
      </w:r>
      <w:r w:rsidRPr="00B02247">
        <w:t>any</w:t>
      </w:r>
      <w:r w:rsidR="005B2A41">
        <w:t xml:space="preserve"> </w:t>
      </w:r>
      <w:r w:rsidRPr="00B02247">
        <w:t>existing</w:t>
      </w:r>
      <w:r w:rsidR="005B2A41">
        <w:t xml:space="preserve"> </w:t>
      </w:r>
      <w:r w:rsidRPr="00B02247">
        <w:t>differences</w:t>
      </w:r>
      <w:r w:rsidR="005B2A41">
        <w:t xml:space="preserve"> </w:t>
      </w:r>
      <w:r w:rsidRPr="00B02247">
        <w:t>(geographical,</w:t>
      </w:r>
      <w:r w:rsidR="005B2A41">
        <w:t xml:space="preserve"> </w:t>
      </w:r>
      <w:r w:rsidRPr="00B02247">
        <w:t>economic,</w:t>
      </w:r>
      <w:r w:rsidR="005B2A41">
        <w:t xml:space="preserve"> </w:t>
      </w:r>
      <w:r w:rsidRPr="00B02247">
        <w:t>social,</w:t>
      </w:r>
      <w:r w:rsidR="005B2A41">
        <w:t xml:space="preserve"> </w:t>
      </w:r>
      <w:r w:rsidRPr="00B02247">
        <w:t>etc.).</w:t>
      </w:r>
      <w:r w:rsidR="005B2A41">
        <w:t xml:space="preserve"> </w:t>
      </w:r>
      <w:r w:rsidRPr="00B02247">
        <w:t>For</w:t>
      </w:r>
      <w:r w:rsidR="005B2A41">
        <w:t xml:space="preserve"> </w:t>
      </w:r>
      <w:r w:rsidRPr="00B02247">
        <w:t>the</w:t>
      </w:r>
      <w:r w:rsidR="005B2A41">
        <w:t xml:space="preserve"> </w:t>
      </w:r>
      <w:r w:rsidRPr="00B02247">
        <w:t>next</w:t>
      </w:r>
      <w:r w:rsidR="005B2A41">
        <w:t xml:space="preserve"> </w:t>
      </w:r>
      <w:r w:rsidRPr="00B02247">
        <w:t>school</w:t>
      </w:r>
      <w:r w:rsidR="005B2A41">
        <w:t xml:space="preserve"> </w:t>
      </w:r>
      <w:r w:rsidRPr="00B02247">
        <w:t>year,</w:t>
      </w:r>
      <w:r w:rsidR="005B2A41">
        <w:t xml:space="preserve"> </w:t>
      </w:r>
      <w:r w:rsidRPr="00B02247">
        <w:t>the</w:t>
      </w:r>
      <w:r w:rsidR="005B2A41">
        <w:t xml:space="preserve"> </w:t>
      </w:r>
      <w:r w:rsidR="003E731F">
        <w:t>“</w:t>
      </w:r>
      <w:r w:rsidRPr="00B02247">
        <w:t>Uniform</w:t>
      </w:r>
      <w:r w:rsidR="005B2A41">
        <w:t xml:space="preserve"> </w:t>
      </w:r>
      <w:r w:rsidRPr="00B02247">
        <w:t>All</w:t>
      </w:r>
      <w:r w:rsidR="005B2A41">
        <w:t xml:space="preserve"> </w:t>
      </w:r>
      <w:r w:rsidRPr="00B02247">
        <w:t>Day</w:t>
      </w:r>
      <w:r w:rsidR="005B2A41">
        <w:t xml:space="preserve"> </w:t>
      </w:r>
      <w:r w:rsidRPr="00B02247">
        <w:t>School</w:t>
      </w:r>
      <w:r w:rsidR="003E731F">
        <w:t>”</w:t>
      </w:r>
      <w:r w:rsidR="005B2A41">
        <w:t xml:space="preserve"> </w:t>
      </w:r>
      <w:r w:rsidRPr="00B02247">
        <w:t>will</w:t>
      </w:r>
      <w:r w:rsidR="005B2A41">
        <w:t xml:space="preserve"> </w:t>
      </w:r>
      <w:r w:rsidRPr="00B02247">
        <w:t>be</w:t>
      </w:r>
      <w:r w:rsidR="005B2A41">
        <w:t xml:space="preserve"> </w:t>
      </w:r>
      <w:r w:rsidRPr="00B02247">
        <w:t>expanded</w:t>
      </w:r>
      <w:r w:rsidR="005B2A41">
        <w:t xml:space="preserve"> </w:t>
      </w:r>
      <w:r w:rsidRPr="00B02247">
        <w:t>to</w:t>
      </w:r>
      <w:r w:rsidR="005B2A41">
        <w:t xml:space="preserve"> </w:t>
      </w:r>
      <w:r w:rsidRPr="00B02247">
        <w:t>also</w:t>
      </w:r>
      <w:r w:rsidR="005B2A41">
        <w:t xml:space="preserve"> </w:t>
      </w:r>
      <w:r w:rsidRPr="00B02247">
        <w:t>cover</w:t>
      </w:r>
      <w:r w:rsidR="005B2A41">
        <w:t xml:space="preserve"> </w:t>
      </w:r>
      <w:r w:rsidRPr="00B02247">
        <w:t>small</w:t>
      </w:r>
      <w:r w:rsidR="005B2A41">
        <w:t xml:space="preserve"> </w:t>
      </w:r>
      <w:r w:rsidRPr="00B02247">
        <w:t>schools</w:t>
      </w:r>
      <w:r w:rsidR="005B2A41">
        <w:t xml:space="preserve"> </w:t>
      </w:r>
      <w:r w:rsidRPr="00B02247">
        <w:t>with</w:t>
      </w:r>
      <w:r w:rsidR="005B2A41">
        <w:t xml:space="preserve"> </w:t>
      </w:r>
      <w:r w:rsidRPr="00B02247">
        <w:t>less</w:t>
      </w:r>
      <w:r w:rsidR="005B2A41">
        <w:t xml:space="preserve"> </w:t>
      </w:r>
      <w:r w:rsidRPr="00B02247">
        <w:t>than</w:t>
      </w:r>
      <w:r w:rsidR="005B2A41">
        <w:t xml:space="preserve"> </w:t>
      </w:r>
      <w:r w:rsidRPr="00B02247">
        <w:t>four</w:t>
      </w:r>
      <w:r w:rsidR="005B2A41">
        <w:t xml:space="preserve"> </w:t>
      </w:r>
      <w:r w:rsidRPr="00B02247">
        <w:t>classes.</w:t>
      </w:r>
      <w:r w:rsidR="005B2A41">
        <w:t xml:space="preserve"> </w:t>
      </w:r>
    </w:p>
    <w:p w:rsidR="00F233AB" w:rsidRPr="00B02247" w:rsidRDefault="00F233AB" w:rsidP="00E1307D">
      <w:pPr>
        <w:pStyle w:val="SingleTxtG"/>
      </w:pPr>
      <w:r w:rsidRPr="00B02247">
        <w:t>194.</w:t>
      </w:r>
      <w:r w:rsidRPr="00B02247">
        <w:tab/>
        <w:t>The</w:t>
      </w:r>
      <w:r w:rsidR="005B2A41">
        <w:t xml:space="preserve"> </w:t>
      </w:r>
      <w:r w:rsidRPr="00B02247">
        <w:t>Ministry</w:t>
      </w:r>
      <w:r w:rsidR="005B2A41">
        <w:t xml:space="preserve"> </w:t>
      </w:r>
      <w:r w:rsidRPr="00B02247">
        <w:t>of</w:t>
      </w:r>
      <w:r w:rsidR="005B2A41">
        <w:t xml:space="preserve"> </w:t>
      </w:r>
      <w:r w:rsidRPr="00B02247">
        <w:t>Education</w:t>
      </w:r>
      <w:r w:rsidR="005B2A41">
        <w:t xml:space="preserve"> </w:t>
      </w:r>
      <w:r w:rsidRPr="00B02247">
        <w:t>has</w:t>
      </w:r>
      <w:r w:rsidR="005B2A41">
        <w:t xml:space="preserve"> </w:t>
      </w:r>
      <w:r w:rsidRPr="00B02247">
        <w:t>established</w:t>
      </w:r>
      <w:r w:rsidR="005B2A41">
        <w:t xml:space="preserve"> </w:t>
      </w:r>
      <w:r w:rsidRPr="00B02247">
        <w:t>for</w:t>
      </w:r>
      <w:r w:rsidR="005B2A41">
        <w:t xml:space="preserve"> </w:t>
      </w:r>
      <w:r w:rsidRPr="00B02247">
        <w:t>the</w:t>
      </w:r>
      <w:r w:rsidR="005B2A41">
        <w:t xml:space="preserve"> </w:t>
      </w:r>
      <w:r w:rsidRPr="00B02247">
        <w:t>school</w:t>
      </w:r>
      <w:r w:rsidR="005B2A41">
        <w:t xml:space="preserve"> </w:t>
      </w:r>
      <w:r w:rsidRPr="00B02247">
        <w:t>year</w:t>
      </w:r>
      <w:r w:rsidR="005B2A41">
        <w:t xml:space="preserve"> </w:t>
      </w:r>
      <w:r w:rsidRPr="00B02247">
        <w:t>2016</w:t>
      </w:r>
      <w:r w:rsidR="00915034">
        <w:t>–</w:t>
      </w:r>
      <w:r w:rsidRPr="00B02247">
        <w:t>2017</w:t>
      </w:r>
      <w:r w:rsidR="005B2A41">
        <w:t xml:space="preserve"> </w:t>
      </w:r>
      <w:r w:rsidRPr="00B02247">
        <w:t>an</w:t>
      </w:r>
      <w:r w:rsidR="005B2A41">
        <w:t xml:space="preserve"> </w:t>
      </w:r>
      <w:r w:rsidRPr="00B02247">
        <w:t>emergency</w:t>
      </w:r>
      <w:r w:rsidR="005B2A41">
        <w:t xml:space="preserve"> </w:t>
      </w:r>
      <w:r w:rsidRPr="00B02247">
        <w:t>Action</w:t>
      </w:r>
      <w:r w:rsidR="005B2A41">
        <w:t xml:space="preserve"> </w:t>
      </w:r>
      <w:r w:rsidRPr="00B02247">
        <w:t>Plan</w:t>
      </w:r>
      <w:r w:rsidR="005B2A41">
        <w:t xml:space="preserve"> </w:t>
      </w:r>
      <w:r w:rsidRPr="00B02247">
        <w:t>for</w:t>
      </w:r>
      <w:r w:rsidR="005B2A41">
        <w:t xml:space="preserve"> </w:t>
      </w:r>
      <w:r w:rsidRPr="00B02247">
        <w:t>the</w:t>
      </w:r>
      <w:r w:rsidR="005B2A41">
        <w:t xml:space="preserve"> </w:t>
      </w:r>
      <w:r w:rsidRPr="00B02247">
        <w:t>education</w:t>
      </w:r>
      <w:r w:rsidR="005B2A41">
        <w:t xml:space="preserve"> </w:t>
      </w:r>
      <w:r w:rsidRPr="00B02247">
        <w:t>of</w:t>
      </w:r>
      <w:r w:rsidR="005B2A41">
        <w:t xml:space="preserve"> </w:t>
      </w:r>
      <w:r w:rsidRPr="00B02247">
        <w:t>refugee</w:t>
      </w:r>
      <w:r w:rsidR="005B2A41">
        <w:t xml:space="preserve"> </w:t>
      </w:r>
      <w:r w:rsidRPr="00B02247">
        <w:t>and</w:t>
      </w:r>
      <w:r w:rsidR="005B2A41">
        <w:t xml:space="preserve"> </w:t>
      </w:r>
      <w:r w:rsidRPr="00B02247">
        <w:t>migrant</w:t>
      </w:r>
      <w:r w:rsidR="005B2A41">
        <w:t xml:space="preserve"> </w:t>
      </w:r>
      <w:r w:rsidRPr="00B02247">
        <w:t>children.</w:t>
      </w:r>
      <w:r w:rsidR="005B2A41">
        <w:t xml:space="preserve"> </w:t>
      </w:r>
      <w:r w:rsidRPr="00B02247">
        <w:t>The</w:t>
      </w:r>
      <w:r w:rsidR="005B2A41">
        <w:t xml:space="preserve"> </w:t>
      </w:r>
      <w:r w:rsidRPr="00B02247">
        <w:t>main</w:t>
      </w:r>
      <w:r w:rsidR="005B2A41">
        <w:t xml:space="preserve"> </w:t>
      </w:r>
      <w:r w:rsidRPr="00B02247">
        <w:t>objective</w:t>
      </w:r>
      <w:r w:rsidR="005B2A41">
        <w:t xml:space="preserve"> </w:t>
      </w:r>
      <w:r w:rsidRPr="00B02247">
        <w:t>of</w:t>
      </w:r>
      <w:r w:rsidR="005B2A41">
        <w:t xml:space="preserve"> </w:t>
      </w:r>
      <w:r w:rsidRPr="00B02247">
        <w:t>the</w:t>
      </w:r>
      <w:r w:rsidR="005B2A41">
        <w:t xml:space="preserve"> </w:t>
      </w:r>
      <w:r w:rsidRPr="00B02247">
        <w:t>Ministry</w:t>
      </w:r>
      <w:r w:rsidR="005B2A41">
        <w:t xml:space="preserve"> </w:t>
      </w:r>
      <w:r w:rsidRPr="00B02247">
        <w:t>is</w:t>
      </w:r>
      <w:r w:rsidR="005B2A41">
        <w:t xml:space="preserve"> </w:t>
      </w:r>
      <w:r w:rsidRPr="00B02247">
        <w:t>to</w:t>
      </w:r>
      <w:r w:rsidR="005B2A41">
        <w:t xml:space="preserve"> </w:t>
      </w:r>
      <w:r w:rsidRPr="00B02247">
        <w:t>ensure</w:t>
      </w:r>
      <w:r w:rsidR="005B2A41">
        <w:t xml:space="preserve"> </w:t>
      </w:r>
      <w:r w:rsidRPr="00B02247">
        <w:t>the</w:t>
      </w:r>
      <w:r w:rsidR="005B2A41">
        <w:t xml:space="preserve"> </w:t>
      </w:r>
      <w:r w:rsidRPr="00B02247">
        <w:t>psychosocial</w:t>
      </w:r>
      <w:r w:rsidR="005B2A41">
        <w:t xml:space="preserve"> </w:t>
      </w:r>
      <w:r w:rsidRPr="00B02247">
        <w:t>support</w:t>
      </w:r>
      <w:r w:rsidR="005B2A41">
        <w:t xml:space="preserve"> </w:t>
      </w:r>
      <w:r w:rsidRPr="00B02247">
        <w:t>and</w:t>
      </w:r>
      <w:r w:rsidR="005B2A41">
        <w:t xml:space="preserve"> </w:t>
      </w:r>
      <w:r w:rsidRPr="00B02247">
        <w:t>the</w:t>
      </w:r>
      <w:r w:rsidR="005B2A41">
        <w:t xml:space="preserve"> </w:t>
      </w:r>
      <w:r w:rsidRPr="00B02247">
        <w:t>integration</w:t>
      </w:r>
      <w:r w:rsidR="005B2A41">
        <w:t xml:space="preserve"> </w:t>
      </w:r>
      <w:r w:rsidRPr="00B02247">
        <w:t>of</w:t>
      </w:r>
      <w:r w:rsidR="005B2A41">
        <w:t xml:space="preserve"> </w:t>
      </w:r>
      <w:r w:rsidRPr="00B02247">
        <w:t>refugee</w:t>
      </w:r>
      <w:r w:rsidR="005B2A41">
        <w:t xml:space="preserve"> </w:t>
      </w:r>
      <w:r w:rsidRPr="00B02247">
        <w:t>children</w:t>
      </w:r>
      <w:r w:rsidR="005B2A41">
        <w:t xml:space="preserve"> </w:t>
      </w:r>
      <w:r w:rsidRPr="00B02247">
        <w:t>in</w:t>
      </w:r>
      <w:r w:rsidR="005B2A41">
        <w:t xml:space="preserve"> </w:t>
      </w:r>
      <w:r w:rsidRPr="00B02247">
        <w:t>the</w:t>
      </w:r>
      <w:r w:rsidR="005B2A41">
        <w:t xml:space="preserve"> </w:t>
      </w:r>
      <w:r w:rsidRPr="00B02247">
        <w:t>Greek</w:t>
      </w:r>
      <w:r w:rsidR="005B2A41">
        <w:t xml:space="preserve"> </w:t>
      </w:r>
      <w:r w:rsidRPr="00B02247">
        <w:t>educational</w:t>
      </w:r>
      <w:r w:rsidR="005B2A41">
        <w:t xml:space="preserve"> </w:t>
      </w:r>
      <w:r w:rsidRPr="00B02247">
        <w:t>system</w:t>
      </w:r>
      <w:r w:rsidR="005B2A41">
        <w:t xml:space="preserve"> </w:t>
      </w:r>
      <w:r w:rsidRPr="00B02247">
        <w:t>following</w:t>
      </w:r>
      <w:r w:rsidR="005B2A41">
        <w:t xml:space="preserve"> </w:t>
      </w:r>
      <w:r w:rsidRPr="00B02247">
        <w:t>a</w:t>
      </w:r>
      <w:r w:rsidR="005B2A41">
        <w:t xml:space="preserve"> </w:t>
      </w:r>
      <w:r w:rsidRPr="00B02247">
        <w:t>preparatory,</w:t>
      </w:r>
      <w:r w:rsidR="005B2A41">
        <w:t xml:space="preserve"> </w:t>
      </w:r>
      <w:r w:rsidRPr="00B02247">
        <w:t>transitional</w:t>
      </w:r>
      <w:r w:rsidR="005B2A41">
        <w:t xml:space="preserve"> </w:t>
      </w:r>
      <w:r w:rsidRPr="00B02247">
        <w:t>period.</w:t>
      </w:r>
      <w:r w:rsidR="005B2A41">
        <w:t xml:space="preserve"> </w:t>
      </w:r>
      <w:r w:rsidRPr="00B02247">
        <w:t>The</w:t>
      </w:r>
      <w:r w:rsidR="005B2A41">
        <w:t xml:space="preserve"> </w:t>
      </w:r>
      <w:r w:rsidRPr="00B02247">
        <w:t>plan</w:t>
      </w:r>
      <w:r w:rsidR="005B2A41">
        <w:t xml:space="preserve"> </w:t>
      </w:r>
      <w:r w:rsidRPr="00B02247">
        <w:t>is</w:t>
      </w:r>
      <w:r w:rsidR="005B2A41">
        <w:t xml:space="preserve"> </w:t>
      </w:r>
      <w:r w:rsidRPr="00B02247">
        <w:t>differentiated</w:t>
      </w:r>
      <w:r w:rsidR="005B2A41">
        <w:t xml:space="preserve"> </w:t>
      </w:r>
      <w:r w:rsidRPr="00B02247">
        <w:t>according</w:t>
      </w:r>
      <w:r w:rsidR="005B2A41">
        <w:t xml:space="preserve"> </w:t>
      </w:r>
      <w:r w:rsidRPr="00B02247">
        <w:t>to</w:t>
      </w:r>
      <w:r w:rsidR="005B2A41">
        <w:t xml:space="preserve"> </w:t>
      </w:r>
      <w:r w:rsidRPr="00B02247">
        <w:t>the</w:t>
      </w:r>
      <w:r w:rsidR="005B2A41">
        <w:t xml:space="preserve"> </w:t>
      </w:r>
      <w:r w:rsidRPr="00B02247">
        <w:t>age</w:t>
      </w:r>
      <w:r w:rsidR="005B2A41">
        <w:t xml:space="preserve"> </w:t>
      </w:r>
      <w:r w:rsidRPr="00B02247">
        <w:t>groups</w:t>
      </w:r>
      <w:r w:rsidR="005B2A41">
        <w:t xml:space="preserve"> </w:t>
      </w:r>
      <w:r w:rsidRPr="00B02247">
        <w:t>of</w:t>
      </w:r>
      <w:r w:rsidR="005B2A41">
        <w:t xml:space="preserve"> </w:t>
      </w:r>
      <w:r w:rsidRPr="00B02247">
        <w:t>children</w:t>
      </w:r>
      <w:r w:rsidR="005B2A41">
        <w:t xml:space="preserve"> </w:t>
      </w:r>
      <w:r w:rsidRPr="00B02247">
        <w:t>and</w:t>
      </w:r>
      <w:r w:rsidR="005B2A41">
        <w:t xml:space="preserve"> </w:t>
      </w:r>
      <w:r w:rsidRPr="00B02247">
        <w:t>it</w:t>
      </w:r>
      <w:r w:rsidR="005B2A41">
        <w:t xml:space="preserve"> </w:t>
      </w:r>
      <w:r w:rsidRPr="00B02247">
        <w:t>is</w:t>
      </w:r>
      <w:r w:rsidR="005B2A41">
        <w:t xml:space="preserve"> </w:t>
      </w:r>
      <w:r w:rsidRPr="00B02247">
        <w:t>adapted</w:t>
      </w:r>
      <w:r w:rsidR="005B2A41">
        <w:t xml:space="preserve"> </w:t>
      </w:r>
      <w:r w:rsidRPr="00B02247">
        <w:t>to</w:t>
      </w:r>
      <w:r w:rsidR="005B2A41">
        <w:t xml:space="preserve"> </w:t>
      </w:r>
      <w:r w:rsidRPr="00B02247">
        <w:t>the</w:t>
      </w:r>
      <w:r w:rsidR="005B2A41">
        <w:t xml:space="preserve"> </w:t>
      </w:r>
      <w:r w:rsidRPr="00B02247">
        <w:t>special</w:t>
      </w:r>
      <w:r w:rsidR="005B2A41">
        <w:t xml:space="preserve"> </w:t>
      </w:r>
      <w:r w:rsidRPr="00B02247">
        <w:t>needs</w:t>
      </w:r>
      <w:r w:rsidR="005B2A41">
        <w:t xml:space="preserve"> </w:t>
      </w:r>
      <w:r w:rsidRPr="00B02247">
        <w:t>and</w:t>
      </w:r>
      <w:r w:rsidR="005B2A41">
        <w:t xml:space="preserve"> </w:t>
      </w:r>
      <w:r w:rsidRPr="00B02247">
        <w:t>conditions</w:t>
      </w:r>
      <w:r w:rsidR="005B2A41">
        <w:t xml:space="preserve"> </w:t>
      </w:r>
      <w:r w:rsidRPr="00B02247">
        <w:t>of</w:t>
      </w:r>
      <w:r w:rsidR="005B2A41">
        <w:t xml:space="preserve"> </w:t>
      </w:r>
      <w:r w:rsidRPr="00B02247">
        <w:t>children</w:t>
      </w:r>
      <w:r w:rsidR="005B2A41">
        <w:t xml:space="preserve"> </w:t>
      </w:r>
      <w:r w:rsidRPr="00B02247">
        <w:t>taken</w:t>
      </w:r>
      <w:r w:rsidR="005B2A41">
        <w:t xml:space="preserve"> </w:t>
      </w:r>
      <w:r w:rsidRPr="00B02247">
        <w:t>into</w:t>
      </w:r>
      <w:r w:rsidR="005B2A41">
        <w:t xml:space="preserve"> </w:t>
      </w:r>
      <w:r w:rsidRPr="00B02247">
        <w:t>consideration</w:t>
      </w:r>
      <w:r w:rsidR="005B2A41">
        <w:t xml:space="preserve"> </w:t>
      </w:r>
      <w:r w:rsidRPr="00B02247">
        <w:t>the</w:t>
      </w:r>
      <w:r w:rsidR="005B2A41">
        <w:t xml:space="preserve"> </w:t>
      </w:r>
      <w:r w:rsidRPr="00B02247">
        <w:t>types</w:t>
      </w:r>
      <w:r w:rsidR="005B2A41">
        <w:t xml:space="preserve"> </w:t>
      </w:r>
      <w:r w:rsidRPr="00B02247">
        <w:t>of</w:t>
      </w:r>
      <w:r w:rsidR="005B2A41">
        <w:t xml:space="preserve"> </w:t>
      </w:r>
      <w:r w:rsidRPr="00B02247">
        <w:t>accommodation</w:t>
      </w:r>
      <w:r w:rsidR="005B2A41">
        <w:t xml:space="preserve"> </w:t>
      </w:r>
      <w:r w:rsidRPr="00B02247">
        <w:t>of</w:t>
      </w:r>
      <w:r w:rsidR="005B2A41">
        <w:t xml:space="preserve"> </w:t>
      </w:r>
      <w:r w:rsidRPr="00B02247">
        <w:t>refugee</w:t>
      </w:r>
      <w:r w:rsidR="005B2A41">
        <w:t xml:space="preserve"> </w:t>
      </w:r>
      <w:r w:rsidRPr="00B02247">
        <w:t>population,</w:t>
      </w:r>
      <w:r w:rsidR="005B2A41">
        <w:t xml:space="preserve"> </w:t>
      </w:r>
      <w:r w:rsidRPr="00B02247">
        <w:t>either</w:t>
      </w:r>
      <w:r w:rsidR="005B2A41">
        <w:t xml:space="preserve"> </w:t>
      </w:r>
      <w:r w:rsidR="003E731F">
        <w:t>“</w:t>
      </w:r>
      <w:r w:rsidRPr="00B02247">
        <w:t>site-based</w:t>
      </w:r>
      <w:r w:rsidR="003E731F">
        <w:t>”</w:t>
      </w:r>
      <w:r w:rsidRPr="00B02247">
        <w:t>,</w:t>
      </w:r>
      <w:r w:rsidR="005B2A41">
        <w:t xml:space="preserve"> </w:t>
      </w:r>
      <w:r w:rsidRPr="00B02247">
        <w:t>i.e.</w:t>
      </w:r>
      <w:r w:rsidR="005B2A41">
        <w:t xml:space="preserve"> </w:t>
      </w:r>
      <w:r w:rsidRPr="00B02247">
        <w:t>population</w:t>
      </w:r>
      <w:r w:rsidR="005B2A41">
        <w:t xml:space="preserve"> </w:t>
      </w:r>
      <w:r w:rsidRPr="00B02247">
        <w:t>placed</w:t>
      </w:r>
      <w:r w:rsidR="005B2A41">
        <w:t xml:space="preserve"> </w:t>
      </w:r>
      <w:r w:rsidRPr="00B02247">
        <w:t>temporarily</w:t>
      </w:r>
      <w:r w:rsidR="005B2A41">
        <w:t xml:space="preserve"> </w:t>
      </w:r>
      <w:r w:rsidRPr="00B02247">
        <w:t>in</w:t>
      </w:r>
      <w:r w:rsidR="005B2A41">
        <w:t xml:space="preserve"> </w:t>
      </w:r>
      <w:r w:rsidRPr="00B02247">
        <w:t>open</w:t>
      </w:r>
      <w:r w:rsidR="005B2A41">
        <w:t xml:space="preserve"> </w:t>
      </w:r>
      <w:r w:rsidRPr="00B02247">
        <w:t>temporary</w:t>
      </w:r>
      <w:r w:rsidR="005B2A41">
        <w:t xml:space="preserve"> </w:t>
      </w:r>
      <w:r w:rsidRPr="00B02247">
        <w:t>sites</w:t>
      </w:r>
      <w:r w:rsidR="005B2A41">
        <w:t xml:space="preserve"> </w:t>
      </w:r>
      <w:r w:rsidRPr="00B02247">
        <w:t>(in</w:t>
      </w:r>
      <w:r w:rsidR="005B2A41">
        <w:t xml:space="preserve"> </w:t>
      </w:r>
      <w:r w:rsidRPr="00B02247">
        <w:t>refugee</w:t>
      </w:r>
      <w:r w:rsidR="005B2A41">
        <w:t xml:space="preserve"> </w:t>
      </w:r>
      <w:r w:rsidRPr="00B02247">
        <w:t>Accommodation</w:t>
      </w:r>
      <w:r w:rsidR="005B2A41">
        <w:t xml:space="preserve"> </w:t>
      </w:r>
      <w:r w:rsidRPr="00B02247">
        <w:t>Centers)</w:t>
      </w:r>
      <w:r w:rsidR="005B2A41">
        <w:t xml:space="preserve"> </w:t>
      </w:r>
      <w:r w:rsidRPr="00B02247">
        <w:t>or</w:t>
      </w:r>
      <w:r w:rsidR="005B2A41">
        <w:t xml:space="preserve"> </w:t>
      </w:r>
      <w:r w:rsidR="003E731F">
        <w:t>“</w:t>
      </w:r>
      <w:r w:rsidRPr="00B02247">
        <w:t>off-site</w:t>
      </w:r>
      <w:r w:rsidR="003E731F">
        <w:t>”</w:t>
      </w:r>
      <w:r w:rsidRPr="00B02247">
        <w:t>,</w:t>
      </w:r>
      <w:r w:rsidR="005B2A41">
        <w:t xml:space="preserve"> </w:t>
      </w:r>
      <w:r w:rsidRPr="00B02247">
        <w:t>i.e.</w:t>
      </w:r>
      <w:r w:rsidR="005B2A41">
        <w:t xml:space="preserve"> </w:t>
      </w:r>
      <w:r w:rsidRPr="00B02247">
        <w:t>population</w:t>
      </w:r>
      <w:r w:rsidR="005B2A41">
        <w:t xml:space="preserve"> </w:t>
      </w:r>
      <w:r w:rsidRPr="00B02247">
        <w:t>residing</w:t>
      </w:r>
      <w:r w:rsidR="005B2A41">
        <w:t xml:space="preserve"> </w:t>
      </w:r>
      <w:r w:rsidRPr="00B02247">
        <w:t>in</w:t>
      </w:r>
      <w:r w:rsidR="005B2A41">
        <w:t xml:space="preserve"> </w:t>
      </w:r>
      <w:r w:rsidRPr="00B02247">
        <w:t>rented</w:t>
      </w:r>
      <w:r w:rsidR="005B2A41">
        <w:t xml:space="preserve"> </w:t>
      </w:r>
      <w:r w:rsidRPr="00B02247">
        <w:t>apartments,</w:t>
      </w:r>
      <w:r w:rsidR="005B2A41">
        <w:t xml:space="preserve"> </w:t>
      </w:r>
      <w:r w:rsidRPr="00B02247">
        <w:t>hotels</w:t>
      </w:r>
      <w:r w:rsidR="005B2A41">
        <w:t xml:space="preserve"> </w:t>
      </w:r>
      <w:r w:rsidRPr="00B02247">
        <w:t>or</w:t>
      </w:r>
      <w:r w:rsidR="005B2A41">
        <w:t xml:space="preserve"> </w:t>
      </w:r>
      <w:r w:rsidRPr="00B02247">
        <w:t>shelters</w:t>
      </w:r>
      <w:r w:rsidR="005B2A41">
        <w:t xml:space="preserve"> </w:t>
      </w:r>
      <w:r w:rsidRPr="00B02247">
        <w:t>(beneficiaries</w:t>
      </w:r>
      <w:r w:rsidR="005B2A41">
        <w:t xml:space="preserve"> </w:t>
      </w:r>
      <w:r w:rsidRPr="00B02247">
        <w:t>of</w:t>
      </w:r>
      <w:r w:rsidR="005B2A41">
        <w:t xml:space="preserve"> </w:t>
      </w:r>
      <w:r w:rsidRPr="00B02247">
        <w:t>the</w:t>
      </w:r>
      <w:r w:rsidR="005B2A41">
        <w:t xml:space="preserve"> </w:t>
      </w:r>
      <w:r w:rsidRPr="00B02247">
        <w:t>UNHCR</w:t>
      </w:r>
      <w:r w:rsidR="005B2A41">
        <w:t xml:space="preserve"> </w:t>
      </w:r>
      <w:r w:rsidRPr="00B02247">
        <w:t>accommodation</w:t>
      </w:r>
      <w:r w:rsidR="005B2A41">
        <w:t xml:space="preserve"> </w:t>
      </w:r>
      <w:r w:rsidRPr="00B02247">
        <w:t>scheme</w:t>
      </w:r>
      <w:r w:rsidR="005B2A41">
        <w:t xml:space="preserve"> </w:t>
      </w:r>
      <w:r w:rsidRPr="00B02247">
        <w:t>or</w:t>
      </w:r>
      <w:r w:rsidR="005B2A41">
        <w:t xml:space="preserve"> </w:t>
      </w:r>
      <w:r w:rsidRPr="00B02247">
        <w:t>other</w:t>
      </w:r>
      <w:r w:rsidR="005B2A41">
        <w:t xml:space="preserve"> </w:t>
      </w:r>
      <w:r w:rsidRPr="00B02247">
        <w:t>accommodations</w:t>
      </w:r>
      <w:r w:rsidR="005B2A41">
        <w:t xml:space="preserve"> </w:t>
      </w:r>
      <w:r w:rsidRPr="00B02247">
        <w:t>supported</w:t>
      </w:r>
      <w:r w:rsidR="005B2A41">
        <w:t xml:space="preserve"> </w:t>
      </w:r>
      <w:r w:rsidRPr="00B02247">
        <w:t>by</w:t>
      </w:r>
      <w:r w:rsidR="005B2A41">
        <w:t xml:space="preserve"> </w:t>
      </w:r>
      <w:r w:rsidRPr="00B02247">
        <w:t>NGOs</w:t>
      </w:r>
      <w:r w:rsidR="005B2A41">
        <w:t xml:space="preserve"> </w:t>
      </w:r>
      <w:r w:rsidRPr="00B02247">
        <w:t>and</w:t>
      </w:r>
      <w:r w:rsidR="005B2A41">
        <w:t xml:space="preserve"> </w:t>
      </w:r>
      <w:r w:rsidRPr="00B02247">
        <w:t>municipalities).</w:t>
      </w:r>
    </w:p>
    <w:p w:rsidR="00F233AB" w:rsidRPr="00B02247" w:rsidRDefault="00F233AB" w:rsidP="00E1307D">
      <w:pPr>
        <w:pStyle w:val="SingleTxtG"/>
      </w:pPr>
      <w:r w:rsidRPr="00B02247">
        <w:t>195.</w:t>
      </w:r>
      <w:r w:rsidRPr="00B02247">
        <w:tab/>
        <w:t>As</w:t>
      </w:r>
      <w:r w:rsidR="005B2A41">
        <w:t xml:space="preserve"> </w:t>
      </w:r>
      <w:r w:rsidRPr="00B02247">
        <w:t>regards</w:t>
      </w:r>
      <w:r w:rsidR="005B2A41">
        <w:t xml:space="preserve"> </w:t>
      </w:r>
      <w:r w:rsidRPr="00B02247">
        <w:t>the</w:t>
      </w:r>
      <w:r w:rsidR="005B2A41">
        <w:t xml:space="preserve"> </w:t>
      </w:r>
      <w:r w:rsidRPr="00B02247">
        <w:t>children</w:t>
      </w:r>
      <w:r w:rsidR="005B2A41">
        <w:t xml:space="preserve"> </w:t>
      </w:r>
      <w:r w:rsidRPr="00B02247">
        <w:t>living</w:t>
      </w:r>
      <w:r w:rsidR="005B2A41">
        <w:t xml:space="preserve"> </w:t>
      </w:r>
      <w:r w:rsidRPr="00B02247">
        <w:t>in</w:t>
      </w:r>
      <w:r w:rsidR="005B2A41">
        <w:t xml:space="preserve"> </w:t>
      </w:r>
      <w:r w:rsidRPr="00B02247">
        <w:t>refugee</w:t>
      </w:r>
      <w:r w:rsidR="005B2A41">
        <w:t xml:space="preserve"> </w:t>
      </w:r>
      <w:r w:rsidRPr="00B02247">
        <w:t>Accommodation</w:t>
      </w:r>
      <w:r w:rsidR="005B2A41">
        <w:t xml:space="preserve"> </w:t>
      </w:r>
      <w:r w:rsidRPr="00B02247">
        <w:t>Centers,</w:t>
      </w:r>
      <w:r w:rsidR="005B2A41">
        <w:t xml:space="preserve"> </w:t>
      </w:r>
      <w:r w:rsidRPr="00B02247">
        <w:t>starting</w:t>
      </w:r>
      <w:r w:rsidR="005B2A41">
        <w:t xml:space="preserve"> </w:t>
      </w:r>
      <w:r w:rsidRPr="00B02247">
        <w:t>from</w:t>
      </w:r>
      <w:r w:rsidR="005B2A41">
        <w:t xml:space="preserve"> </w:t>
      </w:r>
      <w:r w:rsidRPr="00B02247">
        <w:t>the</w:t>
      </w:r>
      <w:r w:rsidR="005B2A41">
        <w:t xml:space="preserve"> </w:t>
      </w:r>
      <w:r w:rsidRPr="00B02247">
        <w:t>school</w:t>
      </w:r>
      <w:r w:rsidR="005B2A41">
        <w:t xml:space="preserve"> </w:t>
      </w:r>
      <w:r w:rsidRPr="00B02247">
        <w:t>year</w:t>
      </w:r>
      <w:r w:rsidR="005B2A41">
        <w:t xml:space="preserve"> </w:t>
      </w:r>
      <w:r w:rsidRPr="00B02247">
        <w:t>2016</w:t>
      </w:r>
      <w:r w:rsidR="00915034">
        <w:t>–</w:t>
      </w:r>
      <w:r w:rsidRPr="00B02247">
        <w:t>2017,</w:t>
      </w:r>
      <w:r w:rsidR="005B2A41">
        <w:t xml:space="preserve"> </w:t>
      </w:r>
      <w:r w:rsidRPr="00B02247">
        <w:t>the</w:t>
      </w:r>
      <w:r w:rsidR="005B2A41">
        <w:t xml:space="preserve"> </w:t>
      </w:r>
      <w:r w:rsidRPr="00B02247">
        <w:t>Ministry</w:t>
      </w:r>
      <w:r w:rsidR="005B2A41">
        <w:t xml:space="preserve"> </w:t>
      </w:r>
      <w:r w:rsidRPr="00B02247">
        <w:t>of</w:t>
      </w:r>
      <w:r w:rsidR="005B2A41">
        <w:t xml:space="preserve"> </w:t>
      </w:r>
      <w:r w:rsidRPr="00B02247">
        <w:t>Education,</w:t>
      </w:r>
      <w:r w:rsidR="005B2A41">
        <w:t xml:space="preserve"> </w:t>
      </w:r>
      <w:r w:rsidRPr="00B02247">
        <w:t>Research</w:t>
      </w:r>
      <w:r w:rsidR="005B2A41">
        <w:t xml:space="preserve"> </w:t>
      </w:r>
      <w:r w:rsidRPr="00B02247">
        <w:t>and</w:t>
      </w:r>
      <w:r w:rsidR="005B2A41">
        <w:t xml:space="preserve"> </w:t>
      </w:r>
      <w:r w:rsidRPr="00B02247">
        <w:t>Religious</w:t>
      </w:r>
      <w:r w:rsidR="005B2A41">
        <w:t xml:space="preserve"> </w:t>
      </w:r>
      <w:r w:rsidRPr="00B02247">
        <w:t>Affairs</w:t>
      </w:r>
      <w:r w:rsidR="005B2A41">
        <w:t xml:space="preserve"> </w:t>
      </w:r>
      <w:r w:rsidRPr="00B02247">
        <w:t>(MoE)</w:t>
      </w:r>
      <w:r w:rsidR="005B2A41">
        <w:t xml:space="preserve"> </w:t>
      </w:r>
      <w:r w:rsidRPr="00B02247">
        <w:t>has</w:t>
      </w:r>
      <w:r w:rsidR="005B2A41">
        <w:t xml:space="preserve"> </w:t>
      </w:r>
      <w:r w:rsidRPr="00B02247">
        <w:t>established</w:t>
      </w:r>
      <w:r w:rsidR="005B2A41">
        <w:t xml:space="preserve"> </w:t>
      </w:r>
      <w:r w:rsidRPr="00B02247">
        <w:t>the</w:t>
      </w:r>
      <w:r w:rsidR="005B2A41">
        <w:t xml:space="preserve"> </w:t>
      </w:r>
      <w:r w:rsidRPr="00B02247">
        <w:t>Reception</w:t>
      </w:r>
      <w:r w:rsidR="005B2A41">
        <w:t xml:space="preserve"> </w:t>
      </w:r>
      <w:r w:rsidRPr="00B02247">
        <w:t>School</w:t>
      </w:r>
      <w:r w:rsidR="005B2A41">
        <w:t xml:space="preserve"> </w:t>
      </w:r>
      <w:r w:rsidRPr="00B02247">
        <w:t>Annexes</w:t>
      </w:r>
      <w:r w:rsidR="005B2A41">
        <w:t xml:space="preserve"> </w:t>
      </w:r>
      <w:r w:rsidRPr="00B02247">
        <w:t>for</w:t>
      </w:r>
      <w:r w:rsidR="005B2A41">
        <w:t xml:space="preserve"> </w:t>
      </w:r>
      <w:r w:rsidRPr="00B02247">
        <w:t>Refugee</w:t>
      </w:r>
      <w:r w:rsidR="005B2A41">
        <w:t xml:space="preserve"> </w:t>
      </w:r>
      <w:r w:rsidRPr="00B02247">
        <w:t>Education</w:t>
      </w:r>
      <w:r w:rsidR="005B2A41">
        <w:t xml:space="preserve"> </w:t>
      </w:r>
      <w:r w:rsidRPr="00B02247">
        <w:t>(RSARE).</w:t>
      </w:r>
      <w:r w:rsidR="005B2A41">
        <w:t xml:space="preserve"> </w:t>
      </w:r>
      <w:r w:rsidRPr="00B02247">
        <w:t>RSARE</w:t>
      </w:r>
      <w:r w:rsidR="005B2A41">
        <w:t xml:space="preserve"> </w:t>
      </w:r>
      <w:r w:rsidRPr="00B02247">
        <w:t>are</w:t>
      </w:r>
      <w:r w:rsidR="005B2A41">
        <w:t xml:space="preserve"> </w:t>
      </w:r>
      <w:r w:rsidRPr="00B02247">
        <w:t>specially</w:t>
      </w:r>
      <w:r w:rsidR="005B2A41">
        <w:t xml:space="preserve"> </w:t>
      </w:r>
      <w:r w:rsidRPr="00B02247">
        <w:t>designed</w:t>
      </w:r>
      <w:r w:rsidR="005B2A41">
        <w:t xml:space="preserve"> </w:t>
      </w:r>
      <w:r w:rsidRPr="00B02247">
        <w:t>as</w:t>
      </w:r>
      <w:r w:rsidR="005B2A41">
        <w:t xml:space="preserve"> </w:t>
      </w:r>
      <w:r w:rsidRPr="00B02247">
        <w:t>a</w:t>
      </w:r>
      <w:r w:rsidR="005B2A41">
        <w:t xml:space="preserve"> </w:t>
      </w:r>
      <w:r w:rsidRPr="00B02247">
        <w:t>preparatory</w:t>
      </w:r>
      <w:r w:rsidR="005B2A41">
        <w:t xml:space="preserve"> </w:t>
      </w:r>
      <w:r w:rsidRPr="00B02247">
        <w:t>transitional</w:t>
      </w:r>
      <w:r w:rsidR="005B2A41">
        <w:t xml:space="preserve"> </w:t>
      </w:r>
      <w:r w:rsidRPr="00B02247">
        <w:t>intervention</w:t>
      </w:r>
      <w:r w:rsidR="005B2A41">
        <w:t xml:space="preserve"> </w:t>
      </w:r>
      <w:r w:rsidRPr="00B02247">
        <w:t>scheme</w:t>
      </w:r>
      <w:r w:rsidR="005B2A41">
        <w:t xml:space="preserve"> </w:t>
      </w:r>
      <w:r w:rsidRPr="00B02247">
        <w:t>aiming</w:t>
      </w:r>
      <w:r w:rsidR="005B2A41">
        <w:t xml:space="preserve"> </w:t>
      </w:r>
      <w:r w:rsidRPr="00B02247">
        <w:t>to</w:t>
      </w:r>
      <w:r w:rsidR="005B2A41">
        <w:t xml:space="preserve"> </w:t>
      </w:r>
      <w:r w:rsidRPr="00B02247">
        <w:t>ensure</w:t>
      </w:r>
      <w:r w:rsidR="005B2A41">
        <w:t xml:space="preserve"> </w:t>
      </w:r>
      <w:r w:rsidRPr="00B02247">
        <w:t>the</w:t>
      </w:r>
      <w:r w:rsidR="005B2A41">
        <w:t xml:space="preserve"> </w:t>
      </w:r>
      <w:r w:rsidRPr="00B02247">
        <w:t>gradual</w:t>
      </w:r>
      <w:r w:rsidR="005B2A41">
        <w:t xml:space="preserve"> </w:t>
      </w:r>
      <w:r w:rsidRPr="00B02247">
        <w:t>integration</w:t>
      </w:r>
      <w:r w:rsidR="005B2A41">
        <w:t xml:space="preserve"> </w:t>
      </w:r>
      <w:r w:rsidRPr="00B02247">
        <w:t>of</w:t>
      </w:r>
      <w:r w:rsidR="005B2A41">
        <w:t xml:space="preserve"> </w:t>
      </w:r>
      <w:r w:rsidRPr="00B02247">
        <w:t>refugee</w:t>
      </w:r>
      <w:r w:rsidR="005B2A41">
        <w:t xml:space="preserve"> </w:t>
      </w:r>
      <w:r w:rsidRPr="00B02247">
        <w:t>children</w:t>
      </w:r>
      <w:r w:rsidR="005B2A41">
        <w:t xml:space="preserve"> </w:t>
      </w:r>
      <w:r w:rsidRPr="00B02247">
        <w:t>to</w:t>
      </w:r>
      <w:r w:rsidR="005B2A41">
        <w:t xml:space="preserve"> </w:t>
      </w:r>
      <w:r w:rsidRPr="00B02247">
        <w:t>the</w:t>
      </w:r>
      <w:r w:rsidR="005B2A41">
        <w:t xml:space="preserve"> </w:t>
      </w:r>
      <w:r w:rsidRPr="00B02247">
        <w:t>educational</w:t>
      </w:r>
      <w:r w:rsidR="005B2A41">
        <w:t xml:space="preserve"> </w:t>
      </w:r>
      <w:r w:rsidRPr="00B02247">
        <w:t>system</w:t>
      </w:r>
      <w:r w:rsidR="005B2A41">
        <w:t xml:space="preserve"> </w:t>
      </w:r>
      <w:r w:rsidRPr="00B02247">
        <w:t>whether</w:t>
      </w:r>
      <w:r w:rsidR="005B2A41">
        <w:t xml:space="preserve"> </w:t>
      </w:r>
      <w:r w:rsidRPr="00B02247">
        <w:t>in</w:t>
      </w:r>
      <w:r w:rsidR="005B2A41">
        <w:t xml:space="preserve"> </w:t>
      </w:r>
      <w:r w:rsidRPr="00B02247">
        <w:t>Greece</w:t>
      </w:r>
      <w:r w:rsidR="005B2A41">
        <w:t xml:space="preserve"> </w:t>
      </w:r>
      <w:r w:rsidRPr="00B02247">
        <w:t>or</w:t>
      </w:r>
      <w:r w:rsidR="005B2A41">
        <w:t xml:space="preserve"> </w:t>
      </w:r>
      <w:r w:rsidRPr="00B02247">
        <w:t>elsewhere</w:t>
      </w:r>
      <w:r w:rsidR="005B2A41">
        <w:t xml:space="preserve"> </w:t>
      </w:r>
      <w:r w:rsidRPr="00B02247">
        <w:t>in</w:t>
      </w:r>
      <w:r w:rsidR="005B2A41">
        <w:t xml:space="preserve"> </w:t>
      </w:r>
      <w:r w:rsidRPr="00B02247">
        <w:t>Europe.</w:t>
      </w:r>
      <w:r w:rsidR="005B2A41">
        <w:t xml:space="preserve"> </w:t>
      </w:r>
      <w:r w:rsidRPr="00B02247">
        <w:t>The</w:t>
      </w:r>
      <w:r w:rsidR="005B2A41">
        <w:t xml:space="preserve"> </w:t>
      </w:r>
      <w:r w:rsidRPr="00B02247">
        <w:t>curriculum</w:t>
      </w:r>
      <w:r w:rsidR="005B2A41">
        <w:t xml:space="preserve"> </w:t>
      </w:r>
      <w:r w:rsidRPr="00B02247">
        <w:t>includes</w:t>
      </w:r>
      <w:r w:rsidR="005B2A41">
        <w:t xml:space="preserve"> </w:t>
      </w:r>
      <w:r w:rsidRPr="00B02247">
        <w:t>Greek</w:t>
      </w:r>
      <w:r w:rsidR="005B2A41">
        <w:t xml:space="preserve"> </w:t>
      </w:r>
      <w:r w:rsidRPr="00B02247">
        <w:t>language</w:t>
      </w:r>
      <w:r w:rsidR="005B2A41">
        <w:t xml:space="preserve"> </w:t>
      </w:r>
      <w:r w:rsidRPr="00B02247">
        <w:t>courses,</w:t>
      </w:r>
      <w:r w:rsidR="005B2A41">
        <w:t xml:space="preserve"> </w:t>
      </w:r>
      <w:r w:rsidRPr="00B02247">
        <w:t>Mathematics,</w:t>
      </w:r>
      <w:r w:rsidR="005B2A41">
        <w:t xml:space="preserve"> </w:t>
      </w:r>
      <w:r w:rsidRPr="00B02247">
        <w:t>Foreign</w:t>
      </w:r>
      <w:r w:rsidR="005B2A41">
        <w:t xml:space="preserve"> </w:t>
      </w:r>
      <w:r w:rsidRPr="00B02247">
        <w:t>language</w:t>
      </w:r>
      <w:r w:rsidR="005B2A41">
        <w:t xml:space="preserve"> </w:t>
      </w:r>
      <w:r w:rsidRPr="00B02247">
        <w:t>courses</w:t>
      </w:r>
      <w:r w:rsidR="005B2A41">
        <w:t xml:space="preserve"> </w:t>
      </w:r>
      <w:r w:rsidRPr="00B02247">
        <w:t>(English,</w:t>
      </w:r>
      <w:r w:rsidR="005B2A41">
        <w:t xml:space="preserve"> </w:t>
      </w:r>
      <w:r w:rsidRPr="00B02247">
        <w:t>etc.),</w:t>
      </w:r>
      <w:r w:rsidR="005B2A41">
        <w:t xml:space="preserve"> </w:t>
      </w:r>
      <w:r w:rsidRPr="00B02247">
        <w:t>Computer</w:t>
      </w:r>
      <w:r w:rsidR="005B2A41">
        <w:t xml:space="preserve"> </w:t>
      </w:r>
      <w:r w:rsidRPr="00B02247">
        <w:t>Science,</w:t>
      </w:r>
      <w:r w:rsidR="005B2A41">
        <w:t xml:space="preserve"> </w:t>
      </w:r>
      <w:r w:rsidRPr="00B02247">
        <w:t>Physical</w:t>
      </w:r>
      <w:r w:rsidR="005B2A41">
        <w:t xml:space="preserve"> </w:t>
      </w:r>
      <w:r w:rsidRPr="00B02247">
        <w:t>Education</w:t>
      </w:r>
      <w:r w:rsidR="005B2A41">
        <w:t xml:space="preserve"> </w:t>
      </w:r>
      <w:r w:rsidRPr="00B02247">
        <w:t>and</w:t>
      </w:r>
      <w:r w:rsidR="005B2A41">
        <w:t xml:space="preserve"> </w:t>
      </w:r>
      <w:r w:rsidRPr="00B02247">
        <w:t>Arts</w:t>
      </w:r>
      <w:r w:rsidR="005B2A41">
        <w:t xml:space="preserve"> </w:t>
      </w:r>
      <w:r w:rsidRPr="00B02247">
        <w:t>classes.</w:t>
      </w:r>
      <w:r w:rsidR="005B2A41">
        <w:t xml:space="preserve"> </w:t>
      </w:r>
      <w:r w:rsidRPr="00B02247">
        <w:t>For</w:t>
      </w:r>
      <w:r w:rsidR="005B2A41">
        <w:t xml:space="preserve"> </w:t>
      </w:r>
      <w:r w:rsidRPr="00B02247">
        <w:t>the</w:t>
      </w:r>
      <w:r w:rsidR="005B2A41">
        <w:t xml:space="preserve"> </w:t>
      </w:r>
      <w:r w:rsidRPr="00B02247">
        <w:t>teaching</w:t>
      </w:r>
      <w:r w:rsidR="005B2A41">
        <w:t xml:space="preserve"> </w:t>
      </w:r>
      <w:r w:rsidRPr="00B02247">
        <w:t>and</w:t>
      </w:r>
      <w:r w:rsidR="005B2A41">
        <w:t xml:space="preserve"> </w:t>
      </w:r>
      <w:r w:rsidRPr="00B02247">
        <w:t>learning</w:t>
      </w:r>
      <w:r w:rsidR="005B2A41">
        <w:t xml:space="preserve"> </w:t>
      </w:r>
      <w:r w:rsidRPr="00B02247">
        <w:t>of</w:t>
      </w:r>
      <w:r w:rsidR="005B2A41">
        <w:t xml:space="preserve"> </w:t>
      </w:r>
      <w:r w:rsidRPr="00B02247">
        <w:t>the</w:t>
      </w:r>
      <w:r w:rsidR="005B2A41">
        <w:t xml:space="preserve"> </w:t>
      </w:r>
      <w:r w:rsidRPr="00B02247">
        <w:t>Greek</w:t>
      </w:r>
      <w:r w:rsidR="005B2A41">
        <w:t xml:space="preserve"> </w:t>
      </w:r>
      <w:r w:rsidRPr="00B02247">
        <w:t>Language,</w:t>
      </w:r>
      <w:r w:rsidR="005B2A41">
        <w:t xml:space="preserve"> </w:t>
      </w:r>
      <w:r w:rsidRPr="00B02247">
        <w:t>teacher</w:t>
      </w:r>
      <w:r w:rsidR="005B2A41">
        <w:t xml:space="preserve"> </w:t>
      </w:r>
      <w:r w:rsidRPr="00B02247">
        <w:t>guides</w:t>
      </w:r>
      <w:r w:rsidR="005B2A41">
        <w:t xml:space="preserve"> </w:t>
      </w:r>
      <w:r w:rsidRPr="00B02247">
        <w:t>and</w:t>
      </w:r>
      <w:r w:rsidR="005B2A41">
        <w:t xml:space="preserve"> </w:t>
      </w:r>
      <w:r w:rsidRPr="00B02247">
        <w:t>textbooks</w:t>
      </w:r>
      <w:r w:rsidR="005B2A41">
        <w:t xml:space="preserve"> </w:t>
      </w:r>
      <w:r w:rsidRPr="00B02247">
        <w:t>that</w:t>
      </w:r>
      <w:r w:rsidR="005B2A41">
        <w:t xml:space="preserve"> </w:t>
      </w:r>
      <w:r w:rsidRPr="00B02247">
        <w:t>have</w:t>
      </w:r>
      <w:r w:rsidR="005B2A41">
        <w:t xml:space="preserve"> </w:t>
      </w:r>
      <w:r w:rsidRPr="00B02247">
        <w:t>been</w:t>
      </w:r>
      <w:r w:rsidR="005B2A41">
        <w:t xml:space="preserve"> </w:t>
      </w:r>
      <w:r w:rsidRPr="00B02247">
        <w:t>developed</w:t>
      </w:r>
      <w:r w:rsidR="005B2A41">
        <w:t xml:space="preserve"> </w:t>
      </w:r>
      <w:r w:rsidRPr="00B02247">
        <w:t>and</w:t>
      </w:r>
      <w:r w:rsidR="005B2A41">
        <w:t xml:space="preserve"> </w:t>
      </w:r>
      <w:r w:rsidRPr="00B02247">
        <w:t>used</w:t>
      </w:r>
      <w:r w:rsidR="005B2A41">
        <w:t xml:space="preserve"> </w:t>
      </w:r>
      <w:r w:rsidRPr="00B02247">
        <w:t>in</w:t>
      </w:r>
      <w:r w:rsidR="005B2A41">
        <w:t xml:space="preserve"> </w:t>
      </w:r>
      <w:r w:rsidRPr="00B02247">
        <w:t>the</w:t>
      </w:r>
      <w:r w:rsidR="005B2A41">
        <w:t xml:space="preserve"> </w:t>
      </w:r>
      <w:r w:rsidRPr="00B02247">
        <w:t>Schools</w:t>
      </w:r>
      <w:r w:rsidR="005B2A41">
        <w:t xml:space="preserve"> </w:t>
      </w:r>
      <w:r w:rsidRPr="00B02247">
        <w:t>of</w:t>
      </w:r>
      <w:r w:rsidR="005B2A41">
        <w:t xml:space="preserve"> </w:t>
      </w:r>
      <w:r w:rsidRPr="00B02247">
        <w:t>Intercultural</w:t>
      </w:r>
      <w:r w:rsidR="005B2A41">
        <w:t xml:space="preserve"> </w:t>
      </w:r>
      <w:r w:rsidRPr="00B02247">
        <w:t>Education</w:t>
      </w:r>
      <w:r w:rsidR="005B2A41">
        <w:t xml:space="preserve"> </w:t>
      </w:r>
      <w:r w:rsidRPr="00B02247">
        <w:t>for</w:t>
      </w:r>
      <w:r w:rsidR="005B2A41">
        <w:t xml:space="preserve"> </w:t>
      </w:r>
      <w:r w:rsidRPr="00B02247">
        <w:t>teaching</w:t>
      </w:r>
      <w:r w:rsidR="005B2A41">
        <w:t xml:space="preserve"> </w:t>
      </w:r>
      <w:r w:rsidRPr="00B02247">
        <w:t>Greek</w:t>
      </w:r>
      <w:r w:rsidR="005B2A41">
        <w:t xml:space="preserve"> </w:t>
      </w:r>
      <w:r w:rsidRPr="00B02247">
        <w:t>as</w:t>
      </w:r>
      <w:r w:rsidR="005B2A41">
        <w:t xml:space="preserve"> </w:t>
      </w:r>
      <w:r w:rsidRPr="00B02247">
        <w:t>a</w:t>
      </w:r>
      <w:r w:rsidR="005B2A41">
        <w:t xml:space="preserve"> </w:t>
      </w:r>
      <w:r w:rsidRPr="00B02247">
        <w:t>second</w:t>
      </w:r>
      <w:r w:rsidR="005B2A41">
        <w:t xml:space="preserve"> </w:t>
      </w:r>
      <w:r w:rsidRPr="00B02247">
        <w:t>language</w:t>
      </w:r>
      <w:r w:rsidR="005B2A41">
        <w:t xml:space="preserve"> </w:t>
      </w:r>
      <w:r w:rsidRPr="00B02247">
        <w:t>are</w:t>
      </w:r>
      <w:r w:rsidR="005B2A41">
        <w:t xml:space="preserve"> </w:t>
      </w:r>
      <w:r w:rsidRPr="00B02247">
        <w:t>used,</w:t>
      </w:r>
      <w:r w:rsidR="005B2A41">
        <w:t xml:space="preserve"> </w:t>
      </w:r>
      <w:r w:rsidRPr="00B02247">
        <w:t>after</w:t>
      </w:r>
      <w:r w:rsidR="005B2A41">
        <w:t xml:space="preserve"> </w:t>
      </w:r>
      <w:r w:rsidRPr="00B02247">
        <w:t>they</w:t>
      </w:r>
      <w:r w:rsidR="005B2A41">
        <w:t xml:space="preserve"> </w:t>
      </w:r>
      <w:r w:rsidRPr="00B02247">
        <w:t>have</w:t>
      </w:r>
      <w:r w:rsidR="005B2A41">
        <w:t xml:space="preserve"> </w:t>
      </w:r>
      <w:r w:rsidRPr="00B02247">
        <w:t>been</w:t>
      </w:r>
      <w:r w:rsidR="005B2A41">
        <w:t xml:space="preserve"> </w:t>
      </w:r>
      <w:r w:rsidRPr="00B02247">
        <w:t>dully</w:t>
      </w:r>
      <w:r w:rsidR="005B2A41">
        <w:t xml:space="preserve"> </w:t>
      </w:r>
      <w:r w:rsidRPr="00B02247">
        <w:t>amended.</w:t>
      </w:r>
      <w:r w:rsidR="005B2A41">
        <w:t xml:space="preserve"> </w:t>
      </w:r>
      <w:r w:rsidRPr="00B02247">
        <w:t>The</w:t>
      </w:r>
      <w:r w:rsidR="005B2A41">
        <w:t xml:space="preserve"> </w:t>
      </w:r>
      <w:r w:rsidRPr="00B02247">
        <w:t>first</w:t>
      </w:r>
      <w:r w:rsidR="005B2A41">
        <w:t xml:space="preserve"> </w:t>
      </w:r>
      <w:r w:rsidRPr="00B02247">
        <w:t>Reception</w:t>
      </w:r>
      <w:r w:rsidR="005B2A41">
        <w:t xml:space="preserve"> </w:t>
      </w:r>
      <w:r w:rsidRPr="00B02247">
        <w:t>Annexes</w:t>
      </w:r>
      <w:r w:rsidR="005B2A41">
        <w:t xml:space="preserve"> </w:t>
      </w:r>
      <w:r w:rsidRPr="00B02247">
        <w:t>opened</w:t>
      </w:r>
      <w:r w:rsidR="005B2A41">
        <w:t xml:space="preserve"> </w:t>
      </w:r>
      <w:r w:rsidRPr="00B02247">
        <w:t>on</w:t>
      </w:r>
      <w:r w:rsidR="005B2A41">
        <w:t xml:space="preserve"> </w:t>
      </w:r>
      <w:r w:rsidRPr="00B02247">
        <w:t>October</w:t>
      </w:r>
      <w:r w:rsidR="005B2A41">
        <w:t xml:space="preserve"> </w:t>
      </w:r>
      <w:r w:rsidRPr="00B02247">
        <w:t>10th</w:t>
      </w:r>
      <w:r w:rsidR="005B2A41">
        <w:t xml:space="preserve"> </w:t>
      </w:r>
      <w:r w:rsidRPr="00B02247">
        <w:t>2016</w:t>
      </w:r>
      <w:r w:rsidR="005B2A41">
        <w:t xml:space="preserve"> </w:t>
      </w:r>
      <w:r w:rsidRPr="00B02247">
        <w:t>and</w:t>
      </w:r>
      <w:r w:rsidR="005B2A41">
        <w:t xml:space="preserve"> </w:t>
      </w:r>
      <w:r w:rsidRPr="00B02247">
        <w:t>since</w:t>
      </w:r>
      <w:r w:rsidR="005B2A41">
        <w:t xml:space="preserve"> </w:t>
      </w:r>
      <w:r w:rsidRPr="00B02247">
        <w:t>then</w:t>
      </w:r>
      <w:r w:rsidR="005B2A41">
        <w:t xml:space="preserve"> </w:t>
      </w:r>
      <w:r w:rsidRPr="00B02247">
        <w:t>Reception</w:t>
      </w:r>
      <w:r w:rsidR="005B2A41">
        <w:t xml:space="preserve"> </w:t>
      </w:r>
      <w:r w:rsidRPr="00B02247">
        <w:t>School</w:t>
      </w:r>
      <w:r w:rsidR="005B2A41">
        <w:t xml:space="preserve"> </w:t>
      </w:r>
      <w:r w:rsidRPr="00B02247">
        <w:t>Annexes</w:t>
      </w:r>
      <w:r w:rsidR="005B2A41">
        <w:t xml:space="preserve"> </w:t>
      </w:r>
      <w:r w:rsidRPr="00B02247">
        <w:t>were</w:t>
      </w:r>
      <w:r w:rsidR="005B2A41">
        <w:t xml:space="preserve"> </w:t>
      </w:r>
      <w:r w:rsidRPr="00B02247">
        <w:t>established</w:t>
      </w:r>
      <w:r w:rsidR="005B2A41">
        <w:t xml:space="preserve"> </w:t>
      </w:r>
      <w:r w:rsidRPr="00B02247">
        <w:t>for</w:t>
      </w:r>
      <w:r w:rsidR="005B2A41">
        <w:t xml:space="preserve"> </w:t>
      </w:r>
      <w:r w:rsidRPr="00B02247">
        <w:t>33</w:t>
      </w:r>
      <w:r w:rsidR="005B2A41">
        <w:t xml:space="preserve"> </w:t>
      </w:r>
      <w:r w:rsidRPr="00B02247">
        <w:t>Accommodation</w:t>
      </w:r>
      <w:r w:rsidR="005B2A41">
        <w:t xml:space="preserve"> </w:t>
      </w:r>
      <w:r w:rsidRPr="00B02247">
        <w:t>Centers</w:t>
      </w:r>
      <w:r w:rsidR="005B2A41">
        <w:t xml:space="preserve"> </w:t>
      </w:r>
      <w:r w:rsidRPr="00B02247">
        <w:t>all</w:t>
      </w:r>
      <w:r w:rsidR="005B2A41">
        <w:t xml:space="preserve"> </w:t>
      </w:r>
      <w:r w:rsidRPr="00B02247">
        <w:t>over</w:t>
      </w:r>
      <w:r w:rsidR="005B2A41">
        <w:t xml:space="preserve"> </w:t>
      </w:r>
      <w:r w:rsidRPr="00B02247">
        <w:t>Greece</w:t>
      </w:r>
      <w:r w:rsidR="005B2A41">
        <w:t xml:space="preserve"> </w:t>
      </w:r>
      <w:r w:rsidRPr="00B02247">
        <w:t>covering</w:t>
      </w:r>
      <w:r w:rsidR="005B2A41">
        <w:t xml:space="preserve"> </w:t>
      </w:r>
      <w:r w:rsidRPr="00B02247">
        <w:t>the</w:t>
      </w:r>
      <w:r w:rsidR="005B2A41">
        <w:t xml:space="preserve"> </w:t>
      </w:r>
      <w:r w:rsidRPr="00B02247">
        <w:t>administrative</w:t>
      </w:r>
      <w:r w:rsidR="005B2A41">
        <w:t xml:space="preserve"> </w:t>
      </w:r>
      <w:r w:rsidRPr="00B02247">
        <w:t>regions</w:t>
      </w:r>
      <w:r w:rsidR="005B2A41">
        <w:t xml:space="preserve"> </w:t>
      </w:r>
      <w:r w:rsidRPr="00B02247">
        <w:t>of</w:t>
      </w:r>
      <w:r w:rsidR="005B2A41">
        <w:t xml:space="preserve"> </w:t>
      </w:r>
      <w:r w:rsidRPr="00B02247">
        <w:t>Attica,</w:t>
      </w:r>
      <w:r w:rsidR="005B2A41">
        <w:t xml:space="preserve"> </w:t>
      </w:r>
      <w:r w:rsidRPr="00B02247">
        <w:t>Central</w:t>
      </w:r>
      <w:r w:rsidR="005B2A41">
        <w:t xml:space="preserve"> </w:t>
      </w:r>
      <w:r w:rsidRPr="00B02247">
        <w:t>Greece,</w:t>
      </w:r>
      <w:r w:rsidR="005B2A41">
        <w:t xml:space="preserve"> </w:t>
      </w:r>
      <w:r w:rsidRPr="00B02247">
        <w:t>Western</w:t>
      </w:r>
      <w:r w:rsidR="005B2A41">
        <w:t xml:space="preserve"> </w:t>
      </w:r>
      <w:r w:rsidRPr="00B02247">
        <w:t>Greece,</w:t>
      </w:r>
      <w:r w:rsidR="005B2A41">
        <w:t xml:space="preserve"> </w:t>
      </w:r>
      <w:r w:rsidRPr="00B02247">
        <w:t>Thessaly,</w:t>
      </w:r>
      <w:r w:rsidR="005B2A41">
        <w:t xml:space="preserve"> </w:t>
      </w:r>
      <w:r w:rsidRPr="00B02247">
        <w:t>Epirus,</w:t>
      </w:r>
      <w:r w:rsidR="005B2A41">
        <w:t xml:space="preserve"> </w:t>
      </w:r>
      <w:r w:rsidRPr="00B02247">
        <w:t>Central</w:t>
      </w:r>
      <w:r w:rsidR="005B2A41">
        <w:t xml:space="preserve"> </w:t>
      </w:r>
      <w:r w:rsidRPr="00B02247">
        <w:t>Macedonia,</w:t>
      </w:r>
      <w:r w:rsidR="005B2A41">
        <w:t xml:space="preserve"> </w:t>
      </w:r>
      <w:r w:rsidRPr="00B02247">
        <w:t>Eastern</w:t>
      </w:r>
      <w:r w:rsidR="005B2A41">
        <w:t xml:space="preserve"> </w:t>
      </w:r>
      <w:r w:rsidRPr="00B02247">
        <w:t>Macedonia</w:t>
      </w:r>
      <w:r w:rsidR="005B2A41">
        <w:t xml:space="preserve"> </w:t>
      </w:r>
      <w:r w:rsidRPr="00B02247">
        <w:t>and</w:t>
      </w:r>
      <w:r w:rsidR="005B2A41">
        <w:t xml:space="preserve"> </w:t>
      </w:r>
      <w:r w:rsidRPr="00B02247">
        <w:t>Thrace.</w:t>
      </w:r>
      <w:r w:rsidR="005B2A41">
        <w:t xml:space="preserve"> </w:t>
      </w:r>
      <w:r w:rsidRPr="00B02247">
        <w:t>More</w:t>
      </w:r>
      <w:r w:rsidR="005B2A41">
        <w:t xml:space="preserve"> </w:t>
      </w:r>
      <w:r w:rsidRPr="00B02247">
        <w:t>than</w:t>
      </w:r>
      <w:r w:rsidR="005B2A41">
        <w:t xml:space="preserve"> </w:t>
      </w:r>
      <w:r w:rsidRPr="00B02247">
        <w:t>3,000</w:t>
      </w:r>
      <w:r w:rsidR="005B2A41">
        <w:t xml:space="preserve"> </w:t>
      </w:r>
      <w:r w:rsidRPr="00B02247">
        <w:t>children</w:t>
      </w:r>
      <w:r w:rsidR="005B2A41">
        <w:t xml:space="preserve"> </w:t>
      </w:r>
      <w:r w:rsidRPr="00B02247">
        <w:t>aged</w:t>
      </w:r>
      <w:r w:rsidR="005B2A41">
        <w:t xml:space="preserve"> </w:t>
      </w:r>
      <w:r w:rsidRPr="00B02247">
        <w:t>7</w:t>
      </w:r>
      <w:r w:rsidR="00915034">
        <w:t>–</w:t>
      </w:r>
      <w:r w:rsidRPr="00B02247">
        <w:t>15</w:t>
      </w:r>
      <w:r w:rsidR="005B2A41">
        <w:t xml:space="preserve"> </w:t>
      </w:r>
      <w:r w:rsidRPr="00B02247">
        <w:t>years</w:t>
      </w:r>
      <w:r w:rsidR="005B2A41">
        <w:t xml:space="preserve"> </w:t>
      </w:r>
      <w:r w:rsidRPr="00B02247">
        <w:t>old</w:t>
      </w:r>
      <w:r w:rsidR="005B2A41">
        <w:t xml:space="preserve"> </w:t>
      </w:r>
      <w:r w:rsidRPr="00B02247">
        <w:t>are</w:t>
      </w:r>
      <w:r w:rsidR="005B2A41">
        <w:t xml:space="preserve"> </w:t>
      </w:r>
      <w:r w:rsidRPr="00B02247">
        <w:t>integrated</w:t>
      </w:r>
      <w:r w:rsidR="005B2A41">
        <w:t xml:space="preserve"> </w:t>
      </w:r>
      <w:r w:rsidRPr="00B02247">
        <w:t>in</w:t>
      </w:r>
      <w:r w:rsidR="005B2A41">
        <w:t xml:space="preserve"> </w:t>
      </w:r>
      <w:r w:rsidRPr="00B02247">
        <w:t>RSARE.</w:t>
      </w:r>
    </w:p>
    <w:p w:rsidR="00F233AB" w:rsidRPr="00B02247" w:rsidRDefault="00F233AB" w:rsidP="00E1307D">
      <w:pPr>
        <w:pStyle w:val="SingleTxtG"/>
      </w:pPr>
      <w:r w:rsidRPr="00B02247">
        <w:t>196.</w:t>
      </w:r>
      <w:r w:rsidRPr="00B02247">
        <w:tab/>
        <w:t>Three</w:t>
      </w:r>
      <w:r w:rsidR="005B2A41">
        <w:t xml:space="preserve"> </w:t>
      </w:r>
      <w:r w:rsidRPr="00B02247">
        <w:t>Ministries</w:t>
      </w:r>
      <w:r w:rsidR="005B2A41">
        <w:t xml:space="preserve"> </w:t>
      </w:r>
      <w:r w:rsidRPr="00B02247">
        <w:t>collaborate</w:t>
      </w:r>
      <w:r w:rsidR="005B2A41">
        <w:t xml:space="preserve"> </w:t>
      </w:r>
      <w:r w:rsidRPr="00B02247">
        <w:t>for</w:t>
      </w:r>
      <w:r w:rsidR="005B2A41">
        <w:t xml:space="preserve"> </w:t>
      </w:r>
      <w:r w:rsidRPr="00B02247">
        <w:t>the</w:t>
      </w:r>
      <w:r w:rsidR="005B2A41">
        <w:t xml:space="preserve"> </w:t>
      </w:r>
      <w:r w:rsidRPr="00B02247">
        <w:t>opening</w:t>
      </w:r>
      <w:r w:rsidR="005B2A41">
        <w:t xml:space="preserve"> </w:t>
      </w:r>
      <w:r w:rsidRPr="00B02247">
        <w:t>of</w:t>
      </w:r>
      <w:r w:rsidR="005B2A41">
        <w:t xml:space="preserve"> </w:t>
      </w:r>
      <w:r w:rsidRPr="00B02247">
        <w:t>the</w:t>
      </w:r>
      <w:r w:rsidR="005B2A41">
        <w:t xml:space="preserve"> </w:t>
      </w:r>
      <w:r w:rsidRPr="00B02247">
        <w:t>RSARE:</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The</w:t>
      </w:r>
      <w:r w:rsidR="005B2A41">
        <w:t xml:space="preserve"> </w:t>
      </w:r>
      <w:r w:rsidR="00F233AB" w:rsidRPr="00B02247">
        <w:t>Ministry</w:t>
      </w:r>
      <w:r w:rsidR="005B2A41">
        <w:t xml:space="preserve"> </w:t>
      </w:r>
      <w:r w:rsidR="00F233AB" w:rsidRPr="00B02247">
        <w:t>of</w:t>
      </w:r>
      <w:r w:rsidR="005B2A41">
        <w:t xml:space="preserve"> </w:t>
      </w:r>
      <w:r w:rsidR="00F233AB" w:rsidRPr="00B02247">
        <w:t>Education,</w:t>
      </w:r>
      <w:r w:rsidR="005B2A41">
        <w:t xml:space="preserve"> </w:t>
      </w:r>
      <w:r w:rsidR="00F233AB" w:rsidRPr="00B02247">
        <w:t>Research</w:t>
      </w:r>
      <w:r w:rsidR="005B2A41">
        <w:t xml:space="preserve"> </w:t>
      </w:r>
      <w:r w:rsidR="00F233AB" w:rsidRPr="00B02247">
        <w:t>and</w:t>
      </w:r>
      <w:r w:rsidR="005B2A41">
        <w:t xml:space="preserve"> </w:t>
      </w:r>
      <w:r w:rsidR="00F233AB" w:rsidRPr="00B02247">
        <w:t>Religious</w:t>
      </w:r>
      <w:r w:rsidR="005B2A41">
        <w:t xml:space="preserve"> </w:t>
      </w:r>
      <w:r w:rsidR="00F233AB" w:rsidRPr="00B02247">
        <w:t>Affairs</w:t>
      </w:r>
      <w:r w:rsidR="005B2A41">
        <w:t xml:space="preserve"> </w:t>
      </w:r>
      <w:r w:rsidR="00F233AB" w:rsidRPr="00B02247">
        <w:t>(created</w:t>
      </w:r>
      <w:r w:rsidR="005B2A41">
        <w:t xml:space="preserve"> </w:t>
      </w:r>
      <w:r w:rsidR="00F233AB" w:rsidRPr="00B02247">
        <w:t>a</w:t>
      </w:r>
      <w:r w:rsidR="005B2A41">
        <w:t xml:space="preserve"> </w:t>
      </w:r>
      <w:r w:rsidR="00F233AB" w:rsidRPr="00B02247">
        <w:t>Working</w:t>
      </w:r>
      <w:r w:rsidR="005B2A41">
        <w:t xml:space="preserve"> </w:t>
      </w:r>
      <w:r w:rsidR="00F233AB" w:rsidRPr="00B02247">
        <w:t>Group</w:t>
      </w:r>
      <w:r w:rsidR="005B2A41">
        <w:t xml:space="preserve"> </w:t>
      </w:r>
      <w:r w:rsidR="00F233AB" w:rsidRPr="00B02247">
        <w:t>on</w:t>
      </w:r>
      <w:r w:rsidR="005B2A41">
        <w:t xml:space="preserve"> </w:t>
      </w:r>
      <w:r w:rsidR="00F233AB" w:rsidRPr="00B02247">
        <w:t>the</w:t>
      </w:r>
      <w:r w:rsidR="005B2A41">
        <w:t xml:space="preserve"> </w:t>
      </w:r>
      <w:r w:rsidR="00F233AB" w:rsidRPr="00B02247">
        <w:t>Management,</w:t>
      </w:r>
      <w:r w:rsidR="005B2A41">
        <w:t xml:space="preserve"> </w:t>
      </w:r>
      <w:r w:rsidR="00F233AB" w:rsidRPr="00B02247">
        <w:t>Coordination</w:t>
      </w:r>
      <w:r w:rsidR="005B2A41">
        <w:t xml:space="preserve"> </w:t>
      </w:r>
      <w:r w:rsidR="00F233AB" w:rsidRPr="00B02247">
        <w:t>and</w:t>
      </w:r>
      <w:r w:rsidR="005B2A41">
        <w:t xml:space="preserve"> </w:t>
      </w:r>
      <w:r w:rsidR="00F233AB" w:rsidRPr="00B02247">
        <w:t>Monitoring</w:t>
      </w:r>
      <w:r w:rsidR="005B2A41">
        <w:t xml:space="preserve"> </w:t>
      </w:r>
      <w:r w:rsidR="00F233AB" w:rsidRPr="00B02247">
        <w:t>of</w:t>
      </w:r>
      <w:r w:rsidR="005B2A41">
        <w:t xml:space="preserve"> </w:t>
      </w:r>
      <w:r w:rsidR="00F233AB" w:rsidRPr="00B02247">
        <w:t>the</w:t>
      </w:r>
      <w:r w:rsidR="005B2A41">
        <w:t xml:space="preserve"> </w:t>
      </w:r>
      <w:r w:rsidR="00F233AB" w:rsidRPr="00B02247">
        <w:t>Refugee</w:t>
      </w:r>
      <w:r w:rsidR="005B2A41">
        <w:t xml:space="preserve"> </w:t>
      </w:r>
      <w:r w:rsidR="00F233AB" w:rsidRPr="00B02247">
        <w:t>Education);</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The</w:t>
      </w:r>
      <w:r w:rsidR="005B2A41">
        <w:t xml:space="preserve"> </w:t>
      </w:r>
      <w:r w:rsidR="00F233AB" w:rsidRPr="00B02247">
        <w:t>Ministry</w:t>
      </w:r>
      <w:r w:rsidR="005B2A41">
        <w:t xml:space="preserve"> </w:t>
      </w:r>
      <w:r w:rsidR="00F233AB" w:rsidRPr="00B02247">
        <w:t>of</w:t>
      </w:r>
      <w:r w:rsidR="005B2A41">
        <w:t xml:space="preserve"> </w:t>
      </w:r>
      <w:r w:rsidR="00F233AB" w:rsidRPr="00B02247">
        <w:t>Health</w:t>
      </w:r>
      <w:r w:rsidR="005B2A41">
        <w:t xml:space="preserve"> </w:t>
      </w:r>
      <w:r w:rsidR="00F233AB" w:rsidRPr="00B02247">
        <w:t>(created</w:t>
      </w:r>
      <w:r w:rsidR="005B2A41">
        <w:t xml:space="preserve"> </w:t>
      </w:r>
      <w:r w:rsidR="00F233AB" w:rsidRPr="00B02247">
        <w:t>a</w:t>
      </w:r>
      <w:r w:rsidR="005B2A41">
        <w:t xml:space="preserve"> </w:t>
      </w:r>
      <w:r w:rsidR="00F233AB" w:rsidRPr="00B02247">
        <w:t>Working</w:t>
      </w:r>
      <w:r w:rsidR="005B2A41">
        <w:t xml:space="preserve"> </w:t>
      </w:r>
      <w:r w:rsidR="00F233AB" w:rsidRPr="00B02247">
        <w:t>Group</w:t>
      </w:r>
      <w:r w:rsidR="005B2A41">
        <w:t xml:space="preserve"> </w:t>
      </w:r>
      <w:r w:rsidR="00F233AB" w:rsidRPr="00B02247">
        <w:t>on</w:t>
      </w:r>
      <w:r w:rsidR="005B2A41">
        <w:t xml:space="preserve"> </w:t>
      </w:r>
      <w:r w:rsidR="00F233AB" w:rsidRPr="00B02247">
        <w:t>the</w:t>
      </w:r>
      <w:r w:rsidR="005B2A41">
        <w:t xml:space="preserve"> </w:t>
      </w:r>
      <w:r w:rsidR="00F233AB" w:rsidRPr="00B02247">
        <w:t>Vaccination</w:t>
      </w:r>
      <w:r w:rsidR="005B2A41">
        <w:t xml:space="preserve"> </w:t>
      </w:r>
      <w:r w:rsidR="00F233AB" w:rsidRPr="00B02247">
        <w:t>of</w:t>
      </w:r>
      <w:r w:rsidR="005B2A41">
        <w:t xml:space="preserve"> </w:t>
      </w:r>
      <w:r w:rsidR="00F233AB" w:rsidRPr="00B02247">
        <w:t>refugees)</w:t>
      </w:r>
      <w:r w:rsidR="005B2A41">
        <w:t xml:space="preserve"> </w:t>
      </w:r>
      <w:r w:rsidR="00F233AB" w:rsidRPr="00B02247">
        <w:t>for</w:t>
      </w:r>
      <w:r w:rsidR="005B2A41">
        <w:t xml:space="preserve"> </w:t>
      </w:r>
      <w:r w:rsidR="00F233AB" w:rsidRPr="00B02247">
        <w:t>the</w:t>
      </w:r>
      <w:r w:rsidR="005B2A41">
        <w:t xml:space="preserve"> </w:t>
      </w:r>
      <w:r w:rsidR="00F233AB" w:rsidRPr="00B02247">
        <w:t>Vaccination</w:t>
      </w:r>
      <w:r w:rsidR="005B2A41">
        <w:t xml:space="preserve"> </w:t>
      </w:r>
      <w:r w:rsidR="00F233AB" w:rsidRPr="00B02247">
        <w:t>scheme;</w:t>
      </w:r>
      <w:r w:rsidR="005B2A41">
        <w:t xml:space="preserve"> </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The</w:t>
      </w:r>
      <w:r w:rsidR="005B2A41">
        <w:t xml:space="preserve"> </w:t>
      </w:r>
      <w:r w:rsidR="00F233AB" w:rsidRPr="00B02247">
        <w:t>Ministry</w:t>
      </w:r>
      <w:r w:rsidR="005B2A41">
        <w:t xml:space="preserve"> </w:t>
      </w:r>
      <w:r w:rsidR="00F233AB" w:rsidRPr="00B02247">
        <w:t>of</w:t>
      </w:r>
      <w:r w:rsidR="005B2A41">
        <w:t xml:space="preserve"> </w:t>
      </w:r>
      <w:r w:rsidR="00F233AB" w:rsidRPr="00B02247">
        <w:t>Migration</w:t>
      </w:r>
      <w:r w:rsidR="005B2A41">
        <w:t xml:space="preserve"> </w:t>
      </w:r>
      <w:r w:rsidR="00F233AB" w:rsidRPr="00B02247">
        <w:t>Policy</w:t>
      </w:r>
      <w:r w:rsidR="005B2A41">
        <w:t xml:space="preserve"> </w:t>
      </w:r>
      <w:r w:rsidR="00F233AB" w:rsidRPr="00B02247">
        <w:t>(responsible</w:t>
      </w:r>
      <w:r w:rsidR="005B2A41">
        <w:t xml:space="preserve"> </w:t>
      </w:r>
      <w:r w:rsidR="00F233AB" w:rsidRPr="00B02247">
        <w:t>for</w:t>
      </w:r>
      <w:r w:rsidR="005B2A41">
        <w:t xml:space="preserve"> </w:t>
      </w:r>
      <w:r w:rsidR="00F233AB" w:rsidRPr="00B02247">
        <w:t>the</w:t>
      </w:r>
      <w:r w:rsidR="005B2A41">
        <w:t xml:space="preserve"> </w:t>
      </w:r>
      <w:r w:rsidR="00F233AB" w:rsidRPr="00B02247">
        <w:t>infrastructure</w:t>
      </w:r>
      <w:r w:rsidR="005B2A41">
        <w:t xml:space="preserve"> </w:t>
      </w:r>
      <w:r w:rsidR="00F233AB" w:rsidRPr="00B02247">
        <w:t>of</w:t>
      </w:r>
      <w:r w:rsidR="005B2A41">
        <w:t xml:space="preserve"> </w:t>
      </w:r>
      <w:r w:rsidR="00F233AB" w:rsidRPr="00B02247">
        <w:t>the</w:t>
      </w:r>
      <w:r w:rsidR="005B2A41">
        <w:t xml:space="preserve"> </w:t>
      </w:r>
      <w:r w:rsidR="00F233AB" w:rsidRPr="00B02247">
        <w:t>Centers).</w:t>
      </w:r>
    </w:p>
    <w:p w:rsidR="00F233AB" w:rsidRPr="00B02247" w:rsidRDefault="00F233AB" w:rsidP="00E1307D">
      <w:pPr>
        <w:pStyle w:val="SingleTxtG"/>
      </w:pPr>
      <w:r w:rsidRPr="00B02247">
        <w:t>197.</w:t>
      </w:r>
      <w:r w:rsidRPr="00B02247">
        <w:tab/>
        <w:t>The</w:t>
      </w:r>
      <w:r w:rsidR="005B2A41">
        <w:t xml:space="preserve"> </w:t>
      </w:r>
      <w:r w:rsidRPr="00B02247">
        <w:t>International</w:t>
      </w:r>
      <w:r w:rsidR="005B2A41">
        <w:t xml:space="preserve"> </w:t>
      </w:r>
      <w:r w:rsidRPr="00B02247">
        <w:t>Organization</w:t>
      </w:r>
      <w:r w:rsidR="005B2A41">
        <w:t xml:space="preserve"> </w:t>
      </w:r>
      <w:r w:rsidRPr="00B02247">
        <w:t>for</w:t>
      </w:r>
      <w:r w:rsidR="005B2A41">
        <w:t xml:space="preserve"> </w:t>
      </w:r>
      <w:r w:rsidRPr="00B02247">
        <w:t>Migration</w:t>
      </w:r>
      <w:r w:rsidR="005B2A41">
        <w:t xml:space="preserve"> </w:t>
      </w:r>
      <w:r w:rsidRPr="00B02247">
        <w:t>(IOM)</w:t>
      </w:r>
      <w:r w:rsidR="005B2A41">
        <w:t xml:space="preserve"> </w:t>
      </w:r>
      <w:r w:rsidRPr="00B02247">
        <w:t>ensures</w:t>
      </w:r>
      <w:r w:rsidR="005B2A41">
        <w:t xml:space="preserve"> </w:t>
      </w:r>
      <w:r w:rsidRPr="00B02247">
        <w:t>the</w:t>
      </w:r>
      <w:r w:rsidR="005B2A41">
        <w:t xml:space="preserve"> </w:t>
      </w:r>
      <w:r w:rsidRPr="00B02247">
        <w:t>transportation</w:t>
      </w:r>
      <w:r w:rsidR="005B2A41">
        <w:t xml:space="preserve"> </w:t>
      </w:r>
      <w:r w:rsidRPr="00B02247">
        <w:t>of</w:t>
      </w:r>
      <w:r w:rsidR="005B2A41">
        <w:t xml:space="preserve"> </w:t>
      </w:r>
      <w:r w:rsidRPr="00B02247">
        <w:t>children</w:t>
      </w:r>
      <w:r w:rsidR="005B2A41">
        <w:t xml:space="preserve"> </w:t>
      </w:r>
      <w:r w:rsidRPr="00B02247">
        <w:t>between</w:t>
      </w:r>
      <w:r w:rsidR="005B2A41">
        <w:t xml:space="preserve"> </w:t>
      </w:r>
      <w:r w:rsidRPr="00B02247">
        <w:t>public</w:t>
      </w:r>
      <w:r w:rsidR="005B2A41">
        <w:t xml:space="preserve"> </w:t>
      </w:r>
      <w:r w:rsidRPr="00B02247">
        <w:t>primary</w:t>
      </w:r>
      <w:r w:rsidR="005B2A41">
        <w:t xml:space="preserve"> </w:t>
      </w:r>
      <w:r w:rsidRPr="00B02247">
        <w:t>and</w:t>
      </w:r>
      <w:r w:rsidR="005B2A41">
        <w:t xml:space="preserve"> </w:t>
      </w:r>
      <w:r w:rsidRPr="00B02247">
        <w:t>secondary</w:t>
      </w:r>
      <w:r w:rsidR="005B2A41">
        <w:t xml:space="preserve"> </w:t>
      </w:r>
      <w:r w:rsidRPr="00B02247">
        <w:t>schools</w:t>
      </w:r>
      <w:r w:rsidR="005B2A41">
        <w:t xml:space="preserve"> </w:t>
      </w:r>
      <w:r w:rsidRPr="00B02247">
        <w:t>and</w:t>
      </w:r>
      <w:r w:rsidR="005B2A41">
        <w:t xml:space="preserve"> </w:t>
      </w:r>
      <w:r w:rsidRPr="00B02247">
        <w:t>refugee</w:t>
      </w:r>
      <w:r w:rsidR="005B2A41">
        <w:t xml:space="preserve"> </w:t>
      </w:r>
      <w:r w:rsidRPr="00B02247">
        <w:t>Accommodation</w:t>
      </w:r>
      <w:r w:rsidR="005B2A41">
        <w:t xml:space="preserve"> </w:t>
      </w:r>
      <w:r w:rsidRPr="00B02247">
        <w:t>Centers</w:t>
      </w:r>
      <w:r w:rsidR="005B2A41">
        <w:t xml:space="preserve"> </w:t>
      </w:r>
      <w:r w:rsidRPr="00B02247">
        <w:t>and</w:t>
      </w:r>
      <w:r w:rsidR="005B2A41">
        <w:t xml:space="preserve"> </w:t>
      </w:r>
      <w:r w:rsidRPr="00B02247">
        <w:t>provides</w:t>
      </w:r>
      <w:r w:rsidR="005B2A41">
        <w:t xml:space="preserve"> </w:t>
      </w:r>
      <w:r w:rsidRPr="00B02247">
        <w:t>children</w:t>
      </w:r>
      <w:r w:rsidR="005B2A41">
        <w:t xml:space="preserve"> </w:t>
      </w:r>
      <w:r w:rsidRPr="00B02247">
        <w:t>of</w:t>
      </w:r>
      <w:r w:rsidR="005B2A41">
        <w:t xml:space="preserve"> </w:t>
      </w:r>
      <w:r w:rsidRPr="00B02247">
        <w:t>primary</w:t>
      </w:r>
      <w:r w:rsidR="005B2A41">
        <w:t xml:space="preserve"> </w:t>
      </w:r>
      <w:r w:rsidRPr="00B02247">
        <w:t>school</w:t>
      </w:r>
      <w:r w:rsidR="005B2A41">
        <w:t xml:space="preserve"> </w:t>
      </w:r>
      <w:r w:rsidRPr="00B02247">
        <w:t>age</w:t>
      </w:r>
      <w:r w:rsidR="005B2A41">
        <w:t xml:space="preserve"> </w:t>
      </w:r>
      <w:r w:rsidRPr="00B02247">
        <w:t>with</w:t>
      </w:r>
      <w:r w:rsidR="005B2A41">
        <w:t xml:space="preserve"> </w:t>
      </w:r>
      <w:r w:rsidRPr="00B02247">
        <w:t>school</w:t>
      </w:r>
      <w:r w:rsidR="005B2A41">
        <w:t xml:space="preserve"> </w:t>
      </w:r>
      <w:r w:rsidRPr="00B02247">
        <w:t>kits,</w:t>
      </w:r>
      <w:r w:rsidR="005B2A41">
        <w:t xml:space="preserve"> </w:t>
      </w:r>
      <w:r w:rsidRPr="00B02247">
        <w:t>containing</w:t>
      </w:r>
      <w:r w:rsidR="005B2A41">
        <w:t xml:space="preserve"> </w:t>
      </w:r>
      <w:r w:rsidRPr="00B02247">
        <w:t>the</w:t>
      </w:r>
      <w:r w:rsidR="005B2A41">
        <w:t xml:space="preserve"> </w:t>
      </w:r>
      <w:r w:rsidRPr="00B02247">
        <w:t>necessary</w:t>
      </w:r>
      <w:r w:rsidR="005B2A41">
        <w:t xml:space="preserve"> </w:t>
      </w:r>
      <w:r w:rsidRPr="00B02247">
        <w:t>school</w:t>
      </w:r>
      <w:r w:rsidR="005B2A41">
        <w:t xml:space="preserve"> </w:t>
      </w:r>
      <w:r w:rsidRPr="00B02247">
        <w:t>materials.</w:t>
      </w:r>
      <w:r w:rsidR="005B2A41">
        <w:t xml:space="preserve"> </w:t>
      </w:r>
      <w:r w:rsidRPr="00B02247">
        <w:t>In</w:t>
      </w:r>
      <w:r w:rsidR="005B2A41">
        <w:t xml:space="preserve"> </w:t>
      </w:r>
      <w:r w:rsidRPr="00B02247">
        <w:t>order</w:t>
      </w:r>
      <w:r w:rsidR="005B2A41">
        <w:t xml:space="preserve"> </w:t>
      </w:r>
      <w:r w:rsidRPr="00B02247">
        <w:t>to</w:t>
      </w:r>
      <w:r w:rsidR="005B2A41">
        <w:t xml:space="preserve"> </w:t>
      </w:r>
      <w:r w:rsidRPr="00B02247">
        <w:t>ensure</w:t>
      </w:r>
      <w:r w:rsidR="005B2A41">
        <w:t xml:space="preserve"> </w:t>
      </w:r>
      <w:r w:rsidRPr="00B02247">
        <w:t>their</w:t>
      </w:r>
      <w:r w:rsidR="005B2A41">
        <w:t xml:space="preserve"> </w:t>
      </w:r>
      <w:r w:rsidRPr="00B02247">
        <w:t>safety</w:t>
      </w:r>
      <w:r w:rsidR="005B2A41">
        <w:t xml:space="preserve"> </w:t>
      </w:r>
      <w:r w:rsidRPr="00B02247">
        <w:t>and</w:t>
      </w:r>
      <w:r w:rsidR="005B2A41">
        <w:t xml:space="preserve"> </w:t>
      </w:r>
      <w:r w:rsidRPr="00B02247">
        <w:t>security,</w:t>
      </w:r>
      <w:r w:rsidR="005B2A41">
        <w:t xml:space="preserve"> </w:t>
      </w:r>
      <w:r w:rsidRPr="00B02247">
        <w:t>all</w:t>
      </w:r>
      <w:r w:rsidR="005B2A41">
        <w:t xml:space="preserve"> </w:t>
      </w:r>
      <w:r w:rsidRPr="00B02247">
        <w:t>children</w:t>
      </w:r>
      <w:r w:rsidR="005B2A41">
        <w:t xml:space="preserve"> </w:t>
      </w:r>
      <w:r w:rsidRPr="00B02247">
        <w:t>are</w:t>
      </w:r>
      <w:r w:rsidR="005B2A41">
        <w:t xml:space="preserve"> </w:t>
      </w:r>
      <w:r w:rsidRPr="00B02247">
        <w:t>escorted</w:t>
      </w:r>
      <w:r w:rsidR="005B2A41">
        <w:t xml:space="preserve"> </w:t>
      </w:r>
      <w:r w:rsidRPr="00B02247">
        <w:t>by</w:t>
      </w:r>
      <w:r w:rsidR="005B2A41">
        <w:t xml:space="preserve"> </w:t>
      </w:r>
      <w:r w:rsidRPr="00B02247">
        <w:t>IOM</w:t>
      </w:r>
      <w:r w:rsidR="005B2A41">
        <w:t xml:space="preserve"> </w:t>
      </w:r>
      <w:r w:rsidRPr="00B02247">
        <w:t>specially</w:t>
      </w:r>
      <w:r w:rsidR="005B2A41">
        <w:t xml:space="preserve"> </w:t>
      </w:r>
      <w:r w:rsidRPr="00B02247">
        <w:t>appointed</w:t>
      </w:r>
      <w:r w:rsidR="005B2A41">
        <w:t xml:space="preserve"> </w:t>
      </w:r>
      <w:r w:rsidRPr="00B02247">
        <w:t>staff.</w:t>
      </w:r>
      <w:r w:rsidR="005B2A41">
        <w:t xml:space="preserve"> </w:t>
      </w:r>
      <w:r w:rsidRPr="00B02247">
        <w:t>School</w:t>
      </w:r>
      <w:r w:rsidR="005B2A41">
        <w:t xml:space="preserve"> </w:t>
      </w:r>
      <w:r w:rsidRPr="00B02247">
        <w:t>kits</w:t>
      </w:r>
      <w:r w:rsidR="005B2A41">
        <w:t xml:space="preserve"> </w:t>
      </w:r>
      <w:r w:rsidRPr="00B02247">
        <w:t>for</w:t>
      </w:r>
      <w:r w:rsidR="005B2A41">
        <w:t xml:space="preserve"> </w:t>
      </w:r>
      <w:r w:rsidRPr="00B02247">
        <w:t>secondary</w:t>
      </w:r>
      <w:r w:rsidR="005B2A41">
        <w:t xml:space="preserve"> </w:t>
      </w:r>
      <w:r w:rsidRPr="00B02247">
        <w:t>school</w:t>
      </w:r>
      <w:r w:rsidR="005B2A41">
        <w:t xml:space="preserve"> </w:t>
      </w:r>
      <w:r w:rsidRPr="00B02247">
        <w:t>children</w:t>
      </w:r>
      <w:r w:rsidR="005B2A41">
        <w:t xml:space="preserve"> </w:t>
      </w:r>
      <w:r w:rsidRPr="00B02247">
        <w:t>are</w:t>
      </w:r>
      <w:r w:rsidR="005B2A41">
        <w:t xml:space="preserve"> </w:t>
      </w:r>
      <w:r w:rsidRPr="00B02247">
        <w:t>provided</w:t>
      </w:r>
      <w:r w:rsidR="005B2A41">
        <w:t xml:space="preserve"> </w:t>
      </w:r>
      <w:r w:rsidRPr="00B02247">
        <w:t>by</w:t>
      </w:r>
      <w:r w:rsidR="005B2A41">
        <w:t xml:space="preserve"> </w:t>
      </w:r>
      <w:r w:rsidRPr="00B02247">
        <w:t>the</w:t>
      </w:r>
      <w:r w:rsidR="005B2A41">
        <w:t xml:space="preserve"> </w:t>
      </w:r>
      <w:r w:rsidRPr="00B02247">
        <w:t>UNHCR.</w:t>
      </w:r>
      <w:r w:rsidR="005B2A41">
        <w:t xml:space="preserve"> </w:t>
      </w:r>
      <w:r w:rsidRPr="00B02247">
        <w:t>All</w:t>
      </w:r>
      <w:r w:rsidR="005B2A41">
        <w:t xml:space="preserve"> </w:t>
      </w:r>
      <w:r w:rsidRPr="00B02247">
        <w:t>textbooks</w:t>
      </w:r>
      <w:r w:rsidR="005B2A41">
        <w:t xml:space="preserve"> </w:t>
      </w:r>
      <w:r w:rsidRPr="00B02247">
        <w:t>are</w:t>
      </w:r>
      <w:r w:rsidR="005B2A41">
        <w:t xml:space="preserve"> </w:t>
      </w:r>
      <w:r w:rsidRPr="00B02247">
        <w:t>provided</w:t>
      </w:r>
      <w:r w:rsidR="005B2A41">
        <w:t xml:space="preserve"> </w:t>
      </w:r>
      <w:r w:rsidRPr="00B02247">
        <w:t>by</w:t>
      </w:r>
      <w:r w:rsidR="005B2A41">
        <w:t xml:space="preserve"> </w:t>
      </w:r>
      <w:r w:rsidRPr="00B02247">
        <w:t>the</w:t>
      </w:r>
      <w:r w:rsidR="005B2A41">
        <w:t xml:space="preserve"> </w:t>
      </w:r>
      <w:r w:rsidRPr="00B02247">
        <w:t>Greek</w:t>
      </w:r>
      <w:r w:rsidR="005B2A41">
        <w:t xml:space="preserve"> </w:t>
      </w:r>
      <w:r w:rsidRPr="00B02247">
        <w:t>state.</w:t>
      </w:r>
      <w:r w:rsidR="005B2A41">
        <w:t xml:space="preserve"> </w:t>
      </w:r>
      <w:r w:rsidRPr="00B02247">
        <w:t>The</w:t>
      </w:r>
      <w:r w:rsidR="005B2A41">
        <w:t xml:space="preserve"> </w:t>
      </w:r>
      <w:r w:rsidRPr="00B02247">
        <w:t>MoE</w:t>
      </w:r>
      <w:r w:rsidR="005B2A41">
        <w:t xml:space="preserve"> </w:t>
      </w:r>
      <w:r w:rsidRPr="00B02247">
        <w:t>appointed</w:t>
      </w:r>
      <w:r w:rsidR="005B2A41">
        <w:t xml:space="preserve"> </w:t>
      </w:r>
      <w:r w:rsidRPr="00B02247">
        <w:t>Refugee</w:t>
      </w:r>
      <w:r w:rsidR="005B2A41">
        <w:t xml:space="preserve"> </w:t>
      </w:r>
      <w:r w:rsidRPr="00B02247">
        <w:t>Education</w:t>
      </w:r>
      <w:r w:rsidR="005B2A41">
        <w:t xml:space="preserve"> </w:t>
      </w:r>
      <w:r w:rsidRPr="00B02247">
        <w:t>Coordinators</w:t>
      </w:r>
      <w:r w:rsidR="005B2A41">
        <w:t xml:space="preserve"> </w:t>
      </w:r>
      <w:r w:rsidRPr="00B02247">
        <w:t>(RECs)</w:t>
      </w:r>
      <w:r w:rsidR="005B2A41">
        <w:t xml:space="preserve"> </w:t>
      </w:r>
      <w:r w:rsidRPr="00B02247">
        <w:t>to</w:t>
      </w:r>
      <w:r w:rsidR="005B2A41">
        <w:t xml:space="preserve"> </w:t>
      </w:r>
      <w:r w:rsidRPr="00B02247">
        <w:t>each</w:t>
      </w:r>
      <w:r w:rsidR="005B2A41">
        <w:t xml:space="preserve"> </w:t>
      </w:r>
      <w:r w:rsidRPr="00B02247">
        <w:t>refugee</w:t>
      </w:r>
      <w:r w:rsidR="005B2A41">
        <w:t xml:space="preserve"> </w:t>
      </w:r>
      <w:r w:rsidRPr="00B02247">
        <w:t>Accommodation</w:t>
      </w:r>
      <w:r w:rsidR="005B2A41">
        <w:t xml:space="preserve"> </w:t>
      </w:r>
      <w:r w:rsidRPr="00B02247">
        <w:t>Center</w:t>
      </w:r>
      <w:r w:rsidR="005B2A41">
        <w:t xml:space="preserve"> </w:t>
      </w:r>
      <w:r w:rsidRPr="00B02247">
        <w:t>with</w:t>
      </w:r>
      <w:r w:rsidR="005B2A41">
        <w:t xml:space="preserve"> </w:t>
      </w:r>
      <w:r w:rsidRPr="00B02247">
        <w:t>main</w:t>
      </w:r>
      <w:r w:rsidR="005B2A41">
        <w:t xml:space="preserve"> </w:t>
      </w:r>
      <w:r w:rsidRPr="00B02247">
        <w:t>duty</w:t>
      </w:r>
      <w:r w:rsidR="005B2A41">
        <w:t xml:space="preserve"> </w:t>
      </w:r>
      <w:r w:rsidRPr="00B02247">
        <w:t>to</w:t>
      </w:r>
      <w:r w:rsidR="005B2A41">
        <w:t xml:space="preserve"> </w:t>
      </w:r>
      <w:r w:rsidRPr="00B02247">
        <w:t>ensure</w:t>
      </w:r>
      <w:r w:rsidR="005B2A41">
        <w:t xml:space="preserve"> </w:t>
      </w:r>
      <w:r w:rsidRPr="00B02247">
        <w:t>the</w:t>
      </w:r>
      <w:r w:rsidR="005B2A41">
        <w:t xml:space="preserve"> </w:t>
      </w:r>
      <w:r w:rsidRPr="00B02247">
        <w:t>proper</w:t>
      </w:r>
      <w:r w:rsidR="005B2A41">
        <w:t xml:space="preserve"> </w:t>
      </w:r>
      <w:r w:rsidRPr="00B02247">
        <w:t>function</w:t>
      </w:r>
      <w:r w:rsidR="005B2A41">
        <w:t xml:space="preserve"> </w:t>
      </w:r>
      <w:r w:rsidRPr="00B02247">
        <w:t>of</w:t>
      </w:r>
      <w:r w:rsidR="005B2A41">
        <w:t xml:space="preserve"> </w:t>
      </w:r>
      <w:r w:rsidRPr="00B02247">
        <w:t>the</w:t>
      </w:r>
      <w:r w:rsidR="005B2A41">
        <w:t xml:space="preserve"> </w:t>
      </w:r>
      <w:r w:rsidRPr="00B02247">
        <w:t>RSARE,</w:t>
      </w:r>
      <w:r w:rsidR="005B2A41">
        <w:t xml:space="preserve"> </w:t>
      </w:r>
      <w:r w:rsidRPr="00B02247">
        <w:t>by</w:t>
      </w:r>
      <w:r w:rsidR="005B2A41">
        <w:t xml:space="preserve"> </w:t>
      </w:r>
      <w:r w:rsidRPr="00B02247">
        <w:t>coordinating</w:t>
      </w:r>
      <w:r w:rsidR="005B2A41">
        <w:t xml:space="preserve"> </w:t>
      </w:r>
      <w:r w:rsidRPr="00B02247">
        <w:t>and</w:t>
      </w:r>
      <w:r w:rsidR="005B2A41">
        <w:t xml:space="preserve"> </w:t>
      </w:r>
      <w:r w:rsidRPr="00B02247">
        <w:t>establishing</w:t>
      </w:r>
      <w:r w:rsidR="005B2A41">
        <w:t xml:space="preserve"> </w:t>
      </w:r>
      <w:r w:rsidRPr="00B02247">
        <w:t>channels</w:t>
      </w:r>
      <w:r w:rsidR="005B2A41">
        <w:t xml:space="preserve"> </w:t>
      </w:r>
      <w:r w:rsidRPr="00B02247">
        <w:t>of</w:t>
      </w:r>
      <w:r w:rsidR="005B2A41">
        <w:t xml:space="preserve"> </w:t>
      </w:r>
      <w:r w:rsidRPr="00B02247">
        <w:t>communication</w:t>
      </w:r>
      <w:r w:rsidR="005B2A41">
        <w:t xml:space="preserve"> </w:t>
      </w:r>
      <w:r w:rsidRPr="00B02247">
        <w:t>between</w:t>
      </w:r>
      <w:r w:rsidR="005B2A41">
        <w:t xml:space="preserve"> </w:t>
      </w:r>
      <w:r w:rsidRPr="00B02247">
        <w:t>all</w:t>
      </w:r>
      <w:r w:rsidR="005B2A41">
        <w:t xml:space="preserve"> </w:t>
      </w:r>
      <w:r w:rsidRPr="00B02247">
        <w:t>the</w:t>
      </w:r>
      <w:r w:rsidR="005B2A41">
        <w:t xml:space="preserve"> </w:t>
      </w:r>
      <w:r w:rsidRPr="00B02247">
        <w:t>different</w:t>
      </w:r>
      <w:r w:rsidR="005B2A41">
        <w:t xml:space="preserve"> </w:t>
      </w:r>
      <w:r w:rsidRPr="00B02247">
        <w:t>parties</w:t>
      </w:r>
      <w:r w:rsidR="005B2A41">
        <w:t xml:space="preserve"> </w:t>
      </w:r>
      <w:r w:rsidRPr="00B02247">
        <w:t>involved.</w:t>
      </w:r>
    </w:p>
    <w:p w:rsidR="00F233AB" w:rsidRPr="00B02247" w:rsidRDefault="00F233AB" w:rsidP="00E1307D">
      <w:pPr>
        <w:pStyle w:val="SingleTxtG"/>
      </w:pPr>
      <w:r w:rsidRPr="00B02247">
        <w:t>198.</w:t>
      </w:r>
      <w:r w:rsidRPr="00B02247">
        <w:tab/>
        <w:t>Children</w:t>
      </w:r>
      <w:r w:rsidR="005B2A41">
        <w:t xml:space="preserve"> </w:t>
      </w:r>
      <w:r w:rsidRPr="00B02247">
        <w:t>living</w:t>
      </w:r>
      <w:r w:rsidR="005B2A41">
        <w:t xml:space="preserve"> </w:t>
      </w:r>
      <w:r w:rsidRPr="00B02247">
        <w:t>in</w:t>
      </w:r>
      <w:r w:rsidR="005B2A41">
        <w:t xml:space="preserve"> </w:t>
      </w:r>
      <w:r w:rsidR="003E731F">
        <w:t>“</w:t>
      </w:r>
      <w:r w:rsidRPr="00B02247">
        <w:t>off-site</w:t>
      </w:r>
      <w:r w:rsidR="003E731F">
        <w:t>”</w:t>
      </w:r>
      <w:r w:rsidR="005B2A41">
        <w:t xml:space="preserve"> </w:t>
      </w:r>
      <w:r w:rsidRPr="00B02247">
        <w:t>accommodations,</w:t>
      </w:r>
      <w:r w:rsidR="005B2A41">
        <w:t xml:space="preserve"> </w:t>
      </w:r>
      <w:r w:rsidRPr="00B02247">
        <w:t>(in</w:t>
      </w:r>
      <w:r w:rsidR="005B2A41">
        <w:t xml:space="preserve"> </w:t>
      </w:r>
      <w:r w:rsidRPr="00B02247">
        <w:t>flats,</w:t>
      </w:r>
      <w:r w:rsidR="005B2A41">
        <w:t xml:space="preserve"> </w:t>
      </w:r>
      <w:r w:rsidRPr="00B02247">
        <w:t>hotels</w:t>
      </w:r>
      <w:r w:rsidR="005B2A41">
        <w:t xml:space="preserve"> </w:t>
      </w:r>
      <w:r w:rsidRPr="00B02247">
        <w:t>etc.)</w:t>
      </w:r>
      <w:r w:rsidR="005B2A41">
        <w:t xml:space="preserve"> </w:t>
      </w:r>
      <w:r w:rsidRPr="00B02247">
        <w:t>are</w:t>
      </w:r>
      <w:r w:rsidR="005B2A41">
        <w:t xml:space="preserve"> </w:t>
      </w:r>
      <w:r w:rsidRPr="00B02247">
        <w:t>attending</w:t>
      </w:r>
      <w:r w:rsidR="005B2A41">
        <w:t xml:space="preserve"> </w:t>
      </w:r>
      <w:r w:rsidRPr="00B02247">
        <w:t>morning</w:t>
      </w:r>
      <w:r w:rsidR="005B2A41">
        <w:t xml:space="preserve"> </w:t>
      </w:r>
      <w:r w:rsidRPr="00B02247">
        <w:t>classes</w:t>
      </w:r>
      <w:r w:rsidR="005B2A41">
        <w:t xml:space="preserve"> </w:t>
      </w:r>
      <w:r w:rsidRPr="00B02247">
        <w:t>of</w:t>
      </w:r>
      <w:r w:rsidR="005B2A41">
        <w:t xml:space="preserve"> </w:t>
      </w:r>
      <w:r w:rsidRPr="00B02247">
        <w:t>Greek</w:t>
      </w:r>
      <w:r w:rsidR="005B2A41">
        <w:t xml:space="preserve"> </w:t>
      </w:r>
      <w:r w:rsidRPr="00B02247">
        <w:t>public</w:t>
      </w:r>
      <w:r w:rsidR="005B2A41">
        <w:t xml:space="preserve"> </w:t>
      </w:r>
      <w:r w:rsidRPr="00B02247">
        <w:t>schools</w:t>
      </w:r>
      <w:r w:rsidR="005B2A41">
        <w:t xml:space="preserve"> </w:t>
      </w:r>
      <w:r w:rsidRPr="00B02247">
        <w:t>close</w:t>
      </w:r>
      <w:r w:rsidR="005B2A41">
        <w:t xml:space="preserve"> </w:t>
      </w:r>
      <w:r w:rsidRPr="00B02247">
        <w:t>to</w:t>
      </w:r>
      <w:r w:rsidR="005B2A41">
        <w:t xml:space="preserve"> </w:t>
      </w:r>
      <w:r w:rsidRPr="00B02247">
        <w:t>their</w:t>
      </w:r>
      <w:r w:rsidR="005B2A41">
        <w:t xml:space="preserve"> </w:t>
      </w:r>
      <w:r w:rsidRPr="00B02247">
        <w:t>residence</w:t>
      </w:r>
      <w:r w:rsidR="005B2A41">
        <w:t xml:space="preserve"> </w:t>
      </w:r>
      <w:r w:rsidRPr="00B02247">
        <w:t>in</w:t>
      </w:r>
      <w:r w:rsidR="005B2A41">
        <w:t xml:space="preserve"> </w:t>
      </w:r>
      <w:r w:rsidRPr="00B02247">
        <w:t>the</w:t>
      </w:r>
      <w:r w:rsidR="005B2A41">
        <w:t xml:space="preserve"> </w:t>
      </w:r>
      <w:r w:rsidRPr="00B02247">
        <w:t>Reception</w:t>
      </w:r>
      <w:r w:rsidR="005B2A41">
        <w:t xml:space="preserve"> </w:t>
      </w:r>
      <w:r w:rsidRPr="00B02247">
        <w:t>Classes,</w:t>
      </w:r>
      <w:r w:rsidR="005B2A41">
        <w:t xml:space="preserve"> </w:t>
      </w:r>
      <w:r w:rsidRPr="00B02247">
        <w:t>where</w:t>
      </w:r>
      <w:r w:rsidR="005B2A41">
        <w:t xml:space="preserve"> </w:t>
      </w:r>
      <w:r w:rsidRPr="00B02247">
        <w:t>supplementary</w:t>
      </w:r>
      <w:r w:rsidR="005B2A41">
        <w:t xml:space="preserve"> </w:t>
      </w:r>
      <w:r w:rsidRPr="00B02247">
        <w:t>teaching</w:t>
      </w:r>
      <w:r w:rsidR="005B2A41">
        <w:t xml:space="preserve"> </w:t>
      </w:r>
      <w:r w:rsidRPr="00B02247">
        <w:t>and</w:t>
      </w:r>
      <w:r w:rsidR="005B2A41">
        <w:t xml:space="preserve"> </w:t>
      </w:r>
      <w:r w:rsidRPr="00B02247">
        <w:t>tutorial</w:t>
      </w:r>
      <w:r w:rsidR="005B2A41">
        <w:t xml:space="preserve"> </w:t>
      </w:r>
      <w:r w:rsidRPr="00B02247">
        <w:t>support</w:t>
      </w:r>
      <w:r w:rsidR="005B2A41">
        <w:t xml:space="preserve"> </w:t>
      </w:r>
      <w:r w:rsidRPr="00B02247">
        <w:t>is</w:t>
      </w:r>
      <w:r w:rsidR="005B2A41">
        <w:t xml:space="preserve"> </w:t>
      </w:r>
      <w:r w:rsidRPr="00B02247">
        <w:t>being</w:t>
      </w:r>
      <w:r w:rsidR="005B2A41">
        <w:t xml:space="preserve"> </w:t>
      </w:r>
      <w:r w:rsidRPr="00B02247">
        <w:t>provided</w:t>
      </w:r>
      <w:r w:rsidR="005B2A41">
        <w:t xml:space="preserve"> </w:t>
      </w:r>
      <w:r w:rsidRPr="00B02247">
        <w:t>to</w:t>
      </w:r>
      <w:r w:rsidR="005B2A41">
        <w:t xml:space="preserve"> </w:t>
      </w:r>
      <w:r w:rsidRPr="00B02247">
        <w:t>them</w:t>
      </w:r>
      <w:r w:rsidR="005B2A41">
        <w:t xml:space="preserve"> </w:t>
      </w:r>
      <w:r w:rsidRPr="00B02247">
        <w:t>within</w:t>
      </w:r>
      <w:r w:rsidR="005B2A41">
        <w:t xml:space="preserve"> </w:t>
      </w:r>
      <w:r w:rsidRPr="00B02247">
        <w:t>the</w:t>
      </w:r>
      <w:r w:rsidR="005B2A41">
        <w:t xml:space="preserve"> </w:t>
      </w:r>
      <w:r w:rsidRPr="00B02247">
        <w:t>mainstream</w:t>
      </w:r>
      <w:r w:rsidR="005B2A41">
        <w:t xml:space="preserve"> </w:t>
      </w:r>
      <w:r w:rsidRPr="00B02247">
        <w:t>schools</w:t>
      </w:r>
      <w:r w:rsidR="005B2A41">
        <w:t xml:space="preserve"> </w:t>
      </w:r>
      <w:r w:rsidRPr="00B02247">
        <w:t>they</w:t>
      </w:r>
      <w:r w:rsidR="005B2A41">
        <w:t xml:space="preserve"> </w:t>
      </w:r>
      <w:r w:rsidRPr="00B02247">
        <w:t>attend.</w:t>
      </w:r>
      <w:r w:rsidR="005B2A41">
        <w:t xml:space="preserve"> </w:t>
      </w:r>
      <w:r w:rsidRPr="00B02247">
        <w:t>Refugee</w:t>
      </w:r>
      <w:r w:rsidR="005B2A41">
        <w:t xml:space="preserve"> </w:t>
      </w:r>
      <w:r w:rsidRPr="00B02247">
        <w:t>children</w:t>
      </w:r>
      <w:r w:rsidR="005B2A41">
        <w:t xml:space="preserve"> </w:t>
      </w:r>
      <w:r w:rsidRPr="00B02247">
        <w:t>also</w:t>
      </w:r>
      <w:r w:rsidR="005B2A41">
        <w:t xml:space="preserve"> </w:t>
      </w:r>
      <w:r w:rsidRPr="00B02247">
        <w:t>enroll</w:t>
      </w:r>
      <w:r w:rsidR="005B2A41">
        <w:t xml:space="preserve"> </w:t>
      </w:r>
      <w:r w:rsidRPr="00B02247">
        <w:t>in</w:t>
      </w:r>
      <w:r w:rsidR="005B2A41">
        <w:t xml:space="preserve"> </w:t>
      </w:r>
      <w:r w:rsidRPr="00B02247">
        <w:t>the</w:t>
      </w:r>
      <w:r w:rsidR="005B2A41">
        <w:t xml:space="preserve"> </w:t>
      </w:r>
      <w:r w:rsidRPr="00B02247">
        <w:t>Schools</w:t>
      </w:r>
      <w:r w:rsidR="005B2A41">
        <w:t xml:space="preserve"> </w:t>
      </w:r>
      <w:r w:rsidRPr="00B02247">
        <w:t>of</w:t>
      </w:r>
      <w:r w:rsidR="005B2A41">
        <w:t xml:space="preserve"> </w:t>
      </w:r>
      <w:r w:rsidRPr="00B02247">
        <w:t>Intercultural</w:t>
      </w:r>
      <w:r w:rsidR="005B2A41">
        <w:t xml:space="preserve"> </w:t>
      </w:r>
      <w:r w:rsidRPr="00B02247">
        <w:t>Education</w:t>
      </w:r>
      <w:r w:rsidR="005B2A41">
        <w:t xml:space="preserve"> </w:t>
      </w:r>
      <w:r w:rsidRPr="00B02247">
        <w:t>that</w:t>
      </w:r>
      <w:r w:rsidR="005B2A41">
        <w:t xml:space="preserve"> </w:t>
      </w:r>
      <w:r w:rsidRPr="00B02247">
        <w:t>operate</w:t>
      </w:r>
      <w:r w:rsidR="005B2A41">
        <w:t xml:space="preserve"> </w:t>
      </w:r>
      <w:r w:rsidRPr="00B02247">
        <w:t>in</w:t>
      </w:r>
      <w:r w:rsidR="005B2A41">
        <w:t xml:space="preserve"> </w:t>
      </w:r>
      <w:r w:rsidRPr="00B02247">
        <w:t>Greece.</w:t>
      </w:r>
      <w:r w:rsidR="005B2A41">
        <w:t xml:space="preserve"> </w:t>
      </w:r>
    </w:p>
    <w:p w:rsidR="00F233AB" w:rsidRPr="00B02247" w:rsidRDefault="00F233AB" w:rsidP="00E1307D">
      <w:pPr>
        <w:pStyle w:val="SingleTxtG"/>
      </w:pPr>
      <w:r w:rsidRPr="00B02247">
        <w:lastRenderedPageBreak/>
        <w:t>199.</w:t>
      </w:r>
      <w:r w:rsidRPr="00B02247">
        <w:tab/>
        <w:t>For</w:t>
      </w:r>
      <w:r w:rsidR="005B2A41">
        <w:t xml:space="preserve"> </w:t>
      </w:r>
      <w:r w:rsidRPr="00B02247">
        <w:t>children</w:t>
      </w:r>
      <w:r w:rsidR="005B2A41">
        <w:t xml:space="preserve"> </w:t>
      </w:r>
      <w:r w:rsidRPr="00B02247">
        <w:t>aged</w:t>
      </w:r>
      <w:r w:rsidR="005B2A41">
        <w:t xml:space="preserve"> </w:t>
      </w:r>
      <w:r w:rsidRPr="00B02247">
        <w:t>15</w:t>
      </w:r>
      <w:r w:rsidR="00915034">
        <w:t>–</w:t>
      </w:r>
      <w:r w:rsidRPr="00B02247">
        <w:t>18</w:t>
      </w:r>
      <w:r w:rsidR="005B2A41">
        <w:t xml:space="preserve"> </w:t>
      </w:r>
      <w:r w:rsidRPr="00B02247">
        <w:t>years,</w:t>
      </w:r>
      <w:r w:rsidR="005B2A41">
        <w:t xml:space="preserve"> </w:t>
      </w:r>
      <w:r w:rsidRPr="00B02247">
        <w:t>the</w:t>
      </w:r>
      <w:r w:rsidR="005B2A41">
        <w:t xml:space="preserve"> </w:t>
      </w:r>
      <w:r w:rsidRPr="00B02247">
        <w:t>Ministry</w:t>
      </w:r>
      <w:r w:rsidR="005B2A41">
        <w:t xml:space="preserve"> </w:t>
      </w:r>
      <w:r w:rsidRPr="00B02247">
        <w:t>is</w:t>
      </w:r>
      <w:r w:rsidR="005B2A41">
        <w:t xml:space="preserve"> </w:t>
      </w:r>
      <w:r w:rsidRPr="00B02247">
        <w:t>exploring</w:t>
      </w:r>
      <w:r w:rsidR="005B2A41">
        <w:t xml:space="preserve"> </w:t>
      </w:r>
      <w:r w:rsidRPr="00B02247">
        <w:t>forms</w:t>
      </w:r>
      <w:r w:rsidR="005B2A41">
        <w:t xml:space="preserve"> </w:t>
      </w:r>
      <w:r w:rsidRPr="00B02247">
        <w:t>of</w:t>
      </w:r>
      <w:r w:rsidR="005B2A41">
        <w:t xml:space="preserve"> </w:t>
      </w:r>
      <w:r w:rsidRPr="00B02247">
        <w:t>formal</w:t>
      </w:r>
      <w:r w:rsidR="005B2A41">
        <w:t xml:space="preserve"> </w:t>
      </w:r>
      <w:r w:rsidRPr="00B02247">
        <w:t>and/or</w:t>
      </w:r>
      <w:r w:rsidR="005B2A41">
        <w:t xml:space="preserve"> </w:t>
      </w:r>
      <w:r w:rsidRPr="00B02247">
        <w:t>informal</w:t>
      </w:r>
      <w:r w:rsidR="005B2A41">
        <w:t xml:space="preserve"> </w:t>
      </w:r>
      <w:r w:rsidRPr="00B02247">
        <w:t>technical</w:t>
      </w:r>
      <w:r w:rsidR="005B2A41">
        <w:t xml:space="preserve"> </w:t>
      </w:r>
      <w:r w:rsidRPr="00B02247">
        <w:t>and</w:t>
      </w:r>
      <w:r w:rsidR="005B2A41">
        <w:t xml:space="preserve"> </w:t>
      </w:r>
      <w:r w:rsidRPr="00B02247">
        <w:t>vocational</w:t>
      </w:r>
      <w:r w:rsidR="005B2A41">
        <w:t xml:space="preserve"> </w:t>
      </w:r>
      <w:r w:rsidRPr="00B02247">
        <w:t>education</w:t>
      </w:r>
      <w:r w:rsidR="005B2A41">
        <w:t xml:space="preserve"> </w:t>
      </w:r>
      <w:r w:rsidRPr="00B02247">
        <w:t>in</w:t>
      </w:r>
      <w:r w:rsidR="005B2A41">
        <w:t xml:space="preserve"> </w:t>
      </w:r>
      <w:r w:rsidRPr="00B02247">
        <w:t>cooperation</w:t>
      </w:r>
      <w:r w:rsidR="005B2A41">
        <w:t xml:space="preserve"> </w:t>
      </w:r>
      <w:r w:rsidRPr="00B02247">
        <w:t>with</w:t>
      </w:r>
      <w:r w:rsidR="005B2A41">
        <w:t xml:space="preserve"> </w:t>
      </w:r>
      <w:r w:rsidRPr="00B02247">
        <w:t>entities</w:t>
      </w:r>
      <w:r w:rsidR="005B2A41">
        <w:t xml:space="preserve"> </w:t>
      </w:r>
      <w:r w:rsidRPr="00B02247">
        <w:t>such</w:t>
      </w:r>
      <w:r w:rsidR="005B2A41">
        <w:t xml:space="preserve"> </w:t>
      </w:r>
      <w:r w:rsidRPr="00B02247">
        <w:t>as</w:t>
      </w:r>
      <w:r w:rsidR="005B2A41">
        <w:t xml:space="preserve"> </w:t>
      </w:r>
      <w:r w:rsidRPr="00B02247">
        <w:t>the</w:t>
      </w:r>
      <w:r w:rsidR="005B2A41">
        <w:t xml:space="preserve"> </w:t>
      </w:r>
      <w:r w:rsidRPr="00B02247">
        <w:t>Manpower</w:t>
      </w:r>
      <w:r w:rsidR="005B2A41">
        <w:t xml:space="preserve"> </w:t>
      </w:r>
      <w:r w:rsidRPr="00B02247">
        <w:t>apprenticeship</w:t>
      </w:r>
      <w:r w:rsidR="005B2A41">
        <w:t xml:space="preserve"> </w:t>
      </w:r>
      <w:r w:rsidRPr="00B02247">
        <w:t>schools,</w:t>
      </w:r>
      <w:r w:rsidR="005B2A41">
        <w:t xml:space="preserve"> </w:t>
      </w:r>
      <w:r w:rsidRPr="00B02247">
        <w:t>the</w:t>
      </w:r>
      <w:r w:rsidR="005B2A41">
        <w:t xml:space="preserve"> </w:t>
      </w:r>
      <w:r w:rsidRPr="00B02247">
        <w:t>Center</w:t>
      </w:r>
      <w:r w:rsidR="005B2A41">
        <w:t xml:space="preserve"> </w:t>
      </w:r>
      <w:r w:rsidRPr="00B02247">
        <w:t>of</w:t>
      </w:r>
      <w:r w:rsidR="005B2A41">
        <w:t xml:space="preserve"> </w:t>
      </w:r>
      <w:r w:rsidRPr="00B02247">
        <w:t>the</w:t>
      </w:r>
      <w:r w:rsidR="005B2A41">
        <w:t xml:space="preserve"> </w:t>
      </w:r>
      <w:r w:rsidRPr="00B02247">
        <w:t>Greek</w:t>
      </w:r>
      <w:r w:rsidR="005B2A41">
        <w:t xml:space="preserve"> </w:t>
      </w:r>
      <w:r w:rsidRPr="00B02247">
        <w:t>General</w:t>
      </w:r>
      <w:r w:rsidR="005B2A41">
        <w:t xml:space="preserve"> </w:t>
      </w:r>
      <w:r w:rsidRPr="00B02247">
        <w:t>Confederation</w:t>
      </w:r>
      <w:r w:rsidR="005B2A41">
        <w:t xml:space="preserve"> </w:t>
      </w:r>
      <w:r w:rsidRPr="00B02247">
        <w:t>of</w:t>
      </w:r>
      <w:r w:rsidR="005B2A41">
        <w:t xml:space="preserve"> </w:t>
      </w:r>
      <w:r w:rsidRPr="00B02247">
        <w:t>Labor</w:t>
      </w:r>
      <w:r w:rsidR="005B2A41">
        <w:t xml:space="preserve"> </w:t>
      </w:r>
      <w:r w:rsidRPr="00B02247">
        <w:t>for</w:t>
      </w:r>
      <w:r w:rsidR="005B2A41">
        <w:t xml:space="preserve"> </w:t>
      </w:r>
      <w:r w:rsidRPr="00B02247">
        <w:t>Education</w:t>
      </w:r>
      <w:r w:rsidR="005B2A41">
        <w:t xml:space="preserve"> </w:t>
      </w:r>
      <w:r w:rsidRPr="00B02247">
        <w:t>and</w:t>
      </w:r>
      <w:r w:rsidR="005B2A41">
        <w:t xml:space="preserve"> </w:t>
      </w:r>
      <w:r w:rsidRPr="00B02247">
        <w:t>Lifelong</w:t>
      </w:r>
      <w:r w:rsidR="005B2A41">
        <w:t xml:space="preserve"> </w:t>
      </w:r>
      <w:r w:rsidRPr="00B02247">
        <w:t>Learning,</w:t>
      </w:r>
      <w:r w:rsidR="005B2A41">
        <w:t xml:space="preserve"> </w:t>
      </w:r>
      <w:r w:rsidRPr="00B02247">
        <w:t>etc.</w:t>
      </w:r>
    </w:p>
    <w:p w:rsidR="00F233AB" w:rsidRPr="00B02247" w:rsidRDefault="00F233AB" w:rsidP="00E1307D">
      <w:pPr>
        <w:pStyle w:val="SingleTxtG"/>
      </w:pPr>
      <w:r w:rsidRPr="00B02247">
        <w:t>200.</w:t>
      </w:r>
      <w:r w:rsidRPr="00B02247">
        <w:tab/>
        <w:t>Apart</w:t>
      </w:r>
      <w:r w:rsidR="005B2A41">
        <w:t xml:space="preserve"> </w:t>
      </w:r>
      <w:r w:rsidRPr="00B02247">
        <w:t>from</w:t>
      </w:r>
      <w:r w:rsidR="005B2A41">
        <w:t xml:space="preserve"> </w:t>
      </w:r>
      <w:r w:rsidRPr="00B02247">
        <w:t>the</w:t>
      </w:r>
      <w:r w:rsidR="005B2A41">
        <w:t xml:space="preserve"> </w:t>
      </w:r>
      <w:r w:rsidRPr="00B02247">
        <w:t>Ministries</w:t>
      </w:r>
      <w:r w:rsidR="003E731F">
        <w:t>’</w:t>
      </w:r>
      <w:r w:rsidR="005B2A41">
        <w:t xml:space="preserve"> </w:t>
      </w:r>
      <w:r w:rsidRPr="00B02247">
        <w:t>joint</w:t>
      </w:r>
      <w:r w:rsidR="005B2A41">
        <w:t xml:space="preserve"> </w:t>
      </w:r>
      <w:r w:rsidRPr="00B02247">
        <w:t>efforts,</w:t>
      </w:r>
      <w:r w:rsidR="005B2A41">
        <w:t xml:space="preserve"> </w:t>
      </w:r>
      <w:r w:rsidRPr="00B02247">
        <w:t>the</w:t>
      </w:r>
      <w:r w:rsidR="005B2A41">
        <w:t xml:space="preserve"> </w:t>
      </w:r>
      <w:r w:rsidRPr="00B02247">
        <w:t>successful</w:t>
      </w:r>
      <w:r w:rsidR="005B2A41">
        <w:t xml:space="preserve"> </w:t>
      </w:r>
      <w:r w:rsidRPr="00B02247">
        <w:t>implementation</w:t>
      </w:r>
      <w:r w:rsidR="005B2A41">
        <w:t xml:space="preserve"> </w:t>
      </w:r>
      <w:r w:rsidRPr="00B02247">
        <w:t>of</w:t>
      </w:r>
      <w:r w:rsidR="005B2A41">
        <w:t xml:space="preserve"> </w:t>
      </w:r>
      <w:r w:rsidRPr="00B02247">
        <w:t>the</w:t>
      </w:r>
      <w:r w:rsidR="005B2A41">
        <w:t xml:space="preserve"> </w:t>
      </w:r>
      <w:r w:rsidRPr="00B02247">
        <w:t>Plan</w:t>
      </w:r>
      <w:r w:rsidR="005B2A41">
        <w:t xml:space="preserve"> </w:t>
      </w:r>
      <w:r w:rsidRPr="00B02247">
        <w:t>is</w:t>
      </w:r>
      <w:r w:rsidR="005B2A41">
        <w:t xml:space="preserve"> </w:t>
      </w:r>
      <w:r w:rsidRPr="00B02247">
        <w:t>also</w:t>
      </w:r>
      <w:r w:rsidR="005B2A41">
        <w:t xml:space="preserve"> </w:t>
      </w:r>
      <w:r w:rsidRPr="00B02247">
        <w:t>based</w:t>
      </w:r>
      <w:r w:rsidR="005B2A41">
        <w:t xml:space="preserve"> </w:t>
      </w:r>
      <w:r w:rsidRPr="00B02247">
        <w:t>on</w:t>
      </w:r>
      <w:r w:rsidR="005B2A41">
        <w:t xml:space="preserve"> </w:t>
      </w:r>
      <w:r w:rsidRPr="00B02247">
        <w:t>significant</w:t>
      </w:r>
      <w:r w:rsidR="005B2A41">
        <w:t xml:space="preserve"> </w:t>
      </w:r>
      <w:r w:rsidRPr="00B02247">
        <w:t>contributions</w:t>
      </w:r>
      <w:r w:rsidR="005B2A41">
        <w:t xml:space="preserve"> </w:t>
      </w:r>
      <w:r w:rsidRPr="00B02247">
        <w:t>by</w:t>
      </w:r>
      <w:r w:rsidR="005B2A41">
        <w:t xml:space="preserve"> </w:t>
      </w:r>
      <w:r w:rsidRPr="00B02247">
        <w:t>International</w:t>
      </w:r>
      <w:r w:rsidR="005B2A41">
        <w:t xml:space="preserve"> </w:t>
      </w:r>
      <w:r w:rsidRPr="00B02247">
        <w:t>Organizations</w:t>
      </w:r>
      <w:r w:rsidR="005B2A41">
        <w:t xml:space="preserve"> </w:t>
      </w:r>
      <w:r w:rsidRPr="00B02247">
        <w:t>(such</w:t>
      </w:r>
      <w:r w:rsidR="005B2A41">
        <w:t xml:space="preserve"> </w:t>
      </w:r>
      <w:r w:rsidRPr="00B02247">
        <w:t>as</w:t>
      </w:r>
      <w:r w:rsidR="005B2A41">
        <w:t xml:space="preserve"> </w:t>
      </w:r>
      <w:r w:rsidRPr="00B02247">
        <w:t>the</w:t>
      </w:r>
      <w:r w:rsidR="005B2A41">
        <w:t xml:space="preserve"> </w:t>
      </w:r>
      <w:r w:rsidRPr="00B02247">
        <w:t>International</w:t>
      </w:r>
      <w:r w:rsidR="005B2A41">
        <w:t xml:space="preserve"> </w:t>
      </w:r>
      <w:r w:rsidRPr="00B02247">
        <w:t>Organization</w:t>
      </w:r>
      <w:r w:rsidR="005B2A41">
        <w:t xml:space="preserve"> </w:t>
      </w:r>
      <w:r w:rsidRPr="00B02247">
        <w:t>for</w:t>
      </w:r>
      <w:r w:rsidR="005B2A41">
        <w:t xml:space="preserve"> </w:t>
      </w:r>
      <w:r w:rsidRPr="00B02247">
        <w:t>Migration</w:t>
      </w:r>
      <w:r w:rsidR="005B2A41">
        <w:t xml:space="preserve"> </w:t>
      </w:r>
      <w:r w:rsidRPr="00B02247">
        <w:t>and</w:t>
      </w:r>
      <w:r w:rsidR="005B2A41">
        <w:t xml:space="preserve"> </w:t>
      </w:r>
      <w:r w:rsidRPr="00B02247">
        <w:t>the</w:t>
      </w:r>
      <w:r w:rsidR="005B2A41">
        <w:t xml:space="preserve"> </w:t>
      </w:r>
      <w:r w:rsidRPr="00B02247">
        <w:t>United</w:t>
      </w:r>
      <w:r w:rsidR="005B2A41">
        <w:t xml:space="preserve"> </w:t>
      </w:r>
      <w:r w:rsidRPr="00B02247">
        <w:t>Nations</w:t>
      </w:r>
      <w:r w:rsidR="005B2A41">
        <w:t xml:space="preserve"> </w:t>
      </w:r>
      <w:r w:rsidRPr="00B02247">
        <w:t>High</w:t>
      </w:r>
      <w:r w:rsidR="005B2A41">
        <w:t xml:space="preserve"> </w:t>
      </w:r>
      <w:r w:rsidRPr="00B02247">
        <w:t>Commissioner</w:t>
      </w:r>
      <w:r w:rsidR="005B2A41">
        <w:t xml:space="preserve"> </w:t>
      </w:r>
      <w:r w:rsidRPr="00B02247">
        <w:t>for</w:t>
      </w:r>
      <w:r w:rsidR="005B2A41">
        <w:t xml:space="preserve"> </w:t>
      </w:r>
      <w:r w:rsidRPr="00B02247">
        <w:t>Refugees),</w:t>
      </w:r>
      <w:r w:rsidR="005B2A41">
        <w:t xml:space="preserve"> </w:t>
      </w:r>
      <w:r w:rsidRPr="00B02247">
        <w:t>local</w:t>
      </w:r>
      <w:r w:rsidR="005B2A41">
        <w:t xml:space="preserve"> </w:t>
      </w:r>
      <w:r w:rsidRPr="00B02247">
        <w:t>administration,</w:t>
      </w:r>
      <w:r w:rsidR="005B2A41">
        <w:t xml:space="preserve"> </w:t>
      </w:r>
      <w:r w:rsidRPr="00B02247">
        <w:t>as</w:t>
      </w:r>
      <w:r w:rsidR="005B2A41">
        <w:t xml:space="preserve"> </w:t>
      </w:r>
      <w:r w:rsidRPr="00B02247">
        <w:t>well</w:t>
      </w:r>
      <w:r w:rsidR="005B2A41">
        <w:t xml:space="preserve"> </w:t>
      </w:r>
      <w:r w:rsidRPr="00B02247">
        <w:t>as</w:t>
      </w:r>
      <w:r w:rsidR="005B2A41">
        <w:t xml:space="preserve"> </w:t>
      </w:r>
      <w:r w:rsidRPr="00B02247">
        <w:t>NGOs.</w:t>
      </w:r>
      <w:r w:rsidR="005B2A41">
        <w:t xml:space="preserve"> </w:t>
      </w:r>
      <w:r w:rsidRPr="00B02247">
        <w:t>These</w:t>
      </w:r>
      <w:r w:rsidR="005B2A41">
        <w:t xml:space="preserve"> </w:t>
      </w:r>
      <w:r w:rsidRPr="00B02247">
        <w:t>organizations</w:t>
      </w:r>
      <w:r w:rsidR="005B2A41">
        <w:t xml:space="preserve"> </w:t>
      </w:r>
      <w:r w:rsidRPr="00B02247">
        <w:t>and</w:t>
      </w:r>
      <w:r w:rsidR="005B2A41">
        <w:t xml:space="preserve"> </w:t>
      </w:r>
      <w:r w:rsidRPr="00B02247">
        <w:t>bodies</w:t>
      </w:r>
      <w:r w:rsidR="005B2A41">
        <w:t xml:space="preserve"> </w:t>
      </w:r>
      <w:r w:rsidRPr="00B02247">
        <w:t>have</w:t>
      </w:r>
      <w:r w:rsidR="005B2A41">
        <w:t xml:space="preserve"> </w:t>
      </w:r>
      <w:r w:rsidRPr="00B02247">
        <w:t>played</w:t>
      </w:r>
      <w:r w:rsidR="005B2A41">
        <w:t xml:space="preserve"> </w:t>
      </w:r>
      <w:r w:rsidRPr="00B02247">
        <w:t>an</w:t>
      </w:r>
      <w:r w:rsidR="005B2A41">
        <w:t xml:space="preserve"> </w:t>
      </w:r>
      <w:r w:rsidRPr="00B02247">
        <w:t>important</w:t>
      </w:r>
      <w:r w:rsidR="005B2A41">
        <w:t xml:space="preserve"> </w:t>
      </w:r>
      <w:r w:rsidRPr="00B02247">
        <w:t>role</w:t>
      </w:r>
      <w:r w:rsidR="005B2A41">
        <w:t xml:space="preserve"> </w:t>
      </w:r>
      <w:r w:rsidRPr="00B02247">
        <w:t>in</w:t>
      </w:r>
      <w:r w:rsidR="005B2A41">
        <w:t xml:space="preserve"> </w:t>
      </w:r>
      <w:r w:rsidRPr="00B02247">
        <w:t>issues</w:t>
      </w:r>
      <w:r w:rsidR="005B2A41">
        <w:t xml:space="preserve"> </w:t>
      </w:r>
      <w:r w:rsidRPr="00B02247">
        <w:t>such</w:t>
      </w:r>
      <w:r w:rsidR="005B2A41">
        <w:t xml:space="preserve"> </w:t>
      </w:r>
      <w:r w:rsidRPr="00B02247">
        <w:t>as:</w:t>
      </w:r>
      <w:r w:rsidR="005B2A41">
        <w:t xml:space="preserve"> </w:t>
      </w:r>
      <w:r w:rsidRPr="00B02247">
        <w:t>the</w:t>
      </w:r>
      <w:r w:rsidR="005B2A41">
        <w:t xml:space="preserve"> </w:t>
      </w:r>
      <w:r w:rsidRPr="00B02247">
        <w:t>provision</w:t>
      </w:r>
      <w:r w:rsidR="005B2A41">
        <w:t xml:space="preserve"> </w:t>
      </w:r>
      <w:r w:rsidRPr="00B02247">
        <w:t>of</w:t>
      </w:r>
      <w:r w:rsidR="005B2A41">
        <w:t xml:space="preserve"> </w:t>
      </w:r>
      <w:r w:rsidRPr="00B02247">
        <w:t>material-technical</w:t>
      </w:r>
      <w:r w:rsidR="005B2A41">
        <w:t xml:space="preserve"> </w:t>
      </w:r>
      <w:r w:rsidRPr="00B02247">
        <w:t>infrastructure</w:t>
      </w:r>
      <w:r w:rsidR="005B2A41">
        <w:t xml:space="preserve"> </w:t>
      </w:r>
      <w:r w:rsidRPr="00B02247">
        <w:t>in</w:t>
      </w:r>
      <w:r w:rsidR="005B2A41">
        <w:t xml:space="preserve"> </w:t>
      </w:r>
      <w:r w:rsidRPr="00B02247">
        <w:t>the</w:t>
      </w:r>
      <w:r w:rsidR="005B2A41">
        <w:t xml:space="preserve"> </w:t>
      </w:r>
      <w:r w:rsidRPr="00B02247">
        <w:t>Accommodation</w:t>
      </w:r>
      <w:r w:rsidR="005B2A41">
        <w:t xml:space="preserve"> </w:t>
      </w:r>
      <w:r w:rsidRPr="00B02247">
        <w:t>Centers,</w:t>
      </w:r>
      <w:r w:rsidR="005B2A41">
        <w:t xml:space="preserve"> </w:t>
      </w:r>
      <w:r w:rsidRPr="00B02247">
        <w:t>the</w:t>
      </w:r>
      <w:r w:rsidR="005B2A41">
        <w:t xml:space="preserve"> </w:t>
      </w:r>
      <w:r w:rsidRPr="00B02247">
        <w:t>transportation</w:t>
      </w:r>
      <w:r w:rsidR="005B2A41">
        <w:t xml:space="preserve"> </w:t>
      </w:r>
      <w:r w:rsidRPr="00B02247">
        <w:t>of</w:t>
      </w:r>
      <w:r w:rsidR="005B2A41">
        <w:t xml:space="preserve"> </w:t>
      </w:r>
      <w:r w:rsidRPr="00B02247">
        <w:t>children</w:t>
      </w:r>
      <w:r w:rsidR="005B2A41">
        <w:t xml:space="preserve"> </w:t>
      </w:r>
      <w:r w:rsidRPr="00B02247">
        <w:t>to</w:t>
      </w:r>
      <w:r w:rsidR="005B2A41">
        <w:t xml:space="preserve"> </w:t>
      </w:r>
      <w:r w:rsidRPr="00B02247">
        <w:t>the</w:t>
      </w:r>
      <w:r w:rsidR="005B2A41">
        <w:t xml:space="preserve"> </w:t>
      </w:r>
      <w:r w:rsidRPr="00B02247">
        <w:t>schools,</w:t>
      </w:r>
      <w:r w:rsidR="005B2A41">
        <w:t xml:space="preserve"> </w:t>
      </w:r>
      <w:r w:rsidRPr="00B02247">
        <w:t>provision</w:t>
      </w:r>
      <w:r w:rsidR="005B2A41">
        <w:t xml:space="preserve"> </w:t>
      </w:r>
      <w:r w:rsidRPr="00B02247">
        <w:t>of</w:t>
      </w:r>
      <w:r w:rsidR="005B2A41">
        <w:t xml:space="preserve"> </w:t>
      </w:r>
      <w:r w:rsidRPr="00B02247">
        <w:t>children</w:t>
      </w:r>
      <w:r w:rsidR="005B2A41">
        <w:t xml:space="preserve"> </w:t>
      </w:r>
      <w:r w:rsidRPr="00B02247">
        <w:t>with</w:t>
      </w:r>
      <w:r w:rsidR="005B2A41">
        <w:t xml:space="preserve"> </w:t>
      </w:r>
      <w:r w:rsidRPr="00B02247">
        <w:t>school</w:t>
      </w:r>
      <w:r w:rsidR="005B2A41">
        <w:t xml:space="preserve"> </w:t>
      </w:r>
      <w:r w:rsidRPr="00B02247">
        <w:t>kits,</w:t>
      </w:r>
      <w:r w:rsidR="005B2A41">
        <w:t xml:space="preserve"> </w:t>
      </w:r>
      <w:r w:rsidRPr="00B02247">
        <w:t>mother</w:t>
      </w:r>
      <w:r w:rsidR="005B2A41">
        <w:t xml:space="preserve"> </w:t>
      </w:r>
      <w:r w:rsidRPr="00B02247">
        <w:t>tongue</w:t>
      </w:r>
      <w:r w:rsidR="005B2A41">
        <w:t xml:space="preserve"> </w:t>
      </w:r>
      <w:r w:rsidRPr="00B02247">
        <w:t>teaching</w:t>
      </w:r>
      <w:r w:rsidR="005B2A41">
        <w:t xml:space="preserve"> </w:t>
      </w:r>
      <w:r w:rsidRPr="00B02247">
        <w:t>(such</w:t>
      </w:r>
      <w:r w:rsidR="005B2A41">
        <w:t xml:space="preserve"> </w:t>
      </w:r>
      <w:r w:rsidRPr="00B02247">
        <w:t>as</w:t>
      </w:r>
      <w:r w:rsidR="005B2A41">
        <w:t xml:space="preserve"> </w:t>
      </w:r>
      <w:r w:rsidRPr="00B02247">
        <w:t>Arabic,</w:t>
      </w:r>
      <w:r w:rsidR="005B2A41">
        <w:t xml:space="preserve"> </w:t>
      </w:r>
      <w:r w:rsidRPr="00B02247">
        <w:t>Farsi,</w:t>
      </w:r>
      <w:r w:rsidR="005B2A41">
        <w:t xml:space="preserve"> </w:t>
      </w:r>
      <w:r w:rsidRPr="00B02247">
        <w:t>Kurmanji,</w:t>
      </w:r>
      <w:r w:rsidR="005B2A41">
        <w:t xml:space="preserve"> </w:t>
      </w:r>
      <w:r w:rsidRPr="00B02247">
        <w:t>etc.),</w:t>
      </w:r>
      <w:r w:rsidR="005B2A41">
        <w:t xml:space="preserve"> </w:t>
      </w:r>
      <w:r w:rsidRPr="00B02247">
        <w:t>psycho-social</w:t>
      </w:r>
      <w:r w:rsidR="005B2A41">
        <w:t xml:space="preserve"> </w:t>
      </w:r>
      <w:r w:rsidRPr="00B02247">
        <w:t>support</w:t>
      </w:r>
      <w:r w:rsidR="005B2A41">
        <w:t xml:space="preserve"> </w:t>
      </w:r>
      <w:r w:rsidRPr="00B02247">
        <w:t>of</w:t>
      </w:r>
      <w:r w:rsidR="005B2A41">
        <w:t xml:space="preserve"> </w:t>
      </w:r>
      <w:r w:rsidRPr="00B02247">
        <w:t>parents</w:t>
      </w:r>
      <w:r w:rsidR="005B2A41">
        <w:t xml:space="preserve"> </w:t>
      </w:r>
      <w:r w:rsidRPr="00B02247">
        <w:t>and</w:t>
      </w:r>
      <w:r w:rsidR="005B2A41">
        <w:t xml:space="preserve"> </w:t>
      </w:r>
      <w:r w:rsidRPr="00B02247">
        <w:t>children,</w:t>
      </w:r>
      <w:r w:rsidR="005B2A41">
        <w:t xml:space="preserve"> </w:t>
      </w:r>
      <w:r w:rsidRPr="00B02247">
        <w:t>adult</w:t>
      </w:r>
      <w:r w:rsidR="005B2A41">
        <w:t xml:space="preserve"> </w:t>
      </w:r>
      <w:r w:rsidRPr="00B02247">
        <w:t>education,</w:t>
      </w:r>
      <w:r w:rsidR="005B2A41">
        <w:t xml:space="preserve"> </w:t>
      </w:r>
      <w:r w:rsidRPr="00B02247">
        <w:t>creative</w:t>
      </w:r>
      <w:r w:rsidR="005B2A41">
        <w:t xml:space="preserve"> </w:t>
      </w:r>
      <w:r w:rsidRPr="00B02247">
        <w:t>and</w:t>
      </w:r>
      <w:r w:rsidR="005B2A41">
        <w:t xml:space="preserve"> </w:t>
      </w:r>
      <w:r w:rsidRPr="00B02247">
        <w:t>athletic</w:t>
      </w:r>
      <w:r w:rsidR="005B2A41">
        <w:t xml:space="preserve"> </w:t>
      </w:r>
      <w:r w:rsidRPr="00B02247">
        <w:t>activities</w:t>
      </w:r>
      <w:r w:rsidR="005B2A41">
        <w:t xml:space="preserve"> </w:t>
      </w:r>
      <w:r w:rsidRPr="00B02247">
        <w:t>as</w:t>
      </w:r>
      <w:r w:rsidR="005B2A41">
        <w:t xml:space="preserve"> </w:t>
      </w:r>
      <w:r w:rsidRPr="00B02247">
        <w:t>well</w:t>
      </w:r>
      <w:r w:rsidR="005B2A41">
        <w:t xml:space="preserve"> </w:t>
      </w:r>
      <w:r w:rsidRPr="00B02247">
        <w:t>as</w:t>
      </w:r>
      <w:r w:rsidR="005B2A41">
        <w:t xml:space="preserve"> </w:t>
      </w:r>
      <w:r w:rsidRPr="00B02247">
        <w:t>the</w:t>
      </w:r>
      <w:r w:rsidR="005B2A41">
        <w:t xml:space="preserve"> </w:t>
      </w:r>
      <w:r w:rsidRPr="00B02247">
        <w:t>provision</w:t>
      </w:r>
      <w:r w:rsidR="005B2A41">
        <w:t xml:space="preserve"> </w:t>
      </w:r>
      <w:r w:rsidRPr="00B02247">
        <w:t>of</w:t>
      </w:r>
      <w:r w:rsidR="005B2A41">
        <w:t xml:space="preserve"> </w:t>
      </w:r>
      <w:r w:rsidRPr="00B02247">
        <w:t>translators</w:t>
      </w:r>
      <w:r w:rsidR="005B2A41">
        <w:t xml:space="preserve"> </w:t>
      </w:r>
      <w:r w:rsidRPr="00B02247">
        <w:t>and</w:t>
      </w:r>
      <w:r w:rsidR="005B2A41">
        <w:t xml:space="preserve"> </w:t>
      </w:r>
      <w:r w:rsidRPr="00B02247">
        <w:t>cultural</w:t>
      </w:r>
      <w:r w:rsidR="005B2A41">
        <w:t xml:space="preserve"> </w:t>
      </w:r>
      <w:r w:rsidRPr="00B02247">
        <w:t>mediators.</w:t>
      </w:r>
      <w:r w:rsidR="005B2A41">
        <w:t xml:space="preserve"> </w:t>
      </w:r>
    </w:p>
    <w:p w:rsidR="00F233AB" w:rsidRPr="00B02247" w:rsidRDefault="00F233AB" w:rsidP="00E1307D">
      <w:pPr>
        <w:pStyle w:val="SingleTxtG"/>
      </w:pPr>
      <w:r w:rsidRPr="00B02247">
        <w:t>201.</w:t>
      </w:r>
      <w:r w:rsidRPr="00B02247">
        <w:tab/>
        <w:t>With</w:t>
      </w:r>
      <w:r w:rsidR="005B2A41">
        <w:t xml:space="preserve"> </w:t>
      </w:r>
      <w:r w:rsidRPr="00B02247">
        <w:t>regard</w:t>
      </w:r>
      <w:r w:rsidR="005B2A41">
        <w:t xml:space="preserve"> </w:t>
      </w:r>
      <w:r w:rsidRPr="00B02247">
        <w:t>to</w:t>
      </w:r>
      <w:r w:rsidR="005B2A41">
        <w:t xml:space="preserve"> </w:t>
      </w:r>
      <w:r w:rsidRPr="00B02247">
        <w:t>the</w:t>
      </w:r>
      <w:r w:rsidR="005B2A41">
        <w:t xml:space="preserve"> </w:t>
      </w:r>
      <w:r w:rsidRPr="00B02247">
        <w:t>education</w:t>
      </w:r>
      <w:r w:rsidR="005B2A41">
        <w:t xml:space="preserve"> </w:t>
      </w:r>
      <w:r w:rsidRPr="00B02247">
        <w:t>of</w:t>
      </w:r>
      <w:r w:rsidR="005B2A41">
        <w:t xml:space="preserve"> </w:t>
      </w:r>
      <w:r w:rsidRPr="00B02247">
        <w:t>Roma</w:t>
      </w:r>
      <w:r w:rsidR="005B2A41">
        <w:t xml:space="preserve"> </w:t>
      </w:r>
      <w:r w:rsidRPr="00B02247">
        <w:t>pupils,</w:t>
      </w:r>
      <w:r w:rsidR="005B2A41">
        <w:t xml:space="preserve"> </w:t>
      </w:r>
      <w:r w:rsidRPr="00B02247">
        <w:t>just</w:t>
      </w:r>
      <w:r w:rsidR="005B2A41">
        <w:t xml:space="preserve"> </w:t>
      </w:r>
      <w:r w:rsidRPr="00B02247">
        <w:t>like</w:t>
      </w:r>
      <w:r w:rsidR="005B2A41">
        <w:t xml:space="preserve"> </w:t>
      </w:r>
      <w:r w:rsidRPr="00B02247">
        <w:t>the</w:t>
      </w:r>
      <w:r w:rsidR="005B2A41">
        <w:t xml:space="preserve"> </w:t>
      </w:r>
      <w:r w:rsidRPr="00B02247">
        <w:t>children</w:t>
      </w:r>
      <w:r w:rsidR="005B2A41">
        <w:t xml:space="preserve"> </w:t>
      </w:r>
      <w:r w:rsidRPr="00B02247">
        <w:t>of</w:t>
      </w:r>
      <w:r w:rsidR="005B2A41">
        <w:t xml:space="preserve"> </w:t>
      </w:r>
      <w:r w:rsidRPr="00B02247">
        <w:t>immigrants,</w:t>
      </w:r>
      <w:r w:rsidR="005B2A41">
        <w:t xml:space="preserve"> </w:t>
      </w:r>
      <w:r w:rsidRPr="00B02247">
        <w:t>the</w:t>
      </w:r>
      <w:r w:rsidR="005B2A41">
        <w:t xml:space="preserve"> </w:t>
      </w:r>
      <w:r w:rsidRPr="00B02247">
        <w:t>basic</w:t>
      </w:r>
      <w:r w:rsidR="005B2A41">
        <w:t xml:space="preserve"> </w:t>
      </w:r>
      <w:r w:rsidRPr="00B02247">
        <w:t>legislation</w:t>
      </w:r>
      <w:r w:rsidR="005B2A41">
        <w:t xml:space="preserve"> </w:t>
      </w:r>
      <w:r w:rsidRPr="00B02247">
        <w:t>on</w:t>
      </w:r>
      <w:r w:rsidR="005B2A41">
        <w:t xml:space="preserve"> </w:t>
      </w:r>
      <w:r w:rsidRPr="00B02247">
        <w:t>education</w:t>
      </w:r>
      <w:r w:rsidR="005B2A41">
        <w:t xml:space="preserve"> </w:t>
      </w:r>
      <w:r w:rsidRPr="00B02247">
        <w:t>is</w:t>
      </w:r>
      <w:r w:rsidR="005B2A41">
        <w:t xml:space="preserve"> </w:t>
      </w:r>
      <w:r w:rsidRPr="00B02247">
        <w:t>single</w:t>
      </w:r>
      <w:r w:rsidR="005B2A41">
        <w:t xml:space="preserve"> </w:t>
      </w:r>
      <w:r w:rsidRPr="00B02247">
        <w:t>and</w:t>
      </w:r>
      <w:r w:rsidR="005B2A41">
        <w:t xml:space="preserve"> </w:t>
      </w:r>
      <w:r w:rsidRPr="00B02247">
        <w:t>common.</w:t>
      </w:r>
      <w:r w:rsidR="005B2A41">
        <w:t xml:space="preserve"> </w:t>
      </w:r>
      <w:r w:rsidRPr="00B02247">
        <w:t>For</w:t>
      </w:r>
      <w:r w:rsidR="005B2A41">
        <w:t xml:space="preserve"> </w:t>
      </w:r>
      <w:r w:rsidRPr="00B02247">
        <w:t>equal</w:t>
      </w:r>
      <w:r w:rsidR="005B2A41">
        <w:t xml:space="preserve"> </w:t>
      </w:r>
      <w:r w:rsidRPr="00B02247">
        <w:t>access</w:t>
      </w:r>
      <w:r w:rsidR="005B2A41">
        <w:t xml:space="preserve"> </w:t>
      </w:r>
      <w:r w:rsidRPr="00B02247">
        <w:t>to</w:t>
      </w:r>
      <w:r w:rsidR="005B2A41">
        <w:t xml:space="preserve"> </w:t>
      </w:r>
      <w:r w:rsidRPr="00B02247">
        <w:t>education</w:t>
      </w:r>
      <w:r w:rsidR="005B2A41">
        <w:t xml:space="preserve"> </w:t>
      </w:r>
      <w:r w:rsidRPr="00B02247">
        <w:t>of</w:t>
      </w:r>
      <w:r w:rsidR="005B2A41">
        <w:t xml:space="preserve"> </w:t>
      </w:r>
      <w:r w:rsidRPr="00B02247">
        <w:t>groups</w:t>
      </w:r>
      <w:r w:rsidR="005B2A41">
        <w:t xml:space="preserve"> </w:t>
      </w:r>
      <w:r w:rsidRPr="00B02247">
        <w:t>facing</w:t>
      </w:r>
      <w:r w:rsidR="005B2A41">
        <w:t xml:space="preserve"> </w:t>
      </w:r>
      <w:r w:rsidRPr="00B02247">
        <w:t>difficulties,</w:t>
      </w:r>
      <w:r w:rsidR="005B2A41">
        <w:t xml:space="preserve"> </w:t>
      </w:r>
      <w:r w:rsidRPr="00B02247">
        <w:t>a</w:t>
      </w:r>
      <w:r w:rsidR="005B2A41">
        <w:t xml:space="preserve"> </w:t>
      </w:r>
      <w:r w:rsidRPr="00B02247">
        <w:t>special</w:t>
      </w:r>
      <w:r w:rsidR="005B2A41">
        <w:t xml:space="preserve"> </w:t>
      </w:r>
      <w:r w:rsidRPr="00B02247">
        <w:t>institutional</w:t>
      </w:r>
      <w:r w:rsidR="005B2A41">
        <w:t xml:space="preserve"> </w:t>
      </w:r>
      <w:r w:rsidRPr="00B02247">
        <w:t>framework</w:t>
      </w:r>
      <w:r w:rsidR="005B2A41">
        <w:t xml:space="preserve"> </w:t>
      </w:r>
      <w:r w:rsidRPr="00B02247">
        <w:t>is</w:t>
      </w:r>
      <w:r w:rsidR="005B2A41">
        <w:t xml:space="preserve"> </w:t>
      </w:r>
      <w:r w:rsidRPr="00B02247">
        <w:t>available,</w:t>
      </w:r>
      <w:r w:rsidR="005B2A41">
        <w:t xml:space="preserve"> </w:t>
      </w:r>
      <w:r w:rsidRPr="00B02247">
        <w:t>which</w:t>
      </w:r>
      <w:r w:rsidR="005B2A41">
        <w:t xml:space="preserve"> </w:t>
      </w:r>
      <w:r w:rsidRPr="00B02247">
        <w:t>is</w:t>
      </w:r>
      <w:r w:rsidR="005B2A41">
        <w:t xml:space="preserve"> </w:t>
      </w:r>
      <w:r w:rsidRPr="00B02247">
        <w:t>depicted</w:t>
      </w:r>
      <w:r w:rsidR="005B2A41">
        <w:t xml:space="preserve"> </w:t>
      </w:r>
      <w:r w:rsidRPr="00B02247">
        <w:t>in</w:t>
      </w:r>
      <w:r w:rsidR="005B2A41">
        <w:t xml:space="preserve"> </w:t>
      </w:r>
      <w:r w:rsidRPr="00B02247">
        <w:t>the</w:t>
      </w:r>
      <w:r w:rsidR="005B2A41">
        <w:t xml:space="preserve"> </w:t>
      </w:r>
      <w:r w:rsidRPr="00B02247">
        <w:t>project</w:t>
      </w:r>
      <w:r w:rsidR="005B2A41">
        <w:t xml:space="preserve"> </w:t>
      </w:r>
      <w:r w:rsidR="003E731F">
        <w:t>‘</w:t>
      </w:r>
      <w:r w:rsidRPr="00B02247">
        <w:t>Education</w:t>
      </w:r>
      <w:r w:rsidR="005B2A41">
        <w:t xml:space="preserve"> </w:t>
      </w:r>
      <w:r w:rsidRPr="00B02247">
        <w:t>of</w:t>
      </w:r>
      <w:r w:rsidR="005B2A41">
        <w:t xml:space="preserve"> </w:t>
      </w:r>
      <w:r w:rsidRPr="00B02247">
        <w:t>Roma</w:t>
      </w:r>
      <w:r w:rsidR="005B2A41">
        <w:t xml:space="preserve"> </w:t>
      </w:r>
      <w:r w:rsidRPr="00B02247">
        <w:t>children</w:t>
      </w:r>
      <w:r w:rsidR="003E731F">
        <w:t>’</w:t>
      </w:r>
      <w:r w:rsidR="005B2A41">
        <w:t xml:space="preserve"> </w:t>
      </w:r>
      <w:r w:rsidRPr="00B02247">
        <w:t>particularly</w:t>
      </w:r>
      <w:r w:rsidR="005B2A41">
        <w:t xml:space="preserve"> </w:t>
      </w:r>
      <w:r w:rsidRPr="00B02247">
        <w:t>for</w:t>
      </w:r>
      <w:r w:rsidR="005B2A41">
        <w:t xml:space="preserve"> </w:t>
      </w:r>
      <w:r w:rsidRPr="00B02247">
        <w:t>this</w:t>
      </w:r>
      <w:r w:rsidR="005B2A41">
        <w:t xml:space="preserve"> </w:t>
      </w:r>
      <w:r w:rsidRPr="00B02247">
        <w:t>category</w:t>
      </w:r>
      <w:r w:rsidR="005B2A41">
        <w:t xml:space="preserve"> </w:t>
      </w:r>
      <w:r w:rsidRPr="00B02247">
        <w:t>of</w:t>
      </w:r>
      <w:r w:rsidR="005B2A41">
        <w:t xml:space="preserve"> </w:t>
      </w:r>
      <w:r w:rsidRPr="00B02247">
        <w:t>pupils.</w:t>
      </w:r>
      <w:r w:rsidR="005B2A41">
        <w:t xml:space="preserve"> </w:t>
      </w:r>
      <w:r w:rsidRPr="00B02247">
        <w:t>This</w:t>
      </w:r>
      <w:r w:rsidR="005B2A41">
        <w:t xml:space="preserve"> </w:t>
      </w:r>
      <w:r w:rsidRPr="00B02247">
        <w:t>project</w:t>
      </w:r>
      <w:r w:rsidR="005B2A41">
        <w:t xml:space="preserve"> </w:t>
      </w:r>
      <w:r w:rsidRPr="00B02247">
        <w:t>is</w:t>
      </w:r>
      <w:r w:rsidR="005B2A41">
        <w:t xml:space="preserve"> </w:t>
      </w:r>
      <w:r w:rsidRPr="00B02247">
        <w:t>implemented</w:t>
      </w:r>
      <w:r w:rsidR="005B2A41">
        <w:t xml:space="preserve"> </w:t>
      </w:r>
      <w:r w:rsidRPr="00B02247">
        <w:t>by</w:t>
      </w:r>
      <w:r w:rsidR="005B2A41">
        <w:t xml:space="preserve"> </w:t>
      </w:r>
      <w:r w:rsidRPr="00B02247">
        <w:t>the</w:t>
      </w:r>
      <w:r w:rsidR="005B2A41">
        <w:t xml:space="preserve"> </w:t>
      </w:r>
      <w:r w:rsidRPr="00B02247">
        <w:t>National</w:t>
      </w:r>
      <w:r w:rsidR="005B2A41">
        <w:t xml:space="preserve"> </w:t>
      </w:r>
      <w:r w:rsidRPr="00B02247">
        <w:t>and</w:t>
      </w:r>
      <w:r w:rsidR="005B2A41">
        <w:t xml:space="preserve"> </w:t>
      </w:r>
      <w:r w:rsidRPr="00B02247">
        <w:t>Kapodistrian</w:t>
      </w:r>
      <w:r w:rsidR="005B2A41">
        <w:t xml:space="preserve"> </w:t>
      </w:r>
      <w:r w:rsidRPr="00B02247">
        <w:t>University</w:t>
      </w:r>
      <w:r w:rsidR="005B2A41">
        <w:t xml:space="preserve"> </w:t>
      </w:r>
      <w:r w:rsidRPr="00B02247">
        <w:t>of</w:t>
      </w:r>
      <w:r w:rsidR="005B2A41">
        <w:t xml:space="preserve"> </w:t>
      </w:r>
      <w:r w:rsidRPr="00B02247">
        <w:t>Athens,</w:t>
      </w:r>
      <w:r w:rsidR="005B2A41">
        <w:t xml:space="preserve"> </w:t>
      </w:r>
      <w:r w:rsidRPr="00B02247">
        <w:t>in</w:t>
      </w:r>
      <w:r w:rsidR="005B2A41">
        <w:t xml:space="preserve"> </w:t>
      </w:r>
      <w:r w:rsidRPr="00B02247">
        <w:t>the</w:t>
      </w:r>
      <w:r w:rsidR="005B2A41">
        <w:t xml:space="preserve"> </w:t>
      </w:r>
      <w:r w:rsidRPr="00B02247">
        <w:t>framework</w:t>
      </w:r>
      <w:r w:rsidR="005B2A41">
        <w:t xml:space="preserve"> </w:t>
      </w:r>
      <w:r w:rsidRPr="00B02247">
        <w:t>of</w:t>
      </w:r>
      <w:r w:rsidR="005B2A41">
        <w:t xml:space="preserve"> </w:t>
      </w:r>
      <w:r w:rsidRPr="00B02247">
        <w:t>the</w:t>
      </w:r>
      <w:r w:rsidR="005B2A41">
        <w:t xml:space="preserve"> </w:t>
      </w:r>
      <w:r w:rsidR="003E731F">
        <w:t>“</w:t>
      </w:r>
      <w:r w:rsidRPr="00B02247">
        <w:t>Education</w:t>
      </w:r>
      <w:r w:rsidR="005B2A41">
        <w:t xml:space="preserve"> </w:t>
      </w:r>
      <w:r w:rsidRPr="00B02247">
        <w:t>and</w:t>
      </w:r>
      <w:r w:rsidR="005B2A41">
        <w:t xml:space="preserve"> </w:t>
      </w:r>
      <w:r w:rsidRPr="00B02247">
        <w:t>Lifelong</w:t>
      </w:r>
      <w:r w:rsidR="005B2A41">
        <w:t xml:space="preserve"> </w:t>
      </w:r>
      <w:r w:rsidRPr="00B02247">
        <w:t>Learning</w:t>
      </w:r>
      <w:r w:rsidR="003E731F">
        <w:t>”</w:t>
      </w:r>
      <w:r w:rsidR="005B2A41">
        <w:t xml:space="preserve"> </w:t>
      </w:r>
      <w:r w:rsidRPr="00B02247">
        <w:t>Operational</w:t>
      </w:r>
      <w:r w:rsidR="005B2A41">
        <w:t xml:space="preserve"> </w:t>
      </w:r>
      <w:r w:rsidRPr="00B02247">
        <w:t>Programme</w:t>
      </w:r>
      <w:r w:rsidR="005B2A41">
        <w:t xml:space="preserve"> </w:t>
      </w:r>
      <w:r w:rsidRPr="00B02247">
        <w:t>of</w:t>
      </w:r>
      <w:r w:rsidR="005B2A41">
        <w:t xml:space="preserve"> </w:t>
      </w:r>
      <w:r w:rsidRPr="00B02247">
        <w:t>the</w:t>
      </w:r>
      <w:r w:rsidR="005B2A41">
        <w:t xml:space="preserve"> </w:t>
      </w:r>
      <w:r w:rsidRPr="00B02247">
        <w:t>Ministry</w:t>
      </w:r>
      <w:r w:rsidR="005B2A41">
        <w:t xml:space="preserve"> </w:t>
      </w:r>
      <w:r w:rsidRPr="00B02247">
        <w:t>of</w:t>
      </w:r>
      <w:r w:rsidR="005B2A41">
        <w:t xml:space="preserve"> </w:t>
      </w:r>
      <w:r w:rsidRPr="00B02247">
        <w:t>Education.</w:t>
      </w:r>
      <w:r w:rsidR="005B2A41">
        <w:t xml:space="preserve"> </w:t>
      </w:r>
      <w:r w:rsidRPr="00B02247">
        <w:t>The</w:t>
      </w:r>
      <w:r w:rsidR="005B2A41">
        <w:t xml:space="preserve"> </w:t>
      </w:r>
      <w:r w:rsidRPr="00B02247">
        <w:t>programme</w:t>
      </w:r>
      <w:r w:rsidR="005B2A41">
        <w:t xml:space="preserve"> </w:t>
      </w:r>
      <w:r w:rsidRPr="00B02247">
        <w:t>provides</w:t>
      </w:r>
      <w:r w:rsidR="005B2A41">
        <w:t xml:space="preserve"> </w:t>
      </w:r>
      <w:r w:rsidRPr="00B02247">
        <w:t>for</w:t>
      </w:r>
      <w:r w:rsidR="005B2A41">
        <w:t xml:space="preserve"> </w:t>
      </w:r>
      <w:r w:rsidRPr="00B02247">
        <w:t>various</w:t>
      </w:r>
      <w:r w:rsidR="005B2A41">
        <w:t xml:space="preserve"> </w:t>
      </w:r>
      <w:r w:rsidRPr="00B02247">
        <w:t>information,</w:t>
      </w:r>
      <w:r w:rsidR="005B2A41">
        <w:t xml:space="preserve"> </w:t>
      </w:r>
      <w:r w:rsidRPr="00B02247">
        <w:t>awareness</w:t>
      </w:r>
      <w:r w:rsidR="005B2A41">
        <w:t xml:space="preserve"> </w:t>
      </w:r>
      <w:r w:rsidRPr="00B02247">
        <w:t>raising</w:t>
      </w:r>
      <w:r w:rsidR="005B2A41">
        <w:t xml:space="preserve"> </w:t>
      </w:r>
      <w:r w:rsidRPr="00B02247">
        <w:t>and</w:t>
      </w:r>
      <w:r w:rsidR="005B2A41">
        <w:t xml:space="preserve"> </w:t>
      </w:r>
      <w:r w:rsidRPr="00B02247">
        <w:t>support</w:t>
      </w:r>
      <w:r w:rsidR="005B2A41">
        <w:t xml:space="preserve"> </w:t>
      </w:r>
      <w:r w:rsidRPr="00B02247">
        <w:t>actions</w:t>
      </w:r>
      <w:r w:rsidR="005B2A41">
        <w:t xml:space="preserve"> </w:t>
      </w:r>
      <w:r w:rsidRPr="00B02247">
        <w:t>that</w:t>
      </w:r>
      <w:r w:rsidR="005B2A41">
        <w:t xml:space="preserve"> </w:t>
      </w:r>
      <w:r w:rsidRPr="00B02247">
        <w:t>will</w:t>
      </w:r>
      <w:r w:rsidR="005B2A41">
        <w:t xml:space="preserve"> </w:t>
      </w:r>
      <w:r w:rsidRPr="00B02247">
        <w:t>be</w:t>
      </w:r>
      <w:r w:rsidR="005B2A41">
        <w:t xml:space="preserve"> </w:t>
      </w:r>
      <w:r w:rsidRPr="00B02247">
        <w:t>implemented</w:t>
      </w:r>
      <w:r w:rsidR="005B2A41">
        <w:t xml:space="preserve"> </w:t>
      </w:r>
      <w:r w:rsidRPr="00B02247">
        <w:t>in</w:t>
      </w:r>
      <w:r w:rsidR="005B2A41">
        <w:t xml:space="preserve"> </w:t>
      </w:r>
      <w:r w:rsidRPr="00B02247">
        <w:t>pre-primary,</w:t>
      </w:r>
      <w:r w:rsidR="005B2A41">
        <w:t xml:space="preserve"> </w:t>
      </w:r>
      <w:r w:rsidRPr="00B02247">
        <w:t>primary</w:t>
      </w:r>
      <w:r w:rsidR="005B2A41">
        <w:t xml:space="preserve"> </w:t>
      </w:r>
      <w:r w:rsidRPr="00B02247">
        <w:t>and</w:t>
      </w:r>
      <w:r w:rsidR="005B2A41">
        <w:t xml:space="preserve"> </w:t>
      </w:r>
      <w:r w:rsidRPr="00B02247">
        <w:t>secondary</w:t>
      </w:r>
      <w:r w:rsidR="005B2A41">
        <w:t xml:space="preserve"> </w:t>
      </w:r>
      <w:r w:rsidRPr="00B02247">
        <w:t>education</w:t>
      </w:r>
      <w:r w:rsidR="005B2A41">
        <w:t xml:space="preserve"> </w:t>
      </w:r>
      <w:r w:rsidRPr="00B02247">
        <w:t>schools</w:t>
      </w:r>
      <w:r w:rsidR="005B2A41">
        <w:t xml:space="preserve"> </w:t>
      </w:r>
      <w:r w:rsidRPr="00B02247">
        <w:t>of</w:t>
      </w:r>
      <w:r w:rsidR="005B2A41">
        <w:t xml:space="preserve"> </w:t>
      </w:r>
      <w:r w:rsidRPr="00B02247">
        <w:t>nine</w:t>
      </w:r>
      <w:r w:rsidR="005B2A41">
        <w:t xml:space="preserve"> </w:t>
      </w:r>
      <w:r w:rsidRPr="00B02247">
        <w:t>(9)</w:t>
      </w:r>
      <w:r w:rsidR="005B2A41">
        <w:t xml:space="preserve"> </w:t>
      </w:r>
      <w:r w:rsidRPr="00B02247">
        <w:t>prefectures</w:t>
      </w:r>
      <w:r w:rsidR="005B2A41">
        <w:t xml:space="preserve"> </w:t>
      </w:r>
      <w:r w:rsidRPr="00B02247">
        <w:t>of</w:t>
      </w:r>
      <w:r w:rsidR="005B2A41">
        <w:t xml:space="preserve"> </w:t>
      </w:r>
      <w:r w:rsidRPr="00B02247">
        <w:t>the</w:t>
      </w:r>
      <w:r w:rsidR="005B2A41">
        <w:t xml:space="preserve"> </w:t>
      </w:r>
      <w:r w:rsidRPr="00B02247">
        <w:t>country.</w:t>
      </w:r>
      <w:r w:rsidR="005B2A41">
        <w:t xml:space="preserve"> </w:t>
      </w:r>
    </w:p>
    <w:p w:rsidR="00F233AB" w:rsidRPr="00B02247" w:rsidRDefault="00F233AB" w:rsidP="00E1307D">
      <w:pPr>
        <w:pStyle w:val="SingleTxtG"/>
      </w:pPr>
      <w:r w:rsidRPr="00B02247">
        <w:t>202.</w:t>
      </w:r>
      <w:r w:rsidRPr="00B02247">
        <w:tab/>
        <w:t>Regarding</w:t>
      </w:r>
      <w:r w:rsidR="005B2A41">
        <w:t xml:space="preserve"> </w:t>
      </w:r>
      <w:r w:rsidRPr="00B02247">
        <w:t>the</w:t>
      </w:r>
      <w:r w:rsidR="005B2A41">
        <w:t xml:space="preserve"> </w:t>
      </w:r>
      <w:r w:rsidRPr="00B02247">
        <w:t>education</w:t>
      </w:r>
      <w:r w:rsidR="005B2A41">
        <w:t xml:space="preserve"> </w:t>
      </w:r>
      <w:r w:rsidRPr="00B02247">
        <w:t>of</w:t>
      </w:r>
      <w:r w:rsidR="005B2A41">
        <w:t xml:space="preserve"> </w:t>
      </w:r>
      <w:r w:rsidRPr="00B02247">
        <w:t>foreigners</w:t>
      </w:r>
      <w:r w:rsidR="005B2A41">
        <w:t xml:space="preserve"> </w:t>
      </w:r>
      <w:r w:rsidRPr="00B02247">
        <w:t>and</w:t>
      </w:r>
      <w:r w:rsidR="005B2A41">
        <w:t xml:space="preserve"> </w:t>
      </w:r>
      <w:r w:rsidRPr="00B02247">
        <w:t>repatriates,</w:t>
      </w:r>
      <w:r w:rsidR="005B2A41">
        <w:t xml:space="preserve"> </w:t>
      </w:r>
      <w:r w:rsidRPr="00B02247">
        <w:t>the</w:t>
      </w:r>
      <w:r w:rsidR="005B2A41">
        <w:t xml:space="preserve"> </w:t>
      </w:r>
      <w:r w:rsidRPr="00B02247">
        <w:t>aim</w:t>
      </w:r>
      <w:r w:rsidR="005B2A41">
        <w:t xml:space="preserve"> </w:t>
      </w:r>
      <w:r w:rsidRPr="00B02247">
        <w:t>of</w:t>
      </w:r>
      <w:r w:rsidR="005B2A41">
        <w:t xml:space="preserve"> </w:t>
      </w:r>
      <w:r w:rsidRPr="00B02247">
        <w:t>the</w:t>
      </w:r>
      <w:r w:rsidR="005B2A41">
        <w:t xml:space="preserve"> </w:t>
      </w:r>
      <w:r w:rsidRPr="00B02247">
        <w:t>Ministry</w:t>
      </w:r>
      <w:r w:rsidR="005B2A41">
        <w:t xml:space="preserve"> </w:t>
      </w:r>
      <w:r w:rsidRPr="00B02247">
        <w:t>of</w:t>
      </w:r>
      <w:r w:rsidR="005B2A41">
        <w:t xml:space="preserve"> </w:t>
      </w:r>
      <w:r w:rsidRPr="00B02247">
        <w:t>Education</w:t>
      </w:r>
      <w:r w:rsidR="005B2A41">
        <w:t xml:space="preserve"> </w:t>
      </w:r>
      <w:r w:rsidRPr="00B02247">
        <w:t>and</w:t>
      </w:r>
      <w:r w:rsidR="005B2A41">
        <w:t xml:space="preserve"> </w:t>
      </w:r>
      <w:r w:rsidRPr="00B02247">
        <w:t>Religious</w:t>
      </w:r>
      <w:r w:rsidR="005B2A41">
        <w:t xml:space="preserve"> </w:t>
      </w:r>
      <w:r w:rsidRPr="00B02247">
        <w:t>Affairs</w:t>
      </w:r>
      <w:r w:rsidR="005B2A41">
        <w:t xml:space="preserve"> </w:t>
      </w:r>
      <w:r w:rsidRPr="00B02247">
        <w:t>is</w:t>
      </w:r>
      <w:r w:rsidR="005B2A41">
        <w:t xml:space="preserve"> </w:t>
      </w:r>
      <w:r w:rsidRPr="00B02247">
        <w:t>to</w:t>
      </w:r>
      <w:r w:rsidR="005B2A41">
        <w:t xml:space="preserve"> </w:t>
      </w:r>
      <w:r w:rsidRPr="00B02247">
        <w:t>ensure,</w:t>
      </w:r>
      <w:r w:rsidR="005B2A41">
        <w:t xml:space="preserve"> </w:t>
      </w:r>
      <w:r w:rsidRPr="00B02247">
        <w:t>as</w:t>
      </w:r>
      <w:r w:rsidR="005B2A41">
        <w:t xml:space="preserve"> </w:t>
      </w:r>
      <w:r w:rsidRPr="00B02247">
        <w:t>far</w:t>
      </w:r>
      <w:r w:rsidR="005B2A41">
        <w:t xml:space="preserve"> </w:t>
      </w:r>
      <w:r w:rsidRPr="00B02247">
        <w:t>as</w:t>
      </w:r>
      <w:r w:rsidR="005B2A41">
        <w:t xml:space="preserve"> </w:t>
      </w:r>
      <w:r w:rsidRPr="00B02247">
        <w:t>possible,</w:t>
      </w:r>
      <w:r w:rsidR="005B2A41">
        <w:t xml:space="preserve"> </w:t>
      </w:r>
      <w:r w:rsidRPr="00B02247">
        <w:t>equitable</w:t>
      </w:r>
      <w:r w:rsidR="005B2A41">
        <w:t xml:space="preserve"> </w:t>
      </w:r>
      <w:r w:rsidRPr="00B02247">
        <w:t>education</w:t>
      </w:r>
      <w:r w:rsidR="005B2A41">
        <w:t xml:space="preserve"> </w:t>
      </w:r>
      <w:r w:rsidRPr="00B02247">
        <w:t>to</w:t>
      </w:r>
      <w:r w:rsidR="005B2A41">
        <w:t xml:space="preserve"> </w:t>
      </w:r>
      <w:r w:rsidRPr="00B02247">
        <w:t>them,</w:t>
      </w:r>
      <w:r w:rsidR="005B2A41">
        <w:t xml:space="preserve"> </w:t>
      </w:r>
      <w:r w:rsidRPr="00B02247">
        <w:t>as</w:t>
      </w:r>
      <w:r w:rsidR="005B2A41">
        <w:t xml:space="preserve"> </w:t>
      </w:r>
      <w:r w:rsidRPr="00B02247">
        <w:t>well</w:t>
      </w:r>
      <w:r w:rsidR="005B2A41">
        <w:t xml:space="preserve"> </w:t>
      </w:r>
      <w:r w:rsidRPr="00B02247">
        <w:t>as</w:t>
      </w:r>
      <w:r w:rsidR="005B2A41">
        <w:t xml:space="preserve"> </w:t>
      </w:r>
      <w:r w:rsidRPr="00B02247">
        <w:t>to</w:t>
      </w:r>
      <w:r w:rsidR="005B2A41">
        <w:t xml:space="preserve"> </w:t>
      </w:r>
      <w:r w:rsidRPr="00B02247">
        <w:t>address</w:t>
      </w:r>
      <w:r w:rsidR="005B2A41">
        <w:t xml:space="preserve"> </w:t>
      </w:r>
      <w:r w:rsidRPr="00B02247">
        <w:t>the</w:t>
      </w:r>
      <w:r w:rsidR="005B2A41">
        <w:t xml:space="preserve"> </w:t>
      </w:r>
      <w:r w:rsidRPr="00B02247">
        <w:t>problem</w:t>
      </w:r>
      <w:r w:rsidR="005B2A41">
        <w:t xml:space="preserve"> </w:t>
      </w:r>
      <w:r w:rsidRPr="00B02247">
        <w:t>of</w:t>
      </w:r>
      <w:r w:rsidR="005B2A41">
        <w:t xml:space="preserve"> </w:t>
      </w:r>
      <w:r w:rsidRPr="00B02247">
        <w:t>school</w:t>
      </w:r>
      <w:r w:rsidR="005B2A41">
        <w:t xml:space="preserve"> </w:t>
      </w:r>
      <w:r w:rsidRPr="00B02247">
        <w:t>dropout</w:t>
      </w:r>
      <w:r w:rsidR="005B2A41">
        <w:t xml:space="preserve"> </w:t>
      </w:r>
      <w:r w:rsidRPr="00B02247">
        <w:t>and</w:t>
      </w:r>
      <w:r w:rsidR="005B2A41">
        <w:t xml:space="preserve"> </w:t>
      </w:r>
      <w:r w:rsidRPr="00B02247">
        <w:t>failure.</w:t>
      </w:r>
      <w:r w:rsidR="005B2A41">
        <w:t xml:space="preserve"> </w:t>
      </w:r>
      <w:r w:rsidRPr="00B02247">
        <w:t>The</w:t>
      </w:r>
      <w:r w:rsidR="005B2A41">
        <w:t xml:space="preserve"> </w:t>
      </w:r>
      <w:r w:rsidRPr="00B02247">
        <w:t>programme</w:t>
      </w:r>
      <w:r w:rsidR="005B2A41">
        <w:t xml:space="preserve"> </w:t>
      </w:r>
      <w:r w:rsidR="003E731F">
        <w:t>“</w:t>
      </w:r>
      <w:r w:rsidRPr="00B02247">
        <w:t>Education</w:t>
      </w:r>
      <w:r w:rsidR="005B2A41">
        <w:t xml:space="preserve"> </w:t>
      </w:r>
      <w:r w:rsidRPr="00B02247">
        <w:t>of</w:t>
      </w:r>
      <w:r w:rsidR="005B2A41">
        <w:t xml:space="preserve"> </w:t>
      </w:r>
      <w:r w:rsidRPr="00B02247">
        <w:t>Foreigners</w:t>
      </w:r>
      <w:r w:rsidR="005B2A41">
        <w:t xml:space="preserve"> </w:t>
      </w:r>
      <w:r w:rsidRPr="00B02247">
        <w:t>and</w:t>
      </w:r>
      <w:r w:rsidR="005B2A41">
        <w:t xml:space="preserve"> </w:t>
      </w:r>
      <w:r w:rsidRPr="00B02247">
        <w:t>repatriates</w:t>
      </w:r>
      <w:r w:rsidR="003E731F">
        <w:t>”</w:t>
      </w:r>
      <w:r w:rsidRPr="00B02247">
        <w:t>,</w:t>
      </w:r>
      <w:r w:rsidR="005B2A41">
        <w:t xml:space="preserve"> </w:t>
      </w:r>
      <w:r w:rsidRPr="00B02247">
        <w:t>which</w:t>
      </w:r>
      <w:r w:rsidR="005B2A41">
        <w:t xml:space="preserve"> </w:t>
      </w:r>
      <w:r w:rsidRPr="00B02247">
        <w:t>is</w:t>
      </w:r>
      <w:r w:rsidR="005B2A41">
        <w:t xml:space="preserve"> </w:t>
      </w:r>
      <w:r w:rsidRPr="00B02247">
        <w:t>implemented</w:t>
      </w:r>
      <w:r w:rsidR="005B2A41">
        <w:t xml:space="preserve"> </w:t>
      </w:r>
      <w:r w:rsidRPr="00B02247">
        <w:t>by</w:t>
      </w:r>
      <w:r w:rsidR="005B2A41">
        <w:t xml:space="preserve"> </w:t>
      </w:r>
      <w:r w:rsidRPr="00B02247">
        <w:t>the</w:t>
      </w:r>
      <w:r w:rsidR="005B2A41">
        <w:t xml:space="preserve"> </w:t>
      </w:r>
      <w:r w:rsidRPr="00B02247">
        <w:t>Aristotle</w:t>
      </w:r>
      <w:r w:rsidR="005B2A41">
        <w:t xml:space="preserve"> </w:t>
      </w:r>
      <w:r w:rsidRPr="00B02247">
        <w:t>University</w:t>
      </w:r>
      <w:r w:rsidR="005B2A41">
        <w:t xml:space="preserve"> </w:t>
      </w:r>
      <w:r w:rsidRPr="00B02247">
        <w:t>of</w:t>
      </w:r>
      <w:r w:rsidR="005B2A41">
        <w:t xml:space="preserve"> </w:t>
      </w:r>
      <w:r w:rsidRPr="00B02247">
        <w:t>Thessaloniki,</w:t>
      </w:r>
      <w:r w:rsidR="005B2A41">
        <w:t xml:space="preserve"> </w:t>
      </w:r>
      <w:r w:rsidRPr="00B02247">
        <w:t>also</w:t>
      </w:r>
      <w:r w:rsidR="005B2A41">
        <w:t xml:space="preserve"> </w:t>
      </w:r>
      <w:r w:rsidRPr="00B02247">
        <w:t>in</w:t>
      </w:r>
      <w:r w:rsidR="005B2A41">
        <w:t xml:space="preserve"> </w:t>
      </w:r>
      <w:r w:rsidRPr="00B02247">
        <w:t>the</w:t>
      </w:r>
      <w:r w:rsidR="005B2A41">
        <w:t xml:space="preserve"> </w:t>
      </w:r>
      <w:r w:rsidRPr="00B02247">
        <w:t>framework</w:t>
      </w:r>
      <w:r w:rsidR="005B2A41">
        <w:t xml:space="preserve"> </w:t>
      </w:r>
      <w:r w:rsidRPr="00B02247">
        <w:t>of</w:t>
      </w:r>
      <w:r w:rsidR="005B2A41">
        <w:t xml:space="preserve"> </w:t>
      </w:r>
      <w:r w:rsidRPr="00B02247">
        <w:t>the</w:t>
      </w:r>
      <w:r w:rsidR="005B2A41">
        <w:t xml:space="preserve"> </w:t>
      </w:r>
      <w:r w:rsidR="003E731F">
        <w:t>“</w:t>
      </w:r>
      <w:r w:rsidRPr="00B02247">
        <w:t>Education</w:t>
      </w:r>
      <w:r w:rsidR="005B2A41">
        <w:t xml:space="preserve"> </w:t>
      </w:r>
      <w:r w:rsidRPr="00B02247">
        <w:t>and</w:t>
      </w:r>
      <w:r w:rsidR="005B2A41">
        <w:t xml:space="preserve"> </w:t>
      </w:r>
      <w:r w:rsidRPr="00B02247">
        <w:t>Lifelong</w:t>
      </w:r>
      <w:r w:rsidR="005B2A41">
        <w:t xml:space="preserve"> </w:t>
      </w:r>
      <w:r w:rsidRPr="00B02247">
        <w:t>Learning</w:t>
      </w:r>
      <w:r w:rsidR="003E731F">
        <w:t>”</w:t>
      </w:r>
      <w:r w:rsidR="005B2A41">
        <w:t xml:space="preserve"> </w:t>
      </w:r>
      <w:r w:rsidRPr="00B02247">
        <w:t>Operational</w:t>
      </w:r>
      <w:r w:rsidR="005B2A41">
        <w:t xml:space="preserve"> </w:t>
      </w:r>
      <w:r w:rsidRPr="00B02247">
        <w:t>Programme</w:t>
      </w:r>
      <w:r w:rsidR="005B2A41">
        <w:t xml:space="preserve"> </w:t>
      </w:r>
      <w:r w:rsidRPr="00B02247">
        <w:t>of</w:t>
      </w:r>
      <w:r w:rsidR="005B2A41">
        <w:t xml:space="preserve"> </w:t>
      </w:r>
      <w:r w:rsidRPr="00B02247">
        <w:t>the</w:t>
      </w:r>
      <w:r w:rsidR="005B2A41">
        <w:t xml:space="preserve"> </w:t>
      </w:r>
      <w:r w:rsidRPr="00B02247">
        <w:t>Ministry</w:t>
      </w:r>
      <w:r w:rsidR="005B2A41">
        <w:t xml:space="preserve"> </w:t>
      </w:r>
      <w:r w:rsidRPr="00B02247">
        <w:t>of</w:t>
      </w:r>
      <w:r w:rsidR="005B2A41">
        <w:t xml:space="preserve"> </w:t>
      </w:r>
      <w:r w:rsidRPr="00B02247">
        <w:t>Education,</w:t>
      </w:r>
      <w:r w:rsidR="005B2A41">
        <w:t xml:space="preserve"> </w:t>
      </w:r>
      <w:r w:rsidRPr="00B02247">
        <w:t>is</w:t>
      </w:r>
      <w:r w:rsidR="005B2A41">
        <w:t xml:space="preserve"> </w:t>
      </w:r>
      <w:r w:rsidRPr="00B02247">
        <w:t>addressed</w:t>
      </w:r>
      <w:r w:rsidR="005B2A41">
        <w:t xml:space="preserve"> </w:t>
      </w:r>
      <w:r w:rsidRPr="00B02247">
        <w:t>to</w:t>
      </w:r>
      <w:r w:rsidR="005B2A41">
        <w:t xml:space="preserve"> </w:t>
      </w:r>
      <w:r w:rsidRPr="00B02247">
        <w:t>public</w:t>
      </w:r>
      <w:r w:rsidR="005B2A41">
        <w:t xml:space="preserve"> </w:t>
      </w:r>
      <w:r w:rsidRPr="00B02247">
        <w:t>primary</w:t>
      </w:r>
      <w:r w:rsidR="005B2A41">
        <w:t xml:space="preserve"> </w:t>
      </w:r>
      <w:r w:rsidRPr="00B02247">
        <w:t>and</w:t>
      </w:r>
      <w:r w:rsidR="005B2A41">
        <w:t xml:space="preserve"> </w:t>
      </w:r>
      <w:r w:rsidRPr="00B02247">
        <w:t>secondary</w:t>
      </w:r>
      <w:r w:rsidR="005B2A41">
        <w:t xml:space="preserve"> </w:t>
      </w:r>
      <w:r w:rsidRPr="00B02247">
        <w:t>education</w:t>
      </w:r>
      <w:r w:rsidR="005B2A41">
        <w:t xml:space="preserve"> </w:t>
      </w:r>
      <w:r w:rsidRPr="00B02247">
        <w:t>school</w:t>
      </w:r>
      <w:r w:rsidR="005B2A41">
        <w:t xml:space="preserve"> </w:t>
      </w:r>
      <w:r w:rsidRPr="00B02247">
        <w:t>units,</w:t>
      </w:r>
      <w:r w:rsidR="005B2A41">
        <w:t xml:space="preserve"> </w:t>
      </w:r>
      <w:r w:rsidRPr="00B02247">
        <w:t>nationwide.</w:t>
      </w:r>
      <w:r w:rsidR="005B2A41">
        <w:t xml:space="preserve"> </w:t>
      </w:r>
      <w:r w:rsidRPr="00B02247">
        <w:t>It</w:t>
      </w:r>
      <w:r w:rsidR="005B2A41">
        <w:t xml:space="preserve"> </w:t>
      </w:r>
      <w:r w:rsidRPr="00B02247">
        <w:t>seeks</w:t>
      </w:r>
      <w:r w:rsidR="005B2A41">
        <w:t xml:space="preserve"> </w:t>
      </w:r>
      <w:r w:rsidRPr="00B02247">
        <w:t>to</w:t>
      </w:r>
      <w:r w:rsidR="005B2A41">
        <w:t xml:space="preserve"> </w:t>
      </w:r>
      <w:r w:rsidRPr="00B02247">
        <w:t>improve</w:t>
      </w:r>
      <w:r w:rsidR="005B2A41">
        <w:t xml:space="preserve"> </w:t>
      </w:r>
      <w:r w:rsidRPr="00B02247">
        <w:t>school</w:t>
      </w:r>
      <w:r w:rsidR="005B2A41">
        <w:t xml:space="preserve"> </w:t>
      </w:r>
      <w:r w:rsidRPr="00B02247">
        <w:t>performance</w:t>
      </w:r>
      <w:r w:rsidR="005B2A41">
        <w:t xml:space="preserve"> </w:t>
      </w:r>
      <w:r w:rsidRPr="00B02247">
        <w:t>of</w:t>
      </w:r>
      <w:r w:rsidR="005B2A41">
        <w:t xml:space="preserve"> </w:t>
      </w:r>
      <w:r w:rsidRPr="00B02247">
        <w:t>foreign</w:t>
      </w:r>
      <w:r w:rsidR="005B2A41">
        <w:t xml:space="preserve"> </w:t>
      </w:r>
      <w:r w:rsidRPr="00B02247">
        <w:t>pupils</w:t>
      </w:r>
      <w:r w:rsidR="005B2A41">
        <w:t xml:space="preserve"> </w:t>
      </w:r>
      <w:r w:rsidRPr="00B02247">
        <w:t>and</w:t>
      </w:r>
      <w:r w:rsidR="005B2A41">
        <w:t xml:space="preserve"> </w:t>
      </w:r>
      <w:r w:rsidRPr="00B02247">
        <w:t>repatriates</w:t>
      </w:r>
      <w:r w:rsidR="005B2A41">
        <w:t xml:space="preserve"> </w:t>
      </w:r>
      <w:r w:rsidRPr="00B02247">
        <w:t>and</w:t>
      </w:r>
      <w:r w:rsidR="005B2A41">
        <w:t xml:space="preserve"> </w:t>
      </w:r>
      <w:r w:rsidRPr="00B02247">
        <w:t>facilitate</w:t>
      </w:r>
      <w:r w:rsidR="005B2A41">
        <w:t xml:space="preserve"> </w:t>
      </w:r>
      <w:r w:rsidRPr="00B02247">
        <w:t>their</w:t>
      </w:r>
      <w:r w:rsidR="005B2A41">
        <w:t xml:space="preserve"> </w:t>
      </w:r>
      <w:r w:rsidRPr="00B02247">
        <w:t>social</w:t>
      </w:r>
      <w:r w:rsidR="005B2A41">
        <w:t xml:space="preserve"> </w:t>
      </w:r>
      <w:r w:rsidRPr="00B02247">
        <w:t>integration.</w:t>
      </w:r>
      <w:r w:rsidR="005B2A41">
        <w:t xml:space="preserve"> </w:t>
      </w:r>
      <w:r w:rsidRPr="00B02247">
        <w:t>The</w:t>
      </w:r>
      <w:r w:rsidR="005B2A41">
        <w:t xml:space="preserve"> </w:t>
      </w:r>
      <w:r w:rsidRPr="00B02247">
        <w:t>project</w:t>
      </w:r>
      <w:r w:rsidR="005B2A41">
        <w:t xml:space="preserve"> </w:t>
      </w:r>
      <w:r w:rsidRPr="00B02247">
        <w:t>activities</w:t>
      </w:r>
      <w:r w:rsidR="005B2A41">
        <w:t xml:space="preserve"> </w:t>
      </w:r>
      <w:r w:rsidRPr="00B02247">
        <w:t>are</w:t>
      </w:r>
      <w:r w:rsidR="005B2A41">
        <w:t xml:space="preserve"> </w:t>
      </w:r>
      <w:r w:rsidRPr="00B02247">
        <w:t>the</w:t>
      </w:r>
      <w:r w:rsidR="005B2A41">
        <w:t xml:space="preserve"> </w:t>
      </w:r>
      <w:r w:rsidRPr="00B02247">
        <w:t>following:</w:t>
      </w:r>
      <w:r w:rsidR="005B2A41">
        <w:t xml:space="preserve"> </w:t>
      </w:r>
      <w:r w:rsidRPr="00B02247">
        <w:t>Support</w:t>
      </w:r>
      <w:r w:rsidR="005B2A41">
        <w:t xml:space="preserve"> </w:t>
      </w:r>
      <w:r w:rsidRPr="00B02247">
        <w:t>for</w:t>
      </w:r>
      <w:r w:rsidR="005B2A41">
        <w:t xml:space="preserve"> </w:t>
      </w:r>
      <w:r w:rsidRPr="00B02247">
        <w:t>reception</w:t>
      </w:r>
      <w:r w:rsidR="005B2A41">
        <w:t xml:space="preserve"> </w:t>
      </w:r>
      <w:r w:rsidRPr="00B02247">
        <w:t>classes,</w:t>
      </w:r>
      <w:r w:rsidR="005B2A41">
        <w:t xml:space="preserve"> </w:t>
      </w:r>
      <w:r w:rsidRPr="00B02247">
        <w:t>Enhancing</w:t>
      </w:r>
      <w:r w:rsidR="005B2A41">
        <w:t xml:space="preserve"> </w:t>
      </w:r>
      <w:r w:rsidRPr="00B02247">
        <w:t>the</w:t>
      </w:r>
      <w:r w:rsidR="005B2A41">
        <w:t xml:space="preserve"> </w:t>
      </w:r>
      <w:r w:rsidRPr="00B02247">
        <w:t>learning</w:t>
      </w:r>
      <w:r w:rsidR="005B2A41">
        <w:t xml:space="preserve"> </w:t>
      </w:r>
      <w:r w:rsidRPr="00B02247">
        <w:t>of</w:t>
      </w:r>
      <w:r w:rsidR="005B2A41">
        <w:t xml:space="preserve"> </w:t>
      </w:r>
      <w:r w:rsidRPr="00B02247">
        <w:t>the</w:t>
      </w:r>
      <w:r w:rsidR="005B2A41">
        <w:t xml:space="preserve"> </w:t>
      </w:r>
      <w:r w:rsidRPr="00B02247">
        <w:t>Greek</w:t>
      </w:r>
      <w:r w:rsidR="005B2A41">
        <w:t xml:space="preserve"> </w:t>
      </w:r>
      <w:r w:rsidRPr="00B02247">
        <w:t>language,</w:t>
      </w:r>
      <w:r w:rsidR="005B2A41">
        <w:t xml:space="preserve"> </w:t>
      </w:r>
      <w:r w:rsidRPr="00B02247">
        <w:t>Fostering</w:t>
      </w:r>
      <w:r w:rsidR="005B2A41">
        <w:t xml:space="preserve"> </w:t>
      </w:r>
      <w:r w:rsidRPr="00B02247">
        <w:t>intercultural</w:t>
      </w:r>
      <w:r w:rsidR="005B2A41">
        <w:t xml:space="preserve"> </w:t>
      </w:r>
      <w:r w:rsidRPr="00B02247">
        <w:t>communication</w:t>
      </w:r>
      <w:r w:rsidR="005B2A41">
        <w:t xml:space="preserve"> </w:t>
      </w:r>
      <w:r w:rsidRPr="00B02247">
        <w:t>at</w:t>
      </w:r>
      <w:r w:rsidR="005B2A41">
        <w:t xml:space="preserve"> </w:t>
      </w:r>
      <w:r w:rsidRPr="00B02247">
        <w:t>school</w:t>
      </w:r>
      <w:r w:rsidR="005B2A41">
        <w:t xml:space="preserve"> </w:t>
      </w:r>
      <w:r w:rsidRPr="00B02247">
        <w:t>level,</w:t>
      </w:r>
      <w:r w:rsidR="005B2A41">
        <w:t xml:space="preserve"> </w:t>
      </w:r>
      <w:r w:rsidRPr="00B02247">
        <w:t>Training</w:t>
      </w:r>
      <w:r w:rsidR="005B2A41">
        <w:t xml:space="preserve"> </w:t>
      </w:r>
      <w:r w:rsidRPr="00B02247">
        <w:t>of</w:t>
      </w:r>
      <w:r w:rsidR="005B2A41">
        <w:t xml:space="preserve"> </w:t>
      </w:r>
      <w:r w:rsidRPr="00B02247">
        <w:t>teachers</w:t>
      </w:r>
      <w:r w:rsidR="005B2A41">
        <w:t xml:space="preserve"> </w:t>
      </w:r>
      <w:r w:rsidRPr="00B02247">
        <w:t>and</w:t>
      </w:r>
      <w:r w:rsidR="005B2A41">
        <w:t xml:space="preserve"> </w:t>
      </w:r>
      <w:r w:rsidRPr="00B02247">
        <w:t>members</w:t>
      </w:r>
      <w:r w:rsidR="005B2A41">
        <w:t xml:space="preserve"> </w:t>
      </w:r>
      <w:r w:rsidRPr="00B02247">
        <w:t>of</w:t>
      </w:r>
      <w:r w:rsidR="005B2A41">
        <w:t xml:space="preserve"> </w:t>
      </w:r>
      <w:r w:rsidRPr="00B02247">
        <w:t>the</w:t>
      </w:r>
      <w:r w:rsidR="005B2A41">
        <w:t xml:space="preserve"> </w:t>
      </w:r>
      <w:r w:rsidRPr="00B02247">
        <w:t>educational</w:t>
      </w:r>
      <w:r w:rsidR="005B2A41">
        <w:t xml:space="preserve"> </w:t>
      </w:r>
      <w:r w:rsidRPr="00B02247">
        <w:t>community,</w:t>
      </w:r>
      <w:r w:rsidR="005B2A41">
        <w:t xml:space="preserve"> </w:t>
      </w:r>
      <w:r w:rsidRPr="00B02247">
        <w:t>Supporting</w:t>
      </w:r>
      <w:r w:rsidR="005B2A41">
        <w:t xml:space="preserve"> </w:t>
      </w:r>
      <w:r w:rsidRPr="00B02247">
        <w:t>the</w:t>
      </w:r>
      <w:r w:rsidR="005B2A41">
        <w:t xml:space="preserve"> </w:t>
      </w:r>
      <w:r w:rsidRPr="00B02247">
        <w:t>native</w:t>
      </w:r>
      <w:r w:rsidR="005B2A41">
        <w:t xml:space="preserve"> </w:t>
      </w:r>
      <w:r w:rsidRPr="00B02247">
        <w:t>language</w:t>
      </w:r>
      <w:r w:rsidR="005B2A41">
        <w:t xml:space="preserve"> </w:t>
      </w:r>
      <w:r w:rsidRPr="00B02247">
        <w:t>of</w:t>
      </w:r>
      <w:r w:rsidR="005B2A41">
        <w:t xml:space="preserve"> </w:t>
      </w:r>
      <w:r w:rsidRPr="00B02247">
        <w:t>students,</w:t>
      </w:r>
      <w:r w:rsidR="005B2A41">
        <w:t xml:space="preserve"> </w:t>
      </w:r>
      <w:r w:rsidRPr="00B02247">
        <w:t>Psychological</w:t>
      </w:r>
      <w:r w:rsidR="005B2A41">
        <w:t xml:space="preserve"> </w:t>
      </w:r>
      <w:r w:rsidRPr="00B02247">
        <w:t>support</w:t>
      </w:r>
      <w:r w:rsidR="005B2A41">
        <w:t xml:space="preserve"> </w:t>
      </w:r>
      <w:r w:rsidRPr="00B02247">
        <w:t>program,</w:t>
      </w:r>
      <w:r w:rsidR="005B2A41">
        <w:t xml:space="preserve"> </w:t>
      </w:r>
      <w:r w:rsidRPr="00B02247">
        <w:t>Connecting</w:t>
      </w:r>
      <w:r w:rsidR="005B2A41">
        <w:t xml:space="preserve"> </w:t>
      </w:r>
      <w:r w:rsidRPr="00B02247">
        <w:t>school</w:t>
      </w:r>
      <w:r w:rsidR="005B2A41">
        <w:t xml:space="preserve"> </w:t>
      </w:r>
      <w:r w:rsidRPr="00B02247">
        <w:t>and</w:t>
      </w:r>
      <w:r w:rsidR="005B2A41">
        <w:t xml:space="preserve"> </w:t>
      </w:r>
      <w:r w:rsidRPr="00B02247">
        <w:t>community,</w:t>
      </w:r>
      <w:r w:rsidR="005B2A41">
        <w:t xml:space="preserve"> </w:t>
      </w:r>
      <w:r w:rsidRPr="00B02247">
        <w:t>School</w:t>
      </w:r>
      <w:r w:rsidR="005B2A41">
        <w:t xml:space="preserve"> </w:t>
      </w:r>
      <w:r w:rsidRPr="00B02247">
        <w:t>networking</w:t>
      </w:r>
      <w:r w:rsidR="005B2A41">
        <w:t xml:space="preserve"> </w:t>
      </w:r>
      <w:r w:rsidRPr="00B02247">
        <w:t>and</w:t>
      </w:r>
      <w:r w:rsidR="005B2A41">
        <w:t xml:space="preserve"> </w:t>
      </w:r>
      <w:r w:rsidRPr="00B02247">
        <w:t>others.</w:t>
      </w:r>
      <w:r w:rsidR="005B2A41">
        <w:t xml:space="preserve"> </w:t>
      </w:r>
    </w:p>
    <w:p w:rsidR="00F233AB" w:rsidRPr="00B02247" w:rsidRDefault="00F233AB" w:rsidP="00E1307D">
      <w:pPr>
        <w:pStyle w:val="SingleTxtG"/>
      </w:pPr>
      <w:r w:rsidRPr="00B02247">
        <w:t>203.</w:t>
      </w:r>
      <w:r w:rsidRPr="00B02247">
        <w:tab/>
        <w:t>The</w:t>
      </w:r>
      <w:r w:rsidR="005B2A41">
        <w:t xml:space="preserve"> </w:t>
      </w:r>
      <w:r w:rsidRPr="00B02247">
        <w:t>General</w:t>
      </w:r>
      <w:r w:rsidR="005B2A41">
        <w:t xml:space="preserve"> </w:t>
      </w:r>
      <w:r w:rsidRPr="00B02247">
        <w:t>Secretariat</w:t>
      </w:r>
      <w:r w:rsidR="005B2A41">
        <w:t xml:space="preserve"> </w:t>
      </w:r>
      <w:r w:rsidRPr="00B02247">
        <w:t>for</w:t>
      </w:r>
      <w:r w:rsidR="005B2A41">
        <w:t xml:space="preserve"> </w:t>
      </w:r>
      <w:r w:rsidRPr="00B02247">
        <w:t>Lifelong</w:t>
      </w:r>
      <w:r w:rsidR="005B2A41">
        <w:t xml:space="preserve"> </w:t>
      </w:r>
      <w:r w:rsidRPr="00B02247">
        <w:t>Learning</w:t>
      </w:r>
      <w:r w:rsidR="005B2A41">
        <w:t xml:space="preserve"> </w:t>
      </w:r>
      <w:r w:rsidRPr="00B02247">
        <w:t>of</w:t>
      </w:r>
      <w:r w:rsidR="005B2A41">
        <w:t xml:space="preserve"> </w:t>
      </w:r>
      <w:r w:rsidRPr="00B02247">
        <w:t>the</w:t>
      </w:r>
      <w:r w:rsidR="005B2A41">
        <w:t xml:space="preserve"> </w:t>
      </w:r>
      <w:r w:rsidRPr="00B02247">
        <w:t>Ministry</w:t>
      </w:r>
      <w:r w:rsidR="005B2A41">
        <w:t xml:space="preserve"> </w:t>
      </w:r>
      <w:r w:rsidRPr="00B02247">
        <w:t>of</w:t>
      </w:r>
      <w:r w:rsidR="005B2A41">
        <w:t xml:space="preserve"> </w:t>
      </w:r>
      <w:r w:rsidRPr="00B02247">
        <w:t>Education</w:t>
      </w:r>
      <w:r w:rsidR="005B2A41">
        <w:t xml:space="preserve"> </w:t>
      </w:r>
      <w:r w:rsidRPr="00B02247">
        <w:t>has</w:t>
      </w:r>
      <w:r w:rsidR="005B2A41">
        <w:t xml:space="preserve"> </w:t>
      </w:r>
      <w:r w:rsidRPr="00B02247">
        <w:t>organized</w:t>
      </w:r>
      <w:r w:rsidR="005B2A41">
        <w:t xml:space="preserve"> </w:t>
      </w:r>
      <w:r w:rsidRPr="00B02247">
        <w:t>and</w:t>
      </w:r>
      <w:r w:rsidR="005B2A41">
        <w:t xml:space="preserve"> </w:t>
      </w:r>
      <w:r w:rsidRPr="00B02247">
        <w:t>operates</w:t>
      </w:r>
      <w:r w:rsidR="005B2A41">
        <w:t xml:space="preserve"> </w:t>
      </w:r>
      <w:r w:rsidRPr="00B02247">
        <w:t>the</w:t>
      </w:r>
      <w:r w:rsidR="005B2A41">
        <w:t xml:space="preserve"> </w:t>
      </w:r>
      <w:r w:rsidRPr="00B02247">
        <w:t>Educational</w:t>
      </w:r>
      <w:r w:rsidR="005B2A41">
        <w:t xml:space="preserve"> </w:t>
      </w:r>
      <w:r w:rsidRPr="00B02247">
        <w:t>Programme</w:t>
      </w:r>
      <w:r w:rsidR="005B2A41">
        <w:t xml:space="preserve"> </w:t>
      </w:r>
      <w:r w:rsidR="003E731F">
        <w:t>‘</w:t>
      </w:r>
      <w:r w:rsidRPr="00B02247">
        <w:t>Education</w:t>
      </w:r>
      <w:r w:rsidR="005B2A41">
        <w:t xml:space="preserve"> </w:t>
      </w:r>
      <w:r w:rsidRPr="00B02247">
        <w:t>of</w:t>
      </w:r>
      <w:r w:rsidR="005B2A41">
        <w:t xml:space="preserve"> </w:t>
      </w:r>
      <w:r w:rsidRPr="00B02247">
        <w:t>immigrants</w:t>
      </w:r>
      <w:r w:rsidR="005B2A41">
        <w:t xml:space="preserve"> </w:t>
      </w:r>
      <w:r w:rsidRPr="00B02247">
        <w:t>in</w:t>
      </w:r>
      <w:r w:rsidR="005B2A41">
        <w:t xml:space="preserve"> </w:t>
      </w:r>
      <w:r w:rsidRPr="00B02247">
        <w:t>Greek</w:t>
      </w:r>
      <w:r w:rsidR="005B2A41">
        <w:t xml:space="preserve"> </w:t>
      </w:r>
      <w:r w:rsidRPr="00B02247">
        <w:t>language,</w:t>
      </w:r>
      <w:r w:rsidR="005B2A41">
        <w:t xml:space="preserve"> </w:t>
      </w:r>
      <w:r w:rsidRPr="00B02247">
        <w:t>Greek</w:t>
      </w:r>
      <w:r w:rsidR="005B2A41">
        <w:t xml:space="preserve"> </w:t>
      </w:r>
      <w:r w:rsidRPr="00B02247">
        <w:t>history</w:t>
      </w:r>
      <w:r w:rsidR="005B2A41">
        <w:t xml:space="preserve"> </w:t>
      </w:r>
      <w:r w:rsidRPr="00B02247">
        <w:t>and</w:t>
      </w:r>
      <w:r w:rsidR="005B2A41">
        <w:t xml:space="preserve"> </w:t>
      </w:r>
      <w:r w:rsidRPr="00B02247">
        <w:t>the</w:t>
      </w:r>
      <w:r w:rsidR="005B2A41">
        <w:t xml:space="preserve"> </w:t>
      </w:r>
      <w:r w:rsidRPr="00B02247">
        <w:t>Greek</w:t>
      </w:r>
      <w:r w:rsidR="005B2A41">
        <w:t xml:space="preserve"> </w:t>
      </w:r>
      <w:r w:rsidRPr="00B02247">
        <w:t>civilization</w:t>
      </w:r>
      <w:r w:rsidR="005B2A41">
        <w:t xml:space="preserve"> </w:t>
      </w:r>
      <w:r w:rsidRPr="00B02247">
        <w:t>ODYSSEY</w:t>
      </w:r>
      <w:r w:rsidR="003E731F">
        <w:t>’</w:t>
      </w:r>
      <w:r w:rsidRPr="00B02247">
        <w:t>.</w:t>
      </w:r>
      <w:r w:rsidR="005B2A41">
        <w:t xml:space="preserve"> </w:t>
      </w:r>
      <w:r w:rsidRPr="00B02247">
        <w:t>The</w:t>
      </w:r>
      <w:r w:rsidR="005B2A41">
        <w:t xml:space="preserve"> </w:t>
      </w:r>
      <w:r w:rsidRPr="00B02247">
        <w:t>implementation</w:t>
      </w:r>
      <w:r w:rsidR="005B2A41">
        <w:t xml:space="preserve"> </w:t>
      </w:r>
      <w:r w:rsidRPr="00B02247">
        <w:t>of</w:t>
      </w:r>
      <w:r w:rsidR="005B2A41">
        <w:t xml:space="preserve"> </w:t>
      </w:r>
      <w:r w:rsidRPr="00B02247">
        <w:t>the</w:t>
      </w:r>
      <w:r w:rsidR="005B2A41">
        <w:t xml:space="preserve"> </w:t>
      </w:r>
      <w:r w:rsidRPr="00B02247">
        <w:t>project</w:t>
      </w:r>
      <w:r w:rsidR="005B2A41">
        <w:t xml:space="preserve"> </w:t>
      </w:r>
      <w:r w:rsidRPr="00B02247">
        <w:t>has</w:t>
      </w:r>
      <w:r w:rsidR="005B2A41">
        <w:t xml:space="preserve"> </w:t>
      </w:r>
      <w:r w:rsidRPr="00B02247">
        <w:t>been</w:t>
      </w:r>
      <w:r w:rsidR="005B2A41">
        <w:t xml:space="preserve"> </w:t>
      </w:r>
      <w:r w:rsidRPr="00B02247">
        <w:t>assigned</w:t>
      </w:r>
      <w:r w:rsidR="005B2A41">
        <w:t xml:space="preserve"> </w:t>
      </w:r>
      <w:r w:rsidRPr="00B02247">
        <w:t>to</w:t>
      </w:r>
      <w:r w:rsidR="005B2A41">
        <w:t xml:space="preserve"> </w:t>
      </w:r>
      <w:r w:rsidRPr="00B02247">
        <w:t>the</w:t>
      </w:r>
      <w:r w:rsidR="005B2A41">
        <w:t xml:space="preserve"> </w:t>
      </w:r>
      <w:r w:rsidRPr="00B02247">
        <w:t>Institute</w:t>
      </w:r>
      <w:r w:rsidR="005B2A41">
        <w:t xml:space="preserve"> </w:t>
      </w:r>
      <w:r w:rsidRPr="00B02247">
        <w:t>of</w:t>
      </w:r>
      <w:r w:rsidR="005B2A41">
        <w:t xml:space="preserve"> </w:t>
      </w:r>
      <w:r w:rsidRPr="00B02247">
        <w:t>Youth</w:t>
      </w:r>
      <w:r w:rsidR="005B2A41">
        <w:t xml:space="preserve"> </w:t>
      </w:r>
      <w:r w:rsidRPr="00B02247">
        <w:t>and</w:t>
      </w:r>
      <w:r w:rsidR="005B2A41">
        <w:t xml:space="preserve"> </w:t>
      </w:r>
      <w:r w:rsidRPr="00B02247">
        <w:t>Lifelong</w:t>
      </w:r>
      <w:r w:rsidR="005B2A41">
        <w:t xml:space="preserve"> </w:t>
      </w:r>
      <w:r w:rsidRPr="00B02247">
        <w:t>Learning.</w:t>
      </w:r>
      <w:r w:rsidR="005B2A41">
        <w:t xml:space="preserve"> </w:t>
      </w:r>
      <w:r w:rsidRPr="00B02247">
        <w:t>The</w:t>
      </w:r>
      <w:r w:rsidR="005B2A41">
        <w:t xml:space="preserve"> </w:t>
      </w:r>
      <w:r w:rsidRPr="00B02247">
        <w:t>project</w:t>
      </w:r>
      <w:r w:rsidR="005B2A41">
        <w:t xml:space="preserve"> </w:t>
      </w:r>
      <w:r w:rsidRPr="00B02247">
        <w:t>aims</w:t>
      </w:r>
      <w:r w:rsidR="005B2A41">
        <w:t xml:space="preserve"> </w:t>
      </w:r>
      <w:r w:rsidRPr="00B02247">
        <w:t>at</w:t>
      </w:r>
      <w:r w:rsidR="005B2A41">
        <w:t xml:space="preserve"> </w:t>
      </w:r>
      <w:r w:rsidRPr="00B02247">
        <w:t>supporting</w:t>
      </w:r>
      <w:r w:rsidR="005B2A41">
        <w:t xml:space="preserve"> </w:t>
      </w:r>
      <w:r w:rsidRPr="00B02247">
        <w:t>students</w:t>
      </w:r>
      <w:r w:rsidR="005B2A41">
        <w:t xml:space="preserve"> </w:t>
      </w:r>
      <w:r w:rsidRPr="00B02247">
        <w:t>to</w:t>
      </w:r>
      <w:r w:rsidR="005B2A41">
        <w:t xml:space="preserve"> </w:t>
      </w:r>
      <w:r w:rsidRPr="00B02247">
        <w:t>acquire</w:t>
      </w:r>
      <w:r w:rsidR="005B2A41">
        <w:t xml:space="preserve"> </w:t>
      </w:r>
      <w:r w:rsidRPr="00B02247">
        <w:t>the</w:t>
      </w:r>
      <w:r w:rsidR="005B2A41">
        <w:t xml:space="preserve"> </w:t>
      </w:r>
      <w:r w:rsidRPr="00B02247">
        <w:t>language,</w:t>
      </w:r>
      <w:r w:rsidR="005B2A41">
        <w:t xml:space="preserve"> </w:t>
      </w:r>
      <w:r w:rsidRPr="00B02247">
        <w:t>as</w:t>
      </w:r>
      <w:r w:rsidR="005B2A41">
        <w:t xml:space="preserve"> </w:t>
      </w:r>
      <w:r w:rsidRPr="00B02247">
        <w:t>well</w:t>
      </w:r>
      <w:r w:rsidR="005B2A41">
        <w:t xml:space="preserve"> </w:t>
      </w:r>
      <w:r w:rsidRPr="00B02247">
        <w:t>as</w:t>
      </w:r>
      <w:r w:rsidR="005B2A41">
        <w:t xml:space="preserve"> </w:t>
      </w:r>
      <w:r w:rsidRPr="00B02247">
        <w:t>other</w:t>
      </w:r>
      <w:r w:rsidR="005B2A41">
        <w:t xml:space="preserve"> </w:t>
      </w:r>
      <w:r w:rsidRPr="00B02247">
        <w:t>social</w:t>
      </w:r>
      <w:r w:rsidR="005B2A41">
        <w:t xml:space="preserve"> </w:t>
      </w:r>
      <w:r w:rsidRPr="00B02247">
        <w:t>and</w:t>
      </w:r>
      <w:r w:rsidR="005B2A41">
        <w:t xml:space="preserve"> </w:t>
      </w:r>
      <w:r w:rsidRPr="00B02247">
        <w:t>intercultural</w:t>
      </w:r>
      <w:r w:rsidR="005B2A41">
        <w:t xml:space="preserve"> </w:t>
      </w:r>
      <w:r w:rsidRPr="00B02247">
        <w:t>skills</w:t>
      </w:r>
      <w:r w:rsidR="005B2A41">
        <w:t xml:space="preserve"> </w:t>
      </w:r>
      <w:r w:rsidRPr="00B02247">
        <w:t>required</w:t>
      </w:r>
      <w:r w:rsidR="005B2A41">
        <w:t xml:space="preserve"> </w:t>
      </w:r>
      <w:r w:rsidRPr="00B02247">
        <w:t>for</w:t>
      </w:r>
      <w:r w:rsidR="005B2A41">
        <w:t xml:space="preserve"> </w:t>
      </w:r>
      <w:r w:rsidRPr="00B02247">
        <w:t>the</w:t>
      </w:r>
      <w:r w:rsidR="005B2A41">
        <w:t xml:space="preserve"> </w:t>
      </w:r>
      <w:r w:rsidRPr="00B02247">
        <w:t>social</w:t>
      </w:r>
      <w:r w:rsidR="005B2A41">
        <w:t xml:space="preserve"> </w:t>
      </w:r>
      <w:r w:rsidRPr="00B02247">
        <w:t>inclusion</w:t>
      </w:r>
      <w:r w:rsidR="005B2A41">
        <w:t xml:space="preserve"> </w:t>
      </w:r>
      <w:r w:rsidRPr="00B02247">
        <w:t>of</w:t>
      </w:r>
      <w:r w:rsidR="005B2A41">
        <w:t xml:space="preserve"> </w:t>
      </w:r>
      <w:r w:rsidRPr="00B02247">
        <w:t>themselves</w:t>
      </w:r>
      <w:r w:rsidR="005B2A41">
        <w:t xml:space="preserve"> </w:t>
      </w:r>
      <w:r w:rsidRPr="00B02247">
        <w:t>and</w:t>
      </w:r>
      <w:r w:rsidR="005B2A41">
        <w:t xml:space="preserve"> </w:t>
      </w:r>
      <w:r w:rsidRPr="00B02247">
        <w:t>their</w:t>
      </w:r>
      <w:r w:rsidR="005B2A41">
        <w:t xml:space="preserve"> </w:t>
      </w:r>
      <w:r w:rsidRPr="00B02247">
        <w:t>families.</w:t>
      </w:r>
      <w:r w:rsidR="005B2A41">
        <w:t xml:space="preserve"> </w:t>
      </w:r>
    </w:p>
    <w:p w:rsidR="00F233AB" w:rsidRPr="00B02247" w:rsidRDefault="00F233AB" w:rsidP="00E1307D">
      <w:pPr>
        <w:pStyle w:val="SingleTxtG"/>
      </w:pPr>
      <w:r w:rsidRPr="00B02247">
        <w:t>204.</w:t>
      </w:r>
      <w:r w:rsidRPr="00B02247">
        <w:tab/>
        <w:t>Furthermore,</w:t>
      </w:r>
      <w:r w:rsidR="005B2A41">
        <w:t xml:space="preserve"> </w:t>
      </w:r>
      <w:r w:rsidRPr="00B02247">
        <w:t>as</w:t>
      </w:r>
      <w:r w:rsidR="005B2A41">
        <w:t xml:space="preserve"> </w:t>
      </w:r>
      <w:r w:rsidRPr="00B02247">
        <w:t>a</w:t>
      </w:r>
      <w:r w:rsidR="005B2A41">
        <w:t xml:space="preserve"> </w:t>
      </w:r>
      <w:r w:rsidRPr="00B02247">
        <w:t>means</w:t>
      </w:r>
      <w:r w:rsidR="005B2A41">
        <w:t xml:space="preserve"> </w:t>
      </w:r>
      <w:r w:rsidRPr="00B02247">
        <w:t>of</w:t>
      </w:r>
      <w:r w:rsidR="005B2A41">
        <w:t xml:space="preserve"> </w:t>
      </w:r>
      <w:r w:rsidRPr="00B02247">
        <w:t>promoting</w:t>
      </w:r>
      <w:r w:rsidR="005B2A41">
        <w:t xml:space="preserve"> </w:t>
      </w:r>
      <w:r w:rsidRPr="00B02247">
        <w:t>a</w:t>
      </w:r>
      <w:r w:rsidR="005B2A41">
        <w:t xml:space="preserve"> </w:t>
      </w:r>
      <w:r w:rsidRPr="00B02247">
        <w:t>diverse</w:t>
      </w:r>
      <w:r w:rsidR="005B2A41">
        <w:t xml:space="preserve"> </w:t>
      </w:r>
      <w:r w:rsidRPr="00B02247">
        <w:t>and</w:t>
      </w:r>
      <w:r w:rsidR="005B2A41">
        <w:t xml:space="preserve"> </w:t>
      </w:r>
      <w:r w:rsidRPr="00B02247">
        <w:t>intercultural</w:t>
      </w:r>
      <w:r w:rsidR="005B2A41">
        <w:t xml:space="preserve"> </w:t>
      </w:r>
      <w:r w:rsidRPr="00B02247">
        <w:t>learning,</w:t>
      </w:r>
      <w:r w:rsidR="005B2A41">
        <w:t xml:space="preserve"> </w:t>
      </w:r>
      <w:r w:rsidRPr="00B02247">
        <w:t>all-day</w:t>
      </w:r>
      <w:r w:rsidR="005B2A41">
        <w:t xml:space="preserve"> </w:t>
      </w:r>
      <w:r w:rsidRPr="00B02247">
        <w:t>schools</w:t>
      </w:r>
      <w:r w:rsidR="005B2A41">
        <w:t xml:space="preserve"> </w:t>
      </w:r>
      <w:r w:rsidRPr="00B02247">
        <w:t>under</w:t>
      </w:r>
      <w:r w:rsidR="005B2A41">
        <w:t xml:space="preserve"> </w:t>
      </w:r>
      <w:r w:rsidRPr="00B02247">
        <w:t>the</w:t>
      </w:r>
      <w:r w:rsidR="005B2A41">
        <w:t xml:space="preserve"> </w:t>
      </w:r>
      <w:r w:rsidRPr="00B02247">
        <w:t>new</w:t>
      </w:r>
      <w:r w:rsidR="005B2A41">
        <w:t xml:space="preserve"> </w:t>
      </w:r>
      <w:r w:rsidRPr="00B02247">
        <w:t>curriculum</w:t>
      </w:r>
      <w:r w:rsidR="005B2A41">
        <w:t xml:space="preserve"> </w:t>
      </w:r>
      <w:r w:rsidRPr="00B02247">
        <w:t>were</w:t>
      </w:r>
      <w:r w:rsidR="005B2A41">
        <w:t xml:space="preserve"> </w:t>
      </w:r>
      <w:r w:rsidRPr="00B02247">
        <w:t>put</w:t>
      </w:r>
      <w:r w:rsidR="005B2A41">
        <w:t xml:space="preserve"> </w:t>
      </w:r>
      <w:r w:rsidRPr="00B02247">
        <w:t>into</w:t>
      </w:r>
      <w:r w:rsidR="005B2A41">
        <w:t xml:space="preserve"> </w:t>
      </w:r>
      <w:r w:rsidRPr="00B02247">
        <w:t>operation</w:t>
      </w:r>
      <w:r w:rsidR="005B2A41">
        <w:t xml:space="preserve"> </w:t>
      </w:r>
      <w:r w:rsidRPr="00B02247">
        <w:t>on</w:t>
      </w:r>
      <w:r w:rsidR="005B2A41">
        <w:t xml:space="preserve"> </w:t>
      </w:r>
      <w:r w:rsidRPr="00B02247">
        <w:t>a</w:t>
      </w:r>
      <w:r w:rsidR="005B2A41">
        <w:t xml:space="preserve"> </w:t>
      </w:r>
      <w:r w:rsidRPr="00B02247">
        <w:t>pilot</w:t>
      </w:r>
      <w:r w:rsidR="005B2A41">
        <w:t xml:space="preserve"> </w:t>
      </w:r>
      <w:r w:rsidRPr="00B02247">
        <w:t>phase</w:t>
      </w:r>
      <w:r w:rsidR="005B2A41">
        <w:t xml:space="preserve"> </w:t>
      </w:r>
      <w:r w:rsidRPr="00B02247">
        <w:t>since</w:t>
      </w:r>
      <w:r w:rsidR="005B2A41">
        <w:t xml:space="preserve"> </w:t>
      </w:r>
      <w:r w:rsidRPr="00B02247">
        <w:t>the</w:t>
      </w:r>
      <w:r w:rsidR="005B2A41">
        <w:t xml:space="preserve"> </w:t>
      </w:r>
      <w:r w:rsidRPr="00B02247">
        <w:t>school</w:t>
      </w:r>
      <w:r w:rsidR="005B2A41">
        <w:t xml:space="preserve"> </w:t>
      </w:r>
      <w:r w:rsidRPr="00B02247">
        <w:t>year</w:t>
      </w:r>
      <w:r w:rsidR="005B2A41">
        <w:t xml:space="preserve"> </w:t>
      </w:r>
      <w:r w:rsidRPr="00B02247">
        <w:t>2011</w:t>
      </w:r>
      <w:r w:rsidR="00915034">
        <w:t>–</w:t>
      </w:r>
      <w:r w:rsidRPr="00B02247">
        <w:t>2012.</w:t>
      </w:r>
      <w:r w:rsidR="005B2A41">
        <w:t xml:space="preserve"> </w:t>
      </w:r>
      <w:r w:rsidRPr="00B02247">
        <w:t>A</w:t>
      </w:r>
      <w:r w:rsidR="005B2A41">
        <w:t xml:space="preserve"> </w:t>
      </w:r>
      <w:r w:rsidRPr="00B02247">
        <w:t>variety</w:t>
      </w:r>
      <w:r w:rsidR="005B2A41">
        <w:t xml:space="preserve"> </w:t>
      </w:r>
      <w:r w:rsidRPr="00B02247">
        <w:t>of</w:t>
      </w:r>
      <w:r w:rsidR="005B2A41">
        <w:t xml:space="preserve"> </w:t>
      </w:r>
      <w:r w:rsidRPr="00B02247">
        <w:t>optional</w:t>
      </w:r>
      <w:r w:rsidR="005B2A41">
        <w:t xml:space="preserve"> </w:t>
      </w:r>
      <w:r w:rsidRPr="00B02247">
        <w:t>courses</w:t>
      </w:r>
      <w:r w:rsidR="005B2A41">
        <w:t xml:space="preserve"> </w:t>
      </w:r>
      <w:r w:rsidRPr="00B02247">
        <w:t>were</w:t>
      </w:r>
      <w:r w:rsidR="005B2A41">
        <w:t xml:space="preserve"> </w:t>
      </w:r>
      <w:r w:rsidRPr="00B02247">
        <w:t>offered</w:t>
      </w:r>
      <w:r w:rsidR="005B2A41">
        <w:t xml:space="preserve"> </w:t>
      </w:r>
      <w:r w:rsidRPr="00B02247">
        <w:t>(Sports,</w:t>
      </w:r>
      <w:r w:rsidR="005B2A41">
        <w:t xml:space="preserve"> </w:t>
      </w:r>
      <w:r w:rsidRPr="00B02247">
        <w:t>Acting,</w:t>
      </w:r>
      <w:r w:rsidR="005B2A41">
        <w:t xml:space="preserve"> </w:t>
      </w:r>
      <w:r w:rsidRPr="00B02247">
        <w:t>English,</w:t>
      </w:r>
      <w:r w:rsidR="005B2A41">
        <w:t xml:space="preserve"> </w:t>
      </w:r>
      <w:r w:rsidRPr="00B02247">
        <w:t>Music,</w:t>
      </w:r>
      <w:r w:rsidR="005B2A41">
        <w:t xml:space="preserve"> </w:t>
      </w:r>
      <w:r w:rsidRPr="00B02247">
        <w:t>Second</w:t>
      </w:r>
      <w:r w:rsidR="005B2A41">
        <w:t xml:space="preserve"> </w:t>
      </w:r>
      <w:r w:rsidRPr="00B02247">
        <w:t>Foreign</w:t>
      </w:r>
      <w:r w:rsidR="005B2A41">
        <w:t xml:space="preserve"> </w:t>
      </w:r>
      <w:r w:rsidRPr="00B02247">
        <w:t>Language,</w:t>
      </w:r>
      <w:r w:rsidR="005B2A41">
        <w:t xml:space="preserve"> </w:t>
      </w:r>
      <w:r w:rsidRPr="00B02247">
        <w:t>Arts</w:t>
      </w:r>
      <w:r w:rsidR="005B2A41">
        <w:t xml:space="preserve"> </w:t>
      </w:r>
      <w:r w:rsidRPr="00B02247">
        <w:t>etc.)</w:t>
      </w:r>
      <w:r w:rsidR="005B2A41">
        <w:t xml:space="preserve"> </w:t>
      </w:r>
      <w:r w:rsidRPr="00B02247">
        <w:t>as</w:t>
      </w:r>
      <w:r w:rsidR="005B2A41">
        <w:t xml:space="preserve"> </w:t>
      </w:r>
      <w:r w:rsidRPr="00B02247">
        <w:t>well</w:t>
      </w:r>
      <w:r w:rsidR="005B2A41">
        <w:t xml:space="preserve"> </w:t>
      </w:r>
      <w:r w:rsidRPr="00B02247">
        <w:t>as</w:t>
      </w:r>
      <w:r w:rsidR="005B2A41">
        <w:t xml:space="preserve"> </w:t>
      </w:r>
      <w:r w:rsidRPr="00B02247">
        <w:t>the</w:t>
      </w:r>
      <w:r w:rsidR="005B2A41">
        <w:t xml:space="preserve"> </w:t>
      </w:r>
      <w:r w:rsidRPr="00B02247">
        <w:t>Study</w:t>
      </w:r>
      <w:r w:rsidR="005B2A41">
        <w:t xml:space="preserve"> </w:t>
      </w:r>
      <w:r w:rsidRPr="00B02247">
        <w:t>and</w:t>
      </w:r>
      <w:r w:rsidR="005B2A41">
        <w:t xml:space="preserve"> </w:t>
      </w:r>
      <w:r w:rsidRPr="00B02247">
        <w:t>Preparation</w:t>
      </w:r>
      <w:r w:rsidR="005B2A41">
        <w:t xml:space="preserve"> </w:t>
      </w:r>
      <w:r w:rsidRPr="00B02247">
        <w:t>class</w:t>
      </w:r>
      <w:r w:rsidR="005B2A41">
        <w:t xml:space="preserve"> </w:t>
      </w:r>
      <w:r w:rsidRPr="00B02247">
        <w:t>as</w:t>
      </w:r>
      <w:r w:rsidR="005B2A41">
        <w:t xml:space="preserve"> </w:t>
      </w:r>
      <w:r w:rsidRPr="00B02247">
        <w:t>an</w:t>
      </w:r>
      <w:r w:rsidR="005B2A41">
        <w:t xml:space="preserve"> </w:t>
      </w:r>
      <w:r w:rsidRPr="00B02247">
        <w:t>integrated</w:t>
      </w:r>
      <w:r w:rsidR="005B2A41">
        <w:t xml:space="preserve"> </w:t>
      </w:r>
      <w:r w:rsidRPr="00B02247">
        <w:t>subject.</w:t>
      </w:r>
    </w:p>
    <w:p w:rsidR="00F233AB" w:rsidRPr="00B02247" w:rsidRDefault="00F233AB" w:rsidP="009D5D9B">
      <w:pPr>
        <w:pStyle w:val="H23G"/>
      </w:pPr>
      <w:r w:rsidRPr="00B02247">
        <w:tab/>
      </w:r>
      <w:r w:rsidRPr="00B02247">
        <w:tab/>
        <w:t>Measures</w:t>
      </w:r>
      <w:r w:rsidR="005B2A41">
        <w:t xml:space="preserve"> </w:t>
      </w:r>
      <w:r w:rsidRPr="00B02247">
        <w:t>towards</w:t>
      </w:r>
      <w:r w:rsidR="005B2A41">
        <w:t xml:space="preserve"> </w:t>
      </w:r>
      <w:r w:rsidRPr="00B02247">
        <w:t>gender</w:t>
      </w:r>
      <w:r w:rsidR="005B2A41">
        <w:t xml:space="preserve"> </w:t>
      </w:r>
      <w:r w:rsidRPr="00B02247">
        <w:t>equality</w:t>
      </w:r>
    </w:p>
    <w:p w:rsidR="00F233AB" w:rsidRPr="00B02247" w:rsidRDefault="00F233AB" w:rsidP="00E1307D">
      <w:pPr>
        <w:pStyle w:val="SingleTxtG"/>
      </w:pPr>
      <w:r w:rsidRPr="00B02247">
        <w:t>205.</w:t>
      </w:r>
      <w:r w:rsidRPr="00B02247">
        <w:tab/>
        <w:t>Greece</w:t>
      </w:r>
      <w:r w:rsidR="003E731F">
        <w:t>’</w:t>
      </w:r>
      <w:r w:rsidRPr="00B02247">
        <w:t>s</w:t>
      </w:r>
      <w:r w:rsidR="005B2A41">
        <w:t xml:space="preserve"> </w:t>
      </w:r>
      <w:r w:rsidRPr="00B02247">
        <w:t>main</w:t>
      </w:r>
      <w:r w:rsidR="005B2A41">
        <w:t xml:space="preserve"> </w:t>
      </w:r>
      <w:r w:rsidRPr="00B02247">
        <w:t>priorities</w:t>
      </w:r>
      <w:r w:rsidR="005B2A41">
        <w:t xml:space="preserve"> </w:t>
      </w:r>
      <w:r w:rsidRPr="00B02247">
        <w:t>in</w:t>
      </w:r>
      <w:r w:rsidR="005B2A41">
        <w:t xml:space="preserve"> </w:t>
      </w:r>
      <w:r w:rsidRPr="00B02247">
        <w:t>the</w:t>
      </w:r>
      <w:r w:rsidR="005B2A41">
        <w:t xml:space="preserve"> </w:t>
      </w:r>
      <w:r w:rsidRPr="00B02247">
        <w:t>field</w:t>
      </w:r>
      <w:r w:rsidR="005B2A41">
        <w:t xml:space="preserve"> </w:t>
      </w:r>
      <w:r w:rsidRPr="00B02247">
        <w:t>of</w:t>
      </w:r>
      <w:r w:rsidR="005B2A41">
        <w:t xml:space="preserve"> </w:t>
      </w:r>
      <w:r w:rsidRPr="00B02247">
        <w:t>gender</w:t>
      </w:r>
      <w:r w:rsidR="005B2A41">
        <w:t xml:space="preserve"> </w:t>
      </w:r>
      <w:r w:rsidRPr="00B02247">
        <w:t>equality</w:t>
      </w:r>
      <w:r w:rsidR="005B2A41">
        <w:t xml:space="preserve"> </w:t>
      </w:r>
      <w:r w:rsidRPr="00B02247">
        <w:t>are</w:t>
      </w:r>
      <w:r w:rsidR="005B2A41">
        <w:t xml:space="preserve"> </w:t>
      </w:r>
      <w:r w:rsidRPr="00B02247">
        <w:t>reflected</w:t>
      </w:r>
      <w:r w:rsidR="005B2A41">
        <w:t xml:space="preserve"> </w:t>
      </w:r>
      <w:r w:rsidRPr="00B02247">
        <w:t>in</w:t>
      </w:r>
      <w:r w:rsidR="005B2A41">
        <w:t xml:space="preserve"> </w:t>
      </w:r>
      <w:r w:rsidRPr="00B02247">
        <w:t>the</w:t>
      </w:r>
      <w:r w:rsidR="005B2A41">
        <w:t xml:space="preserve"> </w:t>
      </w:r>
      <w:r w:rsidRPr="00B02247">
        <w:t>new</w:t>
      </w:r>
      <w:r w:rsidR="005B2A41">
        <w:t xml:space="preserve"> </w:t>
      </w:r>
      <w:r w:rsidRPr="00B02247">
        <w:t>National</w:t>
      </w:r>
      <w:r w:rsidR="005B2A41">
        <w:t xml:space="preserve"> </w:t>
      </w:r>
      <w:r w:rsidRPr="00B02247">
        <w:t>Action</w:t>
      </w:r>
      <w:r w:rsidR="005B2A41">
        <w:t xml:space="preserve"> </w:t>
      </w:r>
      <w:r w:rsidRPr="00B02247">
        <w:t>Plan</w:t>
      </w:r>
      <w:r w:rsidR="005B2A41">
        <w:t xml:space="preserve"> </w:t>
      </w:r>
      <w:r w:rsidRPr="00B02247">
        <w:t>on</w:t>
      </w:r>
      <w:r w:rsidR="005B2A41">
        <w:t xml:space="preserve"> </w:t>
      </w:r>
      <w:r w:rsidRPr="00B02247">
        <w:t>Gender</w:t>
      </w:r>
      <w:r w:rsidR="005B2A41">
        <w:t xml:space="preserve"> </w:t>
      </w:r>
      <w:r w:rsidRPr="00B02247">
        <w:t>Equality</w:t>
      </w:r>
      <w:r w:rsidR="005B2A41">
        <w:t xml:space="preserve"> </w:t>
      </w:r>
      <w:r w:rsidRPr="00B02247">
        <w:t>2016</w:t>
      </w:r>
      <w:r w:rsidR="00915034">
        <w:t>–</w:t>
      </w:r>
      <w:r w:rsidRPr="00B02247">
        <w:t>2020</w:t>
      </w:r>
      <w:r w:rsidR="005B2A41">
        <w:t xml:space="preserve"> </w:t>
      </w:r>
      <w:r w:rsidRPr="00B02247">
        <w:t>(NAPGE),</w:t>
      </w:r>
      <w:r w:rsidR="005B2A41">
        <w:t xml:space="preserve"> </w:t>
      </w:r>
      <w:r w:rsidRPr="00B02247">
        <w:t>prepared</w:t>
      </w:r>
      <w:r w:rsidR="005B2A41">
        <w:t xml:space="preserve"> </w:t>
      </w:r>
      <w:r w:rsidRPr="00B02247">
        <w:t>by</w:t>
      </w:r>
      <w:r w:rsidR="005B2A41">
        <w:t xml:space="preserve"> </w:t>
      </w:r>
      <w:r w:rsidRPr="00B02247">
        <w:t>the</w:t>
      </w:r>
      <w:r w:rsidR="005B2A41">
        <w:t xml:space="preserve"> </w:t>
      </w:r>
      <w:r w:rsidRPr="00B02247">
        <w:t>General</w:t>
      </w:r>
      <w:r w:rsidR="005B2A41">
        <w:t xml:space="preserve"> </w:t>
      </w:r>
      <w:r w:rsidRPr="00B02247">
        <w:t>Secretariat</w:t>
      </w:r>
      <w:r w:rsidR="005B2A41">
        <w:t xml:space="preserve"> </w:t>
      </w:r>
      <w:r w:rsidRPr="00B02247">
        <w:t>for</w:t>
      </w:r>
      <w:r w:rsidR="005B2A41">
        <w:t xml:space="preserve"> </w:t>
      </w:r>
      <w:r w:rsidRPr="00B02247">
        <w:t>Gender</w:t>
      </w:r>
      <w:r w:rsidR="005B2A41">
        <w:t xml:space="preserve"> </w:t>
      </w:r>
      <w:r w:rsidRPr="00B02247">
        <w:t>Equality/Ministry</w:t>
      </w:r>
      <w:r w:rsidR="005B2A41">
        <w:t xml:space="preserve"> </w:t>
      </w:r>
      <w:r w:rsidRPr="00B02247">
        <w:t>of</w:t>
      </w:r>
      <w:r w:rsidR="005B2A41">
        <w:t xml:space="preserve"> </w:t>
      </w:r>
      <w:r w:rsidRPr="00B02247">
        <w:t>Interior</w:t>
      </w:r>
      <w:r w:rsidR="005B2A41">
        <w:t xml:space="preserve"> </w:t>
      </w:r>
      <w:r w:rsidRPr="00B02247">
        <w:t>in</w:t>
      </w:r>
      <w:r w:rsidR="005B2A41">
        <w:t xml:space="preserve"> </w:t>
      </w:r>
      <w:r w:rsidRPr="00B02247">
        <w:t>cooperation</w:t>
      </w:r>
      <w:r w:rsidR="005B2A41">
        <w:t xml:space="preserve"> </w:t>
      </w:r>
      <w:r w:rsidRPr="00B02247">
        <w:t>with</w:t>
      </w:r>
      <w:r w:rsidR="005B2A41">
        <w:t xml:space="preserve"> </w:t>
      </w:r>
      <w:r w:rsidRPr="00B02247">
        <w:t>other</w:t>
      </w:r>
      <w:r w:rsidR="005B2A41">
        <w:t xml:space="preserve"> </w:t>
      </w:r>
      <w:r w:rsidRPr="00B02247">
        <w:t>public</w:t>
      </w:r>
      <w:r w:rsidR="005B2A41">
        <w:t xml:space="preserve"> </w:t>
      </w:r>
      <w:r w:rsidRPr="00B02247">
        <w:t>bodies,</w:t>
      </w:r>
      <w:r w:rsidR="005B2A41">
        <w:t xml:space="preserve"> </w:t>
      </w:r>
      <w:r w:rsidRPr="00B02247">
        <w:t>academia</w:t>
      </w:r>
      <w:r w:rsidR="005B2A41">
        <w:t xml:space="preserve"> </w:t>
      </w:r>
      <w:r w:rsidRPr="00B02247">
        <w:t>and</w:t>
      </w:r>
      <w:r w:rsidR="005B2A41">
        <w:t xml:space="preserve"> </w:t>
      </w:r>
      <w:r w:rsidRPr="00B02247">
        <w:t>civil</w:t>
      </w:r>
      <w:r w:rsidR="005B2A41">
        <w:t xml:space="preserve"> </w:t>
      </w:r>
      <w:r w:rsidRPr="00B02247">
        <w:t>society</w:t>
      </w:r>
      <w:r w:rsidR="005B2A41">
        <w:t xml:space="preserve"> </w:t>
      </w:r>
      <w:r w:rsidRPr="00B02247">
        <w:t>and</w:t>
      </w:r>
      <w:r w:rsidR="005B2A41">
        <w:t xml:space="preserve"> </w:t>
      </w:r>
      <w:r w:rsidRPr="00B02247">
        <w:t>aligned</w:t>
      </w:r>
      <w:r w:rsidR="005B2A41">
        <w:t xml:space="preserve"> </w:t>
      </w:r>
      <w:r w:rsidRPr="00B02247">
        <w:t>with</w:t>
      </w:r>
      <w:r w:rsidR="005B2A41">
        <w:t xml:space="preserve"> </w:t>
      </w:r>
      <w:r w:rsidRPr="00B02247">
        <w:t>the</w:t>
      </w:r>
      <w:r w:rsidR="005B2A41">
        <w:t xml:space="preserve"> </w:t>
      </w:r>
      <w:r w:rsidRPr="00B02247">
        <w:t>priorities</w:t>
      </w:r>
      <w:r w:rsidR="005B2A41">
        <w:t xml:space="preserve"> </w:t>
      </w:r>
      <w:r w:rsidRPr="00B02247">
        <w:t>of</w:t>
      </w:r>
      <w:r w:rsidR="005B2A41">
        <w:t xml:space="preserve"> </w:t>
      </w:r>
      <w:r w:rsidRPr="00B02247">
        <w:t>the</w:t>
      </w:r>
      <w:r w:rsidR="005B2A41">
        <w:t xml:space="preserve"> </w:t>
      </w:r>
      <w:r w:rsidRPr="00B02247">
        <w:t>European</w:t>
      </w:r>
      <w:r w:rsidR="005B2A41">
        <w:t xml:space="preserve"> </w:t>
      </w:r>
      <w:r w:rsidRPr="00B02247">
        <w:t>Union</w:t>
      </w:r>
      <w:r w:rsidR="005B2A41">
        <w:t xml:space="preserve"> </w:t>
      </w:r>
      <w:r w:rsidRPr="00B02247">
        <w:t>and</w:t>
      </w:r>
      <w:r w:rsidR="005B2A41">
        <w:t xml:space="preserve"> </w:t>
      </w:r>
      <w:r w:rsidRPr="00B02247">
        <w:t>United</w:t>
      </w:r>
      <w:r w:rsidR="005B2A41">
        <w:t xml:space="preserve"> </w:t>
      </w:r>
      <w:r w:rsidRPr="00B02247">
        <w:t>Nations</w:t>
      </w:r>
      <w:r w:rsidR="005B2A41">
        <w:t xml:space="preserve"> </w:t>
      </w:r>
      <w:r w:rsidRPr="00B02247">
        <w:t>on</w:t>
      </w:r>
      <w:r w:rsidR="005B2A41">
        <w:t xml:space="preserve"> </w:t>
      </w:r>
      <w:r w:rsidRPr="00B02247">
        <w:t>Gender</w:t>
      </w:r>
      <w:r w:rsidR="005B2A41">
        <w:t xml:space="preserve"> </w:t>
      </w:r>
      <w:r w:rsidRPr="00B02247">
        <w:t>Equality.</w:t>
      </w:r>
      <w:r w:rsidR="005B2A41">
        <w:t xml:space="preserve"> </w:t>
      </w:r>
      <w:r w:rsidRPr="00B02247">
        <w:t>The</w:t>
      </w:r>
      <w:r w:rsidR="005B2A41">
        <w:t xml:space="preserve"> </w:t>
      </w:r>
      <w:r w:rsidRPr="00B02247">
        <w:t>NAPGE</w:t>
      </w:r>
      <w:r w:rsidR="005B2A41">
        <w:t xml:space="preserve"> </w:t>
      </w:r>
      <w:r w:rsidRPr="00B02247">
        <w:t>is</w:t>
      </w:r>
      <w:r w:rsidR="005B2A41">
        <w:t xml:space="preserve"> </w:t>
      </w:r>
      <w:r w:rsidRPr="00B02247">
        <w:t>of</w:t>
      </w:r>
      <w:r w:rsidR="005B2A41">
        <w:t xml:space="preserve"> </w:t>
      </w:r>
      <w:r w:rsidRPr="00B02247">
        <w:t>national</w:t>
      </w:r>
      <w:r w:rsidR="005B2A41">
        <w:t xml:space="preserve"> </w:t>
      </w:r>
      <w:r w:rsidRPr="00B02247">
        <w:t>scope</w:t>
      </w:r>
      <w:r w:rsidR="005B2A41">
        <w:t xml:space="preserve"> </w:t>
      </w:r>
      <w:r w:rsidRPr="00B02247">
        <w:t>and</w:t>
      </w:r>
      <w:r w:rsidR="005B2A41">
        <w:t xml:space="preserve"> </w:t>
      </w:r>
      <w:r w:rsidRPr="00B02247">
        <w:t>the</w:t>
      </w:r>
      <w:r w:rsidR="005B2A41">
        <w:t xml:space="preserve"> </w:t>
      </w:r>
      <w:r w:rsidRPr="00B02247">
        <w:t>strategic</w:t>
      </w:r>
      <w:r w:rsidR="005B2A41">
        <w:t xml:space="preserve"> </w:t>
      </w:r>
      <w:r w:rsidRPr="00B02247">
        <w:t>objectives</w:t>
      </w:r>
      <w:r w:rsidR="005B2A41">
        <w:t xml:space="preserve"> </w:t>
      </w:r>
      <w:r w:rsidRPr="00B02247">
        <w:t>set</w:t>
      </w:r>
      <w:r w:rsidR="005B2A41">
        <w:t xml:space="preserve"> </w:t>
      </w:r>
      <w:r w:rsidRPr="00B02247">
        <w:t>for</w:t>
      </w:r>
      <w:r w:rsidR="005B2A41">
        <w:t xml:space="preserve"> </w:t>
      </w:r>
      <w:r w:rsidRPr="00B02247">
        <w:t>the</w:t>
      </w:r>
      <w:r w:rsidR="005B2A41">
        <w:t xml:space="preserve"> </w:t>
      </w:r>
      <w:r w:rsidRPr="00B02247">
        <w:t>new</w:t>
      </w:r>
      <w:r w:rsidR="005B2A41">
        <w:t xml:space="preserve"> </w:t>
      </w:r>
      <w:r w:rsidRPr="00B02247">
        <w:t>period</w:t>
      </w:r>
      <w:r w:rsidR="005B2A41">
        <w:t xml:space="preserve"> </w:t>
      </w:r>
      <w:r w:rsidRPr="00B02247">
        <w:t>2016</w:t>
      </w:r>
      <w:r w:rsidR="00915034">
        <w:t>–</w:t>
      </w:r>
      <w:r w:rsidRPr="00B02247">
        <w:t>2020</w:t>
      </w:r>
      <w:r w:rsidR="005B2A41">
        <w:t xml:space="preserve"> </w:t>
      </w:r>
      <w:r w:rsidRPr="00B02247">
        <w:t>are</w:t>
      </w:r>
      <w:r w:rsidR="005B2A41">
        <w:t xml:space="preserve"> </w:t>
      </w:r>
      <w:r w:rsidRPr="00B02247">
        <w:t>as</w:t>
      </w:r>
      <w:r w:rsidR="005B2A41">
        <w:t xml:space="preserve"> </w:t>
      </w:r>
      <w:r w:rsidRPr="00B02247">
        <w:t>follows:</w:t>
      </w:r>
      <w:r w:rsidR="005B2A41">
        <w:t xml:space="preserve"> </w:t>
      </w:r>
      <w:r w:rsidRPr="00B02247">
        <w:t>social</w:t>
      </w:r>
      <w:r w:rsidR="005B2A41">
        <w:t xml:space="preserve"> </w:t>
      </w:r>
      <w:r w:rsidRPr="00B02247">
        <w:t>inclusion</w:t>
      </w:r>
      <w:r w:rsidR="005B2A41">
        <w:t xml:space="preserve"> </w:t>
      </w:r>
      <w:r w:rsidRPr="00B02247">
        <w:t>and</w:t>
      </w:r>
      <w:r w:rsidR="005B2A41">
        <w:t xml:space="preserve"> </w:t>
      </w:r>
      <w:r w:rsidRPr="00B02247">
        <w:t>equal</w:t>
      </w:r>
      <w:r w:rsidR="005B2A41">
        <w:t xml:space="preserve"> </w:t>
      </w:r>
      <w:r w:rsidRPr="00B02247">
        <w:t>treatment</w:t>
      </w:r>
      <w:r w:rsidR="005B2A41">
        <w:t xml:space="preserve"> </w:t>
      </w:r>
      <w:r w:rsidRPr="00B02247">
        <w:t>of</w:t>
      </w:r>
      <w:r w:rsidR="005B2A41">
        <w:t xml:space="preserve"> </w:t>
      </w:r>
      <w:r w:rsidRPr="00B02247">
        <w:t>women</w:t>
      </w:r>
      <w:r w:rsidR="005B2A41">
        <w:t xml:space="preserve"> </w:t>
      </w:r>
      <w:r w:rsidRPr="00B02247">
        <w:t>facing</w:t>
      </w:r>
      <w:r w:rsidR="005B2A41">
        <w:t xml:space="preserve"> </w:t>
      </w:r>
      <w:r w:rsidRPr="00B02247">
        <w:t>multiple</w:t>
      </w:r>
      <w:r w:rsidR="005B2A41">
        <w:t xml:space="preserve"> </w:t>
      </w:r>
      <w:r w:rsidRPr="00B02247">
        <w:t>discrimination;</w:t>
      </w:r>
      <w:r w:rsidR="005B2A41">
        <w:t xml:space="preserve"> </w:t>
      </w:r>
      <w:r w:rsidRPr="00B02247">
        <w:t>combating</w:t>
      </w:r>
      <w:r w:rsidR="005B2A41">
        <w:t xml:space="preserve"> </w:t>
      </w:r>
      <w:r w:rsidRPr="00B02247">
        <w:t>violence</w:t>
      </w:r>
      <w:r w:rsidR="005B2A41">
        <w:t xml:space="preserve"> </w:t>
      </w:r>
      <w:r w:rsidRPr="00B02247">
        <w:t>against</w:t>
      </w:r>
      <w:r w:rsidR="005B2A41">
        <w:t xml:space="preserve"> </w:t>
      </w:r>
      <w:r w:rsidRPr="00B02247">
        <w:t>women;</w:t>
      </w:r>
      <w:r w:rsidR="005B2A41">
        <w:t xml:space="preserve"> </w:t>
      </w:r>
      <w:r w:rsidRPr="00B02247">
        <w:t>labour</w:t>
      </w:r>
      <w:r w:rsidR="005B2A41">
        <w:t xml:space="preserve"> </w:t>
      </w:r>
      <w:r w:rsidRPr="00B02247">
        <w:t>market,</w:t>
      </w:r>
      <w:r w:rsidR="005B2A41">
        <w:t xml:space="preserve"> </w:t>
      </w:r>
      <w:r w:rsidRPr="00B02247">
        <w:t>work-family</w:t>
      </w:r>
      <w:r w:rsidR="005B2A41">
        <w:t xml:space="preserve"> </w:t>
      </w:r>
      <w:r w:rsidRPr="00B02247">
        <w:t>reconciliation;</w:t>
      </w:r>
      <w:r w:rsidR="005B2A41">
        <w:t xml:space="preserve"> </w:t>
      </w:r>
      <w:r w:rsidRPr="00B02247">
        <w:t>education,</w:t>
      </w:r>
      <w:r w:rsidR="005B2A41">
        <w:t xml:space="preserve"> </w:t>
      </w:r>
      <w:r w:rsidRPr="00B02247">
        <w:t>training,</w:t>
      </w:r>
      <w:r w:rsidR="005B2A41">
        <w:t xml:space="preserve"> </w:t>
      </w:r>
      <w:r w:rsidRPr="00B02247">
        <w:t>media,</w:t>
      </w:r>
      <w:r w:rsidR="005B2A41">
        <w:t xml:space="preserve"> </w:t>
      </w:r>
      <w:r w:rsidRPr="00B02247">
        <w:t>culture,</w:t>
      </w:r>
      <w:r w:rsidR="005B2A41">
        <w:t xml:space="preserve"> </w:t>
      </w:r>
      <w:r w:rsidRPr="00B02247">
        <w:t>sports;</w:t>
      </w:r>
      <w:r w:rsidR="005B2A41">
        <w:t xml:space="preserve"> </w:t>
      </w:r>
      <w:r w:rsidRPr="00B02247">
        <w:t>health;</w:t>
      </w:r>
      <w:r w:rsidR="005B2A41">
        <w:t xml:space="preserve"> </w:t>
      </w:r>
      <w:r w:rsidRPr="00B02247">
        <w:t>equal</w:t>
      </w:r>
      <w:r w:rsidR="005B2A41">
        <w:t xml:space="preserve"> </w:t>
      </w:r>
      <w:r w:rsidRPr="00B02247">
        <w:t>participation</w:t>
      </w:r>
      <w:r w:rsidR="005B2A41">
        <w:t xml:space="preserve"> </w:t>
      </w:r>
      <w:r w:rsidRPr="00B02247">
        <w:t>of</w:t>
      </w:r>
      <w:r w:rsidR="005B2A41">
        <w:t xml:space="preserve"> </w:t>
      </w:r>
      <w:r w:rsidRPr="00B02247">
        <w:t>women</w:t>
      </w:r>
      <w:r w:rsidR="005B2A41">
        <w:t xml:space="preserve"> </w:t>
      </w:r>
      <w:r w:rsidRPr="00B02247">
        <w:t>in</w:t>
      </w:r>
      <w:r w:rsidR="005B2A41">
        <w:t xml:space="preserve"> </w:t>
      </w:r>
      <w:r w:rsidRPr="00B02247">
        <w:t>decision-making</w:t>
      </w:r>
      <w:r w:rsidR="005B2A41">
        <w:t xml:space="preserve"> </w:t>
      </w:r>
      <w:r w:rsidRPr="00B02247">
        <w:t>positions.</w:t>
      </w:r>
    </w:p>
    <w:p w:rsidR="00F233AB" w:rsidRPr="00B02247" w:rsidRDefault="00F233AB" w:rsidP="00E1307D">
      <w:pPr>
        <w:pStyle w:val="SingleTxtG"/>
      </w:pPr>
      <w:r w:rsidRPr="00B02247">
        <w:lastRenderedPageBreak/>
        <w:t>206.</w:t>
      </w:r>
      <w:r w:rsidRPr="00B02247">
        <w:tab/>
        <w:t>NAPGE</w:t>
      </w:r>
      <w:r w:rsidR="005B2A41">
        <w:t xml:space="preserve"> </w:t>
      </w:r>
      <w:r w:rsidRPr="00B02247">
        <w:t>includes</w:t>
      </w:r>
      <w:r w:rsidR="005B2A41">
        <w:t xml:space="preserve"> </w:t>
      </w:r>
      <w:r w:rsidRPr="00B02247">
        <w:t>a</w:t>
      </w:r>
      <w:r w:rsidR="005B2A41">
        <w:t xml:space="preserve"> </w:t>
      </w:r>
      <w:r w:rsidRPr="00B02247">
        <w:t>variety</w:t>
      </w:r>
      <w:r w:rsidR="005B2A41">
        <w:t xml:space="preserve"> </w:t>
      </w:r>
      <w:r w:rsidRPr="00B02247">
        <w:t>of</w:t>
      </w:r>
      <w:r w:rsidR="005B2A41">
        <w:t xml:space="preserve"> </w:t>
      </w:r>
      <w:r w:rsidRPr="00B02247">
        <w:t>horizontal</w:t>
      </w:r>
      <w:r w:rsidR="005B2A41">
        <w:t xml:space="preserve"> </w:t>
      </w:r>
      <w:r w:rsidRPr="00B02247">
        <w:t>interventions</w:t>
      </w:r>
      <w:r w:rsidR="005B2A41">
        <w:t xml:space="preserve"> </w:t>
      </w:r>
      <w:r w:rsidRPr="00B02247">
        <w:t>in</w:t>
      </w:r>
      <w:r w:rsidR="005B2A41">
        <w:t xml:space="preserve"> </w:t>
      </w:r>
      <w:r w:rsidRPr="00B02247">
        <w:t>public</w:t>
      </w:r>
      <w:r w:rsidR="005B2A41">
        <w:t xml:space="preserve"> </w:t>
      </w:r>
      <w:r w:rsidRPr="00B02247">
        <w:t>policy</w:t>
      </w:r>
      <w:r w:rsidR="005B2A41">
        <w:t xml:space="preserve"> </w:t>
      </w:r>
      <w:r w:rsidRPr="00B02247">
        <w:t>and</w:t>
      </w:r>
      <w:r w:rsidR="005B2A41">
        <w:t xml:space="preserve"> </w:t>
      </w:r>
      <w:r w:rsidRPr="00B02247">
        <w:t>vertical</w:t>
      </w:r>
      <w:r w:rsidR="005B2A41">
        <w:t xml:space="preserve"> </w:t>
      </w:r>
      <w:r w:rsidRPr="00B02247">
        <w:t>specialized</w:t>
      </w:r>
      <w:r w:rsidR="005B2A41">
        <w:t xml:space="preserve"> </w:t>
      </w:r>
      <w:r w:rsidRPr="00B02247">
        <w:t>policies</w:t>
      </w:r>
      <w:r w:rsidR="005B2A41">
        <w:t xml:space="preserve"> </w:t>
      </w:r>
      <w:r w:rsidRPr="00B02247">
        <w:t>aimed</w:t>
      </w:r>
      <w:r w:rsidR="005B2A41">
        <w:t xml:space="preserve"> </w:t>
      </w:r>
      <w:r w:rsidRPr="00B02247">
        <w:t>at</w:t>
      </w:r>
      <w:r w:rsidR="005B2A41">
        <w:t xml:space="preserve"> </w:t>
      </w:r>
      <w:r w:rsidRPr="00B02247">
        <w:t>women</w:t>
      </w:r>
      <w:r w:rsidR="005B2A41">
        <w:t xml:space="preserve"> </w:t>
      </w:r>
      <w:r w:rsidRPr="00B02247">
        <w:t>and</w:t>
      </w:r>
      <w:r w:rsidR="005B2A41">
        <w:t xml:space="preserve"> </w:t>
      </w:r>
      <w:r w:rsidRPr="00B02247">
        <w:t>men</w:t>
      </w:r>
      <w:r w:rsidR="005B2A41">
        <w:t xml:space="preserve"> </w:t>
      </w:r>
      <w:r w:rsidRPr="00B02247">
        <w:t>in</w:t>
      </w:r>
      <w:r w:rsidR="005B2A41">
        <w:t xml:space="preserve"> </w:t>
      </w:r>
      <w:r w:rsidRPr="00B02247">
        <w:t>areas</w:t>
      </w:r>
      <w:r w:rsidR="005B2A41">
        <w:t xml:space="preserve"> </w:t>
      </w:r>
      <w:r w:rsidRPr="00B02247">
        <w:t>where</w:t>
      </w:r>
      <w:r w:rsidR="005B2A41">
        <w:t xml:space="preserve"> </w:t>
      </w:r>
      <w:r w:rsidRPr="00B02247">
        <w:t>inequalities</w:t>
      </w:r>
      <w:r w:rsidR="005B2A41">
        <w:t xml:space="preserve"> </w:t>
      </w:r>
      <w:r w:rsidRPr="00B02247">
        <w:t>are</w:t>
      </w:r>
      <w:r w:rsidR="005B2A41">
        <w:t xml:space="preserve"> </w:t>
      </w:r>
      <w:r w:rsidRPr="00B02247">
        <w:t>identified.</w:t>
      </w:r>
    </w:p>
    <w:p w:rsidR="00F233AB" w:rsidRPr="00B02247" w:rsidRDefault="00F233AB" w:rsidP="007C6128">
      <w:pPr>
        <w:pStyle w:val="SingleTxtG"/>
      </w:pPr>
      <w:r w:rsidRPr="00B02247">
        <w:t>207.</w:t>
      </w:r>
      <w:r w:rsidRPr="00B02247">
        <w:tab/>
        <w:t>Within</w:t>
      </w:r>
      <w:r w:rsidR="005B2A41">
        <w:t xml:space="preserve"> </w:t>
      </w:r>
      <w:r w:rsidRPr="00B02247">
        <w:t>the</w:t>
      </w:r>
      <w:r w:rsidR="005B2A41">
        <w:t xml:space="preserve"> </w:t>
      </w:r>
      <w:r w:rsidRPr="00B02247">
        <w:t>strategic</w:t>
      </w:r>
      <w:r w:rsidR="005B2A41">
        <w:t xml:space="preserve"> </w:t>
      </w:r>
      <w:r w:rsidRPr="00B02247">
        <w:t>objective</w:t>
      </w:r>
      <w:r w:rsidR="005B2A41">
        <w:t xml:space="preserve"> </w:t>
      </w:r>
      <w:r w:rsidRPr="00B02247">
        <w:t>2</w:t>
      </w:r>
      <w:r w:rsidR="005B2A41">
        <w:t xml:space="preserve"> </w:t>
      </w:r>
      <w:r w:rsidRPr="00B02247">
        <w:t>(Combating</w:t>
      </w:r>
      <w:r w:rsidR="005B2A41">
        <w:t xml:space="preserve"> </w:t>
      </w:r>
      <w:r w:rsidRPr="00B02247">
        <w:t>violence</w:t>
      </w:r>
      <w:r w:rsidR="005B2A41">
        <w:t xml:space="preserve"> </w:t>
      </w:r>
      <w:r w:rsidRPr="00B02247">
        <w:t>against</w:t>
      </w:r>
      <w:r w:rsidR="005B2A41">
        <w:t xml:space="preserve"> </w:t>
      </w:r>
      <w:r w:rsidRPr="00B02247">
        <w:t>women)</w:t>
      </w:r>
      <w:r w:rsidR="005B2A41">
        <w:t xml:space="preserve"> </w:t>
      </w:r>
      <w:r w:rsidRPr="00B02247">
        <w:t>the</w:t>
      </w:r>
      <w:r w:rsidR="005B2A41">
        <w:t xml:space="preserve"> </w:t>
      </w:r>
      <w:r w:rsidRPr="00B02247">
        <w:t>General</w:t>
      </w:r>
      <w:r w:rsidR="005B2A41">
        <w:t xml:space="preserve"> </w:t>
      </w:r>
      <w:r w:rsidRPr="00B02247">
        <w:t>Secretariat</w:t>
      </w:r>
      <w:r w:rsidR="005B2A41">
        <w:t xml:space="preserve"> </w:t>
      </w:r>
      <w:r w:rsidRPr="00B02247">
        <w:t>for</w:t>
      </w:r>
      <w:r w:rsidR="005B2A41">
        <w:t xml:space="preserve"> </w:t>
      </w:r>
      <w:r w:rsidRPr="00B02247">
        <w:t>Gender</w:t>
      </w:r>
      <w:r w:rsidR="005B2A41">
        <w:t xml:space="preserve"> </w:t>
      </w:r>
      <w:r w:rsidRPr="00B02247">
        <w:t>Equality</w:t>
      </w:r>
      <w:r w:rsidR="005B2A41">
        <w:t xml:space="preserve"> </w:t>
      </w:r>
      <w:r w:rsidRPr="00B02247">
        <w:t>of</w:t>
      </w:r>
      <w:r w:rsidR="005B2A41">
        <w:t xml:space="preserve"> </w:t>
      </w:r>
      <w:r w:rsidRPr="00B02247">
        <w:t>the</w:t>
      </w:r>
      <w:r w:rsidR="005B2A41">
        <w:t xml:space="preserve"> </w:t>
      </w:r>
      <w:r w:rsidRPr="00B02247">
        <w:t>Ministry</w:t>
      </w:r>
      <w:r w:rsidR="005B2A41">
        <w:t xml:space="preserve"> </w:t>
      </w:r>
      <w:r w:rsidRPr="00B02247">
        <w:t>of</w:t>
      </w:r>
      <w:r w:rsidR="005B2A41">
        <w:t xml:space="preserve"> </w:t>
      </w:r>
      <w:r w:rsidRPr="00B02247">
        <w:t>Interior,</w:t>
      </w:r>
      <w:r w:rsidR="005B2A41">
        <w:t xml:space="preserve"> </w:t>
      </w:r>
      <w:r w:rsidRPr="00B02247">
        <w:t>is</w:t>
      </w:r>
      <w:r w:rsidR="005B2A41">
        <w:t xml:space="preserve"> </w:t>
      </w:r>
      <w:r w:rsidRPr="00B02247">
        <w:t>implementing</w:t>
      </w:r>
      <w:r w:rsidR="005B2A41">
        <w:t xml:space="preserve"> </w:t>
      </w:r>
      <w:r w:rsidRPr="00B02247">
        <w:t>since</w:t>
      </w:r>
      <w:r w:rsidR="005B2A41">
        <w:t xml:space="preserve"> </w:t>
      </w:r>
      <w:r w:rsidRPr="00B02247">
        <w:t>2010</w:t>
      </w:r>
      <w:r w:rsidR="005B2A41">
        <w:t xml:space="preserve"> </w:t>
      </w:r>
      <w:r w:rsidRPr="00B02247">
        <w:t>the</w:t>
      </w:r>
      <w:r w:rsidR="005B2A41">
        <w:t xml:space="preserve"> </w:t>
      </w:r>
      <w:r w:rsidR="007C6128">
        <w:t>“</w:t>
      </w:r>
      <w:r w:rsidRPr="00B02247">
        <w:t>National</w:t>
      </w:r>
      <w:r w:rsidR="005B2A41">
        <w:t xml:space="preserve"> </w:t>
      </w:r>
      <w:r w:rsidRPr="00B02247">
        <w:t>Programme</w:t>
      </w:r>
      <w:r w:rsidR="005B2A41">
        <w:t xml:space="preserve"> </w:t>
      </w:r>
      <w:r w:rsidRPr="00B02247">
        <w:t>on</w:t>
      </w:r>
      <w:r w:rsidR="005B2A41">
        <w:t xml:space="preserve"> </w:t>
      </w:r>
      <w:r w:rsidRPr="00B02247">
        <w:t>Preventing</w:t>
      </w:r>
      <w:r w:rsidR="005B2A41">
        <w:t xml:space="preserve"> </w:t>
      </w:r>
      <w:r w:rsidRPr="00B02247">
        <w:t>and</w:t>
      </w:r>
      <w:r w:rsidR="005B2A41">
        <w:t xml:space="preserve"> </w:t>
      </w:r>
      <w:r w:rsidRPr="00B02247">
        <w:t>Combating</w:t>
      </w:r>
      <w:r w:rsidR="005B2A41">
        <w:t xml:space="preserve"> </w:t>
      </w:r>
      <w:r w:rsidRPr="00B02247">
        <w:t>Violence</w:t>
      </w:r>
      <w:r w:rsidR="005B2A41">
        <w:t xml:space="preserve"> </w:t>
      </w:r>
      <w:r w:rsidRPr="00B02247">
        <w:t>against</w:t>
      </w:r>
      <w:r w:rsidR="005B2A41">
        <w:t xml:space="preserve"> </w:t>
      </w:r>
      <w:r w:rsidRPr="00B02247">
        <w:t>Women</w:t>
      </w:r>
      <w:r w:rsidR="007C6128">
        <w:t>”</w:t>
      </w:r>
      <w:r w:rsidRPr="00B02247">
        <w:t>,</w:t>
      </w:r>
      <w:r w:rsidR="005B2A41">
        <w:t xml:space="preserve"> </w:t>
      </w:r>
      <w:r w:rsidRPr="00B02247">
        <w:t>which</w:t>
      </w:r>
      <w:r w:rsidR="005B2A41">
        <w:t xml:space="preserve"> </w:t>
      </w:r>
      <w:r w:rsidRPr="00B02247">
        <w:t>is</w:t>
      </w:r>
      <w:r w:rsidR="005B2A41">
        <w:t xml:space="preserve"> </w:t>
      </w:r>
      <w:r w:rsidRPr="00B02247">
        <w:t>the</w:t>
      </w:r>
      <w:r w:rsidR="005B2A41">
        <w:t xml:space="preserve"> </w:t>
      </w:r>
      <w:r w:rsidRPr="00B02247">
        <w:t>first</w:t>
      </w:r>
      <w:r w:rsidR="005B2A41">
        <w:t xml:space="preserve"> </w:t>
      </w:r>
      <w:r w:rsidRPr="00B02247">
        <w:t>comprehensive</w:t>
      </w:r>
      <w:r w:rsidR="005B2A41">
        <w:t xml:space="preserve"> </w:t>
      </w:r>
      <w:r w:rsidRPr="00B02247">
        <w:t>and</w:t>
      </w:r>
      <w:r w:rsidR="005B2A41">
        <w:t xml:space="preserve"> </w:t>
      </w:r>
      <w:r w:rsidRPr="00B02247">
        <w:t>coherent</w:t>
      </w:r>
      <w:r w:rsidR="005B2A41">
        <w:t xml:space="preserve"> </w:t>
      </w:r>
      <w:r w:rsidRPr="00B02247">
        <w:t>national</w:t>
      </w:r>
      <w:r w:rsidR="005B2A41">
        <w:t xml:space="preserve"> </w:t>
      </w:r>
      <w:r w:rsidRPr="00B02247">
        <w:t>action</w:t>
      </w:r>
      <w:r w:rsidR="005B2A41">
        <w:t xml:space="preserve"> </w:t>
      </w:r>
      <w:r w:rsidRPr="00B02247">
        <w:t>plan</w:t>
      </w:r>
      <w:r w:rsidR="005B2A41">
        <w:t xml:space="preserve"> </w:t>
      </w:r>
      <w:r w:rsidRPr="00B02247">
        <w:t>against</w:t>
      </w:r>
      <w:r w:rsidR="005B2A41">
        <w:t xml:space="preserve"> </w:t>
      </w:r>
      <w:r w:rsidRPr="00B02247">
        <w:t>gender</w:t>
      </w:r>
      <w:r w:rsidR="005B2A41">
        <w:t xml:space="preserve"> </w:t>
      </w:r>
      <w:r w:rsidRPr="00B02247">
        <w:t>based</w:t>
      </w:r>
      <w:r w:rsidR="005B2A41">
        <w:t xml:space="preserve"> </w:t>
      </w:r>
      <w:r w:rsidRPr="00B02247">
        <w:t>violence.</w:t>
      </w:r>
    </w:p>
    <w:p w:rsidR="00F233AB" w:rsidRPr="00B02247" w:rsidRDefault="00F233AB" w:rsidP="00E1307D">
      <w:pPr>
        <w:pStyle w:val="SingleTxtG"/>
      </w:pPr>
      <w:r w:rsidRPr="00B02247">
        <w:t>208.</w:t>
      </w:r>
      <w:r w:rsidRPr="00B02247">
        <w:tab/>
        <w:t>The</w:t>
      </w:r>
      <w:r w:rsidR="005B2A41">
        <w:t xml:space="preserve"> </w:t>
      </w:r>
      <w:r w:rsidR="003E731F">
        <w:t>“</w:t>
      </w:r>
      <w:r w:rsidRPr="00B02247">
        <w:t>National</w:t>
      </w:r>
      <w:r w:rsidR="005B2A41">
        <w:t xml:space="preserve"> </w:t>
      </w:r>
      <w:r w:rsidRPr="00B02247">
        <w:t>Programme</w:t>
      </w:r>
      <w:r w:rsidR="005B2A41">
        <w:t xml:space="preserve"> </w:t>
      </w:r>
      <w:r w:rsidRPr="00B02247">
        <w:t>on</w:t>
      </w:r>
      <w:r w:rsidR="005B2A41">
        <w:t xml:space="preserve"> </w:t>
      </w:r>
      <w:r w:rsidRPr="00B02247">
        <w:t>Preventing</w:t>
      </w:r>
      <w:r w:rsidR="005B2A41">
        <w:t xml:space="preserve"> </w:t>
      </w:r>
      <w:r w:rsidRPr="00B02247">
        <w:t>and</w:t>
      </w:r>
      <w:r w:rsidR="005B2A41">
        <w:t xml:space="preserve"> </w:t>
      </w:r>
      <w:r w:rsidRPr="00B02247">
        <w:t>Combating</w:t>
      </w:r>
      <w:r w:rsidR="005B2A41">
        <w:t xml:space="preserve"> </w:t>
      </w:r>
      <w:r w:rsidRPr="00B02247">
        <w:t>Violence</w:t>
      </w:r>
      <w:r w:rsidR="005B2A41">
        <w:t xml:space="preserve"> </w:t>
      </w:r>
      <w:r w:rsidRPr="00B02247">
        <w:t>against</w:t>
      </w:r>
      <w:r w:rsidR="005B2A41">
        <w:t xml:space="preserve"> </w:t>
      </w:r>
      <w:r w:rsidRPr="00B02247">
        <w:t>Women</w:t>
      </w:r>
      <w:r w:rsidR="003E731F">
        <w:t>”</w:t>
      </w:r>
      <w:r w:rsidRPr="00B02247">
        <w:t>,</w:t>
      </w:r>
      <w:r w:rsidR="005B2A41">
        <w:t xml:space="preserve"> </w:t>
      </w:r>
      <w:r w:rsidRPr="00B02247">
        <w:t>refers</w:t>
      </w:r>
      <w:r w:rsidR="005B2A41">
        <w:t xml:space="preserve"> </w:t>
      </w:r>
      <w:r w:rsidRPr="00B02247">
        <w:t>to</w:t>
      </w:r>
      <w:r w:rsidR="005B2A41">
        <w:t xml:space="preserve"> </w:t>
      </w:r>
      <w:r w:rsidRPr="00B02247">
        <w:t>all</w:t>
      </w:r>
      <w:r w:rsidR="005B2A41">
        <w:t xml:space="preserve"> </w:t>
      </w:r>
      <w:r w:rsidRPr="00B02247">
        <w:t>forms</w:t>
      </w:r>
      <w:r w:rsidR="005B2A41">
        <w:t xml:space="preserve"> </w:t>
      </w:r>
      <w:r w:rsidRPr="00B02247">
        <w:t>of</w:t>
      </w:r>
      <w:r w:rsidR="005B2A41">
        <w:t xml:space="preserve"> </w:t>
      </w:r>
      <w:r w:rsidRPr="00B02247">
        <w:t>gender</w:t>
      </w:r>
      <w:r w:rsidR="005B2A41">
        <w:t xml:space="preserve"> </w:t>
      </w:r>
      <w:r w:rsidRPr="00B02247">
        <w:t>based</w:t>
      </w:r>
      <w:r w:rsidR="005B2A41">
        <w:t xml:space="preserve"> </w:t>
      </w:r>
      <w:r w:rsidRPr="00B02247">
        <w:t>violence</w:t>
      </w:r>
      <w:r w:rsidR="005B2A41">
        <w:t xml:space="preserve"> </w:t>
      </w:r>
      <w:r w:rsidRPr="00B02247">
        <w:t>(e.g.</w:t>
      </w:r>
      <w:r w:rsidR="005B2A41">
        <w:t xml:space="preserve"> </w:t>
      </w:r>
      <w:r w:rsidRPr="00B02247">
        <w:t>domestic</w:t>
      </w:r>
      <w:r w:rsidR="005B2A41">
        <w:t xml:space="preserve"> </w:t>
      </w:r>
      <w:r w:rsidRPr="00B02247">
        <w:t>violence,</w:t>
      </w:r>
      <w:r w:rsidR="005B2A41">
        <w:t xml:space="preserve"> </w:t>
      </w:r>
      <w:r w:rsidRPr="00B02247">
        <w:t>rape,</w:t>
      </w:r>
      <w:r w:rsidR="005B2A41">
        <w:t xml:space="preserve"> </w:t>
      </w:r>
      <w:r w:rsidRPr="00B02247">
        <w:t>sexual</w:t>
      </w:r>
      <w:r w:rsidR="005B2A41">
        <w:t xml:space="preserve"> </w:t>
      </w:r>
      <w:r w:rsidRPr="00B02247">
        <w:t>harassment,</w:t>
      </w:r>
      <w:r w:rsidR="005B2A41">
        <w:t xml:space="preserve"> </w:t>
      </w:r>
      <w:r w:rsidRPr="00B02247">
        <w:t>trafficking</w:t>
      </w:r>
      <w:r w:rsidR="005B2A41">
        <w:t xml:space="preserve"> </w:t>
      </w:r>
      <w:r w:rsidRPr="00B02247">
        <w:t>in</w:t>
      </w:r>
      <w:r w:rsidR="005B2A41">
        <w:t xml:space="preserve"> </w:t>
      </w:r>
      <w:r w:rsidRPr="00B02247">
        <w:t>women).</w:t>
      </w:r>
    </w:p>
    <w:p w:rsidR="00F233AB" w:rsidRPr="00B02247" w:rsidRDefault="00F233AB" w:rsidP="00E1307D">
      <w:pPr>
        <w:pStyle w:val="SingleTxtG"/>
      </w:pPr>
      <w:r w:rsidRPr="00B02247">
        <w:t>209.</w:t>
      </w:r>
      <w:r w:rsidRPr="00B02247">
        <w:tab/>
        <w:t>Within</w:t>
      </w:r>
      <w:r w:rsidR="005B2A41">
        <w:t xml:space="preserve"> </w:t>
      </w:r>
      <w:r w:rsidRPr="00B02247">
        <w:t>this</w:t>
      </w:r>
      <w:r w:rsidR="005B2A41">
        <w:t xml:space="preserve"> </w:t>
      </w:r>
      <w:r w:rsidRPr="00B02247">
        <w:t>programme</w:t>
      </w:r>
      <w:r w:rsidR="005B2A41">
        <w:t xml:space="preserve"> </w:t>
      </w:r>
      <w:r w:rsidRPr="00B02247">
        <w:t>a</w:t>
      </w:r>
      <w:r w:rsidR="005B2A41">
        <w:t xml:space="preserve"> </w:t>
      </w:r>
      <w:r w:rsidRPr="00B02247">
        <w:t>network</w:t>
      </w:r>
      <w:r w:rsidR="005B2A41">
        <w:t xml:space="preserve"> </w:t>
      </w:r>
      <w:r w:rsidRPr="00B02247">
        <w:t>of</w:t>
      </w:r>
      <w:r w:rsidR="005B2A41">
        <w:t xml:space="preserve"> </w:t>
      </w:r>
      <w:r w:rsidRPr="00B02247">
        <w:t>62</w:t>
      </w:r>
      <w:r w:rsidR="005B2A41">
        <w:t xml:space="preserve"> </w:t>
      </w:r>
      <w:r w:rsidRPr="00B02247">
        <w:t>structures</w:t>
      </w:r>
      <w:r w:rsidR="005B2A41">
        <w:t xml:space="preserve"> </w:t>
      </w:r>
      <w:r w:rsidRPr="00B02247">
        <w:t>was</w:t>
      </w:r>
      <w:r w:rsidR="005B2A41">
        <w:t xml:space="preserve"> </w:t>
      </w:r>
      <w:r w:rsidRPr="00B02247">
        <w:t>established</w:t>
      </w:r>
      <w:r w:rsidR="005B2A41">
        <w:t xml:space="preserve"> </w:t>
      </w:r>
      <w:r w:rsidRPr="00B02247">
        <w:t>and</w:t>
      </w:r>
      <w:r w:rsidR="005B2A41">
        <w:t xml:space="preserve"> </w:t>
      </w:r>
      <w:r w:rsidRPr="00B02247">
        <w:t>operates</w:t>
      </w:r>
      <w:r w:rsidR="005B2A41">
        <w:t xml:space="preserve"> </w:t>
      </w:r>
      <w:r w:rsidRPr="00B02247">
        <w:t>for</w:t>
      </w:r>
      <w:r w:rsidR="005B2A41">
        <w:t xml:space="preserve"> </w:t>
      </w:r>
      <w:r w:rsidRPr="00B02247">
        <w:t>women</w:t>
      </w:r>
      <w:r w:rsidR="005B2A41">
        <w:t xml:space="preserve"> </w:t>
      </w:r>
      <w:r w:rsidRPr="00B02247">
        <w:t>victims</w:t>
      </w:r>
      <w:r w:rsidR="005B2A41">
        <w:t xml:space="preserve"> </w:t>
      </w:r>
      <w:r w:rsidRPr="00B02247">
        <w:t>of</w:t>
      </w:r>
      <w:r w:rsidR="005B2A41">
        <w:t xml:space="preserve"> </w:t>
      </w:r>
      <w:r w:rsidRPr="00B02247">
        <w:t>gender</w:t>
      </w:r>
      <w:r w:rsidR="005B2A41">
        <w:t xml:space="preserve"> </w:t>
      </w:r>
      <w:r w:rsidRPr="00B02247">
        <w:t>based</w:t>
      </w:r>
      <w:r w:rsidR="005B2A41">
        <w:t xml:space="preserve"> </w:t>
      </w:r>
      <w:r w:rsidRPr="00B02247">
        <w:t>violence.</w:t>
      </w:r>
      <w:r w:rsidR="005B2A41">
        <w:t xml:space="preserve"> </w:t>
      </w:r>
      <w:r w:rsidRPr="00B02247">
        <w:t>This</w:t>
      </w:r>
      <w:r w:rsidR="005B2A41">
        <w:t xml:space="preserve"> </w:t>
      </w:r>
      <w:r w:rsidRPr="00B02247">
        <w:t>network</w:t>
      </w:r>
      <w:r w:rsidR="005B2A41">
        <w:t xml:space="preserve"> </w:t>
      </w:r>
      <w:r w:rsidRPr="00B02247">
        <w:t>includes:</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the</w:t>
      </w:r>
      <w:r w:rsidR="005B2A41">
        <w:t xml:space="preserve"> </w:t>
      </w:r>
      <w:r w:rsidR="00F233AB" w:rsidRPr="00B02247">
        <w:t>bilingual</w:t>
      </w:r>
      <w:r w:rsidR="005B2A41">
        <w:t xml:space="preserve"> </w:t>
      </w:r>
      <w:r w:rsidR="00F233AB" w:rsidRPr="00B02247">
        <w:t>SOS</w:t>
      </w:r>
      <w:r w:rsidR="005B2A41">
        <w:t xml:space="preserve"> </w:t>
      </w:r>
      <w:r w:rsidR="00F233AB" w:rsidRPr="00B02247">
        <w:t>telephone</w:t>
      </w:r>
      <w:r w:rsidR="005B2A41">
        <w:t xml:space="preserve"> </w:t>
      </w:r>
      <w:r w:rsidR="00F233AB" w:rsidRPr="00B02247">
        <w:t>helpline</w:t>
      </w:r>
      <w:r w:rsidR="005B2A41">
        <w:t xml:space="preserve"> </w:t>
      </w:r>
      <w:r w:rsidR="00F233AB" w:rsidRPr="00B02247">
        <w:t>15900</w:t>
      </w:r>
      <w:r w:rsidR="005B2A41">
        <w:t xml:space="preserve"> </w:t>
      </w:r>
      <w:r w:rsidR="00F233AB" w:rsidRPr="00B02247">
        <w:t>and</w:t>
      </w:r>
      <w:r w:rsidR="005B2A41">
        <w:t xml:space="preserve"> </w:t>
      </w:r>
      <w:r w:rsidR="00F233AB" w:rsidRPr="00B02247">
        <w:t>the</w:t>
      </w:r>
      <w:r w:rsidR="005B2A41">
        <w:t xml:space="preserve"> </w:t>
      </w:r>
      <w:r w:rsidR="00F233AB" w:rsidRPr="00B02247">
        <w:t>e-mail</w:t>
      </w:r>
      <w:r w:rsidR="005B2A41">
        <w:t xml:space="preserve"> </w:t>
      </w:r>
      <w:r w:rsidR="00F233AB" w:rsidRPr="00B02247">
        <w:t>address</w:t>
      </w:r>
      <w:r w:rsidR="005B2A41">
        <w:t xml:space="preserve"> </w:t>
      </w:r>
      <w:r w:rsidR="00F233AB" w:rsidRPr="00B02247">
        <w:t>sos15900@isotita.gr</w:t>
      </w:r>
      <w:r w:rsidR="005B2A41">
        <w:t xml:space="preserve"> </w:t>
      </w:r>
      <w:r w:rsidR="00F233AB" w:rsidRPr="00B02247">
        <w:t>(both</w:t>
      </w:r>
      <w:r w:rsidR="005B2A41">
        <w:t xml:space="preserve"> </w:t>
      </w:r>
      <w:r w:rsidR="00F233AB" w:rsidRPr="00B02247">
        <w:t>in</w:t>
      </w:r>
      <w:r w:rsidR="005B2A41">
        <w:t xml:space="preserve"> </w:t>
      </w:r>
      <w:r w:rsidR="00F233AB" w:rsidRPr="00B02247">
        <w:t>Greek</w:t>
      </w:r>
      <w:r w:rsidR="005B2A41">
        <w:t xml:space="preserve"> </w:t>
      </w:r>
      <w:r w:rsidR="00F233AB" w:rsidRPr="00B02247">
        <w:t>and</w:t>
      </w:r>
      <w:r w:rsidR="005B2A41">
        <w:t xml:space="preserve"> </w:t>
      </w:r>
      <w:r w:rsidR="00F233AB" w:rsidRPr="00B02247">
        <w:t>English)</w:t>
      </w:r>
      <w:r w:rsidR="005B2A41">
        <w:t xml:space="preserve"> </w:t>
      </w:r>
      <w:r w:rsidR="00F233AB" w:rsidRPr="00B02247">
        <w:t>which</w:t>
      </w:r>
      <w:r w:rsidR="005B2A41">
        <w:t xml:space="preserve"> </w:t>
      </w:r>
      <w:r w:rsidR="00F233AB" w:rsidRPr="00B02247">
        <w:t>operates</w:t>
      </w:r>
      <w:r w:rsidR="005B2A41">
        <w:t xml:space="preserve"> </w:t>
      </w:r>
      <w:r w:rsidR="00F233AB" w:rsidRPr="00B02247">
        <w:t>24</w:t>
      </w:r>
      <w:r w:rsidR="005B2A41">
        <w:t xml:space="preserve"> </w:t>
      </w:r>
      <w:r w:rsidR="00F233AB" w:rsidRPr="00B02247">
        <w:t>hours/day</w:t>
      </w:r>
      <w:r w:rsidR="005B2A41">
        <w:t xml:space="preserve"> </w:t>
      </w:r>
      <w:r w:rsidR="00F233AB" w:rsidRPr="00B02247">
        <w:t>and</w:t>
      </w:r>
      <w:r w:rsidR="005B2A41">
        <w:t xml:space="preserve"> </w:t>
      </w:r>
      <w:r w:rsidR="00F233AB" w:rsidRPr="00B02247">
        <w:t>365</w:t>
      </w:r>
      <w:r w:rsidR="005B2A41">
        <w:t xml:space="preserve"> </w:t>
      </w:r>
      <w:r w:rsidR="00F233AB" w:rsidRPr="00B02247">
        <w:t>days/year.</w:t>
      </w:r>
      <w:r w:rsidR="005B2A41">
        <w:t xml:space="preserve"> </w:t>
      </w:r>
      <w:r w:rsidR="00F233AB" w:rsidRPr="00B02247">
        <w:t>It</w:t>
      </w:r>
      <w:r w:rsidR="005B2A41">
        <w:t xml:space="preserve"> </w:t>
      </w:r>
      <w:r w:rsidR="00F233AB" w:rsidRPr="00B02247">
        <w:t>is</w:t>
      </w:r>
      <w:r w:rsidR="005B2A41">
        <w:t xml:space="preserve"> </w:t>
      </w:r>
      <w:r w:rsidR="00F233AB" w:rsidRPr="00B02247">
        <w:t>a</w:t>
      </w:r>
      <w:r w:rsidR="005B2A41">
        <w:t xml:space="preserve"> </w:t>
      </w:r>
      <w:r w:rsidR="00F233AB" w:rsidRPr="00B02247">
        <w:t>low-cost</w:t>
      </w:r>
      <w:r w:rsidR="005B2A41">
        <w:t xml:space="preserve"> </w:t>
      </w:r>
      <w:r w:rsidR="00F233AB" w:rsidRPr="00B02247">
        <w:t>helpline,</w:t>
      </w:r>
      <w:r w:rsidR="005B2A41">
        <w:t xml:space="preserve"> </w:t>
      </w:r>
      <w:r w:rsidR="00F233AB" w:rsidRPr="00B02247">
        <w:t>nationwide,</w:t>
      </w:r>
      <w:r w:rsidR="005B2A41">
        <w:t xml:space="preserve"> </w:t>
      </w:r>
      <w:r w:rsidR="00F233AB" w:rsidRPr="00B02247">
        <w:t>confidential</w:t>
      </w:r>
      <w:r w:rsidR="005B2A41">
        <w:t xml:space="preserve"> </w:t>
      </w:r>
      <w:r w:rsidR="00F233AB" w:rsidRPr="00B02247">
        <w:t>and</w:t>
      </w:r>
      <w:r w:rsidR="005B2A41">
        <w:t xml:space="preserve"> </w:t>
      </w:r>
      <w:r w:rsidR="00F233AB" w:rsidRPr="00B02247">
        <w:t>staffed</w:t>
      </w:r>
      <w:r w:rsidR="005B2A41">
        <w:t xml:space="preserve"> </w:t>
      </w:r>
      <w:r w:rsidR="00F233AB" w:rsidRPr="00B02247">
        <w:t>by</w:t>
      </w:r>
      <w:r w:rsidR="005B2A41">
        <w:t xml:space="preserve"> </w:t>
      </w:r>
      <w:r w:rsidR="00F233AB" w:rsidRPr="00B02247">
        <w:t>gender-trained</w:t>
      </w:r>
      <w:r w:rsidR="005B2A41">
        <w:t xml:space="preserve"> </w:t>
      </w:r>
      <w:r w:rsidR="00F233AB" w:rsidRPr="00B02247">
        <w:t>counsellors;</w:t>
      </w:r>
      <w:r w:rsidR="005B2A41">
        <w:t xml:space="preserve"> </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40</w:t>
      </w:r>
      <w:r w:rsidR="005B2A41">
        <w:t xml:space="preserve"> </w:t>
      </w:r>
      <w:r w:rsidR="00F233AB" w:rsidRPr="00B02247">
        <w:t>Counseling</w:t>
      </w:r>
      <w:r w:rsidR="005B2A41">
        <w:t xml:space="preserve"> </w:t>
      </w:r>
      <w:r w:rsidR="00F233AB" w:rsidRPr="00B02247">
        <w:t>Centers</w:t>
      </w:r>
      <w:r w:rsidR="005B2A41">
        <w:t xml:space="preserve"> </w:t>
      </w:r>
      <w:r w:rsidR="00F233AB" w:rsidRPr="00B02247">
        <w:t>and</w:t>
      </w:r>
      <w:r w:rsidR="005B2A41">
        <w:t xml:space="preserve"> </w:t>
      </w:r>
      <w:r w:rsidR="00F233AB" w:rsidRPr="00B02247">
        <w:t>21</w:t>
      </w:r>
      <w:r w:rsidR="005B2A41">
        <w:t xml:space="preserve"> </w:t>
      </w:r>
      <w:r w:rsidR="00F233AB" w:rsidRPr="00B02247">
        <w:t>shelters</w:t>
      </w:r>
      <w:r w:rsidR="005B2A41">
        <w:t xml:space="preserve"> </w:t>
      </w:r>
      <w:r w:rsidR="00F233AB" w:rsidRPr="00B02247">
        <w:t>all</w:t>
      </w:r>
      <w:r w:rsidR="005B2A41">
        <w:t xml:space="preserve"> </w:t>
      </w:r>
      <w:r w:rsidR="00F233AB" w:rsidRPr="00B02247">
        <w:t>over</w:t>
      </w:r>
      <w:r w:rsidR="005B2A41">
        <w:t xml:space="preserve"> </w:t>
      </w:r>
      <w:r w:rsidR="00F233AB" w:rsidRPr="00B02247">
        <w:t>Greece.</w:t>
      </w:r>
    </w:p>
    <w:p w:rsidR="00F233AB" w:rsidRPr="00B02247" w:rsidRDefault="00F233AB" w:rsidP="00E1307D">
      <w:pPr>
        <w:pStyle w:val="SingleTxtG"/>
      </w:pPr>
      <w:r w:rsidRPr="00B02247">
        <w:t>210.</w:t>
      </w:r>
      <w:r w:rsidRPr="00B02247">
        <w:tab/>
        <w:t>The</w:t>
      </w:r>
      <w:r w:rsidR="005B2A41">
        <w:t xml:space="preserve"> </w:t>
      </w:r>
      <w:r w:rsidRPr="00B02247">
        <w:t>services</w:t>
      </w:r>
      <w:r w:rsidR="005B2A41">
        <w:t xml:space="preserve"> </w:t>
      </w:r>
      <w:r w:rsidRPr="00B02247">
        <w:t>provided</w:t>
      </w:r>
      <w:r w:rsidR="005B2A41">
        <w:t xml:space="preserve"> </w:t>
      </w:r>
      <w:r w:rsidRPr="00B02247">
        <w:t>by</w:t>
      </w:r>
      <w:r w:rsidR="005B2A41">
        <w:t xml:space="preserve"> </w:t>
      </w:r>
      <w:r w:rsidRPr="00B02247">
        <w:t>the</w:t>
      </w:r>
      <w:r w:rsidR="005B2A41">
        <w:t xml:space="preserve"> </w:t>
      </w:r>
      <w:r w:rsidRPr="00B02247">
        <w:t>above</w:t>
      </w:r>
      <w:r w:rsidR="005B2A41">
        <w:t xml:space="preserve"> </w:t>
      </w:r>
      <w:r w:rsidRPr="00B02247">
        <w:t>mentioned</w:t>
      </w:r>
      <w:r w:rsidR="005B2A41">
        <w:t xml:space="preserve"> </w:t>
      </w:r>
      <w:r w:rsidRPr="00B02247">
        <w:t>structures</w:t>
      </w:r>
      <w:r w:rsidR="005B2A41">
        <w:t xml:space="preserve"> </w:t>
      </w:r>
      <w:r w:rsidRPr="00B02247">
        <w:t>are</w:t>
      </w:r>
      <w:r w:rsidR="005B2A41">
        <w:t xml:space="preserve"> </w:t>
      </w:r>
      <w:r w:rsidRPr="00B02247">
        <w:t>free</w:t>
      </w:r>
      <w:r w:rsidR="005B2A41">
        <w:t xml:space="preserve"> </w:t>
      </w:r>
      <w:r w:rsidRPr="00B02247">
        <w:t>of</w:t>
      </w:r>
      <w:r w:rsidR="005B2A41">
        <w:t xml:space="preserve"> </w:t>
      </w:r>
      <w:r w:rsidRPr="00B02247">
        <w:t>charge</w:t>
      </w:r>
      <w:r w:rsidR="005B2A41">
        <w:t xml:space="preserve"> </w:t>
      </w:r>
      <w:r w:rsidRPr="00B02247">
        <w:t>and</w:t>
      </w:r>
      <w:r w:rsidR="005B2A41">
        <w:t xml:space="preserve"> </w:t>
      </w:r>
      <w:r w:rsidRPr="00B02247">
        <w:t>include</w:t>
      </w:r>
      <w:r w:rsidR="005B2A41">
        <w:t xml:space="preserve"> </w:t>
      </w:r>
      <w:r w:rsidRPr="00B02247">
        <w:t>psychosocial</w:t>
      </w:r>
      <w:r w:rsidR="005B2A41">
        <w:t xml:space="preserve"> </w:t>
      </w:r>
      <w:r w:rsidRPr="00B02247">
        <w:t>support,</w:t>
      </w:r>
      <w:r w:rsidR="005B2A41">
        <w:t xml:space="preserve"> </w:t>
      </w:r>
      <w:r w:rsidRPr="00B02247">
        <w:t>legal</w:t>
      </w:r>
      <w:r w:rsidR="005B2A41">
        <w:t xml:space="preserve"> </w:t>
      </w:r>
      <w:r w:rsidRPr="00B02247">
        <w:t>counseling</w:t>
      </w:r>
      <w:r w:rsidR="005B2A41">
        <w:t xml:space="preserve"> </w:t>
      </w:r>
      <w:r w:rsidRPr="00B02247">
        <w:t>as</w:t>
      </w:r>
      <w:r w:rsidR="005B2A41">
        <w:t xml:space="preserve"> </w:t>
      </w:r>
      <w:r w:rsidRPr="00B02247">
        <w:t>well</w:t>
      </w:r>
      <w:r w:rsidR="005B2A41">
        <w:t xml:space="preserve"> </w:t>
      </w:r>
      <w:r w:rsidRPr="00B02247">
        <w:t>as</w:t>
      </w:r>
      <w:r w:rsidR="005B2A41">
        <w:t xml:space="preserve"> </w:t>
      </w:r>
      <w:r w:rsidRPr="00B02247">
        <w:t>counseling</w:t>
      </w:r>
      <w:r w:rsidR="005B2A41">
        <w:t xml:space="preserve"> </w:t>
      </w:r>
      <w:r w:rsidRPr="00B02247">
        <w:t>in</w:t>
      </w:r>
      <w:r w:rsidR="005B2A41">
        <w:t xml:space="preserve"> </w:t>
      </w:r>
      <w:r w:rsidRPr="00B02247">
        <w:t>labour</w:t>
      </w:r>
      <w:r w:rsidR="005B2A41">
        <w:t xml:space="preserve"> </w:t>
      </w:r>
      <w:r w:rsidRPr="00B02247">
        <w:t>issues,</w:t>
      </w:r>
      <w:r w:rsidR="005B2A41">
        <w:t xml:space="preserve"> </w:t>
      </w:r>
      <w:r w:rsidRPr="00B02247">
        <w:t>emergency</w:t>
      </w:r>
      <w:r w:rsidR="005B2A41">
        <w:t xml:space="preserve"> </w:t>
      </w:r>
      <w:r w:rsidRPr="00B02247">
        <w:t>shelter</w:t>
      </w:r>
      <w:r w:rsidR="005B2A41">
        <w:t xml:space="preserve"> </w:t>
      </w:r>
      <w:r w:rsidRPr="00B02247">
        <w:t>and,</w:t>
      </w:r>
      <w:r w:rsidR="005B2A41">
        <w:t xml:space="preserve"> </w:t>
      </w:r>
      <w:r w:rsidRPr="00B02247">
        <w:t>where</w:t>
      </w:r>
      <w:r w:rsidR="005B2A41">
        <w:t xml:space="preserve"> </w:t>
      </w:r>
      <w:r w:rsidRPr="00B02247">
        <w:t>necessary,</w:t>
      </w:r>
      <w:r w:rsidR="005B2A41">
        <w:t xml:space="preserve"> </w:t>
      </w:r>
      <w:r w:rsidRPr="00B02247">
        <w:t>legal</w:t>
      </w:r>
      <w:r w:rsidR="005B2A41">
        <w:t xml:space="preserve"> </w:t>
      </w:r>
      <w:r w:rsidRPr="00B02247">
        <w:t>aid</w:t>
      </w:r>
      <w:r w:rsidR="005B2A41">
        <w:t xml:space="preserve"> </w:t>
      </w:r>
      <w:r w:rsidRPr="00B02247">
        <w:t>in</w:t>
      </w:r>
      <w:r w:rsidR="005B2A41">
        <w:t xml:space="preserve"> </w:t>
      </w:r>
      <w:r w:rsidRPr="00B02247">
        <w:t>cooperation</w:t>
      </w:r>
      <w:r w:rsidR="005B2A41">
        <w:t xml:space="preserve"> </w:t>
      </w:r>
      <w:r w:rsidRPr="00B02247">
        <w:t>with</w:t>
      </w:r>
      <w:r w:rsidR="005B2A41">
        <w:t xml:space="preserve"> </w:t>
      </w:r>
      <w:r w:rsidRPr="00B02247">
        <w:t>local</w:t>
      </w:r>
      <w:r w:rsidR="005B2A41">
        <w:t xml:space="preserve"> </w:t>
      </w:r>
      <w:r w:rsidRPr="00B02247">
        <w:t>Bar</w:t>
      </w:r>
      <w:r w:rsidR="005B2A41">
        <w:t xml:space="preserve"> </w:t>
      </w:r>
      <w:r w:rsidRPr="00B02247">
        <w:t>Associations.</w:t>
      </w:r>
      <w:r w:rsidR="005B2A41">
        <w:t xml:space="preserve"> </w:t>
      </w:r>
      <w:r w:rsidRPr="00B02247">
        <w:t>The</w:t>
      </w:r>
      <w:r w:rsidR="005B2A41">
        <w:t xml:space="preserve"> </w:t>
      </w:r>
      <w:r w:rsidRPr="00B02247">
        <w:t>tasks</w:t>
      </w:r>
      <w:r w:rsidR="005B2A41">
        <w:t xml:space="preserve"> </w:t>
      </w:r>
      <w:r w:rsidRPr="00B02247">
        <w:t>of</w:t>
      </w:r>
      <w:r w:rsidR="005B2A41">
        <w:t xml:space="preserve"> </w:t>
      </w:r>
      <w:r w:rsidRPr="00B02247">
        <w:t>the</w:t>
      </w:r>
      <w:r w:rsidR="005B2A41">
        <w:t xml:space="preserve"> </w:t>
      </w:r>
      <w:r w:rsidRPr="00B02247">
        <w:t>structures</w:t>
      </w:r>
      <w:r w:rsidR="005B2A41">
        <w:t xml:space="preserve"> </w:t>
      </w:r>
      <w:r w:rsidRPr="00B02247">
        <w:t>also</w:t>
      </w:r>
      <w:r w:rsidR="005B2A41">
        <w:t xml:space="preserve"> </w:t>
      </w:r>
      <w:r w:rsidRPr="00B02247">
        <w:t>include</w:t>
      </w:r>
      <w:r w:rsidR="005B2A41">
        <w:t xml:space="preserve"> </w:t>
      </w:r>
      <w:r w:rsidRPr="00B02247">
        <w:t>networking</w:t>
      </w:r>
      <w:r w:rsidR="005B2A41">
        <w:t xml:space="preserve"> </w:t>
      </w:r>
      <w:r w:rsidRPr="00B02247">
        <w:t>with</w:t>
      </w:r>
      <w:r w:rsidR="005B2A41">
        <w:t xml:space="preserve"> </w:t>
      </w:r>
      <w:r w:rsidRPr="00B02247">
        <w:t>local</w:t>
      </w:r>
      <w:r w:rsidR="005B2A41">
        <w:t xml:space="preserve"> </w:t>
      </w:r>
      <w:r w:rsidRPr="00B02247">
        <w:t>agencies</w:t>
      </w:r>
      <w:r w:rsidR="005B2A41">
        <w:t xml:space="preserve"> </w:t>
      </w:r>
      <w:r w:rsidRPr="00B02247">
        <w:t>and</w:t>
      </w:r>
      <w:r w:rsidR="005B2A41">
        <w:t xml:space="preserve"> </w:t>
      </w:r>
      <w:r w:rsidRPr="00B02247">
        <w:t>relevant</w:t>
      </w:r>
      <w:r w:rsidR="005B2A41">
        <w:t xml:space="preserve"> </w:t>
      </w:r>
      <w:r w:rsidRPr="00B02247">
        <w:t>associations</w:t>
      </w:r>
      <w:r w:rsidR="005B2A41">
        <w:t xml:space="preserve"> </w:t>
      </w:r>
      <w:r w:rsidRPr="00B02247">
        <w:t>for</w:t>
      </w:r>
      <w:r w:rsidR="005B2A41">
        <w:t xml:space="preserve"> </w:t>
      </w:r>
      <w:r w:rsidRPr="00B02247">
        <w:t>joint</w:t>
      </w:r>
      <w:r w:rsidR="005B2A41">
        <w:t xml:space="preserve"> </w:t>
      </w:r>
      <w:r w:rsidRPr="00B02247">
        <w:t>communication</w:t>
      </w:r>
      <w:r w:rsidR="005B2A41">
        <w:t xml:space="preserve"> </w:t>
      </w:r>
      <w:r w:rsidRPr="00B02247">
        <w:t>and</w:t>
      </w:r>
      <w:r w:rsidR="005B2A41">
        <w:t xml:space="preserve"> </w:t>
      </w:r>
      <w:r w:rsidRPr="00B02247">
        <w:t>public</w:t>
      </w:r>
      <w:r w:rsidR="005B2A41">
        <w:t xml:space="preserve"> </w:t>
      </w:r>
      <w:r w:rsidRPr="00B02247">
        <w:t>awareness</w:t>
      </w:r>
      <w:r w:rsidR="005B2A41">
        <w:t xml:space="preserve"> </w:t>
      </w:r>
      <w:r w:rsidRPr="00B02247">
        <w:t>programme.</w:t>
      </w:r>
      <w:r w:rsidR="005B2A41">
        <w:t xml:space="preserve"> </w:t>
      </w:r>
      <w:r w:rsidRPr="00B02247">
        <w:t>Special</w:t>
      </w:r>
      <w:r w:rsidR="005B2A41">
        <w:t xml:space="preserve"> </w:t>
      </w:r>
      <w:r w:rsidRPr="00B02247">
        <w:t>training</w:t>
      </w:r>
      <w:r w:rsidR="005B2A41">
        <w:t xml:space="preserve"> </w:t>
      </w:r>
      <w:r w:rsidRPr="00B02247">
        <w:t>on</w:t>
      </w:r>
      <w:r w:rsidR="005B2A41">
        <w:t xml:space="preserve"> </w:t>
      </w:r>
      <w:r w:rsidRPr="00B02247">
        <w:t>handling</w:t>
      </w:r>
      <w:r w:rsidR="005B2A41">
        <w:t xml:space="preserve"> </w:t>
      </w:r>
      <w:r w:rsidRPr="00B02247">
        <w:t>cases</w:t>
      </w:r>
      <w:r w:rsidR="005B2A41">
        <w:t xml:space="preserve"> </w:t>
      </w:r>
      <w:r w:rsidRPr="00B02247">
        <w:t>of</w:t>
      </w:r>
      <w:r w:rsidR="005B2A41">
        <w:t xml:space="preserve"> </w:t>
      </w:r>
      <w:r w:rsidRPr="00B02247">
        <w:t>GBV</w:t>
      </w:r>
      <w:r w:rsidR="005B2A41">
        <w:t xml:space="preserve"> </w:t>
      </w:r>
      <w:r w:rsidRPr="00B02247">
        <w:t>is</w:t>
      </w:r>
      <w:r w:rsidR="005B2A41">
        <w:t xml:space="preserve"> </w:t>
      </w:r>
      <w:r w:rsidRPr="00B02247">
        <w:t>offered</w:t>
      </w:r>
      <w:r w:rsidR="005B2A41">
        <w:t xml:space="preserve"> </w:t>
      </w:r>
      <w:r w:rsidRPr="00B02247">
        <w:t>to</w:t>
      </w:r>
      <w:r w:rsidR="005B2A41">
        <w:t xml:space="preserve"> </w:t>
      </w:r>
      <w:r w:rsidRPr="00B02247">
        <w:t>counselors</w:t>
      </w:r>
      <w:r w:rsidR="005B2A41">
        <w:t xml:space="preserve"> </w:t>
      </w:r>
      <w:r w:rsidRPr="00B02247">
        <w:t>who</w:t>
      </w:r>
      <w:r w:rsidR="005B2A41">
        <w:t xml:space="preserve"> </w:t>
      </w:r>
      <w:r w:rsidRPr="00B02247">
        <w:t>are</w:t>
      </w:r>
      <w:r w:rsidR="005B2A41">
        <w:t xml:space="preserve"> </w:t>
      </w:r>
      <w:r w:rsidRPr="00B02247">
        <w:t>recruited</w:t>
      </w:r>
      <w:r w:rsidR="005B2A41">
        <w:t xml:space="preserve"> </w:t>
      </w:r>
      <w:r w:rsidRPr="00B02247">
        <w:t>in</w:t>
      </w:r>
      <w:r w:rsidR="005B2A41">
        <w:t xml:space="preserve"> </w:t>
      </w:r>
      <w:r w:rsidRPr="00B02247">
        <w:t>the</w:t>
      </w:r>
      <w:r w:rsidR="005B2A41">
        <w:t xml:space="preserve"> </w:t>
      </w:r>
      <w:r w:rsidRPr="00B02247">
        <w:t>Counseling</w:t>
      </w:r>
      <w:r w:rsidR="005B2A41">
        <w:t xml:space="preserve"> </w:t>
      </w:r>
      <w:r w:rsidRPr="00B02247">
        <w:t>Centers,</w:t>
      </w:r>
      <w:r w:rsidR="005B2A41">
        <w:t xml:space="preserve"> </w:t>
      </w:r>
      <w:r w:rsidRPr="00B02247">
        <w:t>the</w:t>
      </w:r>
      <w:r w:rsidR="005B2A41">
        <w:t xml:space="preserve"> </w:t>
      </w:r>
      <w:r w:rsidRPr="00B02247">
        <w:t>Shelters</w:t>
      </w:r>
      <w:r w:rsidR="005B2A41">
        <w:t xml:space="preserve"> </w:t>
      </w:r>
      <w:r w:rsidRPr="00B02247">
        <w:t>and</w:t>
      </w:r>
      <w:r w:rsidR="005B2A41">
        <w:t xml:space="preserve"> </w:t>
      </w:r>
      <w:r w:rsidRPr="00B02247">
        <w:t>the</w:t>
      </w:r>
      <w:r w:rsidR="005B2A41">
        <w:t xml:space="preserve"> </w:t>
      </w:r>
      <w:r w:rsidRPr="00B02247">
        <w:t>SOS</w:t>
      </w:r>
      <w:r w:rsidR="005B2A41">
        <w:t xml:space="preserve"> </w:t>
      </w:r>
      <w:r w:rsidRPr="00B02247">
        <w:t>telephone</w:t>
      </w:r>
      <w:r w:rsidR="005B2A41">
        <w:t xml:space="preserve"> </w:t>
      </w:r>
      <w:r w:rsidRPr="00B02247">
        <w:t>helpline,</w:t>
      </w:r>
      <w:r w:rsidR="005B2A41">
        <w:t xml:space="preserve"> </w:t>
      </w:r>
      <w:r w:rsidRPr="00B02247">
        <w:t>to</w:t>
      </w:r>
      <w:r w:rsidR="005B2A41">
        <w:t xml:space="preserve"> </w:t>
      </w:r>
      <w:r w:rsidRPr="00B02247">
        <w:t>lawyers</w:t>
      </w:r>
      <w:r w:rsidR="005B2A41">
        <w:t xml:space="preserve"> </w:t>
      </w:r>
      <w:r w:rsidRPr="00B02247">
        <w:t>who</w:t>
      </w:r>
      <w:r w:rsidR="005B2A41">
        <w:t xml:space="preserve"> </w:t>
      </w:r>
      <w:r w:rsidRPr="00B02247">
        <w:t>participate</w:t>
      </w:r>
      <w:r w:rsidR="005B2A41">
        <w:t xml:space="preserve"> </w:t>
      </w:r>
      <w:r w:rsidRPr="00B02247">
        <w:t>in</w:t>
      </w:r>
      <w:r w:rsidR="005B2A41">
        <w:t xml:space="preserve"> </w:t>
      </w:r>
      <w:r w:rsidRPr="00B02247">
        <w:t>the</w:t>
      </w:r>
      <w:r w:rsidR="005B2A41">
        <w:t xml:space="preserve"> </w:t>
      </w:r>
      <w:r w:rsidRPr="00B02247">
        <w:t>legal</w:t>
      </w:r>
      <w:r w:rsidR="005B2A41">
        <w:t xml:space="preserve"> </w:t>
      </w:r>
      <w:r w:rsidRPr="00B02247">
        <w:t>aid</w:t>
      </w:r>
      <w:r w:rsidR="005B2A41">
        <w:t xml:space="preserve"> </w:t>
      </w:r>
      <w:r w:rsidRPr="00B02247">
        <w:t>programmes</w:t>
      </w:r>
      <w:r w:rsidR="005B2A41">
        <w:t xml:space="preserve"> </w:t>
      </w:r>
      <w:r w:rsidRPr="00B02247">
        <w:t>of</w:t>
      </w:r>
      <w:r w:rsidR="005B2A41">
        <w:t xml:space="preserve"> </w:t>
      </w:r>
      <w:r w:rsidRPr="00B02247">
        <w:t>women-victims</w:t>
      </w:r>
      <w:r w:rsidR="005B2A41">
        <w:t xml:space="preserve"> </w:t>
      </w:r>
      <w:r w:rsidRPr="00B02247">
        <w:t>of</w:t>
      </w:r>
      <w:r w:rsidR="005B2A41">
        <w:t xml:space="preserve"> </w:t>
      </w:r>
      <w:r w:rsidRPr="00B02247">
        <w:t>violence,</w:t>
      </w:r>
      <w:r w:rsidR="005B2A41">
        <w:t xml:space="preserve"> </w:t>
      </w:r>
      <w:r w:rsidRPr="00B02247">
        <w:t>as</w:t>
      </w:r>
      <w:r w:rsidR="005B2A41">
        <w:t xml:space="preserve"> </w:t>
      </w:r>
      <w:r w:rsidRPr="00B02247">
        <w:t>well</w:t>
      </w:r>
      <w:r w:rsidR="005B2A41">
        <w:t xml:space="preserve"> </w:t>
      </w:r>
      <w:r w:rsidRPr="00B02247">
        <w:t>as</w:t>
      </w:r>
      <w:r w:rsidR="005B2A41">
        <w:t xml:space="preserve"> </w:t>
      </w:r>
      <w:r w:rsidRPr="00B02247">
        <w:t>to</w:t>
      </w:r>
      <w:r w:rsidR="005B2A41">
        <w:t xml:space="preserve"> </w:t>
      </w:r>
      <w:r w:rsidRPr="00B02247">
        <w:t>professionals</w:t>
      </w:r>
      <w:r w:rsidR="005B2A41">
        <w:t xml:space="preserve"> </w:t>
      </w:r>
      <w:r w:rsidRPr="00B02247">
        <w:t>who</w:t>
      </w:r>
      <w:r w:rsidR="005B2A41">
        <w:t xml:space="preserve"> </w:t>
      </w:r>
      <w:r w:rsidRPr="00B02247">
        <w:t>deal</w:t>
      </w:r>
      <w:r w:rsidR="005B2A41">
        <w:t xml:space="preserve"> </w:t>
      </w:r>
      <w:r w:rsidRPr="00B02247">
        <w:t>with</w:t>
      </w:r>
      <w:r w:rsidR="005B2A41">
        <w:t xml:space="preserve"> </w:t>
      </w:r>
      <w:r w:rsidRPr="00B02247">
        <w:t>such</w:t>
      </w:r>
      <w:r w:rsidR="005B2A41">
        <w:t xml:space="preserve"> </w:t>
      </w:r>
      <w:r w:rsidRPr="00B02247">
        <w:t>cases</w:t>
      </w:r>
      <w:r w:rsidR="005B2A41">
        <w:t xml:space="preserve"> </w:t>
      </w:r>
      <w:r w:rsidRPr="00B02247">
        <w:t>(i.e.</w:t>
      </w:r>
      <w:r w:rsidR="005B2A41">
        <w:t xml:space="preserve"> </w:t>
      </w:r>
      <w:r w:rsidRPr="00B02247">
        <w:t>policemen,</w:t>
      </w:r>
      <w:r w:rsidR="005B2A41">
        <w:t xml:space="preserve"> </w:t>
      </w:r>
      <w:r w:rsidRPr="00B02247">
        <w:t>judges,</w:t>
      </w:r>
      <w:r w:rsidR="005B2A41">
        <w:t xml:space="preserve"> </w:t>
      </w:r>
      <w:r w:rsidRPr="00B02247">
        <w:t>health</w:t>
      </w:r>
      <w:r w:rsidR="005B2A41">
        <w:t xml:space="preserve"> </w:t>
      </w:r>
      <w:r w:rsidRPr="00B02247">
        <w:t>professionals,</w:t>
      </w:r>
      <w:r w:rsidR="005B2A41">
        <w:t xml:space="preserve"> </w:t>
      </w:r>
      <w:r w:rsidRPr="00B02247">
        <w:t>etc.)</w:t>
      </w:r>
      <w:r w:rsidR="007C6128">
        <w:t>.</w:t>
      </w:r>
    </w:p>
    <w:p w:rsidR="00F233AB" w:rsidRPr="00B02247" w:rsidRDefault="00F233AB" w:rsidP="00E1307D">
      <w:pPr>
        <w:pStyle w:val="SingleTxtG"/>
      </w:pPr>
      <w:r w:rsidRPr="00B02247">
        <w:t>211.</w:t>
      </w:r>
      <w:r w:rsidRPr="00B02247">
        <w:tab/>
        <w:t>The</w:t>
      </w:r>
      <w:r w:rsidR="005B2A41">
        <w:t xml:space="preserve"> </w:t>
      </w:r>
      <w:r w:rsidRPr="00B02247">
        <w:t>public</w:t>
      </w:r>
      <w:r w:rsidR="005B2A41">
        <w:t xml:space="preserve"> </w:t>
      </w:r>
      <w:r w:rsidRPr="00B02247">
        <w:t>awareness</w:t>
      </w:r>
      <w:r w:rsidR="005B2A41">
        <w:t xml:space="preserve"> </w:t>
      </w:r>
      <w:r w:rsidRPr="00B02247">
        <w:t>campaign</w:t>
      </w:r>
      <w:r w:rsidR="005B2A41">
        <w:t xml:space="preserve"> </w:t>
      </w:r>
      <w:r w:rsidRPr="00B02247">
        <w:t>included</w:t>
      </w:r>
      <w:r w:rsidR="005B2A41">
        <w:t xml:space="preserve"> </w:t>
      </w:r>
      <w:r w:rsidRPr="00B02247">
        <w:t>relevant</w:t>
      </w:r>
      <w:r w:rsidR="005B2A41">
        <w:t xml:space="preserve"> </w:t>
      </w:r>
      <w:r w:rsidRPr="00B02247">
        <w:t>seminars,</w:t>
      </w:r>
      <w:r w:rsidR="005B2A41">
        <w:t xml:space="preserve"> </w:t>
      </w:r>
      <w:r w:rsidRPr="00B02247">
        <w:t>a</w:t>
      </w:r>
      <w:r w:rsidR="005B2A41">
        <w:t xml:space="preserve"> </w:t>
      </w:r>
      <w:r w:rsidRPr="00B02247">
        <w:t>thematic</w:t>
      </w:r>
      <w:r w:rsidR="005B2A41">
        <w:t xml:space="preserve"> </w:t>
      </w:r>
      <w:r w:rsidRPr="00B02247">
        <w:t>conference,</w:t>
      </w:r>
      <w:r w:rsidR="005B2A41">
        <w:t xml:space="preserve"> </w:t>
      </w:r>
      <w:r w:rsidRPr="00B02247">
        <w:t>informational</w:t>
      </w:r>
      <w:r w:rsidR="005B2A41">
        <w:t xml:space="preserve"> </w:t>
      </w:r>
      <w:r w:rsidRPr="00B02247">
        <w:t>material</w:t>
      </w:r>
      <w:r w:rsidR="005B2A41">
        <w:t xml:space="preserve"> </w:t>
      </w:r>
      <w:r w:rsidRPr="00B02247">
        <w:t>in</w:t>
      </w:r>
      <w:r w:rsidR="005B2A41">
        <w:t xml:space="preserve"> </w:t>
      </w:r>
      <w:r w:rsidRPr="00B02247">
        <w:t>several</w:t>
      </w:r>
      <w:r w:rsidR="005B2A41">
        <w:t xml:space="preserve"> </w:t>
      </w:r>
      <w:r w:rsidRPr="00B02247">
        <w:t>languages</w:t>
      </w:r>
      <w:r w:rsidR="005B2A41">
        <w:t xml:space="preserve"> </w:t>
      </w:r>
      <w:r w:rsidRPr="00B02247">
        <w:t>(Greek,</w:t>
      </w:r>
      <w:r w:rsidR="005B2A41">
        <w:t xml:space="preserve"> </w:t>
      </w:r>
      <w:r w:rsidRPr="00B02247">
        <w:t>English,</w:t>
      </w:r>
      <w:r w:rsidR="005B2A41">
        <w:t xml:space="preserve"> </w:t>
      </w:r>
      <w:r w:rsidRPr="00B02247">
        <w:t>French,</w:t>
      </w:r>
      <w:r w:rsidR="005B2A41">
        <w:t xml:space="preserve"> </w:t>
      </w:r>
      <w:r w:rsidRPr="00B02247">
        <w:t>Albanian),</w:t>
      </w:r>
      <w:r w:rsidR="005B2A41">
        <w:t xml:space="preserve"> </w:t>
      </w:r>
      <w:r w:rsidRPr="00B02247">
        <w:t>TV</w:t>
      </w:r>
      <w:r w:rsidR="005B2A41">
        <w:t xml:space="preserve"> </w:t>
      </w:r>
      <w:r w:rsidRPr="00B02247">
        <w:t>and</w:t>
      </w:r>
      <w:r w:rsidR="005B2A41">
        <w:t xml:space="preserve"> </w:t>
      </w:r>
      <w:r w:rsidRPr="00B02247">
        <w:t>radio</w:t>
      </w:r>
      <w:r w:rsidR="005B2A41">
        <w:t xml:space="preserve"> </w:t>
      </w:r>
      <w:r w:rsidRPr="00B02247">
        <w:t>spots,</w:t>
      </w:r>
      <w:r w:rsidR="005B2A41">
        <w:t xml:space="preserve"> </w:t>
      </w:r>
      <w:r w:rsidRPr="00B02247">
        <w:t>cultural</w:t>
      </w:r>
      <w:r w:rsidR="005B2A41">
        <w:t xml:space="preserve"> </w:t>
      </w:r>
      <w:r w:rsidRPr="00B02247">
        <w:t>events,</w:t>
      </w:r>
      <w:r w:rsidR="005B2A41">
        <w:t xml:space="preserve"> </w:t>
      </w:r>
      <w:r w:rsidRPr="00B02247">
        <w:t>publicity</w:t>
      </w:r>
      <w:r w:rsidR="005B2A41">
        <w:t xml:space="preserve"> </w:t>
      </w:r>
      <w:r w:rsidRPr="00B02247">
        <w:t>on</w:t>
      </w:r>
      <w:r w:rsidR="005B2A41">
        <w:t xml:space="preserve"> </w:t>
      </w:r>
      <w:r w:rsidRPr="00B02247">
        <w:t>public</w:t>
      </w:r>
      <w:r w:rsidR="005B2A41">
        <w:t xml:space="preserve"> </w:t>
      </w:r>
      <w:r w:rsidRPr="00B02247">
        <w:t>transport,</w:t>
      </w:r>
      <w:r w:rsidR="005B2A41">
        <w:t xml:space="preserve"> </w:t>
      </w:r>
      <w:r w:rsidRPr="00B02247">
        <w:t>entries</w:t>
      </w:r>
      <w:r w:rsidR="005B2A41">
        <w:t xml:space="preserve"> </w:t>
      </w:r>
      <w:r w:rsidRPr="00B02247">
        <w:t>in</w:t>
      </w:r>
      <w:r w:rsidR="005B2A41">
        <w:t xml:space="preserve"> </w:t>
      </w:r>
      <w:r w:rsidRPr="00B02247">
        <w:t>Press,</w:t>
      </w:r>
      <w:r w:rsidR="005B2A41">
        <w:t xml:space="preserve"> </w:t>
      </w:r>
      <w:r w:rsidRPr="00B02247">
        <w:t>a</w:t>
      </w:r>
      <w:r w:rsidR="005B2A41">
        <w:t xml:space="preserve"> </w:t>
      </w:r>
      <w:r w:rsidRPr="00B02247">
        <w:t>webpage</w:t>
      </w:r>
      <w:r w:rsidR="005B2A41">
        <w:t xml:space="preserve"> </w:t>
      </w:r>
      <w:r w:rsidRPr="00B02247">
        <w:t>(www.womensos.gr)</w:t>
      </w:r>
      <w:r w:rsidR="005B2A41">
        <w:t xml:space="preserve"> </w:t>
      </w:r>
      <w:r w:rsidRPr="00B02247">
        <w:t>and</w:t>
      </w:r>
      <w:r w:rsidR="005B2A41">
        <w:t xml:space="preserve"> </w:t>
      </w:r>
      <w:r w:rsidRPr="00B02247">
        <w:t>a</w:t>
      </w:r>
      <w:r w:rsidR="005B2A41">
        <w:t xml:space="preserve"> </w:t>
      </w:r>
      <w:r w:rsidRPr="00B02247">
        <w:t>Facebook</w:t>
      </w:r>
      <w:r w:rsidR="005B2A41">
        <w:t xml:space="preserve"> </w:t>
      </w:r>
      <w:r w:rsidRPr="00B02247">
        <w:t>page</w:t>
      </w:r>
      <w:r w:rsidR="005B2A41">
        <w:t xml:space="preserve"> </w:t>
      </w:r>
      <w:r w:rsidRPr="00B02247">
        <w:t>as</w:t>
      </w:r>
      <w:r w:rsidR="005B2A41">
        <w:t xml:space="preserve"> </w:t>
      </w:r>
      <w:r w:rsidRPr="00B02247">
        <w:t>well</w:t>
      </w:r>
      <w:r w:rsidR="005B2A41">
        <w:t xml:space="preserve"> </w:t>
      </w:r>
      <w:r w:rsidRPr="00B02247">
        <w:t>as</w:t>
      </w:r>
      <w:r w:rsidR="005B2A41">
        <w:t xml:space="preserve"> </w:t>
      </w:r>
      <w:r w:rsidRPr="00B02247">
        <w:t>banners</w:t>
      </w:r>
      <w:r w:rsidR="005B2A41">
        <w:t xml:space="preserve"> </w:t>
      </w:r>
      <w:r w:rsidRPr="00B02247">
        <w:t>in</w:t>
      </w:r>
      <w:r w:rsidR="005B2A41">
        <w:t xml:space="preserve"> </w:t>
      </w:r>
      <w:r w:rsidRPr="00B02247">
        <w:t>web</w:t>
      </w:r>
      <w:r w:rsidR="005B2A41">
        <w:t xml:space="preserve"> </w:t>
      </w:r>
      <w:r w:rsidRPr="00B02247">
        <w:t>pages.</w:t>
      </w:r>
      <w:r w:rsidR="005B2A41">
        <w:t xml:space="preserve"> </w:t>
      </w:r>
      <w:r w:rsidRPr="00B02247">
        <w:t>The</w:t>
      </w:r>
      <w:r w:rsidR="005B2A41">
        <w:t xml:space="preserve"> </w:t>
      </w:r>
      <w:r w:rsidRPr="00B02247">
        <w:t>campaign</w:t>
      </w:r>
      <w:r w:rsidR="005B2A41">
        <w:t xml:space="preserve"> </w:t>
      </w:r>
      <w:r w:rsidRPr="00B02247">
        <w:t>is</w:t>
      </w:r>
      <w:r w:rsidR="005B2A41">
        <w:t xml:space="preserve"> </w:t>
      </w:r>
      <w:r w:rsidRPr="00B02247">
        <w:t>ongoing</w:t>
      </w:r>
      <w:r w:rsidR="005B2A41">
        <w:t xml:space="preserve"> </w:t>
      </w:r>
      <w:r w:rsidRPr="00B02247">
        <w:t>every</w:t>
      </w:r>
      <w:r w:rsidR="005B2A41">
        <w:t xml:space="preserve"> </w:t>
      </w:r>
      <w:r w:rsidRPr="00B02247">
        <w:t>year</w:t>
      </w:r>
      <w:r w:rsidR="005B2A41">
        <w:t xml:space="preserve"> </w:t>
      </w:r>
      <w:r w:rsidRPr="00B02247">
        <w:t>and</w:t>
      </w:r>
      <w:r w:rsidR="005B2A41">
        <w:t xml:space="preserve"> </w:t>
      </w:r>
      <w:r w:rsidRPr="00B02247">
        <w:t>its</w:t>
      </w:r>
      <w:r w:rsidR="005B2A41">
        <w:t xml:space="preserve"> </w:t>
      </w:r>
      <w:r w:rsidRPr="00B02247">
        <w:t>goal</w:t>
      </w:r>
      <w:r w:rsidR="005B2A41">
        <w:t xml:space="preserve"> </w:t>
      </w:r>
      <w:r w:rsidRPr="00B02247">
        <w:t>is</w:t>
      </w:r>
      <w:r w:rsidR="005B2A41">
        <w:t xml:space="preserve"> </w:t>
      </w:r>
      <w:r w:rsidRPr="00B02247">
        <w:t>to</w:t>
      </w:r>
      <w:r w:rsidR="005B2A41">
        <w:t xml:space="preserve"> </w:t>
      </w:r>
      <w:r w:rsidRPr="00B02247">
        <w:t>promote</w:t>
      </w:r>
      <w:r w:rsidR="005B2A41">
        <w:t xml:space="preserve"> </w:t>
      </w:r>
      <w:r w:rsidRPr="00B02247">
        <w:t>a</w:t>
      </w:r>
      <w:r w:rsidR="005B2A41">
        <w:t xml:space="preserve"> </w:t>
      </w:r>
      <w:r w:rsidRPr="00B02247">
        <w:t>zero-tolerance</w:t>
      </w:r>
      <w:r w:rsidR="005B2A41">
        <w:t xml:space="preserve"> </w:t>
      </w:r>
      <w:r w:rsidRPr="00B02247">
        <w:t>attitude</w:t>
      </w:r>
      <w:r w:rsidR="005B2A41">
        <w:t xml:space="preserve"> </w:t>
      </w:r>
      <w:r w:rsidRPr="00B02247">
        <w:t>towards</w:t>
      </w:r>
      <w:r w:rsidR="005B2A41">
        <w:t xml:space="preserve"> </w:t>
      </w:r>
      <w:r w:rsidRPr="00B02247">
        <w:t>VAWG</w:t>
      </w:r>
      <w:r w:rsidR="005B2A41">
        <w:t xml:space="preserve"> </w:t>
      </w:r>
      <w:r w:rsidRPr="00B02247">
        <w:t>and</w:t>
      </w:r>
      <w:r w:rsidR="005B2A41">
        <w:t xml:space="preserve"> </w:t>
      </w:r>
      <w:r w:rsidRPr="00B02247">
        <w:t>to</w:t>
      </w:r>
      <w:r w:rsidR="005B2A41">
        <w:t xml:space="preserve"> </w:t>
      </w:r>
      <w:r w:rsidRPr="00B02247">
        <w:t>widely</w:t>
      </w:r>
      <w:r w:rsidR="005B2A41">
        <w:t xml:space="preserve"> </w:t>
      </w:r>
      <w:r w:rsidRPr="00B02247">
        <w:t>disseminate</w:t>
      </w:r>
      <w:r w:rsidR="005B2A41">
        <w:t xml:space="preserve"> </w:t>
      </w:r>
      <w:r w:rsidRPr="00B02247">
        <w:t>information</w:t>
      </w:r>
      <w:r w:rsidR="005B2A41">
        <w:t xml:space="preserve"> </w:t>
      </w:r>
      <w:r w:rsidRPr="00B02247">
        <w:t>on</w:t>
      </w:r>
      <w:r w:rsidR="005B2A41">
        <w:t xml:space="preserve"> </w:t>
      </w:r>
      <w:r w:rsidRPr="00B02247">
        <w:t>existing</w:t>
      </w:r>
      <w:r w:rsidR="005B2A41">
        <w:t xml:space="preserve"> </w:t>
      </w:r>
      <w:r w:rsidRPr="00B02247">
        <w:t>structures</w:t>
      </w:r>
      <w:r w:rsidR="005B2A41">
        <w:t xml:space="preserve"> </w:t>
      </w:r>
      <w:r w:rsidRPr="00B02247">
        <w:t>and</w:t>
      </w:r>
      <w:r w:rsidR="005B2A41">
        <w:t xml:space="preserve"> </w:t>
      </w:r>
      <w:r w:rsidRPr="00B02247">
        <w:t>measures</w:t>
      </w:r>
      <w:r w:rsidR="005B2A41">
        <w:t xml:space="preserve"> </w:t>
      </w:r>
      <w:r w:rsidRPr="00B02247">
        <w:t>regarding</w:t>
      </w:r>
      <w:r w:rsidR="005B2A41">
        <w:t xml:space="preserve"> </w:t>
      </w:r>
      <w:r w:rsidRPr="00B02247">
        <w:t>the</w:t>
      </w:r>
      <w:r w:rsidR="005B2A41">
        <w:t xml:space="preserve"> </w:t>
      </w:r>
      <w:r w:rsidRPr="00B02247">
        <w:t>protection</w:t>
      </w:r>
      <w:r w:rsidR="005B2A41">
        <w:t xml:space="preserve"> </w:t>
      </w:r>
      <w:r w:rsidRPr="00B02247">
        <w:t>of</w:t>
      </w:r>
      <w:r w:rsidR="005B2A41">
        <w:t xml:space="preserve"> </w:t>
      </w:r>
      <w:r w:rsidRPr="00B02247">
        <w:t>women</w:t>
      </w:r>
      <w:r w:rsidR="005B2A41">
        <w:t xml:space="preserve"> </w:t>
      </w:r>
      <w:r w:rsidRPr="00B02247">
        <w:t>victims.</w:t>
      </w:r>
      <w:r w:rsidR="005B2A41">
        <w:t xml:space="preserve"> </w:t>
      </w:r>
      <w:r w:rsidRPr="00B02247">
        <w:t>In</w:t>
      </w:r>
      <w:r w:rsidR="005B2A41">
        <w:t xml:space="preserve"> </w:t>
      </w:r>
      <w:r w:rsidRPr="00B02247">
        <w:t>the</w:t>
      </w:r>
      <w:r w:rsidR="005B2A41">
        <w:t xml:space="preserve"> </w:t>
      </w:r>
      <w:r w:rsidRPr="00B02247">
        <w:t>new</w:t>
      </w:r>
      <w:r w:rsidR="005B2A41">
        <w:t xml:space="preserve"> </w:t>
      </w:r>
      <w:r w:rsidRPr="00B02247">
        <w:t>programming</w:t>
      </w:r>
      <w:r w:rsidR="005B2A41">
        <w:t xml:space="preserve"> </w:t>
      </w:r>
      <w:r w:rsidRPr="00B02247">
        <w:t>period</w:t>
      </w:r>
      <w:r w:rsidR="005B2A41">
        <w:t xml:space="preserve"> </w:t>
      </w:r>
      <w:r w:rsidRPr="00B02247">
        <w:t>(2016</w:t>
      </w:r>
      <w:r w:rsidR="00915034">
        <w:t>–</w:t>
      </w:r>
      <w:r w:rsidRPr="00B02247">
        <w:t>2020)</w:t>
      </w:r>
      <w:r w:rsidR="005B2A41">
        <w:t xml:space="preserve"> </w:t>
      </w:r>
      <w:r w:rsidRPr="00B02247">
        <w:t>a</w:t>
      </w:r>
      <w:r w:rsidR="005B2A41">
        <w:t xml:space="preserve"> </w:t>
      </w:r>
      <w:r w:rsidRPr="00B02247">
        <w:t>new</w:t>
      </w:r>
      <w:r w:rsidR="005B2A41">
        <w:t xml:space="preserve"> </w:t>
      </w:r>
      <w:r w:rsidRPr="00B02247">
        <w:t>similar</w:t>
      </w:r>
      <w:r w:rsidR="005B2A41">
        <w:t xml:space="preserve"> </w:t>
      </w:r>
      <w:r w:rsidRPr="00B02247">
        <w:t>awareness</w:t>
      </w:r>
      <w:r w:rsidR="005B2A41">
        <w:t xml:space="preserve"> </w:t>
      </w:r>
      <w:r w:rsidRPr="00B02247">
        <w:t>campaign</w:t>
      </w:r>
      <w:r w:rsidR="005B2A41">
        <w:t xml:space="preserve"> </w:t>
      </w:r>
      <w:r w:rsidRPr="00B02247">
        <w:t>will</w:t>
      </w:r>
      <w:r w:rsidR="005B2A41">
        <w:t xml:space="preserve"> </w:t>
      </w:r>
      <w:r w:rsidRPr="00B02247">
        <w:t>be</w:t>
      </w:r>
      <w:r w:rsidR="005B2A41">
        <w:t xml:space="preserve"> </w:t>
      </w:r>
      <w:r w:rsidRPr="00B02247">
        <w:t>organized.</w:t>
      </w:r>
    </w:p>
    <w:p w:rsidR="00F233AB" w:rsidRPr="00B02247" w:rsidRDefault="00F233AB" w:rsidP="00E1307D">
      <w:pPr>
        <w:pStyle w:val="SingleTxtG"/>
      </w:pPr>
      <w:r w:rsidRPr="00B02247">
        <w:t>212.</w:t>
      </w:r>
      <w:r w:rsidRPr="00B02247">
        <w:tab/>
        <w:t>In</w:t>
      </w:r>
      <w:r w:rsidR="005B2A41">
        <w:t xml:space="preserve"> </w:t>
      </w:r>
      <w:r w:rsidRPr="00B02247">
        <w:t>the</w:t>
      </w:r>
      <w:r w:rsidR="005B2A41">
        <w:t xml:space="preserve"> </w:t>
      </w:r>
      <w:r w:rsidRPr="00B02247">
        <w:t>new</w:t>
      </w:r>
      <w:r w:rsidR="005B2A41">
        <w:t xml:space="preserve"> </w:t>
      </w:r>
      <w:r w:rsidRPr="00B02247">
        <w:t>programming</w:t>
      </w:r>
      <w:r w:rsidR="005B2A41">
        <w:t xml:space="preserve"> </w:t>
      </w:r>
      <w:r w:rsidRPr="00B02247">
        <w:t>period</w:t>
      </w:r>
      <w:r w:rsidR="005B2A41">
        <w:t xml:space="preserve"> </w:t>
      </w:r>
      <w:r w:rsidRPr="00B02247">
        <w:t>(2016</w:t>
      </w:r>
      <w:r w:rsidR="00915034">
        <w:t>–</w:t>
      </w:r>
      <w:r w:rsidRPr="00B02247">
        <w:t>2020),</w:t>
      </w:r>
      <w:r w:rsidR="005B2A41">
        <w:t xml:space="preserve"> </w:t>
      </w:r>
      <w:r w:rsidRPr="00B02247">
        <w:t>the</w:t>
      </w:r>
      <w:r w:rsidR="005B2A41">
        <w:t xml:space="preserve"> </w:t>
      </w:r>
      <w:r w:rsidRPr="00B02247">
        <w:t>GSGE</w:t>
      </w:r>
      <w:r w:rsidR="005B2A41">
        <w:t xml:space="preserve"> </w:t>
      </w:r>
      <w:r w:rsidRPr="00B02247">
        <w:t>has</w:t>
      </w:r>
      <w:r w:rsidR="005B2A41">
        <w:t xml:space="preserve"> </w:t>
      </w:r>
      <w:r w:rsidRPr="00B02247">
        <w:t>secured</w:t>
      </w:r>
      <w:r w:rsidR="005B2A41">
        <w:t xml:space="preserve"> </w:t>
      </w:r>
      <w:r w:rsidRPr="00B02247">
        <w:t>funding</w:t>
      </w:r>
      <w:r w:rsidR="005B2A41">
        <w:t xml:space="preserve"> </w:t>
      </w:r>
      <w:r w:rsidRPr="00B02247">
        <w:t>so</w:t>
      </w:r>
      <w:r w:rsidR="005B2A41">
        <w:t xml:space="preserve"> </w:t>
      </w:r>
      <w:r w:rsidRPr="00B02247">
        <w:t>that</w:t>
      </w:r>
      <w:r w:rsidR="005B2A41">
        <w:t xml:space="preserve"> </w:t>
      </w:r>
      <w:r w:rsidRPr="00B02247">
        <w:t>the</w:t>
      </w:r>
      <w:r w:rsidR="005B2A41">
        <w:t xml:space="preserve"> </w:t>
      </w:r>
      <w:r w:rsidRPr="00B02247">
        <w:t>structures</w:t>
      </w:r>
      <w:r w:rsidR="005B2A41">
        <w:t xml:space="preserve"> </w:t>
      </w:r>
      <w:r w:rsidRPr="00B02247">
        <w:t>and</w:t>
      </w:r>
      <w:r w:rsidR="005B2A41">
        <w:t xml:space="preserve"> </w:t>
      </w:r>
      <w:r w:rsidRPr="00B02247">
        <w:t>actions</w:t>
      </w:r>
      <w:r w:rsidR="005B2A41">
        <w:t xml:space="preserve"> </w:t>
      </w:r>
      <w:r w:rsidRPr="00B02247">
        <w:t>of</w:t>
      </w:r>
      <w:r w:rsidR="005B2A41">
        <w:t xml:space="preserve"> </w:t>
      </w:r>
      <w:r w:rsidRPr="00B02247">
        <w:t>the</w:t>
      </w:r>
      <w:r w:rsidR="005B2A41">
        <w:t xml:space="preserve"> </w:t>
      </w:r>
      <w:r w:rsidRPr="00B02247">
        <w:t>above</w:t>
      </w:r>
      <w:r w:rsidR="005B2A41">
        <w:t xml:space="preserve"> </w:t>
      </w:r>
      <w:r w:rsidRPr="00B02247">
        <w:t>described</w:t>
      </w:r>
      <w:r w:rsidR="005B2A41">
        <w:t xml:space="preserve"> </w:t>
      </w:r>
      <w:r w:rsidRPr="00B02247">
        <w:t>programme</w:t>
      </w:r>
      <w:r w:rsidR="005B2A41">
        <w:t xml:space="preserve"> </w:t>
      </w:r>
      <w:r w:rsidRPr="00B02247">
        <w:t>will</w:t>
      </w:r>
      <w:r w:rsidR="005B2A41">
        <w:t xml:space="preserve"> </w:t>
      </w:r>
      <w:r w:rsidRPr="00B02247">
        <w:t>continue</w:t>
      </w:r>
      <w:r w:rsidR="005B2A41">
        <w:t xml:space="preserve"> </w:t>
      </w:r>
      <w:r w:rsidRPr="00B02247">
        <w:t>to</w:t>
      </w:r>
      <w:r w:rsidR="005B2A41">
        <w:t xml:space="preserve"> </w:t>
      </w:r>
      <w:r w:rsidRPr="00B02247">
        <w:t>operate.</w:t>
      </w:r>
      <w:r w:rsidR="005B2A41">
        <w:t xml:space="preserve"> </w:t>
      </w:r>
      <w:r w:rsidRPr="00B02247">
        <w:t>Services</w:t>
      </w:r>
      <w:r w:rsidR="005B2A41">
        <w:t xml:space="preserve"> </w:t>
      </w:r>
      <w:r w:rsidRPr="00B02247">
        <w:t>have</w:t>
      </w:r>
      <w:r w:rsidR="005B2A41">
        <w:t xml:space="preserve"> </w:t>
      </w:r>
      <w:r w:rsidRPr="00B02247">
        <w:t>been</w:t>
      </w:r>
      <w:r w:rsidR="005B2A41">
        <w:t xml:space="preserve"> </w:t>
      </w:r>
      <w:r w:rsidRPr="00B02247">
        <w:t>expanded</w:t>
      </w:r>
      <w:r w:rsidR="005B2A41">
        <w:t xml:space="preserve"> </w:t>
      </w:r>
      <w:r w:rsidRPr="00B02247">
        <w:t>to</w:t>
      </w:r>
      <w:r w:rsidR="005B2A41">
        <w:t xml:space="preserve"> </w:t>
      </w:r>
      <w:r w:rsidRPr="00B02247">
        <w:t>provide</w:t>
      </w:r>
      <w:r w:rsidR="005B2A41">
        <w:t xml:space="preserve"> </w:t>
      </w:r>
      <w:r w:rsidRPr="00B02247">
        <w:t>labor</w:t>
      </w:r>
      <w:r w:rsidR="005B2A41">
        <w:t xml:space="preserve"> </w:t>
      </w:r>
      <w:r w:rsidRPr="00B02247">
        <w:t>counseling.</w:t>
      </w:r>
      <w:r w:rsidR="005B2A41">
        <w:t xml:space="preserve"> </w:t>
      </w:r>
      <w:r w:rsidRPr="00B02247">
        <w:t>The</w:t>
      </w:r>
      <w:r w:rsidR="005B2A41">
        <w:t xml:space="preserve"> </w:t>
      </w:r>
      <w:r w:rsidRPr="00B02247">
        <w:t>target</w:t>
      </w:r>
      <w:r w:rsidR="005B2A41">
        <w:t xml:space="preserve"> </w:t>
      </w:r>
      <w:r w:rsidRPr="00B02247">
        <w:t>group</w:t>
      </w:r>
      <w:r w:rsidR="005B2A41">
        <w:t xml:space="preserve"> </w:t>
      </w:r>
      <w:r w:rsidRPr="00B02247">
        <w:t>of</w:t>
      </w:r>
      <w:r w:rsidR="005B2A41">
        <w:t xml:space="preserve"> </w:t>
      </w:r>
      <w:r w:rsidRPr="00B02247">
        <w:t>the</w:t>
      </w:r>
      <w:r w:rsidR="005B2A41">
        <w:t xml:space="preserve"> </w:t>
      </w:r>
      <w:r w:rsidRPr="00B02247">
        <w:t>services</w:t>
      </w:r>
      <w:r w:rsidR="005B2A41">
        <w:t xml:space="preserve"> </w:t>
      </w:r>
      <w:r w:rsidRPr="00B02247">
        <w:t>has</w:t>
      </w:r>
      <w:r w:rsidR="005B2A41">
        <w:t xml:space="preserve"> </w:t>
      </w:r>
      <w:r w:rsidRPr="00B02247">
        <w:t>also</w:t>
      </w:r>
      <w:r w:rsidR="005B2A41">
        <w:t xml:space="preserve"> </w:t>
      </w:r>
      <w:r w:rsidRPr="00B02247">
        <w:t>been</w:t>
      </w:r>
      <w:r w:rsidR="005B2A41">
        <w:t xml:space="preserve"> </w:t>
      </w:r>
      <w:r w:rsidRPr="00B02247">
        <w:t>expanded</w:t>
      </w:r>
      <w:r w:rsidR="005B2A41">
        <w:t xml:space="preserve"> </w:t>
      </w:r>
      <w:r w:rsidRPr="00B02247">
        <w:t>to</w:t>
      </w:r>
      <w:r w:rsidR="005B2A41">
        <w:t xml:space="preserve"> </w:t>
      </w:r>
      <w:r w:rsidRPr="00B02247">
        <w:t>include</w:t>
      </w:r>
      <w:r w:rsidR="005B2A41">
        <w:t xml:space="preserve"> </w:t>
      </w:r>
      <w:r w:rsidRPr="00B02247">
        <w:t>apart</w:t>
      </w:r>
      <w:r w:rsidR="005B2A41">
        <w:t xml:space="preserve"> </w:t>
      </w:r>
      <w:r w:rsidRPr="00B02247">
        <w:t>of</w:t>
      </w:r>
      <w:r w:rsidR="005B2A41">
        <w:t xml:space="preserve"> </w:t>
      </w:r>
      <w:r w:rsidRPr="00B02247">
        <w:t>women</w:t>
      </w:r>
      <w:r w:rsidR="005B2A41">
        <w:t xml:space="preserve"> </w:t>
      </w:r>
      <w:r w:rsidRPr="00B02247">
        <w:t>victims</w:t>
      </w:r>
      <w:r w:rsidR="005B2A41">
        <w:t xml:space="preserve"> </w:t>
      </w:r>
      <w:r w:rsidRPr="00B02247">
        <w:t>of</w:t>
      </w:r>
      <w:r w:rsidR="005B2A41">
        <w:t xml:space="preserve"> </w:t>
      </w:r>
      <w:r w:rsidRPr="00B02247">
        <w:t>gender</w:t>
      </w:r>
      <w:r w:rsidR="005B2A41">
        <w:t xml:space="preserve"> </w:t>
      </w:r>
      <w:r w:rsidRPr="00B02247">
        <w:t>based</w:t>
      </w:r>
      <w:r w:rsidR="005B2A41">
        <w:t xml:space="preserve"> </w:t>
      </w:r>
      <w:r w:rsidRPr="00B02247">
        <w:t>violence</w:t>
      </w:r>
      <w:r w:rsidR="005B2A41">
        <w:t xml:space="preserve"> </w:t>
      </w:r>
      <w:r w:rsidRPr="00B02247">
        <w:t>also</w:t>
      </w:r>
      <w:r w:rsidR="005B2A41">
        <w:t xml:space="preserve"> </w:t>
      </w:r>
      <w:r w:rsidRPr="00B02247">
        <w:t>women</w:t>
      </w:r>
      <w:r w:rsidR="005B2A41">
        <w:t xml:space="preserve"> </w:t>
      </w:r>
      <w:r w:rsidRPr="00B02247">
        <w:t>victims</w:t>
      </w:r>
      <w:r w:rsidR="005B2A41">
        <w:t xml:space="preserve"> </w:t>
      </w:r>
      <w:r w:rsidRPr="00B02247">
        <w:t>of</w:t>
      </w:r>
      <w:r w:rsidR="005B2A41">
        <w:t xml:space="preserve"> </w:t>
      </w:r>
      <w:r w:rsidRPr="00B02247">
        <w:t>multiple</w:t>
      </w:r>
      <w:r w:rsidR="005B2A41">
        <w:t xml:space="preserve"> </w:t>
      </w:r>
      <w:r w:rsidRPr="00B02247">
        <w:t>discrimination</w:t>
      </w:r>
      <w:r w:rsidR="005B2A41">
        <w:t xml:space="preserve"> </w:t>
      </w:r>
      <w:r w:rsidRPr="00B02247">
        <w:t>(refugees,</w:t>
      </w:r>
      <w:r w:rsidR="005B2A41">
        <w:t xml:space="preserve"> </w:t>
      </w:r>
      <w:r w:rsidRPr="00B02247">
        <w:t>single</w:t>
      </w:r>
      <w:r w:rsidR="005B2A41">
        <w:t xml:space="preserve"> </w:t>
      </w:r>
      <w:r w:rsidRPr="00B02247">
        <w:t>parents,</w:t>
      </w:r>
      <w:r w:rsidR="005B2A41">
        <w:t xml:space="preserve"> </w:t>
      </w:r>
      <w:r w:rsidRPr="00B02247">
        <w:t>Roma,</w:t>
      </w:r>
      <w:r w:rsidR="005B2A41">
        <w:t xml:space="preserve"> </w:t>
      </w:r>
      <w:r w:rsidRPr="00B02247">
        <w:t>etc.).</w:t>
      </w:r>
    </w:p>
    <w:p w:rsidR="009D5D9B" w:rsidRDefault="009D5D9B">
      <w:pPr>
        <w:suppressAutoHyphens w:val="0"/>
        <w:spacing w:line="240" w:lineRule="auto"/>
      </w:pPr>
      <w:r>
        <w:br w:type="page"/>
      </w:r>
    </w:p>
    <w:p w:rsidR="00F233AB" w:rsidRPr="00B02247" w:rsidRDefault="00F233AB" w:rsidP="009D5D9B">
      <w:pPr>
        <w:pStyle w:val="HChG"/>
      </w:pPr>
      <w:r w:rsidRPr="00B02247">
        <w:lastRenderedPageBreak/>
        <w:tab/>
        <w:t>Annexes</w:t>
      </w:r>
    </w:p>
    <w:p w:rsidR="00B56934" w:rsidRDefault="00F233AB" w:rsidP="00B56934">
      <w:pPr>
        <w:pStyle w:val="HChG"/>
        <w:spacing w:after="0"/>
      </w:pPr>
      <w:r w:rsidRPr="00B02247">
        <w:tab/>
      </w:r>
      <w:r w:rsidRPr="00B02247">
        <w:tab/>
        <w:t>Demographic</w:t>
      </w:r>
      <w:r w:rsidR="005B2A41">
        <w:t xml:space="preserve"> </w:t>
      </w:r>
      <w:r w:rsidRPr="00B02247">
        <w:t>Indicators</w:t>
      </w:r>
      <w:r w:rsidR="005B2A41">
        <w:t xml:space="preserve"> </w:t>
      </w:r>
    </w:p>
    <w:p w:rsidR="00F233AB" w:rsidRPr="00B02247" w:rsidRDefault="00F233AB" w:rsidP="00B56934">
      <w:pPr>
        <w:pStyle w:val="SingleTxtG"/>
      </w:pPr>
      <w:r w:rsidRPr="00B02247">
        <w:t>(</w:t>
      </w:r>
      <w:r w:rsidRPr="00B56934">
        <w:rPr>
          <w:i/>
          <w:iCs/>
        </w:rPr>
        <w:t>Source:</w:t>
      </w:r>
      <w:r w:rsidR="00B56934">
        <w:t xml:space="preserve"> </w:t>
      </w:r>
      <w:r w:rsidR="005B2A41">
        <w:t xml:space="preserve"> </w:t>
      </w:r>
      <w:r w:rsidRPr="00B02247">
        <w:t>Hellenic</w:t>
      </w:r>
      <w:r w:rsidR="005B2A41">
        <w:t xml:space="preserve"> </w:t>
      </w:r>
      <w:r w:rsidRPr="00B02247">
        <w:t>Statistical</w:t>
      </w:r>
      <w:r w:rsidR="005B2A41">
        <w:t xml:space="preserve"> </w:t>
      </w:r>
      <w:r w:rsidRPr="00B02247">
        <w:t>Authority)</w:t>
      </w:r>
    </w:p>
    <w:p w:rsidR="00F233AB" w:rsidRPr="00B02247" w:rsidRDefault="003B29A7" w:rsidP="003B29A7">
      <w:pPr>
        <w:pStyle w:val="SingleTxtG"/>
      </w:pPr>
      <w:r>
        <w:tab/>
      </w:r>
      <w:r w:rsidR="00F233AB" w:rsidRPr="00B02247">
        <w:t>According</w:t>
      </w:r>
      <w:r w:rsidR="005B2A41">
        <w:t xml:space="preserve"> </w:t>
      </w:r>
      <w:r w:rsidR="00F233AB" w:rsidRPr="00B02247">
        <w:t>to</w:t>
      </w:r>
      <w:r w:rsidR="005B2A41">
        <w:t xml:space="preserve"> </w:t>
      </w:r>
      <w:r w:rsidR="00F233AB" w:rsidRPr="00B02247">
        <w:t>the</w:t>
      </w:r>
      <w:r w:rsidR="005B2A41">
        <w:t xml:space="preserve"> </w:t>
      </w:r>
      <w:r w:rsidR="00F233AB" w:rsidRPr="00B02247">
        <w:t>2011</w:t>
      </w:r>
      <w:r w:rsidR="005B2A41">
        <w:t xml:space="preserve"> </w:t>
      </w:r>
      <w:r w:rsidR="00F233AB" w:rsidRPr="00B02247">
        <w:t>Population-Housing</w:t>
      </w:r>
      <w:r w:rsidR="005B2A41">
        <w:t xml:space="preserve"> </w:t>
      </w:r>
      <w:r w:rsidR="00F233AB" w:rsidRPr="00B02247">
        <w:t>Census,</w:t>
      </w:r>
      <w:r w:rsidR="005B2A41">
        <w:t xml:space="preserve"> </w:t>
      </w:r>
      <w:r w:rsidR="00F233AB" w:rsidRPr="00B02247">
        <w:t>the</w:t>
      </w:r>
      <w:r w:rsidR="005B2A41">
        <w:t xml:space="preserve"> </w:t>
      </w:r>
      <w:r w:rsidR="00F233AB" w:rsidRPr="00B02247">
        <w:t>Resident</w:t>
      </w:r>
      <w:r w:rsidR="005B2A41">
        <w:t xml:space="preserve"> </w:t>
      </w:r>
      <w:r w:rsidR="00F233AB" w:rsidRPr="00B02247">
        <w:t>Population</w:t>
      </w:r>
      <w:r w:rsidR="005B2A41">
        <w:t xml:space="preserve"> </w:t>
      </w:r>
      <w:r w:rsidR="00F233AB" w:rsidRPr="00B02247">
        <w:t>of</w:t>
      </w:r>
      <w:r w:rsidR="005B2A41">
        <w:t xml:space="preserve"> </w:t>
      </w:r>
      <w:r w:rsidR="00F233AB" w:rsidRPr="00B02247">
        <w:t>Greece</w:t>
      </w:r>
      <w:r w:rsidR="005B2A41">
        <w:t xml:space="preserve"> </w:t>
      </w:r>
      <w:r w:rsidR="00F233AB" w:rsidRPr="00B02247">
        <w:t>is</w:t>
      </w:r>
      <w:r w:rsidR="005B2A41">
        <w:t xml:space="preserve"> </w:t>
      </w:r>
      <w:r w:rsidR="00F233AB" w:rsidRPr="00B02247">
        <w:t>10</w:t>
      </w:r>
      <w:r>
        <w:t>,</w:t>
      </w:r>
      <w:r w:rsidR="00F233AB" w:rsidRPr="00B02247">
        <w:t>816</w:t>
      </w:r>
      <w:r>
        <w:t>,</w:t>
      </w:r>
      <w:r w:rsidR="00F233AB" w:rsidRPr="00B02247">
        <w:t>286,</w:t>
      </w:r>
      <w:r w:rsidR="005B2A41">
        <w:t xml:space="preserve"> </w:t>
      </w:r>
      <w:r w:rsidR="00F233AB" w:rsidRPr="00B02247">
        <w:t>of</w:t>
      </w:r>
      <w:r w:rsidR="005B2A41">
        <w:t xml:space="preserve"> </w:t>
      </w:r>
      <w:r w:rsidR="00F233AB" w:rsidRPr="00B02247">
        <w:t>which</w:t>
      </w:r>
      <w:r w:rsidR="005B2A41">
        <w:t xml:space="preserve"> </w:t>
      </w:r>
      <w:r w:rsidR="00F233AB" w:rsidRPr="00B02247">
        <w:t>5</w:t>
      </w:r>
      <w:r>
        <w:t>,</w:t>
      </w:r>
      <w:r w:rsidR="00F233AB" w:rsidRPr="00B02247">
        <w:t>303</w:t>
      </w:r>
      <w:r>
        <w:t>,</w:t>
      </w:r>
      <w:r w:rsidR="00F233AB" w:rsidRPr="00B02247">
        <w:t>223</w:t>
      </w:r>
      <w:r w:rsidR="005B2A41">
        <w:t xml:space="preserve"> </w:t>
      </w:r>
      <w:r w:rsidR="00F233AB" w:rsidRPr="00B02247">
        <w:t>male</w:t>
      </w:r>
      <w:r w:rsidR="005B2A41">
        <w:t xml:space="preserve"> </w:t>
      </w:r>
      <w:r w:rsidR="00F233AB" w:rsidRPr="00B02247">
        <w:t>(49</w:t>
      </w:r>
      <w:r w:rsidR="00C24F8F">
        <w:t>.</w:t>
      </w:r>
      <w:r w:rsidR="00F233AB" w:rsidRPr="00B02247">
        <w:t>0%)</w:t>
      </w:r>
      <w:r w:rsidR="005B2A41">
        <w:t xml:space="preserve"> </w:t>
      </w:r>
      <w:r w:rsidR="00F233AB" w:rsidRPr="00B02247">
        <w:t>and</w:t>
      </w:r>
      <w:r w:rsidR="005B2A41">
        <w:t xml:space="preserve"> </w:t>
      </w:r>
      <w:r w:rsidR="00F233AB" w:rsidRPr="00B02247">
        <w:t>5</w:t>
      </w:r>
      <w:r>
        <w:t>,</w:t>
      </w:r>
      <w:r w:rsidR="00F233AB" w:rsidRPr="00B02247">
        <w:t>513</w:t>
      </w:r>
      <w:r>
        <w:t>,</w:t>
      </w:r>
      <w:r w:rsidR="00F233AB" w:rsidRPr="00B02247">
        <w:t>063</w:t>
      </w:r>
      <w:r w:rsidR="005B2A41">
        <w:t xml:space="preserve"> </w:t>
      </w:r>
      <w:r w:rsidR="00F233AB" w:rsidRPr="00B02247">
        <w:t>female</w:t>
      </w:r>
      <w:r w:rsidR="005B2A41">
        <w:t xml:space="preserve"> </w:t>
      </w:r>
      <w:r w:rsidR="00F233AB" w:rsidRPr="00B02247">
        <w:t>(51</w:t>
      </w:r>
      <w:r w:rsidR="00C24F8F">
        <w:t>.</w:t>
      </w:r>
      <w:r w:rsidR="00F233AB" w:rsidRPr="00B02247">
        <w:t>0%)</w:t>
      </w:r>
      <w:r w:rsidR="005B2A41">
        <w:t xml:space="preserve"> </w:t>
      </w:r>
      <w:r w:rsidR="00F233AB" w:rsidRPr="00B02247">
        <w:t>while</w:t>
      </w:r>
      <w:r w:rsidR="005B2A41">
        <w:t xml:space="preserve"> </w:t>
      </w:r>
      <w:r w:rsidR="00F233AB" w:rsidRPr="00B02247">
        <w:t>the</w:t>
      </w:r>
      <w:r w:rsidR="005B2A41">
        <w:t xml:space="preserve"> </w:t>
      </w:r>
      <w:r w:rsidR="00F233AB" w:rsidRPr="00B02247">
        <w:t>76</w:t>
      </w:r>
      <w:r w:rsidR="00C24F8F">
        <w:t>.</w:t>
      </w:r>
      <w:r w:rsidR="00F233AB" w:rsidRPr="00B02247">
        <w:t>6%</w:t>
      </w:r>
      <w:r w:rsidR="005B2A41">
        <w:t xml:space="preserve"> </w:t>
      </w:r>
      <w:r w:rsidR="00F233AB" w:rsidRPr="00B02247">
        <w:t>lives</w:t>
      </w:r>
      <w:r w:rsidR="005B2A41">
        <w:t xml:space="preserve"> </w:t>
      </w:r>
      <w:r w:rsidR="00F233AB" w:rsidRPr="00B02247">
        <w:t>in</w:t>
      </w:r>
      <w:r w:rsidR="005B2A41">
        <w:t xml:space="preserve"> </w:t>
      </w:r>
      <w:r w:rsidR="00F233AB" w:rsidRPr="00B02247">
        <w:t>urban</w:t>
      </w:r>
      <w:r w:rsidR="005B2A41">
        <w:t xml:space="preserve"> </w:t>
      </w:r>
      <w:r w:rsidR="00F233AB" w:rsidRPr="00B02247">
        <w:t>areas</w:t>
      </w:r>
      <w:r w:rsidR="005B2A41">
        <w:t xml:space="preserve"> </w:t>
      </w:r>
      <w:r w:rsidR="00F233AB" w:rsidRPr="00B02247">
        <w:t>and</w:t>
      </w:r>
      <w:r w:rsidR="005B2A41">
        <w:t xml:space="preserve"> </w:t>
      </w:r>
      <w:r w:rsidR="00F233AB" w:rsidRPr="00B02247">
        <w:t>the</w:t>
      </w:r>
      <w:r w:rsidR="005B2A41">
        <w:t xml:space="preserve"> </w:t>
      </w:r>
      <w:r w:rsidR="00F233AB" w:rsidRPr="00B02247">
        <w:t>23</w:t>
      </w:r>
      <w:r w:rsidR="00C24F8F">
        <w:t>.</w:t>
      </w:r>
      <w:r w:rsidR="00F233AB" w:rsidRPr="00B02247">
        <w:t>4%</w:t>
      </w:r>
      <w:r w:rsidR="005B2A41">
        <w:t xml:space="preserve"> </w:t>
      </w:r>
      <w:r w:rsidR="00F233AB" w:rsidRPr="00B02247">
        <w:t>in</w:t>
      </w:r>
      <w:r w:rsidR="005B2A41">
        <w:t xml:space="preserve"> </w:t>
      </w:r>
      <w:r w:rsidR="00F233AB" w:rsidRPr="00B02247">
        <w:t>rural</w:t>
      </w:r>
      <w:r w:rsidR="005B2A41">
        <w:t xml:space="preserve"> </w:t>
      </w:r>
      <w:r w:rsidR="00F233AB" w:rsidRPr="00B02247">
        <w:t>areas.</w:t>
      </w:r>
      <w:r w:rsidR="005B2A41">
        <w:t xml:space="preserve"> </w:t>
      </w:r>
      <w:r w:rsidR="00F233AB" w:rsidRPr="00B02247">
        <w:t>The</w:t>
      </w:r>
      <w:r w:rsidR="005B2A41">
        <w:t xml:space="preserve"> </w:t>
      </w:r>
      <w:r w:rsidR="00F233AB" w:rsidRPr="00B02247">
        <w:t>population</w:t>
      </w:r>
      <w:r w:rsidR="005B2A41">
        <w:t xml:space="preserve"> </w:t>
      </w:r>
      <w:r w:rsidR="00F233AB" w:rsidRPr="00B02247">
        <w:t>density</w:t>
      </w:r>
      <w:r w:rsidR="005B2A41">
        <w:t xml:space="preserve"> </w:t>
      </w:r>
      <w:r w:rsidR="00F233AB" w:rsidRPr="00B02247">
        <w:t>is</w:t>
      </w:r>
      <w:r w:rsidR="005B2A41">
        <w:t xml:space="preserve"> </w:t>
      </w:r>
      <w:r w:rsidR="00F233AB" w:rsidRPr="00B02247">
        <w:t>81</w:t>
      </w:r>
      <w:r>
        <w:t>.</w:t>
      </w:r>
      <w:r w:rsidR="00F233AB" w:rsidRPr="00B02247">
        <w:t>9</w:t>
      </w:r>
      <w:r w:rsidR="005B2A41">
        <w:t xml:space="preserve"> </w:t>
      </w:r>
      <w:r w:rsidR="00F233AB" w:rsidRPr="00B02247">
        <w:t>inhabitants</w:t>
      </w:r>
      <w:r w:rsidR="005B2A41">
        <w:t xml:space="preserve"> </w:t>
      </w:r>
      <w:r w:rsidR="00F233AB" w:rsidRPr="00B02247">
        <w:t>per</w:t>
      </w:r>
      <w:r w:rsidR="005B2A41">
        <w:t xml:space="preserve"> </w:t>
      </w:r>
      <w:r w:rsidR="00F233AB" w:rsidRPr="00B02247">
        <w:t>1km</w:t>
      </w:r>
      <w:r w:rsidR="00F233AB" w:rsidRPr="00C24F8F">
        <w:rPr>
          <w:vertAlign w:val="superscript"/>
        </w:rPr>
        <w:t>2</w:t>
      </w:r>
      <w:r w:rsidR="00F233AB" w:rsidRPr="00B02247">
        <w:t>.</w:t>
      </w:r>
      <w:r w:rsidR="005B2A41">
        <w:t xml:space="preserve"> </w:t>
      </w:r>
    </w:p>
    <w:p w:rsidR="00F233AB" w:rsidRPr="00B02247" w:rsidRDefault="00F233AB" w:rsidP="00915034">
      <w:pPr>
        <w:pStyle w:val="SingleTxtG"/>
      </w:pPr>
      <w:r w:rsidRPr="00B02247">
        <w:t>The</w:t>
      </w:r>
      <w:r w:rsidR="005B2A41">
        <w:t xml:space="preserve"> </w:t>
      </w:r>
      <w:r w:rsidRPr="00B02247">
        <w:t>age</w:t>
      </w:r>
      <w:r w:rsidR="005B2A41">
        <w:t xml:space="preserve"> </w:t>
      </w:r>
      <w:r w:rsidRPr="00B02247">
        <w:t>composition</w:t>
      </w:r>
      <w:r w:rsidR="005B2A41">
        <w:t xml:space="preserve"> </w:t>
      </w:r>
      <w:r w:rsidRPr="00B02247">
        <w:t>of</w:t>
      </w:r>
      <w:r w:rsidR="005B2A41">
        <w:t xml:space="preserve"> </w:t>
      </w:r>
      <w:r w:rsidRPr="00B02247">
        <w:t>the</w:t>
      </w:r>
      <w:r w:rsidR="005B2A41">
        <w:t xml:space="preserve"> </w:t>
      </w:r>
      <w:r w:rsidRPr="00B02247">
        <w:t>population</w:t>
      </w:r>
      <w:r w:rsidR="005B2A41">
        <w:t xml:space="preserve"> </w:t>
      </w:r>
      <w:r w:rsidRPr="00B02247">
        <w:t>using</w:t>
      </w:r>
      <w:r w:rsidR="005B2A41">
        <w:t xml:space="preserve"> </w:t>
      </w:r>
      <w:r w:rsidRPr="00B02247">
        <w:t>five-year</w:t>
      </w:r>
      <w:r w:rsidR="005B2A41">
        <w:t xml:space="preserve"> </w:t>
      </w:r>
      <w:r w:rsidRPr="00B02247">
        <w:t>age</w:t>
      </w:r>
      <w:r w:rsidR="005B2A41">
        <w:t xml:space="preserve"> </w:t>
      </w:r>
      <w:r w:rsidRPr="00B02247">
        <w:t>groups</w:t>
      </w:r>
      <w:r w:rsidR="005B2A41">
        <w:t xml:space="preserve"> </w:t>
      </w:r>
      <w:r w:rsidRPr="00B02247">
        <w:t>is</w:t>
      </w:r>
      <w:r w:rsidR="005B2A41">
        <w:t xml:space="preserve"> </w:t>
      </w:r>
      <w:r w:rsidRPr="00B02247">
        <w:t>as</w:t>
      </w:r>
      <w:r w:rsidR="005B2A41">
        <w:t xml:space="preserve"> </w:t>
      </w:r>
      <w:r w:rsidRPr="00B02247">
        <w:t>follows:</w:t>
      </w:r>
      <w:r w:rsidR="005B2A41">
        <w:t xml:space="preserve"> </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0</w:t>
      </w:r>
      <w:r w:rsidR="00A6566E">
        <w:t>–</w:t>
      </w:r>
      <w:r w:rsidR="00F233AB" w:rsidRPr="00B02247">
        <w:t>9</w:t>
      </w:r>
      <w:r w:rsidR="005B2A41">
        <w:t xml:space="preserve"> </w:t>
      </w:r>
      <w:r w:rsidR="00F233AB" w:rsidRPr="00B02247">
        <w:t>years:</w:t>
      </w:r>
      <w:r w:rsidR="005B2A41">
        <w:t xml:space="preserve"> </w:t>
      </w:r>
      <w:r w:rsidR="00F233AB" w:rsidRPr="00B02247">
        <w:t>1,049,839;</w:t>
      </w:r>
      <w:r w:rsidR="005B2A41">
        <w:t xml:space="preserve"> </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10</w:t>
      </w:r>
      <w:r w:rsidR="00A6566E">
        <w:t>–</w:t>
      </w:r>
      <w:r w:rsidR="00F233AB" w:rsidRPr="00B02247">
        <w:t>19</w:t>
      </w:r>
      <w:r w:rsidR="005B2A41">
        <w:t xml:space="preserve"> </w:t>
      </w:r>
      <w:r w:rsidR="00F233AB" w:rsidRPr="00B02247">
        <w:t>years:</w:t>
      </w:r>
      <w:r w:rsidR="005B2A41">
        <w:t xml:space="preserve"> </w:t>
      </w:r>
      <w:r w:rsidR="00F233AB" w:rsidRPr="00B02247">
        <w:t>1,072,705;</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20</w:t>
      </w:r>
      <w:r w:rsidR="00A6566E">
        <w:t>–</w:t>
      </w:r>
      <w:r w:rsidR="00F233AB" w:rsidRPr="00B02247">
        <w:t>29</w:t>
      </w:r>
      <w:r w:rsidR="005B2A41">
        <w:t xml:space="preserve"> </w:t>
      </w:r>
      <w:r w:rsidR="00F233AB" w:rsidRPr="00B02247">
        <w:t>years:</w:t>
      </w:r>
      <w:r w:rsidR="005B2A41">
        <w:t xml:space="preserve"> </w:t>
      </w:r>
      <w:r w:rsidR="00F233AB" w:rsidRPr="00B02247">
        <w:t>1,350,868;</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30</w:t>
      </w:r>
      <w:r w:rsidR="00A6566E">
        <w:t>–</w:t>
      </w:r>
      <w:r w:rsidR="00F233AB" w:rsidRPr="00B02247">
        <w:t>39</w:t>
      </w:r>
      <w:r w:rsidR="005B2A41">
        <w:t xml:space="preserve"> </w:t>
      </w:r>
      <w:r w:rsidR="00F233AB" w:rsidRPr="00B02247">
        <w:t>years:</w:t>
      </w:r>
      <w:r w:rsidR="005B2A41">
        <w:t xml:space="preserve"> </w:t>
      </w:r>
      <w:r w:rsidR="00F233AB" w:rsidRPr="00B02247">
        <w:t>1,635,304;</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40</w:t>
      </w:r>
      <w:r w:rsidR="00A6566E">
        <w:t>–</w:t>
      </w:r>
      <w:r w:rsidR="00F233AB" w:rsidRPr="00B02247">
        <w:t>49</w:t>
      </w:r>
      <w:r w:rsidR="005B2A41">
        <w:t xml:space="preserve"> </w:t>
      </w:r>
      <w:r w:rsidR="00F233AB" w:rsidRPr="00B02247">
        <w:t>years:</w:t>
      </w:r>
      <w:r w:rsidR="005B2A41">
        <w:t xml:space="preserve"> </w:t>
      </w:r>
      <w:r w:rsidR="00F233AB" w:rsidRPr="00B02247">
        <w:t>1,581,095;</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50</w:t>
      </w:r>
      <w:r w:rsidR="00A6566E">
        <w:t>–</w:t>
      </w:r>
      <w:r w:rsidR="00F233AB" w:rsidRPr="00B02247">
        <w:t>59</w:t>
      </w:r>
      <w:r w:rsidR="005B2A41">
        <w:t xml:space="preserve"> </w:t>
      </w:r>
      <w:r w:rsidR="00F233AB" w:rsidRPr="00B02247">
        <w:t>years:</w:t>
      </w:r>
      <w:r w:rsidR="005B2A41">
        <w:t xml:space="preserve"> </w:t>
      </w:r>
      <w:r w:rsidR="00F233AB" w:rsidRPr="00B02247">
        <w:t>1,391,854;</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60</w:t>
      </w:r>
      <w:r w:rsidR="00A6566E">
        <w:t>–</w:t>
      </w:r>
      <w:r w:rsidR="00F233AB" w:rsidRPr="00B02247">
        <w:t>69</w:t>
      </w:r>
      <w:r w:rsidR="005B2A41">
        <w:t xml:space="preserve"> </w:t>
      </w:r>
      <w:r w:rsidR="00F233AB" w:rsidRPr="00B02247">
        <w:t>years:</w:t>
      </w:r>
      <w:r w:rsidR="005B2A41">
        <w:t xml:space="preserve"> </w:t>
      </w:r>
      <w:r w:rsidR="00F233AB" w:rsidRPr="00B02247">
        <w:t>1,134,045;</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70</w:t>
      </w:r>
      <w:r w:rsidR="00A6566E">
        <w:t>–</w:t>
      </w:r>
      <w:r w:rsidR="00F233AB" w:rsidRPr="00B02247">
        <w:t>79</w:t>
      </w:r>
      <w:r w:rsidR="005B2A41">
        <w:t xml:space="preserve"> </w:t>
      </w:r>
      <w:r w:rsidR="00F233AB" w:rsidRPr="00B02247">
        <w:t>years:</w:t>
      </w:r>
      <w:r w:rsidR="005B2A41">
        <w:t xml:space="preserve"> </w:t>
      </w:r>
      <w:r w:rsidR="00F233AB" w:rsidRPr="00B02247">
        <w:t>1,017,242;</w:t>
      </w:r>
    </w:p>
    <w:p w:rsidR="00F233AB" w:rsidRPr="00B02247" w:rsidRDefault="00102678" w:rsidP="00102678">
      <w:pPr>
        <w:pStyle w:val="Bullet1G"/>
        <w:numPr>
          <w:ilvl w:val="0"/>
          <w:numId w:val="0"/>
        </w:numPr>
        <w:tabs>
          <w:tab w:val="left" w:pos="1701"/>
        </w:tabs>
        <w:ind w:left="1701" w:hanging="170"/>
      </w:pPr>
      <w:r w:rsidRPr="00B02247">
        <w:t>•</w:t>
      </w:r>
      <w:r w:rsidRPr="00B02247">
        <w:tab/>
      </w:r>
      <w:r w:rsidR="00F233AB" w:rsidRPr="00B02247">
        <w:t>80+</w:t>
      </w:r>
      <w:r w:rsidR="005B2A41">
        <w:t xml:space="preserve"> </w:t>
      </w:r>
      <w:r w:rsidR="00F233AB" w:rsidRPr="00B02247">
        <w:t>years:</w:t>
      </w:r>
      <w:r w:rsidR="005B2A41">
        <w:t xml:space="preserve"> </w:t>
      </w:r>
      <w:r w:rsidR="00F233AB" w:rsidRPr="00B02247">
        <w:t>583,334.</w:t>
      </w:r>
    </w:p>
    <w:p w:rsidR="00F233AB" w:rsidRPr="00B02247" w:rsidRDefault="00F233AB" w:rsidP="002F5810">
      <w:pPr>
        <w:pStyle w:val="SingleTxtG"/>
      </w:pPr>
      <w:r w:rsidRPr="00B02247">
        <w:t>The</w:t>
      </w:r>
      <w:r w:rsidR="005B2A41">
        <w:t xml:space="preserve"> </w:t>
      </w:r>
      <w:r w:rsidRPr="00B02247">
        <w:t>percentage</w:t>
      </w:r>
      <w:r w:rsidR="005B2A41">
        <w:t xml:space="preserve"> </w:t>
      </w:r>
      <w:r w:rsidRPr="00B02247">
        <w:t>of</w:t>
      </w:r>
      <w:r w:rsidR="005B2A41">
        <w:t xml:space="preserve"> </w:t>
      </w:r>
      <w:r w:rsidRPr="00B02247">
        <w:t>resident</w:t>
      </w:r>
      <w:r w:rsidR="005B2A41">
        <w:t xml:space="preserve"> </w:t>
      </w:r>
      <w:r w:rsidRPr="00B02247">
        <w:t>population</w:t>
      </w:r>
      <w:r w:rsidR="005B2A41">
        <w:t xml:space="preserve"> </w:t>
      </w:r>
      <w:r w:rsidRPr="00B02247">
        <w:t>under</w:t>
      </w:r>
      <w:r w:rsidR="005B2A41">
        <w:t xml:space="preserve"> </w:t>
      </w:r>
      <w:r w:rsidRPr="00B02247">
        <w:t>15</w:t>
      </w:r>
      <w:r w:rsidR="005B2A41">
        <w:t xml:space="preserve"> </w:t>
      </w:r>
      <w:r w:rsidRPr="00B02247">
        <w:t>and</w:t>
      </w:r>
      <w:r w:rsidR="005B2A41">
        <w:t xml:space="preserve"> </w:t>
      </w:r>
      <w:r w:rsidRPr="00B02247">
        <w:t>over</w:t>
      </w:r>
      <w:r w:rsidR="005B2A41">
        <w:t xml:space="preserve"> </w:t>
      </w:r>
      <w:r w:rsidRPr="00B02247">
        <w:t>65</w:t>
      </w:r>
      <w:r w:rsidR="005B2A41">
        <w:t xml:space="preserve"> </w:t>
      </w:r>
      <w:r w:rsidRPr="00B02247">
        <w:t>years</w:t>
      </w:r>
      <w:r w:rsidR="005B2A41">
        <w:t xml:space="preserve"> </w:t>
      </w:r>
      <w:r w:rsidRPr="00B02247">
        <w:t>of</w:t>
      </w:r>
      <w:r w:rsidR="005B2A41">
        <w:t xml:space="preserve"> </w:t>
      </w:r>
      <w:r w:rsidRPr="00B02247">
        <w:t>age</w:t>
      </w:r>
      <w:r w:rsidR="005B2A41">
        <w:t xml:space="preserve"> </w:t>
      </w:r>
      <w:r w:rsidRPr="00B02247">
        <w:t>is</w:t>
      </w:r>
      <w:r w:rsidR="005B2A41">
        <w:t xml:space="preserve"> </w:t>
      </w:r>
      <w:r w:rsidRPr="00B02247">
        <w:t>32</w:t>
      </w:r>
      <w:r w:rsidR="002F5810">
        <w:t>.</w:t>
      </w:r>
      <w:r w:rsidRPr="00B02247">
        <w:t>8%.</w:t>
      </w:r>
      <w:r w:rsidR="005B2A41">
        <w:t xml:space="preserve"> </w:t>
      </w:r>
    </w:p>
    <w:p w:rsidR="00F233AB" w:rsidRPr="00B02247" w:rsidRDefault="00F233AB" w:rsidP="002F5810">
      <w:pPr>
        <w:pStyle w:val="SingleTxtG"/>
      </w:pPr>
      <w:r w:rsidRPr="00B02247">
        <w:t>The</w:t>
      </w:r>
      <w:r w:rsidR="005B2A41">
        <w:t xml:space="preserve"> </w:t>
      </w:r>
      <w:r w:rsidRPr="00B02247">
        <w:t>average</w:t>
      </w:r>
      <w:r w:rsidR="005B2A41">
        <w:t xml:space="preserve"> </w:t>
      </w:r>
      <w:r w:rsidRPr="00B02247">
        <w:t>size</w:t>
      </w:r>
      <w:r w:rsidR="005B2A41">
        <w:t xml:space="preserve"> </w:t>
      </w:r>
      <w:r w:rsidRPr="00B02247">
        <w:t>of</w:t>
      </w:r>
      <w:r w:rsidR="005B2A41">
        <w:t xml:space="preserve"> </w:t>
      </w:r>
      <w:r w:rsidRPr="00B02247">
        <w:t>households</w:t>
      </w:r>
      <w:r w:rsidR="005B2A41">
        <w:t xml:space="preserve"> </w:t>
      </w:r>
      <w:r w:rsidRPr="00B02247">
        <w:t>in</w:t>
      </w:r>
      <w:r w:rsidR="005B2A41">
        <w:t xml:space="preserve"> </w:t>
      </w:r>
      <w:r w:rsidRPr="00B02247">
        <w:t>Greece</w:t>
      </w:r>
      <w:r w:rsidR="005B2A41">
        <w:t xml:space="preserve"> </w:t>
      </w:r>
      <w:r w:rsidRPr="00B02247">
        <w:t>comes</w:t>
      </w:r>
      <w:r w:rsidR="005B2A41">
        <w:t xml:space="preserve"> </w:t>
      </w:r>
      <w:r w:rsidRPr="00B02247">
        <w:t>to</w:t>
      </w:r>
      <w:r w:rsidR="005B2A41">
        <w:t xml:space="preserve"> </w:t>
      </w:r>
      <w:r w:rsidRPr="00B02247">
        <w:t>2,6</w:t>
      </w:r>
      <w:r w:rsidR="005B2A41">
        <w:t xml:space="preserve"> </w:t>
      </w:r>
      <w:r w:rsidRPr="00B02247">
        <w:t>persons.</w:t>
      </w:r>
      <w:r w:rsidR="005B2A41">
        <w:t xml:space="preserve"> </w:t>
      </w:r>
      <w:r w:rsidRPr="00B02247">
        <w:t>As</w:t>
      </w:r>
      <w:r w:rsidR="005B2A41">
        <w:t xml:space="preserve"> </w:t>
      </w:r>
      <w:r w:rsidRPr="00B02247">
        <w:t>it</w:t>
      </w:r>
      <w:r w:rsidR="005B2A41">
        <w:t xml:space="preserve"> </w:t>
      </w:r>
      <w:r w:rsidRPr="00B02247">
        <w:t>concerns</w:t>
      </w:r>
      <w:r w:rsidR="005B2A41">
        <w:t xml:space="preserve"> </w:t>
      </w:r>
      <w:r w:rsidRPr="00B02247">
        <w:t>the</w:t>
      </w:r>
      <w:r w:rsidR="005B2A41">
        <w:t xml:space="preserve"> </w:t>
      </w:r>
      <w:r w:rsidRPr="00B02247">
        <w:t>proportion</w:t>
      </w:r>
      <w:r w:rsidR="005B2A41">
        <w:t xml:space="preserve"> </w:t>
      </w:r>
      <w:r w:rsidRPr="00B02247">
        <w:t>of</w:t>
      </w:r>
      <w:r w:rsidR="005B2A41">
        <w:t xml:space="preserve"> </w:t>
      </w:r>
      <w:r w:rsidRPr="00B02247">
        <w:t>single-parent</w:t>
      </w:r>
      <w:r w:rsidR="005B2A41">
        <w:t xml:space="preserve"> </w:t>
      </w:r>
      <w:r w:rsidRPr="00B02247">
        <w:t>households</w:t>
      </w:r>
      <w:r w:rsidR="005B2A41">
        <w:t xml:space="preserve"> </w:t>
      </w:r>
      <w:r w:rsidRPr="00B02247">
        <w:t>is</w:t>
      </w:r>
      <w:r w:rsidR="005B2A41">
        <w:t xml:space="preserve"> </w:t>
      </w:r>
      <w:r w:rsidRPr="00B02247">
        <w:t>the</w:t>
      </w:r>
      <w:r w:rsidR="005B2A41">
        <w:t xml:space="preserve"> </w:t>
      </w:r>
      <w:r w:rsidRPr="00B02247">
        <w:t>15</w:t>
      </w:r>
      <w:r w:rsidR="002F5810">
        <w:t>.</w:t>
      </w:r>
      <w:r w:rsidRPr="00B02247">
        <w:t>3%</w:t>
      </w:r>
      <w:r w:rsidR="005B2A41">
        <w:t xml:space="preserve"> </w:t>
      </w:r>
      <w:r w:rsidRPr="00B02247">
        <w:t>of</w:t>
      </w:r>
      <w:r w:rsidR="005B2A41">
        <w:t xml:space="preserve"> </w:t>
      </w:r>
      <w:r w:rsidRPr="00B02247">
        <w:t>the</w:t>
      </w:r>
      <w:r w:rsidR="005B2A41">
        <w:t xml:space="preserve"> </w:t>
      </w:r>
      <w:r w:rsidRPr="00B02247">
        <w:t>total</w:t>
      </w:r>
      <w:r w:rsidR="005B2A41">
        <w:t xml:space="preserve"> </w:t>
      </w:r>
      <w:r w:rsidRPr="00B02247">
        <w:t>number</w:t>
      </w:r>
      <w:r w:rsidR="005B2A41">
        <w:t xml:space="preserve"> </w:t>
      </w:r>
      <w:r w:rsidRPr="00B02247">
        <w:t>of</w:t>
      </w:r>
      <w:r w:rsidR="005B2A41">
        <w:t xml:space="preserve"> </w:t>
      </w:r>
      <w:r w:rsidRPr="00B02247">
        <w:t>the</w:t>
      </w:r>
      <w:r w:rsidR="005B2A41">
        <w:t xml:space="preserve"> </w:t>
      </w:r>
      <w:r w:rsidRPr="00B02247">
        <w:t>nuclear</w:t>
      </w:r>
      <w:r w:rsidR="005B2A41">
        <w:t xml:space="preserve"> </w:t>
      </w:r>
      <w:r w:rsidRPr="00B02247">
        <w:t>families</w:t>
      </w:r>
      <w:r w:rsidR="005B2A41">
        <w:t xml:space="preserve"> </w:t>
      </w:r>
      <w:r w:rsidRPr="00B02247">
        <w:t>while</w:t>
      </w:r>
      <w:r w:rsidR="005B2A41">
        <w:t xml:space="preserve"> </w:t>
      </w:r>
      <w:r w:rsidRPr="00B02247">
        <w:t>the</w:t>
      </w:r>
      <w:r w:rsidR="005B2A41">
        <w:t xml:space="preserve"> </w:t>
      </w:r>
      <w:r w:rsidRPr="00B02247">
        <w:t>83</w:t>
      </w:r>
      <w:r w:rsidR="002F5810">
        <w:t>.</w:t>
      </w:r>
      <w:r w:rsidRPr="00B02247">
        <w:t>9%</w:t>
      </w:r>
      <w:r w:rsidR="005B2A41">
        <w:t xml:space="preserve"> </w:t>
      </w:r>
      <w:r w:rsidRPr="00B02247">
        <w:t>out</w:t>
      </w:r>
      <w:r w:rsidR="005B2A41">
        <w:t xml:space="preserve"> </w:t>
      </w:r>
      <w:r w:rsidRPr="00B02247">
        <w:t>of</w:t>
      </w:r>
      <w:r w:rsidR="005B2A41">
        <w:t xml:space="preserve"> </w:t>
      </w:r>
      <w:r w:rsidRPr="00B02247">
        <w:t>the</w:t>
      </w:r>
      <w:r w:rsidR="005B2A41">
        <w:t xml:space="preserve"> </w:t>
      </w:r>
      <w:r w:rsidRPr="00B02247">
        <w:t>single-parent</w:t>
      </w:r>
      <w:r w:rsidR="005B2A41">
        <w:t xml:space="preserve"> </w:t>
      </w:r>
      <w:r w:rsidRPr="00B02247">
        <w:t>households</w:t>
      </w:r>
      <w:r w:rsidR="005B2A41">
        <w:t xml:space="preserve"> </w:t>
      </w:r>
      <w:r w:rsidRPr="00B02247">
        <w:t>are</w:t>
      </w:r>
      <w:r w:rsidR="005B2A41">
        <w:t xml:space="preserve"> </w:t>
      </w:r>
      <w:r w:rsidRPr="00B02247">
        <w:t>headed</w:t>
      </w:r>
      <w:r w:rsidR="005B2A41">
        <w:t xml:space="preserve"> </w:t>
      </w:r>
      <w:r w:rsidRPr="00B02247">
        <w:t>by</w:t>
      </w:r>
      <w:r w:rsidR="005B2A41">
        <w:t xml:space="preserve"> </w:t>
      </w:r>
      <w:r w:rsidRPr="00B02247">
        <w:t>women.</w:t>
      </w:r>
      <w:r w:rsidR="005B2A41">
        <w:t xml:space="preserve"> </w:t>
      </w:r>
    </w:p>
    <w:p w:rsidR="00F233AB" w:rsidRPr="00B02247" w:rsidRDefault="00F233AB" w:rsidP="00B56934">
      <w:pPr>
        <w:pStyle w:val="H23G"/>
      </w:pPr>
      <w:r w:rsidRPr="00B02247">
        <w:tab/>
      </w:r>
      <w:r w:rsidR="00B56934">
        <w:tab/>
      </w:r>
      <w:r w:rsidRPr="00B02247">
        <w:t>Estimated</w:t>
      </w:r>
      <w:r w:rsidR="005B2A41">
        <w:t xml:space="preserve"> </w:t>
      </w:r>
      <w:r w:rsidRPr="00B02247">
        <w:t>population</w:t>
      </w:r>
      <w:r w:rsidR="005B2A41">
        <w:t xml:space="preserve"> </w:t>
      </w:r>
      <w:r w:rsidRPr="00B02247">
        <w:t>1st</w:t>
      </w:r>
      <w:r w:rsidR="005B2A41">
        <w:t xml:space="preserve"> </w:t>
      </w:r>
      <w:r w:rsidRPr="00B02247">
        <w:t>January</w:t>
      </w:r>
      <w:r w:rsidR="005B2A41">
        <w:t xml:space="preserve"> </w:t>
      </w:r>
      <w:r w:rsidRPr="00B02247">
        <w:t>by</w:t>
      </w:r>
      <w:r w:rsidR="005B2A41">
        <w:t xml:space="preserve"> </w:t>
      </w:r>
      <w:r w:rsidRPr="00B02247">
        <w:t>sex</w:t>
      </w:r>
      <w:r w:rsidR="005B2A41">
        <w:t xml:space="preserve"> </w:t>
      </w:r>
      <w:r w:rsidRPr="00B02247">
        <w:t>and</w:t>
      </w:r>
      <w:r w:rsidR="005B2A41">
        <w:t xml:space="preserve"> </w:t>
      </w:r>
      <w:r w:rsidRPr="00B02247">
        <w:t>age</w:t>
      </w:r>
      <w:r w:rsidR="005B2A41">
        <w:t xml:space="preserve"> </w:t>
      </w:r>
      <w:r w:rsidRPr="00B02247">
        <w:t>group</w:t>
      </w:r>
    </w:p>
    <w:tbl>
      <w:tblPr>
        <w:tblW w:w="7372"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48"/>
        <w:gridCol w:w="1016"/>
        <w:gridCol w:w="1015"/>
        <w:gridCol w:w="1148"/>
        <w:gridCol w:w="1015"/>
        <w:gridCol w:w="1015"/>
        <w:gridCol w:w="1015"/>
      </w:tblGrid>
      <w:tr w:rsidR="002B03B4" w:rsidRPr="00CF1D90" w:rsidTr="0013794A">
        <w:trPr>
          <w:tblHeader/>
        </w:trPr>
        <w:tc>
          <w:tcPr>
            <w:tcW w:w="1148" w:type="dxa"/>
            <w:tcBorders>
              <w:top w:val="single" w:sz="4" w:space="0" w:color="auto"/>
              <w:bottom w:val="single" w:sz="4" w:space="0" w:color="auto"/>
            </w:tcBorders>
            <w:shd w:val="clear" w:color="auto" w:fill="auto"/>
            <w:noWrap/>
            <w:vAlign w:val="bottom"/>
            <w:hideMark/>
          </w:tcPr>
          <w:p w:rsidR="002B03B4" w:rsidRPr="00CF1D90" w:rsidRDefault="002B03B4" w:rsidP="00CF1D90">
            <w:pPr>
              <w:suppressAutoHyphens w:val="0"/>
              <w:spacing w:before="80" w:after="80" w:line="200" w:lineRule="exact"/>
              <w:ind w:right="113"/>
              <w:rPr>
                <w:i/>
                <w:sz w:val="16"/>
              </w:rPr>
            </w:pPr>
          </w:p>
        </w:tc>
        <w:tc>
          <w:tcPr>
            <w:tcW w:w="6224" w:type="dxa"/>
            <w:gridSpan w:val="6"/>
            <w:tcBorders>
              <w:top w:val="single" w:sz="4" w:space="0" w:color="auto"/>
              <w:bottom w:val="single" w:sz="4" w:space="0" w:color="auto"/>
            </w:tcBorders>
            <w:shd w:val="clear" w:color="auto" w:fill="auto"/>
            <w:noWrap/>
            <w:vAlign w:val="bottom"/>
            <w:hideMark/>
          </w:tcPr>
          <w:p w:rsidR="002B03B4" w:rsidRPr="00CF1D90" w:rsidRDefault="002B03B4" w:rsidP="002B03B4">
            <w:pPr>
              <w:suppressAutoHyphens w:val="0"/>
              <w:spacing w:before="80" w:after="80" w:line="200" w:lineRule="exact"/>
              <w:ind w:right="113"/>
              <w:jc w:val="center"/>
              <w:rPr>
                <w:i/>
                <w:sz w:val="16"/>
              </w:rPr>
            </w:pPr>
            <w:r w:rsidRPr="00CF1D90">
              <w:rPr>
                <w:i/>
                <w:sz w:val="16"/>
              </w:rPr>
              <w:t>M</w:t>
            </w:r>
            <w:r w:rsidR="007663CA" w:rsidRPr="00CF1D90">
              <w:rPr>
                <w:i/>
                <w:sz w:val="16"/>
              </w:rPr>
              <w:t>ales</w:t>
            </w:r>
          </w:p>
        </w:tc>
      </w:tr>
      <w:tr w:rsidR="00F233AB" w:rsidRPr="00CF1D90" w:rsidTr="0019249F">
        <w:tc>
          <w:tcPr>
            <w:tcW w:w="1148" w:type="dxa"/>
            <w:tcBorders>
              <w:top w:val="single" w:sz="4" w:space="0" w:color="auto"/>
              <w:bottom w:val="single" w:sz="12" w:space="0" w:color="auto"/>
            </w:tcBorders>
            <w:shd w:val="clear" w:color="auto" w:fill="auto"/>
            <w:noWrap/>
            <w:hideMark/>
          </w:tcPr>
          <w:p w:rsidR="00F233AB" w:rsidRPr="00CF1D90" w:rsidRDefault="00F233AB" w:rsidP="00CF1D90">
            <w:pPr>
              <w:suppressAutoHyphens w:val="0"/>
              <w:spacing w:before="40" w:after="40" w:line="220" w:lineRule="exact"/>
              <w:ind w:right="113"/>
              <w:rPr>
                <w:sz w:val="18"/>
              </w:rPr>
            </w:pPr>
          </w:p>
        </w:tc>
        <w:tc>
          <w:tcPr>
            <w:tcW w:w="1016" w:type="dxa"/>
            <w:tcBorders>
              <w:top w:val="single" w:sz="4" w:space="0" w:color="auto"/>
              <w:bottom w:val="single" w:sz="12" w:space="0" w:color="auto"/>
            </w:tcBorders>
            <w:shd w:val="clear" w:color="auto" w:fill="auto"/>
            <w:noWrap/>
            <w:vAlign w:val="bottom"/>
            <w:hideMark/>
          </w:tcPr>
          <w:p w:rsidR="00F233AB" w:rsidRPr="00CA3263" w:rsidRDefault="00F233AB" w:rsidP="00CA3263">
            <w:pPr>
              <w:suppressAutoHyphens w:val="0"/>
              <w:spacing w:before="80" w:after="80" w:line="200" w:lineRule="exact"/>
              <w:ind w:right="113"/>
              <w:jc w:val="right"/>
              <w:rPr>
                <w:i/>
                <w:sz w:val="16"/>
              </w:rPr>
            </w:pPr>
            <w:r w:rsidRPr="00CA3263">
              <w:rPr>
                <w:i/>
                <w:sz w:val="16"/>
              </w:rPr>
              <w:t>2011</w:t>
            </w:r>
          </w:p>
        </w:tc>
        <w:tc>
          <w:tcPr>
            <w:tcW w:w="1015" w:type="dxa"/>
            <w:tcBorders>
              <w:top w:val="single" w:sz="4" w:space="0" w:color="auto"/>
              <w:bottom w:val="single" w:sz="12" w:space="0" w:color="auto"/>
            </w:tcBorders>
            <w:shd w:val="clear" w:color="auto" w:fill="auto"/>
            <w:noWrap/>
            <w:vAlign w:val="bottom"/>
            <w:hideMark/>
          </w:tcPr>
          <w:p w:rsidR="00F233AB" w:rsidRPr="00CA3263" w:rsidRDefault="00F233AB" w:rsidP="00CA3263">
            <w:pPr>
              <w:suppressAutoHyphens w:val="0"/>
              <w:spacing w:before="80" w:after="80" w:line="200" w:lineRule="exact"/>
              <w:ind w:right="113"/>
              <w:jc w:val="right"/>
              <w:rPr>
                <w:i/>
                <w:sz w:val="16"/>
              </w:rPr>
            </w:pPr>
            <w:r w:rsidRPr="00CA3263">
              <w:rPr>
                <w:i/>
                <w:sz w:val="16"/>
              </w:rPr>
              <w:t>2012</w:t>
            </w:r>
          </w:p>
        </w:tc>
        <w:tc>
          <w:tcPr>
            <w:tcW w:w="1148" w:type="dxa"/>
            <w:tcBorders>
              <w:top w:val="single" w:sz="4" w:space="0" w:color="auto"/>
              <w:bottom w:val="single" w:sz="12" w:space="0" w:color="auto"/>
            </w:tcBorders>
            <w:shd w:val="clear" w:color="auto" w:fill="auto"/>
            <w:noWrap/>
            <w:vAlign w:val="bottom"/>
            <w:hideMark/>
          </w:tcPr>
          <w:p w:rsidR="00F233AB" w:rsidRPr="00CA3263" w:rsidRDefault="00F233AB" w:rsidP="00CA3263">
            <w:pPr>
              <w:suppressAutoHyphens w:val="0"/>
              <w:spacing w:before="80" w:after="80" w:line="200" w:lineRule="exact"/>
              <w:ind w:right="113"/>
              <w:jc w:val="right"/>
              <w:rPr>
                <w:i/>
                <w:sz w:val="16"/>
              </w:rPr>
            </w:pPr>
            <w:r w:rsidRPr="00CA3263">
              <w:rPr>
                <w:i/>
                <w:sz w:val="16"/>
              </w:rPr>
              <w:t>2013</w:t>
            </w:r>
          </w:p>
        </w:tc>
        <w:tc>
          <w:tcPr>
            <w:tcW w:w="1015" w:type="dxa"/>
            <w:tcBorders>
              <w:top w:val="single" w:sz="4" w:space="0" w:color="auto"/>
              <w:bottom w:val="single" w:sz="12" w:space="0" w:color="auto"/>
            </w:tcBorders>
            <w:shd w:val="clear" w:color="auto" w:fill="auto"/>
            <w:noWrap/>
            <w:vAlign w:val="bottom"/>
            <w:hideMark/>
          </w:tcPr>
          <w:p w:rsidR="00F233AB" w:rsidRPr="00CA3263" w:rsidRDefault="00F233AB" w:rsidP="00CA3263">
            <w:pPr>
              <w:suppressAutoHyphens w:val="0"/>
              <w:spacing w:before="80" w:after="80" w:line="200" w:lineRule="exact"/>
              <w:ind w:right="113"/>
              <w:jc w:val="right"/>
              <w:rPr>
                <w:i/>
                <w:sz w:val="16"/>
              </w:rPr>
            </w:pPr>
            <w:r w:rsidRPr="00CA3263">
              <w:rPr>
                <w:i/>
                <w:sz w:val="16"/>
              </w:rPr>
              <w:t>2014</w:t>
            </w:r>
          </w:p>
        </w:tc>
        <w:tc>
          <w:tcPr>
            <w:tcW w:w="1015" w:type="dxa"/>
            <w:tcBorders>
              <w:top w:val="single" w:sz="4" w:space="0" w:color="auto"/>
              <w:bottom w:val="single" w:sz="12" w:space="0" w:color="auto"/>
            </w:tcBorders>
            <w:shd w:val="clear" w:color="auto" w:fill="auto"/>
            <w:noWrap/>
            <w:vAlign w:val="bottom"/>
            <w:hideMark/>
          </w:tcPr>
          <w:p w:rsidR="00F233AB" w:rsidRPr="00CA3263" w:rsidRDefault="00F233AB" w:rsidP="00CA3263">
            <w:pPr>
              <w:suppressAutoHyphens w:val="0"/>
              <w:spacing w:before="80" w:after="80" w:line="200" w:lineRule="exact"/>
              <w:ind w:right="113"/>
              <w:jc w:val="right"/>
              <w:rPr>
                <w:i/>
                <w:sz w:val="16"/>
              </w:rPr>
            </w:pPr>
            <w:r w:rsidRPr="00CA3263">
              <w:rPr>
                <w:i/>
                <w:sz w:val="16"/>
              </w:rPr>
              <w:t>2015</w:t>
            </w:r>
          </w:p>
        </w:tc>
        <w:tc>
          <w:tcPr>
            <w:tcW w:w="1015" w:type="dxa"/>
            <w:tcBorders>
              <w:top w:val="single" w:sz="4" w:space="0" w:color="auto"/>
              <w:bottom w:val="single" w:sz="12" w:space="0" w:color="auto"/>
            </w:tcBorders>
            <w:shd w:val="clear" w:color="auto" w:fill="auto"/>
            <w:noWrap/>
            <w:vAlign w:val="bottom"/>
            <w:hideMark/>
          </w:tcPr>
          <w:p w:rsidR="00F233AB" w:rsidRPr="00CA3263" w:rsidRDefault="00F233AB" w:rsidP="00CA3263">
            <w:pPr>
              <w:suppressAutoHyphens w:val="0"/>
              <w:spacing w:before="80" w:after="80" w:line="200" w:lineRule="exact"/>
              <w:ind w:right="113"/>
              <w:jc w:val="right"/>
              <w:rPr>
                <w:i/>
                <w:sz w:val="16"/>
              </w:rPr>
            </w:pPr>
            <w:r w:rsidRPr="00CA3263">
              <w:rPr>
                <w:i/>
                <w:sz w:val="16"/>
              </w:rPr>
              <w:t>2016</w:t>
            </w:r>
          </w:p>
        </w:tc>
      </w:tr>
      <w:tr w:rsidR="00F233AB" w:rsidRPr="002F5810" w:rsidTr="0019249F">
        <w:tc>
          <w:tcPr>
            <w:tcW w:w="1148" w:type="dxa"/>
            <w:tcBorders>
              <w:top w:val="single" w:sz="12" w:space="0" w:color="auto"/>
              <w:bottom w:val="single" w:sz="4" w:space="0" w:color="auto"/>
            </w:tcBorders>
            <w:shd w:val="clear" w:color="auto" w:fill="auto"/>
            <w:noWrap/>
            <w:hideMark/>
          </w:tcPr>
          <w:p w:rsidR="00F233AB" w:rsidRPr="002F5810" w:rsidRDefault="00CF1D90" w:rsidP="002F5810">
            <w:pPr>
              <w:suppressAutoHyphens w:val="0"/>
              <w:spacing w:before="80" w:after="80" w:line="220" w:lineRule="exact"/>
              <w:ind w:right="113"/>
              <w:jc w:val="right"/>
              <w:rPr>
                <w:b/>
                <w:sz w:val="18"/>
              </w:rPr>
            </w:pPr>
            <w:r w:rsidRPr="002F5810">
              <w:rPr>
                <w:b/>
                <w:sz w:val="18"/>
              </w:rPr>
              <w:t>T</w:t>
            </w:r>
            <w:r w:rsidR="00F233AB" w:rsidRPr="002F5810">
              <w:rPr>
                <w:b/>
                <w:sz w:val="18"/>
              </w:rPr>
              <w:t>otal</w:t>
            </w:r>
            <w:r w:rsidR="005B2A41" w:rsidRPr="002F5810">
              <w:rPr>
                <w:b/>
                <w:sz w:val="18"/>
              </w:rPr>
              <w:t xml:space="preserve"> </w:t>
            </w:r>
            <w:r w:rsidR="00F233AB" w:rsidRPr="002F5810">
              <w:rPr>
                <w:b/>
                <w:sz w:val="18"/>
              </w:rPr>
              <w:t>Greece</w:t>
            </w:r>
          </w:p>
        </w:tc>
        <w:tc>
          <w:tcPr>
            <w:tcW w:w="1016" w:type="dxa"/>
            <w:tcBorders>
              <w:top w:val="single" w:sz="12" w:space="0" w:color="auto"/>
              <w:bottom w:val="single" w:sz="4" w:space="0" w:color="auto"/>
            </w:tcBorders>
            <w:shd w:val="clear" w:color="auto" w:fill="auto"/>
            <w:noWrap/>
            <w:vAlign w:val="bottom"/>
            <w:hideMark/>
          </w:tcPr>
          <w:p w:rsidR="00F233AB" w:rsidRPr="002F5810" w:rsidRDefault="00F233AB" w:rsidP="002F5810">
            <w:pPr>
              <w:suppressAutoHyphens w:val="0"/>
              <w:spacing w:before="80" w:after="80" w:line="220" w:lineRule="exact"/>
              <w:ind w:right="113"/>
              <w:jc w:val="right"/>
              <w:rPr>
                <w:b/>
                <w:sz w:val="18"/>
              </w:rPr>
            </w:pPr>
            <w:r w:rsidRPr="002F5810">
              <w:rPr>
                <w:b/>
                <w:sz w:val="18"/>
              </w:rPr>
              <w:t>5</w:t>
            </w:r>
            <w:r w:rsidR="00BB74DD">
              <w:rPr>
                <w:b/>
                <w:sz w:val="18"/>
              </w:rPr>
              <w:t xml:space="preserve"> </w:t>
            </w:r>
            <w:r w:rsidRPr="002F5810">
              <w:rPr>
                <w:b/>
                <w:sz w:val="18"/>
              </w:rPr>
              <w:t>453</w:t>
            </w:r>
            <w:r w:rsidR="00BB74DD">
              <w:rPr>
                <w:b/>
                <w:sz w:val="18"/>
              </w:rPr>
              <w:t xml:space="preserve"> </w:t>
            </w:r>
            <w:r w:rsidRPr="002F5810">
              <w:rPr>
                <w:b/>
                <w:sz w:val="18"/>
              </w:rPr>
              <w:t>444</w:t>
            </w:r>
          </w:p>
        </w:tc>
        <w:tc>
          <w:tcPr>
            <w:tcW w:w="1015" w:type="dxa"/>
            <w:tcBorders>
              <w:top w:val="single" w:sz="12" w:space="0" w:color="auto"/>
              <w:bottom w:val="single" w:sz="4" w:space="0" w:color="auto"/>
            </w:tcBorders>
            <w:shd w:val="clear" w:color="auto" w:fill="auto"/>
            <w:noWrap/>
            <w:vAlign w:val="bottom"/>
            <w:hideMark/>
          </w:tcPr>
          <w:p w:rsidR="00F233AB" w:rsidRPr="002F5810" w:rsidRDefault="00F233AB" w:rsidP="002F5810">
            <w:pPr>
              <w:suppressAutoHyphens w:val="0"/>
              <w:spacing w:before="80" w:after="80" w:line="220" w:lineRule="exact"/>
              <w:ind w:right="113"/>
              <w:jc w:val="right"/>
              <w:rPr>
                <w:b/>
                <w:sz w:val="18"/>
              </w:rPr>
            </w:pPr>
            <w:r w:rsidRPr="002F5810">
              <w:rPr>
                <w:b/>
                <w:sz w:val="18"/>
              </w:rPr>
              <w:t>5</w:t>
            </w:r>
            <w:r w:rsidR="00BB74DD">
              <w:rPr>
                <w:b/>
                <w:sz w:val="18"/>
              </w:rPr>
              <w:t xml:space="preserve"> </w:t>
            </w:r>
            <w:r w:rsidRPr="002F5810">
              <w:rPr>
                <w:b/>
                <w:sz w:val="18"/>
              </w:rPr>
              <w:t>423</w:t>
            </w:r>
            <w:r w:rsidR="00BB74DD">
              <w:rPr>
                <w:b/>
                <w:sz w:val="18"/>
              </w:rPr>
              <w:t xml:space="preserve"> </w:t>
            </w:r>
            <w:r w:rsidRPr="002F5810">
              <w:rPr>
                <w:b/>
                <w:sz w:val="18"/>
              </w:rPr>
              <w:t>884</w:t>
            </w:r>
          </w:p>
        </w:tc>
        <w:tc>
          <w:tcPr>
            <w:tcW w:w="1148" w:type="dxa"/>
            <w:tcBorders>
              <w:top w:val="single" w:sz="12" w:space="0" w:color="auto"/>
              <w:bottom w:val="single" w:sz="4" w:space="0" w:color="auto"/>
            </w:tcBorders>
            <w:shd w:val="clear" w:color="auto" w:fill="auto"/>
            <w:noWrap/>
            <w:vAlign w:val="bottom"/>
            <w:hideMark/>
          </w:tcPr>
          <w:p w:rsidR="00F233AB" w:rsidRPr="002F5810" w:rsidRDefault="00F233AB" w:rsidP="002F5810">
            <w:pPr>
              <w:suppressAutoHyphens w:val="0"/>
              <w:spacing w:before="80" w:after="80" w:line="220" w:lineRule="exact"/>
              <w:ind w:right="113"/>
              <w:jc w:val="right"/>
              <w:rPr>
                <w:b/>
                <w:sz w:val="18"/>
              </w:rPr>
            </w:pPr>
            <w:r w:rsidRPr="002F5810">
              <w:rPr>
                <w:b/>
                <w:sz w:val="18"/>
              </w:rPr>
              <w:t>5</w:t>
            </w:r>
            <w:r w:rsidR="00BB74DD">
              <w:rPr>
                <w:b/>
                <w:sz w:val="18"/>
              </w:rPr>
              <w:t xml:space="preserve"> </w:t>
            </w:r>
            <w:r w:rsidRPr="002F5810">
              <w:rPr>
                <w:b/>
                <w:sz w:val="18"/>
              </w:rPr>
              <w:t>366</w:t>
            </w:r>
            <w:r w:rsidR="00BB74DD">
              <w:rPr>
                <w:b/>
                <w:sz w:val="18"/>
              </w:rPr>
              <w:t xml:space="preserve"> </w:t>
            </w:r>
            <w:r w:rsidRPr="002F5810">
              <w:rPr>
                <w:b/>
                <w:sz w:val="18"/>
              </w:rPr>
              <w:t>251</w:t>
            </w:r>
          </w:p>
        </w:tc>
        <w:tc>
          <w:tcPr>
            <w:tcW w:w="1015" w:type="dxa"/>
            <w:tcBorders>
              <w:top w:val="single" w:sz="12" w:space="0" w:color="auto"/>
              <w:bottom w:val="single" w:sz="4" w:space="0" w:color="auto"/>
            </w:tcBorders>
            <w:shd w:val="clear" w:color="auto" w:fill="auto"/>
            <w:noWrap/>
            <w:vAlign w:val="bottom"/>
            <w:hideMark/>
          </w:tcPr>
          <w:p w:rsidR="00F233AB" w:rsidRPr="002F5810" w:rsidRDefault="00F233AB" w:rsidP="002F5810">
            <w:pPr>
              <w:suppressAutoHyphens w:val="0"/>
              <w:spacing w:before="80" w:after="80" w:line="220" w:lineRule="exact"/>
              <w:ind w:right="113"/>
              <w:jc w:val="right"/>
              <w:rPr>
                <w:b/>
                <w:sz w:val="18"/>
              </w:rPr>
            </w:pPr>
            <w:r w:rsidRPr="002F5810">
              <w:rPr>
                <w:b/>
                <w:sz w:val="18"/>
              </w:rPr>
              <w:t>5</w:t>
            </w:r>
            <w:r w:rsidR="00BB74DD">
              <w:rPr>
                <w:b/>
                <w:sz w:val="18"/>
              </w:rPr>
              <w:t xml:space="preserve"> </w:t>
            </w:r>
            <w:r w:rsidRPr="002F5810">
              <w:rPr>
                <w:b/>
                <w:sz w:val="18"/>
              </w:rPr>
              <w:t>313</w:t>
            </w:r>
            <w:r w:rsidR="00BB74DD">
              <w:rPr>
                <w:b/>
                <w:sz w:val="18"/>
              </w:rPr>
              <w:t xml:space="preserve"> </w:t>
            </w:r>
            <w:r w:rsidRPr="002F5810">
              <w:rPr>
                <w:b/>
                <w:sz w:val="18"/>
              </w:rPr>
              <w:t>239</w:t>
            </w:r>
          </w:p>
        </w:tc>
        <w:tc>
          <w:tcPr>
            <w:tcW w:w="1015" w:type="dxa"/>
            <w:tcBorders>
              <w:top w:val="single" w:sz="12" w:space="0" w:color="auto"/>
              <w:bottom w:val="single" w:sz="4" w:space="0" w:color="auto"/>
            </w:tcBorders>
            <w:shd w:val="clear" w:color="auto" w:fill="auto"/>
            <w:noWrap/>
            <w:vAlign w:val="bottom"/>
            <w:hideMark/>
          </w:tcPr>
          <w:p w:rsidR="00F233AB" w:rsidRPr="002F5810" w:rsidRDefault="00F233AB" w:rsidP="002F5810">
            <w:pPr>
              <w:suppressAutoHyphens w:val="0"/>
              <w:spacing w:before="80" w:after="80" w:line="220" w:lineRule="exact"/>
              <w:ind w:right="113"/>
              <w:jc w:val="right"/>
              <w:rPr>
                <w:b/>
                <w:sz w:val="18"/>
              </w:rPr>
            </w:pPr>
            <w:r w:rsidRPr="002F5810">
              <w:rPr>
                <w:b/>
                <w:sz w:val="18"/>
              </w:rPr>
              <w:t>5</w:t>
            </w:r>
            <w:r w:rsidR="00BB74DD">
              <w:rPr>
                <w:b/>
                <w:sz w:val="18"/>
              </w:rPr>
              <w:t xml:space="preserve"> </w:t>
            </w:r>
            <w:r w:rsidRPr="002F5810">
              <w:rPr>
                <w:b/>
                <w:sz w:val="18"/>
              </w:rPr>
              <w:t>268</w:t>
            </w:r>
            <w:r w:rsidR="00BB74DD">
              <w:rPr>
                <w:b/>
                <w:sz w:val="18"/>
              </w:rPr>
              <w:t xml:space="preserve"> </w:t>
            </w:r>
            <w:r w:rsidRPr="002F5810">
              <w:rPr>
                <w:b/>
                <w:sz w:val="18"/>
              </w:rPr>
              <w:t>390</w:t>
            </w:r>
          </w:p>
        </w:tc>
        <w:tc>
          <w:tcPr>
            <w:tcW w:w="1015" w:type="dxa"/>
            <w:tcBorders>
              <w:top w:val="single" w:sz="12" w:space="0" w:color="auto"/>
              <w:bottom w:val="single" w:sz="4" w:space="0" w:color="auto"/>
            </w:tcBorders>
            <w:shd w:val="clear" w:color="auto" w:fill="auto"/>
            <w:noWrap/>
            <w:vAlign w:val="bottom"/>
            <w:hideMark/>
          </w:tcPr>
          <w:p w:rsidR="00F233AB" w:rsidRPr="002F5810" w:rsidRDefault="00F233AB" w:rsidP="002F5810">
            <w:pPr>
              <w:suppressAutoHyphens w:val="0"/>
              <w:spacing w:before="80" w:after="80" w:line="220" w:lineRule="exact"/>
              <w:ind w:right="113"/>
              <w:jc w:val="right"/>
              <w:rPr>
                <w:b/>
                <w:sz w:val="18"/>
              </w:rPr>
            </w:pPr>
            <w:r w:rsidRPr="002F5810">
              <w:rPr>
                <w:b/>
                <w:sz w:val="18"/>
              </w:rPr>
              <w:t>5</w:t>
            </w:r>
            <w:r w:rsidR="00BB74DD">
              <w:rPr>
                <w:b/>
                <w:sz w:val="18"/>
              </w:rPr>
              <w:t xml:space="preserve"> </w:t>
            </w:r>
            <w:r w:rsidRPr="002F5810">
              <w:rPr>
                <w:b/>
                <w:sz w:val="18"/>
              </w:rPr>
              <w:t>224</w:t>
            </w:r>
            <w:r w:rsidR="00BB74DD">
              <w:rPr>
                <w:b/>
                <w:sz w:val="18"/>
              </w:rPr>
              <w:t xml:space="preserve"> </w:t>
            </w:r>
            <w:r w:rsidRPr="002F5810">
              <w:rPr>
                <w:b/>
                <w:sz w:val="18"/>
              </w:rPr>
              <w:t>210</w:t>
            </w:r>
          </w:p>
        </w:tc>
      </w:tr>
      <w:tr w:rsidR="00F233AB" w:rsidRPr="00CF1D90" w:rsidTr="0019249F">
        <w:tc>
          <w:tcPr>
            <w:tcW w:w="1148" w:type="dxa"/>
            <w:tcBorders>
              <w:top w:val="single" w:sz="4" w:space="0" w:color="auto"/>
            </w:tcBorders>
            <w:shd w:val="clear" w:color="auto" w:fill="auto"/>
            <w:noWrap/>
            <w:hideMark/>
          </w:tcPr>
          <w:p w:rsidR="00F233AB" w:rsidRPr="00CF1D90" w:rsidRDefault="00F233AB" w:rsidP="00CF1D90">
            <w:pPr>
              <w:suppressAutoHyphens w:val="0"/>
              <w:spacing w:before="40" w:after="40" w:line="220" w:lineRule="exact"/>
              <w:ind w:right="113"/>
              <w:rPr>
                <w:sz w:val="18"/>
              </w:rPr>
            </w:pPr>
            <w:r w:rsidRPr="00CF1D90">
              <w:rPr>
                <w:sz w:val="18"/>
              </w:rPr>
              <w:t>0</w:t>
            </w:r>
            <w:r w:rsidR="00A6566E">
              <w:rPr>
                <w:sz w:val="18"/>
              </w:rPr>
              <w:t>–</w:t>
            </w:r>
            <w:r w:rsidRPr="00CF1D90">
              <w:rPr>
                <w:sz w:val="18"/>
              </w:rPr>
              <w:t>4</w:t>
            </w:r>
          </w:p>
        </w:tc>
        <w:tc>
          <w:tcPr>
            <w:tcW w:w="1016" w:type="dxa"/>
            <w:tcBorders>
              <w:top w:val="single" w:sz="4" w:space="0" w:color="auto"/>
            </w:tcBorders>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284</w:t>
            </w:r>
            <w:r w:rsidR="00BB74DD">
              <w:rPr>
                <w:sz w:val="18"/>
              </w:rPr>
              <w:t xml:space="preserve"> </w:t>
            </w:r>
            <w:r w:rsidRPr="00CF1D90">
              <w:rPr>
                <w:sz w:val="18"/>
              </w:rPr>
              <w:t>579</w:t>
            </w:r>
          </w:p>
        </w:tc>
        <w:tc>
          <w:tcPr>
            <w:tcW w:w="1015" w:type="dxa"/>
            <w:tcBorders>
              <w:top w:val="single" w:sz="4" w:space="0" w:color="auto"/>
            </w:tcBorders>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282</w:t>
            </w:r>
            <w:r w:rsidR="00BB74DD">
              <w:rPr>
                <w:sz w:val="18"/>
              </w:rPr>
              <w:t xml:space="preserve"> </w:t>
            </w:r>
            <w:r w:rsidRPr="00CF1D90">
              <w:rPr>
                <w:sz w:val="18"/>
              </w:rPr>
              <w:t>945</w:t>
            </w:r>
          </w:p>
        </w:tc>
        <w:tc>
          <w:tcPr>
            <w:tcW w:w="1148" w:type="dxa"/>
            <w:tcBorders>
              <w:top w:val="single" w:sz="4" w:space="0" w:color="auto"/>
            </w:tcBorders>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278</w:t>
            </w:r>
            <w:r w:rsidR="00BB74DD">
              <w:rPr>
                <w:sz w:val="18"/>
              </w:rPr>
              <w:t xml:space="preserve"> </w:t>
            </w:r>
            <w:r w:rsidRPr="00CF1D90">
              <w:rPr>
                <w:sz w:val="18"/>
              </w:rPr>
              <w:t>331</w:t>
            </w:r>
          </w:p>
        </w:tc>
        <w:tc>
          <w:tcPr>
            <w:tcW w:w="1015" w:type="dxa"/>
            <w:tcBorders>
              <w:top w:val="single" w:sz="4" w:space="0" w:color="auto"/>
            </w:tcBorders>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268</w:t>
            </w:r>
            <w:r w:rsidR="00BB74DD">
              <w:rPr>
                <w:sz w:val="18"/>
              </w:rPr>
              <w:t xml:space="preserve"> </w:t>
            </w:r>
            <w:r w:rsidRPr="00CF1D90">
              <w:rPr>
                <w:sz w:val="18"/>
              </w:rPr>
              <w:t>985</w:t>
            </w:r>
          </w:p>
        </w:tc>
        <w:tc>
          <w:tcPr>
            <w:tcW w:w="1015" w:type="dxa"/>
            <w:tcBorders>
              <w:top w:val="single" w:sz="4" w:space="0" w:color="auto"/>
            </w:tcBorders>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256</w:t>
            </w:r>
            <w:r w:rsidR="00BB74DD">
              <w:rPr>
                <w:sz w:val="18"/>
              </w:rPr>
              <w:t xml:space="preserve"> </w:t>
            </w:r>
            <w:r w:rsidRPr="00CF1D90">
              <w:rPr>
                <w:sz w:val="18"/>
              </w:rPr>
              <w:t>758</w:t>
            </w:r>
          </w:p>
        </w:tc>
        <w:tc>
          <w:tcPr>
            <w:tcW w:w="1015" w:type="dxa"/>
            <w:tcBorders>
              <w:top w:val="single" w:sz="4" w:space="0" w:color="auto"/>
            </w:tcBorders>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247</w:t>
            </w:r>
            <w:r w:rsidR="00BB74DD">
              <w:rPr>
                <w:sz w:val="18"/>
              </w:rPr>
              <w:t xml:space="preserve"> </w:t>
            </w:r>
            <w:r w:rsidRPr="00CF1D90">
              <w:rPr>
                <w:sz w:val="18"/>
              </w:rPr>
              <w:t>104</w:t>
            </w:r>
          </w:p>
        </w:tc>
      </w:tr>
      <w:tr w:rsidR="00F233AB" w:rsidRPr="00CF1D90" w:rsidTr="00CF1D90">
        <w:tc>
          <w:tcPr>
            <w:tcW w:w="1148" w:type="dxa"/>
            <w:shd w:val="clear" w:color="auto" w:fill="auto"/>
            <w:noWrap/>
            <w:hideMark/>
          </w:tcPr>
          <w:p w:rsidR="00F233AB" w:rsidRPr="00CF1D90" w:rsidRDefault="00F233AB" w:rsidP="00CF1D90">
            <w:pPr>
              <w:suppressAutoHyphens w:val="0"/>
              <w:spacing w:before="40" w:after="40" w:line="220" w:lineRule="exact"/>
              <w:ind w:right="113"/>
              <w:rPr>
                <w:sz w:val="18"/>
              </w:rPr>
            </w:pPr>
            <w:r w:rsidRPr="00CF1D90">
              <w:rPr>
                <w:sz w:val="18"/>
              </w:rPr>
              <w:t>5</w:t>
            </w:r>
            <w:r w:rsidR="00A6566E">
              <w:rPr>
                <w:sz w:val="18"/>
              </w:rPr>
              <w:t>–</w:t>
            </w:r>
            <w:r w:rsidRPr="00CF1D90">
              <w:rPr>
                <w:sz w:val="18"/>
              </w:rPr>
              <w:t>9</w:t>
            </w:r>
          </w:p>
        </w:tc>
        <w:tc>
          <w:tcPr>
            <w:tcW w:w="1016"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272</w:t>
            </w:r>
            <w:r w:rsidR="00BB74DD">
              <w:rPr>
                <w:sz w:val="18"/>
              </w:rPr>
              <w:t xml:space="preserve"> </w:t>
            </w:r>
            <w:r w:rsidRPr="00CF1D90">
              <w:rPr>
                <w:sz w:val="18"/>
              </w:rPr>
              <w:t>264</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273</w:t>
            </w:r>
            <w:r w:rsidR="00BB74DD">
              <w:rPr>
                <w:sz w:val="18"/>
              </w:rPr>
              <w:t xml:space="preserve"> </w:t>
            </w:r>
            <w:r w:rsidRPr="00CF1D90">
              <w:rPr>
                <w:sz w:val="18"/>
              </w:rPr>
              <w:t>924</w:t>
            </w:r>
          </w:p>
        </w:tc>
        <w:tc>
          <w:tcPr>
            <w:tcW w:w="1148"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274</w:t>
            </w:r>
            <w:r w:rsidR="00BB74DD">
              <w:rPr>
                <w:sz w:val="18"/>
              </w:rPr>
              <w:t xml:space="preserve"> </w:t>
            </w:r>
            <w:r w:rsidRPr="00CF1D90">
              <w:rPr>
                <w:sz w:val="18"/>
              </w:rPr>
              <w:t>541</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277</w:t>
            </w:r>
            <w:r w:rsidR="00BB74DD">
              <w:rPr>
                <w:sz w:val="18"/>
              </w:rPr>
              <w:t xml:space="preserve"> </w:t>
            </w:r>
            <w:r w:rsidRPr="00CF1D90">
              <w:rPr>
                <w:sz w:val="18"/>
              </w:rPr>
              <w:t>374</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280</w:t>
            </w:r>
            <w:r w:rsidR="00BB74DD">
              <w:rPr>
                <w:sz w:val="18"/>
              </w:rPr>
              <w:t xml:space="preserve"> </w:t>
            </w:r>
            <w:r w:rsidRPr="00CF1D90">
              <w:rPr>
                <w:sz w:val="18"/>
              </w:rPr>
              <w:t>498</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280</w:t>
            </w:r>
            <w:r w:rsidR="00BB74DD">
              <w:rPr>
                <w:sz w:val="18"/>
              </w:rPr>
              <w:t xml:space="preserve"> </w:t>
            </w:r>
            <w:r w:rsidRPr="00CF1D90">
              <w:rPr>
                <w:sz w:val="18"/>
              </w:rPr>
              <w:t>927</w:t>
            </w:r>
          </w:p>
        </w:tc>
      </w:tr>
      <w:tr w:rsidR="00F233AB" w:rsidRPr="00CF1D90" w:rsidTr="00CF1D90">
        <w:tc>
          <w:tcPr>
            <w:tcW w:w="1148" w:type="dxa"/>
            <w:shd w:val="clear" w:color="auto" w:fill="auto"/>
            <w:noWrap/>
            <w:hideMark/>
          </w:tcPr>
          <w:p w:rsidR="00F233AB" w:rsidRPr="00CF1D90" w:rsidRDefault="00F233AB" w:rsidP="00CF1D90">
            <w:pPr>
              <w:suppressAutoHyphens w:val="0"/>
              <w:spacing w:before="40" w:after="40" w:line="220" w:lineRule="exact"/>
              <w:ind w:right="113"/>
              <w:rPr>
                <w:sz w:val="18"/>
              </w:rPr>
            </w:pPr>
            <w:r w:rsidRPr="00CF1D90">
              <w:rPr>
                <w:sz w:val="18"/>
              </w:rPr>
              <w:t>10</w:t>
            </w:r>
            <w:r w:rsidR="00A6566E">
              <w:rPr>
                <w:sz w:val="18"/>
              </w:rPr>
              <w:t>–</w:t>
            </w:r>
            <w:r w:rsidRPr="00CF1D90">
              <w:rPr>
                <w:sz w:val="18"/>
              </w:rPr>
              <w:t>14</w:t>
            </w:r>
          </w:p>
        </w:tc>
        <w:tc>
          <w:tcPr>
            <w:tcW w:w="1016"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274</w:t>
            </w:r>
            <w:r w:rsidR="00BB74DD">
              <w:rPr>
                <w:sz w:val="18"/>
              </w:rPr>
              <w:t xml:space="preserve"> </w:t>
            </w:r>
            <w:r w:rsidRPr="00CF1D90">
              <w:rPr>
                <w:sz w:val="18"/>
              </w:rPr>
              <w:t>829</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274</w:t>
            </w:r>
            <w:r w:rsidR="00BB74DD">
              <w:rPr>
                <w:sz w:val="18"/>
              </w:rPr>
              <w:t xml:space="preserve"> </w:t>
            </w:r>
            <w:r w:rsidRPr="00CF1D90">
              <w:rPr>
                <w:sz w:val="18"/>
              </w:rPr>
              <w:t>510</w:t>
            </w:r>
          </w:p>
        </w:tc>
        <w:tc>
          <w:tcPr>
            <w:tcW w:w="1148"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273</w:t>
            </w:r>
            <w:r w:rsidR="00BB74DD">
              <w:rPr>
                <w:sz w:val="18"/>
              </w:rPr>
              <w:t xml:space="preserve"> </w:t>
            </w:r>
            <w:r w:rsidRPr="00CF1D90">
              <w:rPr>
                <w:sz w:val="18"/>
              </w:rPr>
              <w:t>779</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272</w:t>
            </w:r>
            <w:r w:rsidR="00BB74DD">
              <w:rPr>
                <w:sz w:val="18"/>
              </w:rPr>
              <w:t xml:space="preserve"> </w:t>
            </w:r>
            <w:r w:rsidRPr="00CF1D90">
              <w:rPr>
                <w:sz w:val="18"/>
              </w:rPr>
              <w:t>910</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271</w:t>
            </w:r>
            <w:r w:rsidR="00BB74DD">
              <w:rPr>
                <w:sz w:val="18"/>
              </w:rPr>
              <w:t xml:space="preserve"> </w:t>
            </w:r>
            <w:r w:rsidRPr="00CF1D90">
              <w:rPr>
                <w:sz w:val="18"/>
              </w:rPr>
              <w:t>270</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270</w:t>
            </w:r>
            <w:r w:rsidR="00BB74DD">
              <w:rPr>
                <w:sz w:val="18"/>
              </w:rPr>
              <w:t xml:space="preserve"> </w:t>
            </w:r>
            <w:r w:rsidRPr="00CF1D90">
              <w:rPr>
                <w:sz w:val="18"/>
              </w:rPr>
              <w:t>324</w:t>
            </w:r>
          </w:p>
        </w:tc>
      </w:tr>
      <w:tr w:rsidR="00F233AB" w:rsidRPr="00CF1D90" w:rsidTr="00CF1D90">
        <w:tc>
          <w:tcPr>
            <w:tcW w:w="1148" w:type="dxa"/>
            <w:shd w:val="clear" w:color="auto" w:fill="auto"/>
            <w:noWrap/>
            <w:hideMark/>
          </w:tcPr>
          <w:p w:rsidR="00F233AB" w:rsidRPr="00CF1D90" w:rsidRDefault="00F233AB" w:rsidP="00CF1D90">
            <w:pPr>
              <w:suppressAutoHyphens w:val="0"/>
              <w:spacing w:before="40" w:after="40" w:line="220" w:lineRule="exact"/>
              <w:ind w:right="113"/>
              <w:rPr>
                <w:sz w:val="18"/>
              </w:rPr>
            </w:pPr>
            <w:r w:rsidRPr="00CF1D90">
              <w:rPr>
                <w:sz w:val="18"/>
              </w:rPr>
              <w:t>15</w:t>
            </w:r>
            <w:r w:rsidR="00A6566E">
              <w:rPr>
                <w:sz w:val="18"/>
              </w:rPr>
              <w:t>–</w:t>
            </w:r>
            <w:r w:rsidRPr="00CF1D90">
              <w:rPr>
                <w:sz w:val="18"/>
              </w:rPr>
              <w:t>19</w:t>
            </w:r>
          </w:p>
        </w:tc>
        <w:tc>
          <w:tcPr>
            <w:tcW w:w="1016"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292</w:t>
            </w:r>
            <w:r w:rsidR="00BB74DD">
              <w:rPr>
                <w:sz w:val="18"/>
              </w:rPr>
              <w:t xml:space="preserve"> </w:t>
            </w:r>
            <w:r w:rsidRPr="00CF1D90">
              <w:rPr>
                <w:sz w:val="18"/>
              </w:rPr>
              <w:t>231</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284</w:t>
            </w:r>
            <w:r w:rsidR="00BB74DD">
              <w:rPr>
                <w:sz w:val="18"/>
              </w:rPr>
              <w:t xml:space="preserve"> </w:t>
            </w:r>
            <w:r w:rsidRPr="00CF1D90">
              <w:rPr>
                <w:sz w:val="18"/>
              </w:rPr>
              <w:t>274</w:t>
            </w:r>
          </w:p>
        </w:tc>
        <w:tc>
          <w:tcPr>
            <w:tcW w:w="1148"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277</w:t>
            </w:r>
            <w:r w:rsidR="00BB74DD">
              <w:rPr>
                <w:sz w:val="18"/>
              </w:rPr>
              <w:t xml:space="preserve"> </w:t>
            </w:r>
            <w:r w:rsidRPr="00CF1D90">
              <w:rPr>
                <w:sz w:val="18"/>
              </w:rPr>
              <w:t>802</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276</w:t>
            </w:r>
            <w:r w:rsidR="00BB74DD">
              <w:rPr>
                <w:sz w:val="18"/>
              </w:rPr>
              <w:t xml:space="preserve"> </w:t>
            </w:r>
            <w:r w:rsidRPr="00CF1D90">
              <w:rPr>
                <w:sz w:val="18"/>
              </w:rPr>
              <w:t>989</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273</w:t>
            </w:r>
            <w:r w:rsidR="00BB74DD">
              <w:rPr>
                <w:sz w:val="18"/>
              </w:rPr>
              <w:t xml:space="preserve"> </w:t>
            </w:r>
            <w:r w:rsidRPr="00CF1D90">
              <w:rPr>
                <w:sz w:val="18"/>
              </w:rPr>
              <w:t>727</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272</w:t>
            </w:r>
            <w:r w:rsidR="00BB74DD">
              <w:rPr>
                <w:sz w:val="18"/>
              </w:rPr>
              <w:t xml:space="preserve"> </w:t>
            </w:r>
            <w:r w:rsidRPr="00CF1D90">
              <w:rPr>
                <w:sz w:val="18"/>
              </w:rPr>
              <w:t>492</w:t>
            </w:r>
          </w:p>
        </w:tc>
      </w:tr>
      <w:tr w:rsidR="00F233AB" w:rsidRPr="00CF1D90" w:rsidTr="00CF1D90">
        <w:tc>
          <w:tcPr>
            <w:tcW w:w="1148" w:type="dxa"/>
            <w:shd w:val="clear" w:color="auto" w:fill="auto"/>
            <w:noWrap/>
            <w:hideMark/>
          </w:tcPr>
          <w:p w:rsidR="00F233AB" w:rsidRPr="00CF1D90" w:rsidRDefault="00F233AB" w:rsidP="00CF1D90">
            <w:pPr>
              <w:suppressAutoHyphens w:val="0"/>
              <w:spacing w:before="40" w:after="40" w:line="220" w:lineRule="exact"/>
              <w:ind w:right="113"/>
              <w:rPr>
                <w:sz w:val="18"/>
              </w:rPr>
            </w:pPr>
            <w:r w:rsidRPr="00CF1D90">
              <w:rPr>
                <w:sz w:val="18"/>
              </w:rPr>
              <w:t>20</w:t>
            </w:r>
            <w:r w:rsidR="00A6566E">
              <w:rPr>
                <w:sz w:val="18"/>
              </w:rPr>
              <w:t>–</w:t>
            </w:r>
            <w:r w:rsidRPr="00CF1D90">
              <w:rPr>
                <w:sz w:val="18"/>
              </w:rPr>
              <w:t>24</w:t>
            </w:r>
          </w:p>
        </w:tc>
        <w:tc>
          <w:tcPr>
            <w:tcW w:w="1016"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328</w:t>
            </w:r>
            <w:r w:rsidR="00BB74DD">
              <w:rPr>
                <w:sz w:val="18"/>
              </w:rPr>
              <w:t xml:space="preserve"> </w:t>
            </w:r>
            <w:r w:rsidRPr="00CF1D90">
              <w:rPr>
                <w:sz w:val="18"/>
              </w:rPr>
              <w:t>208</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321</w:t>
            </w:r>
            <w:r w:rsidR="00BB74DD">
              <w:rPr>
                <w:sz w:val="18"/>
              </w:rPr>
              <w:t xml:space="preserve"> </w:t>
            </w:r>
            <w:r w:rsidRPr="00CF1D90">
              <w:rPr>
                <w:sz w:val="18"/>
              </w:rPr>
              <w:t>358</w:t>
            </w:r>
          </w:p>
        </w:tc>
        <w:tc>
          <w:tcPr>
            <w:tcW w:w="1148"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315</w:t>
            </w:r>
            <w:r w:rsidR="00BB74DD">
              <w:rPr>
                <w:sz w:val="18"/>
              </w:rPr>
              <w:t xml:space="preserve"> </w:t>
            </w:r>
            <w:r w:rsidRPr="00CF1D90">
              <w:rPr>
                <w:sz w:val="18"/>
              </w:rPr>
              <w:t>342</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301</w:t>
            </w:r>
            <w:r w:rsidR="00BB74DD">
              <w:rPr>
                <w:sz w:val="18"/>
              </w:rPr>
              <w:t xml:space="preserve"> </w:t>
            </w:r>
            <w:r w:rsidRPr="00CF1D90">
              <w:rPr>
                <w:sz w:val="18"/>
              </w:rPr>
              <w:t>843</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292</w:t>
            </w:r>
            <w:r w:rsidR="00BB74DD">
              <w:rPr>
                <w:sz w:val="18"/>
              </w:rPr>
              <w:t xml:space="preserve"> </w:t>
            </w:r>
            <w:r w:rsidRPr="00CF1D90">
              <w:rPr>
                <w:sz w:val="18"/>
              </w:rPr>
              <w:t>470</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283</w:t>
            </w:r>
            <w:r w:rsidR="00BB74DD">
              <w:rPr>
                <w:sz w:val="18"/>
              </w:rPr>
              <w:t xml:space="preserve"> </w:t>
            </w:r>
            <w:r w:rsidRPr="00CF1D90">
              <w:rPr>
                <w:sz w:val="18"/>
              </w:rPr>
              <w:t>893</w:t>
            </w:r>
          </w:p>
        </w:tc>
      </w:tr>
      <w:tr w:rsidR="00F233AB" w:rsidRPr="00CF1D90" w:rsidTr="00CF1D90">
        <w:tc>
          <w:tcPr>
            <w:tcW w:w="1148" w:type="dxa"/>
            <w:shd w:val="clear" w:color="auto" w:fill="auto"/>
            <w:noWrap/>
            <w:hideMark/>
          </w:tcPr>
          <w:p w:rsidR="00F233AB" w:rsidRPr="00CF1D90" w:rsidRDefault="00F233AB" w:rsidP="00CF1D90">
            <w:pPr>
              <w:suppressAutoHyphens w:val="0"/>
              <w:spacing w:before="40" w:after="40" w:line="220" w:lineRule="exact"/>
              <w:ind w:right="113"/>
              <w:rPr>
                <w:sz w:val="18"/>
              </w:rPr>
            </w:pPr>
            <w:r w:rsidRPr="00CF1D90">
              <w:rPr>
                <w:sz w:val="18"/>
              </w:rPr>
              <w:t>25</w:t>
            </w:r>
            <w:r w:rsidR="00A6566E">
              <w:rPr>
                <w:sz w:val="18"/>
              </w:rPr>
              <w:t>–</w:t>
            </w:r>
            <w:r w:rsidRPr="00CF1D90">
              <w:rPr>
                <w:sz w:val="18"/>
              </w:rPr>
              <w:t>29</w:t>
            </w:r>
          </w:p>
        </w:tc>
        <w:tc>
          <w:tcPr>
            <w:tcW w:w="1016"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395</w:t>
            </w:r>
            <w:r w:rsidR="00BB74DD">
              <w:rPr>
                <w:sz w:val="18"/>
              </w:rPr>
              <w:t xml:space="preserve"> </w:t>
            </w:r>
            <w:r w:rsidRPr="00CF1D90">
              <w:rPr>
                <w:sz w:val="18"/>
              </w:rPr>
              <w:t>491</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370</w:t>
            </w:r>
            <w:r w:rsidR="00BB74DD">
              <w:rPr>
                <w:sz w:val="18"/>
              </w:rPr>
              <w:t xml:space="preserve"> </w:t>
            </w:r>
            <w:r w:rsidRPr="00CF1D90">
              <w:rPr>
                <w:sz w:val="18"/>
              </w:rPr>
              <w:t>924</w:t>
            </w:r>
          </w:p>
        </w:tc>
        <w:tc>
          <w:tcPr>
            <w:tcW w:w="1148"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341</w:t>
            </w:r>
            <w:r w:rsidR="00BB74DD">
              <w:rPr>
                <w:sz w:val="18"/>
              </w:rPr>
              <w:t xml:space="preserve"> </w:t>
            </w:r>
            <w:r w:rsidRPr="00CF1D90">
              <w:rPr>
                <w:sz w:val="18"/>
              </w:rPr>
              <w:t>797</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320</w:t>
            </w:r>
            <w:r w:rsidR="00BB74DD">
              <w:rPr>
                <w:sz w:val="18"/>
              </w:rPr>
              <w:t xml:space="preserve"> </w:t>
            </w:r>
            <w:r w:rsidRPr="00CF1D90">
              <w:rPr>
                <w:sz w:val="18"/>
              </w:rPr>
              <w:t>257</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306</w:t>
            </w:r>
            <w:r w:rsidR="00BB74DD">
              <w:rPr>
                <w:sz w:val="18"/>
              </w:rPr>
              <w:t xml:space="preserve"> </w:t>
            </w:r>
            <w:r w:rsidRPr="00CF1D90">
              <w:rPr>
                <w:sz w:val="18"/>
              </w:rPr>
              <w:t>636</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295</w:t>
            </w:r>
            <w:r w:rsidR="00BB74DD">
              <w:rPr>
                <w:sz w:val="18"/>
              </w:rPr>
              <w:t xml:space="preserve"> </w:t>
            </w:r>
            <w:r w:rsidRPr="00CF1D90">
              <w:rPr>
                <w:sz w:val="18"/>
              </w:rPr>
              <w:t>771</w:t>
            </w:r>
          </w:p>
        </w:tc>
      </w:tr>
      <w:tr w:rsidR="00F233AB" w:rsidRPr="00CF1D90" w:rsidTr="00CF1D90">
        <w:tc>
          <w:tcPr>
            <w:tcW w:w="1148" w:type="dxa"/>
            <w:shd w:val="clear" w:color="auto" w:fill="auto"/>
            <w:noWrap/>
            <w:hideMark/>
          </w:tcPr>
          <w:p w:rsidR="00F233AB" w:rsidRPr="00CF1D90" w:rsidRDefault="00F233AB" w:rsidP="00CF1D90">
            <w:pPr>
              <w:suppressAutoHyphens w:val="0"/>
              <w:spacing w:before="40" w:after="40" w:line="220" w:lineRule="exact"/>
              <w:ind w:right="113"/>
              <w:rPr>
                <w:sz w:val="18"/>
              </w:rPr>
            </w:pPr>
            <w:r w:rsidRPr="00CF1D90">
              <w:rPr>
                <w:sz w:val="18"/>
              </w:rPr>
              <w:t>30</w:t>
            </w:r>
            <w:r w:rsidR="00A6566E">
              <w:rPr>
                <w:sz w:val="18"/>
              </w:rPr>
              <w:t>–</w:t>
            </w:r>
            <w:r w:rsidRPr="00CF1D90">
              <w:rPr>
                <w:sz w:val="18"/>
              </w:rPr>
              <w:t>34</w:t>
            </w:r>
          </w:p>
        </w:tc>
        <w:tc>
          <w:tcPr>
            <w:tcW w:w="1016"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434</w:t>
            </w:r>
            <w:r w:rsidR="00BB74DD">
              <w:rPr>
                <w:sz w:val="18"/>
              </w:rPr>
              <w:t xml:space="preserve"> </w:t>
            </w:r>
            <w:r w:rsidRPr="00CF1D90">
              <w:rPr>
                <w:sz w:val="18"/>
              </w:rPr>
              <w:t>091</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426</w:t>
            </w:r>
            <w:r w:rsidR="00BB74DD">
              <w:rPr>
                <w:sz w:val="18"/>
              </w:rPr>
              <w:t xml:space="preserve"> </w:t>
            </w:r>
            <w:r w:rsidRPr="00CF1D90">
              <w:rPr>
                <w:sz w:val="18"/>
              </w:rPr>
              <w:t>065</w:t>
            </w:r>
          </w:p>
        </w:tc>
        <w:tc>
          <w:tcPr>
            <w:tcW w:w="1148"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414</w:t>
            </w:r>
            <w:r w:rsidR="00BB74DD">
              <w:rPr>
                <w:sz w:val="18"/>
              </w:rPr>
              <w:t xml:space="preserve"> </w:t>
            </w:r>
            <w:r w:rsidRPr="00CF1D90">
              <w:rPr>
                <w:sz w:val="18"/>
              </w:rPr>
              <w:t>569</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399</w:t>
            </w:r>
            <w:r w:rsidR="00BB74DD">
              <w:rPr>
                <w:sz w:val="18"/>
              </w:rPr>
              <w:t xml:space="preserve"> </w:t>
            </w:r>
            <w:r w:rsidRPr="00CF1D90">
              <w:rPr>
                <w:sz w:val="18"/>
              </w:rPr>
              <w:t>219</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379</w:t>
            </w:r>
            <w:r w:rsidR="00BB74DD">
              <w:rPr>
                <w:sz w:val="18"/>
              </w:rPr>
              <w:t xml:space="preserve"> </w:t>
            </w:r>
            <w:r w:rsidRPr="00CF1D90">
              <w:rPr>
                <w:sz w:val="18"/>
              </w:rPr>
              <w:t>459</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356</w:t>
            </w:r>
            <w:r w:rsidR="00BB74DD">
              <w:rPr>
                <w:sz w:val="18"/>
              </w:rPr>
              <w:t xml:space="preserve"> </w:t>
            </w:r>
            <w:r w:rsidRPr="00CF1D90">
              <w:rPr>
                <w:sz w:val="18"/>
              </w:rPr>
              <w:t>834</w:t>
            </w:r>
          </w:p>
        </w:tc>
      </w:tr>
      <w:tr w:rsidR="00F233AB" w:rsidRPr="00CF1D90" w:rsidTr="00CF1D90">
        <w:tc>
          <w:tcPr>
            <w:tcW w:w="1148" w:type="dxa"/>
            <w:shd w:val="clear" w:color="auto" w:fill="auto"/>
            <w:noWrap/>
            <w:hideMark/>
          </w:tcPr>
          <w:p w:rsidR="00F233AB" w:rsidRPr="00CF1D90" w:rsidRDefault="00F233AB" w:rsidP="00CF1D90">
            <w:pPr>
              <w:suppressAutoHyphens w:val="0"/>
              <w:spacing w:before="40" w:after="40" w:line="220" w:lineRule="exact"/>
              <w:ind w:right="113"/>
              <w:rPr>
                <w:sz w:val="18"/>
              </w:rPr>
            </w:pPr>
            <w:r w:rsidRPr="00CF1D90">
              <w:rPr>
                <w:sz w:val="18"/>
              </w:rPr>
              <w:t>35</w:t>
            </w:r>
            <w:r w:rsidR="00A6566E">
              <w:rPr>
                <w:sz w:val="18"/>
              </w:rPr>
              <w:t>–</w:t>
            </w:r>
            <w:r w:rsidRPr="00CF1D90">
              <w:rPr>
                <w:sz w:val="18"/>
              </w:rPr>
              <w:t>39</w:t>
            </w:r>
          </w:p>
        </w:tc>
        <w:tc>
          <w:tcPr>
            <w:tcW w:w="1016"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424</w:t>
            </w:r>
            <w:r w:rsidR="00BB74DD">
              <w:rPr>
                <w:sz w:val="18"/>
              </w:rPr>
              <w:t xml:space="preserve"> </w:t>
            </w:r>
            <w:r w:rsidRPr="00CF1D90">
              <w:rPr>
                <w:sz w:val="18"/>
              </w:rPr>
              <w:t>657</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421</w:t>
            </w:r>
            <w:r w:rsidR="00BB74DD">
              <w:rPr>
                <w:sz w:val="18"/>
              </w:rPr>
              <w:t xml:space="preserve"> </w:t>
            </w:r>
            <w:r w:rsidRPr="00CF1D90">
              <w:rPr>
                <w:sz w:val="18"/>
              </w:rPr>
              <w:t>896</w:t>
            </w:r>
          </w:p>
        </w:tc>
        <w:tc>
          <w:tcPr>
            <w:tcW w:w="1148"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415</w:t>
            </w:r>
            <w:r w:rsidR="00BB74DD">
              <w:rPr>
                <w:sz w:val="18"/>
              </w:rPr>
              <w:t xml:space="preserve"> </w:t>
            </w:r>
            <w:r w:rsidRPr="00CF1D90">
              <w:rPr>
                <w:sz w:val="18"/>
              </w:rPr>
              <w:t>314</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410</w:t>
            </w:r>
            <w:r w:rsidR="00BB74DD">
              <w:rPr>
                <w:sz w:val="18"/>
              </w:rPr>
              <w:t xml:space="preserve"> </w:t>
            </w:r>
            <w:r w:rsidRPr="00CF1D90">
              <w:rPr>
                <w:sz w:val="18"/>
              </w:rPr>
              <w:t>911</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407</w:t>
            </w:r>
            <w:r w:rsidR="00BB74DD">
              <w:rPr>
                <w:sz w:val="18"/>
              </w:rPr>
              <w:t xml:space="preserve"> </w:t>
            </w:r>
            <w:r w:rsidRPr="00CF1D90">
              <w:rPr>
                <w:sz w:val="18"/>
              </w:rPr>
              <w:t>210</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403</w:t>
            </w:r>
            <w:r w:rsidR="00BB74DD">
              <w:rPr>
                <w:sz w:val="18"/>
              </w:rPr>
              <w:t xml:space="preserve"> </w:t>
            </w:r>
            <w:r w:rsidRPr="00CF1D90">
              <w:rPr>
                <w:sz w:val="18"/>
              </w:rPr>
              <w:t>794</w:t>
            </w:r>
          </w:p>
        </w:tc>
      </w:tr>
      <w:tr w:rsidR="00F233AB" w:rsidRPr="00CF1D90" w:rsidTr="00CF1D90">
        <w:tc>
          <w:tcPr>
            <w:tcW w:w="1148" w:type="dxa"/>
            <w:shd w:val="clear" w:color="auto" w:fill="auto"/>
            <w:noWrap/>
            <w:hideMark/>
          </w:tcPr>
          <w:p w:rsidR="00F233AB" w:rsidRPr="00CF1D90" w:rsidRDefault="00F233AB" w:rsidP="00CF1D90">
            <w:pPr>
              <w:suppressAutoHyphens w:val="0"/>
              <w:spacing w:before="40" w:after="40" w:line="220" w:lineRule="exact"/>
              <w:ind w:right="113"/>
              <w:rPr>
                <w:sz w:val="18"/>
              </w:rPr>
            </w:pPr>
            <w:r w:rsidRPr="00CF1D90">
              <w:rPr>
                <w:sz w:val="18"/>
              </w:rPr>
              <w:t>40</w:t>
            </w:r>
            <w:r w:rsidR="00A6566E">
              <w:rPr>
                <w:sz w:val="18"/>
              </w:rPr>
              <w:t>–</w:t>
            </w:r>
            <w:r w:rsidRPr="00CF1D90">
              <w:rPr>
                <w:sz w:val="18"/>
              </w:rPr>
              <w:t>44</w:t>
            </w:r>
          </w:p>
        </w:tc>
        <w:tc>
          <w:tcPr>
            <w:tcW w:w="1016"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425</w:t>
            </w:r>
            <w:r w:rsidR="00BB74DD">
              <w:rPr>
                <w:sz w:val="18"/>
              </w:rPr>
              <w:t xml:space="preserve"> </w:t>
            </w:r>
            <w:r w:rsidRPr="00CF1D90">
              <w:rPr>
                <w:sz w:val="18"/>
              </w:rPr>
              <w:t>198</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424</w:t>
            </w:r>
            <w:r w:rsidR="00BB74DD">
              <w:rPr>
                <w:sz w:val="18"/>
              </w:rPr>
              <w:t xml:space="preserve"> </w:t>
            </w:r>
            <w:r w:rsidRPr="00CF1D90">
              <w:rPr>
                <w:sz w:val="18"/>
              </w:rPr>
              <w:t>739</w:t>
            </w:r>
          </w:p>
        </w:tc>
        <w:tc>
          <w:tcPr>
            <w:tcW w:w="1148"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417</w:t>
            </w:r>
            <w:r w:rsidR="00BB74DD">
              <w:rPr>
                <w:sz w:val="18"/>
              </w:rPr>
              <w:t xml:space="preserve"> </w:t>
            </w:r>
            <w:r w:rsidRPr="00CF1D90">
              <w:rPr>
                <w:sz w:val="18"/>
              </w:rPr>
              <w:t>667</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409</w:t>
            </w:r>
            <w:r w:rsidR="00BB74DD">
              <w:rPr>
                <w:sz w:val="18"/>
              </w:rPr>
              <w:t xml:space="preserve"> </w:t>
            </w:r>
            <w:r w:rsidRPr="00CF1D90">
              <w:rPr>
                <w:sz w:val="18"/>
              </w:rPr>
              <w:t>929</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404</w:t>
            </w:r>
            <w:r w:rsidR="00BB74DD">
              <w:rPr>
                <w:sz w:val="18"/>
              </w:rPr>
              <w:t xml:space="preserve"> </w:t>
            </w:r>
            <w:r w:rsidRPr="00CF1D90">
              <w:rPr>
                <w:sz w:val="18"/>
              </w:rPr>
              <w:t>599</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399</w:t>
            </w:r>
            <w:r w:rsidR="00BB74DD">
              <w:rPr>
                <w:sz w:val="18"/>
              </w:rPr>
              <w:t xml:space="preserve"> </w:t>
            </w:r>
            <w:r w:rsidRPr="00CF1D90">
              <w:rPr>
                <w:sz w:val="18"/>
              </w:rPr>
              <w:t>211</w:t>
            </w:r>
          </w:p>
        </w:tc>
      </w:tr>
      <w:tr w:rsidR="00F233AB" w:rsidRPr="00CF1D90" w:rsidTr="00CF1D90">
        <w:tc>
          <w:tcPr>
            <w:tcW w:w="1148" w:type="dxa"/>
            <w:shd w:val="clear" w:color="auto" w:fill="auto"/>
            <w:noWrap/>
            <w:hideMark/>
          </w:tcPr>
          <w:p w:rsidR="00F233AB" w:rsidRPr="00CF1D90" w:rsidRDefault="00F233AB" w:rsidP="00CF1D90">
            <w:pPr>
              <w:suppressAutoHyphens w:val="0"/>
              <w:spacing w:before="40" w:after="40" w:line="220" w:lineRule="exact"/>
              <w:ind w:right="113"/>
              <w:rPr>
                <w:sz w:val="18"/>
              </w:rPr>
            </w:pPr>
            <w:r w:rsidRPr="00CF1D90">
              <w:rPr>
                <w:sz w:val="18"/>
              </w:rPr>
              <w:t>45</w:t>
            </w:r>
            <w:r w:rsidR="00A6566E">
              <w:rPr>
                <w:sz w:val="18"/>
              </w:rPr>
              <w:t>–</w:t>
            </w:r>
            <w:r w:rsidRPr="00CF1D90">
              <w:rPr>
                <w:sz w:val="18"/>
              </w:rPr>
              <w:t>49</w:t>
            </w:r>
          </w:p>
        </w:tc>
        <w:tc>
          <w:tcPr>
            <w:tcW w:w="1016"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378</w:t>
            </w:r>
            <w:r w:rsidR="00BB74DD">
              <w:rPr>
                <w:sz w:val="18"/>
              </w:rPr>
              <w:t xml:space="preserve"> </w:t>
            </w:r>
            <w:r w:rsidRPr="00CF1D90">
              <w:rPr>
                <w:sz w:val="18"/>
              </w:rPr>
              <w:t>014</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381</w:t>
            </w:r>
            <w:r w:rsidR="00BB74DD">
              <w:rPr>
                <w:sz w:val="18"/>
              </w:rPr>
              <w:t xml:space="preserve"> </w:t>
            </w:r>
            <w:r w:rsidRPr="00CF1D90">
              <w:rPr>
                <w:sz w:val="18"/>
              </w:rPr>
              <w:t>267</w:t>
            </w:r>
          </w:p>
        </w:tc>
        <w:tc>
          <w:tcPr>
            <w:tcW w:w="1148"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385</w:t>
            </w:r>
            <w:r w:rsidR="00BB74DD">
              <w:rPr>
                <w:sz w:val="18"/>
              </w:rPr>
              <w:t xml:space="preserve"> </w:t>
            </w:r>
            <w:r w:rsidRPr="00CF1D90">
              <w:rPr>
                <w:sz w:val="18"/>
              </w:rPr>
              <w:t>554</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391</w:t>
            </w:r>
            <w:r w:rsidR="00BB74DD">
              <w:rPr>
                <w:sz w:val="18"/>
              </w:rPr>
              <w:t xml:space="preserve"> </w:t>
            </w:r>
            <w:r w:rsidRPr="00CF1D90">
              <w:rPr>
                <w:sz w:val="18"/>
              </w:rPr>
              <w:t>427</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397</w:t>
            </w:r>
            <w:r w:rsidR="00BB74DD">
              <w:rPr>
                <w:sz w:val="18"/>
              </w:rPr>
              <w:t xml:space="preserve"> </w:t>
            </w:r>
            <w:r w:rsidRPr="00CF1D90">
              <w:rPr>
                <w:sz w:val="18"/>
              </w:rPr>
              <w:t>226</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399</w:t>
            </w:r>
            <w:r w:rsidR="00BB74DD">
              <w:rPr>
                <w:sz w:val="18"/>
              </w:rPr>
              <w:t xml:space="preserve"> </w:t>
            </w:r>
            <w:r w:rsidRPr="00CF1D90">
              <w:rPr>
                <w:sz w:val="18"/>
              </w:rPr>
              <w:t>945</w:t>
            </w:r>
          </w:p>
        </w:tc>
      </w:tr>
      <w:tr w:rsidR="00F233AB" w:rsidRPr="00CF1D90" w:rsidTr="00CF1D90">
        <w:tc>
          <w:tcPr>
            <w:tcW w:w="1148" w:type="dxa"/>
            <w:shd w:val="clear" w:color="auto" w:fill="auto"/>
            <w:noWrap/>
            <w:hideMark/>
          </w:tcPr>
          <w:p w:rsidR="00F233AB" w:rsidRPr="00CF1D90" w:rsidRDefault="00F233AB" w:rsidP="00CF1D90">
            <w:pPr>
              <w:suppressAutoHyphens w:val="0"/>
              <w:spacing w:before="40" w:after="40" w:line="220" w:lineRule="exact"/>
              <w:ind w:right="113"/>
              <w:rPr>
                <w:sz w:val="18"/>
              </w:rPr>
            </w:pPr>
            <w:r w:rsidRPr="00CF1D90">
              <w:rPr>
                <w:sz w:val="18"/>
              </w:rPr>
              <w:t>50</w:t>
            </w:r>
            <w:r w:rsidR="00A6566E">
              <w:rPr>
                <w:sz w:val="18"/>
              </w:rPr>
              <w:t>–</w:t>
            </w:r>
            <w:r w:rsidRPr="00CF1D90">
              <w:rPr>
                <w:sz w:val="18"/>
              </w:rPr>
              <w:t>54</w:t>
            </w:r>
          </w:p>
        </w:tc>
        <w:tc>
          <w:tcPr>
            <w:tcW w:w="1016"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360</w:t>
            </w:r>
            <w:r w:rsidR="00BB74DD">
              <w:rPr>
                <w:sz w:val="18"/>
              </w:rPr>
              <w:t xml:space="preserve"> </w:t>
            </w:r>
            <w:r w:rsidRPr="00CF1D90">
              <w:rPr>
                <w:sz w:val="18"/>
              </w:rPr>
              <w:t>528</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360</w:t>
            </w:r>
            <w:r w:rsidR="00BB74DD">
              <w:rPr>
                <w:sz w:val="18"/>
              </w:rPr>
              <w:t xml:space="preserve"> </w:t>
            </w:r>
            <w:r w:rsidRPr="00CF1D90">
              <w:rPr>
                <w:sz w:val="18"/>
              </w:rPr>
              <w:t>731</w:t>
            </w:r>
          </w:p>
        </w:tc>
        <w:tc>
          <w:tcPr>
            <w:tcW w:w="1148"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359</w:t>
            </w:r>
            <w:r w:rsidR="00BB74DD">
              <w:rPr>
                <w:sz w:val="18"/>
              </w:rPr>
              <w:t xml:space="preserve"> </w:t>
            </w:r>
            <w:r w:rsidRPr="00CF1D90">
              <w:rPr>
                <w:sz w:val="18"/>
              </w:rPr>
              <w:t>112</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355</w:t>
            </w:r>
            <w:r w:rsidR="00BB74DD">
              <w:rPr>
                <w:sz w:val="18"/>
              </w:rPr>
              <w:t xml:space="preserve"> </w:t>
            </w:r>
            <w:r w:rsidRPr="00CF1D90">
              <w:rPr>
                <w:sz w:val="18"/>
              </w:rPr>
              <w:t>435</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352</w:t>
            </w:r>
            <w:r w:rsidR="00BB74DD">
              <w:rPr>
                <w:sz w:val="18"/>
              </w:rPr>
              <w:t xml:space="preserve"> </w:t>
            </w:r>
            <w:r w:rsidRPr="00CF1D90">
              <w:rPr>
                <w:sz w:val="18"/>
              </w:rPr>
              <w:t>642</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352</w:t>
            </w:r>
            <w:r w:rsidR="00BB74DD">
              <w:rPr>
                <w:sz w:val="18"/>
              </w:rPr>
              <w:t xml:space="preserve"> </w:t>
            </w:r>
            <w:r w:rsidRPr="00CF1D90">
              <w:rPr>
                <w:sz w:val="18"/>
              </w:rPr>
              <w:t>949</w:t>
            </w:r>
          </w:p>
        </w:tc>
      </w:tr>
      <w:tr w:rsidR="00F233AB" w:rsidRPr="00CF1D90" w:rsidTr="00CF1D90">
        <w:tc>
          <w:tcPr>
            <w:tcW w:w="1148" w:type="dxa"/>
            <w:shd w:val="clear" w:color="auto" w:fill="auto"/>
            <w:noWrap/>
            <w:hideMark/>
          </w:tcPr>
          <w:p w:rsidR="00F233AB" w:rsidRPr="00CF1D90" w:rsidRDefault="00F233AB" w:rsidP="00CF1D90">
            <w:pPr>
              <w:suppressAutoHyphens w:val="0"/>
              <w:spacing w:before="40" w:after="40" w:line="220" w:lineRule="exact"/>
              <w:ind w:right="113"/>
              <w:rPr>
                <w:sz w:val="18"/>
              </w:rPr>
            </w:pPr>
            <w:r w:rsidRPr="00CF1D90">
              <w:rPr>
                <w:sz w:val="18"/>
              </w:rPr>
              <w:t>55</w:t>
            </w:r>
            <w:r w:rsidR="00A6566E">
              <w:rPr>
                <w:sz w:val="18"/>
              </w:rPr>
              <w:t>–</w:t>
            </w:r>
            <w:r w:rsidRPr="00CF1D90">
              <w:rPr>
                <w:sz w:val="18"/>
              </w:rPr>
              <w:t>59</w:t>
            </w:r>
          </w:p>
        </w:tc>
        <w:tc>
          <w:tcPr>
            <w:tcW w:w="1016"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327</w:t>
            </w:r>
            <w:r w:rsidR="00BB74DD">
              <w:rPr>
                <w:sz w:val="18"/>
              </w:rPr>
              <w:t xml:space="preserve"> </w:t>
            </w:r>
            <w:r w:rsidRPr="00CF1D90">
              <w:rPr>
                <w:sz w:val="18"/>
              </w:rPr>
              <w:t>044</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329</w:t>
            </w:r>
            <w:r w:rsidR="00BB74DD">
              <w:rPr>
                <w:sz w:val="18"/>
              </w:rPr>
              <w:t xml:space="preserve"> </w:t>
            </w:r>
            <w:r w:rsidRPr="00CF1D90">
              <w:rPr>
                <w:sz w:val="18"/>
              </w:rPr>
              <w:t>919</w:t>
            </w:r>
          </w:p>
        </w:tc>
        <w:tc>
          <w:tcPr>
            <w:tcW w:w="1148"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330</w:t>
            </w:r>
            <w:r w:rsidR="00BB74DD">
              <w:rPr>
                <w:sz w:val="18"/>
              </w:rPr>
              <w:t xml:space="preserve"> </w:t>
            </w:r>
            <w:r w:rsidRPr="00CF1D90">
              <w:rPr>
                <w:sz w:val="18"/>
              </w:rPr>
              <w:t>635</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334</w:t>
            </w:r>
            <w:r w:rsidR="00BB74DD">
              <w:rPr>
                <w:sz w:val="18"/>
              </w:rPr>
              <w:t xml:space="preserve"> </w:t>
            </w:r>
            <w:r w:rsidRPr="00CF1D90">
              <w:rPr>
                <w:sz w:val="18"/>
              </w:rPr>
              <w:t>029</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337</w:t>
            </w:r>
            <w:r w:rsidR="00BB74DD">
              <w:rPr>
                <w:sz w:val="18"/>
              </w:rPr>
              <w:t xml:space="preserve"> </w:t>
            </w:r>
            <w:r w:rsidRPr="00CF1D90">
              <w:rPr>
                <w:sz w:val="18"/>
              </w:rPr>
              <w:t>250</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337</w:t>
            </w:r>
            <w:r w:rsidR="00BB74DD">
              <w:rPr>
                <w:sz w:val="18"/>
              </w:rPr>
              <w:t xml:space="preserve"> </w:t>
            </w:r>
            <w:r w:rsidRPr="00CF1D90">
              <w:rPr>
                <w:sz w:val="18"/>
              </w:rPr>
              <w:t>268</w:t>
            </w:r>
          </w:p>
        </w:tc>
      </w:tr>
      <w:tr w:rsidR="00F233AB" w:rsidRPr="00CF1D90" w:rsidTr="00CF1D90">
        <w:tc>
          <w:tcPr>
            <w:tcW w:w="1148" w:type="dxa"/>
            <w:shd w:val="clear" w:color="auto" w:fill="auto"/>
            <w:noWrap/>
            <w:hideMark/>
          </w:tcPr>
          <w:p w:rsidR="00F233AB" w:rsidRPr="00CF1D90" w:rsidRDefault="00F233AB" w:rsidP="00CF1D90">
            <w:pPr>
              <w:suppressAutoHyphens w:val="0"/>
              <w:spacing w:before="40" w:after="40" w:line="220" w:lineRule="exact"/>
              <w:ind w:right="113"/>
              <w:rPr>
                <w:sz w:val="18"/>
              </w:rPr>
            </w:pPr>
            <w:r w:rsidRPr="00CF1D90">
              <w:rPr>
                <w:sz w:val="18"/>
              </w:rPr>
              <w:t>60</w:t>
            </w:r>
            <w:r w:rsidR="00A6566E">
              <w:rPr>
                <w:sz w:val="18"/>
              </w:rPr>
              <w:t>–</w:t>
            </w:r>
            <w:r w:rsidRPr="00CF1D90">
              <w:rPr>
                <w:sz w:val="18"/>
              </w:rPr>
              <w:t>64</w:t>
            </w:r>
          </w:p>
        </w:tc>
        <w:tc>
          <w:tcPr>
            <w:tcW w:w="1016"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307</w:t>
            </w:r>
            <w:r w:rsidR="00BB74DD">
              <w:rPr>
                <w:sz w:val="18"/>
              </w:rPr>
              <w:t xml:space="preserve"> </w:t>
            </w:r>
            <w:r w:rsidRPr="00CF1D90">
              <w:rPr>
                <w:sz w:val="18"/>
              </w:rPr>
              <w:t>892</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307</w:t>
            </w:r>
            <w:r w:rsidR="00BB74DD">
              <w:rPr>
                <w:sz w:val="18"/>
              </w:rPr>
              <w:t xml:space="preserve"> </w:t>
            </w:r>
            <w:r w:rsidRPr="00CF1D90">
              <w:rPr>
                <w:sz w:val="18"/>
              </w:rPr>
              <w:t>430</w:t>
            </w:r>
          </w:p>
        </w:tc>
        <w:tc>
          <w:tcPr>
            <w:tcW w:w="1148"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305</w:t>
            </w:r>
            <w:r w:rsidR="00BB74DD">
              <w:rPr>
                <w:sz w:val="18"/>
              </w:rPr>
              <w:t xml:space="preserve"> </w:t>
            </w:r>
            <w:r w:rsidRPr="00CF1D90">
              <w:rPr>
                <w:sz w:val="18"/>
              </w:rPr>
              <w:t>820</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304</w:t>
            </w:r>
            <w:r w:rsidR="00BB74DD">
              <w:rPr>
                <w:sz w:val="18"/>
              </w:rPr>
              <w:t xml:space="preserve"> </w:t>
            </w:r>
            <w:r w:rsidRPr="00CF1D90">
              <w:rPr>
                <w:sz w:val="18"/>
              </w:rPr>
              <w:t>298</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304</w:t>
            </w:r>
            <w:r w:rsidR="00BB74DD">
              <w:rPr>
                <w:sz w:val="18"/>
              </w:rPr>
              <w:t xml:space="preserve"> </w:t>
            </w:r>
            <w:r w:rsidRPr="00CF1D90">
              <w:rPr>
                <w:sz w:val="18"/>
              </w:rPr>
              <w:t>751</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307</w:t>
            </w:r>
            <w:r w:rsidR="00BB74DD">
              <w:rPr>
                <w:sz w:val="18"/>
              </w:rPr>
              <w:t xml:space="preserve"> </w:t>
            </w:r>
            <w:r w:rsidRPr="00CF1D90">
              <w:rPr>
                <w:sz w:val="18"/>
              </w:rPr>
              <w:t>859</w:t>
            </w:r>
          </w:p>
        </w:tc>
      </w:tr>
      <w:tr w:rsidR="00F233AB" w:rsidRPr="00CF1D90" w:rsidTr="00CF1D90">
        <w:tc>
          <w:tcPr>
            <w:tcW w:w="1148" w:type="dxa"/>
            <w:shd w:val="clear" w:color="auto" w:fill="auto"/>
            <w:noWrap/>
            <w:hideMark/>
          </w:tcPr>
          <w:p w:rsidR="00F233AB" w:rsidRPr="00CF1D90" w:rsidRDefault="00F233AB" w:rsidP="00CF1D90">
            <w:pPr>
              <w:suppressAutoHyphens w:val="0"/>
              <w:spacing w:before="40" w:after="40" w:line="220" w:lineRule="exact"/>
              <w:ind w:right="113"/>
              <w:rPr>
                <w:sz w:val="18"/>
              </w:rPr>
            </w:pPr>
            <w:r w:rsidRPr="00CF1D90">
              <w:rPr>
                <w:sz w:val="18"/>
              </w:rPr>
              <w:t>65</w:t>
            </w:r>
            <w:r w:rsidR="00A6566E">
              <w:rPr>
                <w:sz w:val="18"/>
              </w:rPr>
              <w:t>–</w:t>
            </w:r>
            <w:r w:rsidRPr="00CF1D90">
              <w:rPr>
                <w:sz w:val="18"/>
              </w:rPr>
              <w:t>69</w:t>
            </w:r>
          </w:p>
        </w:tc>
        <w:tc>
          <w:tcPr>
            <w:tcW w:w="1016"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253</w:t>
            </w:r>
            <w:r w:rsidR="00BB74DD">
              <w:rPr>
                <w:sz w:val="18"/>
              </w:rPr>
              <w:t xml:space="preserve"> </w:t>
            </w:r>
            <w:r w:rsidRPr="00CF1D90">
              <w:rPr>
                <w:sz w:val="18"/>
              </w:rPr>
              <w:t>826</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263</w:t>
            </w:r>
            <w:r w:rsidR="00BB74DD">
              <w:rPr>
                <w:sz w:val="18"/>
              </w:rPr>
              <w:t xml:space="preserve"> </w:t>
            </w:r>
            <w:r w:rsidRPr="00CF1D90">
              <w:rPr>
                <w:sz w:val="18"/>
              </w:rPr>
              <w:t>110</w:t>
            </w:r>
          </w:p>
        </w:tc>
        <w:tc>
          <w:tcPr>
            <w:tcW w:w="1148"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273</w:t>
            </w:r>
            <w:r w:rsidR="00BB74DD">
              <w:rPr>
                <w:sz w:val="18"/>
              </w:rPr>
              <w:t xml:space="preserve"> </w:t>
            </w:r>
            <w:r w:rsidRPr="00CF1D90">
              <w:rPr>
                <w:sz w:val="18"/>
              </w:rPr>
              <w:t>112</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281</w:t>
            </w:r>
            <w:r w:rsidR="00BB74DD">
              <w:rPr>
                <w:sz w:val="18"/>
              </w:rPr>
              <w:t xml:space="preserve"> </w:t>
            </w:r>
            <w:r w:rsidRPr="00CF1D90">
              <w:rPr>
                <w:sz w:val="18"/>
              </w:rPr>
              <w:t>274</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285</w:t>
            </w:r>
            <w:r w:rsidR="00BB74DD">
              <w:rPr>
                <w:sz w:val="18"/>
              </w:rPr>
              <w:t xml:space="preserve"> </w:t>
            </w:r>
            <w:r w:rsidRPr="00CF1D90">
              <w:rPr>
                <w:sz w:val="18"/>
              </w:rPr>
              <w:t>907</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286</w:t>
            </w:r>
            <w:r w:rsidR="00BB74DD">
              <w:rPr>
                <w:sz w:val="18"/>
              </w:rPr>
              <w:t xml:space="preserve"> </w:t>
            </w:r>
            <w:r w:rsidRPr="00CF1D90">
              <w:rPr>
                <w:sz w:val="18"/>
              </w:rPr>
              <w:t>878</w:t>
            </w:r>
          </w:p>
        </w:tc>
      </w:tr>
      <w:tr w:rsidR="00F233AB" w:rsidRPr="00CF1D90" w:rsidTr="00CF1D90">
        <w:tc>
          <w:tcPr>
            <w:tcW w:w="1148" w:type="dxa"/>
            <w:shd w:val="clear" w:color="auto" w:fill="auto"/>
            <w:noWrap/>
            <w:hideMark/>
          </w:tcPr>
          <w:p w:rsidR="00F233AB" w:rsidRPr="00CF1D90" w:rsidRDefault="00F233AB" w:rsidP="00CF1D90">
            <w:pPr>
              <w:suppressAutoHyphens w:val="0"/>
              <w:spacing w:before="40" w:after="40" w:line="220" w:lineRule="exact"/>
              <w:ind w:right="113"/>
              <w:rPr>
                <w:sz w:val="18"/>
              </w:rPr>
            </w:pPr>
            <w:r w:rsidRPr="00CF1D90">
              <w:rPr>
                <w:sz w:val="18"/>
              </w:rPr>
              <w:t>70</w:t>
            </w:r>
            <w:r w:rsidR="00A6566E">
              <w:rPr>
                <w:sz w:val="18"/>
              </w:rPr>
              <w:t>–</w:t>
            </w:r>
            <w:r w:rsidRPr="00CF1D90">
              <w:rPr>
                <w:sz w:val="18"/>
              </w:rPr>
              <w:t>74</w:t>
            </w:r>
          </w:p>
        </w:tc>
        <w:tc>
          <w:tcPr>
            <w:tcW w:w="1016"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249</w:t>
            </w:r>
            <w:r w:rsidR="00BB74DD">
              <w:rPr>
                <w:sz w:val="18"/>
              </w:rPr>
              <w:t xml:space="preserve"> </w:t>
            </w:r>
            <w:r w:rsidRPr="00CF1D90">
              <w:rPr>
                <w:sz w:val="18"/>
              </w:rPr>
              <w:t>849</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242</w:t>
            </w:r>
            <w:r w:rsidR="00BB74DD">
              <w:rPr>
                <w:sz w:val="18"/>
              </w:rPr>
              <w:t xml:space="preserve"> </w:t>
            </w:r>
            <w:r w:rsidRPr="00CF1D90">
              <w:rPr>
                <w:sz w:val="18"/>
              </w:rPr>
              <w:t>470</w:t>
            </w:r>
          </w:p>
        </w:tc>
        <w:tc>
          <w:tcPr>
            <w:tcW w:w="1148"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233</w:t>
            </w:r>
            <w:r w:rsidR="00BB74DD">
              <w:rPr>
                <w:sz w:val="18"/>
              </w:rPr>
              <w:t xml:space="preserve"> </w:t>
            </w:r>
            <w:r w:rsidRPr="00CF1D90">
              <w:rPr>
                <w:sz w:val="18"/>
              </w:rPr>
              <w:t>372</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226</w:t>
            </w:r>
            <w:r w:rsidR="00BB74DD">
              <w:rPr>
                <w:sz w:val="18"/>
              </w:rPr>
              <w:t xml:space="preserve"> </w:t>
            </w:r>
            <w:r w:rsidRPr="00CF1D90">
              <w:rPr>
                <w:sz w:val="18"/>
              </w:rPr>
              <w:t>603</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225</w:t>
            </w:r>
            <w:r w:rsidR="00BB74DD">
              <w:rPr>
                <w:sz w:val="18"/>
              </w:rPr>
              <w:t xml:space="preserve"> </w:t>
            </w:r>
            <w:r w:rsidRPr="00CF1D90">
              <w:rPr>
                <w:sz w:val="18"/>
              </w:rPr>
              <w:t>349</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230</w:t>
            </w:r>
            <w:r w:rsidR="00BB74DD">
              <w:rPr>
                <w:sz w:val="18"/>
              </w:rPr>
              <w:t xml:space="preserve"> </w:t>
            </w:r>
            <w:r w:rsidRPr="00CF1D90">
              <w:rPr>
                <w:sz w:val="18"/>
              </w:rPr>
              <w:t>482</w:t>
            </w:r>
          </w:p>
        </w:tc>
      </w:tr>
      <w:tr w:rsidR="00F233AB" w:rsidRPr="00CF1D90" w:rsidTr="00CF1D90">
        <w:tc>
          <w:tcPr>
            <w:tcW w:w="1148" w:type="dxa"/>
            <w:shd w:val="clear" w:color="auto" w:fill="auto"/>
            <w:noWrap/>
            <w:hideMark/>
          </w:tcPr>
          <w:p w:rsidR="00F233AB" w:rsidRPr="00CF1D90" w:rsidRDefault="00F233AB" w:rsidP="00CF1D90">
            <w:pPr>
              <w:suppressAutoHyphens w:val="0"/>
              <w:spacing w:before="40" w:after="40" w:line="220" w:lineRule="exact"/>
              <w:ind w:right="113"/>
              <w:rPr>
                <w:sz w:val="18"/>
              </w:rPr>
            </w:pPr>
            <w:r w:rsidRPr="00CF1D90">
              <w:rPr>
                <w:sz w:val="18"/>
              </w:rPr>
              <w:t>75</w:t>
            </w:r>
            <w:r w:rsidR="00A6566E">
              <w:rPr>
                <w:sz w:val="18"/>
              </w:rPr>
              <w:t>–</w:t>
            </w:r>
            <w:r w:rsidRPr="00CF1D90">
              <w:rPr>
                <w:sz w:val="18"/>
              </w:rPr>
              <w:t>79</w:t>
            </w:r>
          </w:p>
        </w:tc>
        <w:tc>
          <w:tcPr>
            <w:tcW w:w="1016"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214</w:t>
            </w:r>
            <w:r w:rsidR="00BB74DD">
              <w:rPr>
                <w:sz w:val="18"/>
              </w:rPr>
              <w:t xml:space="preserve"> </w:t>
            </w:r>
            <w:r w:rsidRPr="00CF1D90">
              <w:rPr>
                <w:sz w:val="18"/>
              </w:rPr>
              <w:t>256</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214</w:t>
            </w:r>
            <w:r w:rsidR="00BB74DD">
              <w:rPr>
                <w:sz w:val="18"/>
              </w:rPr>
              <w:t xml:space="preserve"> </w:t>
            </w:r>
            <w:r w:rsidRPr="00CF1D90">
              <w:rPr>
                <w:sz w:val="18"/>
              </w:rPr>
              <w:t>876</w:t>
            </w:r>
          </w:p>
        </w:tc>
        <w:tc>
          <w:tcPr>
            <w:tcW w:w="1148"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215</w:t>
            </w:r>
            <w:r w:rsidR="00BB74DD">
              <w:rPr>
                <w:sz w:val="18"/>
              </w:rPr>
              <w:t xml:space="preserve"> </w:t>
            </w:r>
            <w:r w:rsidRPr="00CF1D90">
              <w:rPr>
                <w:sz w:val="18"/>
              </w:rPr>
              <w:t>267</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215</w:t>
            </w:r>
            <w:r w:rsidR="00BB74DD">
              <w:rPr>
                <w:sz w:val="18"/>
              </w:rPr>
              <w:t xml:space="preserve"> </w:t>
            </w:r>
            <w:r w:rsidRPr="00CF1D90">
              <w:rPr>
                <w:sz w:val="18"/>
              </w:rPr>
              <w:t>360</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214</w:t>
            </w:r>
            <w:r w:rsidR="00BB74DD">
              <w:rPr>
                <w:sz w:val="18"/>
              </w:rPr>
              <w:t xml:space="preserve"> </w:t>
            </w:r>
            <w:r w:rsidRPr="00CF1D90">
              <w:rPr>
                <w:sz w:val="18"/>
              </w:rPr>
              <w:t>733</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211</w:t>
            </w:r>
            <w:r w:rsidR="00BB74DD">
              <w:rPr>
                <w:sz w:val="18"/>
              </w:rPr>
              <w:t xml:space="preserve"> </w:t>
            </w:r>
            <w:r w:rsidRPr="00CF1D90">
              <w:rPr>
                <w:sz w:val="18"/>
              </w:rPr>
              <w:t>288</w:t>
            </w:r>
          </w:p>
        </w:tc>
      </w:tr>
      <w:tr w:rsidR="00F233AB" w:rsidRPr="00CF1D90" w:rsidTr="00CF1D90">
        <w:tc>
          <w:tcPr>
            <w:tcW w:w="1148" w:type="dxa"/>
            <w:shd w:val="clear" w:color="auto" w:fill="auto"/>
            <w:noWrap/>
            <w:hideMark/>
          </w:tcPr>
          <w:p w:rsidR="00F233AB" w:rsidRPr="00CF1D90" w:rsidRDefault="00F233AB" w:rsidP="00CF1D90">
            <w:pPr>
              <w:suppressAutoHyphens w:val="0"/>
              <w:spacing w:before="40" w:after="40" w:line="220" w:lineRule="exact"/>
              <w:ind w:right="113"/>
              <w:rPr>
                <w:sz w:val="18"/>
              </w:rPr>
            </w:pPr>
            <w:r w:rsidRPr="00CF1D90">
              <w:rPr>
                <w:sz w:val="18"/>
              </w:rPr>
              <w:t>80</w:t>
            </w:r>
            <w:r w:rsidR="00A6566E">
              <w:rPr>
                <w:sz w:val="18"/>
              </w:rPr>
              <w:t>–</w:t>
            </w:r>
            <w:r w:rsidRPr="00CF1D90">
              <w:rPr>
                <w:sz w:val="18"/>
              </w:rPr>
              <w:t>84</w:t>
            </w:r>
          </w:p>
        </w:tc>
        <w:tc>
          <w:tcPr>
            <w:tcW w:w="1016"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144</w:t>
            </w:r>
            <w:r w:rsidR="00BB74DD">
              <w:rPr>
                <w:sz w:val="18"/>
              </w:rPr>
              <w:t xml:space="preserve"> </w:t>
            </w:r>
            <w:r w:rsidRPr="00CF1D90">
              <w:rPr>
                <w:sz w:val="18"/>
              </w:rPr>
              <w:t>919</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149</w:t>
            </w:r>
            <w:r w:rsidR="00BB74DD">
              <w:rPr>
                <w:sz w:val="18"/>
              </w:rPr>
              <w:t xml:space="preserve"> </w:t>
            </w:r>
            <w:r w:rsidRPr="00CF1D90">
              <w:rPr>
                <w:sz w:val="18"/>
              </w:rPr>
              <w:t>547</w:t>
            </w:r>
          </w:p>
        </w:tc>
        <w:tc>
          <w:tcPr>
            <w:tcW w:w="1148"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153</w:t>
            </w:r>
            <w:r w:rsidR="00BB74DD">
              <w:rPr>
                <w:sz w:val="18"/>
              </w:rPr>
              <w:t xml:space="preserve"> </w:t>
            </w:r>
            <w:r w:rsidRPr="00CF1D90">
              <w:rPr>
                <w:sz w:val="18"/>
              </w:rPr>
              <w:t>867</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157</w:t>
            </w:r>
            <w:r w:rsidR="00BB74DD">
              <w:rPr>
                <w:sz w:val="18"/>
              </w:rPr>
              <w:t xml:space="preserve"> </w:t>
            </w:r>
            <w:r w:rsidRPr="00CF1D90">
              <w:rPr>
                <w:sz w:val="18"/>
              </w:rPr>
              <w:t>336</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159</w:t>
            </w:r>
            <w:r w:rsidR="00BB74DD">
              <w:rPr>
                <w:sz w:val="18"/>
              </w:rPr>
              <w:t xml:space="preserve"> </w:t>
            </w:r>
            <w:r w:rsidRPr="00CF1D90">
              <w:rPr>
                <w:sz w:val="18"/>
              </w:rPr>
              <w:t>496</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160</w:t>
            </w:r>
            <w:r w:rsidR="00BB74DD">
              <w:rPr>
                <w:sz w:val="18"/>
              </w:rPr>
              <w:t xml:space="preserve"> </w:t>
            </w:r>
            <w:r w:rsidRPr="00CF1D90">
              <w:rPr>
                <w:sz w:val="18"/>
              </w:rPr>
              <w:t>222</w:t>
            </w:r>
          </w:p>
        </w:tc>
      </w:tr>
      <w:tr w:rsidR="00F233AB" w:rsidRPr="00CF1D90" w:rsidTr="00CF1D90">
        <w:tc>
          <w:tcPr>
            <w:tcW w:w="1148" w:type="dxa"/>
            <w:shd w:val="clear" w:color="auto" w:fill="auto"/>
            <w:noWrap/>
            <w:hideMark/>
          </w:tcPr>
          <w:p w:rsidR="00F233AB" w:rsidRPr="00CF1D90" w:rsidRDefault="00F233AB" w:rsidP="00CF1D90">
            <w:pPr>
              <w:suppressAutoHyphens w:val="0"/>
              <w:spacing w:before="40" w:after="40" w:line="220" w:lineRule="exact"/>
              <w:ind w:right="113"/>
              <w:rPr>
                <w:sz w:val="18"/>
              </w:rPr>
            </w:pPr>
            <w:r w:rsidRPr="00CF1D90">
              <w:rPr>
                <w:sz w:val="18"/>
              </w:rPr>
              <w:t>85+</w:t>
            </w:r>
          </w:p>
        </w:tc>
        <w:tc>
          <w:tcPr>
            <w:tcW w:w="1016"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85</w:t>
            </w:r>
            <w:r w:rsidR="00BB74DD">
              <w:rPr>
                <w:sz w:val="18"/>
              </w:rPr>
              <w:t xml:space="preserve"> </w:t>
            </w:r>
            <w:r w:rsidRPr="00CF1D90">
              <w:rPr>
                <w:sz w:val="18"/>
              </w:rPr>
              <w:t>568</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93</w:t>
            </w:r>
            <w:r w:rsidR="00BB74DD">
              <w:rPr>
                <w:sz w:val="18"/>
              </w:rPr>
              <w:t xml:space="preserve"> </w:t>
            </w:r>
            <w:r w:rsidRPr="00CF1D90">
              <w:rPr>
                <w:sz w:val="18"/>
              </w:rPr>
              <w:t>899</w:t>
            </w:r>
          </w:p>
        </w:tc>
        <w:tc>
          <w:tcPr>
            <w:tcW w:w="1148"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100</w:t>
            </w:r>
            <w:r w:rsidR="00BB74DD">
              <w:rPr>
                <w:sz w:val="18"/>
              </w:rPr>
              <w:t xml:space="preserve"> </w:t>
            </w:r>
            <w:r w:rsidRPr="00CF1D90">
              <w:rPr>
                <w:sz w:val="18"/>
              </w:rPr>
              <w:t>370</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109</w:t>
            </w:r>
            <w:r w:rsidR="00BB74DD">
              <w:rPr>
                <w:sz w:val="18"/>
              </w:rPr>
              <w:t xml:space="preserve"> </w:t>
            </w:r>
            <w:r w:rsidRPr="00CF1D90">
              <w:rPr>
                <w:sz w:val="18"/>
              </w:rPr>
              <w:t>060</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118</w:t>
            </w:r>
            <w:r w:rsidR="00BB74DD">
              <w:rPr>
                <w:sz w:val="18"/>
              </w:rPr>
              <w:t xml:space="preserve"> </w:t>
            </w:r>
            <w:r w:rsidRPr="00CF1D90">
              <w:rPr>
                <w:sz w:val="18"/>
              </w:rPr>
              <w:t>409</w:t>
            </w:r>
          </w:p>
        </w:tc>
        <w:tc>
          <w:tcPr>
            <w:tcW w:w="1015" w:type="dxa"/>
            <w:shd w:val="clear" w:color="auto" w:fill="auto"/>
            <w:noWrap/>
            <w:vAlign w:val="bottom"/>
            <w:hideMark/>
          </w:tcPr>
          <w:p w:rsidR="00F233AB" w:rsidRPr="00CF1D90" w:rsidRDefault="00F233AB" w:rsidP="00CF1D90">
            <w:pPr>
              <w:suppressAutoHyphens w:val="0"/>
              <w:spacing w:before="40" w:after="40" w:line="220" w:lineRule="exact"/>
              <w:ind w:right="113"/>
              <w:jc w:val="right"/>
              <w:rPr>
                <w:sz w:val="18"/>
              </w:rPr>
            </w:pPr>
            <w:r w:rsidRPr="00CF1D90">
              <w:rPr>
                <w:sz w:val="18"/>
              </w:rPr>
              <w:t>126</w:t>
            </w:r>
            <w:r w:rsidR="00BB74DD">
              <w:rPr>
                <w:sz w:val="18"/>
              </w:rPr>
              <w:t xml:space="preserve"> </w:t>
            </w:r>
            <w:r w:rsidRPr="00CF1D90">
              <w:rPr>
                <w:sz w:val="18"/>
              </w:rPr>
              <w:t>969</w:t>
            </w:r>
          </w:p>
        </w:tc>
      </w:tr>
    </w:tbl>
    <w:p w:rsidR="00F233AB" w:rsidRPr="00B02247" w:rsidRDefault="00F233AB" w:rsidP="00F233AB"/>
    <w:tbl>
      <w:tblPr>
        <w:tblW w:w="7372"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48"/>
        <w:gridCol w:w="1016"/>
        <w:gridCol w:w="1015"/>
        <w:gridCol w:w="1148"/>
        <w:gridCol w:w="1015"/>
        <w:gridCol w:w="1015"/>
        <w:gridCol w:w="1015"/>
      </w:tblGrid>
      <w:tr w:rsidR="002B03B4" w:rsidRPr="00CA3263" w:rsidTr="0013794A">
        <w:trPr>
          <w:tblHeader/>
        </w:trPr>
        <w:tc>
          <w:tcPr>
            <w:tcW w:w="1148" w:type="dxa"/>
            <w:tcBorders>
              <w:top w:val="single" w:sz="4" w:space="0" w:color="auto"/>
              <w:bottom w:val="single" w:sz="4" w:space="0" w:color="auto"/>
            </w:tcBorders>
            <w:shd w:val="clear" w:color="auto" w:fill="auto"/>
            <w:noWrap/>
            <w:vAlign w:val="bottom"/>
            <w:hideMark/>
          </w:tcPr>
          <w:p w:rsidR="002B03B4" w:rsidRPr="00CA3263" w:rsidRDefault="002B03B4" w:rsidP="00CA3263">
            <w:pPr>
              <w:suppressAutoHyphens w:val="0"/>
              <w:spacing w:before="80" w:after="80" w:line="200" w:lineRule="exact"/>
              <w:ind w:right="113"/>
              <w:rPr>
                <w:i/>
                <w:sz w:val="16"/>
              </w:rPr>
            </w:pPr>
          </w:p>
        </w:tc>
        <w:tc>
          <w:tcPr>
            <w:tcW w:w="6224" w:type="dxa"/>
            <w:gridSpan w:val="6"/>
            <w:tcBorders>
              <w:top w:val="single" w:sz="4" w:space="0" w:color="auto"/>
              <w:bottom w:val="single" w:sz="4" w:space="0" w:color="auto"/>
            </w:tcBorders>
            <w:shd w:val="clear" w:color="auto" w:fill="auto"/>
            <w:noWrap/>
            <w:vAlign w:val="bottom"/>
            <w:hideMark/>
          </w:tcPr>
          <w:p w:rsidR="002B03B4" w:rsidRPr="00CA3263" w:rsidRDefault="002B03B4" w:rsidP="002B03B4">
            <w:pPr>
              <w:suppressAutoHyphens w:val="0"/>
              <w:spacing w:before="80" w:after="80" w:line="200" w:lineRule="exact"/>
              <w:ind w:right="113"/>
              <w:jc w:val="center"/>
              <w:rPr>
                <w:i/>
                <w:sz w:val="16"/>
              </w:rPr>
            </w:pPr>
            <w:r w:rsidRPr="00CA3263">
              <w:rPr>
                <w:i/>
                <w:sz w:val="16"/>
              </w:rPr>
              <w:t>F</w:t>
            </w:r>
            <w:r w:rsidR="00CA0006" w:rsidRPr="00CA3263">
              <w:rPr>
                <w:i/>
                <w:sz w:val="16"/>
              </w:rPr>
              <w:t>emales</w:t>
            </w:r>
          </w:p>
        </w:tc>
      </w:tr>
      <w:tr w:rsidR="00F233AB" w:rsidRPr="00CA3263" w:rsidTr="0019249F">
        <w:tc>
          <w:tcPr>
            <w:tcW w:w="1148" w:type="dxa"/>
            <w:tcBorders>
              <w:top w:val="single" w:sz="4" w:space="0" w:color="auto"/>
              <w:bottom w:val="single" w:sz="12" w:space="0" w:color="auto"/>
            </w:tcBorders>
            <w:shd w:val="clear" w:color="auto" w:fill="auto"/>
            <w:noWrap/>
            <w:hideMark/>
          </w:tcPr>
          <w:p w:rsidR="00F233AB" w:rsidRPr="00525ECB" w:rsidRDefault="00F233AB" w:rsidP="00525ECB">
            <w:pPr>
              <w:suppressAutoHyphens w:val="0"/>
              <w:spacing w:before="80" w:after="80" w:line="200" w:lineRule="exact"/>
              <w:ind w:right="113"/>
              <w:jc w:val="right"/>
              <w:rPr>
                <w:i/>
                <w:sz w:val="16"/>
              </w:rPr>
            </w:pPr>
          </w:p>
        </w:tc>
        <w:tc>
          <w:tcPr>
            <w:tcW w:w="1016" w:type="dxa"/>
            <w:tcBorders>
              <w:top w:val="single" w:sz="4" w:space="0" w:color="auto"/>
              <w:bottom w:val="single" w:sz="12" w:space="0" w:color="auto"/>
            </w:tcBorders>
            <w:shd w:val="clear" w:color="auto" w:fill="auto"/>
            <w:noWrap/>
            <w:vAlign w:val="bottom"/>
            <w:hideMark/>
          </w:tcPr>
          <w:p w:rsidR="00F233AB" w:rsidRPr="00525ECB" w:rsidRDefault="00F233AB" w:rsidP="00525ECB">
            <w:pPr>
              <w:suppressAutoHyphens w:val="0"/>
              <w:spacing w:before="80" w:after="80" w:line="200" w:lineRule="exact"/>
              <w:ind w:right="113"/>
              <w:jc w:val="right"/>
              <w:rPr>
                <w:i/>
                <w:sz w:val="16"/>
              </w:rPr>
            </w:pPr>
            <w:r w:rsidRPr="00525ECB">
              <w:rPr>
                <w:i/>
                <w:sz w:val="16"/>
              </w:rPr>
              <w:t>2011</w:t>
            </w:r>
          </w:p>
        </w:tc>
        <w:tc>
          <w:tcPr>
            <w:tcW w:w="1015" w:type="dxa"/>
            <w:tcBorders>
              <w:top w:val="single" w:sz="4" w:space="0" w:color="auto"/>
              <w:bottom w:val="single" w:sz="12" w:space="0" w:color="auto"/>
            </w:tcBorders>
            <w:shd w:val="clear" w:color="auto" w:fill="auto"/>
            <w:noWrap/>
            <w:vAlign w:val="bottom"/>
            <w:hideMark/>
          </w:tcPr>
          <w:p w:rsidR="00F233AB" w:rsidRPr="00525ECB" w:rsidRDefault="00F233AB" w:rsidP="00525ECB">
            <w:pPr>
              <w:suppressAutoHyphens w:val="0"/>
              <w:spacing w:before="80" w:after="80" w:line="200" w:lineRule="exact"/>
              <w:ind w:right="113"/>
              <w:jc w:val="right"/>
              <w:rPr>
                <w:i/>
                <w:sz w:val="16"/>
              </w:rPr>
            </w:pPr>
            <w:r w:rsidRPr="00525ECB">
              <w:rPr>
                <w:i/>
                <w:sz w:val="16"/>
              </w:rPr>
              <w:t>2012</w:t>
            </w:r>
          </w:p>
        </w:tc>
        <w:tc>
          <w:tcPr>
            <w:tcW w:w="1148" w:type="dxa"/>
            <w:tcBorders>
              <w:top w:val="single" w:sz="4" w:space="0" w:color="auto"/>
              <w:bottom w:val="single" w:sz="12" w:space="0" w:color="auto"/>
            </w:tcBorders>
            <w:shd w:val="clear" w:color="auto" w:fill="auto"/>
            <w:noWrap/>
            <w:vAlign w:val="bottom"/>
            <w:hideMark/>
          </w:tcPr>
          <w:p w:rsidR="00F233AB" w:rsidRPr="00525ECB" w:rsidRDefault="00F233AB" w:rsidP="00525ECB">
            <w:pPr>
              <w:suppressAutoHyphens w:val="0"/>
              <w:spacing w:before="80" w:after="80" w:line="200" w:lineRule="exact"/>
              <w:ind w:right="113"/>
              <w:jc w:val="right"/>
              <w:rPr>
                <w:i/>
                <w:sz w:val="16"/>
              </w:rPr>
            </w:pPr>
            <w:r w:rsidRPr="00525ECB">
              <w:rPr>
                <w:i/>
                <w:sz w:val="16"/>
              </w:rPr>
              <w:t>2013</w:t>
            </w:r>
          </w:p>
        </w:tc>
        <w:tc>
          <w:tcPr>
            <w:tcW w:w="1015" w:type="dxa"/>
            <w:tcBorders>
              <w:top w:val="single" w:sz="4" w:space="0" w:color="auto"/>
              <w:bottom w:val="single" w:sz="12" w:space="0" w:color="auto"/>
            </w:tcBorders>
            <w:shd w:val="clear" w:color="auto" w:fill="auto"/>
            <w:noWrap/>
            <w:vAlign w:val="bottom"/>
            <w:hideMark/>
          </w:tcPr>
          <w:p w:rsidR="00F233AB" w:rsidRPr="00525ECB" w:rsidRDefault="00F233AB" w:rsidP="00525ECB">
            <w:pPr>
              <w:suppressAutoHyphens w:val="0"/>
              <w:spacing w:before="80" w:after="80" w:line="200" w:lineRule="exact"/>
              <w:ind w:right="113"/>
              <w:jc w:val="right"/>
              <w:rPr>
                <w:i/>
                <w:sz w:val="16"/>
              </w:rPr>
            </w:pPr>
            <w:r w:rsidRPr="00525ECB">
              <w:rPr>
                <w:i/>
                <w:sz w:val="16"/>
              </w:rPr>
              <w:t>2014</w:t>
            </w:r>
          </w:p>
        </w:tc>
        <w:tc>
          <w:tcPr>
            <w:tcW w:w="1015" w:type="dxa"/>
            <w:tcBorders>
              <w:top w:val="single" w:sz="4" w:space="0" w:color="auto"/>
              <w:bottom w:val="single" w:sz="12" w:space="0" w:color="auto"/>
            </w:tcBorders>
            <w:shd w:val="clear" w:color="auto" w:fill="auto"/>
            <w:noWrap/>
            <w:vAlign w:val="bottom"/>
            <w:hideMark/>
          </w:tcPr>
          <w:p w:rsidR="00F233AB" w:rsidRPr="00525ECB" w:rsidRDefault="00F233AB" w:rsidP="00525ECB">
            <w:pPr>
              <w:suppressAutoHyphens w:val="0"/>
              <w:spacing w:before="80" w:after="80" w:line="200" w:lineRule="exact"/>
              <w:ind w:right="113"/>
              <w:jc w:val="right"/>
              <w:rPr>
                <w:i/>
                <w:sz w:val="16"/>
              </w:rPr>
            </w:pPr>
            <w:r w:rsidRPr="00525ECB">
              <w:rPr>
                <w:i/>
                <w:sz w:val="16"/>
              </w:rPr>
              <w:t>2015</w:t>
            </w:r>
          </w:p>
        </w:tc>
        <w:tc>
          <w:tcPr>
            <w:tcW w:w="1015" w:type="dxa"/>
            <w:tcBorders>
              <w:top w:val="single" w:sz="4" w:space="0" w:color="auto"/>
              <w:bottom w:val="single" w:sz="12" w:space="0" w:color="auto"/>
            </w:tcBorders>
            <w:shd w:val="clear" w:color="auto" w:fill="auto"/>
            <w:noWrap/>
            <w:vAlign w:val="bottom"/>
            <w:hideMark/>
          </w:tcPr>
          <w:p w:rsidR="00F233AB" w:rsidRPr="00525ECB" w:rsidRDefault="00F233AB" w:rsidP="00525ECB">
            <w:pPr>
              <w:suppressAutoHyphens w:val="0"/>
              <w:spacing w:before="80" w:after="80" w:line="200" w:lineRule="exact"/>
              <w:ind w:right="113"/>
              <w:jc w:val="right"/>
              <w:rPr>
                <w:i/>
                <w:sz w:val="16"/>
              </w:rPr>
            </w:pPr>
            <w:r w:rsidRPr="00525ECB">
              <w:rPr>
                <w:i/>
                <w:sz w:val="16"/>
              </w:rPr>
              <w:t>2016</w:t>
            </w:r>
          </w:p>
        </w:tc>
      </w:tr>
      <w:tr w:rsidR="00F233AB" w:rsidRPr="0019249F" w:rsidTr="0019249F">
        <w:tc>
          <w:tcPr>
            <w:tcW w:w="1148" w:type="dxa"/>
            <w:tcBorders>
              <w:top w:val="single" w:sz="12" w:space="0" w:color="auto"/>
              <w:bottom w:val="single" w:sz="4" w:space="0" w:color="auto"/>
            </w:tcBorders>
            <w:shd w:val="clear" w:color="auto" w:fill="auto"/>
            <w:noWrap/>
            <w:hideMark/>
          </w:tcPr>
          <w:p w:rsidR="00F233AB" w:rsidRPr="0019249F" w:rsidRDefault="0019249F" w:rsidP="00CA3263">
            <w:pPr>
              <w:suppressAutoHyphens w:val="0"/>
              <w:spacing w:before="40" w:after="40" w:line="220" w:lineRule="exact"/>
              <w:ind w:right="113"/>
              <w:rPr>
                <w:b/>
                <w:bCs/>
                <w:sz w:val="18"/>
              </w:rPr>
            </w:pPr>
            <w:r w:rsidRPr="0019249F">
              <w:rPr>
                <w:b/>
                <w:bCs/>
                <w:sz w:val="18"/>
              </w:rPr>
              <w:t>T</w:t>
            </w:r>
            <w:r w:rsidR="00F233AB" w:rsidRPr="0019249F">
              <w:rPr>
                <w:b/>
                <w:bCs/>
                <w:sz w:val="18"/>
              </w:rPr>
              <w:t>otal</w:t>
            </w:r>
            <w:r w:rsidR="005B2A41" w:rsidRPr="0019249F">
              <w:rPr>
                <w:b/>
                <w:bCs/>
                <w:sz w:val="18"/>
              </w:rPr>
              <w:t xml:space="preserve"> </w:t>
            </w:r>
            <w:r w:rsidR="00F233AB" w:rsidRPr="0019249F">
              <w:rPr>
                <w:b/>
                <w:bCs/>
                <w:sz w:val="18"/>
              </w:rPr>
              <w:t>Greece</w:t>
            </w:r>
          </w:p>
        </w:tc>
        <w:tc>
          <w:tcPr>
            <w:tcW w:w="1016" w:type="dxa"/>
            <w:tcBorders>
              <w:top w:val="single" w:sz="12" w:space="0" w:color="auto"/>
              <w:bottom w:val="single" w:sz="4" w:space="0" w:color="auto"/>
            </w:tcBorders>
            <w:shd w:val="clear" w:color="auto" w:fill="auto"/>
            <w:noWrap/>
            <w:vAlign w:val="bottom"/>
            <w:hideMark/>
          </w:tcPr>
          <w:p w:rsidR="00F233AB" w:rsidRPr="0019249F" w:rsidRDefault="00F233AB" w:rsidP="00CA3263">
            <w:pPr>
              <w:suppressAutoHyphens w:val="0"/>
              <w:spacing w:before="40" w:after="40" w:line="220" w:lineRule="exact"/>
              <w:ind w:right="113"/>
              <w:jc w:val="right"/>
              <w:rPr>
                <w:b/>
                <w:bCs/>
                <w:sz w:val="18"/>
              </w:rPr>
            </w:pPr>
            <w:r w:rsidRPr="0019249F">
              <w:rPr>
                <w:b/>
                <w:bCs/>
                <w:sz w:val="18"/>
              </w:rPr>
              <w:t>5</w:t>
            </w:r>
            <w:r w:rsidR="00BB74DD">
              <w:rPr>
                <w:b/>
                <w:bCs/>
                <w:sz w:val="18"/>
              </w:rPr>
              <w:t xml:space="preserve"> </w:t>
            </w:r>
            <w:r w:rsidRPr="0019249F">
              <w:rPr>
                <w:b/>
                <w:bCs/>
                <w:sz w:val="18"/>
              </w:rPr>
              <w:t>669</w:t>
            </w:r>
            <w:r w:rsidR="00BB74DD">
              <w:rPr>
                <w:b/>
                <w:bCs/>
                <w:sz w:val="18"/>
              </w:rPr>
              <w:t xml:space="preserve"> </w:t>
            </w:r>
            <w:r w:rsidRPr="0019249F">
              <w:rPr>
                <w:b/>
                <w:bCs/>
                <w:sz w:val="18"/>
              </w:rPr>
              <w:t>948</w:t>
            </w:r>
          </w:p>
        </w:tc>
        <w:tc>
          <w:tcPr>
            <w:tcW w:w="1015" w:type="dxa"/>
            <w:tcBorders>
              <w:top w:val="single" w:sz="12" w:space="0" w:color="auto"/>
              <w:bottom w:val="single" w:sz="4" w:space="0" w:color="auto"/>
            </w:tcBorders>
            <w:shd w:val="clear" w:color="auto" w:fill="auto"/>
            <w:noWrap/>
            <w:vAlign w:val="bottom"/>
            <w:hideMark/>
          </w:tcPr>
          <w:p w:rsidR="00F233AB" w:rsidRPr="0019249F" w:rsidRDefault="00F233AB" w:rsidP="00CA3263">
            <w:pPr>
              <w:suppressAutoHyphens w:val="0"/>
              <w:spacing w:before="40" w:after="40" w:line="220" w:lineRule="exact"/>
              <w:ind w:right="113"/>
              <w:jc w:val="right"/>
              <w:rPr>
                <w:b/>
                <w:bCs/>
                <w:sz w:val="18"/>
              </w:rPr>
            </w:pPr>
            <w:r w:rsidRPr="0019249F">
              <w:rPr>
                <w:b/>
                <w:bCs/>
                <w:sz w:val="18"/>
              </w:rPr>
              <w:t>5</w:t>
            </w:r>
            <w:r w:rsidR="00BB74DD">
              <w:rPr>
                <w:b/>
                <w:bCs/>
                <w:sz w:val="18"/>
              </w:rPr>
              <w:t xml:space="preserve"> </w:t>
            </w:r>
            <w:r w:rsidRPr="0019249F">
              <w:rPr>
                <w:b/>
                <w:bCs/>
                <w:sz w:val="18"/>
              </w:rPr>
              <w:t>662</w:t>
            </w:r>
            <w:r w:rsidR="00BB74DD">
              <w:rPr>
                <w:b/>
                <w:bCs/>
                <w:sz w:val="18"/>
              </w:rPr>
              <w:t xml:space="preserve"> </w:t>
            </w:r>
            <w:r w:rsidRPr="0019249F">
              <w:rPr>
                <w:b/>
                <w:bCs/>
                <w:sz w:val="18"/>
              </w:rPr>
              <w:t>522</w:t>
            </w:r>
          </w:p>
        </w:tc>
        <w:tc>
          <w:tcPr>
            <w:tcW w:w="1148" w:type="dxa"/>
            <w:tcBorders>
              <w:top w:val="single" w:sz="12" w:space="0" w:color="auto"/>
              <w:bottom w:val="single" w:sz="4" w:space="0" w:color="auto"/>
            </w:tcBorders>
            <w:shd w:val="clear" w:color="auto" w:fill="auto"/>
            <w:noWrap/>
            <w:vAlign w:val="bottom"/>
            <w:hideMark/>
          </w:tcPr>
          <w:p w:rsidR="00F233AB" w:rsidRPr="0019249F" w:rsidRDefault="00F233AB" w:rsidP="00CA3263">
            <w:pPr>
              <w:suppressAutoHyphens w:val="0"/>
              <w:spacing w:before="40" w:after="40" w:line="220" w:lineRule="exact"/>
              <w:ind w:right="113"/>
              <w:jc w:val="right"/>
              <w:rPr>
                <w:b/>
                <w:bCs/>
                <w:sz w:val="18"/>
              </w:rPr>
            </w:pPr>
            <w:r w:rsidRPr="0019249F">
              <w:rPr>
                <w:b/>
                <w:bCs/>
                <w:sz w:val="18"/>
              </w:rPr>
              <w:t>5</w:t>
            </w:r>
            <w:r w:rsidR="00BB74DD">
              <w:rPr>
                <w:b/>
                <w:bCs/>
                <w:sz w:val="18"/>
              </w:rPr>
              <w:t xml:space="preserve"> </w:t>
            </w:r>
            <w:r w:rsidRPr="0019249F">
              <w:rPr>
                <w:b/>
                <w:bCs/>
                <w:sz w:val="18"/>
              </w:rPr>
              <w:t>637</w:t>
            </w:r>
            <w:r w:rsidR="00BB74DD">
              <w:rPr>
                <w:b/>
                <w:bCs/>
                <w:sz w:val="18"/>
              </w:rPr>
              <w:t xml:space="preserve"> </w:t>
            </w:r>
            <w:r w:rsidRPr="0019249F">
              <w:rPr>
                <w:b/>
                <w:bCs/>
                <w:sz w:val="18"/>
              </w:rPr>
              <w:t>364</w:t>
            </w:r>
          </w:p>
        </w:tc>
        <w:tc>
          <w:tcPr>
            <w:tcW w:w="1015" w:type="dxa"/>
            <w:tcBorders>
              <w:top w:val="single" w:sz="12" w:space="0" w:color="auto"/>
              <w:bottom w:val="single" w:sz="4" w:space="0" w:color="auto"/>
            </w:tcBorders>
            <w:shd w:val="clear" w:color="auto" w:fill="auto"/>
            <w:noWrap/>
            <w:vAlign w:val="bottom"/>
            <w:hideMark/>
          </w:tcPr>
          <w:p w:rsidR="00F233AB" w:rsidRPr="0019249F" w:rsidRDefault="00F233AB" w:rsidP="00CA3263">
            <w:pPr>
              <w:suppressAutoHyphens w:val="0"/>
              <w:spacing w:before="40" w:after="40" w:line="220" w:lineRule="exact"/>
              <w:ind w:right="113"/>
              <w:jc w:val="right"/>
              <w:rPr>
                <w:b/>
                <w:bCs/>
                <w:sz w:val="18"/>
              </w:rPr>
            </w:pPr>
            <w:r w:rsidRPr="0019249F">
              <w:rPr>
                <w:b/>
                <w:bCs/>
                <w:sz w:val="18"/>
              </w:rPr>
              <w:t>5</w:t>
            </w:r>
            <w:r w:rsidR="00BB74DD">
              <w:rPr>
                <w:b/>
                <w:bCs/>
                <w:sz w:val="18"/>
              </w:rPr>
              <w:t xml:space="preserve"> </w:t>
            </w:r>
            <w:r w:rsidRPr="0019249F">
              <w:rPr>
                <w:b/>
                <w:bCs/>
                <w:sz w:val="18"/>
              </w:rPr>
              <w:t>613</w:t>
            </w:r>
            <w:r w:rsidR="00BB74DD">
              <w:rPr>
                <w:b/>
                <w:bCs/>
                <w:sz w:val="18"/>
              </w:rPr>
              <w:t xml:space="preserve"> </w:t>
            </w:r>
            <w:r w:rsidRPr="0019249F">
              <w:rPr>
                <w:b/>
                <w:bCs/>
                <w:sz w:val="18"/>
              </w:rPr>
              <w:t>568</w:t>
            </w:r>
          </w:p>
        </w:tc>
        <w:tc>
          <w:tcPr>
            <w:tcW w:w="1015" w:type="dxa"/>
            <w:tcBorders>
              <w:top w:val="single" w:sz="12" w:space="0" w:color="auto"/>
              <w:bottom w:val="single" w:sz="4" w:space="0" w:color="auto"/>
            </w:tcBorders>
            <w:shd w:val="clear" w:color="auto" w:fill="auto"/>
            <w:noWrap/>
            <w:vAlign w:val="bottom"/>
            <w:hideMark/>
          </w:tcPr>
          <w:p w:rsidR="00F233AB" w:rsidRPr="0019249F" w:rsidRDefault="00F233AB" w:rsidP="00CA3263">
            <w:pPr>
              <w:suppressAutoHyphens w:val="0"/>
              <w:spacing w:before="40" w:after="40" w:line="220" w:lineRule="exact"/>
              <w:ind w:right="113"/>
              <w:jc w:val="right"/>
              <w:rPr>
                <w:b/>
                <w:bCs/>
                <w:sz w:val="18"/>
              </w:rPr>
            </w:pPr>
            <w:r w:rsidRPr="0019249F">
              <w:rPr>
                <w:b/>
                <w:bCs/>
                <w:sz w:val="18"/>
              </w:rPr>
              <w:t>5</w:t>
            </w:r>
            <w:r w:rsidR="00BB74DD">
              <w:rPr>
                <w:b/>
                <w:bCs/>
                <w:sz w:val="18"/>
              </w:rPr>
              <w:t xml:space="preserve"> </w:t>
            </w:r>
            <w:r w:rsidRPr="0019249F">
              <w:rPr>
                <w:b/>
                <w:bCs/>
                <w:sz w:val="18"/>
              </w:rPr>
              <w:t>589</w:t>
            </w:r>
            <w:r w:rsidR="00BB74DD">
              <w:rPr>
                <w:b/>
                <w:bCs/>
                <w:sz w:val="18"/>
              </w:rPr>
              <w:t xml:space="preserve"> </w:t>
            </w:r>
            <w:r w:rsidRPr="0019249F">
              <w:rPr>
                <w:b/>
                <w:bCs/>
                <w:sz w:val="18"/>
              </w:rPr>
              <w:t>628</w:t>
            </w:r>
          </w:p>
        </w:tc>
        <w:tc>
          <w:tcPr>
            <w:tcW w:w="1015" w:type="dxa"/>
            <w:tcBorders>
              <w:top w:val="single" w:sz="12" w:space="0" w:color="auto"/>
              <w:bottom w:val="single" w:sz="4" w:space="0" w:color="auto"/>
            </w:tcBorders>
            <w:shd w:val="clear" w:color="auto" w:fill="auto"/>
            <w:noWrap/>
            <w:vAlign w:val="bottom"/>
            <w:hideMark/>
          </w:tcPr>
          <w:p w:rsidR="00F233AB" w:rsidRPr="0019249F" w:rsidRDefault="00F233AB" w:rsidP="00CA3263">
            <w:pPr>
              <w:suppressAutoHyphens w:val="0"/>
              <w:spacing w:before="40" w:after="40" w:line="220" w:lineRule="exact"/>
              <w:ind w:right="113"/>
              <w:jc w:val="right"/>
              <w:rPr>
                <w:b/>
                <w:bCs/>
                <w:sz w:val="18"/>
              </w:rPr>
            </w:pPr>
            <w:r w:rsidRPr="0019249F">
              <w:rPr>
                <w:b/>
                <w:bCs/>
                <w:sz w:val="18"/>
              </w:rPr>
              <w:t>5</w:t>
            </w:r>
            <w:r w:rsidR="00BB74DD">
              <w:rPr>
                <w:b/>
                <w:bCs/>
                <w:sz w:val="18"/>
              </w:rPr>
              <w:t xml:space="preserve"> </w:t>
            </w:r>
            <w:r w:rsidRPr="0019249F">
              <w:rPr>
                <w:b/>
                <w:bCs/>
                <w:sz w:val="18"/>
              </w:rPr>
              <w:t>559</w:t>
            </w:r>
            <w:r w:rsidR="00BB74DD">
              <w:rPr>
                <w:b/>
                <w:bCs/>
                <w:sz w:val="18"/>
              </w:rPr>
              <w:t xml:space="preserve"> </w:t>
            </w:r>
            <w:r w:rsidRPr="0019249F">
              <w:rPr>
                <w:b/>
                <w:bCs/>
                <w:sz w:val="18"/>
              </w:rPr>
              <w:t>538</w:t>
            </w:r>
          </w:p>
        </w:tc>
      </w:tr>
      <w:tr w:rsidR="00F233AB" w:rsidRPr="00CA3263" w:rsidTr="0019249F">
        <w:tc>
          <w:tcPr>
            <w:tcW w:w="1148" w:type="dxa"/>
            <w:tcBorders>
              <w:top w:val="single" w:sz="4" w:space="0" w:color="auto"/>
            </w:tcBorders>
            <w:shd w:val="clear" w:color="auto" w:fill="auto"/>
            <w:noWrap/>
            <w:hideMark/>
          </w:tcPr>
          <w:p w:rsidR="00F233AB" w:rsidRPr="00CA3263" w:rsidRDefault="00F233AB" w:rsidP="00CA3263">
            <w:pPr>
              <w:suppressAutoHyphens w:val="0"/>
              <w:spacing w:before="40" w:after="40" w:line="220" w:lineRule="exact"/>
              <w:ind w:right="113"/>
              <w:rPr>
                <w:sz w:val="18"/>
              </w:rPr>
            </w:pPr>
            <w:r w:rsidRPr="00CA3263">
              <w:rPr>
                <w:sz w:val="18"/>
              </w:rPr>
              <w:t>0</w:t>
            </w:r>
            <w:r w:rsidR="00A6566E">
              <w:rPr>
                <w:sz w:val="18"/>
              </w:rPr>
              <w:t>–</w:t>
            </w:r>
            <w:r w:rsidRPr="00CA3263">
              <w:rPr>
                <w:sz w:val="18"/>
              </w:rPr>
              <w:t>4</w:t>
            </w:r>
          </w:p>
        </w:tc>
        <w:tc>
          <w:tcPr>
            <w:tcW w:w="1016" w:type="dxa"/>
            <w:tcBorders>
              <w:top w:val="single" w:sz="4" w:space="0" w:color="auto"/>
            </w:tcBorders>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272</w:t>
            </w:r>
            <w:r w:rsidR="00BB74DD">
              <w:rPr>
                <w:sz w:val="18"/>
              </w:rPr>
              <w:t xml:space="preserve"> </w:t>
            </w:r>
            <w:r w:rsidRPr="00CA3263">
              <w:rPr>
                <w:sz w:val="18"/>
              </w:rPr>
              <w:t>571</w:t>
            </w:r>
          </w:p>
        </w:tc>
        <w:tc>
          <w:tcPr>
            <w:tcW w:w="1015" w:type="dxa"/>
            <w:tcBorders>
              <w:top w:val="single" w:sz="4" w:space="0" w:color="auto"/>
            </w:tcBorders>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270</w:t>
            </w:r>
            <w:r w:rsidR="00BB74DD">
              <w:rPr>
                <w:sz w:val="18"/>
              </w:rPr>
              <w:t xml:space="preserve"> </w:t>
            </w:r>
            <w:r w:rsidRPr="00CA3263">
              <w:rPr>
                <w:sz w:val="18"/>
              </w:rPr>
              <w:t>102</w:t>
            </w:r>
          </w:p>
        </w:tc>
        <w:tc>
          <w:tcPr>
            <w:tcW w:w="1148" w:type="dxa"/>
            <w:tcBorders>
              <w:top w:val="single" w:sz="4" w:space="0" w:color="auto"/>
            </w:tcBorders>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265</w:t>
            </w:r>
            <w:r w:rsidR="00BB74DD">
              <w:rPr>
                <w:sz w:val="18"/>
              </w:rPr>
              <w:t xml:space="preserve"> </w:t>
            </w:r>
            <w:r w:rsidRPr="00CA3263">
              <w:rPr>
                <w:sz w:val="18"/>
              </w:rPr>
              <w:t>354</w:t>
            </w:r>
          </w:p>
        </w:tc>
        <w:tc>
          <w:tcPr>
            <w:tcW w:w="1015" w:type="dxa"/>
            <w:tcBorders>
              <w:top w:val="single" w:sz="4" w:space="0" w:color="auto"/>
            </w:tcBorders>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255</w:t>
            </w:r>
            <w:r w:rsidR="00BB74DD">
              <w:rPr>
                <w:sz w:val="18"/>
              </w:rPr>
              <w:t xml:space="preserve"> </w:t>
            </w:r>
            <w:r w:rsidRPr="00CA3263">
              <w:rPr>
                <w:sz w:val="18"/>
              </w:rPr>
              <w:t>299</w:t>
            </w:r>
          </w:p>
        </w:tc>
        <w:tc>
          <w:tcPr>
            <w:tcW w:w="1015" w:type="dxa"/>
            <w:tcBorders>
              <w:top w:val="single" w:sz="4" w:space="0" w:color="auto"/>
            </w:tcBorders>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242</w:t>
            </w:r>
            <w:r w:rsidR="00BB74DD">
              <w:rPr>
                <w:sz w:val="18"/>
              </w:rPr>
              <w:t xml:space="preserve"> </w:t>
            </w:r>
            <w:r w:rsidRPr="00CA3263">
              <w:rPr>
                <w:sz w:val="18"/>
              </w:rPr>
              <w:t>683</w:t>
            </w:r>
          </w:p>
        </w:tc>
        <w:tc>
          <w:tcPr>
            <w:tcW w:w="1015" w:type="dxa"/>
            <w:tcBorders>
              <w:top w:val="single" w:sz="4" w:space="0" w:color="auto"/>
            </w:tcBorders>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232</w:t>
            </w:r>
            <w:r w:rsidR="00BB74DD">
              <w:rPr>
                <w:sz w:val="18"/>
              </w:rPr>
              <w:t xml:space="preserve"> </w:t>
            </w:r>
            <w:r w:rsidRPr="00CA3263">
              <w:rPr>
                <w:sz w:val="18"/>
              </w:rPr>
              <w:t>845</w:t>
            </w:r>
          </w:p>
        </w:tc>
      </w:tr>
      <w:tr w:rsidR="00F233AB" w:rsidRPr="00CA3263" w:rsidTr="0019249F">
        <w:tc>
          <w:tcPr>
            <w:tcW w:w="1148" w:type="dxa"/>
            <w:shd w:val="clear" w:color="auto" w:fill="auto"/>
            <w:noWrap/>
            <w:hideMark/>
          </w:tcPr>
          <w:p w:rsidR="00F233AB" w:rsidRPr="00CA3263" w:rsidRDefault="00F233AB" w:rsidP="00CA3263">
            <w:pPr>
              <w:suppressAutoHyphens w:val="0"/>
              <w:spacing w:before="40" w:after="40" w:line="220" w:lineRule="exact"/>
              <w:ind w:right="113"/>
              <w:rPr>
                <w:sz w:val="18"/>
              </w:rPr>
            </w:pPr>
            <w:r w:rsidRPr="00CA3263">
              <w:rPr>
                <w:sz w:val="18"/>
              </w:rPr>
              <w:t>5</w:t>
            </w:r>
            <w:r w:rsidR="00A6566E">
              <w:rPr>
                <w:sz w:val="18"/>
              </w:rPr>
              <w:t>–</w:t>
            </w:r>
            <w:r w:rsidRPr="00CA3263">
              <w:rPr>
                <w:sz w:val="18"/>
              </w:rPr>
              <w:t>9</w:t>
            </w:r>
          </w:p>
        </w:tc>
        <w:tc>
          <w:tcPr>
            <w:tcW w:w="1016"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260</w:t>
            </w:r>
            <w:r w:rsidR="00BB74DD">
              <w:rPr>
                <w:sz w:val="18"/>
              </w:rPr>
              <w:t xml:space="preserve"> </w:t>
            </w:r>
            <w:r w:rsidRPr="00CA3263">
              <w:rPr>
                <w:sz w:val="18"/>
              </w:rPr>
              <w:t>086</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261</w:t>
            </w:r>
            <w:r w:rsidR="00BB74DD">
              <w:rPr>
                <w:sz w:val="18"/>
              </w:rPr>
              <w:t xml:space="preserve"> </w:t>
            </w:r>
            <w:r w:rsidRPr="00CA3263">
              <w:rPr>
                <w:sz w:val="18"/>
              </w:rPr>
              <w:t>460</w:t>
            </w:r>
          </w:p>
        </w:tc>
        <w:tc>
          <w:tcPr>
            <w:tcW w:w="1148"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261</w:t>
            </w:r>
            <w:r w:rsidR="00BB74DD">
              <w:rPr>
                <w:sz w:val="18"/>
              </w:rPr>
              <w:t xml:space="preserve"> </w:t>
            </w:r>
            <w:r w:rsidRPr="00CA3263">
              <w:rPr>
                <w:sz w:val="18"/>
              </w:rPr>
              <w:t>520</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264</w:t>
            </w:r>
            <w:r w:rsidR="00BB74DD">
              <w:rPr>
                <w:sz w:val="18"/>
              </w:rPr>
              <w:t xml:space="preserve"> </w:t>
            </w:r>
            <w:r w:rsidRPr="00CA3263">
              <w:rPr>
                <w:sz w:val="18"/>
              </w:rPr>
              <w:t>696</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268</w:t>
            </w:r>
            <w:r w:rsidR="00BB74DD">
              <w:rPr>
                <w:sz w:val="18"/>
              </w:rPr>
              <w:t xml:space="preserve"> </w:t>
            </w:r>
            <w:r w:rsidRPr="00CA3263">
              <w:rPr>
                <w:sz w:val="18"/>
              </w:rPr>
              <w:t>000</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268</w:t>
            </w:r>
            <w:r w:rsidR="00BB74DD">
              <w:rPr>
                <w:sz w:val="18"/>
              </w:rPr>
              <w:t xml:space="preserve"> </w:t>
            </w:r>
            <w:r w:rsidRPr="00CA3263">
              <w:rPr>
                <w:sz w:val="18"/>
              </w:rPr>
              <w:t>308</w:t>
            </w:r>
          </w:p>
        </w:tc>
      </w:tr>
      <w:tr w:rsidR="00F233AB" w:rsidRPr="00CA3263" w:rsidTr="0019249F">
        <w:tc>
          <w:tcPr>
            <w:tcW w:w="1148" w:type="dxa"/>
            <w:shd w:val="clear" w:color="auto" w:fill="auto"/>
            <w:noWrap/>
            <w:hideMark/>
          </w:tcPr>
          <w:p w:rsidR="00F233AB" w:rsidRPr="00CA3263" w:rsidRDefault="00F233AB" w:rsidP="00CA3263">
            <w:pPr>
              <w:suppressAutoHyphens w:val="0"/>
              <w:spacing w:before="40" w:after="40" w:line="220" w:lineRule="exact"/>
              <w:ind w:right="113"/>
              <w:rPr>
                <w:sz w:val="18"/>
              </w:rPr>
            </w:pPr>
            <w:r w:rsidRPr="00CA3263">
              <w:rPr>
                <w:sz w:val="18"/>
              </w:rPr>
              <w:t>10</w:t>
            </w:r>
            <w:r w:rsidR="00A6566E">
              <w:rPr>
                <w:sz w:val="18"/>
              </w:rPr>
              <w:t>–</w:t>
            </w:r>
            <w:r w:rsidRPr="00CA3263">
              <w:rPr>
                <w:sz w:val="18"/>
              </w:rPr>
              <w:t>14</w:t>
            </w:r>
          </w:p>
        </w:tc>
        <w:tc>
          <w:tcPr>
            <w:tcW w:w="1016"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263</w:t>
            </w:r>
            <w:r w:rsidR="00BB74DD">
              <w:rPr>
                <w:sz w:val="18"/>
              </w:rPr>
              <w:t xml:space="preserve"> </w:t>
            </w:r>
            <w:r w:rsidRPr="00CA3263">
              <w:rPr>
                <w:sz w:val="18"/>
              </w:rPr>
              <w:t>925</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263</w:t>
            </w:r>
            <w:r w:rsidR="00BB74DD">
              <w:rPr>
                <w:sz w:val="18"/>
              </w:rPr>
              <w:t xml:space="preserve"> </w:t>
            </w:r>
            <w:r w:rsidRPr="00CA3263">
              <w:rPr>
                <w:sz w:val="18"/>
              </w:rPr>
              <w:t>139</w:t>
            </w:r>
          </w:p>
        </w:tc>
        <w:tc>
          <w:tcPr>
            <w:tcW w:w="1148"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262</w:t>
            </w:r>
            <w:r w:rsidR="00BB74DD">
              <w:rPr>
                <w:sz w:val="18"/>
              </w:rPr>
              <w:t xml:space="preserve"> </w:t>
            </w:r>
            <w:r w:rsidRPr="00CA3263">
              <w:rPr>
                <w:sz w:val="18"/>
              </w:rPr>
              <w:t>093</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260</w:t>
            </w:r>
            <w:r w:rsidR="00BB74DD">
              <w:rPr>
                <w:sz w:val="18"/>
              </w:rPr>
              <w:t xml:space="preserve"> </w:t>
            </w:r>
            <w:r w:rsidRPr="00CA3263">
              <w:rPr>
                <w:sz w:val="18"/>
              </w:rPr>
              <w:t>840</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258</w:t>
            </w:r>
            <w:r w:rsidR="00BB74DD">
              <w:rPr>
                <w:sz w:val="18"/>
              </w:rPr>
              <w:t xml:space="preserve"> </w:t>
            </w:r>
            <w:r w:rsidRPr="00CA3263">
              <w:rPr>
                <w:sz w:val="18"/>
              </w:rPr>
              <w:t>709</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257</w:t>
            </w:r>
            <w:r w:rsidR="00BB74DD">
              <w:rPr>
                <w:sz w:val="18"/>
              </w:rPr>
              <w:t xml:space="preserve"> </w:t>
            </w:r>
            <w:r w:rsidRPr="00CA3263">
              <w:rPr>
                <w:sz w:val="18"/>
              </w:rPr>
              <w:t>255</w:t>
            </w:r>
          </w:p>
        </w:tc>
      </w:tr>
      <w:tr w:rsidR="00F233AB" w:rsidRPr="00CA3263" w:rsidTr="0019249F">
        <w:tc>
          <w:tcPr>
            <w:tcW w:w="1148" w:type="dxa"/>
            <w:shd w:val="clear" w:color="auto" w:fill="auto"/>
            <w:noWrap/>
            <w:hideMark/>
          </w:tcPr>
          <w:p w:rsidR="00F233AB" w:rsidRPr="00CA3263" w:rsidRDefault="00F233AB" w:rsidP="00CA3263">
            <w:pPr>
              <w:suppressAutoHyphens w:val="0"/>
              <w:spacing w:before="40" w:after="40" w:line="220" w:lineRule="exact"/>
              <w:ind w:right="113"/>
              <w:rPr>
                <w:sz w:val="18"/>
              </w:rPr>
            </w:pPr>
            <w:r w:rsidRPr="00CA3263">
              <w:rPr>
                <w:sz w:val="18"/>
              </w:rPr>
              <w:t>15</w:t>
            </w:r>
            <w:r w:rsidR="00A6566E">
              <w:rPr>
                <w:sz w:val="18"/>
              </w:rPr>
              <w:t>–</w:t>
            </w:r>
            <w:r w:rsidRPr="00CA3263">
              <w:rPr>
                <w:sz w:val="18"/>
              </w:rPr>
              <w:t>19</w:t>
            </w:r>
          </w:p>
        </w:tc>
        <w:tc>
          <w:tcPr>
            <w:tcW w:w="1016"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279</w:t>
            </w:r>
            <w:r w:rsidR="00BB74DD">
              <w:rPr>
                <w:sz w:val="18"/>
              </w:rPr>
              <w:t xml:space="preserve"> </w:t>
            </w:r>
            <w:r w:rsidRPr="00CA3263">
              <w:rPr>
                <w:sz w:val="18"/>
              </w:rPr>
              <w:t>328</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273</w:t>
            </w:r>
            <w:r w:rsidR="00BB74DD">
              <w:rPr>
                <w:sz w:val="18"/>
              </w:rPr>
              <w:t xml:space="preserve"> </w:t>
            </w:r>
            <w:r w:rsidRPr="00CA3263">
              <w:rPr>
                <w:sz w:val="18"/>
              </w:rPr>
              <w:t>278</w:t>
            </w:r>
          </w:p>
        </w:tc>
        <w:tc>
          <w:tcPr>
            <w:tcW w:w="1148"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268</w:t>
            </w:r>
            <w:r w:rsidR="00BB74DD">
              <w:rPr>
                <w:sz w:val="18"/>
              </w:rPr>
              <w:t xml:space="preserve"> </w:t>
            </w:r>
            <w:r w:rsidRPr="00CA3263">
              <w:rPr>
                <w:sz w:val="18"/>
              </w:rPr>
              <w:t>380</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267</w:t>
            </w:r>
            <w:r w:rsidR="00BB74DD">
              <w:rPr>
                <w:sz w:val="18"/>
              </w:rPr>
              <w:t xml:space="preserve"> </w:t>
            </w:r>
            <w:r w:rsidRPr="00CA3263">
              <w:rPr>
                <w:sz w:val="18"/>
              </w:rPr>
              <w:t>031</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263</w:t>
            </w:r>
            <w:r w:rsidR="00BB74DD">
              <w:rPr>
                <w:sz w:val="18"/>
              </w:rPr>
              <w:t xml:space="preserve"> </w:t>
            </w:r>
            <w:r w:rsidRPr="00CA3263">
              <w:rPr>
                <w:sz w:val="18"/>
              </w:rPr>
              <w:t>919</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262</w:t>
            </w:r>
            <w:r w:rsidR="00BB74DD">
              <w:rPr>
                <w:sz w:val="18"/>
              </w:rPr>
              <w:t xml:space="preserve"> </w:t>
            </w:r>
            <w:r w:rsidRPr="00CA3263">
              <w:rPr>
                <w:sz w:val="18"/>
              </w:rPr>
              <w:t>253</w:t>
            </w:r>
          </w:p>
        </w:tc>
      </w:tr>
      <w:tr w:rsidR="00F233AB" w:rsidRPr="00CA3263" w:rsidTr="0019249F">
        <w:tc>
          <w:tcPr>
            <w:tcW w:w="1148" w:type="dxa"/>
            <w:shd w:val="clear" w:color="auto" w:fill="auto"/>
            <w:noWrap/>
            <w:hideMark/>
          </w:tcPr>
          <w:p w:rsidR="00F233AB" w:rsidRPr="00CA3263" w:rsidRDefault="00F233AB" w:rsidP="00CA3263">
            <w:pPr>
              <w:suppressAutoHyphens w:val="0"/>
              <w:spacing w:before="40" w:after="40" w:line="220" w:lineRule="exact"/>
              <w:ind w:right="113"/>
              <w:rPr>
                <w:sz w:val="18"/>
              </w:rPr>
            </w:pPr>
            <w:r w:rsidRPr="00CA3263">
              <w:rPr>
                <w:sz w:val="18"/>
              </w:rPr>
              <w:t>20</w:t>
            </w:r>
            <w:r w:rsidR="00A6566E">
              <w:rPr>
                <w:sz w:val="18"/>
              </w:rPr>
              <w:t>–</w:t>
            </w:r>
            <w:r w:rsidRPr="00CA3263">
              <w:rPr>
                <w:sz w:val="18"/>
              </w:rPr>
              <w:t>24</w:t>
            </w:r>
          </w:p>
        </w:tc>
        <w:tc>
          <w:tcPr>
            <w:tcW w:w="1016"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313</w:t>
            </w:r>
            <w:r w:rsidR="00BB74DD">
              <w:rPr>
                <w:sz w:val="18"/>
              </w:rPr>
              <w:t xml:space="preserve"> </w:t>
            </w:r>
            <w:r w:rsidRPr="00CA3263">
              <w:rPr>
                <w:sz w:val="18"/>
              </w:rPr>
              <w:t>750</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307</w:t>
            </w:r>
            <w:r w:rsidR="00BB74DD">
              <w:rPr>
                <w:sz w:val="18"/>
              </w:rPr>
              <w:t xml:space="preserve"> </w:t>
            </w:r>
            <w:r w:rsidRPr="00CA3263">
              <w:rPr>
                <w:sz w:val="18"/>
              </w:rPr>
              <w:t>573</w:t>
            </w:r>
          </w:p>
        </w:tc>
        <w:tc>
          <w:tcPr>
            <w:tcW w:w="1148"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302</w:t>
            </w:r>
            <w:r w:rsidR="00BB74DD">
              <w:rPr>
                <w:sz w:val="18"/>
              </w:rPr>
              <w:t xml:space="preserve"> </w:t>
            </w:r>
            <w:r w:rsidRPr="00CA3263">
              <w:rPr>
                <w:sz w:val="18"/>
              </w:rPr>
              <w:t>011</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291</w:t>
            </w:r>
            <w:r w:rsidR="00BB74DD">
              <w:rPr>
                <w:sz w:val="18"/>
              </w:rPr>
              <w:t xml:space="preserve"> </w:t>
            </w:r>
            <w:r w:rsidRPr="00CA3263">
              <w:rPr>
                <w:sz w:val="18"/>
              </w:rPr>
              <w:t>019</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282</w:t>
            </w:r>
            <w:r w:rsidR="00BB74DD">
              <w:rPr>
                <w:sz w:val="18"/>
              </w:rPr>
              <w:t xml:space="preserve"> </w:t>
            </w:r>
            <w:r w:rsidRPr="00CA3263">
              <w:rPr>
                <w:sz w:val="18"/>
              </w:rPr>
              <w:t>664</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274</w:t>
            </w:r>
            <w:r w:rsidR="00BB74DD">
              <w:rPr>
                <w:sz w:val="18"/>
              </w:rPr>
              <w:t xml:space="preserve"> </w:t>
            </w:r>
            <w:r w:rsidRPr="00CA3263">
              <w:rPr>
                <w:sz w:val="18"/>
              </w:rPr>
              <w:t>232</w:t>
            </w:r>
          </w:p>
        </w:tc>
      </w:tr>
      <w:tr w:rsidR="00F233AB" w:rsidRPr="00CA3263" w:rsidTr="0019249F">
        <w:tc>
          <w:tcPr>
            <w:tcW w:w="1148" w:type="dxa"/>
            <w:shd w:val="clear" w:color="auto" w:fill="auto"/>
            <w:noWrap/>
            <w:hideMark/>
          </w:tcPr>
          <w:p w:rsidR="00F233AB" w:rsidRPr="00CA3263" w:rsidRDefault="00F233AB" w:rsidP="00CA3263">
            <w:pPr>
              <w:suppressAutoHyphens w:val="0"/>
              <w:spacing w:before="40" w:after="40" w:line="220" w:lineRule="exact"/>
              <w:ind w:right="113"/>
              <w:rPr>
                <w:sz w:val="18"/>
              </w:rPr>
            </w:pPr>
            <w:r w:rsidRPr="00CA3263">
              <w:rPr>
                <w:sz w:val="18"/>
              </w:rPr>
              <w:t>25</w:t>
            </w:r>
            <w:r w:rsidR="00A6566E">
              <w:rPr>
                <w:sz w:val="18"/>
              </w:rPr>
              <w:t>–</w:t>
            </w:r>
            <w:r w:rsidRPr="00CA3263">
              <w:rPr>
                <w:sz w:val="18"/>
              </w:rPr>
              <w:t>29</w:t>
            </w:r>
          </w:p>
        </w:tc>
        <w:tc>
          <w:tcPr>
            <w:tcW w:w="1016"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367</w:t>
            </w:r>
            <w:r w:rsidR="00BB74DD">
              <w:rPr>
                <w:sz w:val="18"/>
              </w:rPr>
              <w:t xml:space="preserve"> </w:t>
            </w:r>
            <w:r w:rsidRPr="00CA3263">
              <w:rPr>
                <w:sz w:val="18"/>
              </w:rPr>
              <w:t>501</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348</w:t>
            </w:r>
            <w:r w:rsidR="00BB74DD">
              <w:rPr>
                <w:sz w:val="18"/>
              </w:rPr>
              <w:t xml:space="preserve"> </w:t>
            </w:r>
            <w:r w:rsidRPr="00CA3263">
              <w:rPr>
                <w:sz w:val="18"/>
              </w:rPr>
              <w:t>927</w:t>
            </w:r>
          </w:p>
        </w:tc>
        <w:tc>
          <w:tcPr>
            <w:tcW w:w="1148"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327</w:t>
            </w:r>
            <w:r w:rsidR="00BB74DD">
              <w:rPr>
                <w:sz w:val="18"/>
              </w:rPr>
              <w:t xml:space="preserve"> </w:t>
            </w:r>
            <w:r w:rsidRPr="00CA3263">
              <w:rPr>
                <w:sz w:val="18"/>
              </w:rPr>
              <w:t>808</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313</w:t>
            </w:r>
            <w:r w:rsidR="00BB74DD">
              <w:rPr>
                <w:sz w:val="18"/>
              </w:rPr>
              <w:t xml:space="preserve"> </w:t>
            </w:r>
            <w:r w:rsidRPr="00CA3263">
              <w:rPr>
                <w:sz w:val="18"/>
              </w:rPr>
              <w:t>894</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304</w:t>
            </w:r>
            <w:r w:rsidR="00BB74DD">
              <w:rPr>
                <w:sz w:val="18"/>
              </w:rPr>
              <w:t xml:space="preserve"> </w:t>
            </w:r>
            <w:r w:rsidRPr="00CA3263">
              <w:rPr>
                <w:sz w:val="18"/>
              </w:rPr>
              <w:t>486</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297</w:t>
            </w:r>
            <w:r w:rsidR="00BB74DD">
              <w:rPr>
                <w:sz w:val="18"/>
              </w:rPr>
              <w:t xml:space="preserve"> </w:t>
            </w:r>
            <w:r w:rsidRPr="00CA3263">
              <w:rPr>
                <w:sz w:val="18"/>
              </w:rPr>
              <w:t>884</w:t>
            </w:r>
          </w:p>
        </w:tc>
      </w:tr>
      <w:tr w:rsidR="00F233AB" w:rsidRPr="00CA3263" w:rsidTr="0019249F">
        <w:tc>
          <w:tcPr>
            <w:tcW w:w="1148" w:type="dxa"/>
            <w:shd w:val="clear" w:color="auto" w:fill="auto"/>
            <w:noWrap/>
            <w:hideMark/>
          </w:tcPr>
          <w:p w:rsidR="00F233AB" w:rsidRPr="00CA3263" w:rsidRDefault="00F233AB" w:rsidP="00CA3263">
            <w:pPr>
              <w:suppressAutoHyphens w:val="0"/>
              <w:spacing w:before="40" w:after="40" w:line="220" w:lineRule="exact"/>
              <w:ind w:right="113"/>
              <w:rPr>
                <w:sz w:val="18"/>
              </w:rPr>
            </w:pPr>
            <w:r w:rsidRPr="00CA3263">
              <w:rPr>
                <w:sz w:val="18"/>
              </w:rPr>
              <w:t>30</w:t>
            </w:r>
            <w:r w:rsidR="00A6566E">
              <w:rPr>
                <w:sz w:val="18"/>
              </w:rPr>
              <w:t>–</w:t>
            </w:r>
            <w:r w:rsidRPr="00CA3263">
              <w:rPr>
                <w:sz w:val="18"/>
              </w:rPr>
              <w:t>34</w:t>
            </w:r>
          </w:p>
        </w:tc>
        <w:tc>
          <w:tcPr>
            <w:tcW w:w="1016"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414</w:t>
            </w:r>
            <w:r w:rsidR="00BB74DD">
              <w:rPr>
                <w:sz w:val="18"/>
              </w:rPr>
              <w:t xml:space="preserve"> </w:t>
            </w:r>
            <w:r w:rsidRPr="00CA3263">
              <w:rPr>
                <w:sz w:val="18"/>
              </w:rPr>
              <w:t>295</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409</w:t>
            </w:r>
            <w:r w:rsidR="00BB74DD">
              <w:rPr>
                <w:sz w:val="18"/>
              </w:rPr>
              <w:t xml:space="preserve"> </w:t>
            </w:r>
            <w:r w:rsidRPr="00CA3263">
              <w:rPr>
                <w:sz w:val="18"/>
              </w:rPr>
              <w:t>352</w:t>
            </w:r>
          </w:p>
        </w:tc>
        <w:tc>
          <w:tcPr>
            <w:tcW w:w="1148"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401</w:t>
            </w:r>
            <w:r w:rsidR="00BB74DD">
              <w:rPr>
                <w:sz w:val="18"/>
              </w:rPr>
              <w:t xml:space="preserve"> </w:t>
            </w:r>
            <w:r w:rsidRPr="00CA3263">
              <w:rPr>
                <w:sz w:val="18"/>
              </w:rPr>
              <w:t>684</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389</w:t>
            </w:r>
            <w:r w:rsidR="00BB74DD">
              <w:rPr>
                <w:sz w:val="18"/>
              </w:rPr>
              <w:t xml:space="preserve"> </w:t>
            </w:r>
            <w:r w:rsidRPr="00CA3263">
              <w:rPr>
                <w:sz w:val="18"/>
              </w:rPr>
              <w:t>033</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372</w:t>
            </w:r>
            <w:r w:rsidR="00BB74DD">
              <w:rPr>
                <w:sz w:val="18"/>
              </w:rPr>
              <w:t xml:space="preserve"> </w:t>
            </w:r>
            <w:r w:rsidRPr="00CA3263">
              <w:rPr>
                <w:sz w:val="18"/>
              </w:rPr>
              <w:t>106</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351</w:t>
            </w:r>
            <w:r w:rsidR="00BB74DD">
              <w:rPr>
                <w:sz w:val="18"/>
              </w:rPr>
              <w:t xml:space="preserve"> </w:t>
            </w:r>
            <w:r w:rsidRPr="00CA3263">
              <w:rPr>
                <w:sz w:val="18"/>
              </w:rPr>
              <w:t>318</w:t>
            </w:r>
          </w:p>
        </w:tc>
      </w:tr>
      <w:tr w:rsidR="00F233AB" w:rsidRPr="00CA3263" w:rsidTr="0019249F">
        <w:tc>
          <w:tcPr>
            <w:tcW w:w="1148" w:type="dxa"/>
            <w:shd w:val="clear" w:color="auto" w:fill="auto"/>
            <w:noWrap/>
            <w:hideMark/>
          </w:tcPr>
          <w:p w:rsidR="00F233AB" w:rsidRPr="00CA3263" w:rsidRDefault="00F233AB" w:rsidP="00CA3263">
            <w:pPr>
              <w:suppressAutoHyphens w:val="0"/>
              <w:spacing w:before="40" w:after="40" w:line="220" w:lineRule="exact"/>
              <w:ind w:right="113"/>
              <w:rPr>
                <w:sz w:val="18"/>
              </w:rPr>
            </w:pPr>
            <w:r w:rsidRPr="00CA3263">
              <w:rPr>
                <w:sz w:val="18"/>
              </w:rPr>
              <w:t>35</w:t>
            </w:r>
            <w:r w:rsidR="00A6566E">
              <w:rPr>
                <w:sz w:val="18"/>
              </w:rPr>
              <w:t>–</w:t>
            </w:r>
            <w:r w:rsidRPr="00CA3263">
              <w:rPr>
                <w:sz w:val="18"/>
              </w:rPr>
              <w:t>39</w:t>
            </w:r>
          </w:p>
        </w:tc>
        <w:tc>
          <w:tcPr>
            <w:tcW w:w="1016"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417</w:t>
            </w:r>
            <w:r w:rsidR="00BB74DD">
              <w:rPr>
                <w:sz w:val="18"/>
              </w:rPr>
              <w:t xml:space="preserve"> </w:t>
            </w:r>
            <w:r w:rsidRPr="00CA3263">
              <w:rPr>
                <w:sz w:val="18"/>
              </w:rPr>
              <w:t>712</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415</w:t>
            </w:r>
            <w:r w:rsidR="00BB74DD">
              <w:rPr>
                <w:sz w:val="18"/>
              </w:rPr>
              <w:t xml:space="preserve"> </w:t>
            </w:r>
            <w:r w:rsidRPr="00CA3263">
              <w:rPr>
                <w:sz w:val="18"/>
              </w:rPr>
              <w:t>608</w:t>
            </w:r>
          </w:p>
        </w:tc>
        <w:tc>
          <w:tcPr>
            <w:tcW w:w="1148"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411</w:t>
            </w:r>
            <w:r w:rsidR="00BB74DD">
              <w:rPr>
                <w:sz w:val="18"/>
              </w:rPr>
              <w:t xml:space="preserve"> </w:t>
            </w:r>
            <w:r w:rsidRPr="00CA3263">
              <w:rPr>
                <w:sz w:val="18"/>
              </w:rPr>
              <w:t>616</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410</w:t>
            </w:r>
            <w:r w:rsidR="00BB74DD">
              <w:rPr>
                <w:sz w:val="18"/>
              </w:rPr>
              <w:t xml:space="preserve"> </w:t>
            </w:r>
            <w:r w:rsidRPr="00CA3263">
              <w:rPr>
                <w:sz w:val="18"/>
              </w:rPr>
              <w:t>119</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406</w:t>
            </w:r>
            <w:r w:rsidR="00BB74DD">
              <w:rPr>
                <w:sz w:val="18"/>
              </w:rPr>
              <w:t xml:space="preserve"> </w:t>
            </w:r>
            <w:r w:rsidRPr="00CA3263">
              <w:rPr>
                <w:sz w:val="18"/>
              </w:rPr>
              <w:t>955</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404</w:t>
            </w:r>
            <w:r w:rsidR="00BB74DD">
              <w:rPr>
                <w:sz w:val="18"/>
              </w:rPr>
              <w:t xml:space="preserve"> </w:t>
            </w:r>
            <w:r w:rsidRPr="00CA3263">
              <w:rPr>
                <w:sz w:val="18"/>
              </w:rPr>
              <w:t>069</w:t>
            </w:r>
          </w:p>
        </w:tc>
      </w:tr>
      <w:tr w:rsidR="00F233AB" w:rsidRPr="00CA3263" w:rsidTr="0019249F">
        <w:tc>
          <w:tcPr>
            <w:tcW w:w="1148" w:type="dxa"/>
            <w:shd w:val="clear" w:color="auto" w:fill="auto"/>
            <w:noWrap/>
            <w:hideMark/>
          </w:tcPr>
          <w:p w:rsidR="00F233AB" w:rsidRPr="00CA3263" w:rsidRDefault="00F233AB" w:rsidP="00CA3263">
            <w:pPr>
              <w:suppressAutoHyphens w:val="0"/>
              <w:spacing w:before="40" w:after="40" w:line="220" w:lineRule="exact"/>
              <w:ind w:right="113"/>
              <w:rPr>
                <w:sz w:val="18"/>
              </w:rPr>
            </w:pPr>
            <w:r w:rsidRPr="00CA3263">
              <w:rPr>
                <w:sz w:val="18"/>
              </w:rPr>
              <w:t>40</w:t>
            </w:r>
            <w:r w:rsidR="00A6566E">
              <w:rPr>
                <w:sz w:val="18"/>
              </w:rPr>
              <w:t>–</w:t>
            </w:r>
            <w:r w:rsidRPr="00CA3263">
              <w:rPr>
                <w:sz w:val="18"/>
              </w:rPr>
              <w:t>44</w:t>
            </w:r>
          </w:p>
        </w:tc>
        <w:tc>
          <w:tcPr>
            <w:tcW w:w="1016"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431</w:t>
            </w:r>
            <w:r w:rsidR="00BB74DD">
              <w:rPr>
                <w:sz w:val="18"/>
              </w:rPr>
              <w:t xml:space="preserve"> </w:t>
            </w:r>
            <w:r w:rsidRPr="00CA3263">
              <w:rPr>
                <w:sz w:val="18"/>
              </w:rPr>
              <w:t>569</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432</w:t>
            </w:r>
            <w:r w:rsidR="00BB74DD">
              <w:rPr>
                <w:sz w:val="18"/>
              </w:rPr>
              <w:t xml:space="preserve"> </w:t>
            </w:r>
            <w:r w:rsidRPr="00CA3263">
              <w:rPr>
                <w:sz w:val="18"/>
              </w:rPr>
              <w:t>298</w:t>
            </w:r>
          </w:p>
        </w:tc>
        <w:tc>
          <w:tcPr>
            <w:tcW w:w="1148"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426</w:t>
            </w:r>
            <w:r w:rsidR="00BB74DD">
              <w:rPr>
                <w:sz w:val="18"/>
              </w:rPr>
              <w:t xml:space="preserve"> </w:t>
            </w:r>
            <w:r w:rsidRPr="00CA3263">
              <w:rPr>
                <w:sz w:val="18"/>
              </w:rPr>
              <w:t>217</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418</w:t>
            </w:r>
            <w:r w:rsidR="00BB74DD">
              <w:rPr>
                <w:sz w:val="18"/>
              </w:rPr>
              <w:t xml:space="preserve"> </w:t>
            </w:r>
            <w:r w:rsidRPr="00CA3263">
              <w:rPr>
                <w:sz w:val="18"/>
              </w:rPr>
              <w:t>849</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414</w:t>
            </w:r>
            <w:r w:rsidR="00BB74DD">
              <w:rPr>
                <w:sz w:val="18"/>
              </w:rPr>
              <w:t xml:space="preserve"> </w:t>
            </w:r>
            <w:r w:rsidRPr="00CA3263">
              <w:rPr>
                <w:sz w:val="18"/>
              </w:rPr>
              <w:t>970</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410</w:t>
            </w:r>
            <w:r w:rsidR="00BB74DD">
              <w:rPr>
                <w:sz w:val="18"/>
              </w:rPr>
              <w:t xml:space="preserve"> </w:t>
            </w:r>
            <w:r w:rsidRPr="00CA3263">
              <w:rPr>
                <w:sz w:val="18"/>
              </w:rPr>
              <w:t>599</w:t>
            </w:r>
          </w:p>
        </w:tc>
      </w:tr>
      <w:tr w:rsidR="00F233AB" w:rsidRPr="00CA3263" w:rsidTr="0019249F">
        <w:tc>
          <w:tcPr>
            <w:tcW w:w="1148" w:type="dxa"/>
            <w:shd w:val="clear" w:color="auto" w:fill="auto"/>
            <w:noWrap/>
            <w:hideMark/>
          </w:tcPr>
          <w:p w:rsidR="00F233AB" w:rsidRPr="00CA3263" w:rsidRDefault="00F233AB" w:rsidP="00CA3263">
            <w:pPr>
              <w:suppressAutoHyphens w:val="0"/>
              <w:spacing w:before="40" w:after="40" w:line="220" w:lineRule="exact"/>
              <w:ind w:right="113"/>
              <w:rPr>
                <w:sz w:val="18"/>
              </w:rPr>
            </w:pPr>
            <w:r w:rsidRPr="00CA3263">
              <w:rPr>
                <w:sz w:val="18"/>
              </w:rPr>
              <w:t>45</w:t>
            </w:r>
            <w:r w:rsidR="00A6566E">
              <w:rPr>
                <w:sz w:val="18"/>
              </w:rPr>
              <w:t>–</w:t>
            </w:r>
            <w:r w:rsidRPr="00CA3263">
              <w:rPr>
                <w:sz w:val="18"/>
              </w:rPr>
              <w:t>49</w:t>
            </w:r>
          </w:p>
        </w:tc>
        <w:tc>
          <w:tcPr>
            <w:tcW w:w="1016"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393</w:t>
            </w:r>
            <w:r w:rsidR="00BB74DD">
              <w:rPr>
                <w:sz w:val="18"/>
              </w:rPr>
              <w:t xml:space="preserve"> </w:t>
            </w:r>
            <w:r w:rsidRPr="00CA3263">
              <w:rPr>
                <w:sz w:val="18"/>
              </w:rPr>
              <w:t>373</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396</w:t>
            </w:r>
            <w:r w:rsidR="00BB74DD">
              <w:rPr>
                <w:sz w:val="18"/>
              </w:rPr>
              <w:t xml:space="preserve"> </w:t>
            </w:r>
            <w:r w:rsidRPr="00CA3263">
              <w:rPr>
                <w:sz w:val="18"/>
              </w:rPr>
              <w:t>962</w:t>
            </w:r>
          </w:p>
        </w:tc>
        <w:tc>
          <w:tcPr>
            <w:tcW w:w="1148"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404</w:t>
            </w:r>
            <w:r w:rsidR="00BB74DD">
              <w:rPr>
                <w:sz w:val="18"/>
              </w:rPr>
              <w:t xml:space="preserve"> </w:t>
            </w:r>
            <w:r w:rsidRPr="00CA3263">
              <w:rPr>
                <w:sz w:val="18"/>
              </w:rPr>
              <w:t>643</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412</w:t>
            </w:r>
            <w:r w:rsidR="00BB74DD">
              <w:rPr>
                <w:sz w:val="18"/>
              </w:rPr>
              <w:t xml:space="preserve"> </w:t>
            </w:r>
            <w:r w:rsidRPr="00CA3263">
              <w:rPr>
                <w:sz w:val="18"/>
              </w:rPr>
              <w:t>740</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420</w:t>
            </w:r>
            <w:r w:rsidR="00BB74DD">
              <w:rPr>
                <w:sz w:val="18"/>
              </w:rPr>
              <w:t xml:space="preserve"> </w:t>
            </w:r>
            <w:r w:rsidRPr="00CA3263">
              <w:rPr>
                <w:sz w:val="18"/>
              </w:rPr>
              <w:t>075</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424</w:t>
            </w:r>
            <w:r w:rsidR="00BB74DD">
              <w:rPr>
                <w:sz w:val="18"/>
              </w:rPr>
              <w:t xml:space="preserve"> </w:t>
            </w:r>
            <w:r w:rsidRPr="00CA3263">
              <w:rPr>
                <w:sz w:val="18"/>
              </w:rPr>
              <w:t>661</w:t>
            </w:r>
          </w:p>
        </w:tc>
      </w:tr>
      <w:tr w:rsidR="00F233AB" w:rsidRPr="00CA3263" w:rsidTr="0019249F">
        <w:tc>
          <w:tcPr>
            <w:tcW w:w="1148" w:type="dxa"/>
            <w:shd w:val="clear" w:color="auto" w:fill="auto"/>
            <w:noWrap/>
            <w:hideMark/>
          </w:tcPr>
          <w:p w:rsidR="00F233AB" w:rsidRPr="00CA3263" w:rsidRDefault="00F233AB" w:rsidP="00CA3263">
            <w:pPr>
              <w:suppressAutoHyphens w:val="0"/>
              <w:spacing w:before="40" w:after="40" w:line="220" w:lineRule="exact"/>
              <w:ind w:right="113"/>
              <w:rPr>
                <w:sz w:val="18"/>
              </w:rPr>
            </w:pPr>
            <w:r w:rsidRPr="00CA3263">
              <w:rPr>
                <w:sz w:val="18"/>
              </w:rPr>
              <w:t>50</w:t>
            </w:r>
            <w:r w:rsidR="00A6566E">
              <w:rPr>
                <w:sz w:val="18"/>
              </w:rPr>
              <w:t>–</w:t>
            </w:r>
            <w:r w:rsidRPr="00CA3263">
              <w:rPr>
                <w:sz w:val="18"/>
              </w:rPr>
              <w:t>54</w:t>
            </w:r>
          </w:p>
        </w:tc>
        <w:tc>
          <w:tcPr>
            <w:tcW w:w="1016"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381</w:t>
            </w:r>
            <w:r w:rsidR="00BB74DD">
              <w:rPr>
                <w:sz w:val="18"/>
              </w:rPr>
              <w:t xml:space="preserve"> </w:t>
            </w:r>
            <w:r w:rsidRPr="00CA3263">
              <w:rPr>
                <w:sz w:val="18"/>
              </w:rPr>
              <w:t>910</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384</w:t>
            </w:r>
            <w:r w:rsidR="00BB74DD">
              <w:rPr>
                <w:sz w:val="18"/>
              </w:rPr>
              <w:t xml:space="preserve"> </w:t>
            </w:r>
            <w:r w:rsidRPr="00CA3263">
              <w:rPr>
                <w:sz w:val="18"/>
              </w:rPr>
              <w:t>775</w:t>
            </w:r>
          </w:p>
        </w:tc>
        <w:tc>
          <w:tcPr>
            <w:tcW w:w="1148"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387</w:t>
            </w:r>
            <w:r w:rsidR="00BB74DD">
              <w:rPr>
                <w:sz w:val="18"/>
              </w:rPr>
              <w:t xml:space="preserve"> </w:t>
            </w:r>
            <w:r w:rsidRPr="00CA3263">
              <w:rPr>
                <w:sz w:val="18"/>
              </w:rPr>
              <w:t>995</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388</w:t>
            </w:r>
            <w:r w:rsidR="00BB74DD">
              <w:rPr>
                <w:sz w:val="18"/>
              </w:rPr>
              <w:t xml:space="preserve"> </w:t>
            </w:r>
            <w:r w:rsidRPr="00CA3263">
              <w:rPr>
                <w:sz w:val="18"/>
              </w:rPr>
              <w:t>024</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387</w:t>
            </w:r>
            <w:r w:rsidR="00BB74DD">
              <w:rPr>
                <w:sz w:val="18"/>
              </w:rPr>
              <w:t xml:space="preserve"> </w:t>
            </w:r>
            <w:r w:rsidRPr="00CA3263">
              <w:rPr>
                <w:sz w:val="18"/>
              </w:rPr>
              <w:t>191</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387</w:t>
            </w:r>
            <w:r w:rsidR="00BB74DD">
              <w:rPr>
                <w:sz w:val="18"/>
              </w:rPr>
              <w:t xml:space="preserve"> </w:t>
            </w:r>
            <w:r w:rsidRPr="00CA3263">
              <w:rPr>
                <w:sz w:val="18"/>
              </w:rPr>
              <w:t>046</w:t>
            </w:r>
          </w:p>
        </w:tc>
      </w:tr>
      <w:tr w:rsidR="00F233AB" w:rsidRPr="00CA3263" w:rsidTr="0019249F">
        <w:tc>
          <w:tcPr>
            <w:tcW w:w="1148" w:type="dxa"/>
            <w:shd w:val="clear" w:color="auto" w:fill="auto"/>
            <w:noWrap/>
            <w:hideMark/>
          </w:tcPr>
          <w:p w:rsidR="00F233AB" w:rsidRPr="00CA3263" w:rsidRDefault="00F233AB" w:rsidP="00CA3263">
            <w:pPr>
              <w:suppressAutoHyphens w:val="0"/>
              <w:spacing w:before="40" w:after="40" w:line="220" w:lineRule="exact"/>
              <w:ind w:right="113"/>
              <w:rPr>
                <w:sz w:val="18"/>
              </w:rPr>
            </w:pPr>
            <w:r w:rsidRPr="00CA3263">
              <w:rPr>
                <w:sz w:val="18"/>
              </w:rPr>
              <w:t>55</w:t>
            </w:r>
            <w:r w:rsidR="00A6566E">
              <w:rPr>
                <w:sz w:val="18"/>
              </w:rPr>
              <w:t>–</w:t>
            </w:r>
            <w:r w:rsidRPr="00CA3263">
              <w:rPr>
                <w:sz w:val="18"/>
              </w:rPr>
              <w:t>59</w:t>
            </w:r>
          </w:p>
        </w:tc>
        <w:tc>
          <w:tcPr>
            <w:tcW w:w="1016"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343</w:t>
            </w:r>
            <w:r w:rsidR="00BB74DD">
              <w:rPr>
                <w:sz w:val="18"/>
              </w:rPr>
              <w:t xml:space="preserve"> </w:t>
            </w:r>
            <w:r w:rsidRPr="00CA3263">
              <w:rPr>
                <w:sz w:val="18"/>
              </w:rPr>
              <w:t>636</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350</w:t>
            </w:r>
            <w:r w:rsidR="00BB74DD">
              <w:rPr>
                <w:sz w:val="18"/>
              </w:rPr>
              <w:t xml:space="preserve"> </w:t>
            </w:r>
            <w:r w:rsidRPr="00CA3263">
              <w:rPr>
                <w:sz w:val="18"/>
              </w:rPr>
              <w:t>151</w:t>
            </w:r>
          </w:p>
        </w:tc>
        <w:tc>
          <w:tcPr>
            <w:tcW w:w="1148"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355</w:t>
            </w:r>
            <w:r w:rsidR="00BB74DD">
              <w:rPr>
                <w:sz w:val="18"/>
              </w:rPr>
              <w:t xml:space="preserve"> </w:t>
            </w:r>
            <w:r w:rsidRPr="00CA3263">
              <w:rPr>
                <w:sz w:val="18"/>
              </w:rPr>
              <w:t>187</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363</w:t>
            </w:r>
            <w:r w:rsidR="00BB74DD">
              <w:rPr>
                <w:sz w:val="18"/>
              </w:rPr>
              <w:t xml:space="preserve"> </w:t>
            </w:r>
            <w:r w:rsidRPr="00CA3263">
              <w:rPr>
                <w:sz w:val="18"/>
              </w:rPr>
              <w:t>167</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370</w:t>
            </w:r>
            <w:r w:rsidR="00BB74DD">
              <w:rPr>
                <w:sz w:val="18"/>
              </w:rPr>
              <w:t xml:space="preserve"> </w:t>
            </w:r>
            <w:r w:rsidRPr="00CA3263">
              <w:rPr>
                <w:sz w:val="18"/>
              </w:rPr>
              <w:t>391</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375</w:t>
            </w:r>
            <w:r w:rsidR="00BB74DD">
              <w:rPr>
                <w:sz w:val="18"/>
              </w:rPr>
              <w:t xml:space="preserve"> </w:t>
            </w:r>
            <w:r w:rsidRPr="00CA3263">
              <w:rPr>
                <w:sz w:val="18"/>
              </w:rPr>
              <w:t>054</w:t>
            </w:r>
          </w:p>
        </w:tc>
      </w:tr>
      <w:tr w:rsidR="00F233AB" w:rsidRPr="00CA3263" w:rsidTr="0019249F">
        <w:tc>
          <w:tcPr>
            <w:tcW w:w="1148" w:type="dxa"/>
            <w:shd w:val="clear" w:color="auto" w:fill="auto"/>
            <w:noWrap/>
            <w:hideMark/>
          </w:tcPr>
          <w:p w:rsidR="00F233AB" w:rsidRPr="00CA3263" w:rsidRDefault="00F233AB" w:rsidP="00CA3263">
            <w:pPr>
              <w:suppressAutoHyphens w:val="0"/>
              <w:spacing w:before="40" w:after="40" w:line="220" w:lineRule="exact"/>
              <w:ind w:right="113"/>
              <w:rPr>
                <w:sz w:val="18"/>
              </w:rPr>
            </w:pPr>
            <w:r w:rsidRPr="00CA3263">
              <w:rPr>
                <w:sz w:val="18"/>
              </w:rPr>
              <w:t>60</w:t>
            </w:r>
            <w:r w:rsidR="00A6566E">
              <w:rPr>
                <w:sz w:val="18"/>
              </w:rPr>
              <w:t>–</w:t>
            </w:r>
            <w:r w:rsidRPr="00CA3263">
              <w:rPr>
                <w:sz w:val="18"/>
              </w:rPr>
              <w:t>64</w:t>
            </w:r>
          </w:p>
        </w:tc>
        <w:tc>
          <w:tcPr>
            <w:tcW w:w="1016"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332</w:t>
            </w:r>
            <w:r w:rsidR="00BB74DD">
              <w:rPr>
                <w:sz w:val="18"/>
              </w:rPr>
              <w:t xml:space="preserve"> </w:t>
            </w:r>
            <w:r w:rsidRPr="00CA3263">
              <w:rPr>
                <w:sz w:val="18"/>
              </w:rPr>
              <w:t>997</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332</w:t>
            </w:r>
            <w:r w:rsidR="00BB74DD">
              <w:rPr>
                <w:sz w:val="18"/>
              </w:rPr>
              <w:t xml:space="preserve"> </w:t>
            </w:r>
            <w:r w:rsidRPr="00CA3263">
              <w:rPr>
                <w:sz w:val="18"/>
              </w:rPr>
              <w:t>338</w:t>
            </w:r>
          </w:p>
        </w:tc>
        <w:tc>
          <w:tcPr>
            <w:tcW w:w="1148"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331</w:t>
            </w:r>
            <w:r w:rsidR="00BB74DD">
              <w:rPr>
                <w:sz w:val="18"/>
              </w:rPr>
              <w:t xml:space="preserve"> </w:t>
            </w:r>
            <w:r w:rsidRPr="00CA3263">
              <w:rPr>
                <w:sz w:val="18"/>
              </w:rPr>
              <w:t>088</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329</w:t>
            </w:r>
            <w:r w:rsidR="00BB74DD">
              <w:rPr>
                <w:sz w:val="18"/>
              </w:rPr>
              <w:t xml:space="preserve"> </w:t>
            </w:r>
            <w:r w:rsidRPr="00CA3263">
              <w:rPr>
                <w:sz w:val="18"/>
              </w:rPr>
              <w:t>963</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332</w:t>
            </w:r>
            <w:r w:rsidR="00BB74DD">
              <w:rPr>
                <w:sz w:val="18"/>
              </w:rPr>
              <w:t xml:space="preserve"> </w:t>
            </w:r>
            <w:r w:rsidRPr="00CA3263">
              <w:rPr>
                <w:sz w:val="18"/>
              </w:rPr>
              <w:t>300</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337</w:t>
            </w:r>
            <w:r w:rsidR="00BB74DD">
              <w:rPr>
                <w:sz w:val="18"/>
              </w:rPr>
              <w:t xml:space="preserve"> </w:t>
            </w:r>
            <w:r w:rsidRPr="00CA3263">
              <w:rPr>
                <w:sz w:val="18"/>
              </w:rPr>
              <w:t>000</w:t>
            </w:r>
          </w:p>
        </w:tc>
      </w:tr>
      <w:tr w:rsidR="00F233AB" w:rsidRPr="00CA3263" w:rsidTr="0019249F">
        <w:tc>
          <w:tcPr>
            <w:tcW w:w="1148" w:type="dxa"/>
            <w:shd w:val="clear" w:color="auto" w:fill="auto"/>
            <w:noWrap/>
            <w:hideMark/>
          </w:tcPr>
          <w:p w:rsidR="00F233AB" w:rsidRPr="00CA3263" w:rsidRDefault="00F233AB" w:rsidP="00CA3263">
            <w:pPr>
              <w:suppressAutoHyphens w:val="0"/>
              <w:spacing w:before="40" w:after="40" w:line="220" w:lineRule="exact"/>
              <w:ind w:right="113"/>
              <w:rPr>
                <w:sz w:val="18"/>
              </w:rPr>
            </w:pPr>
            <w:r w:rsidRPr="00CA3263">
              <w:rPr>
                <w:sz w:val="18"/>
              </w:rPr>
              <w:t>65</w:t>
            </w:r>
            <w:r w:rsidR="00A6566E">
              <w:rPr>
                <w:sz w:val="18"/>
              </w:rPr>
              <w:t>–</w:t>
            </w:r>
            <w:r w:rsidRPr="00CA3263">
              <w:rPr>
                <w:sz w:val="18"/>
              </w:rPr>
              <w:t>69</w:t>
            </w:r>
          </w:p>
        </w:tc>
        <w:tc>
          <w:tcPr>
            <w:tcW w:w="1016"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279</w:t>
            </w:r>
            <w:r w:rsidR="00BB74DD">
              <w:rPr>
                <w:sz w:val="18"/>
              </w:rPr>
              <w:t xml:space="preserve"> </w:t>
            </w:r>
            <w:r w:rsidRPr="00CA3263">
              <w:rPr>
                <w:sz w:val="18"/>
              </w:rPr>
              <w:t>162</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290</w:t>
            </w:r>
            <w:r w:rsidR="00BB74DD">
              <w:rPr>
                <w:sz w:val="18"/>
              </w:rPr>
              <w:t xml:space="preserve"> </w:t>
            </w:r>
            <w:r w:rsidRPr="00CA3263">
              <w:rPr>
                <w:sz w:val="18"/>
              </w:rPr>
              <w:t>782</w:t>
            </w:r>
          </w:p>
        </w:tc>
        <w:tc>
          <w:tcPr>
            <w:tcW w:w="1148"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304</w:t>
            </w:r>
            <w:r w:rsidR="00BB74DD">
              <w:rPr>
                <w:sz w:val="18"/>
              </w:rPr>
              <w:t xml:space="preserve"> </w:t>
            </w:r>
            <w:r w:rsidRPr="00CA3263">
              <w:rPr>
                <w:sz w:val="18"/>
              </w:rPr>
              <w:t>382</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315</w:t>
            </w:r>
            <w:r w:rsidR="00BB74DD">
              <w:rPr>
                <w:sz w:val="18"/>
              </w:rPr>
              <w:t xml:space="preserve"> </w:t>
            </w:r>
            <w:r w:rsidRPr="00CA3263">
              <w:rPr>
                <w:sz w:val="18"/>
              </w:rPr>
              <w:t>768</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322</w:t>
            </w:r>
            <w:r w:rsidR="00BB74DD">
              <w:rPr>
                <w:sz w:val="18"/>
              </w:rPr>
              <w:t xml:space="preserve"> </w:t>
            </w:r>
            <w:r w:rsidRPr="00CA3263">
              <w:rPr>
                <w:sz w:val="18"/>
              </w:rPr>
              <w:t>401</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323</w:t>
            </w:r>
            <w:r w:rsidR="00BB74DD">
              <w:rPr>
                <w:sz w:val="18"/>
              </w:rPr>
              <w:t xml:space="preserve"> </w:t>
            </w:r>
            <w:r w:rsidRPr="00CA3263">
              <w:rPr>
                <w:sz w:val="18"/>
              </w:rPr>
              <w:t>778</w:t>
            </w:r>
          </w:p>
        </w:tc>
      </w:tr>
      <w:tr w:rsidR="00F233AB" w:rsidRPr="00CA3263" w:rsidTr="0019249F">
        <w:tc>
          <w:tcPr>
            <w:tcW w:w="1148" w:type="dxa"/>
            <w:shd w:val="clear" w:color="auto" w:fill="auto"/>
            <w:noWrap/>
            <w:hideMark/>
          </w:tcPr>
          <w:p w:rsidR="00F233AB" w:rsidRPr="00CA3263" w:rsidRDefault="00F233AB" w:rsidP="00CA3263">
            <w:pPr>
              <w:suppressAutoHyphens w:val="0"/>
              <w:spacing w:before="40" w:after="40" w:line="220" w:lineRule="exact"/>
              <w:ind w:right="113"/>
              <w:rPr>
                <w:sz w:val="18"/>
              </w:rPr>
            </w:pPr>
            <w:r w:rsidRPr="00CA3263">
              <w:rPr>
                <w:sz w:val="18"/>
              </w:rPr>
              <w:t>70</w:t>
            </w:r>
            <w:r w:rsidR="00A6566E">
              <w:rPr>
                <w:sz w:val="18"/>
              </w:rPr>
              <w:t>–</w:t>
            </w:r>
            <w:r w:rsidRPr="00CA3263">
              <w:rPr>
                <w:sz w:val="18"/>
              </w:rPr>
              <w:t>74</w:t>
            </w:r>
          </w:p>
        </w:tc>
        <w:tc>
          <w:tcPr>
            <w:tcW w:w="1016"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300</w:t>
            </w:r>
            <w:r w:rsidR="00BB74DD">
              <w:rPr>
                <w:sz w:val="18"/>
              </w:rPr>
              <w:t xml:space="preserve"> </w:t>
            </w:r>
            <w:r w:rsidRPr="00CA3263">
              <w:rPr>
                <w:sz w:val="18"/>
              </w:rPr>
              <w:t>159</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289</w:t>
            </w:r>
            <w:r w:rsidR="00BB74DD">
              <w:rPr>
                <w:sz w:val="18"/>
              </w:rPr>
              <w:t xml:space="preserve"> </w:t>
            </w:r>
            <w:r w:rsidRPr="00CA3263">
              <w:rPr>
                <w:sz w:val="18"/>
              </w:rPr>
              <w:t>247</w:t>
            </w:r>
          </w:p>
        </w:tc>
        <w:tc>
          <w:tcPr>
            <w:tcW w:w="1148"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275</w:t>
            </w:r>
            <w:r w:rsidR="00BB74DD">
              <w:rPr>
                <w:sz w:val="18"/>
              </w:rPr>
              <w:t xml:space="preserve"> </w:t>
            </w:r>
            <w:r w:rsidRPr="00CA3263">
              <w:rPr>
                <w:sz w:val="18"/>
              </w:rPr>
              <w:t>971</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265</w:t>
            </w:r>
            <w:r w:rsidR="00BB74DD">
              <w:rPr>
                <w:sz w:val="18"/>
              </w:rPr>
              <w:t xml:space="preserve"> </w:t>
            </w:r>
            <w:r w:rsidRPr="00CA3263">
              <w:rPr>
                <w:sz w:val="18"/>
              </w:rPr>
              <w:t>246</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261</w:t>
            </w:r>
            <w:r w:rsidR="00BB74DD">
              <w:rPr>
                <w:sz w:val="18"/>
              </w:rPr>
              <w:t xml:space="preserve"> </w:t>
            </w:r>
            <w:r w:rsidRPr="00CA3263">
              <w:rPr>
                <w:sz w:val="18"/>
              </w:rPr>
              <w:t>558</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266</w:t>
            </w:r>
            <w:r w:rsidR="00BB74DD">
              <w:rPr>
                <w:sz w:val="18"/>
              </w:rPr>
              <w:t xml:space="preserve"> </w:t>
            </w:r>
            <w:r w:rsidRPr="00CA3263">
              <w:rPr>
                <w:sz w:val="18"/>
              </w:rPr>
              <w:t>664</w:t>
            </w:r>
          </w:p>
        </w:tc>
      </w:tr>
      <w:tr w:rsidR="00F233AB" w:rsidRPr="00CA3263" w:rsidTr="0019249F">
        <w:tc>
          <w:tcPr>
            <w:tcW w:w="1148" w:type="dxa"/>
            <w:shd w:val="clear" w:color="auto" w:fill="auto"/>
            <w:noWrap/>
            <w:hideMark/>
          </w:tcPr>
          <w:p w:rsidR="00F233AB" w:rsidRPr="00CA3263" w:rsidRDefault="00F233AB" w:rsidP="00CA3263">
            <w:pPr>
              <w:suppressAutoHyphens w:val="0"/>
              <w:spacing w:before="40" w:after="40" w:line="220" w:lineRule="exact"/>
              <w:ind w:right="113"/>
              <w:rPr>
                <w:sz w:val="18"/>
              </w:rPr>
            </w:pPr>
            <w:r w:rsidRPr="00CA3263">
              <w:rPr>
                <w:sz w:val="18"/>
              </w:rPr>
              <w:t>75</w:t>
            </w:r>
            <w:r w:rsidR="00A6566E">
              <w:rPr>
                <w:sz w:val="18"/>
              </w:rPr>
              <w:t>–</w:t>
            </w:r>
            <w:r w:rsidRPr="00CA3263">
              <w:rPr>
                <w:sz w:val="18"/>
              </w:rPr>
              <w:t>79</w:t>
            </w:r>
          </w:p>
        </w:tc>
        <w:tc>
          <w:tcPr>
            <w:tcW w:w="1016"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273</w:t>
            </w:r>
            <w:r w:rsidR="00BB74DD">
              <w:rPr>
                <w:sz w:val="18"/>
              </w:rPr>
              <w:t xml:space="preserve"> </w:t>
            </w:r>
            <w:r w:rsidRPr="00CA3263">
              <w:rPr>
                <w:sz w:val="18"/>
              </w:rPr>
              <w:t>318</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276</w:t>
            </w:r>
            <w:r w:rsidR="00BB74DD">
              <w:rPr>
                <w:sz w:val="18"/>
              </w:rPr>
              <w:t xml:space="preserve"> </w:t>
            </w:r>
            <w:r w:rsidRPr="00CA3263">
              <w:rPr>
                <w:sz w:val="18"/>
              </w:rPr>
              <w:t>002</w:t>
            </w:r>
          </w:p>
        </w:tc>
        <w:tc>
          <w:tcPr>
            <w:tcW w:w="1148"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277</w:t>
            </w:r>
            <w:r w:rsidR="00BB74DD">
              <w:rPr>
                <w:sz w:val="18"/>
              </w:rPr>
              <w:t xml:space="preserve"> </w:t>
            </w:r>
            <w:r w:rsidRPr="00CA3263">
              <w:rPr>
                <w:sz w:val="18"/>
              </w:rPr>
              <w:t>672</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278</w:t>
            </w:r>
            <w:r w:rsidR="00BB74DD">
              <w:rPr>
                <w:sz w:val="18"/>
              </w:rPr>
              <w:t xml:space="preserve"> </w:t>
            </w:r>
            <w:r w:rsidRPr="00CA3263">
              <w:rPr>
                <w:sz w:val="18"/>
              </w:rPr>
              <w:t>821</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278</w:t>
            </w:r>
            <w:r w:rsidR="00BB74DD">
              <w:rPr>
                <w:sz w:val="18"/>
              </w:rPr>
              <w:t xml:space="preserve"> </w:t>
            </w:r>
            <w:r w:rsidRPr="00CA3263">
              <w:rPr>
                <w:sz w:val="18"/>
              </w:rPr>
              <w:t>156</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272</w:t>
            </w:r>
            <w:r w:rsidR="00BB74DD">
              <w:rPr>
                <w:sz w:val="18"/>
              </w:rPr>
              <w:t xml:space="preserve"> </w:t>
            </w:r>
            <w:r w:rsidRPr="00CA3263">
              <w:rPr>
                <w:sz w:val="18"/>
              </w:rPr>
              <w:t>752</w:t>
            </w:r>
          </w:p>
        </w:tc>
      </w:tr>
      <w:tr w:rsidR="00F233AB" w:rsidRPr="00CA3263" w:rsidTr="0019249F">
        <w:tc>
          <w:tcPr>
            <w:tcW w:w="1148" w:type="dxa"/>
            <w:shd w:val="clear" w:color="auto" w:fill="auto"/>
            <w:noWrap/>
            <w:hideMark/>
          </w:tcPr>
          <w:p w:rsidR="00F233AB" w:rsidRPr="00CA3263" w:rsidRDefault="00F233AB" w:rsidP="00CA3263">
            <w:pPr>
              <w:suppressAutoHyphens w:val="0"/>
              <w:spacing w:before="40" w:after="40" w:line="220" w:lineRule="exact"/>
              <w:ind w:right="113"/>
              <w:rPr>
                <w:sz w:val="18"/>
              </w:rPr>
            </w:pPr>
            <w:r w:rsidRPr="00CA3263">
              <w:rPr>
                <w:sz w:val="18"/>
              </w:rPr>
              <w:t>80</w:t>
            </w:r>
            <w:r w:rsidR="00A6566E">
              <w:rPr>
                <w:sz w:val="18"/>
              </w:rPr>
              <w:t>–</w:t>
            </w:r>
            <w:r w:rsidRPr="00CA3263">
              <w:rPr>
                <w:sz w:val="18"/>
              </w:rPr>
              <w:t>84</w:t>
            </w:r>
          </w:p>
        </w:tc>
        <w:tc>
          <w:tcPr>
            <w:tcW w:w="1016"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202</w:t>
            </w:r>
            <w:r w:rsidR="00BB74DD">
              <w:rPr>
                <w:sz w:val="18"/>
              </w:rPr>
              <w:t xml:space="preserve"> </w:t>
            </w:r>
            <w:r w:rsidRPr="00CA3263">
              <w:rPr>
                <w:sz w:val="18"/>
              </w:rPr>
              <w:t>044</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205</w:t>
            </w:r>
            <w:r w:rsidR="00BB74DD">
              <w:rPr>
                <w:sz w:val="18"/>
              </w:rPr>
              <w:t xml:space="preserve"> </w:t>
            </w:r>
            <w:r w:rsidRPr="00CA3263">
              <w:rPr>
                <w:sz w:val="18"/>
              </w:rPr>
              <w:t>080</w:t>
            </w:r>
          </w:p>
        </w:tc>
        <w:tc>
          <w:tcPr>
            <w:tcW w:w="1148"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209</w:t>
            </w:r>
            <w:r w:rsidR="00BB74DD">
              <w:rPr>
                <w:sz w:val="18"/>
              </w:rPr>
              <w:t xml:space="preserve"> </w:t>
            </w:r>
            <w:r w:rsidRPr="00CA3263">
              <w:rPr>
                <w:sz w:val="18"/>
              </w:rPr>
              <w:t>748</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214</w:t>
            </w:r>
            <w:r w:rsidR="00BB74DD">
              <w:rPr>
                <w:sz w:val="18"/>
              </w:rPr>
              <w:t xml:space="preserve"> </w:t>
            </w:r>
            <w:r w:rsidRPr="00CA3263">
              <w:rPr>
                <w:sz w:val="18"/>
              </w:rPr>
              <w:t>071</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218</w:t>
            </w:r>
            <w:r w:rsidR="00BB74DD">
              <w:rPr>
                <w:sz w:val="18"/>
              </w:rPr>
              <w:t xml:space="preserve"> </w:t>
            </w:r>
            <w:r w:rsidRPr="00CA3263">
              <w:rPr>
                <w:sz w:val="18"/>
              </w:rPr>
              <w:t>280</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221</w:t>
            </w:r>
            <w:r w:rsidR="00BB74DD">
              <w:rPr>
                <w:sz w:val="18"/>
              </w:rPr>
              <w:t xml:space="preserve"> </w:t>
            </w:r>
            <w:r w:rsidRPr="00CA3263">
              <w:rPr>
                <w:sz w:val="18"/>
              </w:rPr>
              <w:t>963</w:t>
            </w:r>
          </w:p>
        </w:tc>
      </w:tr>
      <w:tr w:rsidR="00F233AB" w:rsidRPr="00CA3263" w:rsidTr="0019249F">
        <w:tc>
          <w:tcPr>
            <w:tcW w:w="1148" w:type="dxa"/>
            <w:shd w:val="clear" w:color="auto" w:fill="auto"/>
            <w:noWrap/>
            <w:hideMark/>
          </w:tcPr>
          <w:p w:rsidR="00F233AB" w:rsidRPr="00CA3263" w:rsidRDefault="00F233AB" w:rsidP="00CA3263">
            <w:pPr>
              <w:suppressAutoHyphens w:val="0"/>
              <w:spacing w:before="40" w:after="40" w:line="220" w:lineRule="exact"/>
              <w:ind w:right="113"/>
              <w:rPr>
                <w:sz w:val="18"/>
              </w:rPr>
            </w:pPr>
            <w:r w:rsidRPr="00CA3263">
              <w:rPr>
                <w:sz w:val="18"/>
              </w:rPr>
              <w:t>85+</w:t>
            </w:r>
          </w:p>
        </w:tc>
        <w:tc>
          <w:tcPr>
            <w:tcW w:w="1016"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142</w:t>
            </w:r>
            <w:r w:rsidR="00BB74DD">
              <w:rPr>
                <w:sz w:val="18"/>
              </w:rPr>
              <w:t xml:space="preserve"> </w:t>
            </w:r>
            <w:r w:rsidRPr="00CA3263">
              <w:rPr>
                <w:sz w:val="18"/>
              </w:rPr>
              <w:t>612</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155</w:t>
            </w:r>
            <w:r w:rsidR="00BB74DD">
              <w:rPr>
                <w:sz w:val="18"/>
              </w:rPr>
              <w:t xml:space="preserve"> </w:t>
            </w:r>
            <w:r w:rsidRPr="00CA3263">
              <w:rPr>
                <w:sz w:val="18"/>
              </w:rPr>
              <w:t>448</w:t>
            </w:r>
          </w:p>
        </w:tc>
        <w:tc>
          <w:tcPr>
            <w:tcW w:w="1148"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163</w:t>
            </w:r>
            <w:r w:rsidR="00BB74DD">
              <w:rPr>
                <w:sz w:val="18"/>
              </w:rPr>
              <w:t xml:space="preserve"> </w:t>
            </w:r>
            <w:r w:rsidRPr="00CA3263">
              <w:rPr>
                <w:sz w:val="18"/>
              </w:rPr>
              <w:t>995</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174</w:t>
            </w:r>
            <w:r w:rsidR="00BB74DD">
              <w:rPr>
                <w:sz w:val="18"/>
              </w:rPr>
              <w:t xml:space="preserve"> </w:t>
            </w:r>
            <w:r w:rsidRPr="00CA3263">
              <w:rPr>
                <w:sz w:val="18"/>
              </w:rPr>
              <w:t>988</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184</w:t>
            </w:r>
            <w:r w:rsidR="00BB74DD">
              <w:rPr>
                <w:sz w:val="18"/>
              </w:rPr>
              <w:t xml:space="preserve"> </w:t>
            </w:r>
            <w:r w:rsidRPr="00CA3263">
              <w:rPr>
                <w:sz w:val="18"/>
              </w:rPr>
              <w:t>784</w:t>
            </w: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r w:rsidRPr="00CA3263">
              <w:rPr>
                <w:sz w:val="18"/>
              </w:rPr>
              <w:t>191</w:t>
            </w:r>
            <w:r w:rsidR="00BB74DD">
              <w:rPr>
                <w:sz w:val="18"/>
              </w:rPr>
              <w:t xml:space="preserve"> </w:t>
            </w:r>
            <w:r w:rsidRPr="00CA3263">
              <w:rPr>
                <w:sz w:val="18"/>
              </w:rPr>
              <w:t>857</w:t>
            </w:r>
          </w:p>
        </w:tc>
      </w:tr>
      <w:tr w:rsidR="00F233AB" w:rsidRPr="00CA3263" w:rsidTr="0019249F">
        <w:tc>
          <w:tcPr>
            <w:tcW w:w="1148" w:type="dxa"/>
            <w:shd w:val="clear" w:color="auto" w:fill="auto"/>
            <w:noWrap/>
            <w:hideMark/>
          </w:tcPr>
          <w:p w:rsidR="00F233AB" w:rsidRPr="00CA3263" w:rsidRDefault="00F233AB" w:rsidP="00CA3263">
            <w:pPr>
              <w:suppressAutoHyphens w:val="0"/>
              <w:spacing w:before="40" w:after="40" w:line="220" w:lineRule="exact"/>
              <w:ind w:right="113"/>
              <w:rPr>
                <w:sz w:val="18"/>
              </w:rPr>
            </w:pPr>
          </w:p>
        </w:tc>
        <w:tc>
          <w:tcPr>
            <w:tcW w:w="1016"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p>
        </w:tc>
        <w:tc>
          <w:tcPr>
            <w:tcW w:w="1148"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p>
        </w:tc>
        <w:tc>
          <w:tcPr>
            <w:tcW w:w="1015" w:type="dxa"/>
            <w:shd w:val="clear" w:color="auto" w:fill="auto"/>
            <w:noWrap/>
            <w:vAlign w:val="bottom"/>
            <w:hideMark/>
          </w:tcPr>
          <w:p w:rsidR="00F233AB" w:rsidRPr="00CA3263" w:rsidRDefault="00F233AB" w:rsidP="00CA3263">
            <w:pPr>
              <w:suppressAutoHyphens w:val="0"/>
              <w:spacing w:before="40" w:after="40" w:line="220" w:lineRule="exact"/>
              <w:ind w:right="113"/>
              <w:jc w:val="right"/>
              <w:rPr>
                <w:sz w:val="18"/>
              </w:rPr>
            </w:pPr>
          </w:p>
        </w:tc>
      </w:tr>
    </w:tbl>
    <w:p w:rsidR="00F233AB" w:rsidRPr="00B02247" w:rsidRDefault="00F233AB" w:rsidP="00F233AB"/>
    <w:tbl>
      <w:tblPr>
        <w:tblW w:w="7372"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48"/>
        <w:gridCol w:w="1016"/>
        <w:gridCol w:w="1015"/>
        <w:gridCol w:w="1148"/>
        <w:gridCol w:w="1015"/>
        <w:gridCol w:w="1015"/>
        <w:gridCol w:w="1015"/>
      </w:tblGrid>
      <w:tr w:rsidR="002B03B4" w:rsidRPr="002B03B4" w:rsidTr="003F4F97">
        <w:trPr>
          <w:tblHeader/>
        </w:trPr>
        <w:tc>
          <w:tcPr>
            <w:tcW w:w="1148" w:type="dxa"/>
            <w:tcBorders>
              <w:top w:val="single" w:sz="4" w:space="0" w:color="auto"/>
              <w:bottom w:val="single" w:sz="4" w:space="0" w:color="auto"/>
            </w:tcBorders>
            <w:shd w:val="clear" w:color="auto" w:fill="auto"/>
            <w:noWrap/>
            <w:vAlign w:val="bottom"/>
            <w:hideMark/>
          </w:tcPr>
          <w:p w:rsidR="002B03B4" w:rsidRPr="002B03B4" w:rsidRDefault="002B03B4" w:rsidP="002B03B4">
            <w:pPr>
              <w:suppressAutoHyphens w:val="0"/>
              <w:spacing w:before="80" w:after="80" w:line="200" w:lineRule="exact"/>
              <w:ind w:right="113"/>
              <w:rPr>
                <w:i/>
                <w:sz w:val="16"/>
              </w:rPr>
            </w:pPr>
          </w:p>
        </w:tc>
        <w:tc>
          <w:tcPr>
            <w:tcW w:w="6222" w:type="dxa"/>
            <w:gridSpan w:val="6"/>
            <w:tcBorders>
              <w:top w:val="single" w:sz="4" w:space="0" w:color="auto"/>
              <w:bottom w:val="single" w:sz="4" w:space="0" w:color="auto"/>
            </w:tcBorders>
            <w:shd w:val="clear" w:color="auto" w:fill="auto"/>
            <w:noWrap/>
            <w:vAlign w:val="bottom"/>
            <w:hideMark/>
          </w:tcPr>
          <w:p w:rsidR="002B03B4" w:rsidRPr="002B03B4" w:rsidRDefault="002B03B4" w:rsidP="002B03B4">
            <w:pPr>
              <w:suppressAutoHyphens w:val="0"/>
              <w:spacing w:before="80" w:after="80" w:line="200" w:lineRule="exact"/>
              <w:ind w:right="113"/>
              <w:jc w:val="center"/>
              <w:rPr>
                <w:i/>
                <w:sz w:val="16"/>
              </w:rPr>
            </w:pPr>
            <w:r w:rsidRPr="002B03B4">
              <w:rPr>
                <w:i/>
                <w:sz w:val="16"/>
              </w:rPr>
              <w:t>B</w:t>
            </w:r>
            <w:r w:rsidR="00CA0006" w:rsidRPr="002B03B4">
              <w:rPr>
                <w:i/>
                <w:sz w:val="16"/>
              </w:rPr>
              <w:t>oth</w:t>
            </w:r>
            <w:r w:rsidRPr="002B03B4">
              <w:rPr>
                <w:i/>
                <w:sz w:val="16"/>
              </w:rPr>
              <w:t xml:space="preserve"> </w:t>
            </w:r>
            <w:r w:rsidR="00CA0006" w:rsidRPr="002B03B4">
              <w:rPr>
                <w:i/>
                <w:sz w:val="16"/>
              </w:rPr>
              <w:t>sexes</w:t>
            </w:r>
          </w:p>
        </w:tc>
      </w:tr>
      <w:tr w:rsidR="00F233AB" w:rsidRPr="002B03B4" w:rsidTr="003F4F97">
        <w:tc>
          <w:tcPr>
            <w:tcW w:w="1148" w:type="dxa"/>
            <w:tcBorders>
              <w:top w:val="single" w:sz="4" w:space="0" w:color="auto"/>
              <w:bottom w:val="single" w:sz="12" w:space="0" w:color="auto"/>
            </w:tcBorders>
            <w:shd w:val="clear" w:color="auto" w:fill="auto"/>
            <w:noWrap/>
            <w:hideMark/>
          </w:tcPr>
          <w:p w:rsidR="00F233AB" w:rsidRPr="002B03B4" w:rsidRDefault="00F233AB" w:rsidP="002B03B4">
            <w:pPr>
              <w:suppressAutoHyphens w:val="0"/>
              <w:spacing w:before="80" w:after="80" w:line="200" w:lineRule="exact"/>
              <w:ind w:right="113"/>
              <w:jc w:val="right"/>
              <w:rPr>
                <w:i/>
                <w:sz w:val="16"/>
              </w:rPr>
            </w:pPr>
          </w:p>
        </w:tc>
        <w:tc>
          <w:tcPr>
            <w:tcW w:w="1016" w:type="dxa"/>
            <w:tcBorders>
              <w:top w:val="single" w:sz="4" w:space="0" w:color="auto"/>
              <w:bottom w:val="single" w:sz="12" w:space="0" w:color="auto"/>
            </w:tcBorders>
            <w:shd w:val="clear" w:color="auto" w:fill="auto"/>
            <w:noWrap/>
            <w:vAlign w:val="bottom"/>
            <w:hideMark/>
          </w:tcPr>
          <w:p w:rsidR="00F233AB" w:rsidRPr="002B03B4" w:rsidRDefault="00F233AB" w:rsidP="002B03B4">
            <w:pPr>
              <w:suppressAutoHyphens w:val="0"/>
              <w:spacing w:before="80" w:after="80" w:line="200" w:lineRule="exact"/>
              <w:ind w:right="113"/>
              <w:jc w:val="right"/>
              <w:rPr>
                <w:i/>
                <w:sz w:val="16"/>
              </w:rPr>
            </w:pPr>
            <w:r w:rsidRPr="002B03B4">
              <w:rPr>
                <w:i/>
                <w:sz w:val="16"/>
              </w:rPr>
              <w:t>2011</w:t>
            </w:r>
          </w:p>
        </w:tc>
        <w:tc>
          <w:tcPr>
            <w:tcW w:w="1015" w:type="dxa"/>
            <w:tcBorders>
              <w:top w:val="single" w:sz="4" w:space="0" w:color="auto"/>
              <w:bottom w:val="single" w:sz="12" w:space="0" w:color="auto"/>
            </w:tcBorders>
            <w:shd w:val="clear" w:color="auto" w:fill="auto"/>
            <w:noWrap/>
            <w:vAlign w:val="bottom"/>
            <w:hideMark/>
          </w:tcPr>
          <w:p w:rsidR="00F233AB" w:rsidRPr="002B03B4" w:rsidRDefault="00F233AB" w:rsidP="002B03B4">
            <w:pPr>
              <w:suppressAutoHyphens w:val="0"/>
              <w:spacing w:before="80" w:after="80" w:line="200" w:lineRule="exact"/>
              <w:ind w:right="113"/>
              <w:jc w:val="right"/>
              <w:rPr>
                <w:i/>
                <w:sz w:val="16"/>
              </w:rPr>
            </w:pPr>
            <w:r w:rsidRPr="002B03B4">
              <w:rPr>
                <w:i/>
                <w:sz w:val="16"/>
              </w:rPr>
              <w:t>2012</w:t>
            </w:r>
          </w:p>
        </w:tc>
        <w:tc>
          <w:tcPr>
            <w:tcW w:w="1148" w:type="dxa"/>
            <w:tcBorders>
              <w:top w:val="single" w:sz="4" w:space="0" w:color="auto"/>
              <w:bottom w:val="single" w:sz="12" w:space="0" w:color="auto"/>
            </w:tcBorders>
            <w:shd w:val="clear" w:color="auto" w:fill="auto"/>
            <w:noWrap/>
            <w:vAlign w:val="bottom"/>
            <w:hideMark/>
          </w:tcPr>
          <w:p w:rsidR="00F233AB" w:rsidRPr="002B03B4" w:rsidRDefault="00F233AB" w:rsidP="002B03B4">
            <w:pPr>
              <w:suppressAutoHyphens w:val="0"/>
              <w:spacing w:before="80" w:after="80" w:line="200" w:lineRule="exact"/>
              <w:ind w:right="113"/>
              <w:jc w:val="right"/>
              <w:rPr>
                <w:i/>
                <w:sz w:val="16"/>
              </w:rPr>
            </w:pPr>
            <w:r w:rsidRPr="002B03B4">
              <w:rPr>
                <w:i/>
                <w:sz w:val="16"/>
              </w:rPr>
              <w:t>2013</w:t>
            </w:r>
          </w:p>
        </w:tc>
        <w:tc>
          <w:tcPr>
            <w:tcW w:w="1015" w:type="dxa"/>
            <w:tcBorders>
              <w:top w:val="single" w:sz="4" w:space="0" w:color="auto"/>
              <w:bottom w:val="single" w:sz="12" w:space="0" w:color="auto"/>
            </w:tcBorders>
            <w:shd w:val="clear" w:color="auto" w:fill="auto"/>
            <w:noWrap/>
            <w:vAlign w:val="bottom"/>
            <w:hideMark/>
          </w:tcPr>
          <w:p w:rsidR="00F233AB" w:rsidRPr="002B03B4" w:rsidRDefault="00F233AB" w:rsidP="002B03B4">
            <w:pPr>
              <w:suppressAutoHyphens w:val="0"/>
              <w:spacing w:before="80" w:after="80" w:line="200" w:lineRule="exact"/>
              <w:ind w:right="113"/>
              <w:jc w:val="right"/>
              <w:rPr>
                <w:i/>
                <w:sz w:val="16"/>
              </w:rPr>
            </w:pPr>
            <w:r w:rsidRPr="002B03B4">
              <w:rPr>
                <w:i/>
                <w:sz w:val="16"/>
              </w:rPr>
              <w:t>2014</w:t>
            </w:r>
          </w:p>
        </w:tc>
        <w:tc>
          <w:tcPr>
            <w:tcW w:w="1015" w:type="dxa"/>
            <w:tcBorders>
              <w:top w:val="single" w:sz="4" w:space="0" w:color="auto"/>
              <w:bottom w:val="single" w:sz="12" w:space="0" w:color="auto"/>
            </w:tcBorders>
            <w:shd w:val="clear" w:color="auto" w:fill="auto"/>
            <w:noWrap/>
            <w:vAlign w:val="bottom"/>
            <w:hideMark/>
          </w:tcPr>
          <w:p w:rsidR="00F233AB" w:rsidRPr="002B03B4" w:rsidRDefault="00F233AB" w:rsidP="002B03B4">
            <w:pPr>
              <w:suppressAutoHyphens w:val="0"/>
              <w:spacing w:before="80" w:after="80" w:line="200" w:lineRule="exact"/>
              <w:ind w:right="113"/>
              <w:jc w:val="right"/>
              <w:rPr>
                <w:i/>
                <w:sz w:val="16"/>
              </w:rPr>
            </w:pPr>
            <w:r w:rsidRPr="002B03B4">
              <w:rPr>
                <w:i/>
                <w:sz w:val="16"/>
              </w:rPr>
              <w:t>2015</w:t>
            </w:r>
          </w:p>
        </w:tc>
        <w:tc>
          <w:tcPr>
            <w:tcW w:w="1015" w:type="dxa"/>
            <w:tcBorders>
              <w:top w:val="single" w:sz="4" w:space="0" w:color="auto"/>
              <w:bottom w:val="single" w:sz="12" w:space="0" w:color="auto"/>
            </w:tcBorders>
            <w:shd w:val="clear" w:color="auto" w:fill="auto"/>
            <w:noWrap/>
            <w:vAlign w:val="bottom"/>
            <w:hideMark/>
          </w:tcPr>
          <w:p w:rsidR="00F233AB" w:rsidRPr="002B03B4" w:rsidRDefault="00F233AB" w:rsidP="002B03B4">
            <w:pPr>
              <w:suppressAutoHyphens w:val="0"/>
              <w:spacing w:before="80" w:after="80" w:line="200" w:lineRule="exact"/>
              <w:ind w:right="113"/>
              <w:jc w:val="right"/>
              <w:rPr>
                <w:i/>
                <w:sz w:val="16"/>
              </w:rPr>
            </w:pPr>
            <w:r w:rsidRPr="002B03B4">
              <w:rPr>
                <w:i/>
                <w:sz w:val="16"/>
              </w:rPr>
              <w:t>2016</w:t>
            </w:r>
          </w:p>
        </w:tc>
      </w:tr>
      <w:tr w:rsidR="00F233AB" w:rsidRPr="002B03B4" w:rsidTr="003F4F97">
        <w:tc>
          <w:tcPr>
            <w:tcW w:w="1148" w:type="dxa"/>
            <w:tcBorders>
              <w:top w:val="single" w:sz="12" w:space="0" w:color="auto"/>
              <w:bottom w:val="single" w:sz="4" w:space="0" w:color="auto"/>
            </w:tcBorders>
            <w:shd w:val="clear" w:color="auto" w:fill="auto"/>
            <w:noWrap/>
            <w:hideMark/>
          </w:tcPr>
          <w:p w:rsidR="00F233AB" w:rsidRPr="002B03B4" w:rsidRDefault="002B03B4" w:rsidP="002B03B4">
            <w:pPr>
              <w:suppressAutoHyphens w:val="0"/>
              <w:spacing w:before="40" w:after="40" w:line="220" w:lineRule="exact"/>
              <w:ind w:right="113"/>
              <w:rPr>
                <w:b/>
                <w:bCs/>
                <w:sz w:val="18"/>
              </w:rPr>
            </w:pPr>
            <w:r w:rsidRPr="002B03B4">
              <w:rPr>
                <w:b/>
                <w:bCs/>
                <w:sz w:val="18"/>
              </w:rPr>
              <w:t>Total Greece</w:t>
            </w:r>
          </w:p>
        </w:tc>
        <w:tc>
          <w:tcPr>
            <w:tcW w:w="1016" w:type="dxa"/>
            <w:tcBorders>
              <w:top w:val="single" w:sz="12" w:space="0" w:color="auto"/>
              <w:bottom w:val="single" w:sz="4" w:space="0" w:color="auto"/>
            </w:tcBorders>
            <w:shd w:val="clear" w:color="auto" w:fill="auto"/>
            <w:noWrap/>
            <w:vAlign w:val="bottom"/>
            <w:hideMark/>
          </w:tcPr>
          <w:p w:rsidR="00F233AB" w:rsidRPr="002B03B4" w:rsidRDefault="00F233AB" w:rsidP="002B03B4">
            <w:pPr>
              <w:suppressAutoHyphens w:val="0"/>
              <w:spacing w:before="40" w:after="40" w:line="220" w:lineRule="exact"/>
              <w:ind w:right="113"/>
              <w:jc w:val="right"/>
              <w:rPr>
                <w:b/>
                <w:bCs/>
                <w:sz w:val="18"/>
              </w:rPr>
            </w:pPr>
            <w:r w:rsidRPr="002B03B4">
              <w:rPr>
                <w:b/>
                <w:bCs/>
                <w:sz w:val="18"/>
              </w:rPr>
              <w:t>11</w:t>
            </w:r>
            <w:r w:rsidR="00BB74DD">
              <w:rPr>
                <w:b/>
                <w:bCs/>
                <w:sz w:val="18"/>
              </w:rPr>
              <w:t xml:space="preserve"> </w:t>
            </w:r>
            <w:r w:rsidRPr="002B03B4">
              <w:rPr>
                <w:b/>
                <w:bCs/>
                <w:sz w:val="18"/>
              </w:rPr>
              <w:t>123</w:t>
            </w:r>
            <w:r w:rsidR="00BB74DD">
              <w:rPr>
                <w:b/>
                <w:bCs/>
                <w:sz w:val="18"/>
              </w:rPr>
              <w:t xml:space="preserve"> </w:t>
            </w:r>
            <w:r w:rsidRPr="002B03B4">
              <w:rPr>
                <w:b/>
                <w:bCs/>
                <w:sz w:val="18"/>
              </w:rPr>
              <w:t>392</w:t>
            </w:r>
          </w:p>
        </w:tc>
        <w:tc>
          <w:tcPr>
            <w:tcW w:w="1015" w:type="dxa"/>
            <w:tcBorders>
              <w:top w:val="single" w:sz="12" w:space="0" w:color="auto"/>
              <w:bottom w:val="single" w:sz="4" w:space="0" w:color="auto"/>
            </w:tcBorders>
            <w:shd w:val="clear" w:color="auto" w:fill="auto"/>
            <w:noWrap/>
            <w:vAlign w:val="bottom"/>
            <w:hideMark/>
          </w:tcPr>
          <w:p w:rsidR="00F233AB" w:rsidRPr="002B03B4" w:rsidRDefault="00F233AB" w:rsidP="002B03B4">
            <w:pPr>
              <w:suppressAutoHyphens w:val="0"/>
              <w:spacing w:before="40" w:after="40" w:line="220" w:lineRule="exact"/>
              <w:ind w:right="113"/>
              <w:jc w:val="right"/>
              <w:rPr>
                <w:b/>
                <w:bCs/>
                <w:sz w:val="18"/>
              </w:rPr>
            </w:pPr>
            <w:r w:rsidRPr="002B03B4">
              <w:rPr>
                <w:b/>
                <w:bCs/>
                <w:sz w:val="18"/>
              </w:rPr>
              <w:t>11</w:t>
            </w:r>
            <w:r w:rsidR="00BB74DD">
              <w:rPr>
                <w:b/>
                <w:bCs/>
                <w:sz w:val="18"/>
              </w:rPr>
              <w:t xml:space="preserve"> </w:t>
            </w:r>
            <w:r w:rsidRPr="002B03B4">
              <w:rPr>
                <w:b/>
                <w:bCs/>
                <w:sz w:val="18"/>
              </w:rPr>
              <w:t>086</w:t>
            </w:r>
            <w:r w:rsidR="00BB74DD">
              <w:rPr>
                <w:b/>
                <w:bCs/>
                <w:sz w:val="18"/>
              </w:rPr>
              <w:t xml:space="preserve"> </w:t>
            </w:r>
            <w:r w:rsidRPr="002B03B4">
              <w:rPr>
                <w:b/>
                <w:bCs/>
                <w:sz w:val="18"/>
              </w:rPr>
              <w:t>406</w:t>
            </w:r>
          </w:p>
        </w:tc>
        <w:tc>
          <w:tcPr>
            <w:tcW w:w="1148" w:type="dxa"/>
            <w:tcBorders>
              <w:top w:val="single" w:sz="12" w:space="0" w:color="auto"/>
              <w:bottom w:val="single" w:sz="4" w:space="0" w:color="auto"/>
            </w:tcBorders>
            <w:shd w:val="clear" w:color="auto" w:fill="auto"/>
            <w:noWrap/>
            <w:vAlign w:val="bottom"/>
            <w:hideMark/>
          </w:tcPr>
          <w:p w:rsidR="00F233AB" w:rsidRPr="002B03B4" w:rsidRDefault="00F233AB" w:rsidP="002B03B4">
            <w:pPr>
              <w:suppressAutoHyphens w:val="0"/>
              <w:spacing w:before="40" w:after="40" w:line="220" w:lineRule="exact"/>
              <w:ind w:right="113"/>
              <w:jc w:val="right"/>
              <w:rPr>
                <w:b/>
                <w:bCs/>
                <w:sz w:val="18"/>
              </w:rPr>
            </w:pPr>
            <w:r w:rsidRPr="002B03B4">
              <w:rPr>
                <w:b/>
                <w:bCs/>
                <w:sz w:val="18"/>
              </w:rPr>
              <w:t>11</w:t>
            </w:r>
            <w:r w:rsidR="00BB74DD">
              <w:rPr>
                <w:b/>
                <w:bCs/>
                <w:sz w:val="18"/>
              </w:rPr>
              <w:t xml:space="preserve"> </w:t>
            </w:r>
            <w:r w:rsidRPr="002B03B4">
              <w:rPr>
                <w:b/>
                <w:bCs/>
                <w:sz w:val="18"/>
              </w:rPr>
              <w:t>003</w:t>
            </w:r>
            <w:r w:rsidR="00BB74DD">
              <w:rPr>
                <w:b/>
                <w:bCs/>
                <w:sz w:val="18"/>
              </w:rPr>
              <w:t xml:space="preserve"> </w:t>
            </w:r>
            <w:r w:rsidRPr="002B03B4">
              <w:rPr>
                <w:b/>
                <w:bCs/>
                <w:sz w:val="18"/>
              </w:rPr>
              <w:t>615</w:t>
            </w:r>
          </w:p>
        </w:tc>
        <w:tc>
          <w:tcPr>
            <w:tcW w:w="1015" w:type="dxa"/>
            <w:tcBorders>
              <w:top w:val="single" w:sz="12" w:space="0" w:color="auto"/>
              <w:bottom w:val="single" w:sz="4" w:space="0" w:color="auto"/>
            </w:tcBorders>
            <w:shd w:val="clear" w:color="auto" w:fill="auto"/>
            <w:noWrap/>
            <w:vAlign w:val="bottom"/>
            <w:hideMark/>
          </w:tcPr>
          <w:p w:rsidR="00F233AB" w:rsidRPr="002B03B4" w:rsidRDefault="00F233AB" w:rsidP="002B03B4">
            <w:pPr>
              <w:suppressAutoHyphens w:val="0"/>
              <w:spacing w:before="40" w:after="40" w:line="220" w:lineRule="exact"/>
              <w:ind w:right="113"/>
              <w:jc w:val="right"/>
              <w:rPr>
                <w:b/>
                <w:bCs/>
                <w:sz w:val="18"/>
              </w:rPr>
            </w:pPr>
            <w:r w:rsidRPr="002B03B4">
              <w:rPr>
                <w:b/>
                <w:bCs/>
                <w:sz w:val="18"/>
              </w:rPr>
              <w:t>10</w:t>
            </w:r>
            <w:r w:rsidR="00BB74DD">
              <w:rPr>
                <w:b/>
                <w:bCs/>
                <w:sz w:val="18"/>
              </w:rPr>
              <w:t xml:space="preserve"> </w:t>
            </w:r>
            <w:r w:rsidRPr="002B03B4">
              <w:rPr>
                <w:b/>
                <w:bCs/>
                <w:sz w:val="18"/>
              </w:rPr>
              <w:t>926</w:t>
            </w:r>
            <w:r w:rsidR="00BB74DD">
              <w:rPr>
                <w:b/>
                <w:bCs/>
                <w:sz w:val="18"/>
              </w:rPr>
              <w:t xml:space="preserve"> </w:t>
            </w:r>
            <w:r w:rsidRPr="002B03B4">
              <w:rPr>
                <w:b/>
                <w:bCs/>
                <w:sz w:val="18"/>
              </w:rPr>
              <w:t>807</w:t>
            </w:r>
          </w:p>
        </w:tc>
        <w:tc>
          <w:tcPr>
            <w:tcW w:w="1015" w:type="dxa"/>
            <w:tcBorders>
              <w:top w:val="single" w:sz="12" w:space="0" w:color="auto"/>
              <w:bottom w:val="single" w:sz="4" w:space="0" w:color="auto"/>
            </w:tcBorders>
            <w:shd w:val="clear" w:color="auto" w:fill="auto"/>
            <w:noWrap/>
            <w:vAlign w:val="bottom"/>
            <w:hideMark/>
          </w:tcPr>
          <w:p w:rsidR="00F233AB" w:rsidRPr="002B03B4" w:rsidRDefault="00F233AB" w:rsidP="002B03B4">
            <w:pPr>
              <w:suppressAutoHyphens w:val="0"/>
              <w:spacing w:before="40" w:after="40" w:line="220" w:lineRule="exact"/>
              <w:ind w:right="113"/>
              <w:jc w:val="right"/>
              <w:rPr>
                <w:b/>
                <w:bCs/>
                <w:sz w:val="18"/>
              </w:rPr>
            </w:pPr>
            <w:r w:rsidRPr="002B03B4">
              <w:rPr>
                <w:b/>
                <w:bCs/>
                <w:sz w:val="18"/>
              </w:rPr>
              <w:t>10</w:t>
            </w:r>
            <w:r w:rsidR="00BB74DD">
              <w:rPr>
                <w:b/>
                <w:bCs/>
                <w:sz w:val="18"/>
              </w:rPr>
              <w:t xml:space="preserve"> </w:t>
            </w:r>
            <w:r w:rsidRPr="002B03B4">
              <w:rPr>
                <w:b/>
                <w:bCs/>
                <w:sz w:val="18"/>
              </w:rPr>
              <w:t>858</w:t>
            </w:r>
            <w:r w:rsidR="00BB74DD">
              <w:rPr>
                <w:b/>
                <w:bCs/>
                <w:sz w:val="18"/>
              </w:rPr>
              <w:t xml:space="preserve"> </w:t>
            </w:r>
            <w:r w:rsidRPr="002B03B4">
              <w:rPr>
                <w:b/>
                <w:bCs/>
                <w:sz w:val="18"/>
              </w:rPr>
              <w:t>018</w:t>
            </w:r>
          </w:p>
        </w:tc>
        <w:tc>
          <w:tcPr>
            <w:tcW w:w="1015" w:type="dxa"/>
            <w:tcBorders>
              <w:top w:val="single" w:sz="12" w:space="0" w:color="auto"/>
              <w:bottom w:val="single" w:sz="4" w:space="0" w:color="auto"/>
            </w:tcBorders>
            <w:shd w:val="clear" w:color="auto" w:fill="auto"/>
            <w:noWrap/>
            <w:vAlign w:val="bottom"/>
            <w:hideMark/>
          </w:tcPr>
          <w:p w:rsidR="00F233AB" w:rsidRPr="002B03B4" w:rsidRDefault="00F233AB" w:rsidP="002B03B4">
            <w:pPr>
              <w:suppressAutoHyphens w:val="0"/>
              <w:spacing w:before="40" w:after="40" w:line="220" w:lineRule="exact"/>
              <w:ind w:right="113"/>
              <w:jc w:val="right"/>
              <w:rPr>
                <w:b/>
                <w:bCs/>
                <w:sz w:val="18"/>
              </w:rPr>
            </w:pPr>
            <w:r w:rsidRPr="002B03B4">
              <w:rPr>
                <w:b/>
                <w:bCs/>
                <w:sz w:val="18"/>
              </w:rPr>
              <w:t>10</w:t>
            </w:r>
            <w:r w:rsidR="00BB74DD">
              <w:rPr>
                <w:b/>
                <w:bCs/>
                <w:sz w:val="18"/>
              </w:rPr>
              <w:t xml:space="preserve"> </w:t>
            </w:r>
            <w:r w:rsidRPr="002B03B4">
              <w:rPr>
                <w:b/>
                <w:bCs/>
                <w:sz w:val="18"/>
              </w:rPr>
              <w:t>783</w:t>
            </w:r>
            <w:r w:rsidR="00BB74DD">
              <w:rPr>
                <w:b/>
                <w:bCs/>
                <w:sz w:val="18"/>
              </w:rPr>
              <w:t xml:space="preserve"> </w:t>
            </w:r>
            <w:r w:rsidRPr="002B03B4">
              <w:rPr>
                <w:b/>
                <w:bCs/>
                <w:sz w:val="18"/>
              </w:rPr>
              <w:t>748</w:t>
            </w:r>
          </w:p>
        </w:tc>
      </w:tr>
      <w:tr w:rsidR="00F233AB" w:rsidRPr="002B03B4" w:rsidTr="003F4F97">
        <w:tc>
          <w:tcPr>
            <w:tcW w:w="1148" w:type="dxa"/>
            <w:tcBorders>
              <w:top w:val="single" w:sz="4" w:space="0" w:color="auto"/>
            </w:tcBorders>
            <w:shd w:val="clear" w:color="auto" w:fill="auto"/>
            <w:noWrap/>
            <w:hideMark/>
          </w:tcPr>
          <w:p w:rsidR="00F233AB" w:rsidRPr="002B03B4" w:rsidRDefault="00F233AB" w:rsidP="002B03B4">
            <w:pPr>
              <w:suppressAutoHyphens w:val="0"/>
              <w:spacing w:before="40" w:after="40" w:line="220" w:lineRule="exact"/>
              <w:ind w:right="113"/>
              <w:rPr>
                <w:sz w:val="18"/>
              </w:rPr>
            </w:pPr>
            <w:r w:rsidRPr="002B03B4">
              <w:rPr>
                <w:sz w:val="18"/>
              </w:rPr>
              <w:t>0</w:t>
            </w:r>
            <w:r w:rsidR="00A6566E">
              <w:rPr>
                <w:sz w:val="18"/>
              </w:rPr>
              <w:t>–</w:t>
            </w:r>
            <w:r w:rsidRPr="002B03B4">
              <w:rPr>
                <w:sz w:val="18"/>
              </w:rPr>
              <w:t>4</w:t>
            </w:r>
          </w:p>
        </w:tc>
        <w:tc>
          <w:tcPr>
            <w:tcW w:w="1016" w:type="dxa"/>
            <w:tcBorders>
              <w:top w:val="single" w:sz="4" w:space="0" w:color="auto"/>
            </w:tcBorders>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557</w:t>
            </w:r>
            <w:r w:rsidR="00BB74DD">
              <w:rPr>
                <w:sz w:val="18"/>
              </w:rPr>
              <w:t xml:space="preserve"> </w:t>
            </w:r>
            <w:r w:rsidRPr="002B03B4">
              <w:rPr>
                <w:sz w:val="18"/>
              </w:rPr>
              <w:t>150</w:t>
            </w:r>
          </w:p>
        </w:tc>
        <w:tc>
          <w:tcPr>
            <w:tcW w:w="1015" w:type="dxa"/>
            <w:tcBorders>
              <w:top w:val="single" w:sz="4" w:space="0" w:color="auto"/>
            </w:tcBorders>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553</w:t>
            </w:r>
            <w:r w:rsidR="00BB74DD">
              <w:rPr>
                <w:sz w:val="18"/>
              </w:rPr>
              <w:t xml:space="preserve"> </w:t>
            </w:r>
            <w:r w:rsidRPr="002B03B4">
              <w:rPr>
                <w:sz w:val="18"/>
              </w:rPr>
              <w:t>047</w:t>
            </w:r>
          </w:p>
        </w:tc>
        <w:tc>
          <w:tcPr>
            <w:tcW w:w="1148" w:type="dxa"/>
            <w:tcBorders>
              <w:top w:val="single" w:sz="4" w:space="0" w:color="auto"/>
            </w:tcBorders>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543</w:t>
            </w:r>
            <w:r w:rsidR="00BB74DD">
              <w:rPr>
                <w:sz w:val="18"/>
              </w:rPr>
              <w:t xml:space="preserve"> </w:t>
            </w:r>
            <w:r w:rsidRPr="002B03B4">
              <w:rPr>
                <w:sz w:val="18"/>
              </w:rPr>
              <w:t>685</w:t>
            </w:r>
          </w:p>
        </w:tc>
        <w:tc>
          <w:tcPr>
            <w:tcW w:w="1015" w:type="dxa"/>
            <w:tcBorders>
              <w:top w:val="single" w:sz="4" w:space="0" w:color="auto"/>
            </w:tcBorders>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524</w:t>
            </w:r>
            <w:r w:rsidR="00BB74DD">
              <w:rPr>
                <w:sz w:val="18"/>
              </w:rPr>
              <w:t xml:space="preserve"> </w:t>
            </w:r>
            <w:r w:rsidRPr="002B03B4">
              <w:rPr>
                <w:sz w:val="18"/>
              </w:rPr>
              <w:t>284</w:t>
            </w:r>
          </w:p>
        </w:tc>
        <w:tc>
          <w:tcPr>
            <w:tcW w:w="1015" w:type="dxa"/>
            <w:tcBorders>
              <w:top w:val="single" w:sz="4" w:space="0" w:color="auto"/>
            </w:tcBorders>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499</w:t>
            </w:r>
            <w:r w:rsidR="00BB74DD">
              <w:rPr>
                <w:sz w:val="18"/>
              </w:rPr>
              <w:t xml:space="preserve"> </w:t>
            </w:r>
            <w:r w:rsidRPr="002B03B4">
              <w:rPr>
                <w:sz w:val="18"/>
              </w:rPr>
              <w:t>441</w:t>
            </w:r>
          </w:p>
        </w:tc>
        <w:tc>
          <w:tcPr>
            <w:tcW w:w="1015" w:type="dxa"/>
            <w:tcBorders>
              <w:top w:val="single" w:sz="4" w:space="0" w:color="auto"/>
            </w:tcBorders>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479</w:t>
            </w:r>
            <w:r w:rsidR="00BB74DD">
              <w:rPr>
                <w:sz w:val="18"/>
              </w:rPr>
              <w:t xml:space="preserve"> </w:t>
            </w:r>
            <w:r w:rsidRPr="002B03B4">
              <w:rPr>
                <w:sz w:val="18"/>
              </w:rPr>
              <w:t>949</w:t>
            </w:r>
          </w:p>
        </w:tc>
      </w:tr>
      <w:tr w:rsidR="00F233AB" w:rsidRPr="002B03B4" w:rsidTr="003F4F97">
        <w:tc>
          <w:tcPr>
            <w:tcW w:w="1148" w:type="dxa"/>
            <w:shd w:val="clear" w:color="auto" w:fill="auto"/>
            <w:noWrap/>
            <w:hideMark/>
          </w:tcPr>
          <w:p w:rsidR="00F233AB" w:rsidRPr="002B03B4" w:rsidRDefault="00F233AB" w:rsidP="002B03B4">
            <w:pPr>
              <w:suppressAutoHyphens w:val="0"/>
              <w:spacing w:before="40" w:after="40" w:line="220" w:lineRule="exact"/>
              <w:ind w:right="113"/>
              <w:rPr>
                <w:sz w:val="18"/>
              </w:rPr>
            </w:pPr>
            <w:r w:rsidRPr="002B03B4">
              <w:rPr>
                <w:sz w:val="18"/>
              </w:rPr>
              <w:t>5</w:t>
            </w:r>
            <w:r w:rsidR="00A6566E">
              <w:rPr>
                <w:sz w:val="18"/>
              </w:rPr>
              <w:t>–</w:t>
            </w:r>
            <w:r w:rsidRPr="002B03B4">
              <w:rPr>
                <w:sz w:val="18"/>
              </w:rPr>
              <w:t>9</w:t>
            </w:r>
          </w:p>
        </w:tc>
        <w:tc>
          <w:tcPr>
            <w:tcW w:w="1016"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532</w:t>
            </w:r>
            <w:r w:rsidR="00BB74DD">
              <w:rPr>
                <w:sz w:val="18"/>
              </w:rPr>
              <w:t xml:space="preserve"> </w:t>
            </w:r>
            <w:r w:rsidRPr="002B03B4">
              <w:rPr>
                <w:sz w:val="18"/>
              </w:rPr>
              <w:t>350</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535</w:t>
            </w:r>
            <w:r w:rsidR="00BB74DD">
              <w:rPr>
                <w:sz w:val="18"/>
              </w:rPr>
              <w:t xml:space="preserve"> </w:t>
            </w:r>
            <w:r w:rsidRPr="002B03B4">
              <w:rPr>
                <w:sz w:val="18"/>
              </w:rPr>
              <w:t>384</w:t>
            </w:r>
          </w:p>
        </w:tc>
        <w:tc>
          <w:tcPr>
            <w:tcW w:w="1148"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536</w:t>
            </w:r>
            <w:r w:rsidR="00BB74DD">
              <w:rPr>
                <w:sz w:val="18"/>
              </w:rPr>
              <w:t xml:space="preserve"> </w:t>
            </w:r>
            <w:r w:rsidRPr="002B03B4">
              <w:rPr>
                <w:sz w:val="18"/>
              </w:rPr>
              <w:t>061</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542</w:t>
            </w:r>
            <w:r w:rsidR="00BB74DD">
              <w:rPr>
                <w:sz w:val="18"/>
              </w:rPr>
              <w:t xml:space="preserve"> </w:t>
            </w:r>
            <w:r w:rsidRPr="002B03B4">
              <w:rPr>
                <w:sz w:val="18"/>
              </w:rPr>
              <w:t>070</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548</w:t>
            </w:r>
            <w:r w:rsidR="00BB74DD">
              <w:rPr>
                <w:sz w:val="18"/>
              </w:rPr>
              <w:t xml:space="preserve"> </w:t>
            </w:r>
            <w:r w:rsidRPr="002B03B4">
              <w:rPr>
                <w:sz w:val="18"/>
              </w:rPr>
              <w:t>498</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549</w:t>
            </w:r>
            <w:r w:rsidR="00BB74DD">
              <w:rPr>
                <w:sz w:val="18"/>
              </w:rPr>
              <w:t xml:space="preserve"> </w:t>
            </w:r>
            <w:r w:rsidRPr="002B03B4">
              <w:rPr>
                <w:sz w:val="18"/>
              </w:rPr>
              <w:t>235</w:t>
            </w:r>
          </w:p>
        </w:tc>
      </w:tr>
      <w:tr w:rsidR="00F233AB" w:rsidRPr="002B03B4" w:rsidTr="003F4F97">
        <w:tc>
          <w:tcPr>
            <w:tcW w:w="1148" w:type="dxa"/>
            <w:shd w:val="clear" w:color="auto" w:fill="auto"/>
            <w:noWrap/>
            <w:hideMark/>
          </w:tcPr>
          <w:p w:rsidR="00F233AB" w:rsidRPr="002B03B4" w:rsidRDefault="00F233AB" w:rsidP="002B03B4">
            <w:pPr>
              <w:suppressAutoHyphens w:val="0"/>
              <w:spacing w:before="40" w:after="40" w:line="220" w:lineRule="exact"/>
              <w:ind w:right="113"/>
              <w:rPr>
                <w:sz w:val="18"/>
              </w:rPr>
            </w:pPr>
            <w:r w:rsidRPr="002B03B4">
              <w:rPr>
                <w:sz w:val="18"/>
              </w:rPr>
              <w:t>10</w:t>
            </w:r>
            <w:r w:rsidR="00A6566E">
              <w:rPr>
                <w:sz w:val="18"/>
              </w:rPr>
              <w:t>–</w:t>
            </w:r>
            <w:r w:rsidRPr="002B03B4">
              <w:rPr>
                <w:sz w:val="18"/>
              </w:rPr>
              <w:t>14</w:t>
            </w:r>
          </w:p>
        </w:tc>
        <w:tc>
          <w:tcPr>
            <w:tcW w:w="1016"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538</w:t>
            </w:r>
            <w:r w:rsidR="00BB74DD">
              <w:rPr>
                <w:sz w:val="18"/>
              </w:rPr>
              <w:t xml:space="preserve"> </w:t>
            </w:r>
            <w:r w:rsidRPr="002B03B4">
              <w:rPr>
                <w:sz w:val="18"/>
              </w:rPr>
              <w:t>754</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537</w:t>
            </w:r>
            <w:r w:rsidR="00BB74DD">
              <w:rPr>
                <w:sz w:val="18"/>
              </w:rPr>
              <w:t xml:space="preserve"> </w:t>
            </w:r>
            <w:r w:rsidRPr="002B03B4">
              <w:rPr>
                <w:sz w:val="18"/>
              </w:rPr>
              <w:t>649</w:t>
            </w:r>
          </w:p>
        </w:tc>
        <w:tc>
          <w:tcPr>
            <w:tcW w:w="1148"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535</w:t>
            </w:r>
            <w:r w:rsidR="00BB74DD">
              <w:rPr>
                <w:sz w:val="18"/>
              </w:rPr>
              <w:t xml:space="preserve"> </w:t>
            </w:r>
            <w:r w:rsidRPr="002B03B4">
              <w:rPr>
                <w:sz w:val="18"/>
              </w:rPr>
              <w:t>872</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533</w:t>
            </w:r>
            <w:r w:rsidR="00BB74DD">
              <w:rPr>
                <w:sz w:val="18"/>
              </w:rPr>
              <w:t xml:space="preserve"> </w:t>
            </w:r>
            <w:r w:rsidRPr="002B03B4">
              <w:rPr>
                <w:sz w:val="18"/>
              </w:rPr>
              <w:t>750</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529</w:t>
            </w:r>
            <w:r w:rsidR="00BB74DD">
              <w:rPr>
                <w:sz w:val="18"/>
              </w:rPr>
              <w:t xml:space="preserve"> </w:t>
            </w:r>
            <w:r w:rsidRPr="002B03B4">
              <w:rPr>
                <w:sz w:val="18"/>
              </w:rPr>
              <w:t>979</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527</w:t>
            </w:r>
            <w:r w:rsidR="00BB74DD">
              <w:rPr>
                <w:sz w:val="18"/>
              </w:rPr>
              <w:t xml:space="preserve"> </w:t>
            </w:r>
            <w:r w:rsidRPr="002B03B4">
              <w:rPr>
                <w:sz w:val="18"/>
              </w:rPr>
              <w:t>579</w:t>
            </w:r>
          </w:p>
        </w:tc>
      </w:tr>
      <w:tr w:rsidR="00F233AB" w:rsidRPr="002B03B4" w:rsidTr="003F4F97">
        <w:tc>
          <w:tcPr>
            <w:tcW w:w="1148" w:type="dxa"/>
            <w:shd w:val="clear" w:color="auto" w:fill="auto"/>
            <w:noWrap/>
            <w:hideMark/>
          </w:tcPr>
          <w:p w:rsidR="00F233AB" w:rsidRPr="002B03B4" w:rsidRDefault="00F233AB" w:rsidP="002B03B4">
            <w:pPr>
              <w:suppressAutoHyphens w:val="0"/>
              <w:spacing w:before="40" w:after="40" w:line="220" w:lineRule="exact"/>
              <w:ind w:right="113"/>
              <w:rPr>
                <w:sz w:val="18"/>
              </w:rPr>
            </w:pPr>
            <w:r w:rsidRPr="002B03B4">
              <w:rPr>
                <w:sz w:val="18"/>
              </w:rPr>
              <w:t>15</w:t>
            </w:r>
            <w:r w:rsidR="00A6566E">
              <w:rPr>
                <w:sz w:val="18"/>
              </w:rPr>
              <w:t>–</w:t>
            </w:r>
            <w:r w:rsidRPr="002B03B4">
              <w:rPr>
                <w:sz w:val="18"/>
              </w:rPr>
              <w:t>19</w:t>
            </w:r>
          </w:p>
        </w:tc>
        <w:tc>
          <w:tcPr>
            <w:tcW w:w="1016"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571</w:t>
            </w:r>
            <w:r w:rsidR="00BB74DD">
              <w:rPr>
                <w:sz w:val="18"/>
              </w:rPr>
              <w:t xml:space="preserve"> </w:t>
            </w:r>
            <w:r w:rsidRPr="002B03B4">
              <w:rPr>
                <w:sz w:val="18"/>
              </w:rPr>
              <w:t>559</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557</w:t>
            </w:r>
            <w:r w:rsidR="00BB74DD">
              <w:rPr>
                <w:sz w:val="18"/>
              </w:rPr>
              <w:t xml:space="preserve"> </w:t>
            </w:r>
            <w:r w:rsidRPr="002B03B4">
              <w:rPr>
                <w:sz w:val="18"/>
              </w:rPr>
              <w:t>552</w:t>
            </w:r>
          </w:p>
        </w:tc>
        <w:tc>
          <w:tcPr>
            <w:tcW w:w="1148"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546</w:t>
            </w:r>
            <w:r w:rsidR="00BB74DD">
              <w:rPr>
                <w:sz w:val="18"/>
              </w:rPr>
              <w:t xml:space="preserve"> </w:t>
            </w:r>
            <w:r w:rsidRPr="002B03B4">
              <w:rPr>
                <w:sz w:val="18"/>
              </w:rPr>
              <w:t>182</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544</w:t>
            </w:r>
            <w:r w:rsidR="00BB74DD">
              <w:rPr>
                <w:sz w:val="18"/>
              </w:rPr>
              <w:t xml:space="preserve"> </w:t>
            </w:r>
            <w:r w:rsidRPr="002B03B4">
              <w:rPr>
                <w:sz w:val="18"/>
              </w:rPr>
              <w:t>020</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537</w:t>
            </w:r>
            <w:r w:rsidR="00BB74DD">
              <w:rPr>
                <w:sz w:val="18"/>
              </w:rPr>
              <w:t xml:space="preserve"> </w:t>
            </w:r>
            <w:r w:rsidRPr="002B03B4">
              <w:rPr>
                <w:sz w:val="18"/>
              </w:rPr>
              <w:t>646</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534</w:t>
            </w:r>
            <w:r w:rsidR="00BB74DD">
              <w:rPr>
                <w:sz w:val="18"/>
              </w:rPr>
              <w:t xml:space="preserve"> </w:t>
            </w:r>
            <w:r w:rsidRPr="002B03B4">
              <w:rPr>
                <w:sz w:val="18"/>
              </w:rPr>
              <w:t>745</w:t>
            </w:r>
          </w:p>
        </w:tc>
      </w:tr>
      <w:tr w:rsidR="00F233AB" w:rsidRPr="002B03B4" w:rsidTr="003F4F97">
        <w:tc>
          <w:tcPr>
            <w:tcW w:w="1148" w:type="dxa"/>
            <w:shd w:val="clear" w:color="auto" w:fill="auto"/>
            <w:noWrap/>
            <w:hideMark/>
          </w:tcPr>
          <w:p w:rsidR="00F233AB" w:rsidRPr="002B03B4" w:rsidRDefault="00F233AB" w:rsidP="002B03B4">
            <w:pPr>
              <w:suppressAutoHyphens w:val="0"/>
              <w:spacing w:before="40" w:after="40" w:line="220" w:lineRule="exact"/>
              <w:ind w:right="113"/>
              <w:rPr>
                <w:sz w:val="18"/>
              </w:rPr>
            </w:pPr>
            <w:r w:rsidRPr="002B03B4">
              <w:rPr>
                <w:sz w:val="18"/>
              </w:rPr>
              <w:t>20</w:t>
            </w:r>
            <w:r w:rsidR="00A6566E">
              <w:rPr>
                <w:sz w:val="18"/>
              </w:rPr>
              <w:t>–</w:t>
            </w:r>
            <w:r w:rsidRPr="002B03B4">
              <w:rPr>
                <w:sz w:val="18"/>
              </w:rPr>
              <w:t>24</w:t>
            </w:r>
          </w:p>
        </w:tc>
        <w:tc>
          <w:tcPr>
            <w:tcW w:w="1016"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641</w:t>
            </w:r>
            <w:r w:rsidR="00BB74DD">
              <w:rPr>
                <w:sz w:val="18"/>
              </w:rPr>
              <w:t xml:space="preserve"> </w:t>
            </w:r>
            <w:r w:rsidRPr="002B03B4">
              <w:rPr>
                <w:sz w:val="18"/>
              </w:rPr>
              <w:t>958</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628</w:t>
            </w:r>
            <w:r w:rsidR="00BB74DD">
              <w:rPr>
                <w:sz w:val="18"/>
              </w:rPr>
              <w:t xml:space="preserve"> </w:t>
            </w:r>
            <w:r w:rsidRPr="002B03B4">
              <w:rPr>
                <w:sz w:val="18"/>
              </w:rPr>
              <w:t>931</w:t>
            </w:r>
          </w:p>
        </w:tc>
        <w:tc>
          <w:tcPr>
            <w:tcW w:w="1148"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617</w:t>
            </w:r>
            <w:r w:rsidR="00BB74DD">
              <w:rPr>
                <w:sz w:val="18"/>
              </w:rPr>
              <w:t xml:space="preserve"> </w:t>
            </w:r>
            <w:r w:rsidRPr="002B03B4">
              <w:rPr>
                <w:sz w:val="18"/>
              </w:rPr>
              <w:t>353</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592</w:t>
            </w:r>
            <w:r w:rsidR="00BB74DD">
              <w:rPr>
                <w:sz w:val="18"/>
              </w:rPr>
              <w:t xml:space="preserve"> </w:t>
            </w:r>
            <w:r w:rsidRPr="002B03B4">
              <w:rPr>
                <w:sz w:val="18"/>
              </w:rPr>
              <w:t>862</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575</w:t>
            </w:r>
            <w:r w:rsidR="00BB74DD">
              <w:rPr>
                <w:sz w:val="18"/>
              </w:rPr>
              <w:t xml:space="preserve"> </w:t>
            </w:r>
            <w:r w:rsidRPr="002B03B4">
              <w:rPr>
                <w:sz w:val="18"/>
              </w:rPr>
              <w:t>134</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558</w:t>
            </w:r>
            <w:r w:rsidR="00BB74DD">
              <w:rPr>
                <w:sz w:val="18"/>
              </w:rPr>
              <w:t xml:space="preserve"> </w:t>
            </w:r>
            <w:r w:rsidRPr="002B03B4">
              <w:rPr>
                <w:sz w:val="18"/>
              </w:rPr>
              <w:t>125</w:t>
            </w:r>
          </w:p>
        </w:tc>
      </w:tr>
      <w:tr w:rsidR="00F233AB" w:rsidRPr="002B03B4" w:rsidTr="003F4F97">
        <w:tc>
          <w:tcPr>
            <w:tcW w:w="1148" w:type="dxa"/>
            <w:shd w:val="clear" w:color="auto" w:fill="auto"/>
            <w:noWrap/>
            <w:hideMark/>
          </w:tcPr>
          <w:p w:rsidR="00F233AB" w:rsidRPr="002B03B4" w:rsidRDefault="00F233AB" w:rsidP="002B03B4">
            <w:pPr>
              <w:suppressAutoHyphens w:val="0"/>
              <w:spacing w:before="40" w:after="40" w:line="220" w:lineRule="exact"/>
              <w:ind w:right="113"/>
              <w:rPr>
                <w:sz w:val="18"/>
              </w:rPr>
            </w:pPr>
            <w:r w:rsidRPr="002B03B4">
              <w:rPr>
                <w:sz w:val="18"/>
              </w:rPr>
              <w:t>25</w:t>
            </w:r>
            <w:r w:rsidR="00A6566E">
              <w:rPr>
                <w:sz w:val="18"/>
              </w:rPr>
              <w:t>–</w:t>
            </w:r>
            <w:r w:rsidRPr="002B03B4">
              <w:rPr>
                <w:sz w:val="18"/>
              </w:rPr>
              <w:t>29</w:t>
            </w:r>
          </w:p>
        </w:tc>
        <w:tc>
          <w:tcPr>
            <w:tcW w:w="1016"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762</w:t>
            </w:r>
            <w:r w:rsidR="00BB74DD">
              <w:rPr>
                <w:sz w:val="18"/>
              </w:rPr>
              <w:t xml:space="preserve"> </w:t>
            </w:r>
            <w:r w:rsidRPr="002B03B4">
              <w:rPr>
                <w:sz w:val="18"/>
              </w:rPr>
              <w:t>992</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719</w:t>
            </w:r>
            <w:r w:rsidR="00BB74DD">
              <w:rPr>
                <w:sz w:val="18"/>
              </w:rPr>
              <w:t xml:space="preserve"> </w:t>
            </w:r>
            <w:r w:rsidRPr="002B03B4">
              <w:rPr>
                <w:sz w:val="18"/>
              </w:rPr>
              <w:t>851</w:t>
            </w:r>
          </w:p>
        </w:tc>
        <w:tc>
          <w:tcPr>
            <w:tcW w:w="1148"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669</w:t>
            </w:r>
            <w:r w:rsidR="00BB74DD">
              <w:rPr>
                <w:sz w:val="18"/>
              </w:rPr>
              <w:t xml:space="preserve"> </w:t>
            </w:r>
            <w:r w:rsidRPr="002B03B4">
              <w:rPr>
                <w:sz w:val="18"/>
              </w:rPr>
              <w:t>605</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634</w:t>
            </w:r>
            <w:r w:rsidR="00BB74DD">
              <w:rPr>
                <w:sz w:val="18"/>
              </w:rPr>
              <w:t xml:space="preserve"> </w:t>
            </w:r>
            <w:r w:rsidRPr="002B03B4">
              <w:rPr>
                <w:sz w:val="18"/>
              </w:rPr>
              <w:t>151</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611</w:t>
            </w:r>
            <w:r w:rsidR="00BB74DD">
              <w:rPr>
                <w:sz w:val="18"/>
              </w:rPr>
              <w:t xml:space="preserve"> </w:t>
            </w:r>
            <w:r w:rsidRPr="002B03B4">
              <w:rPr>
                <w:sz w:val="18"/>
              </w:rPr>
              <w:t>122</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593</w:t>
            </w:r>
            <w:r w:rsidR="00BB74DD">
              <w:rPr>
                <w:sz w:val="18"/>
              </w:rPr>
              <w:t xml:space="preserve"> </w:t>
            </w:r>
            <w:r w:rsidRPr="002B03B4">
              <w:rPr>
                <w:sz w:val="18"/>
              </w:rPr>
              <w:t>655</w:t>
            </w:r>
          </w:p>
        </w:tc>
      </w:tr>
      <w:tr w:rsidR="00F233AB" w:rsidRPr="002B03B4" w:rsidTr="003F4F97">
        <w:tc>
          <w:tcPr>
            <w:tcW w:w="1148" w:type="dxa"/>
            <w:shd w:val="clear" w:color="auto" w:fill="auto"/>
            <w:noWrap/>
            <w:hideMark/>
          </w:tcPr>
          <w:p w:rsidR="00F233AB" w:rsidRPr="002B03B4" w:rsidRDefault="00F233AB" w:rsidP="002B03B4">
            <w:pPr>
              <w:suppressAutoHyphens w:val="0"/>
              <w:spacing w:before="40" w:after="40" w:line="220" w:lineRule="exact"/>
              <w:ind w:right="113"/>
              <w:rPr>
                <w:sz w:val="18"/>
              </w:rPr>
            </w:pPr>
            <w:r w:rsidRPr="002B03B4">
              <w:rPr>
                <w:sz w:val="18"/>
              </w:rPr>
              <w:t>30</w:t>
            </w:r>
            <w:r w:rsidR="00A6566E">
              <w:rPr>
                <w:sz w:val="18"/>
              </w:rPr>
              <w:t>–</w:t>
            </w:r>
            <w:r w:rsidRPr="002B03B4">
              <w:rPr>
                <w:sz w:val="18"/>
              </w:rPr>
              <w:t>34</w:t>
            </w:r>
          </w:p>
        </w:tc>
        <w:tc>
          <w:tcPr>
            <w:tcW w:w="1016"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848</w:t>
            </w:r>
            <w:r w:rsidR="00BB74DD">
              <w:rPr>
                <w:sz w:val="18"/>
              </w:rPr>
              <w:t xml:space="preserve"> </w:t>
            </w:r>
            <w:r w:rsidRPr="002B03B4">
              <w:rPr>
                <w:sz w:val="18"/>
              </w:rPr>
              <w:t>386</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835</w:t>
            </w:r>
            <w:r w:rsidR="00BB74DD">
              <w:rPr>
                <w:sz w:val="18"/>
              </w:rPr>
              <w:t xml:space="preserve"> </w:t>
            </w:r>
            <w:r w:rsidRPr="002B03B4">
              <w:rPr>
                <w:sz w:val="18"/>
              </w:rPr>
              <w:t>417</w:t>
            </w:r>
          </w:p>
        </w:tc>
        <w:tc>
          <w:tcPr>
            <w:tcW w:w="1148"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816</w:t>
            </w:r>
            <w:r w:rsidR="00BB74DD">
              <w:rPr>
                <w:sz w:val="18"/>
              </w:rPr>
              <w:t xml:space="preserve"> </w:t>
            </w:r>
            <w:r w:rsidRPr="002B03B4">
              <w:rPr>
                <w:sz w:val="18"/>
              </w:rPr>
              <w:t>253</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788</w:t>
            </w:r>
            <w:r w:rsidR="00BB74DD">
              <w:rPr>
                <w:sz w:val="18"/>
              </w:rPr>
              <w:t xml:space="preserve"> </w:t>
            </w:r>
            <w:r w:rsidRPr="002B03B4">
              <w:rPr>
                <w:sz w:val="18"/>
              </w:rPr>
              <w:t>252</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751</w:t>
            </w:r>
            <w:r w:rsidR="00BB74DD">
              <w:rPr>
                <w:sz w:val="18"/>
              </w:rPr>
              <w:t xml:space="preserve"> </w:t>
            </w:r>
            <w:r w:rsidRPr="002B03B4">
              <w:rPr>
                <w:sz w:val="18"/>
              </w:rPr>
              <w:t>565</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708</w:t>
            </w:r>
            <w:r w:rsidR="00BB74DD">
              <w:rPr>
                <w:sz w:val="18"/>
              </w:rPr>
              <w:t xml:space="preserve"> </w:t>
            </w:r>
            <w:r w:rsidRPr="002B03B4">
              <w:rPr>
                <w:sz w:val="18"/>
              </w:rPr>
              <w:t>152</w:t>
            </w:r>
          </w:p>
        </w:tc>
      </w:tr>
      <w:tr w:rsidR="00F233AB" w:rsidRPr="002B03B4" w:rsidTr="003F4F97">
        <w:tc>
          <w:tcPr>
            <w:tcW w:w="1148" w:type="dxa"/>
            <w:shd w:val="clear" w:color="auto" w:fill="auto"/>
            <w:noWrap/>
            <w:hideMark/>
          </w:tcPr>
          <w:p w:rsidR="00F233AB" w:rsidRPr="002B03B4" w:rsidRDefault="00F233AB" w:rsidP="002B03B4">
            <w:pPr>
              <w:suppressAutoHyphens w:val="0"/>
              <w:spacing w:before="40" w:after="40" w:line="220" w:lineRule="exact"/>
              <w:ind w:right="113"/>
              <w:rPr>
                <w:sz w:val="18"/>
              </w:rPr>
            </w:pPr>
            <w:r w:rsidRPr="002B03B4">
              <w:rPr>
                <w:sz w:val="18"/>
              </w:rPr>
              <w:t>35</w:t>
            </w:r>
            <w:r w:rsidR="00A6566E">
              <w:rPr>
                <w:sz w:val="18"/>
              </w:rPr>
              <w:t>–</w:t>
            </w:r>
            <w:r w:rsidRPr="002B03B4">
              <w:rPr>
                <w:sz w:val="18"/>
              </w:rPr>
              <w:t>39</w:t>
            </w:r>
          </w:p>
        </w:tc>
        <w:tc>
          <w:tcPr>
            <w:tcW w:w="1016"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842</w:t>
            </w:r>
            <w:r w:rsidR="00BB74DD">
              <w:rPr>
                <w:sz w:val="18"/>
              </w:rPr>
              <w:t xml:space="preserve"> </w:t>
            </w:r>
            <w:r w:rsidRPr="002B03B4">
              <w:rPr>
                <w:sz w:val="18"/>
              </w:rPr>
              <w:t>369</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837</w:t>
            </w:r>
            <w:r w:rsidR="00BB74DD">
              <w:rPr>
                <w:sz w:val="18"/>
              </w:rPr>
              <w:t xml:space="preserve"> </w:t>
            </w:r>
            <w:r w:rsidRPr="002B03B4">
              <w:rPr>
                <w:sz w:val="18"/>
              </w:rPr>
              <w:t>504</w:t>
            </w:r>
          </w:p>
        </w:tc>
        <w:tc>
          <w:tcPr>
            <w:tcW w:w="1148"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826</w:t>
            </w:r>
            <w:r w:rsidR="00BB74DD">
              <w:rPr>
                <w:sz w:val="18"/>
              </w:rPr>
              <w:t xml:space="preserve"> </w:t>
            </w:r>
            <w:r w:rsidRPr="002B03B4">
              <w:rPr>
                <w:sz w:val="18"/>
              </w:rPr>
              <w:t>930</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821</w:t>
            </w:r>
            <w:r w:rsidR="00BB74DD">
              <w:rPr>
                <w:sz w:val="18"/>
              </w:rPr>
              <w:t xml:space="preserve"> </w:t>
            </w:r>
            <w:r w:rsidRPr="002B03B4">
              <w:rPr>
                <w:sz w:val="18"/>
              </w:rPr>
              <w:t>030</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814</w:t>
            </w:r>
            <w:r w:rsidR="00BB74DD">
              <w:rPr>
                <w:sz w:val="18"/>
              </w:rPr>
              <w:t xml:space="preserve"> </w:t>
            </w:r>
            <w:r w:rsidRPr="002B03B4">
              <w:rPr>
                <w:sz w:val="18"/>
              </w:rPr>
              <w:t>165</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807</w:t>
            </w:r>
            <w:r w:rsidR="00BB74DD">
              <w:rPr>
                <w:sz w:val="18"/>
              </w:rPr>
              <w:t xml:space="preserve"> </w:t>
            </w:r>
            <w:r w:rsidRPr="002B03B4">
              <w:rPr>
                <w:sz w:val="18"/>
              </w:rPr>
              <w:t>863</w:t>
            </w:r>
          </w:p>
        </w:tc>
      </w:tr>
      <w:tr w:rsidR="00F233AB" w:rsidRPr="002B03B4" w:rsidTr="003F4F97">
        <w:tc>
          <w:tcPr>
            <w:tcW w:w="1148" w:type="dxa"/>
            <w:shd w:val="clear" w:color="auto" w:fill="auto"/>
            <w:noWrap/>
            <w:hideMark/>
          </w:tcPr>
          <w:p w:rsidR="00F233AB" w:rsidRPr="002B03B4" w:rsidRDefault="00F233AB" w:rsidP="002B03B4">
            <w:pPr>
              <w:suppressAutoHyphens w:val="0"/>
              <w:spacing w:before="40" w:after="40" w:line="220" w:lineRule="exact"/>
              <w:ind w:right="113"/>
              <w:rPr>
                <w:sz w:val="18"/>
              </w:rPr>
            </w:pPr>
            <w:r w:rsidRPr="002B03B4">
              <w:rPr>
                <w:sz w:val="18"/>
              </w:rPr>
              <w:t>40</w:t>
            </w:r>
            <w:r w:rsidR="00A6566E">
              <w:rPr>
                <w:sz w:val="18"/>
              </w:rPr>
              <w:t>–</w:t>
            </w:r>
            <w:r w:rsidRPr="002B03B4">
              <w:rPr>
                <w:sz w:val="18"/>
              </w:rPr>
              <w:t>44</w:t>
            </w:r>
          </w:p>
        </w:tc>
        <w:tc>
          <w:tcPr>
            <w:tcW w:w="1016"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856</w:t>
            </w:r>
            <w:r w:rsidR="00BB74DD">
              <w:rPr>
                <w:sz w:val="18"/>
              </w:rPr>
              <w:t xml:space="preserve"> </w:t>
            </w:r>
            <w:r w:rsidRPr="002B03B4">
              <w:rPr>
                <w:sz w:val="18"/>
              </w:rPr>
              <w:t>767</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857</w:t>
            </w:r>
            <w:r w:rsidR="00BB74DD">
              <w:rPr>
                <w:sz w:val="18"/>
              </w:rPr>
              <w:t xml:space="preserve"> </w:t>
            </w:r>
            <w:r w:rsidRPr="002B03B4">
              <w:rPr>
                <w:sz w:val="18"/>
              </w:rPr>
              <w:t>037</w:t>
            </w:r>
          </w:p>
        </w:tc>
        <w:tc>
          <w:tcPr>
            <w:tcW w:w="1148"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843</w:t>
            </w:r>
            <w:r w:rsidR="00BB74DD">
              <w:rPr>
                <w:sz w:val="18"/>
              </w:rPr>
              <w:t xml:space="preserve"> </w:t>
            </w:r>
            <w:r w:rsidRPr="002B03B4">
              <w:rPr>
                <w:sz w:val="18"/>
              </w:rPr>
              <w:t>884</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828</w:t>
            </w:r>
            <w:r w:rsidR="00BB74DD">
              <w:rPr>
                <w:sz w:val="18"/>
              </w:rPr>
              <w:t xml:space="preserve"> </w:t>
            </w:r>
            <w:r w:rsidRPr="002B03B4">
              <w:rPr>
                <w:sz w:val="18"/>
              </w:rPr>
              <w:t>778</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819</w:t>
            </w:r>
            <w:r w:rsidR="00BB74DD">
              <w:rPr>
                <w:sz w:val="18"/>
              </w:rPr>
              <w:t xml:space="preserve"> </w:t>
            </w:r>
            <w:r w:rsidRPr="002B03B4">
              <w:rPr>
                <w:sz w:val="18"/>
              </w:rPr>
              <w:t>569</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809</w:t>
            </w:r>
            <w:r w:rsidR="00BB74DD">
              <w:rPr>
                <w:sz w:val="18"/>
              </w:rPr>
              <w:t xml:space="preserve"> </w:t>
            </w:r>
            <w:r w:rsidRPr="002B03B4">
              <w:rPr>
                <w:sz w:val="18"/>
              </w:rPr>
              <w:t>810</w:t>
            </w:r>
          </w:p>
        </w:tc>
      </w:tr>
      <w:tr w:rsidR="00F233AB" w:rsidRPr="002B03B4" w:rsidTr="003F4F97">
        <w:tc>
          <w:tcPr>
            <w:tcW w:w="1148" w:type="dxa"/>
            <w:shd w:val="clear" w:color="auto" w:fill="auto"/>
            <w:noWrap/>
            <w:hideMark/>
          </w:tcPr>
          <w:p w:rsidR="00F233AB" w:rsidRPr="002B03B4" w:rsidRDefault="00F233AB" w:rsidP="002B03B4">
            <w:pPr>
              <w:suppressAutoHyphens w:val="0"/>
              <w:spacing w:before="40" w:after="40" w:line="220" w:lineRule="exact"/>
              <w:ind w:right="113"/>
              <w:rPr>
                <w:sz w:val="18"/>
              </w:rPr>
            </w:pPr>
            <w:r w:rsidRPr="002B03B4">
              <w:rPr>
                <w:sz w:val="18"/>
              </w:rPr>
              <w:t>45</w:t>
            </w:r>
            <w:r w:rsidR="00A6566E">
              <w:rPr>
                <w:sz w:val="18"/>
              </w:rPr>
              <w:t>–</w:t>
            </w:r>
            <w:r w:rsidRPr="002B03B4">
              <w:rPr>
                <w:sz w:val="18"/>
              </w:rPr>
              <w:t>49</w:t>
            </w:r>
          </w:p>
        </w:tc>
        <w:tc>
          <w:tcPr>
            <w:tcW w:w="1016"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771</w:t>
            </w:r>
            <w:r w:rsidR="00BB74DD">
              <w:rPr>
                <w:sz w:val="18"/>
              </w:rPr>
              <w:t xml:space="preserve"> </w:t>
            </w:r>
            <w:r w:rsidRPr="002B03B4">
              <w:rPr>
                <w:sz w:val="18"/>
              </w:rPr>
              <w:t>387</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778</w:t>
            </w:r>
            <w:r w:rsidR="00BB74DD">
              <w:rPr>
                <w:sz w:val="18"/>
              </w:rPr>
              <w:t xml:space="preserve"> </w:t>
            </w:r>
            <w:r w:rsidRPr="002B03B4">
              <w:rPr>
                <w:sz w:val="18"/>
              </w:rPr>
              <w:t>229</w:t>
            </w:r>
          </w:p>
        </w:tc>
        <w:tc>
          <w:tcPr>
            <w:tcW w:w="1148"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790</w:t>
            </w:r>
            <w:r w:rsidR="00BB74DD">
              <w:rPr>
                <w:sz w:val="18"/>
              </w:rPr>
              <w:t xml:space="preserve"> </w:t>
            </w:r>
            <w:r w:rsidRPr="002B03B4">
              <w:rPr>
                <w:sz w:val="18"/>
              </w:rPr>
              <w:t>197</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804</w:t>
            </w:r>
            <w:r w:rsidR="00BB74DD">
              <w:rPr>
                <w:sz w:val="18"/>
              </w:rPr>
              <w:t xml:space="preserve"> </w:t>
            </w:r>
            <w:r w:rsidRPr="002B03B4">
              <w:rPr>
                <w:sz w:val="18"/>
              </w:rPr>
              <w:t>167</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817</w:t>
            </w:r>
            <w:r w:rsidR="00BB74DD">
              <w:rPr>
                <w:sz w:val="18"/>
              </w:rPr>
              <w:t xml:space="preserve"> </w:t>
            </w:r>
            <w:r w:rsidRPr="002B03B4">
              <w:rPr>
                <w:sz w:val="18"/>
              </w:rPr>
              <w:t>301</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824</w:t>
            </w:r>
            <w:r w:rsidR="00BB74DD">
              <w:rPr>
                <w:sz w:val="18"/>
              </w:rPr>
              <w:t xml:space="preserve"> </w:t>
            </w:r>
            <w:r w:rsidRPr="002B03B4">
              <w:rPr>
                <w:sz w:val="18"/>
              </w:rPr>
              <w:t>606</w:t>
            </w:r>
          </w:p>
        </w:tc>
      </w:tr>
      <w:tr w:rsidR="00F233AB" w:rsidRPr="002B03B4" w:rsidTr="003F4F97">
        <w:tc>
          <w:tcPr>
            <w:tcW w:w="1148" w:type="dxa"/>
            <w:shd w:val="clear" w:color="auto" w:fill="auto"/>
            <w:noWrap/>
            <w:hideMark/>
          </w:tcPr>
          <w:p w:rsidR="00F233AB" w:rsidRPr="002B03B4" w:rsidRDefault="00F233AB" w:rsidP="002B03B4">
            <w:pPr>
              <w:suppressAutoHyphens w:val="0"/>
              <w:spacing w:before="40" w:after="40" w:line="220" w:lineRule="exact"/>
              <w:ind w:right="113"/>
              <w:rPr>
                <w:sz w:val="18"/>
              </w:rPr>
            </w:pPr>
            <w:r w:rsidRPr="002B03B4">
              <w:rPr>
                <w:sz w:val="18"/>
              </w:rPr>
              <w:t>50</w:t>
            </w:r>
            <w:r w:rsidR="00A6566E">
              <w:rPr>
                <w:sz w:val="18"/>
              </w:rPr>
              <w:t>–</w:t>
            </w:r>
            <w:r w:rsidRPr="002B03B4">
              <w:rPr>
                <w:sz w:val="18"/>
              </w:rPr>
              <w:t>54</w:t>
            </w:r>
          </w:p>
        </w:tc>
        <w:tc>
          <w:tcPr>
            <w:tcW w:w="1016"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742</w:t>
            </w:r>
            <w:r w:rsidR="00BB74DD">
              <w:rPr>
                <w:sz w:val="18"/>
              </w:rPr>
              <w:t xml:space="preserve"> </w:t>
            </w:r>
            <w:r w:rsidRPr="002B03B4">
              <w:rPr>
                <w:sz w:val="18"/>
              </w:rPr>
              <w:t>438</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745</w:t>
            </w:r>
            <w:r w:rsidR="00BB74DD">
              <w:rPr>
                <w:sz w:val="18"/>
              </w:rPr>
              <w:t xml:space="preserve"> </w:t>
            </w:r>
            <w:r w:rsidRPr="002B03B4">
              <w:rPr>
                <w:sz w:val="18"/>
              </w:rPr>
              <w:t>506</w:t>
            </w:r>
          </w:p>
        </w:tc>
        <w:tc>
          <w:tcPr>
            <w:tcW w:w="1148"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747</w:t>
            </w:r>
            <w:r w:rsidR="00BB74DD">
              <w:rPr>
                <w:sz w:val="18"/>
              </w:rPr>
              <w:t xml:space="preserve"> </w:t>
            </w:r>
            <w:r w:rsidRPr="002B03B4">
              <w:rPr>
                <w:sz w:val="18"/>
              </w:rPr>
              <w:t>107</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743</w:t>
            </w:r>
            <w:r w:rsidR="00BB74DD">
              <w:rPr>
                <w:sz w:val="18"/>
              </w:rPr>
              <w:t xml:space="preserve"> </w:t>
            </w:r>
            <w:r w:rsidRPr="002B03B4">
              <w:rPr>
                <w:sz w:val="18"/>
              </w:rPr>
              <w:t>459</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739</w:t>
            </w:r>
            <w:r w:rsidR="00BB74DD">
              <w:rPr>
                <w:sz w:val="18"/>
              </w:rPr>
              <w:t xml:space="preserve"> </w:t>
            </w:r>
            <w:r w:rsidRPr="002B03B4">
              <w:rPr>
                <w:sz w:val="18"/>
              </w:rPr>
              <w:t>833</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739</w:t>
            </w:r>
            <w:r w:rsidR="00BB74DD">
              <w:rPr>
                <w:sz w:val="18"/>
              </w:rPr>
              <w:t xml:space="preserve"> </w:t>
            </w:r>
            <w:r w:rsidRPr="002B03B4">
              <w:rPr>
                <w:sz w:val="18"/>
              </w:rPr>
              <w:t>995</w:t>
            </w:r>
          </w:p>
        </w:tc>
      </w:tr>
      <w:tr w:rsidR="00F233AB" w:rsidRPr="002B03B4" w:rsidTr="003F4F97">
        <w:tc>
          <w:tcPr>
            <w:tcW w:w="1148" w:type="dxa"/>
            <w:shd w:val="clear" w:color="auto" w:fill="auto"/>
            <w:noWrap/>
            <w:hideMark/>
          </w:tcPr>
          <w:p w:rsidR="00F233AB" w:rsidRPr="002B03B4" w:rsidRDefault="00F233AB" w:rsidP="002B03B4">
            <w:pPr>
              <w:suppressAutoHyphens w:val="0"/>
              <w:spacing w:before="40" w:after="40" w:line="220" w:lineRule="exact"/>
              <w:ind w:right="113"/>
              <w:rPr>
                <w:sz w:val="18"/>
              </w:rPr>
            </w:pPr>
            <w:r w:rsidRPr="002B03B4">
              <w:rPr>
                <w:sz w:val="18"/>
              </w:rPr>
              <w:t>55</w:t>
            </w:r>
            <w:r w:rsidR="00A6566E">
              <w:rPr>
                <w:sz w:val="18"/>
              </w:rPr>
              <w:t>–</w:t>
            </w:r>
            <w:r w:rsidRPr="002B03B4">
              <w:rPr>
                <w:sz w:val="18"/>
              </w:rPr>
              <w:t>59</w:t>
            </w:r>
          </w:p>
        </w:tc>
        <w:tc>
          <w:tcPr>
            <w:tcW w:w="1016"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670</w:t>
            </w:r>
            <w:r w:rsidR="00BB74DD">
              <w:rPr>
                <w:sz w:val="18"/>
              </w:rPr>
              <w:t xml:space="preserve"> </w:t>
            </w:r>
            <w:r w:rsidRPr="002B03B4">
              <w:rPr>
                <w:sz w:val="18"/>
              </w:rPr>
              <w:t>680</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680</w:t>
            </w:r>
            <w:r w:rsidR="00BB74DD">
              <w:rPr>
                <w:sz w:val="18"/>
              </w:rPr>
              <w:t xml:space="preserve"> </w:t>
            </w:r>
            <w:r w:rsidRPr="002B03B4">
              <w:rPr>
                <w:sz w:val="18"/>
              </w:rPr>
              <w:t>070</w:t>
            </w:r>
          </w:p>
        </w:tc>
        <w:tc>
          <w:tcPr>
            <w:tcW w:w="1148"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685</w:t>
            </w:r>
            <w:r w:rsidR="00BB74DD">
              <w:rPr>
                <w:sz w:val="18"/>
              </w:rPr>
              <w:t xml:space="preserve"> </w:t>
            </w:r>
            <w:r w:rsidRPr="002B03B4">
              <w:rPr>
                <w:sz w:val="18"/>
              </w:rPr>
              <w:t>822</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697</w:t>
            </w:r>
            <w:r w:rsidR="00BB74DD">
              <w:rPr>
                <w:sz w:val="18"/>
              </w:rPr>
              <w:t xml:space="preserve"> </w:t>
            </w:r>
            <w:r w:rsidRPr="002B03B4">
              <w:rPr>
                <w:sz w:val="18"/>
              </w:rPr>
              <w:t>196</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707</w:t>
            </w:r>
            <w:r w:rsidR="00BB74DD">
              <w:rPr>
                <w:sz w:val="18"/>
              </w:rPr>
              <w:t xml:space="preserve"> </w:t>
            </w:r>
            <w:r w:rsidRPr="002B03B4">
              <w:rPr>
                <w:sz w:val="18"/>
              </w:rPr>
              <w:t>641</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712</w:t>
            </w:r>
            <w:r w:rsidR="00BB74DD">
              <w:rPr>
                <w:sz w:val="18"/>
              </w:rPr>
              <w:t xml:space="preserve"> </w:t>
            </w:r>
            <w:r w:rsidRPr="002B03B4">
              <w:rPr>
                <w:sz w:val="18"/>
              </w:rPr>
              <w:t>322</w:t>
            </w:r>
          </w:p>
        </w:tc>
      </w:tr>
      <w:tr w:rsidR="00F233AB" w:rsidRPr="002B03B4" w:rsidTr="003F4F97">
        <w:tc>
          <w:tcPr>
            <w:tcW w:w="1148" w:type="dxa"/>
            <w:shd w:val="clear" w:color="auto" w:fill="auto"/>
            <w:noWrap/>
            <w:hideMark/>
          </w:tcPr>
          <w:p w:rsidR="00F233AB" w:rsidRPr="002B03B4" w:rsidRDefault="00F233AB" w:rsidP="002B03B4">
            <w:pPr>
              <w:suppressAutoHyphens w:val="0"/>
              <w:spacing w:before="40" w:after="40" w:line="220" w:lineRule="exact"/>
              <w:ind w:right="113"/>
              <w:rPr>
                <w:sz w:val="18"/>
              </w:rPr>
            </w:pPr>
            <w:r w:rsidRPr="002B03B4">
              <w:rPr>
                <w:sz w:val="18"/>
              </w:rPr>
              <w:t>60</w:t>
            </w:r>
            <w:r w:rsidR="00A6566E">
              <w:rPr>
                <w:sz w:val="18"/>
              </w:rPr>
              <w:t>–</w:t>
            </w:r>
            <w:r w:rsidRPr="002B03B4">
              <w:rPr>
                <w:sz w:val="18"/>
              </w:rPr>
              <w:t>64</w:t>
            </w:r>
          </w:p>
        </w:tc>
        <w:tc>
          <w:tcPr>
            <w:tcW w:w="1016"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640</w:t>
            </w:r>
            <w:r w:rsidR="00BB74DD">
              <w:rPr>
                <w:sz w:val="18"/>
              </w:rPr>
              <w:t xml:space="preserve"> </w:t>
            </w:r>
            <w:r w:rsidRPr="002B03B4">
              <w:rPr>
                <w:sz w:val="18"/>
              </w:rPr>
              <w:t>889</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639</w:t>
            </w:r>
            <w:r w:rsidR="00BB74DD">
              <w:rPr>
                <w:sz w:val="18"/>
              </w:rPr>
              <w:t xml:space="preserve"> </w:t>
            </w:r>
            <w:r w:rsidRPr="002B03B4">
              <w:rPr>
                <w:sz w:val="18"/>
              </w:rPr>
              <w:t>768</w:t>
            </w:r>
          </w:p>
        </w:tc>
        <w:tc>
          <w:tcPr>
            <w:tcW w:w="1148"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636</w:t>
            </w:r>
            <w:r w:rsidR="00BB74DD">
              <w:rPr>
                <w:sz w:val="18"/>
              </w:rPr>
              <w:t xml:space="preserve"> </w:t>
            </w:r>
            <w:r w:rsidRPr="002B03B4">
              <w:rPr>
                <w:sz w:val="18"/>
              </w:rPr>
              <w:t>908</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634</w:t>
            </w:r>
            <w:r w:rsidR="00BB74DD">
              <w:rPr>
                <w:sz w:val="18"/>
              </w:rPr>
              <w:t xml:space="preserve"> </w:t>
            </w:r>
            <w:r w:rsidRPr="002B03B4">
              <w:rPr>
                <w:sz w:val="18"/>
              </w:rPr>
              <w:t>261</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637</w:t>
            </w:r>
            <w:r w:rsidR="00BB74DD">
              <w:rPr>
                <w:sz w:val="18"/>
              </w:rPr>
              <w:t xml:space="preserve"> </w:t>
            </w:r>
            <w:r w:rsidRPr="002B03B4">
              <w:rPr>
                <w:sz w:val="18"/>
              </w:rPr>
              <w:t>051</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644</w:t>
            </w:r>
            <w:r w:rsidR="00BB74DD">
              <w:rPr>
                <w:sz w:val="18"/>
              </w:rPr>
              <w:t xml:space="preserve"> </w:t>
            </w:r>
            <w:r w:rsidRPr="002B03B4">
              <w:rPr>
                <w:sz w:val="18"/>
              </w:rPr>
              <w:t>859</w:t>
            </w:r>
          </w:p>
        </w:tc>
      </w:tr>
      <w:tr w:rsidR="00F233AB" w:rsidRPr="002B03B4" w:rsidTr="003F4F97">
        <w:tc>
          <w:tcPr>
            <w:tcW w:w="1148" w:type="dxa"/>
            <w:shd w:val="clear" w:color="auto" w:fill="auto"/>
            <w:noWrap/>
            <w:hideMark/>
          </w:tcPr>
          <w:p w:rsidR="00F233AB" w:rsidRPr="002B03B4" w:rsidRDefault="00F233AB" w:rsidP="002B03B4">
            <w:pPr>
              <w:suppressAutoHyphens w:val="0"/>
              <w:spacing w:before="40" w:after="40" w:line="220" w:lineRule="exact"/>
              <w:ind w:right="113"/>
              <w:rPr>
                <w:sz w:val="18"/>
              </w:rPr>
            </w:pPr>
            <w:r w:rsidRPr="002B03B4">
              <w:rPr>
                <w:sz w:val="18"/>
              </w:rPr>
              <w:t>65</w:t>
            </w:r>
            <w:r w:rsidR="00A6566E">
              <w:rPr>
                <w:sz w:val="18"/>
              </w:rPr>
              <w:t>–</w:t>
            </w:r>
            <w:r w:rsidRPr="002B03B4">
              <w:rPr>
                <w:sz w:val="18"/>
              </w:rPr>
              <w:t>69</w:t>
            </w:r>
          </w:p>
        </w:tc>
        <w:tc>
          <w:tcPr>
            <w:tcW w:w="1016"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532</w:t>
            </w:r>
            <w:r w:rsidR="00BB74DD">
              <w:rPr>
                <w:sz w:val="18"/>
              </w:rPr>
              <w:t xml:space="preserve"> </w:t>
            </w:r>
            <w:r w:rsidRPr="002B03B4">
              <w:rPr>
                <w:sz w:val="18"/>
              </w:rPr>
              <w:t>988</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553</w:t>
            </w:r>
            <w:r w:rsidR="00BB74DD">
              <w:rPr>
                <w:sz w:val="18"/>
              </w:rPr>
              <w:t xml:space="preserve"> </w:t>
            </w:r>
            <w:r w:rsidRPr="002B03B4">
              <w:rPr>
                <w:sz w:val="18"/>
              </w:rPr>
              <w:t>892</w:t>
            </w:r>
          </w:p>
        </w:tc>
        <w:tc>
          <w:tcPr>
            <w:tcW w:w="1148"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577</w:t>
            </w:r>
            <w:r w:rsidR="00BB74DD">
              <w:rPr>
                <w:sz w:val="18"/>
              </w:rPr>
              <w:t xml:space="preserve"> </w:t>
            </w:r>
            <w:r w:rsidRPr="002B03B4">
              <w:rPr>
                <w:sz w:val="18"/>
              </w:rPr>
              <w:t>494</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597</w:t>
            </w:r>
            <w:r w:rsidR="00BB74DD">
              <w:rPr>
                <w:sz w:val="18"/>
              </w:rPr>
              <w:t xml:space="preserve"> </w:t>
            </w:r>
            <w:r w:rsidRPr="002B03B4">
              <w:rPr>
                <w:sz w:val="18"/>
              </w:rPr>
              <w:t>042</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608</w:t>
            </w:r>
            <w:r w:rsidR="00BB74DD">
              <w:rPr>
                <w:sz w:val="18"/>
              </w:rPr>
              <w:t xml:space="preserve"> </w:t>
            </w:r>
            <w:r w:rsidRPr="002B03B4">
              <w:rPr>
                <w:sz w:val="18"/>
              </w:rPr>
              <w:t>308</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610</w:t>
            </w:r>
            <w:r w:rsidR="00BB74DD">
              <w:rPr>
                <w:sz w:val="18"/>
              </w:rPr>
              <w:t xml:space="preserve"> </w:t>
            </w:r>
            <w:r w:rsidRPr="002B03B4">
              <w:rPr>
                <w:sz w:val="18"/>
              </w:rPr>
              <w:t>656</w:t>
            </w:r>
          </w:p>
        </w:tc>
      </w:tr>
      <w:tr w:rsidR="00F233AB" w:rsidRPr="002B03B4" w:rsidTr="003F4F97">
        <w:tc>
          <w:tcPr>
            <w:tcW w:w="1148" w:type="dxa"/>
            <w:shd w:val="clear" w:color="auto" w:fill="auto"/>
            <w:noWrap/>
            <w:hideMark/>
          </w:tcPr>
          <w:p w:rsidR="00F233AB" w:rsidRPr="002B03B4" w:rsidRDefault="00F233AB" w:rsidP="002B03B4">
            <w:pPr>
              <w:suppressAutoHyphens w:val="0"/>
              <w:spacing w:before="40" w:after="40" w:line="220" w:lineRule="exact"/>
              <w:ind w:right="113"/>
              <w:rPr>
                <w:sz w:val="18"/>
              </w:rPr>
            </w:pPr>
            <w:r w:rsidRPr="002B03B4">
              <w:rPr>
                <w:sz w:val="18"/>
              </w:rPr>
              <w:t>70</w:t>
            </w:r>
            <w:r w:rsidR="00A6566E">
              <w:rPr>
                <w:sz w:val="18"/>
              </w:rPr>
              <w:t>–</w:t>
            </w:r>
            <w:r w:rsidRPr="002B03B4">
              <w:rPr>
                <w:sz w:val="18"/>
              </w:rPr>
              <w:t>74</w:t>
            </w:r>
          </w:p>
        </w:tc>
        <w:tc>
          <w:tcPr>
            <w:tcW w:w="1016"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550</w:t>
            </w:r>
            <w:r w:rsidR="00BB74DD">
              <w:rPr>
                <w:sz w:val="18"/>
              </w:rPr>
              <w:t xml:space="preserve"> </w:t>
            </w:r>
            <w:r w:rsidRPr="002B03B4">
              <w:rPr>
                <w:sz w:val="18"/>
              </w:rPr>
              <w:t>008</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531</w:t>
            </w:r>
            <w:r w:rsidR="00BB74DD">
              <w:rPr>
                <w:sz w:val="18"/>
              </w:rPr>
              <w:t xml:space="preserve"> </w:t>
            </w:r>
            <w:r w:rsidRPr="002B03B4">
              <w:rPr>
                <w:sz w:val="18"/>
              </w:rPr>
              <w:t>717</w:t>
            </w:r>
          </w:p>
        </w:tc>
        <w:tc>
          <w:tcPr>
            <w:tcW w:w="1148"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509</w:t>
            </w:r>
            <w:r w:rsidR="00BB74DD">
              <w:rPr>
                <w:sz w:val="18"/>
              </w:rPr>
              <w:t xml:space="preserve"> </w:t>
            </w:r>
            <w:r w:rsidRPr="002B03B4">
              <w:rPr>
                <w:sz w:val="18"/>
              </w:rPr>
              <w:t>343</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491</w:t>
            </w:r>
            <w:r w:rsidR="00BB74DD">
              <w:rPr>
                <w:sz w:val="18"/>
              </w:rPr>
              <w:t xml:space="preserve"> </w:t>
            </w:r>
            <w:r w:rsidRPr="002B03B4">
              <w:rPr>
                <w:sz w:val="18"/>
              </w:rPr>
              <w:t>849</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486</w:t>
            </w:r>
            <w:r w:rsidR="00BB74DD">
              <w:rPr>
                <w:sz w:val="18"/>
              </w:rPr>
              <w:t xml:space="preserve"> </w:t>
            </w:r>
            <w:r w:rsidRPr="002B03B4">
              <w:rPr>
                <w:sz w:val="18"/>
              </w:rPr>
              <w:t>907</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497</w:t>
            </w:r>
            <w:r w:rsidR="00BB74DD">
              <w:rPr>
                <w:sz w:val="18"/>
              </w:rPr>
              <w:t xml:space="preserve"> </w:t>
            </w:r>
            <w:r w:rsidRPr="002B03B4">
              <w:rPr>
                <w:sz w:val="18"/>
              </w:rPr>
              <w:t>146</w:t>
            </w:r>
          </w:p>
        </w:tc>
      </w:tr>
      <w:tr w:rsidR="00F233AB" w:rsidRPr="002B03B4" w:rsidTr="003F4F97">
        <w:tc>
          <w:tcPr>
            <w:tcW w:w="1148" w:type="dxa"/>
            <w:shd w:val="clear" w:color="auto" w:fill="auto"/>
            <w:noWrap/>
            <w:hideMark/>
          </w:tcPr>
          <w:p w:rsidR="00F233AB" w:rsidRPr="002B03B4" w:rsidRDefault="00F233AB" w:rsidP="002B03B4">
            <w:pPr>
              <w:suppressAutoHyphens w:val="0"/>
              <w:spacing w:before="40" w:after="40" w:line="220" w:lineRule="exact"/>
              <w:ind w:right="113"/>
              <w:rPr>
                <w:sz w:val="18"/>
              </w:rPr>
            </w:pPr>
            <w:r w:rsidRPr="002B03B4">
              <w:rPr>
                <w:sz w:val="18"/>
              </w:rPr>
              <w:t>75</w:t>
            </w:r>
            <w:r w:rsidR="00A6566E">
              <w:rPr>
                <w:sz w:val="18"/>
              </w:rPr>
              <w:t>–</w:t>
            </w:r>
            <w:r w:rsidRPr="002B03B4">
              <w:rPr>
                <w:sz w:val="18"/>
              </w:rPr>
              <w:t>79</w:t>
            </w:r>
          </w:p>
        </w:tc>
        <w:tc>
          <w:tcPr>
            <w:tcW w:w="1016"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487</w:t>
            </w:r>
            <w:r w:rsidR="00BB74DD">
              <w:rPr>
                <w:sz w:val="18"/>
              </w:rPr>
              <w:t xml:space="preserve"> </w:t>
            </w:r>
            <w:r w:rsidRPr="002B03B4">
              <w:rPr>
                <w:sz w:val="18"/>
              </w:rPr>
              <w:t>574</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490</w:t>
            </w:r>
            <w:r w:rsidR="00BB74DD">
              <w:rPr>
                <w:sz w:val="18"/>
              </w:rPr>
              <w:t xml:space="preserve"> </w:t>
            </w:r>
            <w:r w:rsidRPr="002B03B4">
              <w:rPr>
                <w:sz w:val="18"/>
              </w:rPr>
              <w:t>878</w:t>
            </w:r>
          </w:p>
        </w:tc>
        <w:tc>
          <w:tcPr>
            <w:tcW w:w="1148"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492</w:t>
            </w:r>
            <w:r w:rsidR="00BB74DD">
              <w:rPr>
                <w:sz w:val="18"/>
              </w:rPr>
              <w:t xml:space="preserve"> </w:t>
            </w:r>
            <w:r w:rsidRPr="002B03B4">
              <w:rPr>
                <w:sz w:val="18"/>
              </w:rPr>
              <w:t>939</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494</w:t>
            </w:r>
            <w:r w:rsidR="00BB74DD">
              <w:rPr>
                <w:sz w:val="18"/>
              </w:rPr>
              <w:t xml:space="preserve"> </w:t>
            </w:r>
            <w:r w:rsidRPr="002B03B4">
              <w:rPr>
                <w:sz w:val="18"/>
              </w:rPr>
              <w:t>181</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492</w:t>
            </w:r>
            <w:r w:rsidR="00BB74DD">
              <w:rPr>
                <w:sz w:val="18"/>
              </w:rPr>
              <w:t xml:space="preserve"> </w:t>
            </w:r>
            <w:r w:rsidRPr="002B03B4">
              <w:rPr>
                <w:sz w:val="18"/>
              </w:rPr>
              <w:t>889</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484</w:t>
            </w:r>
            <w:r w:rsidR="00BB74DD">
              <w:rPr>
                <w:sz w:val="18"/>
              </w:rPr>
              <w:t xml:space="preserve"> </w:t>
            </w:r>
            <w:r w:rsidRPr="002B03B4">
              <w:rPr>
                <w:sz w:val="18"/>
              </w:rPr>
              <w:t>040</w:t>
            </w:r>
          </w:p>
        </w:tc>
      </w:tr>
      <w:tr w:rsidR="00F233AB" w:rsidRPr="002B03B4" w:rsidTr="003F4F97">
        <w:tc>
          <w:tcPr>
            <w:tcW w:w="1148" w:type="dxa"/>
            <w:shd w:val="clear" w:color="auto" w:fill="auto"/>
            <w:noWrap/>
            <w:hideMark/>
          </w:tcPr>
          <w:p w:rsidR="00F233AB" w:rsidRPr="002B03B4" w:rsidRDefault="00F233AB" w:rsidP="002B03B4">
            <w:pPr>
              <w:suppressAutoHyphens w:val="0"/>
              <w:spacing w:before="40" w:after="40" w:line="220" w:lineRule="exact"/>
              <w:ind w:right="113"/>
              <w:rPr>
                <w:sz w:val="18"/>
              </w:rPr>
            </w:pPr>
            <w:r w:rsidRPr="002B03B4">
              <w:rPr>
                <w:sz w:val="18"/>
              </w:rPr>
              <w:t>80</w:t>
            </w:r>
            <w:r w:rsidR="00A6566E">
              <w:rPr>
                <w:sz w:val="18"/>
              </w:rPr>
              <w:t>–</w:t>
            </w:r>
            <w:r w:rsidRPr="002B03B4">
              <w:rPr>
                <w:sz w:val="18"/>
              </w:rPr>
              <w:t>84</w:t>
            </w:r>
          </w:p>
        </w:tc>
        <w:tc>
          <w:tcPr>
            <w:tcW w:w="1016"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346</w:t>
            </w:r>
            <w:r w:rsidR="00BB74DD">
              <w:rPr>
                <w:sz w:val="18"/>
              </w:rPr>
              <w:t xml:space="preserve"> </w:t>
            </w:r>
            <w:r w:rsidRPr="002B03B4">
              <w:rPr>
                <w:sz w:val="18"/>
              </w:rPr>
              <w:t>963</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354</w:t>
            </w:r>
            <w:r w:rsidR="00BB74DD">
              <w:rPr>
                <w:sz w:val="18"/>
              </w:rPr>
              <w:t xml:space="preserve"> </w:t>
            </w:r>
            <w:r w:rsidRPr="002B03B4">
              <w:rPr>
                <w:sz w:val="18"/>
              </w:rPr>
              <w:t>627</w:t>
            </w:r>
          </w:p>
        </w:tc>
        <w:tc>
          <w:tcPr>
            <w:tcW w:w="1148"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363</w:t>
            </w:r>
            <w:r w:rsidR="00BB74DD">
              <w:rPr>
                <w:sz w:val="18"/>
              </w:rPr>
              <w:t xml:space="preserve"> </w:t>
            </w:r>
            <w:r w:rsidRPr="002B03B4">
              <w:rPr>
                <w:sz w:val="18"/>
              </w:rPr>
              <w:t>615</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371</w:t>
            </w:r>
            <w:r w:rsidR="00BB74DD">
              <w:rPr>
                <w:sz w:val="18"/>
              </w:rPr>
              <w:t xml:space="preserve"> </w:t>
            </w:r>
            <w:r w:rsidRPr="002B03B4">
              <w:rPr>
                <w:sz w:val="18"/>
              </w:rPr>
              <w:t>407</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377</w:t>
            </w:r>
            <w:r w:rsidR="00BB74DD">
              <w:rPr>
                <w:sz w:val="18"/>
              </w:rPr>
              <w:t xml:space="preserve"> </w:t>
            </w:r>
            <w:r w:rsidRPr="002B03B4">
              <w:rPr>
                <w:sz w:val="18"/>
              </w:rPr>
              <w:t>776</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382</w:t>
            </w:r>
            <w:r w:rsidR="00BB74DD">
              <w:rPr>
                <w:sz w:val="18"/>
              </w:rPr>
              <w:t xml:space="preserve"> </w:t>
            </w:r>
            <w:r w:rsidRPr="002B03B4">
              <w:rPr>
                <w:sz w:val="18"/>
              </w:rPr>
              <w:t>185</w:t>
            </w:r>
          </w:p>
        </w:tc>
      </w:tr>
      <w:tr w:rsidR="00F233AB" w:rsidRPr="002B03B4" w:rsidTr="003F4F97">
        <w:tc>
          <w:tcPr>
            <w:tcW w:w="1148" w:type="dxa"/>
            <w:shd w:val="clear" w:color="auto" w:fill="auto"/>
            <w:noWrap/>
            <w:hideMark/>
          </w:tcPr>
          <w:p w:rsidR="00F233AB" w:rsidRPr="002B03B4" w:rsidRDefault="00F233AB" w:rsidP="002B03B4">
            <w:pPr>
              <w:suppressAutoHyphens w:val="0"/>
              <w:spacing w:before="40" w:after="40" w:line="220" w:lineRule="exact"/>
              <w:ind w:right="113"/>
              <w:rPr>
                <w:sz w:val="18"/>
              </w:rPr>
            </w:pPr>
            <w:r w:rsidRPr="002B03B4">
              <w:rPr>
                <w:sz w:val="18"/>
              </w:rPr>
              <w:t>85+</w:t>
            </w:r>
          </w:p>
        </w:tc>
        <w:tc>
          <w:tcPr>
            <w:tcW w:w="1016"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228</w:t>
            </w:r>
            <w:r w:rsidR="00BB74DD">
              <w:rPr>
                <w:sz w:val="18"/>
              </w:rPr>
              <w:t xml:space="preserve"> </w:t>
            </w:r>
            <w:r w:rsidRPr="002B03B4">
              <w:rPr>
                <w:sz w:val="18"/>
              </w:rPr>
              <w:t>180</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249</w:t>
            </w:r>
            <w:r w:rsidR="00BB74DD">
              <w:rPr>
                <w:sz w:val="18"/>
              </w:rPr>
              <w:t xml:space="preserve"> </w:t>
            </w:r>
            <w:r w:rsidRPr="002B03B4">
              <w:rPr>
                <w:sz w:val="18"/>
              </w:rPr>
              <w:t>347</w:t>
            </w:r>
          </w:p>
        </w:tc>
        <w:tc>
          <w:tcPr>
            <w:tcW w:w="1148"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264</w:t>
            </w:r>
            <w:r w:rsidR="00BB74DD">
              <w:rPr>
                <w:sz w:val="18"/>
              </w:rPr>
              <w:t xml:space="preserve"> </w:t>
            </w:r>
            <w:r w:rsidRPr="002B03B4">
              <w:rPr>
                <w:sz w:val="18"/>
              </w:rPr>
              <w:t>365</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284</w:t>
            </w:r>
            <w:r w:rsidR="00BB74DD">
              <w:rPr>
                <w:sz w:val="18"/>
              </w:rPr>
              <w:t xml:space="preserve"> </w:t>
            </w:r>
            <w:r w:rsidRPr="002B03B4">
              <w:rPr>
                <w:sz w:val="18"/>
              </w:rPr>
              <w:t>048</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303</w:t>
            </w:r>
            <w:r w:rsidR="00BB74DD">
              <w:rPr>
                <w:sz w:val="18"/>
              </w:rPr>
              <w:t xml:space="preserve"> </w:t>
            </w:r>
            <w:r w:rsidRPr="002B03B4">
              <w:rPr>
                <w:sz w:val="18"/>
              </w:rPr>
              <w:t>193</w:t>
            </w:r>
          </w:p>
        </w:tc>
        <w:tc>
          <w:tcPr>
            <w:tcW w:w="1015" w:type="dxa"/>
            <w:shd w:val="clear" w:color="auto" w:fill="auto"/>
            <w:noWrap/>
            <w:vAlign w:val="bottom"/>
            <w:hideMark/>
          </w:tcPr>
          <w:p w:rsidR="00F233AB" w:rsidRPr="002B03B4" w:rsidRDefault="00F233AB" w:rsidP="002B03B4">
            <w:pPr>
              <w:suppressAutoHyphens w:val="0"/>
              <w:spacing w:before="40" w:after="40" w:line="220" w:lineRule="exact"/>
              <w:ind w:right="113"/>
              <w:jc w:val="right"/>
              <w:rPr>
                <w:sz w:val="18"/>
              </w:rPr>
            </w:pPr>
            <w:r w:rsidRPr="002B03B4">
              <w:rPr>
                <w:sz w:val="18"/>
              </w:rPr>
              <w:t>318</w:t>
            </w:r>
            <w:r w:rsidR="00BB74DD">
              <w:rPr>
                <w:sz w:val="18"/>
              </w:rPr>
              <w:t xml:space="preserve"> </w:t>
            </w:r>
            <w:r w:rsidRPr="002B03B4">
              <w:rPr>
                <w:sz w:val="18"/>
              </w:rPr>
              <w:t>826</w:t>
            </w:r>
          </w:p>
        </w:tc>
      </w:tr>
    </w:tbl>
    <w:p w:rsidR="00F233AB" w:rsidRDefault="00F233AB" w:rsidP="00F233AB"/>
    <w:p w:rsidR="00443B5F" w:rsidRPr="00B02247" w:rsidRDefault="00443B5F" w:rsidP="00F233AB"/>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43"/>
        <w:gridCol w:w="2119"/>
        <w:gridCol w:w="3208"/>
      </w:tblGrid>
      <w:tr w:rsidR="00F233AB" w:rsidRPr="00411E3B" w:rsidTr="00411E3B">
        <w:trPr>
          <w:tblHeader/>
        </w:trPr>
        <w:tc>
          <w:tcPr>
            <w:tcW w:w="2043" w:type="dxa"/>
            <w:tcBorders>
              <w:top w:val="single" w:sz="4" w:space="0" w:color="auto"/>
              <w:bottom w:val="single" w:sz="12" w:space="0" w:color="auto"/>
            </w:tcBorders>
            <w:shd w:val="clear" w:color="auto" w:fill="auto"/>
            <w:noWrap/>
            <w:vAlign w:val="bottom"/>
            <w:hideMark/>
          </w:tcPr>
          <w:p w:rsidR="00F233AB" w:rsidRPr="00411E3B" w:rsidRDefault="00F233AB" w:rsidP="00411E3B">
            <w:pPr>
              <w:suppressAutoHyphens w:val="0"/>
              <w:spacing w:before="80" w:after="80" w:line="200" w:lineRule="exact"/>
              <w:ind w:right="113"/>
              <w:rPr>
                <w:i/>
                <w:sz w:val="16"/>
              </w:rPr>
            </w:pPr>
          </w:p>
        </w:tc>
        <w:tc>
          <w:tcPr>
            <w:tcW w:w="5327" w:type="dxa"/>
            <w:gridSpan w:val="2"/>
            <w:tcBorders>
              <w:top w:val="single" w:sz="4" w:space="0" w:color="auto"/>
              <w:bottom w:val="single" w:sz="12" w:space="0" w:color="auto"/>
            </w:tcBorders>
            <w:shd w:val="clear" w:color="auto" w:fill="auto"/>
            <w:noWrap/>
            <w:vAlign w:val="bottom"/>
            <w:hideMark/>
          </w:tcPr>
          <w:p w:rsidR="00F233AB" w:rsidRPr="00411E3B" w:rsidRDefault="00F233AB" w:rsidP="00411E3B">
            <w:pPr>
              <w:suppressAutoHyphens w:val="0"/>
              <w:spacing w:before="80" w:after="80" w:line="200" w:lineRule="exact"/>
              <w:ind w:right="113"/>
              <w:jc w:val="center"/>
              <w:rPr>
                <w:i/>
                <w:sz w:val="16"/>
              </w:rPr>
            </w:pPr>
            <w:r w:rsidRPr="00411E3B">
              <w:rPr>
                <w:i/>
                <w:sz w:val="16"/>
              </w:rPr>
              <w:t>P</w:t>
            </w:r>
            <w:r w:rsidR="00443B5F" w:rsidRPr="00411E3B">
              <w:rPr>
                <w:i/>
                <w:sz w:val="16"/>
              </w:rPr>
              <w:t>opulation</w:t>
            </w:r>
            <w:r w:rsidR="005B2A41" w:rsidRPr="00411E3B">
              <w:rPr>
                <w:i/>
                <w:sz w:val="16"/>
              </w:rPr>
              <w:t xml:space="preserve"> </w:t>
            </w:r>
            <w:r w:rsidR="00443B5F" w:rsidRPr="00411E3B">
              <w:rPr>
                <w:i/>
                <w:sz w:val="16"/>
              </w:rPr>
              <w:t>density</w:t>
            </w:r>
          </w:p>
        </w:tc>
      </w:tr>
      <w:tr w:rsidR="00F233AB" w:rsidRPr="00411E3B" w:rsidTr="00411E3B">
        <w:tc>
          <w:tcPr>
            <w:tcW w:w="2043" w:type="dxa"/>
            <w:tcBorders>
              <w:top w:val="single" w:sz="12" w:space="0" w:color="auto"/>
            </w:tcBorders>
            <w:shd w:val="clear" w:color="auto" w:fill="auto"/>
            <w:noWrap/>
            <w:hideMark/>
          </w:tcPr>
          <w:p w:rsidR="00F233AB" w:rsidRPr="00411E3B" w:rsidRDefault="00F233AB" w:rsidP="00411E3B">
            <w:pPr>
              <w:suppressAutoHyphens w:val="0"/>
              <w:spacing w:before="40" w:after="40" w:line="220" w:lineRule="exact"/>
              <w:ind w:right="113"/>
              <w:rPr>
                <w:sz w:val="18"/>
              </w:rPr>
            </w:pPr>
            <w:r w:rsidRPr="00411E3B">
              <w:rPr>
                <w:sz w:val="18"/>
              </w:rPr>
              <w:t>2011</w:t>
            </w:r>
          </w:p>
        </w:tc>
        <w:tc>
          <w:tcPr>
            <w:tcW w:w="2119" w:type="dxa"/>
            <w:tcBorders>
              <w:top w:val="single" w:sz="12" w:space="0" w:color="auto"/>
            </w:tcBorders>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84</w:t>
            </w:r>
            <w:r w:rsidR="009E0CB7">
              <w:rPr>
                <w:sz w:val="18"/>
              </w:rPr>
              <w:t>.</w:t>
            </w:r>
            <w:r w:rsidRPr="00411E3B">
              <w:rPr>
                <w:sz w:val="18"/>
              </w:rPr>
              <w:t>30</w:t>
            </w:r>
          </w:p>
        </w:tc>
        <w:tc>
          <w:tcPr>
            <w:tcW w:w="3208" w:type="dxa"/>
            <w:tcBorders>
              <w:top w:val="single" w:sz="12" w:space="0" w:color="auto"/>
            </w:tcBorders>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Residents/sq</w:t>
            </w:r>
            <w:r w:rsidR="005B2A41" w:rsidRPr="00411E3B">
              <w:rPr>
                <w:sz w:val="18"/>
              </w:rPr>
              <w:t xml:space="preserve"> </w:t>
            </w:r>
            <w:r w:rsidRPr="00411E3B">
              <w:rPr>
                <w:sz w:val="18"/>
              </w:rPr>
              <w:t>km</w:t>
            </w:r>
          </w:p>
        </w:tc>
      </w:tr>
      <w:tr w:rsidR="00F233AB" w:rsidRPr="00411E3B" w:rsidTr="00411E3B">
        <w:tc>
          <w:tcPr>
            <w:tcW w:w="2043" w:type="dxa"/>
            <w:shd w:val="clear" w:color="auto" w:fill="auto"/>
            <w:noWrap/>
            <w:hideMark/>
          </w:tcPr>
          <w:p w:rsidR="00F233AB" w:rsidRPr="00411E3B" w:rsidRDefault="00F233AB" w:rsidP="00411E3B">
            <w:pPr>
              <w:suppressAutoHyphens w:val="0"/>
              <w:spacing w:before="40" w:after="40" w:line="220" w:lineRule="exact"/>
              <w:ind w:right="113"/>
              <w:rPr>
                <w:sz w:val="18"/>
              </w:rPr>
            </w:pPr>
            <w:r w:rsidRPr="00411E3B">
              <w:rPr>
                <w:sz w:val="18"/>
              </w:rPr>
              <w:t>2012</w:t>
            </w:r>
          </w:p>
        </w:tc>
        <w:tc>
          <w:tcPr>
            <w:tcW w:w="2119" w:type="dxa"/>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84</w:t>
            </w:r>
            <w:r w:rsidR="009E0CB7">
              <w:rPr>
                <w:sz w:val="18"/>
              </w:rPr>
              <w:t>.</w:t>
            </w:r>
            <w:r w:rsidRPr="00411E3B">
              <w:rPr>
                <w:sz w:val="18"/>
              </w:rPr>
              <w:t>02</w:t>
            </w:r>
          </w:p>
        </w:tc>
        <w:tc>
          <w:tcPr>
            <w:tcW w:w="3208" w:type="dxa"/>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Residents/sq</w:t>
            </w:r>
            <w:r w:rsidR="005B2A41" w:rsidRPr="00411E3B">
              <w:rPr>
                <w:sz w:val="18"/>
              </w:rPr>
              <w:t xml:space="preserve"> </w:t>
            </w:r>
            <w:r w:rsidRPr="00411E3B">
              <w:rPr>
                <w:sz w:val="18"/>
              </w:rPr>
              <w:t>km</w:t>
            </w:r>
          </w:p>
        </w:tc>
      </w:tr>
      <w:tr w:rsidR="00F233AB" w:rsidRPr="00411E3B" w:rsidTr="00411E3B">
        <w:tc>
          <w:tcPr>
            <w:tcW w:w="2043" w:type="dxa"/>
            <w:shd w:val="clear" w:color="auto" w:fill="auto"/>
            <w:noWrap/>
            <w:hideMark/>
          </w:tcPr>
          <w:p w:rsidR="00F233AB" w:rsidRPr="00411E3B" w:rsidRDefault="00F233AB" w:rsidP="00411E3B">
            <w:pPr>
              <w:suppressAutoHyphens w:val="0"/>
              <w:spacing w:before="40" w:after="40" w:line="220" w:lineRule="exact"/>
              <w:ind w:right="113"/>
              <w:rPr>
                <w:sz w:val="18"/>
              </w:rPr>
            </w:pPr>
            <w:r w:rsidRPr="00411E3B">
              <w:rPr>
                <w:sz w:val="18"/>
              </w:rPr>
              <w:t>2013</w:t>
            </w:r>
          </w:p>
        </w:tc>
        <w:tc>
          <w:tcPr>
            <w:tcW w:w="2119" w:type="dxa"/>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83</w:t>
            </w:r>
            <w:r w:rsidR="009E0CB7">
              <w:rPr>
                <w:sz w:val="18"/>
              </w:rPr>
              <w:t>.</w:t>
            </w:r>
            <w:r w:rsidRPr="00411E3B">
              <w:rPr>
                <w:sz w:val="18"/>
              </w:rPr>
              <w:t>39</w:t>
            </w:r>
          </w:p>
        </w:tc>
        <w:tc>
          <w:tcPr>
            <w:tcW w:w="3208" w:type="dxa"/>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Residents/sq</w:t>
            </w:r>
            <w:r w:rsidR="005B2A41" w:rsidRPr="00411E3B">
              <w:rPr>
                <w:sz w:val="18"/>
              </w:rPr>
              <w:t xml:space="preserve"> </w:t>
            </w:r>
            <w:r w:rsidRPr="00411E3B">
              <w:rPr>
                <w:sz w:val="18"/>
              </w:rPr>
              <w:t>km</w:t>
            </w:r>
          </w:p>
        </w:tc>
      </w:tr>
      <w:tr w:rsidR="00F233AB" w:rsidRPr="00411E3B" w:rsidTr="00411E3B">
        <w:tc>
          <w:tcPr>
            <w:tcW w:w="2043" w:type="dxa"/>
            <w:shd w:val="clear" w:color="auto" w:fill="auto"/>
            <w:noWrap/>
            <w:hideMark/>
          </w:tcPr>
          <w:p w:rsidR="00F233AB" w:rsidRPr="00411E3B" w:rsidRDefault="00F233AB" w:rsidP="00411E3B">
            <w:pPr>
              <w:suppressAutoHyphens w:val="0"/>
              <w:spacing w:before="40" w:after="40" w:line="220" w:lineRule="exact"/>
              <w:ind w:right="113"/>
              <w:rPr>
                <w:sz w:val="18"/>
              </w:rPr>
            </w:pPr>
            <w:r w:rsidRPr="00411E3B">
              <w:rPr>
                <w:sz w:val="18"/>
              </w:rPr>
              <w:t>2014</w:t>
            </w:r>
          </w:p>
        </w:tc>
        <w:tc>
          <w:tcPr>
            <w:tcW w:w="2119" w:type="dxa"/>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82</w:t>
            </w:r>
            <w:r w:rsidR="009E0CB7">
              <w:rPr>
                <w:sz w:val="18"/>
              </w:rPr>
              <w:t>.</w:t>
            </w:r>
            <w:r w:rsidRPr="00411E3B">
              <w:rPr>
                <w:sz w:val="18"/>
              </w:rPr>
              <w:t>81</w:t>
            </w:r>
          </w:p>
        </w:tc>
        <w:tc>
          <w:tcPr>
            <w:tcW w:w="3208" w:type="dxa"/>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Residents/sq</w:t>
            </w:r>
            <w:r w:rsidR="005B2A41" w:rsidRPr="00411E3B">
              <w:rPr>
                <w:sz w:val="18"/>
              </w:rPr>
              <w:t xml:space="preserve"> </w:t>
            </w:r>
            <w:r w:rsidRPr="00411E3B">
              <w:rPr>
                <w:sz w:val="18"/>
              </w:rPr>
              <w:t>km</w:t>
            </w:r>
          </w:p>
        </w:tc>
      </w:tr>
      <w:tr w:rsidR="00F233AB" w:rsidRPr="00411E3B" w:rsidTr="00411E3B">
        <w:tc>
          <w:tcPr>
            <w:tcW w:w="2043" w:type="dxa"/>
            <w:shd w:val="clear" w:color="auto" w:fill="auto"/>
            <w:noWrap/>
            <w:hideMark/>
          </w:tcPr>
          <w:p w:rsidR="00F233AB" w:rsidRPr="00411E3B" w:rsidRDefault="00F233AB" w:rsidP="00411E3B">
            <w:pPr>
              <w:suppressAutoHyphens w:val="0"/>
              <w:spacing w:before="40" w:after="40" w:line="220" w:lineRule="exact"/>
              <w:ind w:right="113"/>
              <w:rPr>
                <w:sz w:val="18"/>
              </w:rPr>
            </w:pPr>
            <w:r w:rsidRPr="00411E3B">
              <w:rPr>
                <w:sz w:val="18"/>
              </w:rPr>
              <w:t>2015</w:t>
            </w:r>
          </w:p>
        </w:tc>
        <w:tc>
          <w:tcPr>
            <w:tcW w:w="2119" w:type="dxa"/>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82</w:t>
            </w:r>
            <w:r w:rsidR="009E0CB7">
              <w:rPr>
                <w:sz w:val="18"/>
              </w:rPr>
              <w:t>.</w:t>
            </w:r>
            <w:r w:rsidRPr="00411E3B">
              <w:rPr>
                <w:sz w:val="18"/>
              </w:rPr>
              <w:t>28</w:t>
            </w:r>
          </w:p>
        </w:tc>
        <w:tc>
          <w:tcPr>
            <w:tcW w:w="3208" w:type="dxa"/>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Residents/sq</w:t>
            </w:r>
            <w:r w:rsidR="005B2A41" w:rsidRPr="00411E3B">
              <w:rPr>
                <w:sz w:val="18"/>
              </w:rPr>
              <w:t xml:space="preserve"> </w:t>
            </w:r>
            <w:r w:rsidRPr="00411E3B">
              <w:rPr>
                <w:sz w:val="18"/>
              </w:rPr>
              <w:t>km</w:t>
            </w:r>
          </w:p>
        </w:tc>
      </w:tr>
      <w:tr w:rsidR="00F233AB" w:rsidRPr="00411E3B" w:rsidTr="00443B5F">
        <w:tc>
          <w:tcPr>
            <w:tcW w:w="2043" w:type="dxa"/>
            <w:tcBorders>
              <w:bottom w:val="single" w:sz="12" w:space="0" w:color="auto"/>
            </w:tcBorders>
            <w:shd w:val="clear" w:color="auto" w:fill="auto"/>
            <w:noWrap/>
            <w:hideMark/>
          </w:tcPr>
          <w:p w:rsidR="00F233AB" w:rsidRPr="00411E3B" w:rsidRDefault="00F233AB" w:rsidP="00411E3B">
            <w:pPr>
              <w:suppressAutoHyphens w:val="0"/>
              <w:spacing w:before="40" w:after="40" w:line="220" w:lineRule="exact"/>
              <w:ind w:right="113"/>
              <w:rPr>
                <w:sz w:val="18"/>
              </w:rPr>
            </w:pPr>
            <w:r w:rsidRPr="00411E3B">
              <w:rPr>
                <w:sz w:val="18"/>
              </w:rPr>
              <w:t>2016</w:t>
            </w:r>
          </w:p>
        </w:tc>
        <w:tc>
          <w:tcPr>
            <w:tcW w:w="2119" w:type="dxa"/>
            <w:tcBorders>
              <w:bottom w:val="single" w:sz="12" w:space="0" w:color="auto"/>
            </w:tcBorders>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81</w:t>
            </w:r>
            <w:r w:rsidR="009E0CB7">
              <w:rPr>
                <w:sz w:val="18"/>
              </w:rPr>
              <w:t>.</w:t>
            </w:r>
            <w:r w:rsidRPr="00411E3B">
              <w:rPr>
                <w:sz w:val="18"/>
              </w:rPr>
              <w:t>72</w:t>
            </w:r>
          </w:p>
        </w:tc>
        <w:tc>
          <w:tcPr>
            <w:tcW w:w="3208" w:type="dxa"/>
            <w:tcBorders>
              <w:bottom w:val="single" w:sz="12" w:space="0" w:color="auto"/>
            </w:tcBorders>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Residents/sq</w:t>
            </w:r>
            <w:r w:rsidR="005B2A41" w:rsidRPr="00411E3B">
              <w:rPr>
                <w:sz w:val="18"/>
              </w:rPr>
              <w:t xml:space="preserve"> </w:t>
            </w:r>
            <w:r w:rsidRPr="00411E3B">
              <w:rPr>
                <w:sz w:val="18"/>
              </w:rPr>
              <w:t>km</w:t>
            </w:r>
          </w:p>
        </w:tc>
      </w:tr>
      <w:tr w:rsidR="00F233AB" w:rsidRPr="00411E3B" w:rsidTr="00443B5F">
        <w:tc>
          <w:tcPr>
            <w:tcW w:w="2043" w:type="dxa"/>
            <w:tcBorders>
              <w:top w:val="single" w:sz="12" w:space="0" w:color="auto"/>
              <w:bottom w:val="nil"/>
            </w:tcBorders>
            <w:shd w:val="clear" w:color="auto" w:fill="auto"/>
            <w:noWrap/>
            <w:hideMark/>
          </w:tcPr>
          <w:p w:rsidR="00F233AB" w:rsidRPr="00411E3B" w:rsidRDefault="00F233AB" w:rsidP="00411E3B">
            <w:pPr>
              <w:suppressAutoHyphens w:val="0"/>
              <w:spacing w:before="40" w:after="40" w:line="220" w:lineRule="exact"/>
              <w:ind w:right="113"/>
              <w:rPr>
                <w:sz w:val="18"/>
              </w:rPr>
            </w:pPr>
          </w:p>
        </w:tc>
        <w:tc>
          <w:tcPr>
            <w:tcW w:w="5327" w:type="dxa"/>
            <w:gridSpan w:val="2"/>
            <w:tcBorders>
              <w:top w:val="single" w:sz="12" w:space="0" w:color="auto"/>
              <w:bottom w:val="single" w:sz="4" w:space="0" w:color="auto"/>
            </w:tcBorders>
            <w:shd w:val="clear" w:color="auto" w:fill="auto"/>
            <w:noWrap/>
            <w:vAlign w:val="bottom"/>
            <w:hideMark/>
          </w:tcPr>
          <w:p w:rsidR="00F233AB" w:rsidRPr="00411E3B" w:rsidRDefault="00F233AB" w:rsidP="00443B5F">
            <w:pPr>
              <w:suppressAutoHyphens w:val="0"/>
              <w:spacing w:before="80" w:after="80" w:line="200" w:lineRule="exact"/>
              <w:ind w:right="113"/>
              <w:jc w:val="center"/>
              <w:rPr>
                <w:sz w:val="18"/>
              </w:rPr>
            </w:pPr>
            <w:r w:rsidRPr="004C7B38">
              <w:rPr>
                <w:i/>
                <w:sz w:val="16"/>
              </w:rPr>
              <w:t>Percentage</w:t>
            </w:r>
          </w:p>
        </w:tc>
      </w:tr>
      <w:tr w:rsidR="00F233AB" w:rsidRPr="00411E3B" w:rsidTr="00443B5F">
        <w:tc>
          <w:tcPr>
            <w:tcW w:w="2043" w:type="dxa"/>
            <w:tcBorders>
              <w:top w:val="nil"/>
              <w:bottom w:val="single" w:sz="4" w:space="0" w:color="auto"/>
            </w:tcBorders>
            <w:shd w:val="clear" w:color="auto" w:fill="auto"/>
            <w:noWrap/>
            <w:hideMark/>
          </w:tcPr>
          <w:p w:rsidR="00F233AB" w:rsidRPr="00411E3B" w:rsidRDefault="00F233AB" w:rsidP="00411E3B">
            <w:pPr>
              <w:suppressAutoHyphens w:val="0"/>
              <w:spacing w:before="40" w:after="40" w:line="220" w:lineRule="exact"/>
              <w:ind w:right="113"/>
              <w:rPr>
                <w:sz w:val="18"/>
              </w:rPr>
            </w:pPr>
          </w:p>
        </w:tc>
        <w:tc>
          <w:tcPr>
            <w:tcW w:w="2119" w:type="dxa"/>
            <w:tcBorders>
              <w:top w:val="single" w:sz="4" w:space="0" w:color="auto"/>
              <w:bottom w:val="single" w:sz="4" w:space="0" w:color="auto"/>
            </w:tcBorders>
            <w:shd w:val="clear" w:color="auto" w:fill="auto"/>
            <w:noWrap/>
            <w:vAlign w:val="bottom"/>
            <w:hideMark/>
          </w:tcPr>
          <w:p w:rsidR="00F233AB" w:rsidRPr="00443B5F" w:rsidRDefault="00F233AB" w:rsidP="00443B5F">
            <w:pPr>
              <w:suppressAutoHyphens w:val="0"/>
              <w:spacing w:before="80" w:after="80" w:line="200" w:lineRule="exact"/>
              <w:ind w:right="113"/>
              <w:jc w:val="right"/>
              <w:rPr>
                <w:i/>
                <w:sz w:val="16"/>
              </w:rPr>
            </w:pPr>
            <w:r w:rsidRPr="00443B5F">
              <w:rPr>
                <w:i/>
                <w:sz w:val="16"/>
              </w:rPr>
              <w:t>0</w:t>
            </w:r>
            <w:r w:rsidR="00A6566E" w:rsidRPr="00443B5F">
              <w:rPr>
                <w:i/>
                <w:sz w:val="16"/>
              </w:rPr>
              <w:t>–</w:t>
            </w:r>
            <w:r w:rsidRPr="00443B5F">
              <w:rPr>
                <w:i/>
                <w:sz w:val="16"/>
              </w:rPr>
              <w:t>14</w:t>
            </w:r>
          </w:p>
        </w:tc>
        <w:tc>
          <w:tcPr>
            <w:tcW w:w="3208" w:type="dxa"/>
            <w:tcBorders>
              <w:top w:val="single" w:sz="4" w:space="0" w:color="auto"/>
              <w:bottom w:val="single" w:sz="4" w:space="0" w:color="auto"/>
            </w:tcBorders>
            <w:shd w:val="clear" w:color="auto" w:fill="auto"/>
            <w:noWrap/>
            <w:vAlign w:val="bottom"/>
            <w:hideMark/>
          </w:tcPr>
          <w:p w:rsidR="00F233AB" w:rsidRPr="00443B5F" w:rsidRDefault="00F233AB" w:rsidP="00443B5F">
            <w:pPr>
              <w:suppressAutoHyphens w:val="0"/>
              <w:spacing w:before="80" w:after="80" w:line="200" w:lineRule="exact"/>
              <w:ind w:right="113"/>
              <w:jc w:val="right"/>
              <w:rPr>
                <w:i/>
                <w:sz w:val="16"/>
              </w:rPr>
            </w:pPr>
            <w:r w:rsidRPr="00443B5F">
              <w:rPr>
                <w:i/>
                <w:sz w:val="16"/>
              </w:rPr>
              <w:t>65+</w:t>
            </w:r>
          </w:p>
        </w:tc>
      </w:tr>
      <w:tr w:rsidR="00F233AB" w:rsidRPr="00411E3B" w:rsidTr="00443B5F">
        <w:tc>
          <w:tcPr>
            <w:tcW w:w="2043" w:type="dxa"/>
            <w:tcBorders>
              <w:top w:val="single" w:sz="4" w:space="0" w:color="auto"/>
            </w:tcBorders>
            <w:shd w:val="clear" w:color="auto" w:fill="auto"/>
            <w:noWrap/>
            <w:hideMark/>
          </w:tcPr>
          <w:p w:rsidR="00F233AB" w:rsidRPr="00411E3B" w:rsidRDefault="00F233AB" w:rsidP="00411E3B">
            <w:pPr>
              <w:suppressAutoHyphens w:val="0"/>
              <w:spacing w:before="40" w:after="40" w:line="220" w:lineRule="exact"/>
              <w:ind w:right="113"/>
              <w:rPr>
                <w:sz w:val="18"/>
              </w:rPr>
            </w:pPr>
            <w:r w:rsidRPr="00411E3B">
              <w:rPr>
                <w:sz w:val="18"/>
              </w:rPr>
              <w:t>2011</w:t>
            </w:r>
          </w:p>
        </w:tc>
        <w:tc>
          <w:tcPr>
            <w:tcW w:w="2119" w:type="dxa"/>
            <w:tcBorders>
              <w:top w:val="single" w:sz="4" w:space="0" w:color="auto"/>
            </w:tcBorders>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14</w:t>
            </w:r>
            <w:r w:rsidR="009E0CB7">
              <w:rPr>
                <w:sz w:val="18"/>
              </w:rPr>
              <w:t>.</w:t>
            </w:r>
            <w:r w:rsidRPr="00411E3B">
              <w:rPr>
                <w:sz w:val="18"/>
              </w:rPr>
              <w:t>64%</w:t>
            </w:r>
          </w:p>
        </w:tc>
        <w:tc>
          <w:tcPr>
            <w:tcW w:w="3208" w:type="dxa"/>
            <w:tcBorders>
              <w:top w:val="single" w:sz="4" w:space="0" w:color="auto"/>
            </w:tcBorders>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19</w:t>
            </w:r>
            <w:r w:rsidR="009E0CB7">
              <w:rPr>
                <w:sz w:val="18"/>
              </w:rPr>
              <w:t>.</w:t>
            </w:r>
            <w:r w:rsidRPr="00411E3B">
              <w:rPr>
                <w:sz w:val="18"/>
              </w:rPr>
              <w:t>29%</w:t>
            </w:r>
          </w:p>
        </w:tc>
      </w:tr>
      <w:tr w:rsidR="00F233AB" w:rsidRPr="00411E3B" w:rsidTr="00411E3B">
        <w:tc>
          <w:tcPr>
            <w:tcW w:w="2043" w:type="dxa"/>
            <w:shd w:val="clear" w:color="auto" w:fill="auto"/>
            <w:noWrap/>
            <w:hideMark/>
          </w:tcPr>
          <w:p w:rsidR="00F233AB" w:rsidRPr="00411E3B" w:rsidRDefault="00F233AB" w:rsidP="00411E3B">
            <w:pPr>
              <w:suppressAutoHyphens w:val="0"/>
              <w:spacing w:before="40" w:after="40" w:line="220" w:lineRule="exact"/>
              <w:ind w:right="113"/>
              <w:rPr>
                <w:sz w:val="18"/>
              </w:rPr>
            </w:pPr>
            <w:r w:rsidRPr="00411E3B">
              <w:rPr>
                <w:sz w:val="18"/>
              </w:rPr>
              <w:t>2012</w:t>
            </w:r>
          </w:p>
        </w:tc>
        <w:tc>
          <w:tcPr>
            <w:tcW w:w="2119" w:type="dxa"/>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14</w:t>
            </w:r>
            <w:r w:rsidR="009E0CB7">
              <w:rPr>
                <w:sz w:val="18"/>
              </w:rPr>
              <w:t>.</w:t>
            </w:r>
            <w:r w:rsidRPr="00411E3B">
              <w:rPr>
                <w:sz w:val="18"/>
              </w:rPr>
              <w:t>67%</w:t>
            </w:r>
          </w:p>
        </w:tc>
        <w:tc>
          <w:tcPr>
            <w:tcW w:w="3208" w:type="dxa"/>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19</w:t>
            </w:r>
            <w:r w:rsidR="009E0CB7">
              <w:rPr>
                <w:sz w:val="18"/>
              </w:rPr>
              <w:t>.</w:t>
            </w:r>
            <w:r w:rsidRPr="00411E3B">
              <w:rPr>
                <w:sz w:val="18"/>
              </w:rPr>
              <w:t>67%</w:t>
            </w:r>
          </w:p>
        </w:tc>
      </w:tr>
      <w:tr w:rsidR="00F233AB" w:rsidRPr="00411E3B" w:rsidTr="00411E3B">
        <w:tc>
          <w:tcPr>
            <w:tcW w:w="2043" w:type="dxa"/>
            <w:shd w:val="clear" w:color="auto" w:fill="auto"/>
            <w:noWrap/>
            <w:hideMark/>
          </w:tcPr>
          <w:p w:rsidR="00F233AB" w:rsidRPr="00411E3B" w:rsidRDefault="00F233AB" w:rsidP="00411E3B">
            <w:pPr>
              <w:suppressAutoHyphens w:val="0"/>
              <w:spacing w:before="40" w:after="40" w:line="220" w:lineRule="exact"/>
              <w:ind w:right="113"/>
              <w:rPr>
                <w:sz w:val="18"/>
              </w:rPr>
            </w:pPr>
            <w:r w:rsidRPr="00411E3B">
              <w:rPr>
                <w:sz w:val="18"/>
              </w:rPr>
              <w:t>2013</w:t>
            </w:r>
          </w:p>
        </w:tc>
        <w:tc>
          <w:tcPr>
            <w:tcW w:w="2119" w:type="dxa"/>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14</w:t>
            </w:r>
            <w:r w:rsidR="009E0CB7">
              <w:rPr>
                <w:sz w:val="18"/>
              </w:rPr>
              <w:t>.</w:t>
            </w:r>
            <w:r w:rsidRPr="00411E3B">
              <w:rPr>
                <w:sz w:val="18"/>
              </w:rPr>
              <w:t>68%</w:t>
            </w:r>
          </w:p>
        </w:tc>
        <w:tc>
          <w:tcPr>
            <w:tcW w:w="3208" w:type="dxa"/>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20</w:t>
            </w:r>
            <w:r w:rsidR="009E0CB7">
              <w:rPr>
                <w:sz w:val="18"/>
              </w:rPr>
              <w:t>.</w:t>
            </w:r>
            <w:r w:rsidRPr="00411E3B">
              <w:rPr>
                <w:sz w:val="18"/>
              </w:rPr>
              <w:t>06%</w:t>
            </w:r>
          </w:p>
        </w:tc>
      </w:tr>
      <w:tr w:rsidR="00F233AB" w:rsidRPr="00411E3B" w:rsidTr="00411E3B">
        <w:tc>
          <w:tcPr>
            <w:tcW w:w="2043" w:type="dxa"/>
            <w:shd w:val="clear" w:color="auto" w:fill="auto"/>
            <w:noWrap/>
            <w:hideMark/>
          </w:tcPr>
          <w:p w:rsidR="00F233AB" w:rsidRPr="00411E3B" w:rsidRDefault="00F233AB" w:rsidP="00411E3B">
            <w:pPr>
              <w:suppressAutoHyphens w:val="0"/>
              <w:spacing w:before="40" w:after="40" w:line="220" w:lineRule="exact"/>
              <w:ind w:right="113"/>
              <w:rPr>
                <w:sz w:val="18"/>
              </w:rPr>
            </w:pPr>
            <w:r w:rsidRPr="00411E3B">
              <w:rPr>
                <w:sz w:val="18"/>
              </w:rPr>
              <w:t>2014</w:t>
            </w:r>
          </w:p>
        </w:tc>
        <w:tc>
          <w:tcPr>
            <w:tcW w:w="2119" w:type="dxa"/>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14</w:t>
            </w:r>
            <w:r w:rsidR="009E0CB7">
              <w:rPr>
                <w:sz w:val="18"/>
              </w:rPr>
              <w:t>.</w:t>
            </w:r>
            <w:r w:rsidRPr="00411E3B">
              <w:rPr>
                <w:sz w:val="18"/>
              </w:rPr>
              <w:t>64%</w:t>
            </w:r>
          </w:p>
        </w:tc>
        <w:tc>
          <w:tcPr>
            <w:tcW w:w="3208" w:type="dxa"/>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20</w:t>
            </w:r>
            <w:r w:rsidR="009E0CB7">
              <w:rPr>
                <w:sz w:val="18"/>
              </w:rPr>
              <w:t>.</w:t>
            </w:r>
            <w:r w:rsidRPr="00411E3B">
              <w:rPr>
                <w:sz w:val="18"/>
              </w:rPr>
              <w:t>49%</w:t>
            </w:r>
          </w:p>
        </w:tc>
      </w:tr>
      <w:tr w:rsidR="00F233AB" w:rsidRPr="00411E3B" w:rsidTr="00411E3B">
        <w:tc>
          <w:tcPr>
            <w:tcW w:w="2043" w:type="dxa"/>
            <w:shd w:val="clear" w:color="auto" w:fill="auto"/>
            <w:noWrap/>
            <w:hideMark/>
          </w:tcPr>
          <w:p w:rsidR="00F233AB" w:rsidRPr="00411E3B" w:rsidRDefault="00F233AB" w:rsidP="00411E3B">
            <w:pPr>
              <w:suppressAutoHyphens w:val="0"/>
              <w:spacing w:before="40" w:after="40" w:line="220" w:lineRule="exact"/>
              <w:ind w:right="113"/>
              <w:rPr>
                <w:sz w:val="18"/>
              </w:rPr>
            </w:pPr>
            <w:r w:rsidRPr="00411E3B">
              <w:rPr>
                <w:sz w:val="18"/>
              </w:rPr>
              <w:t>2015</w:t>
            </w:r>
          </w:p>
        </w:tc>
        <w:tc>
          <w:tcPr>
            <w:tcW w:w="2119" w:type="dxa"/>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14</w:t>
            </w:r>
            <w:r w:rsidR="009E0CB7">
              <w:rPr>
                <w:sz w:val="18"/>
              </w:rPr>
              <w:t>.</w:t>
            </w:r>
            <w:r w:rsidRPr="00411E3B">
              <w:rPr>
                <w:sz w:val="18"/>
              </w:rPr>
              <w:t>53%</w:t>
            </w:r>
          </w:p>
        </w:tc>
        <w:tc>
          <w:tcPr>
            <w:tcW w:w="3208" w:type="dxa"/>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20</w:t>
            </w:r>
            <w:r w:rsidR="009E0CB7">
              <w:rPr>
                <w:sz w:val="18"/>
              </w:rPr>
              <w:t>.</w:t>
            </w:r>
            <w:r w:rsidRPr="00411E3B">
              <w:rPr>
                <w:sz w:val="18"/>
              </w:rPr>
              <w:t>90%</w:t>
            </w:r>
          </w:p>
        </w:tc>
      </w:tr>
      <w:tr w:rsidR="00F233AB" w:rsidRPr="00411E3B" w:rsidTr="002E3C7F">
        <w:tc>
          <w:tcPr>
            <w:tcW w:w="2043" w:type="dxa"/>
            <w:tcBorders>
              <w:bottom w:val="single" w:sz="4" w:space="0" w:color="auto"/>
            </w:tcBorders>
            <w:shd w:val="clear" w:color="auto" w:fill="auto"/>
            <w:noWrap/>
            <w:hideMark/>
          </w:tcPr>
          <w:p w:rsidR="00F233AB" w:rsidRPr="00411E3B" w:rsidRDefault="00F233AB" w:rsidP="00411E3B">
            <w:pPr>
              <w:suppressAutoHyphens w:val="0"/>
              <w:spacing w:before="40" w:after="40" w:line="220" w:lineRule="exact"/>
              <w:ind w:right="113"/>
              <w:rPr>
                <w:sz w:val="18"/>
              </w:rPr>
            </w:pPr>
            <w:r w:rsidRPr="00411E3B">
              <w:rPr>
                <w:sz w:val="18"/>
              </w:rPr>
              <w:t>2016</w:t>
            </w:r>
          </w:p>
        </w:tc>
        <w:tc>
          <w:tcPr>
            <w:tcW w:w="2119" w:type="dxa"/>
            <w:tcBorders>
              <w:bottom w:val="single" w:sz="4" w:space="0" w:color="auto"/>
            </w:tcBorders>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14</w:t>
            </w:r>
            <w:r w:rsidR="009E0CB7">
              <w:rPr>
                <w:sz w:val="18"/>
              </w:rPr>
              <w:t>.</w:t>
            </w:r>
            <w:r w:rsidRPr="00411E3B">
              <w:rPr>
                <w:sz w:val="18"/>
              </w:rPr>
              <w:t>44%</w:t>
            </w:r>
          </w:p>
        </w:tc>
        <w:tc>
          <w:tcPr>
            <w:tcW w:w="3208" w:type="dxa"/>
            <w:tcBorders>
              <w:bottom w:val="single" w:sz="4" w:space="0" w:color="auto"/>
            </w:tcBorders>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21</w:t>
            </w:r>
            <w:r w:rsidR="009E0CB7">
              <w:rPr>
                <w:sz w:val="18"/>
              </w:rPr>
              <w:t>.</w:t>
            </w:r>
            <w:r w:rsidRPr="00411E3B">
              <w:rPr>
                <w:sz w:val="18"/>
              </w:rPr>
              <w:t>26%</w:t>
            </w:r>
          </w:p>
        </w:tc>
      </w:tr>
      <w:tr w:rsidR="00F233AB" w:rsidRPr="00411E3B" w:rsidTr="002E3C7F">
        <w:tc>
          <w:tcPr>
            <w:tcW w:w="2043" w:type="dxa"/>
            <w:tcBorders>
              <w:top w:val="single" w:sz="4" w:space="0" w:color="auto"/>
              <w:bottom w:val="single" w:sz="12" w:space="0" w:color="auto"/>
            </w:tcBorders>
            <w:shd w:val="clear" w:color="auto" w:fill="auto"/>
            <w:noWrap/>
            <w:hideMark/>
          </w:tcPr>
          <w:p w:rsidR="00F233AB" w:rsidRPr="00411E3B" w:rsidRDefault="00F233AB" w:rsidP="00411E3B">
            <w:pPr>
              <w:suppressAutoHyphens w:val="0"/>
              <w:spacing w:before="40" w:after="40" w:line="220" w:lineRule="exact"/>
              <w:ind w:right="113"/>
              <w:rPr>
                <w:sz w:val="18"/>
              </w:rPr>
            </w:pPr>
          </w:p>
        </w:tc>
        <w:tc>
          <w:tcPr>
            <w:tcW w:w="2119" w:type="dxa"/>
            <w:tcBorders>
              <w:top w:val="single" w:sz="4" w:space="0" w:color="auto"/>
              <w:bottom w:val="single" w:sz="12" w:space="0" w:color="auto"/>
            </w:tcBorders>
            <w:shd w:val="clear" w:color="auto" w:fill="auto"/>
            <w:noWrap/>
            <w:vAlign w:val="bottom"/>
            <w:hideMark/>
          </w:tcPr>
          <w:p w:rsidR="00F233AB" w:rsidRPr="000E5A38" w:rsidRDefault="000E5A38" w:rsidP="000E5A38">
            <w:pPr>
              <w:suppressAutoHyphens w:val="0"/>
              <w:spacing w:before="80" w:after="80" w:line="200" w:lineRule="exact"/>
              <w:ind w:right="113"/>
              <w:jc w:val="right"/>
              <w:rPr>
                <w:i/>
                <w:sz w:val="16"/>
              </w:rPr>
            </w:pPr>
            <w:r w:rsidRPr="000E5A38">
              <w:rPr>
                <w:i/>
                <w:sz w:val="16"/>
              </w:rPr>
              <w:t>Live Births</w:t>
            </w:r>
          </w:p>
        </w:tc>
        <w:tc>
          <w:tcPr>
            <w:tcW w:w="3208" w:type="dxa"/>
            <w:tcBorders>
              <w:top w:val="single" w:sz="4" w:space="0" w:color="auto"/>
              <w:bottom w:val="single" w:sz="12" w:space="0" w:color="auto"/>
            </w:tcBorders>
            <w:shd w:val="clear" w:color="auto" w:fill="auto"/>
            <w:noWrap/>
            <w:vAlign w:val="bottom"/>
            <w:hideMark/>
          </w:tcPr>
          <w:p w:rsidR="00F233AB" w:rsidRPr="000E5A38" w:rsidRDefault="000E5A38" w:rsidP="000E5A38">
            <w:pPr>
              <w:suppressAutoHyphens w:val="0"/>
              <w:spacing w:before="80" w:after="80" w:line="200" w:lineRule="exact"/>
              <w:ind w:right="113"/>
              <w:jc w:val="right"/>
              <w:rPr>
                <w:i/>
                <w:sz w:val="16"/>
              </w:rPr>
            </w:pPr>
            <w:r w:rsidRPr="000E5A38">
              <w:rPr>
                <w:i/>
                <w:sz w:val="16"/>
              </w:rPr>
              <w:t>Deaths</w:t>
            </w:r>
          </w:p>
        </w:tc>
      </w:tr>
      <w:tr w:rsidR="00F233AB" w:rsidRPr="00411E3B" w:rsidTr="002E3C7F">
        <w:tc>
          <w:tcPr>
            <w:tcW w:w="2043" w:type="dxa"/>
            <w:tcBorders>
              <w:top w:val="single" w:sz="12" w:space="0" w:color="auto"/>
            </w:tcBorders>
            <w:shd w:val="clear" w:color="auto" w:fill="auto"/>
            <w:noWrap/>
            <w:hideMark/>
          </w:tcPr>
          <w:p w:rsidR="00F233AB" w:rsidRPr="00411E3B" w:rsidRDefault="00F233AB" w:rsidP="00411E3B">
            <w:pPr>
              <w:suppressAutoHyphens w:val="0"/>
              <w:spacing w:before="40" w:after="40" w:line="220" w:lineRule="exact"/>
              <w:ind w:right="113"/>
              <w:rPr>
                <w:sz w:val="18"/>
              </w:rPr>
            </w:pPr>
            <w:r w:rsidRPr="00411E3B">
              <w:rPr>
                <w:sz w:val="18"/>
              </w:rPr>
              <w:t>2011</w:t>
            </w:r>
          </w:p>
        </w:tc>
        <w:tc>
          <w:tcPr>
            <w:tcW w:w="2119" w:type="dxa"/>
            <w:tcBorders>
              <w:top w:val="single" w:sz="12" w:space="0" w:color="auto"/>
            </w:tcBorders>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106</w:t>
            </w:r>
            <w:r w:rsidR="00BB74DD">
              <w:rPr>
                <w:sz w:val="18"/>
              </w:rPr>
              <w:t xml:space="preserve"> </w:t>
            </w:r>
            <w:r w:rsidRPr="00411E3B">
              <w:rPr>
                <w:sz w:val="18"/>
              </w:rPr>
              <w:t>428</w:t>
            </w:r>
          </w:p>
        </w:tc>
        <w:tc>
          <w:tcPr>
            <w:tcW w:w="3208" w:type="dxa"/>
            <w:tcBorders>
              <w:top w:val="single" w:sz="12" w:space="0" w:color="auto"/>
            </w:tcBorders>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111</w:t>
            </w:r>
            <w:r w:rsidR="00BB74DD">
              <w:rPr>
                <w:sz w:val="18"/>
              </w:rPr>
              <w:t xml:space="preserve"> </w:t>
            </w:r>
            <w:r w:rsidRPr="00411E3B">
              <w:rPr>
                <w:sz w:val="18"/>
              </w:rPr>
              <w:t>099</w:t>
            </w:r>
          </w:p>
        </w:tc>
      </w:tr>
      <w:tr w:rsidR="00F233AB" w:rsidRPr="00411E3B" w:rsidTr="00411E3B">
        <w:tc>
          <w:tcPr>
            <w:tcW w:w="2043" w:type="dxa"/>
            <w:shd w:val="clear" w:color="auto" w:fill="auto"/>
            <w:noWrap/>
            <w:hideMark/>
          </w:tcPr>
          <w:p w:rsidR="00F233AB" w:rsidRPr="00411E3B" w:rsidRDefault="00F233AB" w:rsidP="00411E3B">
            <w:pPr>
              <w:suppressAutoHyphens w:val="0"/>
              <w:spacing w:before="40" w:after="40" w:line="220" w:lineRule="exact"/>
              <w:ind w:right="113"/>
              <w:rPr>
                <w:sz w:val="18"/>
              </w:rPr>
            </w:pPr>
            <w:r w:rsidRPr="00411E3B">
              <w:rPr>
                <w:sz w:val="18"/>
              </w:rPr>
              <w:t>2012</w:t>
            </w:r>
          </w:p>
        </w:tc>
        <w:tc>
          <w:tcPr>
            <w:tcW w:w="2119" w:type="dxa"/>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100</w:t>
            </w:r>
            <w:r w:rsidR="00BB74DD">
              <w:rPr>
                <w:sz w:val="18"/>
              </w:rPr>
              <w:t xml:space="preserve"> </w:t>
            </w:r>
            <w:r w:rsidRPr="00411E3B">
              <w:rPr>
                <w:sz w:val="18"/>
              </w:rPr>
              <w:t>371</w:t>
            </w:r>
          </w:p>
        </w:tc>
        <w:tc>
          <w:tcPr>
            <w:tcW w:w="3208" w:type="dxa"/>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116</w:t>
            </w:r>
            <w:r w:rsidR="00BB74DD">
              <w:rPr>
                <w:sz w:val="18"/>
              </w:rPr>
              <w:t xml:space="preserve"> </w:t>
            </w:r>
            <w:r w:rsidRPr="00411E3B">
              <w:rPr>
                <w:sz w:val="18"/>
              </w:rPr>
              <w:t>668</w:t>
            </w:r>
          </w:p>
        </w:tc>
      </w:tr>
      <w:tr w:rsidR="00F233AB" w:rsidRPr="00411E3B" w:rsidTr="00411E3B">
        <w:tc>
          <w:tcPr>
            <w:tcW w:w="2043" w:type="dxa"/>
            <w:shd w:val="clear" w:color="auto" w:fill="auto"/>
            <w:noWrap/>
            <w:hideMark/>
          </w:tcPr>
          <w:p w:rsidR="00F233AB" w:rsidRPr="00411E3B" w:rsidRDefault="00F233AB" w:rsidP="00411E3B">
            <w:pPr>
              <w:suppressAutoHyphens w:val="0"/>
              <w:spacing w:before="40" w:after="40" w:line="220" w:lineRule="exact"/>
              <w:ind w:right="113"/>
              <w:rPr>
                <w:sz w:val="18"/>
              </w:rPr>
            </w:pPr>
            <w:r w:rsidRPr="00411E3B">
              <w:rPr>
                <w:sz w:val="18"/>
              </w:rPr>
              <w:t>2013</w:t>
            </w:r>
          </w:p>
        </w:tc>
        <w:tc>
          <w:tcPr>
            <w:tcW w:w="2119" w:type="dxa"/>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94</w:t>
            </w:r>
            <w:r w:rsidR="00BB74DD">
              <w:rPr>
                <w:sz w:val="18"/>
              </w:rPr>
              <w:t xml:space="preserve"> </w:t>
            </w:r>
            <w:r w:rsidRPr="00411E3B">
              <w:rPr>
                <w:sz w:val="18"/>
              </w:rPr>
              <w:t>134</w:t>
            </w:r>
          </w:p>
        </w:tc>
        <w:tc>
          <w:tcPr>
            <w:tcW w:w="3208" w:type="dxa"/>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111</w:t>
            </w:r>
            <w:r w:rsidR="00BB74DD">
              <w:rPr>
                <w:sz w:val="18"/>
              </w:rPr>
              <w:t xml:space="preserve"> </w:t>
            </w:r>
            <w:r w:rsidRPr="00411E3B">
              <w:rPr>
                <w:sz w:val="18"/>
              </w:rPr>
              <w:t>794</w:t>
            </w:r>
          </w:p>
        </w:tc>
      </w:tr>
      <w:tr w:rsidR="00F233AB" w:rsidRPr="00411E3B" w:rsidTr="00411E3B">
        <w:tc>
          <w:tcPr>
            <w:tcW w:w="2043" w:type="dxa"/>
            <w:shd w:val="clear" w:color="auto" w:fill="auto"/>
            <w:noWrap/>
            <w:hideMark/>
          </w:tcPr>
          <w:p w:rsidR="00F233AB" w:rsidRPr="00411E3B" w:rsidRDefault="00F233AB" w:rsidP="00411E3B">
            <w:pPr>
              <w:suppressAutoHyphens w:val="0"/>
              <w:spacing w:before="40" w:after="40" w:line="220" w:lineRule="exact"/>
              <w:ind w:right="113"/>
              <w:rPr>
                <w:sz w:val="18"/>
              </w:rPr>
            </w:pPr>
            <w:r w:rsidRPr="00411E3B">
              <w:rPr>
                <w:sz w:val="18"/>
              </w:rPr>
              <w:t>2014</w:t>
            </w:r>
          </w:p>
        </w:tc>
        <w:tc>
          <w:tcPr>
            <w:tcW w:w="2119" w:type="dxa"/>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92</w:t>
            </w:r>
            <w:r w:rsidR="00BB74DD">
              <w:rPr>
                <w:sz w:val="18"/>
              </w:rPr>
              <w:t xml:space="preserve"> </w:t>
            </w:r>
            <w:r w:rsidRPr="00411E3B">
              <w:rPr>
                <w:sz w:val="18"/>
              </w:rPr>
              <w:t>149</w:t>
            </w:r>
          </w:p>
        </w:tc>
        <w:tc>
          <w:tcPr>
            <w:tcW w:w="3208" w:type="dxa"/>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113</w:t>
            </w:r>
            <w:r w:rsidR="00BB74DD">
              <w:rPr>
                <w:sz w:val="18"/>
              </w:rPr>
              <w:t xml:space="preserve"> </w:t>
            </w:r>
            <w:r w:rsidRPr="00411E3B">
              <w:rPr>
                <w:sz w:val="18"/>
              </w:rPr>
              <w:t>740</w:t>
            </w:r>
          </w:p>
        </w:tc>
      </w:tr>
      <w:tr w:rsidR="00F233AB" w:rsidRPr="00411E3B" w:rsidTr="00411E3B">
        <w:tc>
          <w:tcPr>
            <w:tcW w:w="2043" w:type="dxa"/>
            <w:shd w:val="clear" w:color="auto" w:fill="auto"/>
            <w:noWrap/>
            <w:hideMark/>
          </w:tcPr>
          <w:p w:rsidR="00F233AB" w:rsidRPr="00411E3B" w:rsidRDefault="00F233AB" w:rsidP="00411E3B">
            <w:pPr>
              <w:suppressAutoHyphens w:val="0"/>
              <w:spacing w:before="40" w:after="40" w:line="220" w:lineRule="exact"/>
              <w:ind w:right="113"/>
              <w:rPr>
                <w:sz w:val="18"/>
              </w:rPr>
            </w:pPr>
            <w:r w:rsidRPr="00411E3B">
              <w:rPr>
                <w:sz w:val="18"/>
              </w:rPr>
              <w:t>2015</w:t>
            </w:r>
          </w:p>
        </w:tc>
        <w:tc>
          <w:tcPr>
            <w:tcW w:w="2119" w:type="dxa"/>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91</w:t>
            </w:r>
            <w:r w:rsidR="00BB74DD">
              <w:rPr>
                <w:sz w:val="18"/>
              </w:rPr>
              <w:t xml:space="preserve"> </w:t>
            </w:r>
            <w:r w:rsidRPr="00411E3B">
              <w:rPr>
                <w:sz w:val="18"/>
              </w:rPr>
              <w:t>847</w:t>
            </w:r>
          </w:p>
        </w:tc>
        <w:tc>
          <w:tcPr>
            <w:tcW w:w="3208" w:type="dxa"/>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121</w:t>
            </w:r>
            <w:r w:rsidR="00BB74DD">
              <w:rPr>
                <w:sz w:val="18"/>
              </w:rPr>
              <w:t xml:space="preserve"> </w:t>
            </w:r>
            <w:r w:rsidRPr="00411E3B">
              <w:rPr>
                <w:sz w:val="18"/>
              </w:rPr>
              <w:t>212</w:t>
            </w:r>
          </w:p>
        </w:tc>
      </w:tr>
      <w:tr w:rsidR="00F233AB" w:rsidRPr="00411E3B" w:rsidTr="00411E3B">
        <w:tc>
          <w:tcPr>
            <w:tcW w:w="2043" w:type="dxa"/>
            <w:shd w:val="clear" w:color="auto" w:fill="auto"/>
            <w:noWrap/>
            <w:hideMark/>
          </w:tcPr>
          <w:p w:rsidR="00F233AB" w:rsidRPr="00411E3B" w:rsidRDefault="00F233AB" w:rsidP="00411E3B">
            <w:pPr>
              <w:suppressAutoHyphens w:val="0"/>
              <w:spacing w:before="40" w:after="40" w:line="220" w:lineRule="exact"/>
              <w:ind w:right="113"/>
              <w:rPr>
                <w:sz w:val="18"/>
              </w:rPr>
            </w:pPr>
            <w:r w:rsidRPr="00411E3B">
              <w:rPr>
                <w:sz w:val="18"/>
              </w:rPr>
              <w:t>2016*</w:t>
            </w:r>
          </w:p>
        </w:tc>
        <w:tc>
          <w:tcPr>
            <w:tcW w:w="2119" w:type="dxa"/>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92</w:t>
            </w:r>
            <w:r w:rsidR="00BB74DD">
              <w:rPr>
                <w:sz w:val="18"/>
              </w:rPr>
              <w:t xml:space="preserve"> </w:t>
            </w:r>
            <w:r w:rsidRPr="00411E3B">
              <w:rPr>
                <w:sz w:val="18"/>
              </w:rPr>
              <w:t>837</w:t>
            </w:r>
          </w:p>
        </w:tc>
        <w:tc>
          <w:tcPr>
            <w:tcW w:w="3208" w:type="dxa"/>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118</w:t>
            </w:r>
            <w:r w:rsidR="00BB74DD">
              <w:rPr>
                <w:sz w:val="18"/>
              </w:rPr>
              <w:t xml:space="preserve"> </w:t>
            </w:r>
            <w:r w:rsidRPr="00411E3B">
              <w:rPr>
                <w:sz w:val="18"/>
              </w:rPr>
              <w:t>792</w:t>
            </w:r>
          </w:p>
        </w:tc>
      </w:tr>
      <w:tr w:rsidR="00F233AB" w:rsidRPr="00411E3B" w:rsidTr="00411E3B">
        <w:tc>
          <w:tcPr>
            <w:tcW w:w="2043" w:type="dxa"/>
            <w:shd w:val="clear" w:color="auto" w:fill="auto"/>
            <w:noWrap/>
            <w:hideMark/>
          </w:tcPr>
          <w:p w:rsidR="00F233AB" w:rsidRPr="00411E3B" w:rsidRDefault="00F233AB" w:rsidP="00411E3B">
            <w:pPr>
              <w:suppressAutoHyphens w:val="0"/>
              <w:spacing w:before="40" w:after="40" w:line="220" w:lineRule="exact"/>
              <w:ind w:right="113"/>
              <w:rPr>
                <w:sz w:val="18"/>
              </w:rPr>
            </w:pPr>
          </w:p>
        </w:tc>
        <w:tc>
          <w:tcPr>
            <w:tcW w:w="2119" w:type="dxa"/>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p>
        </w:tc>
        <w:tc>
          <w:tcPr>
            <w:tcW w:w="3208" w:type="dxa"/>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p>
        </w:tc>
      </w:tr>
      <w:tr w:rsidR="00F233AB" w:rsidRPr="00411E3B" w:rsidTr="00A24AD5">
        <w:tc>
          <w:tcPr>
            <w:tcW w:w="4162" w:type="dxa"/>
            <w:gridSpan w:val="2"/>
            <w:tcBorders>
              <w:bottom w:val="single" w:sz="4" w:space="0" w:color="auto"/>
            </w:tcBorders>
            <w:shd w:val="clear" w:color="auto" w:fill="auto"/>
            <w:noWrap/>
            <w:hideMark/>
          </w:tcPr>
          <w:p w:rsidR="00F233AB" w:rsidRPr="00411E3B" w:rsidRDefault="00F233AB" w:rsidP="00411E3B">
            <w:pPr>
              <w:suppressAutoHyphens w:val="0"/>
              <w:spacing w:before="40" w:after="40" w:line="220" w:lineRule="exact"/>
              <w:ind w:right="113"/>
              <w:rPr>
                <w:sz w:val="18"/>
              </w:rPr>
            </w:pPr>
            <w:r w:rsidRPr="00411E3B">
              <w:rPr>
                <w:sz w:val="18"/>
              </w:rPr>
              <w:t>*</w:t>
            </w:r>
            <w:r w:rsidR="005B2A41" w:rsidRPr="00411E3B">
              <w:rPr>
                <w:sz w:val="18"/>
              </w:rPr>
              <w:t xml:space="preserve"> </w:t>
            </w:r>
            <w:r w:rsidR="00062A3D">
              <w:rPr>
                <w:sz w:val="18"/>
              </w:rPr>
              <w:t xml:space="preserve"> </w:t>
            </w:r>
            <w:r w:rsidRPr="00411E3B">
              <w:rPr>
                <w:sz w:val="18"/>
              </w:rPr>
              <w:t>Provisional</w:t>
            </w:r>
          </w:p>
        </w:tc>
        <w:tc>
          <w:tcPr>
            <w:tcW w:w="3208" w:type="dxa"/>
            <w:tcBorders>
              <w:bottom w:val="single" w:sz="4" w:space="0" w:color="auto"/>
            </w:tcBorders>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p>
        </w:tc>
      </w:tr>
      <w:tr w:rsidR="00F233AB" w:rsidRPr="00411E3B" w:rsidTr="00EF1E92">
        <w:tc>
          <w:tcPr>
            <w:tcW w:w="2043" w:type="dxa"/>
            <w:tcBorders>
              <w:top w:val="single" w:sz="4" w:space="0" w:color="auto"/>
              <w:bottom w:val="nil"/>
            </w:tcBorders>
            <w:shd w:val="clear" w:color="auto" w:fill="auto"/>
            <w:noWrap/>
            <w:hideMark/>
          </w:tcPr>
          <w:p w:rsidR="00F233AB" w:rsidRPr="00411E3B" w:rsidRDefault="00F233AB" w:rsidP="00411E3B">
            <w:pPr>
              <w:suppressAutoHyphens w:val="0"/>
              <w:spacing w:before="40" w:after="40" w:line="220" w:lineRule="exact"/>
              <w:ind w:right="113"/>
              <w:rPr>
                <w:sz w:val="18"/>
              </w:rPr>
            </w:pPr>
          </w:p>
        </w:tc>
        <w:tc>
          <w:tcPr>
            <w:tcW w:w="5327" w:type="dxa"/>
            <w:gridSpan w:val="2"/>
            <w:tcBorders>
              <w:top w:val="single" w:sz="4" w:space="0" w:color="auto"/>
              <w:bottom w:val="single" w:sz="4" w:space="0" w:color="auto"/>
            </w:tcBorders>
            <w:shd w:val="clear" w:color="auto" w:fill="auto"/>
            <w:noWrap/>
            <w:vAlign w:val="bottom"/>
            <w:hideMark/>
          </w:tcPr>
          <w:p w:rsidR="00F233AB" w:rsidRPr="00E2503A" w:rsidRDefault="00F233AB" w:rsidP="00E2503A">
            <w:pPr>
              <w:suppressAutoHyphens w:val="0"/>
              <w:spacing w:before="80" w:after="80" w:line="200" w:lineRule="exact"/>
              <w:ind w:right="113"/>
              <w:jc w:val="center"/>
              <w:rPr>
                <w:i/>
                <w:sz w:val="16"/>
              </w:rPr>
            </w:pPr>
            <w:r w:rsidRPr="00E2503A">
              <w:rPr>
                <w:i/>
                <w:sz w:val="16"/>
              </w:rPr>
              <w:t>Life</w:t>
            </w:r>
            <w:r w:rsidR="005B2A41" w:rsidRPr="00E2503A">
              <w:rPr>
                <w:i/>
                <w:sz w:val="16"/>
              </w:rPr>
              <w:t xml:space="preserve"> </w:t>
            </w:r>
            <w:r w:rsidRPr="00E2503A">
              <w:rPr>
                <w:i/>
                <w:sz w:val="16"/>
              </w:rPr>
              <w:t>expectancy</w:t>
            </w:r>
            <w:r w:rsidR="005B2A41" w:rsidRPr="00E2503A">
              <w:rPr>
                <w:i/>
                <w:sz w:val="16"/>
              </w:rPr>
              <w:t xml:space="preserve"> </w:t>
            </w:r>
            <w:r w:rsidRPr="00E2503A">
              <w:rPr>
                <w:i/>
                <w:sz w:val="16"/>
              </w:rPr>
              <w:t>at</w:t>
            </w:r>
            <w:r w:rsidR="005B2A41" w:rsidRPr="00E2503A">
              <w:rPr>
                <w:i/>
                <w:sz w:val="16"/>
              </w:rPr>
              <w:t xml:space="preserve"> </w:t>
            </w:r>
            <w:r w:rsidRPr="00E2503A">
              <w:rPr>
                <w:i/>
                <w:sz w:val="16"/>
              </w:rPr>
              <w:t>birth</w:t>
            </w:r>
          </w:p>
        </w:tc>
      </w:tr>
      <w:tr w:rsidR="00F233AB" w:rsidRPr="00411E3B" w:rsidTr="00A24AD5">
        <w:tc>
          <w:tcPr>
            <w:tcW w:w="2043" w:type="dxa"/>
            <w:tcBorders>
              <w:top w:val="nil"/>
              <w:bottom w:val="single" w:sz="12" w:space="0" w:color="auto"/>
            </w:tcBorders>
            <w:shd w:val="clear" w:color="auto" w:fill="auto"/>
            <w:noWrap/>
            <w:hideMark/>
          </w:tcPr>
          <w:p w:rsidR="00F233AB" w:rsidRPr="00411E3B" w:rsidRDefault="00F233AB" w:rsidP="00411E3B">
            <w:pPr>
              <w:suppressAutoHyphens w:val="0"/>
              <w:spacing w:before="40" w:after="40" w:line="220" w:lineRule="exact"/>
              <w:ind w:right="113"/>
              <w:rPr>
                <w:sz w:val="18"/>
              </w:rPr>
            </w:pPr>
          </w:p>
        </w:tc>
        <w:tc>
          <w:tcPr>
            <w:tcW w:w="2119" w:type="dxa"/>
            <w:tcBorders>
              <w:top w:val="nil"/>
              <w:bottom w:val="single" w:sz="12" w:space="0" w:color="auto"/>
            </w:tcBorders>
            <w:shd w:val="clear" w:color="auto" w:fill="auto"/>
            <w:noWrap/>
            <w:vAlign w:val="bottom"/>
            <w:hideMark/>
          </w:tcPr>
          <w:p w:rsidR="00F233AB" w:rsidRPr="00E2503A" w:rsidRDefault="00F233AB" w:rsidP="00E2503A">
            <w:pPr>
              <w:suppressAutoHyphens w:val="0"/>
              <w:spacing w:before="80" w:after="80" w:line="200" w:lineRule="exact"/>
              <w:ind w:right="113"/>
              <w:jc w:val="right"/>
              <w:rPr>
                <w:i/>
                <w:sz w:val="16"/>
              </w:rPr>
            </w:pPr>
            <w:r w:rsidRPr="00E2503A">
              <w:rPr>
                <w:i/>
                <w:sz w:val="16"/>
              </w:rPr>
              <w:t>Males</w:t>
            </w:r>
          </w:p>
        </w:tc>
        <w:tc>
          <w:tcPr>
            <w:tcW w:w="3208" w:type="dxa"/>
            <w:tcBorders>
              <w:top w:val="nil"/>
              <w:bottom w:val="single" w:sz="12" w:space="0" w:color="auto"/>
            </w:tcBorders>
            <w:shd w:val="clear" w:color="auto" w:fill="auto"/>
            <w:noWrap/>
            <w:vAlign w:val="bottom"/>
            <w:hideMark/>
          </w:tcPr>
          <w:p w:rsidR="00F233AB" w:rsidRPr="00E2503A" w:rsidRDefault="00F233AB" w:rsidP="00E2503A">
            <w:pPr>
              <w:suppressAutoHyphens w:val="0"/>
              <w:spacing w:before="80" w:after="80" w:line="200" w:lineRule="exact"/>
              <w:ind w:right="113"/>
              <w:jc w:val="right"/>
              <w:rPr>
                <w:i/>
                <w:sz w:val="16"/>
              </w:rPr>
            </w:pPr>
            <w:r w:rsidRPr="00E2503A">
              <w:rPr>
                <w:i/>
                <w:sz w:val="16"/>
              </w:rPr>
              <w:t>Females</w:t>
            </w:r>
          </w:p>
        </w:tc>
      </w:tr>
      <w:tr w:rsidR="00F233AB" w:rsidRPr="00411E3B" w:rsidTr="00A24AD5">
        <w:tc>
          <w:tcPr>
            <w:tcW w:w="2043" w:type="dxa"/>
            <w:tcBorders>
              <w:top w:val="single" w:sz="12" w:space="0" w:color="auto"/>
            </w:tcBorders>
            <w:shd w:val="clear" w:color="auto" w:fill="auto"/>
            <w:noWrap/>
            <w:hideMark/>
          </w:tcPr>
          <w:p w:rsidR="00F233AB" w:rsidRPr="00411E3B" w:rsidRDefault="00F233AB" w:rsidP="00411E3B">
            <w:pPr>
              <w:suppressAutoHyphens w:val="0"/>
              <w:spacing w:before="40" w:after="40" w:line="220" w:lineRule="exact"/>
              <w:ind w:right="113"/>
              <w:rPr>
                <w:sz w:val="18"/>
              </w:rPr>
            </w:pPr>
            <w:r w:rsidRPr="00411E3B">
              <w:rPr>
                <w:sz w:val="18"/>
              </w:rPr>
              <w:t>2011</w:t>
            </w:r>
          </w:p>
        </w:tc>
        <w:tc>
          <w:tcPr>
            <w:tcW w:w="2119" w:type="dxa"/>
            <w:tcBorders>
              <w:top w:val="single" w:sz="12" w:space="0" w:color="auto"/>
            </w:tcBorders>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78</w:t>
            </w:r>
            <w:r w:rsidR="009E0CB7">
              <w:rPr>
                <w:sz w:val="18"/>
              </w:rPr>
              <w:t>.</w:t>
            </w:r>
            <w:r w:rsidRPr="00411E3B">
              <w:rPr>
                <w:sz w:val="18"/>
              </w:rPr>
              <w:t>0</w:t>
            </w:r>
          </w:p>
        </w:tc>
        <w:tc>
          <w:tcPr>
            <w:tcW w:w="3208" w:type="dxa"/>
            <w:tcBorders>
              <w:top w:val="single" w:sz="12" w:space="0" w:color="auto"/>
            </w:tcBorders>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83</w:t>
            </w:r>
            <w:r w:rsidR="009E0CB7">
              <w:rPr>
                <w:sz w:val="18"/>
              </w:rPr>
              <w:t>.</w:t>
            </w:r>
            <w:r w:rsidRPr="00411E3B">
              <w:rPr>
                <w:sz w:val="18"/>
              </w:rPr>
              <w:t>6</w:t>
            </w:r>
          </w:p>
        </w:tc>
      </w:tr>
      <w:tr w:rsidR="00F233AB" w:rsidRPr="00411E3B" w:rsidTr="00411E3B">
        <w:tc>
          <w:tcPr>
            <w:tcW w:w="2043" w:type="dxa"/>
            <w:shd w:val="clear" w:color="auto" w:fill="auto"/>
            <w:noWrap/>
            <w:hideMark/>
          </w:tcPr>
          <w:p w:rsidR="00F233AB" w:rsidRPr="00411E3B" w:rsidRDefault="00F233AB" w:rsidP="00411E3B">
            <w:pPr>
              <w:suppressAutoHyphens w:val="0"/>
              <w:spacing w:before="40" w:after="40" w:line="220" w:lineRule="exact"/>
              <w:ind w:right="113"/>
              <w:rPr>
                <w:sz w:val="18"/>
              </w:rPr>
            </w:pPr>
            <w:r w:rsidRPr="00411E3B">
              <w:rPr>
                <w:sz w:val="18"/>
              </w:rPr>
              <w:t>2012</w:t>
            </w:r>
          </w:p>
        </w:tc>
        <w:tc>
          <w:tcPr>
            <w:tcW w:w="2119" w:type="dxa"/>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78</w:t>
            </w:r>
            <w:r w:rsidR="009E0CB7">
              <w:rPr>
                <w:sz w:val="18"/>
              </w:rPr>
              <w:t>.</w:t>
            </w:r>
            <w:r w:rsidRPr="00411E3B">
              <w:rPr>
                <w:sz w:val="18"/>
              </w:rPr>
              <w:t>0</w:t>
            </w:r>
          </w:p>
        </w:tc>
        <w:tc>
          <w:tcPr>
            <w:tcW w:w="3208" w:type="dxa"/>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83</w:t>
            </w:r>
            <w:r w:rsidR="009E0CB7">
              <w:rPr>
                <w:sz w:val="18"/>
              </w:rPr>
              <w:t>.</w:t>
            </w:r>
            <w:r w:rsidRPr="00411E3B">
              <w:rPr>
                <w:sz w:val="18"/>
              </w:rPr>
              <w:t>4</w:t>
            </w:r>
          </w:p>
        </w:tc>
      </w:tr>
      <w:tr w:rsidR="00F233AB" w:rsidRPr="00411E3B" w:rsidTr="00411E3B">
        <w:tc>
          <w:tcPr>
            <w:tcW w:w="2043" w:type="dxa"/>
            <w:shd w:val="clear" w:color="auto" w:fill="auto"/>
            <w:noWrap/>
            <w:hideMark/>
          </w:tcPr>
          <w:p w:rsidR="00F233AB" w:rsidRPr="00411E3B" w:rsidRDefault="00F233AB" w:rsidP="00411E3B">
            <w:pPr>
              <w:suppressAutoHyphens w:val="0"/>
              <w:spacing w:before="40" w:after="40" w:line="220" w:lineRule="exact"/>
              <w:ind w:right="113"/>
              <w:rPr>
                <w:sz w:val="18"/>
              </w:rPr>
            </w:pPr>
            <w:r w:rsidRPr="00411E3B">
              <w:rPr>
                <w:sz w:val="18"/>
              </w:rPr>
              <w:t>2013</w:t>
            </w:r>
          </w:p>
        </w:tc>
        <w:tc>
          <w:tcPr>
            <w:tcW w:w="2119" w:type="dxa"/>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78</w:t>
            </w:r>
            <w:r w:rsidR="009E0CB7">
              <w:rPr>
                <w:sz w:val="18"/>
              </w:rPr>
              <w:t>.</w:t>
            </w:r>
            <w:r w:rsidRPr="00411E3B">
              <w:rPr>
                <w:sz w:val="18"/>
              </w:rPr>
              <w:t>7</w:t>
            </w:r>
          </w:p>
        </w:tc>
        <w:tc>
          <w:tcPr>
            <w:tcW w:w="3208" w:type="dxa"/>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84</w:t>
            </w:r>
            <w:r w:rsidR="009E0CB7">
              <w:rPr>
                <w:sz w:val="18"/>
              </w:rPr>
              <w:t>.</w:t>
            </w:r>
            <w:r w:rsidRPr="00411E3B">
              <w:rPr>
                <w:sz w:val="18"/>
              </w:rPr>
              <w:t>0</w:t>
            </w:r>
          </w:p>
        </w:tc>
      </w:tr>
      <w:tr w:rsidR="00F233AB" w:rsidRPr="00411E3B" w:rsidTr="00411E3B">
        <w:tc>
          <w:tcPr>
            <w:tcW w:w="2043" w:type="dxa"/>
            <w:shd w:val="clear" w:color="auto" w:fill="auto"/>
            <w:noWrap/>
            <w:hideMark/>
          </w:tcPr>
          <w:p w:rsidR="00F233AB" w:rsidRPr="00411E3B" w:rsidRDefault="00F233AB" w:rsidP="00411E3B">
            <w:pPr>
              <w:suppressAutoHyphens w:val="0"/>
              <w:spacing w:before="40" w:after="40" w:line="220" w:lineRule="exact"/>
              <w:ind w:right="113"/>
              <w:rPr>
                <w:sz w:val="18"/>
              </w:rPr>
            </w:pPr>
            <w:r w:rsidRPr="00411E3B">
              <w:rPr>
                <w:sz w:val="18"/>
              </w:rPr>
              <w:t>2014</w:t>
            </w:r>
          </w:p>
        </w:tc>
        <w:tc>
          <w:tcPr>
            <w:tcW w:w="2119" w:type="dxa"/>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78</w:t>
            </w:r>
            <w:r w:rsidR="009E0CB7">
              <w:rPr>
                <w:sz w:val="18"/>
              </w:rPr>
              <w:t>.</w:t>
            </w:r>
            <w:r w:rsidRPr="00411E3B">
              <w:rPr>
                <w:sz w:val="18"/>
              </w:rPr>
              <w:t>8</w:t>
            </w:r>
          </w:p>
        </w:tc>
        <w:tc>
          <w:tcPr>
            <w:tcW w:w="3208" w:type="dxa"/>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84</w:t>
            </w:r>
            <w:r w:rsidR="009E0CB7">
              <w:rPr>
                <w:sz w:val="18"/>
              </w:rPr>
              <w:t>.</w:t>
            </w:r>
            <w:r w:rsidRPr="00411E3B">
              <w:rPr>
                <w:sz w:val="18"/>
              </w:rPr>
              <w:t>1</w:t>
            </w:r>
          </w:p>
        </w:tc>
      </w:tr>
      <w:tr w:rsidR="00F233AB" w:rsidRPr="00411E3B" w:rsidTr="002C000D">
        <w:tc>
          <w:tcPr>
            <w:tcW w:w="2043" w:type="dxa"/>
            <w:tcBorders>
              <w:bottom w:val="single" w:sz="4" w:space="0" w:color="auto"/>
            </w:tcBorders>
            <w:shd w:val="clear" w:color="auto" w:fill="auto"/>
            <w:noWrap/>
            <w:hideMark/>
          </w:tcPr>
          <w:p w:rsidR="00F233AB" w:rsidRPr="00411E3B" w:rsidRDefault="00F233AB" w:rsidP="00411E3B">
            <w:pPr>
              <w:suppressAutoHyphens w:val="0"/>
              <w:spacing w:before="40" w:after="40" w:line="220" w:lineRule="exact"/>
              <w:ind w:right="113"/>
              <w:rPr>
                <w:sz w:val="18"/>
              </w:rPr>
            </w:pPr>
            <w:r w:rsidRPr="00411E3B">
              <w:rPr>
                <w:sz w:val="18"/>
              </w:rPr>
              <w:t>2015</w:t>
            </w:r>
          </w:p>
        </w:tc>
        <w:tc>
          <w:tcPr>
            <w:tcW w:w="2119" w:type="dxa"/>
            <w:tcBorders>
              <w:bottom w:val="single" w:sz="4" w:space="0" w:color="auto"/>
            </w:tcBorders>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78</w:t>
            </w:r>
            <w:r w:rsidR="009E0CB7">
              <w:rPr>
                <w:sz w:val="18"/>
              </w:rPr>
              <w:t>.</w:t>
            </w:r>
            <w:r w:rsidRPr="00411E3B">
              <w:rPr>
                <w:sz w:val="18"/>
              </w:rPr>
              <w:t>5</w:t>
            </w:r>
          </w:p>
        </w:tc>
        <w:tc>
          <w:tcPr>
            <w:tcW w:w="3208" w:type="dxa"/>
            <w:tcBorders>
              <w:bottom w:val="single" w:sz="4" w:space="0" w:color="auto"/>
            </w:tcBorders>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83</w:t>
            </w:r>
            <w:r w:rsidR="009E0CB7">
              <w:rPr>
                <w:sz w:val="18"/>
              </w:rPr>
              <w:t>.</w:t>
            </w:r>
            <w:r w:rsidRPr="00411E3B">
              <w:rPr>
                <w:sz w:val="18"/>
              </w:rPr>
              <w:t>7</w:t>
            </w:r>
          </w:p>
        </w:tc>
      </w:tr>
      <w:tr w:rsidR="00F233AB" w:rsidRPr="00411E3B" w:rsidTr="002C000D">
        <w:tc>
          <w:tcPr>
            <w:tcW w:w="2043" w:type="dxa"/>
            <w:tcBorders>
              <w:top w:val="single" w:sz="4" w:space="0" w:color="auto"/>
              <w:bottom w:val="single" w:sz="12" w:space="0" w:color="auto"/>
            </w:tcBorders>
            <w:shd w:val="clear" w:color="auto" w:fill="auto"/>
            <w:noWrap/>
            <w:hideMark/>
          </w:tcPr>
          <w:p w:rsidR="00F233AB" w:rsidRPr="00411E3B" w:rsidRDefault="00F233AB" w:rsidP="00411E3B">
            <w:pPr>
              <w:suppressAutoHyphens w:val="0"/>
              <w:spacing w:before="40" w:after="40" w:line="220" w:lineRule="exact"/>
              <w:ind w:right="113"/>
              <w:rPr>
                <w:sz w:val="18"/>
              </w:rPr>
            </w:pPr>
          </w:p>
        </w:tc>
        <w:tc>
          <w:tcPr>
            <w:tcW w:w="5327" w:type="dxa"/>
            <w:gridSpan w:val="2"/>
            <w:tcBorders>
              <w:top w:val="single" w:sz="4" w:space="0" w:color="auto"/>
              <w:bottom w:val="single" w:sz="12" w:space="0" w:color="auto"/>
            </w:tcBorders>
            <w:shd w:val="clear" w:color="auto" w:fill="auto"/>
            <w:noWrap/>
            <w:vAlign w:val="bottom"/>
            <w:hideMark/>
          </w:tcPr>
          <w:p w:rsidR="00F233AB" w:rsidRPr="00E2503A" w:rsidRDefault="00F233AB" w:rsidP="003F501E">
            <w:pPr>
              <w:suppressAutoHyphens w:val="0"/>
              <w:spacing w:before="80" w:after="80" w:line="200" w:lineRule="exact"/>
              <w:ind w:right="113"/>
              <w:jc w:val="center"/>
              <w:rPr>
                <w:i/>
                <w:sz w:val="16"/>
              </w:rPr>
            </w:pPr>
            <w:r w:rsidRPr="00E2503A">
              <w:rPr>
                <w:i/>
                <w:sz w:val="16"/>
              </w:rPr>
              <w:t>Total</w:t>
            </w:r>
            <w:r w:rsidR="005B2A41" w:rsidRPr="00E2503A">
              <w:rPr>
                <w:i/>
                <w:sz w:val="16"/>
              </w:rPr>
              <w:t xml:space="preserve"> </w:t>
            </w:r>
            <w:r w:rsidRPr="00E2503A">
              <w:rPr>
                <w:i/>
                <w:sz w:val="16"/>
              </w:rPr>
              <w:t>Fertility</w:t>
            </w:r>
            <w:r w:rsidR="005B2A41" w:rsidRPr="00E2503A">
              <w:rPr>
                <w:i/>
                <w:sz w:val="16"/>
              </w:rPr>
              <w:t xml:space="preserve"> </w:t>
            </w:r>
            <w:r w:rsidRPr="00E2503A">
              <w:rPr>
                <w:i/>
                <w:sz w:val="16"/>
              </w:rPr>
              <w:t>Rate</w:t>
            </w:r>
          </w:p>
        </w:tc>
      </w:tr>
      <w:tr w:rsidR="00F233AB" w:rsidRPr="00411E3B" w:rsidTr="002C000D">
        <w:tc>
          <w:tcPr>
            <w:tcW w:w="2043" w:type="dxa"/>
            <w:tcBorders>
              <w:top w:val="single" w:sz="12" w:space="0" w:color="auto"/>
            </w:tcBorders>
            <w:shd w:val="clear" w:color="auto" w:fill="auto"/>
            <w:noWrap/>
            <w:hideMark/>
          </w:tcPr>
          <w:p w:rsidR="00F233AB" w:rsidRPr="00411E3B" w:rsidRDefault="00F233AB" w:rsidP="00411E3B">
            <w:pPr>
              <w:suppressAutoHyphens w:val="0"/>
              <w:spacing w:before="40" w:after="40" w:line="220" w:lineRule="exact"/>
              <w:ind w:right="113"/>
              <w:rPr>
                <w:sz w:val="18"/>
              </w:rPr>
            </w:pPr>
            <w:r w:rsidRPr="00411E3B">
              <w:rPr>
                <w:sz w:val="18"/>
              </w:rPr>
              <w:t>2011</w:t>
            </w:r>
          </w:p>
        </w:tc>
        <w:tc>
          <w:tcPr>
            <w:tcW w:w="2119" w:type="dxa"/>
            <w:tcBorders>
              <w:top w:val="single" w:sz="12" w:space="0" w:color="auto"/>
            </w:tcBorders>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1</w:t>
            </w:r>
            <w:r w:rsidR="009E0CB7">
              <w:rPr>
                <w:sz w:val="18"/>
              </w:rPr>
              <w:t>.</w:t>
            </w:r>
            <w:r w:rsidRPr="00411E3B">
              <w:rPr>
                <w:sz w:val="18"/>
              </w:rPr>
              <w:t>40</w:t>
            </w:r>
          </w:p>
        </w:tc>
        <w:tc>
          <w:tcPr>
            <w:tcW w:w="3208" w:type="dxa"/>
            <w:tcBorders>
              <w:top w:val="single" w:sz="12" w:space="0" w:color="auto"/>
            </w:tcBorders>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p>
        </w:tc>
      </w:tr>
      <w:tr w:rsidR="00F233AB" w:rsidRPr="00411E3B" w:rsidTr="00411E3B">
        <w:tc>
          <w:tcPr>
            <w:tcW w:w="2043" w:type="dxa"/>
            <w:shd w:val="clear" w:color="auto" w:fill="auto"/>
            <w:noWrap/>
            <w:hideMark/>
          </w:tcPr>
          <w:p w:rsidR="00F233AB" w:rsidRPr="00411E3B" w:rsidRDefault="00F233AB" w:rsidP="00411E3B">
            <w:pPr>
              <w:suppressAutoHyphens w:val="0"/>
              <w:spacing w:before="40" w:after="40" w:line="220" w:lineRule="exact"/>
              <w:ind w:right="113"/>
              <w:rPr>
                <w:sz w:val="18"/>
              </w:rPr>
            </w:pPr>
            <w:r w:rsidRPr="00411E3B">
              <w:rPr>
                <w:sz w:val="18"/>
              </w:rPr>
              <w:t>2012</w:t>
            </w:r>
          </w:p>
        </w:tc>
        <w:tc>
          <w:tcPr>
            <w:tcW w:w="2119" w:type="dxa"/>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1</w:t>
            </w:r>
            <w:r w:rsidR="009E0CB7">
              <w:rPr>
                <w:sz w:val="18"/>
              </w:rPr>
              <w:t>.</w:t>
            </w:r>
            <w:r w:rsidRPr="00411E3B">
              <w:rPr>
                <w:sz w:val="18"/>
              </w:rPr>
              <w:t>34</w:t>
            </w:r>
          </w:p>
        </w:tc>
        <w:tc>
          <w:tcPr>
            <w:tcW w:w="3208" w:type="dxa"/>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p>
        </w:tc>
      </w:tr>
      <w:tr w:rsidR="00F233AB" w:rsidRPr="00411E3B" w:rsidTr="00411E3B">
        <w:tc>
          <w:tcPr>
            <w:tcW w:w="2043" w:type="dxa"/>
            <w:shd w:val="clear" w:color="auto" w:fill="auto"/>
            <w:noWrap/>
            <w:hideMark/>
          </w:tcPr>
          <w:p w:rsidR="00F233AB" w:rsidRPr="00411E3B" w:rsidRDefault="00F233AB" w:rsidP="00411E3B">
            <w:pPr>
              <w:suppressAutoHyphens w:val="0"/>
              <w:spacing w:before="40" w:after="40" w:line="220" w:lineRule="exact"/>
              <w:ind w:right="113"/>
              <w:rPr>
                <w:sz w:val="18"/>
              </w:rPr>
            </w:pPr>
            <w:r w:rsidRPr="00411E3B">
              <w:rPr>
                <w:sz w:val="18"/>
              </w:rPr>
              <w:t>2013</w:t>
            </w:r>
          </w:p>
        </w:tc>
        <w:tc>
          <w:tcPr>
            <w:tcW w:w="2119" w:type="dxa"/>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1</w:t>
            </w:r>
            <w:r w:rsidR="009E0CB7">
              <w:rPr>
                <w:sz w:val="18"/>
              </w:rPr>
              <w:t>.</w:t>
            </w:r>
            <w:r w:rsidRPr="00411E3B">
              <w:rPr>
                <w:sz w:val="18"/>
              </w:rPr>
              <w:t>29</w:t>
            </w:r>
          </w:p>
        </w:tc>
        <w:tc>
          <w:tcPr>
            <w:tcW w:w="3208" w:type="dxa"/>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p>
        </w:tc>
      </w:tr>
      <w:tr w:rsidR="00F233AB" w:rsidRPr="00411E3B" w:rsidTr="00411E3B">
        <w:tc>
          <w:tcPr>
            <w:tcW w:w="2043" w:type="dxa"/>
            <w:shd w:val="clear" w:color="auto" w:fill="auto"/>
            <w:noWrap/>
            <w:hideMark/>
          </w:tcPr>
          <w:p w:rsidR="00F233AB" w:rsidRPr="00411E3B" w:rsidRDefault="00F233AB" w:rsidP="00411E3B">
            <w:pPr>
              <w:suppressAutoHyphens w:val="0"/>
              <w:spacing w:before="40" w:after="40" w:line="220" w:lineRule="exact"/>
              <w:ind w:right="113"/>
              <w:rPr>
                <w:sz w:val="18"/>
              </w:rPr>
            </w:pPr>
            <w:r w:rsidRPr="00411E3B">
              <w:rPr>
                <w:sz w:val="18"/>
              </w:rPr>
              <w:t>2014</w:t>
            </w:r>
          </w:p>
        </w:tc>
        <w:tc>
          <w:tcPr>
            <w:tcW w:w="2119" w:type="dxa"/>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1</w:t>
            </w:r>
            <w:r w:rsidR="009E0CB7">
              <w:rPr>
                <w:sz w:val="18"/>
              </w:rPr>
              <w:t>.</w:t>
            </w:r>
            <w:r w:rsidRPr="00411E3B">
              <w:rPr>
                <w:sz w:val="18"/>
              </w:rPr>
              <w:t>30</w:t>
            </w:r>
          </w:p>
        </w:tc>
        <w:tc>
          <w:tcPr>
            <w:tcW w:w="3208" w:type="dxa"/>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p>
        </w:tc>
      </w:tr>
      <w:tr w:rsidR="00F233AB" w:rsidRPr="00411E3B" w:rsidTr="00EF1E92">
        <w:tc>
          <w:tcPr>
            <w:tcW w:w="2043" w:type="dxa"/>
            <w:tcBorders>
              <w:bottom w:val="single" w:sz="4" w:space="0" w:color="auto"/>
            </w:tcBorders>
            <w:shd w:val="clear" w:color="auto" w:fill="auto"/>
            <w:noWrap/>
            <w:hideMark/>
          </w:tcPr>
          <w:p w:rsidR="00F233AB" w:rsidRPr="00411E3B" w:rsidRDefault="00F233AB" w:rsidP="00411E3B">
            <w:pPr>
              <w:suppressAutoHyphens w:val="0"/>
              <w:spacing w:before="40" w:after="40" w:line="220" w:lineRule="exact"/>
              <w:ind w:right="113"/>
              <w:rPr>
                <w:sz w:val="18"/>
              </w:rPr>
            </w:pPr>
            <w:r w:rsidRPr="00411E3B">
              <w:rPr>
                <w:sz w:val="18"/>
              </w:rPr>
              <w:t>2015</w:t>
            </w:r>
          </w:p>
        </w:tc>
        <w:tc>
          <w:tcPr>
            <w:tcW w:w="2119" w:type="dxa"/>
            <w:tcBorders>
              <w:bottom w:val="single" w:sz="4" w:space="0" w:color="auto"/>
            </w:tcBorders>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r w:rsidRPr="00411E3B">
              <w:rPr>
                <w:sz w:val="18"/>
              </w:rPr>
              <w:t>1</w:t>
            </w:r>
            <w:r w:rsidR="009E0CB7">
              <w:rPr>
                <w:sz w:val="18"/>
              </w:rPr>
              <w:t>.</w:t>
            </w:r>
            <w:r w:rsidRPr="00411E3B">
              <w:rPr>
                <w:sz w:val="18"/>
              </w:rPr>
              <w:t>33</w:t>
            </w:r>
          </w:p>
        </w:tc>
        <w:tc>
          <w:tcPr>
            <w:tcW w:w="3208" w:type="dxa"/>
            <w:tcBorders>
              <w:bottom w:val="single" w:sz="4" w:space="0" w:color="auto"/>
            </w:tcBorders>
            <w:shd w:val="clear" w:color="auto" w:fill="auto"/>
            <w:noWrap/>
            <w:vAlign w:val="bottom"/>
            <w:hideMark/>
          </w:tcPr>
          <w:p w:rsidR="00F233AB" w:rsidRPr="00411E3B" w:rsidRDefault="00F233AB" w:rsidP="00411E3B">
            <w:pPr>
              <w:suppressAutoHyphens w:val="0"/>
              <w:spacing w:before="40" w:after="40" w:line="220" w:lineRule="exact"/>
              <w:ind w:right="113"/>
              <w:jc w:val="right"/>
              <w:rPr>
                <w:sz w:val="18"/>
              </w:rPr>
            </w:pPr>
          </w:p>
        </w:tc>
      </w:tr>
    </w:tbl>
    <w:p w:rsidR="0062184A" w:rsidRDefault="0062184A">
      <w:pPr>
        <w:suppressAutoHyphens w:val="0"/>
        <w:spacing w:line="240" w:lineRule="auto"/>
        <w:rPr>
          <w:b/>
          <w:sz w:val="28"/>
        </w:rPr>
      </w:pPr>
      <w:r>
        <w:br w:type="page"/>
      </w:r>
    </w:p>
    <w:p w:rsidR="00D11D99" w:rsidRDefault="00F233AB" w:rsidP="0062184A">
      <w:pPr>
        <w:pStyle w:val="HChG"/>
        <w:spacing w:after="0"/>
      </w:pPr>
      <w:r w:rsidRPr="00B02247">
        <w:lastRenderedPageBreak/>
        <w:tab/>
      </w:r>
      <w:r w:rsidRPr="00B02247">
        <w:tab/>
        <w:t>Social,</w:t>
      </w:r>
      <w:r w:rsidR="005B2A41">
        <w:t xml:space="preserve"> </w:t>
      </w:r>
      <w:r w:rsidRPr="00B02247">
        <w:t>Economic</w:t>
      </w:r>
      <w:r w:rsidR="005B2A41">
        <w:t xml:space="preserve"> </w:t>
      </w:r>
      <w:r w:rsidRPr="00B02247">
        <w:t>and</w:t>
      </w:r>
      <w:r w:rsidR="005B2A41">
        <w:t xml:space="preserve"> </w:t>
      </w:r>
      <w:r w:rsidRPr="00B02247">
        <w:t>Cultural</w:t>
      </w:r>
      <w:r w:rsidR="005B2A41">
        <w:t xml:space="preserve"> </w:t>
      </w:r>
      <w:r w:rsidRPr="00B02247">
        <w:t>Indicators</w:t>
      </w:r>
      <w:r w:rsidR="005B2A41">
        <w:t xml:space="preserve"> </w:t>
      </w:r>
    </w:p>
    <w:p w:rsidR="00F233AB" w:rsidRPr="00062A3D" w:rsidRDefault="00F233AB" w:rsidP="00D11D99">
      <w:pPr>
        <w:pStyle w:val="SingleTxtG"/>
        <w:rPr>
          <w:sz w:val="18"/>
          <w:szCs w:val="18"/>
        </w:rPr>
      </w:pPr>
      <w:r w:rsidRPr="00062A3D">
        <w:rPr>
          <w:sz w:val="18"/>
          <w:szCs w:val="18"/>
        </w:rPr>
        <w:t>(</w:t>
      </w:r>
      <w:r w:rsidRPr="00062A3D">
        <w:rPr>
          <w:i/>
          <w:iCs/>
          <w:sz w:val="18"/>
          <w:szCs w:val="18"/>
        </w:rPr>
        <w:t>Source:</w:t>
      </w:r>
      <w:r w:rsidR="00D11D99" w:rsidRPr="00062A3D">
        <w:rPr>
          <w:sz w:val="18"/>
          <w:szCs w:val="18"/>
        </w:rPr>
        <w:t xml:space="preserve"> </w:t>
      </w:r>
      <w:r w:rsidR="005B2A41" w:rsidRPr="00062A3D">
        <w:rPr>
          <w:sz w:val="18"/>
          <w:szCs w:val="18"/>
        </w:rPr>
        <w:t xml:space="preserve"> </w:t>
      </w:r>
      <w:r w:rsidRPr="00062A3D">
        <w:rPr>
          <w:sz w:val="18"/>
          <w:szCs w:val="18"/>
        </w:rPr>
        <w:t>Hellenic</w:t>
      </w:r>
      <w:r w:rsidR="005B2A41" w:rsidRPr="00062A3D">
        <w:rPr>
          <w:sz w:val="18"/>
          <w:szCs w:val="18"/>
        </w:rPr>
        <w:t xml:space="preserve"> </w:t>
      </w:r>
      <w:r w:rsidRPr="00062A3D">
        <w:rPr>
          <w:sz w:val="18"/>
          <w:szCs w:val="18"/>
        </w:rPr>
        <w:t>Statistical</w:t>
      </w:r>
      <w:r w:rsidR="005B2A41" w:rsidRPr="00062A3D">
        <w:rPr>
          <w:sz w:val="18"/>
          <w:szCs w:val="18"/>
        </w:rPr>
        <w:t xml:space="preserve"> </w:t>
      </w:r>
      <w:r w:rsidRPr="00062A3D">
        <w:rPr>
          <w:sz w:val="18"/>
          <w:szCs w:val="18"/>
        </w:rPr>
        <w:t>Authority)</w:t>
      </w:r>
    </w:p>
    <w:p w:rsidR="0062184A" w:rsidRDefault="00F233AB" w:rsidP="0062184A">
      <w:pPr>
        <w:pStyle w:val="Heading1"/>
      </w:pPr>
      <w:r w:rsidRPr="00B02247">
        <w:t>Table</w:t>
      </w:r>
      <w:r w:rsidR="005B2A41">
        <w:t xml:space="preserve"> </w:t>
      </w:r>
      <w:r w:rsidRPr="00B02247">
        <w:t>I</w:t>
      </w:r>
    </w:p>
    <w:p w:rsidR="0062184A" w:rsidRPr="0062184A" w:rsidRDefault="00F233AB" w:rsidP="0062184A">
      <w:pPr>
        <w:pStyle w:val="Heading1"/>
        <w:rPr>
          <w:b/>
          <w:bCs/>
        </w:rPr>
      </w:pPr>
      <w:r w:rsidRPr="0062184A">
        <w:rPr>
          <w:b/>
          <w:bCs/>
        </w:rPr>
        <w:t>Evolution</w:t>
      </w:r>
      <w:r w:rsidR="005B2A41" w:rsidRPr="0062184A">
        <w:rPr>
          <w:b/>
          <w:bCs/>
        </w:rPr>
        <w:t xml:space="preserve"> </w:t>
      </w:r>
      <w:r w:rsidRPr="0062184A">
        <w:rPr>
          <w:b/>
          <w:bCs/>
        </w:rPr>
        <w:t>of</w:t>
      </w:r>
      <w:r w:rsidR="005B2A41" w:rsidRPr="0062184A">
        <w:rPr>
          <w:b/>
          <w:bCs/>
        </w:rPr>
        <w:t xml:space="preserve"> </w:t>
      </w:r>
      <w:r w:rsidRPr="0062184A">
        <w:rPr>
          <w:b/>
          <w:bCs/>
        </w:rPr>
        <w:t>the</w:t>
      </w:r>
      <w:r w:rsidR="005B2A41" w:rsidRPr="0062184A">
        <w:rPr>
          <w:b/>
          <w:bCs/>
        </w:rPr>
        <w:t xml:space="preserve"> </w:t>
      </w:r>
      <w:r w:rsidRPr="0062184A">
        <w:rPr>
          <w:b/>
          <w:bCs/>
        </w:rPr>
        <w:t>annual</w:t>
      </w:r>
      <w:r w:rsidR="005B2A41" w:rsidRPr="0062184A">
        <w:rPr>
          <w:b/>
          <w:bCs/>
        </w:rPr>
        <w:t xml:space="preserve"> </w:t>
      </w:r>
      <w:r w:rsidRPr="0062184A">
        <w:rPr>
          <w:b/>
          <w:bCs/>
        </w:rPr>
        <w:t>rates</w:t>
      </w:r>
      <w:r w:rsidR="005B2A41" w:rsidRPr="0062184A">
        <w:rPr>
          <w:b/>
          <w:bCs/>
        </w:rPr>
        <w:t xml:space="preserve"> </w:t>
      </w:r>
      <w:r w:rsidRPr="0062184A">
        <w:rPr>
          <w:b/>
          <w:bCs/>
        </w:rPr>
        <w:t>of</w:t>
      </w:r>
      <w:r w:rsidR="005B2A41" w:rsidRPr="0062184A">
        <w:rPr>
          <w:b/>
          <w:bCs/>
        </w:rPr>
        <w:t xml:space="preserve"> </w:t>
      </w:r>
      <w:r w:rsidRPr="0062184A">
        <w:rPr>
          <w:b/>
          <w:bCs/>
        </w:rPr>
        <w:t>change</w:t>
      </w:r>
      <w:r w:rsidR="005B2A41" w:rsidRPr="0062184A">
        <w:rPr>
          <w:b/>
          <w:bCs/>
        </w:rPr>
        <w:t xml:space="preserve"> </w:t>
      </w:r>
      <w:r w:rsidRPr="0062184A">
        <w:rPr>
          <w:b/>
          <w:bCs/>
        </w:rPr>
        <w:t>of</w:t>
      </w:r>
      <w:r w:rsidR="005B2A41" w:rsidRPr="0062184A">
        <w:rPr>
          <w:b/>
          <w:bCs/>
        </w:rPr>
        <w:t xml:space="preserve"> </w:t>
      </w:r>
      <w:r w:rsidRPr="0062184A">
        <w:rPr>
          <w:b/>
          <w:bCs/>
        </w:rPr>
        <w:t>the</w:t>
      </w:r>
      <w:r w:rsidR="005B2A41" w:rsidRPr="0062184A">
        <w:rPr>
          <w:b/>
          <w:bCs/>
        </w:rPr>
        <w:t xml:space="preserve"> </w:t>
      </w:r>
      <w:r w:rsidRPr="0062184A">
        <w:rPr>
          <w:b/>
          <w:bCs/>
        </w:rPr>
        <w:t>Overall</w:t>
      </w:r>
      <w:r w:rsidR="005B2A41" w:rsidRPr="0062184A">
        <w:rPr>
          <w:b/>
          <w:bCs/>
        </w:rPr>
        <w:t xml:space="preserve"> </w:t>
      </w:r>
      <w:r w:rsidRPr="0062184A">
        <w:rPr>
          <w:b/>
          <w:bCs/>
        </w:rPr>
        <w:t>Consumer</w:t>
      </w:r>
      <w:r w:rsidR="005B2A41" w:rsidRPr="0062184A">
        <w:rPr>
          <w:b/>
          <w:bCs/>
        </w:rPr>
        <w:t xml:space="preserve"> </w:t>
      </w:r>
      <w:r w:rsidRPr="0062184A">
        <w:rPr>
          <w:b/>
          <w:bCs/>
        </w:rPr>
        <w:t>Price</w:t>
      </w:r>
      <w:r w:rsidR="005B2A41" w:rsidRPr="0062184A">
        <w:rPr>
          <w:b/>
          <w:bCs/>
        </w:rPr>
        <w:t xml:space="preserve"> </w:t>
      </w:r>
      <w:r w:rsidRPr="0062184A">
        <w:rPr>
          <w:b/>
          <w:bCs/>
        </w:rPr>
        <w:t>Index</w:t>
      </w:r>
      <w:r w:rsidR="005B2A41" w:rsidRPr="0062184A">
        <w:rPr>
          <w:b/>
          <w:bCs/>
        </w:rPr>
        <w:t xml:space="preserve"> </w:t>
      </w:r>
    </w:p>
    <w:p w:rsidR="00F233AB" w:rsidRPr="0062184A" w:rsidRDefault="00F233AB" w:rsidP="001A1DC0">
      <w:pPr>
        <w:pStyle w:val="Heading1"/>
        <w:spacing w:after="240"/>
        <w:rPr>
          <w:sz w:val="16"/>
          <w:szCs w:val="16"/>
        </w:rPr>
      </w:pPr>
      <w:r w:rsidRPr="0062184A">
        <w:rPr>
          <w:sz w:val="16"/>
          <w:szCs w:val="16"/>
        </w:rPr>
        <w:t>(Base</w:t>
      </w:r>
      <w:r w:rsidR="005B2A41" w:rsidRPr="0062184A">
        <w:rPr>
          <w:sz w:val="16"/>
          <w:szCs w:val="16"/>
        </w:rPr>
        <w:t xml:space="preserve"> </w:t>
      </w:r>
      <w:r w:rsidRPr="0062184A">
        <w:rPr>
          <w:sz w:val="16"/>
          <w:szCs w:val="16"/>
        </w:rPr>
        <w:t>Year:</w:t>
      </w:r>
      <w:r w:rsidR="005B2A41" w:rsidRPr="0062184A">
        <w:rPr>
          <w:sz w:val="16"/>
          <w:szCs w:val="16"/>
        </w:rPr>
        <w:t xml:space="preserve"> </w:t>
      </w:r>
      <w:r w:rsidRPr="0062184A">
        <w:rPr>
          <w:sz w:val="16"/>
          <w:szCs w:val="16"/>
        </w:rPr>
        <w:t>2009=100</w:t>
      </w:r>
      <w:r w:rsidR="00062A3D">
        <w:rPr>
          <w:sz w:val="16"/>
          <w:szCs w:val="16"/>
        </w:rPr>
        <w:t>.</w:t>
      </w:r>
      <w:r w:rsidRPr="0062184A">
        <w:rPr>
          <w:sz w:val="16"/>
          <w:szCs w:val="16"/>
        </w:rPr>
        <w:t>0)</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05"/>
        <w:gridCol w:w="1436"/>
        <w:gridCol w:w="1733"/>
        <w:gridCol w:w="1663"/>
        <w:gridCol w:w="1733"/>
      </w:tblGrid>
      <w:tr w:rsidR="00F233AB" w:rsidRPr="00712365" w:rsidTr="003E3D33">
        <w:trPr>
          <w:tblHeader/>
        </w:trPr>
        <w:tc>
          <w:tcPr>
            <w:tcW w:w="805" w:type="dxa"/>
            <w:tcBorders>
              <w:top w:val="single" w:sz="4" w:space="0" w:color="auto"/>
              <w:bottom w:val="single" w:sz="4" w:space="0" w:color="auto"/>
            </w:tcBorders>
            <w:shd w:val="clear" w:color="auto" w:fill="auto"/>
            <w:vAlign w:val="bottom"/>
            <w:hideMark/>
          </w:tcPr>
          <w:p w:rsidR="00F233AB" w:rsidRPr="00712365" w:rsidRDefault="00F233AB" w:rsidP="00712365">
            <w:pPr>
              <w:suppressAutoHyphens w:val="0"/>
              <w:spacing w:before="80" w:after="80" w:line="200" w:lineRule="exact"/>
              <w:ind w:right="113"/>
              <w:rPr>
                <w:i/>
                <w:sz w:val="16"/>
              </w:rPr>
            </w:pPr>
            <w:r w:rsidRPr="00712365">
              <w:rPr>
                <w:i/>
                <w:sz w:val="16"/>
              </w:rPr>
              <w:t>Year</w:t>
            </w:r>
          </w:p>
        </w:tc>
        <w:tc>
          <w:tcPr>
            <w:tcW w:w="3169" w:type="dxa"/>
            <w:gridSpan w:val="2"/>
            <w:tcBorders>
              <w:top w:val="single" w:sz="4" w:space="0" w:color="auto"/>
              <w:bottom w:val="single" w:sz="4" w:space="0" w:color="auto"/>
              <w:right w:val="single" w:sz="18" w:space="0" w:color="FFFFFF" w:themeColor="background1"/>
            </w:tcBorders>
            <w:shd w:val="clear" w:color="auto" w:fill="auto"/>
            <w:vAlign w:val="bottom"/>
            <w:hideMark/>
          </w:tcPr>
          <w:p w:rsidR="00F233AB" w:rsidRPr="00712365" w:rsidRDefault="00F233AB" w:rsidP="00EF1E92">
            <w:pPr>
              <w:suppressAutoHyphens w:val="0"/>
              <w:spacing w:before="80" w:after="80" w:line="200" w:lineRule="exact"/>
              <w:ind w:right="113"/>
              <w:jc w:val="center"/>
              <w:rPr>
                <w:i/>
                <w:sz w:val="16"/>
              </w:rPr>
            </w:pPr>
            <w:r w:rsidRPr="00712365">
              <w:rPr>
                <w:i/>
                <w:sz w:val="16"/>
              </w:rPr>
              <w:t>Annual</w:t>
            </w:r>
            <w:r w:rsidR="005B2A41" w:rsidRPr="00712365">
              <w:rPr>
                <w:i/>
                <w:sz w:val="16"/>
              </w:rPr>
              <w:t xml:space="preserve"> </w:t>
            </w:r>
            <w:r w:rsidRPr="00712365">
              <w:rPr>
                <w:i/>
                <w:sz w:val="16"/>
              </w:rPr>
              <w:t>rate</w:t>
            </w:r>
            <w:r w:rsidR="005B2A41" w:rsidRPr="00712365">
              <w:rPr>
                <w:i/>
                <w:sz w:val="16"/>
              </w:rPr>
              <w:t xml:space="preserve"> </w:t>
            </w:r>
            <w:r w:rsidRPr="00712365">
              <w:rPr>
                <w:i/>
                <w:sz w:val="16"/>
              </w:rPr>
              <w:t>of</w:t>
            </w:r>
            <w:r w:rsidR="005B2A41" w:rsidRPr="00712365">
              <w:rPr>
                <w:i/>
                <w:sz w:val="16"/>
              </w:rPr>
              <w:t xml:space="preserve"> </w:t>
            </w:r>
            <w:r w:rsidRPr="00712365">
              <w:rPr>
                <w:i/>
                <w:sz w:val="16"/>
              </w:rPr>
              <w:t>change</w:t>
            </w:r>
          </w:p>
        </w:tc>
        <w:tc>
          <w:tcPr>
            <w:tcW w:w="3396" w:type="dxa"/>
            <w:gridSpan w:val="2"/>
            <w:tcBorders>
              <w:top w:val="single" w:sz="4" w:space="0" w:color="auto"/>
              <w:left w:val="single" w:sz="18" w:space="0" w:color="FFFFFF" w:themeColor="background1"/>
              <w:bottom w:val="single" w:sz="4" w:space="0" w:color="auto"/>
            </w:tcBorders>
            <w:shd w:val="clear" w:color="auto" w:fill="auto"/>
            <w:vAlign w:val="bottom"/>
            <w:hideMark/>
          </w:tcPr>
          <w:p w:rsidR="00F233AB" w:rsidRPr="00712365" w:rsidRDefault="00F233AB" w:rsidP="00EF1E92">
            <w:pPr>
              <w:suppressAutoHyphens w:val="0"/>
              <w:spacing w:before="80" w:after="80" w:line="200" w:lineRule="exact"/>
              <w:ind w:right="113"/>
              <w:jc w:val="center"/>
              <w:rPr>
                <w:i/>
                <w:sz w:val="16"/>
              </w:rPr>
            </w:pPr>
            <w:r w:rsidRPr="00712365">
              <w:rPr>
                <w:i/>
                <w:sz w:val="16"/>
              </w:rPr>
              <w:t>Annual</w:t>
            </w:r>
            <w:r w:rsidR="005B2A41" w:rsidRPr="00712365">
              <w:rPr>
                <w:i/>
                <w:sz w:val="16"/>
              </w:rPr>
              <w:t xml:space="preserve"> </w:t>
            </w:r>
            <w:r w:rsidRPr="00712365">
              <w:rPr>
                <w:i/>
                <w:sz w:val="16"/>
              </w:rPr>
              <w:t>average</w:t>
            </w:r>
            <w:r w:rsidR="005B2A41" w:rsidRPr="00712365">
              <w:rPr>
                <w:i/>
                <w:sz w:val="16"/>
              </w:rPr>
              <w:t xml:space="preserve"> </w:t>
            </w:r>
            <w:r w:rsidRPr="00712365">
              <w:rPr>
                <w:i/>
                <w:sz w:val="16"/>
              </w:rPr>
              <w:t>rate</w:t>
            </w:r>
            <w:r w:rsidR="005B2A41" w:rsidRPr="00712365">
              <w:rPr>
                <w:i/>
                <w:sz w:val="16"/>
              </w:rPr>
              <w:t xml:space="preserve"> </w:t>
            </w:r>
            <w:r w:rsidRPr="00712365">
              <w:rPr>
                <w:i/>
                <w:sz w:val="16"/>
              </w:rPr>
              <w:t>of</w:t>
            </w:r>
            <w:r w:rsidR="005B2A41" w:rsidRPr="00712365">
              <w:rPr>
                <w:i/>
                <w:sz w:val="16"/>
              </w:rPr>
              <w:t xml:space="preserve"> </w:t>
            </w:r>
            <w:r w:rsidRPr="00712365">
              <w:rPr>
                <w:i/>
                <w:sz w:val="16"/>
              </w:rPr>
              <w:t>change</w:t>
            </w:r>
          </w:p>
        </w:tc>
      </w:tr>
      <w:tr w:rsidR="00F233AB" w:rsidRPr="00054B59" w:rsidTr="003E3D33">
        <w:tc>
          <w:tcPr>
            <w:tcW w:w="805" w:type="dxa"/>
            <w:tcBorders>
              <w:top w:val="single" w:sz="4" w:space="0" w:color="auto"/>
              <w:bottom w:val="single" w:sz="12" w:space="0" w:color="auto"/>
            </w:tcBorders>
            <w:shd w:val="clear" w:color="auto" w:fill="auto"/>
            <w:noWrap/>
            <w:hideMark/>
          </w:tcPr>
          <w:p w:rsidR="00F233AB" w:rsidRPr="00054B59" w:rsidRDefault="005B2A41" w:rsidP="00054B59">
            <w:pPr>
              <w:suppressAutoHyphens w:val="0"/>
              <w:spacing w:before="80" w:after="80" w:line="200" w:lineRule="exact"/>
              <w:ind w:right="113"/>
              <w:jc w:val="right"/>
              <w:rPr>
                <w:i/>
                <w:sz w:val="16"/>
              </w:rPr>
            </w:pPr>
            <w:r w:rsidRPr="00054B59">
              <w:rPr>
                <w:i/>
                <w:sz w:val="16"/>
              </w:rPr>
              <w:t xml:space="preserve"> </w:t>
            </w:r>
          </w:p>
        </w:tc>
        <w:tc>
          <w:tcPr>
            <w:tcW w:w="1436" w:type="dxa"/>
            <w:tcBorders>
              <w:top w:val="single" w:sz="4" w:space="0" w:color="auto"/>
              <w:bottom w:val="single" w:sz="12" w:space="0" w:color="auto"/>
            </w:tcBorders>
            <w:shd w:val="clear" w:color="auto" w:fill="auto"/>
            <w:vAlign w:val="bottom"/>
            <w:hideMark/>
          </w:tcPr>
          <w:p w:rsidR="00F233AB" w:rsidRPr="00054B59" w:rsidRDefault="005B2A41" w:rsidP="00054B59">
            <w:pPr>
              <w:suppressAutoHyphens w:val="0"/>
              <w:spacing w:before="80" w:after="80" w:line="200" w:lineRule="exact"/>
              <w:ind w:right="113"/>
              <w:jc w:val="right"/>
              <w:rPr>
                <w:i/>
                <w:sz w:val="16"/>
              </w:rPr>
            </w:pPr>
            <w:r w:rsidRPr="00054B59">
              <w:rPr>
                <w:i/>
                <w:sz w:val="16"/>
              </w:rPr>
              <w:t xml:space="preserve"> </w:t>
            </w:r>
            <w:r w:rsidR="00F233AB" w:rsidRPr="00054B59">
              <w:rPr>
                <w:i/>
                <w:sz w:val="16"/>
              </w:rPr>
              <w:t>December</w:t>
            </w:r>
            <w:r w:rsidRPr="00054B59">
              <w:rPr>
                <w:i/>
                <w:sz w:val="16"/>
              </w:rPr>
              <w:t xml:space="preserve"> </w:t>
            </w:r>
            <w:r w:rsidR="00F233AB" w:rsidRPr="00054B59">
              <w:rPr>
                <w:i/>
                <w:sz w:val="16"/>
              </w:rPr>
              <w:t>Index</w:t>
            </w:r>
          </w:p>
        </w:tc>
        <w:tc>
          <w:tcPr>
            <w:tcW w:w="1733" w:type="dxa"/>
            <w:tcBorders>
              <w:top w:val="single" w:sz="4" w:space="0" w:color="auto"/>
              <w:bottom w:val="single" w:sz="12" w:space="0" w:color="auto"/>
              <w:right w:val="single" w:sz="18" w:space="0" w:color="FFFFFF" w:themeColor="background1"/>
            </w:tcBorders>
            <w:shd w:val="clear" w:color="auto" w:fill="auto"/>
            <w:vAlign w:val="bottom"/>
            <w:hideMark/>
          </w:tcPr>
          <w:p w:rsidR="00F233AB" w:rsidRPr="00054B59" w:rsidRDefault="005B2A41" w:rsidP="00054B59">
            <w:pPr>
              <w:suppressAutoHyphens w:val="0"/>
              <w:spacing w:before="80" w:after="80" w:line="200" w:lineRule="exact"/>
              <w:ind w:right="113"/>
              <w:jc w:val="right"/>
              <w:rPr>
                <w:i/>
                <w:sz w:val="16"/>
              </w:rPr>
            </w:pPr>
            <w:r w:rsidRPr="00054B59">
              <w:rPr>
                <w:i/>
                <w:sz w:val="16"/>
              </w:rPr>
              <w:t xml:space="preserve"> </w:t>
            </w:r>
            <w:r w:rsidR="00F233AB" w:rsidRPr="00054B59">
              <w:rPr>
                <w:i/>
                <w:sz w:val="16"/>
              </w:rPr>
              <w:t>Rate</w:t>
            </w:r>
            <w:r w:rsidRPr="00054B59">
              <w:rPr>
                <w:i/>
                <w:sz w:val="16"/>
              </w:rPr>
              <w:t xml:space="preserve"> </w:t>
            </w:r>
            <w:r w:rsidR="00F233AB" w:rsidRPr="00054B59">
              <w:rPr>
                <w:i/>
                <w:sz w:val="16"/>
              </w:rPr>
              <w:t>of</w:t>
            </w:r>
            <w:r w:rsidRPr="00054B59">
              <w:rPr>
                <w:i/>
                <w:sz w:val="16"/>
              </w:rPr>
              <w:t xml:space="preserve"> </w:t>
            </w:r>
            <w:r w:rsidR="00F233AB" w:rsidRPr="00054B59">
              <w:rPr>
                <w:i/>
                <w:sz w:val="16"/>
              </w:rPr>
              <w:t>change</w:t>
            </w:r>
            <w:r w:rsidRPr="00054B59">
              <w:rPr>
                <w:i/>
                <w:sz w:val="16"/>
              </w:rPr>
              <w:t xml:space="preserve"> </w:t>
            </w:r>
            <w:r w:rsidR="00F233AB" w:rsidRPr="00054B59">
              <w:rPr>
                <w:i/>
                <w:sz w:val="16"/>
              </w:rPr>
              <w:t>%</w:t>
            </w:r>
            <w:r w:rsidRPr="00054B59">
              <w:rPr>
                <w:i/>
                <w:sz w:val="16"/>
              </w:rPr>
              <w:t xml:space="preserve"> </w:t>
            </w:r>
          </w:p>
        </w:tc>
        <w:tc>
          <w:tcPr>
            <w:tcW w:w="1663" w:type="dxa"/>
            <w:tcBorders>
              <w:top w:val="single" w:sz="4" w:space="0" w:color="auto"/>
              <w:left w:val="single" w:sz="18" w:space="0" w:color="FFFFFF" w:themeColor="background1"/>
              <w:bottom w:val="single" w:sz="12" w:space="0" w:color="auto"/>
            </w:tcBorders>
            <w:shd w:val="clear" w:color="auto" w:fill="auto"/>
            <w:vAlign w:val="bottom"/>
            <w:hideMark/>
          </w:tcPr>
          <w:p w:rsidR="00F233AB" w:rsidRPr="00054B59" w:rsidRDefault="00F233AB" w:rsidP="00054B59">
            <w:pPr>
              <w:suppressAutoHyphens w:val="0"/>
              <w:spacing w:before="80" w:after="80" w:line="200" w:lineRule="exact"/>
              <w:ind w:right="113"/>
              <w:jc w:val="right"/>
              <w:rPr>
                <w:i/>
                <w:sz w:val="16"/>
              </w:rPr>
            </w:pPr>
            <w:r w:rsidRPr="00054B59">
              <w:rPr>
                <w:i/>
                <w:sz w:val="16"/>
              </w:rPr>
              <w:t>Annual</w:t>
            </w:r>
            <w:r w:rsidR="005B2A41" w:rsidRPr="00054B59">
              <w:rPr>
                <w:i/>
                <w:sz w:val="16"/>
              </w:rPr>
              <w:t xml:space="preserve"> </w:t>
            </w:r>
            <w:r w:rsidRPr="00054B59">
              <w:rPr>
                <w:i/>
                <w:sz w:val="16"/>
              </w:rPr>
              <w:t>average</w:t>
            </w:r>
            <w:r w:rsidR="005B2A41" w:rsidRPr="00054B59">
              <w:rPr>
                <w:i/>
                <w:sz w:val="16"/>
              </w:rPr>
              <w:t xml:space="preserve"> </w:t>
            </w:r>
            <w:r w:rsidRPr="00054B59">
              <w:rPr>
                <w:i/>
                <w:sz w:val="16"/>
              </w:rPr>
              <w:t>index</w:t>
            </w:r>
          </w:p>
        </w:tc>
        <w:tc>
          <w:tcPr>
            <w:tcW w:w="1733" w:type="dxa"/>
            <w:tcBorders>
              <w:top w:val="single" w:sz="4" w:space="0" w:color="auto"/>
              <w:bottom w:val="single" w:sz="12" w:space="0" w:color="auto"/>
            </w:tcBorders>
            <w:shd w:val="clear" w:color="auto" w:fill="auto"/>
            <w:vAlign w:val="bottom"/>
            <w:hideMark/>
          </w:tcPr>
          <w:p w:rsidR="00F233AB" w:rsidRPr="00054B59" w:rsidRDefault="00F233AB" w:rsidP="00054B59">
            <w:pPr>
              <w:suppressAutoHyphens w:val="0"/>
              <w:spacing w:before="80" w:after="80" w:line="200" w:lineRule="exact"/>
              <w:ind w:right="113"/>
              <w:jc w:val="right"/>
              <w:rPr>
                <w:i/>
                <w:sz w:val="16"/>
              </w:rPr>
            </w:pPr>
            <w:r w:rsidRPr="00054B59">
              <w:rPr>
                <w:i/>
                <w:sz w:val="16"/>
              </w:rPr>
              <w:t>Rate</w:t>
            </w:r>
            <w:r w:rsidR="005B2A41" w:rsidRPr="00054B59">
              <w:rPr>
                <w:i/>
                <w:sz w:val="16"/>
              </w:rPr>
              <w:t xml:space="preserve"> </w:t>
            </w:r>
            <w:r w:rsidRPr="00054B59">
              <w:rPr>
                <w:i/>
                <w:sz w:val="16"/>
              </w:rPr>
              <w:t>of</w:t>
            </w:r>
            <w:r w:rsidR="005B2A41" w:rsidRPr="00054B59">
              <w:rPr>
                <w:i/>
                <w:sz w:val="16"/>
              </w:rPr>
              <w:t xml:space="preserve"> </w:t>
            </w:r>
            <w:r w:rsidRPr="00054B59">
              <w:rPr>
                <w:i/>
                <w:sz w:val="16"/>
              </w:rPr>
              <w:t>change</w:t>
            </w:r>
            <w:r w:rsidR="005B2A41" w:rsidRPr="00054B59">
              <w:rPr>
                <w:i/>
                <w:sz w:val="16"/>
              </w:rPr>
              <w:t xml:space="preserve"> </w:t>
            </w:r>
            <w:r w:rsidRPr="00054B59">
              <w:rPr>
                <w:i/>
                <w:sz w:val="16"/>
              </w:rPr>
              <w:t>%</w:t>
            </w:r>
            <w:r w:rsidR="005B2A41" w:rsidRPr="00054B59">
              <w:rPr>
                <w:i/>
                <w:sz w:val="16"/>
              </w:rPr>
              <w:t xml:space="preserve"> </w:t>
            </w:r>
          </w:p>
        </w:tc>
      </w:tr>
      <w:tr w:rsidR="00F233AB" w:rsidRPr="00712365" w:rsidTr="00054B59">
        <w:tc>
          <w:tcPr>
            <w:tcW w:w="805" w:type="dxa"/>
            <w:tcBorders>
              <w:top w:val="single" w:sz="12" w:space="0" w:color="auto"/>
            </w:tcBorders>
            <w:shd w:val="clear" w:color="auto" w:fill="auto"/>
            <w:noWrap/>
            <w:hideMark/>
          </w:tcPr>
          <w:p w:rsidR="00F233AB" w:rsidRPr="00712365" w:rsidRDefault="00F233AB" w:rsidP="00712365">
            <w:pPr>
              <w:suppressAutoHyphens w:val="0"/>
              <w:spacing w:before="40" w:after="40" w:line="220" w:lineRule="exact"/>
              <w:ind w:right="113"/>
              <w:rPr>
                <w:sz w:val="18"/>
              </w:rPr>
            </w:pPr>
            <w:r w:rsidRPr="00712365">
              <w:rPr>
                <w:sz w:val="18"/>
              </w:rPr>
              <w:t>2010</w:t>
            </w:r>
          </w:p>
        </w:tc>
        <w:tc>
          <w:tcPr>
            <w:tcW w:w="1436" w:type="dxa"/>
            <w:tcBorders>
              <w:top w:val="single" w:sz="12" w:space="0" w:color="auto"/>
            </w:tcBorders>
            <w:shd w:val="clear" w:color="auto" w:fill="auto"/>
            <w:noWrap/>
            <w:vAlign w:val="bottom"/>
            <w:hideMark/>
          </w:tcPr>
          <w:p w:rsidR="00F233AB" w:rsidRPr="00712365" w:rsidRDefault="00F233AB" w:rsidP="00712365">
            <w:pPr>
              <w:suppressAutoHyphens w:val="0"/>
              <w:spacing w:before="40" w:after="40" w:line="220" w:lineRule="exact"/>
              <w:ind w:right="113"/>
              <w:jc w:val="right"/>
              <w:rPr>
                <w:sz w:val="18"/>
              </w:rPr>
            </w:pPr>
            <w:r w:rsidRPr="00712365">
              <w:rPr>
                <w:sz w:val="18"/>
              </w:rPr>
              <w:t>107</w:t>
            </w:r>
            <w:r w:rsidR="009E0CB7">
              <w:rPr>
                <w:sz w:val="18"/>
              </w:rPr>
              <w:t xml:space="preserve"> </w:t>
            </w:r>
            <w:r w:rsidRPr="00712365">
              <w:rPr>
                <w:sz w:val="18"/>
              </w:rPr>
              <w:t>044</w:t>
            </w:r>
            <w:r w:rsidR="005B2A41" w:rsidRPr="00712365">
              <w:rPr>
                <w:sz w:val="18"/>
              </w:rPr>
              <w:t xml:space="preserve"> </w:t>
            </w:r>
          </w:p>
        </w:tc>
        <w:tc>
          <w:tcPr>
            <w:tcW w:w="1733" w:type="dxa"/>
            <w:tcBorders>
              <w:top w:val="single" w:sz="12" w:space="0" w:color="auto"/>
            </w:tcBorders>
            <w:shd w:val="clear" w:color="auto" w:fill="auto"/>
            <w:noWrap/>
            <w:vAlign w:val="bottom"/>
            <w:hideMark/>
          </w:tcPr>
          <w:p w:rsidR="00F233AB" w:rsidRPr="00712365" w:rsidRDefault="00F233AB" w:rsidP="00712365">
            <w:pPr>
              <w:suppressAutoHyphens w:val="0"/>
              <w:spacing w:before="40" w:after="40" w:line="220" w:lineRule="exact"/>
              <w:ind w:right="113"/>
              <w:jc w:val="right"/>
              <w:rPr>
                <w:sz w:val="18"/>
              </w:rPr>
            </w:pPr>
            <w:r w:rsidRPr="00712365">
              <w:rPr>
                <w:sz w:val="18"/>
              </w:rPr>
              <w:t>5</w:t>
            </w:r>
            <w:r w:rsidR="009E0CB7">
              <w:rPr>
                <w:sz w:val="18"/>
              </w:rPr>
              <w:t>.</w:t>
            </w:r>
            <w:r w:rsidRPr="00712365">
              <w:rPr>
                <w:sz w:val="18"/>
              </w:rPr>
              <w:t>2</w:t>
            </w:r>
          </w:p>
        </w:tc>
        <w:tc>
          <w:tcPr>
            <w:tcW w:w="1663" w:type="dxa"/>
            <w:tcBorders>
              <w:top w:val="single" w:sz="12" w:space="0" w:color="auto"/>
            </w:tcBorders>
            <w:shd w:val="clear" w:color="auto" w:fill="auto"/>
            <w:noWrap/>
            <w:vAlign w:val="bottom"/>
            <w:hideMark/>
          </w:tcPr>
          <w:p w:rsidR="00F233AB" w:rsidRPr="00712365" w:rsidRDefault="00F233AB" w:rsidP="00712365">
            <w:pPr>
              <w:suppressAutoHyphens w:val="0"/>
              <w:spacing w:before="40" w:after="40" w:line="220" w:lineRule="exact"/>
              <w:ind w:right="113"/>
              <w:jc w:val="right"/>
              <w:rPr>
                <w:sz w:val="18"/>
              </w:rPr>
            </w:pPr>
            <w:r w:rsidRPr="00712365">
              <w:rPr>
                <w:sz w:val="18"/>
              </w:rPr>
              <w:t>104</w:t>
            </w:r>
            <w:r w:rsidR="009E0CB7">
              <w:rPr>
                <w:sz w:val="18"/>
              </w:rPr>
              <w:t xml:space="preserve"> </w:t>
            </w:r>
            <w:r w:rsidRPr="00712365">
              <w:rPr>
                <w:sz w:val="18"/>
              </w:rPr>
              <w:t>713</w:t>
            </w:r>
            <w:r w:rsidR="005B2A41" w:rsidRPr="00712365">
              <w:rPr>
                <w:sz w:val="18"/>
              </w:rPr>
              <w:t xml:space="preserve"> </w:t>
            </w:r>
          </w:p>
        </w:tc>
        <w:tc>
          <w:tcPr>
            <w:tcW w:w="1733" w:type="dxa"/>
            <w:tcBorders>
              <w:top w:val="single" w:sz="12" w:space="0" w:color="auto"/>
            </w:tcBorders>
            <w:shd w:val="clear" w:color="auto" w:fill="auto"/>
            <w:noWrap/>
            <w:vAlign w:val="bottom"/>
            <w:hideMark/>
          </w:tcPr>
          <w:p w:rsidR="00F233AB" w:rsidRPr="00712365" w:rsidRDefault="00F233AB" w:rsidP="00712365">
            <w:pPr>
              <w:suppressAutoHyphens w:val="0"/>
              <w:spacing w:before="40" w:after="40" w:line="220" w:lineRule="exact"/>
              <w:ind w:right="113"/>
              <w:jc w:val="right"/>
              <w:rPr>
                <w:sz w:val="18"/>
              </w:rPr>
            </w:pPr>
            <w:r w:rsidRPr="00712365">
              <w:rPr>
                <w:sz w:val="18"/>
              </w:rPr>
              <w:t>4</w:t>
            </w:r>
            <w:r w:rsidR="009E0CB7">
              <w:rPr>
                <w:sz w:val="18"/>
              </w:rPr>
              <w:t>.</w:t>
            </w:r>
            <w:r w:rsidRPr="00712365">
              <w:rPr>
                <w:sz w:val="18"/>
              </w:rPr>
              <w:t>7</w:t>
            </w:r>
          </w:p>
        </w:tc>
      </w:tr>
      <w:tr w:rsidR="00F233AB" w:rsidRPr="00712365" w:rsidTr="00712365">
        <w:tc>
          <w:tcPr>
            <w:tcW w:w="805" w:type="dxa"/>
            <w:shd w:val="clear" w:color="auto" w:fill="auto"/>
            <w:noWrap/>
            <w:hideMark/>
          </w:tcPr>
          <w:p w:rsidR="00F233AB" w:rsidRPr="00712365" w:rsidRDefault="00F233AB" w:rsidP="00712365">
            <w:pPr>
              <w:suppressAutoHyphens w:val="0"/>
              <w:spacing w:before="40" w:after="40" w:line="220" w:lineRule="exact"/>
              <w:ind w:right="113"/>
              <w:rPr>
                <w:sz w:val="18"/>
              </w:rPr>
            </w:pPr>
            <w:r w:rsidRPr="00712365">
              <w:rPr>
                <w:sz w:val="18"/>
              </w:rPr>
              <w:t>2011</w:t>
            </w:r>
          </w:p>
        </w:tc>
        <w:tc>
          <w:tcPr>
            <w:tcW w:w="1436" w:type="dxa"/>
            <w:shd w:val="clear" w:color="auto" w:fill="auto"/>
            <w:noWrap/>
            <w:vAlign w:val="bottom"/>
            <w:hideMark/>
          </w:tcPr>
          <w:p w:rsidR="00F233AB" w:rsidRPr="00712365" w:rsidRDefault="00F233AB" w:rsidP="00712365">
            <w:pPr>
              <w:suppressAutoHyphens w:val="0"/>
              <w:spacing w:before="40" w:after="40" w:line="220" w:lineRule="exact"/>
              <w:ind w:right="113"/>
              <w:jc w:val="right"/>
              <w:rPr>
                <w:sz w:val="18"/>
              </w:rPr>
            </w:pPr>
            <w:r w:rsidRPr="00712365">
              <w:rPr>
                <w:sz w:val="18"/>
              </w:rPr>
              <w:t>109</w:t>
            </w:r>
            <w:r w:rsidR="009E0CB7">
              <w:rPr>
                <w:sz w:val="18"/>
              </w:rPr>
              <w:t xml:space="preserve"> </w:t>
            </w:r>
            <w:r w:rsidRPr="00712365">
              <w:rPr>
                <w:sz w:val="18"/>
              </w:rPr>
              <w:t>629</w:t>
            </w:r>
            <w:r w:rsidR="005B2A41" w:rsidRPr="00712365">
              <w:rPr>
                <w:sz w:val="18"/>
              </w:rPr>
              <w:t xml:space="preserve"> </w:t>
            </w:r>
          </w:p>
        </w:tc>
        <w:tc>
          <w:tcPr>
            <w:tcW w:w="1733" w:type="dxa"/>
            <w:shd w:val="clear" w:color="auto" w:fill="auto"/>
            <w:noWrap/>
            <w:vAlign w:val="bottom"/>
            <w:hideMark/>
          </w:tcPr>
          <w:p w:rsidR="00F233AB" w:rsidRPr="00712365" w:rsidRDefault="00F233AB" w:rsidP="00712365">
            <w:pPr>
              <w:suppressAutoHyphens w:val="0"/>
              <w:spacing w:before="40" w:after="40" w:line="220" w:lineRule="exact"/>
              <w:ind w:right="113"/>
              <w:jc w:val="right"/>
              <w:rPr>
                <w:sz w:val="18"/>
              </w:rPr>
            </w:pPr>
            <w:r w:rsidRPr="00712365">
              <w:rPr>
                <w:sz w:val="18"/>
              </w:rPr>
              <w:t>2</w:t>
            </w:r>
            <w:r w:rsidR="009E0CB7">
              <w:rPr>
                <w:sz w:val="18"/>
              </w:rPr>
              <w:t>.</w:t>
            </w:r>
            <w:r w:rsidRPr="00712365">
              <w:rPr>
                <w:sz w:val="18"/>
              </w:rPr>
              <w:t>4</w:t>
            </w:r>
          </w:p>
        </w:tc>
        <w:tc>
          <w:tcPr>
            <w:tcW w:w="1663" w:type="dxa"/>
            <w:shd w:val="clear" w:color="auto" w:fill="auto"/>
            <w:noWrap/>
            <w:vAlign w:val="bottom"/>
            <w:hideMark/>
          </w:tcPr>
          <w:p w:rsidR="00F233AB" w:rsidRPr="00712365" w:rsidRDefault="00F233AB" w:rsidP="00712365">
            <w:pPr>
              <w:suppressAutoHyphens w:val="0"/>
              <w:spacing w:before="40" w:after="40" w:line="220" w:lineRule="exact"/>
              <w:ind w:right="113"/>
              <w:jc w:val="right"/>
              <w:rPr>
                <w:sz w:val="18"/>
              </w:rPr>
            </w:pPr>
            <w:r w:rsidRPr="00712365">
              <w:rPr>
                <w:sz w:val="18"/>
              </w:rPr>
              <w:t>108</w:t>
            </w:r>
            <w:r w:rsidR="009E0CB7">
              <w:rPr>
                <w:sz w:val="18"/>
              </w:rPr>
              <w:t xml:space="preserve"> </w:t>
            </w:r>
            <w:r w:rsidRPr="00712365">
              <w:rPr>
                <w:sz w:val="18"/>
              </w:rPr>
              <w:t>200</w:t>
            </w:r>
            <w:r w:rsidR="005B2A41" w:rsidRPr="00712365">
              <w:rPr>
                <w:sz w:val="18"/>
              </w:rPr>
              <w:t xml:space="preserve"> </w:t>
            </w:r>
          </w:p>
        </w:tc>
        <w:tc>
          <w:tcPr>
            <w:tcW w:w="1733" w:type="dxa"/>
            <w:shd w:val="clear" w:color="auto" w:fill="auto"/>
            <w:noWrap/>
            <w:vAlign w:val="bottom"/>
            <w:hideMark/>
          </w:tcPr>
          <w:p w:rsidR="00F233AB" w:rsidRPr="00712365" w:rsidRDefault="00F233AB" w:rsidP="00712365">
            <w:pPr>
              <w:suppressAutoHyphens w:val="0"/>
              <w:spacing w:before="40" w:after="40" w:line="220" w:lineRule="exact"/>
              <w:ind w:right="113"/>
              <w:jc w:val="right"/>
              <w:rPr>
                <w:sz w:val="18"/>
              </w:rPr>
            </w:pPr>
            <w:r w:rsidRPr="00712365">
              <w:rPr>
                <w:sz w:val="18"/>
              </w:rPr>
              <w:t>3</w:t>
            </w:r>
            <w:r w:rsidR="009E0CB7">
              <w:rPr>
                <w:sz w:val="18"/>
              </w:rPr>
              <w:t>.</w:t>
            </w:r>
            <w:r w:rsidRPr="00712365">
              <w:rPr>
                <w:sz w:val="18"/>
              </w:rPr>
              <w:t>3</w:t>
            </w:r>
          </w:p>
        </w:tc>
      </w:tr>
      <w:tr w:rsidR="00F233AB" w:rsidRPr="00712365" w:rsidTr="00712365">
        <w:tc>
          <w:tcPr>
            <w:tcW w:w="805" w:type="dxa"/>
            <w:shd w:val="clear" w:color="auto" w:fill="auto"/>
            <w:noWrap/>
            <w:hideMark/>
          </w:tcPr>
          <w:p w:rsidR="00F233AB" w:rsidRPr="00712365" w:rsidRDefault="00F233AB" w:rsidP="00712365">
            <w:pPr>
              <w:suppressAutoHyphens w:val="0"/>
              <w:spacing w:before="40" w:after="40" w:line="220" w:lineRule="exact"/>
              <w:ind w:right="113"/>
              <w:rPr>
                <w:sz w:val="18"/>
              </w:rPr>
            </w:pPr>
            <w:r w:rsidRPr="00712365">
              <w:rPr>
                <w:sz w:val="18"/>
              </w:rPr>
              <w:t>2012</w:t>
            </w:r>
          </w:p>
        </w:tc>
        <w:tc>
          <w:tcPr>
            <w:tcW w:w="1436" w:type="dxa"/>
            <w:shd w:val="clear" w:color="auto" w:fill="auto"/>
            <w:noWrap/>
            <w:vAlign w:val="bottom"/>
            <w:hideMark/>
          </w:tcPr>
          <w:p w:rsidR="00F233AB" w:rsidRPr="00712365" w:rsidRDefault="00F233AB" w:rsidP="00712365">
            <w:pPr>
              <w:suppressAutoHyphens w:val="0"/>
              <w:spacing w:before="40" w:after="40" w:line="220" w:lineRule="exact"/>
              <w:ind w:right="113"/>
              <w:jc w:val="right"/>
              <w:rPr>
                <w:sz w:val="18"/>
              </w:rPr>
            </w:pPr>
            <w:r w:rsidRPr="00712365">
              <w:rPr>
                <w:sz w:val="18"/>
              </w:rPr>
              <w:t>110</w:t>
            </w:r>
            <w:r w:rsidR="009E0CB7">
              <w:rPr>
                <w:sz w:val="18"/>
              </w:rPr>
              <w:t xml:space="preserve"> </w:t>
            </w:r>
            <w:r w:rsidRPr="00712365">
              <w:rPr>
                <w:sz w:val="18"/>
              </w:rPr>
              <w:t>510</w:t>
            </w:r>
            <w:r w:rsidR="005B2A41" w:rsidRPr="00712365">
              <w:rPr>
                <w:sz w:val="18"/>
              </w:rPr>
              <w:t xml:space="preserve"> </w:t>
            </w:r>
          </w:p>
        </w:tc>
        <w:tc>
          <w:tcPr>
            <w:tcW w:w="1733" w:type="dxa"/>
            <w:shd w:val="clear" w:color="auto" w:fill="auto"/>
            <w:noWrap/>
            <w:vAlign w:val="bottom"/>
            <w:hideMark/>
          </w:tcPr>
          <w:p w:rsidR="00F233AB" w:rsidRPr="00712365" w:rsidRDefault="00F233AB" w:rsidP="00712365">
            <w:pPr>
              <w:suppressAutoHyphens w:val="0"/>
              <w:spacing w:before="40" w:after="40" w:line="220" w:lineRule="exact"/>
              <w:ind w:right="113"/>
              <w:jc w:val="right"/>
              <w:rPr>
                <w:sz w:val="18"/>
              </w:rPr>
            </w:pPr>
            <w:r w:rsidRPr="00712365">
              <w:rPr>
                <w:sz w:val="18"/>
              </w:rPr>
              <w:t>0</w:t>
            </w:r>
            <w:r w:rsidR="009E0CB7">
              <w:rPr>
                <w:sz w:val="18"/>
              </w:rPr>
              <w:t>.</w:t>
            </w:r>
            <w:r w:rsidRPr="00712365">
              <w:rPr>
                <w:sz w:val="18"/>
              </w:rPr>
              <w:t>8</w:t>
            </w:r>
          </w:p>
        </w:tc>
        <w:tc>
          <w:tcPr>
            <w:tcW w:w="1663" w:type="dxa"/>
            <w:shd w:val="clear" w:color="auto" w:fill="auto"/>
            <w:noWrap/>
            <w:vAlign w:val="bottom"/>
            <w:hideMark/>
          </w:tcPr>
          <w:p w:rsidR="00F233AB" w:rsidRPr="00712365" w:rsidRDefault="00F233AB" w:rsidP="00712365">
            <w:pPr>
              <w:suppressAutoHyphens w:val="0"/>
              <w:spacing w:before="40" w:after="40" w:line="220" w:lineRule="exact"/>
              <w:ind w:right="113"/>
              <w:jc w:val="right"/>
              <w:rPr>
                <w:sz w:val="18"/>
              </w:rPr>
            </w:pPr>
            <w:r w:rsidRPr="00712365">
              <w:rPr>
                <w:sz w:val="18"/>
              </w:rPr>
              <w:t>109</w:t>
            </w:r>
            <w:r w:rsidR="009E0CB7">
              <w:rPr>
                <w:sz w:val="18"/>
              </w:rPr>
              <w:t xml:space="preserve"> </w:t>
            </w:r>
            <w:r w:rsidRPr="00712365">
              <w:rPr>
                <w:sz w:val="18"/>
              </w:rPr>
              <w:t>824</w:t>
            </w:r>
            <w:r w:rsidR="005B2A41" w:rsidRPr="00712365">
              <w:rPr>
                <w:sz w:val="18"/>
              </w:rPr>
              <w:t xml:space="preserve"> </w:t>
            </w:r>
          </w:p>
        </w:tc>
        <w:tc>
          <w:tcPr>
            <w:tcW w:w="1733" w:type="dxa"/>
            <w:shd w:val="clear" w:color="auto" w:fill="auto"/>
            <w:noWrap/>
            <w:vAlign w:val="bottom"/>
            <w:hideMark/>
          </w:tcPr>
          <w:p w:rsidR="00F233AB" w:rsidRPr="00712365" w:rsidRDefault="00F233AB" w:rsidP="00712365">
            <w:pPr>
              <w:suppressAutoHyphens w:val="0"/>
              <w:spacing w:before="40" w:after="40" w:line="220" w:lineRule="exact"/>
              <w:ind w:right="113"/>
              <w:jc w:val="right"/>
              <w:rPr>
                <w:sz w:val="18"/>
              </w:rPr>
            </w:pPr>
            <w:r w:rsidRPr="00712365">
              <w:rPr>
                <w:sz w:val="18"/>
              </w:rPr>
              <w:t>1</w:t>
            </w:r>
            <w:r w:rsidR="009E0CB7">
              <w:rPr>
                <w:sz w:val="18"/>
              </w:rPr>
              <w:t>.</w:t>
            </w:r>
            <w:r w:rsidRPr="00712365">
              <w:rPr>
                <w:sz w:val="18"/>
              </w:rPr>
              <w:t>5</w:t>
            </w:r>
          </w:p>
        </w:tc>
      </w:tr>
      <w:tr w:rsidR="00F233AB" w:rsidRPr="00712365" w:rsidTr="00712365">
        <w:tc>
          <w:tcPr>
            <w:tcW w:w="805" w:type="dxa"/>
            <w:shd w:val="clear" w:color="auto" w:fill="auto"/>
            <w:noWrap/>
            <w:hideMark/>
          </w:tcPr>
          <w:p w:rsidR="00F233AB" w:rsidRPr="00712365" w:rsidRDefault="00F233AB" w:rsidP="00712365">
            <w:pPr>
              <w:suppressAutoHyphens w:val="0"/>
              <w:spacing w:before="40" w:after="40" w:line="220" w:lineRule="exact"/>
              <w:ind w:right="113"/>
              <w:rPr>
                <w:sz w:val="18"/>
              </w:rPr>
            </w:pPr>
            <w:r w:rsidRPr="00712365">
              <w:rPr>
                <w:sz w:val="18"/>
              </w:rPr>
              <w:t>2013</w:t>
            </w:r>
          </w:p>
        </w:tc>
        <w:tc>
          <w:tcPr>
            <w:tcW w:w="1436" w:type="dxa"/>
            <w:shd w:val="clear" w:color="auto" w:fill="auto"/>
            <w:noWrap/>
            <w:vAlign w:val="bottom"/>
            <w:hideMark/>
          </w:tcPr>
          <w:p w:rsidR="00F233AB" w:rsidRPr="00712365" w:rsidRDefault="00F233AB" w:rsidP="00712365">
            <w:pPr>
              <w:suppressAutoHyphens w:val="0"/>
              <w:spacing w:before="40" w:after="40" w:line="220" w:lineRule="exact"/>
              <w:ind w:right="113"/>
              <w:jc w:val="right"/>
              <w:rPr>
                <w:sz w:val="18"/>
              </w:rPr>
            </w:pPr>
            <w:r w:rsidRPr="00712365">
              <w:rPr>
                <w:sz w:val="18"/>
              </w:rPr>
              <w:t>108</w:t>
            </w:r>
            <w:r w:rsidR="009E0CB7">
              <w:rPr>
                <w:sz w:val="18"/>
              </w:rPr>
              <w:t xml:space="preserve"> </w:t>
            </w:r>
            <w:r w:rsidRPr="00712365">
              <w:rPr>
                <w:sz w:val="18"/>
              </w:rPr>
              <w:t>621</w:t>
            </w:r>
            <w:r w:rsidR="005B2A41" w:rsidRPr="00712365">
              <w:rPr>
                <w:sz w:val="18"/>
              </w:rPr>
              <w:t xml:space="preserve"> </w:t>
            </w:r>
          </w:p>
        </w:tc>
        <w:tc>
          <w:tcPr>
            <w:tcW w:w="1733" w:type="dxa"/>
            <w:shd w:val="clear" w:color="auto" w:fill="auto"/>
            <w:noWrap/>
            <w:vAlign w:val="bottom"/>
            <w:hideMark/>
          </w:tcPr>
          <w:p w:rsidR="00F233AB" w:rsidRPr="00712365" w:rsidRDefault="00F233AB" w:rsidP="00712365">
            <w:pPr>
              <w:suppressAutoHyphens w:val="0"/>
              <w:spacing w:before="40" w:after="40" w:line="220" w:lineRule="exact"/>
              <w:ind w:right="113"/>
              <w:jc w:val="right"/>
              <w:rPr>
                <w:sz w:val="18"/>
              </w:rPr>
            </w:pPr>
            <w:r w:rsidRPr="00712365">
              <w:rPr>
                <w:sz w:val="18"/>
              </w:rPr>
              <w:t>-1</w:t>
            </w:r>
            <w:r w:rsidR="009E0CB7">
              <w:rPr>
                <w:sz w:val="18"/>
              </w:rPr>
              <w:t>.</w:t>
            </w:r>
            <w:r w:rsidRPr="00712365">
              <w:rPr>
                <w:sz w:val="18"/>
              </w:rPr>
              <w:t>7</w:t>
            </w:r>
          </w:p>
        </w:tc>
        <w:tc>
          <w:tcPr>
            <w:tcW w:w="1663" w:type="dxa"/>
            <w:shd w:val="clear" w:color="auto" w:fill="auto"/>
            <w:noWrap/>
            <w:vAlign w:val="bottom"/>
            <w:hideMark/>
          </w:tcPr>
          <w:p w:rsidR="00F233AB" w:rsidRPr="00712365" w:rsidRDefault="00F233AB" w:rsidP="00712365">
            <w:pPr>
              <w:suppressAutoHyphens w:val="0"/>
              <w:spacing w:before="40" w:after="40" w:line="220" w:lineRule="exact"/>
              <w:ind w:right="113"/>
              <w:jc w:val="right"/>
              <w:rPr>
                <w:sz w:val="18"/>
              </w:rPr>
            </w:pPr>
            <w:r w:rsidRPr="00712365">
              <w:rPr>
                <w:sz w:val="18"/>
              </w:rPr>
              <w:t>108</w:t>
            </w:r>
            <w:r w:rsidR="009E0CB7">
              <w:rPr>
                <w:sz w:val="18"/>
              </w:rPr>
              <w:t xml:space="preserve"> </w:t>
            </w:r>
            <w:r w:rsidRPr="00712365">
              <w:rPr>
                <w:sz w:val="18"/>
              </w:rPr>
              <w:t>813</w:t>
            </w:r>
            <w:r w:rsidR="005B2A41" w:rsidRPr="00712365">
              <w:rPr>
                <w:sz w:val="18"/>
              </w:rPr>
              <w:t xml:space="preserve"> </w:t>
            </w:r>
          </w:p>
        </w:tc>
        <w:tc>
          <w:tcPr>
            <w:tcW w:w="1733" w:type="dxa"/>
            <w:shd w:val="clear" w:color="auto" w:fill="auto"/>
            <w:noWrap/>
            <w:vAlign w:val="bottom"/>
            <w:hideMark/>
          </w:tcPr>
          <w:p w:rsidR="00F233AB" w:rsidRPr="00712365" w:rsidRDefault="00F233AB" w:rsidP="00712365">
            <w:pPr>
              <w:suppressAutoHyphens w:val="0"/>
              <w:spacing w:before="40" w:after="40" w:line="220" w:lineRule="exact"/>
              <w:ind w:right="113"/>
              <w:jc w:val="right"/>
              <w:rPr>
                <w:sz w:val="18"/>
              </w:rPr>
            </w:pPr>
            <w:r w:rsidRPr="00712365">
              <w:rPr>
                <w:sz w:val="18"/>
              </w:rPr>
              <w:t>-0</w:t>
            </w:r>
            <w:r w:rsidR="009E0CB7">
              <w:rPr>
                <w:sz w:val="18"/>
              </w:rPr>
              <w:t>.</w:t>
            </w:r>
            <w:r w:rsidRPr="00712365">
              <w:rPr>
                <w:sz w:val="18"/>
              </w:rPr>
              <w:t>9</w:t>
            </w:r>
          </w:p>
        </w:tc>
      </w:tr>
      <w:tr w:rsidR="00F233AB" w:rsidRPr="00712365" w:rsidTr="00712365">
        <w:tc>
          <w:tcPr>
            <w:tcW w:w="805" w:type="dxa"/>
            <w:shd w:val="clear" w:color="auto" w:fill="auto"/>
            <w:noWrap/>
            <w:hideMark/>
          </w:tcPr>
          <w:p w:rsidR="00F233AB" w:rsidRPr="00712365" w:rsidRDefault="00F233AB" w:rsidP="00712365">
            <w:pPr>
              <w:suppressAutoHyphens w:val="0"/>
              <w:spacing w:before="40" w:after="40" w:line="220" w:lineRule="exact"/>
              <w:ind w:right="113"/>
              <w:rPr>
                <w:sz w:val="18"/>
              </w:rPr>
            </w:pPr>
            <w:r w:rsidRPr="00712365">
              <w:rPr>
                <w:sz w:val="18"/>
              </w:rPr>
              <w:t>2014</w:t>
            </w:r>
          </w:p>
        </w:tc>
        <w:tc>
          <w:tcPr>
            <w:tcW w:w="1436" w:type="dxa"/>
            <w:shd w:val="clear" w:color="auto" w:fill="auto"/>
            <w:noWrap/>
            <w:vAlign w:val="bottom"/>
            <w:hideMark/>
          </w:tcPr>
          <w:p w:rsidR="00F233AB" w:rsidRPr="00712365" w:rsidRDefault="00F233AB" w:rsidP="00712365">
            <w:pPr>
              <w:suppressAutoHyphens w:val="0"/>
              <w:spacing w:before="40" w:after="40" w:line="220" w:lineRule="exact"/>
              <w:ind w:right="113"/>
              <w:jc w:val="right"/>
              <w:rPr>
                <w:sz w:val="18"/>
              </w:rPr>
            </w:pPr>
            <w:r w:rsidRPr="00712365">
              <w:rPr>
                <w:sz w:val="18"/>
              </w:rPr>
              <w:t>105</w:t>
            </w:r>
            <w:r w:rsidR="009E0CB7">
              <w:rPr>
                <w:sz w:val="18"/>
              </w:rPr>
              <w:t xml:space="preserve"> </w:t>
            </w:r>
            <w:r w:rsidRPr="00712365">
              <w:rPr>
                <w:sz w:val="18"/>
              </w:rPr>
              <w:t>789</w:t>
            </w:r>
            <w:r w:rsidR="005B2A41" w:rsidRPr="00712365">
              <w:rPr>
                <w:sz w:val="18"/>
              </w:rPr>
              <w:t xml:space="preserve"> </w:t>
            </w:r>
          </w:p>
        </w:tc>
        <w:tc>
          <w:tcPr>
            <w:tcW w:w="1733" w:type="dxa"/>
            <w:shd w:val="clear" w:color="auto" w:fill="auto"/>
            <w:noWrap/>
            <w:vAlign w:val="bottom"/>
            <w:hideMark/>
          </w:tcPr>
          <w:p w:rsidR="00F233AB" w:rsidRPr="00712365" w:rsidRDefault="00F233AB" w:rsidP="00712365">
            <w:pPr>
              <w:suppressAutoHyphens w:val="0"/>
              <w:spacing w:before="40" w:after="40" w:line="220" w:lineRule="exact"/>
              <w:ind w:right="113"/>
              <w:jc w:val="right"/>
              <w:rPr>
                <w:sz w:val="18"/>
              </w:rPr>
            </w:pPr>
            <w:r w:rsidRPr="00712365">
              <w:rPr>
                <w:sz w:val="18"/>
              </w:rPr>
              <w:t>-2</w:t>
            </w:r>
            <w:r w:rsidR="009E0CB7">
              <w:rPr>
                <w:sz w:val="18"/>
              </w:rPr>
              <w:t>.</w:t>
            </w:r>
            <w:r w:rsidRPr="00712365">
              <w:rPr>
                <w:sz w:val="18"/>
              </w:rPr>
              <w:t>6</w:t>
            </w:r>
          </w:p>
        </w:tc>
        <w:tc>
          <w:tcPr>
            <w:tcW w:w="1663" w:type="dxa"/>
            <w:shd w:val="clear" w:color="auto" w:fill="auto"/>
            <w:noWrap/>
            <w:vAlign w:val="bottom"/>
            <w:hideMark/>
          </w:tcPr>
          <w:p w:rsidR="00F233AB" w:rsidRPr="00712365" w:rsidRDefault="00F233AB" w:rsidP="00712365">
            <w:pPr>
              <w:suppressAutoHyphens w:val="0"/>
              <w:spacing w:before="40" w:after="40" w:line="220" w:lineRule="exact"/>
              <w:ind w:right="113"/>
              <w:jc w:val="right"/>
              <w:rPr>
                <w:sz w:val="18"/>
              </w:rPr>
            </w:pPr>
            <w:r w:rsidRPr="00712365">
              <w:rPr>
                <w:sz w:val="18"/>
              </w:rPr>
              <w:t>107</w:t>
            </w:r>
            <w:r w:rsidR="009E0CB7">
              <w:rPr>
                <w:sz w:val="18"/>
              </w:rPr>
              <w:t xml:space="preserve"> </w:t>
            </w:r>
            <w:r w:rsidRPr="00712365">
              <w:rPr>
                <w:sz w:val="18"/>
              </w:rPr>
              <w:t>385</w:t>
            </w:r>
            <w:r w:rsidR="005B2A41" w:rsidRPr="00712365">
              <w:rPr>
                <w:sz w:val="18"/>
              </w:rPr>
              <w:t xml:space="preserve"> </w:t>
            </w:r>
          </w:p>
        </w:tc>
        <w:tc>
          <w:tcPr>
            <w:tcW w:w="1733" w:type="dxa"/>
            <w:shd w:val="clear" w:color="auto" w:fill="auto"/>
            <w:noWrap/>
            <w:vAlign w:val="bottom"/>
            <w:hideMark/>
          </w:tcPr>
          <w:p w:rsidR="00F233AB" w:rsidRPr="00712365" w:rsidRDefault="00F233AB" w:rsidP="00712365">
            <w:pPr>
              <w:suppressAutoHyphens w:val="0"/>
              <w:spacing w:before="40" w:after="40" w:line="220" w:lineRule="exact"/>
              <w:ind w:right="113"/>
              <w:jc w:val="right"/>
              <w:rPr>
                <w:sz w:val="18"/>
              </w:rPr>
            </w:pPr>
            <w:r w:rsidRPr="00712365">
              <w:rPr>
                <w:sz w:val="18"/>
              </w:rPr>
              <w:t>-1</w:t>
            </w:r>
            <w:r w:rsidR="009E0CB7">
              <w:rPr>
                <w:sz w:val="18"/>
              </w:rPr>
              <w:t>.</w:t>
            </w:r>
            <w:r w:rsidRPr="00712365">
              <w:rPr>
                <w:sz w:val="18"/>
              </w:rPr>
              <w:t>3</w:t>
            </w:r>
          </w:p>
        </w:tc>
      </w:tr>
      <w:tr w:rsidR="00F233AB" w:rsidRPr="00712365" w:rsidTr="00712365">
        <w:tc>
          <w:tcPr>
            <w:tcW w:w="805" w:type="dxa"/>
            <w:shd w:val="clear" w:color="auto" w:fill="auto"/>
            <w:noWrap/>
            <w:hideMark/>
          </w:tcPr>
          <w:p w:rsidR="00F233AB" w:rsidRPr="00712365" w:rsidRDefault="00F233AB" w:rsidP="00712365">
            <w:pPr>
              <w:suppressAutoHyphens w:val="0"/>
              <w:spacing w:before="40" w:after="40" w:line="220" w:lineRule="exact"/>
              <w:ind w:right="113"/>
              <w:rPr>
                <w:sz w:val="18"/>
              </w:rPr>
            </w:pPr>
            <w:r w:rsidRPr="00712365">
              <w:rPr>
                <w:sz w:val="18"/>
              </w:rPr>
              <w:t>2015</w:t>
            </w:r>
          </w:p>
        </w:tc>
        <w:tc>
          <w:tcPr>
            <w:tcW w:w="1436" w:type="dxa"/>
            <w:shd w:val="clear" w:color="auto" w:fill="auto"/>
            <w:noWrap/>
            <w:vAlign w:val="bottom"/>
            <w:hideMark/>
          </w:tcPr>
          <w:p w:rsidR="00F233AB" w:rsidRPr="00712365" w:rsidRDefault="00F233AB" w:rsidP="00712365">
            <w:pPr>
              <w:suppressAutoHyphens w:val="0"/>
              <w:spacing w:before="40" w:after="40" w:line="220" w:lineRule="exact"/>
              <w:ind w:right="113"/>
              <w:jc w:val="right"/>
              <w:rPr>
                <w:sz w:val="18"/>
              </w:rPr>
            </w:pPr>
            <w:r w:rsidRPr="00712365">
              <w:rPr>
                <w:sz w:val="18"/>
              </w:rPr>
              <w:t>105</w:t>
            </w:r>
            <w:r w:rsidR="009E0CB7">
              <w:rPr>
                <w:sz w:val="18"/>
              </w:rPr>
              <w:t xml:space="preserve"> </w:t>
            </w:r>
            <w:r w:rsidRPr="00712365">
              <w:rPr>
                <w:sz w:val="18"/>
              </w:rPr>
              <w:t>612</w:t>
            </w:r>
            <w:r w:rsidR="005B2A41" w:rsidRPr="00712365">
              <w:rPr>
                <w:sz w:val="18"/>
              </w:rPr>
              <w:t xml:space="preserve"> </w:t>
            </w:r>
          </w:p>
        </w:tc>
        <w:tc>
          <w:tcPr>
            <w:tcW w:w="1733" w:type="dxa"/>
            <w:shd w:val="clear" w:color="auto" w:fill="auto"/>
            <w:noWrap/>
            <w:vAlign w:val="bottom"/>
            <w:hideMark/>
          </w:tcPr>
          <w:p w:rsidR="00F233AB" w:rsidRPr="00712365" w:rsidRDefault="00F233AB" w:rsidP="00712365">
            <w:pPr>
              <w:suppressAutoHyphens w:val="0"/>
              <w:spacing w:before="40" w:after="40" w:line="220" w:lineRule="exact"/>
              <w:ind w:right="113"/>
              <w:jc w:val="right"/>
              <w:rPr>
                <w:sz w:val="18"/>
              </w:rPr>
            </w:pPr>
            <w:r w:rsidRPr="00712365">
              <w:rPr>
                <w:sz w:val="18"/>
              </w:rPr>
              <w:t>-0</w:t>
            </w:r>
            <w:r w:rsidR="009E0CB7">
              <w:rPr>
                <w:sz w:val="18"/>
              </w:rPr>
              <w:t>.</w:t>
            </w:r>
            <w:r w:rsidRPr="00712365">
              <w:rPr>
                <w:sz w:val="18"/>
              </w:rPr>
              <w:t>2</w:t>
            </w:r>
          </w:p>
        </w:tc>
        <w:tc>
          <w:tcPr>
            <w:tcW w:w="1663" w:type="dxa"/>
            <w:shd w:val="clear" w:color="auto" w:fill="auto"/>
            <w:noWrap/>
            <w:vAlign w:val="bottom"/>
            <w:hideMark/>
          </w:tcPr>
          <w:p w:rsidR="00F233AB" w:rsidRPr="00712365" w:rsidRDefault="00F233AB" w:rsidP="00712365">
            <w:pPr>
              <w:suppressAutoHyphens w:val="0"/>
              <w:spacing w:before="40" w:after="40" w:line="220" w:lineRule="exact"/>
              <w:ind w:right="113"/>
              <w:jc w:val="right"/>
              <w:rPr>
                <w:sz w:val="18"/>
              </w:rPr>
            </w:pPr>
            <w:r w:rsidRPr="00712365">
              <w:rPr>
                <w:sz w:val="18"/>
              </w:rPr>
              <w:t>105</w:t>
            </w:r>
            <w:r w:rsidR="009E0CB7">
              <w:rPr>
                <w:sz w:val="18"/>
              </w:rPr>
              <w:t xml:space="preserve"> </w:t>
            </w:r>
            <w:r w:rsidRPr="00712365">
              <w:rPr>
                <w:sz w:val="18"/>
              </w:rPr>
              <w:t>521</w:t>
            </w:r>
            <w:r w:rsidR="005B2A41" w:rsidRPr="00712365">
              <w:rPr>
                <w:sz w:val="18"/>
              </w:rPr>
              <w:t xml:space="preserve"> </w:t>
            </w:r>
          </w:p>
        </w:tc>
        <w:tc>
          <w:tcPr>
            <w:tcW w:w="1733" w:type="dxa"/>
            <w:shd w:val="clear" w:color="auto" w:fill="auto"/>
            <w:noWrap/>
            <w:vAlign w:val="bottom"/>
            <w:hideMark/>
          </w:tcPr>
          <w:p w:rsidR="00F233AB" w:rsidRPr="00712365" w:rsidRDefault="00F233AB" w:rsidP="00712365">
            <w:pPr>
              <w:suppressAutoHyphens w:val="0"/>
              <w:spacing w:before="40" w:after="40" w:line="220" w:lineRule="exact"/>
              <w:ind w:right="113"/>
              <w:jc w:val="right"/>
              <w:rPr>
                <w:sz w:val="18"/>
              </w:rPr>
            </w:pPr>
            <w:r w:rsidRPr="00712365">
              <w:rPr>
                <w:sz w:val="18"/>
              </w:rPr>
              <w:t>-1</w:t>
            </w:r>
            <w:r w:rsidR="009E0CB7">
              <w:rPr>
                <w:sz w:val="18"/>
              </w:rPr>
              <w:t>.</w:t>
            </w:r>
            <w:r w:rsidRPr="00712365">
              <w:rPr>
                <w:sz w:val="18"/>
              </w:rPr>
              <w:t>7</w:t>
            </w:r>
          </w:p>
        </w:tc>
      </w:tr>
      <w:tr w:rsidR="00F233AB" w:rsidRPr="00712365" w:rsidTr="003E3D33">
        <w:tc>
          <w:tcPr>
            <w:tcW w:w="805" w:type="dxa"/>
            <w:tcBorders>
              <w:bottom w:val="single" w:sz="12" w:space="0" w:color="auto"/>
            </w:tcBorders>
            <w:shd w:val="clear" w:color="auto" w:fill="auto"/>
            <w:noWrap/>
            <w:hideMark/>
          </w:tcPr>
          <w:p w:rsidR="00F233AB" w:rsidRPr="00712365" w:rsidRDefault="00F233AB" w:rsidP="00712365">
            <w:pPr>
              <w:suppressAutoHyphens w:val="0"/>
              <w:spacing w:before="40" w:after="40" w:line="220" w:lineRule="exact"/>
              <w:ind w:right="113"/>
              <w:rPr>
                <w:sz w:val="18"/>
              </w:rPr>
            </w:pPr>
            <w:r w:rsidRPr="00712365">
              <w:rPr>
                <w:sz w:val="18"/>
              </w:rPr>
              <w:t>2016</w:t>
            </w:r>
          </w:p>
        </w:tc>
        <w:tc>
          <w:tcPr>
            <w:tcW w:w="1436" w:type="dxa"/>
            <w:tcBorders>
              <w:bottom w:val="single" w:sz="12" w:space="0" w:color="auto"/>
            </w:tcBorders>
            <w:shd w:val="clear" w:color="auto" w:fill="auto"/>
            <w:noWrap/>
            <w:vAlign w:val="bottom"/>
            <w:hideMark/>
          </w:tcPr>
          <w:p w:rsidR="00F233AB" w:rsidRPr="00712365" w:rsidRDefault="00F233AB" w:rsidP="00712365">
            <w:pPr>
              <w:suppressAutoHyphens w:val="0"/>
              <w:spacing w:before="40" w:after="40" w:line="220" w:lineRule="exact"/>
              <w:ind w:right="113"/>
              <w:jc w:val="right"/>
              <w:rPr>
                <w:sz w:val="18"/>
              </w:rPr>
            </w:pPr>
            <w:r w:rsidRPr="00712365">
              <w:rPr>
                <w:sz w:val="18"/>
              </w:rPr>
              <w:t>105</w:t>
            </w:r>
            <w:r w:rsidR="009E0CB7">
              <w:rPr>
                <w:sz w:val="18"/>
              </w:rPr>
              <w:t xml:space="preserve"> </w:t>
            </w:r>
            <w:r w:rsidRPr="00712365">
              <w:rPr>
                <w:sz w:val="18"/>
              </w:rPr>
              <w:t>636</w:t>
            </w:r>
            <w:r w:rsidR="005B2A41" w:rsidRPr="00712365">
              <w:rPr>
                <w:sz w:val="18"/>
              </w:rPr>
              <w:t xml:space="preserve"> </w:t>
            </w:r>
          </w:p>
        </w:tc>
        <w:tc>
          <w:tcPr>
            <w:tcW w:w="1733" w:type="dxa"/>
            <w:tcBorders>
              <w:bottom w:val="single" w:sz="12" w:space="0" w:color="auto"/>
            </w:tcBorders>
            <w:shd w:val="clear" w:color="auto" w:fill="auto"/>
            <w:noWrap/>
            <w:vAlign w:val="bottom"/>
            <w:hideMark/>
          </w:tcPr>
          <w:p w:rsidR="00F233AB" w:rsidRPr="00712365" w:rsidRDefault="00F233AB" w:rsidP="00712365">
            <w:pPr>
              <w:suppressAutoHyphens w:val="0"/>
              <w:spacing w:before="40" w:after="40" w:line="220" w:lineRule="exact"/>
              <w:ind w:right="113"/>
              <w:jc w:val="right"/>
              <w:rPr>
                <w:sz w:val="18"/>
              </w:rPr>
            </w:pPr>
            <w:r w:rsidRPr="00712365">
              <w:rPr>
                <w:sz w:val="18"/>
              </w:rPr>
              <w:t>0</w:t>
            </w:r>
            <w:r w:rsidR="009E0CB7">
              <w:rPr>
                <w:sz w:val="18"/>
              </w:rPr>
              <w:t>.</w:t>
            </w:r>
            <w:r w:rsidRPr="00712365">
              <w:rPr>
                <w:sz w:val="18"/>
              </w:rPr>
              <w:t>0</w:t>
            </w:r>
          </w:p>
        </w:tc>
        <w:tc>
          <w:tcPr>
            <w:tcW w:w="1663" w:type="dxa"/>
            <w:tcBorders>
              <w:bottom w:val="single" w:sz="12" w:space="0" w:color="auto"/>
            </w:tcBorders>
            <w:shd w:val="clear" w:color="auto" w:fill="auto"/>
            <w:noWrap/>
            <w:vAlign w:val="bottom"/>
            <w:hideMark/>
          </w:tcPr>
          <w:p w:rsidR="00F233AB" w:rsidRPr="00712365" w:rsidRDefault="00F233AB" w:rsidP="00712365">
            <w:pPr>
              <w:suppressAutoHyphens w:val="0"/>
              <w:spacing w:before="40" w:after="40" w:line="220" w:lineRule="exact"/>
              <w:ind w:right="113"/>
              <w:jc w:val="right"/>
              <w:rPr>
                <w:sz w:val="18"/>
              </w:rPr>
            </w:pPr>
            <w:r w:rsidRPr="00712365">
              <w:rPr>
                <w:sz w:val="18"/>
              </w:rPr>
              <w:t>104</w:t>
            </w:r>
            <w:r w:rsidR="009E0CB7">
              <w:rPr>
                <w:sz w:val="18"/>
              </w:rPr>
              <w:t xml:space="preserve"> </w:t>
            </w:r>
            <w:r w:rsidRPr="00712365">
              <w:rPr>
                <w:sz w:val="18"/>
              </w:rPr>
              <w:t>649</w:t>
            </w:r>
            <w:r w:rsidR="005B2A41" w:rsidRPr="00712365">
              <w:rPr>
                <w:sz w:val="18"/>
              </w:rPr>
              <w:t xml:space="preserve"> </w:t>
            </w:r>
          </w:p>
        </w:tc>
        <w:tc>
          <w:tcPr>
            <w:tcW w:w="1733" w:type="dxa"/>
            <w:tcBorders>
              <w:bottom w:val="single" w:sz="12" w:space="0" w:color="auto"/>
            </w:tcBorders>
            <w:shd w:val="clear" w:color="auto" w:fill="auto"/>
            <w:noWrap/>
            <w:vAlign w:val="bottom"/>
            <w:hideMark/>
          </w:tcPr>
          <w:p w:rsidR="00F233AB" w:rsidRPr="00712365" w:rsidRDefault="00F233AB" w:rsidP="00712365">
            <w:pPr>
              <w:suppressAutoHyphens w:val="0"/>
              <w:spacing w:before="40" w:after="40" w:line="220" w:lineRule="exact"/>
              <w:ind w:right="113"/>
              <w:jc w:val="right"/>
              <w:rPr>
                <w:sz w:val="18"/>
              </w:rPr>
            </w:pPr>
            <w:r w:rsidRPr="00712365">
              <w:rPr>
                <w:sz w:val="18"/>
              </w:rPr>
              <w:t>-0</w:t>
            </w:r>
            <w:r w:rsidR="009E0CB7">
              <w:rPr>
                <w:sz w:val="18"/>
              </w:rPr>
              <w:t>.</w:t>
            </w:r>
            <w:r w:rsidRPr="00712365">
              <w:rPr>
                <w:sz w:val="18"/>
              </w:rPr>
              <w:t>8</w:t>
            </w:r>
          </w:p>
        </w:tc>
      </w:tr>
    </w:tbl>
    <w:p w:rsidR="00F233AB" w:rsidRPr="00220116" w:rsidRDefault="00F233AB" w:rsidP="00220116">
      <w:pPr>
        <w:pStyle w:val="H23G"/>
      </w:pPr>
      <w:r w:rsidRPr="00B02247">
        <w:tab/>
      </w:r>
      <w:r w:rsidRPr="00B02247">
        <w:tab/>
        <w:t>Average</w:t>
      </w:r>
      <w:r w:rsidR="005B2A41">
        <w:t xml:space="preserve"> </w:t>
      </w:r>
      <w:r w:rsidRPr="00B02247">
        <w:t>monthly</w:t>
      </w:r>
      <w:r w:rsidR="005B2A41">
        <w:t xml:space="preserve"> </w:t>
      </w:r>
      <w:r w:rsidRPr="00B02247">
        <w:t>household</w:t>
      </w:r>
      <w:r w:rsidR="005B2A41">
        <w:t xml:space="preserve"> </w:t>
      </w:r>
      <w:r w:rsidRPr="00B02247">
        <w:t>expenditure</w:t>
      </w:r>
      <w:r w:rsidR="005B2A41">
        <w:t xml:space="preserve"> </w:t>
      </w:r>
      <w:r w:rsidRPr="00B02247">
        <w:t>(purchases,</w:t>
      </w:r>
      <w:r w:rsidR="005B2A41">
        <w:t xml:space="preserve"> </w:t>
      </w:r>
      <w:r w:rsidRPr="00B02247">
        <w:t>current</w:t>
      </w:r>
      <w:r w:rsidR="005B2A41">
        <w:t xml:space="preserve"> </w:t>
      </w:r>
      <w:r w:rsidRPr="00B02247">
        <w:t>prices)</w:t>
      </w:r>
      <w:r w:rsidR="005B2A41">
        <w:t xml:space="preserve"> </w:t>
      </w:r>
      <w:r w:rsidRPr="00B02247">
        <w:t>on</w:t>
      </w:r>
      <w:r w:rsidR="005B2A41">
        <w:t xml:space="preserve"> </w:t>
      </w:r>
      <w:r w:rsidRPr="00B02247">
        <w:t>goods</w:t>
      </w:r>
      <w:r w:rsidR="005B2A41">
        <w:t xml:space="preserve"> </w:t>
      </w:r>
      <w:r w:rsidRPr="00B02247">
        <w:t>and</w:t>
      </w:r>
      <w:r w:rsidR="005B2A41">
        <w:t xml:space="preserve"> </w:t>
      </w:r>
      <w:r w:rsidRPr="00B02247">
        <w:t>services:</w:t>
      </w:r>
      <w:r w:rsidR="005B2A41">
        <w:t xml:space="preserve"> </w:t>
      </w:r>
      <w:r w:rsidRPr="00B02247">
        <w:t>2015–2011</w:t>
      </w:r>
      <w:r w:rsidR="005B2A41">
        <w:t xml:space="preserve"> </w:t>
      </w:r>
      <w:r w:rsidRPr="00B02247">
        <w:t>HBS</w:t>
      </w:r>
      <w:r w:rsidR="00220116">
        <w:br/>
      </w:r>
      <w:r w:rsidRPr="00220116">
        <w:rPr>
          <w:b w:val="0"/>
          <w:bCs/>
          <w:sz w:val="16"/>
          <w:szCs w:val="16"/>
        </w:rPr>
        <w:t>Value</w:t>
      </w:r>
      <w:r w:rsidR="005B2A41" w:rsidRPr="00220116">
        <w:rPr>
          <w:b w:val="0"/>
          <w:bCs/>
          <w:sz w:val="16"/>
          <w:szCs w:val="16"/>
        </w:rPr>
        <w:t xml:space="preserve"> </w:t>
      </w:r>
      <w:r w:rsidRPr="00220116">
        <w:rPr>
          <w:b w:val="0"/>
          <w:bCs/>
          <w:sz w:val="16"/>
          <w:szCs w:val="16"/>
        </w:rPr>
        <w:t>in</w:t>
      </w:r>
      <w:r w:rsidR="005B2A41" w:rsidRPr="00220116">
        <w:rPr>
          <w:b w:val="0"/>
          <w:bCs/>
          <w:sz w:val="16"/>
          <w:szCs w:val="16"/>
        </w:rPr>
        <w:t xml:space="preserve"> </w:t>
      </w:r>
      <w:r w:rsidRPr="00220116">
        <w:rPr>
          <w:b w:val="0"/>
          <w:bCs/>
          <w:sz w:val="16"/>
          <w:szCs w:val="16"/>
        </w:rPr>
        <w:t>euro</w:t>
      </w:r>
    </w:p>
    <w:tbl>
      <w:tblPr>
        <w:tblW w:w="8504"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371"/>
        <w:gridCol w:w="770"/>
        <w:gridCol w:w="560"/>
        <w:gridCol w:w="826"/>
        <w:gridCol w:w="616"/>
        <w:gridCol w:w="839"/>
        <w:gridCol w:w="616"/>
        <w:gridCol w:w="877"/>
        <w:gridCol w:w="519"/>
        <w:gridCol w:w="800"/>
        <w:gridCol w:w="710"/>
      </w:tblGrid>
      <w:tr w:rsidR="00226AD5" w:rsidRPr="007B1540" w:rsidTr="0049197C">
        <w:trPr>
          <w:tblHeader/>
        </w:trPr>
        <w:tc>
          <w:tcPr>
            <w:tcW w:w="1372" w:type="dxa"/>
            <w:vMerge w:val="restart"/>
            <w:tcBorders>
              <w:top w:val="single" w:sz="4" w:space="0" w:color="auto"/>
              <w:bottom w:val="single" w:sz="12" w:space="0" w:color="auto"/>
            </w:tcBorders>
            <w:shd w:val="clear" w:color="auto" w:fill="auto"/>
            <w:vAlign w:val="bottom"/>
          </w:tcPr>
          <w:p w:rsidR="00F233AB" w:rsidRPr="007B1540" w:rsidRDefault="00F233AB" w:rsidP="007B1540">
            <w:pPr>
              <w:suppressAutoHyphens w:val="0"/>
              <w:spacing w:before="80" w:after="80" w:line="200" w:lineRule="exact"/>
              <w:ind w:right="113"/>
              <w:rPr>
                <w:i/>
                <w:sz w:val="16"/>
              </w:rPr>
            </w:pPr>
            <w:r w:rsidRPr="007B1540">
              <w:rPr>
                <w:i/>
                <w:sz w:val="16"/>
              </w:rPr>
              <w:t>Goods</w:t>
            </w:r>
            <w:r w:rsidR="005B2A41" w:rsidRPr="007B1540">
              <w:rPr>
                <w:i/>
                <w:sz w:val="16"/>
              </w:rPr>
              <w:t xml:space="preserve"> </w:t>
            </w:r>
            <w:r w:rsidRPr="007B1540">
              <w:rPr>
                <w:i/>
                <w:sz w:val="16"/>
              </w:rPr>
              <w:t>and</w:t>
            </w:r>
            <w:r w:rsidR="005B2A41" w:rsidRPr="007B1540">
              <w:rPr>
                <w:i/>
                <w:sz w:val="16"/>
              </w:rPr>
              <w:t xml:space="preserve"> </w:t>
            </w:r>
            <w:r w:rsidRPr="007B1540">
              <w:rPr>
                <w:i/>
                <w:sz w:val="16"/>
              </w:rPr>
              <w:t>services</w:t>
            </w:r>
          </w:p>
        </w:tc>
        <w:tc>
          <w:tcPr>
            <w:tcW w:w="1330" w:type="dxa"/>
            <w:gridSpan w:val="2"/>
            <w:tcBorders>
              <w:top w:val="single" w:sz="4" w:space="0" w:color="auto"/>
              <w:bottom w:val="single" w:sz="4" w:space="0" w:color="auto"/>
              <w:right w:val="single" w:sz="24" w:space="0" w:color="FFFFFF" w:themeColor="background1"/>
            </w:tcBorders>
            <w:shd w:val="clear" w:color="auto" w:fill="auto"/>
            <w:vAlign w:val="bottom"/>
          </w:tcPr>
          <w:p w:rsidR="00F233AB" w:rsidRPr="007B1540" w:rsidRDefault="00F233AB" w:rsidP="00226AD5">
            <w:pPr>
              <w:suppressAutoHyphens w:val="0"/>
              <w:spacing w:before="80" w:after="80" w:line="200" w:lineRule="exact"/>
              <w:ind w:right="113"/>
              <w:jc w:val="center"/>
              <w:rPr>
                <w:i/>
                <w:sz w:val="16"/>
              </w:rPr>
            </w:pPr>
            <w:r w:rsidRPr="007B1540">
              <w:rPr>
                <w:i/>
                <w:sz w:val="16"/>
              </w:rPr>
              <w:t>2015</w:t>
            </w:r>
            <w:r w:rsidR="005B2A41" w:rsidRPr="007B1540">
              <w:rPr>
                <w:i/>
                <w:sz w:val="16"/>
              </w:rPr>
              <w:t xml:space="preserve"> </w:t>
            </w:r>
            <w:r w:rsidRPr="007B1540">
              <w:rPr>
                <w:i/>
                <w:sz w:val="16"/>
              </w:rPr>
              <w:t>HBS</w:t>
            </w:r>
          </w:p>
        </w:tc>
        <w:tc>
          <w:tcPr>
            <w:tcW w:w="144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F233AB" w:rsidRPr="007B1540" w:rsidRDefault="00F233AB" w:rsidP="00226AD5">
            <w:pPr>
              <w:suppressAutoHyphens w:val="0"/>
              <w:spacing w:before="80" w:after="80" w:line="200" w:lineRule="exact"/>
              <w:ind w:right="113"/>
              <w:jc w:val="center"/>
              <w:rPr>
                <w:i/>
                <w:sz w:val="16"/>
              </w:rPr>
            </w:pPr>
            <w:r w:rsidRPr="007B1540">
              <w:rPr>
                <w:i/>
                <w:sz w:val="16"/>
              </w:rPr>
              <w:t>2014</w:t>
            </w:r>
            <w:r w:rsidR="005B2A41" w:rsidRPr="007B1540">
              <w:rPr>
                <w:i/>
                <w:sz w:val="16"/>
              </w:rPr>
              <w:t xml:space="preserve"> </w:t>
            </w:r>
            <w:r w:rsidRPr="007B1540">
              <w:rPr>
                <w:i/>
                <w:sz w:val="16"/>
              </w:rPr>
              <w:t>HBS</w:t>
            </w:r>
          </w:p>
        </w:tc>
        <w:tc>
          <w:tcPr>
            <w:tcW w:w="145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F233AB" w:rsidRPr="007B1540" w:rsidRDefault="00F233AB" w:rsidP="00226AD5">
            <w:pPr>
              <w:suppressAutoHyphens w:val="0"/>
              <w:spacing w:before="80" w:after="80" w:line="200" w:lineRule="exact"/>
              <w:ind w:right="113"/>
              <w:jc w:val="center"/>
              <w:rPr>
                <w:i/>
                <w:sz w:val="16"/>
              </w:rPr>
            </w:pPr>
            <w:r w:rsidRPr="007B1540">
              <w:rPr>
                <w:i/>
                <w:sz w:val="16"/>
              </w:rPr>
              <w:t>2013</w:t>
            </w:r>
            <w:r w:rsidR="005B2A41" w:rsidRPr="007B1540">
              <w:rPr>
                <w:i/>
                <w:sz w:val="16"/>
              </w:rPr>
              <w:t xml:space="preserve"> </w:t>
            </w:r>
            <w:r w:rsidRPr="007B1540">
              <w:rPr>
                <w:i/>
                <w:sz w:val="16"/>
              </w:rPr>
              <w:t>HBS</w:t>
            </w:r>
          </w:p>
        </w:tc>
        <w:tc>
          <w:tcPr>
            <w:tcW w:w="139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F233AB" w:rsidRPr="007B1540" w:rsidRDefault="00F233AB" w:rsidP="00226AD5">
            <w:pPr>
              <w:suppressAutoHyphens w:val="0"/>
              <w:spacing w:before="80" w:after="80" w:line="200" w:lineRule="exact"/>
              <w:ind w:right="113"/>
              <w:jc w:val="center"/>
              <w:rPr>
                <w:i/>
                <w:sz w:val="16"/>
              </w:rPr>
            </w:pPr>
            <w:r w:rsidRPr="007B1540">
              <w:rPr>
                <w:i/>
                <w:sz w:val="16"/>
              </w:rPr>
              <w:t>2012</w:t>
            </w:r>
            <w:r w:rsidR="005B2A41" w:rsidRPr="007B1540">
              <w:rPr>
                <w:i/>
                <w:sz w:val="16"/>
              </w:rPr>
              <w:t xml:space="preserve"> </w:t>
            </w:r>
            <w:r w:rsidRPr="007B1540">
              <w:rPr>
                <w:i/>
                <w:sz w:val="16"/>
              </w:rPr>
              <w:t>HBS</w:t>
            </w:r>
          </w:p>
        </w:tc>
        <w:tc>
          <w:tcPr>
            <w:tcW w:w="1509" w:type="dxa"/>
            <w:gridSpan w:val="2"/>
            <w:tcBorders>
              <w:top w:val="single" w:sz="4" w:space="0" w:color="auto"/>
              <w:left w:val="single" w:sz="24" w:space="0" w:color="FFFFFF" w:themeColor="background1"/>
              <w:bottom w:val="single" w:sz="4" w:space="0" w:color="auto"/>
            </w:tcBorders>
            <w:shd w:val="clear" w:color="auto" w:fill="auto"/>
            <w:vAlign w:val="bottom"/>
          </w:tcPr>
          <w:p w:rsidR="00F233AB" w:rsidRPr="007B1540" w:rsidRDefault="00F233AB" w:rsidP="00226AD5">
            <w:pPr>
              <w:suppressAutoHyphens w:val="0"/>
              <w:spacing w:before="80" w:after="80" w:line="200" w:lineRule="exact"/>
              <w:ind w:right="113"/>
              <w:jc w:val="center"/>
              <w:rPr>
                <w:i/>
                <w:sz w:val="16"/>
              </w:rPr>
            </w:pPr>
            <w:r w:rsidRPr="007B1540">
              <w:rPr>
                <w:i/>
                <w:sz w:val="16"/>
              </w:rPr>
              <w:t>2011</w:t>
            </w:r>
            <w:r w:rsidR="005B2A41" w:rsidRPr="007B1540">
              <w:rPr>
                <w:i/>
                <w:sz w:val="16"/>
              </w:rPr>
              <w:t xml:space="preserve"> </w:t>
            </w:r>
            <w:r w:rsidRPr="007B1540">
              <w:rPr>
                <w:i/>
                <w:sz w:val="16"/>
              </w:rPr>
              <w:t>HBS</w:t>
            </w:r>
          </w:p>
        </w:tc>
      </w:tr>
      <w:tr w:rsidR="0049197C" w:rsidRPr="007B1540" w:rsidTr="006533EC">
        <w:trPr>
          <w:tblHeader/>
        </w:trPr>
        <w:tc>
          <w:tcPr>
            <w:tcW w:w="1372" w:type="dxa"/>
            <w:vMerge/>
            <w:tcBorders>
              <w:top w:val="single" w:sz="12" w:space="0" w:color="auto"/>
              <w:bottom w:val="single" w:sz="12" w:space="0" w:color="auto"/>
            </w:tcBorders>
            <w:shd w:val="clear" w:color="auto" w:fill="auto"/>
            <w:vAlign w:val="bottom"/>
          </w:tcPr>
          <w:p w:rsidR="00F233AB" w:rsidRPr="007B1540" w:rsidRDefault="00F233AB" w:rsidP="007B1540">
            <w:pPr>
              <w:suppressAutoHyphens w:val="0"/>
              <w:spacing w:before="40" w:after="40" w:line="220" w:lineRule="exact"/>
              <w:ind w:right="113"/>
              <w:rPr>
                <w:sz w:val="18"/>
              </w:rPr>
            </w:pPr>
          </w:p>
        </w:tc>
        <w:tc>
          <w:tcPr>
            <w:tcW w:w="770" w:type="dxa"/>
            <w:tcBorders>
              <w:top w:val="single" w:sz="4" w:space="0" w:color="auto"/>
              <w:bottom w:val="single" w:sz="12" w:space="0" w:color="auto"/>
            </w:tcBorders>
            <w:shd w:val="clear" w:color="auto" w:fill="auto"/>
            <w:vAlign w:val="bottom"/>
          </w:tcPr>
          <w:p w:rsidR="00F233AB" w:rsidRPr="007B1540" w:rsidRDefault="00F233AB" w:rsidP="007B1540">
            <w:pPr>
              <w:suppressAutoHyphens w:val="0"/>
              <w:spacing w:before="80" w:after="80" w:line="200" w:lineRule="exact"/>
              <w:ind w:right="113"/>
              <w:jc w:val="right"/>
              <w:rPr>
                <w:i/>
                <w:sz w:val="16"/>
              </w:rPr>
            </w:pPr>
            <w:r w:rsidRPr="007B1540">
              <w:rPr>
                <w:i/>
                <w:sz w:val="16"/>
              </w:rPr>
              <w:t>Value</w:t>
            </w:r>
          </w:p>
        </w:tc>
        <w:tc>
          <w:tcPr>
            <w:tcW w:w="560" w:type="dxa"/>
            <w:tcBorders>
              <w:top w:val="single" w:sz="4" w:space="0" w:color="auto"/>
              <w:bottom w:val="single" w:sz="12" w:space="0" w:color="auto"/>
              <w:right w:val="single" w:sz="24" w:space="0" w:color="FFFFFF" w:themeColor="background1"/>
            </w:tcBorders>
            <w:shd w:val="clear" w:color="auto" w:fill="auto"/>
            <w:vAlign w:val="bottom"/>
          </w:tcPr>
          <w:p w:rsidR="00F233AB" w:rsidRPr="007B1540" w:rsidRDefault="00F233AB" w:rsidP="007B1540">
            <w:pPr>
              <w:suppressAutoHyphens w:val="0"/>
              <w:spacing w:before="80" w:after="80" w:line="200" w:lineRule="exact"/>
              <w:ind w:right="113"/>
              <w:jc w:val="right"/>
              <w:rPr>
                <w:i/>
                <w:sz w:val="16"/>
              </w:rPr>
            </w:pPr>
            <w:r w:rsidRPr="007B1540">
              <w:rPr>
                <w:i/>
                <w:sz w:val="16"/>
              </w:rPr>
              <w:t>%</w:t>
            </w:r>
          </w:p>
        </w:tc>
        <w:tc>
          <w:tcPr>
            <w:tcW w:w="826" w:type="dxa"/>
            <w:tcBorders>
              <w:top w:val="single" w:sz="4" w:space="0" w:color="auto"/>
              <w:left w:val="single" w:sz="24" w:space="0" w:color="FFFFFF" w:themeColor="background1"/>
              <w:bottom w:val="single" w:sz="12" w:space="0" w:color="auto"/>
            </w:tcBorders>
            <w:shd w:val="clear" w:color="auto" w:fill="auto"/>
            <w:vAlign w:val="bottom"/>
          </w:tcPr>
          <w:p w:rsidR="00F233AB" w:rsidRPr="007B1540" w:rsidRDefault="00F233AB" w:rsidP="007B1540">
            <w:pPr>
              <w:suppressAutoHyphens w:val="0"/>
              <w:spacing w:before="80" w:after="80" w:line="200" w:lineRule="exact"/>
              <w:ind w:right="113"/>
              <w:jc w:val="right"/>
              <w:rPr>
                <w:i/>
                <w:sz w:val="16"/>
              </w:rPr>
            </w:pPr>
            <w:r w:rsidRPr="007B1540">
              <w:rPr>
                <w:i/>
                <w:sz w:val="16"/>
              </w:rPr>
              <w:t>Value</w:t>
            </w:r>
          </w:p>
        </w:tc>
        <w:tc>
          <w:tcPr>
            <w:tcW w:w="616" w:type="dxa"/>
            <w:tcBorders>
              <w:top w:val="single" w:sz="4" w:space="0" w:color="auto"/>
              <w:bottom w:val="single" w:sz="12" w:space="0" w:color="auto"/>
              <w:right w:val="single" w:sz="24" w:space="0" w:color="FFFFFF" w:themeColor="background1"/>
            </w:tcBorders>
            <w:shd w:val="clear" w:color="auto" w:fill="auto"/>
            <w:vAlign w:val="bottom"/>
          </w:tcPr>
          <w:p w:rsidR="00F233AB" w:rsidRPr="007B1540" w:rsidRDefault="00F233AB" w:rsidP="007B1540">
            <w:pPr>
              <w:suppressAutoHyphens w:val="0"/>
              <w:spacing w:before="80" w:after="80" w:line="200" w:lineRule="exact"/>
              <w:ind w:right="113"/>
              <w:jc w:val="right"/>
              <w:rPr>
                <w:i/>
                <w:sz w:val="16"/>
              </w:rPr>
            </w:pPr>
            <w:r w:rsidRPr="007B1540">
              <w:rPr>
                <w:i/>
                <w:sz w:val="16"/>
              </w:rPr>
              <w:t>%</w:t>
            </w:r>
          </w:p>
        </w:tc>
        <w:tc>
          <w:tcPr>
            <w:tcW w:w="839" w:type="dxa"/>
            <w:tcBorders>
              <w:top w:val="single" w:sz="4" w:space="0" w:color="auto"/>
              <w:left w:val="single" w:sz="24" w:space="0" w:color="FFFFFF" w:themeColor="background1"/>
              <w:bottom w:val="single" w:sz="12" w:space="0" w:color="auto"/>
            </w:tcBorders>
            <w:shd w:val="clear" w:color="auto" w:fill="auto"/>
            <w:vAlign w:val="bottom"/>
          </w:tcPr>
          <w:p w:rsidR="00F233AB" w:rsidRPr="007B1540" w:rsidRDefault="00F233AB" w:rsidP="007B1540">
            <w:pPr>
              <w:suppressAutoHyphens w:val="0"/>
              <w:spacing w:before="80" w:after="80" w:line="200" w:lineRule="exact"/>
              <w:ind w:right="113"/>
              <w:jc w:val="right"/>
              <w:rPr>
                <w:i/>
                <w:sz w:val="16"/>
              </w:rPr>
            </w:pPr>
            <w:r w:rsidRPr="007B1540">
              <w:rPr>
                <w:i/>
                <w:sz w:val="16"/>
              </w:rPr>
              <w:t>Value</w:t>
            </w:r>
          </w:p>
        </w:tc>
        <w:tc>
          <w:tcPr>
            <w:tcW w:w="616" w:type="dxa"/>
            <w:tcBorders>
              <w:top w:val="single" w:sz="4" w:space="0" w:color="auto"/>
              <w:bottom w:val="single" w:sz="12" w:space="0" w:color="auto"/>
              <w:right w:val="single" w:sz="24" w:space="0" w:color="FFFFFF" w:themeColor="background1"/>
            </w:tcBorders>
            <w:shd w:val="clear" w:color="auto" w:fill="auto"/>
            <w:vAlign w:val="bottom"/>
          </w:tcPr>
          <w:p w:rsidR="00F233AB" w:rsidRPr="007B1540" w:rsidRDefault="00F233AB" w:rsidP="007B1540">
            <w:pPr>
              <w:suppressAutoHyphens w:val="0"/>
              <w:spacing w:before="80" w:after="80" w:line="200" w:lineRule="exact"/>
              <w:ind w:right="113"/>
              <w:jc w:val="right"/>
              <w:rPr>
                <w:i/>
                <w:sz w:val="16"/>
              </w:rPr>
            </w:pPr>
            <w:r w:rsidRPr="007B1540">
              <w:rPr>
                <w:i/>
                <w:sz w:val="16"/>
              </w:rPr>
              <w:t>%</w:t>
            </w:r>
          </w:p>
        </w:tc>
        <w:tc>
          <w:tcPr>
            <w:tcW w:w="877" w:type="dxa"/>
            <w:tcBorders>
              <w:top w:val="single" w:sz="4" w:space="0" w:color="auto"/>
              <w:left w:val="single" w:sz="24" w:space="0" w:color="FFFFFF" w:themeColor="background1"/>
              <w:bottom w:val="single" w:sz="12" w:space="0" w:color="auto"/>
            </w:tcBorders>
            <w:shd w:val="clear" w:color="auto" w:fill="auto"/>
            <w:vAlign w:val="bottom"/>
          </w:tcPr>
          <w:p w:rsidR="00F233AB" w:rsidRPr="007B1540" w:rsidRDefault="00F233AB" w:rsidP="007B1540">
            <w:pPr>
              <w:suppressAutoHyphens w:val="0"/>
              <w:spacing w:before="80" w:after="80" w:line="200" w:lineRule="exact"/>
              <w:ind w:right="113"/>
              <w:jc w:val="right"/>
              <w:rPr>
                <w:i/>
                <w:sz w:val="16"/>
              </w:rPr>
            </w:pPr>
            <w:r w:rsidRPr="007B1540">
              <w:rPr>
                <w:i/>
                <w:sz w:val="16"/>
              </w:rPr>
              <w:t>Value</w:t>
            </w:r>
          </w:p>
        </w:tc>
        <w:tc>
          <w:tcPr>
            <w:tcW w:w="518" w:type="dxa"/>
            <w:tcBorders>
              <w:top w:val="single" w:sz="4" w:space="0" w:color="auto"/>
              <w:bottom w:val="single" w:sz="12" w:space="0" w:color="auto"/>
              <w:right w:val="single" w:sz="24" w:space="0" w:color="FFFFFF" w:themeColor="background1"/>
            </w:tcBorders>
            <w:shd w:val="clear" w:color="auto" w:fill="auto"/>
            <w:vAlign w:val="bottom"/>
          </w:tcPr>
          <w:p w:rsidR="00F233AB" w:rsidRPr="007B1540" w:rsidRDefault="00F233AB" w:rsidP="007B1540">
            <w:pPr>
              <w:suppressAutoHyphens w:val="0"/>
              <w:spacing w:before="80" w:after="80" w:line="200" w:lineRule="exact"/>
              <w:ind w:right="113"/>
              <w:jc w:val="right"/>
              <w:rPr>
                <w:i/>
                <w:sz w:val="16"/>
              </w:rPr>
            </w:pPr>
            <w:r w:rsidRPr="007B1540">
              <w:rPr>
                <w:i/>
                <w:sz w:val="16"/>
              </w:rPr>
              <w:t>%</w:t>
            </w:r>
          </w:p>
        </w:tc>
        <w:tc>
          <w:tcPr>
            <w:tcW w:w="800" w:type="dxa"/>
            <w:tcBorders>
              <w:top w:val="single" w:sz="4" w:space="0" w:color="auto"/>
              <w:left w:val="single" w:sz="24" w:space="0" w:color="FFFFFF" w:themeColor="background1"/>
              <w:bottom w:val="single" w:sz="12" w:space="0" w:color="auto"/>
            </w:tcBorders>
            <w:shd w:val="clear" w:color="auto" w:fill="auto"/>
            <w:vAlign w:val="bottom"/>
          </w:tcPr>
          <w:p w:rsidR="00F233AB" w:rsidRPr="007B1540" w:rsidRDefault="00F233AB" w:rsidP="007B1540">
            <w:pPr>
              <w:suppressAutoHyphens w:val="0"/>
              <w:spacing w:before="80" w:after="80" w:line="200" w:lineRule="exact"/>
              <w:ind w:right="113"/>
              <w:jc w:val="right"/>
              <w:rPr>
                <w:i/>
                <w:sz w:val="16"/>
              </w:rPr>
            </w:pPr>
            <w:r w:rsidRPr="007B1540">
              <w:rPr>
                <w:i/>
                <w:sz w:val="16"/>
              </w:rPr>
              <w:t>Value</w:t>
            </w:r>
            <w:r w:rsidR="005B2A41" w:rsidRPr="007B1540">
              <w:rPr>
                <w:i/>
                <w:sz w:val="16"/>
              </w:rPr>
              <w:t xml:space="preserve"> </w:t>
            </w:r>
          </w:p>
        </w:tc>
        <w:tc>
          <w:tcPr>
            <w:tcW w:w="710" w:type="dxa"/>
            <w:tcBorders>
              <w:top w:val="single" w:sz="4" w:space="0" w:color="auto"/>
              <w:bottom w:val="single" w:sz="12" w:space="0" w:color="auto"/>
            </w:tcBorders>
            <w:shd w:val="clear" w:color="auto" w:fill="auto"/>
            <w:vAlign w:val="bottom"/>
          </w:tcPr>
          <w:p w:rsidR="00F233AB" w:rsidRPr="007B1540" w:rsidRDefault="00F233AB" w:rsidP="007B1540">
            <w:pPr>
              <w:suppressAutoHyphens w:val="0"/>
              <w:spacing w:before="80" w:after="80" w:line="200" w:lineRule="exact"/>
              <w:ind w:right="113"/>
              <w:jc w:val="right"/>
              <w:rPr>
                <w:i/>
                <w:sz w:val="16"/>
              </w:rPr>
            </w:pPr>
            <w:r w:rsidRPr="007B1540">
              <w:rPr>
                <w:i/>
                <w:sz w:val="16"/>
              </w:rPr>
              <w:t>%</w:t>
            </w:r>
          </w:p>
        </w:tc>
      </w:tr>
      <w:tr w:rsidR="0049197C" w:rsidRPr="0013794A" w:rsidTr="006533EC">
        <w:tc>
          <w:tcPr>
            <w:tcW w:w="1372" w:type="dxa"/>
            <w:tcBorders>
              <w:top w:val="single" w:sz="12" w:space="0" w:color="auto"/>
              <w:bottom w:val="single" w:sz="4" w:space="0" w:color="auto"/>
            </w:tcBorders>
            <w:shd w:val="clear" w:color="auto" w:fill="auto"/>
          </w:tcPr>
          <w:p w:rsidR="00F233AB" w:rsidRPr="0013794A" w:rsidRDefault="00F233AB" w:rsidP="0013794A">
            <w:pPr>
              <w:suppressAutoHyphens w:val="0"/>
              <w:spacing w:before="80" w:after="80" w:line="220" w:lineRule="exact"/>
              <w:ind w:right="113"/>
              <w:jc w:val="right"/>
              <w:rPr>
                <w:b/>
                <w:sz w:val="18"/>
              </w:rPr>
            </w:pPr>
            <w:r w:rsidRPr="0013794A">
              <w:rPr>
                <w:b/>
                <w:sz w:val="18"/>
              </w:rPr>
              <w:t>Total</w:t>
            </w:r>
          </w:p>
        </w:tc>
        <w:tc>
          <w:tcPr>
            <w:tcW w:w="770" w:type="dxa"/>
            <w:tcBorders>
              <w:top w:val="single" w:sz="12" w:space="0" w:color="auto"/>
              <w:bottom w:val="single" w:sz="4" w:space="0" w:color="auto"/>
            </w:tcBorders>
            <w:shd w:val="clear" w:color="auto" w:fill="auto"/>
            <w:vAlign w:val="bottom"/>
          </w:tcPr>
          <w:p w:rsidR="00F233AB" w:rsidRPr="0013794A" w:rsidRDefault="00F233AB" w:rsidP="0013794A">
            <w:pPr>
              <w:suppressAutoHyphens w:val="0"/>
              <w:spacing w:before="80" w:after="80" w:line="220" w:lineRule="exact"/>
              <w:ind w:right="113"/>
              <w:jc w:val="right"/>
              <w:rPr>
                <w:b/>
                <w:sz w:val="18"/>
              </w:rPr>
            </w:pPr>
            <w:r w:rsidRPr="0013794A">
              <w:rPr>
                <w:b/>
                <w:sz w:val="18"/>
              </w:rPr>
              <w:t>1</w:t>
            </w:r>
            <w:r w:rsidR="009E0CB7">
              <w:rPr>
                <w:b/>
                <w:sz w:val="18"/>
              </w:rPr>
              <w:t xml:space="preserve"> </w:t>
            </w:r>
            <w:r w:rsidRPr="0013794A">
              <w:rPr>
                <w:b/>
                <w:sz w:val="18"/>
              </w:rPr>
              <w:t>419.57</w:t>
            </w:r>
          </w:p>
        </w:tc>
        <w:tc>
          <w:tcPr>
            <w:tcW w:w="560" w:type="dxa"/>
            <w:tcBorders>
              <w:top w:val="single" w:sz="12" w:space="0" w:color="auto"/>
              <w:bottom w:val="single" w:sz="4" w:space="0" w:color="auto"/>
            </w:tcBorders>
            <w:shd w:val="clear" w:color="auto" w:fill="auto"/>
            <w:vAlign w:val="bottom"/>
          </w:tcPr>
          <w:p w:rsidR="00F233AB" w:rsidRPr="0013794A" w:rsidRDefault="00F233AB" w:rsidP="0013794A">
            <w:pPr>
              <w:suppressAutoHyphens w:val="0"/>
              <w:spacing w:before="80" w:after="80" w:line="220" w:lineRule="exact"/>
              <w:ind w:right="113"/>
              <w:jc w:val="right"/>
              <w:rPr>
                <w:b/>
                <w:sz w:val="18"/>
              </w:rPr>
            </w:pPr>
            <w:r w:rsidRPr="0013794A">
              <w:rPr>
                <w:b/>
                <w:sz w:val="18"/>
              </w:rPr>
              <w:t>100.0</w:t>
            </w:r>
          </w:p>
        </w:tc>
        <w:tc>
          <w:tcPr>
            <w:tcW w:w="826" w:type="dxa"/>
            <w:tcBorders>
              <w:top w:val="single" w:sz="12" w:space="0" w:color="auto"/>
              <w:bottom w:val="single" w:sz="4" w:space="0" w:color="auto"/>
            </w:tcBorders>
            <w:shd w:val="clear" w:color="auto" w:fill="auto"/>
            <w:vAlign w:val="bottom"/>
          </w:tcPr>
          <w:p w:rsidR="00F233AB" w:rsidRPr="0013794A" w:rsidRDefault="00F233AB" w:rsidP="0013794A">
            <w:pPr>
              <w:suppressAutoHyphens w:val="0"/>
              <w:spacing w:before="80" w:after="80" w:line="220" w:lineRule="exact"/>
              <w:ind w:right="113"/>
              <w:jc w:val="right"/>
              <w:rPr>
                <w:b/>
                <w:sz w:val="18"/>
              </w:rPr>
            </w:pPr>
            <w:r w:rsidRPr="0013794A">
              <w:rPr>
                <w:b/>
                <w:sz w:val="18"/>
              </w:rPr>
              <w:t>1</w:t>
            </w:r>
            <w:r w:rsidR="009E0CB7">
              <w:rPr>
                <w:b/>
                <w:sz w:val="18"/>
              </w:rPr>
              <w:t xml:space="preserve"> </w:t>
            </w:r>
            <w:r w:rsidRPr="0013794A">
              <w:rPr>
                <w:b/>
                <w:sz w:val="18"/>
              </w:rPr>
              <w:t>460.52</w:t>
            </w:r>
          </w:p>
        </w:tc>
        <w:tc>
          <w:tcPr>
            <w:tcW w:w="616" w:type="dxa"/>
            <w:tcBorders>
              <w:top w:val="single" w:sz="12" w:space="0" w:color="auto"/>
              <w:bottom w:val="single" w:sz="4" w:space="0" w:color="auto"/>
            </w:tcBorders>
            <w:shd w:val="clear" w:color="auto" w:fill="auto"/>
            <w:vAlign w:val="bottom"/>
          </w:tcPr>
          <w:p w:rsidR="00F233AB" w:rsidRPr="0013794A" w:rsidRDefault="00F233AB" w:rsidP="0013794A">
            <w:pPr>
              <w:suppressAutoHyphens w:val="0"/>
              <w:spacing w:before="80" w:after="80" w:line="220" w:lineRule="exact"/>
              <w:ind w:right="113"/>
              <w:jc w:val="right"/>
              <w:rPr>
                <w:b/>
                <w:sz w:val="18"/>
              </w:rPr>
            </w:pPr>
            <w:r w:rsidRPr="0013794A">
              <w:rPr>
                <w:b/>
                <w:sz w:val="18"/>
              </w:rPr>
              <w:t>100.0</w:t>
            </w:r>
          </w:p>
        </w:tc>
        <w:tc>
          <w:tcPr>
            <w:tcW w:w="839" w:type="dxa"/>
            <w:tcBorders>
              <w:top w:val="single" w:sz="12" w:space="0" w:color="auto"/>
              <w:bottom w:val="single" w:sz="4" w:space="0" w:color="auto"/>
            </w:tcBorders>
            <w:shd w:val="clear" w:color="auto" w:fill="auto"/>
            <w:vAlign w:val="bottom"/>
          </w:tcPr>
          <w:p w:rsidR="00F233AB" w:rsidRPr="0013794A" w:rsidRDefault="00F233AB" w:rsidP="0013794A">
            <w:pPr>
              <w:suppressAutoHyphens w:val="0"/>
              <w:spacing w:before="80" w:after="80" w:line="220" w:lineRule="exact"/>
              <w:ind w:right="113"/>
              <w:jc w:val="right"/>
              <w:rPr>
                <w:b/>
                <w:sz w:val="18"/>
              </w:rPr>
            </w:pPr>
            <w:r w:rsidRPr="0013794A">
              <w:rPr>
                <w:b/>
                <w:sz w:val="18"/>
              </w:rPr>
              <w:t>1</w:t>
            </w:r>
            <w:r w:rsidR="009E0CB7">
              <w:rPr>
                <w:b/>
                <w:sz w:val="18"/>
              </w:rPr>
              <w:t xml:space="preserve"> </w:t>
            </w:r>
            <w:r w:rsidRPr="0013794A">
              <w:rPr>
                <w:b/>
                <w:sz w:val="18"/>
              </w:rPr>
              <w:t>509.39</w:t>
            </w:r>
          </w:p>
        </w:tc>
        <w:tc>
          <w:tcPr>
            <w:tcW w:w="616" w:type="dxa"/>
            <w:tcBorders>
              <w:top w:val="single" w:sz="12" w:space="0" w:color="auto"/>
              <w:bottom w:val="single" w:sz="4" w:space="0" w:color="auto"/>
            </w:tcBorders>
            <w:shd w:val="clear" w:color="auto" w:fill="auto"/>
            <w:vAlign w:val="bottom"/>
          </w:tcPr>
          <w:p w:rsidR="00F233AB" w:rsidRPr="0013794A" w:rsidRDefault="00F233AB" w:rsidP="0013794A">
            <w:pPr>
              <w:suppressAutoHyphens w:val="0"/>
              <w:spacing w:before="80" w:after="80" w:line="220" w:lineRule="exact"/>
              <w:ind w:right="113"/>
              <w:jc w:val="right"/>
              <w:rPr>
                <w:b/>
                <w:sz w:val="18"/>
              </w:rPr>
            </w:pPr>
            <w:r w:rsidRPr="0013794A">
              <w:rPr>
                <w:b/>
                <w:sz w:val="18"/>
              </w:rPr>
              <w:t>100.0</w:t>
            </w:r>
          </w:p>
        </w:tc>
        <w:tc>
          <w:tcPr>
            <w:tcW w:w="877" w:type="dxa"/>
            <w:tcBorders>
              <w:top w:val="single" w:sz="12" w:space="0" w:color="auto"/>
              <w:bottom w:val="single" w:sz="4" w:space="0" w:color="auto"/>
            </w:tcBorders>
            <w:shd w:val="clear" w:color="auto" w:fill="auto"/>
            <w:vAlign w:val="bottom"/>
          </w:tcPr>
          <w:p w:rsidR="00F233AB" w:rsidRPr="0013794A" w:rsidRDefault="00F233AB" w:rsidP="0013794A">
            <w:pPr>
              <w:suppressAutoHyphens w:val="0"/>
              <w:spacing w:before="80" w:after="80" w:line="220" w:lineRule="exact"/>
              <w:ind w:right="113"/>
              <w:jc w:val="right"/>
              <w:rPr>
                <w:b/>
                <w:sz w:val="18"/>
              </w:rPr>
            </w:pPr>
            <w:r w:rsidRPr="0013794A">
              <w:rPr>
                <w:b/>
                <w:sz w:val="18"/>
              </w:rPr>
              <w:t>1</w:t>
            </w:r>
            <w:r w:rsidR="009E0CB7">
              <w:rPr>
                <w:b/>
                <w:sz w:val="18"/>
              </w:rPr>
              <w:t xml:space="preserve"> </w:t>
            </w:r>
            <w:r w:rsidRPr="0013794A">
              <w:rPr>
                <w:b/>
                <w:sz w:val="18"/>
              </w:rPr>
              <w:t>637.10</w:t>
            </w:r>
          </w:p>
        </w:tc>
        <w:tc>
          <w:tcPr>
            <w:tcW w:w="518" w:type="dxa"/>
            <w:tcBorders>
              <w:top w:val="single" w:sz="12" w:space="0" w:color="auto"/>
              <w:bottom w:val="single" w:sz="4" w:space="0" w:color="auto"/>
            </w:tcBorders>
            <w:shd w:val="clear" w:color="auto" w:fill="auto"/>
            <w:vAlign w:val="bottom"/>
          </w:tcPr>
          <w:p w:rsidR="00F233AB" w:rsidRPr="0013794A" w:rsidRDefault="00F233AB" w:rsidP="0013794A">
            <w:pPr>
              <w:suppressAutoHyphens w:val="0"/>
              <w:spacing w:before="80" w:after="80" w:line="220" w:lineRule="exact"/>
              <w:ind w:right="113"/>
              <w:jc w:val="right"/>
              <w:rPr>
                <w:b/>
                <w:sz w:val="18"/>
              </w:rPr>
            </w:pPr>
            <w:r w:rsidRPr="0013794A">
              <w:rPr>
                <w:b/>
                <w:sz w:val="18"/>
              </w:rPr>
              <w:t>100.0</w:t>
            </w:r>
          </w:p>
        </w:tc>
        <w:tc>
          <w:tcPr>
            <w:tcW w:w="800" w:type="dxa"/>
            <w:tcBorders>
              <w:top w:val="single" w:sz="12" w:space="0" w:color="auto"/>
              <w:bottom w:val="single" w:sz="4" w:space="0" w:color="auto"/>
            </w:tcBorders>
            <w:shd w:val="clear" w:color="auto" w:fill="auto"/>
            <w:vAlign w:val="bottom"/>
          </w:tcPr>
          <w:p w:rsidR="00F233AB" w:rsidRPr="0013794A" w:rsidRDefault="00F233AB" w:rsidP="0013794A">
            <w:pPr>
              <w:suppressAutoHyphens w:val="0"/>
              <w:spacing w:before="80" w:after="80" w:line="220" w:lineRule="exact"/>
              <w:ind w:right="113"/>
              <w:jc w:val="right"/>
              <w:rPr>
                <w:b/>
                <w:sz w:val="18"/>
              </w:rPr>
            </w:pPr>
            <w:r w:rsidRPr="0013794A">
              <w:rPr>
                <w:b/>
                <w:sz w:val="18"/>
              </w:rPr>
              <w:t>1</w:t>
            </w:r>
            <w:r w:rsidR="009E0CB7">
              <w:rPr>
                <w:b/>
                <w:sz w:val="18"/>
              </w:rPr>
              <w:t xml:space="preserve"> </w:t>
            </w:r>
            <w:r w:rsidRPr="0013794A">
              <w:rPr>
                <w:b/>
                <w:sz w:val="18"/>
              </w:rPr>
              <w:t>824.02</w:t>
            </w:r>
          </w:p>
        </w:tc>
        <w:tc>
          <w:tcPr>
            <w:tcW w:w="710" w:type="dxa"/>
            <w:tcBorders>
              <w:top w:val="single" w:sz="12" w:space="0" w:color="auto"/>
              <w:bottom w:val="single" w:sz="4" w:space="0" w:color="auto"/>
            </w:tcBorders>
            <w:shd w:val="clear" w:color="auto" w:fill="auto"/>
            <w:vAlign w:val="bottom"/>
          </w:tcPr>
          <w:p w:rsidR="00F233AB" w:rsidRPr="0013794A" w:rsidRDefault="00F233AB" w:rsidP="0013794A">
            <w:pPr>
              <w:suppressAutoHyphens w:val="0"/>
              <w:spacing w:before="80" w:after="80" w:line="220" w:lineRule="exact"/>
              <w:ind w:right="113"/>
              <w:jc w:val="right"/>
              <w:rPr>
                <w:b/>
                <w:sz w:val="18"/>
              </w:rPr>
            </w:pPr>
            <w:r w:rsidRPr="0013794A">
              <w:rPr>
                <w:b/>
                <w:sz w:val="18"/>
              </w:rPr>
              <w:t>100.0</w:t>
            </w:r>
          </w:p>
        </w:tc>
      </w:tr>
      <w:tr w:rsidR="0049197C" w:rsidRPr="007B1540" w:rsidTr="006533EC">
        <w:tc>
          <w:tcPr>
            <w:tcW w:w="1372" w:type="dxa"/>
            <w:tcBorders>
              <w:top w:val="single" w:sz="4" w:space="0" w:color="auto"/>
            </w:tcBorders>
            <w:shd w:val="clear" w:color="auto" w:fill="auto"/>
          </w:tcPr>
          <w:p w:rsidR="00F233AB" w:rsidRPr="007B1540" w:rsidRDefault="00F233AB" w:rsidP="007B1540">
            <w:pPr>
              <w:suppressAutoHyphens w:val="0"/>
              <w:spacing w:before="40" w:after="40" w:line="220" w:lineRule="exact"/>
              <w:ind w:right="113"/>
              <w:rPr>
                <w:sz w:val="18"/>
              </w:rPr>
            </w:pPr>
            <w:r w:rsidRPr="007B1540">
              <w:rPr>
                <w:sz w:val="18"/>
              </w:rPr>
              <w:t>Food</w:t>
            </w:r>
            <w:r w:rsidR="005B2A41" w:rsidRPr="007B1540">
              <w:rPr>
                <w:sz w:val="18"/>
              </w:rPr>
              <w:t xml:space="preserve"> </w:t>
            </w:r>
          </w:p>
        </w:tc>
        <w:tc>
          <w:tcPr>
            <w:tcW w:w="770" w:type="dxa"/>
            <w:tcBorders>
              <w:top w:val="single" w:sz="4" w:space="0" w:color="auto"/>
            </w:tcBorders>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293.30</w:t>
            </w:r>
          </w:p>
        </w:tc>
        <w:tc>
          <w:tcPr>
            <w:tcW w:w="560" w:type="dxa"/>
            <w:tcBorders>
              <w:top w:val="single" w:sz="4" w:space="0" w:color="auto"/>
            </w:tcBorders>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20.7</w:t>
            </w:r>
          </w:p>
        </w:tc>
        <w:tc>
          <w:tcPr>
            <w:tcW w:w="826" w:type="dxa"/>
            <w:tcBorders>
              <w:top w:val="single" w:sz="4" w:space="0" w:color="auto"/>
            </w:tcBorders>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299.79</w:t>
            </w:r>
          </w:p>
        </w:tc>
        <w:tc>
          <w:tcPr>
            <w:tcW w:w="616" w:type="dxa"/>
            <w:tcBorders>
              <w:top w:val="single" w:sz="4" w:space="0" w:color="auto"/>
            </w:tcBorders>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20.5</w:t>
            </w:r>
          </w:p>
        </w:tc>
        <w:tc>
          <w:tcPr>
            <w:tcW w:w="839" w:type="dxa"/>
            <w:tcBorders>
              <w:top w:val="single" w:sz="4" w:space="0" w:color="auto"/>
            </w:tcBorders>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307.33</w:t>
            </w:r>
          </w:p>
        </w:tc>
        <w:tc>
          <w:tcPr>
            <w:tcW w:w="616" w:type="dxa"/>
            <w:tcBorders>
              <w:top w:val="single" w:sz="4" w:space="0" w:color="auto"/>
            </w:tcBorders>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20.4</w:t>
            </w:r>
          </w:p>
        </w:tc>
        <w:tc>
          <w:tcPr>
            <w:tcW w:w="877" w:type="dxa"/>
            <w:tcBorders>
              <w:top w:val="single" w:sz="4" w:space="0" w:color="auto"/>
            </w:tcBorders>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328.57</w:t>
            </w:r>
          </w:p>
        </w:tc>
        <w:tc>
          <w:tcPr>
            <w:tcW w:w="518" w:type="dxa"/>
            <w:tcBorders>
              <w:top w:val="single" w:sz="4" w:space="0" w:color="auto"/>
            </w:tcBorders>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20.1</w:t>
            </w:r>
          </w:p>
        </w:tc>
        <w:tc>
          <w:tcPr>
            <w:tcW w:w="800" w:type="dxa"/>
            <w:tcBorders>
              <w:top w:val="single" w:sz="4" w:space="0" w:color="auto"/>
            </w:tcBorders>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355.05</w:t>
            </w:r>
          </w:p>
        </w:tc>
        <w:tc>
          <w:tcPr>
            <w:tcW w:w="710" w:type="dxa"/>
            <w:tcBorders>
              <w:top w:val="single" w:sz="4" w:space="0" w:color="auto"/>
            </w:tcBorders>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19.5</w:t>
            </w:r>
          </w:p>
        </w:tc>
      </w:tr>
      <w:tr w:rsidR="0049197C" w:rsidRPr="007B1540" w:rsidTr="0049197C">
        <w:tc>
          <w:tcPr>
            <w:tcW w:w="1372" w:type="dxa"/>
            <w:shd w:val="clear" w:color="auto" w:fill="auto"/>
          </w:tcPr>
          <w:p w:rsidR="00F233AB" w:rsidRPr="007B1540" w:rsidRDefault="00F233AB" w:rsidP="007B1540">
            <w:pPr>
              <w:suppressAutoHyphens w:val="0"/>
              <w:spacing w:before="40" w:after="40" w:line="220" w:lineRule="exact"/>
              <w:ind w:right="113"/>
              <w:rPr>
                <w:sz w:val="18"/>
              </w:rPr>
            </w:pPr>
            <w:r w:rsidRPr="007B1540">
              <w:rPr>
                <w:sz w:val="18"/>
              </w:rPr>
              <w:t>Alcoholic</w:t>
            </w:r>
            <w:r w:rsidR="005B2A41" w:rsidRPr="007B1540">
              <w:rPr>
                <w:sz w:val="18"/>
              </w:rPr>
              <w:t xml:space="preserve"> </w:t>
            </w:r>
            <w:r w:rsidRPr="007B1540">
              <w:rPr>
                <w:sz w:val="18"/>
              </w:rPr>
              <w:t>beverages</w:t>
            </w:r>
            <w:r w:rsidR="005B2A41" w:rsidRPr="007B1540">
              <w:rPr>
                <w:sz w:val="18"/>
              </w:rPr>
              <w:t xml:space="preserve"> </w:t>
            </w:r>
            <w:r w:rsidRPr="007B1540">
              <w:rPr>
                <w:sz w:val="18"/>
              </w:rPr>
              <w:t>and</w:t>
            </w:r>
            <w:r w:rsidR="005B2A41" w:rsidRPr="007B1540">
              <w:rPr>
                <w:sz w:val="18"/>
              </w:rPr>
              <w:t xml:space="preserve"> </w:t>
            </w:r>
            <w:r w:rsidRPr="007B1540">
              <w:rPr>
                <w:sz w:val="18"/>
              </w:rPr>
              <w:t>tobacco</w:t>
            </w:r>
            <w:r w:rsidR="005B2A41" w:rsidRPr="007B1540">
              <w:rPr>
                <w:sz w:val="18"/>
              </w:rPr>
              <w:t xml:space="preserve"> </w:t>
            </w:r>
          </w:p>
        </w:tc>
        <w:tc>
          <w:tcPr>
            <w:tcW w:w="770"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57.27</w:t>
            </w:r>
          </w:p>
        </w:tc>
        <w:tc>
          <w:tcPr>
            <w:tcW w:w="560"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4.0</w:t>
            </w:r>
          </w:p>
        </w:tc>
        <w:tc>
          <w:tcPr>
            <w:tcW w:w="826"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58.80</w:t>
            </w:r>
          </w:p>
        </w:tc>
        <w:tc>
          <w:tcPr>
            <w:tcW w:w="616"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4.0</w:t>
            </w:r>
          </w:p>
        </w:tc>
        <w:tc>
          <w:tcPr>
            <w:tcW w:w="839"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62.80</w:t>
            </w:r>
          </w:p>
        </w:tc>
        <w:tc>
          <w:tcPr>
            <w:tcW w:w="616"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4.2</w:t>
            </w:r>
          </w:p>
        </w:tc>
        <w:tc>
          <w:tcPr>
            <w:tcW w:w="877"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62.71</w:t>
            </w:r>
          </w:p>
        </w:tc>
        <w:tc>
          <w:tcPr>
            <w:tcW w:w="518"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3.8</w:t>
            </w:r>
          </w:p>
        </w:tc>
        <w:tc>
          <w:tcPr>
            <w:tcW w:w="800"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66.52</w:t>
            </w:r>
          </w:p>
        </w:tc>
        <w:tc>
          <w:tcPr>
            <w:tcW w:w="710"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3.6</w:t>
            </w:r>
          </w:p>
        </w:tc>
      </w:tr>
      <w:tr w:rsidR="0049197C" w:rsidRPr="007B1540" w:rsidTr="0049197C">
        <w:tc>
          <w:tcPr>
            <w:tcW w:w="1372" w:type="dxa"/>
            <w:shd w:val="clear" w:color="auto" w:fill="auto"/>
          </w:tcPr>
          <w:p w:rsidR="00F233AB" w:rsidRPr="007B1540" w:rsidRDefault="00F233AB" w:rsidP="007B1540">
            <w:pPr>
              <w:suppressAutoHyphens w:val="0"/>
              <w:spacing w:before="40" w:after="40" w:line="220" w:lineRule="exact"/>
              <w:ind w:right="113"/>
              <w:rPr>
                <w:sz w:val="18"/>
              </w:rPr>
            </w:pPr>
            <w:r w:rsidRPr="007B1540">
              <w:rPr>
                <w:sz w:val="18"/>
              </w:rPr>
              <w:t>Clothing</w:t>
            </w:r>
            <w:r w:rsidR="005B2A41" w:rsidRPr="007B1540">
              <w:rPr>
                <w:sz w:val="18"/>
              </w:rPr>
              <w:t xml:space="preserve"> </w:t>
            </w:r>
            <w:r w:rsidRPr="007B1540">
              <w:rPr>
                <w:sz w:val="18"/>
              </w:rPr>
              <w:t>and</w:t>
            </w:r>
            <w:r w:rsidR="005B2A41" w:rsidRPr="007B1540">
              <w:rPr>
                <w:sz w:val="18"/>
              </w:rPr>
              <w:t xml:space="preserve"> </w:t>
            </w:r>
            <w:r w:rsidRPr="007B1540">
              <w:rPr>
                <w:sz w:val="18"/>
              </w:rPr>
              <w:t>footwear</w:t>
            </w:r>
            <w:r w:rsidR="005B2A41" w:rsidRPr="007B1540">
              <w:rPr>
                <w:sz w:val="18"/>
              </w:rPr>
              <w:t xml:space="preserve"> </w:t>
            </w:r>
          </w:p>
        </w:tc>
        <w:tc>
          <w:tcPr>
            <w:tcW w:w="770"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83.06</w:t>
            </w:r>
          </w:p>
        </w:tc>
        <w:tc>
          <w:tcPr>
            <w:tcW w:w="560"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5.9</w:t>
            </w:r>
          </w:p>
        </w:tc>
        <w:tc>
          <w:tcPr>
            <w:tcW w:w="826"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85.70</w:t>
            </w:r>
          </w:p>
        </w:tc>
        <w:tc>
          <w:tcPr>
            <w:tcW w:w="616"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5.9</w:t>
            </w:r>
          </w:p>
        </w:tc>
        <w:tc>
          <w:tcPr>
            <w:tcW w:w="839"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87.38</w:t>
            </w:r>
          </w:p>
        </w:tc>
        <w:tc>
          <w:tcPr>
            <w:tcW w:w="616"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5.8</w:t>
            </w:r>
          </w:p>
        </w:tc>
        <w:tc>
          <w:tcPr>
            <w:tcW w:w="877"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95.34</w:t>
            </w:r>
          </w:p>
        </w:tc>
        <w:tc>
          <w:tcPr>
            <w:tcW w:w="518"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5.8</w:t>
            </w:r>
          </w:p>
        </w:tc>
        <w:tc>
          <w:tcPr>
            <w:tcW w:w="800"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112.51</w:t>
            </w:r>
          </w:p>
        </w:tc>
        <w:tc>
          <w:tcPr>
            <w:tcW w:w="710"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6.2</w:t>
            </w:r>
          </w:p>
        </w:tc>
      </w:tr>
      <w:tr w:rsidR="0049197C" w:rsidRPr="007B1540" w:rsidTr="0049197C">
        <w:tc>
          <w:tcPr>
            <w:tcW w:w="1372" w:type="dxa"/>
            <w:shd w:val="clear" w:color="auto" w:fill="auto"/>
          </w:tcPr>
          <w:p w:rsidR="00F233AB" w:rsidRPr="007B1540" w:rsidRDefault="00F233AB" w:rsidP="007B1540">
            <w:pPr>
              <w:suppressAutoHyphens w:val="0"/>
              <w:spacing w:before="40" w:after="40" w:line="220" w:lineRule="exact"/>
              <w:ind w:right="113"/>
              <w:rPr>
                <w:sz w:val="18"/>
              </w:rPr>
            </w:pPr>
            <w:r w:rsidRPr="007B1540">
              <w:rPr>
                <w:sz w:val="18"/>
              </w:rPr>
              <w:t>Housing</w:t>
            </w:r>
            <w:r w:rsidR="005B2A41" w:rsidRPr="007B1540">
              <w:rPr>
                <w:sz w:val="18"/>
              </w:rPr>
              <w:t xml:space="preserve"> </w:t>
            </w:r>
          </w:p>
        </w:tc>
        <w:tc>
          <w:tcPr>
            <w:tcW w:w="770"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189.21</w:t>
            </w:r>
          </w:p>
        </w:tc>
        <w:tc>
          <w:tcPr>
            <w:tcW w:w="560"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13.3</w:t>
            </w:r>
          </w:p>
        </w:tc>
        <w:tc>
          <w:tcPr>
            <w:tcW w:w="826"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195.29</w:t>
            </w:r>
          </w:p>
        </w:tc>
        <w:tc>
          <w:tcPr>
            <w:tcW w:w="616"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13.4</w:t>
            </w:r>
          </w:p>
        </w:tc>
        <w:tc>
          <w:tcPr>
            <w:tcW w:w="839"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206.99</w:t>
            </w:r>
          </w:p>
        </w:tc>
        <w:tc>
          <w:tcPr>
            <w:tcW w:w="616"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13.7</w:t>
            </w:r>
          </w:p>
        </w:tc>
        <w:tc>
          <w:tcPr>
            <w:tcW w:w="877"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227.07</w:t>
            </w:r>
          </w:p>
        </w:tc>
        <w:tc>
          <w:tcPr>
            <w:tcW w:w="518"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13.9</w:t>
            </w:r>
          </w:p>
        </w:tc>
        <w:tc>
          <w:tcPr>
            <w:tcW w:w="800"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230.16</w:t>
            </w:r>
          </w:p>
        </w:tc>
        <w:tc>
          <w:tcPr>
            <w:tcW w:w="710"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12.6</w:t>
            </w:r>
          </w:p>
        </w:tc>
      </w:tr>
      <w:tr w:rsidR="0049197C" w:rsidRPr="007B1540" w:rsidTr="0049197C">
        <w:tc>
          <w:tcPr>
            <w:tcW w:w="1372" w:type="dxa"/>
            <w:shd w:val="clear" w:color="auto" w:fill="auto"/>
          </w:tcPr>
          <w:p w:rsidR="00F233AB" w:rsidRPr="007B1540" w:rsidRDefault="00F233AB" w:rsidP="007B1540">
            <w:pPr>
              <w:suppressAutoHyphens w:val="0"/>
              <w:spacing w:before="40" w:after="40" w:line="220" w:lineRule="exact"/>
              <w:ind w:right="113"/>
              <w:rPr>
                <w:sz w:val="18"/>
              </w:rPr>
            </w:pPr>
            <w:r w:rsidRPr="007B1540">
              <w:rPr>
                <w:sz w:val="18"/>
              </w:rPr>
              <w:t>Durables</w:t>
            </w:r>
          </w:p>
        </w:tc>
        <w:tc>
          <w:tcPr>
            <w:tcW w:w="770"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66.49</w:t>
            </w:r>
          </w:p>
        </w:tc>
        <w:tc>
          <w:tcPr>
            <w:tcW w:w="560"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4.7</w:t>
            </w:r>
          </w:p>
        </w:tc>
        <w:tc>
          <w:tcPr>
            <w:tcW w:w="826"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72.76</w:t>
            </w:r>
          </w:p>
        </w:tc>
        <w:tc>
          <w:tcPr>
            <w:tcW w:w="616"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5.0</w:t>
            </w:r>
          </w:p>
        </w:tc>
        <w:tc>
          <w:tcPr>
            <w:tcW w:w="839"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83.94</w:t>
            </w:r>
          </w:p>
        </w:tc>
        <w:tc>
          <w:tcPr>
            <w:tcW w:w="616"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5.6</w:t>
            </w:r>
          </w:p>
        </w:tc>
        <w:tc>
          <w:tcPr>
            <w:tcW w:w="877"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94.97</w:t>
            </w:r>
          </w:p>
        </w:tc>
        <w:tc>
          <w:tcPr>
            <w:tcW w:w="518"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5.8</w:t>
            </w:r>
          </w:p>
        </w:tc>
        <w:tc>
          <w:tcPr>
            <w:tcW w:w="800"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110.05</w:t>
            </w:r>
          </w:p>
        </w:tc>
        <w:tc>
          <w:tcPr>
            <w:tcW w:w="710"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6.0</w:t>
            </w:r>
          </w:p>
        </w:tc>
      </w:tr>
      <w:tr w:rsidR="0049197C" w:rsidRPr="007B1540" w:rsidTr="0049197C">
        <w:tc>
          <w:tcPr>
            <w:tcW w:w="1372" w:type="dxa"/>
            <w:shd w:val="clear" w:color="auto" w:fill="auto"/>
          </w:tcPr>
          <w:p w:rsidR="00F233AB" w:rsidRPr="007B1540" w:rsidRDefault="00F233AB" w:rsidP="007B1540">
            <w:pPr>
              <w:suppressAutoHyphens w:val="0"/>
              <w:spacing w:before="40" w:after="40" w:line="220" w:lineRule="exact"/>
              <w:ind w:right="113"/>
              <w:rPr>
                <w:sz w:val="18"/>
              </w:rPr>
            </w:pPr>
            <w:r w:rsidRPr="007B1540">
              <w:rPr>
                <w:sz w:val="18"/>
              </w:rPr>
              <w:t>Health</w:t>
            </w:r>
          </w:p>
        </w:tc>
        <w:tc>
          <w:tcPr>
            <w:tcW w:w="770"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107.06</w:t>
            </w:r>
          </w:p>
        </w:tc>
        <w:tc>
          <w:tcPr>
            <w:tcW w:w="560"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7.5</w:t>
            </w:r>
          </w:p>
        </w:tc>
        <w:tc>
          <w:tcPr>
            <w:tcW w:w="826"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105.76</w:t>
            </w:r>
          </w:p>
        </w:tc>
        <w:tc>
          <w:tcPr>
            <w:tcW w:w="616"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7.2</w:t>
            </w:r>
          </w:p>
        </w:tc>
        <w:tc>
          <w:tcPr>
            <w:tcW w:w="839"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104.44</w:t>
            </w:r>
          </w:p>
        </w:tc>
        <w:tc>
          <w:tcPr>
            <w:tcW w:w="616"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6.9</w:t>
            </w:r>
          </w:p>
        </w:tc>
        <w:tc>
          <w:tcPr>
            <w:tcW w:w="877"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104.71</w:t>
            </w:r>
          </w:p>
        </w:tc>
        <w:tc>
          <w:tcPr>
            <w:tcW w:w="518"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6.4</w:t>
            </w:r>
          </w:p>
        </w:tc>
        <w:tc>
          <w:tcPr>
            <w:tcW w:w="800"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114.58</w:t>
            </w:r>
          </w:p>
        </w:tc>
        <w:tc>
          <w:tcPr>
            <w:tcW w:w="710"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6.3</w:t>
            </w:r>
          </w:p>
        </w:tc>
      </w:tr>
      <w:tr w:rsidR="0049197C" w:rsidRPr="007B1540" w:rsidTr="0049197C">
        <w:tc>
          <w:tcPr>
            <w:tcW w:w="1372" w:type="dxa"/>
            <w:shd w:val="clear" w:color="auto" w:fill="auto"/>
          </w:tcPr>
          <w:p w:rsidR="00F233AB" w:rsidRPr="007B1540" w:rsidRDefault="00F233AB" w:rsidP="007B1540">
            <w:pPr>
              <w:suppressAutoHyphens w:val="0"/>
              <w:spacing w:before="40" w:after="40" w:line="220" w:lineRule="exact"/>
              <w:ind w:right="113"/>
              <w:rPr>
                <w:sz w:val="18"/>
              </w:rPr>
            </w:pPr>
            <w:r w:rsidRPr="007B1540">
              <w:rPr>
                <w:sz w:val="18"/>
              </w:rPr>
              <w:t>Transport</w:t>
            </w:r>
          </w:p>
        </w:tc>
        <w:tc>
          <w:tcPr>
            <w:tcW w:w="770"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181.64</w:t>
            </w:r>
          </w:p>
        </w:tc>
        <w:tc>
          <w:tcPr>
            <w:tcW w:w="560"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12.8</w:t>
            </w:r>
          </w:p>
        </w:tc>
        <w:tc>
          <w:tcPr>
            <w:tcW w:w="826"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184.82</w:t>
            </w:r>
          </w:p>
        </w:tc>
        <w:tc>
          <w:tcPr>
            <w:tcW w:w="616"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12.7</w:t>
            </w:r>
          </w:p>
        </w:tc>
        <w:tc>
          <w:tcPr>
            <w:tcW w:w="839"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189.19</w:t>
            </w:r>
          </w:p>
        </w:tc>
        <w:tc>
          <w:tcPr>
            <w:tcW w:w="616"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12.5</w:t>
            </w:r>
          </w:p>
        </w:tc>
        <w:tc>
          <w:tcPr>
            <w:tcW w:w="877"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209.88</w:t>
            </w:r>
          </w:p>
        </w:tc>
        <w:tc>
          <w:tcPr>
            <w:tcW w:w="518"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12.8</w:t>
            </w:r>
          </w:p>
        </w:tc>
        <w:tc>
          <w:tcPr>
            <w:tcW w:w="800"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240.05</w:t>
            </w:r>
          </w:p>
        </w:tc>
        <w:tc>
          <w:tcPr>
            <w:tcW w:w="710"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13.2</w:t>
            </w:r>
          </w:p>
        </w:tc>
      </w:tr>
      <w:tr w:rsidR="0049197C" w:rsidRPr="007B1540" w:rsidTr="0049197C">
        <w:tc>
          <w:tcPr>
            <w:tcW w:w="1372" w:type="dxa"/>
            <w:shd w:val="clear" w:color="auto" w:fill="auto"/>
          </w:tcPr>
          <w:p w:rsidR="00F233AB" w:rsidRPr="007B1540" w:rsidRDefault="00F233AB" w:rsidP="007B1540">
            <w:pPr>
              <w:suppressAutoHyphens w:val="0"/>
              <w:spacing w:before="40" w:after="40" w:line="220" w:lineRule="exact"/>
              <w:ind w:right="113"/>
              <w:rPr>
                <w:sz w:val="18"/>
              </w:rPr>
            </w:pPr>
            <w:r w:rsidRPr="007B1540">
              <w:rPr>
                <w:sz w:val="18"/>
              </w:rPr>
              <w:t>Communications</w:t>
            </w:r>
          </w:p>
        </w:tc>
        <w:tc>
          <w:tcPr>
            <w:tcW w:w="770"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58.46</w:t>
            </w:r>
          </w:p>
        </w:tc>
        <w:tc>
          <w:tcPr>
            <w:tcW w:w="560"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4.1</w:t>
            </w:r>
          </w:p>
        </w:tc>
        <w:tc>
          <w:tcPr>
            <w:tcW w:w="826"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60.08</w:t>
            </w:r>
          </w:p>
        </w:tc>
        <w:tc>
          <w:tcPr>
            <w:tcW w:w="616"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4.1</w:t>
            </w:r>
          </w:p>
        </w:tc>
        <w:tc>
          <w:tcPr>
            <w:tcW w:w="839"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61.91</w:t>
            </w:r>
          </w:p>
        </w:tc>
        <w:tc>
          <w:tcPr>
            <w:tcW w:w="616"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4.1</w:t>
            </w:r>
          </w:p>
        </w:tc>
        <w:tc>
          <w:tcPr>
            <w:tcW w:w="877"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68.19</w:t>
            </w:r>
          </w:p>
        </w:tc>
        <w:tc>
          <w:tcPr>
            <w:tcW w:w="518"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4.2</w:t>
            </w:r>
          </w:p>
        </w:tc>
        <w:tc>
          <w:tcPr>
            <w:tcW w:w="800"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73.69</w:t>
            </w:r>
          </w:p>
        </w:tc>
        <w:tc>
          <w:tcPr>
            <w:tcW w:w="710"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4.0</w:t>
            </w:r>
          </w:p>
        </w:tc>
      </w:tr>
      <w:tr w:rsidR="0049197C" w:rsidRPr="007B1540" w:rsidTr="0049197C">
        <w:tc>
          <w:tcPr>
            <w:tcW w:w="1372" w:type="dxa"/>
            <w:shd w:val="clear" w:color="auto" w:fill="auto"/>
          </w:tcPr>
          <w:p w:rsidR="00F233AB" w:rsidRPr="007B1540" w:rsidRDefault="00F233AB" w:rsidP="007B1540">
            <w:pPr>
              <w:suppressAutoHyphens w:val="0"/>
              <w:spacing w:before="40" w:after="40" w:line="220" w:lineRule="exact"/>
              <w:ind w:right="113"/>
              <w:rPr>
                <w:sz w:val="18"/>
              </w:rPr>
            </w:pPr>
            <w:r w:rsidRPr="007B1540">
              <w:rPr>
                <w:sz w:val="18"/>
              </w:rPr>
              <w:t>Recreation</w:t>
            </w:r>
            <w:r w:rsidR="005B2A41" w:rsidRPr="007B1540">
              <w:rPr>
                <w:sz w:val="18"/>
              </w:rPr>
              <w:t xml:space="preserve"> </w:t>
            </w:r>
            <w:r w:rsidRPr="007B1540">
              <w:rPr>
                <w:sz w:val="18"/>
              </w:rPr>
              <w:t>and</w:t>
            </w:r>
            <w:r w:rsidR="005B2A41" w:rsidRPr="007B1540">
              <w:rPr>
                <w:sz w:val="18"/>
              </w:rPr>
              <w:t xml:space="preserve"> </w:t>
            </w:r>
            <w:r w:rsidRPr="007B1540">
              <w:rPr>
                <w:sz w:val="18"/>
              </w:rPr>
              <w:t>culture</w:t>
            </w:r>
            <w:r w:rsidR="005B2A41" w:rsidRPr="007B1540">
              <w:rPr>
                <w:sz w:val="18"/>
              </w:rPr>
              <w:t xml:space="preserve"> </w:t>
            </w:r>
          </w:p>
        </w:tc>
        <w:tc>
          <w:tcPr>
            <w:tcW w:w="770"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67.95</w:t>
            </w:r>
          </w:p>
        </w:tc>
        <w:tc>
          <w:tcPr>
            <w:tcW w:w="560"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4.8</w:t>
            </w:r>
          </w:p>
        </w:tc>
        <w:tc>
          <w:tcPr>
            <w:tcW w:w="826"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68.71</w:t>
            </w:r>
          </w:p>
        </w:tc>
        <w:tc>
          <w:tcPr>
            <w:tcW w:w="616"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4.7</w:t>
            </w:r>
          </w:p>
        </w:tc>
        <w:tc>
          <w:tcPr>
            <w:tcW w:w="839"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68.82</w:t>
            </w:r>
          </w:p>
        </w:tc>
        <w:tc>
          <w:tcPr>
            <w:tcW w:w="616"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4.6</w:t>
            </w:r>
          </w:p>
        </w:tc>
        <w:tc>
          <w:tcPr>
            <w:tcW w:w="877"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72.87</w:t>
            </w:r>
          </w:p>
        </w:tc>
        <w:tc>
          <w:tcPr>
            <w:tcW w:w="518"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4.5</w:t>
            </w:r>
          </w:p>
        </w:tc>
        <w:tc>
          <w:tcPr>
            <w:tcW w:w="800"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85.72</w:t>
            </w:r>
          </w:p>
        </w:tc>
        <w:tc>
          <w:tcPr>
            <w:tcW w:w="710"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4.7</w:t>
            </w:r>
          </w:p>
        </w:tc>
      </w:tr>
      <w:tr w:rsidR="0049197C" w:rsidRPr="007B1540" w:rsidTr="0049197C">
        <w:tc>
          <w:tcPr>
            <w:tcW w:w="1372" w:type="dxa"/>
            <w:shd w:val="clear" w:color="auto" w:fill="auto"/>
          </w:tcPr>
          <w:p w:rsidR="00F233AB" w:rsidRPr="007B1540" w:rsidRDefault="00F233AB" w:rsidP="007B1540">
            <w:pPr>
              <w:suppressAutoHyphens w:val="0"/>
              <w:spacing w:before="40" w:after="40" w:line="220" w:lineRule="exact"/>
              <w:ind w:right="113"/>
              <w:rPr>
                <w:sz w:val="18"/>
              </w:rPr>
            </w:pPr>
            <w:r w:rsidRPr="007B1540">
              <w:rPr>
                <w:sz w:val="18"/>
              </w:rPr>
              <w:t>Education</w:t>
            </w:r>
          </w:p>
        </w:tc>
        <w:tc>
          <w:tcPr>
            <w:tcW w:w="770"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46.70</w:t>
            </w:r>
          </w:p>
        </w:tc>
        <w:tc>
          <w:tcPr>
            <w:tcW w:w="560"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3.3</w:t>
            </w:r>
          </w:p>
        </w:tc>
        <w:tc>
          <w:tcPr>
            <w:tcW w:w="826"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50.84</w:t>
            </w:r>
          </w:p>
        </w:tc>
        <w:tc>
          <w:tcPr>
            <w:tcW w:w="616"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3.5</w:t>
            </w:r>
          </w:p>
        </w:tc>
        <w:tc>
          <w:tcPr>
            <w:tcW w:w="839"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50.83</w:t>
            </w:r>
          </w:p>
        </w:tc>
        <w:tc>
          <w:tcPr>
            <w:tcW w:w="616"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3.4</w:t>
            </w:r>
          </w:p>
        </w:tc>
        <w:tc>
          <w:tcPr>
            <w:tcW w:w="877"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57.33</w:t>
            </w:r>
          </w:p>
        </w:tc>
        <w:tc>
          <w:tcPr>
            <w:tcW w:w="518"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3.5</w:t>
            </w:r>
          </w:p>
        </w:tc>
        <w:tc>
          <w:tcPr>
            <w:tcW w:w="800"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63.71</w:t>
            </w:r>
          </w:p>
        </w:tc>
        <w:tc>
          <w:tcPr>
            <w:tcW w:w="710"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3.5</w:t>
            </w:r>
          </w:p>
        </w:tc>
      </w:tr>
      <w:tr w:rsidR="0049197C" w:rsidRPr="007B1540" w:rsidTr="0049197C">
        <w:tc>
          <w:tcPr>
            <w:tcW w:w="1372" w:type="dxa"/>
            <w:shd w:val="clear" w:color="auto" w:fill="auto"/>
          </w:tcPr>
          <w:p w:rsidR="00F233AB" w:rsidRPr="007B1540" w:rsidRDefault="00F233AB" w:rsidP="007B1540">
            <w:pPr>
              <w:suppressAutoHyphens w:val="0"/>
              <w:spacing w:before="40" w:after="40" w:line="220" w:lineRule="exact"/>
              <w:ind w:right="113"/>
              <w:rPr>
                <w:sz w:val="18"/>
              </w:rPr>
            </w:pPr>
            <w:r w:rsidRPr="007B1540">
              <w:rPr>
                <w:sz w:val="18"/>
              </w:rPr>
              <w:t>Hotels.</w:t>
            </w:r>
            <w:r w:rsidR="005B2A41" w:rsidRPr="007B1540">
              <w:rPr>
                <w:sz w:val="18"/>
              </w:rPr>
              <w:t xml:space="preserve"> </w:t>
            </w:r>
            <w:r w:rsidRPr="007B1540">
              <w:rPr>
                <w:sz w:val="18"/>
              </w:rPr>
              <w:t>cafes</w:t>
            </w:r>
            <w:r w:rsidR="005B2A41" w:rsidRPr="007B1540">
              <w:rPr>
                <w:sz w:val="18"/>
              </w:rPr>
              <w:t xml:space="preserve"> </w:t>
            </w:r>
            <w:r w:rsidRPr="007B1540">
              <w:rPr>
                <w:sz w:val="18"/>
              </w:rPr>
              <w:t>and</w:t>
            </w:r>
            <w:r w:rsidR="005B2A41" w:rsidRPr="007B1540">
              <w:rPr>
                <w:sz w:val="18"/>
              </w:rPr>
              <w:t xml:space="preserve"> </w:t>
            </w:r>
            <w:r w:rsidRPr="007B1540">
              <w:rPr>
                <w:sz w:val="18"/>
              </w:rPr>
              <w:t>restaurants</w:t>
            </w:r>
            <w:r w:rsidR="005B2A41" w:rsidRPr="007B1540">
              <w:rPr>
                <w:sz w:val="18"/>
              </w:rPr>
              <w:t xml:space="preserve"> </w:t>
            </w:r>
          </w:p>
        </w:tc>
        <w:tc>
          <w:tcPr>
            <w:tcW w:w="770"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141.05</w:t>
            </w:r>
          </w:p>
        </w:tc>
        <w:tc>
          <w:tcPr>
            <w:tcW w:w="560"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9.9</w:t>
            </w:r>
          </w:p>
        </w:tc>
        <w:tc>
          <w:tcPr>
            <w:tcW w:w="826"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143.49</w:t>
            </w:r>
          </w:p>
        </w:tc>
        <w:tc>
          <w:tcPr>
            <w:tcW w:w="616"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9.8</w:t>
            </w:r>
          </w:p>
        </w:tc>
        <w:tc>
          <w:tcPr>
            <w:tcW w:w="839"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145.55</w:t>
            </w:r>
          </w:p>
        </w:tc>
        <w:tc>
          <w:tcPr>
            <w:tcW w:w="616"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9.6</w:t>
            </w:r>
          </w:p>
        </w:tc>
        <w:tc>
          <w:tcPr>
            <w:tcW w:w="877"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160.47</w:t>
            </w:r>
          </w:p>
        </w:tc>
        <w:tc>
          <w:tcPr>
            <w:tcW w:w="518"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9.8</w:t>
            </w:r>
          </w:p>
        </w:tc>
        <w:tc>
          <w:tcPr>
            <w:tcW w:w="800"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189.11</w:t>
            </w:r>
          </w:p>
        </w:tc>
        <w:tc>
          <w:tcPr>
            <w:tcW w:w="710" w:type="dxa"/>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10.4</w:t>
            </w:r>
          </w:p>
        </w:tc>
      </w:tr>
      <w:tr w:rsidR="0049197C" w:rsidRPr="007B1540" w:rsidTr="0049197C">
        <w:tc>
          <w:tcPr>
            <w:tcW w:w="1372" w:type="dxa"/>
            <w:tcBorders>
              <w:bottom w:val="single" w:sz="12" w:space="0" w:color="auto"/>
            </w:tcBorders>
            <w:shd w:val="clear" w:color="auto" w:fill="auto"/>
          </w:tcPr>
          <w:p w:rsidR="00F233AB" w:rsidRPr="007B1540" w:rsidRDefault="00F233AB" w:rsidP="007B1540">
            <w:pPr>
              <w:suppressAutoHyphens w:val="0"/>
              <w:spacing w:before="40" w:after="40" w:line="220" w:lineRule="exact"/>
              <w:ind w:right="113"/>
              <w:rPr>
                <w:sz w:val="18"/>
              </w:rPr>
            </w:pPr>
            <w:r w:rsidRPr="007B1540">
              <w:rPr>
                <w:sz w:val="18"/>
              </w:rPr>
              <w:t>Miscellaneous</w:t>
            </w:r>
            <w:r w:rsidR="005B2A41" w:rsidRPr="007B1540">
              <w:rPr>
                <w:sz w:val="18"/>
              </w:rPr>
              <w:t xml:space="preserve"> </w:t>
            </w:r>
            <w:r w:rsidRPr="007B1540">
              <w:rPr>
                <w:sz w:val="18"/>
              </w:rPr>
              <w:t>goods</w:t>
            </w:r>
            <w:r w:rsidR="005B2A41" w:rsidRPr="007B1540">
              <w:rPr>
                <w:sz w:val="18"/>
              </w:rPr>
              <w:t xml:space="preserve"> </w:t>
            </w:r>
            <w:r w:rsidRPr="007B1540">
              <w:rPr>
                <w:sz w:val="18"/>
              </w:rPr>
              <w:t>and</w:t>
            </w:r>
            <w:r w:rsidR="005B2A41" w:rsidRPr="007B1540">
              <w:rPr>
                <w:sz w:val="18"/>
              </w:rPr>
              <w:t xml:space="preserve"> </w:t>
            </w:r>
            <w:r w:rsidRPr="007B1540">
              <w:rPr>
                <w:sz w:val="18"/>
              </w:rPr>
              <w:t>services</w:t>
            </w:r>
          </w:p>
        </w:tc>
        <w:tc>
          <w:tcPr>
            <w:tcW w:w="770" w:type="dxa"/>
            <w:tcBorders>
              <w:bottom w:val="single" w:sz="12" w:space="0" w:color="auto"/>
            </w:tcBorders>
            <w:shd w:val="clear" w:color="auto" w:fill="auto"/>
            <w:tcMar>
              <w:bottom w:w="57" w:type="dxa"/>
            </w:tcMar>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127.37</w:t>
            </w:r>
          </w:p>
        </w:tc>
        <w:tc>
          <w:tcPr>
            <w:tcW w:w="560" w:type="dxa"/>
            <w:tcBorders>
              <w:bottom w:val="single" w:sz="12" w:space="0" w:color="auto"/>
            </w:tcBorders>
            <w:shd w:val="clear" w:color="auto" w:fill="auto"/>
            <w:tcMar>
              <w:bottom w:w="57" w:type="dxa"/>
            </w:tcMar>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9.0</w:t>
            </w:r>
          </w:p>
        </w:tc>
        <w:tc>
          <w:tcPr>
            <w:tcW w:w="826" w:type="dxa"/>
            <w:tcBorders>
              <w:bottom w:val="single" w:sz="12" w:space="0" w:color="auto"/>
            </w:tcBorders>
            <w:shd w:val="clear" w:color="auto" w:fill="auto"/>
            <w:tcMar>
              <w:bottom w:w="57" w:type="dxa"/>
            </w:tcMar>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134.49</w:t>
            </w:r>
          </w:p>
        </w:tc>
        <w:tc>
          <w:tcPr>
            <w:tcW w:w="616" w:type="dxa"/>
            <w:tcBorders>
              <w:bottom w:val="single" w:sz="12" w:space="0" w:color="auto"/>
            </w:tcBorders>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9.2</w:t>
            </w:r>
          </w:p>
        </w:tc>
        <w:tc>
          <w:tcPr>
            <w:tcW w:w="839" w:type="dxa"/>
            <w:tcBorders>
              <w:bottom w:val="single" w:sz="12" w:space="0" w:color="auto"/>
            </w:tcBorders>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140.19</w:t>
            </w:r>
          </w:p>
        </w:tc>
        <w:tc>
          <w:tcPr>
            <w:tcW w:w="616" w:type="dxa"/>
            <w:tcBorders>
              <w:bottom w:val="single" w:sz="12" w:space="0" w:color="auto"/>
            </w:tcBorders>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9.3</w:t>
            </w:r>
          </w:p>
        </w:tc>
        <w:tc>
          <w:tcPr>
            <w:tcW w:w="877" w:type="dxa"/>
            <w:tcBorders>
              <w:bottom w:val="single" w:sz="12" w:space="0" w:color="auto"/>
            </w:tcBorders>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154.98</w:t>
            </w:r>
          </w:p>
        </w:tc>
        <w:tc>
          <w:tcPr>
            <w:tcW w:w="518" w:type="dxa"/>
            <w:tcBorders>
              <w:bottom w:val="single" w:sz="12" w:space="0" w:color="auto"/>
            </w:tcBorders>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9.5</w:t>
            </w:r>
          </w:p>
        </w:tc>
        <w:tc>
          <w:tcPr>
            <w:tcW w:w="800" w:type="dxa"/>
            <w:tcBorders>
              <w:bottom w:val="single" w:sz="12" w:space="0" w:color="auto"/>
            </w:tcBorders>
            <w:shd w:val="clear" w:color="auto" w:fill="auto"/>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182.89</w:t>
            </w:r>
          </w:p>
        </w:tc>
        <w:tc>
          <w:tcPr>
            <w:tcW w:w="710" w:type="dxa"/>
            <w:tcBorders>
              <w:bottom w:val="single" w:sz="12" w:space="0" w:color="auto"/>
            </w:tcBorders>
            <w:shd w:val="clear" w:color="auto" w:fill="auto"/>
            <w:tcMar>
              <w:bottom w:w="57" w:type="dxa"/>
            </w:tcMar>
            <w:vAlign w:val="bottom"/>
          </w:tcPr>
          <w:p w:rsidR="00F233AB" w:rsidRPr="007B1540" w:rsidRDefault="00F233AB" w:rsidP="007B1540">
            <w:pPr>
              <w:suppressAutoHyphens w:val="0"/>
              <w:spacing w:before="40" w:after="40" w:line="220" w:lineRule="exact"/>
              <w:ind w:right="113"/>
              <w:jc w:val="right"/>
              <w:rPr>
                <w:sz w:val="18"/>
              </w:rPr>
            </w:pPr>
            <w:r w:rsidRPr="007B1540">
              <w:rPr>
                <w:sz w:val="18"/>
              </w:rPr>
              <w:t>10.0</w:t>
            </w:r>
          </w:p>
        </w:tc>
      </w:tr>
    </w:tbl>
    <w:p w:rsidR="004E5D4F" w:rsidRDefault="004E5D4F" w:rsidP="004E5D4F">
      <w:pPr>
        <w:pStyle w:val="H23G"/>
      </w:pPr>
      <w:r>
        <w:tab/>
      </w:r>
      <w:r>
        <w:tab/>
      </w:r>
      <w:r w:rsidRPr="00F84B00">
        <w:t>At-risk-of-poverty rate after social transfers by age and gender</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26"/>
        <w:gridCol w:w="727"/>
        <w:gridCol w:w="1164"/>
        <w:gridCol w:w="984"/>
        <w:gridCol w:w="800"/>
        <w:gridCol w:w="800"/>
        <w:gridCol w:w="673"/>
        <w:gridCol w:w="673"/>
        <w:gridCol w:w="723"/>
      </w:tblGrid>
      <w:tr w:rsidR="004E5D4F" w:rsidRPr="004E5D4F" w:rsidTr="004E5D4F">
        <w:trPr>
          <w:tblHeader/>
        </w:trPr>
        <w:tc>
          <w:tcPr>
            <w:tcW w:w="826" w:type="dxa"/>
            <w:tcBorders>
              <w:top w:val="single" w:sz="4" w:space="0" w:color="auto"/>
              <w:bottom w:val="single" w:sz="12" w:space="0" w:color="auto"/>
            </w:tcBorders>
            <w:shd w:val="clear" w:color="auto" w:fill="auto"/>
            <w:noWrap/>
            <w:vAlign w:val="bottom"/>
            <w:hideMark/>
          </w:tcPr>
          <w:p w:rsidR="00F233AB" w:rsidRPr="004E5D4F" w:rsidRDefault="00F233AB" w:rsidP="004E5D4F">
            <w:pPr>
              <w:suppressAutoHyphens w:val="0"/>
              <w:spacing w:before="80" w:after="80" w:line="200" w:lineRule="exact"/>
              <w:ind w:right="113"/>
              <w:rPr>
                <w:i/>
                <w:sz w:val="16"/>
              </w:rPr>
            </w:pPr>
            <w:r w:rsidRPr="004E5D4F">
              <w:rPr>
                <w:i/>
                <w:sz w:val="16"/>
              </w:rPr>
              <w:t>Age</w:t>
            </w:r>
            <w:r w:rsidR="005B2A41" w:rsidRPr="004E5D4F">
              <w:rPr>
                <w:i/>
                <w:sz w:val="16"/>
              </w:rPr>
              <w:t xml:space="preserve"> </w:t>
            </w:r>
            <w:r w:rsidRPr="004E5D4F">
              <w:rPr>
                <w:i/>
                <w:sz w:val="16"/>
              </w:rPr>
              <w:t>groups</w:t>
            </w:r>
          </w:p>
        </w:tc>
        <w:tc>
          <w:tcPr>
            <w:tcW w:w="727" w:type="dxa"/>
            <w:tcBorders>
              <w:top w:val="single" w:sz="4" w:space="0" w:color="auto"/>
              <w:bottom w:val="single" w:sz="12" w:space="0" w:color="auto"/>
            </w:tcBorders>
            <w:shd w:val="clear" w:color="auto" w:fill="auto"/>
            <w:vAlign w:val="bottom"/>
            <w:hideMark/>
          </w:tcPr>
          <w:p w:rsidR="00F233AB" w:rsidRPr="004E5D4F" w:rsidRDefault="00F233AB" w:rsidP="004E5D4F">
            <w:pPr>
              <w:suppressAutoHyphens w:val="0"/>
              <w:spacing w:before="80" w:after="80" w:line="200" w:lineRule="exact"/>
              <w:ind w:right="113"/>
              <w:rPr>
                <w:i/>
                <w:sz w:val="16"/>
              </w:rPr>
            </w:pPr>
            <w:r w:rsidRPr="004E5D4F">
              <w:rPr>
                <w:i/>
                <w:sz w:val="16"/>
              </w:rPr>
              <w:t>Gender</w:t>
            </w:r>
          </w:p>
        </w:tc>
        <w:tc>
          <w:tcPr>
            <w:tcW w:w="1164" w:type="dxa"/>
            <w:tcBorders>
              <w:top w:val="single" w:sz="4" w:space="0" w:color="auto"/>
              <w:bottom w:val="single" w:sz="12" w:space="0" w:color="auto"/>
            </w:tcBorders>
            <w:shd w:val="clear" w:color="auto" w:fill="auto"/>
            <w:noWrap/>
            <w:vAlign w:val="bottom"/>
            <w:hideMark/>
          </w:tcPr>
          <w:p w:rsidR="00F233AB" w:rsidRPr="004E5D4F" w:rsidRDefault="00F233AB" w:rsidP="004E5D4F">
            <w:pPr>
              <w:suppressAutoHyphens w:val="0"/>
              <w:spacing w:before="80" w:after="80" w:line="200" w:lineRule="exact"/>
              <w:ind w:right="113"/>
              <w:jc w:val="right"/>
              <w:rPr>
                <w:i/>
                <w:sz w:val="16"/>
              </w:rPr>
            </w:pPr>
            <w:r w:rsidRPr="004E5D4F">
              <w:rPr>
                <w:i/>
                <w:sz w:val="16"/>
              </w:rPr>
              <w:t>Unit</w:t>
            </w:r>
          </w:p>
        </w:tc>
        <w:tc>
          <w:tcPr>
            <w:tcW w:w="984" w:type="dxa"/>
            <w:tcBorders>
              <w:top w:val="single" w:sz="4" w:space="0" w:color="auto"/>
              <w:bottom w:val="single" w:sz="12" w:space="0" w:color="auto"/>
            </w:tcBorders>
            <w:shd w:val="clear" w:color="auto" w:fill="auto"/>
            <w:noWrap/>
            <w:vAlign w:val="bottom"/>
            <w:hideMark/>
          </w:tcPr>
          <w:p w:rsidR="00F233AB" w:rsidRPr="004E5D4F" w:rsidRDefault="00F233AB" w:rsidP="004E5D4F">
            <w:pPr>
              <w:suppressAutoHyphens w:val="0"/>
              <w:spacing w:before="80" w:after="80" w:line="200" w:lineRule="exact"/>
              <w:ind w:right="113"/>
              <w:jc w:val="right"/>
              <w:rPr>
                <w:i/>
                <w:sz w:val="16"/>
              </w:rPr>
            </w:pPr>
            <w:r w:rsidRPr="004E5D4F">
              <w:rPr>
                <w:i/>
                <w:sz w:val="16"/>
              </w:rPr>
              <w:t>2011</w:t>
            </w:r>
          </w:p>
        </w:tc>
        <w:tc>
          <w:tcPr>
            <w:tcW w:w="800" w:type="dxa"/>
            <w:tcBorders>
              <w:top w:val="single" w:sz="4" w:space="0" w:color="auto"/>
              <w:bottom w:val="single" w:sz="12" w:space="0" w:color="auto"/>
            </w:tcBorders>
            <w:shd w:val="clear" w:color="auto" w:fill="auto"/>
            <w:noWrap/>
            <w:vAlign w:val="bottom"/>
            <w:hideMark/>
          </w:tcPr>
          <w:p w:rsidR="00F233AB" w:rsidRPr="004E5D4F" w:rsidRDefault="00F233AB" w:rsidP="004E5D4F">
            <w:pPr>
              <w:suppressAutoHyphens w:val="0"/>
              <w:spacing w:before="80" w:after="80" w:line="200" w:lineRule="exact"/>
              <w:ind w:right="113"/>
              <w:jc w:val="right"/>
              <w:rPr>
                <w:i/>
                <w:sz w:val="16"/>
              </w:rPr>
            </w:pPr>
            <w:r w:rsidRPr="004E5D4F">
              <w:rPr>
                <w:i/>
                <w:sz w:val="16"/>
              </w:rPr>
              <w:t>2012</w:t>
            </w:r>
          </w:p>
        </w:tc>
        <w:tc>
          <w:tcPr>
            <w:tcW w:w="800" w:type="dxa"/>
            <w:tcBorders>
              <w:top w:val="single" w:sz="4" w:space="0" w:color="auto"/>
              <w:bottom w:val="single" w:sz="12" w:space="0" w:color="auto"/>
            </w:tcBorders>
            <w:shd w:val="clear" w:color="auto" w:fill="auto"/>
            <w:noWrap/>
            <w:vAlign w:val="bottom"/>
            <w:hideMark/>
          </w:tcPr>
          <w:p w:rsidR="00F233AB" w:rsidRPr="004E5D4F" w:rsidRDefault="00F233AB" w:rsidP="004E5D4F">
            <w:pPr>
              <w:suppressAutoHyphens w:val="0"/>
              <w:spacing w:before="80" w:after="80" w:line="200" w:lineRule="exact"/>
              <w:ind w:right="113"/>
              <w:jc w:val="right"/>
              <w:rPr>
                <w:i/>
                <w:sz w:val="16"/>
              </w:rPr>
            </w:pPr>
            <w:r w:rsidRPr="004E5D4F">
              <w:rPr>
                <w:i/>
                <w:sz w:val="16"/>
              </w:rPr>
              <w:t>2013</w:t>
            </w:r>
          </w:p>
        </w:tc>
        <w:tc>
          <w:tcPr>
            <w:tcW w:w="673" w:type="dxa"/>
            <w:tcBorders>
              <w:top w:val="single" w:sz="4" w:space="0" w:color="auto"/>
              <w:bottom w:val="single" w:sz="12" w:space="0" w:color="auto"/>
            </w:tcBorders>
            <w:shd w:val="clear" w:color="auto" w:fill="auto"/>
            <w:noWrap/>
            <w:vAlign w:val="bottom"/>
            <w:hideMark/>
          </w:tcPr>
          <w:p w:rsidR="00F233AB" w:rsidRPr="004E5D4F" w:rsidRDefault="00F233AB" w:rsidP="004E5D4F">
            <w:pPr>
              <w:suppressAutoHyphens w:val="0"/>
              <w:spacing w:before="80" w:after="80" w:line="200" w:lineRule="exact"/>
              <w:ind w:right="113"/>
              <w:jc w:val="right"/>
              <w:rPr>
                <w:i/>
                <w:sz w:val="16"/>
              </w:rPr>
            </w:pPr>
            <w:r w:rsidRPr="004E5D4F">
              <w:rPr>
                <w:i/>
                <w:sz w:val="16"/>
              </w:rPr>
              <w:t>2014</w:t>
            </w:r>
          </w:p>
        </w:tc>
        <w:tc>
          <w:tcPr>
            <w:tcW w:w="673" w:type="dxa"/>
            <w:tcBorders>
              <w:top w:val="single" w:sz="4" w:space="0" w:color="auto"/>
              <w:bottom w:val="single" w:sz="12" w:space="0" w:color="auto"/>
            </w:tcBorders>
            <w:shd w:val="clear" w:color="auto" w:fill="auto"/>
            <w:vAlign w:val="bottom"/>
          </w:tcPr>
          <w:p w:rsidR="00F233AB" w:rsidRPr="004E5D4F" w:rsidRDefault="00F233AB" w:rsidP="004E5D4F">
            <w:pPr>
              <w:suppressAutoHyphens w:val="0"/>
              <w:spacing w:before="80" w:after="80" w:line="200" w:lineRule="exact"/>
              <w:ind w:right="113"/>
              <w:jc w:val="right"/>
              <w:rPr>
                <w:i/>
                <w:sz w:val="16"/>
              </w:rPr>
            </w:pPr>
            <w:r w:rsidRPr="004E5D4F">
              <w:rPr>
                <w:i/>
                <w:sz w:val="16"/>
              </w:rPr>
              <w:t>2015</w:t>
            </w:r>
          </w:p>
        </w:tc>
        <w:tc>
          <w:tcPr>
            <w:tcW w:w="723" w:type="dxa"/>
            <w:tcBorders>
              <w:top w:val="single" w:sz="4" w:space="0" w:color="auto"/>
              <w:bottom w:val="single" w:sz="12" w:space="0" w:color="auto"/>
            </w:tcBorders>
            <w:shd w:val="clear" w:color="auto" w:fill="auto"/>
            <w:vAlign w:val="bottom"/>
          </w:tcPr>
          <w:p w:rsidR="00F233AB" w:rsidRPr="004E5D4F" w:rsidRDefault="00F233AB" w:rsidP="004E5D4F">
            <w:pPr>
              <w:suppressAutoHyphens w:val="0"/>
              <w:spacing w:before="80" w:after="80" w:line="200" w:lineRule="exact"/>
              <w:ind w:right="113"/>
              <w:jc w:val="right"/>
              <w:rPr>
                <w:i/>
                <w:sz w:val="16"/>
              </w:rPr>
            </w:pPr>
            <w:r w:rsidRPr="004E5D4F">
              <w:rPr>
                <w:i/>
                <w:sz w:val="16"/>
              </w:rPr>
              <w:t>2016</w:t>
            </w:r>
          </w:p>
        </w:tc>
      </w:tr>
      <w:tr w:rsidR="004E5D4F" w:rsidRPr="004E5D4F" w:rsidTr="00B0300B">
        <w:tc>
          <w:tcPr>
            <w:tcW w:w="826" w:type="dxa"/>
            <w:vMerge w:val="restart"/>
            <w:tcBorders>
              <w:top w:val="single" w:sz="12" w:space="0" w:color="auto"/>
              <w:bottom w:val="nil"/>
            </w:tcBorders>
            <w:shd w:val="clear" w:color="auto" w:fill="auto"/>
            <w:noWrap/>
            <w:vAlign w:val="center"/>
            <w:hideMark/>
          </w:tcPr>
          <w:p w:rsidR="00F233AB" w:rsidRPr="004E5D4F" w:rsidRDefault="00F233AB" w:rsidP="004E5D4F">
            <w:pPr>
              <w:suppressAutoHyphens w:val="0"/>
              <w:spacing w:before="40" w:after="40" w:line="220" w:lineRule="exact"/>
              <w:ind w:right="113"/>
              <w:rPr>
                <w:sz w:val="18"/>
              </w:rPr>
            </w:pPr>
            <w:r w:rsidRPr="004E5D4F">
              <w:rPr>
                <w:sz w:val="18"/>
              </w:rPr>
              <w:t>Total</w:t>
            </w:r>
          </w:p>
        </w:tc>
        <w:tc>
          <w:tcPr>
            <w:tcW w:w="727" w:type="dxa"/>
            <w:vMerge w:val="restart"/>
            <w:tcBorders>
              <w:top w:val="single" w:sz="12" w:space="0" w:color="auto"/>
              <w:bottom w:val="nil"/>
            </w:tcBorders>
            <w:shd w:val="clear" w:color="auto" w:fill="auto"/>
            <w:vAlign w:val="center"/>
            <w:hideMark/>
          </w:tcPr>
          <w:p w:rsidR="00F233AB" w:rsidRPr="004E5D4F" w:rsidRDefault="00F233AB" w:rsidP="004E5D4F">
            <w:pPr>
              <w:suppressAutoHyphens w:val="0"/>
              <w:spacing w:before="40" w:after="40" w:line="220" w:lineRule="exact"/>
              <w:ind w:right="113"/>
              <w:rPr>
                <w:sz w:val="18"/>
              </w:rPr>
            </w:pPr>
            <w:r w:rsidRPr="004E5D4F">
              <w:rPr>
                <w:sz w:val="18"/>
              </w:rPr>
              <w:t>Total</w:t>
            </w:r>
          </w:p>
        </w:tc>
        <w:tc>
          <w:tcPr>
            <w:tcW w:w="1164" w:type="dxa"/>
            <w:tcBorders>
              <w:top w:val="single" w:sz="12" w:space="0" w:color="auto"/>
              <w:bottom w:val="nil"/>
            </w:tcBorders>
            <w:shd w:val="clear" w:color="auto" w:fill="auto"/>
            <w:noWrap/>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1</w:t>
            </w:r>
            <w:r w:rsidR="009E0CB7">
              <w:rPr>
                <w:sz w:val="18"/>
              </w:rPr>
              <w:t xml:space="preserve"> </w:t>
            </w:r>
            <w:r w:rsidRPr="004E5D4F">
              <w:rPr>
                <w:sz w:val="18"/>
              </w:rPr>
              <w:t>000</w:t>
            </w:r>
            <w:r w:rsidR="005B2A41" w:rsidRPr="004E5D4F">
              <w:rPr>
                <w:sz w:val="18"/>
              </w:rPr>
              <w:t xml:space="preserve"> </w:t>
            </w:r>
            <w:r w:rsidRPr="004E5D4F">
              <w:rPr>
                <w:sz w:val="18"/>
              </w:rPr>
              <w:t>persons</w:t>
            </w:r>
          </w:p>
        </w:tc>
        <w:tc>
          <w:tcPr>
            <w:tcW w:w="984" w:type="dxa"/>
            <w:tcBorders>
              <w:top w:val="single" w:sz="12" w:space="0" w:color="auto"/>
              <w:bottom w:val="nil"/>
            </w:tcBorders>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2</w:t>
            </w:r>
            <w:r w:rsidR="009E0CB7">
              <w:rPr>
                <w:sz w:val="18"/>
              </w:rPr>
              <w:t xml:space="preserve"> </w:t>
            </w:r>
            <w:r w:rsidRPr="004E5D4F">
              <w:rPr>
                <w:sz w:val="18"/>
              </w:rPr>
              <w:t>349</w:t>
            </w:r>
            <w:r w:rsidR="00871D91">
              <w:rPr>
                <w:sz w:val="18"/>
              </w:rPr>
              <w:t>.</w:t>
            </w:r>
            <w:r w:rsidRPr="004E5D4F">
              <w:rPr>
                <w:sz w:val="18"/>
              </w:rPr>
              <w:t>0</w:t>
            </w:r>
          </w:p>
        </w:tc>
        <w:tc>
          <w:tcPr>
            <w:tcW w:w="800" w:type="dxa"/>
            <w:tcBorders>
              <w:top w:val="single" w:sz="12" w:space="0" w:color="auto"/>
              <w:bottom w:val="nil"/>
            </w:tcBorders>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2</w:t>
            </w:r>
            <w:r w:rsidR="009E0CB7">
              <w:rPr>
                <w:sz w:val="18"/>
              </w:rPr>
              <w:t xml:space="preserve"> </w:t>
            </w:r>
            <w:r w:rsidRPr="004E5D4F">
              <w:rPr>
                <w:sz w:val="18"/>
              </w:rPr>
              <w:t>535</w:t>
            </w:r>
            <w:r w:rsidR="00871D91">
              <w:rPr>
                <w:sz w:val="18"/>
              </w:rPr>
              <w:t>.</w:t>
            </w:r>
            <w:r w:rsidRPr="004E5D4F">
              <w:rPr>
                <w:sz w:val="18"/>
              </w:rPr>
              <w:t>7</w:t>
            </w:r>
          </w:p>
        </w:tc>
        <w:tc>
          <w:tcPr>
            <w:tcW w:w="800" w:type="dxa"/>
            <w:tcBorders>
              <w:top w:val="single" w:sz="12" w:space="0" w:color="auto"/>
              <w:bottom w:val="nil"/>
            </w:tcBorders>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2</w:t>
            </w:r>
            <w:r w:rsidR="009E0CB7">
              <w:rPr>
                <w:sz w:val="18"/>
              </w:rPr>
              <w:t xml:space="preserve"> </w:t>
            </w:r>
            <w:r w:rsidRPr="004E5D4F">
              <w:rPr>
                <w:sz w:val="18"/>
              </w:rPr>
              <w:t>529</w:t>
            </w:r>
            <w:r w:rsidR="00871D91">
              <w:rPr>
                <w:sz w:val="18"/>
              </w:rPr>
              <w:t>.</w:t>
            </w:r>
            <w:r w:rsidRPr="004E5D4F">
              <w:rPr>
                <w:sz w:val="18"/>
              </w:rPr>
              <w:t>0</w:t>
            </w:r>
          </w:p>
        </w:tc>
        <w:tc>
          <w:tcPr>
            <w:tcW w:w="673" w:type="dxa"/>
            <w:tcBorders>
              <w:top w:val="single" w:sz="12" w:space="0" w:color="auto"/>
              <w:bottom w:val="nil"/>
            </w:tcBorders>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2</w:t>
            </w:r>
            <w:r w:rsidR="009E0CB7">
              <w:rPr>
                <w:sz w:val="18"/>
              </w:rPr>
              <w:t xml:space="preserve"> </w:t>
            </w:r>
            <w:r w:rsidRPr="004E5D4F">
              <w:rPr>
                <w:sz w:val="18"/>
              </w:rPr>
              <w:t>384</w:t>
            </w:r>
            <w:r w:rsidR="00871D91">
              <w:rPr>
                <w:sz w:val="18"/>
              </w:rPr>
              <w:t>.</w:t>
            </w:r>
            <w:r w:rsidRPr="004E5D4F">
              <w:rPr>
                <w:sz w:val="18"/>
              </w:rPr>
              <w:t>0</w:t>
            </w:r>
          </w:p>
        </w:tc>
        <w:tc>
          <w:tcPr>
            <w:tcW w:w="673" w:type="dxa"/>
            <w:tcBorders>
              <w:top w:val="single" w:sz="12" w:space="0" w:color="auto"/>
              <w:bottom w:val="nil"/>
            </w:tcBorders>
            <w:shd w:val="clear" w:color="auto" w:fill="auto"/>
            <w:vAlign w:val="bottom"/>
          </w:tcPr>
          <w:p w:rsidR="00F233AB" w:rsidRPr="004E5D4F" w:rsidRDefault="00F233AB" w:rsidP="004E5D4F">
            <w:pPr>
              <w:suppressAutoHyphens w:val="0"/>
              <w:spacing w:before="40" w:after="40" w:line="220" w:lineRule="exact"/>
              <w:ind w:right="113"/>
              <w:jc w:val="right"/>
              <w:rPr>
                <w:sz w:val="18"/>
              </w:rPr>
            </w:pPr>
            <w:r w:rsidRPr="004E5D4F">
              <w:rPr>
                <w:sz w:val="18"/>
              </w:rPr>
              <w:t>2</w:t>
            </w:r>
            <w:r w:rsidR="009E0CB7">
              <w:rPr>
                <w:sz w:val="18"/>
              </w:rPr>
              <w:t xml:space="preserve"> </w:t>
            </w:r>
            <w:r w:rsidRPr="004E5D4F">
              <w:rPr>
                <w:sz w:val="18"/>
              </w:rPr>
              <w:t>293</w:t>
            </w:r>
            <w:r w:rsidR="00871D91">
              <w:rPr>
                <w:sz w:val="18"/>
              </w:rPr>
              <w:t>.</w:t>
            </w:r>
            <w:r w:rsidRPr="004E5D4F">
              <w:rPr>
                <w:sz w:val="18"/>
              </w:rPr>
              <w:t>2</w:t>
            </w:r>
          </w:p>
        </w:tc>
        <w:tc>
          <w:tcPr>
            <w:tcW w:w="723" w:type="dxa"/>
            <w:tcBorders>
              <w:top w:val="single" w:sz="12" w:space="0" w:color="auto"/>
              <w:bottom w:val="nil"/>
            </w:tcBorders>
            <w:shd w:val="clear" w:color="auto" w:fill="auto"/>
            <w:vAlign w:val="bottom"/>
          </w:tcPr>
          <w:p w:rsidR="00F233AB" w:rsidRPr="004E5D4F" w:rsidRDefault="00F233AB" w:rsidP="004E5D4F">
            <w:pPr>
              <w:suppressAutoHyphens w:val="0"/>
              <w:spacing w:before="40" w:after="40" w:line="220" w:lineRule="exact"/>
              <w:ind w:right="113"/>
              <w:jc w:val="right"/>
              <w:rPr>
                <w:sz w:val="18"/>
              </w:rPr>
            </w:pPr>
            <w:r w:rsidRPr="004E5D4F">
              <w:rPr>
                <w:sz w:val="18"/>
              </w:rPr>
              <w:t>2</w:t>
            </w:r>
            <w:r w:rsidR="009E0CB7">
              <w:rPr>
                <w:sz w:val="18"/>
              </w:rPr>
              <w:t xml:space="preserve"> </w:t>
            </w:r>
            <w:r w:rsidRPr="004E5D4F">
              <w:rPr>
                <w:sz w:val="18"/>
              </w:rPr>
              <w:t>255</w:t>
            </w:r>
            <w:r w:rsidR="00871D91">
              <w:rPr>
                <w:sz w:val="18"/>
              </w:rPr>
              <w:t>.</w:t>
            </w:r>
            <w:r w:rsidRPr="004E5D4F">
              <w:rPr>
                <w:sz w:val="18"/>
              </w:rPr>
              <w:t>9</w:t>
            </w:r>
          </w:p>
        </w:tc>
      </w:tr>
      <w:tr w:rsidR="004E5D4F" w:rsidRPr="004E5D4F" w:rsidTr="001C63E5">
        <w:tc>
          <w:tcPr>
            <w:tcW w:w="826" w:type="dxa"/>
            <w:vMerge/>
            <w:tcBorders>
              <w:top w:val="single" w:sz="12" w:space="0" w:color="auto"/>
              <w:bottom w:val="nil"/>
            </w:tcBorders>
            <w:shd w:val="clear" w:color="auto" w:fill="auto"/>
            <w:hideMark/>
          </w:tcPr>
          <w:p w:rsidR="00F233AB" w:rsidRPr="004E5D4F" w:rsidRDefault="00F233AB" w:rsidP="004E5D4F">
            <w:pPr>
              <w:suppressAutoHyphens w:val="0"/>
              <w:spacing w:before="40" w:after="40" w:line="220" w:lineRule="exact"/>
              <w:ind w:right="113"/>
              <w:rPr>
                <w:sz w:val="18"/>
              </w:rPr>
            </w:pPr>
          </w:p>
        </w:tc>
        <w:tc>
          <w:tcPr>
            <w:tcW w:w="727" w:type="dxa"/>
            <w:vMerge/>
            <w:tcBorders>
              <w:top w:val="nil"/>
              <w:bottom w:val="nil"/>
            </w:tcBorders>
            <w:shd w:val="clear" w:color="auto" w:fill="auto"/>
            <w:vAlign w:val="center"/>
            <w:hideMark/>
          </w:tcPr>
          <w:p w:rsidR="00F233AB" w:rsidRPr="004E5D4F" w:rsidRDefault="00F233AB" w:rsidP="004E5D4F">
            <w:pPr>
              <w:suppressAutoHyphens w:val="0"/>
              <w:spacing w:before="40" w:after="40" w:line="220" w:lineRule="exact"/>
              <w:ind w:right="113"/>
              <w:rPr>
                <w:sz w:val="18"/>
              </w:rPr>
            </w:pPr>
          </w:p>
        </w:tc>
        <w:tc>
          <w:tcPr>
            <w:tcW w:w="1164" w:type="dxa"/>
            <w:tcBorders>
              <w:top w:val="nil"/>
              <w:bottom w:val="nil"/>
            </w:tcBorders>
            <w:shd w:val="clear" w:color="auto" w:fill="auto"/>
            <w:noWrap/>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w:t>
            </w:r>
          </w:p>
        </w:tc>
        <w:tc>
          <w:tcPr>
            <w:tcW w:w="984" w:type="dxa"/>
            <w:tcBorders>
              <w:top w:val="nil"/>
              <w:bottom w:val="nil"/>
            </w:tcBorders>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21</w:t>
            </w:r>
            <w:r w:rsidR="00871D91">
              <w:rPr>
                <w:sz w:val="18"/>
              </w:rPr>
              <w:t>.</w:t>
            </w:r>
            <w:r w:rsidRPr="004E5D4F">
              <w:rPr>
                <w:sz w:val="18"/>
              </w:rPr>
              <w:t>4</w:t>
            </w:r>
          </w:p>
        </w:tc>
        <w:tc>
          <w:tcPr>
            <w:tcW w:w="800" w:type="dxa"/>
            <w:tcBorders>
              <w:top w:val="nil"/>
              <w:bottom w:val="nil"/>
            </w:tcBorders>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23</w:t>
            </w:r>
            <w:r w:rsidR="00871D91">
              <w:rPr>
                <w:sz w:val="18"/>
              </w:rPr>
              <w:t>.</w:t>
            </w:r>
            <w:r w:rsidRPr="004E5D4F">
              <w:rPr>
                <w:sz w:val="18"/>
              </w:rPr>
              <w:t>1</w:t>
            </w:r>
          </w:p>
        </w:tc>
        <w:tc>
          <w:tcPr>
            <w:tcW w:w="800" w:type="dxa"/>
            <w:tcBorders>
              <w:top w:val="nil"/>
              <w:bottom w:val="nil"/>
            </w:tcBorders>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23</w:t>
            </w:r>
            <w:r w:rsidR="00871D91">
              <w:rPr>
                <w:sz w:val="18"/>
              </w:rPr>
              <w:t>.</w:t>
            </w:r>
            <w:r w:rsidRPr="004E5D4F">
              <w:rPr>
                <w:sz w:val="18"/>
              </w:rPr>
              <w:t>1</w:t>
            </w:r>
          </w:p>
        </w:tc>
        <w:tc>
          <w:tcPr>
            <w:tcW w:w="673" w:type="dxa"/>
            <w:tcBorders>
              <w:top w:val="nil"/>
              <w:bottom w:val="nil"/>
            </w:tcBorders>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22</w:t>
            </w:r>
            <w:r w:rsidR="00871D91">
              <w:rPr>
                <w:sz w:val="18"/>
              </w:rPr>
              <w:t>.</w:t>
            </w:r>
            <w:r w:rsidRPr="004E5D4F">
              <w:rPr>
                <w:sz w:val="18"/>
              </w:rPr>
              <w:t>1</w:t>
            </w:r>
          </w:p>
        </w:tc>
        <w:tc>
          <w:tcPr>
            <w:tcW w:w="673" w:type="dxa"/>
            <w:tcBorders>
              <w:top w:val="nil"/>
              <w:bottom w:val="nil"/>
            </w:tcBorders>
            <w:shd w:val="clear" w:color="auto" w:fill="auto"/>
            <w:vAlign w:val="bottom"/>
          </w:tcPr>
          <w:p w:rsidR="00F233AB" w:rsidRPr="004E5D4F" w:rsidRDefault="00F233AB" w:rsidP="004E5D4F">
            <w:pPr>
              <w:suppressAutoHyphens w:val="0"/>
              <w:spacing w:before="40" w:after="40" w:line="220" w:lineRule="exact"/>
              <w:ind w:right="113"/>
              <w:jc w:val="right"/>
              <w:rPr>
                <w:sz w:val="18"/>
              </w:rPr>
            </w:pPr>
            <w:r w:rsidRPr="004E5D4F">
              <w:rPr>
                <w:sz w:val="18"/>
              </w:rPr>
              <w:t>21</w:t>
            </w:r>
            <w:r w:rsidR="00871D91">
              <w:rPr>
                <w:sz w:val="18"/>
              </w:rPr>
              <w:t>.</w:t>
            </w:r>
            <w:r w:rsidRPr="004E5D4F">
              <w:rPr>
                <w:sz w:val="18"/>
              </w:rPr>
              <w:t>4</w:t>
            </w:r>
          </w:p>
        </w:tc>
        <w:tc>
          <w:tcPr>
            <w:tcW w:w="723" w:type="dxa"/>
            <w:tcBorders>
              <w:top w:val="nil"/>
              <w:bottom w:val="nil"/>
            </w:tcBorders>
            <w:shd w:val="clear" w:color="auto" w:fill="auto"/>
            <w:vAlign w:val="bottom"/>
          </w:tcPr>
          <w:p w:rsidR="00F233AB" w:rsidRPr="004E5D4F" w:rsidRDefault="00F233AB" w:rsidP="004E5D4F">
            <w:pPr>
              <w:suppressAutoHyphens w:val="0"/>
              <w:spacing w:before="40" w:after="40" w:line="220" w:lineRule="exact"/>
              <w:ind w:right="113"/>
              <w:jc w:val="right"/>
              <w:rPr>
                <w:sz w:val="18"/>
              </w:rPr>
            </w:pPr>
            <w:r w:rsidRPr="004E5D4F">
              <w:rPr>
                <w:sz w:val="18"/>
              </w:rPr>
              <w:t>21</w:t>
            </w:r>
            <w:r w:rsidR="00871D91">
              <w:rPr>
                <w:sz w:val="18"/>
              </w:rPr>
              <w:t>.</w:t>
            </w:r>
            <w:r w:rsidRPr="004E5D4F">
              <w:rPr>
                <w:sz w:val="18"/>
              </w:rPr>
              <w:t>2</w:t>
            </w:r>
          </w:p>
        </w:tc>
      </w:tr>
      <w:tr w:rsidR="004E5D4F" w:rsidRPr="004E5D4F" w:rsidTr="001C63E5">
        <w:tc>
          <w:tcPr>
            <w:tcW w:w="826" w:type="dxa"/>
            <w:vMerge/>
            <w:tcBorders>
              <w:top w:val="single" w:sz="12" w:space="0" w:color="auto"/>
              <w:bottom w:val="nil"/>
            </w:tcBorders>
            <w:shd w:val="clear" w:color="auto" w:fill="auto"/>
            <w:hideMark/>
          </w:tcPr>
          <w:p w:rsidR="00F233AB" w:rsidRPr="004E5D4F" w:rsidRDefault="00F233AB" w:rsidP="004E5D4F">
            <w:pPr>
              <w:suppressAutoHyphens w:val="0"/>
              <w:spacing w:before="40" w:after="40" w:line="220" w:lineRule="exact"/>
              <w:ind w:right="113"/>
              <w:rPr>
                <w:sz w:val="18"/>
              </w:rPr>
            </w:pPr>
          </w:p>
        </w:tc>
        <w:tc>
          <w:tcPr>
            <w:tcW w:w="727" w:type="dxa"/>
            <w:vMerge w:val="restart"/>
            <w:tcBorders>
              <w:top w:val="nil"/>
              <w:bottom w:val="nil"/>
            </w:tcBorders>
            <w:shd w:val="clear" w:color="auto" w:fill="auto"/>
            <w:vAlign w:val="center"/>
            <w:hideMark/>
          </w:tcPr>
          <w:p w:rsidR="00F233AB" w:rsidRPr="004E5D4F" w:rsidRDefault="00F233AB" w:rsidP="004E5D4F">
            <w:pPr>
              <w:suppressAutoHyphens w:val="0"/>
              <w:spacing w:before="40" w:after="40" w:line="220" w:lineRule="exact"/>
              <w:ind w:right="113"/>
              <w:rPr>
                <w:sz w:val="18"/>
              </w:rPr>
            </w:pPr>
            <w:r w:rsidRPr="004E5D4F">
              <w:rPr>
                <w:sz w:val="18"/>
              </w:rPr>
              <w:t>Males</w:t>
            </w:r>
          </w:p>
        </w:tc>
        <w:tc>
          <w:tcPr>
            <w:tcW w:w="1164" w:type="dxa"/>
            <w:tcBorders>
              <w:top w:val="nil"/>
              <w:bottom w:val="nil"/>
            </w:tcBorders>
            <w:shd w:val="clear" w:color="auto" w:fill="auto"/>
            <w:noWrap/>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1</w:t>
            </w:r>
            <w:r w:rsidR="009E0CB7">
              <w:rPr>
                <w:sz w:val="18"/>
              </w:rPr>
              <w:t xml:space="preserve"> </w:t>
            </w:r>
            <w:r w:rsidRPr="004E5D4F">
              <w:rPr>
                <w:sz w:val="18"/>
              </w:rPr>
              <w:t>000</w:t>
            </w:r>
            <w:r w:rsidR="005B2A41" w:rsidRPr="004E5D4F">
              <w:rPr>
                <w:sz w:val="18"/>
              </w:rPr>
              <w:t xml:space="preserve"> </w:t>
            </w:r>
            <w:r w:rsidRPr="004E5D4F">
              <w:rPr>
                <w:sz w:val="18"/>
              </w:rPr>
              <w:t>persons</w:t>
            </w:r>
          </w:p>
        </w:tc>
        <w:tc>
          <w:tcPr>
            <w:tcW w:w="984" w:type="dxa"/>
            <w:tcBorders>
              <w:top w:val="nil"/>
              <w:bottom w:val="nil"/>
            </w:tcBorders>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1</w:t>
            </w:r>
            <w:r w:rsidR="009E0CB7">
              <w:rPr>
                <w:sz w:val="18"/>
              </w:rPr>
              <w:t xml:space="preserve"> </w:t>
            </w:r>
            <w:r w:rsidRPr="004E5D4F">
              <w:rPr>
                <w:sz w:val="18"/>
              </w:rPr>
              <w:t>130</w:t>
            </w:r>
            <w:r w:rsidR="00871D91">
              <w:rPr>
                <w:sz w:val="18"/>
              </w:rPr>
              <w:t>.</w:t>
            </w:r>
            <w:r w:rsidRPr="004E5D4F">
              <w:rPr>
                <w:sz w:val="18"/>
              </w:rPr>
              <w:t>2</w:t>
            </w:r>
          </w:p>
        </w:tc>
        <w:tc>
          <w:tcPr>
            <w:tcW w:w="800" w:type="dxa"/>
            <w:tcBorders>
              <w:top w:val="nil"/>
              <w:bottom w:val="nil"/>
            </w:tcBorders>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1</w:t>
            </w:r>
            <w:r w:rsidR="009E0CB7">
              <w:rPr>
                <w:sz w:val="18"/>
              </w:rPr>
              <w:t xml:space="preserve"> </w:t>
            </w:r>
            <w:r w:rsidRPr="004E5D4F">
              <w:rPr>
                <w:sz w:val="18"/>
              </w:rPr>
              <w:t>216</w:t>
            </w:r>
            <w:r w:rsidR="00871D91">
              <w:rPr>
                <w:sz w:val="18"/>
              </w:rPr>
              <w:t>.</w:t>
            </w:r>
            <w:r w:rsidRPr="004E5D4F">
              <w:rPr>
                <w:sz w:val="18"/>
              </w:rPr>
              <w:t>3</w:t>
            </w:r>
          </w:p>
        </w:tc>
        <w:tc>
          <w:tcPr>
            <w:tcW w:w="800" w:type="dxa"/>
            <w:tcBorders>
              <w:top w:val="nil"/>
              <w:bottom w:val="nil"/>
            </w:tcBorders>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1</w:t>
            </w:r>
            <w:r w:rsidR="009E0CB7">
              <w:rPr>
                <w:sz w:val="18"/>
              </w:rPr>
              <w:t xml:space="preserve"> </w:t>
            </w:r>
            <w:r w:rsidRPr="004E5D4F">
              <w:rPr>
                <w:sz w:val="18"/>
              </w:rPr>
              <w:t>207</w:t>
            </w:r>
            <w:r w:rsidR="00871D91">
              <w:rPr>
                <w:sz w:val="18"/>
              </w:rPr>
              <w:t>.</w:t>
            </w:r>
            <w:r w:rsidRPr="004E5D4F">
              <w:rPr>
                <w:sz w:val="18"/>
              </w:rPr>
              <w:t>2</w:t>
            </w:r>
          </w:p>
        </w:tc>
        <w:tc>
          <w:tcPr>
            <w:tcW w:w="673" w:type="dxa"/>
            <w:tcBorders>
              <w:top w:val="nil"/>
              <w:bottom w:val="nil"/>
            </w:tcBorders>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1</w:t>
            </w:r>
            <w:r w:rsidR="009E0CB7">
              <w:rPr>
                <w:sz w:val="18"/>
              </w:rPr>
              <w:t xml:space="preserve"> </w:t>
            </w:r>
            <w:r w:rsidRPr="004E5D4F">
              <w:rPr>
                <w:sz w:val="18"/>
              </w:rPr>
              <w:t>169</w:t>
            </w:r>
            <w:r w:rsidR="00871D91">
              <w:rPr>
                <w:sz w:val="18"/>
              </w:rPr>
              <w:t>.</w:t>
            </w:r>
            <w:r w:rsidRPr="004E5D4F">
              <w:rPr>
                <w:sz w:val="18"/>
              </w:rPr>
              <w:t>3</w:t>
            </w:r>
          </w:p>
        </w:tc>
        <w:tc>
          <w:tcPr>
            <w:tcW w:w="673" w:type="dxa"/>
            <w:tcBorders>
              <w:top w:val="nil"/>
              <w:bottom w:val="nil"/>
            </w:tcBorders>
            <w:shd w:val="clear" w:color="auto" w:fill="auto"/>
            <w:vAlign w:val="bottom"/>
          </w:tcPr>
          <w:p w:rsidR="00F233AB" w:rsidRPr="004E5D4F" w:rsidRDefault="00F233AB" w:rsidP="004E5D4F">
            <w:pPr>
              <w:suppressAutoHyphens w:val="0"/>
              <w:spacing w:before="40" w:after="40" w:line="220" w:lineRule="exact"/>
              <w:ind w:right="113"/>
              <w:jc w:val="right"/>
              <w:rPr>
                <w:sz w:val="18"/>
              </w:rPr>
            </w:pPr>
            <w:r w:rsidRPr="004E5D4F">
              <w:rPr>
                <w:sz w:val="18"/>
              </w:rPr>
              <w:t>1</w:t>
            </w:r>
            <w:r w:rsidR="009E0CB7">
              <w:rPr>
                <w:sz w:val="18"/>
              </w:rPr>
              <w:t xml:space="preserve"> </w:t>
            </w:r>
            <w:r w:rsidRPr="004E5D4F">
              <w:rPr>
                <w:sz w:val="18"/>
              </w:rPr>
              <w:t>126</w:t>
            </w:r>
            <w:r w:rsidR="00871D91">
              <w:rPr>
                <w:sz w:val="18"/>
              </w:rPr>
              <w:t>.</w:t>
            </w:r>
            <w:r w:rsidRPr="004E5D4F">
              <w:rPr>
                <w:sz w:val="18"/>
              </w:rPr>
              <w:t>5</w:t>
            </w:r>
          </w:p>
        </w:tc>
        <w:tc>
          <w:tcPr>
            <w:tcW w:w="723" w:type="dxa"/>
            <w:tcBorders>
              <w:top w:val="nil"/>
              <w:bottom w:val="nil"/>
            </w:tcBorders>
            <w:shd w:val="clear" w:color="auto" w:fill="auto"/>
            <w:vAlign w:val="bottom"/>
          </w:tcPr>
          <w:p w:rsidR="00F233AB" w:rsidRPr="004E5D4F" w:rsidRDefault="00F233AB" w:rsidP="004E5D4F">
            <w:pPr>
              <w:suppressAutoHyphens w:val="0"/>
              <w:spacing w:before="40" w:after="40" w:line="220" w:lineRule="exact"/>
              <w:ind w:right="113"/>
              <w:jc w:val="right"/>
              <w:rPr>
                <w:sz w:val="18"/>
              </w:rPr>
            </w:pPr>
            <w:r w:rsidRPr="004E5D4F">
              <w:rPr>
                <w:sz w:val="18"/>
              </w:rPr>
              <w:t>1</w:t>
            </w:r>
            <w:r w:rsidR="009E0CB7">
              <w:rPr>
                <w:sz w:val="18"/>
              </w:rPr>
              <w:t xml:space="preserve"> </w:t>
            </w:r>
            <w:r w:rsidRPr="004E5D4F">
              <w:rPr>
                <w:sz w:val="18"/>
              </w:rPr>
              <w:t>098</w:t>
            </w:r>
            <w:r w:rsidR="00871D91">
              <w:rPr>
                <w:sz w:val="18"/>
              </w:rPr>
              <w:t>.</w:t>
            </w:r>
            <w:r w:rsidRPr="004E5D4F">
              <w:rPr>
                <w:sz w:val="18"/>
              </w:rPr>
              <w:t>8</w:t>
            </w:r>
          </w:p>
        </w:tc>
      </w:tr>
      <w:tr w:rsidR="004E5D4F" w:rsidRPr="004E5D4F" w:rsidTr="001C63E5">
        <w:tc>
          <w:tcPr>
            <w:tcW w:w="826" w:type="dxa"/>
            <w:vMerge/>
            <w:tcBorders>
              <w:top w:val="single" w:sz="12" w:space="0" w:color="auto"/>
              <w:bottom w:val="nil"/>
            </w:tcBorders>
            <w:shd w:val="clear" w:color="auto" w:fill="auto"/>
            <w:hideMark/>
          </w:tcPr>
          <w:p w:rsidR="00F233AB" w:rsidRPr="004E5D4F" w:rsidRDefault="00F233AB" w:rsidP="004E5D4F">
            <w:pPr>
              <w:suppressAutoHyphens w:val="0"/>
              <w:spacing w:before="40" w:after="40" w:line="220" w:lineRule="exact"/>
              <w:ind w:right="113"/>
              <w:rPr>
                <w:sz w:val="18"/>
              </w:rPr>
            </w:pPr>
          </w:p>
        </w:tc>
        <w:tc>
          <w:tcPr>
            <w:tcW w:w="727" w:type="dxa"/>
            <w:vMerge/>
            <w:tcBorders>
              <w:top w:val="nil"/>
            </w:tcBorders>
            <w:shd w:val="clear" w:color="auto" w:fill="auto"/>
            <w:vAlign w:val="center"/>
            <w:hideMark/>
          </w:tcPr>
          <w:p w:rsidR="00F233AB" w:rsidRPr="004E5D4F" w:rsidRDefault="00F233AB" w:rsidP="004E5D4F">
            <w:pPr>
              <w:suppressAutoHyphens w:val="0"/>
              <w:spacing w:before="40" w:after="40" w:line="220" w:lineRule="exact"/>
              <w:ind w:right="113"/>
              <w:rPr>
                <w:sz w:val="18"/>
              </w:rPr>
            </w:pPr>
          </w:p>
        </w:tc>
        <w:tc>
          <w:tcPr>
            <w:tcW w:w="1164" w:type="dxa"/>
            <w:tcBorders>
              <w:top w:val="nil"/>
            </w:tcBorders>
            <w:shd w:val="clear" w:color="auto" w:fill="auto"/>
            <w:noWrap/>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w:t>
            </w:r>
          </w:p>
        </w:tc>
        <w:tc>
          <w:tcPr>
            <w:tcW w:w="984" w:type="dxa"/>
            <w:tcBorders>
              <w:top w:val="nil"/>
            </w:tcBorders>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20</w:t>
            </w:r>
            <w:r w:rsidR="00871D91">
              <w:rPr>
                <w:sz w:val="18"/>
              </w:rPr>
              <w:t>.</w:t>
            </w:r>
            <w:r w:rsidRPr="004E5D4F">
              <w:rPr>
                <w:sz w:val="18"/>
              </w:rPr>
              <w:t>9</w:t>
            </w:r>
          </w:p>
        </w:tc>
        <w:tc>
          <w:tcPr>
            <w:tcW w:w="800" w:type="dxa"/>
            <w:tcBorders>
              <w:top w:val="nil"/>
            </w:tcBorders>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22</w:t>
            </w:r>
            <w:r w:rsidR="00871D91">
              <w:rPr>
                <w:sz w:val="18"/>
              </w:rPr>
              <w:t>.</w:t>
            </w:r>
            <w:r w:rsidRPr="004E5D4F">
              <w:rPr>
                <w:sz w:val="18"/>
              </w:rPr>
              <w:t>5</w:t>
            </w:r>
          </w:p>
        </w:tc>
        <w:tc>
          <w:tcPr>
            <w:tcW w:w="800" w:type="dxa"/>
            <w:tcBorders>
              <w:top w:val="nil"/>
            </w:tcBorders>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22</w:t>
            </w:r>
            <w:r w:rsidR="00871D91">
              <w:rPr>
                <w:sz w:val="18"/>
              </w:rPr>
              <w:t>.</w:t>
            </w:r>
            <w:r w:rsidRPr="004E5D4F">
              <w:rPr>
                <w:sz w:val="18"/>
              </w:rPr>
              <w:t>4</w:t>
            </w:r>
          </w:p>
        </w:tc>
        <w:tc>
          <w:tcPr>
            <w:tcW w:w="673" w:type="dxa"/>
            <w:tcBorders>
              <w:top w:val="nil"/>
            </w:tcBorders>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22</w:t>
            </w:r>
            <w:r w:rsidR="00871D91">
              <w:rPr>
                <w:sz w:val="18"/>
              </w:rPr>
              <w:t>.</w:t>
            </w:r>
            <w:r w:rsidRPr="004E5D4F">
              <w:rPr>
                <w:sz w:val="18"/>
              </w:rPr>
              <w:t>2</w:t>
            </w:r>
          </w:p>
        </w:tc>
        <w:tc>
          <w:tcPr>
            <w:tcW w:w="673" w:type="dxa"/>
            <w:tcBorders>
              <w:top w:val="nil"/>
            </w:tcBorders>
            <w:shd w:val="clear" w:color="auto" w:fill="auto"/>
            <w:vAlign w:val="bottom"/>
          </w:tcPr>
          <w:p w:rsidR="00F233AB" w:rsidRPr="004E5D4F" w:rsidRDefault="00F233AB" w:rsidP="004E5D4F">
            <w:pPr>
              <w:suppressAutoHyphens w:val="0"/>
              <w:spacing w:before="40" w:after="40" w:line="220" w:lineRule="exact"/>
              <w:ind w:right="113"/>
              <w:jc w:val="right"/>
              <w:rPr>
                <w:sz w:val="18"/>
              </w:rPr>
            </w:pPr>
            <w:r w:rsidRPr="004E5D4F">
              <w:rPr>
                <w:sz w:val="18"/>
              </w:rPr>
              <w:t>21</w:t>
            </w:r>
            <w:r w:rsidR="00871D91">
              <w:rPr>
                <w:sz w:val="18"/>
              </w:rPr>
              <w:t>.</w:t>
            </w:r>
            <w:r w:rsidRPr="004E5D4F">
              <w:rPr>
                <w:sz w:val="18"/>
              </w:rPr>
              <w:t>5</w:t>
            </w:r>
          </w:p>
        </w:tc>
        <w:tc>
          <w:tcPr>
            <w:tcW w:w="723" w:type="dxa"/>
            <w:tcBorders>
              <w:top w:val="nil"/>
            </w:tcBorders>
            <w:shd w:val="clear" w:color="auto" w:fill="auto"/>
            <w:vAlign w:val="bottom"/>
          </w:tcPr>
          <w:p w:rsidR="00F233AB" w:rsidRPr="004E5D4F" w:rsidRDefault="00F233AB" w:rsidP="004E5D4F">
            <w:pPr>
              <w:suppressAutoHyphens w:val="0"/>
              <w:spacing w:before="40" w:after="40" w:line="220" w:lineRule="exact"/>
              <w:ind w:right="113"/>
              <w:jc w:val="right"/>
              <w:rPr>
                <w:sz w:val="18"/>
              </w:rPr>
            </w:pPr>
            <w:r w:rsidRPr="004E5D4F">
              <w:rPr>
                <w:sz w:val="18"/>
              </w:rPr>
              <w:t>21</w:t>
            </w:r>
            <w:r w:rsidR="00871D91">
              <w:rPr>
                <w:sz w:val="18"/>
              </w:rPr>
              <w:t>.</w:t>
            </w:r>
            <w:r w:rsidRPr="004E5D4F">
              <w:rPr>
                <w:sz w:val="18"/>
              </w:rPr>
              <w:t>2</w:t>
            </w:r>
          </w:p>
        </w:tc>
      </w:tr>
      <w:tr w:rsidR="004E5D4F" w:rsidRPr="004E5D4F" w:rsidTr="004E5D4F">
        <w:tc>
          <w:tcPr>
            <w:tcW w:w="826" w:type="dxa"/>
            <w:vMerge/>
            <w:tcBorders>
              <w:top w:val="single" w:sz="12" w:space="0" w:color="auto"/>
              <w:bottom w:val="nil"/>
            </w:tcBorders>
            <w:shd w:val="clear" w:color="auto" w:fill="auto"/>
            <w:hideMark/>
          </w:tcPr>
          <w:p w:rsidR="00F233AB" w:rsidRPr="004E5D4F" w:rsidRDefault="00F233AB" w:rsidP="004E5D4F">
            <w:pPr>
              <w:suppressAutoHyphens w:val="0"/>
              <w:spacing w:before="40" w:after="40" w:line="220" w:lineRule="exact"/>
              <w:ind w:right="113"/>
              <w:rPr>
                <w:sz w:val="18"/>
              </w:rPr>
            </w:pPr>
          </w:p>
        </w:tc>
        <w:tc>
          <w:tcPr>
            <w:tcW w:w="727" w:type="dxa"/>
            <w:vMerge w:val="restart"/>
            <w:shd w:val="clear" w:color="auto" w:fill="auto"/>
            <w:vAlign w:val="center"/>
            <w:hideMark/>
          </w:tcPr>
          <w:p w:rsidR="00F233AB" w:rsidRPr="004E5D4F" w:rsidRDefault="00F233AB" w:rsidP="004E5D4F">
            <w:pPr>
              <w:suppressAutoHyphens w:val="0"/>
              <w:spacing w:before="40" w:after="40" w:line="220" w:lineRule="exact"/>
              <w:ind w:right="113"/>
              <w:rPr>
                <w:sz w:val="18"/>
              </w:rPr>
            </w:pPr>
            <w:r w:rsidRPr="004E5D4F">
              <w:rPr>
                <w:sz w:val="18"/>
              </w:rPr>
              <w:t>Females</w:t>
            </w:r>
          </w:p>
        </w:tc>
        <w:tc>
          <w:tcPr>
            <w:tcW w:w="1164" w:type="dxa"/>
            <w:shd w:val="clear" w:color="auto" w:fill="auto"/>
            <w:noWrap/>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1</w:t>
            </w:r>
            <w:r w:rsidR="005B2553">
              <w:rPr>
                <w:sz w:val="18"/>
              </w:rPr>
              <w:t xml:space="preserve"> </w:t>
            </w:r>
            <w:r w:rsidRPr="004E5D4F">
              <w:rPr>
                <w:sz w:val="18"/>
              </w:rPr>
              <w:t>000</w:t>
            </w:r>
            <w:r w:rsidR="005B2A41" w:rsidRPr="004E5D4F">
              <w:rPr>
                <w:sz w:val="18"/>
              </w:rPr>
              <w:t xml:space="preserve"> </w:t>
            </w:r>
            <w:r w:rsidRPr="004E5D4F">
              <w:rPr>
                <w:sz w:val="18"/>
              </w:rPr>
              <w:t>persons</w:t>
            </w:r>
          </w:p>
        </w:tc>
        <w:tc>
          <w:tcPr>
            <w:tcW w:w="984"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1</w:t>
            </w:r>
            <w:r w:rsidR="009E0CB7">
              <w:rPr>
                <w:sz w:val="18"/>
              </w:rPr>
              <w:t xml:space="preserve"> </w:t>
            </w:r>
            <w:r w:rsidRPr="004E5D4F">
              <w:rPr>
                <w:sz w:val="18"/>
              </w:rPr>
              <w:t>218</w:t>
            </w:r>
            <w:r w:rsidR="00871D91">
              <w:rPr>
                <w:sz w:val="18"/>
              </w:rPr>
              <w:t>.</w:t>
            </w:r>
            <w:r w:rsidRPr="004E5D4F">
              <w:rPr>
                <w:sz w:val="18"/>
              </w:rPr>
              <w:t>8</w:t>
            </w:r>
          </w:p>
        </w:tc>
        <w:tc>
          <w:tcPr>
            <w:tcW w:w="800"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1</w:t>
            </w:r>
            <w:r w:rsidR="009E0CB7">
              <w:rPr>
                <w:sz w:val="18"/>
              </w:rPr>
              <w:t xml:space="preserve"> </w:t>
            </w:r>
            <w:r w:rsidRPr="004E5D4F">
              <w:rPr>
                <w:sz w:val="18"/>
              </w:rPr>
              <w:t>319</w:t>
            </w:r>
            <w:r w:rsidR="00871D91">
              <w:rPr>
                <w:sz w:val="18"/>
              </w:rPr>
              <w:t>.</w:t>
            </w:r>
            <w:r w:rsidRPr="004E5D4F">
              <w:rPr>
                <w:sz w:val="18"/>
              </w:rPr>
              <w:t>4</w:t>
            </w:r>
          </w:p>
        </w:tc>
        <w:tc>
          <w:tcPr>
            <w:tcW w:w="800"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1</w:t>
            </w:r>
            <w:r w:rsidR="009E0CB7">
              <w:rPr>
                <w:sz w:val="18"/>
              </w:rPr>
              <w:t xml:space="preserve"> </w:t>
            </w:r>
            <w:r w:rsidRPr="004E5D4F">
              <w:rPr>
                <w:sz w:val="18"/>
              </w:rPr>
              <w:t>321</w:t>
            </w:r>
            <w:r w:rsidR="00871D91">
              <w:rPr>
                <w:sz w:val="18"/>
              </w:rPr>
              <w:t>.</w:t>
            </w:r>
            <w:r w:rsidRPr="004E5D4F">
              <w:rPr>
                <w:sz w:val="18"/>
              </w:rPr>
              <w:t>9</w:t>
            </w:r>
          </w:p>
        </w:tc>
        <w:tc>
          <w:tcPr>
            <w:tcW w:w="673"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1</w:t>
            </w:r>
            <w:r w:rsidR="009E0CB7">
              <w:rPr>
                <w:sz w:val="18"/>
              </w:rPr>
              <w:t xml:space="preserve"> </w:t>
            </w:r>
            <w:r w:rsidRPr="004E5D4F">
              <w:rPr>
                <w:sz w:val="18"/>
              </w:rPr>
              <w:t>214</w:t>
            </w:r>
            <w:r w:rsidR="00871D91">
              <w:rPr>
                <w:sz w:val="18"/>
              </w:rPr>
              <w:t>.</w:t>
            </w:r>
            <w:r w:rsidRPr="004E5D4F">
              <w:rPr>
                <w:sz w:val="18"/>
              </w:rPr>
              <w:t>7</w:t>
            </w:r>
          </w:p>
        </w:tc>
        <w:tc>
          <w:tcPr>
            <w:tcW w:w="673" w:type="dxa"/>
            <w:shd w:val="clear" w:color="auto" w:fill="auto"/>
            <w:vAlign w:val="bottom"/>
          </w:tcPr>
          <w:p w:rsidR="00F233AB" w:rsidRPr="004E5D4F" w:rsidRDefault="00F233AB" w:rsidP="004E5D4F">
            <w:pPr>
              <w:suppressAutoHyphens w:val="0"/>
              <w:spacing w:before="40" w:after="40" w:line="220" w:lineRule="exact"/>
              <w:ind w:right="113"/>
              <w:jc w:val="right"/>
              <w:rPr>
                <w:sz w:val="18"/>
              </w:rPr>
            </w:pPr>
            <w:r w:rsidRPr="004E5D4F">
              <w:rPr>
                <w:sz w:val="18"/>
              </w:rPr>
              <w:t>1</w:t>
            </w:r>
            <w:r w:rsidR="009E0CB7">
              <w:rPr>
                <w:sz w:val="18"/>
              </w:rPr>
              <w:t xml:space="preserve"> </w:t>
            </w:r>
            <w:r w:rsidRPr="004E5D4F">
              <w:rPr>
                <w:sz w:val="18"/>
              </w:rPr>
              <w:t>166</w:t>
            </w:r>
            <w:r w:rsidR="00871D91">
              <w:rPr>
                <w:sz w:val="18"/>
              </w:rPr>
              <w:t>.</w:t>
            </w:r>
            <w:r w:rsidRPr="004E5D4F">
              <w:rPr>
                <w:sz w:val="18"/>
              </w:rPr>
              <w:t>6</w:t>
            </w:r>
          </w:p>
        </w:tc>
        <w:tc>
          <w:tcPr>
            <w:tcW w:w="723" w:type="dxa"/>
            <w:shd w:val="clear" w:color="auto" w:fill="auto"/>
            <w:vAlign w:val="bottom"/>
          </w:tcPr>
          <w:p w:rsidR="00F233AB" w:rsidRPr="004E5D4F" w:rsidRDefault="00F233AB" w:rsidP="004E5D4F">
            <w:pPr>
              <w:suppressAutoHyphens w:val="0"/>
              <w:spacing w:before="40" w:after="40" w:line="220" w:lineRule="exact"/>
              <w:ind w:right="113"/>
              <w:jc w:val="right"/>
              <w:rPr>
                <w:sz w:val="18"/>
              </w:rPr>
            </w:pPr>
            <w:r w:rsidRPr="004E5D4F">
              <w:rPr>
                <w:sz w:val="18"/>
              </w:rPr>
              <w:t>1</w:t>
            </w:r>
            <w:r w:rsidR="009E0CB7">
              <w:rPr>
                <w:sz w:val="18"/>
              </w:rPr>
              <w:t xml:space="preserve"> </w:t>
            </w:r>
            <w:r w:rsidRPr="004E5D4F">
              <w:rPr>
                <w:sz w:val="18"/>
              </w:rPr>
              <w:t>157</w:t>
            </w:r>
            <w:r w:rsidR="00871D91">
              <w:rPr>
                <w:sz w:val="18"/>
              </w:rPr>
              <w:t>.</w:t>
            </w:r>
            <w:r w:rsidRPr="004E5D4F">
              <w:rPr>
                <w:sz w:val="18"/>
              </w:rPr>
              <w:t>1</w:t>
            </w:r>
          </w:p>
        </w:tc>
      </w:tr>
      <w:tr w:rsidR="004E5D4F" w:rsidRPr="004E5D4F" w:rsidTr="004E5D4F">
        <w:tc>
          <w:tcPr>
            <w:tcW w:w="826" w:type="dxa"/>
            <w:vMerge/>
            <w:tcBorders>
              <w:top w:val="single" w:sz="12" w:space="0" w:color="auto"/>
              <w:bottom w:val="nil"/>
            </w:tcBorders>
            <w:shd w:val="clear" w:color="auto" w:fill="auto"/>
            <w:hideMark/>
          </w:tcPr>
          <w:p w:rsidR="00F233AB" w:rsidRPr="004E5D4F" w:rsidRDefault="00F233AB" w:rsidP="004E5D4F">
            <w:pPr>
              <w:suppressAutoHyphens w:val="0"/>
              <w:spacing w:before="40" w:after="40" w:line="220" w:lineRule="exact"/>
              <w:ind w:right="113"/>
              <w:rPr>
                <w:sz w:val="18"/>
              </w:rPr>
            </w:pPr>
          </w:p>
        </w:tc>
        <w:tc>
          <w:tcPr>
            <w:tcW w:w="727" w:type="dxa"/>
            <w:vMerge/>
            <w:shd w:val="clear" w:color="auto" w:fill="auto"/>
            <w:vAlign w:val="center"/>
            <w:hideMark/>
          </w:tcPr>
          <w:p w:rsidR="00F233AB" w:rsidRPr="004E5D4F" w:rsidRDefault="00F233AB" w:rsidP="004E5D4F">
            <w:pPr>
              <w:suppressAutoHyphens w:val="0"/>
              <w:spacing w:before="40" w:after="40" w:line="220" w:lineRule="exact"/>
              <w:ind w:right="113"/>
              <w:rPr>
                <w:sz w:val="18"/>
              </w:rPr>
            </w:pPr>
          </w:p>
        </w:tc>
        <w:tc>
          <w:tcPr>
            <w:tcW w:w="1164" w:type="dxa"/>
            <w:shd w:val="clear" w:color="auto" w:fill="auto"/>
            <w:noWrap/>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w:t>
            </w:r>
          </w:p>
        </w:tc>
        <w:tc>
          <w:tcPr>
            <w:tcW w:w="984"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21</w:t>
            </w:r>
            <w:r w:rsidR="00871D91">
              <w:rPr>
                <w:sz w:val="18"/>
              </w:rPr>
              <w:t>.</w:t>
            </w:r>
            <w:r w:rsidRPr="004E5D4F">
              <w:rPr>
                <w:sz w:val="18"/>
              </w:rPr>
              <w:t>9</w:t>
            </w:r>
          </w:p>
        </w:tc>
        <w:tc>
          <w:tcPr>
            <w:tcW w:w="800"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23</w:t>
            </w:r>
            <w:r w:rsidR="00871D91">
              <w:rPr>
                <w:sz w:val="18"/>
              </w:rPr>
              <w:t>.</w:t>
            </w:r>
            <w:r w:rsidRPr="004E5D4F">
              <w:rPr>
                <w:sz w:val="18"/>
              </w:rPr>
              <w:t>6</w:t>
            </w:r>
          </w:p>
        </w:tc>
        <w:tc>
          <w:tcPr>
            <w:tcW w:w="800"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23</w:t>
            </w:r>
            <w:r w:rsidR="00871D91">
              <w:rPr>
                <w:sz w:val="18"/>
              </w:rPr>
              <w:t>.</w:t>
            </w:r>
            <w:r w:rsidRPr="004E5D4F">
              <w:rPr>
                <w:sz w:val="18"/>
              </w:rPr>
              <w:t>8</w:t>
            </w:r>
          </w:p>
        </w:tc>
        <w:tc>
          <w:tcPr>
            <w:tcW w:w="673"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22</w:t>
            </w:r>
            <w:r w:rsidR="00871D91">
              <w:rPr>
                <w:sz w:val="18"/>
              </w:rPr>
              <w:t>.</w:t>
            </w:r>
            <w:r w:rsidRPr="004E5D4F">
              <w:rPr>
                <w:sz w:val="18"/>
              </w:rPr>
              <w:t>0</w:t>
            </w:r>
          </w:p>
        </w:tc>
        <w:tc>
          <w:tcPr>
            <w:tcW w:w="673" w:type="dxa"/>
            <w:shd w:val="clear" w:color="auto" w:fill="auto"/>
            <w:vAlign w:val="bottom"/>
          </w:tcPr>
          <w:p w:rsidR="00F233AB" w:rsidRPr="004E5D4F" w:rsidRDefault="00F233AB" w:rsidP="004E5D4F">
            <w:pPr>
              <w:suppressAutoHyphens w:val="0"/>
              <w:spacing w:before="40" w:after="40" w:line="220" w:lineRule="exact"/>
              <w:ind w:right="113"/>
              <w:jc w:val="right"/>
              <w:rPr>
                <w:sz w:val="18"/>
              </w:rPr>
            </w:pPr>
            <w:r w:rsidRPr="004E5D4F">
              <w:rPr>
                <w:sz w:val="18"/>
              </w:rPr>
              <w:t>21</w:t>
            </w:r>
            <w:r w:rsidR="00871D91">
              <w:rPr>
                <w:sz w:val="18"/>
              </w:rPr>
              <w:t>.</w:t>
            </w:r>
            <w:r w:rsidRPr="004E5D4F">
              <w:rPr>
                <w:sz w:val="18"/>
              </w:rPr>
              <w:t>2</w:t>
            </w:r>
          </w:p>
        </w:tc>
        <w:tc>
          <w:tcPr>
            <w:tcW w:w="723" w:type="dxa"/>
            <w:shd w:val="clear" w:color="auto" w:fill="auto"/>
            <w:vAlign w:val="bottom"/>
          </w:tcPr>
          <w:p w:rsidR="00F233AB" w:rsidRPr="004E5D4F" w:rsidRDefault="00F233AB" w:rsidP="004E5D4F">
            <w:pPr>
              <w:suppressAutoHyphens w:val="0"/>
              <w:spacing w:before="40" w:after="40" w:line="220" w:lineRule="exact"/>
              <w:ind w:right="113"/>
              <w:jc w:val="right"/>
              <w:rPr>
                <w:sz w:val="18"/>
              </w:rPr>
            </w:pPr>
            <w:r w:rsidRPr="004E5D4F">
              <w:rPr>
                <w:sz w:val="18"/>
              </w:rPr>
              <w:t>21</w:t>
            </w:r>
            <w:r w:rsidR="00871D91">
              <w:rPr>
                <w:sz w:val="18"/>
              </w:rPr>
              <w:t>.</w:t>
            </w:r>
            <w:r w:rsidRPr="004E5D4F">
              <w:rPr>
                <w:sz w:val="18"/>
              </w:rPr>
              <w:t>2</w:t>
            </w:r>
          </w:p>
        </w:tc>
      </w:tr>
      <w:tr w:rsidR="004E5D4F" w:rsidRPr="004E5D4F" w:rsidTr="00D07676">
        <w:tc>
          <w:tcPr>
            <w:tcW w:w="826" w:type="dxa"/>
            <w:vMerge w:val="restart"/>
            <w:tcBorders>
              <w:top w:val="nil"/>
            </w:tcBorders>
            <w:shd w:val="clear" w:color="auto" w:fill="auto"/>
            <w:noWrap/>
            <w:vAlign w:val="center"/>
            <w:hideMark/>
          </w:tcPr>
          <w:p w:rsidR="00F233AB" w:rsidRPr="004E5D4F" w:rsidRDefault="00F233AB" w:rsidP="004E5D4F">
            <w:pPr>
              <w:suppressAutoHyphens w:val="0"/>
              <w:spacing w:before="40" w:after="40" w:line="220" w:lineRule="exact"/>
              <w:ind w:right="113"/>
              <w:rPr>
                <w:sz w:val="18"/>
              </w:rPr>
            </w:pPr>
            <w:r w:rsidRPr="004E5D4F">
              <w:rPr>
                <w:sz w:val="18"/>
              </w:rPr>
              <w:t>18</w:t>
            </w:r>
            <w:r w:rsidR="00A6566E">
              <w:rPr>
                <w:sz w:val="18"/>
              </w:rPr>
              <w:t>–</w:t>
            </w:r>
            <w:r w:rsidRPr="004E5D4F">
              <w:rPr>
                <w:sz w:val="18"/>
              </w:rPr>
              <w:t>64</w:t>
            </w:r>
          </w:p>
        </w:tc>
        <w:tc>
          <w:tcPr>
            <w:tcW w:w="727" w:type="dxa"/>
            <w:vMerge w:val="restart"/>
            <w:shd w:val="clear" w:color="auto" w:fill="auto"/>
            <w:vAlign w:val="center"/>
            <w:hideMark/>
          </w:tcPr>
          <w:p w:rsidR="00F233AB" w:rsidRPr="004E5D4F" w:rsidRDefault="00F233AB" w:rsidP="004E5D4F">
            <w:pPr>
              <w:suppressAutoHyphens w:val="0"/>
              <w:spacing w:before="40" w:after="40" w:line="220" w:lineRule="exact"/>
              <w:ind w:right="113"/>
              <w:rPr>
                <w:sz w:val="18"/>
              </w:rPr>
            </w:pPr>
            <w:r w:rsidRPr="004E5D4F">
              <w:rPr>
                <w:sz w:val="18"/>
              </w:rPr>
              <w:t>Total</w:t>
            </w:r>
          </w:p>
        </w:tc>
        <w:tc>
          <w:tcPr>
            <w:tcW w:w="1164" w:type="dxa"/>
            <w:shd w:val="clear" w:color="auto" w:fill="auto"/>
            <w:noWrap/>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1</w:t>
            </w:r>
            <w:r w:rsidR="005B2553">
              <w:rPr>
                <w:sz w:val="18"/>
              </w:rPr>
              <w:t xml:space="preserve"> </w:t>
            </w:r>
            <w:r w:rsidRPr="004E5D4F">
              <w:rPr>
                <w:sz w:val="18"/>
              </w:rPr>
              <w:t>000</w:t>
            </w:r>
            <w:r w:rsidR="005B2A41" w:rsidRPr="004E5D4F">
              <w:rPr>
                <w:sz w:val="18"/>
              </w:rPr>
              <w:t xml:space="preserve"> </w:t>
            </w:r>
            <w:r w:rsidRPr="004E5D4F">
              <w:rPr>
                <w:sz w:val="18"/>
              </w:rPr>
              <w:t>persons</w:t>
            </w:r>
          </w:p>
        </w:tc>
        <w:tc>
          <w:tcPr>
            <w:tcW w:w="984"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1</w:t>
            </w:r>
            <w:r w:rsidR="009E0CB7">
              <w:rPr>
                <w:sz w:val="18"/>
              </w:rPr>
              <w:t xml:space="preserve"> </w:t>
            </w:r>
            <w:r w:rsidRPr="004E5D4F">
              <w:rPr>
                <w:sz w:val="18"/>
              </w:rPr>
              <w:t>391</w:t>
            </w:r>
            <w:r w:rsidR="00871D91">
              <w:rPr>
                <w:sz w:val="18"/>
              </w:rPr>
              <w:t>.</w:t>
            </w:r>
            <w:r w:rsidRPr="004E5D4F">
              <w:rPr>
                <w:sz w:val="18"/>
              </w:rPr>
              <w:t>9</w:t>
            </w:r>
          </w:p>
        </w:tc>
        <w:tc>
          <w:tcPr>
            <w:tcW w:w="800"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1</w:t>
            </w:r>
            <w:r w:rsidR="009E0CB7">
              <w:rPr>
                <w:sz w:val="18"/>
              </w:rPr>
              <w:t xml:space="preserve"> </w:t>
            </w:r>
            <w:r w:rsidRPr="004E5D4F">
              <w:rPr>
                <w:sz w:val="18"/>
              </w:rPr>
              <w:t>647</w:t>
            </w:r>
            <w:r w:rsidR="00871D91">
              <w:rPr>
                <w:sz w:val="18"/>
              </w:rPr>
              <w:t>.</w:t>
            </w:r>
            <w:r w:rsidRPr="004E5D4F">
              <w:rPr>
                <w:sz w:val="18"/>
              </w:rPr>
              <w:t>3</w:t>
            </w:r>
          </w:p>
        </w:tc>
        <w:tc>
          <w:tcPr>
            <w:tcW w:w="800"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1</w:t>
            </w:r>
            <w:r w:rsidR="009E0CB7">
              <w:rPr>
                <w:sz w:val="18"/>
              </w:rPr>
              <w:t xml:space="preserve"> </w:t>
            </w:r>
            <w:r w:rsidRPr="004E5D4F">
              <w:rPr>
                <w:sz w:val="18"/>
              </w:rPr>
              <w:t>644</w:t>
            </w:r>
            <w:r w:rsidR="00871D91">
              <w:rPr>
                <w:sz w:val="18"/>
              </w:rPr>
              <w:t>.</w:t>
            </w:r>
            <w:r w:rsidRPr="004E5D4F">
              <w:rPr>
                <w:sz w:val="18"/>
              </w:rPr>
              <w:t>5</w:t>
            </w:r>
          </w:p>
        </w:tc>
        <w:tc>
          <w:tcPr>
            <w:tcW w:w="673"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1</w:t>
            </w:r>
            <w:r w:rsidR="009E0CB7">
              <w:rPr>
                <w:sz w:val="18"/>
              </w:rPr>
              <w:t xml:space="preserve"> </w:t>
            </w:r>
            <w:r w:rsidRPr="004E5D4F">
              <w:rPr>
                <w:sz w:val="18"/>
              </w:rPr>
              <w:t>577</w:t>
            </w:r>
            <w:r w:rsidR="00871D91">
              <w:rPr>
                <w:sz w:val="18"/>
              </w:rPr>
              <w:t>.</w:t>
            </w:r>
            <w:r w:rsidRPr="004E5D4F">
              <w:rPr>
                <w:sz w:val="18"/>
              </w:rPr>
              <w:t>6</w:t>
            </w:r>
          </w:p>
        </w:tc>
        <w:tc>
          <w:tcPr>
            <w:tcW w:w="673" w:type="dxa"/>
            <w:shd w:val="clear" w:color="auto" w:fill="auto"/>
            <w:vAlign w:val="bottom"/>
          </w:tcPr>
          <w:p w:rsidR="00F233AB" w:rsidRPr="004E5D4F" w:rsidRDefault="00F233AB" w:rsidP="004E5D4F">
            <w:pPr>
              <w:suppressAutoHyphens w:val="0"/>
              <w:spacing w:before="40" w:after="40" w:line="220" w:lineRule="exact"/>
              <w:ind w:right="113"/>
              <w:jc w:val="right"/>
              <w:rPr>
                <w:sz w:val="18"/>
              </w:rPr>
            </w:pPr>
            <w:r w:rsidRPr="004E5D4F">
              <w:rPr>
                <w:sz w:val="18"/>
              </w:rPr>
              <w:t>1</w:t>
            </w:r>
            <w:r w:rsidR="009E0CB7">
              <w:rPr>
                <w:sz w:val="18"/>
              </w:rPr>
              <w:t xml:space="preserve"> </w:t>
            </w:r>
            <w:r w:rsidRPr="004E5D4F">
              <w:rPr>
                <w:sz w:val="18"/>
              </w:rPr>
              <w:t>487</w:t>
            </w:r>
            <w:r w:rsidR="00871D91">
              <w:rPr>
                <w:sz w:val="18"/>
              </w:rPr>
              <w:t>.</w:t>
            </w:r>
            <w:r w:rsidRPr="004E5D4F">
              <w:rPr>
                <w:sz w:val="18"/>
              </w:rPr>
              <w:t>4</w:t>
            </w:r>
          </w:p>
        </w:tc>
        <w:tc>
          <w:tcPr>
            <w:tcW w:w="723" w:type="dxa"/>
            <w:shd w:val="clear" w:color="auto" w:fill="auto"/>
            <w:vAlign w:val="bottom"/>
          </w:tcPr>
          <w:p w:rsidR="00F233AB" w:rsidRPr="004E5D4F" w:rsidRDefault="00F233AB" w:rsidP="004E5D4F">
            <w:pPr>
              <w:suppressAutoHyphens w:val="0"/>
              <w:spacing w:before="40" w:after="40" w:line="220" w:lineRule="exact"/>
              <w:ind w:right="113"/>
              <w:jc w:val="right"/>
              <w:rPr>
                <w:sz w:val="18"/>
              </w:rPr>
            </w:pPr>
            <w:r w:rsidRPr="004E5D4F">
              <w:rPr>
                <w:sz w:val="18"/>
              </w:rPr>
              <w:t>1</w:t>
            </w:r>
            <w:r w:rsidR="009E0CB7">
              <w:rPr>
                <w:sz w:val="18"/>
              </w:rPr>
              <w:t xml:space="preserve"> </w:t>
            </w:r>
            <w:r w:rsidRPr="004E5D4F">
              <w:rPr>
                <w:sz w:val="18"/>
              </w:rPr>
              <w:t>487</w:t>
            </w:r>
            <w:r w:rsidR="00871D91">
              <w:rPr>
                <w:sz w:val="18"/>
              </w:rPr>
              <w:t>.</w:t>
            </w:r>
            <w:r w:rsidRPr="004E5D4F">
              <w:rPr>
                <w:sz w:val="18"/>
              </w:rPr>
              <w:t>5</w:t>
            </w:r>
          </w:p>
        </w:tc>
      </w:tr>
      <w:tr w:rsidR="004E5D4F" w:rsidRPr="004E5D4F" w:rsidTr="00D07676">
        <w:tc>
          <w:tcPr>
            <w:tcW w:w="826" w:type="dxa"/>
            <w:vMerge/>
            <w:shd w:val="clear" w:color="auto" w:fill="auto"/>
            <w:vAlign w:val="center"/>
            <w:hideMark/>
          </w:tcPr>
          <w:p w:rsidR="00F233AB" w:rsidRPr="004E5D4F" w:rsidRDefault="00F233AB" w:rsidP="004E5D4F">
            <w:pPr>
              <w:suppressAutoHyphens w:val="0"/>
              <w:spacing w:before="40" w:after="40" w:line="220" w:lineRule="exact"/>
              <w:ind w:right="113"/>
              <w:rPr>
                <w:sz w:val="18"/>
              </w:rPr>
            </w:pPr>
          </w:p>
        </w:tc>
        <w:tc>
          <w:tcPr>
            <w:tcW w:w="727" w:type="dxa"/>
            <w:vMerge/>
            <w:shd w:val="clear" w:color="auto" w:fill="auto"/>
            <w:vAlign w:val="center"/>
            <w:hideMark/>
          </w:tcPr>
          <w:p w:rsidR="00F233AB" w:rsidRPr="004E5D4F" w:rsidRDefault="00F233AB" w:rsidP="004E5D4F">
            <w:pPr>
              <w:suppressAutoHyphens w:val="0"/>
              <w:spacing w:before="40" w:after="40" w:line="220" w:lineRule="exact"/>
              <w:ind w:right="113"/>
              <w:rPr>
                <w:sz w:val="18"/>
              </w:rPr>
            </w:pPr>
          </w:p>
        </w:tc>
        <w:tc>
          <w:tcPr>
            <w:tcW w:w="1164" w:type="dxa"/>
            <w:shd w:val="clear" w:color="auto" w:fill="auto"/>
            <w:noWrap/>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w:t>
            </w:r>
          </w:p>
        </w:tc>
        <w:tc>
          <w:tcPr>
            <w:tcW w:w="984"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20</w:t>
            </w:r>
            <w:r w:rsidR="00871D91">
              <w:rPr>
                <w:sz w:val="18"/>
              </w:rPr>
              <w:t>.</w:t>
            </w:r>
            <w:r w:rsidRPr="004E5D4F">
              <w:rPr>
                <w:sz w:val="18"/>
              </w:rPr>
              <w:t>0</w:t>
            </w:r>
          </w:p>
        </w:tc>
        <w:tc>
          <w:tcPr>
            <w:tcW w:w="800"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23</w:t>
            </w:r>
            <w:r w:rsidR="00871D91">
              <w:rPr>
                <w:sz w:val="18"/>
              </w:rPr>
              <w:t>.</w:t>
            </w:r>
            <w:r w:rsidRPr="004E5D4F">
              <w:rPr>
                <w:sz w:val="18"/>
              </w:rPr>
              <w:t>8</w:t>
            </w:r>
          </w:p>
        </w:tc>
        <w:tc>
          <w:tcPr>
            <w:tcW w:w="800"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24</w:t>
            </w:r>
            <w:r w:rsidR="00871D91">
              <w:rPr>
                <w:sz w:val="18"/>
              </w:rPr>
              <w:t>.</w:t>
            </w:r>
            <w:r w:rsidRPr="004E5D4F">
              <w:rPr>
                <w:sz w:val="18"/>
              </w:rPr>
              <w:t>1</w:t>
            </w:r>
          </w:p>
        </w:tc>
        <w:tc>
          <w:tcPr>
            <w:tcW w:w="673"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23</w:t>
            </w:r>
            <w:r w:rsidR="00871D91">
              <w:rPr>
                <w:sz w:val="18"/>
              </w:rPr>
              <w:t>.</w:t>
            </w:r>
            <w:r w:rsidRPr="004E5D4F">
              <w:rPr>
                <w:sz w:val="18"/>
              </w:rPr>
              <w:t>5</w:t>
            </w:r>
          </w:p>
        </w:tc>
        <w:tc>
          <w:tcPr>
            <w:tcW w:w="673" w:type="dxa"/>
            <w:shd w:val="clear" w:color="auto" w:fill="auto"/>
            <w:vAlign w:val="bottom"/>
          </w:tcPr>
          <w:p w:rsidR="00F233AB" w:rsidRPr="004E5D4F" w:rsidRDefault="00F233AB" w:rsidP="004E5D4F">
            <w:pPr>
              <w:suppressAutoHyphens w:val="0"/>
              <w:spacing w:before="40" w:after="40" w:line="220" w:lineRule="exact"/>
              <w:ind w:right="113"/>
              <w:jc w:val="right"/>
              <w:rPr>
                <w:sz w:val="18"/>
              </w:rPr>
            </w:pPr>
            <w:r w:rsidRPr="004E5D4F">
              <w:rPr>
                <w:sz w:val="18"/>
              </w:rPr>
              <w:t>22</w:t>
            </w:r>
            <w:r w:rsidR="00871D91">
              <w:rPr>
                <w:sz w:val="18"/>
              </w:rPr>
              <w:t>.</w:t>
            </w:r>
            <w:r w:rsidRPr="004E5D4F">
              <w:rPr>
                <w:sz w:val="18"/>
              </w:rPr>
              <w:t>5</w:t>
            </w:r>
          </w:p>
        </w:tc>
        <w:tc>
          <w:tcPr>
            <w:tcW w:w="723" w:type="dxa"/>
            <w:shd w:val="clear" w:color="auto" w:fill="auto"/>
            <w:vAlign w:val="bottom"/>
          </w:tcPr>
          <w:p w:rsidR="00F233AB" w:rsidRPr="004E5D4F" w:rsidRDefault="00F233AB" w:rsidP="004E5D4F">
            <w:pPr>
              <w:suppressAutoHyphens w:val="0"/>
              <w:spacing w:before="40" w:after="40" w:line="220" w:lineRule="exact"/>
              <w:ind w:right="113"/>
              <w:jc w:val="right"/>
              <w:rPr>
                <w:sz w:val="18"/>
              </w:rPr>
            </w:pPr>
            <w:r w:rsidRPr="004E5D4F">
              <w:rPr>
                <w:sz w:val="18"/>
              </w:rPr>
              <w:t>22</w:t>
            </w:r>
            <w:r w:rsidR="00871D91">
              <w:rPr>
                <w:sz w:val="18"/>
              </w:rPr>
              <w:t>.</w:t>
            </w:r>
            <w:r w:rsidRPr="004E5D4F">
              <w:rPr>
                <w:sz w:val="18"/>
              </w:rPr>
              <w:t>7</w:t>
            </w:r>
          </w:p>
        </w:tc>
      </w:tr>
      <w:tr w:rsidR="004E5D4F" w:rsidRPr="004E5D4F" w:rsidTr="00D07676">
        <w:tc>
          <w:tcPr>
            <w:tcW w:w="826" w:type="dxa"/>
            <w:vMerge/>
            <w:shd w:val="clear" w:color="auto" w:fill="auto"/>
            <w:vAlign w:val="center"/>
            <w:hideMark/>
          </w:tcPr>
          <w:p w:rsidR="00F233AB" w:rsidRPr="004E5D4F" w:rsidRDefault="00F233AB" w:rsidP="004E5D4F">
            <w:pPr>
              <w:suppressAutoHyphens w:val="0"/>
              <w:spacing w:before="40" w:after="40" w:line="220" w:lineRule="exact"/>
              <w:ind w:right="113"/>
              <w:rPr>
                <w:sz w:val="18"/>
              </w:rPr>
            </w:pPr>
          </w:p>
        </w:tc>
        <w:tc>
          <w:tcPr>
            <w:tcW w:w="727" w:type="dxa"/>
            <w:vMerge w:val="restart"/>
            <w:shd w:val="clear" w:color="auto" w:fill="auto"/>
            <w:vAlign w:val="center"/>
            <w:hideMark/>
          </w:tcPr>
          <w:p w:rsidR="00F233AB" w:rsidRPr="004E5D4F" w:rsidRDefault="00F233AB" w:rsidP="004E5D4F">
            <w:pPr>
              <w:suppressAutoHyphens w:val="0"/>
              <w:spacing w:before="40" w:after="40" w:line="220" w:lineRule="exact"/>
              <w:ind w:right="113"/>
              <w:rPr>
                <w:sz w:val="18"/>
              </w:rPr>
            </w:pPr>
            <w:r w:rsidRPr="004E5D4F">
              <w:rPr>
                <w:sz w:val="18"/>
              </w:rPr>
              <w:t>Males</w:t>
            </w:r>
          </w:p>
        </w:tc>
        <w:tc>
          <w:tcPr>
            <w:tcW w:w="1164" w:type="dxa"/>
            <w:shd w:val="clear" w:color="auto" w:fill="auto"/>
            <w:noWrap/>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1</w:t>
            </w:r>
            <w:r w:rsidR="005B2553">
              <w:rPr>
                <w:sz w:val="18"/>
              </w:rPr>
              <w:t xml:space="preserve"> </w:t>
            </w:r>
            <w:r w:rsidRPr="004E5D4F">
              <w:rPr>
                <w:sz w:val="18"/>
              </w:rPr>
              <w:t>000</w:t>
            </w:r>
            <w:r w:rsidR="005B2A41" w:rsidRPr="004E5D4F">
              <w:rPr>
                <w:sz w:val="18"/>
              </w:rPr>
              <w:t xml:space="preserve"> </w:t>
            </w:r>
            <w:r w:rsidRPr="004E5D4F">
              <w:rPr>
                <w:sz w:val="18"/>
              </w:rPr>
              <w:t>persons</w:t>
            </w:r>
          </w:p>
        </w:tc>
        <w:tc>
          <w:tcPr>
            <w:tcW w:w="984"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692</w:t>
            </w:r>
            <w:r w:rsidR="00871D91">
              <w:rPr>
                <w:sz w:val="18"/>
              </w:rPr>
              <w:t>.</w:t>
            </w:r>
            <w:r w:rsidRPr="004E5D4F">
              <w:rPr>
                <w:sz w:val="18"/>
              </w:rPr>
              <w:t>3</w:t>
            </w:r>
          </w:p>
        </w:tc>
        <w:tc>
          <w:tcPr>
            <w:tcW w:w="800"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808</w:t>
            </w:r>
            <w:r w:rsidR="00871D91">
              <w:rPr>
                <w:sz w:val="18"/>
              </w:rPr>
              <w:t>.</w:t>
            </w:r>
            <w:r w:rsidRPr="004E5D4F">
              <w:rPr>
                <w:sz w:val="18"/>
              </w:rPr>
              <w:t>1</w:t>
            </w:r>
          </w:p>
        </w:tc>
        <w:tc>
          <w:tcPr>
            <w:tcW w:w="800"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796</w:t>
            </w:r>
            <w:r w:rsidR="00871D91">
              <w:rPr>
                <w:sz w:val="18"/>
              </w:rPr>
              <w:t>.</w:t>
            </w:r>
            <w:r w:rsidRPr="004E5D4F">
              <w:rPr>
                <w:sz w:val="18"/>
              </w:rPr>
              <w:t>9</w:t>
            </w:r>
          </w:p>
        </w:tc>
        <w:tc>
          <w:tcPr>
            <w:tcW w:w="673"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778</w:t>
            </w:r>
            <w:r w:rsidR="00871D91">
              <w:rPr>
                <w:sz w:val="18"/>
              </w:rPr>
              <w:t>.</w:t>
            </w:r>
            <w:r w:rsidRPr="004E5D4F">
              <w:rPr>
                <w:sz w:val="18"/>
              </w:rPr>
              <w:t>4</w:t>
            </w:r>
          </w:p>
        </w:tc>
        <w:tc>
          <w:tcPr>
            <w:tcW w:w="673" w:type="dxa"/>
            <w:shd w:val="clear" w:color="auto" w:fill="auto"/>
            <w:vAlign w:val="bottom"/>
          </w:tcPr>
          <w:p w:rsidR="00F233AB" w:rsidRPr="004E5D4F" w:rsidRDefault="00F233AB" w:rsidP="004E5D4F">
            <w:pPr>
              <w:suppressAutoHyphens w:val="0"/>
              <w:spacing w:before="40" w:after="40" w:line="220" w:lineRule="exact"/>
              <w:ind w:right="113"/>
              <w:jc w:val="right"/>
              <w:rPr>
                <w:sz w:val="18"/>
              </w:rPr>
            </w:pPr>
            <w:r w:rsidRPr="004E5D4F">
              <w:rPr>
                <w:sz w:val="18"/>
              </w:rPr>
              <w:t>7</w:t>
            </w:r>
            <w:r w:rsidR="009E0CB7">
              <w:rPr>
                <w:sz w:val="18"/>
              </w:rPr>
              <w:t xml:space="preserve"> </w:t>
            </w:r>
            <w:r w:rsidRPr="004E5D4F">
              <w:rPr>
                <w:sz w:val="18"/>
              </w:rPr>
              <w:t>474</w:t>
            </w:r>
            <w:r w:rsidR="00871D91">
              <w:rPr>
                <w:sz w:val="18"/>
              </w:rPr>
              <w:t>.</w:t>
            </w:r>
            <w:r w:rsidRPr="004E5D4F">
              <w:rPr>
                <w:sz w:val="18"/>
              </w:rPr>
              <w:t>0</w:t>
            </w:r>
          </w:p>
        </w:tc>
        <w:tc>
          <w:tcPr>
            <w:tcW w:w="723" w:type="dxa"/>
            <w:shd w:val="clear" w:color="auto" w:fill="auto"/>
            <w:vAlign w:val="bottom"/>
          </w:tcPr>
          <w:p w:rsidR="00F233AB" w:rsidRPr="004E5D4F" w:rsidRDefault="00F233AB" w:rsidP="004E5D4F">
            <w:pPr>
              <w:suppressAutoHyphens w:val="0"/>
              <w:spacing w:before="40" w:after="40" w:line="220" w:lineRule="exact"/>
              <w:ind w:right="113"/>
              <w:jc w:val="right"/>
              <w:rPr>
                <w:sz w:val="18"/>
              </w:rPr>
            </w:pPr>
            <w:r w:rsidRPr="004E5D4F">
              <w:rPr>
                <w:sz w:val="18"/>
              </w:rPr>
              <w:t>734</w:t>
            </w:r>
            <w:r w:rsidR="00871D91">
              <w:rPr>
                <w:sz w:val="18"/>
              </w:rPr>
              <w:t>.</w:t>
            </w:r>
            <w:r w:rsidRPr="004E5D4F">
              <w:rPr>
                <w:sz w:val="18"/>
              </w:rPr>
              <w:t>4</w:t>
            </w:r>
          </w:p>
        </w:tc>
      </w:tr>
      <w:tr w:rsidR="004E5D4F" w:rsidRPr="004E5D4F" w:rsidTr="00D07676">
        <w:tc>
          <w:tcPr>
            <w:tcW w:w="826" w:type="dxa"/>
            <w:vMerge/>
            <w:shd w:val="clear" w:color="auto" w:fill="auto"/>
            <w:vAlign w:val="center"/>
            <w:hideMark/>
          </w:tcPr>
          <w:p w:rsidR="00F233AB" w:rsidRPr="004E5D4F" w:rsidRDefault="00F233AB" w:rsidP="004E5D4F">
            <w:pPr>
              <w:suppressAutoHyphens w:val="0"/>
              <w:spacing w:before="40" w:after="40" w:line="220" w:lineRule="exact"/>
              <w:ind w:right="113"/>
              <w:rPr>
                <w:sz w:val="18"/>
              </w:rPr>
            </w:pPr>
          </w:p>
        </w:tc>
        <w:tc>
          <w:tcPr>
            <w:tcW w:w="727" w:type="dxa"/>
            <w:vMerge/>
            <w:shd w:val="clear" w:color="auto" w:fill="auto"/>
            <w:vAlign w:val="center"/>
            <w:hideMark/>
          </w:tcPr>
          <w:p w:rsidR="00F233AB" w:rsidRPr="004E5D4F" w:rsidRDefault="00F233AB" w:rsidP="004E5D4F">
            <w:pPr>
              <w:suppressAutoHyphens w:val="0"/>
              <w:spacing w:before="40" w:after="40" w:line="220" w:lineRule="exact"/>
              <w:ind w:right="113"/>
              <w:rPr>
                <w:sz w:val="18"/>
              </w:rPr>
            </w:pPr>
          </w:p>
        </w:tc>
        <w:tc>
          <w:tcPr>
            <w:tcW w:w="1164" w:type="dxa"/>
            <w:shd w:val="clear" w:color="auto" w:fill="auto"/>
            <w:noWrap/>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w:t>
            </w:r>
          </w:p>
        </w:tc>
        <w:tc>
          <w:tcPr>
            <w:tcW w:w="984"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19</w:t>
            </w:r>
            <w:r w:rsidR="00871D91">
              <w:rPr>
                <w:sz w:val="18"/>
              </w:rPr>
              <w:t>.</w:t>
            </w:r>
            <w:r w:rsidRPr="004E5D4F">
              <w:rPr>
                <w:sz w:val="18"/>
              </w:rPr>
              <w:t>9</w:t>
            </w:r>
          </w:p>
        </w:tc>
        <w:tc>
          <w:tcPr>
            <w:tcW w:w="800"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23</w:t>
            </w:r>
            <w:r w:rsidR="00871D91">
              <w:rPr>
                <w:sz w:val="18"/>
              </w:rPr>
              <w:t>.</w:t>
            </w:r>
            <w:r w:rsidRPr="004E5D4F">
              <w:rPr>
                <w:sz w:val="18"/>
              </w:rPr>
              <w:t>4</w:t>
            </w:r>
          </w:p>
        </w:tc>
        <w:tc>
          <w:tcPr>
            <w:tcW w:w="800"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23</w:t>
            </w:r>
            <w:r w:rsidR="00871D91">
              <w:rPr>
                <w:sz w:val="18"/>
              </w:rPr>
              <w:t>.</w:t>
            </w:r>
            <w:r w:rsidRPr="004E5D4F">
              <w:rPr>
                <w:sz w:val="18"/>
              </w:rPr>
              <w:t>4</w:t>
            </w:r>
          </w:p>
        </w:tc>
        <w:tc>
          <w:tcPr>
            <w:tcW w:w="673"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23</w:t>
            </w:r>
            <w:r w:rsidR="00871D91">
              <w:rPr>
                <w:sz w:val="18"/>
              </w:rPr>
              <w:t>.</w:t>
            </w:r>
            <w:r w:rsidRPr="004E5D4F">
              <w:rPr>
                <w:sz w:val="18"/>
              </w:rPr>
              <w:t>4</w:t>
            </w:r>
          </w:p>
        </w:tc>
        <w:tc>
          <w:tcPr>
            <w:tcW w:w="673" w:type="dxa"/>
            <w:shd w:val="clear" w:color="auto" w:fill="auto"/>
            <w:vAlign w:val="bottom"/>
          </w:tcPr>
          <w:p w:rsidR="00F233AB" w:rsidRPr="004E5D4F" w:rsidRDefault="00F233AB" w:rsidP="004E5D4F">
            <w:pPr>
              <w:suppressAutoHyphens w:val="0"/>
              <w:spacing w:before="40" w:after="40" w:line="220" w:lineRule="exact"/>
              <w:ind w:right="113"/>
              <w:jc w:val="right"/>
              <w:rPr>
                <w:sz w:val="18"/>
              </w:rPr>
            </w:pPr>
            <w:r w:rsidRPr="004E5D4F">
              <w:rPr>
                <w:sz w:val="18"/>
              </w:rPr>
              <w:t>22</w:t>
            </w:r>
            <w:r w:rsidR="00871D91">
              <w:rPr>
                <w:sz w:val="18"/>
              </w:rPr>
              <w:t>.</w:t>
            </w:r>
            <w:r w:rsidRPr="004E5D4F">
              <w:rPr>
                <w:sz w:val="18"/>
              </w:rPr>
              <w:t>9</w:t>
            </w:r>
          </w:p>
        </w:tc>
        <w:tc>
          <w:tcPr>
            <w:tcW w:w="723" w:type="dxa"/>
            <w:shd w:val="clear" w:color="auto" w:fill="auto"/>
            <w:vAlign w:val="bottom"/>
          </w:tcPr>
          <w:p w:rsidR="00F233AB" w:rsidRPr="004E5D4F" w:rsidRDefault="00F233AB" w:rsidP="004E5D4F">
            <w:pPr>
              <w:suppressAutoHyphens w:val="0"/>
              <w:spacing w:before="40" w:after="40" w:line="220" w:lineRule="exact"/>
              <w:ind w:right="113"/>
              <w:jc w:val="right"/>
              <w:rPr>
                <w:sz w:val="18"/>
              </w:rPr>
            </w:pPr>
            <w:r w:rsidRPr="004E5D4F">
              <w:rPr>
                <w:sz w:val="18"/>
              </w:rPr>
              <w:t>22</w:t>
            </w:r>
            <w:r w:rsidR="00871D91">
              <w:rPr>
                <w:sz w:val="18"/>
              </w:rPr>
              <w:t>.</w:t>
            </w:r>
            <w:r w:rsidRPr="004E5D4F">
              <w:rPr>
                <w:sz w:val="18"/>
              </w:rPr>
              <w:t>8</w:t>
            </w:r>
          </w:p>
        </w:tc>
      </w:tr>
      <w:tr w:rsidR="004E5D4F" w:rsidRPr="004E5D4F" w:rsidTr="00D07676">
        <w:tc>
          <w:tcPr>
            <w:tcW w:w="826" w:type="dxa"/>
            <w:vMerge/>
            <w:shd w:val="clear" w:color="auto" w:fill="auto"/>
            <w:vAlign w:val="center"/>
            <w:hideMark/>
          </w:tcPr>
          <w:p w:rsidR="00F233AB" w:rsidRPr="004E5D4F" w:rsidRDefault="00F233AB" w:rsidP="004E5D4F">
            <w:pPr>
              <w:suppressAutoHyphens w:val="0"/>
              <w:spacing w:before="40" w:after="40" w:line="220" w:lineRule="exact"/>
              <w:ind w:right="113"/>
              <w:rPr>
                <w:sz w:val="18"/>
              </w:rPr>
            </w:pPr>
          </w:p>
        </w:tc>
        <w:tc>
          <w:tcPr>
            <w:tcW w:w="727" w:type="dxa"/>
            <w:vMerge w:val="restart"/>
            <w:shd w:val="clear" w:color="auto" w:fill="auto"/>
            <w:vAlign w:val="center"/>
            <w:hideMark/>
          </w:tcPr>
          <w:p w:rsidR="00F233AB" w:rsidRPr="004E5D4F" w:rsidRDefault="00F233AB" w:rsidP="004E5D4F">
            <w:pPr>
              <w:suppressAutoHyphens w:val="0"/>
              <w:spacing w:before="40" w:after="40" w:line="220" w:lineRule="exact"/>
              <w:ind w:right="113"/>
              <w:rPr>
                <w:sz w:val="18"/>
              </w:rPr>
            </w:pPr>
            <w:r w:rsidRPr="004E5D4F">
              <w:rPr>
                <w:sz w:val="18"/>
              </w:rPr>
              <w:t>Females</w:t>
            </w:r>
          </w:p>
        </w:tc>
        <w:tc>
          <w:tcPr>
            <w:tcW w:w="1164" w:type="dxa"/>
            <w:shd w:val="clear" w:color="auto" w:fill="auto"/>
            <w:noWrap/>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1</w:t>
            </w:r>
            <w:r w:rsidR="005B2553">
              <w:rPr>
                <w:sz w:val="18"/>
              </w:rPr>
              <w:t xml:space="preserve"> </w:t>
            </w:r>
            <w:r w:rsidRPr="004E5D4F">
              <w:rPr>
                <w:sz w:val="18"/>
              </w:rPr>
              <w:t>000</w:t>
            </w:r>
            <w:r w:rsidR="005B2A41" w:rsidRPr="004E5D4F">
              <w:rPr>
                <w:sz w:val="18"/>
              </w:rPr>
              <w:t xml:space="preserve"> </w:t>
            </w:r>
            <w:r w:rsidRPr="004E5D4F">
              <w:rPr>
                <w:sz w:val="18"/>
              </w:rPr>
              <w:t>persons</w:t>
            </w:r>
          </w:p>
        </w:tc>
        <w:tc>
          <w:tcPr>
            <w:tcW w:w="984"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699</w:t>
            </w:r>
            <w:r w:rsidR="00871D91">
              <w:rPr>
                <w:sz w:val="18"/>
              </w:rPr>
              <w:t>.</w:t>
            </w:r>
            <w:r w:rsidRPr="004E5D4F">
              <w:rPr>
                <w:sz w:val="18"/>
              </w:rPr>
              <w:t>6</w:t>
            </w:r>
          </w:p>
        </w:tc>
        <w:tc>
          <w:tcPr>
            <w:tcW w:w="800"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839</w:t>
            </w:r>
            <w:r w:rsidR="00871D91">
              <w:rPr>
                <w:sz w:val="18"/>
              </w:rPr>
              <w:t>.</w:t>
            </w:r>
            <w:r w:rsidRPr="004E5D4F">
              <w:rPr>
                <w:sz w:val="18"/>
              </w:rPr>
              <w:t>2</w:t>
            </w:r>
          </w:p>
        </w:tc>
        <w:tc>
          <w:tcPr>
            <w:tcW w:w="800"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847</w:t>
            </w:r>
            <w:r w:rsidR="00871D91">
              <w:rPr>
                <w:sz w:val="18"/>
              </w:rPr>
              <w:t>.</w:t>
            </w:r>
            <w:r w:rsidRPr="004E5D4F">
              <w:rPr>
                <w:sz w:val="18"/>
              </w:rPr>
              <w:t>6</w:t>
            </w:r>
          </w:p>
        </w:tc>
        <w:tc>
          <w:tcPr>
            <w:tcW w:w="673"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799</w:t>
            </w:r>
            <w:r w:rsidR="00871D91">
              <w:rPr>
                <w:sz w:val="18"/>
              </w:rPr>
              <w:t>.</w:t>
            </w:r>
            <w:r w:rsidRPr="004E5D4F">
              <w:rPr>
                <w:sz w:val="18"/>
              </w:rPr>
              <w:t>1</w:t>
            </w:r>
          </w:p>
        </w:tc>
        <w:tc>
          <w:tcPr>
            <w:tcW w:w="673" w:type="dxa"/>
            <w:shd w:val="clear" w:color="auto" w:fill="auto"/>
            <w:vAlign w:val="bottom"/>
          </w:tcPr>
          <w:p w:rsidR="00F233AB" w:rsidRPr="004E5D4F" w:rsidRDefault="00F233AB" w:rsidP="004E5D4F">
            <w:pPr>
              <w:suppressAutoHyphens w:val="0"/>
              <w:spacing w:before="40" w:after="40" w:line="220" w:lineRule="exact"/>
              <w:ind w:right="113"/>
              <w:jc w:val="right"/>
              <w:rPr>
                <w:sz w:val="18"/>
              </w:rPr>
            </w:pPr>
            <w:r w:rsidRPr="004E5D4F">
              <w:rPr>
                <w:sz w:val="18"/>
              </w:rPr>
              <w:t>740</w:t>
            </w:r>
            <w:r w:rsidR="00871D91">
              <w:rPr>
                <w:sz w:val="18"/>
              </w:rPr>
              <w:t>.</w:t>
            </w:r>
            <w:r w:rsidRPr="004E5D4F">
              <w:rPr>
                <w:sz w:val="18"/>
              </w:rPr>
              <w:t>0</w:t>
            </w:r>
          </w:p>
        </w:tc>
        <w:tc>
          <w:tcPr>
            <w:tcW w:w="723" w:type="dxa"/>
            <w:shd w:val="clear" w:color="auto" w:fill="auto"/>
            <w:vAlign w:val="bottom"/>
          </w:tcPr>
          <w:p w:rsidR="00F233AB" w:rsidRPr="004E5D4F" w:rsidRDefault="00F233AB" w:rsidP="004E5D4F">
            <w:pPr>
              <w:suppressAutoHyphens w:val="0"/>
              <w:spacing w:before="40" w:after="40" w:line="220" w:lineRule="exact"/>
              <w:ind w:right="113"/>
              <w:jc w:val="right"/>
              <w:rPr>
                <w:sz w:val="18"/>
              </w:rPr>
            </w:pPr>
            <w:r w:rsidRPr="004E5D4F">
              <w:rPr>
                <w:sz w:val="18"/>
              </w:rPr>
              <w:t>752</w:t>
            </w:r>
            <w:r w:rsidR="00871D91">
              <w:rPr>
                <w:sz w:val="18"/>
              </w:rPr>
              <w:t>.</w:t>
            </w:r>
            <w:r w:rsidRPr="004E5D4F">
              <w:rPr>
                <w:sz w:val="18"/>
              </w:rPr>
              <w:t>2</w:t>
            </w:r>
          </w:p>
        </w:tc>
      </w:tr>
      <w:tr w:rsidR="004E5D4F" w:rsidRPr="004E5D4F" w:rsidTr="00D07676">
        <w:tc>
          <w:tcPr>
            <w:tcW w:w="826" w:type="dxa"/>
            <w:vMerge/>
            <w:shd w:val="clear" w:color="auto" w:fill="auto"/>
            <w:vAlign w:val="center"/>
            <w:hideMark/>
          </w:tcPr>
          <w:p w:rsidR="00F233AB" w:rsidRPr="004E5D4F" w:rsidRDefault="00F233AB" w:rsidP="004E5D4F">
            <w:pPr>
              <w:suppressAutoHyphens w:val="0"/>
              <w:spacing w:before="40" w:after="40" w:line="220" w:lineRule="exact"/>
              <w:ind w:right="113"/>
              <w:rPr>
                <w:sz w:val="18"/>
              </w:rPr>
            </w:pPr>
          </w:p>
        </w:tc>
        <w:tc>
          <w:tcPr>
            <w:tcW w:w="727" w:type="dxa"/>
            <w:vMerge/>
            <w:shd w:val="clear" w:color="auto" w:fill="auto"/>
            <w:vAlign w:val="center"/>
            <w:hideMark/>
          </w:tcPr>
          <w:p w:rsidR="00F233AB" w:rsidRPr="004E5D4F" w:rsidRDefault="00F233AB" w:rsidP="004E5D4F">
            <w:pPr>
              <w:suppressAutoHyphens w:val="0"/>
              <w:spacing w:before="40" w:after="40" w:line="220" w:lineRule="exact"/>
              <w:ind w:right="113"/>
              <w:rPr>
                <w:sz w:val="18"/>
              </w:rPr>
            </w:pPr>
          </w:p>
        </w:tc>
        <w:tc>
          <w:tcPr>
            <w:tcW w:w="1164" w:type="dxa"/>
            <w:shd w:val="clear" w:color="auto" w:fill="auto"/>
            <w:noWrap/>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w:t>
            </w:r>
          </w:p>
        </w:tc>
        <w:tc>
          <w:tcPr>
            <w:tcW w:w="984"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20</w:t>
            </w:r>
            <w:r w:rsidR="00871D91">
              <w:rPr>
                <w:sz w:val="18"/>
              </w:rPr>
              <w:t>.</w:t>
            </w:r>
            <w:r w:rsidRPr="004E5D4F">
              <w:rPr>
                <w:sz w:val="18"/>
              </w:rPr>
              <w:t>2</w:t>
            </w:r>
          </w:p>
        </w:tc>
        <w:tc>
          <w:tcPr>
            <w:tcW w:w="800"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24</w:t>
            </w:r>
            <w:r w:rsidR="00871D91">
              <w:rPr>
                <w:sz w:val="18"/>
              </w:rPr>
              <w:t>.</w:t>
            </w:r>
            <w:r w:rsidRPr="004E5D4F">
              <w:rPr>
                <w:sz w:val="18"/>
              </w:rPr>
              <w:t>3</w:t>
            </w:r>
          </w:p>
        </w:tc>
        <w:tc>
          <w:tcPr>
            <w:tcW w:w="800"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24</w:t>
            </w:r>
            <w:r w:rsidR="00871D91">
              <w:rPr>
                <w:sz w:val="18"/>
              </w:rPr>
              <w:t>.</w:t>
            </w:r>
            <w:r w:rsidRPr="004E5D4F">
              <w:rPr>
                <w:sz w:val="18"/>
              </w:rPr>
              <w:t>8</w:t>
            </w:r>
          </w:p>
        </w:tc>
        <w:tc>
          <w:tcPr>
            <w:tcW w:w="673"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23</w:t>
            </w:r>
            <w:r w:rsidR="00871D91">
              <w:rPr>
                <w:sz w:val="18"/>
              </w:rPr>
              <w:t>.</w:t>
            </w:r>
            <w:r w:rsidRPr="004E5D4F">
              <w:rPr>
                <w:sz w:val="18"/>
              </w:rPr>
              <w:t>6</w:t>
            </w:r>
          </w:p>
        </w:tc>
        <w:tc>
          <w:tcPr>
            <w:tcW w:w="673" w:type="dxa"/>
            <w:shd w:val="clear" w:color="auto" w:fill="auto"/>
            <w:vAlign w:val="bottom"/>
          </w:tcPr>
          <w:p w:rsidR="00F233AB" w:rsidRPr="004E5D4F" w:rsidRDefault="00F233AB" w:rsidP="004E5D4F">
            <w:pPr>
              <w:suppressAutoHyphens w:val="0"/>
              <w:spacing w:before="40" w:after="40" w:line="220" w:lineRule="exact"/>
              <w:ind w:right="113"/>
              <w:jc w:val="right"/>
              <w:rPr>
                <w:sz w:val="18"/>
              </w:rPr>
            </w:pPr>
            <w:r w:rsidRPr="004E5D4F">
              <w:rPr>
                <w:sz w:val="18"/>
              </w:rPr>
              <w:t>22</w:t>
            </w:r>
            <w:r w:rsidR="00871D91">
              <w:rPr>
                <w:sz w:val="18"/>
              </w:rPr>
              <w:t>.</w:t>
            </w:r>
            <w:r w:rsidRPr="004E5D4F">
              <w:rPr>
                <w:sz w:val="18"/>
              </w:rPr>
              <w:t>1</w:t>
            </w:r>
          </w:p>
        </w:tc>
        <w:tc>
          <w:tcPr>
            <w:tcW w:w="723" w:type="dxa"/>
            <w:shd w:val="clear" w:color="auto" w:fill="auto"/>
            <w:vAlign w:val="bottom"/>
          </w:tcPr>
          <w:p w:rsidR="00F233AB" w:rsidRPr="004E5D4F" w:rsidRDefault="00F233AB" w:rsidP="004E5D4F">
            <w:pPr>
              <w:suppressAutoHyphens w:val="0"/>
              <w:spacing w:before="40" w:after="40" w:line="220" w:lineRule="exact"/>
              <w:ind w:right="113"/>
              <w:jc w:val="right"/>
              <w:rPr>
                <w:sz w:val="18"/>
              </w:rPr>
            </w:pPr>
            <w:r w:rsidRPr="004E5D4F">
              <w:rPr>
                <w:sz w:val="18"/>
              </w:rPr>
              <w:t>22</w:t>
            </w:r>
            <w:r w:rsidR="00871D91">
              <w:rPr>
                <w:sz w:val="18"/>
              </w:rPr>
              <w:t>.</w:t>
            </w:r>
            <w:r w:rsidRPr="004E5D4F">
              <w:rPr>
                <w:sz w:val="18"/>
              </w:rPr>
              <w:t>7</w:t>
            </w:r>
          </w:p>
        </w:tc>
      </w:tr>
      <w:tr w:rsidR="004E5D4F" w:rsidRPr="004E5D4F" w:rsidTr="00D07676">
        <w:tc>
          <w:tcPr>
            <w:tcW w:w="826" w:type="dxa"/>
            <w:vMerge w:val="restart"/>
            <w:shd w:val="clear" w:color="auto" w:fill="auto"/>
            <w:noWrap/>
            <w:vAlign w:val="center"/>
            <w:hideMark/>
          </w:tcPr>
          <w:p w:rsidR="00F233AB" w:rsidRPr="004E5D4F" w:rsidRDefault="00F233AB" w:rsidP="004E5D4F">
            <w:pPr>
              <w:suppressAutoHyphens w:val="0"/>
              <w:spacing w:before="40" w:after="40" w:line="220" w:lineRule="exact"/>
              <w:ind w:right="113"/>
              <w:rPr>
                <w:sz w:val="18"/>
              </w:rPr>
            </w:pPr>
            <w:r w:rsidRPr="004E5D4F">
              <w:rPr>
                <w:sz w:val="18"/>
              </w:rPr>
              <w:t>65+</w:t>
            </w:r>
          </w:p>
        </w:tc>
        <w:tc>
          <w:tcPr>
            <w:tcW w:w="727" w:type="dxa"/>
            <w:vMerge w:val="restart"/>
            <w:shd w:val="clear" w:color="auto" w:fill="auto"/>
            <w:vAlign w:val="center"/>
            <w:hideMark/>
          </w:tcPr>
          <w:p w:rsidR="00F233AB" w:rsidRPr="004E5D4F" w:rsidRDefault="00F233AB" w:rsidP="004E5D4F">
            <w:pPr>
              <w:suppressAutoHyphens w:val="0"/>
              <w:spacing w:before="40" w:after="40" w:line="220" w:lineRule="exact"/>
              <w:ind w:right="113"/>
              <w:rPr>
                <w:sz w:val="18"/>
              </w:rPr>
            </w:pPr>
            <w:r w:rsidRPr="004E5D4F">
              <w:rPr>
                <w:sz w:val="18"/>
              </w:rPr>
              <w:t>Total</w:t>
            </w:r>
          </w:p>
        </w:tc>
        <w:tc>
          <w:tcPr>
            <w:tcW w:w="1164" w:type="dxa"/>
            <w:shd w:val="clear" w:color="auto" w:fill="auto"/>
            <w:noWrap/>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1</w:t>
            </w:r>
            <w:r w:rsidR="005B2553">
              <w:rPr>
                <w:sz w:val="18"/>
              </w:rPr>
              <w:t xml:space="preserve"> </w:t>
            </w:r>
            <w:r w:rsidRPr="004E5D4F">
              <w:rPr>
                <w:sz w:val="18"/>
              </w:rPr>
              <w:t>000</w:t>
            </w:r>
            <w:r w:rsidR="005B2A41" w:rsidRPr="004E5D4F">
              <w:rPr>
                <w:sz w:val="18"/>
              </w:rPr>
              <w:t xml:space="preserve"> </w:t>
            </w:r>
            <w:r w:rsidRPr="004E5D4F">
              <w:rPr>
                <w:sz w:val="18"/>
              </w:rPr>
              <w:t>persons</w:t>
            </w:r>
          </w:p>
        </w:tc>
        <w:tc>
          <w:tcPr>
            <w:tcW w:w="984"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492</w:t>
            </w:r>
            <w:r w:rsidR="00871D91">
              <w:rPr>
                <w:sz w:val="18"/>
              </w:rPr>
              <w:t>.</w:t>
            </w:r>
            <w:r w:rsidRPr="004E5D4F">
              <w:rPr>
                <w:sz w:val="18"/>
              </w:rPr>
              <w:t>6</w:t>
            </w:r>
          </w:p>
        </w:tc>
        <w:tc>
          <w:tcPr>
            <w:tcW w:w="800"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367</w:t>
            </w:r>
            <w:r w:rsidR="00871D91">
              <w:rPr>
                <w:sz w:val="18"/>
              </w:rPr>
              <w:t>.</w:t>
            </w:r>
            <w:r w:rsidRPr="004E5D4F">
              <w:rPr>
                <w:sz w:val="18"/>
              </w:rPr>
              <w:t>4</w:t>
            </w:r>
          </w:p>
        </w:tc>
        <w:tc>
          <w:tcPr>
            <w:tcW w:w="800"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328</w:t>
            </w:r>
            <w:r w:rsidR="00871D91">
              <w:rPr>
                <w:sz w:val="18"/>
              </w:rPr>
              <w:t>.</w:t>
            </w:r>
            <w:r w:rsidRPr="004E5D4F">
              <w:rPr>
                <w:sz w:val="18"/>
              </w:rPr>
              <w:t>6</w:t>
            </w:r>
          </w:p>
        </w:tc>
        <w:tc>
          <w:tcPr>
            <w:tcW w:w="673"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326</w:t>
            </w:r>
            <w:r w:rsidR="00871D91">
              <w:rPr>
                <w:sz w:val="18"/>
              </w:rPr>
              <w:t>.</w:t>
            </w:r>
            <w:r w:rsidRPr="004E5D4F">
              <w:rPr>
                <w:sz w:val="18"/>
              </w:rPr>
              <w:t>1</w:t>
            </w:r>
          </w:p>
        </w:tc>
        <w:tc>
          <w:tcPr>
            <w:tcW w:w="673" w:type="dxa"/>
            <w:shd w:val="clear" w:color="auto" w:fill="auto"/>
            <w:vAlign w:val="bottom"/>
          </w:tcPr>
          <w:p w:rsidR="00F233AB" w:rsidRPr="004E5D4F" w:rsidRDefault="00F233AB" w:rsidP="004E5D4F">
            <w:pPr>
              <w:suppressAutoHyphens w:val="0"/>
              <w:spacing w:before="40" w:after="40" w:line="220" w:lineRule="exact"/>
              <w:ind w:right="113"/>
              <w:jc w:val="right"/>
              <w:rPr>
                <w:sz w:val="18"/>
              </w:rPr>
            </w:pPr>
            <w:r w:rsidRPr="004E5D4F">
              <w:rPr>
                <w:sz w:val="18"/>
              </w:rPr>
              <w:t>3</w:t>
            </w:r>
            <w:r w:rsidR="009E0CB7">
              <w:rPr>
                <w:sz w:val="18"/>
              </w:rPr>
              <w:t xml:space="preserve"> </w:t>
            </w:r>
            <w:r w:rsidRPr="004E5D4F">
              <w:rPr>
                <w:sz w:val="18"/>
              </w:rPr>
              <w:t>057</w:t>
            </w:r>
            <w:r w:rsidR="00871D91">
              <w:rPr>
                <w:sz w:val="18"/>
              </w:rPr>
              <w:t>.</w:t>
            </w:r>
            <w:r w:rsidRPr="004E5D4F">
              <w:rPr>
                <w:sz w:val="18"/>
              </w:rPr>
              <w:t>0</w:t>
            </w:r>
          </w:p>
        </w:tc>
        <w:tc>
          <w:tcPr>
            <w:tcW w:w="723" w:type="dxa"/>
            <w:shd w:val="clear" w:color="auto" w:fill="auto"/>
            <w:vAlign w:val="bottom"/>
          </w:tcPr>
          <w:p w:rsidR="00F233AB" w:rsidRPr="004E5D4F" w:rsidRDefault="00F233AB" w:rsidP="004E5D4F">
            <w:pPr>
              <w:suppressAutoHyphens w:val="0"/>
              <w:spacing w:before="40" w:after="40" w:line="220" w:lineRule="exact"/>
              <w:ind w:right="113"/>
              <w:jc w:val="right"/>
              <w:rPr>
                <w:sz w:val="18"/>
              </w:rPr>
            </w:pPr>
            <w:r w:rsidRPr="004E5D4F">
              <w:rPr>
                <w:sz w:val="18"/>
              </w:rPr>
              <w:t>278</w:t>
            </w:r>
            <w:r w:rsidR="00871D91">
              <w:rPr>
                <w:sz w:val="18"/>
              </w:rPr>
              <w:t>.</w:t>
            </w:r>
            <w:r w:rsidRPr="004E5D4F">
              <w:rPr>
                <w:sz w:val="18"/>
              </w:rPr>
              <w:t>0</w:t>
            </w:r>
          </w:p>
        </w:tc>
      </w:tr>
      <w:tr w:rsidR="004E5D4F" w:rsidRPr="004E5D4F" w:rsidTr="00D07676">
        <w:tc>
          <w:tcPr>
            <w:tcW w:w="826" w:type="dxa"/>
            <w:vMerge/>
            <w:shd w:val="clear" w:color="auto" w:fill="auto"/>
            <w:vAlign w:val="center"/>
            <w:hideMark/>
          </w:tcPr>
          <w:p w:rsidR="00F233AB" w:rsidRPr="004E5D4F" w:rsidRDefault="00F233AB" w:rsidP="004E5D4F">
            <w:pPr>
              <w:suppressAutoHyphens w:val="0"/>
              <w:spacing w:before="40" w:after="40" w:line="220" w:lineRule="exact"/>
              <w:ind w:right="113"/>
              <w:rPr>
                <w:sz w:val="18"/>
              </w:rPr>
            </w:pPr>
          </w:p>
        </w:tc>
        <w:tc>
          <w:tcPr>
            <w:tcW w:w="727" w:type="dxa"/>
            <w:vMerge/>
            <w:shd w:val="clear" w:color="auto" w:fill="auto"/>
            <w:vAlign w:val="center"/>
            <w:hideMark/>
          </w:tcPr>
          <w:p w:rsidR="00F233AB" w:rsidRPr="004E5D4F" w:rsidRDefault="00F233AB" w:rsidP="004E5D4F">
            <w:pPr>
              <w:suppressAutoHyphens w:val="0"/>
              <w:spacing w:before="40" w:after="40" w:line="220" w:lineRule="exact"/>
              <w:ind w:right="113"/>
              <w:rPr>
                <w:sz w:val="18"/>
              </w:rPr>
            </w:pPr>
          </w:p>
        </w:tc>
        <w:tc>
          <w:tcPr>
            <w:tcW w:w="1164" w:type="dxa"/>
            <w:shd w:val="clear" w:color="auto" w:fill="auto"/>
            <w:noWrap/>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w:t>
            </w:r>
          </w:p>
        </w:tc>
        <w:tc>
          <w:tcPr>
            <w:tcW w:w="984"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23</w:t>
            </w:r>
            <w:r w:rsidR="00871D91">
              <w:rPr>
                <w:sz w:val="18"/>
              </w:rPr>
              <w:t>.</w:t>
            </w:r>
            <w:r w:rsidRPr="004E5D4F">
              <w:rPr>
                <w:sz w:val="18"/>
              </w:rPr>
              <w:t>6</w:t>
            </w:r>
          </w:p>
        </w:tc>
        <w:tc>
          <w:tcPr>
            <w:tcW w:w="800"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17</w:t>
            </w:r>
            <w:r w:rsidR="00871D91">
              <w:rPr>
                <w:sz w:val="18"/>
              </w:rPr>
              <w:t>.</w:t>
            </w:r>
            <w:r w:rsidRPr="004E5D4F">
              <w:rPr>
                <w:sz w:val="18"/>
              </w:rPr>
              <w:t>2</w:t>
            </w:r>
          </w:p>
        </w:tc>
        <w:tc>
          <w:tcPr>
            <w:tcW w:w="800"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15</w:t>
            </w:r>
            <w:r w:rsidR="00871D91">
              <w:rPr>
                <w:sz w:val="18"/>
              </w:rPr>
              <w:t>.</w:t>
            </w:r>
            <w:r w:rsidRPr="004E5D4F">
              <w:rPr>
                <w:sz w:val="18"/>
              </w:rPr>
              <w:t>1</w:t>
            </w:r>
          </w:p>
        </w:tc>
        <w:tc>
          <w:tcPr>
            <w:tcW w:w="673"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14</w:t>
            </w:r>
            <w:r w:rsidR="00871D91">
              <w:rPr>
                <w:sz w:val="18"/>
              </w:rPr>
              <w:t>.</w:t>
            </w:r>
            <w:r w:rsidRPr="004E5D4F">
              <w:rPr>
                <w:sz w:val="18"/>
              </w:rPr>
              <w:t>9</w:t>
            </w:r>
          </w:p>
        </w:tc>
        <w:tc>
          <w:tcPr>
            <w:tcW w:w="673" w:type="dxa"/>
            <w:shd w:val="clear" w:color="auto" w:fill="auto"/>
            <w:vAlign w:val="bottom"/>
          </w:tcPr>
          <w:p w:rsidR="00F233AB" w:rsidRPr="004E5D4F" w:rsidRDefault="00F233AB" w:rsidP="004E5D4F">
            <w:pPr>
              <w:suppressAutoHyphens w:val="0"/>
              <w:spacing w:before="40" w:after="40" w:line="220" w:lineRule="exact"/>
              <w:ind w:right="113"/>
              <w:jc w:val="right"/>
              <w:rPr>
                <w:sz w:val="18"/>
              </w:rPr>
            </w:pPr>
            <w:r w:rsidRPr="004E5D4F">
              <w:rPr>
                <w:sz w:val="18"/>
              </w:rPr>
              <w:t>13</w:t>
            </w:r>
            <w:r w:rsidR="00871D91">
              <w:rPr>
                <w:sz w:val="18"/>
              </w:rPr>
              <w:t>.</w:t>
            </w:r>
            <w:r w:rsidRPr="004E5D4F">
              <w:rPr>
                <w:sz w:val="18"/>
              </w:rPr>
              <w:t>7</w:t>
            </w:r>
          </w:p>
        </w:tc>
        <w:tc>
          <w:tcPr>
            <w:tcW w:w="723" w:type="dxa"/>
            <w:shd w:val="clear" w:color="auto" w:fill="auto"/>
            <w:vAlign w:val="bottom"/>
          </w:tcPr>
          <w:p w:rsidR="00F233AB" w:rsidRPr="004E5D4F" w:rsidRDefault="00F233AB" w:rsidP="004E5D4F">
            <w:pPr>
              <w:suppressAutoHyphens w:val="0"/>
              <w:spacing w:before="40" w:after="40" w:line="220" w:lineRule="exact"/>
              <w:ind w:right="113"/>
              <w:jc w:val="right"/>
              <w:rPr>
                <w:sz w:val="18"/>
              </w:rPr>
            </w:pPr>
            <w:r w:rsidRPr="004E5D4F">
              <w:rPr>
                <w:sz w:val="18"/>
              </w:rPr>
              <w:t>12</w:t>
            </w:r>
            <w:r w:rsidR="00871D91">
              <w:rPr>
                <w:sz w:val="18"/>
              </w:rPr>
              <w:t>.</w:t>
            </w:r>
            <w:r w:rsidRPr="004E5D4F">
              <w:rPr>
                <w:sz w:val="18"/>
              </w:rPr>
              <w:t>4</w:t>
            </w:r>
          </w:p>
        </w:tc>
      </w:tr>
      <w:tr w:rsidR="004E5D4F" w:rsidRPr="004E5D4F" w:rsidTr="00D07676">
        <w:tc>
          <w:tcPr>
            <w:tcW w:w="826" w:type="dxa"/>
            <w:vMerge/>
            <w:shd w:val="clear" w:color="auto" w:fill="auto"/>
            <w:vAlign w:val="center"/>
            <w:hideMark/>
          </w:tcPr>
          <w:p w:rsidR="00F233AB" w:rsidRPr="004E5D4F" w:rsidRDefault="00F233AB" w:rsidP="004E5D4F">
            <w:pPr>
              <w:suppressAutoHyphens w:val="0"/>
              <w:spacing w:before="40" w:after="40" w:line="220" w:lineRule="exact"/>
              <w:ind w:right="113"/>
              <w:rPr>
                <w:sz w:val="18"/>
              </w:rPr>
            </w:pPr>
          </w:p>
        </w:tc>
        <w:tc>
          <w:tcPr>
            <w:tcW w:w="727" w:type="dxa"/>
            <w:vMerge w:val="restart"/>
            <w:shd w:val="clear" w:color="auto" w:fill="auto"/>
            <w:vAlign w:val="center"/>
            <w:hideMark/>
          </w:tcPr>
          <w:p w:rsidR="00F233AB" w:rsidRPr="004E5D4F" w:rsidRDefault="00F233AB" w:rsidP="004E5D4F">
            <w:pPr>
              <w:suppressAutoHyphens w:val="0"/>
              <w:spacing w:before="40" w:after="40" w:line="220" w:lineRule="exact"/>
              <w:ind w:right="113"/>
              <w:rPr>
                <w:sz w:val="18"/>
              </w:rPr>
            </w:pPr>
            <w:r w:rsidRPr="004E5D4F">
              <w:rPr>
                <w:sz w:val="18"/>
              </w:rPr>
              <w:t>Males</w:t>
            </w:r>
          </w:p>
        </w:tc>
        <w:tc>
          <w:tcPr>
            <w:tcW w:w="1164" w:type="dxa"/>
            <w:shd w:val="clear" w:color="auto" w:fill="auto"/>
            <w:noWrap/>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1</w:t>
            </w:r>
            <w:r w:rsidR="005B2553">
              <w:rPr>
                <w:sz w:val="18"/>
              </w:rPr>
              <w:t xml:space="preserve"> </w:t>
            </w:r>
            <w:r w:rsidRPr="004E5D4F">
              <w:rPr>
                <w:sz w:val="18"/>
              </w:rPr>
              <w:t>000</w:t>
            </w:r>
            <w:r w:rsidR="005B2A41" w:rsidRPr="004E5D4F">
              <w:rPr>
                <w:sz w:val="18"/>
              </w:rPr>
              <w:t xml:space="preserve"> </w:t>
            </w:r>
            <w:r w:rsidRPr="004E5D4F">
              <w:rPr>
                <w:sz w:val="18"/>
              </w:rPr>
              <w:t>persons</w:t>
            </w:r>
          </w:p>
        </w:tc>
        <w:tc>
          <w:tcPr>
            <w:tcW w:w="984"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201</w:t>
            </w:r>
            <w:r w:rsidR="00871D91">
              <w:rPr>
                <w:sz w:val="18"/>
              </w:rPr>
              <w:t>.</w:t>
            </w:r>
            <w:r w:rsidRPr="004E5D4F">
              <w:rPr>
                <w:sz w:val="18"/>
              </w:rPr>
              <w:t>7</w:t>
            </w:r>
          </w:p>
        </w:tc>
        <w:tc>
          <w:tcPr>
            <w:tcW w:w="800"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151</w:t>
            </w:r>
            <w:r w:rsidR="00871D91">
              <w:rPr>
                <w:sz w:val="18"/>
              </w:rPr>
              <w:t>.</w:t>
            </w:r>
            <w:r w:rsidRPr="004E5D4F">
              <w:rPr>
                <w:sz w:val="18"/>
              </w:rPr>
              <w:t>5</w:t>
            </w:r>
          </w:p>
        </w:tc>
        <w:tc>
          <w:tcPr>
            <w:tcW w:w="800"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133</w:t>
            </w:r>
            <w:r w:rsidR="00871D91">
              <w:rPr>
                <w:sz w:val="18"/>
              </w:rPr>
              <w:t>.</w:t>
            </w:r>
            <w:r w:rsidRPr="004E5D4F">
              <w:rPr>
                <w:sz w:val="18"/>
              </w:rPr>
              <w:t>6</w:t>
            </w:r>
          </w:p>
        </w:tc>
        <w:tc>
          <w:tcPr>
            <w:tcW w:w="673"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130</w:t>
            </w:r>
            <w:r w:rsidR="00871D91">
              <w:rPr>
                <w:sz w:val="18"/>
              </w:rPr>
              <w:t>.</w:t>
            </w:r>
            <w:r w:rsidRPr="004E5D4F">
              <w:rPr>
                <w:sz w:val="18"/>
              </w:rPr>
              <w:t>0</w:t>
            </w:r>
          </w:p>
        </w:tc>
        <w:tc>
          <w:tcPr>
            <w:tcW w:w="673" w:type="dxa"/>
            <w:shd w:val="clear" w:color="auto" w:fill="auto"/>
            <w:vAlign w:val="bottom"/>
          </w:tcPr>
          <w:p w:rsidR="00F233AB" w:rsidRPr="004E5D4F" w:rsidRDefault="00F233AB" w:rsidP="004E5D4F">
            <w:pPr>
              <w:suppressAutoHyphens w:val="0"/>
              <w:spacing w:before="40" w:after="40" w:line="220" w:lineRule="exact"/>
              <w:ind w:right="113"/>
              <w:jc w:val="right"/>
              <w:rPr>
                <w:sz w:val="18"/>
              </w:rPr>
            </w:pPr>
            <w:r w:rsidRPr="004E5D4F">
              <w:rPr>
                <w:sz w:val="18"/>
              </w:rPr>
              <w:t>1</w:t>
            </w:r>
            <w:r w:rsidR="009E0CB7">
              <w:rPr>
                <w:sz w:val="18"/>
              </w:rPr>
              <w:t xml:space="preserve"> </w:t>
            </w:r>
            <w:r w:rsidRPr="004E5D4F">
              <w:rPr>
                <w:sz w:val="18"/>
              </w:rPr>
              <w:t>178</w:t>
            </w:r>
            <w:r w:rsidR="00871D91">
              <w:rPr>
                <w:sz w:val="18"/>
              </w:rPr>
              <w:t>.</w:t>
            </w:r>
            <w:r w:rsidRPr="004E5D4F">
              <w:rPr>
                <w:sz w:val="18"/>
              </w:rPr>
              <w:t>0</w:t>
            </w:r>
          </w:p>
        </w:tc>
        <w:tc>
          <w:tcPr>
            <w:tcW w:w="723" w:type="dxa"/>
            <w:shd w:val="clear" w:color="auto" w:fill="auto"/>
            <w:vAlign w:val="bottom"/>
          </w:tcPr>
          <w:p w:rsidR="00F233AB" w:rsidRPr="004E5D4F" w:rsidRDefault="00F233AB" w:rsidP="004E5D4F">
            <w:pPr>
              <w:suppressAutoHyphens w:val="0"/>
              <w:spacing w:before="40" w:after="40" w:line="220" w:lineRule="exact"/>
              <w:ind w:right="113"/>
              <w:jc w:val="right"/>
              <w:rPr>
                <w:sz w:val="18"/>
              </w:rPr>
            </w:pPr>
            <w:r w:rsidRPr="004E5D4F">
              <w:rPr>
                <w:sz w:val="18"/>
              </w:rPr>
              <w:t>106</w:t>
            </w:r>
            <w:r w:rsidR="00871D91">
              <w:rPr>
                <w:sz w:val="18"/>
              </w:rPr>
              <w:t>.</w:t>
            </w:r>
            <w:r w:rsidRPr="004E5D4F">
              <w:rPr>
                <w:sz w:val="18"/>
              </w:rPr>
              <w:t>6</w:t>
            </w:r>
          </w:p>
        </w:tc>
      </w:tr>
      <w:tr w:rsidR="004E5D4F" w:rsidRPr="004E5D4F" w:rsidTr="00D07676">
        <w:tc>
          <w:tcPr>
            <w:tcW w:w="826" w:type="dxa"/>
            <w:vMerge/>
            <w:shd w:val="clear" w:color="auto" w:fill="auto"/>
            <w:vAlign w:val="center"/>
            <w:hideMark/>
          </w:tcPr>
          <w:p w:rsidR="00F233AB" w:rsidRPr="004E5D4F" w:rsidRDefault="00F233AB" w:rsidP="004E5D4F">
            <w:pPr>
              <w:suppressAutoHyphens w:val="0"/>
              <w:spacing w:before="40" w:after="40" w:line="220" w:lineRule="exact"/>
              <w:ind w:right="113"/>
              <w:rPr>
                <w:sz w:val="18"/>
              </w:rPr>
            </w:pPr>
          </w:p>
        </w:tc>
        <w:tc>
          <w:tcPr>
            <w:tcW w:w="727" w:type="dxa"/>
            <w:vMerge/>
            <w:shd w:val="clear" w:color="auto" w:fill="auto"/>
            <w:vAlign w:val="center"/>
            <w:hideMark/>
          </w:tcPr>
          <w:p w:rsidR="00F233AB" w:rsidRPr="004E5D4F" w:rsidRDefault="00F233AB" w:rsidP="004E5D4F">
            <w:pPr>
              <w:suppressAutoHyphens w:val="0"/>
              <w:spacing w:before="40" w:after="40" w:line="220" w:lineRule="exact"/>
              <w:ind w:right="113"/>
              <w:rPr>
                <w:sz w:val="18"/>
              </w:rPr>
            </w:pPr>
          </w:p>
        </w:tc>
        <w:tc>
          <w:tcPr>
            <w:tcW w:w="1164" w:type="dxa"/>
            <w:shd w:val="clear" w:color="auto" w:fill="auto"/>
            <w:noWrap/>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w:t>
            </w:r>
          </w:p>
        </w:tc>
        <w:tc>
          <w:tcPr>
            <w:tcW w:w="984"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21</w:t>
            </w:r>
            <w:r w:rsidR="00871D91">
              <w:rPr>
                <w:sz w:val="18"/>
              </w:rPr>
              <w:t>.</w:t>
            </w:r>
            <w:r w:rsidRPr="004E5D4F">
              <w:rPr>
                <w:sz w:val="18"/>
              </w:rPr>
              <w:t>7</w:t>
            </w:r>
          </w:p>
        </w:tc>
        <w:tc>
          <w:tcPr>
            <w:tcW w:w="800"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15</w:t>
            </w:r>
            <w:r w:rsidR="00871D91">
              <w:rPr>
                <w:sz w:val="18"/>
              </w:rPr>
              <w:t>.</w:t>
            </w:r>
            <w:r w:rsidRPr="004E5D4F">
              <w:rPr>
                <w:sz w:val="18"/>
              </w:rPr>
              <w:t>9</w:t>
            </w:r>
          </w:p>
        </w:tc>
        <w:tc>
          <w:tcPr>
            <w:tcW w:w="800"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13</w:t>
            </w:r>
            <w:r w:rsidR="00871D91">
              <w:rPr>
                <w:sz w:val="18"/>
              </w:rPr>
              <w:t>.</w:t>
            </w:r>
            <w:r w:rsidRPr="004E5D4F">
              <w:rPr>
                <w:sz w:val="18"/>
              </w:rPr>
              <w:t>7</w:t>
            </w:r>
          </w:p>
        </w:tc>
        <w:tc>
          <w:tcPr>
            <w:tcW w:w="673"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13</w:t>
            </w:r>
            <w:r w:rsidR="00871D91">
              <w:rPr>
                <w:sz w:val="18"/>
              </w:rPr>
              <w:t>.</w:t>
            </w:r>
            <w:r w:rsidRPr="004E5D4F">
              <w:rPr>
                <w:sz w:val="18"/>
              </w:rPr>
              <w:t>3</w:t>
            </w:r>
          </w:p>
        </w:tc>
        <w:tc>
          <w:tcPr>
            <w:tcW w:w="673" w:type="dxa"/>
            <w:shd w:val="clear" w:color="auto" w:fill="auto"/>
            <w:vAlign w:val="bottom"/>
          </w:tcPr>
          <w:p w:rsidR="00F233AB" w:rsidRPr="004E5D4F" w:rsidRDefault="00F233AB" w:rsidP="004E5D4F">
            <w:pPr>
              <w:suppressAutoHyphens w:val="0"/>
              <w:spacing w:before="40" w:after="40" w:line="220" w:lineRule="exact"/>
              <w:ind w:right="113"/>
              <w:jc w:val="right"/>
              <w:rPr>
                <w:sz w:val="18"/>
              </w:rPr>
            </w:pPr>
            <w:r w:rsidRPr="004E5D4F">
              <w:rPr>
                <w:sz w:val="18"/>
              </w:rPr>
              <w:t>11</w:t>
            </w:r>
            <w:r w:rsidR="00871D91">
              <w:rPr>
                <w:sz w:val="18"/>
              </w:rPr>
              <w:t>.</w:t>
            </w:r>
            <w:r w:rsidRPr="004E5D4F">
              <w:rPr>
                <w:sz w:val="18"/>
              </w:rPr>
              <w:t>9</w:t>
            </w:r>
          </w:p>
        </w:tc>
        <w:tc>
          <w:tcPr>
            <w:tcW w:w="723" w:type="dxa"/>
            <w:shd w:val="clear" w:color="auto" w:fill="auto"/>
            <w:vAlign w:val="bottom"/>
          </w:tcPr>
          <w:p w:rsidR="00F233AB" w:rsidRPr="004E5D4F" w:rsidRDefault="00F233AB" w:rsidP="004E5D4F">
            <w:pPr>
              <w:suppressAutoHyphens w:val="0"/>
              <w:spacing w:before="40" w:after="40" w:line="220" w:lineRule="exact"/>
              <w:ind w:right="113"/>
              <w:jc w:val="right"/>
              <w:rPr>
                <w:sz w:val="18"/>
              </w:rPr>
            </w:pPr>
            <w:r w:rsidRPr="004E5D4F">
              <w:rPr>
                <w:sz w:val="18"/>
              </w:rPr>
              <w:t>10</w:t>
            </w:r>
            <w:r w:rsidR="00871D91">
              <w:rPr>
                <w:sz w:val="18"/>
              </w:rPr>
              <w:t>.</w:t>
            </w:r>
            <w:r w:rsidRPr="004E5D4F">
              <w:rPr>
                <w:sz w:val="18"/>
              </w:rPr>
              <w:t>6</w:t>
            </w:r>
          </w:p>
        </w:tc>
      </w:tr>
      <w:tr w:rsidR="004E5D4F" w:rsidRPr="004E5D4F" w:rsidTr="00D07676">
        <w:tc>
          <w:tcPr>
            <w:tcW w:w="826" w:type="dxa"/>
            <w:vMerge/>
            <w:shd w:val="clear" w:color="auto" w:fill="auto"/>
            <w:vAlign w:val="center"/>
            <w:hideMark/>
          </w:tcPr>
          <w:p w:rsidR="00F233AB" w:rsidRPr="004E5D4F" w:rsidRDefault="00F233AB" w:rsidP="004E5D4F">
            <w:pPr>
              <w:suppressAutoHyphens w:val="0"/>
              <w:spacing w:before="40" w:after="40" w:line="220" w:lineRule="exact"/>
              <w:ind w:right="113"/>
              <w:rPr>
                <w:sz w:val="18"/>
              </w:rPr>
            </w:pPr>
          </w:p>
        </w:tc>
        <w:tc>
          <w:tcPr>
            <w:tcW w:w="727" w:type="dxa"/>
            <w:vMerge w:val="restart"/>
            <w:shd w:val="clear" w:color="auto" w:fill="auto"/>
            <w:vAlign w:val="center"/>
            <w:hideMark/>
          </w:tcPr>
          <w:p w:rsidR="00F233AB" w:rsidRPr="004E5D4F" w:rsidRDefault="00F233AB" w:rsidP="004E5D4F">
            <w:pPr>
              <w:suppressAutoHyphens w:val="0"/>
              <w:spacing w:before="40" w:after="40" w:line="220" w:lineRule="exact"/>
              <w:ind w:right="113"/>
              <w:rPr>
                <w:sz w:val="18"/>
              </w:rPr>
            </w:pPr>
            <w:r w:rsidRPr="004E5D4F">
              <w:rPr>
                <w:sz w:val="18"/>
              </w:rPr>
              <w:t>Females</w:t>
            </w:r>
          </w:p>
        </w:tc>
        <w:tc>
          <w:tcPr>
            <w:tcW w:w="1164" w:type="dxa"/>
            <w:shd w:val="clear" w:color="auto" w:fill="auto"/>
            <w:noWrap/>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1</w:t>
            </w:r>
            <w:r w:rsidR="005B2553">
              <w:rPr>
                <w:sz w:val="18"/>
              </w:rPr>
              <w:t xml:space="preserve"> </w:t>
            </w:r>
            <w:r w:rsidRPr="004E5D4F">
              <w:rPr>
                <w:sz w:val="18"/>
              </w:rPr>
              <w:t>000</w:t>
            </w:r>
            <w:r w:rsidR="005B2A41" w:rsidRPr="004E5D4F">
              <w:rPr>
                <w:sz w:val="18"/>
              </w:rPr>
              <w:t xml:space="preserve"> </w:t>
            </w:r>
            <w:r w:rsidRPr="004E5D4F">
              <w:rPr>
                <w:sz w:val="18"/>
              </w:rPr>
              <w:t>persons</w:t>
            </w:r>
          </w:p>
        </w:tc>
        <w:tc>
          <w:tcPr>
            <w:tcW w:w="984"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290</w:t>
            </w:r>
            <w:r w:rsidR="00871D91">
              <w:rPr>
                <w:sz w:val="18"/>
              </w:rPr>
              <w:t>.</w:t>
            </w:r>
            <w:r w:rsidRPr="004E5D4F">
              <w:rPr>
                <w:sz w:val="18"/>
              </w:rPr>
              <w:t>9</w:t>
            </w:r>
          </w:p>
        </w:tc>
        <w:tc>
          <w:tcPr>
            <w:tcW w:w="800"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215</w:t>
            </w:r>
            <w:r w:rsidR="00871D91">
              <w:rPr>
                <w:sz w:val="18"/>
              </w:rPr>
              <w:t>.</w:t>
            </w:r>
            <w:r w:rsidRPr="004E5D4F">
              <w:rPr>
                <w:sz w:val="18"/>
              </w:rPr>
              <w:t>9</w:t>
            </w:r>
          </w:p>
        </w:tc>
        <w:tc>
          <w:tcPr>
            <w:tcW w:w="800"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195</w:t>
            </w:r>
            <w:r w:rsidR="00871D91">
              <w:rPr>
                <w:sz w:val="18"/>
              </w:rPr>
              <w:t>.</w:t>
            </w:r>
            <w:r w:rsidRPr="004E5D4F">
              <w:rPr>
                <w:sz w:val="18"/>
              </w:rPr>
              <w:t>0</w:t>
            </w:r>
          </w:p>
        </w:tc>
        <w:tc>
          <w:tcPr>
            <w:tcW w:w="673"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196</w:t>
            </w:r>
            <w:r w:rsidR="00871D91">
              <w:rPr>
                <w:sz w:val="18"/>
              </w:rPr>
              <w:t>.</w:t>
            </w:r>
            <w:r w:rsidRPr="004E5D4F">
              <w:rPr>
                <w:sz w:val="18"/>
              </w:rPr>
              <w:t>1</w:t>
            </w:r>
          </w:p>
        </w:tc>
        <w:tc>
          <w:tcPr>
            <w:tcW w:w="673" w:type="dxa"/>
            <w:shd w:val="clear" w:color="auto" w:fill="auto"/>
            <w:vAlign w:val="bottom"/>
          </w:tcPr>
          <w:p w:rsidR="00F233AB" w:rsidRPr="004E5D4F" w:rsidRDefault="00F233AB" w:rsidP="004E5D4F">
            <w:pPr>
              <w:suppressAutoHyphens w:val="0"/>
              <w:spacing w:before="40" w:after="40" w:line="220" w:lineRule="exact"/>
              <w:ind w:right="113"/>
              <w:jc w:val="right"/>
              <w:rPr>
                <w:sz w:val="18"/>
              </w:rPr>
            </w:pPr>
            <w:r w:rsidRPr="004E5D4F">
              <w:rPr>
                <w:sz w:val="18"/>
              </w:rPr>
              <w:t>1</w:t>
            </w:r>
            <w:r w:rsidR="009E0CB7">
              <w:rPr>
                <w:sz w:val="18"/>
              </w:rPr>
              <w:t xml:space="preserve"> </w:t>
            </w:r>
            <w:r w:rsidRPr="004E5D4F">
              <w:rPr>
                <w:sz w:val="18"/>
              </w:rPr>
              <w:t>878</w:t>
            </w:r>
            <w:r w:rsidR="00871D91">
              <w:rPr>
                <w:sz w:val="18"/>
              </w:rPr>
              <w:t>.</w:t>
            </w:r>
            <w:r w:rsidRPr="004E5D4F">
              <w:rPr>
                <w:sz w:val="18"/>
              </w:rPr>
              <w:t>0</w:t>
            </w:r>
          </w:p>
        </w:tc>
        <w:tc>
          <w:tcPr>
            <w:tcW w:w="723" w:type="dxa"/>
            <w:shd w:val="clear" w:color="auto" w:fill="auto"/>
            <w:vAlign w:val="bottom"/>
          </w:tcPr>
          <w:p w:rsidR="00F233AB" w:rsidRPr="004E5D4F" w:rsidRDefault="00F233AB" w:rsidP="004E5D4F">
            <w:pPr>
              <w:suppressAutoHyphens w:val="0"/>
              <w:spacing w:before="40" w:after="40" w:line="220" w:lineRule="exact"/>
              <w:ind w:right="113"/>
              <w:jc w:val="right"/>
              <w:rPr>
                <w:sz w:val="18"/>
              </w:rPr>
            </w:pPr>
            <w:r w:rsidRPr="004E5D4F">
              <w:rPr>
                <w:sz w:val="18"/>
              </w:rPr>
              <w:t>171</w:t>
            </w:r>
            <w:r w:rsidR="00871D91">
              <w:rPr>
                <w:sz w:val="18"/>
              </w:rPr>
              <w:t>.</w:t>
            </w:r>
            <w:r w:rsidRPr="004E5D4F">
              <w:rPr>
                <w:sz w:val="18"/>
              </w:rPr>
              <w:t>3</w:t>
            </w:r>
          </w:p>
        </w:tc>
      </w:tr>
      <w:tr w:rsidR="004E5D4F" w:rsidRPr="004E5D4F" w:rsidTr="00D07676">
        <w:tc>
          <w:tcPr>
            <w:tcW w:w="826" w:type="dxa"/>
            <w:vMerge/>
            <w:shd w:val="clear" w:color="auto" w:fill="auto"/>
            <w:vAlign w:val="center"/>
            <w:hideMark/>
          </w:tcPr>
          <w:p w:rsidR="00F233AB" w:rsidRPr="004E5D4F" w:rsidRDefault="00F233AB" w:rsidP="004E5D4F">
            <w:pPr>
              <w:suppressAutoHyphens w:val="0"/>
              <w:spacing w:before="40" w:after="40" w:line="220" w:lineRule="exact"/>
              <w:ind w:right="113"/>
              <w:rPr>
                <w:sz w:val="18"/>
              </w:rPr>
            </w:pPr>
          </w:p>
        </w:tc>
        <w:tc>
          <w:tcPr>
            <w:tcW w:w="727" w:type="dxa"/>
            <w:vMerge/>
            <w:shd w:val="clear" w:color="auto" w:fill="auto"/>
            <w:vAlign w:val="center"/>
            <w:hideMark/>
          </w:tcPr>
          <w:p w:rsidR="00F233AB" w:rsidRPr="004E5D4F" w:rsidRDefault="00F233AB" w:rsidP="004E5D4F">
            <w:pPr>
              <w:suppressAutoHyphens w:val="0"/>
              <w:spacing w:before="40" w:after="40" w:line="220" w:lineRule="exact"/>
              <w:ind w:right="113"/>
              <w:rPr>
                <w:sz w:val="18"/>
              </w:rPr>
            </w:pPr>
          </w:p>
        </w:tc>
        <w:tc>
          <w:tcPr>
            <w:tcW w:w="1164" w:type="dxa"/>
            <w:shd w:val="clear" w:color="auto" w:fill="auto"/>
            <w:noWrap/>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w:t>
            </w:r>
          </w:p>
        </w:tc>
        <w:tc>
          <w:tcPr>
            <w:tcW w:w="984"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25</w:t>
            </w:r>
            <w:r w:rsidR="00871D91">
              <w:rPr>
                <w:sz w:val="18"/>
              </w:rPr>
              <w:t>.</w:t>
            </w:r>
            <w:r w:rsidRPr="004E5D4F">
              <w:rPr>
                <w:sz w:val="18"/>
              </w:rPr>
              <w:t>2</w:t>
            </w:r>
          </w:p>
        </w:tc>
        <w:tc>
          <w:tcPr>
            <w:tcW w:w="800"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18</w:t>
            </w:r>
            <w:r w:rsidR="00871D91">
              <w:rPr>
                <w:sz w:val="18"/>
              </w:rPr>
              <w:t>.</w:t>
            </w:r>
            <w:r w:rsidRPr="004E5D4F">
              <w:rPr>
                <w:sz w:val="18"/>
              </w:rPr>
              <w:t>3</w:t>
            </w:r>
          </w:p>
        </w:tc>
        <w:tc>
          <w:tcPr>
            <w:tcW w:w="800"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16</w:t>
            </w:r>
            <w:r w:rsidR="00871D91">
              <w:rPr>
                <w:sz w:val="18"/>
              </w:rPr>
              <w:t>.</w:t>
            </w:r>
            <w:r w:rsidRPr="004E5D4F">
              <w:rPr>
                <w:sz w:val="18"/>
              </w:rPr>
              <w:t>2</w:t>
            </w:r>
          </w:p>
        </w:tc>
        <w:tc>
          <w:tcPr>
            <w:tcW w:w="673"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16</w:t>
            </w:r>
            <w:r w:rsidR="00871D91">
              <w:rPr>
                <w:sz w:val="18"/>
              </w:rPr>
              <w:t>.</w:t>
            </w:r>
            <w:r w:rsidRPr="004E5D4F">
              <w:rPr>
                <w:sz w:val="18"/>
              </w:rPr>
              <w:t>1</w:t>
            </w:r>
          </w:p>
        </w:tc>
        <w:tc>
          <w:tcPr>
            <w:tcW w:w="673" w:type="dxa"/>
            <w:shd w:val="clear" w:color="auto" w:fill="auto"/>
            <w:vAlign w:val="bottom"/>
          </w:tcPr>
          <w:p w:rsidR="00F233AB" w:rsidRPr="004E5D4F" w:rsidRDefault="00F233AB" w:rsidP="004E5D4F">
            <w:pPr>
              <w:suppressAutoHyphens w:val="0"/>
              <w:spacing w:before="40" w:after="40" w:line="220" w:lineRule="exact"/>
              <w:ind w:right="113"/>
              <w:jc w:val="right"/>
              <w:rPr>
                <w:sz w:val="18"/>
              </w:rPr>
            </w:pPr>
            <w:r w:rsidRPr="004E5D4F">
              <w:rPr>
                <w:sz w:val="18"/>
              </w:rPr>
              <w:t>15</w:t>
            </w:r>
            <w:r w:rsidR="00871D91">
              <w:rPr>
                <w:sz w:val="18"/>
              </w:rPr>
              <w:t>.</w:t>
            </w:r>
            <w:r w:rsidRPr="004E5D4F">
              <w:rPr>
                <w:sz w:val="18"/>
              </w:rPr>
              <w:t>2</w:t>
            </w:r>
          </w:p>
        </w:tc>
        <w:tc>
          <w:tcPr>
            <w:tcW w:w="723" w:type="dxa"/>
            <w:shd w:val="clear" w:color="auto" w:fill="auto"/>
            <w:vAlign w:val="bottom"/>
          </w:tcPr>
          <w:p w:rsidR="00F233AB" w:rsidRPr="004E5D4F" w:rsidRDefault="00F233AB" w:rsidP="004E5D4F">
            <w:pPr>
              <w:suppressAutoHyphens w:val="0"/>
              <w:spacing w:before="40" w:after="40" w:line="220" w:lineRule="exact"/>
              <w:ind w:right="113"/>
              <w:jc w:val="right"/>
              <w:rPr>
                <w:sz w:val="18"/>
              </w:rPr>
            </w:pPr>
            <w:r w:rsidRPr="004E5D4F">
              <w:rPr>
                <w:sz w:val="18"/>
              </w:rPr>
              <w:t>13</w:t>
            </w:r>
            <w:r w:rsidR="00871D91">
              <w:rPr>
                <w:sz w:val="18"/>
              </w:rPr>
              <w:t>.</w:t>
            </w:r>
            <w:r w:rsidRPr="004E5D4F">
              <w:rPr>
                <w:sz w:val="18"/>
              </w:rPr>
              <w:t>8</w:t>
            </w:r>
          </w:p>
        </w:tc>
      </w:tr>
      <w:tr w:rsidR="004E5D4F" w:rsidRPr="004E5D4F" w:rsidTr="00D07676">
        <w:tc>
          <w:tcPr>
            <w:tcW w:w="826" w:type="dxa"/>
            <w:vMerge w:val="restart"/>
            <w:shd w:val="clear" w:color="auto" w:fill="auto"/>
            <w:noWrap/>
            <w:vAlign w:val="center"/>
            <w:hideMark/>
          </w:tcPr>
          <w:p w:rsidR="00F233AB" w:rsidRPr="004E5D4F" w:rsidRDefault="00F233AB" w:rsidP="004E5D4F">
            <w:pPr>
              <w:suppressAutoHyphens w:val="0"/>
              <w:spacing w:before="40" w:after="40" w:line="220" w:lineRule="exact"/>
              <w:ind w:right="113"/>
              <w:rPr>
                <w:sz w:val="18"/>
              </w:rPr>
            </w:pPr>
            <w:r w:rsidRPr="004E5D4F">
              <w:rPr>
                <w:sz w:val="18"/>
              </w:rPr>
              <w:t>0</w:t>
            </w:r>
            <w:r w:rsidR="00A6566E">
              <w:rPr>
                <w:sz w:val="18"/>
              </w:rPr>
              <w:t>–</w:t>
            </w:r>
            <w:r w:rsidRPr="004E5D4F">
              <w:rPr>
                <w:sz w:val="18"/>
              </w:rPr>
              <w:t>17</w:t>
            </w:r>
          </w:p>
        </w:tc>
        <w:tc>
          <w:tcPr>
            <w:tcW w:w="727" w:type="dxa"/>
            <w:vMerge w:val="restart"/>
            <w:shd w:val="clear" w:color="auto" w:fill="auto"/>
            <w:vAlign w:val="center"/>
            <w:hideMark/>
          </w:tcPr>
          <w:p w:rsidR="00F233AB" w:rsidRPr="004E5D4F" w:rsidRDefault="00F233AB" w:rsidP="004E5D4F">
            <w:pPr>
              <w:suppressAutoHyphens w:val="0"/>
              <w:spacing w:before="40" w:after="40" w:line="220" w:lineRule="exact"/>
              <w:ind w:right="113"/>
              <w:rPr>
                <w:sz w:val="18"/>
              </w:rPr>
            </w:pPr>
            <w:r w:rsidRPr="004E5D4F">
              <w:rPr>
                <w:sz w:val="18"/>
              </w:rPr>
              <w:t>Total</w:t>
            </w:r>
          </w:p>
        </w:tc>
        <w:tc>
          <w:tcPr>
            <w:tcW w:w="1164" w:type="dxa"/>
            <w:shd w:val="clear" w:color="auto" w:fill="auto"/>
            <w:noWrap/>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1</w:t>
            </w:r>
            <w:r w:rsidR="005B2553">
              <w:rPr>
                <w:sz w:val="18"/>
              </w:rPr>
              <w:t xml:space="preserve"> </w:t>
            </w:r>
            <w:r w:rsidRPr="004E5D4F">
              <w:rPr>
                <w:sz w:val="18"/>
              </w:rPr>
              <w:t>000</w:t>
            </w:r>
            <w:r w:rsidR="005B2A41" w:rsidRPr="004E5D4F">
              <w:rPr>
                <w:sz w:val="18"/>
              </w:rPr>
              <w:t xml:space="preserve"> </w:t>
            </w:r>
            <w:r w:rsidRPr="004E5D4F">
              <w:rPr>
                <w:sz w:val="18"/>
              </w:rPr>
              <w:t>persons</w:t>
            </w:r>
          </w:p>
        </w:tc>
        <w:tc>
          <w:tcPr>
            <w:tcW w:w="984"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464</w:t>
            </w:r>
            <w:r w:rsidR="00871D91">
              <w:rPr>
                <w:sz w:val="18"/>
              </w:rPr>
              <w:t>.</w:t>
            </w:r>
            <w:r w:rsidRPr="004E5D4F">
              <w:rPr>
                <w:sz w:val="18"/>
              </w:rPr>
              <w:t>6</w:t>
            </w:r>
          </w:p>
        </w:tc>
        <w:tc>
          <w:tcPr>
            <w:tcW w:w="800"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521</w:t>
            </w:r>
            <w:r w:rsidR="00871D91">
              <w:rPr>
                <w:sz w:val="18"/>
              </w:rPr>
              <w:t>.</w:t>
            </w:r>
            <w:r w:rsidRPr="004E5D4F">
              <w:rPr>
                <w:sz w:val="18"/>
              </w:rPr>
              <w:t>0</w:t>
            </w:r>
          </w:p>
        </w:tc>
        <w:tc>
          <w:tcPr>
            <w:tcW w:w="800"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555</w:t>
            </w:r>
            <w:r w:rsidR="00871D91">
              <w:rPr>
                <w:sz w:val="18"/>
              </w:rPr>
              <w:t>.</w:t>
            </w:r>
            <w:r w:rsidRPr="004E5D4F">
              <w:rPr>
                <w:sz w:val="18"/>
              </w:rPr>
              <w:t>9</w:t>
            </w:r>
          </w:p>
        </w:tc>
        <w:tc>
          <w:tcPr>
            <w:tcW w:w="673"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480</w:t>
            </w:r>
            <w:r w:rsidR="00871D91">
              <w:rPr>
                <w:sz w:val="18"/>
              </w:rPr>
              <w:t>.</w:t>
            </w:r>
            <w:r w:rsidRPr="004E5D4F">
              <w:rPr>
                <w:sz w:val="18"/>
              </w:rPr>
              <w:t>4</w:t>
            </w:r>
          </w:p>
        </w:tc>
        <w:tc>
          <w:tcPr>
            <w:tcW w:w="673" w:type="dxa"/>
            <w:shd w:val="clear" w:color="auto" w:fill="auto"/>
            <w:vAlign w:val="bottom"/>
          </w:tcPr>
          <w:p w:rsidR="00F233AB" w:rsidRPr="004E5D4F" w:rsidRDefault="00F233AB" w:rsidP="004E5D4F">
            <w:pPr>
              <w:suppressAutoHyphens w:val="0"/>
              <w:spacing w:before="40" w:after="40" w:line="220" w:lineRule="exact"/>
              <w:ind w:right="113"/>
              <w:jc w:val="right"/>
              <w:rPr>
                <w:sz w:val="18"/>
              </w:rPr>
            </w:pPr>
            <w:r w:rsidRPr="004E5D4F">
              <w:rPr>
                <w:sz w:val="18"/>
              </w:rPr>
              <w:t>501</w:t>
            </w:r>
            <w:r w:rsidR="00871D91">
              <w:rPr>
                <w:sz w:val="18"/>
              </w:rPr>
              <w:t>.</w:t>
            </w:r>
            <w:r w:rsidRPr="004E5D4F">
              <w:rPr>
                <w:sz w:val="18"/>
              </w:rPr>
              <w:t>0</w:t>
            </w:r>
          </w:p>
        </w:tc>
        <w:tc>
          <w:tcPr>
            <w:tcW w:w="723" w:type="dxa"/>
            <w:shd w:val="clear" w:color="auto" w:fill="auto"/>
            <w:vAlign w:val="bottom"/>
          </w:tcPr>
          <w:p w:rsidR="00F233AB" w:rsidRPr="004E5D4F" w:rsidRDefault="00F233AB" w:rsidP="004E5D4F">
            <w:pPr>
              <w:suppressAutoHyphens w:val="0"/>
              <w:spacing w:before="40" w:after="40" w:line="220" w:lineRule="exact"/>
              <w:ind w:right="113"/>
              <w:jc w:val="right"/>
              <w:rPr>
                <w:sz w:val="18"/>
              </w:rPr>
            </w:pPr>
            <w:r w:rsidRPr="004E5D4F">
              <w:rPr>
                <w:sz w:val="18"/>
              </w:rPr>
              <w:t>490</w:t>
            </w:r>
            <w:r w:rsidR="00871D91">
              <w:rPr>
                <w:sz w:val="18"/>
              </w:rPr>
              <w:t>.</w:t>
            </w:r>
            <w:r w:rsidRPr="004E5D4F">
              <w:rPr>
                <w:sz w:val="18"/>
              </w:rPr>
              <w:t>4</w:t>
            </w:r>
          </w:p>
        </w:tc>
      </w:tr>
      <w:tr w:rsidR="004E5D4F" w:rsidRPr="004E5D4F" w:rsidTr="004E5D4F">
        <w:tc>
          <w:tcPr>
            <w:tcW w:w="826" w:type="dxa"/>
            <w:vMerge/>
            <w:shd w:val="clear" w:color="auto" w:fill="auto"/>
            <w:hideMark/>
          </w:tcPr>
          <w:p w:rsidR="00F233AB" w:rsidRPr="004E5D4F" w:rsidRDefault="00F233AB" w:rsidP="004E5D4F">
            <w:pPr>
              <w:suppressAutoHyphens w:val="0"/>
              <w:spacing w:before="40" w:after="40" w:line="220" w:lineRule="exact"/>
              <w:ind w:right="113"/>
              <w:rPr>
                <w:sz w:val="18"/>
              </w:rPr>
            </w:pPr>
          </w:p>
        </w:tc>
        <w:tc>
          <w:tcPr>
            <w:tcW w:w="727" w:type="dxa"/>
            <w:vMerge/>
            <w:shd w:val="clear" w:color="auto" w:fill="auto"/>
            <w:vAlign w:val="bottom"/>
            <w:hideMark/>
          </w:tcPr>
          <w:p w:rsidR="00F233AB" w:rsidRPr="004E5D4F" w:rsidRDefault="00F233AB" w:rsidP="004E5D4F">
            <w:pPr>
              <w:suppressAutoHyphens w:val="0"/>
              <w:spacing w:before="40" w:after="40" w:line="220" w:lineRule="exact"/>
              <w:ind w:right="113"/>
              <w:rPr>
                <w:sz w:val="18"/>
              </w:rPr>
            </w:pPr>
          </w:p>
        </w:tc>
        <w:tc>
          <w:tcPr>
            <w:tcW w:w="1164" w:type="dxa"/>
            <w:shd w:val="clear" w:color="auto" w:fill="auto"/>
            <w:noWrap/>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w:t>
            </w:r>
          </w:p>
        </w:tc>
        <w:tc>
          <w:tcPr>
            <w:tcW w:w="984"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23</w:t>
            </w:r>
            <w:r w:rsidR="00871D91">
              <w:rPr>
                <w:sz w:val="18"/>
              </w:rPr>
              <w:t>.</w:t>
            </w:r>
            <w:r w:rsidRPr="004E5D4F">
              <w:rPr>
                <w:sz w:val="18"/>
              </w:rPr>
              <w:t>7</w:t>
            </w:r>
          </w:p>
        </w:tc>
        <w:tc>
          <w:tcPr>
            <w:tcW w:w="800"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26</w:t>
            </w:r>
            <w:r w:rsidR="00871D91">
              <w:rPr>
                <w:sz w:val="18"/>
              </w:rPr>
              <w:t>.</w:t>
            </w:r>
            <w:r w:rsidRPr="004E5D4F">
              <w:rPr>
                <w:sz w:val="18"/>
              </w:rPr>
              <w:t>9</w:t>
            </w:r>
          </w:p>
        </w:tc>
        <w:tc>
          <w:tcPr>
            <w:tcW w:w="800"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28</w:t>
            </w:r>
            <w:r w:rsidR="00871D91">
              <w:rPr>
                <w:sz w:val="18"/>
              </w:rPr>
              <w:t>.</w:t>
            </w:r>
            <w:r w:rsidRPr="004E5D4F">
              <w:rPr>
                <w:sz w:val="18"/>
              </w:rPr>
              <w:t>8</w:t>
            </w:r>
          </w:p>
        </w:tc>
        <w:tc>
          <w:tcPr>
            <w:tcW w:w="673" w:type="dxa"/>
            <w:shd w:val="clear" w:color="auto" w:fill="auto"/>
            <w:vAlign w:val="bottom"/>
            <w:hideMark/>
          </w:tcPr>
          <w:p w:rsidR="00F233AB" w:rsidRPr="004E5D4F" w:rsidRDefault="00F233AB" w:rsidP="004E5D4F">
            <w:pPr>
              <w:suppressAutoHyphens w:val="0"/>
              <w:spacing w:before="40" w:after="40" w:line="220" w:lineRule="exact"/>
              <w:ind w:right="113"/>
              <w:jc w:val="right"/>
              <w:rPr>
                <w:sz w:val="18"/>
              </w:rPr>
            </w:pPr>
            <w:r w:rsidRPr="004E5D4F">
              <w:rPr>
                <w:sz w:val="18"/>
              </w:rPr>
              <w:t>25</w:t>
            </w:r>
            <w:r w:rsidR="00871D91">
              <w:rPr>
                <w:sz w:val="18"/>
              </w:rPr>
              <w:t>.</w:t>
            </w:r>
            <w:r w:rsidRPr="004E5D4F">
              <w:rPr>
                <w:sz w:val="18"/>
              </w:rPr>
              <w:t>5</w:t>
            </w:r>
          </w:p>
        </w:tc>
        <w:tc>
          <w:tcPr>
            <w:tcW w:w="673" w:type="dxa"/>
            <w:shd w:val="clear" w:color="auto" w:fill="auto"/>
            <w:vAlign w:val="bottom"/>
          </w:tcPr>
          <w:p w:rsidR="00F233AB" w:rsidRPr="004E5D4F" w:rsidRDefault="00F233AB" w:rsidP="004E5D4F">
            <w:pPr>
              <w:suppressAutoHyphens w:val="0"/>
              <w:spacing w:before="40" w:after="40" w:line="220" w:lineRule="exact"/>
              <w:ind w:right="113"/>
              <w:jc w:val="right"/>
              <w:rPr>
                <w:sz w:val="18"/>
              </w:rPr>
            </w:pPr>
            <w:r w:rsidRPr="004E5D4F">
              <w:rPr>
                <w:sz w:val="18"/>
              </w:rPr>
              <w:t>26</w:t>
            </w:r>
            <w:r w:rsidR="00871D91">
              <w:rPr>
                <w:sz w:val="18"/>
              </w:rPr>
              <w:t>.</w:t>
            </w:r>
            <w:r w:rsidRPr="004E5D4F">
              <w:rPr>
                <w:sz w:val="18"/>
              </w:rPr>
              <w:t>6</w:t>
            </w:r>
          </w:p>
        </w:tc>
        <w:tc>
          <w:tcPr>
            <w:tcW w:w="723" w:type="dxa"/>
            <w:shd w:val="clear" w:color="auto" w:fill="auto"/>
            <w:vAlign w:val="bottom"/>
          </w:tcPr>
          <w:p w:rsidR="00F233AB" w:rsidRPr="004E5D4F" w:rsidRDefault="00F233AB" w:rsidP="004E5D4F">
            <w:pPr>
              <w:suppressAutoHyphens w:val="0"/>
              <w:spacing w:before="40" w:after="40" w:line="220" w:lineRule="exact"/>
              <w:ind w:right="113"/>
              <w:jc w:val="right"/>
              <w:rPr>
                <w:sz w:val="18"/>
              </w:rPr>
            </w:pPr>
            <w:r w:rsidRPr="004E5D4F">
              <w:rPr>
                <w:sz w:val="18"/>
              </w:rPr>
              <w:t>26</w:t>
            </w:r>
            <w:r w:rsidR="00871D91">
              <w:rPr>
                <w:sz w:val="18"/>
              </w:rPr>
              <w:t>.</w:t>
            </w:r>
            <w:r w:rsidRPr="004E5D4F">
              <w:rPr>
                <w:sz w:val="18"/>
              </w:rPr>
              <w:t>3</w:t>
            </w:r>
          </w:p>
        </w:tc>
      </w:tr>
    </w:tbl>
    <w:p w:rsidR="0026263F" w:rsidRPr="00B02247" w:rsidRDefault="0026263F" w:rsidP="0026263F">
      <w:pPr>
        <w:pStyle w:val="H23G"/>
      </w:pPr>
      <w:r>
        <w:tab/>
      </w:r>
      <w:r>
        <w:tab/>
      </w:r>
      <w:r w:rsidRPr="00B02247">
        <w:t>Inequality</w:t>
      </w:r>
      <w:r>
        <w:t xml:space="preserve"> </w:t>
      </w:r>
      <w:r w:rsidRPr="00B02247">
        <w:t>of</w:t>
      </w:r>
      <w:r>
        <w:t xml:space="preserve"> </w:t>
      </w:r>
      <w:r w:rsidRPr="00B02247">
        <w:t>income</w:t>
      </w:r>
      <w:r>
        <w:t xml:space="preserve"> </w:t>
      </w:r>
      <w:r w:rsidRPr="00B02247">
        <w:t>distribution:</w:t>
      </w:r>
      <w:r>
        <w:t xml:space="preserve"> </w:t>
      </w:r>
      <w:r w:rsidRPr="00B02247">
        <w:t>Gini</w:t>
      </w:r>
      <w:r>
        <w:t xml:space="preserve"> </w:t>
      </w:r>
      <w:r w:rsidRPr="00B02247">
        <w:t>coefficient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67"/>
        <w:gridCol w:w="1379"/>
        <w:gridCol w:w="902"/>
        <w:gridCol w:w="1032"/>
        <w:gridCol w:w="1162"/>
        <w:gridCol w:w="1160"/>
        <w:gridCol w:w="968"/>
      </w:tblGrid>
      <w:tr w:rsidR="00F233AB" w:rsidRPr="0026263F" w:rsidTr="0026263F">
        <w:trPr>
          <w:tblHeader/>
        </w:trPr>
        <w:tc>
          <w:tcPr>
            <w:tcW w:w="767" w:type="dxa"/>
            <w:tcBorders>
              <w:top w:val="single" w:sz="4" w:space="0" w:color="auto"/>
              <w:bottom w:val="single" w:sz="12" w:space="0" w:color="auto"/>
            </w:tcBorders>
            <w:shd w:val="clear" w:color="auto" w:fill="auto"/>
            <w:noWrap/>
            <w:vAlign w:val="bottom"/>
            <w:hideMark/>
          </w:tcPr>
          <w:p w:rsidR="00F233AB" w:rsidRPr="0026263F" w:rsidRDefault="005B2A41" w:rsidP="0026263F">
            <w:pPr>
              <w:suppressAutoHyphens w:val="0"/>
              <w:spacing w:before="80" w:after="80" w:line="200" w:lineRule="exact"/>
              <w:ind w:right="113"/>
              <w:rPr>
                <w:i/>
                <w:sz w:val="16"/>
              </w:rPr>
            </w:pPr>
            <w:r w:rsidRPr="0026263F">
              <w:rPr>
                <w:i/>
                <w:sz w:val="16"/>
              </w:rPr>
              <w:t xml:space="preserve"> </w:t>
            </w:r>
          </w:p>
        </w:tc>
        <w:tc>
          <w:tcPr>
            <w:tcW w:w="1379" w:type="dxa"/>
            <w:tcBorders>
              <w:top w:val="single" w:sz="4" w:space="0" w:color="auto"/>
              <w:bottom w:val="single" w:sz="12" w:space="0" w:color="auto"/>
            </w:tcBorders>
            <w:shd w:val="clear" w:color="auto" w:fill="auto"/>
            <w:noWrap/>
            <w:vAlign w:val="bottom"/>
            <w:hideMark/>
          </w:tcPr>
          <w:p w:rsidR="00F233AB" w:rsidRPr="0026263F" w:rsidRDefault="00F233AB" w:rsidP="0026263F">
            <w:pPr>
              <w:suppressAutoHyphens w:val="0"/>
              <w:spacing w:before="80" w:after="80" w:line="200" w:lineRule="exact"/>
              <w:ind w:right="113"/>
              <w:jc w:val="right"/>
              <w:rPr>
                <w:i/>
                <w:sz w:val="16"/>
              </w:rPr>
            </w:pPr>
            <w:r w:rsidRPr="0026263F">
              <w:rPr>
                <w:i/>
                <w:sz w:val="16"/>
              </w:rPr>
              <w:t>2011</w:t>
            </w:r>
          </w:p>
        </w:tc>
        <w:tc>
          <w:tcPr>
            <w:tcW w:w="902" w:type="dxa"/>
            <w:tcBorders>
              <w:top w:val="single" w:sz="4" w:space="0" w:color="auto"/>
              <w:bottom w:val="single" w:sz="12" w:space="0" w:color="auto"/>
            </w:tcBorders>
            <w:shd w:val="clear" w:color="auto" w:fill="auto"/>
            <w:noWrap/>
            <w:vAlign w:val="bottom"/>
            <w:hideMark/>
          </w:tcPr>
          <w:p w:rsidR="00F233AB" w:rsidRPr="0026263F" w:rsidRDefault="00F233AB" w:rsidP="0026263F">
            <w:pPr>
              <w:suppressAutoHyphens w:val="0"/>
              <w:spacing w:before="80" w:after="80" w:line="200" w:lineRule="exact"/>
              <w:ind w:right="113"/>
              <w:jc w:val="right"/>
              <w:rPr>
                <w:i/>
                <w:sz w:val="16"/>
              </w:rPr>
            </w:pPr>
            <w:r w:rsidRPr="0026263F">
              <w:rPr>
                <w:i/>
                <w:sz w:val="16"/>
              </w:rPr>
              <w:t>2012</w:t>
            </w:r>
          </w:p>
        </w:tc>
        <w:tc>
          <w:tcPr>
            <w:tcW w:w="1032" w:type="dxa"/>
            <w:tcBorders>
              <w:top w:val="single" w:sz="4" w:space="0" w:color="auto"/>
              <w:bottom w:val="single" w:sz="12" w:space="0" w:color="auto"/>
            </w:tcBorders>
            <w:shd w:val="clear" w:color="auto" w:fill="auto"/>
            <w:noWrap/>
            <w:vAlign w:val="bottom"/>
            <w:hideMark/>
          </w:tcPr>
          <w:p w:rsidR="00F233AB" w:rsidRPr="0026263F" w:rsidRDefault="00F233AB" w:rsidP="0026263F">
            <w:pPr>
              <w:suppressAutoHyphens w:val="0"/>
              <w:spacing w:before="80" w:after="80" w:line="200" w:lineRule="exact"/>
              <w:ind w:right="113"/>
              <w:jc w:val="right"/>
              <w:rPr>
                <w:i/>
                <w:sz w:val="16"/>
              </w:rPr>
            </w:pPr>
            <w:r w:rsidRPr="0026263F">
              <w:rPr>
                <w:i/>
                <w:sz w:val="16"/>
              </w:rPr>
              <w:t>2013</w:t>
            </w:r>
          </w:p>
        </w:tc>
        <w:tc>
          <w:tcPr>
            <w:tcW w:w="1162" w:type="dxa"/>
            <w:tcBorders>
              <w:top w:val="single" w:sz="4" w:space="0" w:color="auto"/>
              <w:bottom w:val="single" w:sz="12" w:space="0" w:color="auto"/>
            </w:tcBorders>
            <w:shd w:val="clear" w:color="auto" w:fill="auto"/>
            <w:noWrap/>
            <w:vAlign w:val="bottom"/>
            <w:hideMark/>
          </w:tcPr>
          <w:p w:rsidR="00F233AB" w:rsidRPr="0026263F" w:rsidRDefault="00F233AB" w:rsidP="0026263F">
            <w:pPr>
              <w:suppressAutoHyphens w:val="0"/>
              <w:spacing w:before="80" w:after="80" w:line="200" w:lineRule="exact"/>
              <w:ind w:right="113"/>
              <w:jc w:val="right"/>
              <w:rPr>
                <w:i/>
                <w:sz w:val="16"/>
              </w:rPr>
            </w:pPr>
            <w:r w:rsidRPr="0026263F">
              <w:rPr>
                <w:i/>
                <w:sz w:val="16"/>
              </w:rPr>
              <w:t>2014</w:t>
            </w:r>
          </w:p>
        </w:tc>
        <w:tc>
          <w:tcPr>
            <w:tcW w:w="1160" w:type="dxa"/>
            <w:tcBorders>
              <w:top w:val="single" w:sz="4" w:space="0" w:color="auto"/>
              <w:bottom w:val="single" w:sz="12" w:space="0" w:color="auto"/>
            </w:tcBorders>
            <w:shd w:val="clear" w:color="auto" w:fill="auto"/>
            <w:noWrap/>
            <w:vAlign w:val="bottom"/>
            <w:hideMark/>
          </w:tcPr>
          <w:p w:rsidR="00F233AB" w:rsidRPr="0026263F" w:rsidRDefault="00F233AB" w:rsidP="0026263F">
            <w:pPr>
              <w:suppressAutoHyphens w:val="0"/>
              <w:spacing w:before="80" w:after="80" w:line="200" w:lineRule="exact"/>
              <w:ind w:right="113"/>
              <w:jc w:val="right"/>
              <w:rPr>
                <w:i/>
                <w:sz w:val="16"/>
              </w:rPr>
            </w:pPr>
            <w:r w:rsidRPr="0026263F">
              <w:rPr>
                <w:i/>
                <w:sz w:val="16"/>
              </w:rPr>
              <w:t>2015</w:t>
            </w:r>
          </w:p>
        </w:tc>
        <w:tc>
          <w:tcPr>
            <w:tcW w:w="968" w:type="dxa"/>
            <w:tcBorders>
              <w:top w:val="single" w:sz="4" w:space="0" w:color="auto"/>
              <w:bottom w:val="single" w:sz="12" w:space="0" w:color="auto"/>
            </w:tcBorders>
            <w:shd w:val="clear" w:color="auto" w:fill="auto"/>
            <w:noWrap/>
            <w:vAlign w:val="bottom"/>
            <w:hideMark/>
          </w:tcPr>
          <w:p w:rsidR="00F233AB" w:rsidRPr="0026263F" w:rsidRDefault="00F233AB" w:rsidP="0026263F">
            <w:pPr>
              <w:suppressAutoHyphens w:val="0"/>
              <w:spacing w:before="80" w:after="80" w:line="200" w:lineRule="exact"/>
              <w:ind w:right="113"/>
              <w:jc w:val="right"/>
              <w:rPr>
                <w:i/>
                <w:sz w:val="16"/>
              </w:rPr>
            </w:pPr>
            <w:r w:rsidRPr="0026263F">
              <w:rPr>
                <w:i/>
                <w:sz w:val="16"/>
              </w:rPr>
              <w:t>2016</w:t>
            </w:r>
          </w:p>
        </w:tc>
      </w:tr>
      <w:tr w:rsidR="00F233AB" w:rsidRPr="0026263F" w:rsidTr="0026263F">
        <w:tc>
          <w:tcPr>
            <w:tcW w:w="767" w:type="dxa"/>
            <w:tcBorders>
              <w:top w:val="single" w:sz="12" w:space="0" w:color="auto"/>
            </w:tcBorders>
            <w:shd w:val="clear" w:color="auto" w:fill="auto"/>
            <w:noWrap/>
            <w:hideMark/>
          </w:tcPr>
          <w:p w:rsidR="00F233AB" w:rsidRPr="0026263F" w:rsidRDefault="00F233AB" w:rsidP="0026263F">
            <w:pPr>
              <w:suppressAutoHyphens w:val="0"/>
              <w:spacing w:before="40" w:after="40" w:line="220" w:lineRule="exact"/>
              <w:ind w:right="113"/>
              <w:rPr>
                <w:sz w:val="18"/>
              </w:rPr>
            </w:pPr>
            <w:r w:rsidRPr="0026263F">
              <w:rPr>
                <w:sz w:val="18"/>
              </w:rPr>
              <w:t>%</w:t>
            </w:r>
          </w:p>
        </w:tc>
        <w:tc>
          <w:tcPr>
            <w:tcW w:w="1379" w:type="dxa"/>
            <w:tcBorders>
              <w:top w:val="single" w:sz="12" w:space="0" w:color="auto"/>
            </w:tcBorders>
            <w:shd w:val="clear" w:color="auto" w:fill="auto"/>
            <w:vAlign w:val="bottom"/>
            <w:hideMark/>
          </w:tcPr>
          <w:p w:rsidR="00F233AB" w:rsidRPr="0026263F" w:rsidRDefault="00F233AB" w:rsidP="0026263F">
            <w:pPr>
              <w:suppressAutoHyphens w:val="0"/>
              <w:spacing w:before="40" w:after="40" w:line="220" w:lineRule="exact"/>
              <w:ind w:right="113"/>
              <w:jc w:val="right"/>
              <w:rPr>
                <w:sz w:val="18"/>
              </w:rPr>
            </w:pPr>
            <w:r w:rsidRPr="0026263F">
              <w:rPr>
                <w:sz w:val="18"/>
              </w:rPr>
              <w:t>33</w:t>
            </w:r>
            <w:r w:rsidR="00871D91">
              <w:rPr>
                <w:sz w:val="18"/>
              </w:rPr>
              <w:t>.</w:t>
            </w:r>
            <w:r w:rsidRPr="0026263F">
              <w:rPr>
                <w:sz w:val="18"/>
              </w:rPr>
              <w:t>5</w:t>
            </w:r>
          </w:p>
        </w:tc>
        <w:tc>
          <w:tcPr>
            <w:tcW w:w="902" w:type="dxa"/>
            <w:tcBorders>
              <w:top w:val="single" w:sz="12" w:space="0" w:color="auto"/>
            </w:tcBorders>
            <w:shd w:val="clear" w:color="auto" w:fill="auto"/>
            <w:vAlign w:val="bottom"/>
            <w:hideMark/>
          </w:tcPr>
          <w:p w:rsidR="00F233AB" w:rsidRPr="0026263F" w:rsidRDefault="00F233AB" w:rsidP="0026263F">
            <w:pPr>
              <w:suppressAutoHyphens w:val="0"/>
              <w:spacing w:before="40" w:after="40" w:line="220" w:lineRule="exact"/>
              <w:ind w:right="113"/>
              <w:jc w:val="right"/>
              <w:rPr>
                <w:sz w:val="18"/>
              </w:rPr>
            </w:pPr>
            <w:r w:rsidRPr="0026263F">
              <w:rPr>
                <w:sz w:val="18"/>
              </w:rPr>
              <w:t>34</w:t>
            </w:r>
            <w:r w:rsidR="00871D91">
              <w:rPr>
                <w:sz w:val="18"/>
              </w:rPr>
              <w:t>.</w:t>
            </w:r>
            <w:r w:rsidRPr="0026263F">
              <w:rPr>
                <w:sz w:val="18"/>
              </w:rPr>
              <w:t>3</w:t>
            </w:r>
          </w:p>
        </w:tc>
        <w:tc>
          <w:tcPr>
            <w:tcW w:w="1032" w:type="dxa"/>
            <w:tcBorders>
              <w:top w:val="single" w:sz="12" w:space="0" w:color="auto"/>
            </w:tcBorders>
            <w:shd w:val="clear" w:color="auto" w:fill="auto"/>
            <w:vAlign w:val="bottom"/>
            <w:hideMark/>
          </w:tcPr>
          <w:p w:rsidR="00F233AB" w:rsidRPr="0026263F" w:rsidRDefault="00F233AB" w:rsidP="0026263F">
            <w:pPr>
              <w:suppressAutoHyphens w:val="0"/>
              <w:spacing w:before="40" w:after="40" w:line="220" w:lineRule="exact"/>
              <w:ind w:right="113"/>
              <w:jc w:val="right"/>
              <w:rPr>
                <w:sz w:val="18"/>
              </w:rPr>
            </w:pPr>
            <w:r w:rsidRPr="0026263F">
              <w:rPr>
                <w:sz w:val="18"/>
              </w:rPr>
              <w:t>34</w:t>
            </w:r>
            <w:r w:rsidR="00871D91">
              <w:rPr>
                <w:sz w:val="18"/>
              </w:rPr>
              <w:t>.</w:t>
            </w:r>
            <w:r w:rsidRPr="0026263F">
              <w:rPr>
                <w:sz w:val="18"/>
              </w:rPr>
              <w:t>4</w:t>
            </w:r>
          </w:p>
        </w:tc>
        <w:tc>
          <w:tcPr>
            <w:tcW w:w="1162" w:type="dxa"/>
            <w:tcBorders>
              <w:top w:val="single" w:sz="12" w:space="0" w:color="auto"/>
            </w:tcBorders>
            <w:shd w:val="clear" w:color="auto" w:fill="auto"/>
            <w:vAlign w:val="bottom"/>
            <w:hideMark/>
          </w:tcPr>
          <w:p w:rsidR="00F233AB" w:rsidRPr="0026263F" w:rsidRDefault="00F233AB" w:rsidP="0026263F">
            <w:pPr>
              <w:suppressAutoHyphens w:val="0"/>
              <w:spacing w:before="40" w:after="40" w:line="220" w:lineRule="exact"/>
              <w:ind w:right="113"/>
              <w:jc w:val="right"/>
              <w:rPr>
                <w:sz w:val="18"/>
              </w:rPr>
            </w:pPr>
            <w:r w:rsidRPr="0026263F">
              <w:rPr>
                <w:sz w:val="18"/>
              </w:rPr>
              <w:t>34</w:t>
            </w:r>
            <w:r w:rsidR="00871D91">
              <w:rPr>
                <w:sz w:val="18"/>
              </w:rPr>
              <w:t>.</w:t>
            </w:r>
            <w:r w:rsidRPr="0026263F">
              <w:rPr>
                <w:sz w:val="18"/>
              </w:rPr>
              <w:t>5</w:t>
            </w:r>
          </w:p>
        </w:tc>
        <w:tc>
          <w:tcPr>
            <w:tcW w:w="1160" w:type="dxa"/>
            <w:tcBorders>
              <w:top w:val="single" w:sz="12" w:space="0" w:color="auto"/>
            </w:tcBorders>
            <w:shd w:val="clear" w:color="auto" w:fill="auto"/>
            <w:vAlign w:val="bottom"/>
            <w:hideMark/>
          </w:tcPr>
          <w:p w:rsidR="00F233AB" w:rsidRPr="0026263F" w:rsidRDefault="00F233AB" w:rsidP="0026263F">
            <w:pPr>
              <w:suppressAutoHyphens w:val="0"/>
              <w:spacing w:before="40" w:after="40" w:line="220" w:lineRule="exact"/>
              <w:ind w:right="113"/>
              <w:jc w:val="right"/>
              <w:rPr>
                <w:sz w:val="18"/>
              </w:rPr>
            </w:pPr>
            <w:r w:rsidRPr="0026263F">
              <w:rPr>
                <w:sz w:val="18"/>
              </w:rPr>
              <w:t>34</w:t>
            </w:r>
            <w:r w:rsidR="00871D91">
              <w:rPr>
                <w:sz w:val="18"/>
              </w:rPr>
              <w:t>.</w:t>
            </w:r>
            <w:r w:rsidRPr="0026263F">
              <w:rPr>
                <w:sz w:val="18"/>
              </w:rPr>
              <w:t>2</w:t>
            </w:r>
          </w:p>
        </w:tc>
        <w:tc>
          <w:tcPr>
            <w:tcW w:w="968" w:type="dxa"/>
            <w:tcBorders>
              <w:top w:val="single" w:sz="12" w:space="0" w:color="auto"/>
            </w:tcBorders>
            <w:shd w:val="clear" w:color="auto" w:fill="auto"/>
            <w:vAlign w:val="bottom"/>
            <w:hideMark/>
          </w:tcPr>
          <w:p w:rsidR="00F233AB" w:rsidRPr="0026263F" w:rsidRDefault="00F233AB" w:rsidP="0026263F">
            <w:pPr>
              <w:suppressAutoHyphens w:val="0"/>
              <w:spacing w:before="40" w:after="40" w:line="220" w:lineRule="exact"/>
              <w:ind w:right="113"/>
              <w:jc w:val="right"/>
              <w:rPr>
                <w:sz w:val="18"/>
              </w:rPr>
            </w:pPr>
            <w:r w:rsidRPr="0026263F">
              <w:rPr>
                <w:sz w:val="18"/>
              </w:rPr>
              <w:t>34</w:t>
            </w:r>
            <w:r w:rsidR="00871D91">
              <w:rPr>
                <w:sz w:val="18"/>
              </w:rPr>
              <w:t>.</w:t>
            </w:r>
            <w:r w:rsidRPr="0026263F">
              <w:rPr>
                <w:sz w:val="18"/>
              </w:rPr>
              <w:t>3</w:t>
            </w:r>
          </w:p>
        </w:tc>
      </w:tr>
    </w:tbl>
    <w:p w:rsidR="00F233AB" w:rsidRPr="00B02247" w:rsidRDefault="00F233AB" w:rsidP="009E4A2F">
      <w:pPr>
        <w:pStyle w:val="H23G"/>
      </w:pPr>
      <w:r w:rsidRPr="00B02247">
        <w:tab/>
      </w:r>
      <w:r w:rsidRPr="00B02247">
        <w:tab/>
        <w:t>Employment</w:t>
      </w:r>
    </w:p>
    <w:tbl>
      <w:tblPr>
        <w:tblW w:w="8508"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27"/>
        <w:gridCol w:w="783"/>
        <w:gridCol w:w="924"/>
        <w:gridCol w:w="826"/>
        <w:gridCol w:w="787"/>
        <w:gridCol w:w="996"/>
        <w:gridCol w:w="835"/>
        <w:gridCol w:w="1167"/>
        <w:gridCol w:w="871"/>
        <w:gridCol w:w="792"/>
      </w:tblGrid>
      <w:tr w:rsidR="00C9515F" w:rsidRPr="009E4A2F" w:rsidTr="00347FC8">
        <w:trPr>
          <w:tblHeader/>
        </w:trPr>
        <w:tc>
          <w:tcPr>
            <w:tcW w:w="527" w:type="dxa"/>
            <w:vMerge w:val="restart"/>
            <w:tcBorders>
              <w:top w:val="single" w:sz="4" w:space="0" w:color="auto"/>
              <w:bottom w:val="single" w:sz="12" w:space="0" w:color="auto"/>
            </w:tcBorders>
            <w:shd w:val="clear" w:color="auto" w:fill="auto"/>
            <w:noWrap/>
            <w:vAlign w:val="bottom"/>
            <w:hideMark/>
          </w:tcPr>
          <w:p w:rsidR="00F233AB" w:rsidRPr="009E4A2F" w:rsidRDefault="005B2A41" w:rsidP="009E4A2F">
            <w:pPr>
              <w:suppressAutoHyphens w:val="0"/>
              <w:spacing w:before="80" w:after="80" w:line="200" w:lineRule="exact"/>
              <w:ind w:right="113"/>
              <w:rPr>
                <w:i/>
                <w:sz w:val="16"/>
              </w:rPr>
            </w:pPr>
            <w:r w:rsidRPr="009E4A2F">
              <w:rPr>
                <w:i/>
                <w:sz w:val="16"/>
              </w:rPr>
              <w:t xml:space="preserve"> </w:t>
            </w:r>
          </w:p>
        </w:tc>
        <w:tc>
          <w:tcPr>
            <w:tcW w:w="783" w:type="dxa"/>
            <w:vMerge w:val="restart"/>
            <w:tcBorders>
              <w:top w:val="single" w:sz="4" w:space="0" w:color="auto"/>
              <w:bottom w:val="single" w:sz="12" w:space="0" w:color="auto"/>
            </w:tcBorders>
            <w:shd w:val="clear" w:color="auto" w:fill="auto"/>
            <w:vAlign w:val="bottom"/>
            <w:hideMark/>
          </w:tcPr>
          <w:p w:rsidR="00F233AB" w:rsidRPr="009E4A2F" w:rsidRDefault="00F233AB" w:rsidP="009E4A2F">
            <w:pPr>
              <w:suppressAutoHyphens w:val="0"/>
              <w:spacing w:before="80" w:after="80" w:line="200" w:lineRule="exact"/>
              <w:ind w:right="113"/>
              <w:jc w:val="right"/>
              <w:rPr>
                <w:i/>
                <w:sz w:val="16"/>
              </w:rPr>
            </w:pPr>
            <w:r w:rsidRPr="009E4A2F">
              <w:rPr>
                <w:i/>
                <w:sz w:val="16"/>
              </w:rPr>
              <w:t>Total</w:t>
            </w:r>
            <w:r w:rsidR="005B2A41" w:rsidRPr="009E4A2F">
              <w:rPr>
                <w:i/>
                <w:sz w:val="16"/>
              </w:rPr>
              <w:t xml:space="preserve"> </w:t>
            </w:r>
            <w:r w:rsidRPr="009E4A2F">
              <w:rPr>
                <w:i/>
                <w:sz w:val="16"/>
              </w:rPr>
              <w:t>employed</w:t>
            </w:r>
          </w:p>
        </w:tc>
        <w:tc>
          <w:tcPr>
            <w:tcW w:w="924" w:type="dxa"/>
            <w:tcBorders>
              <w:top w:val="single" w:sz="4" w:space="0" w:color="auto"/>
              <w:bottom w:val="single" w:sz="4" w:space="0" w:color="auto"/>
              <w:right w:val="single" w:sz="24" w:space="0" w:color="FFFFFF" w:themeColor="background1"/>
            </w:tcBorders>
            <w:shd w:val="clear" w:color="auto" w:fill="auto"/>
            <w:noWrap/>
            <w:vAlign w:val="bottom"/>
            <w:hideMark/>
          </w:tcPr>
          <w:p w:rsidR="00F233AB" w:rsidRPr="009E4A2F" w:rsidRDefault="00F233AB" w:rsidP="009E4A2F">
            <w:pPr>
              <w:suppressAutoHyphens w:val="0"/>
              <w:spacing w:before="80" w:after="80" w:line="200" w:lineRule="exact"/>
              <w:ind w:right="113"/>
              <w:jc w:val="center"/>
              <w:rPr>
                <w:i/>
                <w:sz w:val="16"/>
              </w:rPr>
            </w:pPr>
            <w:r w:rsidRPr="009E4A2F">
              <w:rPr>
                <w:i/>
                <w:sz w:val="16"/>
              </w:rPr>
              <w:t>Primary</w:t>
            </w:r>
          </w:p>
        </w:tc>
        <w:tc>
          <w:tcPr>
            <w:tcW w:w="2609"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F233AB" w:rsidRPr="009E4A2F" w:rsidRDefault="00F233AB" w:rsidP="009E4A2F">
            <w:pPr>
              <w:suppressAutoHyphens w:val="0"/>
              <w:spacing w:before="80" w:after="80" w:line="200" w:lineRule="exact"/>
              <w:ind w:right="113"/>
              <w:jc w:val="center"/>
              <w:rPr>
                <w:i/>
                <w:sz w:val="16"/>
              </w:rPr>
            </w:pPr>
            <w:r w:rsidRPr="009E4A2F">
              <w:rPr>
                <w:i/>
                <w:sz w:val="16"/>
              </w:rPr>
              <w:t>Secondary</w:t>
            </w:r>
          </w:p>
        </w:tc>
        <w:tc>
          <w:tcPr>
            <w:tcW w:w="3665" w:type="dxa"/>
            <w:gridSpan w:val="4"/>
            <w:tcBorders>
              <w:top w:val="single" w:sz="4" w:space="0" w:color="auto"/>
              <w:left w:val="single" w:sz="24" w:space="0" w:color="FFFFFF" w:themeColor="background1"/>
              <w:bottom w:val="single" w:sz="4" w:space="0" w:color="auto"/>
            </w:tcBorders>
            <w:shd w:val="clear" w:color="auto" w:fill="auto"/>
            <w:noWrap/>
            <w:vAlign w:val="bottom"/>
            <w:hideMark/>
          </w:tcPr>
          <w:p w:rsidR="00F233AB" w:rsidRPr="009E4A2F" w:rsidRDefault="00F233AB" w:rsidP="009E4A2F">
            <w:pPr>
              <w:suppressAutoHyphens w:val="0"/>
              <w:spacing w:before="80" w:after="80" w:line="200" w:lineRule="exact"/>
              <w:ind w:right="113"/>
              <w:jc w:val="center"/>
              <w:rPr>
                <w:i/>
                <w:sz w:val="16"/>
              </w:rPr>
            </w:pPr>
            <w:r w:rsidRPr="009E4A2F">
              <w:rPr>
                <w:i/>
                <w:sz w:val="16"/>
              </w:rPr>
              <w:t>Tertiary</w:t>
            </w:r>
          </w:p>
        </w:tc>
      </w:tr>
      <w:tr w:rsidR="009E4A2F" w:rsidRPr="009E4A2F" w:rsidTr="00347FC8">
        <w:trPr>
          <w:tblHeader/>
        </w:trPr>
        <w:tc>
          <w:tcPr>
            <w:tcW w:w="527" w:type="dxa"/>
            <w:vMerge/>
            <w:tcBorders>
              <w:top w:val="nil"/>
              <w:bottom w:val="single" w:sz="12" w:space="0" w:color="auto"/>
            </w:tcBorders>
            <w:shd w:val="clear" w:color="auto" w:fill="auto"/>
            <w:vAlign w:val="bottom"/>
            <w:hideMark/>
          </w:tcPr>
          <w:p w:rsidR="00F233AB" w:rsidRPr="009E4A2F" w:rsidRDefault="00F233AB" w:rsidP="009E4A2F">
            <w:pPr>
              <w:suppressAutoHyphens w:val="0"/>
              <w:spacing w:before="40" w:after="40" w:line="220" w:lineRule="exact"/>
              <w:ind w:right="113"/>
              <w:rPr>
                <w:sz w:val="18"/>
              </w:rPr>
            </w:pPr>
          </w:p>
        </w:tc>
        <w:tc>
          <w:tcPr>
            <w:tcW w:w="783" w:type="dxa"/>
            <w:vMerge/>
            <w:tcBorders>
              <w:top w:val="nil"/>
              <w:bottom w:val="single" w:sz="12" w:space="0" w:color="auto"/>
            </w:tcBorders>
            <w:shd w:val="clear" w:color="auto" w:fill="auto"/>
            <w:vAlign w:val="bottom"/>
            <w:hideMark/>
          </w:tcPr>
          <w:p w:rsidR="00F233AB" w:rsidRPr="009E4A2F" w:rsidRDefault="00F233AB" w:rsidP="009E4A2F">
            <w:pPr>
              <w:suppressAutoHyphens w:val="0"/>
              <w:spacing w:before="40" w:after="40" w:line="220" w:lineRule="exact"/>
              <w:ind w:right="113"/>
              <w:jc w:val="right"/>
              <w:rPr>
                <w:sz w:val="18"/>
              </w:rPr>
            </w:pPr>
          </w:p>
        </w:tc>
        <w:tc>
          <w:tcPr>
            <w:tcW w:w="924" w:type="dxa"/>
            <w:tcBorders>
              <w:top w:val="single" w:sz="4" w:space="0" w:color="auto"/>
              <w:bottom w:val="single" w:sz="12" w:space="0" w:color="auto"/>
              <w:right w:val="single" w:sz="24" w:space="0" w:color="FFFFFF" w:themeColor="background1"/>
            </w:tcBorders>
            <w:shd w:val="clear" w:color="auto" w:fill="auto"/>
            <w:vAlign w:val="bottom"/>
            <w:hideMark/>
          </w:tcPr>
          <w:p w:rsidR="00F233AB" w:rsidRPr="009E4A2F" w:rsidRDefault="009E4A2F" w:rsidP="009E4A2F">
            <w:pPr>
              <w:suppressAutoHyphens w:val="0"/>
              <w:spacing w:before="80" w:after="80" w:line="200" w:lineRule="exact"/>
              <w:ind w:right="113"/>
              <w:jc w:val="right"/>
              <w:rPr>
                <w:i/>
                <w:sz w:val="16"/>
              </w:rPr>
            </w:pPr>
            <w:r>
              <w:rPr>
                <w:i/>
                <w:sz w:val="16"/>
              </w:rPr>
              <w:t>Agriculture</w:t>
            </w:r>
            <w:r w:rsidR="00F233AB" w:rsidRPr="009E4A2F">
              <w:rPr>
                <w:i/>
                <w:sz w:val="16"/>
              </w:rPr>
              <w:t>,</w:t>
            </w:r>
            <w:r w:rsidR="005B2A41" w:rsidRPr="009E4A2F">
              <w:rPr>
                <w:i/>
                <w:sz w:val="16"/>
              </w:rPr>
              <w:t xml:space="preserve"> </w:t>
            </w:r>
            <w:r w:rsidR="00F233AB" w:rsidRPr="009E4A2F">
              <w:rPr>
                <w:i/>
                <w:sz w:val="16"/>
              </w:rPr>
              <w:t>forestry</w:t>
            </w:r>
            <w:r w:rsidR="005B2A41" w:rsidRPr="009E4A2F">
              <w:rPr>
                <w:i/>
                <w:sz w:val="16"/>
              </w:rPr>
              <w:t xml:space="preserve"> </w:t>
            </w:r>
            <w:r w:rsidR="00F233AB" w:rsidRPr="009E4A2F">
              <w:rPr>
                <w:i/>
                <w:sz w:val="16"/>
              </w:rPr>
              <w:t>and</w:t>
            </w:r>
            <w:r w:rsidR="005B2A41" w:rsidRPr="009E4A2F">
              <w:rPr>
                <w:i/>
                <w:sz w:val="16"/>
              </w:rPr>
              <w:t xml:space="preserve"> </w:t>
            </w:r>
            <w:r w:rsidR="00F233AB" w:rsidRPr="009E4A2F">
              <w:rPr>
                <w:i/>
                <w:sz w:val="16"/>
              </w:rPr>
              <w:t>fishing</w:t>
            </w:r>
          </w:p>
        </w:tc>
        <w:tc>
          <w:tcPr>
            <w:tcW w:w="826" w:type="dxa"/>
            <w:tcBorders>
              <w:top w:val="single" w:sz="4" w:space="0" w:color="auto"/>
              <w:left w:val="single" w:sz="24" w:space="0" w:color="FFFFFF" w:themeColor="background1"/>
              <w:bottom w:val="single" w:sz="12" w:space="0" w:color="auto"/>
            </w:tcBorders>
            <w:shd w:val="clear" w:color="auto" w:fill="auto"/>
            <w:vAlign w:val="bottom"/>
            <w:hideMark/>
          </w:tcPr>
          <w:p w:rsidR="00F233AB" w:rsidRPr="009E4A2F" w:rsidRDefault="00F233AB" w:rsidP="009E4A2F">
            <w:pPr>
              <w:suppressAutoHyphens w:val="0"/>
              <w:spacing w:before="80" w:after="80" w:line="200" w:lineRule="exact"/>
              <w:ind w:right="113"/>
              <w:jc w:val="right"/>
              <w:rPr>
                <w:i/>
                <w:sz w:val="16"/>
              </w:rPr>
            </w:pPr>
            <w:r w:rsidRPr="009E4A2F">
              <w:rPr>
                <w:i/>
                <w:sz w:val="16"/>
              </w:rPr>
              <w:t>Secondary</w:t>
            </w:r>
            <w:r w:rsidR="005B2A41" w:rsidRPr="009E4A2F">
              <w:rPr>
                <w:i/>
                <w:sz w:val="16"/>
              </w:rPr>
              <w:t xml:space="preserve"> </w:t>
            </w:r>
            <w:r w:rsidRPr="009E4A2F">
              <w:rPr>
                <w:i/>
                <w:sz w:val="16"/>
              </w:rPr>
              <w:t>sector</w:t>
            </w:r>
            <w:r w:rsidR="005B2A41" w:rsidRPr="009E4A2F">
              <w:rPr>
                <w:i/>
                <w:sz w:val="16"/>
              </w:rPr>
              <w:t xml:space="preserve"> </w:t>
            </w:r>
            <w:r w:rsidRPr="009E4A2F">
              <w:rPr>
                <w:i/>
                <w:sz w:val="16"/>
              </w:rPr>
              <w:t>total</w:t>
            </w:r>
          </w:p>
        </w:tc>
        <w:tc>
          <w:tcPr>
            <w:tcW w:w="787" w:type="dxa"/>
            <w:tcBorders>
              <w:top w:val="single" w:sz="4" w:space="0" w:color="auto"/>
              <w:bottom w:val="single" w:sz="12" w:space="0" w:color="auto"/>
            </w:tcBorders>
            <w:shd w:val="clear" w:color="auto" w:fill="auto"/>
            <w:vAlign w:val="bottom"/>
            <w:hideMark/>
          </w:tcPr>
          <w:p w:rsidR="00F233AB" w:rsidRPr="009E4A2F" w:rsidRDefault="00F233AB" w:rsidP="009E4A2F">
            <w:pPr>
              <w:suppressAutoHyphens w:val="0"/>
              <w:spacing w:before="80" w:after="80" w:line="200" w:lineRule="exact"/>
              <w:ind w:right="113"/>
              <w:jc w:val="right"/>
              <w:rPr>
                <w:i/>
                <w:sz w:val="16"/>
              </w:rPr>
            </w:pPr>
            <w:r w:rsidRPr="009E4A2F">
              <w:rPr>
                <w:i/>
                <w:sz w:val="16"/>
              </w:rPr>
              <w:t>Industry</w:t>
            </w:r>
            <w:r w:rsidR="005B2A41" w:rsidRPr="009E4A2F">
              <w:rPr>
                <w:i/>
                <w:sz w:val="16"/>
              </w:rPr>
              <w:t xml:space="preserve"> </w:t>
            </w:r>
            <w:r w:rsidRPr="009E4A2F">
              <w:rPr>
                <w:i/>
                <w:sz w:val="16"/>
              </w:rPr>
              <w:t>including</w:t>
            </w:r>
            <w:r w:rsidR="005B2A41" w:rsidRPr="009E4A2F">
              <w:rPr>
                <w:i/>
                <w:sz w:val="16"/>
              </w:rPr>
              <w:t xml:space="preserve"> </w:t>
            </w:r>
            <w:r w:rsidRPr="009E4A2F">
              <w:rPr>
                <w:i/>
                <w:sz w:val="16"/>
              </w:rPr>
              <w:t>energy</w:t>
            </w:r>
          </w:p>
        </w:tc>
        <w:tc>
          <w:tcPr>
            <w:tcW w:w="996" w:type="dxa"/>
            <w:tcBorders>
              <w:top w:val="single" w:sz="4" w:space="0" w:color="auto"/>
              <w:bottom w:val="single" w:sz="12" w:space="0" w:color="auto"/>
              <w:right w:val="single" w:sz="24" w:space="0" w:color="FFFFFF" w:themeColor="background1"/>
            </w:tcBorders>
            <w:shd w:val="clear" w:color="auto" w:fill="auto"/>
            <w:vAlign w:val="bottom"/>
            <w:hideMark/>
          </w:tcPr>
          <w:p w:rsidR="00F233AB" w:rsidRPr="009E4A2F" w:rsidRDefault="00F233AB" w:rsidP="009E4A2F">
            <w:pPr>
              <w:suppressAutoHyphens w:val="0"/>
              <w:spacing w:before="80" w:after="80" w:line="200" w:lineRule="exact"/>
              <w:ind w:right="113"/>
              <w:jc w:val="right"/>
              <w:rPr>
                <w:i/>
                <w:sz w:val="16"/>
              </w:rPr>
            </w:pPr>
            <w:r w:rsidRPr="009E4A2F">
              <w:rPr>
                <w:i/>
                <w:sz w:val="16"/>
              </w:rPr>
              <w:t>Construction</w:t>
            </w:r>
          </w:p>
        </w:tc>
        <w:tc>
          <w:tcPr>
            <w:tcW w:w="835" w:type="dxa"/>
            <w:tcBorders>
              <w:top w:val="single" w:sz="4" w:space="0" w:color="auto"/>
              <w:left w:val="single" w:sz="24" w:space="0" w:color="FFFFFF" w:themeColor="background1"/>
              <w:bottom w:val="single" w:sz="12" w:space="0" w:color="auto"/>
            </w:tcBorders>
            <w:shd w:val="clear" w:color="auto" w:fill="auto"/>
            <w:vAlign w:val="bottom"/>
            <w:hideMark/>
          </w:tcPr>
          <w:p w:rsidR="00F233AB" w:rsidRPr="009E4A2F" w:rsidRDefault="00F233AB" w:rsidP="009E4A2F">
            <w:pPr>
              <w:suppressAutoHyphens w:val="0"/>
              <w:spacing w:before="80" w:after="80" w:line="200" w:lineRule="exact"/>
              <w:ind w:right="113"/>
              <w:jc w:val="right"/>
              <w:rPr>
                <w:i/>
                <w:sz w:val="16"/>
              </w:rPr>
            </w:pPr>
            <w:r w:rsidRPr="009E4A2F">
              <w:rPr>
                <w:i/>
                <w:sz w:val="16"/>
              </w:rPr>
              <w:t>Tertiary</w:t>
            </w:r>
            <w:r w:rsidR="005B2A41" w:rsidRPr="009E4A2F">
              <w:rPr>
                <w:i/>
                <w:sz w:val="16"/>
              </w:rPr>
              <w:t xml:space="preserve"> </w:t>
            </w:r>
            <w:r w:rsidRPr="009E4A2F">
              <w:rPr>
                <w:i/>
                <w:sz w:val="16"/>
              </w:rPr>
              <w:t>sector</w:t>
            </w:r>
            <w:r w:rsidR="005B2A41" w:rsidRPr="009E4A2F">
              <w:rPr>
                <w:i/>
                <w:sz w:val="16"/>
              </w:rPr>
              <w:t xml:space="preserve"> </w:t>
            </w:r>
            <w:r w:rsidRPr="009E4A2F">
              <w:rPr>
                <w:i/>
                <w:sz w:val="16"/>
              </w:rPr>
              <w:t>total</w:t>
            </w:r>
          </w:p>
        </w:tc>
        <w:tc>
          <w:tcPr>
            <w:tcW w:w="1167" w:type="dxa"/>
            <w:tcBorders>
              <w:top w:val="single" w:sz="4" w:space="0" w:color="auto"/>
              <w:bottom w:val="single" w:sz="12" w:space="0" w:color="auto"/>
            </w:tcBorders>
            <w:shd w:val="clear" w:color="auto" w:fill="auto"/>
            <w:vAlign w:val="bottom"/>
            <w:hideMark/>
          </w:tcPr>
          <w:p w:rsidR="00F233AB" w:rsidRPr="009E4A2F" w:rsidRDefault="00F233AB" w:rsidP="009E4A2F">
            <w:pPr>
              <w:suppressAutoHyphens w:val="0"/>
              <w:spacing w:before="80" w:after="80" w:line="200" w:lineRule="exact"/>
              <w:ind w:right="113"/>
              <w:jc w:val="right"/>
              <w:rPr>
                <w:i/>
                <w:sz w:val="16"/>
              </w:rPr>
            </w:pPr>
            <w:r w:rsidRPr="009E4A2F">
              <w:rPr>
                <w:i/>
                <w:sz w:val="16"/>
              </w:rPr>
              <w:t>Trade,</w:t>
            </w:r>
            <w:r w:rsidR="005B2A41" w:rsidRPr="009E4A2F">
              <w:rPr>
                <w:i/>
                <w:sz w:val="16"/>
              </w:rPr>
              <w:t xml:space="preserve"> </w:t>
            </w:r>
            <w:r w:rsidRPr="009E4A2F">
              <w:rPr>
                <w:i/>
                <w:sz w:val="16"/>
              </w:rPr>
              <w:t>hotels</w:t>
            </w:r>
            <w:r w:rsidR="005B2A41" w:rsidRPr="009E4A2F">
              <w:rPr>
                <w:i/>
                <w:sz w:val="16"/>
              </w:rPr>
              <w:t xml:space="preserve"> </w:t>
            </w:r>
            <w:r w:rsidRPr="009E4A2F">
              <w:rPr>
                <w:i/>
                <w:sz w:val="16"/>
              </w:rPr>
              <w:t>and</w:t>
            </w:r>
            <w:r w:rsidR="005B2A41" w:rsidRPr="009E4A2F">
              <w:rPr>
                <w:i/>
                <w:sz w:val="16"/>
              </w:rPr>
              <w:t xml:space="preserve"> </w:t>
            </w:r>
            <w:r w:rsidRPr="009E4A2F">
              <w:rPr>
                <w:i/>
                <w:sz w:val="16"/>
              </w:rPr>
              <w:t>restaurants,</w:t>
            </w:r>
            <w:r w:rsidR="005B2A41" w:rsidRPr="009E4A2F">
              <w:rPr>
                <w:i/>
                <w:sz w:val="16"/>
              </w:rPr>
              <w:t xml:space="preserve"> </w:t>
            </w:r>
            <w:r w:rsidRPr="009E4A2F">
              <w:rPr>
                <w:i/>
                <w:sz w:val="16"/>
              </w:rPr>
              <w:t>transport</w:t>
            </w:r>
            <w:r w:rsidR="005B2A41" w:rsidRPr="009E4A2F">
              <w:rPr>
                <w:i/>
                <w:sz w:val="16"/>
              </w:rPr>
              <w:t xml:space="preserve"> </w:t>
            </w:r>
            <w:r w:rsidRPr="009E4A2F">
              <w:rPr>
                <w:i/>
                <w:sz w:val="16"/>
              </w:rPr>
              <w:t>and</w:t>
            </w:r>
            <w:r w:rsidR="005B2A41" w:rsidRPr="009E4A2F">
              <w:rPr>
                <w:i/>
                <w:sz w:val="16"/>
              </w:rPr>
              <w:t xml:space="preserve"> </w:t>
            </w:r>
            <w:r w:rsidRPr="009E4A2F">
              <w:rPr>
                <w:i/>
                <w:sz w:val="16"/>
              </w:rPr>
              <w:t>communication</w:t>
            </w:r>
          </w:p>
        </w:tc>
        <w:tc>
          <w:tcPr>
            <w:tcW w:w="871" w:type="dxa"/>
            <w:tcBorders>
              <w:top w:val="single" w:sz="4" w:space="0" w:color="auto"/>
              <w:bottom w:val="single" w:sz="12" w:space="0" w:color="auto"/>
            </w:tcBorders>
            <w:shd w:val="clear" w:color="auto" w:fill="auto"/>
            <w:vAlign w:val="bottom"/>
            <w:hideMark/>
          </w:tcPr>
          <w:p w:rsidR="00F233AB" w:rsidRPr="009E4A2F" w:rsidRDefault="00F233AB" w:rsidP="009E4A2F">
            <w:pPr>
              <w:suppressAutoHyphens w:val="0"/>
              <w:spacing w:before="80" w:after="80" w:line="200" w:lineRule="exact"/>
              <w:ind w:right="113"/>
              <w:jc w:val="right"/>
              <w:rPr>
                <w:i/>
                <w:sz w:val="16"/>
              </w:rPr>
            </w:pPr>
            <w:r w:rsidRPr="009E4A2F">
              <w:rPr>
                <w:i/>
                <w:sz w:val="16"/>
              </w:rPr>
              <w:t>Financial,</w:t>
            </w:r>
            <w:r w:rsidR="005B2A41" w:rsidRPr="009E4A2F">
              <w:rPr>
                <w:i/>
                <w:sz w:val="16"/>
              </w:rPr>
              <w:t xml:space="preserve"> </w:t>
            </w:r>
            <w:r w:rsidRPr="009E4A2F">
              <w:rPr>
                <w:i/>
                <w:sz w:val="16"/>
              </w:rPr>
              <w:t>real</w:t>
            </w:r>
            <w:r w:rsidR="005B2A41" w:rsidRPr="009E4A2F">
              <w:rPr>
                <w:i/>
                <w:sz w:val="16"/>
              </w:rPr>
              <w:t xml:space="preserve"> </w:t>
            </w:r>
            <w:r w:rsidRPr="009E4A2F">
              <w:rPr>
                <w:i/>
                <w:sz w:val="16"/>
              </w:rPr>
              <w:t>estate,</w:t>
            </w:r>
            <w:r w:rsidR="005B2A41" w:rsidRPr="009E4A2F">
              <w:rPr>
                <w:i/>
                <w:sz w:val="16"/>
              </w:rPr>
              <w:t xml:space="preserve"> </w:t>
            </w:r>
            <w:r w:rsidRPr="009E4A2F">
              <w:rPr>
                <w:i/>
                <w:sz w:val="16"/>
              </w:rPr>
              <w:t>renting</w:t>
            </w:r>
            <w:r w:rsidR="005B2A41" w:rsidRPr="009E4A2F">
              <w:rPr>
                <w:i/>
                <w:sz w:val="16"/>
              </w:rPr>
              <w:t xml:space="preserve"> </w:t>
            </w:r>
            <w:r w:rsidRPr="009E4A2F">
              <w:rPr>
                <w:i/>
                <w:sz w:val="16"/>
              </w:rPr>
              <w:t>and</w:t>
            </w:r>
            <w:r w:rsidR="005B2A41" w:rsidRPr="009E4A2F">
              <w:rPr>
                <w:i/>
                <w:sz w:val="16"/>
              </w:rPr>
              <w:t xml:space="preserve"> </w:t>
            </w:r>
            <w:r w:rsidRPr="009E4A2F">
              <w:rPr>
                <w:i/>
                <w:sz w:val="16"/>
              </w:rPr>
              <w:t>business</w:t>
            </w:r>
            <w:r w:rsidR="005B2A41" w:rsidRPr="009E4A2F">
              <w:rPr>
                <w:i/>
                <w:sz w:val="16"/>
              </w:rPr>
              <w:t xml:space="preserve"> </w:t>
            </w:r>
            <w:r w:rsidRPr="009E4A2F">
              <w:rPr>
                <w:i/>
                <w:sz w:val="16"/>
              </w:rPr>
              <w:t>activities</w:t>
            </w:r>
          </w:p>
        </w:tc>
        <w:tc>
          <w:tcPr>
            <w:tcW w:w="792" w:type="dxa"/>
            <w:tcBorders>
              <w:top w:val="single" w:sz="4" w:space="0" w:color="auto"/>
              <w:bottom w:val="single" w:sz="12" w:space="0" w:color="auto"/>
            </w:tcBorders>
            <w:shd w:val="clear" w:color="auto" w:fill="auto"/>
            <w:vAlign w:val="bottom"/>
            <w:hideMark/>
          </w:tcPr>
          <w:p w:rsidR="00F233AB" w:rsidRPr="009E4A2F" w:rsidRDefault="00F233AB" w:rsidP="009E4A2F">
            <w:pPr>
              <w:suppressAutoHyphens w:val="0"/>
              <w:spacing w:before="80" w:after="80" w:line="200" w:lineRule="exact"/>
              <w:ind w:right="113"/>
              <w:jc w:val="right"/>
              <w:rPr>
                <w:i/>
                <w:sz w:val="16"/>
              </w:rPr>
            </w:pPr>
            <w:r w:rsidRPr="009E4A2F">
              <w:rPr>
                <w:i/>
                <w:sz w:val="16"/>
              </w:rPr>
              <w:t>Other</w:t>
            </w:r>
            <w:r w:rsidR="005B2A41" w:rsidRPr="009E4A2F">
              <w:rPr>
                <w:i/>
                <w:sz w:val="16"/>
              </w:rPr>
              <w:t xml:space="preserve"> </w:t>
            </w:r>
            <w:r w:rsidRPr="009E4A2F">
              <w:rPr>
                <w:i/>
                <w:sz w:val="16"/>
              </w:rPr>
              <w:t>service</w:t>
            </w:r>
            <w:r w:rsidR="005B2A41" w:rsidRPr="009E4A2F">
              <w:rPr>
                <w:i/>
                <w:sz w:val="16"/>
              </w:rPr>
              <w:t xml:space="preserve"> </w:t>
            </w:r>
            <w:r w:rsidRPr="009E4A2F">
              <w:rPr>
                <w:i/>
                <w:sz w:val="16"/>
              </w:rPr>
              <w:t>activities</w:t>
            </w:r>
          </w:p>
        </w:tc>
      </w:tr>
      <w:tr w:rsidR="00C9515F" w:rsidRPr="009E4A2F" w:rsidTr="00347FC8">
        <w:tc>
          <w:tcPr>
            <w:tcW w:w="527" w:type="dxa"/>
            <w:tcBorders>
              <w:top w:val="single" w:sz="12" w:space="0" w:color="auto"/>
            </w:tcBorders>
            <w:shd w:val="clear" w:color="auto" w:fill="auto"/>
            <w:noWrap/>
            <w:hideMark/>
          </w:tcPr>
          <w:p w:rsidR="00F233AB" w:rsidRPr="009E4A2F" w:rsidRDefault="00F233AB" w:rsidP="009E4A2F">
            <w:pPr>
              <w:suppressAutoHyphens w:val="0"/>
              <w:spacing w:before="40" w:after="40" w:line="220" w:lineRule="exact"/>
              <w:ind w:right="113"/>
              <w:rPr>
                <w:sz w:val="18"/>
              </w:rPr>
            </w:pPr>
            <w:r w:rsidRPr="009E4A2F">
              <w:rPr>
                <w:sz w:val="18"/>
              </w:rPr>
              <w:t>2009</w:t>
            </w:r>
          </w:p>
        </w:tc>
        <w:tc>
          <w:tcPr>
            <w:tcW w:w="783" w:type="dxa"/>
            <w:tcBorders>
              <w:top w:val="single" w:sz="12"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4</w:t>
            </w:r>
            <w:r w:rsidR="00871D91">
              <w:rPr>
                <w:sz w:val="18"/>
              </w:rPr>
              <w:t xml:space="preserve"> </w:t>
            </w:r>
            <w:r w:rsidRPr="009E4A2F">
              <w:rPr>
                <w:sz w:val="18"/>
              </w:rPr>
              <w:t>556</w:t>
            </w:r>
            <w:r w:rsidR="00871D91">
              <w:rPr>
                <w:sz w:val="18"/>
              </w:rPr>
              <w:t>.</w:t>
            </w:r>
            <w:r w:rsidRPr="009E4A2F">
              <w:rPr>
                <w:sz w:val="18"/>
              </w:rPr>
              <w:t>00</w:t>
            </w:r>
          </w:p>
        </w:tc>
        <w:tc>
          <w:tcPr>
            <w:tcW w:w="924" w:type="dxa"/>
            <w:tcBorders>
              <w:top w:val="single" w:sz="12"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532</w:t>
            </w:r>
            <w:r w:rsidR="00871D91">
              <w:rPr>
                <w:sz w:val="18"/>
              </w:rPr>
              <w:t>.</w:t>
            </w:r>
            <w:r w:rsidRPr="009E4A2F">
              <w:rPr>
                <w:sz w:val="18"/>
              </w:rPr>
              <w:t>9</w:t>
            </w:r>
          </w:p>
        </w:tc>
        <w:tc>
          <w:tcPr>
            <w:tcW w:w="826" w:type="dxa"/>
            <w:tcBorders>
              <w:top w:val="single" w:sz="12"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962</w:t>
            </w:r>
            <w:r w:rsidR="00871D91">
              <w:rPr>
                <w:sz w:val="18"/>
              </w:rPr>
              <w:t>.</w:t>
            </w:r>
            <w:r w:rsidRPr="009E4A2F">
              <w:rPr>
                <w:sz w:val="18"/>
              </w:rPr>
              <w:t>7</w:t>
            </w:r>
          </w:p>
        </w:tc>
        <w:tc>
          <w:tcPr>
            <w:tcW w:w="787" w:type="dxa"/>
            <w:tcBorders>
              <w:top w:val="single" w:sz="12"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592</w:t>
            </w:r>
          </w:p>
        </w:tc>
        <w:tc>
          <w:tcPr>
            <w:tcW w:w="996" w:type="dxa"/>
            <w:tcBorders>
              <w:top w:val="single" w:sz="12"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370</w:t>
            </w:r>
            <w:r w:rsidR="00871D91">
              <w:rPr>
                <w:sz w:val="18"/>
              </w:rPr>
              <w:t>.</w:t>
            </w:r>
            <w:r w:rsidRPr="009E4A2F">
              <w:rPr>
                <w:sz w:val="18"/>
              </w:rPr>
              <w:t>7</w:t>
            </w:r>
          </w:p>
        </w:tc>
        <w:tc>
          <w:tcPr>
            <w:tcW w:w="835" w:type="dxa"/>
            <w:tcBorders>
              <w:top w:val="single" w:sz="12"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3</w:t>
            </w:r>
            <w:r w:rsidR="00871D91">
              <w:rPr>
                <w:sz w:val="18"/>
              </w:rPr>
              <w:t xml:space="preserve"> </w:t>
            </w:r>
            <w:r w:rsidRPr="009E4A2F">
              <w:rPr>
                <w:sz w:val="18"/>
              </w:rPr>
              <w:t>060</w:t>
            </w:r>
            <w:r w:rsidR="00871D91">
              <w:rPr>
                <w:sz w:val="18"/>
              </w:rPr>
              <w:t>.</w:t>
            </w:r>
            <w:r w:rsidRPr="009E4A2F">
              <w:rPr>
                <w:sz w:val="18"/>
              </w:rPr>
              <w:t>40</w:t>
            </w:r>
          </w:p>
        </w:tc>
        <w:tc>
          <w:tcPr>
            <w:tcW w:w="1167" w:type="dxa"/>
            <w:tcBorders>
              <w:top w:val="single" w:sz="12"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1</w:t>
            </w:r>
            <w:r w:rsidR="00871D91">
              <w:rPr>
                <w:sz w:val="18"/>
              </w:rPr>
              <w:t xml:space="preserve"> </w:t>
            </w:r>
            <w:r w:rsidRPr="009E4A2F">
              <w:rPr>
                <w:sz w:val="18"/>
              </w:rPr>
              <w:t>428</w:t>
            </w:r>
            <w:r w:rsidR="00871D91">
              <w:rPr>
                <w:sz w:val="18"/>
              </w:rPr>
              <w:t>.</w:t>
            </w:r>
            <w:r w:rsidRPr="009E4A2F">
              <w:rPr>
                <w:sz w:val="18"/>
              </w:rPr>
              <w:t>90</w:t>
            </w:r>
          </w:p>
        </w:tc>
        <w:tc>
          <w:tcPr>
            <w:tcW w:w="871" w:type="dxa"/>
            <w:tcBorders>
              <w:top w:val="single" w:sz="12"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457</w:t>
            </w:r>
            <w:r w:rsidR="00871D91">
              <w:rPr>
                <w:sz w:val="18"/>
              </w:rPr>
              <w:t>.</w:t>
            </w:r>
            <w:r w:rsidRPr="009E4A2F">
              <w:rPr>
                <w:sz w:val="18"/>
              </w:rPr>
              <w:t>3</w:t>
            </w:r>
          </w:p>
        </w:tc>
        <w:tc>
          <w:tcPr>
            <w:tcW w:w="792" w:type="dxa"/>
            <w:tcBorders>
              <w:top w:val="single" w:sz="12"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1</w:t>
            </w:r>
            <w:r w:rsidR="00871D91">
              <w:rPr>
                <w:sz w:val="18"/>
              </w:rPr>
              <w:t xml:space="preserve"> </w:t>
            </w:r>
            <w:r w:rsidRPr="009E4A2F">
              <w:rPr>
                <w:sz w:val="18"/>
              </w:rPr>
              <w:t>174</w:t>
            </w:r>
            <w:r w:rsidR="00871D91">
              <w:rPr>
                <w:sz w:val="18"/>
              </w:rPr>
              <w:t>.</w:t>
            </w:r>
            <w:r w:rsidRPr="009E4A2F">
              <w:rPr>
                <w:sz w:val="18"/>
              </w:rPr>
              <w:t>30</w:t>
            </w:r>
          </w:p>
        </w:tc>
      </w:tr>
      <w:tr w:rsidR="00C9515F" w:rsidRPr="009E4A2F" w:rsidTr="00347FC8">
        <w:tc>
          <w:tcPr>
            <w:tcW w:w="527" w:type="dxa"/>
            <w:shd w:val="clear" w:color="auto" w:fill="auto"/>
            <w:noWrap/>
            <w:hideMark/>
          </w:tcPr>
          <w:p w:rsidR="00F233AB" w:rsidRPr="009E4A2F" w:rsidRDefault="00F233AB" w:rsidP="009E4A2F">
            <w:pPr>
              <w:suppressAutoHyphens w:val="0"/>
              <w:spacing w:before="40" w:after="40" w:line="220" w:lineRule="exact"/>
              <w:ind w:right="113"/>
              <w:rPr>
                <w:sz w:val="18"/>
              </w:rPr>
            </w:pPr>
            <w:r w:rsidRPr="009E4A2F">
              <w:rPr>
                <w:sz w:val="18"/>
              </w:rPr>
              <w:t>2010</w:t>
            </w:r>
          </w:p>
        </w:tc>
        <w:tc>
          <w:tcPr>
            <w:tcW w:w="783"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4</w:t>
            </w:r>
            <w:r w:rsidR="00871D91">
              <w:rPr>
                <w:sz w:val="18"/>
              </w:rPr>
              <w:t xml:space="preserve"> </w:t>
            </w:r>
            <w:r w:rsidRPr="009E4A2F">
              <w:rPr>
                <w:sz w:val="18"/>
              </w:rPr>
              <w:t>389</w:t>
            </w:r>
            <w:r w:rsidR="00871D91">
              <w:rPr>
                <w:sz w:val="18"/>
              </w:rPr>
              <w:t>.</w:t>
            </w:r>
            <w:r w:rsidRPr="009E4A2F">
              <w:rPr>
                <w:sz w:val="18"/>
              </w:rPr>
              <w:t>80</w:t>
            </w:r>
          </w:p>
        </w:tc>
        <w:tc>
          <w:tcPr>
            <w:tcW w:w="924"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544</w:t>
            </w:r>
            <w:r w:rsidR="00871D91">
              <w:rPr>
                <w:sz w:val="18"/>
              </w:rPr>
              <w:t>.</w:t>
            </w:r>
            <w:r w:rsidRPr="009E4A2F">
              <w:rPr>
                <w:sz w:val="18"/>
              </w:rPr>
              <w:t>2</w:t>
            </w:r>
          </w:p>
        </w:tc>
        <w:tc>
          <w:tcPr>
            <w:tcW w:w="826"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859</w:t>
            </w:r>
            <w:r w:rsidR="00871D91">
              <w:rPr>
                <w:sz w:val="18"/>
              </w:rPr>
              <w:t>.</w:t>
            </w:r>
            <w:r w:rsidRPr="009E4A2F">
              <w:rPr>
                <w:sz w:val="18"/>
              </w:rPr>
              <w:t>8</w:t>
            </w:r>
          </w:p>
        </w:tc>
        <w:tc>
          <w:tcPr>
            <w:tcW w:w="787"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540</w:t>
            </w:r>
            <w:r w:rsidR="00871D91">
              <w:rPr>
                <w:sz w:val="18"/>
              </w:rPr>
              <w:t>.</w:t>
            </w:r>
            <w:r w:rsidRPr="009E4A2F">
              <w:rPr>
                <w:sz w:val="18"/>
              </w:rPr>
              <w:t>2</w:t>
            </w:r>
          </w:p>
        </w:tc>
        <w:tc>
          <w:tcPr>
            <w:tcW w:w="996"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319</w:t>
            </w:r>
            <w:r w:rsidR="00871D91">
              <w:rPr>
                <w:sz w:val="18"/>
              </w:rPr>
              <w:t>.</w:t>
            </w:r>
            <w:r w:rsidRPr="009E4A2F">
              <w:rPr>
                <w:sz w:val="18"/>
              </w:rPr>
              <w:t>6</w:t>
            </w:r>
          </w:p>
        </w:tc>
        <w:tc>
          <w:tcPr>
            <w:tcW w:w="835"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2</w:t>
            </w:r>
            <w:r w:rsidR="00871D91">
              <w:rPr>
                <w:sz w:val="18"/>
              </w:rPr>
              <w:t xml:space="preserve"> </w:t>
            </w:r>
            <w:r w:rsidRPr="009E4A2F">
              <w:rPr>
                <w:sz w:val="18"/>
              </w:rPr>
              <w:t>985</w:t>
            </w:r>
            <w:r w:rsidR="00871D91">
              <w:rPr>
                <w:sz w:val="18"/>
              </w:rPr>
              <w:t>.</w:t>
            </w:r>
            <w:r w:rsidRPr="009E4A2F">
              <w:rPr>
                <w:sz w:val="18"/>
              </w:rPr>
              <w:t>80</w:t>
            </w:r>
          </w:p>
        </w:tc>
        <w:tc>
          <w:tcPr>
            <w:tcW w:w="1167"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1</w:t>
            </w:r>
            <w:r w:rsidR="00871D91">
              <w:rPr>
                <w:sz w:val="18"/>
              </w:rPr>
              <w:t xml:space="preserve"> </w:t>
            </w:r>
            <w:r w:rsidRPr="009E4A2F">
              <w:rPr>
                <w:sz w:val="18"/>
              </w:rPr>
              <w:t>380</w:t>
            </w:r>
            <w:r w:rsidR="00871D91">
              <w:rPr>
                <w:sz w:val="18"/>
              </w:rPr>
              <w:t>.</w:t>
            </w:r>
            <w:r w:rsidRPr="009E4A2F">
              <w:rPr>
                <w:sz w:val="18"/>
              </w:rPr>
              <w:t>00</w:t>
            </w:r>
          </w:p>
        </w:tc>
        <w:tc>
          <w:tcPr>
            <w:tcW w:w="871"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438</w:t>
            </w:r>
          </w:p>
        </w:tc>
        <w:tc>
          <w:tcPr>
            <w:tcW w:w="792"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1</w:t>
            </w:r>
            <w:r w:rsidR="00871D91">
              <w:rPr>
                <w:sz w:val="18"/>
              </w:rPr>
              <w:t xml:space="preserve"> </w:t>
            </w:r>
            <w:r w:rsidRPr="009E4A2F">
              <w:rPr>
                <w:sz w:val="18"/>
              </w:rPr>
              <w:t>167</w:t>
            </w:r>
            <w:r w:rsidR="00871D91">
              <w:rPr>
                <w:sz w:val="18"/>
              </w:rPr>
              <w:t>.</w:t>
            </w:r>
            <w:r w:rsidRPr="009E4A2F">
              <w:rPr>
                <w:sz w:val="18"/>
              </w:rPr>
              <w:t>80</w:t>
            </w:r>
          </w:p>
        </w:tc>
      </w:tr>
      <w:tr w:rsidR="00C9515F" w:rsidRPr="009E4A2F" w:rsidTr="00347FC8">
        <w:tc>
          <w:tcPr>
            <w:tcW w:w="527" w:type="dxa"/>
            <w:shd w:val="clear" w:color="auto" w:fill="auto"/>
            <w:noWrap/>
            <w:hideMark/>
          </w:tcPr>
          <w:p w:rsidR="00F233AB" w:rsidRPr="009E4A2F" w:rsidRDefault="00F233AB" w:rsidP="009E4A2F">
            <w:pPr>
              <w:suppressAutoHyphens w:val="0"/>
              <w:spacing w:before="40" w:after="40" w:line="220" w:lineRule="exact"/>
              <w:ind w:right="113"/>
              <w:rPr>
                <w:sz w:val="18"/>
              </w:rPr>
            </w:pPr>
            <w:r w:rsidRPr="009E4A2F">
              <w:rPr>
                <w:sz w:val="18"/>
              </w:rPr>
              <w:t>2011</w:t>
            </w:r>
          </w:p>
        </w:tc>
        <w:tc>
          <w:tcPr>
            <w:tcW w:w="783"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4</w:t>
            </w:r>
            <w:r w:rsidR="00871D91">
              <w:rPr>
                <w:sz w:val="18"/>
              </w:rPr>
              <w:t xml:space="preserve"> </w:t>
            </w:r>
            <w:r w:rsidRPr="009E4A2F">
              <w:rPr>
                <w:sz w:val="18"/>
              </w:rPr>
              <w:t>054</w:t>
            </w:r>
            <w:r w:rsidR="00871D91">
              <w:rPr>
                <w:sz w:val="18"/>
              </w:rPr>
              <w:t>.</w:t>
            </w:r>
            <w:r w:rsidRPr="009E4A2F">
              <w:rPr>
                <w:sz w:val="18"/>
              </w:rPr>
              <w:t>30</w:t>
            </w:r>
          </w:p>
        </w:tc>
        <w:tc>
          <w:tcPr>
            <w:tcW w:w="924"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500</w:t>
            </w:r>
            <w:r w:rsidR="00871D91">
              <w:rPr>
                <w:sz w:val="18"/>
              </w:rPr>
              <w:t>.</w:t>
            </w:r>
            <w:r w:rsidRPr="009E4A2F">
              <w:rPr>
                <w:sz w:val="18"/>
              </w:rPr>
              <w:t>7</w:t>
            </w:r>
          </w:p>
        </w:tc>
        <w:tc>
          <w:tcPr>
            <w:tcW w:w="826"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717</w:t>
            </w:r>
            <w:r w:rsidR="00871D91">
              <w:rPr>
                <w:sz w:val="18"/>
              </w:rPr>
              <w:t>.</w:t>
            </w:r>
            <w:r w:rsidRPr="009E4A2F">
              <w:rPr>
                <w:sz w:val="18"/>
              </w:rPr>
              <w:t>2</w:t>
            </w:r>
          </w:p>
        </w:tc>
        <w:tc>
          <w:tcPr>
            <w:tcW w:w="787"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471</w:t>
            </w:r>
            <w:r w:rsidR="00871D91">
              <w:rPr>
                <w:sz w:val="18"/>
              </w:rPr>
              <w:t>.</w:t>
            </w:r>
            <w:r w:rsidRPr="009E4A2F">
              <w:rPr>
                <w:sz w:val="18"/>
              </w:rPr>
              <w:t>4</w:t>
            </w:r>
          </w:p>
        </w:tc>
        <w:tc>
          <w:tcPr>
            <w:tcW w:w="996"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245</w:t>
            </w:r>
            <w:r w:rsidR="00871D91">
              <w:rPr>
                <w:sz w:val="18"/>
              </w:rPr>
              <w:t>.</w:t>
            </w:r>
            <w:r w:rsidRPr="009E4A2F">
              <w:rPr>
                <w:sz w:val="18"/>
              </w:rPr>
              <w:t>8</w:t>
            </w:r>
          </w:p>
        </w:tc>
        <w:tc>
          <w:tcPr>
            <w:tcW w:w="835"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2</w:t>
            </w:r>
            <w:r w:rsidR="00871D91">
              <w:rPr>
                <w:sz w:val="18"/>
              </w:rPr>
              <w:t xml:space="preserve"> </w:t>
            </w:r>
            <w:r w:rsidRPr="009E4A2F">
              <w:rPr>
                <w:sz w:val="18"/>
              </w:rPr>
              <w:t>836</w:t>
            </w:r>
            <w:r w:rsidR="00871D91">
              <w:rPr>
                <w:sz w:val="18"/>
              </w:rPr>
              <w:t>.</w:t>
            </w:r>
            <w:r w:rsidRPr="009E4A2F">
              <w:rPr>
                <w:sz w:val="18"/>
              </w:rPr>
              <w:t>50</w:t>
            </w:r>
          </w:p>
        </w:tc>
        <w:tc>
          <w:tcPr>
            <w:tcW w:w="1167"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1</w:t>
            </w:r>
            <w:r w:rsidR="00871D91">
              <w:rPr>
                <w:sz w:val="18"/>
              </w:rPr>
              <w:t xml:space="preserve"> </w:t>
            </w:r>
            <w:r w:rsidRPr="009E4A2F">
              <w:rPr>
                <w:sz w:val="18"/>
              </w:rPr>
              <w:t>298</w:t>
            </w:r>
            <w:r w:rsidR="00871D91">
              <w:rPr>
                <w:sz w:val="18"/>
              </w:rPr>
              <w:t>.</w:t>
            </w:r>
            <w:r w:rsidRPr="009E4A2F">
              <w:rPr>
                <w:sz w:val="18"/>
              </w:rPr>
              <w:t>10</w:t>
            </w:r>
          </w:p>
        </w:tc>
        <w:tc>
          <w:tcPr>
            <w:tcW w:w="871"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432</w:t>
            </w:r>
            <w:r w:rsidR="00871D91">
              <w:rPr>
                <w:sz w:val="18"/>
              </w:rPr>
              <w:t>.</w:t>
            </w:r>
            <w:r w:rsidRPr="009E4A2F">
              <w:rPr>
                <w:sz w:val="18"/>
              </w:rPr>
              <w:t>4</w:t>
            </w:r>
          </w:p>
        </w:tc>
        <w:tc>
          <w:tcPr>
            <w:tcW w:w="792"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1</w:t>
            </w:r>
            <w:r w:rsidR="00871D91">
              <w:rPr>
                <w:sz w:val="18"/>
              </w:rPr>
              <w:t xml:space="preserve"> </w:t>
            </w:r>
            <w:r w:rsidRPr="009E4A2F">
              <w:rPr>
                <w:sz w:val="18"/>
              </w:rPr>
              <w:t>106</w:t>
            </w:r>
            <w:r w:rsidR="00871D91">
              <w:rPr>
                <w:sz w:val="18"/>
              </w:rPr>
              <w:t>.</w:t>
            </w:r>
            <w:r w:rsidRPr="009E4A2F">
              <w:rPr>
                <w:sz w:val="18"/>
              </w:rPr>
              <w:t>00</w:t>
            </w:r>
          </w:p>
        </w:tc>
      </w:tr>
      <w:tr w:rsidR="00C9515F" w:rsidRPr="009E4A2F" w:rsidTr="00347FC8">
        <w:tc>
          <w:tcPr>
            <w:tcW w:w="527" w:type="dxa"/>
            <w:shd w:val="clear" w:color="auto" w:fill="auto"/>
            <w:noWrap/>
            <w:hideMark/>
          </w:tcPr>
          <w:p w:rsidR="00F233AB" w:rsidRPr="009E4A2F" w:rsidRDefault="00F233AB" w:rsidP="009E4A2F">
            <w:pPr>
              <w:suppressAutoHyphens w:val="0"/>
              <w:spacing w:before="40" w:after="40" w:line="220" w:lineRule="exact"/>
              <w:ind w:right="113"/>
              <w:rPr>
                <w:sz w:val="18"/>
              </w:rPr>
            </w:pPr>
            <w:r w:rsidRPr="009E4A2F">
              <w:rPr>
                <w:sz w:val="18"/>
              </w:rPr>
              <w:t>2012</w:t>
            </w:r>
          </w:p>
        </w:tc>
        <w:tc>
          <w:tcPr>
            <w:tcW w:w="783"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3</w:t>
            </w:r>
            <w:r w:rsidR="00871D91">
              <w:rPr>
                <w:sz w:val="18"/>
              </w:rPr>
              <w:t xml:space="preserve"> </w:t>
            </w:r>
            <w:r w:rsidRPr="009E4A2F">
              <w:rPr>
                <w:sz w:val="18"/>
              </w:rPr>
              <w:t>695</w:t>
            </w:r>
            <w:r w:rsidR="00871D91">
              <w:rPr>
                <w:sz w:val="18"/>
              </w:rPr>
              <w:t>.</w:t>
            </w:r>
            <w:r w:rsidRPr="009E4A2F">
              <w:rPr>
                <w:sz w:val="18"/>
              </w:rPr>
              <w:t>00</w:t>
            </w:r>
          </w:p>
        </w:tc>
        <w:tc>
          <w:tcPr>
            <w:tcW w:w="924"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480</w:t>
            </w:r>
            <w:r w:rsidR="00871D91">
              <w:rPr>
                <w:sz w:val="18"/>
              </w:rPr>
              <w:t>.</w:t>
            </w:r>
            <w:r w:rsidRPr="009E4A2F">
              <w:rPr>
                <w:sz w:val="18"/>
              </w:rPr>
              <w:t>5</w:t>
            </w:r>
          </w:p>
        </w:tc>
        <w:tc>
          <w:tcPr>
            <w:tcW w:w="826"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611</w:t>
            </w:r>
            <w:r w:rsidR="00871D91">
              <w:rPr>
                <w:sz w:val="18"/>
              </w:rPr>
              <w:t>.</w:t>
            </w:r>
            <w:r w:rsidRPr="009E4A2F">
              <w:rPr>
                <w:sz w:val="18"/>
              </w:rPr>
              <w:t>3</w:t>
            </w:r>
          </w:p>
        </w:tc>
        <w:tc>
          <w:tcPr>
            <w:tcW w:w="787"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410</w:t>
            </w:r>
            <w:r w:rsidR="00871D91">
              <w:rPr>
                <w:sz w:val="18"/>
              </w:rPr>
              <w:t>.</w:t>
            </w:r>
            <w:r w:rsidRPr="009E4A2F">
              <w:rPr>
                <w:sz w:val="18"/>
              </w:rPr>
              <w:t>4</w:t>
            </w:r>
          </w:p>
        </w:tc>
        <w:tc>
          <w:tcPr>
            <w:tcW w:w="996"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200</w:t>
            </w:r>
            <w:r w:rsidR="00871D91">
              <w:rPr>
                <w:sz w:val="18"/>
              </w:rPr>
              <w:t>.</w:t>
            </w:r>
            <w:r w:rsidRPr="009E4A2F">
              <w:rPr>
                <w:sz w:val="18"/>
              </w:rPr>
              <w:t>9</w:t>
            </w:r>
          </w:p>
        </w:tc>
        <w:tc>
          <w:tcPr>
            <w:tcW w:w="835"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2</w:t>
            </w:r>
            <w:r w:rsidR="00871D91">
              <w:rPr>
                <w:sz w:val="18"/>
              </w:rPr>
              <w:t xml:space="preserve"> </w:t>
            </w:r>
            <w:r w:rsidRPr="009E4A2F">
              <w:rPr>
                <w:sz w:val="18"/>
              </w:rPr>
              <w:t>603</w:t>
            </w:r>
            <w:r w:rsidR="00871D91">
              <w:rPr>
                <w:sz w:val="18"/>
              </w:rPr>
              <w:t>.</w:t>
            </w:r>
            <w:r w:rsidRPr="009E4A2F">
              <w:rPr>
                <w:sz w:val="18"/>
              </w:rPr>
              <w:t>20</w:t>
            </w:r>
          </w:p>
        </w:tc>
        <w:tc>
          <w:tcPr>
            <w:tcW w:w="1167"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1</w:t>
            </w:r>
            <w:r w:rsidR="00871D91">
              <w:rPr>
                <w:sz w:val="18"/>
              </w:rPr>
              <w:t xml:space="preserve"> </w:t>
            </w:r>
            <w:r w:rsidRPr="009E4A2F">
              <w:rPr>
                <w:sz w:val="18"/>
              </w:rPr>
              <w:t>163</w:t>
            </w:r>
            <w:r w:rsidR="00871D91">
              <w:rPr>
                <w:sz w:val="18"/>
              </w:rPr>
              <w:t>.</w:t>
            </w:r>
            <w:r w:rsidRPr="009E4A2F">
              <w:rPr>
                <w:sz w:val="18"/>
              </w:rPr>
              <w:t>20</w:t>
            </w:r>
          </w:p>
        </w:tc>
        <w:tc>
          <w:tcPr>
            <w:tcW w:w="871"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424</w:t>
            </w:r>
            <w:r w:rsidR="00871D91">
              <w:rPr>
                <w:sz w:val="18"/>
              </w:rPr>
              <w:t>.</w:t>
            </w:r>
            <w:r w:rsidRPr="009E4A2F">
              <w:rPr>
                <w:sz w:val="18"/>
              </w:rPr>
              <w:t>9</w:t>
            </w:r>
          </w:p>
        </w:tc>
        <w:tc>
          <w:tcPr>
            <w:tcW w:w="792"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1</w:t>
            </w:r>
            <w:r w:rsidR="00871D91">
              <w:rPr>
                <w:sz w:val="18"/>
              </w:rPr>
              <w:t xml:space="preserve"> </w:t>
            </w:r>
            <w:r w:rsidRPr="009E4A2F">
              <w:rPr>
                <w:sz w:val="18"/>
              </w:rPr>
              <w:t>015</w:t>
            </w:r>
            <w:r w:rsidR="00871D91">
              <w:rPr>
                <w:sz w:val="18"/>
              </w:rPr>
              <w:t>.</w:t>
            </w:r>
            <w:r w:rsidRPr="009E4A2F">
              <w:rPr>
                <w:sz w:val="18"/>
              </w:rPr>
              <w:t>10</w:t>
            </w:r>
          </w:p>
        </w:tc>
      </w:tr>
      <w:tr w:rsidR="00C9515F" w:rsidRPr="009E4A2F" w:rsidTr="00347FC8">
        <w:tc>
          <w:tcPr>
            <w:tcW w:w="527" w:type="dxa"/>
            <w:shd w:val="clear" w:color="auto" w:fill="auto"/>
            <w:noWrap/>
            <w:hideMark/>
          </w:tcPr>
          <w:p w:rsidR="00F233AB" w:rsidRPr="009E4A2F" w:rsidRDefault="00F233AB" w:rsidP="009E4A2F">
            <w:pPr>
              <w:suppressAutoHyphens w:val="0"/>
              <w:spacing w:before="40" w:after="40" w:line="220" w:lineRule="exact"/>
              <w:ind w:right="113"/>
              <w:rPr>
                <w:sz w:val="18"/>
              </w:rPr>
            </w:pPr>
            <w:r w:rsidRPr="009E4A2F">
              <w:rPr>
                <w:sz w:val="18"/>
              </w:rPr>
              <w:t>2013</w:t>
            </w:r>
          </w:p>
        </w:tc>
        <w:tc>
          <w:tcPr>
            <w:tcW w:w="783"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3</w:t>
            </w:r>
            <w:r w:rsidR="00871D91">
              <w:rPr>
                <w:sz w:val="18"/>
              </w:rPr>
              <w:t xml:space="preserve"> </w:t>
            </w:r>
            <w:r w:rsidRPr="009E4A2F">
              <w:rPr>
                <w:sz w:val="18"/>
              </w:rPr>
              <w:t>513</w:t>
            </w:r>
            <w:r w:rsidR="00871D91">
              <w:rPr>
                <w:sz w:val="18"/>
              </w:rPr>
              <w:t>.</w:t>
            </w:r>
            <w:r w:rsidRPr="009E4A2F">
              <w:rPr>
                <w:sz w:val="18"/>
              </w:rPr>
              <w:t>20</w:t>
            </w:r>
          </w:p>
        </w:tc>
        <w:tc>
          <w:tcPr>
            <w:tcW w:w="924"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481</w:t>
            </w:r>
            <w:r w:rsidR="00871D91">
              <w:rPr>
                <w:sz w:val="18"/>
              </w:rPr>
              <w:t>.</w:t>
            </w:r>
            <w:r w:rsidRPr="009E4A2F">
              <w:rPr>
                <w:sz w:val="18"/>
              </w:rPr>
              <w:t>1</w:t>
            </w:r>
          </w:p>
        </w:tc>
        <w:tc>
          <w:tcPr>
            <w:tcW w:w="826"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546</w:t>
            </w:r>
            <w:r w:rsidR="00871D91">
              <w:rPr>
                <w:sz w:val="18"/>
              </w:rPr>
              <w:t>.</w:t>
            </w:r>
            <w:r w:rsidRPr="009E4A2F">
              <w:rPr>
                <w:sz w:val="18"/>
              </w:rPr>
              <w:t>6</w:t>
            </w:r>
          </w:p>
        </w:tc>
        <w:tc>
          <w:tcPr>
            <w:tcW w:w="787"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384</w:t>
            </w:r>
            <w:r w:rsidR="00871D91">
              <w:rPr>
                <w:sz w:val="18"/>
              </w:rPr>
              <w:t>.</w:t>
            </w:r>
            <w:r w:rsidRPr="009E4A2F">
              <w:rPr>
                <w:sz w:val="18"/>
              </w:rPr>
              <w:t>3</w:t>
            </w:r>
          </w:p>
        </w:tc>
        <w:tc>
          <w:tcPr>
            <w:tcW w:w="996"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162</w:t>
            </w:r>
            <w:r w:rsidR="00871D91">
              <w:rPr>
                <w:sz w:val="18"/>
              </w:rPr>
              <w:t>.</w:t>
            </w:r>
            <w:r w:rsidRPr="009E4A2F">
              <w:rPr>
                <w:sz w:val="18"/>
              </w:rPr>
              <w:t>3</w:t>
            </w:r>
          </w:p>
        </w:tc>
        <w:tc>
          <w:tcPr>
            <w:tcW w:w="835"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2</w:t>
            </w:r>
            <w:r w:rsidR="00871D91">
              <w:rPr>
                <w:sz w:val="18"/>
              </w:rPr>
              <w:t xml:space="preserve"> </w:t>
            </w:r>
            <w:r w:rsidRPr="009E4A2F">
              <w:rPr>
                <w:sz w:val="18"/>
              </w:rPr>
              <w:t>485</w:t>
            </w:r>
            <w:r w:rsidR="00871D91">
              <w:rPr>
                <w:sz w:val="18"/>
              </w:rPr>
              <w:t>.</w:t>
            </w:r>
            <w:r w:rsidRPr="009E4A2F">
              <w:rPr>
                <w:sz w:val="18"/>
              </w:rPr>
              <w:t>50</w:t>
            </w:r>
          </w:p>
        </w:tc>
        <w:tc>
          <w:tcPr>
            <w:tcW w:w="1167"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1</w:t>
            </w:r>
            <w:r w:rsidR="00871D91">
              <w:rPr>
                <w:sz w:val="18"/>
              </w:rPr>
              <w:t xml:space="preserve"> </w:t>
            </w:r>
            <w:r w:rsidRPr="009E4A2F">
              <w:rPr>
                <w:sz w:val="18"/>
              </w:rPr>
              <w:t>114</w:t>
            </w:r>
            <w:r w:rsidR="00871D91">
              <w:rPr>
                <w:sz w:val="18"/>
              </w:rPr>
              <w:t>.</w:t>
            </w:r>
            <w:r w:rsidRPr="009E4A2F">
              <w:rPr>
                <w:sz w:val="18"/>
              </w:rPr>
              <w:t>20</w:t>
            </w:r>
          </w:p>
        </w:tc>
        <w:tc>
          <w:tcPr>
            <w:tcW w:w="871"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394</w:t>
            </w:r>
            <w:r w:rsidR="00871D91">
              <w:rPr>
                <w:sz w:val="18"/>
              </w:rPr>
              <w:t>.</w:t>
            </w:r>
            <w:r w:rsidRPr="009E4A2F">
              <w:rPr>
                <w:sz w:val="18"/>
              </w:rPr>
              <w:t>2</w:t>
            </w:r>
          </w:p>
        </w:tc>
        <w:tc>
          <w:tcPr>
            <w:tcW w:w="792"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977</w:t>
            </w:r>
            <w:r w:rsidR="00871D91">
              <w:rPr>
                <w:sz w:val="18"/>
              </w:rPr>
              <w:t>.</w:t>
            </w:r>
            <w:r w:rsidRPr="009E4A2F">
              <w:rPr>
                <w:sz w:val="18"/>
              </w:rPr>
              <w:t>1</w:t>
            </w:r>
          </w:p>
        </w:tc>
      </w:tr>
      <w:tr w:rsidR="00C9515F" w:rsidRPr="009E4A2F" w:rsidTr="00347FC8">
        <w:tc>
          <w:tcPr>
            <w:tcW w:w="527" w:type="dxa"/>
            <w:shd w:val="clear" w:color="auto" w:fill="auto"/>
            <w:noWrap/>
            <w:hideMark/>
          </w:tcPr>
          <w:p w:rsidR="00F233AB" w:rsidRPr="009E4A2F" w:rsidRDefault="00F233AB" w:rsidP="009E4A2F">
            <w:pPr>
              <w:suppressAutoHyphens w:val="0"/>
              <w:spacing w:before="40" w:after="40" w:line="220" w:lineRule="exact"/>
              <w:ind w:right="113"/>
              <w:rPr>
                <w:sz w:val="18"/>
              </w:rPr>
            </w:pPr>
            <w:r w:rsidRPr="009E4A2F">
              <w:rPr>
                <w:sz w:val="18"/>
              </w:rPr>
              <w:t>2014</w:t>
            </w:r>
          </w:p>
        </w:tc>
        <w:tc>
          <w:tcPr>
            <w:tcW w:w="783"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3</w:t>
            </w:r>
            <w:r w:rsidR="00871D91">
              <w:rPr>
                <w:sz w:val="18"/>
              </w:rPr>
              <w:t xml:space="preserve"> </w:t>
            </w:r>
            <w:r w:rsidRPr="009E4A2F">
              <w:rPr>
                <w:sz w:val="18"/>
              </w:rPr>
              <w:t>536</w:t>
            </w:r>
            <w:r w:rsidR="00871D91">
              <w:rPr>
                <w:sz w:val="18"/>
              </w:rPr>
              <w:t>.</w:t>
            </w:r>
            <w:r w:rsidRPr="009E4A2F">
              <w:rPr>
                <w:sz w:val="18"/>
              </w:rPr>
              <w:t>20</w:t>
            </w:r>
          </w:p>
        </w:tc>
        <w:tc>
          <w:tcPr>
            <w:tcW w:w="924"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479</w:t>
            </w:r>
            <w:r w:rsidR="00871D91">
              <w:rPr>
                <w:sz w:val="18"/>
              </w:rPr>
              <w:t>.</w:t>
            </w:r>
            <w:r w:rsidRPr="009E4A2F">
              <w:rPr>
                <w:sz w:val="18"/>
              </w:rPr>
              <w:t>9</w:t>
            </w:r>
          </w:p>
        </w:tc>
        <w:tc>
          <w:tcPr>
            <w:tcW w:w="826"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529</w:t>
            </w:r>
            <w:r w:rsidR="00871D91">
              <w:rPr>
                <w:sz w:val="18"/>
              </w:rPr>
              <w:t>.</w:t>
            </w:r>
            <w:r w:rsidRPr="009E4A2F">
              <w:rPr>
                <w:sz w:val="18"/>
              </w:rPr>
              <w:t>7</w:t>
            </w:r>
          </w:p>
        </w:tc>
        <w:tc>
          <w:tcPr>
            <w:tcW w:w="787"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378</w:t>
            </w:r>
            <w:r w:rsidR="00871D91">
              <w:rPr>
                <w:sz w:val="18"/>
              </w:rPr>
              <w:t>.</w:t>
            </w:r>
            <w:r w:rsidRPr="009E4A2F">
              <w:rPr>
                <w:sz w:val="18"/>
              </w:rPr>
              <w:t>1</w:t>
            </w:r>
          </w:p>
        </w:tc>
        <w:tc>
          <w:tcPr>
            <w:tcW w:w="996"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151</w:t>
            </w:r>
            <w:r w:rsidR="00871D91">
              <w:rPr>
                <w:sz w:val="18"/>
              </w:rPr>
              <w:t>.</w:t>
            </w:r>
            <w:r w:rsidRPr="009E4A2F">
              <w:rPr>
                <w:sz w:val="18"/>
              </w:rPr>
              <w:t>6</w:t>
            </w:r>
          </w:p>
        </w:tc>
        <w:tc>
          <w:tcPr>
            <w:tcW w:w="835"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2</w:t>
            </w:r>
            <w:r w:rsidR="00871D91">
              <w:rPr>
                <w:sz w:val="18"/>
              </w:rPr>
              <w:t xml:space="preserve"> </w:t>
            </w:r>
            <w:r w:rsidRPr="009E4A2F">
              <w:rPr>
                <w:sz w:val="18"/>
              </w:rPr>
              <w:t>526</w:t>
            </w:r>
            <w:r w:rsidR="00871D91">
              <w:rPr>
                <w:sz w:val="18"/>
              </w:rPr>
              <w:t>.</w:t>
            </w:r>
            <w:r w:rsidRPr="009E4A2F">
              <w:rPr>
                <w:sz w:val="18"/>
              </w:rPr>
              <w:t>70</w:t>
            </w:r>
          </w:p>
        </w:tc>
        <w:tc>
          <w:tcPr>
            <w:tcW w:w="1167"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1</w:t>
            </w:r>
            <w:r w:rsidR="00871D91">
              <w:rPr>
                <w:sz w:val="18"/>
              </w:rPr>
              <w:t xml:space="preserve"> </w:t>
            </w:r>
            <w:r w:rsidRPr="009E4A2F">
              <w:rPr>
                <w:sz w:val="18"/>
              </w:rPr>
              <w:t>146</w:t>
            </w:r>
            <w:r w:rsidR="00871D91">
              <w:rPr>
                <w:sz w:val="18"/>
              </w:rPr>
              <w:t>.</w:t>
            </w:r>
            <w:r w:rsidRPr="009E4A2F">
              <w:rPr>
                <w:sz w:val="18"/>
              </w:rPr>
              <w:t>90</w:t>
            </w:r>
          </w:p>
        </w:tc>
        <w:tc>
          <w:tcPr>
            <w:tcW w:w="871"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400</w:t>
            </w:r>
            <w:r w:rsidR="00871D91">
              <w:rPr>
                <w:sz w:val="18"/>
              </w:rPr>
              <w:t>.</w:t>
            </w:r>
            <w:r w:rsidRPr="009E4A2F">
              <w:rPr>
                <w:sz w:val="18"/>
              </w:rPr>
              <w:t>2</w:t>
            </w:r>
          </w:p>
        </w:tc>
        <w:tc>
          <w:tcPr>
            <w:tcW w:w="792"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979</w:t>
            </w:r>
            <w:r w:rsidR="00871D91">
              <w:rPr>
                <w:sz w:val="18"/>
              </w:rPr>
              <w:t>.</w:t>
            </w:r>
            <w:r w:rsidRPr="009E4A2F">
              <w:rPr>
                <w:sz w:val="18"/>
              </w:rPr>
              <w:t>6</w:t>
            </w:r>
          </w:p>
        </w:tc>
      </w:tr>
      <w:tr w:rsidR="00C9515F" w:rsidRPr="009E4A2F" w:rsidTr="00347FC8">
        <w:tc>
          <w:tcPr>
            <w:tcW w:w="527" w:type="dxa"/>
            <w:shd w:val="clear" w:color="auto" w:fill="auto"/>
            <w:noWrap/>
            <w:hideMark/>
          </w:tcPr>
          <w:p w:rsidR="00F233AB" w:rsidRPr="009E4A2F" w:rsidRDefault="00F233AB" w:rsidP="009E4A2F">
            <w:pPr>
              <w:suppressAutoHyphens w:val="0"/>
              <w:spacing w:before="40" w:after="40" w:line="220" w:lineRule="exact"/>
              <w:ind w:right="113"/>
              <w:rPr>
                <w:sz w:val="18"/>
              </w:rPr>
            </w:pPr>
            <w:r w:rsidRPr="009E4A2F">
              <w:rPr>
                <w:sz w:val="18"/>
              </w:rPr>
              <w:t>2015</w:t>
            </w:r>
          </w:p>
        </w:tc>
        <w:tc>
          <w:tcPr>
            <w:tcW w:w="783"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3</w:t>
            </w:r>
            <w:r w:rsidR="00871D91">
              <w:rPr>
                <w:sz w:val="18"/>
              </w:rPr>
              <w:t xml:space="preserve"> </w:t>
            </w:r>
            <w:r w:rsidRPr="009E4A2F">
              <w:rPr>
                <w:sz w:val="18"/>
              </w:rPr>
              <w:t>610</w:t>
            </w:r>
            <w:r w:rsidR="00871D91">
              <w:rPr>
                <w:sz w:val="18"/>
              </w:rPr>
              <w:t>.</w:t>
            </w:r>
            <w:r w:rsidRPr="009E4A2F">
              <w:rPr>
                <w:sz w:val="18"/>
              </w:rPr>
              <w:t>70</w:t>
            </w:r>
          </w:p>
        </w:tc>
        <w:tc>
          <w:tcPr>
            <w:tcW w:w="924"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465</w:t>
            </w:r>
            <w:r w:rsidR="00871D91">
              <w:rPr>
                <w:sz w:val="18"/>
              </w:rPr>
              <w:t>.</w:t>
            </w:r>
            <w:r w:rsidRPr="009E4A2F">
              <w:rPr>
                <w:sz w:val="18"/>
              </w:rPr>
              <w:t>7</w:t>
            </w:r>
          </w:p>
        </w:tc>
        <w:tc>
          <w:tcPr>
            <w:tcW w:w="826"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539</w:t>
            </w:r>
            <w:r w:rsidR="00871D91">
              <w:rPr>
                <w:sz w:val="18"/>
              </w:rPr>
              <w:t>.</w:t>
            </w:r>
            <w:r w:rsidRPr="009E4A2F">
              <w:rPr>
                <w:sz w:val="18"/>
              </w:rPr>
              <w:t>4</w:t>
            </w:r>
          </w:p>
        </w:tc>
        <w:tc>
          <w:tcPr>
            <w:tcW w:w="787"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394</w:t>
            </w:r>
            <w:r w:rsidR="00871D91">
              <w:rPr>
                <w:sz w:val="18"/>
              </w:rPr>
              <w:t>.</w:t>
            </w:r>
            <w:r w:rsidRPr="009E4A2F">
              <w:rPr>
                <w:sz w:val="18"/>
              </w:rPr>
              <w:t>2</w:t>
            </w:r>
          </w:p>
        </w:tc>
        <w:tc>
          <w:tcPr>
            <w:tcW w:w="996"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145</w:t>
            </w:r>
            <w:r w:rsidR="00871D91">
              <w:rPr>
                <w:sz w:val="18"/>
              </w:rPr>
              <w:t>.</w:t>
            </w:r>
            <w:r w:rsidRPr="009E4A2F">
              <w:rPr>
                <w:sz w:val="18"/>
              </w:rPr>
              <w:t>2</w:t>
            </w:r>
          </w:p>
        </w:tc>
        <w:tc>
          <w:tcPr>
            <w:tcW w:w="835"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2</w:t>
            </w:r>
            <w:r w:rsidR="00871D91">
              <w:rPr>
                <w:sz w:val="18"/>
              </w:rPr>
              <w:t xml:space="preserve"> </w:t>
            </w:r>
            <w:r w:rsidRPr="009E4A2F">
              <w:rPr>
                <w:sz w:val="18"/>
              </w:rPr>
              <w:t>605</w:t>
            </w:r>
            <w:r w:rsidR="00871D91">
              <w:rPr>
                <w:sz w:val="18"/>
              </w:rPr>
              <w:t>.</w:t>
            </w:r>
            <w:r w:rsidRPr="009E4A2F">
              <w:rPr>
                <w:sz w:val="18"/>
              </w:rPr>
              <w:t>60</w:t>
            </w:r>
          </w:p>
        </w:tc>
        <w:tc>
          <w:tcPr>
            <w:tcW w:w="1167"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1</w:t>
            </w:r>
            <w:r w:rsidR="00871D91">
              <w:rPr>
                <w:sz w:val="18"/>
              </w:rPr>
              <w:t xml:space="preserve"> </w:t>
            </w:r>
            <w:r w:rsidRPr="009E4A2F">
              <w:rPr>
                <w:sz w:val="18"/>
              </w:rPr>
              <w:t>206</w:t>
            </w:r>
            <w:r w:rsidR="00871D91">
              <w:rPr>
                <w:sz w:val="18"/>
              </w:rPr>
              <w:t>.</w:t>
            </w:r>
            <w:r w:rsidRPr="009E4A2F">
              <w:rPr>
                <w:sz w:val="18"/>
              </w:rPr>
              <w:t>30</w:t>
            </w:r>
          </w:p>
        </w:tc>
        <w:tc>
          <w:tcPr>
            <w:tcW w:w="871"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409</w:t>
            </w:r>
            <w:r w:rsidR="00871D91">
              <w:rPr>
                <w:sz w:val="18"/>
              </w:rPr>
              <w:t>.</w:t>
            </w:r>
            <w:r w:rsidRPr="009E4A2F">
              <w:rPr>
                <w:sz w:val="18"/>
              </w:rPr>
              <w:t>7</w:t>
            </w:r>
          </w:p>
        </w:tc>
        <w:tc>
          <w:tcPr>
            <w:tcW w:w="792"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989</w:t>
            </w:r>
            <w:r w:rsidR="00871D91">
              <w:rPr>
                <w:sz w:val="18"/>
              </w:rPr>
              <w:t>.</w:t>
            </w:r>
            <w:r w:rsidRPr="009E4A2F">
              <w:rPr>
                <w:sz w:val="18"/>
              </w:rPr>
              <w:t>6</w:t>
            </w:r>
          </w:p>
        </w:tc>
      </w:tr>
      <w:tr w:rsidR="00C9515F" w:rsidRPr="009E4A2F" w:rsidTr="00347FC8">
        <w:tc>
          <w:tcPr>
            <w:tcW w:w="527" w:type="dxa"/>
            <w:tcBorders>
              <w:bottom w:val="single" w:sz="4" w:space="0" w:color="auto"/>
            </w:tcBorders>
            <w:shd w:val="clear" w:color="auto" w:fill="auto"/>
            <w:noWrap/>
            <w:hideMark/>
          </w:tcPr>
          <w:p w:rsidR="00F233AB" w:rsidRPr="009E4A2F" w:rsidRDefault="00F233AB" w:rsidP="009E4A2F">
            <w:pPr>
              <w:suppressAutoHyphens w:val="0"/>
              <w:spacing w:before="40" w:after="40" w:line="220" w:lineRule="exact"/>
              <w:ind w:right="113"/>
              <w:rPr>
                <w:sz w:val="18"/>
              </w:rPr>
            </w:pPr>
            <w:r w:rsidRPr="009E4A2F">
              <w:rPr>
                <w:sz w:val="18"/>
              </w:rPr>
              <w:t>2016</w:t>
            </w:r>
          </w:p>
        </w:tc>
        <w:tc>
          <w:tcPr>
            <w:tcW w:w="783" w:type="dxa"/>
            <w:tcBorders>
              <w:bottom w:val="single" w:sz="4"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3</w:t>
            </w:r>
            <w:r w:rsidR="00871D91">
              <w:rPr>
                <w:sz w:val="18"/>
              </w:rPr>
              <w:t xml:space="preserve"> </w:t>
            </w:r>
            <w:r w:rsidRPr="009E4A2F">
              <w:rPr>
                <w:sz w:val="18"/>
              </w:rPr>
              <w:t>673</w:t>
            </w:r>
            <w:r w:rsidR="00871D91">
              <w:rPr>
                <w:sz w:val="18"/>
              </w:rPr>
              <w:t>.</w:t>
            </w:r>
            <w:r w:rsidRPr="009E4A2F">
              <w:rPr>
                <w:sz w:val="18"/>
              </w:rPr>
              <w:t>60</w:t>
            </w:r>
          </w:p>
        </w:tc>
        <w:tc>
          <w:tcPr>
            <w:tcW w:w="924" w:type="dxa"/>
            <w:tcBorders>
              <w:bottom w:val="single" w:sz="4"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454</w:t>
            </w:r>
            <w:r w:rsidR="00871D91">
              <w:rPr>
                <w:sz w:val="18"/>
              </w:rPr>
              <w:t>.</w:t>
            </w:r>
            <w:r w:rsidRPr="009E4A2F">
              <w:rPr>
                <w:sz w:val="18"/>
              </w:rPr>
              <w:t>5</w:t>
            </w:r>
          </w:p>
        </w:tc>
        <w:tc>
          <w:tcPr>
            <w:tcW w:w="826" w:type="dxa"/>
            <w:tcBorders>
              <w:bottom w:val="single" w:sz="4"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560</w:t>
            </w:r>
          </w:p>
        </w:tc>
        <w:tc>
          <w:tcPr>
            <w:tcW w:w="787" w:type="dxa"/>
            <w:tcBorders>
              <w:bottom w:val="single" w:sz="4"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412</w:t>
            </w:r>
            <w:r w:rsidR="00871D91">
              <w:rPr>
                <w:sz w:val="18"/>
              </w:rPr>
              <w:t>.</w:t>
            </w:r>
            <w:r w:rsidRPr="009E4A2F">
              <w:rPr>
                <w:sz w:val="18"/>
              </w:rPr>
              <w:t>9</w:t>
            </w:r>
          </w:p>
        </w:tc>
        <w:tc>
          <w:tcPr>
            <w:tcW w:w="996" w:type="dxa"/>
            <w:tcBorders>
              <w:bottom w:val="single" w:sz="4"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147</w:t>
            </w:r>
            <w:r w:rsidR="00871D91">
              <w:rPr>
                <w:sz w:val="18"/>
              </w:rPr>
              <w:t>.</w:t>
            </w:r>
            <w:r w:rsidRPr="009E4A2F">
              <w:rPr>
                <w:sz w:val="18"/>
              </w:rPr>
              <w:t>1</w:t>
            </w:r>
          </w:p>
        </w:tc>
        <w:tc>
          <w:tcPr>
            <w:tcW w:w="835" w:type="dxa"/>
            <w:tcBorders>
              <w:bottom w:val="single" w:sz="4"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2</w:t>
            </w:r>
            <w:r w:rsidR="00871D91">
              <w:rPr>
                <w:sz w:val="18"/>
              </w:rPr>
              <w:t xml:space="preserve"> </w:t>
            </w:r>
            <w:r w:rsidRPr="009E4A2F">
              <w:rPr>
                <w:sz w:val="18"/>
              </w:rPr>
              <w:t>659</w:t>
            </w:r>
            <w:r w:rsidR="00871D91">
              <w:rPr>
                <w:sz w:val="18"/>
              </w:rPr>
              <w:t>.</w:t>
            </w:r>
            <w:r w:rsidRPr="009E4A2F">
              <w:rPr>
                <w:sz w:val="18"/>
              </w:rPr>
              <w:t>00</w:t>
            </w:r>
          </w:p>
        </w:tc>
        <w:tc>
          <w:tcPr>
            <w:tcW w:w="1167" w:type="dxa"/>
            <w:tcBorders>
              <w:bottom w:val="single" w:sz="4"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1</w:t>
            </w:r>
            <w:r w:rsidR="00871D91">
              <w:rPr>
                <w:sz w:val="18"/>
              </w:rPr>
              <w:t xml:space="preserve"> </w:t>
            </w:r>
            <w:r w:rsidRPr="009E4A2F">
              <w:rPr>
                <w:sz w:val="18"/>
              </w:rPr>
              <w:t>238</w:t>
            </w:r>
            <w:r w:rsidR="00871D91">
              <w:rPr>
                <w:sz w:val="18"/>
              </w:rPr>
              <w:t>.</w:t>
            </w:r>
            <w:r w:rsidRPr="009E4A2F">
              <w:rPr>
                <w:sz w:val="18"/>
              </w:rPr>
              <w:t>90</w:t>
            </w:r>
          </w:p>
        </w:tc>
        <w:tc>
          <w:tcPr>
            <w:tcW w:w="871" w:type="dxa"/>
            <w:tcBorders>
              <w:bottom w:val="single" w:sz="4"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415</w:t>
            </w:r>
            <w:r w:rsidR="00871D91">
              <w:rPr>
                <w:sz w:val="18"/>
              </w:rPr>
              <w:t>.</w:t>
            </w:r>
            <w:r w:rsidRPr="009E4A2F">
              <w:rPr>
                <w:sz w:val="18"/>
              </w:rPr>
              <w:t>9</w:t>
            </w:r>
          </w:p>
        </w:tc>
        <w:tc>
          <w:tcPr>
            <w:tcW w:w="792" w:type="dxa"/>
            <w:tcBorders>
              <w:bottom w:val="single" w:sz="4"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1</w:t>
            </w:r>
            <w:r w:rsidR="00871D91">
              <w:rPr>
                <w:sz w:val="18"/>
              </w:rPr>
              <w:t xml:space="preserve"> </w:t>
            </w:r>
            <w:r w:rsidRPr="009E4A2F">
              <w:rPr>
                <w:sz w:val="18"/>
              </w:rPr>
              <w:t>004</w:t>
            </w:r>
            <w:r w:rsidR="00871D91">
              <w:rPr>
                <w:sz w:val="18"/>
              </w:rPr>
              <w:t>.</w:t>
            </w:r>
            <w:r w:rsidRPr="009E4A2F">
              <w:rPr>
                <w:sz w:val="18"/>
              </w:rPr>
              <w:t>30</w:t>
            </w:r>
          </w:p>
        </w:tc>
      </w:tr>
      <w:tr w:rsidR="009E4A2F" w:rsidRPr="009E4A2F" w:rsidTr="00347FC8">
        <w:tc>
          <w:tcPr>
            <w:tcW w:w="2234" w:type="dxa"/>
            <w:gridSpan w:val="3"/>
            <w:tcBorders>
              <w:top w:val="single" w:sz="4" w:space="0" w:color="auto"/>
              <w:bottom w:val="single" w:sz="4" w:space="0" w:color="auto"/>
            </w:tcBorders>
            <w:shd w:val="clear" w:color="auto" w:fill="auto"/>
            <w:noWrap/>
            <w:hideMark/>
          </w:tcPr>
          <w:p w:rsidR="009E4A2F" w:rsidRPr="009E4A2F" w:rsidRDefault="009E4A2F" w:rsidP="00835CD7">
            <w:pPr>
              <w:suppressAutoHyphens w:val="0"/>
              <w:spacing w:before="80" w:after="80" w:line="220" w:lineRule="exact"/>
              <w:ind w:right="113"/>
              <w:rPr>
                <w:b/>
                <w:bCs/>
                <w:sz w:val="18"/>
              </w:rPr>
            </w:pPr>
            <w:r w:rsidRPr="009E4A2F">
              <w:rPr>
                <w:b/>
                <w:bCs/>
                <w:sz w:val="18"/>
              </w:rPr>
              <w:t>Unemployment rate</w:t>
            </w:r>
          </w:p>
        </w:tc>
        <w:tc>
          <w:tcPr>
            <w:tcW w:w="826" w:type="dxa"/>
            <w:tcBorders>
              <w:top w:val="single" w:sz="4" w:space="0" w:color="auto"/>
              <w:bottom w:val="single" w:sz="4" w:space="0" w:color="auto"/>
            </w:tcBorders>
            <w:shd w:val="clear" w:color="auto" w:fill="auto"/>
            <w:noWrap/>
            <w:vAlign w:val="bottom"/>
            <w:hideMark/>
          </w:tcPr>
          <w:p w:rsidR="009E4A2F" w:rsidRPr="009E4A2F" w:rsidRDefault="009E4A2F" w:rsidP="009E4A2F">
            <w:pPr>
              <w:suppressAutoHyphens w:val="0"/>
              <w:spacing w:before="40" w:after="40" w:line="220" w:lineRule="exact"/>
              <w:ind w:right="113"/>
              <w:jc w:val="right"/>
              <w:rPr>
                <w:sz w:val="18"/>
              </w:rPr>
            </w:pPr>
          </w:p>
        </w:tc>
        <w:tc>
          <w:tcPr>
            <w:tcW w:w="787" w:type="dxa"/>
            <w:tcBorders>
              <w:top w:val="single" w:sz="4" w:space="0" w:color="auto"/>
              <w:bottom w:val="single" w:sz="4" w:space="0" w:color="auto"/>
            </w:tcBorders>
            <w:shd w:val="clear" w:color="auto" w:fill="auto"/>
            <w:noWrap/>
            <w:vAlign w:val="bottom"/>
            <w:hideMark/>
          </w:tcPr>
          <w:p w:rsidR="009E4A2F" w:rsidRPr="009E4A2F" w:rsidRDefault="009E4A2F" w:rsidP="009E4A2F">
            <w:pPr>
              <w:suppressAutoHyphens w:val="0"/>
              <w:spacing w:before="40" w:after="40" w:line="220" w:lineRule="exact"/>
              <w:ind w:right="113"/>
              <w:jc w:val="right"/>
              <w:rPr>
                <w:sz w:val="18"/>
              </w:rPr>
            </w:pPr>
          </w:p>
        </w:tc>
        <w:tc>
          <w:tcPr>
            <w:tcW w:w="996" w:type="dxa"/>
            <w:tcBorders>
              <w:top w:val="single" w:sz="4" w:space="0" w:color="auto"/>
              <w:bottom w:val="single" w:sz="4" w:space="0" w:color="auto"/>
            </w:tcBorders>
            <w:shd w:val="clear" w:color="auto" w:fill="auto"/>
            <w:noWrap/>
            <w:vAlign w:val="bottom"/>
            <w:hideMark/>
          </w:tcPr>
          <w:p w:rsidR="009E4A2F" w:rsidRPr="009E4A2F" w:rsidRDefault="009E4A2F" w:rsidP="009E4A2F">
            <w:pPr>
              <w:suppressAutoHyphens w:val="0"/>
              <w:spacing w:before="40" w:after="40" w:line="220" w:lineRule="exact"/>
              <w:ind w:right="113"/>
              <w:jc w:val="right"/>
              <w:rPr>
                <w:sz w:val="18"/>
              </w:rPr>
            </w:pPr>
          </w:p>
        </w:tc>
        <w:tc>
          <w:tcPr>
            <w:tcW w:w="835" w:type="dxa"/>
            <w:tcBorders>
              <w:top w:val="single" w:sz="4" w:space="0" w:color="auto"/>
              <w:bottom w:val="single" w:sz="4" w:space="0" w:color="auto"/>
            </w:tcBorders>
            <w:shd w:val="clear" w:color="auto" w:fill="auto"/>
            <w:noWrap/>
            <w:vAlign w:val="bottom"/>
            <w:hideMark/>
          </w:tcPr>
          <w:p w:rsidR="009E4A2F" w:rsidRPr="009E4A2F" w:rsidRDefault="009E4A2F" w:rsidP="009E4A2F">
            <w:pPr>
              <w:suppressAutoHyphens w:val="0"/>
              <w:spacing w:before="40" w:after="40" w:line="220" w:lineRule="exact"/>
              <w:ind w:right="113"/>
              <w:jc w:val="right"/>
              <w:rPr>
                <w:sz w:val="18"/>
              </w:rPr>
            </w:pPr>
          </w:p>
        </w:tc>
        <w:tc>
          <w:tcPr>
            <w:tcW w:w="1167" w:type="dxa"/>
            <w:tcBorders>
              <w:top w:val="single" w:sz="4" w:space="0" w:color="auto"/>
              <w:bottom w:val="single" w:sz="4" w:space="0" w:color="auto"/>
            </w:tcBorders>
            <w:shd w:val="clear" w:color="auto" w:fill="auto"/>
            <w:noWrap/>
            <w:vAlign w:val="bottom"/>
            <w:hideMark/>
          </w:tcPr>
          <w:p w:rsidR="009E4A2F" w:rsidRPr="009E4A2F" w:rsidRDefault="009E4A2F" w:rsidP="009E4A2F">
            <w:pPr>
              <w:suppressAutoHyphens w:val="0"/>
              <w:spacing w:before="40" w:after="40" w:line="220" w:lineRule="exact"/>
              <w:ind w:right="113"/>
              <w:jc w:val="right"/>
              <w:rPr>
                <w:sz w:val="18"/>
              </w:rPr>
            </w:pPr>
          </w:p>
        </w:tc>
        <w:tc>
          <w:tcPr>
            <w:tcW w:w="871" w:type="dxa"/>
            <w:tcBorders>
              <w:top w:val="single" w:sz="4" w:space="0" w:color="auto"/>
              <w:bottom w:val="single" w:sz="4" w:space="0" w:color="auto"/>
            </w:tcBorders>
            <w:shd w:val="clear" w:color="auto" w:fill="auto"/>
            <w:noWrap/>
            <w:vAlign w:val="bottom"/>
            <w:hideMark/>
          </w:tcPr>
          <w:p w:rsidR="009E4A2F" w:rsidRPr="009E4A2F" w:rsidRDefault="009E4A2F" w:rsidP="009E4A2F">
            <w:pPr>
              <w:suppressAutoHyphens w:val="0"/>
              <w:spacing w:before="40" w:after="40" w:line="220" w:lineRule="exact"/>
              <w:ind w:right="113"/>
              <w:jc w:val="right"/>
              <w:rPr>
                <w:sz w:val="18"/>
              </w:rPr>
            </w:pPr>
          </w:p>
        </w:tc>
        <w:tc>
          <w:tcPr>
            <w:tcW w:w="792" w:type="dxa"/>
            <w:tcBorders>
              <w:top w:val="single" w:sz="4" w:space="0" w:color="auto"/>
              <w:bottom w:val="single" w:sz="4" w:space="0" w:color="auto"/>
            </w:tcBorders>
            <w:shd w:val="clear" w:color="auto" w:fill="auto"/>
            <w:noWrap/>
            <w:vAlign w:val="bottom"/>
            <w:hideMark/>
          </w:tcPr>
          <w:p w:rsidR="009E4A2F" w:rsidRPr="009E4A2F" w:rsidRDefault="009E4A2F" w:rsidP="009E4A2F">
            <w:pPr>
              <w:suppressAutoHyphens w:val="0"/>
              <w:spacing w:before="40" w:after="40" w:line="220" w:lineRule="exact"/>
              <w:ind w:right="113"/>
              <w:jc w:val="right"/>
              <w:rPr>
                <w:sz w:val="18"/>
              </w:rPr>
            </w:pPr>
          </w:p>
        </w:tc>
      </w:tr>
      <w:tr w:rsidR="00C9515F" w:rsidRPr="009E4A2F" w:rsidTr="00347FC8">
        <w:tc>
          <w:tcPr>
            <w:tcW w:w="527" w:type="dxa"/>
            <w:tcBorders>
              <w:top w:val="single" w:sz="4" w:space="0" w:color="auto"/>
              <w:bottom w:val="single" w:sz="12" w:space="0" w:color="auto"/>
            </w:tcBorders>
            <w:shd w:val="clear" w:color="auto" w:fill="auto"/>
            <w:noWrap/>
            <w:hideMark/>
          </w:tcPr>
          <w:p w:rsidR="00F233AB" w:rsidRPr="009E4A2F" w:rsidRDefault="00F233AB" w:rsidP="009E4A2F">
            <w:pPr>
              <w:suppressAutoHyphens w:val="0"/>
              <w:spacing w:before="80" w:after="80" w:line="200" w:lineRule="exact"/>
              <w:ind w:right="113"/>
              <w:jc w:val="right"/>
              <w:rPr>
                <w:i/>
                <w:sz w:val="16"/>
              </w:rPr>
            </w:pPr>
            <w:r w:rsidRPr="009E4A2F">
              <w:rPr>
                <w:i/>
                <w:sz w:val="16"/>
              </w:rPr>
              <w:t>Year</w:t>
            </w:r>
          </w:p>
        </w:tc>
        <w:tc>
          <w:tcPr>
            <w:tcW w:w="783" w:type="dxa"/>
            <w:tcBorders>
              <w:top w:val="single" w:sz="4" w:space="0" w:color="auto"/>
              <w:bottom w:val="single" w:sz="12" w:space="0" w:color="auto"/>
            </w:tcBorders>
            <w:shd w:val="clear" w:color="auto" w:fill="auto"/>
            <w:noWrap/>
            <w:vAlign w:val="bottom"/>
            <w:hideMark/>
          </w:tcPr>
          <w:p w:rsidR="00F233AB" w:rsidRPr="009E4A2F" w:rsidRDefault="00F233AB" w:rsidP="009E4A2F">
            <w:pPr>
              <w:suppressAutoHyphens w:val="0"/>
              <w:spacing w:before="80" w:after="80" w:line="200" w:lineRule="exact"/>
              <w:ind w:right="113"/>
              <w:jc w:val="right"/>
              <w:rPr>
                <w:i/>
                <w:sz w:val="16"/>
              </w:rPr>
            </w:pPr>
            <w:r w:rsidRPr="009E4A2F">
              <w:rPr>
                <w:i/>
                <w:sz w:val="16"/>
              </w:rPr>
              <w:t>Greece</w:t>
            </w:r>
          </w:p>
        </w:tc>
        <w:tc>
          <w:tcPr>
            <w:tcW w:w="924" w:type="dxa"/>
            <w:tcBorders>
              <w:top w:val="single" w:sz="4" w:space="0" w:color="auto"/>
              <w:bottom w:val="single" w:sz="12"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826" w:type="dxa"/>
            <w:tcBorders>
              <w:top w:val="single" w:sz="4" w:space="0" w:color="auto"/>
              <w:bottom w:val="single" w:sz="12"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787" w:type="dxa"/>
            <w:tcBorders>
              <w:top w:val="single" w:sz="4" w:space="0" w:color="auto"/>
              <w:bottom w:val="single" w:sz="12"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996" w:type="dxa"/>
            <w:tcBorders>
              <w:top w:val="single" w:sz="4" w:space="0" w:color="auto"/>
              <w:bottom w:val="single" w:sz="12"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835" w:type="dxa"/>
            <w:tcBorders>
              <w:top w:val="single" w:sz="4" w:space="0" w:color="auto"/>
              <w:bottom w:val="single" w:sz="12"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1167" w:type="dxa"/>
            <w:tcBorders>
              <w:top w:val="single" w:sz="4" w:space="0" w:color="auto"/>
              <w:bottom w:val="single" w:sz="12"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871" w:type="dxa"/>
            <w:tcBorders>
              <w:top w:val="single" w:sz="4" w:space="0" w:color="auto"/>
              <w:bottom w:val="single" w:sz="12"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792" w:type="dxa"/>
            <w:tcBorders>
              <w:top w:val="single" w:sz="4" w:space="0" w:color="auto"/>
              <w:bottom w:val="single" w:sz="12"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r>
      <w:tr w:rsidR="00C9515F" w:rsidRPr="009E4A2F" w:rsidTr="00347FC8">
        <w:tc>
          <w:tcPr>
            <w:tcW w:w="527" w:type="dxa"/>
            <w:tcBorders>
              <w:top w:val="single" w:sz="12" w:space="0" w:color="auto"/>
            </w:tcBorders>
            <w:shd w:val="clear" w:color="auto" w:fill="auto"/>
            <w:noWrap/>
            <w:hideMark/>
          </w:tcPr>
          <w:p w:rsidR="00F233AB" w:rsidRPr="009E4A2F" w:rsidRDefault="00F233AB" w:rsidP="009E4A2F">
            <w:pPr>
              <w:suppressAutoHyphens w:val="0"/>
              <w:spacing w:before="40" w:after="40" w:line="220" w:lineRule="exact"/>
              <w:ind w:right="113"/>
              <w:rPr>
                <w:sz w:val="18"/>
              </w:rPr>
            </w:pPr>
            <w:r w:rsidRPr="009E4A2F">
              <w:rPr>
                <w:sz w:val="18"/>
              </w:rPr>
              <w:t>2009</w:t>
            </w:r>
          </w:p>
        </w:tc>
        <w:tc>
          <w:tcPr>
            <w:tcW w:w="783" w:type="dxa"/>
            <w:tcBorders>
              <w:top w:val="single" w:sz="12"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9</w:t>
            </w:r>
            <w:r w:rsidR="00871D91">
              <w:rPr>
                <w:sz w:val="18"/>
              </w:rPr>
              <w:t>.</w:t>
            </w:r>
            <w:r w:rsidRPr="009E4A2F">
              <w:rPr>
                <w:sz w:val="18"/>
              </w:rPr>
              <w:t>60%</w:t>
            </w:r>
          </w:p>
        </w:tc>
        <w:tc>
          <w:tcPr>
            <w:tcW w:w="924" w:type="dxa"/>
            <w:tcBorders>
              <w:top w:val="single" w:sz="12"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826" w:type="dxa"/>
            <w:tcBorders>
              <w:top w:val="single" w:sz="12"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787" w:type="dxa"/>
            <w:tcBorders>
              <w:top w:val="single" w:sz="12"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996" w:type="dxa"/>
            <w:tcBorders>
              <w:top w:val="single" w:sz="12"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835" w:type="dxa"/>
            <w:tcBorders>
              <w:top w:val="single" w:sz="12"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1167" w:type="dxa"/>
            <w:tcBorders>
              <w:top w:val="single" w:sz="12"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871" w:type="dxa"/>
            <w:tcBorders>
              <w:top w:val="single" w:sz="12"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792" w:type="dxa"/>
            <w:tcBorders>
              <w:top w:val="single" w:sz="12"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r>
      <w:tr w:rsidR="00C9515F" w:rsidRPr="009E4A2F" w:rsidTr="00347FC8">
        <w:tc>
          <w:tcPr>
            <w:tcW w:w="527" w:type="dxa"/>
            <w:shd w:val="clear" w:color="auto" w:fill="auto"/>
            <w:noWrap/>
            <w:hideMark/>
          </w:tcPr>
          <w:p w:rsidR="00F233AB" w:rsidRPr="009E4A2F" w:rsidRDefault="00F233AB" w:rsidP="009E4A2F">
            <w:pPr>
              <w:suppressAutoHyphens w:val="0"/>
              <w:spacing w:before="40" w:after="40" w:line="220" w:lineRule="exact"/>
              <w:ind w:right="113"/>
              <w:rPr>
                <w:sz w:val="18"/>
              </w:rPr>
            </w:pPr>
            <w:r w:rsidRPr="009E4A2F">
              <w:rPr>
                <w:sz w:val="18"/>
              </w:rPr>
              <w:t>2010</w:t>
            </w:r>
          </w:p>
        </w:tc>
        <w:tc>
          <w:tcPr>
            <w:tcW w:w="783"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12</w:t>
            </w:r>
            <w:r w:rsidR="00871D91">
              <w:rPr>
                <w:sz w:val="18"/>
              </w:rPr>
              <w:t>.</w:t>
            </w:r>
            <w:r w:rsidRPr="009E4A2F">
              <w:rPr>
                <w:sz w:val="18"/>
              </w:rPr>
              <w:t>70%</w:t>
            </w:r>
          </w:p>
        </w:tc>
        <w:tc>
          <w:tcPr>
            <w:tcW w:w="924"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826"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787"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996"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835"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1167"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871"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792"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r>
      <w:tr w:rsidR="00C9515F" w:rsidRPr="009E4A2F" w:rsidTr="00347FC8">
        <w:tc>
          <w:tcPr>
            <w:tcW w:w="527" w:type="dxa"/>
            <w:shd w:val="clear" w:color="auto" w:fill="auto"/>
            <w:noWrap/>
            <w:hideMark/>
          </w:tcPr>
          <w:p w:rsidR="00F233AB" w:rsidRPr="009E4A2F" w:rsidRDefault="00F233AB" w:rsidP="009E4A2F">
            <w:pPr>
              <w:suppressAutoHyphens w:val="0"/>
              <w:spacing w:before="40" w:after="40" w:line="220" w:lineRule="exact"/>
              <w:ind w:right="113"/>
              <w:rPr>
                <w:sz w:val="18"/>
              </w:rPr>
            </w:pPr>
            <w:r w:rsidRPr="009E4A2F">
              <w:rPr>
                <w:sz w:val="18"/>
              </w:rPr>
              <w:t>2011</w:t>
            </w:r>
          </w:p>
        </w:tc>
        <w:tc>
          <w:tcPr>
            <w:tcW w:w="783"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17</w:t>
            </w:r>
            <w:r w:rsidR="00871D91">
              <w:rPr>
                <w:sz w:val="18"/>
              </w:rPr>
              <w:t>.</w:t>
            </w:r>
            <w:r w:rsidRPr="009E4A2F">
              <w:rPr>
                <w:sz w:val="18"/>
              </w:rPr>
              <w:t>90%</w:t>
            </w:r>
          </w:p>
        </w:tc>
        <w:tc>
          <w:tcPr>
            <w:tcW w:w="924"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826"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787"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996"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835"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1167"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871"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792" w:type="dxa"/>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r>
      <w:tr w:rsidR="00C9515F" w:rsidRPr="009E4A2F" w:rsidTr="00347FC8">
        <w:tc>
          <w:tcPr>
            <w:tcW w:w="527" w:type="dxa"/>
            <w:tcBorders>
              <w:bottom w:val="nil"/>
            </w:tcBorders>
            <w:shd w:val="clear" w:color="auto" w:fill="auto"/>
            <w:noWrap/>
            <w:hideMark/>
          </w:tcPr>
          <w:p w:rsidR="00F233AB" w:rsidRPr="009E4A2F" w:rsidRDefault="00F233AB" w:rsidP="009E4A2F">
            <w:pPr>
              <w:suppressAutoHyphens w:val="0"/>
              <w:spacing w:before="40" w:after="40" w:line="220" w:lineRule="exact"/>
              <w:ind w:right="113"/>
              <w:rPr>
                <w:sz w:val="18"/>
              </w:rPr>
            </w:pPr>
            <w:r w:rsidRPr="009E4A2F">
              <w:rPr>
                <w:sz w:val="18"/>
              </w:rPr>
              <w:t>2012</w:t>
            </w:r>
          </w:p>
        </w:tc>
        <w:tc>
          <w:tcPr>
            <w:tcW w:w="783" w:type="dxa"/>
            <w:tcBorders>
              <w:bottom w:val="nil"/>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24</w:t>
            </w:r>
            <w:r w:rsidR="00871D91">
              <w:rPr>
                <w:sz w:val="18"/>
              </w:rPr>
              <w:t>.</w:t>
            </w:r>
            <w:r w:rsidRPr="009E4A2F">
              <w:rPr>
                <w:sz w:val="18"/>
              </w:rPr>
              <w:t>40%</w:t>
            </w:r>
          </w:p>
        </w:tc>
        <w:tc>
          <w:tcPr>
            <w:tcW w:w="924" w:type="dxa"/>
            <w:tcBorders>
              <w:bottom w:val="nil"/>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826" w:type="dxa"/>
            <w:tcBorders>
              <w:bottom w:val="nil"/>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787" w:type="dxa"/>
            <w:tcBorders>
              <w:bottom w:val="nil"/>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996" w:type="dxa"/>
            <w:tcBorders>
              <w:bottom w:val="nil"/>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835" w:type="dxa"/>
            <w:tcBorders>
              <w:bottom w:val="nil"/>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1167" w:type="dxa"/>
            <w:tcBorders>
              <w:bottom w:val="nil"/>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871" w:type="dxa"/>
            <w:tcBorders>
              <w:bottom w:val="nil"/>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792" w:type="dxa"/>
            <w:tcBorders>
              <w:bottom w:val="nil"/>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r>
      <w:tr w:rsidR="00C9515F" w:rsidRPr="009E4A2F" w:rsidTr="00347FC8">
        <w:tc>
          <w:tcPr>
            <w:tcW w:w="527" w:type="dxa"/>
            <w:tcBorders>
              <w:top w:val="nil"/>
              <w:bottom w:val="nil"/>
            </w:tcBorders>
            <w:shd w:val="clear" w:color="auto" w:fill="auto"/>
            <w:noWrap/>
            <w:hideMark/>
          </w:tcPr>
          <w:p w:rsidR="00F233AB" w:rsidRPr="009E4A2F" w:rsidRDefault="00F233AB" w:rsidP="009E4A2F">
            <w:pPr>
              <w:suppressAutoHyphens w:val="0"/>
              <w:spacing w:before="40" w:after="40" w:line="220" w:lineRule="exact"/>
              <w:ind w:right="113"/>
              <w:rPr>
                <w:sz w:val="18"/>
              </w:rPr>
            </w:pPr>
            <w:r w:rsidRPr="009E4A2F">
              <w:rPr>
                <w:sz w:val="18"/>
              </w:rPr>
              <w:t>2013</w:t>
            </w:r>
          </w:p>
        </w:tc>
        <w:tc>
          <w:tcPr>
            <w:tcW w:w="783" w:type="dxa"/>
            <w:tcBorders>
              <w:top w:val="nil"/>
              <w:bottom w:val="nil"/>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27</w:t>
            </w:r>
            <w:r w:rsidR="00871D91">
              <w:rPr>
                <w:sz w:val="18"/>
              </w:rPr>
              <w:t>.</w:t>
            </w:r>
            <w:r w:rsidRPr="009E4A2F">
              <w:rPr>
                <w:sz w:val="18"/>
              </w:rPr>
              <w:t>50%</w:t>
            </w:r>
          </w:p>
        </w:tc>
        <w:tc>
          <w:tcPr>
            <w:tcW w:w="924" w:type="dxa"/>
            <w:tcBorders>
              <w:top w:val="nil"/>
              <w:bottom w:val="nil"/>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826" w:type="dxa"/>
            <w:tcBorders>
              <w:top w:val="nil"/>
              <w:bottom w:val="nil"/>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787" w:type="dxa"/>
            <w:tcBorders>
              <w:top w:val="nil"/>
              <w:bottom w:val="nil"/>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996" w:type="dxa"/>
            <w:tcBorders>
              <w:top w:val="nil"/>
              <w:bottom w:val="nil"/>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835" w:type="dxa"/>
            <w:tcBorders>
              <w:top w:val="nil"/>
              <w:bottom w:val="nil"/>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1167" w:type="dxa"/>
            <w:tcBorders>
              <w:top w:val="nil"/>
              <w:bottom w:val="nil"/>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871" w:type="dxa"/>
            <w:tcBorders>
              <w:top w:val="nil"/>
              <w:bottom w:val="nil"/>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792" w:type="dxa"/>
            <w:tcBorders>
              <w:top w:val="nil"/>
              <w:bottom w:val="nil"/>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r>
      <w:tr w:rsidR="00C9515F" w:rsidRPr="009E4A2F" w:rsidTr="00347FC8">
        <w:tc>
          <w:tcPr>
            <w:tcW w:w="527" w:type="dxa"/>
            <w:tcBorders>
              <w:top w:val="nil"/>
              <w:bottom w:val="nil"/>
            </w:tcBorders>
            <w:shd w:val="clear" w:color="auto" w:fill="auto"/>
            <w:noWrap/>
            <w:hideMark/>
          </w:tcPr>
          <w:p w:rsidR="00F233AB" w:rsidRPr="009E4A2F" w:rsidRDefault="00F233AB" w:rsidP="009E4A2F">
            <w:pPr>
              <w:suppressAutoHyphens w:val="0"/>
              <w:spacing w:before="40" w:after="40" w:line="220" w:lineRule="exact"/>
              <w:ind w:right="113"/>
              <w:rPr>
                <w:sz w:val="18"/>
              </w:rPr>
            </w:pPr>
            <w:r w:rsidRPr="009E4A2F">
              <w:rPr>
                <w:sz w:val="18"/>
              </w:rPr>
              <w:lastRenderedPageBreak/>
              <w:t>2014</w:t>
            </w:r>
          </w:p>
        </w:tc>
        <w:tc>
          <w:tcPr>
            <w:tcW w:w="783" w:type="dxa"/>
            <w:tcBorders>
              <w:top w:val="nil"/>
              <w:bottom w:val="nil"/>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26</w:t>
            </w:r>
            <w:r w:rsidR="00871D91">
              <w:rPr>
                <w:sz w:val="18"/>
              </w:rPr>
              <w:t>.</w:t>
            </w:r>
            <w:r w:rsidRPr="009E4A2F">
              <w:rPr>
                <w:sz w:val="18"/>
              </w:rPr>
              <w:t>50%</w:t>
            </w:r>
          </w:p>
        </w:tc>
        <w:tc>
          <w:tcPr>
            <w:tcW w:w="924" w:type="dxa"/>
            <w:tcBorders>
              <w:top w:val="nil"/>
              <w:bottom w:val="nil"/>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826" w:type="dxa"/>
            <w:tcBorders>
              <w:top w:val="nil"/>
              <w:bottom w:val="nil"/>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787" w:type="dxa"/>
            <w:tcBorders>
              <w:top w:val="nil"/>
              <w:bottom w:val="nil"/>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996" w:type="dxa"/>
            <w:tcBorders>
              <w:top w:val="nil"/>
              <w:bottom w:val="nil"/>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835" w:type="dxa"/>
            <w:tcBorders>
              <w:top w:val="nil"/>
              <w:bottom w:val="nil"/>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1167" w:type="dxa"/>
            <w:tcBorders>
              <w:top w:val="nil"/>
              <w:bottom w:val="nil"/>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871" w:type="dxa"/>
            <w:tcBorders>
              <w:top w:val="nil"/>
              <w:bottom w:val="nil"/>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792" w:type="dxa"/>
            <w:tcBorders>
              <w:top w:val="nil"/>
              <w:bottom w:val="nil"/>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r>
      <w:tr w:rsidR="00C9515F" w:rsidRPr="009E4A2F" w:rsidTr="00347FC8">
        <w:tc>
          <w:tcPr>
            <w:tcW w:w="527" w:type="dxa"/>
            <w:tcBorders>
              <w:top w:val="nil"/>
            </w:tcBorders>
            <w:shd w:val="clear" w:color="auto" w:fill="auto"/>
            <w:noWrap/>
            <w:hideMark/>
          </w:tcPr>
          <w:p w:rsidR="00F233AB" w:rsidRPr="009E4A2F" w:rsidRDefault="00F233AB" w:rsidP="009E4A2F">
            <w:pPr>
              <w:suppressAutoHyphens w:val="0"/>
              <w:spacing w:before="40" w:after="40" w:line="220" w:lineRule="exact"/>
              <w:ind w:right="113"/>
              <w:rPr>
                <w:sz w:val="18"/>
              </w:rPr>
            </w:pPr>
            <w:r w:rsidRPr="009E4A2F">
              <w:rPr>
                <w:sz w:val="18"/>
              </w:rPr>
              <w:t>2015</w:t>
            </w:r>
          </w:p>
        </w:tc>
        <w:tc>
          <w:tcPr>
            <w:tcW w:w="783" w:type="dxa"/>
            <w:tcBorders>
              <w:top w:val="nil"/>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24</w:t>
            </w:r>
            <w:r w:rsidR="00871D91">
              <w:rPr>
                <w:sz w:val="18"/>
              </w:rPr>
              <w:t>.</w:t>
            </w:r>
            <w:r w:rsidRPr="009E4A2F">
              <w:rPr>
                <w:sz w:val="18"/>
              </w:rPr>
              <w:t>90%</w:t>
            </w:r>
          </w:p>
        </w:tc>
        <w:tc>
          <w:tcPr>
            <w:tcW w:w="924" w:type="dxa"/>
            <w:tcBorders>
              <w:top w:val="nil"/>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826" w:type="dxa"/>
            <w:tcBorders>
              <w:top w:val="nil"/>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787" w:type="dxa"/>
            <w:tcBorders>
              <w:top w:val="nil"/>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996" w:type="dxa"/>
            <w:tcBorders>
              <w:top w:val="nil"/>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835" w:type="dxa"/>
            <w:tcBorders>
              <w:top w:val="nil"/>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1167" w:type="dxa"/>
            <w:tcBorders>
              <w:top w:val="nil"/>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871" w:type="dxa"/>
            <w:tcBorders>
              <w:top w:val="nil"/>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792" w:type="dxa"/>
            <w:tcBorders>
              <w:top w:val="nil"/>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r>
      <w:tr w:rsidR="00C9515F" w:rsidRPr="009E4A2F" w:rsidTr="00347FC8">
        <w:tc>
          <w:tcPr>
            <w:tcW w:w="527" w:type="dxa"/>
            <w:tcBorders>
              <w:bottom w:val="single" w:sz="12" w:space="0" w:color="auto"/>
            </w:tcBorders>
            <w:shd w:val="clear" w:color="auto" w:fill="auto"/>
            <w:noWrap/>
            <w:hideMark/>
          </w:tcPr>
          <w:p w:rsidR="00F233AB" w:rsidRPr="009E4A2F" w:rsidRDefault="00F233AB" w:rsidP="009E4A2F">
            <w:pPr>
              <w:suppressAutoHyphens w:val="0"/>
              <w:spacing w:before="40" w:after="40" w:line="220" w:lineRule="exact"/>
              <w:ind w:right="113"/>
              <w:rPr>
                <w:sz w:val="18"/>
              </w:rPr>
            </w:pPr>
            <w:r w:rsidRPr="009E4A2F">
              <w:rPr>
                <w:sz w:val="18"/>
              </w:rPr>
              <w:t>2016</w:t>
            </w:r>
          </w:p>
        </w:tc>
        <w:tc>
          <w:tcPr>
            <w:tcW w:w="783" w:type="dxa"/>
            <w:tcBorders>
              <w:bottom w:val="single" w:sz="12"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r w:rsidRPr="009E4A2F">
              <w:rPr>
                <w:sz w:val="18"/>
              </w:rPr>
              <w:t>23</w:t>
            </w:r>
            <w:r w:rsidR="00871D91">
              <w:rPr>
                <w:sz w:val="18"/>
              </w:rPr>
              <w:t>.</w:t>
            </w:r>
            <w:r w:rsidRPr="009E4A2F">
              <w:rPr>
                <w:sz w:val="18"/>
              </w:rPr>
              <w:t>50%</w:t>
            </w:r>
          </w:p>
        </w:tc>
        <w:tc>
          <w:tcPr>
            <w:tcW w:w="924" w:type="dxa"/>
            <w:tcBorders>
              <w:bottom w:val="single" w:sz="12"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826" w:type="dxa"/>
            <w:tcBorders>
              <w:bottom w:val="single" w:sz="12"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787" w:type="dxa"/>
            <w:tcBorders>
              <w:bottom w:val="single" w:sz="12"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996" w:type="dxa"/>
            <w:tcBorders>
              <w:bottom w:val="single" w:sz="12"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835" w:type="dxa"/>
            <w:tcBorders>
              <w:bottom w:val="single" w:sz="12"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1167" w:type="dxa"/>
            <w:tcBorders>
              <w:bottom w:val="single" w:sz="12"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871" w:type="dxa"/>
            <w:tcBorders>
              <w:bottom w:val="single" w:sz="12"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c>
          <w:tcPr>
            <w:tcW w:w="792" w:type="dxa"/>
            <w:tcBorders>
              <w:bottom w:val="single" w:sz="12" w:space="0" w:color="auto"/>
            </w:tcBorders>
            <w:shd w:val="clear" w:color="auto" w:fill="auto"/>
            <w:noWrap/>
            <w:vAlign w:val="bottom"/>
            <w:hideMark/>
          </w:tcPr>
          <w:p w:rsidR="00F233AB" w:rsidRPr="009E4A2F" w:rsidRDefault="00F233AB" w:rsidP="009E4A2F">
            <w:pPr>
              <w:suppressAutoHyphens w:val="0"/>
              <w:spacing w:before="40" w:after="40" w:line="220" w:lineRule="exact"/>
              <w:ind w:right="113"/>
              <w:jc w:val="right"/>
              <w:rPr>
                <w:sz w:val="18"/>
              </w:rPr>
            </w:pPr>
          </w:p>
        </w:tc>
      </w:tr>
    </w:tbl>
    <w:p w:rsidR="00F233AB" w:rsidRPr="00B02247" w:rsidRDefault="00F233AB" w:rsidP="00F233AB"/>
    <w:tbl>
      <w:tblPr>
        <w:tblW w:w="7372"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14"/>
        <w:gridCol w:w="552"/>
        <w:gridCol w:w="551"/>
        <w:gridCol w:w="551"/>
        <w:gridCol w:w="551"/>
        <w:gridCol w:w="551"/>
        <w:gridCol w:w="551"/>
        <w:gridCol w:w="551"/>
      </w:tblGrid>
      <w:tr w:rsidR="004C70DA" w:rsidRPr="00BA3795" w:rsidTr="004C70DA">
        <w:trPr>
          <w:tblHeader/>
        </w:trPr>
        <w:tc>
          <w:tcPr>
            <w:tcW w:w="7371" w:type="dxa"/>
            <w:gridSpan w:val="8"/>
            <w:tcBorders>
              <w:top w:val="single" w:sz="4" w:space="0" w:color="auto"/>
              <w:bottom w:val="single" w:sz="12" w:space="0" w:color="auto"/>
            </w:tcBorders>
            <w:shd w:val="clear" w:color="auto" w:fill="auto"/>
            <w:vAlign w:val="bottom"/>
            <w:hideMark/>
          </w:tcPr>
          <w:p w:rsidR="004C70DA" w:rsidRPr="00BA3795" w:rsidRDefault="004C70DA" w:rsidP="00BA3795">
            <w:pPr>
              <w:suppressAutoHyphens w:val="0"/>
              <w:spacing w:before="80" w:after="80" w:line="200" w:lineRule="exact"/>
              <w:ind w:right="113"/>
              <w:rPr>
                <w:i/>
                <w:sz w:val="16"/>
              </w:rPr>
            </w:pPr>
            <w:r w:rsidRPr="00BA3795">
              <w:rPr>
                <w:i/>
                <w:sz w:val="16"/>
              </w:rPr>
              <w:t>Share of household consumption expenditures on food, housing, health and education as a percentage (%) of the total value of final consumption expenditure at current prices according to the domestic concept</w:t>
            </w:r>
            <w:r w:rsidRPr="00C903AC">
              <w:rPr>
                <w:i/>
                <w:sz w:val="16"/>
                <w:vertAlign w:val="superscript"/>
              </w:rPr>
              <w:t>3</w:t>
            </w:r>
          </w:p>
        </w:tc>
      </w:tr>
      <w:tr w:rsidR="004C70DA" w:rsidRPr="00BA3795" w:rsidTr="004C70DA">
        <w:tc>
          <w:tcPr>
            <w:tcW w:w="3514" w:type="dxa"/>
            <w:tcBorders>
              <w:top w:val="single" w:sz="12" w:space="0" w:color="auto"/>
            </w:tcBorders>
            <w:shd w:val="clear" w:color="auto" w:fill="auto"/>
            <w:noWrap/>
            <w:hideMark/>
          </w:tcPr>
          <w:p w:rsidR="004C70DA" w:rsidRPr="00BA3795" w:rsidRDefault="004C70DA" w:rsidP="00BA3795">
            <w:pPr>
              <w:suppressAutoHyphens w:val="0"/>
              <w:spacing w:before="40" w:after="40" w:line="220" w:lineRule="exact"/>
              <w:ind w:right="113"/>
              <w:rPr>
                <w:sz w:val="18"/>
              </w:rPr>
            </w:pPr>
            <w:r w:rsidRPr="00BA3795">
              <w:rPr>
                <w:sz w:val="18"/>
              </w:rPr>
              <w:t xml:space="preserve">Food and non-alcoholic beverages </w:t>
            </w:r>
          </w:p>
        </w:tc>
        <w:tc>
          <w:tcPr>
            <w:tcW w:w="552" w:type="dxa"/>
            <w:tcBorders>
              <w:top w:val="single" w:sz="12" w:space="0" w:color="auto"/>
            </w:tcBorders>
            <w:shd w:val="clear" w:color="auto" w:fill="auto"/>
            <w:noWrap/>
            <w:hideMark/>
          </w:tcPr>
          <w:p w:rsidR="004C70DA" w:rsidRPr="00BA3795" w:rsidRDefault="004C70DA" w:rsidP="004C70DA">
            <w:pPr>
              <w:suppressAutoHyphens w:val="0"/>
              <w:spacing w:before="40" w:after="40" w:line="220" w:lineRule="exact"/>
              <w:ind w:right="113"/>
              <w:jc w:val="right"/>
              <w:rPr>
                <w:sz w:val="18"/>
              </w:rPr>
            </w:pPr>
            <w:r w:rsidRPr="00BA3795">
              <w:rPr>
                <w:sz w:val="18"/>
              </w:rPr>
              <w:t>15</w:t>
            </w:r>
            <w:r w:rsidR="00871D91">
              <w:rPr>
                <w:sz w:val="18"/>
              </w:rPr>
              <w:t>.</w:t>
            </w:r>
            <w:r w:rsidRPr="00BA3795">
              <w:rPr>
                <w:sz w:val="18"/>
              </w:rPr>
              <w:t>8</w:t>
            </w:r>
          </w:p>
        </w:tc>
        <w:tc>
          <w:tcPr>
            <w:tcW w:w="551" w:type="dxa"/>
            <w:tcBorders>
              <w:top w:val="single" w:sz="12" w:space="0" w:color="auto"/>
            </w:tcBorders>
            <w:shd w:val="clear" w:color="auto" w:fill="auto"/>
            <w:noWrap/>
            <w:hideMark/>
          </w:tcPr>
          <w:p w:rsidR="004C70DA" w:rsidRPr="00BA3795" w:rsidRDefault="004C70DA" w:rsidP="004C70DA">
            <w:pPr>
              <w:suppressAutoHyphens w:val="0"/>
              <w:spacing w:before="40" w:after="40" w:line="220" w:lineRule="exact"/>
              <w:ind w:right="113"/>
              <w:jc w:val="right"/>
              <w:rPr>
                <w:sz w:val="18"/>
              </w:rPr>
            </w:pPr>
            <w:r w:rsidRPr="00BA3795">
              <w:rPr>
                <w:sz w:val="18"/>
              </w:rPr>
              <w:t>16</w:t>
            </w:r>
            <w:r w:rsidR="00871D91">
              <w:rPr>
                <w:sz w:val="18"/>
              </w:rPr>
              <w:t>.</w:t>
            </w:r>
            <w:r w:rsidRPr="00BA3795">
              <w:rPr>
                <w:sz w:val="18"/>
              </w:rPr>
              <w:t>8</w:t>
            </w:r>
          </w:p>
        </w:tc>
        <w:tc>
          <w:tcPr>
            <w:tcW w:w="551" w:type="dxa"/>
            <w:tcBorders>
              <w:top w:val="single" w:sz="12" w:space="0" w:color="auto"/>
            </w:tcBorders>
            <w:shd w:val="clear" w:color="auto" w:fill="auto"/>
            <w:noWrap/>
            <w:hideMark/>
          </w:tcPr>
          <w:p w:rsidR="004C70DA" w:rsidRPr="00BA3795" w:rsidRDefault="004C70DA" w:rsidP="004C70DA">
            <w:pPr>
              <w:suppressAutoHyphens w:val="0"/>
              <w:spacing w:before="40" w:after="40" w:line="220" w:lineRule="exact"/>
              <w:ind w:right="113"/>
              <w:jc w:val="right"/>
              <w:rPr>
                <w:sz w:val="18"/>
              </w:rPr>
            </w:pPr>
            <w:r w:rsidRPr="00BA3795">
              <w:rPr>
                <w:sz w:val="18"/>
              </w:rPr>
              <w:t>16</w:t>
            </w:r>
            <w:r w:rsidR="00871D91">
              <w:rPr>
                <w:sz w:val="18"/>
              </w:rPr>
              <w:t>.</w:t>
            </w:r>
            <w:r w:rsidRPr="00BA3795">
              <w:rPr>
                <w:sz w:val="18"/>
              </w:rPr>
              <w:t>6</w:t>
            </w:r>
          </w:p>
        </w:tc>
        <w:tc>
          <w:tcPr>
            <w:tcW w:w="551" w:type="dxa"/>
            <w:tcBorders>
              <w:top w:val="single" w:sz="12" w:space="0" w:color="auto"/>
            </w:tcBorders>
            <w:shd w:val="clear" w:color="auto" w:fill="auto"/>
            <w:noWrap/>
            <w:hideMark/>
          </w:tcPr>
          <w:p w:rsidR="004C70DA" w:rsidRPr="00BA3795" w:rsidRDefault="004C70DA" w:rsidP="004C70DA">
            <w:pPr>
              <w:suppressAutoHyphens w:val="0"/>
              <w:spacing w:before="40" w:after="40" w:line="220" w:lineRule="exact"/>
              <w:ind w:right="113"/>
              <w:jc w:val="right"/>
              <w:rPr>
                <w:sz w:val="18"/>
              </w:rPr>
            </w:pPr>
            <w:r w:rsidRPr="00BA3795">
              <w:rPr>
                <w:sz w:val="18"/>
              </w:rPr>
              <w:t>16</w:t>
            </w:r>
            <w:r w:rsidR="00871D91">
              <w:rPr>
                <w:sz w:val="18"/>
              </w:rPr>
              <w:t>.</w:t>
            </w:r>
            <w:r w:rsidRPr="00BA3795">
              <w:rPr>
                <w:sz w:val="18"/>
              </w:rPr>
              <w:t>1</w:t>
            </w:r>
          </w:p>
        </w:tc>
        <w:tc>
          <w:tcPr>
            <w:tcW w:w="551" w:type="dxa"/>
            <w:tcBorders>
              <w:top w:val="single" w:sz="12" w:space="0" w:color="auto"/>
            </w:tcBorders>
            <w:shd w:val="clear" w:color="auto" w:fill="auto"/>
            <w:noWrap/>
            <w:hideMark/>
          </w:tcPr>
          <w:p w:rsidR="004C70DA" w:rsidRPr="00BA3795" w:rsidRDefault="004C70DA" w:rsidP="004C70DA">
            <w:pPr>
              <w:suppressAutoHyphens w:val="0"/>
              <w:spacing w:before="40" w:after="40" w:line="220" w:lineRule="exact"/>
              <w:ind w:right="113"/>
              <w:jc w:val="right"/>
              <w:rPr>
                <w:sz w:val="18"/>
              </w:rPr>
            </w:pPr>
            <w:r w:rsidRPr="00BA3795">
              <w:rPr>
                <w:sz w:val="18"/>
              </w:rPr>
              <w:t>16</w:t>
            </w:r>
            <w:r w:rsidR="00871D91">
              <w:rPr>
                <w:sz w:val="18"/>
              </w:rPr>
              <w:t>.</w:t>
            </w:r>
            <w:r w:rsidRPr="00BA3795">
              <w:rPr>
                <w:sz w:val="18"/>
              </w:rPr>
              <w:t>4</w:t>
            </w:r>
          </w:p>
        </w:tc>
        <w:tc>
          <w:tcPr>
            <w:tcW w:w="551" w:type="dxa"/>
            <w:tcBorders>
              <w:top w:val="single" w:sz="12" w:space="0" w:color="auto"/>
            </w:tcBorders>
            <w:shd w:val="clear" w:color="auto" w:fill="auto"/>
            <w:noWrap/>
            <w:hideMark/>
          </w:tcPr>
          <w:p w:rsidR="004C70DA" w:rsidRPr="00BA3795" w:rsidRDefault="004C70DA" w:rsidP="004C70DA">
            <w:pPr>
              <w:suppressAutoHyphens w:val="0"/>
              <w:spacing w:before="40" w:after="40" w:line="220" w:lineRule="exact"/>
              <w:ind w:right="113"/>
              <w:jc w:val="right"/>
              <w:rPr>
                <w:sz w:val="18"/>
              </w:rPr>
            </w:pPr>
            <w:r w:rsidRPr="00BA3795">
              <w:rPr>
                <w:sz w:val="18"/>
              </w:rPr>
              <w:t>16</w:t>
            </w:r>
            <w:r w:rsidR="00871D91">
              <w:rPr>
                <w:sz w:val="18"/>
              </w:rPr>
              <w:t>.</w:t>
            </w:r>
            <w:r w:rsidRPr="00BA3795">
              <w:rPr>
                <w:sz w:val="18"/>
              </w:rPr>
              <w:t>6</w:t>
            </w:r>
          </w:p>
        </w:tc>
        <w:tc>
          <w:tcPr>
            <w:tcW w:w="551" w:type="dxa"/>
            <w:tcBorders>
              <w:top w:val="single" w:sz="12" w:space="0" w:color="auto"/>
            </w:tcBorders>
            <w:shd w:val="clear" w:color="auto" w:fill="auto"/>
            <w:noWrap/>
            <w:hideMark/>
          </w:tcPr>
          <w:p w:rsidR="004C70DA" w:rsidRPr="00BA3795" w:rsidRDefault="004C70DA" w:rsidP="004C70DA">
            <w:pPr>
              <w:suppressAutoHyphens w:val="0"/>
              <w:spacing w:before="40" w:after="40" w:line="220" w:lineRule="exact"/>
              <w:ind w:right="113"/>
              <w:jc w:val="right"/>
              <w:rPr>
                <w:sz w:val="18"/>
              </w:rPr>
            </w:pPr>
            <w:r w:rsidRPr="00BA3795">
              <w:rPr>
                <w:sz w:val="18"/>
              </w:rPr>
              <w:t>L</w:t>
            </w:r>
          </w:p>
        </w:tc>
      </w:tr>
      <w:tr w:rsidR="004C70DA" w:rsidRPr="00BA3795" w:rsidTr="004C70DA">
        <w:tc>
          <w:tcPr>
            <w:tcW w:w="3514" w:type="dxa"/>
            <w:shd w:val="clear" w:color="auto" w:fill="auto"/>
            <w:noWrap/>
            <w:hideMark/>
          </w:tcPr>
          <w:p w:rsidR="004C70DA" w:rsidRPr="00BA3795" w:rsidRDefault="004C70DA" w:rsidP="00BA3795">
            <w:pPr>
              <w:suppressAutoHyphens w:val="0"/>
              <w:spacing w:before="40" w:after="40" w:line="220" w:lineRule="exact"/>
              <w:ind w:right="113"/>
              <w:rPr>
                <w:sz w:val="18"/>
              </w:rPr>
            </w:pPr>
            <w:r w:rsidRPr="00BA3795">
              <w:rPr>
                <w:sz w:val="18"/>
              </w:rPr>
              <w:t>Housing, water, electricity, gas and other fuels</w:t>
            </w:r>
          </w:p>
        </w:tc>
        <w:tc>
          <w:tcPr>
            <w:tcW w:w="552" w:type="dxa"/>
            <w:shd w:val="clear" w:color="auto" w:fill="auto"/>
            <w:noWrap/>
            <w:hideMark/>
          </w:tcPr>
          <w:p w:rsidR="004C70DA" w:rsidRPr="00BA3795" w:rsidRDefault="004C70DA" w:rsidP="004C70DA">
            <w:pPr>
              <w:suppressAutoHyphens w:val="0"/>
              <w:spacing w:before="40" w:after="40" w:line="220" w:lineRule="exact"/>
              <w:ind w:right="113"/>
              <w:jc w:val="right"/>
              <w:rPr>
                <w:sz w:val="18"/>
              </w:rPr>
            </w:pPr>
            <w:r w:rsidRPr="00BA3795">
              <w:rPr>
                <w:sz w:val="18"/>
              </w:rPr>
              <w:t>20</w:t>
            </w:r>
            <w:r w:rsidR="00871D91">
              <w:rPr>
                <w:sz w:val="18"/>
              </w:rPr>
              <w:t>.</w:t>
            </w:r>
            <w:r w:rsidRPr="00BA3795">
              <w:rPr>
                <w:sz w:val="18"/>
              </w:rPr>
              <w:t>6</w:t>
            </w:r>
          </w:p>
        </w:tc>
        <w:tc>
          <w:tcPr>
            <w:tcW w:w="551" w:type="dxa"/>
            <w:shd w:val="clear" w:color="auto" w:fill="auto"/>
            <w:noWrap/>
            <w:hideMark/>
          </w:tcPr>
          <w:p w:rsidR="004C70DA" w:rsidRPr="00BA3795" w:rsidRDefault="004C70DA" w:rsidP="004C70DA">
            <w:pPr>
              <w:suppressAutoHyphens w:val="0"/>
              <w:spacing w:before="40" w:after="40" w:line="220" w:lineRule="exact"/>
              <w:ind w:right="113"/>
              <w:jc w:val="right"/>
              <w:rPr>
                <w:sz w:val="18"/>
              </w:rPr>
            </w:pPr>
            <w:r w:rsidRPr="00BA3795">
              <w:rPr>
                <w:sz w:val="18"/>
              </w:rPr>
              <w:t>22</w:t>
            </w:r>
            <w:r w:rsidR="00871D91">
              <w:rPr>
                <w:sz w:val="18"/>
              </w:rPr>
              <w:t>.</w:t>
            </w:r>
            <w:r w:rsidRPr="00BA3795">
              <w:rPr>
                <w:sz w:val="18"/>
              </w:rPr>
              <w:t>3</w:t>
            </w:r>
          </w:p>
        </w:tc>
        <w:tc>
          <w:tcPr>
            <w:tcW w:w="551" w:type="dxa"/>
            <w:shd w:val="clear" w:color="auto" w:fill="auto"/>
            <w:noWrap/>
            <w:hideMark/>
          </w:tcPr>
          <w:p w:rsidR="004C70DA" w:rsidRPr="00BA3795" w:rsidRDefault="004C70DA" w:rsidP="004C70DA">
            <w:pPr>
              <w:suppressAutoHyphens w:val="0"/>
              <w:spacing w:before="40" w:after="40" w:line="220" w:lineRule="exact"/>
              <w:ind w:right="113"/>
              <w:jc w:val="right"/>
              <w:rPr>
                <w:sz w:val="18"/>
              </w:rPr>
            </w:pPr>
            <w:r w:rsidRPr="00BA3795">
              <w:rPr>
                <w:sz w:val="18"/>
              </w:rPr>
              <w:t>23</w:t>
            </w:r>
            <w:r w:rsidR="00871D91">
              <w:rPr>
                <w:sz w:val="18"/>
              </w:rPr>
              <w:t>.</w:t>
            </w:r>
            <w:r w:rsidRPr="00BA3795">
              <w:rPr>
                <w:sz w:val="18"/>
              </w:rPr>
              <w:t>9</w:t>
            </w:r>
          </w:p>
        </w:tc>
        <w:tc>
          <w:tcPr>
            <w:tcW w:w="551" w:type="dxa"/>
            <w:shd w:val="clear" w:color="auto" w:fill="auto"/>
            <w:noWrap/>
            <w:hideMark/>
          </w:tcPr>
          <w:p w:rsidR="004C70DA" w:rsidRPr="00BA3795" w:rsidRDefault="004C70DA" w:rsidP="004C70DA">
            <w:pPr>
              <w:suppressAutoHyphens w:val="0"/>
              <w:spacing w:before="40" w:after="40" w:line="220" w:lineRule="exact"/>
              <w:ind w:right="113"/>
              <w:jc w:val="right"/>
              <w:rPr>
                <w:sz w:val="18"/>
              </w:rPr>
            </w:pPr>
            <w:r w:rsidRPr="00BA3795">
              <w:rPr>
                <w:sz w:val="18"/>
              </w:rPr>
              <w:t>22</w:t>
            </w:r>
            <w:r w:rsidR="00871D91">
              <w:rPr>
                <w:sz w:val="18"/>
              </w:rPr>
              <w:t>.</w:t>
            </w:r>
            <w:r w:rsidRPr="00BA3795">
              <w:rPr>
                <w:sz w:val="18"/>
              </w:rPr>
              <w:t>3</w:t>
            </w:r>
          </w:p>
        </w:tc>
        <w:tc>
          <w:tcPr>
            <w:tcW w:w="551" w:type="dxa"/>
            <w:shd w:val="clear" w:color="auto" w:fill="auto"/>
            <w:noWrap/>
            <w:hideMark/>
          </w:tcPr>
          <w:p w:rsidR="004C70DA" w:rsidRPr="00BA3795" w:rsidRDefault="004C70DA" w:rsidP="004C70DA">
            <w:pPr>
              <w:suppressAutoHyphens w:val="0"/>
              <w:spacing w:before="40" w:after="40" w:line="220" w:lineRule="exact"/>
              <w:ind w:right="113"/>
              <w:jc w:val="right"/>
              <w:rPr>
                <w:sz w:val="18"/>
              </w:rPr>
            </w:pPr>
            <w:r w:rsidRPr="00BA3795">
              <w:rPr>
                <w:sz w:val="18"/>
              </w:rPr>
              <w:t>21</w:t>
            </w:r>
            <w:r w:rsidR="00871D91">
              <w:rPr>
                <w:sz w:val="18"/>
              </w:rPr>
              <w:t>.</w:t>
            </w:r>
            <w:r w:rsidRPr="00BA3795">
              <w:rPr>
                <w:sz w:val="18"/>
              </w:rPr>
              <w:t>0</w:t>
            </w:r>
          </w:p>
        </w:tc>
        <w:tc>
          <w:tcPr>
            <w:tcW w:w="551" w:type="dxa"/>
            <w:shd w:val="clear" w:color="auto" w:fill="auto"/>
            <w:noWrap/>
            <w:hideMark/>
          </w:tcPr>
          <w:p w:rsidR="004C70DA" w:rsidRPr="00BA3795" w:rsidRDefault="004C70DA" w:rsidP="004C70DA">
            <w:pPr>
              <w:suppressAutoHyphens w:val="0"/>
              <w:spacing w:before="40" w:after="40" w:line="220" w:lineRule="exact"/>
              <w:ind w:right="113"/>
              <w:jc w:val="right"/>
              <w:rPr>
                <w:sz w:val="18"/>
              </w:rPr>
            </w:pPr>
            <w:r w:rsidRPr="00BA3795">
              <w:rPr>
                <w:sz w:val="18"/>
              </w:rPr>
              <w:t>20</w:t>
            </w:r>
            <w:r w:rsidR="00871D91">
              <w:rPr>
                <w:sz w:val="18"/>
              </w:rPr>
              <w:t>.</w:t>
            </w:r>
            <w:r w:rsidRPr="00BA3795">
              <w:rPr>
                <w:sz w:val="18"/>
              </w:rPr>
              <w:t>6</w:t>
            </w:r>
          </w:p>
        </w:tc>
        <w:tc>
          <w:tcPr>
            <w:tcW w:w="551" w:type="dxa"/>
            <w:shd w:val="clear" w:color="auto" w:fill="auto"/>
            <w:noWrap/>
            <w:hideMark/>
          </w:tcPr>
          <w:p w:rsidR="004C70DA" w:rsidRPr="00BA3795" w:rsidRDefault="004C70DA" w:rsidP="004C70DA">
            <w:pPr>
              <w:suppressAutoHyphens w:val="0"/>
              <w:spacing w:before="40" w:after="40" w:line="220" w:lineRule="exact"/>
              <w:ind w:right="113"/>
              <w:jc w:val="right"/>
              <w:rPr>
                <w:sz w:val="18"/>
              </w:rPr>
            </w:pPr>
            <w:r w:rsidRPr="00BA3795">
              <w:rPr>
                <w:sz w:val="18"/>
              </w:rPr>
              <w:t>L</w:t>
            </w:r>
          </w:p>
        </w:tc>
      </w:tr>
      <w:tr w:rsidR="004C70DA" w:rsidRPr="00BA3795" w:rsidTr="004C70DA">
        <w:tc>
          <w:tcPr>
            <w:tcW w:w="3514" w:type="dxa"/>
            <w:shd w:val="clear" w:color="auto" w:fill="auto"/>
            <w:noWrap/>
            <w:hideMark/>
          </w:tcPr>
          <w:p w:rsidR="004C70DA" w:rsidRPr="00BA3795" w:rsidRDefault="004C70DA" w:rsidP="00BA3795">
            <w:pPr>
              <w:suppressAutoHyphens w:val="0"/>
              <w:spacing w:before="40" w:after="40" w:line="220" w:lineRule="exact"/>
              <w:ind w:right="113"/>
              <w:rPr>
                <w:sz w:val="18"/>
              </w:rPr>
            </w:pPr>
            <w:r w:rsidRPr="00BA3795">
              <w:rPr>
                <w:sz w:val="18"/>
              </w:rPr>
              <w:t>Health</w:t>
            </w:r>
          </w:p>
        </w:tc>
        <w:tc>
          <w:tcPr>
            <w:tcW w:w="552" w:type="dxa"/>
            <w:shd w:val="clear" w:color="auto" w:fill="auto"/>
            <w:noWrap/>
            <w:hideMark/>
          </w:tcPr>
          <w:p w:rsidR="004C70DA" w:rsidRPr="00BA3795" w:rsidRDefault="004C70DA" w:rsidP="004C70DA">
            <w:pPr>
              <w:suppressAutoHyphens w:val="0"/>
              <w:spacing w:before="40" w:after="40" w:line="220" w:lineRule="exact"/>
              <w:ind w:right="113"/>
              <w:jc w:val="right"/>
              <w:rPr>
                <w:sz w:val="18"/>
              </w:rPr>
            </w:pPr>
            <w:r w:rsidRPr="00BA3795">
              <w:rPr>
                <w:sz w:val="18"/>
              </w:rPr>
              <w:t>4</w:t>
            </w:r>
            <w:r w:rsidR="00871D91">
              <w:rPr>
                <w:sz w:val="18"/>
              </w:rPr>
              <w:t>.</w:t>
            </w:r>
            <w:r w:rsidRPr="00BA3795">
              <w:rPr>
                <w:sz w:val="18"/>
              </w:rPr>
              <w:t>1</w:t>
            </w:r>
          </w:p>
        </w:tc>
        <w:tc>
          <w:tcPr>
            <w:tcW w:w="551" w:type="dxa"/>
            <w:shd w:val="clear" w:color="auto" w:fill="auto"/>
            <w:noWrap/>
            <w:hideMark/>
          </w:tcPr>
          <w:p w:rsidR="004C70DA" w:rsidRPr="00BA3795" w:rsidRDefault="004C70DA" w:rsidP="004C70DA">
            <w:pPr>
              <w:suppressAutoHyphens w:val="0"/>
              <w:spacing w:before="40" w:after="40" w:line="220" w:lineRule="exact"/>
              <w:ind w:right="113"/>
              <w:jc w:val="right"/>
              <w:rPr>
                <w:sz w:val="18"/>
              </w:rPr>
            </w:pPr>
            <w:r w:rsidRPr="00BA3795">
              <w:rPr>
                <w:sz w:val="18"/>
              </w:rPr>
              <w:t>4</w:t>
            </w:r>
            <w:r w:rsidR="00871D91">
              <w:rPr>
                <w:sz w:val="18"/>
              </w:rPr>
              <w:t>.</w:t>
            </w:r>
            <w:r w:rsidRPr="00BA3795">
              <w:rPr>
                <w:sz w:val="18"/>
              </w:rPr>
              <w:t>1</w:t>
            </w:r>
          </w:p>
        </w:tc>
        <w:tc>
          <w:tcPr>
            <w:tcW w:w="551" w:type="dxa"/>
            <w:shd w:val="clear" w:color="auto" w:fill="auto"/>
            <w:noWrap/>
            <w:hideMark/>
          </w:tcPr>
          <w:p w:rsidR="004C70DA" w:rsidRPr="00BA3795" w:rsidRDefault="004C70DA" w:rsidP="004C70DA">
            <w:pPr>
              <w:suppressAutoHyphens w:val="0"/>
              <w:spacing w:before="40" w:after="40" w:line="220" w:lineRule="exact"/>
              <w:ind w:right="113"/>
              <w:jc w:val="right"/>
              <w:rPr>
                <w:sz w:val="18"/>
              </w:rPr>
            </w:pPr>
            <w:r w:rsidRPr="00BA3795">
              <w:rPr>
                <w:sz w:val="18"/>
              </w:rPr>
              <w:t>3</w:t>
            </w:r>
            <w:r w:rsidR="00871D91">
              <w:rPr>
                <w:sz w:val="18"/>
              </w:rPr>
              <w:t>.</w:t>
            </w:r>
            <w:r w:rsidRPr="00BA3795">
              <w:rPr>
                <w:sz w:val="18"/>
              </w:rPr>
              <w:t>3</w:t>
            </w:r>
          </w:p>
        </w:tc>
        <w:tc>
          <w:tcPr>
            <w:tcW w:w="551" w:type="dxa"/>
            <w:shd w:val="clear" w:color="auto" w:fill="auto"/>
            <w:noWrap/>
            <w:hideMark/>
          </w:tcPr>
          <w:p w:rsidR="004C70DA" w:rsidRPr="00BA3795" w:rsidRDefault="004C70DA" w:rsidP="004C70DA">
            <w:pPr>
              <w:suppressAutoHyphens w:val="0"/>
              <w:spacing w:before="40" w:after="40" w:line="220" w:lineRule="exact"/>
              <w:ind w:right="113"/>
              <w:jc w:val="right"/>
              <w:rPr>
                <w:sz w:val="18"/>
              </w:rPr>
            </w:pPr>
            <w:r w:rsidRPr="00BA3795">
              <w:rPr>
                <w:sz w:val="18"/>
              </w:rPr>
              <w:t>3</w:t>
            </w:r>
            <w:r w:rsidR="00871D91">
              <w:rPr>
                <w:sz w:val="18"/>
              </w:rPr>
              <w:t>.</w:t>
            </w:r>
            <w:r w:rsidRPr="00BA3795">
              <w:rPr>
                <w:sz w:val="18"/>
              </w:rPr>
              <w:t>9</w:t>
            </w:r>
          </w:p>
        </w:tc>
        <w:tc>
          <w:tcPr>
            <w:tcW w:w="551" w:type="dxa"/>
            <w:shd w:val="clear" w:color="auto" w:fill="auto"/>
            <w:noWrap/>
            <w:hideMark/>
          </w:tcPr>
          <w:p w:rsidR="004C70DA" w:rsidRPr="00BA3795" w:rsidRDefault="004C70DA" w:rsidP="004C70DA">
            <w:pPr>
              <w:suppressAutoHyphens w:val="0"/>
              <w:spacing w:before="40" w:after="40" w:line="220" w:lineRule="exact"/>
              <w:ind w:right="113"/>
              <w:jc w:val="right"/>
              <w:rPr>
                <w:sz w:val="18"/>
              </w:rPr>
            </w:pPr>
            <w:r w:rsidRPr="00BA3795">
              <w:rPr>
                <w:sz w:val="18"/>
              </w:rPr>
              <w:t>4</w:t>
            </w:r>
            <w:r w:rsidR="00871D91">
              <w:rPr>
                <w:sz w:val="18"/>
              </w:rPr>
              <w:t>.</w:t>
            </w:r>
            <w:r w:rsidRPr="00BA3795">
              <w:rPr>
                <w:sz w:val="18"/>
              </w:rPr>
              <w:t>0</w:t>
            </w:r>
          </w:p>
        </w:tc>
        <w:tc>
          <w:tcPr>
            <w:tcW w:w="551" w:type="dxa"/>
            <w:shd w:val="clear" w:color="auto" w:fill="auto"/>
            <w:noWrap/>
            <w:hideMark/>
          </w:tcPr>
          <w:p w:rsidR="004C70DA" w:rsidRPr="00BA3795" w:rsidRDefault="004C70DA" w:rsidP="004C70DA">
            <w:pPr>
              <w:suppressAutoHyphens w:val="0"/>
              <w:spacing w:before="40" w:after="40" w:line="220" w:lineRule="exact"/>
              <w:ind w:right="113"/>
              <w:jc w:val="right"/>
              <w:rPr>
                <w:sz w:val="18"/>
              </w:rPr>
            </w:pPr>
            <w:r w:rsidRPr="00BA3795">
              <w:rPr>
                <w:sz w:val="18"/>
              </w:rPr>
              <w:t>4</w:t>
            </w:r>
            <w:r w:rsidR="00871D91">
              <w:rPr>
                <w:sz w:val="18"/>
              </w:rPr>
              <w:t>.</w:t>
            </w:r>
            <w:r w:rsidRPr="00BA3795">
              <w:rPr>
                <w:sz w:val="18"/>
              </w:rPr>
              <w:t>3</w:t>
            </w:r>
          </w:p>
        </w:tc>
        <w:tc>
          <w:tcPr>
            <w:tcW w:w="551" w:type="dxa"/>
            <w:shd w:val="clear" w:color="auto" w:fill="auto"/>
            <w:noWrap/>
            <w:hideMark/>
          </w:tcPr>
          <w:p w:rsidR="004C70DA" w:rsidRPr="00BA3795" w:rsidRDefault="004C70DA" w:rsidP="004C70DA">
            <w:pPr>
              <w:suppressAutoHyphens w:val="0"/>
              <w:spacing w:before="40" w:after="40" w:line="220" w:lineRule="exact"/>
              <w:ind w:right="113"/>
              <w:jc w:val="right"/>
              <w:rPr>
                <w:sz w:val="18"/>
              </w:rPr>
            </w:pPr>
            <w:r w:rsidRPr="00BA3795">
              <w:rPr>
                <w:sz w:val="18"/>
              </w:rPr>
              <w:t>L</w:t>
            </w:r>
          </w:p>
        </w:tc>
      </w:tr>
      <w:tr w:rsidR="004C70DA" w:rsidRPr="00BA3795" w:rsidTr="004C70DA">
        <w:tc>
          <w:tcPr>
            <w:tcW w:w="3514" w:type="dxa"/>
            <w:shd w:val="clear" w:color="auto" w:fill="auto"/>
            <w:noWrap/>
            <w:hideMark/>
          </w:tcPr>
          <w:p w:rsidR="004C70DA" w:rsidRPr="00BA3795" w:rsidRDefault="004C70DA" w:rsidP="00BA3795">
            <w:pPr>
              <w:suppressAutoHyphens w:val="0"/>
              <w:spacing w:before="40" w:after="40" w:line="220" w:lineRule="exact"/>
              <w:ind w:right="113"/>
              <w:rPr>
                <w:sz w:val="18"/>
              </w:rPr>
            </w:pPr>
            <w:r w:rsidRPr="00BA3795">
              <w:rPr>
                <w:sz w:val="18"/>
              </w:rPr>
              <w:t>Education</w:t>
            </w:r>
          </w:p>
        </w:tc>
        <w:tc>
          <w:tcPr>
            <w:tcW w:w="552" w:type="dxa"/>
            <w:shd w:val="clear" w:color="auto" w:fill="auto"/>
            <w:noWrap/>
            <w:hideMark/>
          </w:tcPr>
          <w:p w:rsidR="004C70DA" w:rsidRPr="00BA3795" w:rsidRDefault="004C70DA" w:rsidP="004C70DA">
            <w:pPr>
              <w:suppressAutoHyphens w:val="0"/>
              <w:spacing w:before="40" w:after="40" w:line="220" w:lineRule="exact"/>
              <w:ind w:right="113"/>
              <w:jc w:val="right"/>
              <w:rPr>
                <w:sz w:val="18"/>
              </w:rPr>
            </w:pPr>
            <w:r w:rsidRPr="00BA3795">
              <w:rPr>
                <w:sz w:val="18"/>
              </w:rPr>
              <w:t>2</w:t>
            </w:r>
            <w:r w:rsidR="00871D91">
              <w:rPr>
                <w:sz w:val="18"/>
              </w:rPr>
              <w:t>.</w:t>
            </w:r>
            <w:r w:rsidRPr="00BA3795">
              <w:rPr>
                <w:sz w:val="18"/>
              </w:rPr>
              <w:t>4</w:t>
            </w:r>
          </w:p>
        </w:tc>
        <w:tc>
          <w:tcPr>
            <w:tcW w:w="551" w:type="dxa"/>
            <w:shd w:val="clear" w:color="auto" w:fill="auto"/>
            <w:noWrap/>
            <w:hideMark/>
          </w:tcPr>
          <w:p w:rsidR="004C70DA" w:rsidRPr="00BA3795" w:rsidRDefault="004C70DA" w:rsidP="004C70DA">
            <w:pPr>
              <w:suppressAutoHyphens w:val="0"/>
              <w:spacing w:before="40" w:after="40" w:line="220" w:lineRule="exact"/>
              <w:ind w:right="113"/>
              <w:jc w:val="right"/>
              <w:rPr>
                <w:sz w:val="18"/>
              </w:rPr>
            </w:pPr>
            <w:r w:rsidRPr="00BA3795">
              <w:rPr>
                <w:sz w:val="18"/>
              </w:rPr>
              <w:t>2</w:t>
            </w:r>
            <w:r w:rsidR="00871D91">
              <w:rPr>
                <w:sz w:val="18"/>
              </w:rPr>
              <w:t>.</w:t>
            </w:r>
            <w:r w:rsidRPr="00BA3795">
              <w:rPr>
                <w:sz w:val="18"/>
              </w:rPr>
              <w:t>4</w:t>
            </w:r>
          </w:p>
        </w:tc>
        <w:tc>
          <w:tcPr>
            <w:tcW w:w="551" w:type="dxa"/>
            <w:shd w:val="clear" w:color="auto" w:fill="auto"/>
            <w:noWrap/>
            <w:hideMark/>
          </w:tcPr>
          <w:p w:rsidR="004C70DA" w:rsidRPr="00BA3795" w:rsidRDefault="004C70DA" w:rsidP="004C70DA">
            <w:pPr>
              <w:suppressAutoHyphens w:val="0"/>
              <w:spacing w:before="40" w:after="40" w:line="220" w:lineRule="exact"/>
              <w:ind w:right="113"/>
              <w:jc w:val="right"/>
              <w:rPr>
                <w:sz w:val="18"/>
              </w:rPr>
            </w:pPr>
            <w:r w:rsidRPr="00BA3795">
              <w:rPr>
                <w:sz w:val="18"/>
              </w:rPr>
              <w:t>2</w:t>
            </w:r>
            <w:r w:rsidR="00871D91">
              <w:rPr>
                <w:sz w:val="18"/>
              </w:rPr>
              <w:t>.</w:t>
            </w:r>
            <w:r w:rsidRPr="00BA3795">
              <w:rPr>
                <w:sz w:val="18"/>
              </w:rPr>
              <w:t>4</w:t>
            </w:r>
          </w:p>
        </w:tc>
        <w:tc>
          <w:tcPr>
            <w:tcW w:w="551" w:type="dxa"/>
            <w:shd w:val="clear" w:color="auto" w:fill="auto"/>
            <w:noWrap/>
            <w:hideMark/>
          </w:tcPr>
          <w:p w:rsidR="004C70DA" w:rsidRPr="00BA3795" w:rsidRDefault="004C70DA" w:rsidP="004C70DA">
            <w:pPr>
              <w:suppressAutoHyphens w:val="0"/>
              <w:spacing w:before="40" w:after="40" w:line="220" w:lineRule="exact"/>
              <w:ind w:right="113"/>
              <w:jc w:val="right"/>
              <w:rPr>
                <w:sz w:val="18"/>
              </w:rPr>
            </w:pPr>
            <w:r w:rsidRPr="00BA3795">
              <w:rPr>
                <w:sz w:val="18"/>
              </w:rPr>
              <w:t>2</w:t>
            </w:r>
            <w:r w:rsidR="00871D91">
              <w:rPr>
                <w:sz w:val="18"/>
              </w:rPr>
              <w:t>.</w:t>
            </w:r>
            <w:r w:rsidRPr="00BA3795">
              <w:rPr>
                <w:sz w:val="18"/>
              </w:rPr>
              <w:t>2</w:t>
            </w:r>
          </w:p>
        </w:tc>
        <w:tc>
          <w:tcPr>
            <w:tcW w:w="551" w:type="dxa"/>
            <w:shd w:val="clear" w:color="auto" w:fill="auto"/>
            <w:noWrap/>
            <w:hideMark/>
          </w:tcPr>
          <w:p w:rsidR="004C70DA" w:rsidRPr="00BA3795" w:rsidRDefault="004C70DA" w:rsidP="004C70DA">
            <w:pPr>
              <w:suppressAutoHyphens w:val="0"/>
              <w:spacing w:before="40" w:after="40" w:line="220" w:lineRule="exact"/>
              <w:ind w:right="113"/>
              <w:jc w:val="right"/>
              <w:rPr>
                <w:sz w:val="18"/>
              </w:rPr>
            </w:pPr>
            <w:r w:rsidRPr="00BA3795">
              <w:rPr>
                <w:sz w:val="18"/>
              </w:rPr>
              <w:t>2</w:t>
            </w:r>
            <w:r w:rsidR="00871D91">
              <w:rPr>
                <w:sz w:val="18"/>
              </w:rPr>
              <w:t>.</w:t>
            </w:r>
            <w:r w:rsidRPr="00BA3795">
              <w:rPr>
                <w:sz w:val="18"/>
              </w:rPr>
              <w:t>2</w:t>
            </w:r>
          </w:p>
        </w:tc>
        <w:tc>
          <w:tcPr>
            <w:tcW w:w="551" w:type="dxa"/>
            <w:shd w:val="clear" w:color="auto" w:fill="auto"/>
            <w:noWrap/>
            <w:hideMark/>
          </w:tcPr>
          <w:p w:rsidR="004C70DA" w:rsidRPr="00BA3795" w:rsidRDefault="004C70DA" w:rsidP="004C70DA">
            <w:pPr>
              <w:suppressAutoHyphens w:val="0"/>
              <w:spacing w:before="40" w:after="40" w:line="220" w:lineRule="exact"/>
              <w:ind w:right="113"/>
              <w:jc w:val="right"/>
              <w:rPr>
                <w:sz w:val="18"/>
              </w:rPr>
            </w:pPr>
            <w:r w:rsidRPr="00BA3795">
              <w:rPr>
                <w:sz w:val="18"/>
              </w:rPr>
              <w:t>2</w:t>
            </w:r>
            <w:r w:rsidR="00871D91">
              <w:rPr>
                <w:sz w:val="18"/>
              </w:rPr>
              <w:t>.</w:t>
            </w:r>
            <w:r w:rsidRPr="00BA3795">
              <w:rPr>
                <w:sz w:val="18"/>
              </w:rPr>
              <w:t>1</w:t>
            </w:r>
          </w:p>
        </w:tc>
        <w:tc>
          <w:tcPr>
            <w:tcW w:w="551" w:type="dxa"/>
            <w:shd w:val="clear" w:color="auto" w:fill="auto"/>
            <w:noWrap/>
            <w:hideMark/>
          </w:tcPr>
          <w:p w:rsidR="004C70DA" w:rsidRPr="00BA3795" w:rsidRDefault="004C70DA" w:rsidP="004C70DA">
            <w:pPr>
              <w:suppressAutoHyphens w:val="0"/>
              <w:spacing w:before="40" w:after="40" w:line="220" w:lineRule="exact"/>
              <w:ind w:right="113"/>
              <w:jc w:val="right"/>
              <w:rPr>
                <w:sz w:val="18"/>
              </w:rPr>
            </w:pPr>
            <w:r w:rsidRPr="00BA3795">
              <w:rPr>
                <w:sz w:val="18"/>
              </w:rPr>
              <w:t>L</w:t>
            </w:r>
          </w:p>
        </w:tc>
      </w:tr>
    </w:tbl>
    <w:p w:rsidR="00170682" w:rsidRPr="00B02247" w:rsidRDefault="00170682" w:rsidP="00170682">
      <w:pPr>
        <w:pStyle w:val="H23G"/>
      </w:pPr>
      <w:r>
        <w:tab/>
      </w:r>
      <w:r>
        <w:tab/>
      </w:r>
      <w:r w:rsidRPr="00170682">
        <w:t>Debt (Maastricht)</w:t>
      </w:r>
      <w:r w:rsidRPr="00C903AC">
        <w:rPr>
          <w:b w:val="0"/>
          <w:bCs/>
          <w:i/>
          <w:iCs/>
          <w:sz w:val="16"/>
          <w:szCs w:val="16"/>
          <w:vertAlign w:val="superscript"/>
        </w:rPr>
        <w:t>4</w:t>
      </w:r>
    </w:p>
    <w:tbl>
      <w:tblPr>
        <w:tblW w:w="7367"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16"/>
        <w:gridCol w:w="811"/>
        <w:gridCol w:w="795"/>
        <w:gridCol w:w="749"/>
        <w:gridCol w:w="749"/>
        <w:gridCol w:w="749"/>
        <w:gridCol w:w="749"/>
        <w:gridCol w:w="749"/>
      </w:tblGrid>
      <w:tr w:rsidR="00170682" w:rsidRPr="00170682" w:rsidTr="00170682">
        <w:trPr>
          <w:tblHeader/>
        </w:trPr>
        <w:tc>
          <w:tcPr>
            <w:tcW w:w="2016" w:type="dxa"/>
            <w:tcBorders>
              <w:top w:val="single" w:sz="4" w:space="0" w:color="auto"/>
              <w:bottom w:val="single" w:sz="12" w:space="0" w:color="auto"/>
            </w:tcBorders>
            <w:shd w:val="clear" w:color="auto" w:fill="auto"/>
            <w:noWrap/>
            <w:vAlign w:val="bottom"/>
            <w:hideMark/>
          </w:tcPr>
          <w:p w:rsidR="004C70DA" w:rsidRPr="00170682" w:rsidRDefault="004C70DA" w:rsidP="00170682">
            <w:pPr>
              <w:suppressAutoHyphens w:val="0"/>
              <w:spacing w:before="80" w:after="80" w:line="200" w:lineRule="exact"/>
              <w:ind w:right="113"/>
              <w:rPr>
                <w:i/>
                <w:sz w:val="16"/>
              </w:rPr>
            </w:pPr>
            <w:r w:rsidRPr="00170682">
              <w:rPr>
                <w:i/>
                <w:sz w:val="16"/>
              </w:rPr>
              <w:t xml:space="preserve"> </w:t>
            </w:r>
          </w:p>
        </w:tc>
        <w:tc>
          <w:tcPr>
            <w:tcW w:w="811" w:type="dxa"/>
            <w:tcBorders>
              <w:top w:val="single" w:sz="4" w:space="0" w:color="auto"/>
              <w:bottom w:val="single" w:sz="12" w:space="0" w:color="auto"/>
            </w:tcBorders>
            <w:shd w:val="clear" w:color="auto" w:fill="auto"/>
            <w:noWrap/>
            <w:vAlign w:val="bottom"/>
            <w:hideMark/>
          </w:tcPr>
          <w:p w:rsidR="004C70DA" w:rsidRPr="00170682" w:rsidRDefault="004C70DA" w:rsidP="00170682">
            <w:pPr>
              <w:suppressAutoHyphens w:val="0"/>
              <w:spacing w:before="80" w:after="80" w:line="200" w:lineRule="exact"/>
              <w:ind w:right="113"/>
              <w:jc w:val="right"/>
              <w:rPr>
                <w:i/>
                <w:sz w:val="16"/>
              </w:rPr>
            </w:pPr>
            <w:r w:rsidRPr="00170682">
              <w:rPr>
                <w:i/>
                <w:sz w:val="16"/>
              </w:rPr>
              <w:t xml:space="preserve">2010 </w:t>
            </w:r>
          </w:p>
        </w:tc>
        <w:tc>
          <w:tcPr>
            <w:tcW w:w="795" w:type="dxa"/>
            <w:tcBorders>
              <w:top w:val="single" w:sz="4" w:space="0" w:color="auto"/>
              <w:bottom w:val="single" w:sz="12" w:space="0" w:color="auto"/>
            </w:tcBorders>
            <w:shd w:val="clear" w:color="auto" w:fill="auto"/>
            <w:noWrap/>
            <w:vAlign w:val="bottom"/>
            <w:hideMark/>
          </w:tcPr>
          <w:p w:rsidR="004C70DA" w:rsidRPr="00170682" w:rsidRDefault="004C70DA" w:rsidP="00170682">
            <w:pPr>
              <w:suppressAutoHyphens w:val="0"/>
              <w:spacing w:before="80" w:after="80" w:line="200" w:lineRule="exact"/>
              <w:ind w:right="113"/>
              <w:jc w:val="right"/>
              <w:rPr>
                <w:i/>
                <w:sz w:val="16"/>
              </w:rPr>
            </w:pPr>
            <w:r w:rsidRPr="00170682">
              <w:rPr>
                <w:i/>
                <w:sz w:val="16"/>
              </w:rPr>
              <w:t xml:space="preserve">2011 </w:t>
            </w:r>
          </w:p>
        </w:tc>
        <w:tc>
          <w:tcPr>
            <w:tcW w:w="749" w:type="dxa"/>
            <w:tcBorders>
              <w:top w:val="single" w:sz="4" w:space="0" w:color="auto"/>
              <w:bottom w:val="single" w:sz="12" w:space="0" w:color="auto"/>
            </w:tcBorders>
            <w:shd w:val="clear" w:color="auto" w:fill="auto"/>
            <w:noWrap/>
            <w:vAlign w:val="bottom"/>
            <w:hideMark/>
          </w:tcPr>
          <w:p w:rsidR="004C70DA" w:rsidRPr="00170682" w:rsidRDefault="004C70DA" w:rsidP="00170682">
            <w:pPr>
              <w:suppressAutoHyphens w:val="0"/>
              <w:spacing w:before="80" w:after="80" w:line="200" w:lineRule="exact"/>
              <w:ind w:right="113"/>
              <w:jc w:val="right"/>
              <w:rPr>
                <w:i/>
                <w:sz w:val="16"/>
              </w:rPr>
            </w:pPr>
            <w:r w:rsidRPr="00170682">
              <w:rPr>
                <w:i/>
                <w:sz w:val="16"/>
              </w:rPr>
              <w:t xml:space="preserve">2012 </w:t>
            </w:r>
          </w:p>
        </w:tc>
        <w:tc>
          <w:tcPr>
            <w:tcW w:w="749" w:type="dxa"/>
            <w:tcBorders>
              <w:top w:val="single" w:sz="4" w:space="0" w:color="auto"/>
              <w:bottom w:val="single" w:sz="12" w:space="0" w:color="auto"/>
            </w:tcBorders>
            <w:shd w:val="clear" w:color="auto" w:fill="auto"/>
            <w:noWrap/>
            <w:vAlign w:val="bottom"/>
            <w:hideMark/>
          </w:tcPr>
          <w:p w:rsidR="004C70DA" w:rsidRPr="00170682" w:rsidRDefault="004C70DA" w:rsidP="00170682">
            <w:pPr>
              <w:suppressAutoHyphens w:val="0"/>
              <w:spacing w:before="80" w:after="80" w:line="200" w:lineRule="exact"/>
              <w:ind w:right="113"/>
              <w:jc w:val="right"/>
              <w:rPr>
                <w:i/>
                <w:sz w:val="16"/>
              </w:rPr>
            </w:pPr>
            <w:r w:rsidRPr="00170682">
              <w:rPr>
                <w:i/>
                <w:sz w:val="16"/>
              </w:rPr>
              <w:t xml:space="preserve">2013 </w:t>
            </w:r>
          </w:p>
        </w:tc>
        <w:tc>
          <w:tcPr>
            <w:tcW w:w="749" w:type="dxa"/>
            <w:tcBorders>
              <w:top w:val="single" w:sz="4" w:space="0" w:color="auto"/>
              <w:bottom w:val="single" w:sz="12" w:space="0" w:color="auto"/>
            </w:tcBorders>
            <w:shd w:val="clear" w:color="auto" w:fill="auto"/>
            <w:noWrap/>
            <w:vAlign w:val="bottom"/>
            <w:hideMark/>
          </w:tcPr>
          <w:p w:rsidR="004C70DA" w:rsidRPr="00170682" w:rsidRDefault="004C70DA" w:rsidP="00170682">
            <w:pPr>
              <w:suppressAutoHyphens w:val="0"/>
              <w:spacing w:before="80" w:after="80" w:line="200" w:lineRule="exact"/>
              <w:ind w:right="113"/>
              <w:jc w:val="right"/>
              <w:rPr>
                <w:i/>
                <w:sz w:val="16"/>
              </w:rPr>
            </w:pPr>
            <w:r w:rsidRPr="00170682">
              <w:rPr>
                <w:i/>
                <w:sz w:val="16"/>
              </w:rPr>
              <w:t xml:space="preserve">2014 </w:t>
            </w:r>
          </w:p>
        </w:tc>
        <w:tc>
          <w:tcPr>
            <w:tcW w:w="749" w:type="dxa"/>
            <w:tcBorders>
              <w:top w:val="single" w:sz="4" w:space="0" w:color="auto"/>
              <w:bottom w:val="single" w:sz="12" w:space="0" w:color="auto"/>
            </w:tcBorders>
            <w:shd w:val="clear" w:color="auto" w:fill="auto"/>
            <w:noWrap/>
            <w:vAlign w:val="bottom"/>
            <w:hideMark/>
          </w:tcPr>
          <w:p w:rsidR="004C70DA" w:rsidRPr="00170682" w:rsidRDefault="004C70DA" w:rsidP="00170682">
            <w:pPr>
              <w:suppressAutoHyphens w:val="0"/>
              <w:spacing w:before="80" w:after="80" w:line="200" w:lineRule="exact"/>
              <w:ind w:right="113"/>
              <w:jc w:val="right"/>
              <w:rPr>
                <w:i/>
                <w:sz w:val="16"/>
              </w:rPr>
            </w:pPr>
            <w:r w:rsidRPr="00170682">
              <w:rPr>
                <w:i/>
                <w:sz w:val="16"/>
              </w:rPr>
              <w:t xml:space="preserve">2015 </w:t>
            </w:r>
          </w:p>
        </w:tc>
        <w:tc>
          <w:tcPr>
            <w:tcW w:w="749" w:type="dxa"/>
            <w:tcBorders>
              <w:top w:val="single" w:sz="4" w:space="0" w:color="auto"/>
              <w:bottom w:val="single" w:sz="12" w:space="0" w:color="auto"/>
            </w:tcBorders>
            <w:shd w:val="clear" w:color="auto" w:fill="auto"/>
            <w:noWrap/>
            <w:vAlign w:val="bottom"/>
            <w:hideMark/>
          </w:tcPr>
          <w:p w:rsidR="004C70DA" w:rsidRPr="00170682" w:rsidRDefault="004C70DA" w:rsidP="00170682">
            <w:pPr>
              <w:suppressAutoHyphens w:val="0"/>
              <w:spacing w:before="80" w:after="80" w:line="200" w:lineRule="exact"/>
              <w:ind w:right="113"/>
              <w:jc w:val="right"/>
              <w:rPr>
                <w:i/>
                <w:sz w:val="16"/>
              </w:rPr>
            </w:pPr>
            <w:r w:rsidRPr="00170682">
              <w:rPr>
                <w:i/>
                <w:sz w:val="16"/>
              </w:rPr>
              <w:t xml:space="preserve">2016 </w:t>
            </w:r>
          </w:p>
        </w:tc>
      </w:tr>
      <w:tr w:rsidR="00170682" w:rsidRPr="00170682" w:rsidTr="00170682">
        <w:tc>
          <w:tcPr>
            <w:tcW w:w="2016" w:type="dxa"/>
            <w:tcBorders>
              <w:top w:val="single" w:sz="12" w:space="0" w:color="auto"/>
            </w:tcBorders>
            <w:shd w:val="clear" w:color="auto" w:fill="auto"/>
            <w:hideMark/>
          </w:tcPr>
          <w:p w:rsidR="004C70DA" w:rsidRPr="00170682" w:rsidRDefault="004C70DA" w:rsidP="00170682">
            <w:pPr>
              <w:suppressAutoHyphens w:val="0"/>
              <w:spacing w:before="40" w:after="40" w:line="220" w:lineRule="exact"/>
              <w:ind w:right="113"/>
              <w:rPr>
                <w:sz w:val="18"/>
              </w:rPr>
            </w:pPr>
            <w:r w:rsidRPr="00170682">
              <w:rPr>
                <w:sz w:val="18"/>
              </w:rPr>
              <w:t xml:space="preserve">General Government debt (EDP mission 4_2017) </w:t>
            </w:r>
            <w:r w:rsidR="00170682">
              <w:rPr>
                <w:sz w:val="18"/>
              </w:rPr>
              <w:br/>
            </w:r>
            <w:r w:rsidRPr="00170682">
              <w:rPr>
                <w:sz w:val="18"/>
              </w:rPr>
              <w:t>(in million euro)</w:t>
            </w:r>
          </w:p>
        </w:tc>
        <w:tc>
          <w:tcPr>
            <w:tcW w:w="811" w:type="dxa"/>
            <w:tcBorders>
              <w:top w:val="single" w:sz="12" w:space="0" w:color="auto"/>
            </w:tcBorders>
            <w:shd w:val="clear" w:color="auto" w:fill="auto"/>
            <w:noWrap/>
            <w:vAlign w:val="bottom"/>
            <w:hideMark/>
          </w:tcPr>
          <w:p w:rsidR="004C70DA" w:rsidRPr="00170682" w:rsidRDefault="004C70DA" w:rsidP="00871D91">
            <w:pPr>
              <w:suppressAutoHyphens w:val="0"/>
              <w:spacing w:before="40" w:after="40" w:line="220" w:lineRule="exact"/>
              <w:ind w:right="113"/>
              <w:jc w:val="right"/>
              <w:rPr>
                <w:sz w:val="18"/>
              </w:rPr>
            </w:pPr>
            <w:r w:rsidRPr="00170682">
              <w:rPr>
                <w:sz w:val="18"/>
              </w:rPr>
              <w:t>330</w:t>
            </w:r>
            <w:r w:rsidR="00871D91">
              <w:rPr>
                <w:sz w:val="18"/>
              </w:rPr>
              <w:t xml:space="preserve"> </w:t>
            </w:r>
            <w:r w:rsidRPr="00170682">
              <w:rPr>
                <w:sz w:val="18"/>
              </w:rPr>
              <w:t>570</w:t>
            </w:r>
          </w:p>
        </w:tc>
        <w:tc>
          <w:tcPr>
            <w:tcW w:w="795" w:type="dxa"/>
            <w:tcBorders>
              <w:top w:val="single" w:sz="12" w:space="0" w:color="auto"/>
            </w:tcBorders>
            <w:shd w:val="clear" w:color="auto" w:fill="auto"/>
            <w:noWrap/>
            <w:vAlign w:val="bottom"/>
            <w:hideMark/>
          </w:tcPr>
          <w:p w:rsidR="004C70DA" w:rsidRPr="00170682" w:rsidRDefault="004C70DA" w:rsidP="00170682">
            <w:pPr>
              <w:suppressAutoHyphens w:val="0"/>
              <w:spacing w:before="40" w:after="40" w:line="220" w:lineRule="exact"/>
              <w:ind w:right="113"/>
              <w:jc w:val="right"/>
              <w:rPr>
                <w:sz w:val="18"/>
              </w:rPr>
            </w:pPr>
            <w:r w:rsidRPr="00170682">
              <w:rPr>
                <w:sz w:val="18"/>
              </w:rPr>
              <w:t>356</w:t>
            </w:r>
            <w:r w:rsidR="00871D91">
              <w:rPr>
                <w:sz w:val="18"/>
              </w:rPr>
              <w:t xml:space="preserve"> </w:t>
            </w:r>
            <w:r w:rsidRPr="00170682">
              <w:rPr>
                <w:sz w:val="18"/>
              </w:rPr>
              <w:t>289</w:t>
            </w:r>
          </w:p>
        </w:tc>
        <w:tc>
          <w:tcPr>
            <w:tcW w:w="749" w:type="dxa"/>
            <w:tcBorders>
              <w:top w:val="single" w:sz="12" w:space="0" w:color="auto"/>
            </w:tcBorders>
            <w:shd w:val="clear" w:color="auto" w:fill="auto"/>
            <w:noWrap/>
            <w:vAlign w:val="bottom"/>
            <w:hideMark/>
          </w:tcPr>
          <w:p w:rsidR="004C70DA" w:rsidRPr="00170682" w:rsidRDefault="004C70DA" w:rsidP="00170682">
            <w:pPr>
              <w:suppressAutoHyphens w:val="0"/>
              <w:spacing w:before="40" w:after="40" w:line="220" w:lineRule="exact"/>
              <w:ind w:right="113"/>
              <w:jc w:val="right"/>
              <w:rPr>
                <w:sz w:val="18"/>
              </w:rPr>
            </w:pPr>
            <w:r w:rsidRPr="00170682">
              <w:rPr>
                <w:sz w:val="18"/>
              </w:rPr>
              <w:t>305</w:t>
            </w:r>
            <w:r w:rsidR="00871D91">
              <w:rPr>
                <w:sz w:val="18"/>
              </w:rPr>
              <w:t xml:space="preserve"> </w:t>
            </w:r>
            <w:r w:rsidRPr="00170682">
              <w:rPr>
                <w:sz w:val="18"/>
              </w:rPr>
              <w:t>096</w:t>
            </w:r>
          </w:p>
        </w:tc>
        <w:tc>
          <w:tcPr>
            <w:tcW w:w="749" w:type="dxa"/>
            <w:tcBorders>
              <w:top w:val="single" w:sz="12" w:space="0" w:color="auto"/>
            </w:tcBorders>
            <w:shd w:val="clear" w:color="auto" w:fill="auto"/>
            <w:noWrap/>
            <w:vAlign w:val="bottom"/>
            <w:hideMark/>
          </w:tcPr>
          <w:p w:rsidR="004C70DA" w:rsidRPr="00170682" w:rsidRDefault="004C70DA" w:rsidP="00170682">
            <w:pPr>
              <w:suppressAutoHyphens w:val="0"/>
              <w:spacing w:before="40" w:after="40" w:line="220" w:lineRule="exact"/>
              <w:ind w:right="113"/>
              <w:jc w:val="right"/>
              <w:rPr>
                <w:sz w:val="18"/>
              </w:rPr>
            </w:pPr>
            <w:r w:rsidRPr="00170682">
              <w:rPr>
                <w:sz w:val="18"/>
              </w:rPr>
              <w:t>320</w:t>
            </w:r>
            <w:r w:rsidR="00871D91">
              <w:rPr>
                <w:sz w:val="18"/>
              </w:rPr>
              <w:t xml:space="preserve"> </w:t>
            </w:r>
            <w:r w:rsidRPr="00170682">
              <w:rPr>
                <w:sz w:val="18"/>
              </w:rPr>
              <w:t>511</w:t>
            </w:r>
          </w:p>
        </w:tc>
        <w:tc>
          <w:tcPr>
            <w:tcW w:w="749" w:type="dxa"/>
            <w:tcBorders>
              <w:top w:val="single" w:sz="12" w:space="0" w:color="auto"/>
            </w:tcBorders>
            <w:shd w:val="clear" w:color="auto" w:fill="auto"/>
            <w:noWrap/>
            <w:vAlign w:val="bottom"/>
            <w:hideMark/>
          </w:tcPr>
          <w:p w:rsidR="004C70DA" w:rsidRPr="00170682" w:rsidRDefault="004C70DA" w:rsidP="00170682">
            <w:pPr>
              <w:suppressAutoHyphens w:val="0"/>
              <w:spacing w:before="40" w:after="40" w:line="220" w:lineRule="exact"/>
              <w:ind w:right="113"/>
              <w:jc w:val="right"/>
              <w:rPr>
                <w:sz w:val="18"/>
              </w:rPr>
            </w:pPr>
            <w:r w:rsidRPr="00170682">
              <w:rPr>
                <w:sz w:val="18"/>
              </w:rPr>
              <w:t>319</w:t>
            </w:r>
            <w:r w:rsidR="00871D91">
              <w:rPr>
                <w:sz w:val="18"/>
              </w:rPr>
              <w:t xml:space="preserve"> </w:t>
            </w:r>
            <w:r w:rsidRPr="00170682">
              <w:rPr>
                <w:sz w:val="18"/>
              </w:rPr>
              <w:t>728</w:t>
            </w:r>
          </w:p>
        </w:tc>
        <w:tc>
          <w:tcPr>
            <w:tcW w:w="749" w:type="dxa"/>
            <w:tcBorders>
              <w:top w:val="single" w:sz="12" w:space="0" w:color="auto"/>
            </w:tcBorders>
            <w:shd w:val="clear" w:color="auto" w:fill="auto"/>
            <w:noWrap/>
            <w:vAlign w:val="bottom"/>
            <w:hideMark/>
          </w:tcPr>
          <w:p w:rsidR="004C70DA" w:rsidRPr="00170682" w:rsidRDefault="004C70DA" w:rsidP="00170682">
            <w:pPr>
              <w:suppressAutoHyphens w:val="0"/>
              <w:spacing w:before="40" w:after="40" w:line="220" w:lineRule="exact"/>
              <w:ind w:right="113"/>
              <w:jc w:val="right"/>
              <w:rPr>
                <w:sz w:val="18"/>
              </w:rPr>
            </w:pPr>
            <w:r w:rsidRPr="00170682">
              <w:rPr>
                <w:sz w:val="18"/>
              </w:rPr>
              <w:t>311</w:t>
            </w:r>
            <w:r w:rsidR="00871D91">
              <w:rPr>
                <w:sz w:val="18"/>
              </w:rPr>
              <w:t xml:space="preserve"> </w:t>
            </w:r>
            <w:r w:rsidRPr="00170682">
              <w:rPr>
                <w:sz w:val="18"/>
              </w:rPr>
              <w:t>668</w:t>
            </w:r>
          </w:p>
        </w:tc>
        <w:tc>
          <w:tcPr>
            <w:tcW w:w="749" w:type="dxa"/>
            <w:tcBorders>
              <w:top w:val="single" w:sz="12" w:space="0" w:color="auto"/>
            </w:tcBorders>
            <w:shd w:val="clear" w:color="auto" w:fill="auto"/>
            <w:noWrap/>
            <w:vAlign w:val="bottom"/>
            <w:hideMark/>
          </w:tcPr>
          <w:p w:rsidR="004C70DA" w:rsidRPr="00170682" w:rsidRDefault="004C70DA" w:rsidP="00170682">
            <w:pPr>
              <w:suppressAutoHyphens w:val="0"/>
              <w:spacing w:before="40" w:after="40" w:line="220" w:lineRule="exact"/>
              <w:ind w:right="113"/>
              <w:jc w:val="right"/>
              <w:rPr>
                <w:sz w:val="18"/>
              </w:rPr>
            </w:pPr>
            <w:r w:rsidRPr="00170682">
              <w:rPr>
                <w:sz w:val="18"/>
              </w:rPr>
              <w:t>314</w:t>
            </w:r>
            <w:r w:rsidR="00871D91">
              <w:rPr>
                <w:sz w:val="18"/>
              </w:rPr>
              <w:t xml:space="preserve"> </w:t>
            </w:r>
            <w:r w:rsidRPr="00170682">
              <w:rPr>
                <w:sz w:val="18"/>
              </w:rPr>
              <w:t>897</w:t>
            </w:r>
          </w:p>
        </w:tc>
      </w:tr>
    </w:tbl>
    <w:p w:rsidR="00045330" w:rsidRPr="00B02247" w:rsidRDefault="00045330" w:rsidP="00045330">
      <w:pPr>
        <w:pStyle w:val="H23G"/>
      </w:pPr>
      <w:r>
        <w:tab/>
      </w:r>
      <w:r>
        <w:tab/>
      </w:r>
      <w:r w:rsidRPr="00B02247">
        <w:t>Analysis</w:t>
      </w:r>
      <w:r>
        <w:t xml:space="preserve"> </w:t>
      </w:r>
      <w:r w:rsidRPr="00B02247">
        <w:t>of</w:t>
      </w:r>
      <w:r>
        <w:t xml:space="preserve"> </w:t>
      </w:r>
      <w:r w:rsidRPr="00B02247">
        <w:t>General</w:t>
      </w:r>
      <w:r>
        <w:t xml:space="preserve"> </w:t>
      </w:r>
      <w:r w:rsidRPr="00B02247">
        <w:t>Government</w:t>
      </w:r>
      <w:r>
        <w:t xml:space="preserve"> </w:t>
      </w:r>
      <w:r w:rsidRPr="00B02247">
        <w:t>according</w:t>
      </w:r>
      <w:r>
        <w:t xml:space="preserve"> </w:t>
      </w:r>
      <w:r w:rsidRPr="00B02247">
        <w:t>to</w:t>
      </w:r>
      <w:r>
        <w:t xml:space="preserve"> </w:t>
      </w:r>
      <w:r w:rsidRPr="00B02247">
        <w:t>COFOG</w:t>
      </w:r>
      <w:r>
        <w:t xml:space="preserve"> </w:t>
      </w:r>
      <w:r w:rsidRPr="00C903AC">
        <w:rPr>
          <w:rStyle w:val="FootnoteReference"/>
          <w:b w:val="0"/>
          <w:bCs/>
          <w:i/>
          <w:iCs/>
        </w:rPr>
        <w:t>5, 6, 7, 8</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038"/>
        <w:gridCol w:w="616"/>
        <w:gridCol w:w="630"/>
        <w:gridCol w:w="657"/>
        <w:gridCol w:w="658"/>
        <w:gridCol w:w="689"/>
        <w:gridCol w:w="616"/>
        <w:gridCol w:w="467"/>
      </w:tblGrid>
      <w:tr w:rsidR="00045330" w:rsidRPr="00045330" w:rsidTr="00045330">
        <w:trPr>
          <w:tblHeader/>
        </w:trPr>
        <w:tc>
          <w:tcPr>
            <w:tcW w:w="3038" w:type="dxa"/>
            <w:tcBorders>
              <w:top w:val="single" w:sz="4" w:space="0" w:color="auto"/>
              <w:bottom w:val="single" w:sz="12" w:space="0" w:color="auto"/>
            </w:tcBorders>
            <w:shd w:val="clear" w:color="auto" w:fill="auto"/>
            <w:noWrap/>
            <w:vAlign w:val="bottom"/>
            <w:hideMark/>
          </w:tcPr>
          <w:p w:rsidR="004C70DA" w:rsidRPr="00045330" w:rsidRDefault="004C70DA" w:rsidP="00045330">
            <w:pPr>
              <w:suppressAutoHyphens w:val="0"/>
              <w:spacing w:before="80" w:after="80" w:line="200" w:lineRule="exact"/>
              <w:ind w:right="113"/>
              <w:rPr>
                <w:i/>
                <w:sz w:val="16"/>
              </w:rPr>
            </w:pPr>
            <w:r w:rsidRPr="00045330">
              <w:rPr>
                <w:i/>
                <w:sz w:val="16"/>
              </w:rPr>
              <w:t xml:space="preserve"> </w:t>
            </w:r>
          </w:p>
        </w:tc>
        <w:tc>
          <w:tcPr>
            <w:tcW w:w="616" w:type="dxa"/>
            <w:tcBorders>
              <w:top w:val="single" w:sz="4" w:space="0" w:color="auto"/>
              <w:bottom w:val="single" w:sz="12" w:space="0" w:color="auto"/>
            </w:tcBorders>
            <w:shd w:val="clear" w:color="auto" w:fill="auto"/>
            <w:noWrap/>
            <w:vAlign w:val="bottom"/>
            <w:hideMark/>
          </w:tcPr>
          <w:p w:rsidR="004C70DA" w:rsidRPr="00045330" w:rsidRDefault="004C70DA" w:rsidP="00045330">
            <w:pPr>
              <w:suppressAutoHyphens w:val="0"/>
              <w:spacing w:before="80" w:after="80" w:line="200" w:lineRule="exact"/>
              <w:ind w:right="113"/>
              <w:jc w:val="right"/>
              <w:rPr>
                <w:i/>
                <w:sz w:val="16"/>
              </w:rPr>
            </w:pPr>
            <w:r w:rsidRPr="00045330">
              <w:rPr>
                <w:i/>
                <w:sz w:val="16"/>
              </w:rPr>
              <w:t xml:space="preserve">2010 </w:t>
            </w:r>
          </w:p>
        </w:tc>
        <w:tc>
          <w:tcPr>
            <w:tcW w:w="630" w:type="dxa"/>
            <w:tcBorders>
              <w:top w:val="single" w:sz="4" w:space="0" w:color="auto"/>
              <w:bottom w:val="single" w:sz="12" w:space="0" w:color="auto"/>
            </w:tcBorders>
            <w:shd w:val="clear" w:color="auto" w:fill="auto"/>
            <w:noWrap/>
            <w:vAlign w:val="bottom"/>
            <w:hideMark/>
          </w:tcPr>
          <w:p w:rsidR="004C70DA" w:rsidRPr="00045330" w:rsidRDefault="004C70DA" w:rsidP="00045330">
            <w:pPr>
              <w:suppressAutoHyphens w:val="0"/>
              <w:spacing w:before="80" w:after="80" w:line="200" w:lineRule="exact"/>
              <w:ind w:right="113"/>
              <w:jc w:val="right"/>
              <w:rPr>
                <w:i/>
                <w:sz w:val="16"/>
              </w:rPr>
            </w:pPr>
            <w:r w:rsidRPr="00045330">
              <w:rPr>
                <w:i/>
                <w:sz w:val="16"/>
              </w:rPr>
              <w:t>2011</w:t>
            </w:r>
          </w:p>
        </w:tc>
        <w:tc>
          <w:tcPr>
            <w:tcW w:w="657" w:type="dxa"/>
            <w:tcBorders>
              <w:top w:val="single" w:sz="4" w:space="0" w:color="auto"/>
              <w:bottom w:val="single" w:sz="12" w:space="0" w:color="auto"/>
            </w:tcBorders>
            <w:shd w:val="clear" w:color="auto" w:fill="auto"/>
            <w:noWrap/>
            <w:vAlign w:val="bottom"/>
            <w:hideMark/>
          </w:tcPr>
          <w:p w:rsidR="004C70DA" w:rsidRPr="00045330" w:rsidRDefault="004C70DA" w:rsidP="00045330">
            <w:pPr>
              <w:suppressAutoHyphens w:val="0"/>
              <w:spacing w:before="80" w:after="80" w:line="200" w:lineRule="exact"/>
              <w:ind w:right="113"/>
              <w:jc w:val="right"/>
              <w:rPr>
                <w:i/>
                <w:sz w:val="16"/>
              </w:rPr>
            </w:pPr>
            <w:r w:rsidRPr="00045330">
              <w:rPr>
                <w:i/>
                <w:sz w:val="16"/>
              </w:rPr>
              <w:t xml:space="preserve">2012 </w:t>
            </w:r>
          </w:p>
        </w:tc>
        <w:tc>
          <w:tcPr>
            <w:tcW w:w="658" w:type="dxa"/>
            <w:tcBorders>
              <w:top w:val="single" w:sz="4" w:space="0" w:color="auto"/>
              <w:bottom w:val="single" w:sz="12" w:space="0" w:color="auto"/>
            </w:tcBorders>
            <w:shd w:val="clear" w:color="auto" w:fill="auto"/>
            <w:noWrap/>
            <w:vAlign w:val="bottom"/>
            <w:hideMark/>
          </w:tcPr>
          <w:p w:rsidR="004C70DA" w:rsidRPr="00045330" w:rsidRDefault="004C70DA" w:rsidP="00045330">
            <w:pPr>
              <w:suppressAutoHyphens w:val="0"/>
              <w:spacing w:before="80" w:after="80" w:line="200" w:lineRule="exact"/>
              <w:ind w:right="113"/>
              <w:jc w:val="right"/>
              <w:rPr>
                <w:i/>
                <w:sz w:val="16"/>
              </w:rPr>
            </w:pPr>
            <w:r w:rsidRPr="00045330">
              <w:rPr>
                <w:i/>
                <w:sz w:val="16"/>
              </w:rPr>
              <w:t>2013</w:t>
            </w:r>
          </w:p>
        </w:tc>
        <w:tc>
          <w:tcPr>
            <w:tcW w:w="689" w:type="dxa"/>
            <w:tcBorders>
              <w:top w:val="single" w:sz="4" w:space="0" w:color="auto"/>
              <w:bottom w:val="single" w:sz="12" w:space="0" w:color="auto"/>
            </w:tcBorders>
            <w:shd w:val="clear" w:color="auto" w:fill="auto"/>
            <w:noWrap/>
            <w:vAlign w:val="bottom"/>
            <w:hideMark/>
          </w:tcPr>
          <w:p w:rsidR="004C70DA" w:rsidRPr="00045330" w:rsidRDefault="004C70DA" w:rsidP="00045330">
            <w:pPr>
              <w:suppressAutoHyphens w:val="0"/>
              <w:spacing w:before="80" w:after="80" w:line="200" w:lineRule="exact"/>
              <w:ind w:right="113"/>
              <w:jc w:val="right"/>
              <w:rPr>
                <w:i/>
                <w:sz w:val="16"/>
              </w:rPr>
            </w:pPr>
            <w:r w:rsidRPr="00045330">
              <w:rPr>
                <w:i/>
                <w:sz w:val="16"/>
              </w:rPr>
              <w:t>2014</w:t>
            </w:r>
          </w:p>
        </w:tc>
        <w:tc>
          <w:tcPr>
            <w:tcW w:w="616" w:type="dxa"/>
            <w:tcBorders>
              <w:top w:val="single" w:sz="4" w:space="0" w:color="auto"/>
              <w:bottom w:val="single" w:sz="12" w:space="0" w:color="auto"/>
            </w:tcBorders>
            <w:shd w:val="clear" w:color="auto" w:fill="auto"/>
            <w:noWrap/>
            <w:vAlign w:val="bottom"/>
            <w:hideMark/>
          </w:tcPr>
          <w:p w:rsidR="004C70DA" w:rsidRPr="00045330" w:rsidRDefault="004C70DA" w:rsidP="00045330">
            <w:pPr>
              <w:suppressAutoHyphens w:val="0"/>
              <w:spacing w:before="80" w:after="80" w:line="200" w:lineRule="exact"/>
              <w:ind w:right="113"/>
              <w:jc w:val="right"/>
              <w:rPr>
                <w:i/>
                <w:sz w:val="16"/>
              </w:rPr>
            </w:pPr>
            <w:r w:rsidRPr="00045330">
              <w:rPr>
                <w:i/>
                <w:sz w:val="16"/>
              </w:rPr>
              <w:t>2015</w:t>
            </w:r>
          </w:p>
        </w:tc>
        <w:tc>
          <w:tcPr>
            <w:tcW w:w="467" w:type="dxa"/>
            <w:tcBorders>
              <w:top w:val="single" w:sz="4" w:space="0" w:color="auto"/>
              <w:bottom w:val="single" w:sz="12" w:space="0" w:color="auto"/>
            </w:tcBorders>
            <w:shd w:val="clear" w:color="auto" w:fill="auto"/>
            <w:noWrap/>
            <w:vAlign w:val="bottom"/>
            <w:hideMark/>
          </w:tcPr>
          <w:p w:rsidR="004C70DA" w:rsidRPr="00045330" w:rsidRDefault="004C70DA" w:rsidP="00045330">
            <w:pPr>
              <w:suppressAutoHyphens w:val="0"/>
              <w:spacing w:before="80" w:after="80" w:line="200" w:lineRule="exact"/>
              <w:ind w:right="113"/>
              <w:jc w:val="right"/>
              <w:rPr>
                <w:i/>
                <w:sz w:val="16"/>
              </w:rPr>
            </w:pPr>
            <w:r w:rsidRPr="00045330">
              <w:rPr>
                <w:i/>
                <w:sz w:val="16"/>
              </w:rPr>
              <w:t>2016</w:t>
            </w:r>
          </w:p>
        </w:tc>
      </w:tr>
      <w:tr w:rsidR="00045330" w:rsidRPr="00045330" w:rsidTr="00045330">
        <w:tc>
          <w:tcPr>
            <w:tcW w:w="3038" w:type="dxa"/>
            <w:tcBorders>
              <w:top w:val="single" w:sz="12" w:space="0" w:color="auto"/>
            </w:tcBorders>
            <w:shd w:val="clear" w:color="auto" w:fill="auto"/>
            <w:noWrap/>
            <w:hideMark/>
          </w:tcPr>
          <w:p w:rsidR="004C70DA" w:rsidRPr="00045330" w:rsidRDefault="004C70DA" w:rsidP="00045330">
            <w:pPr>
              <w:suppressAutoHyphens w:val="0"/>
              <w:spacing w:before="40" w:after="40" w:line="220" w:lineRule="exact"/>
              <w:ind w:right="113"/>
              <w:rPr>
                <w:sz w:val="18"/>
              </w:rPr>
            </w:pPr>
            <w:r w:rsidRPr="00045330">
              <w:rPr>
                <w:sz w:val="18"/>
              </w:rPr>
              <w:t>Category 7 (Health) Final consumption (P3), (in million euro)</w:t>
            </w:r>
          </w:p>
        </w:tc>
        <w:tc>
          <w:tcPr>
            <w:tcW w:w="616" w:type="dxa"/>
            <w:tcBorders>
              <w:top w:val="single" w:sz="12" w:space="0" w:color="auto"/>
            </w:tcBorders>
            <w:shd w:val="clear" w:color="auto" w:fill="auto"/>
            <w:noWrap/>
            <w:vAlign w:val="bottom"/>
            <w:hideMark/>
          </w:tcPr>
          <w:p w:rsidR="004C70DA" w:rsidRPr="00045330" w:rsidRDefault="004C70DA" w:rsidP="00045330">
            <w:pPr>
              <w:suppressAutoHyphens w:val="0"/>
              <w:spacing w:before="40" w:after="40" w:line="220" w:lineRule="exact"/>
              <w:ind w:right="113"/>
              <w:jc w:val="right"/>
              <w:rPr>
                <w:sz w:val="18"/>
              </w:rPr>
            </w:pPr>
            <w:r w:rsidRPr="00045330">
              <w:rPr>
                <w:sz w:val="18"/>
              </w:rPr>
              <w:t>14</w:t>
            </w:r>
            <w:r w:rsidR="00E04918">
              <w:rPr>
                <w:sz w:val="18"/>
              </w:rPr>
              <w:t xml:space="preserve"> </w:t>
            </w:r>
            <w:r w:rsidRPr="00045330">
              <w:rPr>
                <w:sz w:val="18"/>
              </w:rPr>
              <w:t>301</w:t>
            </w:r>
          </w:p>
        </w:tc>
        <w:tc>
          <w:tcPr>
            <w:tcW w:w="630" w:type="dxa"/>
            <w:tcBorders>
              <w:top w:val="single" w:sz="12" w:space="0" w:color="auto"/>
            </w:tcBorders>
            <w:shd w:val="clear" w:color="auto" w:fill="auto"/>
            <w:noWrap/>
            <w:vAlign w:val="bottom"/>
            <w:hideMark/>
          </w:tcPr>
          <w:p w:rsidR="004C70DA" w:rsidRPr="00045330" w:rsidRDefault="004C70DA" w:rsidP="00045330">
            <w:pPr>
              <w:suppressAutoHyphens w:val="0"/>
              <w:spacing w:before="40" w:after="40" w:line="220" w:lineRule="exact"/>
              <w:ind w:right="113"/>
              <w:jc w:val="right"/>
              <w:rPr>
                <w:sz w:val="18"/>
              </w:rPr>
            </w:pPr>
            <w:r w:rsidRPr="00045330">
              <w:rPr>
                <w:sz w:val="18"/>
              </w:rPr>
              <w:t>12</w:t>
            </w:r>
            <w:r w:rsidR="00E04918">
              <w:rPr>
                <w:sz w:val="18"/>
              </w:rPr>
              <w:t xml:space="preserve"> </w:t>
            </w:r>
            <w:r w:rsidRPr="00045330">
              <w:rPr>
                <w:sz w:val="18"/>
              </w:rPr>
              <w:t>465</w:t>
            </w:r>
          </w:p>
        </w:tc>
        <w:tc>
          <w:tcPr>
            <w:tcW w:w="657" w:type="dxa"/>
            <w:tcBorders>
              <w:top w:val="single" w:sz="12" w:space="0" w:color="auto"/>
            </w:tcBorders>
            <w:shd w:val="clear" w:color="auto" w:fill="auto"/>
            <w:noWrap/>
            <w:vAlign w:val="bottom"/>
            <w:hideMark/>
          </w:tcPr>
          <w:p w:rsidR="004C70DA" w:rsidRPr="00045330" w:rsidRDefault="004C70DA" w:rsidP="00045330">
            <w:pPr>
              <w:suppressAutoHyphens w:val="0"/>
              <w:spacing w:before="40" w:after="40" w:line="220" w:lineRule="exact"/>
              <w:ind w:right="113"/>
              <w:jc w:val="right"/>
              <w:rPr>
                <w:sz w:val="18"/>
              </w:rPr>
            </w:pPr>
            <w:r w:rsidRPr="00045330">
              <w:rPr>
                <w:sz w:val="18"/>
              </w:rPr>
              <w:t>10</w:t>
            </w:r>
            <w:r w:rsidR="00E04918">
              <w:rPr>
                <w:sz w:val="18"/>
              </w:rPr>
              <w:t xml:space="preserve"> </w:t>
            </w:r>
            <w:r w:rsidRPr="00045330">
              <w:rPr>
                <w:sz w:val="18"/>
              </w:rPr>
              <w:t>742</w:t>
            </w:r>
          </w:p>
        </w:tc>
        <w:tc>
          <w:tcPr>
            <w:tcW w:w="658" w:type="dxa"/>
            <w:tcBorders>
              <w:top w:val="single" w:sz="12" w:space="0" w:color="auto"/>
            </w:tcBorders>
            <w:shd w:val="clear" w:color="auto" w:fill="auto"/>
            <w:noWrap/>
            <w:vAlign w:val="bottom"/>
            <w:hideMark/>
          </w:tcPr>
          <w:p w:rsidR="004C70DA" w:rsidRPr="00045330" w:rsidRDefault="004C70DA" w:rsidP="00045330">
            <w:pPr>
              <w:suppressAutoHyphens w:val="0"/>
              <w:spacing w:before="40" w:after="40" w:line="220" w:lineRule="exact"/>
              <w:ind w:right="113"/>
              <w:jc w:val="right"/>
              <w:rPr>
                <w:sz w:val="18"/>
              </w:rPr>
            </w:pPr>
            <w:r w:rsidRPr="00045330">
              <w:rPr>
                <w:sz w:val="18"/>
              </w:rPr>
              <w:t>9</w:t>
            </w:r>
            <w:r w:rsidR="00E04918">
              <w:rPr>
                <w:sz w:val="18"/>
              </w:rPr>
              <w:t xml:space="preserve"> </w:t>
            </w:r>
            <w:r w:rsidRPr="00045330">
              <w:rPr>
                <w:sz w:val="18"/>
              </w:rPr>
              <w:t>036</w:t>
            </w:r>
          </w:p>
        </w:tc>
        <w:tc>
          <w:tcPr>
            <w:tcW w:w="689" w:type="dxa"/>
            <w:tcBorders>
              <w:top w:val="single" w:sz="12" w:space="0" w:color="auto"/>
            </w:tcBorders>
            <w:shd w:val="clear" w:color="auto" w:fill="auto"/>
            <w:noWrap/>
            <w:vAlign w:val="bottom"/>
            <w:hideMark/>
          </w:tcPr>
          <w:p w:rsidR="004C70DA" w:rsidRPr="00045330" w:rsidRDefault="004C70DA" w:rsidP="00045330">
            <w:pPr>
              <w:suppressAutoHyphens w:val="0"/>
              <w:spacing w:before="40" w:after="40" w:line="220" w:lineRule="exact"/>
              <w:ind w:right="113"/>
              <w:jc w:val="right"/>
              <w:rPr>
                <w:sz w:val="18"/>
              </w:rPr>
            </w:pPr>
            <w:r w:rsidRPr="00045330">
              <w:rPr>
                <w:sz w:val="18"/>
              </w:rPr>
              <w:t>8</w:t>
            </w:r>
            <w:r w:rsidR="00E04918">
              <w:rPr>
                <w:sz w:val="18"/>
              </w:rPr>
              <w:t xml:space="preserve"> </w:t>
            </w:r>
            <w:r w:rsidRPr="00045330">
              <w:rPr>
                <w:sz w:val="18"/>
              </w:rPr>
              <w:t>039</w:t>
            </w:r>
          </w:p>
        </w:tc>
        <w:tc>
          <w:tcPr>
            <w:tcW w:w="616" w:type="dxa"/>
            <w:tcBorders>
              <w:top w:val="single" w:sz="12" w:space="0" w:color="auto"/>
            </w:tcBorders>
            <w:shd w:val="clear" w:color="auto" w:fill="auto"/>
            <w:noWrap/>
            <w:vAlign w:val="bottom"/>
            <w:hideMark/>
          </w:tcPr>
          <w:p w:rsidR="004C70DA" w:rsidRPr="00045330" w:rsidRDefault="004C70DA" w:rsidP="00045330">
            <w:pPr>
              <w:suppressAutoHyphens w:val="0"/>
              <w:spacing w:before="40" w:after="40" w:line="220" w:lineRule="exact"/>
              <w:ind w:right="113"/>
              <w:jc w:val="right"/>
              <w:rPr>
                <w:sz w:val="18"/>
              </w:rPr>
            </w:pPr>
            <w:r w:rsidRPr="00045330">
              <w:rPr>
                <w:sz w:val="18"/>
              </w:rPr>
              <w:t>7</w:t>
            </w:r>
            <w:r w:rsidR="00E04918">
              <w:rPr>
                <w:sz w:val="18"/>
              </w:rPr>
              <w:t xml:space="preserve"> </w:t>
            </w:r>
            <w:r w:rsidRPr="00045330">
              <w:rPr>
                <w:sz w:val="18"/>
              </w:rPr>
              <w:t>707</w:t>
            </w:r>
          </w:p>
        </w:tc>
        <w:tc>
          <w:tcPr>
            <w:tcW w:w="467" w:type="dxa"/>
            <w:tcBorders>
              <w:top w:val="single" w:sz="12" w:space="0" w:color="auto"/>
            </w:tcBorders>
            <w:shd w:val="clear" w:color="auto" w:fill="auto"/>
            <w:noWrap/>
            <w:vAlign w:val="bottom"/>
            <w:hideMark/>
          </w:tcPr>
          <w:p w:rsidR="004C70DA" w:rsidRPr="00045330" w:rsidRDefault="004C70DA" w:rsidP="00045330">
            <w:pPr>
              <w:suppressAutoHyphens w:val="0"/>
              <w:spacing w:before="40" w:after="40" w:line="220" w:lineRule="exact"/>
              <w:ind w:right="113"/>
              <w:jc w:val="right"/>
              <w:rPr>
                <w:sz w:val="18"/>
              </w:rPr>
            </w:pPr>
            <w:r w:rsidRPr="00045330">
              <w:rPr>
                <w:sz w:val="18"/>
              </w:rPr>
              <w:t>L</w:t>
            </w:r>
          </w:p>
        </w:tc>
      </w:tr>
      <w:tr w:rsidR="00045330" w:rsidRPr="00045330" w:rsidTr="00045330">
        <w:tc>
          <w:tcPr>
            <w:tcW w:w="3038" w:type="dxa"/>
            <w:shd w:val="clear" w:color="auto" w:fill="auto"/>
            <w:noWrap/>
            <w:hideMark/>
          </w:tcPr>
          <w:p w:rsidR="004C70DA" w:rsidRPr="00045330" w:rsidRDefault="004C70DA" w:rsidP="00045330">
            <w:pPr>
              <w:suppressAutoHyphens w:val="0"/>
              <w:spacing w:before="40" w:after="40" w:line="220" w:lineRule="exact"/>
              <w:ind w:right="113"/>
              <w:rPr>
                <w:sz w:val="18"/>
              </w:rPr>
            </w:pPr>
            <w:r w:rsidRPr="00045330">
              <w:rPr>
                <w:sz w:val="18"/>
              </w:rPr>
              <w:t>Category 9 (Education) Final Consumption (P3), (in million euro)</w:t>
            </w:r>
          </w:p>
        </w:tc>
        <w:tc>
          <w:tcPr>
            <w:tcW w:w="616" w:type="dxa"/>
            <w:shd w:val="clear" w:color="auto" w:fill="auto"/>
            <w:noWrap/>
            <w:vAlign w:val="bottom"/>
            <w:hideMark/>
          </w:tcPr>
          <w:p w:rsidR="004C70DA" w:rsidRPr="00045330" w:rsidRDefault="004C70DA" w:rsidP="00045330">
            <w:pPr>
              <w:suppressAutoHyphens w:val="0"/>
              <w:spacing w:before="40" w:after="40" w:line="220" w:lineRule="exact"/>
              <w:ind w:right="113"/>
              <w:jc w:val="right"/>
              <w:rPr>
                <w:sz w:val="18"/>
              </w:rPr>
            </w:pPr>
            <w:r w:rsidRPr="00045330">
              <w:rPr>
                <w:sz w:val="18"/>
              </w:rPr>
              <w:t>8</w:t>
            </w:r>
            <w:r w:rsidR="00E04918">
              <w:rPr>
                <w:sz w:val="18"/>
              </w:rPr>
              <w:t xml:space="preserve"> </w:t>
            </w:r>
            <w:r w:rsidRPr="00045330">
              <w:rPr>
                <w:sz w:val="18"/>
              </w:rPr>
              <w:t>567</w:t>
            </w:r>
          </w:p>
        </w:tc>
        <w:tc>
          <w:tcPr>
            <w:tcW w:w="630" w:type="dxa"/>
            <w:shd w:val="clear" w:color="auto" w:fill="auto"/>
            <w:noWrap/>
            <w:vAlign w:val="bottom"/>
            <w:hideMark/>
          </w:tcPr>
          <w:p w:rsidR="004C70DA" w:rsidRPr="00045330" w:rsidRDefault="004C70DA" w:rsidP="00045330">
            <w:pPr>
              <w:suppressAutoHyphens w:val="0"/>
              <w:spacing w:before="40" w:after="40" w:line="220" w:lineRule="exact"/>
              <w:ind w:right="113"/>
              <w:jc w:val="right"/>
              <w:rPr>
                <w:sz w:val="18"/>
              </w:rPr>
            </w:pPr>
            <w:r w:rsidRPr="00045330">
              <w:rPr>
                <w:sz w:val="18"/>
              </w:rPr>
              <w:t>8</w:t>
            </w:r>
            <w:r w:rsidR="00E04918">
              <w:rPr>
                <w:sz w:val="18"/>
              </w:rPr>
              <w:t xml:space="preserve"> </w:t>
            </w:r>
            <w:r w:rsidRPr="00045330">
              <w:rPr>
                <w:sz w:val="18"/>
              </w:rPr>
              <w:t>497</w:t>
            </w:r>
          </w:p>
        </w:tc>
        <w:tc>
          <w:tcPr>
            <w:tcW w:w="657" w:type="dxa"/>
            <w:shd w:val="clear" w:color="auto" w:fill="auto"/>
            <w:noWrap/>
            <w:vAlign w:val="bottom"/>
            <w:hideMark/>
          </w:tcPr>
          <w:p w:rsidR="004C70DA" w:rsidRPr="00045330" w:rsidRDefault="004C70DA" w:rsidP="00045330">
            <w:pPr>
              <w:suppressAutoHyphens w:val="0"/>
              <w:spacing w:before="40" w:after="40" w:line="220" w:lineRule="exact"/>
              <w:ind w:right="113"/>
              <w:jc w:val="right"/>
              <w:rPr>
                <w:sz w:val="18"/>
              </w:rPr>
            </w:pPr>
            <w:r w:rsidRPr="00045330">
              <w:rPr>
                <w:sz w:val="18"/>
              </w:rPr>
              <w:t>7</w:t>
            </w:r>
            <w:r w:rsidR="00E04918">
              <w:rPr>
                <w:sz w:val="18"/>
              </w:rPr>
              <w:t xml:space="preserve"> </w:t>
            </w:r>
            <w:r w:rsidRPr="00045330">
              <w:rPr>
                <w:sz w:val="18"/>
              </w:rPr>
              <w:t>997</w:t>
            </w:r>
          </w:p>
        </w:tc>
        <w:tc>
          <w:tcPr>
            <w:tcW w:w="658" w:type="dxa"/>
            <w:shd w:val="clear" w:color="auto" w:fill="auto"/>
            <w:noWrap/>
            <w:vAlign w:val="bottom"/>
            <w:hideMark/>
          </w:tcPr>
          <w:p w:rsidR="004C70DA" w:rsidRPr="00045330" w:rsidRDefault="004C70DA" w:rsidP="00045330">
            <w:pPr>
              <w:suppressAutoHyphens w:val="0"/>
              <w:spacing w:before="40" w:after="40" w:line="220" w:lineRule="exact"/>
              <w:ind w:right="113"/>
              <w:jc w:val="right"/>
              <w:rPr>
                <w:sz w:val="18"/>
              </w:rPr>
            </w:pPr>
            <w:r w:rsidRPr="00045330">
              <w:rPr>
                <w:sz w:val="18"/>
              </w:rPr>
              <w:t>7</w:t>
            </w:r>
            <w:r w:rsidR="00E04918">
              <w:rPr>
                <w:sz w:val="18"/>
              </w:rPr>
              <w:t xml:space="preserve"> </w:t>
            </w:r>
            <w:r w:rsidRPr="00045330">
              <w:rPr>
                <w:sz w:val="18"/>
              </w:rPr>
              <w:t>328</w:t>
            </w:r>
          </w:p>
        </w:tc>
        <w:tc>
          <w:tcPr>
            <w:tcW w:w="689" w:type="dxa"/>
            <w:shd w:val="clear" w:color="auto" w:fill="auto"/>
            <w:noWrap/>
            <w:vAlign w:val="bottom"/>
            <w:hideMark/>
          </w:tcPr>
          <w:p w:rsidR="004C70DA" w:rsidRPr="00045330" w:rsidRDefault="004C70DA" w:rsidP="00045330">
            <w:pPr>
              <w:suppressAutoHyphens w:val="0"/>
              <w:spacing w:before="40" w:after="40" w:line="220" w:lineRule="exact"/>
              <w:ind w:right="113"/>
              <w:jc w:val="right"/>
              <w:rPr>
                <w:sz w:val="18"/>
              </w:rPr>
            </w:pPr>
            <w:r w:rsidRPr="00045330">
              <w:rPr>
                <w:sz w:val="18"/>
              </w:rPr>
              <w:t>6</w:t>
            </w:r>
            <w:r w:rsidR="00E04918">
              <w:rPr>
                <w:sz w:val="18"/>
              </w:rPr>
              <w:t xml:space="preserve"> </w:t>
            </w:r>
            <w:r w:rsidRPr="00045330">
              <w:rPr>
                <w:sz w:val="18"/>
              </w:rPr>
              <w:t>878</w:t>
            </w:r>
          </w:p>
        </w:tc>
        <w:tc>
          <w:tcPr>
            <w:tcW w:w="616" w:type="dxa"/>
            <w:shd w:val="clear" w:color="auto" w:fill="auto"/>
            <w:noWrap/>
            <w:vAlign w:val="bottom"/>
            <w:hideMark/>
          </w:tcPr>
          <w:p w:rsidR="004C70DA" w:rsidRPr="00045330" w:rsidRDefault="004C70DA" w:rsidP="00045330">
            <w:pPr>
              <w:suppressAutoHyphens w:val="0"/>
              <w:spacing w:before="40" w:after="40" w:line="220" w:lineRule="exact"/>
              <w:ind w:right="113"/>
              <w:jc w:val="right"/>
              <w:rPr>
                <w:sz w:val="18"/>
              </w:rPr>
            </w:pPr>
            <w:r w:rsidRPr="00045330">
              <w:rPr>
                <w:sz w:val="18"/>
              </w:rPr>
              <w:t>6</w:t>
            </w:r>
            <w:r w:rsidR="00E04918">
              <w:rPr>
                <w:sz w:val="18"/>
              </w:rPr>
              <w:t xml:space="preserve"> </w:t>
            </w:r>
            <w:r w:rsidRPr="00045330">
              <w:rPr>
                <w:sz w:val="18"/>
              </w:rPr>
              <w:t>631</w:t>
            </w:r>
          </w:p>
        </w:tc>
        <w:tc>
          <w:tcPr>
            <w:tcW w:w="467" w:type="dxa"/>
            <w:shd w:val="clear" w:color="auto" w:fill="auto"/>
            <w:noWrap/>
            <w:vAlign w:val="bottom"/>
            <w:hideMark/>
          </w:tcPr>
          <w:p w:rsidR="004C70DA" w:rsidRPr="00045330" w:rsidRDefault="004C70DA" w:rsidP="00045330">
            <w:pPr>
              <w:suppressAutoHyphens w:val="0"/>
              <w:spacing w:before="40" w:after="40" w:line="220" w:lineRule="exact"/>
              <w:ind w:right="113"/>
              <w:jc w:val="right"/>
              <w:rPr>
                <w:sz w:val="18"/>
              </w:rPr>
            </w:pPr>
            <w:r w:rsidRPr="00045330">
              <w:rPr>
                <w:sz w:val="18"/>
              </w:rPr>
              <w:t>L</w:t>
            </w:r>
          </w:p>
        </w:tc>
      </w:tr>
      <w:tr w:rsidR="00045330" w:rsidRPr="00045330" w:rsidTr="005C61A8">
        <w:tc>
          <w:tcPr>
            <w:tcW w:w="3038" w:type="dxa"/>
            <w:tcBorders>
              <w:bottom w:val="single" w:sz="4" w:space="0" w:color="auto"/>
            </w:tcBorders>
            <w:shd w:val="clear" w:color="auto" w:fill="auto"/>
            <w:noWrap/>
            <w:hideMark/>
          </w:tcPr>
          <w:p w:rsidR="004C70DA" w:rsidRPr="00045330" w:rsidRDefault="004C70DA" w:rsidP="00045330">
            <w:pPr>
              <w:suppressAutoHyphens w:val="0"/>
              <w:spacing w:before="40" w:after="40" w:line="220" w:lineRule="exact"/>
              <w:ind w:right="113"/>
              <w:rPr>
                <w:sz w:val="18"/>
              </w:rPr>
            </w:pPr>
            <w:r w:rsidRPr="00045330">
              <w:rPr>
                <w:sz w:val="18"/>
              </w:rPr>
              <w:t>Category 10 (Social Protection) Final Consumption (P3), (in million euro)</w:t>
            </w:r>
          </w:p>
        </w:tc>
        <w:tc>
          <w:tcPr>
            <w:tcW w:w="616" w:type="dxa"/>
            <w:tcBorders>
              <w:bottom w:val="single" w:sz="4" w:space="0" w:color="auto"/>
            </w:tcBorders>
            <w:shd w:val="clear" w:color="auto" w:fill="auto"/>
            <w:noWrap/>
            <w:vAlign w:val="bottom"/>
            <w:hideMark/>
          </w:tcPr>
          <w:p w:rsidR="004C70DA" w:rsidRPr="00045330" w:rsidRDefault="004C70DA" w:rsidP="00045330">
            <w:pPr>
              <w:suppressAutoHyphens w:val="0"/>
              <w:spacing w:before="40" w:after="40" w:line="220" w:lineRule="exact"/>
              <w:ind w:right="113"/>
              <w:jc w:val="right"/>
              <w:rPr>
                <w:sz w:val="18"/>
              </w:rPr>
            </w:pPr>
            <w:r w:rsidRPr="00045330">
              <w:rPr>
                <w:sz w:val="18"/>
              </w:rPr>
              <w:t>1</w:t>
            </w:r>
            <w:r w:rsidR="00E04918">
              <w:rPr>
                <w:sz w:val="18"/>
              </w:rPr>
              <w:t xml:space="preserve"> </w:t>
            </w:r>
            <w:r w:rsidRPr="00045330">
              <w:rPr>
                <w:sz w:val="18"/>
              </w:rPr>
              <w:t>638</w:t>
            </w:r>
          </w:p>
        </w:tc>
        <w:tc>
          <w:tcPr>
            <w:tcW w:w="630" w:type="dxa"/>
            <w:tcBorders>
              <w:bottom w:val="single" w:sz="4" w:space="0" w:color="auto"/>
            </w:tcBorders>
            <w:shd w:val="clear" w:color="auto" w:fill="auto"/>
            <w:noWrap/>
            <w:vAlign w:val="bottom"/>
            <w:hideMark/>
          </w:tcPr>
          <w:p w:rsidR="004C70DA" w:rsidRPr="00045330" w:rsidRDefault="004C70DA" w:rsidP="00045330">
            <w:pPr>
              <w:suppressAutoHyphens w:val="0"/>
              <w:spacing w:before="40" w:after="40" w:line="220" w:lineRule="exact"/>
              <w:ind w:right="113"/>
              <w:jc w:val="right"/>
              <w:rPr>
                <w:sz w:val="18"/>
              </w:rPr>
            </w:pPr>
            <w:r w:rsidRPr="00045330">
              <w:rPr>
                <w:sz w:val="18"/>
              </w:rPr>
              <w:t>1</w:t>
            </w:r>
            <w:r w:rsidR="00E04918">
              <w:rPr>
                <w:sz w:val="18"/>
              </w:rPr>
              <w:t xml:space="preserve"> </w:t>
            </w:r>
            <w:r w:rsidRPr="00045330">
              <w:rPr>
                <w:sz w:val="18"/>
              </w:rPr>
              <w:t>068</w:t>
            </w:r>
          </w:p>
        </w:tc>
        <w:tc>
          <w:tcPr>
            <w:tcW w:w="657" w:type="dxa"/>
            <w:tcBorders>
              <w:bottom w:val="single" w:sz="4" w:space="0" w:color="auto"/>
            </w:tcBorders>
            <w:shd w:val="clear" w:color="auto" w:fill="auto"/>
            <w:noWrap/>
            <w:vAlign w:val="bottom"/>
            <w:hideMark/>
          </w:tcPr>
          <w:p w:rsidR="004C70DA" w:rsidRPr="00045330" w:rsidRDefault="004C70DA" w:rsidP="00045330">
            <w:pPr>
              <w:suppressAutoHyphens w:val="0"/>
              <w:spacing w:before="40" w:after="40" w:line="220" w:lineRule="exact"/>
              <w:ind w:right="113"/>
              <w:jc w:val="right"/>
              <w:rPr>
                <w:sz w:val="18"/>
              </w:rPr>
            </w:pPr>
            <w:r w:rsidRPr="00045330">
              <w:rPr>
                <w:sz w:val="18"/>
              </w:rPr>
              <w:t>662</w:t>
            </w:r>
          </w:p>
        </w:tc>
        <w:tc>
          <w:tcPr>
            <w:tcW w:w="658" w:type="dxa"/>
            <w:tcBorders>
              <w:bottom w:val="single" w:sz="4" w:space="0" w:color="auto"/>
            </w:tcBorders>
            <w:shd w:val="clear" w:color="auto" w:fill="auto"/>
            <w:noWrap/>
            <w:vAlign w:val="bottom"/>
            <w:hideMark/>
          </w:tcPr>
          <w:p w:rsidR="004C70DA" w:rsidRPr="00045330" w:rsidRDefault="004C70DA" w:rsidP="00045330">
            <w:pPr>
              <w:suppressAutoHyphens w:val="0"/>
              <w:spacing w:before="40" w:after="40" w:line="220" w:lineRule="exact"/>
              <w:ind w:right="113"/>
              <w:jc w:val="right"/>
              <w:rPr>
                <w:sz w:val="18"/>
              </w:rPr>
            </w:pPr>
            <w:r w:rsidRPr="00045330">
              <w:rPr>
                <w:sz w:val="18"/>
              </w:rPr>
              <w:t>448</w:t>
            </w:r>
          </w:p>
        </w:tc>
        <w:tc>
          <w:tcPr>
            <w:tcW w:w="689" w:type="dxa"/>
            <w:tcBorders>
              <w:bottom w:val="single" w:sz="4" w:space="0" w:color="auto"/>
            </w:tcBorders>
            <w:shd w:val="clear" w:color="auto" w:fill="auto"/>
            <w:noWrap/>
            <w:vAlign w:val="bottom"/>
            <w:hideMark/>
          </w:tcPr>
          <w:p w:rsidR="004C70DA" w:rsidRPr="00045330" w:rsidRDefault="004C70DA" w:rsidP="00045330">
            <w:pPr>
              <w:suppressAutoHyphens w:val="0"/>
              <w:spacing w:before="40" w:after="40" w:line="220" w:lineRule="exact"/>
              <w:ind w:right="113"/>
              <w:jc w:val="right"/>
              <w:rPr>
                <w:sz w:val="18"/>
              </w:rPr>
            </w:pPr>
            <w:r w:rsidRPr="00045330">
              <w:rPr>
                <w:sz w:val="18"/>
              </w:rPr>
              <w:t>464</w:t>
            </w:r>
          </w:p>
        </w:tc>
        <w:tc>
          <w:tcPr>
            <w:tcW w:w="616" w:type="dxa"/>
            <w:tcBorders>
              <w:bottom w:val="single" w:sz="4" w:space="0" w:color="auto"/>
            </w:tcBorders>
            <w:shd w:val="clear" w:color="auto" w:fill="auto"/>
            <w:noWrap/>
            <w:vAlign w:val="bottom"/>
            <w:hideMark/>
          </w:tcPr>
          <w:p w:rsidR="004C70DA" w:rsidRPr="00045330" w:rsidRDefault="004C70DA" w:rsidP="00045330">
            <w:pPr>
              <w:suppressAutoHyphens w:val="0"/>
              <w:spacing w:before="40" w:after="40" w:line="220" w:lineRule="exact"/>
              <w:ind w:right="113"/>
              <w:jc w:val="right"/>
              <w:rPr>
                <w:sz w:val="18"/>
              </w:rPr>
            </w:pPr>
            <w:r w:rsidRPr="00045330">
              <w:rPr>
                <w:sz w:val="18"/>
              </w:rPr>
              <w:t>450</w:t>
            </w:r>
          </w:p>
        </w:tc>
        <w:tc>
          <w:tcPr>
            <w:tcW w:w="467" w:type="dxa"/>
            <w:tcBorders>
              <w:bottom w:val="single" w:sz="4" w:space="0" w:color="auto"/>
            </w:tcBorders>
            <w:shd w:val="clear" w:color="auto" w:fill="auto"/>
            <w:noWrap/>
            <w:vAlign w:val="bottom"/>
            <w:hideMark/>
          </w:tcPr>
          <w:p w:rsidR="004C70DA" w:rsidRPr="00045330" w:rsidRDefault="004C70DA" w:rsidP="00045330">
            <w:pPr>
              <w:suppressAutoHyphens w:val="0"/>
              <w:spacing w:before="40" w:after="40" w:line="220" w:lineRule="exact"/>
              <w:ind w:right="113"/>
              <w:jc w:val="right"/>
              <w:rPr>
                <w:sz w:val="18"/>
              </w:rPr>
            </w:pPr>
            <w:r w:rsidRPr="00045330">
              <w:rPr>
                <w:sz w:val="18"/>
              </w:rPr>
              <w:t>L</w:t>
            </w:r>
          </w:p>
        </w:tc>
      </w:tr>
      <w:tr w:rsidR="00045330" w:rsidRPr="005C61A8" w:rsidTr="005C61A8">
        <w:tc>
          <w:tcPr>
            <w:tcW w:w="3038" w:type="dxa"/>
            <w:tcBorders>
              <w:top w:val="single" w:sz="4" w:space="0" w:color="auto"/>
              <w:bottom w:val="single" w:sz="4" w:space="0" w:color="auto"/>
            </w:tcBorders>
            <w:shd w:val="clear" w:color="auto" w:fill="auto"/>
            <w:noWrap/>
            <w:hideMark/>
          </w:tcPr>
          <w:p w:rsidR="004C70DA" w:rsidRPr="005C61A8" w:rsidRDefault="004C70DA" w:rsidP="005C61A8">
            <w:pPr>
              <w:suppressAutoHyphens w:val="0"/>
              <w:spacing w:before="80" w:after="80" w:line="220" w:lineRule="exact"/>
              <w:ind w:right="113"/>
              <w:jc w:val="right"/>
              <w:rPr>
                <w:b/>
                <w:sz w:val="18"/>
              </w:rPr>
            </w:pPr>
            <w:r w:rsidRPr="005C61A8">
              <w:rPr>
                <w:b/>
                <w:sz w:val="18"/>
              </w:rPr>
              <w:t xml:space="preserve">Total Final Consumption (P3), </w:t>
            </w:r>
            <w:r w:rsidR="005C61A8">
              <w:rPr>
                <w:b/>
                <w:sz w:val="18"/>
              </w:rPr>
              <w:br/>
            </w:r>
            <w:r w:rsidRPr="005C61A8">
              <w:rPr>
                <w:b/>
                <w:sz w:val="18"/>
              </w:rPr>
              <w:t>(in million euro)</w:t>
            </w:r>
          </w:p>
        </w:tc>
        <w:tc>
          <w:tcPr>
            <w:tcW w:w="616" w:type="dxa"/>
            <w:tcBorders>
              <w:top w:val="single" w:sz="4" w:space="0" w:color="auto"/>
              <w:bottom w:val="single" w:sz="4" w:space="0" w:color="auto"/>
            </w:tcBorders>
            <w:shd w:val="clear" w:color="auto" w:fill="auto"/>
            <w:noWrap/>
            <w:vAlign w:val="bottom"/>
            <w:hideMark/>
          </w:tcPr>
          <w:p w:rsidR="004C70DA" w:rsidRPr="005C61A8" w:rsidRDefault="004C70DA" w:rsidP="005C61A8">
            <w:pPr>
              <w:suppressAutoHyphens w:val="0"/>
              <w:spacing w:before="80" w:after="80" w:line="220" w:lineRule="exact"/>
              <w:ind w:right="113"/>
              <w:jc w:val="right"/>
              <w:rPr>
                <w:b/>
                <w:sz w:val="18"/>
              </w:rPr>
            </w:pPr>
            <w:r w:rsidRPr="005C61A8">
              <w:rPr>
                <w:b/>
                <w:sz w:val="18"/>
              </w:rPr>
              <w:t>50</w:t>
            </w:r>
            <w:r w:rsidR="00E04918" w:rsidRPr="005C61A8">
              <w:rPr>
                <w:b/>
                <w:sz w:val="18"/>
              </w:rPr>
              <w:t xml:space="preserve"> </w:t>
            </w:r>
            <w:r w:rsidRPr="005C61A8">
              <w:rPr>
                <w:b/>
                <w:sz w:val="18"/>
              </w:rPr>
              <w:t>275</w:t>
            </w:r>
          </w:p>
        </w:tc>
        <w:tc>
          <w:tcPr>
            <w:tcW w:w="630" w:type="dxa"/>
            <w:tcBorders>
              <w:top w:val="single" w:sz="4" w:space="0" w:color="auto"/>
              <w:bottom w:val="single" w:sz="4" w:space="0" w:color="auto"/>
            </w:tcBorders>
            <w:shd w:val="clear" w:color="auto" w:fill="auto"/>
            <w:noWrap/>
            <w:vAlign w:val="bottom"/>
            <w:hideMark/>
          </w:tcPr>
          <w:p w:rsidR="004C70DA" w:rsidRPr="005C61A8" w:rsidRDefault="004C70DA" w:rsidP="005C61A8">
            <w:pPr>
              <w:suppressAutoHyphens w:val="0"/>
              <w:spacing w:before="80" w:after="80" w:line="220" w:lineRule="exact"/>
              <w:ind w:right="113"/>
              <w:jc w:val="right"/>
              <w:rPr>
                <w:b/>
                <w:sz w:val="18"/>
              </w:rPr>
            </w:pPr>
            <w:r w:rsidRPr="005C61A8">
              <w:rPr>
                <w:b/>
                <w:sz w:val="18"/>
              </w:rPr>
              <w:t>44</w:t>
            </w:r>
            <w:r w:rsidR="00E04918" w:rsidRPr="005C61A8">
              <w:rPr>
                <w:b/>
                <w:sz w:val="18"/>
              </w:rPr>
              <w:t xml:space="preserve"> </w:t>
            </w:r>
            <w:r w:rsidRPr="005C61A8">
              <w:rPr>
                <w:b/>
                <w:sz w:val="18"/>
              </w:rPr>
              <w:t>962</w:t>
            </w:r>
          </w:p>
        </w:tc>
        <w:tc>
          <w:tcPr>
            <w:tcW w:w="657" w:type="dxa"/>
            <w:tcBorders>
              <w:top w:val="single" w:sz="4" w:space="0" w:color="auto"/>
              <w:bottom w:val="single" w:sz="4" w:space="0" w:color="auto"/>
            </w:tcBorders>
            <w:shd w:val="clear" w:color="auto" w:fill="auto"/>
            <w:noWrap/>
            <w:vAlign w:val="bottom"/>
            <w:hideMark/>
          </w:tcPr>
          <w:p w:rsidR="004C70DA" w:rsidRPr="005C61A8" w:rsidRDefault="004C70DA" w:rsidP="005C61A8">
            <w:pPr>
              <w:suppressAutoHyphens w:val="0"/>
              <w:spacing w:before="80" w:after="80" w:line="220" w:lineRule="exact"/>
              <w:ind w:right="113"/>
              <w:jc w:val="right"/>
              <w:rPr>
                <w:b/>
                <w:sz w:val="18"/>
              </w:rPr>
            </w:pPr>
            <w:r w:rsidRPr="005C61A8">
              <w:rPr>
                <w:b/>
                <w:sz w:val="18"/>
              </w:rPr>
              <w:t>41</w:t>
            </w:r>
            <w:r w:rsidR="00E04918" w:rsidRPr="005C61A8">
              <w:rPr>
                <w:b/>
                <w:sz w:val="18"/>
              </w:rPr>
              <w:t xml:space="preserve"> </w:t>
            </w:r>
            <w:r w:rsidRPr="005C61A8">
              <w:rPr>
                <w:b/>
                <w:sz w:val="18"/>
              </w:rPr>
              <w:t>625</w:t>
            </w:r>
          </w:p>
        </w:tc>
        <w:tc>
          <w:tcPr>
            <w:tcW w:w="658" w:type="dxa"/>
            <w:tcBorders>
              <w:top w:val="single" w:sz="4" w:space="0" w:color="auto"/>
              <w:bottom w:val="single" w:sz="4" w:space="0" w:color="auto"/>
            </w:tcBorders>
            <w:shd w:val="clear" w:color="auto" w:fill="auto"/>
            <w:noWrap/>
            <w:vAlign w:val="bottom"/>
            <w:hideMark/>
          </w:tcPr>
          <w:p w:rsidR="004C70DA" w:rsidRPr="005C61A8" w:rsidRDefault="004C70DA" w:rsidP="005C61A8">
            <w:pPr>
              <w:suppressAutoHyphens w:val="0"/>
              <w:spacing w:before="80" w:after="80" w:line="220" w:lineRule="exact"/>
              <w:ind w:right="113"/>
              <w:jc w:val="right"/>
              <w:rPr>
                <w:b/>
                <w:sz w:val="18"/>
              </w:rPr>
            </w:pPr>
            <w:r w:rsidRPr="005C61A8">
              <w:rPr>
                <w:b/>
                <w:sz w:val="18"/>
              </w:rPr>
              <w:t>36</w:t>
            </w:r>
            <w:r w:rsidR="00E04918" w:rsidRPr="005C61A8">
              <w:rPr>
                <w:b/>
                <w:sz w:val="18"/>
              </w:rPr>
              <w:t xml:space="preserve"> </w:t>
            </w:r>
            <w:r w:rsidRPr="005C61A8">
              <w:rPr>
                <w:b/>
                <w:sz w:val="18"/>
              </w:rPr>
              <w:t>949</w:t>
            </w:r>
          </w:p>
        </w:tc>
        <w:tc>
          <w:tcPr>
            <w:tcW w:w="689" w:type="dxa"/>
            <w:tcBorders>
              <w:top w:val="single" w:sz="4" w:space="0" w:color="auto"/>
              <w:bottom w:val="single" w:sz="4" w:space="0" w:color="auto"/>
            </w:tcBorders>
            <w:shd w:val="clear" w:color="auto" w:fill="auto"/>
            <w:noWrap/>
            <w:vAlign w:val="bottom"/>
            <w:hideMark/>
          </w:tcPr>
          <w:p w:rsidR="004C70DA" w:rsidRPr="005C61A8" w:rsidRDefault="004C70DA" w:rsidP="005C61A8">
            <w:pPr>
              <w:suppressAutoHyphens w:val="0"/>
              <w:spacing w:before="80" w:after="80" w:line="220" w:lineRule="exact"/>
              <w:ind w:right="113"/>
              <w:jc w:val="right"/>
              <w:rPr>
                <w:b/>
                <w:sz w:val="18"/>
              </w:rPr>
            </w:pPr>
            <w:r w:rsidRPr="005C61A8">
              <w:rPr>
                <w:b/>
                <w:sz w:val="18"/>
              </w:rPr>
              <w:t>36</w:t>
            </w:r>
            <w:r w:rsidR="00E04918" w:rsidRPr="005C61A8">
              <w:rPr>
                <w:b/>
                <w:sz w:val="18"/>
              </w:rPr>
              <w:t xml:space="preserve"> </w:t>
            </w:r>
            <w:r w:rsidRPr="005C61A8">
              <w:rPr>
                <w:b/>
                <w:sz w:val="18"/>
              </w:rPr>
              <w:t>174</w:t>
            </w:r>
          </w:p>
        </w:tc>
        <w:tc>
          <w:tcPr>
            <w:tcW w:w="616" w:type="dxa"/>
            <w:tcBorders>
              <w:top w:val="single" w:sz="4" w:space="0" w:color="auto"/>
              <w:bottom w:val="single" w:sz="4" w:space="0" w:color="auto"/>
            </w:tcBorders>
            <w:shd w:val="clear" w:color="auto" w:fill="auto"/>
            <w:noWrap/>
            <w:vAlign w:val="bottom"/>
            <w:hideMark/>
          </w:tcPr>
          <w:p w:rsidR="004C70DA" w:rsidRPr="005C61A8" w:rsidRDefault="004C70DA" w:rsidP="005C61A8">
            <w:pPr>
              <w:suppressAutoHyphens w:val="0"/>
              <w:spacing w:before="80" w:after="80" w:line="220" w:lineRule="exact"/>
              <w:ind w:right="113"/>
              <w:jc w:val="right"/>
              <w:rPr>
                <w:b/>
                <w:sz w:val="18"/>
              </w:rPr>
            </w:pPr>
            <w:r w:rsidRPr="005C61A8">
              <w:rPr>
                <w:b/>
                <w:sz w:val="18"/>
              </w:rPr>
              <w:t>35</w:t>
            </w:r>
            <w:r w:rsidR="00E04918" w:rsidRPr="005C61A8">
              <w:rPr>
                <w:b/>
                <w:sz w:val="18"/>
              </w:rPr>
              <w:t xml:space="preserve"> </w:t>
            </w:r>
            <w:r w:rsidRPr="005C61A8">
              <w:rPr>
                <w:b/>
                <w:sz w:val="18"/>
              </w:rPr>
              <w:t>496</w:t>
            </w:r>
          </w:p>
        </w:tc>
        <w:tc>
          <w:tcPr>
            <w:tcW w:w="467" w:type="dxa"/>
            <w:tcBorders>
              <w:top w:val="single" w:sz="4" w:space="0" w:color="auto"/>
              <w:bottom w:val="single" w:sz="4" w:space="0" w:color="auto"/>
            </w:tcBorders>
            <w:shd w:val="clear" w:color="auto" w:fill="auto"/>
            <w:noWrap/>
            <w:vAlign w:val="bottom"/>
            <w:hideMark/>
          </w:tcPr>
          <w:p w:rsidR="004C70DA" w:rsidRPr="005C61A8" w:rsidRDefault="004C70DA" w:rsidP="005C61A8">
            <w:pPr>
              <w:suppressAutoHyphens w:val="0"/>
              <w:spacing w:before="80" w:after="80" w:line="220" w:lineRule="exact"/>
              <w:ind w:right="113"/>
              <w:jc w:val="right"/>
              <w:rPr>
                <w:b/>
                <w:sz w:val="18"/>
              </w:rPr>
            </w:pPr>
            <w:r w:rsidRPr="005C61A8">
              <w:rPr>
                <w:b/>
                <w:sz w:val="18"/>
              </w:rPr>
              <w:t>L</w:t>
            </w:r>
          </w:p>
        </w:tc>
      </w:tr>
      <w:tr w:rsidR="00045330" w:rsidRPr="00045330" w:rsidTr="005C61A8">
        <w:tc>
          <w:tcPr>
            <w:tcW w:w="3038" w:type="dxa"/>
            <w:tcBorders>
              <w:top w:val="single" w:sz="4" w:space="0" w:color="auto"/>
            </w:tcBorders>
            <w:shd w:val="clear" w:color="auto" w:fill="auto"/>
            <w:noWrap/>
            <w:hideMark/>
          </w:tcPr>
          <w:p w:rsidR="004C70DA" w:rsidRPr="00045330" w:rsidRDefault="004C70DA" w:rsidP="00D60AA4">
            <w:pPr>
              <w:suppressAutoHyphens w:val="0"/>
              <w:spacing w:before="40" w:after="40" w:line="220" w:lineRule="exact"/>
              <w:ind w:right="113"/>
              <w:rPr>
                <w:sz w:val="18"/>
              </w:rPr>
            </w:pPr>
            <w:r w:rsidRPr="00045330">
              <w:rPr>
                <w:sz w:val="18"/>
              </w:rPr>
              <w:t xml:space="preserve">Category 7 (Health) Final consumption (P3) </w:t>
            </w:r>
            <w:r w:rsidR="00D60AA4">
              <w:rPr>
                <w:sz w:val="18"/>
              </w:rPr>
              <w:t>—</w:t>
            </w:r>
            <w:r w:rsidRPr="00045330">
              <w:rPr>
                <w:sz w:val="18"/>
              </w:rPr>
              <w:t xml:space="preserve"> %</w:t>
            </w:r>
          </w:p>
        </w:tc>
        <w:tc>
          <w:tcPr>
            <w:tcW w:w="616" w:type="dxa"/>
            <w:tcBorders>
              <w:top w:val="single" w:sz="4" w:space="0" w:color="auto"/>
            </w:tcBorders>
            <w:shd w:val="clear" w:color="auto" w:fill="auto"/>
            <w:noWrap/>
            <w:vAlign w:val="bottom"/>
            <w:hideMark/>
          </w:tcPr>
          <w:p w:rsidR="004C70DA" w:rsidRPr="00045330" w:rsidRDefault="004C70DA" w:rsidP="00045330">
            <w:pPr>
              <w:suppressAutoHyphens w:val="0"/>
              <w:spacing w:before="40" w:after="40" w:line="220" w:lineRule="exact"/>
              <w:ind w:right="113"/>
              <w:jc w:val="right"/>
              <w:rPr>
                <w:sz w:val="18"/>
              </w:rPr>
            </w:pPr>
            <w:r w:rsidRPr="00045330">
              <w:rPr>
                <w:sz w:val="18"/>
              </w:rPr>
              <w:t>28</w:t>
            </w:r>
            <w:r w:rsidR="00353C74">
              <w:rPr>
                <w:sz w:val="18"/>
              </w:rPr>
              <w:t>.</w:t>
            </w:r>
            <w:r w:rsidRPr="00045330">
              <w:rPr>
                <w:sz w:val="18"/>
              </w:rPr>
              <w:t>4</w:t>
            </w:r>
          </w:p>
        </w:tc>
        <w:tc>
          <w:tcPr>
            <w:tcW w:w="630" w:type="dxa"/>
            <w:tcBorders>
              <w:top w:val="single" w:sz="4" w:space="0" w:color="auto"/>
            </w:tcBorders>
            <w:shd w:val="clear" w:color="auto" w:fill="auto"/>
            <w:noWrap/>
            <w:vAlign w:val="bottom"/>
            <w:hideMark/>
          </w:tcPr>
          <w:p w:rsidR="004C70DA" w:rsidRPr="00045330" w:rsidRDefault="004C70DA" w:rsidP="00045330">
            <w:pPr>
              <w:suppressAutoHyphens w:val="0"/>
              <w:spacing w:before="40" w:after="40" w:line="220" w:lineRule="exact"/>
              <w:ind w:right="113"/>
              <w:jc w:val="right"/>
              <w:rPr>
                <w:sz w:val="18"/>
              </w:rPr>
            </w:pPr>
            <w:r w:rsidRPr="00045330">
              <w:rPr>
                <w:sz w:val="18"/>
              </w:rPr>
              <w:t>27</w:t>
            </w:r>
            <w:r w:rsidR="00353C74">
              <w:rPr>
                <w:sz w:val="18"/>
              </w:rPr>
              <w:t>.</w:t>
            </w:r>
            <w:r w:rsidRPr="00045330">
              <w:rPr>
                <w:sz w:val="18"/>
              </w:rPr>
              <w:t>7</w:t>
            </w:r>
          </w:p>
        </w:tc>
        <w:tc>
          <w:tcPr>
            <w:tcW w:w="657" w:type="dxa"/>
            <w:tcBorders>
              <w:top w:val="single" w:sz="4" w:space="0" w:color="auto"/>
            </w:tcBorders>
            <w:shd w:val="clear" w:color="auto" w:fill="auto"/>
            <w:noWrap/>
            <w:vAlign w:val="bottom"/>
            <w:hideMark/>
          </w:tcPr>
          <w:p w:rsidR="004C70DA" w:rsidRPr="00045330" w:rsidRDefault="004C70DA" w:rsidP="00045330">
            <w:pPr>
              <w:suppressAutoHyphens w:val="0"/>
              <w:spacing w:before="40" w:after="40" w:line="220" w:lineRule="exact"/>
              <w:ind w:right="113"/>
              <w:jc w:val="right"/>
              <w:rPr>
                <w:sz w:val="18"/>
              </w:rPr>
            </w:pPr>
            <w:r w:rsidRPr="00045330">
              <w:rPr>
                <w:sz w:val="18"/>
              </w:rPr>
              <w:t>25</w:t>
            </w:r>
            <w:r w:rsidR="00353C74">
              <w:rPr>
                <w:sz w:val="18"/>
              </w:rPr>
              <w:t>.</w:t>
            </w:r>
            <w:r w:rsidRPr="00045330">
              <w:rPr>
                <w:sz w:val="18"/>
              </w:rPr>
              <w:t>8</w:t>
            </w:r>
          </w:p>
        </w:tc>
        <w:tc>
          <w:tcPr>
            <w:tcW w:w="658" w:type="dxa"/>
            <w:tcBorders>
              <w:top w:val="single" w:sz="4" w:space="0" w:color="auto"/>
            </w:tcBorders>
            <w:shd w:val="clear" w:color="auto" w:fill="auto"/>
            <w:noWrap/>
            <w:vAlign w:val="bottom"/>
            <w:hideMark/>
          </w:tcPr>
          <w:p w:rsidR="004C70DA" w:rsidRPr="00045330" w:rsidRDefault="004C70DA" w:rsidP="00045330">
            <w:pPr>
              <w:suppressAutoHyphens w:val="0"/>
              <w:spacing w:before="40" w:after="40" w:line="220" w:lineRule="exact"/>
              <w:ind w:right="113"/>
              <w:jc w:val="right"/>
              <w:rPr>
                <w:sz w:val="18"/>
              </w:rPr>
            </w:pPr>
            <w:r w:rsidRPr="00045330">
              <w:rPr>
                <w:sz w:val="18"/>
              </w:rPr>
              <w:t>24</w:t>
            </w:r>
            <w:r w:rsidR="00353C74">
              <w:rPr>
                <w:sz w:val="18"/>
              </w:rPr>
              <w:t>.</w:t>
            </w:r>
            <w:r w:rsidRPr="00045330">
              <w:rPr>
                <w:sz w:val="18"/>
              </w:rPr>
              <w:t>5</w:t>
            </w:r>
          </w:p>
        </w:tc>
        <w:tc>
          <w:tcPr>
            <w:tcW w:w="689" w:type="dxa"/>
            <w:tcBorders>
              <w:top w:val="single" w:sz="4" w:space="0" w:color="auto"/>
            </w:tcBorders>
            <w:shd w:val="clear" w:color="auto" w:fill="auto"/>
            <w:noWrap/>
            <w:vAlign w:val="bottom"/>
            <w:hideMark/>
          </w:tcPr>
          <w:p w:rsidR="004C70DA" w:rsidRPr="00045330" w:rsidRDefault="004C70DA" w:rsidP="00045330">
            <w:pPr>
              <w:suppressAutoHyphens w:val="0"/>
              <w:spacing w:before="40" w:after="40" w:line="220" w:lineRule="exact"/>
              <w:ind w:right="113"/>
              <w:jc w:val="right"/>
              <w:rPr>
                <w:sz w:val="18"/>
              </w:rPr>
            </w:pPr>
            <w:r w:rsidRPr="00045330">
              <w:rPr>
                <w:sz w:val="18"/>
              </w:rPr>
              <w:t>22</w:t>
            </w:r>
            <w:r w:rsidR="00353C74">
              <w:rPr>
                <w:sz w:val="18"/>
              </w:rPr>
              <w:t>.</w:t>
            </w:r>
            <w:r w:rsidRPr="00045330">
              <w:rPr>
                <w:sz w:val="18"/>
              </w:rPr>
              <w:t>2</w:t>
            </w:r>
          </w:p>
        </w:tc>
        <w:tc>
          <w:tcPr>
            <w:tcW w:w="616" w:type="dxa"/>
            <w:tcBorders>
              <w:top w:val="single" w:sz="4" w:space="0" w:color="auto"/>
            </w:tcBorders>
            <w:shd w:val="clear" w:color="auto" w:fill="auto"/>
            <w:noWrap/>
            <w:vAlign w:val="bottom"/>
            <w:hideMark/>
          </w:tcPr>
          <w:p w:rsidR="004C70DA" w:rsidRPr="00045330" w:rsidRDefault="004C70DA" w:rsidP="00045330">
            <w:pPr>
              <w:suppressAutoHyphens w:val="0"/>
              <w:spacing w:before="40" w:after="40" w:line="220" w:lineRule="exact"/>
              <w:ind w:right="113"/>
              <w:jc w:val="right"/>
              <w:rPr>
                <w:sz w:val="18"/>
              </w:rPr>
            </w:pPr>
            <w:r w:rsidRPr="00045330">
              <w:rPr>
                <w:sz w:val="18"/>
              </w:rPr>
              <w:t>21</w:t>
            </w:r>
            <w:r w:rsidR="00353C74">
              <w:rPr>
                <w:sz w:val="18"/>
              </w:rPr>
              <w:t>.</w:t>
            </w:r>
            <w:r w:rsidRPr="00045330">
              <w:rPr>
                <w:sz w:val="18"/>
              </w:rPr>
              <w:t>7</w:t>
            </w:r>
          </w:p>
        </w:tc>
        <w:tc>
          <w:tcPr>
            <w:tcW w:w="467" w:type="dxa"/>
            <w:tcBorders>
              <w:top w:val="single" w:sz="4" w:space="0" w:color="auto"/>
            </w:tcBorders>
            <w:shd w:val="clear" w:color="auto" w:fill="auto"/>
            <w:noWrap/>
            <w:vAlign w:val="bottom"/>
            <w:hideMark/>
          </w:tcPr>
          <w:p w:rsidR="004C70DA" w:rsidRPr="00045330" w:rsidRDefault="004C70DA" w:rsidP="00045330">
            <w:pPr>
              <w:suppressAutoHyphens w:val="0"/>
              <w:spacing w:before="40" w:after="40" w:line="220" w:lineRule="exact"/>
              <w:ind w:right="113"/>
              <w:jc w:val="right"/>
              <w:rPr>
                <w:sz w:val="18"/>
              </w:rPr>
            </w:pPr>
            <w:r w:rsidRPr="00045330">
              <w:rPr>
                <w:sz w:val="18"/>
              </w:rPr>
              <w:t>L</w:t>
            </w:r>
          </w:p>
        </w:tc>
      </w:tr>
      <w:tr w:rsidR="00045330" w:rsidRPr="00045330" w:rsidTr="00045330">
        <w:tc>
          <w:tcPr>
            <w:tcW w:w="3038" w:type="dxa"/>
            <w:shd w:val="clear" w:color="auto" w:fill="auto"/>
            <w:noWrap/>
            <w:hideMark/>
          </w:tcPr>
          <w:p w:rsidR="004C70DA" w:rsidRPr="00045330" w:rsidRDefault="004C70DA" w:rsidP="00D60AA4">
            <w:pPr>
              <w:suppressAutoHyphens w:val="0"/>
              <w:spacing w:before="40" w:after="40" w:line="220" w:lineRule="exact"/>
              <w:ind w:right="113"/>
              <w:rPr>
                <w:sz w:val="18"/>
              </w:rPr>
            </w:pPr>
            <w:r w:rsidRPr="00045330">
              <w:rPr>
                <w:sz w:val="18"/>
              </w:rPr>
              <w:t xml:space="preserve">Category 9 (Education) Final Consumption (P3) </w:t>
            </w:r>
            <w:r w:rsidR="00D60AA4">
              <w:rPr>
                <w:sz w:val="18"/>
              </w:rPr>
              <w:t>—</w:t>
            </w:r>
            <w:r w:rsidRPr="00045330">
              <w:rPr>
                <w:sz w:val="18"/>
              </w:rPr>
              <w:t xml:space="preserve"> %</w:t>
            </w:r>
          </w:p>
        </w:tc>
        <w:tc>
          <w:tcPr>
            <w:tcW w:w="616" w:type="dxa"/>
            <w:shd w:val="clear" w:color="auto" w:fill="auto"/>
            <w:noWrap/>
            <w:vAlign w:val="bottom"/>
            <w:hideMark/>
          </w:tcPr>
          <w:p w:rsidR="004C70DA" w:rsidRPr="00045330" w:rsidRDefault="004C70DA" w:rsidP="00045330">
            <w:pPr>
              <w:suppressAutoHyphens w:val="0"/>
              <w:spacing w:before="40" w:after="40" w:line="220" w:lineRule="exact"/>
              <w:ind w:right="113"/>
              <w:jc w:val="right"/>
              <w:rPr>
                <w:sz w:val="18"/>
              </w:rPr>
            </w:pPr>
            <w:r w:rsidRPr="00045330">
              <w:rPr>
                <w:sz w:val="18"/>
              </w:rPr>
              <w:t>17</w:t>
            </w:r>
            <w:r w:rsidR="00353C74">
              <w:rPr>
                <w:sz w:val="18"/>
              </w:rPr>
              <w:t>.</w:t>
            </w:r>
            <w:r w:rsidRPr="00045330">
              <w:rPr>
                <w:sz w:val="18"/>
              </w:rPr>
              <w:t>0</w:t>
            </w:r>
          </w:p>
        </w:tc>
        <w:tc>
          <w:tcPr>
            <w:tcW w:w="630" w:type="dxa"/>
            <w:shd w:val="clear" w:color="auto" w:fill="auto"/>
            <w:noWrap/>
            <w:vAlign w:val="bottom"/>
            <w:hideMark/>
          </w:tcPr>
          <w:p w:rsidR="004C70DA" w:rsidRPr="00045330" w:rsidRDefault="004C70DA" w:rsidP="00045330">
            <w:pPr>
              <w:suppressAutoHyphens w:val="0"/>
              <w:spacing w:before="40" w:after="40" w:line="220" w:lineRule="exact"/>
              <w:ind w:right="113"/>
              <w:jc w:val="right"/>
              <w:rPr>
                <w:sz w:val="18"/>
              </w:rPr>
            </w:pPr>
            <w:r w:rsidRPr="00045330">
              <w:rPr>
                <w:sz w:val="18"/>
              </w:rPr>
              <w:t>18</w:t>
            </w:r>
            <w:r w:rsidR="00353C74">
              <w:rPr>
                <w:sz w:val="18"/>
              </w:rPr>
              <w:t>.</w:t>
            </w:r>
            <w:r w:rsidRPr="00045330">
              <w:rPr>
                <w:sz w:val="18"/>
              </w:rPr>
              <w:t>9</w:t>
            </w:r>
          </w:p>
        </w:tc>
        <w:tc>
          <w:tcPr>
            <w:tcW w:w="657" w:type="dxa"/>
            <w:shd w:val="clear" w:color="auto" w:fill="auto"/>
            <w:noWrap/>
            <w:vAlign w:val="bottom"/>
            <w:hideMark/>
          </w:tcPr>
          <w:p w:rsidR="004C70DA" w:rsidRPr="00045330" w:rsidRDefault="004C70DA" w:rsidP="00045330">
            <w:pPr>
              <w:suppressAutoHyphens w:val="0"/>
              <w:spacing w:before="40" w:after="40" w:line="220" w:lineRule="exact"/>
              <w:ind w:right="113"/>
              <w:jc w:val="right"/>
              <w:rPr>
                <w:sz w:val="18"/>
              </w:rPr>
            </w:pPr>
            <w:r w:rsidRPr="00045330">
              <w:rPr>
                <w:sz w:val="18"/>
              </w:rPr>
              <w:t>19</w:t>
            </w:r>
            <w:r w:rsidR="00353C74">
              <w:rPr>
                <w:sz w:val="18"/>
              </w:rPr>
              <w:t>.</w:t>
            </w:r>
            <w:r w:rsidRPr="00045330">
              <w:rPr>
                <w:sz w:val="18"/>
              </w:rPr>
              <w:t>2</w:t>
            </w:r>
          </w:p>
        </w:tc>
        <w:tc>
          <w:tcPr>
            <w:tcW w:w="658" w:type="dxa"/>
            <w:shd w:val="clear" w:color="auto" w:fill="auto"/>
            <w:noWrap/>
            <w:vAlign w:val="bottom"/>
            <w:hideMark/>
          </w:tcPr>
          <w:p w:rsidR="004C70DA" w:rsidRPr="00045330" w:rsidRDefault="004C70DA" w:rsidP="00045330">
            <w:pPr>
              <w:suppressAutoHyphens w:val="0"/>
              <w:spacing w:before="40" w:after="40" w:line="220" w:lineRule="exact"/>
              <w:ind w:right="113"/>
              <w:jc w:val="right"/>
              <w:rPr>
                <w:sz w:val="18"/>
              </w:rPr>
            </w:pPr>
            <w:r w:rsidRPr="00045330">
              <w:rPr>
                <w:sz w:val="18"/>
              </w:rPr>
              <w:t>19</w:t>
            </w:r>
            <w:r w:rsidR="00353C74">
              <w:rPr>
                <w:sz w:val="18"/>
              </w:rPr>
              <w:t>.</w:t>
            </w:r>
            <w:r w:rsidRPr="00045330">
              <w:rPr>
                <w:sz w:val="18"/>
              </w:rPr>
              <w:t>8</w:t>
            </w:r>
          </w:p>
        </w:tc>
        <w:tc>
          <w:tcPr>
            <w:tcW w:w="689" w:type="dxa"/>
            <w:shd w:val="clear" w:color="auto" w:fill="auto"/>
            <w:noWrap/>
            <w:vAlign w:val="bottom"/>
            <w:hideMark/>
          </w:tcPr>
          <w:p w:rsidR="004C70DA" w:rsidRPr="00045330" w:rsidRDefault="004C70DA" w:rsidP="00045330">
            <w:pPr>
              <w:suppressAutoHyphens w:val="0"/>
              <w:spacing w:before="40" w:after="40" w:line="220" w:lineRule="exact"/>
              <w:ind w:right="113"/>
              <w:jc w:val="right"/>
              <w:rPr>
                <w:sz w:val="18"/>
              </w:rPr>
            </w:pPr>
            <w:r w:rsidRPr="00045330">
              <w:rPr>
                <w:sz w:val="18"/>
              </w:rPr>
              <w:t>19</w:t>
            </w:r>
            <w:r w:rsidR="00353C74">
              <w:rPr>
                <w:sz w:val="18"/>
              </w:rPr>
              <w:t>.</w:t>
            </w:r>
            <w:r w:rsidRPr="00045330">
              <w:rPr>
                <w:sz w:val="18"/>
              </w:rPr>
              <w:t>0</w:t>
            </w:r>
          </w:p>
        </w:tc>
        <w:tc>
          <w:tcPr>
            <w:tcW w:w="616" w:type="dxa"/>
            <w:shd w:val="clear" w:color="auto" w:fill="auto"/>
            <w:noWrap/>
            <w:vAlign w:val="bottom"/>
            <w:hideMark/>
          </w:tcPr>
          <w:p w:rsidR="004C70DA" w:rsidRPr="00045330" w:rsidRDefault="004C70DA" w:rsidP="00045330">
            <w:pPr>
              <w:suppressAutoHyphens w:val="0"/>
              <w:spacing w:before="40" w:after="40" w:line="220" w:lineRule="exact"/>
              <w:ind w:right="113"/>
              <w:jc w:val="right"/>
              <w:rPr>
                <w:sz w:val="18"/>
              </w:rPr>
            </w:pPr>
            <w:r w:rsidRPr="00045330">
              <w:rPr>
                <w:sz w:val="18"/>
              </w:rPr>
              <w:t>18</w:t>
            </w:r>
            <w:r w:rsidR="00353C74">
              <w:rPr>
                <w:sz w:val="18"/>
              </w:rPr>
              <w:t>.</w:t>
            </w:r>
            <w:r w:rsidRPr="00045330">
              <w:rPr>
                <w:sz w:val="18"/>
              </w:rPr>
              <w:t>7</w:t>
            </w:r>
          </w:p>
        </w:tc>
        <w:tc>
          <w:tcPr>
            <w:tcW w:w="467" w:type="dxa"/>
            <w:shd w:val="clear" w:color="auto" w:fill="auto"/>
            <w:noWrap/>
            <w:vAlign w:val="bottom"/>
            <w:hideMark/>
          </w:tcPr>
          <w:p w:rsidR="004C70DA" w:rsidRPr="00045330" w:rsidRDefault="004C70DA" w:rsidP="00045330">
            <w:pPr>
              <w:suppressAutoHyphens w:val="0"/>
              <w:spacing w:before="40" w:after="40" w:line="220" w:lineRule="exact"/>
              <w:ind w:right="113"/>
              <w:jc w:val="right"/>
              <w:rPr>
                <w:sz w:val="18"/>
              </w:rPr>
            </w:pPr>
            <w:r w:rsidRPr="00045330">
              <w:rPr>
                <w:sz w:val="18"/>
              </w:rPr>
              <w:t>L</w:t>
            </w:r>
          </w:p>
        </w:tc>
      </w:tr>
      <w:tr w:rsidR="00045330" w:rsidRPr="00045330" w:rsidTr="00045330">
        <w:tc>
          <w:tcPr>
            <w:tcW w:w="3038" w:type="dxa"/>
            <w:shd w:val="clear" w:color="auto" w:fill="auto"/>
            <w:noWrap/>
            <w:hideMark/>
          </w:tcPr>
          <w:p w:rsidR="004C70DA" w:rsidRPr="00045330" w:rsidRDefault="004C70DA" w:rsidP="00D60AA4">
            <w:pPr>
              <w:suppressAutoHyphens w:val="0"/>
              <w:spacing w:before="40" w:after="40" w:line="220" w:lineRule="exact"/>
              <w:ind w:right="113"/>
              <w:rPr>
                <w:sz w:val="18"/>
              </w:rPr>
            </w:pPr>
            <w:r w:rsidRPr="00045330">
              <w:rPr>
                <w:sz w:val="18"/>
              </w:rPr>
              <w:t xml:space="preserve">Category 10 (Social Protection) Final Consumption (P3) </w:t>
            </w:r>
            <w:r w:rsidR="00D60AA4">
              <w:rPr>
                <w:sz w:val="18"/>
              </w:rPr>
              <w:t>—</w:t>
            </w:r>
            <w:r w:rsidRPr="00045330">
              <w:rPr>
                <w:sz w:val="18"/>
              </w:rPr>
              <w:t xml:space="preserve"> %</w:t>
            </w:r>
          </w:p>
        </w:tc>
        <w:tc>
          <w:tcPr>
            <w:tcW w:w="616" w:type="dxa"/>
            <w:shd w:val="clear" w:color="auto" w:fill="auto"/>
            <w:noWrap/>
            <w:vAlign w:val="bottom"/>
            <w:hideMark/>
          </w:tcPr>
          <w:p w:rsidR="004C70DA" w:rsidRPr="00045330" w:rsidRDefault="004C70DA" w:rsidP="00045330">
            <w:pPr>
              <w:suppressAutoHyphens w:val="0"/>
              <w:spacing w:before="40" w:after="40" w:line="220" w:lineRule="exact"/>
              <w:ind w:right="113"/>
              <w:jc w:val="right"/>
              <w:rPr>
                <w:sz w:val="18"/>
              </w:rPr>
            </w:pPr>
            <w:r w:rsidRPr="00045330">
              <w:rPr>
                <w:sz w:val="18"/>
              </w:rPr>
              <w:t>3</w:t>
            </w:r>
            <w:r w:rsidR="00353C74">
              <w:rPr>
                <w:sz w:val="18"/>
              </w:rPr>
              <w:t>.</w:t>
            </w:r>
            <w:r w:rsidRPr="00045330">
              <w:rPr>
                <w:sz w:val="18"/>
              </w:rPr>
              <w:t>3</w:t>
            </w:r>
          </w:p>
        </w:tc>
        <w:tc>
          <w:tcPr>
            <w:tcW w:w="630" w:type="dxa"/>
            <w:shd w:val="clear" w:color="auto" w:fill="auto"/>
            <w:noWrap/>
            <w:vAlign w:val="bottom"/>
            <w:hideMark/>
          </w:tcPr>
          <w:p w:rsidR="004C70DA" w:rsidRPr="00045330" w:rsidRDefault="004C70DA" w:rsidP="00045330">
            <w:pPr>
              <w:suppressAutoHyphens w:val="0"/>
              <w:spacing w:before="40" w:after="40" w:line="220" w:lineRule="exact"/>
              <w:ind w:right="113"/>
              <w:jc w:val="right"/>
              <w:rPr>
                <w:sz w:val="18"/>
              </w:rPr>
            </w:pPr>
            <w:r w:rsidRPr="00045330">
              <w:rPr>
                <w:sz w:val="18"/>
              </w:rPr>
              <w:t>2</w:t>
            </w:r>
            <w:r w:rsidR="00353C74">
              <w:rPr>
                <w:sz w:val="18"/>
              </w:rPr>
              <w:t>.</w:t>
            </w:r>
            <w:r w:rsidRPr="00045330">
              <w:rPr>
                <w:sz w:val="18"/>
              </w:rPr>
              <w:t>4</w:t>
            </w:r>
          </w:p>
        </w:tc>
        <w:tc>
          <w:tcPr>
            <w:tcW w:w="657" w:type="dxa"/>
            <w:shd w:val="clear" w:color="auto" w:fill="auto"/>
            <w:noWrap/>
            <w:vAlign w:val="bottom"/>
            <w:hideMark/>
          </w:tcPr>
          <w:p w:rsidR="004C70DA" w:rsidRPr="00045330" w:rsidRDefault="004C70DA" w:rsidP="00045330">
            <w:pPr>
              <w:suppressAutoHyphens w:val="0"/>
              <w:spacing w:before="40" w:after="40" w:line="220" w:lineRule="exact"/>
              <w:ind w:right="113"/>
              <w:jc w:val="right"/>
              <w:rPr>
                <w:sz w:val="18"/>
              </w:rPr>
            </w:pPr>
            <w:r w:rsidRPr="00045330">
              <w:rPr>
                <w:sz w:val="18"/>
              </w:rPr>
              <w:t>1</w:t>
            </w:r>
            <w:r w:rsidR="00353C74">
              <w:rPr>
                <w:sz w:val="18"/>
              </w:rPr>
              <w:t>.</w:t>
            </w:r>
            <w:r w:rsidRPr="00045330">
              <w:rPr>
                <w:sz w:val="18"/>
              </w:rPr>
              <w:t>6</w:t>
            </w:r>
          </w:p>
        </w:tc>
        <w:tc>
          <w:tcPr>
            <w:tcW w:w="658" w:type="dxa"/>
            <w:shd w:val="clear" w:color="auto" w:fill="auto"/>
            <w:noWrap/>
            <w:vAlign w:val="bottom"/>
            <w:hideMark/>
          </w:tcPr>
          <w:p w:rsidR="004C70DA" w:rsidRPr="00045330" w:rsidRDefault="004C70DA" w:rsidP="00045330">
            <w:pPr>
              <w:suppressAutoHyphens w:val="0"/>
              <w:spacing w:before="40" w:after="40" w:line="220" w:lineRule="exact"/>
              <w:ind w:right="113"/>
              <w:jc w:val="right"/>
              <w:rPr>
                <w:sz w:val="18"/>
              </w:rPr>
            </w:pPr>
            <w:r w:rsidRPr="00045330">
              <w:rPr>
                <w:sz w:val="18"/>
              </w:rPr>
              <w:t>1</w:t>
            </w:r>
            <w:r w:rsidR="00353C74">
              <w:rPr>
                <w:sz w:val="18"/>
              </w:rPr>
              <w:t>.</w:t>
            </w:r>
            <w:r w:rsidRPr="00045330">
              <w:rPr>
                <w:sz w:val="18"/>
              </w:rPr>
              <w:t>2</w:t>
            </w:r>
          </w:p>
        </w:tc>
        <w:tc>
          <w:tcPr>
            <w:tcW w:w="689" w:type="dxa"/>
            <w:shd w:val="clear" w:color="auto" w:fill="auto"/>
            <w:noWrap/>
            <w:vAlign w:val="bottom"/>
            <w:hideMark/>
          </w:tcPr>
          <w:p w:rsidR="004C70DA" w:rsidRPr="00045330" w:rsidRDefault="004C70DA" w:rsidP="00045330">
            <w:pPr>
              <w:suppressAutoHyphens w:val="0"/>
              <w:spacing w:before="40" w:after="40" w:line="220" w:lineRule="exact"/>
              <w:ind w:right="113"/>
              <w:jc w:val="right"/>
              <w:rPr>
                <w:sz w:val="18"/>
              </w:rPr>
            </w:pPr>
            <w:r w:rsidRPr="00045330">
              <w:rPr>
                <w:sz w:val="18"/>
              </w:rPr>
              <w:t>1</w:t>
            </w:r>
            <w:r w:rsidR="00353C74">
              <w:rPr>
                <w:sz w:val="18"/>
              </w:rPr>
              <w:t>.</w:t>
            </w:r>
            <w:r w:rsidRPr="00045330">
              <w:rPr>
                <w:sz w:val="18"/>
              </w:rPr>
              <w:t>3</w:t>
            </w:r>
          </w:p>
        </w:tc>
        <w:tc>
          <w:tcPr>
            <w:tcW w:w="616" w:type="dxa"/>
            <w:shd w:val="clear" w:color="auto" w:fill="auto"/>
            <w:noWrap/>
            <w:vAlign w:val="bottom"/>
            <w:hideMark/>
          </w:tcPr>
          <w:p w:rsidR="004C70DA" w:rsidRPr="00045330" w:rsidRDefault="004C70DA" w:rsidP="00045330">
            <w:pPr>
              <w:suppressAutoHyphens w:val="0"/>
              <w:spacing w:before="40" w:after="40" w:line="220" w:lineRule="exact"/>
              <w:ind w:right="113"/>
              <w:jc w:val="right"/>
              <w:rPr>
                <w:sz w:val="18"/>
              </w:rPr>
            </w:pPr>
            <w:r w:rsidRPr="00045330">
              <w:rPr>
                <w:sz w:val="18"/>
              </w:rPr>
              <w:t>1</w:t>
            </w:r>
            <w:r w:rsidR="00353C74">
              <w:rPr>
                <w:sz w:val="18"/>
              </w:rPr>
              <w:t>.</w:t>
            </w:r>
            <w:r w:rsidRPr="00045330">
              <w:rPr>
                <w:sz w:val="18"/>
              </w:rPr>
              <w:t>3</w:t>
            </w:r>
          </w:p>
        </w:tc>
        <w:tc>
          <w:tcPr>
            <w:tcW w:w="467" w:type="dxa"/>
            <w:shd w:val="clear" w:color="auto" w:fill="auto"/>
            <w:noWrap/>
            <w:vAlign w:val="bottom"/>
            <w:hideMark/>
          </w:tcPr>
          <w:p w:rsidR="004C70DA" w:rsidRPr="00045330" w:rsidRDefault="004C70DA" w:rsidP="00045330">
            <w:pPr>
              <w:suppressAutoHyphens w:val="0"/>
              <w:spacing w:before="40" w:after="40" w:line="220" w:lineRule="exact"/>
              <w:ind w:right="113"/>
              <w:jc w:val="right"/>
              <w:rPr>
                <w:sz w:val="18"/>
              </w:rPr>
            </w:pPr>
            <w:r w:rsidRPr="00045330">
              <w:rPr>
                <w:sz w:val="18"/>
              </w:rPr>
              <w:t>L</w:t>
            </w:r>
          </w:p>
        </w:tc>
      </w:tr>
    </w:tbl>
    <w:p w:rsidR="00F233AB" w:rsidRPr="00045330" w:rsidRDefault="00F233AB" w:rsidP="00045330">
      <w:pPr>
        <w:spacing w:before="120"/>
        <w:ind w:left="1134" w:right="1134" w:firstLine="170"/>
        <w:rPr>
          <w:i/>
          <w:iCs/>
          <w:sz w:val="18"/>
        </w:rPr>
      </w:pPr>
      <w:r w:rsidRPr="00045330">
        <w:rPr>
          <w:i/>
          <w:iCs/>
          <w:sz w:val="18"/>
        </w:rPr>
        <w:t>Notes</w:t>
      </w:r>
    </w:p>
    <w:p w:rsidR="00F233AB" w:rsidRPr="00045330" w:rsidRDefault="00F233AB" w:rsidP="00045330">
      <w:pPr>
        <w:ind w:left="1134" w:right="1134" w:firstLine="170"/>
        <w:rPr>
          <w:sz w:val="18"/>
        </w:rPr>
      </w:pPr>
      <w:r w:rsidRPr="002360B6">
        <w:rPr>
          <w:i/>
          <w:iCs/>
          <w:sz w:val="18"/>
          <w:vertAlign w:val="superscript"/>
        </w:rPr>
        <w:t>1</w:t>
      </w:r>
      <w:r w:rsidR="005B2A41" w:rsidRPr="00045330">
        <w:rPr>
          <w:sz w:val="18"/>
        </w:rPr>
        <w:t xml:space="preserve"> </w:t>
      </w:r>
      <w:r w:rsidR="002360B6">
        <w:rPr>
          <w:sz w:val="18"/>
        </w:rPr>
        <w:t xml:space="preserve"> </w:t>
      </w:r>
      <w:r w:rsidRPr="00045330">
        <w:rPr>
          <w:sz w:val="18"/>
        </w:rPr>
        <w:t>Gross</w:t>
      </w:r>
      <w:r w:rsidR="005B2A41" w:rsidRPr="00045330">
        <w:rPr>
          <w:sz w:val="18"/>
        </w:rPr>
        <w:t xml:space="preserve"> </w:t>
      </w:r>
      <w:r w:rsidRPr="00045330">
        <w:rPr>
          <w:sz w:val="18"/>
        </w:rPr>
        <w:t>National</w:t>
      </w:r>
      <w:r w:rsidR="005B2A41" w:rsidRPr="00045330">
        <w:rPr>
          <w:sz w:val="18"/>
        </w:rPr>
        <w:t xml:space="preserve"> </w:t>
      </w:r>
      <w:r w:rsidRPr="00045330">
        <w:rPr>
          <w:sz w:val="18"/>
        </w:rPr>
        <w:t>Income</w:t>
      </w:r>
      <w:r w:rsidR="005B2A41" w:rsidRPr="00045330">
        <w:rPr>
          <w:sz w:val="18"/>
        </w:rPr>
        <w:t xml:space="preserve"> </w:t>
      </w:r>
      <w:r w:rsidRPr="00045330">
        <w:rPr>
          <w:sz w:val="18"/>
        </w:rPr>
        <w:t>per</w:t>
      </w:r>
      <w:r w:rsidR="005B2A41" w:rsidRPr="00045330">
        <w:rPr>
          <w:sz w:val="18"/>
        </w:rPr>
        <w:t xml:space="preserve"> </w:t>
      </w:r>
      <w:r w:rsidRPr="00045330">
        <w:rPr>
          <w:sz w:val="18"/>
        </w:rPr>
        <w:t>capita</w:t>
      </w:r>
      <w:r w:rsidR="002360B6">
        <w:rPr>
          <w:sz w:val="18"/>
        </w:rPr>
        <w:t>.</w:t>
      </w:r>
    </w:p>
    <w:p w:rsidR="00F233AB" w:rsidRPr="00045330" w:rsidRDefault="00F233AB" w:rsidP="00045330">
      <w:pPr>
        <w:ind w:left="1134" w:right="1134" w:firstLine="170"/>
        <w:rPr>
          <w:sz w:val="18"/>
        </w:rPr>
      </w:pPr>
      <w:r w:rsidRPr="002360B6">
        <w:rPr>
          <w:i/>
          <w:iCs/>
          <w:sz w:val="18"/>
          <w:vertAlign w:val="superscript"/>
        </w:rPr>
        <w:t>2</w:t>
      </w:r>
      <w:r w:rsidR="005B2A41" w:rsidRPr="00045330">
        <w:rPr>
          <w:sz w:val="18"/>
        </w:rPr>
        <w:t xml:space="preserve"> </w:t>
      </w:r>
      <w:r w:rsidR="002360B6">
        <w:rPr>
          <w:sz w:val="18"/>
        </w:rPr>
        <w:t xml:space="preserve"> </w:t>
      </w:r>
      <w:r w:rsidRPr="00045330">
        <w:rPr>
          <w:sz w:val="18"/>
        </w:rPr>
        <w:t>For</w:t>
      </w:r>
      <w:r w:rsidR="005B2A41" w:rsidRPr="00045330">
        <w:rPr>
          <w:sz w:val="18"/>
        </w:rPr>
        <w:t xml:space="preserve"> </w:t>
      </w:r>
      <w:r w:rsidRPr="00045330">
        <w:rPr>
          <w:sz w:val="18"/>
        </w:rPr>
        <w:t>years</w:t>
      </w:r>
      <w:r w:rsidR="005B2A41" w:rsidRPr="00045330">
        <w:rPr>
          <w:sz w:val="18"/>
        </w:rPr>
        <w:t xml:space="preserve"> </w:t>
      </w:r>
      <w:r w:rsidRPr="00045330">
        <w:rPr>
          <w:sz w:val="18"/>
        </w:rPr>
        <w:t>1995</w:t>
      </w:r>
      <w:r w:rsidR="00A6566E">
        <w:rPr>
          <w:sz w:val="18"/>
        </w:rPr>
        <w:t>–</w:t>
      </w:r>
      <w:r w:rsidRPr="00045330">
        <w:rPr>
          <w:sz w:val="18"/>
        </w:rPr>
        <w:t>2014,</w:t>
      </w:r>
      <w:r w:rsidR="005B2A41" w:rsidRPr="00045330">
        <w:rPr>
          <w:sz w:val="18"/>
        </w:rPr>
        <w:t xml:space="preserve"> </w:t>
      </w:r>
      <w:r w:rsidRPr="00045330">
        <w:rPr>
          <w:sz w:val="18"/>
        </w:rPr>
        <w:t>total</w:t>
      </w:r>
      <w:r w:rsidR="005B2A41" w:rsidRPr="00045330">
        <w:rPr>
          <w:sz w:val="18"/>
        </w:rPr>
        <w:t xml:space="preserve"> </w:t>
      </w:r>
      <w:r w:rsidRPr="00045330">
        <w:rPr>
          <w:sz w:val="18"/>
        </w:rPr>
        <w:t>population</w:t>
      </w:r>
      <w:r w:rsidR="005B2A41" w:rsidRPr="00045330">
        <w:rPr>
          <w:sz w:val="18"/>
        </w:rPr>
        <w:t xml:space="preserve"> </w:t>
      </w:r>
      <w:r w:rsidRPr="00045330">
        <w:rPr>
          <w:sz w:val="18"/>
        </w:rPr>
        <w:t>data</w:t>
      </w:r>
      <w:r w:rsidR="005B2A41" w:rsidRPr="00045330">
        <w:rPr>
          <w:sz w:val="18"/>
        </w:rPr>
        <w:t xml:space="preserve"> </w:t>
      </w:r>
      <w:r w:rsidRPr="00045330">
        <w:rPr>
          <w:sz w:val="18"/>
        </w:rPr>
        <w:t>are</w:t>
      </w:r>
      <w:r w:rsidR="005B2A41" w:rsidRPr="00045330">
        <w:rPr>
          <w:sz w:val="18"/>
        </w:rPr>
        <w:t xml:space="preserve"> </w:t>
      </w:r>
      <w:r w:rsidRPr="00045330">
        <w:rPr>
          <w:sz w:val="18"/>
        </w:rPr>
        <w:t>revised</w:t>
      </w:r>
      <w:r w:rsidR="005B2A41" w:rsidRPr="00045330">
        <w:rPr>
          <w:sz w:val="18"/>
        </w:rPr>
        <w:t xml:space="preserve"> </w:t>
      </w:r>
      <w:r w:rsidRPr="00045330">
        <w:rPr>
          <w:sz w:val="18"/>
        </w:rPr>
        <w:t>according</w:t>
      </w:r>
      <w:r w:rsidR="005B2A41" w:rsidRPr="00045330">
        <w:rPr>
          <w:sz w:val="18"/>
        </w:rPr>
        <w:t xml:space="preserve"> </w:t>
      </w:r>
      <w:r w:rsidRPr="00045330">
        <w:rPr>
          <w:sz w:val="18"/>
        </w:rPr>
        <w:t>to</w:t>
      </w:r>
      <w:r w:rsidR="005B2A41" w:rsidRPr="00045330">
        <w:rPr>
          <w:sz w:val="18"/>
        </w:rPr>
        <w:t xml:space="preserve"> </w:t>
      </w:r>
      <w:r w:rsidRPr="00045330">
        <w:rPr>
          <w:sz w:val="18"/>
        </w:rPr>
        <w:t>the</w:t>
      </w:r>
      <w:r w:rsidR="005B2A41" w:rsidRPr="00045330">
        <w:rPr>
          <w:sz w:val="18"/>
        </w:rPr>
        <w:t xml:space="preserve"> </w:t>
      </w:r>
      <w:r w:rsidRPr="00045330">
        <w:rPr>
          <w:sz w:val="18"/>
        </w:rPr>
        <w:t>Census</w:t>
      </w:r>
      <w:r w:rsidR="005B2A41" w:rsidRPr="00045330">
        <w:rPr>
          <w:sz w:val="18"/>
        </w:rPr>
        <w:t xml:space="preserve"> </w:t>
      </w:r>
      <w:r w:rsidRPr="00045330">
        <w:rPr>
          <w:sz w:val="18"/>
        </w:rPr>
        <w:t>2011</w:t>
      </w:r>
      <w:r w:rsidR="005B2A41" w:rsidRPr="00045330">
        <w:rPr>
          <w:sz w:val="18"/>
        </w:rPr>
        <w:t xml:space="preserve"> </w:t>
      </w:r>
      <w:r w:rsidRPr="00045330">
        <w:rPr>
          <w:sz w:val="18"/>
        </w:rPr>
        <w:t>and</w:t>
      </w:r>
      <w:r w:rsidR="005B2A41" w:rsidRPr="00045330">
        <w:rPr>
          <w:sz w:val="18"/>
        </w:rPr>
        <w:t xml:space="preserve"> </w:t>
      </w:r>
      <w:r w:rsidRPr="00045330">
        <w:rPr>
          <w:sz w:val="18"/>
        </w:rPr>
        <w:t>refer</w:t>
      </w:r>
      <w:r w:rsidR="005B2A41" w:rsidRPr="00045330">
        <w:rPr>
          <w:sz w:val="18"/>
        </w:rPr>
        <w:t xml:space="preserve"> </w:t>
      </w:r>
      <w:r w:rsidRPr="00045330">
        <w:rPr>
          <w:sz w:val="18"/>
        </w:rPr>
        <w:t>to</w:t>
      </w:r>
      <w:r w:rsidR="005B2A41" w:rsidRPr="00045330">
        <w:rPr>
          <w:sz w:val="18"/>
        </w:rPr>
        <w:t xml:space="preserve"> </w:t>
      </w:r>
      <w:r w:rsidRPr="00045330">
        <w:rPr>
          <w:sz w:val="18"/>
        </w:rPr>
        <w:t>the</w:t>
      </w:r>
      <w:r w:rsidR="005B2A41" w:rsidRPr="00045330">
        <w:rPr>
          <w:sz w:val="18"/>
        </w:rPr>
        <w:t xml:space="preserve"> </w:t>
      </w:r>
      <w:r w:rsidRPr="00045330">
        <w:rPr>
          <w:sz w:val="18"/>
        </w:rPr>
        <w:t>middle</w:t>
      </w:r>
      <w:r w:rsidR="005B2A41" w:rsidRPr="00045330">
        <w:rPr>
          <w:sz w:val="18"/>
        </w:rPr>
        <w:t xml:space="preserve"> </w:t>
      </w:r>
      <w:r w:rsidRPr="00045330">
        <w:rPr>
          <w:sz w:val="18"/>
        </w:rPr>
        <w:t>of</w:t>
      </w:r>
      <w:r w:rsidR="005B2A41" w:rsidRPr="00045330">
        <w:rPr>
          <w:sz w:val="18"/>
        </w:rPr>
        <w:t xml:space="preserve"> </w:t>
      </w:r>
      <w:r w:rsidRPr="00045330">
        <w:rPr>
          <w:sz w:val="18"/>
        </w:rPr>
        <w:t>the</w:t>
      </w:r>
      <w:r w:rsidR="005B2A41" w:rsidRPr="00045330">
        <w:rPr>
          <w:sz w:val="18"/>
        </w:rPr>
        <w:t xml:space="preserve"> </w:t>
      </w:r>
      <w:r w:rsidRPr="00045330">
        <w:rPr>
          <w:sz w:val="18"/>
        </w:rPr>
        <w:t>year.</w:t>
      </w:r>
      <w:r w:rsidR="005B2A41" w:rsidRPr="00045330">
        <w:rPr>
          <w:sz w:val="18"/>
        </w:rPr>
        <w:t xml:space="preserve"> </w:t>
      </w:r>
      <w:r w:rsidRPr="00045330">
        <w:rPr>
          <w:sz w:val="18"/>
        </w:rPr>
        <w:t>For</w:t>
      </w:r>
      <w:r w:rsidR="005B2A41" w:rsidRPr="00045330">
        <w:rPr>
          <w:sz w:val="18"/>
        </w:rPr>
        <w:t xml:space="preserve"> </w:t>
      </w:r>
      <w:r w:rsidRPr="00045330">
        <w:rPr>
          <w:sz w:val="18"/>
        </w:rPr>
        <w:t>year</w:t>
      </w:r>
      <w:r w:rsidR="005B2A41" w:rsidRPr="00045330">
        <w:rPr>
          <w:sz w:val="18"/>
        </w:rPr>
        <w:t xml:space="preserve"> </w:t>
      </w:r>
      <w:r w:rsidRPr="00045330">
        <w:rPr>
          <w:sz w:val="18"/>
        </w:rPr>
        <w:t>2015,</w:t>
      </w:r>
      <w:r w:rsidR="005B2A41" w:rsidRPr="00045330">
        <w:rPr>
          <w:sz w:val="18"/>
        </w:rPr>
        <w:t xml:space="preserve"> </w:t>
      </w:r>
      <w:r w:rsidRPr="00045330">
        <w:rPr>
          <w:sz w:val="18"/>
        </w:rPr>
        <w:t>total</w:t>
      </w:r>
      <w:r w:rsidR="005B2A41" w:rsidRPr="00045330">
        <w:rPr>
          <w:sz w:val="18"/>
        </w:rPr>
        <w:t xml:space="preserve"> </w:t>
      </w:r>
      <w:r w:rsidRPr="00045330">
        <w:rPr>
          <w:sz w:val="18"/>
        </w:rPr>
        <w:t>population</w:t>
      </w:r>
      <w:r w:rsidR="005B2A41" w:rsidRPr="00045330">
        <w:rPr>
          <w:sz w:val="18"/>
        </w:rPr>
        <w:t xml:space="preserve"> </w:t>
      </w:r>
      <w:r w:rsidRPr="00045330">
        <w:rPr>
          <w:sz w:val="18"/>
        </w:rPr>
        <w:t>data</w:t>
      </w:r>
      <w:r w:rsidR="005B2A41" w:rsidRPr="00045330">
        <w:rPr>
          <w:sz w:val="18"/>
        </w:rPr>
        <w:t xml:space="preserve"> </w:t>
      </w:r>
      <w:r w:rsidRPr="00045330">
        <w:rPr>
          <w:sz w:val="18"/>
        </w:rPr>
        <w:t>are</w:t>
      </w:r>
      <w:r w:rsidR="005B2A41" w:rsidRPr="00045330">
        <w:rPr>
          <w:sz w:val="18"/>
        </w:rPr>
        <w:t xml:space="preserve"> </w:t>
      </w:r>
      <w:r w:rsidRPr="00045330">
        <w:rPr>
          <w:sz w:val="18"/>
        </w:rPr>
        <w:t>as</w:t>
      </w:r>
      <w:r w:rsidR="005B2A41" w:rsidRPr="00045330">
        <w:rPr>
          <w:sz w:val="18"/>
        </w:rPr>
        <w:t xml:space="preserve"> </w:t>
      </w:r>
      <w:r w:rsidRPr="00045330">
        <w:rPr>
          <w:sz w:val="18"/>
        </w:rPr>
        <w:t>of</w:t>
      </w:r>
      <w:r w:rsidR="005B2A41" w:rsidRPr="00045330">
        <w:rPr>
          <w:sz w:val="18"/>
        </w:rPr>
        <w:t xml:space="preserve"> </w:t>
      </w:r>
      <w:r w:rsidRPr="00045330">
        <w:rPr>
          <w:sz w:val="18"/>
        </w:rPr>
        <w:t>1/1/2015</w:t>
      </w:r>
      <w:r w:rsidR="002360B6">
        <w:rPr>
          <w:sz w:val="18"/>
        </w:rPr>
        <w:t>.</w:t>
      </w:r>
    </w:p>
    <w:p w:rsidR="00F233AB" w:rsidRPr="00045330" w:rsidRDefault="00F233AB" w:rsidP="00045330">
      <w:pPr>
        <w:ind w:left="1134" w:right="1134" w:firstLine="170"/>
        <w:rPr>
          <w:sz w:val="18"/>
        </w:rPr>
      </w:pPr>
      <w:r w:rsidRPr="002360B6">
        <w:rPr>
          <w:i/>
          <w:iCs/>
          <w:sz w:val="18"/>
          <w:vertAlign w:val="superscript"/>
        </w:rPr>
        <w:t>3</w:t>
      </w:r>
      <w:r w:rsidR="005B2A41" w:rsidRPr="00045330">
        <w:rPr>
          <w:sz w:val="18"/>
        </w:rPr>
        <w:t xml:space="preserve"> </w:t>
      </w:r>
      <w:r w:rsidR="002360B6">
        <w:rPr>
          <w:sz w:val="18"/>
        </w:rPr>
        <w:t xml:space="preserve"> </w:t>
      </w:r>
      <w:r w:rsidRPr="00045330">
        <w:rPr>
          <w:sz w:val="18"/>
        </w:rPr>
        <w:t>Domestic</w:t>
      </w:r>
      <w:r w:rsidR="005B2A41" w:rsidRPr="00045330">
        <w:rPr>
          <w:sz w:val="18"/>
        </w:rPr>
        <w:t xml:space="preserve"> </w:t>
      </w:r>
      <w:r w:rsidRPr="00045330">
        <w:rPr>
          <w:sz w:val="18"/>
        </w:rPr>
        <w:t>final</w:t>
      </w:r>
      <w:r w:rsidR="005B2A41" w:rsidRPr="00045330">
        <w:rPr>
          <w:sz w:val="18"/>
        </w:rPr>
        <w:t xml:space="preserve"> </w:t>
      </w:r>
      <w:r w:rsidRPr="00045330">
        <w:rPr>
          <w:sz w:val="18"/>
        </w:rPr>
        <w:t>consumption</w:t>
      </w:r>
      <w:r w:rsidR="005B2A41" w:rsidRPr="00045330">
        <w:rPr>
          <w:sz w:val="18"/>
        </w:rPr>
        <w:t xml:space="preserve"> </w:t>
      </w:r>
      <w:r w:rsidRPr="00045330">
        <w:rPr>
          <w:sz w:val="18"/>
        </w:rPr>
        <w:t>expenditure</w:t>
      </w:r>
      <w:r w:rsidR="005B2A41" w:rsidRPr="00045330">
        <w:rPr>
          <w:sz w:val="18"/>
        </w:rPr>
        <w:t xml:space="preserve"> </w:t>
      </w:r>
      <w:r w:rsidRPr="00045330">
        <w:rPr>
          <w:sz w:val="18"/>
        </w:rPr>
        <w:t>of</w:t>
      </w:r>
      <w:r w:rsidR="005B2A41" w:rsidRPr="00045330">
        <w:rPr>
          <w:sz w:val="18"/>
        </w:rPr>
        <w:t xml:space="preserve"> </w:t>
      </w:r>
      <w:r w:rsidRPr="00045330">
        <w:rPr>
          <w:sz w:val="18"/>
        </w:rPr>
        <w:t>households</w:t>
      </w:r>
      <w:r w:rsidR="005B2A41" w:rsidRPr="00045330">
        <w:rPr>
          <w:sz w:val="18"/>
        </w:rPr>
        <w:t xml:space="preserve"> </w:t>
      </w:r>
      <w:r w:rsidRPr="00045330">
        <w:rPr>
          <w:sz w:val="18"/>
        </w:rPr>
        <w:t>includes</w:t>
      </w:r>
      <w:r w:rsidR="005B2A41" w:rsidRPr="00045330">
        <w:rPr>
          <w:sz w:val="18"/>
        </w:rPr>
        <w:t xml:space="preserve"> </w:t>
      </w:r>
      <w:r w:rsidRPr="00045330">
        <w:rPr>
          <w:sz w:val="18"/>
        </w:rPr>
        <w:t>final</w:t>
      </w:r>
      <w:r w:rsidR="005B2A41" w:rsidRPr="00045330">
        <w:rPr>
          <w:sz w:val="18"/>
        </w:rPr>
        <w:t xml:space="preserve"> </w:t>
      </w:r>
      <w:r w:rsidRPr="00045330">
        <w:rPr>
          <w:sz w:val="18"/>
        </w:rPr>
        <w:t>consumption</w:t>
      </w:r>
      <w:r w:rsidR="005B2A41" w:rsidRPr="00045330">
        <w:rPr>
          <w:sz w:val="18"/>
        </w:rPr>
        <w:t xml:space="preserve"> </w:t>
      </w:r>
      <w:r w:rsidRPr="00045330">
        <w:rPr>
          <w:sz w:val="18"/>
        </w:rPr>
        <w:t>expenditure</w:t>
      </w:r>
      <w:r w:rsidR="005B2A41" w:rsidRPr="00045330">
        <w:rPr>
          <w:sz w:val="18"/>
        </w:rPr>
        <w:t xml:space="preserve"> </w:t>
      </w:r>
      <w:r w:rsidRPr="00045330">
        <w:rPr>
          <w:sz w:val="18"/>
        </w:rPr>
        <w:t>of</w:t>
      </w:r>
      <w:r w:rsidR="005B2A41" w:rsidRPr="00045330">
        <w:rPr>
          <w:sz w:val="18"/>
        </w:rPr>
        <w:t xml:space="preserve"> </w:t>
      </w:r>
      <w:r w:rsidRPr="00045330">
        <w:rPr>
          <w:sz w:val="18"/>
        </w:rPr>
        <w:t>non-resident</w:t>
      </w:r>
      <w:r w:rsidR="005B2A41" w:rsidRPr="00045330">
        <w:rPr>
          <w:sz w:val="18"/>
        </w:rPr>
        <w:t xml:space="preserve"> </w:t>
      </w:r>
      <w:r w:rsidRPr="00045330">
        <w:rPr>
          <w:sz w:val="18"/>
        </w:rPr>
        <w:t>households</w:t>
      </w:r>
      <w:r w:rsidR="005B2A41" w:rsidRPr="00045330">
        <w:rPr>
          <w:sz w:val="18"/>
        </w:rPr>
        <w:t xml:space="preserve"> </w:t>
      </w:r>
      <w:r w:rsidRPr="00045330">
        <w:rPr>
          <w:sz w:val="18"/>
        </w:rPr>
        <w:t>in</w:t>
      </w:r>
      <w:r w:rsidR="005B2A41" w:rsidRPr="00045330">
        <w:rPr>
          <w:sz w:val="18"/>
        </w:rPr>
        <w:t xml:space="preserve"> </w:t>
      </w:r>
      <w:r w:rsidRPr="00045330">
        <w:rPr>
          <w:sz w:val="18"/>
        </w:rPr>
        <w:t>the</w:t>
      </w:r>
      <w:r w:rsidR="005B2A41" w:rsidRPr="00045330">
        <w:rPr>
          <w:sz w:val="18"/>
        </w:rPr>
        <w:t xml:space="preserve"> </w:t>
      </w:r>
      <w:r w:rsidRPr="00045330">
        <w:rPr>
          <w:sz w:val="18"/>
        </w:rPr>
        <w:t>economic</w:t>
      </w:r>
      <w:r w:rsidR="005B2A41" w:rsidRPr="00045330">
        <w:rPr>
          <w:sz w:val="18"/>
        </w:rPr>
        <w:t xml:space="preserve"> </w:t>
      </w:r>
      <w:r w:rsidRPr="00045330">
        <w:rPr>
          <w:sz w:val="18"/>
        </w:rPr>
        <w:t>territory</w:t>
      </w:r>
      <w:r w:rsidR="005B2A41" w:rsidRPr="00045330">
        <w:rPr>
          <w:sz w:val="18"/>
        </w:rPr>
        <w:t xml:space="preserve"> </w:t>
      </w:r>
      <w:r w:rsidRPr="00045330">
        <w:rPr>
          <w:sz w:val="18"/>
        </w:rPr>
        <w:t>and</w:t>
      </w:r>
      <w:r w:rsidR="005B2A41" w:rsidRPr="00045330">
        <w:rPr>
          <w:sz w:val="18"/>
        </w:rPr>
        <w:t xml:space="preserve"> </w:t>
      </w:r>
      <w:r w:rsidRPr="00045330">
        <w:rPr>
          <w:sz w:val="18"/>
        </w:rPr>
        <w:t>excludes</w:t>
      </w:r>
      <w:r w:rsidR="005B2A41" w:rsidRPr="00045330">
        <w:rPr>
          <w:sz w:val="18"/>
        </w:rPr>
        <w:t xml:space="preserve"> </w:t>
      </w:r>
      <w:r w:rsidRPr="00045330">
        <w:rPr>
          <w:sz w:val="18"/>
        </w:rPr>
        <w:t>final</w:t>
      </w:r>
      <w:r w:rsidR="005B2A41" w:rsidRPr="00045330">
        <w:rPr>
          <w:sz w:val="18"/>
        </w:rPr>
        <w:t xml:space="preserve"> </w:t>
      </w:r>
      <w:r w:rsidRPr="00045330">
        <w:rPr>
          <w:sz w:val="18"/>
        </w:rPr>
        <w:t>consumption</w:t>
      </w:r>
      <w:r w:rsidR="005B2A41" w:rsidRPr="00045330">
        <w:rPr>
          <w:sz w:val="18"/>
        </w:rPr>
        <w:t xml:space="preserve"> </w:t>
      </w:r>
      <w:r w:rsidRPr="00045330">
        <w:rPr>
          <w:sz w:val="18"/>
        </w:rPr>
        <w:t>expenditure</w:t>
      </w:r>
      <w:r w:rsidR="005B2A41" w:rsidRPr="00045330">
        <w:rPr>
          <w:sz w:val="18"/>
        </w:rPr>
        <w:t xml:space="preserve"> </w:t>
      </w:r>
      <w:r w:rsidRPr="00045330">
        <w:rPr>
          <w:sz w:val="18"/>
        </w:rPr>
        <w:t>of</w:t>
      </w:r>
      <w:r w:rsidR="005B2A41" w:rsidRPr="00045330">
        <w:rPr>
          <w:sz w:val="18"/>
        </w:rPr>
        <w:t xml:space="preserve"> </w:t>
      </w:r>
      <w:r w:rsidRPr="00045330">
        <w:rPr>
          <w:sz w:val="18"/>
        </w:rPr>
        <w:t>resident</w:t>
      </w:r>
      <w:r w:rsidR="005B2A41" w:rsidRPr="00045330">
        <w:rPr>
          <w:sz w:val="18"/>
        </w:rPr>
        <w:t xml:space="preserve"> </w:t>
      </w:r>
      <w:r w:rsidRPr="00045330">
        <w:rPr>
          <w:sz w:val="18"/>
        </w:rPr>
        <w:t>households</w:t>
      </w:r>
      <w:r w:rsidR="005B2A41" w:rsidRPr="00045330">
        <w:rPr>
          <w:sz w:val="18"/>
        </w:rPr>
        <w:t xml:space="preserve"> </w:t>
      </w:r>
      <w:r w:rsidRPr="00045330">
        <w:rPr>
          <w:sz w:val="18"/>
        </w:rPr>
        <w:t>in</w:t>
      </w:r>
      <w:r w:rsidR="005B2A41" w:rsidRPr="00045330">
        <w:rPr>
          <w:sz w:val="18"/>
        </w:rPr>
        <w:t xml:space="preserve"> </w:t>
      </w:r>
      <w:r w:rsidRPr="00045330">
        <w:rPr>
          <w:sz w:val="18"/>
        </w:rPr>
        <w:t>the</w:t>
      </w:r>
      <w:r w:rsidR="005B2A41" w:rsidRPr="00045330">
        <w:rPr>
          <w:sz w:val="18"/>
        </w:rPr>
        <w:t xml:space="preserve"> </w:t>
      </w:r>
      <w:r w:rsidRPr="00045330">
        <w:rPr>
          <w:sz w:val="18"/>
        </w:rPr>
        <w:t>rest</w:t>
      </w:r>
      <w:r w:rsidR="005B2A41" w:rsidRPr="00045330">
        <w:rPr>
          <w:sz w:val="18"/>
        </w:rPr>
        <w:t xml:space="preserve"> </w:t>
      </w:r>
      <w:r w:rsidRPr="00045330">
        <w:rPr>
          <w:sz w:val="18"/>
        </w:rPr>
        <w:t>of</w:t>
      </w:r>
      <w:r w:rsidR="005B2A41" w:rsidRPr="00045330">
        <w:rPr>
          <w:sz w:val="18"/>
        </w:rPr>
        <w:t xml:space="preserve"> </w:t>
      </w:r>
      <w:r w:rsidRPr="00045330">
        <w:rPr>
          <w:sz w:val="18"/>
        </w:rPr>
        <w:t>the</w:t>
      </w:r>
      <w:r w:rsidR="005B2A41" w:rsidRPr="00045330">
        <w:rPr>
          <w:sz w:val="18"/>
        </w:rPr>
        <w:t xml:space="preserve"> </w:t>
      </w:r>
      <w:r w:rsidRPr="00045330">
        <w:rPr>
          <w:sz w:val="18"/>
        </w:rPr>
        <w:t>world</w:t>
      </w:r>
      <w:r w:rsidR="002360B6">
        <w:rPr>
          <w:sz w:val="18"/>
        </w:rPr>
        <w:t>.</w:t>
      </w:r>
    </w:p>
    <w:p w:rsidR="00F233AB" w:rsidRPr="00045330" w:rsidRDefault="00F233AB" w:rsidP="00045330">
      <w:pPr>
        <w:ind w:left="1134" w:right="1134" w:firstLine="170"/>
        <w:rPr>
          <w:sz w:val="18"/>
        </w:rPr>
      </w:pPr>
      <w:r w:rsidRPr="002360B6">
        <w:rPr>
          <w:i/>
          <w:iCs/>
          <w:sz w:val="18"/>
          <w:vertAlign w:val="superscript"/>
        </w:rPr>
        <w:t>4</w:t>
      </w:r>
      <w:r w:rsidR="005B2A41" w:rsidRPr="00045330">
        <w:rPr>
          <w:sz w:val="18"/>
        </w:rPr>
        <w:t xml:space="preserve"> </w:t>
      </w:r>
      <w:r w:rsidR="002360B6">
        <w:rPr>
          <w:sz w:val="18"/>
        </w:rPr>
        <w:t xml:space="preserve"> </w:t>
      </w:r>
      <w:r w:rsidRPr="00045330">
        <w:rPr>
          <w:sz w:val="18"/>
        </w:rPr>
        <w:t>Data</w:t>
      </w:r>
      <w:r w:rsidR="005B2A41" w:rsidRPr="00045330">
        <w:rPr>
          <w:sz w:val="18"/>
        </w:rPr>
        <w:t xml:space="preserve"> </w:t>
      </w:r>
      <w:r w:rsidRPr="00045330">
        <w:rPr>
          <w:sz w:val="18"/>
        </w:rPr>
        <w:t>refers</w:t>
      </w:r>
      <w:r w:rsidR="005B2A41" w:rsidRPr="00045330">
        <w:rPr>
          <w:sz w:val="18"/>
        </w:rPr>
        <w:t xml:space="preserve"> </w:t>
      </w:r>
      <w:r w:rsidRPr="00045330">
        <w:rPr>
          <w:sz w:val="18"/>
        </w:rPr>
        <w:t>to</w:t>
      </w:r>
      <w:r w:rsidR="005B2A41" w:rsidRPr="00045330">
        <w:rPr>
          <w:sz w:val="18"/>
        </w:rPr>
        <w:t xml:space="preserve"> </w:t>
      </w:r>
      <w:r w:rsidRPr="00045330">
        <w:rPr>
          <w:sz w:val="18"/>
        </w:rPr>
        <w:t>the</w:t>
      </w:r>
      <w:r w:rsidR="005B2A41" w:rsidRPr="00045330">
        <w:rPr>
          <w:sz w:val="18"/>
        </w:rPr>
        <w:t xml:space="preserve"> </w:t>
      </w:r>
      <w:r w:rsidRPr="00045330">
        <w:rPr>
          <w:sz w:val="18"/>
        </w:rPr>
        <w:t>General</w:t>
      </w:r>
      <w:r w:rsidR="005B2A41" w:rsidRPr="00045330">
        <w:rPr>
          <w:sz w:val="18"/>
        </w:rPr>
        <w:t xml:space="preserve"> </w:t>
      </w:r>
      <w:r w:rsidR="001A1DC0" w:rsidRPr="00045330">
        <w:rPr>
          <w:sz w:val="18"/>
        </w:rPr>
        <w:t>Government</w:t>
      </w:r>
      <w:r w:rsidR="005B2A41" w:rsidRPr="00045330">
        <w:rPr>
          <w:sz w:val="18"/>
        </w:rPr>
        <w:t xml:space="preserve"> </w:t>
      </w:r>
      <w:r w:rsidRPr="00045330">
        <w:rPr>
          <w:sz w:val="18"/>
        </w:rPr>
        <w:t>consolidated</w:t>
      </w:r>
      <w:r w:rsidR="005B2A41" w:rsidRPr="00045330">
        <w:rPr>
          <w:sz w:val="18"/>
        </w:rPr>
        <w:t xml:space="preserve"> </w:t>
      </w:r>
      <w:r w:rsidRPr="00045330">
        <w:rPr>
          <w:sz w:val="18"/>
        </w:rPr>
        <w:t>debt</w:t>
      </w:r>
      <w:r w:rsidR="005B2A41" w:rsidRPr="00045330">
        <w:rPr>
          <w:sz w:val="18"/>
        </w:rPr>
        <w:t xml:space="preserve"> </w:t>
      </w:r>
      <w:r w:rsidRPr="00045330">
        <w:rPr>
          <w:sz w:val="18"/>
        </w:rPr>
        <w:t>according</w:t>
      </w:r>
      <w:r w:rsidR="005B2A41" w:rsidRPr="00045330">
        <w:rPr>
          <w:sz w:val="18"/>
        </w:rPr>
        <w:t xml:space="preserve"> </w:t>
      </w:r>
      <w:r w:rsidRPr="00045330">
        <w:rPr>
          <w:sz w:val="18"/>
        </w:rPr>
        <w:t>to</w:t>
      </w:r>
      <w:r w:rsidR="005B2A41" w:rsidRPr="00045330">
        <w:rPr>
          <w:sz w:val="18"/>
        </w:rPr>
        <w:t xml:space="preserve"> </w:t>
      </w:r>
      <w:r w:rsidRPr="00045330">
        <w:rPr>
          <w:sz w:val="18"/>
        </w:rPr>
        <w:t>EDP</w:t>
      </w:r>
      <w:r w:rsidR="005B2A41" w:rsidRPr="00045330">
        <w:rPr>
          <w:sz w:val="18"/>
        </w:rPr>
        <w:t xml:space="preserve"> </w:t>
      </w:r>
      <w:r w:rsidRPr="00045330">
        <w:rPr>
          <w:sz w:val="18"/>
        </w:rPr>
        <w:t>Mission</w:t>
      </w:r>
      <w:r w:rsidR="005B2A41" w:rsidRPr="00045330">
        <w:rPr>
          <w:sz w:val="18"/>
        </w:rPr>
        <w:t xml:space="preserve"> </w:t>
      </w:r>
      <w:r w:rsidRPr="00045330">
        <w:rPr>
          <w:sz w:val="18"/>
        </w:rPr>
        <w:t>of</w:t>
      </w:r>
      <w:r w:rsidR="005B2A41" w:rsidRPr="00045330">
        <w:rPr>
          <w:sz w:val="18"/>
        </w:rPr>
        <w:t xml:space="preserve"> </w:t>
      </w:r>
      <w:r w:rsidRPr="00045330">
        <w:rPr>
          <w:sz w:val="18"/>
        </w:rPr>
        <w:t>April</w:t>
      </w:r>
      <w:r w:rsidR="005B2A41" w:rsidRPr="00045330">
        <w:rPr>
          <w:sz w:val="18"/>
        </w:rPr>
        <w:t xml:space="preserve"> </w:t>
      </w:r>
      <w:r w:rsidRPr="00045330">
        <w:rPr>
          <w:sz w:val="18"/>
        </w:rPr>
        <w:t>2017</w:t>
      </w:r>
      <w:r w:rsidR="002360B6">
        <w:rPr>
          <w:sz w:val="18"/>
        </w:rPr>
        <w:t>.</w:t>
      </w:r>
    </w:p>
    <w:p w:rsidR="00F233AB" w:rsidRPr="00045330" w:rsidRDefault="00F233AB" w:rsidP="00045330">
      <w:pPr>
        <w:ind w:left="1134" w:right="1134" w:firstLine="170"/>
        <w:rPr>
          <w:sz w:val="18"/>
        </w:rPr>
      </w:pPr>
      <w:r w:rsidRPr="002360B6">
        <w:rPr>
          <w:i/>
          <w:iCs/>
          <w:sz w:val="18"/>
          <w:vertAlign w:val="superscript"/>
        </w:rPr>
        <w:t>5</w:t>
      </w:r>
      <w:r w:rsidR="005B2A41" w:rsidRPr="00045330">
        <w:rPr>
          <w:sz w:val="18"/>
        </w:rPr>
        <w:t xml:space="preserve"> </w:t>
      </w:r>
      <w:r w:rsidR="002360B6">
        <w:rPr>
          <w:sz w:val="18"/>
        </w:rPr>
        <w:t xml:space="preserve"> </w:t>
      </w:r>
      <w:r w:rsidRPr="00045330">
        <w:rPr>
          <w:sz w:val="18"/>
        </w:rPr>
        <w:t>The</w:t>
      </w:r>
      <w:r w:rsidR="005B2A41" w:rsidRPr="00045330">
        <w:rPr>
          <w:sz w:val="18"/>
        </w:rPr>
        <w:t xml:space="preserve"> </w:t>
      </w:r>
      <w:r w:rsidRPr="00045330">
        <w:rPr>
          <w:sz w:val="18"/>
        </w:rPr>
        <w:t>breakdown</w:t>
      </w:r>
      <w:r w:rsidR="005B2A41" w:rsidRPr="00045330">
        <w:rPr>
          <w:sz w:val="18"/>
        </w:rPr>
        <w:t xml:space="preserve"> </w:t>
      </w:r>
      <w:r w:rsidRPr="00045330">
        <w:rPr>
          <w:sz w:val="18"/>
        </w:rPr>
        <w:t>is</w:t>
      </w:r>
      <w:r w:rsidR="005B2A41" w:rsidRPr="00045330">
        <w:rPr>
          <w:sz w:val="18"/>
        </w:rPr>
        <w:t xml:space="preserve"> </w:t>
      </w:r>
      <w:r w:rsidRPr="00045330">
        <w:rPr>
          <w:sz w:val="18"/>
        </w:rPr>
        <w:t>according</w:t>
      </w:r>
      <w:r w:rsidR="005B2A41" w:rsidRPr="00045330">
        <w:rPr>
          <w:sz w:val="18"/>
        </w:rPr>
        <w:t xml:space="preserve"> </w:t>
      </w:r>
      <w:r w:rsidRPr="00045330">
        <w:rPr>
          <w:sz w:val="18"/>
        </w:rPr>
        <w:t>to</w:t>
      </w:r>
      <w:r w:rsidR="005B2A41" w:rsidRPr="00045330">
        <w:rPr>
          <w:sz w:val="18"/>
        </w:rPr>
        <w:t xml:space="preserve"> </w:t>
      </w:r>
      <w:r w:rsidRPr="00045330">
        <w:rPr>
          <w:sz w:val="18"/>
        </w:rPr>
        <w:t>COFOG</w:t>
      </w:r>
      <w:r w:rsidR="005B2A41" w:rsidRPr="00045330">
        <w:rPr>
          <w:sz w:val="18"/>
        </w:rPr>
        <w:t xml:space="preserve"> </w:t>
      </w:r>
      <w:r w:rsidRPr="00045330">
        <w:rPr>
          <w:sz w:val="18"/>
        </w:rPr>
        <w:t>definitions</w:t>
      </w:r>
      <w:r w:rsidR="001C63E5">
        <w:rPr>
          <w:sz w:val="18"/>
        </w:rPr>
        <w:t>.</w:t>
      </w:r>
    </w:p>
    <w:p w:rsidR="00F233AB" w:rsidRPr="00045330" w:rsidRDefault="00F233AB" w:rsidP="00045330">
      <w:pPr>
        <w:ind w:left="1134" w:right="1134" w:firstLine="170"/>
        <w:rPr>
          <w:sz w:val="18"/>
        </w:rPr>
      </w:pPr>
      <w:r w:rsidRPr="002360B6">
        <w:rPr>
          <w:i/>
          <w:iCs/>
          <w:sz w:val="18"/>
          <w:vertAlign w:val="superscript"/>
        </w:rPr>
        <w:t>6</w:t>
      </w:r>
      <w:r w:rsidR="005B2A41" w:rsidRPr="00045330">
        <w:rPr>
          <w:sz w:val="18"/>
        </w:rPr>
        <w:t xml:space="preserve"> </w:t>
      </w:r>
      <w:r w:rsidR="002360B6">
        <w:rPr>
          <w:sz w:val="18"/>
        </w:rPr>
        <w:t xml:space="preserve"> </w:t>
      </w:r>
      <w:r w:rsidRPr="00045330">
        <w:rPr>
          <w:sz w:val="18"/>
        </w:rPr>
        <w:t>Data</w:t>
      </w:r>
      <w:r w:rsidR="005B2A41" w:rsidRPr="00045330">
        <w:rPr>
          <w:sz w:val="18"/>
        </w:rPr>
        <w:t xml:space="preserve"> </w:t>
      </w:r>
      <w:r w:rsidRPr="00045330">
        <w:rPr>
          <w:sz w:val="18"/>
        </w:rPr>
        <w:t>are</w:t>
      </w:r>
      <w:r w:rsidR="005B2A41" w:rsidRPr="00045330">
        <w:rPr>
          <w:sz w:val="18"/>
        </w:rPr>
        <w:t xml:space="preserve"> </w:t>
      </w:r>
      <w:r w:rsidRPr="00045330">
        <w:rPr>
          <w:sz w:val="18"/>
        </w:rPr>
        <w:t>according</w:t>
      </w:r>
      <w:r w:rsidR="005B2A41" w:rsidRPr="00045330">
        <w:rPr>
          <w:sz w:val="18"/>
        </w:rPr>
        <w:t xml:space="preserve"> </w:t>
      </w:r>
      <w:r w:rsidRPr="00045330">
        <w:rPr>
          <w:sz w:val="18"/>
        </w:rPr>
        <w:t>to</w:t>
      </w:r>
      <w:r w:rsidR="005B2A41" w:rsidRPr="00045330">
        <w:rPr>
          <w:sz w:val="18"/>
        </w:rPr>
        <w:t xml:space="preserve"> </w:t>
      </w:r>
      <w:r w:rsidRPr="00045330">
        <w:rPr>
          <w:sz w:val="18"/>
        </w:rPr>
        <w:t>COFOG</w:t>
      </w:r>
      <w:r w:rsidR="005B2A41" w:rsidRPr="00045330">
        <w:rPr>
          <w:sz w:val="18"/>
        </w:rPr>
        <w:t xml:space="preserve"> </w:t>
      </w:r>
      <w:r w:rsidRPr="00045330">
        <w:rPr>
          <w:sz w:val="18"/>
        </w:rPr>
        <w:t>2016</w:t>
      </w:r>
      <w:r w:rsidR="005B2A41" w:rsidRPr="00045330">
        <w:rPr>
          <w:sz w:val="18"/>
        </w:rPr>
        <w:t xml:space="preserve"> </w:t>
      </w:r>
      <w:r w:rsidRPr="00045330">
        <w:rPr>
          <w:sz w:val="18"/>
        </w:rPr>
        <w:t>(last</w:t>
      </w:r>
      <w:r w:rsidR="005B2A41" w:rsidRPr="00045330">
        <w:rPr>
          <w:sz w:val="18"/>
        </w:rPr>
        <w:t xml:space="preserve"> </w:t>
      </w:r>
      <w:r w:rsidRPr="00045330">
        <w:rPr>
          <w:sz w:val="18"/>
        </w:rPr>
        <w:t>mission</w:t>
      </w:r>
      <w:r w:rsidR="005B2A41" w:rsidRPr="00045330">
        <w:rPr>
          <w:sz w:val="18"/>
        </w:rPr>
        <w:t xml:space="preserve"> </w:t>
      </w:r>
      <w:r w:rsidRPr="00045330">
        <w:rPr>
          <w:sz w:val="18"/>
        </w:rPr>
        <w:t>20.1.2017)</w:t>
      </w:r>
      <w:r w:rsidR="001C63E5">
        <w:rPr>
          <w:sz w:val="18"/>
        </w:rPr>
        <w:t>.</w:t>
      </w:r>
    </w:p>
    <w:p w:rsidR="00F233AB" w:rsidRPr="00045330" w:rsidRDefault="00F233AB" w:rsidP="00045330">
      <w:pPr>
        <w:ind w:left="1134" w:right="1134" w:firstLine="170"/>
        <w:rPr>
          <w:sz w:val="18"/>
        </w:rPr>
      </w:pPr>
      <w:r w:rsidRPr="002360B6">
        <w:rPr>
          <w:i/>
          <w:iCs/>
          <w:sz w:val="18"/>
          <w:vertAlign w:val="superscript"/>
        </w:rPr>
        <w:t>7</w:t>
      </w:r>
      <w:r w:rsidR="005B2A41" w:rsidRPr="00045330">
        <w:rPr>
          <w:sz w:val="18"/>
        </w:rPr>
        <w:t xml:space="preserve"> </w:t>
      </w:r>
      <w:r w:rsidR="002360B6">
        <w:rPr>
          <w:sz w:val="18"/>
        </w:rPr>
        <w:t xml:space="preserve"> </w:t>
      </w:r>
      <w:r w:rsidRPr="00045330">
        <w:rPr>
          <w:sz w:val="18"/>
        </w:rPr>
        <w:t>Data</w:t>
      </w:r>
      <w:r w:rsidR="005B2A41" w:rsidRPr="00045330">
        <w:rPr>
          <w:sz w:val="18"/>
        </w:rPr>
        <w:t xml:space="preserve"> </w:t>
      </w:r>
      <w:r w:rsidR="00DB78E4">
        <w:rPr>
          <w:sz w:val="18"/>
        </w:rPr>
        <w:t>refer</w:t>
      </w:r>
      <w:r w:rsidR="005B2A41" w:rsidRPr="00045330">
        <w:rPr>
          <w:sz w:val="18"/>
        </w:rPr>
        <w:t xml:space="preserve"> </w:t>
      </w:r>
      <w:r w:rsidRPr="00045330">
        <w:rPr>
          <w:sz w:val="18"/>
        </w:rPr>
        <w:t>to</w:t>
      </w:r>
      <w:r w:rsidR="005B2A41" w:rsidRPr="00045330">
        <w:rPr>
          <w:sz w:val="18"/>
        </w:rPr>
        <w:t xml:space="preserve"> </w:t>
      </w:r>
      <w:r w:rsidRPr="00045330">
        <w:rPr>
          <w:sz w:val="18"/>
        </w:rPr>
        <w:t>General</w:t>
      </w:r>
      <w:r w:rsidR="005B2A41" w:rsidRPr="00045330">
        <w:rPr>
          <w:sz w:val="18"/>
        </w:rPr>
        <w:t xml:space="preserve"> </w:t>
      </w:r>
      <w:r w:rsidRPr="00045330">
        <w:rPr>
          <w:sz w:val="18"/>
        </w:rPr>
        <w:t>Government</w:t>
      </w:r>
      <w:r w:rsidR="001C63E5">
        <w:rPr>
          <w:sz w:val="18"/>
        </w:rPr>
        <w:t>.</w:t>
      </w:r>
    </w:p>
    <w:p w:rsidR="00F233AB" w:rsidRPr="00045330" w:rsidRDefault="00F233AB" w:rsidP="00045330">
      <w:pPr>
        <w:ind w:left="1134" w:right="1134" w:firstLine="170"/>
        <w:rPr>
          <w:sz w:val="18"/>
        </w:rPr>
      </w:pPr>
      <w:r w:rsidRPr="002360B6">
        <w:rPr>
          <w:i/>
          <w:iCs/>
          <w:sz w:val="18"/>
          <w:vertAlign w:val="superscript"/>
        </w:rPr>
        <w:lastRenderedPageBreak/>
        <w:t>8</w:t>
      </w:r>
      <w:r w:rsidR="005B2A41" w:rsidRPr="00045330">
        <w:rPr>
          <w:sz w:val="18"/>
        </w:rPr>
        <w:t xml:space="preserve"> </w:t>
      </w:r>
      <w:r w:rsidR="002360B6">
        <w:rPr>
          <w:sz w:val="18"/>
        </w:rPr>
        <w:t xml:space="preserve"> </w:t>
      </w:r>
      <w:r w:rsidRPr="00045330">
        <w:rPr>
          <w:sz w:val="18"/>
        </w:rPr>
        <w:t>Available</w:t>
      </w:r>
      <w:r w:rsidR="005B2A41" w:rsidRPr="00045330">
        <w:rPr>
          <w:sz w:val="18"/>
        </w:rPr>
        <w:t xml:space="preserve"> </w:t>
      </w:r>
      <w:r w:rsidRPr="00045330">
        <w:rPr>
          <w:sz w:val="18"/>
        </w:rPr>
        <w:t>data</w:t>
      </w:r>
      <w:r w:rsidR="005B2A41" w:rsidRPr="00045330">
        <w:rPr>
          <w:sz w:val="18"/>
        </w:rPr>
        <w:t xml:space="preserve"> </w:t>
      </w:r>
      <w:r w:rsidRPr="00045330">
        <w:rPr>
          <w:sz w:val="18"/>
        </w:rPr>
        <w:t>exist</w:t>
      </w:r>
      <w:r w:rsidR="005B2A41" w:rsidRPr="00045330">
        <w:rPr>
          <w:sz w:val="18"/>
        </w:rPr>
        <w:t xml:space="preserve"> </w:t>
      </w:r>
      <w:r w:rsidRPr="00045330">
        <w:rPr>
          <w:sz w:val="18"/>
        </w:rPr>
        <w:t>until</w:t>
      </w:r>
      <w:r w:rsidR="005B2A41" w:rsidRPr="00045330">
        <w:rPr>
          <w:sz w:val="18"/>
        </w:rPr>
        <w:t xml:space="preserve"> </w:t>
      </w:r>
      <w:r w:rsidRPr="00045330">
        <w:rPr>
          <w:sz w:val="18"/>
        </w:rPr>
        <w:t>2015</w:t>
      </w:r>
      <w:r w:rsidR="001C63E5">
        <w:rPr>
          <w:sz w:val="18"/>
        </w:rPr>
        <w:t>.</w:t>
      </w:r>
    </w:p>
    <w:p w:rsidR="00F233AB" w:rsidRPr="00045330" w:rsidRDefault="00F233AB" w:rsidP="003E731F">
      <w:pPr>
        <w:spacing w:after="240"/>
        <w:ind w:left="1134" w:right="1134" w:firstLine="170"/>
        <w:rPr>
          <w:sz w:val="18"/>
        </w:rPr>
      </w:pPr>
      <w:r w:rsidRPr="002360B6">
        <w:rPr>
          <w:i/>
          <w:iCs/>
          <w:sz w:val="18"/>
        </w:rPr>
        <w:t>*</w:t>
      </w:r>
      <w:r w:rsidR="002360B6">
        <w:rPr>
          <w:i/>
          <w:iCs/>
          <w:sz w:val="18"/>
        </w:rPr>
        <w:t xml:space="preserve">  </w:t>
      </w:r>
      <w:r w:rsidR="003E731F">
        <w:rPr>
          <w:sz w:val="18"/>
        </w:rPr>
        <w:t>P</w:t>
      </w:r>
      <w:r w:rsidRPr="00045330">
        <w:rPr>
          <w:sz w:val="18"/>
        </w:rPr>
        <w:t>rovisional</w:t>
      </w:r>
      <w:r w:rsidR="005B2A41" w:rsidRPr="00045330">
        <w:rPr>
          <w:sz w:val="18"/>
        </w:rPr>
        <w:t xml:space="preserve"> </w:t>
      </w:r>
      <w:r w:rsidRPr="00045330">
        <w:rPr>
          <w:sz w:val="18"/>
        </w:rPr>
        <w:t>data</w:t>
      </w:r>
      <w:r w:rsidR="001C63E5">
        <w:rPr>
          <w:sz w:val="18"/>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1417"/>
        <w:gridCol w:w="4393"/>
      </w:tblGrid>
      <w:tr w:rsidR="00AC2605" w:rsidRPr="00AC2605" w:rsidTr="00353C74">
        <w:trPr>
          <w:tblHeader/>
        </w:trPr>
        <w:tc>
          <w:tcPr>
            <w:tcW w:w="1560" w:type="dxa"/>
            <w:tcBorders>
              <w:top w:val="single" w:sz="4" w:space="0" w:color="auto"/>
              <w:bottom w:val="single" w:sz="12" w:space="0" w:color="auto"/>
            </w:tcBorders>
            <w:shd w:val="clear" w:color="auto" w:fill="auto"/>
            <w:noWrap/>
            <w:vAlign w:val="bottom"/>
            <w:hideMark/>
          </w:tcPr>
          <w:p w:rsidR="00AC2605" w:rsidRPr="00AC2605" w:rsidRDefault="00AC2605" w:rsidP="00DC5D2C">
            <w:pPr>
              <w:suppressAutoHyphens w:val="0"/>
              <w:spacing w:before="80" w:after="80" w:line="200" w:lineRule="exact"/>
              <w:ind w:right="113"/>
              <w:jc w:val="right"/>
              <w:rPr>
                <w:i/>
                <w:sz w:val="16"/>
              </w:rPr>
            </w:pPr>
            <w:r w:rsidRPr="00AC2605">
              <w:rPr>
                <w:i/>
                <w:sz w:val="16"/>
              </w:rPr>
              <w:t>2014</w:t>
            </w:r>
          </w:p>
        </w:tc>
        <w:tc>
          <w:tcPr>
            <w:tcW w:w="1417" w:type="dxa"/>
            <w:tcBorders>
              <w:top w:val="single" w:sz="4" w:space="0" w:color="auto"/>
              <w:bottom w:val="single" w:sz="12" w:space="0" w:color="auto"/>
            </w:tcBorders>
            <w:shd w:val="clear" w:color="auto" w:fill="auto"/>
            <w:noWrap/>
            <w:vAlign w:val="bottom"/>
            <w:hideMark/>
          </w:tcPr>
          <w:p w:rsidR="00AC2605" w:rsidRPr="00AC2605" w:rsidRDefault="00AC2605" w:rsidP="00AC2605">
            <w:pPr>
              <w:suppressAutoHyphens w:val="0"/>
              <w:spacing w:before="80" w:after="80" w:line="200" w:lineRule="exact"/>
              <w:ind w:right="113"/>
              <w:jc w:val="right"/>
              <w:rPr>
                <w:i/>
                <w:sz w:val="16"/>
              </w:rPr>
            </w:pPr>
            <w:r w:rsidRPr="00AC2605">
              <w:rPr>
                <w:i/>
                <w:sz w:val="16"/>
              </w:rPr>
              <w:t>2015*</w:t>
            </w:r>
          </w:p>
        </w:tc>
        <w:tc>
          <w:tcPr>
            <w:tcW w:w="4393" w:type="dxa"/>
            <w:tcBorders>
              <w:top w:val="single" w:sz="4" w:space="0" w:color="auto"/>
              <w:bottom w:val="single" w:sz="12" w:space="0" w:color="auto"/>
            </w:tcBorders>
            <w:shd w:val="clear" w:color="auto" w:fill="auto"/>
            <w:vAlign w:val="bottom"/>
          </w:tcPr>
          <w:p w:rsidR="00AC2605" w:rsidRPr="00AC2605" w:rsidRDefault="00AC2605" w:rsidP="00DC5D2C">
            <w:pPr>
              <w:suppressAutoHyphens w:val="0"/>
              <w:spacing w:before="80" w:after="80" w:line="200" w:lineRule="exact"/>
              <w:ind w:left="287" w:right="113"/>
              <w:rPr>
                <w:i/>
                <w:sz w:val="16"/>
              </w:rPr>
            </w:pPr>
            <w:r w:rsidRPr="00AC2605">
              <w:rPr>
                <w:i/>
                <w:sz w:val="16"/>
              </w:rPr>
              <w:t>Infectious diseases</w:t>
            </w:r>
          </w:p>
        </w:tc>
      </w:tr>
      <w:tr w:rsidR="00AC2605" w:rsidRPr="00AC2605" w:rsidTr="00353C74">
        <w:tc>
          <w:tcPr>
            <w:tcW w:w="1560" w:type="dxa"/>
            <w:tcBorders>
              <w:top w:val="single" w:sz="12" w:space="0" w:color="auto"/>
              <w:bottom w:val="single" w:sz="4" w:space="0" w:color="auto"/>
            </w:tcBorders>
            <w:shd w:val="clear" w:color="auto" w:fill="auto"/>
            <w:noWrap/>
            <w:hideMark/>
          </w:tcPr>
          <w:p w:rsidR="00AC2605" w:rsidRPr="00AC2605" w:rsidRDefault="00AC2605" w:rsidP="00C048F7">
            <w:pPr>
              <w:suppressAutoHyphens w:val="0"/>
              <w:spacing w:before="40" w:after="40" w:line="220" w:lineRule="exact"/>
              <w:ind w:right="113"/>
              <w:jc w:val="right"/>
              <w:rPr>
                <w:b/>
                <w:sz w:val="18"/>
              </w:rPr>
            </w:pPr>
            <w:r w:rsidRPr="00AC2605">
              <w:rPr>
                <w:b/>
                <w:sz w:val="18"/>
              </w:rPr>
              <w:t>3</w:t>
            </w:r>
            <w:r w:rsidR="00C048F7">
              <w:rPr>
                <w:b/>
                <w:sz w:val="18"/>
              </w:rPr>
              <w:t xml:space="preserve"> </w:t>
            </w:r>
            <w:r w:rsidRPr="00AC2605">
              <w:rPr>
                <w:b/>
                <w:sz w:val="18"/>
              </w:rPr>
              <w:t>251</w:t>
            </w:r>
          </w:p>
        </w:tc>
        <w:tc>
          <w:tcPr>
            <w:tcW w:w="1417" w:type="dxa"/>
            <w:tcBorders>
              <w:top w:val="single" w:sz="12" w:space="0" w:color="auto"/>
              <w:bottom w:val="single" w:sz="4" w:space="0" w:color="auto"/>
            </w:tcBorders>
            <w:shd w:val="clear" w:color="auto" w:fill="auto"/>
            <w:noWrap/>
            <w:vAlign w:val="bottom"/>
            <w:hideMark/>
          </w:tcPr>
          <w:p w:rsidR="00AC2605" w:rsidRPr="00AC2605" w:rsidRDefault="00AC2605" w:rsidP="00AC2605">
            <w:pPr>
              <w:suppressAutoHyphens w:val="0"/>
              <w:spacing w:before="40" w:after="40" w:line="220" w:lineRule="exact"/>
              <w:ind w:right="113"/>
              <w:jc w:val="right"/>
              <w:rPr>
                <w:b/>
                <w:sz w:val="18"/>
              </w:rPr>
            </w:pPr>
            <w:r w:rsidRPr="00AC2605">
              <w:rPr>
                <w:b/>
                <w:sz w:val="18"/>
              </w:rPr>
              <w:t>3 405</w:t>
            </w:r>
          </w:p>
        </w:tc>
        <w:tc>
          <w:tcPr>
            <w:tcW w:w="4393" w:type="dxa"/>
            <w:tcBorders>
              <w:top w:val="single" w:sz="12" w:space="0" w:color="auto"/>
              <w:bottom w:val="single" w:sz="4" w:space="0" w:color="auto"/>
            </w:tcBorders>
            <w:shd w:val="clear" w:color="auto" w:fill="auto"/>
            <w:vAlign w:val="bottom"/>
          </w:tcPr>
          <w:p w:rsidR="00AC2605" w:rsidRPr="00AC2605" w:rsidRDefault="00AC2605" w:rsidP="00DC5D2C">
            <w:pPr>
              <w:suppressAutoHyphens w:val="0"/>
              <w:spacing w:before="40" w:after="40" w:line="220" w:lineRule="exact"/>
              <w:ind w:left="287" w:right="113"/>
              <w:rPr>
                <w:b/>
                <w:sz w:val="18"/>
              </w:rPr>
            </w:pPr>
            <w:r w:rsidRPr="00AC2605">
              <w:rPr>
                <w:b/>
                <w:sz w:val="18"/>
              </w:rPr>
              <w:t xml:space="preserve"> Total</w:t>
            </w:r>
          </w:p>
        </w:tc>
      </w:tr>
      <w:tr w:rsidR="00AC2605" w:rsidRPr="00AC2605" w:rsidTr="00353C74">
        <w:tc>
          <w:tcPr>
            <w:tcW w:w="1560" w:type="dxa"/>
            <w:tcBorders>
              <w:top w:val="single" w:sz="4" w:space="0" w:color="auto"/>
            </w:tcBorders>
            <w:shd w:val="clear" w:color="auto" w:fill="auto"/>
            <w:noWrap/>
            <w:hideMark/>
          </w:tcPr>
          <w:p w:rsidR="00AC2605" w:rsidRPr="00AC2605" w:rsidRDefault="00AC2605" w:rsidP="00DC5D2C">
            <w:pPr>
              <w:suppressAutoHyphens w:val="0"/>
              <w:spacing w:before="40" w:after="40" w:line="220" w:lineRule="exact"/>
              <w:ind w:right="113"/>
              <w:jc w:val="right"/>
              <w:rPr>
                <w:sz w:val="18"/>
              </w:rPr>
            </w:pPr>
            <w:r w:rsidRPr="00AC2605">
              <w:rPr>
                <w:sz w:val="18"/>
              </w:rPr>
              <w:t>22</w:t>
            </w:r>
          </w:p>
        </w:tc>
        <w:tc>
          <w:tcPr>
            <w:tcW w:w="1417" w:type="dxa"/>
            <w:tcBorders>
              <w:top w:val="single" w:sz="4" w:space="0" w:color="auto"/>
            </w:tcBorders>
            <w:shd w:val="clear" w:color="auto" w:fill="auto"/>
            <w:noWrap/>
            <w:vAlign w:val="bottom"/>
            <w:hideMark/>
          </w:tcPr>
          <w:p w:rsidR="00AC2605" w:rsidRPr="00AC2605" w:rsidRDefault="00AC2605" w:rsidP="00AC2605">
            <w:pPr>
              <w:suppressAutoHyphens w:val="0"/>
              <w:spacing w:before="40" w:after="40" w:line="220" w:lineRule="exact"/>
              <w:ind w:right="113"/>
              <w:jc w:val="right"/>
              <w:rPr>
                <w:sz w:val="18"/>
              </w:rPr>
            </w:pPr>
            <w:r w:rsidRPr="00AC2605">
              <w:rPr>
                <w:sz w:val="18"/>
              </w:rPr>
              <w:t>3</w:t>
            </w:r>
          </w:p>
        </w:tc>
        <w:tc>
          <w:tcPr>
            <w:tcW w:w="4393" w:type="dxa"/>
            <w:tcBorders>
              <w:top w:val="single" w:sz="4" w:space="0" w:color="auto"/>
            </w:tcBorders>
            <w:shd w:val="clear" w:color="auto" w:fill="auto"/>
            <w:vAlign w:val="bottom"/>
          </w:tcPr>
          <w:p w:rsidR="00AC2605" w:rsidRPr="00AC2605" w:rsidRDefault="00AC2605" w:rsidP="00DC5D2C">
            <w:pPr>
              <w:suppressAutoHyphens w:val="0"/>
              <w:spacing w:before="40" w:after="40" w:line="220" w:lineRule="exact"/>
              <w:ind w:left="287" w:right="113"/>
              <w:rPr>
                <w:sz w:val="18"/>
              </w:rPr>
            </w:pPr>
            <w:r w:rsidRPr="00AC2605">
              <w:rPr>
                <w:sz w:val="18"/>
              </w:rPr>
              <w:t>Viral hemorrhagic fevers</w:t>
            </w:r>
          </w:p>
        </w:tc>
      </w:tr>
      <w:tr w:rsidR="00AC2605" w:rsidRPr="00AC2605" w:rsidTr="00DC5D2C">
        <w:tc>
          <w:tcPr>
            <w:tcW w:w="1560" w:type="dxa"/>
            <w:shd w:val="clear" w:color="auto" w:fill="auto"/>
            <w:noWrap/>
            <w:hideMark/>
          </w:tcPr>
          <w:p w:rsidR="00AC2605" w:rsidRPr="00AC2605" w:rsidRDefault="00AC2605" w:rsidP="00DC5D2C">
            <w:pPr>
              <w:suppressAutoHyphens w:val="0"/>
              <w:spacing w:before="40" w:after="40" w:line="220" w:lineRule="exact"/>
              <w:ind w:right="113"/>
              <w:jc w:val="right"/>
              <w:rPr>
                <w:sz w:val="18"/>
              </w:rPr>
            </w:pPr>
            <w:r w:rsidRPr="00AC2605">
              <w:rPr>
                <w:sz w:val="18"/>
              </w:rPr>
              <w:t>2</w:t>
            </w:r>
          </w:p>
        </w:tc>
        <w:tc>
          <w:tcPr>
            <w:tcW w:w="1417" w:type="dxa"/>
            <w:shd w:val="clear" w:color="auto" w:fill="auto"/>
            <w:noWrap/>
            <w:vAlign w:val="bottom"/>
            <w:hideMark/>
          </w:tcPr>
          <w:p w:rsidR="00AC2605" w:rsidRPr="00AC2605" w:rsidRDefault="00AC2605" w:rsidP="00AC2605">
            <w:pPr>
              <w:suppressAutoHyphens w:val="0"/>
              <w:spacing w:before="40" w:after="40" w:line="220" w:lineRule="exact"/>
              <w:ind w:right="113"/>
              <w:jc w:val="right"/>
              <w:rPr>
                <w:sz w:val="18"/>
              </w:rPr>
            </w:pPr>
            <w:r w:rsidRPr="00AC2605">
              <w:rPr>
                <w:sz w:val="18"/>
              </w:rPr>
              <w:t>0</w:t>
            </w:r>
          </w:p>
        </w:tc>
        <w:tc>
          <w:tcPr>
            <w:tcW w:w="4393" w:type="dxa"/>
            <w:shd w:val="clear" w:color="auto" w:fill="auto"/>
            <w:vAlign w:val="bottom"/>
          </w:tcPr>
          <w:p w:rsidR="00AC2605" w:rsidRPr="00AC2605" w:rsidRDefault="00AC2605" w:rsidP="00DC5D2C">
            <w:pPr>
              <w:suppressAutoHyphens w:val="0"/>
              <w:spacing w:before="40" w:after="40" w:line="220" w:lineRule="exact"/>
              <w:ind w:left="287" w:right="113"/>
              <w:rPr>
                <w:sz w:val="18"/>
              </w:rPr>
            </w:pPr>
            <w:r w:rsidRPr="00AC2605">
              <w:rPr>
                <w:sz w:val="18"/>
              </w:rPr>
              <w:t>Botulism</w:t>
            </w:r>
          </w:p>
        </w:tc>
      </w:tr>
      <w:tr w:rsidR="00AC2605" w:rsidRPr="00AC2605" w:rsidTr="00DC5D2C">
        <w:tc>
          <w:tcPr>
            <w:tcW w:w="1560" w:type="dxa"/>
            <w:shd w:val="clear" w:color="auto" w:fill="auto"/>
            <w:noWrap/>
            <w:hideMark/>
          </w:tcPr>
          <w:p w:rsidR="00AC2605" w:rsidRPr="00AC2605" w:rsidRDefault="00AC2605" w:rsidP="00DC5D2C">
            <w:pPr>
              <w:suppressAutoHyphens w:val="0"/>
              <w:spacing w:before="40" w:after="40" w:line="220" w:lineRule="exact"/>
              <w:ind w:right="113"/>
              <w:jc w:val="right"/>
              <w:rPr>
                <w:sz w:val="18"/>
              </w:rPr>
            </w:pPr>
            <w:r w:rsidRPr="00AC2605">
              <w:rPr>
                <w:sz w:val="18"/>
              </w:rPr>
              <w:t>3</w:t>
            </w:r>
          </w:p>
        </w:tc>
        <w:tc>
          <w:tcPr>
            <w:tcW w:w="1417" w:type="dxa"/>
            <w:shd w:val="clear" w:color="auto" w:fill="auto"/>
            <w:noWrap/>
            <w:vAlign w:val="bottom"/>
            <w:hideMark/>
          </w:tcPr>
          <w:p w:rsidR="00AC2605" w:rsidRPr="00AC2605" w:rsidRDefault="00AC2605" w:rsidP="00AC2605">
            <w:pPr>
              <w:suppressAutoHyphens w:val="0"/>
              <w:spacing w:before="40" w:after="40" w:line="220" w:lineRule="exact"/>
              <w:ind w:right="113"/>
              <w:jc w:val="right"/>
              <w:rPr>
                <w:sz w:val="18"/>
              </w:rPr>
            </w:pPr>
            <w:r w:rsidRPr="00AC2605">
              <w:rPr>
                <w:sz w:val="18"/>
              </w:rPr>
              <w:t>9</w:t>
            </w:r>
          </w:p>
        </w:tc>
        <w:tc>
          <w:tcPr>
            <w:tcW w:w="4393" w:type="dxa"/>
            <w:shd w:val="clear" w:color="auto" w:fill="auto"/>
            <w:vAlign w:val="bottom"/>
          </w:tcPr>
          <w:p w:rsidR="00AC2605" w:rsidRPr="00AC2605" w:rsidRDefault="00AC2605" w:rsidP="00DC5D2C">
            <w:pPr>
              <w:suppressAutoHyphens w:val="0"/>
              <w:spacing w:before="40" w:after="40" w:line="220" w:lineRule="exact"/>
              <w:ind w:left="287" w:right="113"/>
              <w:rPr>
                <w:sz w:val="18"/>
              </w:rPr>
            </w:pPr>
            <w:r w:rsidRPr="00AC2605">
              <w:rPr>
                <w:sz w:val="18"/>
              </w:rPr>
              <w:t xml:space="preserve">Chickenpox with complications (Varicella) </w:t>
            </w:r>
          </w:p>
        </w:tc>
      </w:tr>
      <w:tr w:rsidR="00AC2605" w:rsidRPr="00AC2605" w:rsidTr="00DC5D2C">
        <w:tc>
          <w:tcPr>
            <w:tcW w:w="1560" w:type="dxa"/>
            <w:shd w:val="clear" w:color="auto" w:fill="auto"/>
            <w:noWrap/>
            <w:hideMark/>
          </w:tcPr>
          <w:p w:rsidR="00AC2605" w:rsidRPr="00AC2605" w:rsidRDefault="00AC2605" w:rsidP="00DC5D2C">
            <w:pPr>
              <w:suppressAutoHyphens w:val="0"/>
              <w:spacing w:before="40" w:after="40" w:line="220" w:lineRule="exact"/>
              <w:ind w:right="113"/>
              <w:jc w:val="right"/>
              <w:rPr>
                <w:sz w:val="18"/>
              </w:rPr>
            </w:pPr>
            <w:r w:rsidRPr="00AC2605">
              <w:rPr>
                <w:sz w:val="18"/>
              </w:rPr>
              <w:t>1</w:t>
            </w:r>
          </w:p>
        </w:tc>
        <w:tc>
          <w:tcPr>
            <w:tcW w:w="1417" w:type="dxa"/>
            <w:shd w:val="clear" w:color="auto" w:fill="auto"/>
            <w:noWrap/>
            <w:vAlign w:val="bottom"/>
            <w:hideMark/>
          </w:tcPr>
          <w:p w:rsidR="00AC2605" w:rsidRPr="00AC2605" w:rsidRDefault="00AC2605" w:rsidP="00AC2605">
            <w:pPr>
              <w:suppressAutoHyphens w:val="0"/>
              <w:spacing w:before="40" w:after="40" w:line="220" w:lineRule="exact"/>
              <w:ind w:right="113"/>
              <w:jc w:val="right"/>
              <w:rPr>
                <w:sz w:val="18"/>
              </w:rPr>
            </w:pPr>
            <w:r w:rsidRPr="00AC2605">
              <w:rPr>
                <w:sz w:val="18"/>
              </w:rPr>
              <w:t>0</w:t>
            </w:r>
          </w:p>
        </w:tc>
        <w:tc>
          <w:tcPr>
            <w:tcW w:w="4393" w:type="dxa"/>
            <w:shd w:val="clear" w:color="auto" w:fill="auto"/>
            <w:vAlign w:val="bottom"/>
          </w:tcPr>
          <w:p w:rsidR="00AC2605" w:rsidRPr="00AC2605" w:rsidRDefault="00AC2605" w:rsidP="00DC5D2C">
            <w:pPr>
              <w:suppressAutoHyphens w:val="0"/>
              <w:spacing w:before="40" w:after="40" w:line="220" w:lineRule="exact"/>
              <w:ind w:left="287" w:right="113"/>
              <w:rPr>
                <w:sz w:val="18"/>
              </w:rPr>
            </w:pPr>
            <w:r w:rsidRPr="00AC2605">
              <w:rPr>
                <w:sz w:val="18"/>
              </w:rPr>
              <w:t>Anthrax</w:t>
            </w:r>
          </w:p>
        </w:tc>
      </w:tr>
      <w:tr w:rsidR="00AC2605" w:rsidRPr="00AC2605" w:rsidTr="00DC5D2C">
        <w:tc>
          <w:tcPr>
            <w:tcW w:w="1560" w:type="dxa"/>
            <w:shd w:val="clear" w:color="auto" w:fill="auto"/>
            <w:noWrap/>
            <w:hideMark/>
          </w:tcPr>
          <w:p w:rsidR="00AC2605" w:rsidRPr="00AC2605" w:rsidRDefault="00AC2605" w:rsidP="00DC5D2C">
            <w:pPr>
              <w:suppressAutoHyphens w:val="0"/>
              <w:spacing w:before="40" w:after="40" w:line="220" w:lineRule="exact"/>
              <w:ind w:right="113"/>
              <w:jc w:val="right"/>
              <w:rPr>
                <w:sz w:val="18"/>
              </w:rPr>
            </w:pPr>
            <w:r w:rsidRPr="00AC2605">
              <w:rPr>
                <w:sz w:val="18"/>
              </w:rPr>
              <w:t>135</w:t>
            </w:r>
          </w:p>
        </w:tc>
        <w:tc>
          <w:tcPr>
            <w:tcW w:w="1417" w:type="dxa"/>
            <w:shd w:val="clear" w:color="auto" w:fill="auto"/>
            <w:noWrap/>
            <w:vAlign w:val="bottom"/>
            <w:hideMark/>
          </w:tcPr>
          <w:p w:rsidR="00AC2605" w:rsidRPr="00AC2605" w:rsidRDefault="00AC2605" w:rsidP="00AC2605">
            <w:pPr>
              <w:suppressAutoHyphens w:val="0"/>
              <w:spacing w:before="40" w:after="40" w:line="220" w:lineRule="exact"/>
              <w:ind w:right="113"/>
              <w:jc w:val="right"/>
              <w:rPr>
                <w:sz w:val="18"/>
              </w:rPr>
            </w:pPr>
            <w:r w:rsidRPr="00AC2605">
              <w:rPr>
                <w:sz w:val="18"/>
              </w:rPr>
              <w:t>110</w:t>
            </w:r>
          </w:p>
        </w:tc>
        <w:tc>
          <w:tcPr>
            <w:tcW w:w="4393" w:type="dxa"/>
            <w:shd w:val="clear" w:color="auto" w:fill="auto"/>
            <w:vAlign w:val="bottom"/>
          </w:tcPr>
          <w:p w:rsidR="00AC2605" w:rsidRPr="00AC2605" w:rsidRDefault="00AC2605" w:rsidP="00DC5D2C">
            <w:pPr>
              <w:suppressAutoHyphens w:val="0"/>
              <w:spacing w:before="40" w:after="40" w:line="220" w:lineRule="exact"/>
              <w:ind w:left="287" w:right="113"/>
              <w:rPr>
                <w:sz w:val="18"/>
              </w:rPr>
            </w:pPr>
            <w:r w:rsidRPr="00AC2605">
              <w:rPr>
                <w:sz w:val="18"/>
              </w:rPr>
              <w:t>Brucellosis</w:t>
            </w:r>
          </w:p>
        </w:tc>
      </w:tr>
      <w:tr w:rsidR="00AC2605" w:rsidRPr="00AC2605" w:rsidTr="00DC5D2C">
        <w:tc>
          <w:tcPr>
            <w:tcW w:w="1560" w:type="dxa"/>
            <w:shd w:val="clear" w:color="auto" w:fill="auto"/>
            <w:noWrap/>
            <w:hideMark/>
          </w:tcPr>
          <w:p w:rsidR="00AC2605" w:rsidRPr="00AC2605" w:rsidRDefault="00AC2605" w:rsidP="00DC5D2C">
            <w:pPr>
              <w:suppressAutoHyphens w:val="0"/>
              <w:spacing w:before="40" w:after="40" w:line="220" w:lineRule="exact"/>
              <w:ind w:right="113"/>
              <w:jc w:val="right"/>
              <w:rPr>
                <w:sz w:val="18"/>
              </w:rPr>
            </w:pPr>
            <w:r w:rsidRPr="00AC2605">
              <w:rPr>
                <w:sz w:val="18"/>
              </w:rPr>
              <w:t>1 225</w:t>
            </w:r>
          </w:p>
        </w:tc>
        <w:tc>
          <w:tcPr>
            <w:tcW w:w="1417" w:type="dxa"/>
            <w:shd w:val="clear" w:color="auto" w:fill="auto"/>
            <w:noWrap/>
            <w:vAlign w:val="bottom"/>
            <w:hideMark/>
          </w:tcPr>
          <w:p w:rsidR="00AC2605" w:rsidRPr="00AC2605" w:rsidRDefault="00AC2605" w:rsidP="00AC2605">
            <w:pPr>
              <w:suppressAutoHyphens w:val="0"/>
              <w:spacing w:before="40" w:after="40" w:line="220" w:lineRule="exact"/>
              <w:ind w:right="113"/>
              <w:jc w:val="right"/>
              <w:rPr>
                <w:sz w:val="18"/>
              </w:rPr>
            </w:pPr>
            <w:r w:rsidRPr="00AC2605">
              <w:rPr>
                <w:sz w:val="18"/>
              </w:rPr>
              <w:t>1 495</w:t>
            </w:r>
          </w:p>
        </w:tc>
        <w:tc>
          <w:tcPr>
            <w:tcW w:w="4393" w:type="dxa"/>
            <w:shd w:val="clear" w:color="auto" w:fill="auto"/>
            <w:vAlign w:val="bottom"/>
          </w:tcPr>
          <w:p w:rsidR="00AC2605" w:rsidRPr="00AC2605" w:rsidRDefault="00AC2605" w:rsidP="00DC5D2C">
            <w:pPr>
              <w:suppressAutoHyphens w:val="0"/>
              <w:spacing w:before="40" w:after="40" w:line="220" w:lineRule="exact"/>
              <w:ind w:left="287" w:right="113"/>
              <w:rPr>
                <w:sz w:val="18"/>
              </w:rPr>
            </w:pPr>
            <w:r w:rsidRPr="00AC2605">
              <w:rPr>
                <w:sz w:val="18"/>
              </w:rPr>
              <w:t xml:space="preserve">Influenza (laboratory confirmed) </w:t>
            </w:r>
          </w:p>
        </w:tc>
      </w:tr>
      <w:tr w:rsidR="00AC2605" w:rsidRPr="00AC2605" w:rsidTr="00DC5D2C">
        <w:tc>
          <w:tcPr>
            <w:tcW w:w="1560" w:type="dxa"/>
            <w:shd w:val="clear" w:color="auto" w:fill="auto"/>
            <w:noWrap/>
            <w:hideMark/>
          </w:tcPr>
          <w:p w:rsidR="00AC2605" w:rsidRPr="00AC2605" w:rsidRDefault="00AC2605" w:rsidP="00DC5D2C">
            <w:pPr>
              <w:suppressAutoHyphens w:val="0"/>
              <w:spacing w:before="40" w:after="40" w:line="220" w:lineRule="exact"/>
              <w:ind w:right="113"/>
              <w:jc w:val="right"/>
              <w:rPr>
                <w:sz w:val="18"/>
              </w:rPr>
            </w:pPr>
            <w:r w:rsidRPr="00AC2605">
              <w:rPr>
                <w:sz w:val="18"/>
              </w:rPr>
              <w:t>0</w:t>
            </w:r>
          </w:p>
        </w:tc>
        <w:tc>
          <w:tcPr>
            <w:tcW w:w="1417" w:type="dxa"/>
            <w:shd w:val="clear" w:color="auto" w:fill="auto"/>
            <w:noWrap/>
            <w:vAlign w:val="bottom"/>
            <w:hideMark/>
          </w:tcPr>
          <w:p w:rsidR="00AC2605" w:rsidRPr="00AC2605" w:rsidRDefault="00AC2605" w:rsidP="00AC2605">
            <w:pPr>
              <w:suppressAutoHyphens w:val="0"/>
              <w:spacing w:before="40" w:after="40" w:line="220" w:lineRule="exact"/>
              <w:ind w:right="113"/>
              <w:jc w:val="right"/>
              <w:rPr>
                <w:sz w:val="18"/>
              </w:rPr>
            </w:pPr>
            <w:r w:rsidRPr="00AC2605">
              <w:rPr>
                <w:sz w:val="18"/>
              </w:rPr>
              <w:t>0</w:t>
            </w:r>
          </w:p>
        </w:tc>
        <w:tc>
          <w:tcPr>
            <w:tcW w:w="4393" w:type="dxa"/>
            <w:shd w:val="clear" w:color="auto" w:fill="auto"/>
            <w:vAlign w:val="bottom"/>
          </w:tcPr>
          <w:p w:rsidR="00AC2605" w:rsidRPr="00AC2605" w:rsidRDefault="00AC2605" w:rsidP="00DC5D2C">
            <w:pPr>
              <w:suppressAutoHyphens w:val="0"/>
              <w:spacing w:before="40" w:after="40" w:line="220" w:lineRule="exact"/>
              <w:ind w:left="287" w:right="113"/>
              <w:rPr>
                <w:sz w:val="18"/>
              </w:rPr>
            </w:pPr>
            <w:r w:rsidRPr="00AC2605">
              <w:rPr>
                <w:sz w:val="18"/>
              </w:rPr>
              <w:t>Diphtheria</w:t>
            </w:r>
          </w:p>
        </w:tc>
      </w:tr>
      <w:tr w:rsidR="00AC2605" w:rsidRPr="00AC2605" w:rsidTr="00DC5D2C">
        <w:tc>
          <w:tcPr>
            <w:tcW w:w="1560" w:type="dxa"/>
            <w:shd w:val="clear" w:color="auto" w:fill="auto"/>
            <w:noWrap/>
            <w:hideMark/>
          </w:tcPr>
          <w:p w:rsidR="00AC2605" w:rsidRPr="00AC2605" w:rsidRDefault="00AC2605" w:rsidP="00DC5D2C">
            <w:pPr>
              <w:suppressAutoHyphens w:val="0"/>
              <w:spacing w:before="40" w:after="40" w:line="220" w:lineRule="exact"/>
              <w:ind w:right="113"/>
              <w:jc w:val="right"/>
              <w:rPr>
                <w:sz w:val="18"/>
              </w:rPr>
            </w:pPr>
            <w:r w:rsidRPr="00AC2605">
              <w:rPr>
                <w:sz w:val="18"/>
              </w:rPr>
              <w:t>38</w:t>
            </w:r>
          </w:p>
        </w:tc>
        <w:tc>
          <w:tcPr>
            <w:tcW w:w="1417" w:type="dxa"/>
            <w:shd w:val="clear" w:color="auto" w:fill="auto"/>
            <w:noWrap/>
            <w:vAlign w:val="bottom"/>
            <w:hideMark/>
          </w:tcPr>
          <w:p w:rsidR="00AC2605" w:rsidRPr="00AC2605" w:rsidRDefault="00AC2605" w:rsidP="00AC2605">
            <w:pPr>
              <w:suppressAutoHyphens w:val="0"/>
              <w:spacing w:before="40" w:after="40" w:line="220" w:lineRule="exact"/>
              <w:ind w:right="113"/>
              <w:jc w:val="right"/>
              <w:rPr>
                <w:sz w:val="18"/>
              </w:rPr>
            </w:pPr>
            <w:r w:rsidRPr="00AC2605">
              <w:rPr>
                <w:sz w:val="18"/>
              </w:rPr>
              <w:t>84</w:t>
            </w:r>
          </w:p>
        </w:tc>
        <w:tc>
          <w:tcPr>
            <w:tcW w:w="4393" w:type="dxa"/>
            <w:shd w:val="clear" w:color="auto" w:fill="auto"/>
            <w:vAlign w:val="bottom"/>
          </w:tcPr>
          <w:p w:rsidR="00AC2605" w:rsidRPr="00AC2605" w:rsidRDefault="00AC2605" w:rsidP="00DC5D2C">
            <w:pPr>
              <w:suppressAutoHyphens w:val="0"/>
              <w:spacing w:before="40" w:after="40" w:line="220" w:lineRule="exact"/>
              <w:ind w:left="287" w:right="113"/>
              <w:rPr>
                <w:sz w:val="18"/>
              </w:rPr>
            </w:pPr>
            <w:r w:rsidRPr="00AC2605">
              <w:rPr>
                <w:sz w:val="18"/>
              </w:rPr>
              <w:t>Malaria</w:t>
            </w:r>
          </w:p>
        </w:tc>
      </w:tr>
      <w:tr w:rsidR="00AC2605" w:rsidRPr="00AC2605" w:rsidTr="00DC5D2C">
        <w:tc>
          <w:tcPr>
            <w:tcW w:w="1560" w:type="dxa"/>
            <w:shd w:val="clear" w:color="auto" w:fill="auto"/>
            <w:noWrap/>
            <w:hideMark/>
          </w:tcPr>
          <w:p w:rsidR="00AC2605" w:rsidRPr="00AC2605" w:rsidRDefault="00AC2605" w:rsidP="00DC5D2C">
            <w:pPr>
              <w:suppressAutoHyphens w:val="0"/>
              <w:spacing w:before="40" w:after="40" w:line="220" w:lineRule="exact"/>
              <w:ind w:right="113"/>
              <w:jc w:val="right"/>
              <w:rPr>
                <w:sz w:val="18"/>
              </w:rPr>
            </w:pPr>
            <w:r w:rsidRPr="00AC2605">
              <w:rPr>
                <w:sz w:val="18"/>
              </w:rPr>
              <w:t>0</w:t>
            </w:r>
          </w:p>
        </w:tc>
        <w:tc>
          <w:tcPr>
            <w:tcW w:w="1417" w:type="dxa"/>
            <w:shd w:val="clear" w:color="auto" w:fill="auto"/>
            <w:noWrap/>
            <w:vAlign w:val="bottom"/>
            <w:hideMark/>
          </w:tcPr>
          <w:p w:rsidR="00AC2605" w:rsidRPr="00AC2605" w:rsidRDefault="00AC2605" w:rsidP="00AC2605">
            <w:pPr>
              <w:suppressAutoHyphens w:val="0"/>
              <w:spacing w:before="40" w:after="40" w:line="220" w:lineRule="exact"/>
              <w:ind w:right="113"/>
              <w:jc w:val="right"/>
              <w:rPr>
                <w:sz w:val="18"/>
              </w:rPr>
            </w:pPr>
            <w:r w:rsidRPr="00AC2605">
              <w:rPr>
                <w:sz w:val="18"/>
              </w:rPr>
              <w:t>0</w:t>
            </w:r>
          </w:p>
        </w:tc>
        <w:tc>
          <w:tcPr>
            <w:tcW w:w="4393" w:type="dxa"/>
            <w:shd w:val="clear" w:color="auto" w:fill="auto"/>
            <w:vAlign w:val="bottom"/>
          </w:tcPr>
          <w:p w:rsidR="00AC2605" w:rsidRPr="00AC2605" w:rsidRDefault="00AC2605" w:rsidP="00DC5D2C">
            <w:pPr>
              <w:suppressAutoHyphens w:val="0"/>
              <w:spacing w:before="40" w:after="40" w:line="220" w:lineRule="exact"/>
              <w:ind w:left="287" w:right="113"/>
              <w:rPr>
                <w:sz w:val="18"/>
              </w:rPr>
            </w:pPr>
            <w:r w:rsidRPr="00AC2605">
              <w:rPr>
                <w:sz w:val="18"/>
              </w:rPr>
              <w:t>Rubella (German measles)</w:t>
            </w:r>
          </w:p>
        </w:tc>
      </w:tr>
      <w:tr w:rsidR="00AC2605" w:rsidRPr="00AC2605" w:rsidTr="00DC5D2C">
        <w:tc>
          <w:tcPr>
            <w:tcW w:w="1560" w:type="dxa"/>
            <w:shd w:val="clear" w:color="auto" w:fill="auto"/>
            <w:noWrap/>
            <w:hideMark/>
          </w:tcPr>
          <w:p w:rsidR="00AC2605" w:rsidRPr="00AC2605" w:rsidRDefault="00AC2605" w:rsidP="00DC5D2C">
            <w:pPr>
              <w:suppressAutoHyphens w:val="0"/>
              <w:spacing w:before="40" w:after="40" w:line="220" w:lineRule="exact"/>
              <w:ind w:right="113"/>
              <w:jc w:val="right"/>
              <w:rPr>
                <w:sz w:val="18"/>
              </w:rPr>
            </w:pPr>
            <w:r w:rsidRPr="00AC2605">
              <w:rPr>
                <w:sz w:val="18"/>
              </w:rPr>
              <w:t>0</w:t>
            </w:r>
          </w:p>
        </w:tc>
        <w:tc>
          <w:tcPr>
            <w:tcW w:w="1417" w:type="dxa"/>
            <w:shd w:val="clear" w:color="auto" w:fill="auto"/>
            <w:noWrap/>
            <w:vAlign w:val="bottom"/>
            <w:hideMark/>
          </w:tcPr>
          <w:p w:rsidR="00AC2605" w:rsidRPr="00AC2605" w:rsidRDefault="00AC2605" w:rsidP="00AC2605">
            <w:pPr>
              <w:suppressAutoHyphens w:val="0"/>
              <w:spacing w:before="40" w:after="40" w:line="220" w:lineRule="exact"/>
              <w:ind w:right="113"/>
              <w:jc w:val="right"/>
              <w:rPr>
                <w:sz w:val="18"/>
              </w:rPr>
            </w:pPr>
            <w:r w:rsidRPr="00AC2605">
              <w:rPr>
                <w:sz w:val="18"/>
              </w:rPr>
              <w:t>0</w:t>
            </w:r>
          </w:p>
        </w:tc>
        <w:tc>
          <w:tcPr>
            <w:tcW w:w="4393" w:type="dxa"/>
            <w:shd w:val="clear" w:color="auto" w:fill="auto"/>
            <w:vAlign w:val="bottom"/>
          </w:tcPr>
          <w:p w:rsidR="00AC2605" w:rsidRPr="00AC2605" w:rsidRDefault="00AC2605" w:rsidP="00DC5D2C">
            <w:pPr>
              <w:suppressAutoHyphens w:val="0"/>
              <w:spacing w:before="40" w:after="40" w:line="220" w:lineRule="exact"/>
              <w:ind w:left="287" w:right="113"/>
              <w:rPr>
                <w:sz w:val="18"/>
              </w:rPr>
            </w:pPr>
            <w:r w:rsidRPr="00AC2605">
              <w:rPr>
                <w:sz w:val="18"/>
              </w:rPr>
              <w:t>Rubella, congenital</w:t>
            </w:r>
          </w:p>
        </w:tc>
      </w:tr>
      <w:tr w:rsidR="00AC2605" w:rsidRPr="00AC2605" w:rsidTr="00DC5D2C">
        <w:tc>
          <w:tcPr>
            <w:tcW w:w="1560" w:type="dxa"/>
            <w:shd w:val="clear" w:color="auto" w:fill="auto"/>
            <w:noWrap/>
            <w:hideMark/>
          </w:tcPr>
          <w:p w:rsidR="00AC2605" w:rsidRPr="00AC2605" w:rsidRDefault="00AC2605" w:rsidP="00DC5D2C">
            <w:pPr>
              <w:suppressAutoHyphens w:val="0"/>
              <w:spacing w:before="40" w:after="40" w:line="220" w:lineRule="exact"/>
              <w:ind w:right="113"/>
              <w:jc w:val="right"/>
              <w:rPr>
                <w:sz w:val="18"/>
              </w:rPr>
            </w:pPr>
            <w:r w:rsidRPr="00AC2605">
              <w:rPr>
                <w:sz w:val="18"/>
              </w:rPr>
              <w:t>13</w:t>
            </w:r>
          </w:p>
        </w:tc>
        <w:tc>
          <w:tcPr>
            <w:tcW w:w="1417" w:type="dxa"/>
            <w:shd w:val="clear" w:color="auto" w:fill="auto"/>
            <w:noWrap/>
            <w:vAlign w:val="bottom"/>
            <w:hideMark/>
          </w:tcPr>
          <w:p w:rsidR="00AC2605" w:rsidRPr="00AC2605" w:rsidRDefault="00AC2605" w:rsidP="00AC2605">
            <w:pPr>
              <w:suppressAutoHyphens w:val="0"/>
              <w:spacing w:before="40" w:after="40" w:line="220" w:lineRule="exact"/>
              <w:ind w:right="113"/>
              <w:jc w:val="right"/>
              <w:rPr>
                <w:sz w:val="18"/>
              </w:rPr>
            </w:pPr>
            <w:r w:rsidRPr="00AC2605">
              <w:rPr>
                <w:sz w:val="18"/>
              </w:rPr>
              <w:t>13</w:t>
            </w:r>
          </w:p>
        </w:tc>
        <w:tc>
          <w:tcPr>
            <w:tcW w:w="4393" w:type="dxa"/>
            <w:shd w:val="clear" w:color="auto" w:fill="auto"/>
            <w:vAlign w:val="bottom"/>
          </w:tcPr>
          <w:p w:rsidR="00AC2605" w:rsidRPr="00AC2605" w:rsidRDefault="00AC2605" w:rsidP="00DC5D2C">
            <w:pPr>
              <w:suppressAutoHyphens w:val="0"/>
              <w:spacing w:before="40" w:after="40" w:line="220" w:lineRule="exact"/>
              <w:ind w:left="287" w:right="113"/>
              <w:rPr>
                <w:sz w:val="18"/>
              </w:rPr>
            </w:pPr>
            <w:r w:rsidRPr="00AC2605">
              <w:rPr>
                <w:sz w:val="18"/>
              </w:rPr>
              <w:t>Echinococcosis</w:t>
            </w:r>
          </w:p>
        </w:tc>
      </w:tr>
      <w:tr w:rsidR="00AC2605" w:rsidRPr="00AC2605" w:rsidTr="00DC5D2C">
        <w:tc>
          <w:tcPr>
            <w:tcW w:w="1560" w:type="dxa"/>
            <w:shd w:val="clear" w:color="auto" w:fill="auto"/>
            <w:noWrap/>
            <w:hideMark/>
          </w:tcPr>
          <w:p w:rsidR="00AC2605" w:rsidRPr="00AC2605" w:rsidRDefault="00AC2605" w:rsidP="00DC5D2C">
            <w:pPr>
              <w:suppressAutoHyphens w:val="0"/>
              <w:spacing w:before="40" w:after="40" w:line="220" w:lineRule="exact"/>
              <w:ind w:right="113"/>
              <w:jc w:val="right"/>
              <w:rPr>
                <w:sz w:val="18"/>
              </w:rPr>
            </w:pPr>
            <w:r w:rsidRPr="00AC2605">
              <w:rPr>
                <w:sz w:val="18"/>
              </w:rPr>
              <w:t>86</w:t>
            </w:r>
          </w:p>
        </w:tc>
        <w:tc>
          <w:tcPr>
            <w:tcW w:w="1417" w:type="dxa"/>
            <w:shd w:val="clear" w:color="auto" w:fill="auto"/>
            <w:noWrap/>
            <w:vAlign w:val="bottom"/>
            <w:hideMark/>
          </w:tcPr>
          <w:p w:rsidR="00AC2605" w:rsidRPr="00AC2605" w:rsidRDefault="00AC2605" w:rsidP="00AC2605">
            <w:pPr>
              <w:suppressAutoHyphens w:val="0"/>
              <w:spacing w:before="40" w:after="40" w:line="220" w:lineRule="exact"/>
              <w:ind w:right="113"/>
              <w:jc w:val="right"/>
              <w:rPr>
                <w:sz w:val="18"/>
              </w:rPr>
            </w:pPr>
            <w:r w:rsidRPr="00AC2605">
              <w:rPr>
                <w:sz w:val="18"/>
              </w:rPr>
              <w:t>62</w:t>
            </w:r>
          </w:p>
        </w:tc>
        <w:tc>
          <w:tcPr>
            <w:tcW w:w="4393" w:type="dxa"/>
            <w:shd w:val="clear" w:color="auto" w:fill="auto"/>
            <w:vAlign w:val="bottom"/>
          </w:tcPr>
          <w:p w:rsidR="00AC2605" w:rsidRPr="00AC2605" w:rsidRDefault="00AC2605" w:rsidP="00DC5D2C">
            <w:pPr>
              <w:suppressAutoHyphens w:val="0"/>
              <w:spacing w:before="40" w:after="40" w:line="220" w:lineRule="exact"/>
              <w:ind w:left="287" w:right="113"/>
              <w:rPr>
                <w:sz w:val="18"/>
              </w:rPr>
            </w:pPr>
            <w:r w:rsidRPr="00AC2605">
              <w:rPr>
                <w:sz w:val="18"/>
              </w:rPr>
              <w:t>Hepatitis acute A</w:t>
            </w:r>
          </w:p>
        </w:tc>
      </w:tr>
      <w:tr w:rsidR="00AC2605" w:rsidRPr="00AC2605" w:rsidTr="00DC5D2C">
        <w:tc>
          <w:tcPr>
            <w:tcW w:w="1560" w:type="dxa"/>
            <w:shd w:val="clear" w:color="auto" w:fill="auto"/>
            <w:noWrap/>
            <w:hideMark/>
          </w:tcPr>
          <w:p w:rsidR="00AC2605" w:rsidRPr="00AC2605" w:rsidRDefault="00AC2605" w:rsidP="00DC5D2C">
            <w:pPr>
              <w:suppressAutoHyphens w:val="0"/>
              <w:spacing w:before="40" w:after="40" w:line="220" w:lineRule="exact"/>
              <w:ind w:right="113"/>
              <w:jc w:val="right"/>
              <w:rPr>
                <w:sz w:val="18"/>
              </w:rPr>
            </w:pPr>
            <w:r w:rsidRPr="00AC2605">
              <w:rPr>
                <w:sz w:val="18"/>
              </w:rPr>
              <w:t>27</w:t>
            </w:r>
          </w:p>
        </w:tc>
        <w:tc>
          <w:tcPr>
            <w:tcW w:w="1417" w:type="dxa"/>
            <w:shd w:val="clear" w:color="auto" w:fill="auto"/>
            <w:noWrap/>
            <w:vAlign w:val="bottom"/>
            <w:hideMark/>
          </w:tcPr>
          <w:p w:rsidR="00AC2605" w:rsidRPr="00AC2605" w:rsidRDefault="00AC2605" w:rsidP="00AC2605">
            <w:pPr>
              <w:suppressAutoHyphens w:val="0"/>
              <w:spacing w:before="40" w:after="40" w:line="220" w:lineRule="exact"/>
              <w:ind w:right="113"/>
              <w:jc w:val="right"/>
              <w:rPr>
                <w:sz w:val="18"/>
              </w:rPr>
            </w:pPr>
            <w:r w:rsidRPr="00AC2605">
              <w:rPr>
                <w:sz w:val="18"/>
              </w:rPr>
              <w:t>22</w:t>
            </w:r>
          </w:p>
        </w:tc>
        <w:tc>
          <w:tcPr>
            <w:tcW w:w="4393" w:type="dxa"/>
            <w:shd w:val="clear" w:color="auto" w:fill="auto"/>
            <w:vAlign w:val="bottom"/>
          </w:tcPr>
          <w:p w:rsidR="00AC2605" w:rsidRPr="00AC2605" w:rsidRDefault="00AC2605" w:rsidP="00DC5D2C">
            <w:pPr>
              <w:suppressAutoHyphens w:val="0"/>
              <w:spacing w:before="40" w:after="40" w:line="220" w:lineRule="exact"/>
              <w:ind w:left="287" w:right="113"/>
              <w:rPr>
                <w:sz w:val="18"/>
              </w:rPr>
            </w:pPr>
            <w:r w:rsidRPr="00AC2605">
              <w:rPr>
                <w:sz w:val="18"/>
              </w:rPr>
              <w:t>Hepatitis acute B</w:t>
            </w:r>
          </w:p>
        </w:tc>
      </w:tr>
      <w:tr w:rsidR="00AC2605" w:rsidRPr="00AC2605" w:rsidTr="00DC5D2C">
        <w:tc>
          <w:tcPr>
            <w:tcW w:w="1560" w:type="dxa"/>
            <w:shd w:val="clear" w:color="auto" w:fill="auto"/>
            <w:noWrap/>
            <w:hideMark/>
          </w:tcPr>
          <w:p w:rsidR="00AC2605" w:rsidRPr="00AC2605" w:rsidRDefault="00AC2605" w:rsidP="00DC5D2C">
            <w:pPr>
              <w:suppressAutoHyphens w:val="0"/>
              <w:spacing w:before="40" w:after="40" w:line="220" w:lineRule="exact"/>
              <w:ind w:right="113"/>
              <w:jc w:val="right"/>
              <w:rPr>
                <w:sz w:val="18"/>
              </w:rPr>
            </w:pPr>
            <w:r w:rsidRPr="00AC2605">
              <w:rPr>
                <w:sz w:val="18"/>
              </w:rPr>
              <w:t>3</w:t>
            </w:r>
          </w:p>
        </w:tc>
        <w:tc>
          <w:tcPr>
            <w:tcW w:w="1417" w:type="dxa"/>
            <w:shd w:val="clear" w:color="auto" w:fill="auto"/>
            <w:noWrap/>
            <w:vAlign w:val="bottom"/>
            <w:hideMark/>
          </w:tcPr>
          <w:p w:rsidR="00AC2605" w:rsidRPr="00AC2605" w:rsidRDefault="00AC2605" w:rsidP="00AC2605">
            <w:pPr>
              <w:suppressAutoHyphens w:val="0"/>
              <w:spacing w:before="40" w:after="40" w:line="220" w:lineRule="exact"/>
              <w:ind w:right="113"/>
              <w:jc w:val="right"/>
              <w:rPr>
                <w:sz w:val="18"/>
              </w:rPr>
            </w:pPr>
            <w:r w:rsidRPr="00AC2605">
              <w:rPr>
                <w:sz w:val="18"/>
              </w:rPr>
              <w:t>3</w:t>
            </w:r>
          </w:p>
        </w:tc>
        <w:tc>
          <w:tcPr>
            <w:tcW w:w="4393" w:type="dxa"/>
            <w:shd w:val="clear" w:color="auto" w:fill="auto"/>
            <w:vAlign w:val="bottom"/>
          </w:tcPr>
          <w:p w:rsidR="00AC2605" w:rsidRPr="00AC2605" w:rsidRDefault="00AC2605" w:rsidP="00DC5D2C">
            <w:pPr>
              <w:suppressAutoHyphens w:val="0"/>
              <w:spacing w:before="40" w:after="40" w:line="220" w:lineRule="exact"/>
              <w:ind w:left="287" w:right="113"/>
              <w:rPr>
                <w:sz w:val="18"/>
              </w:rPr>
            </w:pPr>
            <w:r w:rsidRPr="00AC2605">
              <w:rPr>
                <w:sz w:val="18"/>
              </w:rPr>
              <w:t>Hepatitis acute C</w:t>
            </w:r>
          </w:p>
        </w:tc>
      </w:tr>
      <w:tr w:rsidR="00AC2605" w:rsidRPr="00AC2605" w:rsidTr="00DC5D2C">
        <w:tc>
          <w:tcPr>
            <w:tcW w:w="1560" w:type="dxa"/>
            <w:shd w:val="clear" w:color="auto" w:fill="auto"/>
            <w:noWrap/>
            <w:hideMark/>
          </w:tcPr>
          <w:p w:rsidR="00AC2605" w:rsidRPr="00AC2605" w:rsidRDefault="00AC2605" w:rsidP="00DC5D2C">
            <w:pPr>
              <w:suppressAutoHyphens w:val="0"/>
              <w:spacing w:before="40" w:after="40" w:line="220" w:lineRule="exact"/>
              <w:ind w:right="113"/>
              <w:jc w:val="right"/>
              <w:rPr>
                <w:sz w:val="18"/>
              </w:rPr>
            </w:pPr>
            <w:r w:rsidRPr="00AC2605">
              <w:rPr>
                <w:sz w:val="18"/>
              </w:rPr>
              <w:t xml:space="preserve"> - </w:t>
            </w:r>
          </w:p>
        </w:tc>
        <w:tc>
          <w:tcPr>
            <w:tcW w:w="1417" w:type="dxa"/>
            <w:shd w:val="clear" w:color="auto" w:fill="auto"/>
            <w:noWrap/>
            <w:vAlign w:val="bottom"/>
            <w:hideMark/>
          </w:tcPr>
          <w:p w:rsidR="00AC2605" w:rsidRPr="00AC2605" w:rsidRDefault="00AC2605" w:rsidP="00AC2605">
            <w:pPr>
              <w:suppressAutoHyphens w:val="0"/>
              <w:spacing w:before="40" w:after="40" w:line="220" w:lineRule="exact"/>
              <w:ind w:right="113"/>
              <w:jc w:val="right"/>
              <w:rPr>
                <w:sz w:val="18"/>
              </w:rPr>
            </w:pPr>
            <w:r w:rsidRPr="00AC2605">
              <w:rPr>
                <w:sz w:val="18"/>
              </w:rPr>
              <w:t xml:space="preserve"> - </w:t>
            </w:r>
          </w:p>
        </w:tc>
        <w:tc>
          <w:tcPr>
            <w:tcW w:w="4393" w:type="dxa"/>
            <w:shd w:val="clear" w:color="auto" w:fill="auto"/>
            <w:vAlign w:val="bottom"/>
          </w:tcPr>
          <w:p w:rsidR="00AC2605" w:rsidRPr="00AC2605" w:rsidRDefault="00AC2605" w:rsidP="00DC5D2C">
            <w:pPr>
              <w:suppressAutoHyphens w:val="0"/>
              <w:spacing w:before="40" w:after="40" w:line="220" w:lineRule="exact"/>
              <w:ind w:left="287" w:right="113"/>
              <w:rPr>
                <w:sz w:val="18"/>
              </w:rPr>
            </w:pPr>
            <w:r w:rsidRPr="00AC2605">
              <w:rPr>
                <w:sz w:val="18"/>
              </w:rPr>
              <w:t>Hepatitis, other</w:t>
            </w:r>
          </w:p>
        </w:tc>
      </w:tr>
      <w:tr w:rsidR="00AC2605" w:rsidRPr="00AC2605" w:rsidTr="00DC5D2C">
        <w:tc>
          <w:tcPr>
            <w:tcW w:w="1560" w:type="dxa"/>
            <w:shd w:val="clear" w:color="auto" w:fill="auto"/>
            <w:noWrap/>
            <w:hideMark/>
          </w:tcPr>
          <w:p w:rsidR="00AC2605" w:rsidRPr="00AC2605" w:rsidRDefault="00AC2605" w:rsidP="00DC5D2C">
            <w:pPr>
              <w:suppressAutoHyphens w:val="0"/>
              <w:spacing w:before="40" w:after="40" w:line="220" w:lineRule="exact"/>
              <w:ind w:right="113"/>
              <w:jc w:val="right"/>
              <w:rPr>
                <w:sz w:val="18"/>
              </w:rPr>
            </w:pPr>
            <w:r w:rsidRPr="00AC2605">
              <w:rPr>
                <w:sz w:val="18"/>
              </w:rPr>
              <w:t>1</w:t>
            </w:r>
          </w:p>
        </w:tc>
        <w:tc>
          <w:tcPr>
            <w:tcW w:w="1417" w:type="dxa"/>
            <w:shd w:val="clear" w:color="auto" w:fill="auto"/>
            <w:noWrap/>
            <w:vAlign w:val="bottom"/>
            <w:hideMark/>
          </w:tcPr>
          <w:p w:rsidR="00AC2605" w:rsidRPr="00AC2605" w:rsidRDefault="00AC2605" w:rsidP="00AC2605">
            <w:pPr>
              <w:suppressAutoHyphens w:val="0"/>
              <w:spacing w:before="40" w:after="40" w:line="220" w:lineRule="exact"/>
              <w:ind w:right="113"/>
              <w:jc w:val="right"/>
              <w:rPr>
                <w:sz w:val="18"/>
              </w:rPr>
            </w:pPr>
            <w:r w:rsidRPr="00AC2605">
              <w:rPr>
                <w:sz w:val="18"/>
              </w:rPr>
              <w:t>1</w:t>
            </w:r>
          </w:p>
        </w:tc>
        <w:tc>
          <w:tcPr>
            <w:tcW w:w="4393" w:type="dxa"/>
            <w:shd w:val="clear" w:color="auto" w:fill="auto"/>
            <w:vAlign w:val="bottom"/>
          </w:tcPr>
          <w:p w:rsidR="00AC2605" w:rsidRPr="00AC2605" w:rsidRDefault="00AC2605" w:rsidP="00DC5D2C">
            <w:pPr>
              <w:suppressAutoHyphens w:val="0"/>
              <w:spacing w:before="40" w:after="40" w:line="220" w:lineRule="exact"/>
              <w:ind w:left="287" w:right="113"/>
              <w:rPr>
                <w:sz w:val="18"/>
              </w:rPr>
            </w:pPr>
            <w:r w:rsidRPr="00AC2605">
              <w:rPr>
                <w:sz w:val="18"/>
              </w:rPr>
              <w:t xml:space="preserve">Measles </w:t>
            </w:r>
          </w:p>
        </w:tc>
      </w:tr>
      <w:tr w:rsidR="00AC2605" w:rsidRPr="00AC2605" w:rsidTr="00DC5D2C">
        <w:tc>
          <w:tcPr>
            <w:tcW w:w="1560" w:type="dxa"/>
            <w:shd w:val="clear" w:color="auto" w:fill="auto"/>
            <w:noWrap/>
            <w:hideMark/>
          </w:tcPr>
          <w:p w:rsidR="00AC2605" w:rsidRPr="00AC2605" w:rsidRDefault="00AC2605" w:rsidP="00DC5D2C">
            <w:pPr>
              <w:suppressAutoHyphens w:val="0"/>
              <w:spacing w:before="40" w:after="40" w:line="220" w:lineRule="exact"/>
              <w:ind w:right="113"/>
              <w:jc w:val="right"/>
              <w:rPr>
                <w:sz w:val="18"/>
              </w:rPr>
            </w:pPr>
            <w:r w:rsidRPr="00AC2605">
              <w:rPr>
                <w:sz w:val="18"/>
              </w:rPr>
              <w:t>0</w:t>
            </w:r>
          </w:p>
        </w:tc>
        <w:tc>
          <w:tcPr>
            <w:tcW w:w="1417" w:type="dxa"/>
            <w:shd w:val="clear" w:color="auto" w:fill="auto"/>
            <w:noWrap/>
            <w:vAlign w:val="bottom"/>
            <w:hideMark/>
          </w:tcPr>
          <w:p w:rsidR="00AC2605" w:rsidRPr="00AC2605" w:rsidRDefault="00AC2605" w:rsidP="00AC2605">
            <w:pPr>
              <w:suppressAutoHyphens w:val="0"/>
              <w:spacing w:before="40" w:after="40" w:line="220" w:lineRule="exact"/>
              <w:ind w:right="113"/>
              <w:jc w:val="right"/>
              <w:rPr>
                <w:sz w:val="18"/>
              </w:rPr>
            </w:pPr>
            <w:r w:rsidRPr="00AC2605">
              <w:rPr>
                <w:sz w:val="18"/>
              </w:rPr>
              <w:t>0</w:t>
            </w:r>
          </w:p>
        </w:tc>
        <w:tc>
          <w:tcPr>
            <w:tcW w:w="4393" w:type="dxa"/>
            <w:shd w:val="clear" w:color="auto" w:fill="auto"/>
            <w:vAlign w:val="bottom"/>
          </w:tcPr>
          <w:p w:rsidR="00AC2605" w:rsidRPr="00AC2605" w:rsidRDefault="00AC2605" w:rsidP="00DC5D2C">
            <w:pPr>
              <w:suppressAutoHyphens w:val="0"/>
              <w:spacing w:before="40" w:after="40" w:line="220" w:lineRule="exact"/>
              <w:ind w:left="287" w:right="113"/>
              <w:rPr>
                <w:sz w:val="18"/>
              </w:rPr>
            </w:pPr>
            <w:r w:rsidRPr="00AC2605">
              <w:rPr>
                <w:sz w:val="18"/>
              </w:rPr>
              <w:t>Yellow fever</w:t>
            </w:r>
          </w:p>
        </w:tc>
      </w:tr>
      <w:tr w:rsidR="00AC2605" w:rsidRPr="00AC2605" w:rsidTr="00DC5D2C">
        <w:tc>
          <w:tcPr>
            <w:tcW w:w="1560" w:type="dxa"/>
            <w:shd w:val="clear" w:color="auto" w:fill="auto"/>
            <w:noWrap/>
            <w:hideMark/>
          </w:tcPr>
          <w:p w:rsidR="00AC2605" w:rsidRPr="00AC2605" w:rsidRDefault="00AC2605" w:rsidP="00DC5D2C">
            <w:pPr>
              <w:suppressAutoHyphens w:val="0"/>
              <w:spacing w:before="40" w:after="40" w:line="220" w:lineRule="exact"/>
              <w:ind w:right="113"/>
              <w:jc w:val="right"/>
              <w:rPr>
                <w:sz w:val="18"/>
              </w:rPr>
            </w:pPr>
            <w:r w:rsidRPr="00AC2605">
              <w:rPr>
                <w:sz w:val="18"/>
              </w:rPr>
              <w:t>15</w:t>
            </w:r>
          </w:p>
        </w:tc>
        <w:tc>
          <w:tcPr>
            <w:tcW w:w="1417" w:type="dxa"/>
            <w:shd w:val="clear" w:color="auto" w:fill="auto"/>
            <w:noWrap/>
            <w:vAlign w:val="bottom"/>
            <w:hideMark/>
          </w:tcPr>
          <w:p w:rsidR="00AC2605" w:rsidRPr="00AC2605" w:rsidRDefault="00AC2605" w:rsidP="00AC2605">
            <w:pPr>
              <w:suppressAutoHyphens w:val="0"/>
              <w:spacing w:before="40" w:after="40" w:line="220" w:lineRule="exact"/>
              <w:ind w:right="113"/>
              <w:jc w:val="right"/>
              <w:rPr>
                <w:sz w:val="18"/>
              </w:rPr>
            </w:pPr>
            <w:r w:rsidRPr="00AC2605">
              <w:rPr>
                <w:sz w:val="18"/>
              </w:rPr>
              <w:t>17</w:t>
            </w:r>
          </w:p>
        </w:tc>
        <w:tc>
          <w:tcPr>
            <w:tcW w:w="4393" w:type="dxa"/>
            <w:shd w:val="clear" w:color="auto" w:fill="auto"/>
            <w:vAlign w:val="bottom"/>
          </w:tcPr>
          <w:p w:rsidR="00AC2605" w:rsidRPr="00AC2605" w:rsidRDefault="00AC2605" w:rsidP="00DC5D2C">
            <w:pPr>
              <w:suppressAutoHyphens w:val="0"/>
              <w:spacing w:before="40" w:after="40" w:line="220" w:lineRule="exact"/>
              <w:ind w:left="287" w:right="113"/>
              <w:rPr>
                <w:sz w:val="18"/>
              </w:rPr>
            </w:pPr>
            <w:r w:rsidRPr="00AC2605">
              <w:rPr>
                <w:sz w:val="18"/>
              </w:rPr>
              <w:t>Whooping cough</w:t>
            </w:r>
          </w:p>
        </w:tc>
      </w:tr>
      <w:tr w:rsidR="00AC2605" w:rsidRPr="00AC2605" w:rsidTr="00DC5D2C">
        <w:tc>
          <w:tcPr>
            <w:tcW w:w="1560" w:type="dxa"/>
            <w:shd w:val="clear" w:color="auto" w:fill="auto"/>
            <w:noWrap/>
            <w:hideMark/>
          </w:tcPr>
          <w:p w:rsidR="00AC2605" w:rsidRPr="00AC2605" w:rsidRDefault="00AC2605" w:rsidP="00DC5D2C">
            <w:pPr>
              <w:suppressAutoHyphens w:val="0"/>
              <w:spacing w:before="40" w:after="40" w:line="220" w:lineRule="exact"/>
              <w:ind w:right="113"/>
              <w:jc w:val="right"/>
              <w:rPr>
                <w:sz w:val="18"/>
              </w:rPr>
            </w:pPr>
            <w:r w:rsidRPr="00AC2605">
              <w:rPr>
                <w:sz w:val="18"/>
              </w:rPr>
              <w:t>29</w:t>
            </w:r>
          </w:p>
        </w:tc>
        <w:tc>
          <w:tcPr>
            <w:tcW w:w="1417" w:type="dxa"/>
            <w:shd w:val="clear" w:color="auto" w:fill="auto"/>
            <w:noWrap/>
            <w:vAlign w:val="bottom"/>
            <w:hideMark/>
          </w:tcPr>
          <w:p w:rsidR="00AC2605" w:rsidRPr="00AC2605" w:rsidRDefault="00AC2605" w:rsidP="00AC2605">
            <w:pPr>
              <w:suppressAutoHyphens w:val="0"/>
              <w:spacing w:before="40" w:after="40" w:line="220" w:lineRule="exact"/>
              <w:ind w:right="113"/>
              <w:jc w:val="right"/>
              <w:rPr>
                <w:sz w:val="18"/>
              </w:rPr>
            </w:pPr>
            <w:r w:rsidRPr="00AC2605">
              <w:rPr>
                <w:sz w:val="18"/>
              </w:rPr>
              <w:t>35</w:t>
            </w:r>
          </w:p>
        </w:tc>
        <w:tc>
          <w:tcPr>
            <w:tcW w:w="4393" w:type="dxa"/>
            <w:shd w:val="clear" w:color="auto" w:fill="auto"/>
            <w:vAlign w:val="bottom"/>
          </w:tcPr>
          <w:p w:rsidR="00AC2605" w:rsidRPr="00AC2605" w:rsidRDefault="00AC2605" w:rsidP="00DC5D2C">
            <w:pPr>
              <w:suppressAutoHyphens w:val="0"/>
              <w:spacing w:before="40" w:after="40" w:line="220" w:lineRule="exact"/>
              <w:ind w:left="287" w:right="113"/>
              <w:rPr>
                <w:sz w:val="18"/>
              </w:rPr>
            </w:pPr>
            <w:r w:rsidRPr="00AC2605">
              <w:rPr>
                <w:sz w:val="18"/>
              </w:rPr>
              <w:t>Legionellosis</w:t>
            </w:r>
          </w:p>
        </w:tc>
      </w:tr>
      <w:tr w:rsidR="00AC2605" w:rsidRPr="00AC2605" w:rsidTr="00DC5D2C">
        <w:tc>
          <w:tcPr>
            <w:tcW w:w="1560" w:type="dxa"/>
            <w:shd w:val="clear" w:color="auto" w:fill="auto"/>
            <w:noWrap/>
            <w:hideMark/>
          </w:tcPr>
          <w:p w:rsidR="00AC2605" w:rsidRPr="00AC2605" w:rsidRDefault="00AC2605" w:rsidP="00DC5D2C">
            <w:pPr>
              <w:suppressAutoHyphens w:val="0"/>
              <w:spacing w:before="40" w:after="40" w:line="220" w:lineRule="exact"/>
              <w:ind w:right="113"/>
              <w:jc w:val="right"/>
              <w:rPr>
                <w:sz w:val="18"/>
              </w:rPr>
            </w:pPr>
            <w:r w:rsidRPr="00AC2605">
              <w:rPr>
                <w:sz w:val="18"/>
              </w:rPr>
              <w:t>86</w:t>
            </w:r>
          </w:p>
        </w:tc>
        <w:tc>
          <w:tcPr>
            <w:tcW w:w="1417" w:type="dxa"/>
            <w:shd w:val="clear" w:color="auto" w:fill="auto"/>
            <w:noWrap/>
            <w:vAlign w:val="bottom"/>
            <w:hideMark/>
          </w:tcPr>
          <w:p w:rsidR="00AC2605" w:rsidRPr="00AC2605" w:rsidRDefault="00AC2605" w:rsidP="00AC2605">
            <w:pPr>
              <w:suppressAutoHyphens w:val="0"/>
              <w:spacing w:before="40" w:after="40" w:line="220" w:lineRule="exact"/>
              <w:ind w:right="113"/>
              <w:jc w:val="right"/>
              <w:rPr>
                <w:sz w:val="18"/>
              </w:rPr>
            </w:pPr>
            <w:r w:rsidRPr="00AC2605">
              <w:rPr>
                <w:sz w:val="18"/>
              </w:rPr>
              <w:t>74</w:t>
            </w:r>
          </w:p>
        </w:tc>
        <w:tc>
          <w:tcPr>
            <w:tcW w:w="4393" w:type="dxa"/>
            <w:shd w:val="clear" w:color="auto" w:fill="auto"/>
            <w:vAlign w:val="bottom"/>
          </w:tcPr>
          <w:p w:rsidR="00AC2605" w:rsidRPr="00AC2605" w:rsidRDefault="00AC2605" w:rsidP="00DC5D2C">
            <w:pPr>
              <w:suppressAutoHyphens w:val="0"/>
              <w:spacing w:before="40" w:after="40" w:line="220" w:lineRule="exact"/>
              <w:ind w:left="287" w:right="113"/>
              <w:rPr>
                <w:sz w:val="18"/>
              </w:rPr>
            </w:pPr>
            <w:r w:rsidRPr="00AC2605">
              <w:rPr>
                <w:sz w:val="18"/>
              </w:rPr>
              <w:t>Leishmaniasis (dermal, visceral)</w:t>
            </w:r>
          </w:p>
        </w:tc>
      </w:tr>
      <w:tr w:rsidR="00AC2605" w:rsidRPr="00AC2605" w:rsidTr="00DC5D2C">
        <w:tc>
          <w:tcPr>
            <w:tcW w:w="1560" w:type="dxa"/>
            <w:shd w:val="clear" w:color="auto" w:fill="auto"/>
            <w:noWrap/>
            <w:hideMark/>
          </w:tcPr>
          <w:p w:rsidR="00AC2605" w:rsidRPr="00AC2605" w:rsidRDefault="00AC2605" w:rsidP="00DC5D2C">
            <w:pPr>
              <w:suppressAutoHyphens w:val="0"/>
              <w:spacing w:before="40" w:after="40" w:line="220" w:lineRule="exact"/>
              <w:ind w:right="113"/>
              <w:jc w:val="right"/>
              <w:rPr>
                <w:sz w:val="18"/>
              </w:rPr>
            </w:pPr>
            <w:r w:rsidRPr="00AC2605">
              <w:rPr>
                <w:sz w:val="18"/>
              </w:rPr>
              <w:t>36</w:t>
            </w:r>
          </w:p>
        </w:tc>
        <w:tc>
          <w:tcPr>
            <w:tcW w:w="1417" w:type="dxa"/>
            <w:shd w:val="clear" w:color="auto" w:fill="auto"/>
            <w:noWrap/>
            <w:vAlign w:val="bottom"/>
            <w:hideMark/>
          </w:tcPr>
          <w:p w:rsidR="00AC2605" w:rsidRPr="00AC2605" w:rsidRDefault="00AC2605" w:rsidP="00AC2605">
            <w:pPr>
              <w:suppressAutoHyphens w:val="0"/>
              <w:spacing w:before="40" w:after="40" w:line="220" w:lineRule="exact"/>
              <w:ind w:right="113"/>
              <w:jc w:val="right"/>
              <w:rPr>
                <w:sz w:val="18"/>
              </w:rPr>
            </w:pPr>
            <w:r w:rsidRPr="00AC2605">
              <w:rPr>
                <w:sz w:val="18"/>
              </w:rPr>
              <w:t>35</w:t>
            </w:r>
          </w:p>
        </w:tc>
        <w:tc>
          <w:tcPr>
            <w:tcW w:w="4393" w:type="dxa"/>
            <w:shd w:val="clear" w:color="auto" w:fill="auto"/>
            <w:vAlign w:val="bottom"/>
          </w:tcPr>
          <w:p w:rsidR="00AC2605" w:rsidRPr="00AC2605" w:rsidRDefault="00AC2605" w:rsidP="00DC5D2C">
            <w:pPr>
              <w:suppressAutoHyphens w:val="0"/>
              <w:spacing w:before="40" w:after="40" w:line="220" w:lineRule="exact"/>
              <w:ind w:left="287" w:right="113"/>
              <w:rPr>
                <w:sz w:val="18"/>
              </w:rPr>
            </w:pPr>
            <w:r w:rsidRPr="00AC2605">
              <w:rPr>
                <w:sz w:val="18"/>
              </w:rPr>
              <w:t>Leptospirosis</w:t>
            </w:r>
          </w:p>
        </w:tc>
      </w:tr>
      <w:tr w:rsidR="00AC2605" w:rsidRPr="00AC2605" w:rsidTr="00DC5D2C">
        <w:tc>
          <w:tcPr>
            <w:tcW w:w="1560" w:type="dxa"/>
            <w:shd w:val="clear" w:color="auto" w:fill="auto"/>
            <w:noWrap/>
            <w:hideMark/>
          </w:tcPr>
          <w:p w:rsidR="00AC2605" w:rsidRPr="00AC2605" w:rsidRDefault="00AC2605" w:rsidP="00DC5D2C">
            <w:pPr>
              <w:suppressAutoHyphens w:val="0"/>
              <w:spacing w:before="40" w:after="40" w:line="220" w:lineRule="exact"/>
              <w:ind w:right="113"/>
              <w:jc w:val="right"/>
              <w:rPr>
                <w:sz w:val="18"/>
              </w:rPr>
            </w:pPr>
            <w:r w:rsidRPr="00AC2605">
              <w:rPr>
                <w:sz w:val="18"/>
              </w:rPr>
              <w:t>10</w:t>
            </w:r>
          </w:p>
        </w:tc>
        <w:tc>
          <w:tcPr>
            <w:tcW w:w="1417" w:type="dxa"/>
            <w:shd w:val="clear" w:color="auto" w:fill="auto"/>
            <w:noWrap/>
            <w:vAlign w:val="bottom"/>
            <w:hideMark/>
          </w:tcPr>
          <w:p w:rsidR="00AC2605" w:rsidRPr="00AC2605" w:rsidRDefault="00AC2605" w:rsidP="00AC2605">
            <w:pPr>
              <w:suppressAutoHyphens w:val="0"/>
              <w:spacing w:before="40" w:after="40" w:line="220" w:lineRule="exact"/>
              <w:ind w:right="113"/>
              <w:jc w:val="right"/>
              <w:rPr>
                <w:sz w:val="18"/>
              </w:rPr>
            </w:pPr>
            <w:r w:rsidRPr="00AC2605">
              <w:rPr>
                <w:sz w:val="18"/>
              </w:rPr>
              <w:t>33</w:t>
            </w:r>
          </w:p>
        </w:tc>
        <w:tc>
          <w:tcPr>
            <w:tcW w:w="4393" w:type="dxa"/>
            <w:shd w:val="clear" w:color="auto" w:fill="auto"/>
            <w:vAlign w:val="bottom"/>
          </w:tcPr>
          <w:p w:rsidR="00AC2605" w:rsidRPr="00AC2605" w:rsidRDefault="00AC2605" w:rsidP="00DC5D2C">
            <w:pPr>
              <w:suppressAutoHyphens w:val="0"/>
              <w:spacing w:before="40" w:after="40" w:line="220" w:lineRule="exact"/>
              <w:ind w:left="287" w:right="113"/>
              <w:rPr>
                <w:sz w:val="18"/>
              </w:rPr>
            </w:pPr>
            <w:r w:rsidRPr="00AC2605">
              <w:rPr>
                <w:sz w:val="18"/>
              </w:rPr>
              <w:t>Listeriosis</w:t>
            </w:r>
          </w:p>
        </w:tc>
      </w:tr>
      <w:tr w:rsidR="00AC2605" w:rsidRPr="00AC2605" w:rsidTr="00DC5D2C">
        <w:tc>
          <w:tcPr>
            <w:tcW w:w="1560" w:type="dxa"/>
            <w:shd w:val="clear" w:color="auto" w:fill="auto"/>
            <w:noWrap/>
            <w:hideMark/>
          </w:tcPr>
          <w:p w:rsidR="00AC2605" w:rsidRPr="00AC2605" w:rsidRDefault="00AC2605" w:rsidP="00DC5D2C">
            <w:pPr>
              <w:suppressAutoHyphens w:val="0"/>
              <w:spacing w:before="40" w:after="40" w:line="220" w:lineRule="exact"/>
              <w:ind w:right="113"/>
              <w:jc w:val="right"/>
              <w:rPr>
                <w:sz w:val="18"/>
              </w:rPr>
            </w:pPr>
            <w:r w:rsidRPr="00AC2605">
              <w:rPr>
                <w:sz w:val="18"/>
              </w:rPr>
              <w:t>0</w:t>
            </w:r>
          </w:p>
        </w:tc>
        <w:tc>
          <w:tcPr>
            <w:tcW w:w="1417" w:type="dxa"/>
            <w:shd w:val="clear" w:color="auto" w:fill="auto"/>
            <w:noWrap/>
            <w:vAlign w:val="bottom"/>
            <w:hideMark/>
          </w:tcPr>
          <w:p w:rsidR="00AC2605" w:rsidRPr="00AC2605" w:rsidRDefault="00AC2605" w:rsidP="00AC2605">
            <w:pPr>
              <w:suppressAutoHyphens w:val="0"/>
              <w:spacing w:before="40" w:after="40" w:line="220" w:lineRule="exact"/>
              <w:ind w:right="113"/>
              <w:jc w:val="right"/>
              <w:rPr>
                <w:sz w:val="18"/>
              </w:rPr>
            </w:pPr>
            <w:r w:rsidRPr="00AC2605">
              <w:rPr>
                <w:sz w:val="18"/>
              </w:rPr>
              <w:t>0</w:t>
            </w:r>
          </w:p>
        </w:tc>
        <w:tc>
          <w:tcPr>
            <w:tcW w:w="4393" w:type="dxa"/>
            <w:shd w:val="clear" w:color="auto" w:fill="auto"/>
            <w:vAlign w:val="bottom"/>
          </w:tcPr>
          <w:p w:rsidR="00AC2605" w:rsidRPr="00AC2605" w:rsidRDefault="00AC2605" w:rsidP="00DC5D2C">
            <w:pPr>
              <w:suppressAutoHyphens w:val="0"/>
              <w:spacing w:before="40" w:after="40" w:line="220" w:lineRule="exact"/>
              <w:ind w:left="287" w:right="113"/>
              <w:rPr>
                <w:sz w:val="18"/>
              </w:rPr>
            </w:pPr>
            <w:r w:rsidRPr="00AC2605">
              <w:rPr>
                <w:sz w:val="18"/>
              </w:rPr>
              <w:t>Rabies</w:t>
            </w:r>
          </w:p>
        </w:tc>
      </w:tr>
      <w:tr w:rsidR="00AC2605" w:rsidRPr="00AC2605" w:rsidTr="00DC5D2C">
        <w:tc>
          <w:tcPr>
            <w:tcW w:w="1560" w:type="dxa"/>
            <w:shd w:val="clear" w:color="auto" w:fill="auto"/>
            <w:noWrap/>
            <w:hideMark/>
          </w:tcPr>
          <w:p w:rsidR="00AC2605" w:rsidRPr="00AC2605" w:rsidRDefault="00AC2605" w:rsidP="00DC5D2C">
            <w:pPr>
              <w:suppressAutoHyphens w:val="0"/>
              <w:spacing w:before="40" w:after="40" w:line="220" w:lineRule="exact"/>
              <w:ind w:right="113"/>
              <w:jc w:val="right"/>
              <w:rPr>
                <w:sz w:val="18"/>
              </w:rPr>
            </w:pPr>
            <w:r w:rsidRPr="00AC2605">
              <w:rPr>
                <w:sz w:val="18"/>
              </w:rPr>
              <w:t>3</w:t>
            </w:r>
          </w:p>
        </w:tc>
        <w:tc>
          <w:tcPr>
            <w:tcW w:w="1417" w:type="dxa"/>
            <w:shd w:val="clear" w:color="auto" w:fill="auto"/>
            <w:noWrap/>
            <w:vAlign w:val="bottom"/>
            <w:hideMark/>
          </w:tcPr>
          <w:p w:rsidR="00AC2605" w:rsidRPr="00AC2605" w:rsidRDefault="00AC2605" w:rsidP="00AC2605">
            <w:pPr>
              <w:suppressAutoHyphens w:val="0"/>
              <w:spacing w:before="40" w:after="40" w:line="220" w:lineRule="exact"/>
              <w:ind w:right="113"/>
              <w:jc w:val="right"/>
              <w:rPr>
                <w:sz w:val="18"/>
              </w:rPr>
            </w:pPr>
            <w:r w:rsidRPr="00AC2605">
              <w:rPr>
                <w:sz w:val="18"/>
              </w:rPr>
              <w:t>0</w:t>
            </w:r>
          </w:p>
        </w:tc>
        <w:tc>
          <w:tcPr>
            <w:tcW w:w="4393" w:type="dxa"/>
            <w:shd w:val="clear" w:color="auto" w:fill="auto"/>
            <w:vAlign w:val="bottom"/>
          </w:tcPr>
          <w:p w:rsidR="00AC2605" w:rsidRPr="00AC2605" w:rsidRDefault="00AC2605" w:rsidP="00DC5D2C">
            <w:pPr>
              <w:suppressAutoHyphens w:val="0"/>
              <w:spacing w:before="40" w:after="40" w:line="220" w:lineRule="exact"/>
              <w:ind w:left="287" w:right="113"/>
              <w:rPr>
                <w:sz w:val="18"/>
              </w:rPr>
            </w:pPr>
            <w:r w:rsidRPr="00AC2605">
              <w:rPr>
                <w:sz w:val="18"/>
              </w:rPr>
              <w:t>Meningitis of unknown type</w:t>
            </w:r>
          </w:p>
        </w:tc>
      </w:tr>
      <w:tr w:rsidR="00AC2605" w:rsidRPr="00AC2605" w:rsidTr="00DC5D2C">
        <w:tc>
          <w:tcPr>
            <w:tcW w:w="1560" w:type="dxa"/>
            <w:shd w:val="clear" w:color="auto" w:fill="auto"/>
            <w:noWrap/>
            <w:hideMark/>
          </w:tcPr>
          <w:p w:rsidR="00AC2605" w:rsidRPr="00AC2605" w:rsidRDefault="00AC2605" w:rsidP="00DC5D2C">
            <w:pPr>
              <w:suppressAutoHyphens w:val="0"/>
              <w:spacing w:before="40" w:after="40" w:line="220" w:lineRule="exact"/>
              <w:ind w:right="113"/>
              <w:jc w:val="right"/>
              <w:rPr>
                <w:sz w:val="18"/>
              </w:rPr>
            </w:pPr>
            <w:r w:rsidRPr="00AC2605">
              <w:rPr>
                <w:sz w:val="18"/>
              </w:rPr>
              <w:t>342</w:t>
            </w:r>
          </w:p>
        </w:tc>
        <w:tc>
          <w:tcPr>
            <w:tcW w:w="1417" w:type="dxa"/>
            <w:shd w:val="clear" w:color="auto" w:fill="auto"/>
            <w:noWrap/>
            <w:vAlign w:val="bottom"/>
            <w:hideMark/>
          </w:tcPr>
          <w:p w:rsidR="00AC2605" w:rsidRPr="00AC2605" w:rsidRDefault="00AC2605" w:rsidP="00AC2605">
            <w:pPr>
              <w:suppressAutoHyphens w:val="0"/>
              <w:spacing w:before="40" w:after="40" w:line="220" w:lineRule="exact"/>
              <w:ind w:right="113"/>
              <w:jc w:val="right"/>
              <w:rPr>
                <w:sz w:val="18"/>
              </w:rPr>
            </w:pPr>
            <w:r w:rsidRPr="00AC2605">
              <w:rPr>
                <w:sz w:val="18"/>
              </w:rPr>
              <w:t>145</w:t>
            </w:r>
          </w:p>
        </w:tc>
        <w:tc>
          <w:tcPr>
            <w:tcW w:w="4393" w:type="dxa"/>
            <w:shd w:val="clear" w:color="auto" w:fill="auto"/>
            <w:vAlign w:val="bottom"/>
          </w:tcPr>
          <w:p w:rsidR="00AC2605" w:rsidRPr="00AC2605" w:rsidRDefault="00AC2605" w:rsidP="00DC5D2C">
            <w:pPr>
              <w:suppressAutoHyphens w:val="0"/>
              <w:spacing w:before="40" w:after="40" w:line="220" w:lineRule="exact"/>
              <w:ind w:left="287" w:right="113"/>
              <w:rPr>
                <w:sz w:val="18"/>
              </w:rPr>
            </w:pPr>
            <w:r w:rsidRPr="00AC2605">
              <w:rPr>
                <w:sz w:val="18"/>
              </w:rPr>
              <w:t>Meningitis, viral</w:t>
            </w:r>
          </w:p>
        </w:tc>
      </w:tr>
      <w:tr w:rsidR="00AC2605" w:rsidRPr="00AC2605" w:rsidTr="00DC5D2C">
        <w:tc>
          <w:tcPr>
            <w:tcW w:w="1560" w:type="dxa"/>
            <w:shd w:val="clear" w:color="auto" w:fill="auto"/>
            <w:noWrap/>
            <w:hideMark/>
          </w:tcPr>
          <w:p w:rsidR="00AC2605" w:rsidRPr="00AC2605" w:rsidRDefault="00AC2605" w:rsidP="00DC5D2C">
            <w:pPr>
              <w:suppressAutoHyphens w:val="0"/>
              <w:spacing w:before="40" w:after="40" w:line="220" w:lineRule="exact"/>
              <w:ind w:right="113"/>
              <w:jc w:val="right"/>
              <w:rPr>
                <w:sz w:val="18"/>
              </w:rPr>
            </w:pPr>
            <w:r w:rsidRPr="00AC2605">
              <w:rPr>
                <w:sz w:val="18"/>
              </w:rPr>
              <w:t>128</w:t>
            </w:r>
          </w:p>
        </w:tc>
        <w:tc>
          <w:tcPr>
            <w:tcW w:w="1417" w:type="dxa"/>
            <w:shd w:val="clear" w:color="auto" w:fill="auto"/>
            <w:noWrap/>
            <w:vAlign w:val="bottom"/>
            <w:hideMark/>
          </w:tcPr>
          <w:p w:rsidR="00AC2605" w:rsidRPr="00AC2605" w:rsidRDefault="00AC2605" w:rsidP="00AC2605">
            <w:pPr>
              <w:suppressAutoHyphens w:val="0"/>
              <w:spacing w:before="40" w:after="40" w:line="220" w:lineRule="exact"/>
              <w:ind w:right="113"/>
              <w:jc w:val="right"/>
              <w:rPr>
                <w:sz w:val="18"/>
              </w:rPr>
            </w:pPr>
            <w:r w:rsidRPr="00AC2605">
              <w:rPr>
                <w:sz w:val="18"/>
              </w:rPr>
              <w:t>157</w:t>
            </w:r>
          </w:p>
        </w:tc>
        <w:tc>
          <w:tcPr>
            <w:tcW w:w="4393" w:type="dxa"/>
            <w:shd w:val="clear" w:color="auto" w:fill="auto"/>
            <w:vAlign w:val="bottom"/>
          </w:tcPr>
          <w:p w:rsidR="00AC2605" w:rsidRPr="00AC2605" w:rsidRDefault="00AC2605" w:rsidP="00DC5D2C">
            <w:pPr>
              <w:suppressAutoHyphens w:val="0"/>
              <w:spacing w:before="40" w:after="40" w:line="220" w:lineRule="exact"/>
              <w:ind w:left="287" w:right="113"/>
              <w:rPr>
                <w:sz w:val="18"/>
              </w:rPr>
            </w:pPr>
            <w:r w:rsidRPr="00AC2605">
              <w:rPr>
                <w:sz w:val="18"/>
              </w:rPr>
              <w:t>Meningitis, bacterial</w:t>
            </w:r>
          </w:p>
        </w:tc>
      </w:tr>
      <w:tr w:rsidR="00AC2605" w:rsidRPr="00AC2605" w:rsidTr="00DC5D2C">
        <w:tc>
          <w:tcPr>
            <w:tcW w:w="1560" w:type="dxa"/>
            <w:shd w:val="clear" w:color="auto" w:fill="auto"/>
            <w:noWrap/>
            <w:hideMark/>
          </w:tcPr>
          <w:p w:rsidR="00AC2605" w:rsidRPr="00AC2605" w:rsidRDefault="00AC2605" w:rsidP="00DC5D2C">
            <w:pPr>
              <w:suppressAutoHyphens w:val="0"/>
              <w:spacing w:before="40" w:after="40" w:line="220" w:lineRule="exact"/>
              <w:ind w:right="113"/>
              <w:jc w:val="right"/>
              <w:rPr>
                <w:sz w:val="18"/>
              </w:rPr>
            </w:pPr>
            <w:r w:rsidRPr="00AC2605">
              <w:rPr>
                <w:sz w:val="18"/>
              </w:rPr>
              <w:t>65</w:t>
            </w:r>
          </w:p>
        </w:tc>
        <w:tc>
          <w:tcPr>
            <w:tcW w:w="1417" w:type="dxa"/>
            <w:shd w:val="clear" w:color="auto" w:fill="auto"/>
            <w:noWrap/>
            <w:vAlign w:val="bottom"/>
            <w:hideMark/>
          </w:tcPr>
          <w:p w:rsidR="00AC2605" w:rsidRPr="00AC2605" w:rsidRDefault="00AC2605" w:rsidP="00AC2605">
            <w:pPr>
              <w:suppressAutoHyphens w:val="0"/>
              <w:spacing w:before="40" w:after="40" w:line="220" w:lineRule="exact"/>
              <w:ind w:right="113"/>
              <w:jc w:val="right"/>
              <w:rPr>
                <w:sz w:val="18"/>
              </w:rPr>
            </w:pPr>
            <w:r w:rsidRPr="00AC2605">
              <w:rPr>
                <w:sz w:val="18"/>
              </w:rPr>
              <w:t>57</w:t>
            </w:r>
          </w:p>
        </w:tc>
        <w:tc>
          <w:tcPr>
            <w:tcW w:w="4393" w:type="dxa"/>
            <w:shd w:val="clear" w:color="auto" w:fill="auto"/>
            <w:vAlign w:val="bottom"/>
          </w:tcPr>
          <w:p w:rsidR="00AC2605" w:rsidRPr="00AC2605" w:rsidRDefault="00AC2605" w:rsidP="00DC5D2C">
            <w:pPr>
              <w:suppressAutoHyphens w:val="0"/>
              <w:spacing w:before="40" w:after="40" w:line="220" w:lineRule="exact"/>
              <w:ind w:left="287" w:right="113"/>
              <w:rPr>
                <w:sz w:val="18"/>
              </w:rPr>
            </w:pPr>
            <w:r w:rsidRPr="00AC2605">
              <w:rPr>
                <w:sz w:val="18"/>
              </w:rPr>
              <w:t>Meningococcal disease</w:t>
            </w:r>
          </w:p>
        </w:tc>
      </w:tr>
      <w:tr w:rsidR="00AC2605" w:rsidRPr="00AC2605" w:rsidTr="00DC5D2C">
        <w:tc>
          <w:tcPr>
            <w:tcW w:w="1560" w:type="dxa"/>
            <w:shd w:val="clear" w:color="auto" w:fill="auto"/>
            <w:noWrap/>
            <w:hideMark/>
          </w:tcPr>
          <w:p w:rsidR="00AC2605" w:rsidRPr="00AC2605" w:rsidRDefault="00AC2605" w:rsidP="00DC5D2C">
            <w:pPr>
              <w:suppressAutoHyphens w:val="0"/>
              <w:spacing w:before="40" w:after="40" w:line="220" w:lineRule="exact"/>
              <w:ind w:right="113"/>
              <w:jc w:val="right"/>
              <w:rPr>
                <w:sz w:val="18"/>
              </w:rPr>
            </w:pPr>
            <w:r w:rsidRPr="00AC2605">
              <w:rPr>
                <w:sz w:val="18"/>
              </w:rPr>
              <w:t>0</w:t>
            </w:r>
          </w:p>
        </w:tc>
        <w:tc>
          <w:tcPr>
            <w:tcW w:w="1417" w:type="dxa"/>
            <w:shd w:val="clear" w:color="auto" w:fill="auto"/>
            <w:noWrap/>
            <w:vAlign w:val="bottom"/>
            <w:hideMark/>
          </w:tcPr>
          <w:p w:rsidR="00AC2605" w:rsidRPr="00AC2605" w:rsidRDefault="00AC2605" w:rsidP="00AC2605">
            <w:pPr>
              <w:suppressAutoHyphens w:val="0"/>
              <w:spacing w:before="40" w:after="40" w:line="220" w:lineRule="exact"/>
              <w:ind w:right="113"/>
              <w:jc w:val="right"/>
              <w:rPr>
                <w:sz w:val="18"/>
              </w:rPr>
            </w:pPr>
            <w:r w:rsidRPr="00AC2605">
              <w:rPr>
                <w:sz w:val="18"/>
              </w:rPr>
              <w:t>0</w:t>
            </w:r>
          </w:p>
        </w:tc>
        <w:tc>
          <w:tcPr>
            <w:tcW w:w="4393" w:type="dxa"/>
            <w:shd w:val="clear" w:color="auto" w:fill="auto"/>
            <w:vAlign w:val="bottom"/>
          </w:tcPr>
          <w:p w:rsidR="00AC2605" w:rsidRPr="00AC2605" w:rsidRDefault="00AC2605" w:rsidP="00DC5D2C">
            <w:pPr>
              <w:suppressAutoHyphens w:val="0"/>
              <w:spacing w:before="40" w:after="40" w:line="220" w:lineRule="exact"/>
              <w:ind w:left="287" w:right="113"/>
              <w:rPr>
                <w:sz w:val="18"/>
              </w:rPr>
            </w:pPr>
            <w:r w:rsidRPr="00AC2605">
              <w:rPr>
                <w:sz w:val="18"/>
              </w:rPr>
              <w:t>Plague</w:t>
            </w:r>
          </w:p>
        </w:tc>
      </w:tr>
      <w:tr w:rsidR="00AC2605" w:rsidRPr="00AC2605" w:rsidTr="00DC5D2C">
        <w:tc>
          <w:tcPr>
            <w:tcW w:w="1560" w:type="dxa"/>
            <w:shd w:val="clear" w:color="auto" w:fill="auto"/>
            <w:noWrap/>
            <w:hideMark/>
          </w:tcPr>
          <w:p w:rsidR="00AC2605" w:rsidRPr="00AC2605" w:rsidRDefault="00AC2605" w:rsidP="00DC5D2C">
            <w:pPr>
              <w:suppressAutoHyphens w:val="0"/>
              <w:spacing w:before="40" w:after="40" w:line="220" w:lineRule="exact"/>
              <w:ind w:right="113"/>
              <w:jc w:val="right"/>
              <w:rPr>
                <w:sz w:val="18"/>
              </w:rPr>
            </w:pPr>
            <w:r w:rsidRPr="00AC2605">
              <w:rPr>
                <w:sz w:val="18"/>
              </w:rPr>
              <w:t>1</w:t>
            </w:r>
          </w:p>
        </w:tc>
        <w:tc>
          <w:tcPr>
            <w:tcW w:w="1417" w:type="dxa"/>
            <w:shd w:val="clear" w:color="auto" w:fill="auto"/>
            <w:noWrap/>
            <w:vAlign w:val="bottom"/>
            <w:hideMark/>
          </w:tcPr>
          <w:p w:rsidR="00AC2605" w:rsidRPr="00AC2605" w:rsidRDefault="00AC2605" w:rsidP="00AC2605">
            <w:pPr>
              <w:suppressAutoHyphens w:val="0"/>
              <w:spacing w:before="40" w:after="40" w:line="220" w:lineRule="exact"/>
              <w:ind w:right="113"/>
              <w:jc w:val="right"/>
              <w:rPr>
                <w:sz w:val="18"/>
              </w:rPr>
            </w:pPr>
            <w:r w:rsidRPr="00AC2605">
              <w:rPr>
                <w:sz w:val="18"/>
              </w:rPr>
              <w:t>4</w:t>
            </w:r>
          </w:p>
        </w:tc>
        <w:tc>
          <w:tcPr>
            <w:tcW w:w="4393" w:type="dxa"/>
            <w:shd w:val="clear" w:color="auto" w:fill="auto"/>
            <w:vAlign w:val="bottom"/>
          </w:tcPr>
          <w:p w:rsidR="00AC2605" w:rsidRPr="00AC2605" w:rsidRDefault="00AC2605" w:rsidP="00DC5D2C">
            <w:pPr>
              <w:suppressAutoHyphens w:val="0"/>
              <w:spacing w:before="40" w:after="40" w:line="220" w:lineRule="exact"/>
              <w:ind w:left="287" w:right="113"/>
              <w:rPr>
                <w:sz w:val="18"/>
              </w:rPr>
            </w:pPr>
            <w:r w:rsidRPr="00AC2605">
              <w:rPr>
                <w:sz w:val="18"/>
              </w:rPr>
              <w:t>Mumps</w:t>
            </w:r>
          </w:p>
        </w:tc>
      </w:tr>
      <w:tr w:rsidR="00AC2605" w:rsidRPr="00AC2605" w:rsidTr="00DC5D2C">
        <w:tc>
          <w:tcPr>
            <w:tcW w:w="1560" w:type="dxa"/>
            <w:shd w:val="clear" w:color="auto" w:fill="auto"/>
            <w:noWrap/>
            <w:hideMark/>
          </w:tcPr>
          <w:p w:rsidR="00AC2605" w:rsidRPr="00AC2605" w:rsidRDefault="00AC2605" w:rsidP="00DC5D2C">
            <w:pPr>
              <w:suppressAutoHyphens w:val="0"/>
              <w:spacing w:before="40" w:after="40" w:line="220" w:lineRule="exact"/>
              <w:ind w:right="113"/>
              <w:jc w:val="right"/>
              <w:rPr>
                <w:sz w:val="18"/>
              </w:rPr>
            </w:pPr>
            <w:r w:rsidRPr="00AC2605">
              <w:rPr>
                <w:sz w:val="18"/>
              </w:rPr>
              <w:t>0</w:t>
            </w:r>
          </w:p>
        </w:tc>
        <w:tc>
          <w:tcPr>
            <w:tcW w:w="1417" w:type="dxa"/>
            <w:shd w:val="clear" w:color="auto" w:fill="auto"/>
            <w:noWrap/>
            <w:vAlign w:val="bottom"/>
            <w:hideMark/>
          </w:tcPr>
          <w:p w:rsidR="00AC2605" w:rsidRPr="00AC2605" w:rsidRDefault="00AC2605" w:rsidP="00AC2605">
            <w:pPr>
              <w:suppressAutoHyphens w:val="0"/>
              <w:spacing w:before="40" w:after="40" w:line="220" w:lineRule="exact"/>
              <w:ind w:right="113"/>
              <w:jc w:val="right"/>
              <w:rPr>
                <w:sz w:val="18"/>
              </w:rPr>
            </w:pPr>
            <w:r w:rsidRPr="00AC2605">
              <w:rPr>
                <w:sz w:val="18"/>
              </w:rPr>
              <w:t>0</w:t>
            </w:r>
          </w:p>
        </w:tc>
        <w:tc>
          <w:tcPr>
            <w:tcW w:w="4393" w:type="dxa"/>
            <w:shd w:val="clear" w:color="auto" w:fill="auto"/>
            <w:vAlign w:val="bottom"/>
          </w:tcPr>
          <w:p w:rsidR="00AC2605" w:rsidRPr="00AC2605" w:rsidRDefault="00AC2605" w:rsidP="00DC5D2C">
            <w:pPr>
              <w:suppressAutoHyphens w:val="0"/>
              <w:spacing w:before="40" w:after="40" w:line="220" w:lineRule="exact"/>
              <w:ind w:left="287" w:right="113"/>
              <w:rPr>
                <w:sz w:val="18"/>
              </w:rPr>
            </w:pPr>
            <w:r w:rsidRPr="00AC2605">
              <w:rPr>
                <w:sz w:val="18"/>
              </w:rPr>
              <w:t>Poliomyelitis</w:t>
            </w:r>
          </w:p>
        </w:tc>
      </w:tr>
      <w:tr w:rsidR="00AC2605" w:rsidRPr="00AC2605" w:rsidTr="00DC5D2C">
        <w:tc>
          <w:tcPr>
            <w:tcW w:w="1560" w:type="dxa"/>
            <w:shd w:val="clear" w:color="auto" w:fill="auto"/>
            <w:noWrap/>
            <w:hideMark/>
          </w:tcPr>
          <w:p w:rsidR="00AC2605" w:rsidRPr="00AC2605" w:rsidRDefault="00AC2605" w:rsidP="00DC5D2C">
            <w:pPr>
              <w:suppressAutoHyphens w:val="0"/>
              <w:spacing w:before="40" w:after="40" w:line="220" w:lineRule="exact"/>
              <w:ind w:right="113"/>
              <w:jc w:val="right"/>
              <w:rPr>
                <w:sz w:val="18"/>
              </w:rPr>
            </w:pPr>
            <w:r w:rsidRPr="00AC2605">
              <w:rPr>
                <w:sz w:val="18"/>
              </w:rPr>
              <w:t>15</w:t>
            </w:r>
          </w:p>
        </w:tc>
        <w:tc>
          <w:tcPr>
            <w:tcW w:w="1417" w:type="dxa"/>
            <w:shd w:val="clear" w:color="auto" w:fill="auto"/>
            <w:noWrap/>
            <w:vAlign w:val="bottom"/>
            <w:hideMark/>
          </w:tcPr>
          <w:p w:rsidR="00AC2605" w:rsidRPr="00AC2605" w:rsidRDefault="00AC2605" w:rsidP="00AC2605">
            <w:pPr>
              <w:suppressAutoHyphens w:val="0"/>
              <w:spacing w:before="40" w:after="40" w:line="220" w:lineRule="exact"/>
              <w:ind w:right="113"/>
              <w:jc w:val="right"/>
              <w:rPr>
                <w:sz w:val="18"/>
              </w:rPr>
            </w:pPr>
            <w:r w:rsidRPr="00AC2605">
              <w:rPr>
                <w:sz w:val="18"/>
              </w:rPr>
              <w:t>11</w:t>
            </w:r>
          </w:p>
        </w:tc>
        <w:tc>
          <w:tcPr>
            <w:tcW w:w="4393" w:type="dxa"/>
            <w:shd w:val="clear" w:color="auto" w:fill="auto"/>
            <w:vAlign w:val="bottom"/>
          </w:tcPr>
          <w:p w:rsidR="00AC2605" w:rsidRPr="00AC2605" w:rsidRDefault="00AC2605" w:rsidP="00DC5D2C">
            <w:pPr>
              <w:suppressAutoHyphens w:val="0"/>
              <w:spacing w:before="40" w:after="40" w:line="220" w:lineRule="exact"/>
              <w:ind w:left="287" w:right="113"/>
              <w:rPr>
                <w:sz w:val="18"/>
              </w:rPr>
            </w:pPr>
            <w:r w:rsidRPr="00AC2605">
              <w:rPr>
                <w:sz w:val="18"/>
              </w:rPr>
              <w:t>Q Fever</w:t>
            </w:r>
          </w:p>
        </w:tc>
      </w:tr>
      <w:tr w:rsidR="00AC2605" w:rsidRPr="00AC2605" w:rsidTr="00DC5D2C">
        <w:tc>
          <w:tcPr>
            <w:tcW w:w="1560" w:type="dxa"/>
            <w:shd w:val="clear" w:color="auto" w:fill="auto"/>
            <w:noWrap/>
            <w:hideMark/>
          </w:tcPr>
          <w:p w:rsidR="00AC2605" w:rsidRPr="00AC2605" w:rsidRDefault="00AC2605" w:rsidP="00DC5D2C">
            <w:pPr>
              <w:suppressAutoHyphens w:val="0"/>
              <w:spacing w:before="40" w:after="40" w:line="220" w:lineRule="exact"/>
              <w:ind w:right="113"/>
              <w:jc w:val="right"/>
              <w:rPr>
                <w:sz w:val="18"/>
              </w:rPr>
            </w:pPr>
            <w:r w:rsidRPr="00AC2605">
              <w:rPr>
                <w:sz w:val="18"/>
              </w:rPr>
              <w:t>349</w:t>
            </w:r>
          </w:p>
        </w:tc>
        <w:tc>
          <w:tcPr>
            <w:tcW w:w="1417" w:type="dxa"/>
            <w:shd w:val="clear" w:color="auto" w:fill="auto"/>
            <w:noWrap/>
            <w:vAlign w:val="bottom"/>
            <w:hideMark/>
          </w:tcPr>
          <w:p w:rsidR="00AC2605" w:rsidRPr="00AC2605" w:rsidRDefault="00AC2605" w:rsidP="00AC2605">
            <w:pPr>
              <w:suppressAutoHyphens w:val="0"/>
              <w:spacing w:before="40" w:after="40" w:line="220" w:lineRule="exact"/>
              <w:ind w:right="113"/>
              <w:jc w:val="right"/>
              <w:rPr>
                <w:sz w:val="18"/>
              </w:rPr>
            </w:pPr>
            <w:r w:rsidRPr="00AC2605">
              <w:rPr>
                <w:sz w:val="18"/>
              </w:rPr>
              <w:t>465</w:t>
            </w:r>
          </w:p>
        </w:tc>
        <w:tc>
          <w:tcPr>
            <w:tcW w:w="4393" w:type="dxa"/>
            <w:shd w:val="clear" w:color="auto" w:fill="auto"/>
            <w:vAlign w:val="bottom"/>
          </w:tcPr>
          <w:p w:rsidR="00AC2605" w:rsidRPr="00AC2605" w:rsidRDefault="00AC2605" w:rsidP="00DC5D2C">
            <w:pPr>
              <w:suppressAutoHyphens w:val="0"/>
              <w:spacing w:before="40" w:after="40" w:line="220" w:lineRule="exact"/>
              <w:ind w:left="287" w:right="113"/>
              <w:rPr>
                <w:sz w:val="18"/>
              </w:rPr>
            </w:pPr>
            <w:r w:rsidRPr="00AC2605">
              <w:rPr>
                <w:sz w:val="18"/>
              </w:rPr>
              <w:t>Salmonellosis</w:t>
            </w:r>
          </w:p>
        </w:tc>
      </w:tr>
      <w:tr w:rsidR="00AC2605" w:rsidRPr="00AC2605" w:rsidTr="00DC5D2C">
        <w:tc>
          <w:tcPr>
            <w:tcW w:w="1560" w:type="dxa"/>
            <w:shd w:val="clear" w:color="auto" w:fill="auto"/>
            <w:noWrap/>
            <w:hideMark/>
          </w:tcPr>
          <w:p w:rsidR="00AC2605" w:rsidRPr="00AC2605" w:rsidRDefault="00AC2605" w:rsidP="00DC5D2C">
            <w:pPr>
              <w:suppressAutoHyphens w:val="0"/>
              <w:spacing w:before="40" w:after="40" w:line="220" w:lineRule="exact"/>
              <w:ind w:right="113"/>
              <w:jc w:val="right"/>
              <w:rPr>
                <w:sz w:val="18"/>
              </w:rPr>
            </w:pPr>
            <w:r w:rsidRPr="00AC2605">
              <w:rPr>
                <w:sz w:val="18"/>
              </w:rPr>
              <w:t>90</w:t>
            </w:r>
          </w:p>
        </w:tc>
        <w:tc>
          <w:tcPr>
            <w:tcW w:w="1417" w:type="dxa"/>
            <w:shd w:val="clear" w:color="auto" w:fill="auto"/>
            <w:noWrap/>
            <w:vAlign w:val="bottom"/>
            <w:hideMark/>
          </w:tcPr>
          <w:p w:rsidR="00AC2605" w:rsidRPr="00AC2605" w:rsidRDefault="00AC2605" w:rsidP="00AC2605">
            <w:pPr>
              <w:suppressAutoHyphens w:val="0"/>
              <w:spacing w:before="40" w:after="40" w:line="220" w:lineRule="exact"/>
              <w:ind w:right="113"/>
              <w:jc w:val="right"/>
              <w:rPr>
                <w:sz w:val="18"/>
              </w:rPr>
            </w:pPr>
            <w:r w:rsidRPr="00AC2605">
              <w:rPr>
                <w:sz w:val="18"/>
              </w:rPr>
              <w:t>79</w:t>
            </w:r>
          </w:p>
        </w:tc>
        <w:tc>
          <w:tcPr>
            <w:tcW w:w="4393" w:type="dxa"/>
            <w:shd w:val="clear" w:color="auto" w:fill="auto"/>
            <w:vAlign w:val="bottom"/>
          </w:tcPr>
          <w:p w:rsidR="00AC2605" w:rsidRPr="00AC2605" w:rsidRDefault="00AC2605" w:rsidP="00DC5D2C">
            <w:pPr>
              <w:suppressAutoHyphens w:val="0"/>
              <w:spacing w:before="40" w:after="40" w:line="220" w:lineRule="exact"/>
              <w:ind w:left="287" w:right="113"/>
              <w:rPr>
                <w:sz w:val="18"/>
              </w:rPr>
            </w:pPr>
            <w:r w:rsidRPr="00AC2605">
              <w:rPr>
                <w:sz w:val="18"/>
              </w:rPr>
              <w:t>Shigellosis</w:t>
            </w:r>
          </w:p>
        </w:tc>
      </w:tr>
      <w:tr w:rsidR="00AC2605" w:rsidRPr="00AC2605" w:rsidTr="00DC5D2C">
        <w:tc>
          <w:tcPr>
            <w:tcW w:w="1560" w:type="dxa"/>
            <w:shd w:val="clear" w:color="auto" w:fill="auto"/>
            <w:noWrap/>
            <w:hideMark/>
          </w:tcPr>
          <w:p w:rsidR="00AC2605" w:rsidRPr="00AC2605" w:rsidRDefault="00AC2605" w:rsidP="00DC5D2C">
            <w:pPr>
              <w:suppressAutoHyphens w:val="0"/>
              <w:spacing w:before="40" w:after="40" w:line="220" w:lineRule="exact"/>
              <w:ind w:right="113"/>
              <w:jc w:val="right"/>
              <w:rPr>
                <w:sz w:val="18"/>
              </w:rPr>
            </w:pPr>
            <w:r w:rsidRPr="00AC2605">
              <w:rPr>
                <w:sz w:val="18"/>
              </w:rPr>
              <w:t>0</w:t>
            </w:r>
          </w:p>
        </w:tc>
        <w:tc>
          <w:tcPr>
            <w:tcW w:w="1417" w:type="dxa"/>
            <w:shd w:val="clear" w:color="auto" w:fill="auto"/>
            <w:noWrap/>
            <w:vAlign w:val="bottom"/>
            <w:hideMark/>
          </w:tcPr>
          <w:p w:rsidR="00AC2605" w:rsidRPr="00AC2605" w:rsidRDefault="00AC2605" w:rsidP="00AC2605">
            <w:pPr>
              <w:suppressAutoHyphens w:val="0"/>
              <w:spacing w:before="40" w:after="40" w:line="220" w:lineRule="exact"/>
              <w:ind w:right="113"/>
              <w:jc w:val="right"/>
              <w:rPr>
                <w:sz w:val="18"/>
              </w:rPr>
            </w:pPr>
            <w:r w:rsidRPr="00AC2605">
              <w:rPr>
                <w:sz w:val="18"/>
              </w:rPr>
              <w:t>2</w:t>
            </w:r>
          </w:p>
        </w:tc>
        <w:tc>
          <w:tcPr>
            <w:tcW w:w="4393" w:type="dxa"/>
            <w:shd w:val="clear" w:color="auto" w:fill="auto"/>
            <w:vAlign w:val="bottom"/>
          </w:tcPr>
          <w:p w:rsidR="00AC2605" w:rsidRPr="00AC2605" w:rsidRDefault="00AC2605" w:rsidP="00DC5D2C">
            <w:pPr>
              <w:suppressAutoHyphens w:val="0"/>
              <w:spacing w:before="40" w:after="40" w:line="220" w:lineRule="exact"/>
              <w:ind w:left="287" w:right="113"/>
              <w:rPr>
                <w:sz w:val="18"/>
              </w:rPr>
            </w:pPr>
            <w:r w:rsidRPr="00AC2605">
              <w:rPr>
                <w:sz w:val="18"/>
              </w:rPr>
              <w:t>Syphilis, congenital</w:t>
            </w:r>
          </w:p>
        </w:tc>
      </w:tr>
      <w:tr w:rsidR="00AC2605" w:rsidRPr="00AC2605" w:rsidTr="00DC5D2C">
        <w:tc>
          <w:tcPr>
            <w:tcW w:w="1560" w:type="dxa"/>
            <w:shd w:val="clear" w:color="auto" w:fill="auto"/>
            <w:noWrap/>
            <w:hideMark/>
          </w:tcPr>
          <w:p w:rsidR="00AC2605" w:rsidRPr="00AC2605" w:rsidRDefault="00AC2605" w:rsidP="00DC5D2C">
            <w:pPr>
              <w:suppressAutoHyphens w:val="0"/>
              <w:spacing w:before="40" w:after="40" w:line="220" w:lineRule="exact"/>
              <w:ind w:right="113"/>
              <w:jc w:val="right"/>
              <w:rPr>
                <w:sz w:val="18"/>
              </w:rPr>
            </w:pPr>
            <w:r w:rsidRPr="00AC2605">
              <w:rPr>
                <w:sz w:val="18"/>
              </w:rPr>
              <w:t>2</w:t>
            </w:r>
          </w:p>
        </w:tc>
        <w:tc>
          <w:tcPr>
            <w:tcW w:w="1417" w:type="dxa"/>
            <w:shd w:val="clear" w:color="auto" w:fill="auto"/>
            <w:noWrap/>
            <w:vAlign w:val="bottom"/>
            <w:hideMark/>
          </w:tcPr>
          <w:p w:rsidR="00AC2605" w:rsidRPr="00AC2605" w:rsidRDefault="00AC2605" w:rsidP="00AC2605">
            <w:pPr>
              <w:suppressAutoHyphens w:val="0"/>
              <w:spacing w:before="40" w:after="40" w:line="220" w:lineRule="exact"/>
              <w:ind w:right="113"/>
              <w:jc w:val="right"/>
              <w:rPr>
                <w:sz w:val="18"/>
              </w:rPr>
            </w:pPr>
            <w:r w:rsidRPr="00AC2605">
              <w:rPr>
                <w:sz w:val="18"/>
              </w:rPr>
              <w:t>6</w:t>
            </w:r>
          </w:p>
        </w:tc>
        <w:tc>
          <w:tcPr>
            <w:tcW w:w="4393" w:type="dxa"/>
            <w:shd w:val="clear" w:color="auto" w:fill="auto"/>
            <w:vAlign w:val="bottom"/>
          </w:tcPr>
          <w:p w:rsidR="00AC2605" w:rsidRPr="00AC2605" w:rsidRDefault="00AC2605" w:rsidP="00DC5D2C">
            <w:pPr>
              <w:suppressAutoHyphens w:val="0"/>
              <w:spacing w:before="40" w:after="40" w:line="220" w:lineRule="exact"/>
              <w:ind w:left="287" w:right="113"/>
              <w:rPr>
                <w:sz w:val="18"/>
              </w:rPr>
            </w:pPr>
            <w:r w:rsidRPr="00AC2605">
              <w:rPr>
                <w:sz w:val="18"/>
              </w:rPr>
              <w:t>Tetanus</w:t>
            </w:r>
          </w:p>
        </w:tc>
      </w:tr>
      <w:tr w:rsidR="00AC2605" w:rsidRPr="00AC2605" w:rsidTr="00DC5D2C">
        <w:tc>
          <w:tcPr>
            <w:tcW w:w="1560" w:type="dxa"/>
            <w:shd w:val="clear" w:color="auto" w:fill="auto"/>
            <w:noWrap/>
            <w:hideMark/>
          </w:tcPr>
          <w:p w:rsidR="00AC2605" w:rsidRPr="00AC2605" w:rsidRDefault="00AC2605" w:rsidP="00DC5D2C">
            <w:pPr>
              <w:suppressAutoHyphens w:val="0"/>
              <w:spacing w:before="40" w:after="40" w:line="220" w:lineRule="exact"/>
              <w:ind w:right="113"/>
              <w:jc w:val="right"/>
              <w:rPr>
                <w:sz w:val="18"/>
              </w:rPr>
            </w:pPr>
            <w:r w:rsidRPr="00AC2605">
              <w:rPr>
                <w:sz w:val="18"/>
              </w:rPr>
              <w:t>0</w:t>
            </w:r>
          </w:p>
        </w:tc>
        <w:tc>
          <w:tcPr>
            <w:tcW w:w="1417" w:type="dxa"/>
            <w:shd w:val="clear" w:color="auto" w:fill="auto"/>
            <w:noWrap/>
            <w:vAlign w:val="bottom"/>
            <w:hideMark/>
          </w:tcPr>
          <w:p w:rsidR="00AC2605" w:rsidRPr="00AC2605" w:rsidRDefault="00AC2605" w:rsidP="00AC2605">
            <w:pPr>
              <w:suppressAutoHyphens w:val="0"/>
              <w:spacing w:before="40" w:after="40" w:line="220" w:lineRule="exact"/>
              <w:ind w:right="113"/>
              <w:jc w:val="right"/>
              <w:rPr>
                <w:sz w:val="18"/>
              </w:rPr>
            </w:pPr>
            <w:r w:rsidRPr="00AC2605">
              <w:rPr>
                <w:sz w:val="18"/>
              </w:rPr>
              <w:t>0</w:t>
            </w:r>
          </w:p>
        </w:tc>
        <w:tc>
          <w:tcPr>
            <w:tcW w:w="4393" w:type="dxa"/>
            <w:shd w:val="clear" w:color="auto" w:fill="auto"/>
            <w:vAlign w:val="bottom"/>
          </w:tcPr>
          <w:p w:rsidR="00AC2605" w:rsidRPr="00AC2605" w:rsidRDefault="00AC2605" w:rsidP="00DC5D2C">
            <w:pPr>
              <w:suppressAutoHyphens w:val="0"/>
              <w:spacing w:before="40" w:after="40" w:line="220" w:lineRule="exact"/>
              <w:ind w:left="287" w:right="113"/>
              <w:rPr>
                <w:sz w:val="18"/>
              </w:rPr>
            </w:pPr>
            <w:r w:rsidRPr="00AC2605">
              <w:rPr>
                <w:sz w:val="18"/>
              </w:rPr>
              <w:t>Tetanus, neonatal</w:t>
            </w:r>
          </w:p>
        </w:tc>
      </w:tr>
      <w:tr w:rsidR="00AC2605" w:rsidRPr="00AC2605" w:rsidTr="00DC5D2C">
        <w:tc>
          <w:tcPr>
            <w:tcW w:w="1560" w:type="dxa"/>
            <w:shd w:val="clear" w:color="auto" w:fill="auto"/>
            <w:noWrap/>
            <w:hideMark/>
          </w:tcPr>
          <w:p w:rsidR="00AC2605" w:rsidRPr="00AC2605" w:rsidRDefault="00AC2605" w:rsidP="00DC5D2C">
            <w:pPr>
              <w:suppressAutoHyphens w:val="0"/>
              <w:spacing w:before="40" w:after="40" w:line="220" w:lineRule="exact"/>
              <w:ind w:right="113"/>
              <w:jc w:val="right"/>
              <w:rPr>
                <w:sz w:val="18"/>
              </w:rPr>
            </w:pPr>
            <w:r w:rsidRPr="00AC2605">
              <w:rPr>
                <w:sz w:val="18"/>
              </w:rPr>
              <w:t>0</w:t>
            </w:r>
          </w:p>
        </w:tc>
        <w:tc>
          <w:tcPr>
            <w:tcW w:w="1417" w:type="dxa"/>
            <w:shd w:val="clear" w:color="auto" w:fill="auto"/>
            <w:noWrap/>
            <w:vAlign w:val="bottom"/>
            <w:hideMark/>
          </w:tcPr>
          <w:p w:rsidR="00AC2605" w:rsidRPr="00AC2605" w:rsidRDefault="00AC2605" w:rsidP="00AC2605">
            <w:pPr>
              <w:suppressAutoHyphens w:val="0"/>
              <w:spacing w:before="40" w:after="40" w:line="220" w:lineRule="exact"/>
              <w:ind w:right="113"/>
              <w:jc w:val="right"/>
              <w:rPr>
                <w:sz w:val="18"/>
              </w:rPr>
            </w:pPr>
            <w:r w:rsidRPr="00AC2605">
              <w:rPr>
                <w:sz w:val="18"/>
              </w:rPr>
              <w:t>0</w:t>
            </w:r>
          </w:p>
        </w:tc>
        <w:tc>
          <w:tcPr>
            <w:tcW w:w="4393" w:type="dxa"/>
            <w:shd w:val="clear" w:color="auto" w:fill="auto"/>
            <w:vAlign w:val="bottom"/>
          </w:tcPr>
          <w:p w:rsidR="00AC2605" w:rsidRPr="00AC2605" w:rsidRDefault="00AC2605" w:rsidP="00DC5D2C">
            <w:pPr>
              <w:suppressAutoHyphens w:val="0"/>
              <w:spacing w:before="40" w:after="40" w:line="220" w:lineRule="exact"/>
              <w:ind w:left="287" w:right="113"/>
              <w:rPr>
                <w:sz w:val="18"/>
              </w:rPr>
            </w:pPr>
            <w:r w:rsidRPr="00AC2605">
              <w:rPr>
                <w:sz w:val="18"/>
              </w:rPr>
              <w:t>Toxoplasmosis, congenital</w:t>
            </w:r>
          </w:p>
        </w:tc>
      </w:tr>
      <w:tr w:rsidR="00AC2605" w:rsidRPr="00AC2605" w:rsidTr="00DC5D2C">
        <w:tc>
          <w:tcPr>
            <w:tcW w:w="1560" w:type="dxa"/>
            <w:shd w:val="clear" w:color="auto" w:fill="auto"/>
            <w:noWrap/>
            <w:hideMark/>
          </w:tcPr>
          <w:p w:rsidR="00AC2605" w:rsidRPr="00AC2605" w:rsidRDefault="00AC2605" w:rsidP="00DC5D2C">
            <w:pPr>
              <w:suppressAutoHyphens w:val="0"/>
              <w:spacing w:before="40" w:after="40" w:line="220" w:lineRule="exact"/>
              <w:ind w:right="113"/>
              <w:jc w:val="right"/>
              <w:rPr>
                <w:sz w:val="18"/>
              </w:rPr>
            </w:pPr>
            <w:r w:rsidRPr="00AC2605">
              <w:rPr>
                <w:sz w:val="18"/>
              </w:rPr>
              <w:t>9</w:t>
            </w:r>
          </w:p>
        </w:tc>
        <w:tc>
          <w:tcPr>
            <w:tcW w:w="1417" w:type="dxa"/>
            <w:shd w:val="clear" w:color="auto" w:fill="auto"/>
            <w:noWrap/>
            <w:vAlign w:val="bottom"/>
            <w:hideMark/>
          </w:tcPr>
          <w:p w:rsidR="00AC2605" w:rsidRPr="00AC2605" w:rsidRDefault="00AC2605" w:rsidP="00AC2605">
            <w:pPr>
              <w:suppressAutoHyphens w:val="0"/>
              <w:spacing w:before="40" w:after="40" w:line="220" w:lineRule="exact"/>
              <w:ind w:right="113"/>
              <w:jc w:val="right"/>
              <w:rPr>
                <w:sz w:val="18"/>
              </w:rPr>
            </w:pPr>
            <w:r w:rsidRPr="00AC2605">
              <w:rPr>
                <w:sz w:val="18"/>
              </w:rPr>
              <w:t>17</w:t>
            </w:r>
          </w:p>
        </w:tc>
        <w:tc>
          <w:tcPr>
            <w:tcW w:w="4393" w:type="dxa"/>
            <w:shd w:val="clear" w:color="auto" w:fill="auto"/>
            <w:vAlign w:val="bottom"/>
          </w:tcPr>
          <w:p w:rsidR="00AC2605" w:rsidRPr="00AC2605" w:rsidRDefault="00AC2605" w:rsidP="00DC5D2C">
            <w:pPr>
              <w:suppressAutoHyphens w:val="0"/>
              <w:spacing w:before="40" w:after="40" w:line="220" w:lineRule="exact"/>
              <w:ind w:left="287" w:right="113"/>
              <w:rPr>
                <w:sz w:val="18"/>
              </w:rPr>
            </w:pPr>
            <w:r w:rsidRPr="00AC2605">
              <w:rPr>
                <w:sz w:val="18"/>
              </w:rPr>
              <w:t>Typhoid fever</w:t>
            </w:r>
          </w:p>
        </w:tc>
      </w:tr>
      <w:tr w:rsidR="00AC2605" w:rsidRPr="00AC2605" w:rsidTr="00DC5D2C">
        <w:tc>
          <w:tcPr>
            <w:tcW w:w="1560" w:type="dxa"/>
            <w:shd w:val="clear" w:color="auto" w:fill="auto"/>
            <w:noWrap/>
            <w:hideMark/>
          </w:tcPr>
          <w:p w:rsidR="00AC2605" w:rsidRPr="00AC2605" w:rsidRDefault="00AC2605" w:rsidP="00DC5D2C">
            <w:pPr>
              <w:suppressAutoHyphens w:val="0"/>
              <w:spacing w:before="40" w:after="40" w:line="220" w:lineRule="exact"/>
              <w:ind w:right="113"/>
              <w:jc w:val="right"/>
              <w:rPr>
                <w:sz w:val="18"/>
              </w:rPr>
            </w:pPr>
            <w:r w:rsidRPr="00AC2605">
              <w:rPr>
                <w:sz w:val="18"/>
              </w:rPr>
              <w:t>515</w:t>
            </w:r>
          </w:p>
        </w:tc>
        <w:tc>
          <w:tcPr>
            <w:tcW w:w="1417" w:type="dxa"/>
            <w:shd w:val="clear" w:color="auto" w:fill="auto"/>
            <w:noWrap/>
            <w:vAlign w:val="bottom"/>
            <w:hideMark/>
          </w:tcPr>
          <w:p w:rsidR="00AC2605" w:rsidRPr="00AC2605" w:rsidRDefault="00AC2605" w:rsidP="00AC2605">
            <w:pPr>
              <w:suppressAutoHyphens w:val="0"/>
              <w:spacing w:before="40" w:after="40" w:line="220" w:lineRule="exact"/>
              <w:ind w:right="113"/>
              <w:jc w:val="right"/>
              <w:rPr>
                <w:sz w:val="18"/>
              </w:rPr>
            </w:pPr>
            <w:r w:rsidRPr="00AC2605">
              <w:rPr>
                <w:sz w:val="18"/>
              </w:rPr>
              <w:t>466</w:t>
            </w:r>
          </w:p>
        </w:tc>
        <w:tc>
          <w:tcPr>
            <w:tcW w:w="4393" w:type="dxa"/>
            <w:shd w:val="clear" w:color="auto" w:fill="auto"/>
            <w:vAlign w:val="bottom"/>
          </w:tcPr>
          <w:p w:rsidR="00AC2605" w:rsidRPr="00AC2605" w:rsidRDefault="00AC2605" w:rsidP="00DC5D2C">
            <w:pPr>
              <w:suppressAutoHyphens w:val="0"/>
              <w:spacing w:before="40" w:after="40" w:line="220" w:lineRule="exact"/>
              <w:ind w:left="287" w:right="113"/>
              <w:rPr>
                <w:sz w:val="18"/>
              </w:rPr>
            </w:pPr>
            <w:r w:rsidRPr="00AC2605">
              <w:rPr>
                <w:sz w:val="18"/>
              </w:rPr>
              <w:t>Tuberculosis</w:t>
            </w:r>
          </w:p>
        </w:tc>
      </w:tr>
      <w:tr w:rsidR="00AC2605" w:rsidRPr="00AC2605" w:rsidTr="00DC5D2C">
        <w:tc>
          <w:tcPr>
            <w:tcW w:w="1560" w:type="dxa"/>
            <w:shd w:val="clear" w:color="auto" w:fill="auto"/>
            <w:noWrap/>
            <w:hideMark/>
          </w:tcPr>
          <w:p w:rsidR="00AC2605" w:rsidRPr="00AC2605" w:rsidRDefault="00AC2605" w:rsidP="00DC5D2C">
            <w:pPr>
              <w:suppressAutoHyphens w:val="0"/>
              <w:spacing w:before="40" w:after="40" w:line="220" w:lineRule="exact"/>
              <w:ind w:right="113"/>
              <w:jc w:val="right"/>
              <w:rPr>
                <w:sz w:val="18"/>
              </w:rPr>
            </w:pPr>
            <w:r w:rsidRPr="00AC2605">
              <w:rPr>
                <w:sz w:val="18"/>
              </w:rPr>
              <w:t>0</w:t>
            </w:r>
          </w:p>
        </w:tc>
        <w:tc>
          <w:tcPr>
            <w:tcW w:w="1417" w:type="dxa"/>
            <w:shd w:val="clear" w:color="auto" w:fill="auto"/>
            <w:noWrap/>
            <w:vAlign w:val="bottom"/>
            <w:hideMark/>
          </w:tcPr>
          <w:p w:rsidR="00AC2605" w:rsidRPr="00AC2605" w:rsidRDefault="00AC2605" w:rsidP="00AC2605">
            <w:pPr>
              <w:suppressAutoHyphens w:val="0"/>
              <w:spacing w:before="40" w:after="40" w:line="220" w:lineRule="exact"/>
              <w:ind w:right="113"/>
              <w:jc w:val="right"/>
              <w:rPr>
                <w:sz w:val="18"/>
              </w:rPr>
            </w:pPr>
            <w:r w:rsidRPr="00AC2605">
              <w:rPr>
                <w:sz w:val="18"/>
              </w:rPr>
              <w:t>0</w:t>
            </w:r>
          </w:p>
        </w:tc>
        <w:tc>
          <w:tcPr>
            <w:tcW w:w="4393" w:type="dxa"/>
            <w:shd w:val="clear" w:color="auto" w:fill="auto"/>
            <w:vAlign w:val="bottom"/>
          </w:tcPr>
          <w:p w:rsidR="00AC2605" w:rsidRPr="00AC2605" w:rsidRDefault="00AC2605" w:rsidP="00DC5D2C">
            <w:pPr>
              <w:suppressAutoHyphens w:val="0"/>
              <w:spacing w:before="40" w:after="40" w:line="220" w:lineRule="exact"/>
              <w:ind w:left="287" w:right="113"/>
              <w:rPr>
                <w:sz w:val="18"/>
              </w:rPr>
            </w:pPr>
            <w:r w:rsidRPr="00AC2605">
              <w:rPr>
                <w:sz w:val="18"/>
              </w:rPr>
              <w:t>Cholera</w:t>
            </w:r>
          </w:p>
        </w:tc>
      </w:tr>
      <w:tr w:rsidR="00AC2605" w:rsidRPr="00AC2605" w:rsidTr="00DC5D2C">
        <w:tc>
          <w:tcPr>
            <w:tcW w:w="1560" w:type="dxa"/>
            <w:shd w:val="clear" w:color="auto" w:fill="auto"/>
            <w:noWrap/>
            <w:hideMark/>
          </w:tcPr>
          <w:p w:rsidR="00AC2605" w:rsidRPr="00AC2605" w:rsidRDefault="00AC2605" w:rsidP="00DC5D2C">
            <w:pPr>
              <w:suppressAutoHyphens w:val="0"/>
              <w:spacing w:before="40" w:after="40" w:line="220" w:lineRule="exact"/>
              <w:ind w:right="113"/>
              <w:jc w:val="right"/>
              <w:rPr>
                <w:sz w:val="18"/>
              </w:rPr>
            </w:pPr>
            <w:r w:rsidRPr="00AC2605">
              <w:rPr>
                <w:sz w:val="18"/>
              </w:rPr>
              <w:t>0</w:t>
            </w:r>
          </w:p>
        </w:tc>
        <w:tc>
          <w:tcPr>
            <w:tcW w:w="1417" w:type="dxa"/>
            <w:shd w:val="clear" w:color="auto" w:fill="auto"/>
            <w:noWrap/>
            <w:vAlign w:val="bottom"/>
            <w:hideMark/>
          </w:tcPr>
          <w:p w:rsidR="00AC2605" w:rsidRPr="00AC2605" w:rsidRDefault="00AC2605" w:rsidP="00AC2605">
            <w:pPr>
              <w:suppressAutoHyphens w:val="0"/>
              <w:spacing w:before="40" w:after="40" w:line="220" w:lineRule="exact"/>
              <w:ind w:right="113"/>
              <w:jc w:val="right"/>
              <w:rPr>
                <w:sz w:val="18"/>
              </w:rPr>
            </w:pPr>
            <w:r w:rsidRPr="00AC2605">
              <w:rPr>
                <w:sz w:val="18"/>
              </w:rPr>
              <w:t>0</w:t>
            </w:r>
          </w:p>
        </w:tc>
        <w:tc>
          <w:tcPr>
            <w:tcW w:w="4393" w:type="dxa"/>
            <w:shd w:val="clear" w:color="auto" w:fill="auto"/>
            <w:vAlign w:val="bottom"/>
          </w:tcPr>
          <w:p w:rsidR="00AC2605" w:rsidRPr="00AC2605" w:rsidRDefault="00AC2605" w:rsidP="00DC5D2C">
            <w:pPr>
              <w:suppressAutoHyphens w:val="0"/>
              <w:spacing w:before="40" w:after="40" w:line="220" w:lineRule="exact"/>
              <w:ind w:left="287" w:right="113"/>
              <w:rPr>
                <w:sz w:val="18"/>
              </w:rPr>
            </w:pPr>
            <w:r w:rsidRPr="00AC2605">
              <w:rPr>
                <w:sz w:val="18"/>
              </w:rPr>
              <w:t xml:space="preserve">Other </w:t>
            </w:r>
          </w:p>
        </w:tc>
      </w:tr>
    </w:tbl>
    <w:p w:rsidR="0054364F" w:rsidRPr="0054364F" w:rsidRDefault="0054364F" w:rsidP="002D5A28">
      <w:pPr>
        <w:spacing w:before="120"/>
        <w:ind w:left="1134" w:right="1134" w:firstLine="170"/>
        <w:rPr>
          <w:sz w:val="18"/>
        </w:rPr>
      </w:pPr>
      <w:r w:rsidRPr="0054364F">
        <w:rPr>
          <w:i/>
          <w:iCs/>
          <w:sz w:val="18"/>
        </w:rPr>
        <w:lastRenderedPageBreak/>
        <w:t>Source:</w:t>
      </w:r>
      <w:r w:rsidRPr="0054364F">
        <w:rPr>
          <w:sz w:val="18"/>
        </w:rPr>
        <w:t xml:space="preserve"> </w:t>
      </w:r>
      <w:r>
        <w:rPr>
          <w:sz w:val="18"/>
        </w:rPr>
        <w:t xml:space="preserve"> </w:t>
      </w:r>
      <w:r w:rsidRPr="0054364F">
        <w:rPr>
          <w:sz w:val="18"/>
        </w:rPr>
        <w:t xml:space="preserve">Hellenic Center for Disease Control and Prevention </w:t>
      </w:r>
      <w:r w:rsidR="002D5A28">
        <w:rPr>
          <w:sz w:val="18"/>
        </w:rPr>
        <w:t>—</w:t>
      </w:r>
      <w:r w:rsidRPr="0054364F">
        <w:rPr>
          <w:sz w:val="18"/>
        </w:rPr>
        <w:t xml:space="preserve"> KEELPNO (Public Entity of Private Law under the inspection of the Ministry of Health)</w:t>
      </w:r>
      <w:r w:rsidR="003E731F">
        <w:rPr>
          <w:sz w:val="18"/>
        </w:rPr>
        <w:t>.</w:t>
      </w:r>
    </w:p>
    <w:p w:rsidR="0054364F" w:rsidRPr="0054364F" w:rsidRDefault="0054364F" w:rsidP="0054364F">
      <w:pPr>
        <w:ind w:left="1134" w:right="1134" w:firstLine="170"/>
        <w:rPr>
          <w:sz w:val="18"/>
        </w:rPr>
      </w:pPr>
      <w:r w:rsidRPr="0054364F">
        <w:rPr>
          <w:sz w:val="18"/>
        </w:rPr>
        <w:t xml:space="preserve">(1) </w:t>
      </w:r>
      <w:r>
        <w:rPr>
          <w:sz w:val="18"/>
        </w:rPr>
        <w:t xml:space="preserve"> </w:t>
      </w:r>
      <w:r w:rsidRPr="0054364F">
        <w:rPr>
          <w:sz w:val="18"/>
        </w:rPr>
        <w:t>Including only the cases concerning the infectious diseases included in the Greek List of Diseases for Compulsory Notification which are reported either directly to KEELPNO or to the Hygiene Divisions and Sections of the Prefectures</w:t>
      </w:r>
      <w:r>
        <w:rPr>
          <w:sz w:val="18"/>
        </w:rPr>
        <w:t>.</w:t>
      </w:r>
      <w:r w:rsidRPr="0054364F">
        <w:rPr>
          <w:sz w:val="18"/>
        </w:rPr>
        <w:t xml:space="preserve"> </w:t>
      </w:r>
    </w:p>
    <w:p w:rsidR="0054364F" w:rsidRPr="0054364F" w:rsidRDefault="0054364F" w:rsidP="0054364F">
      <w:pPr>
        <w:spacing w:after="240"/>
        <w:ind w:left="1134" w:right="1134" w:firstLine="170"/>
        <w:rPr>
          <w:sz w:val="18"/>
        </w:rPr>
      </w:pPr>
      <w:r w:rsidRPr="0054364F">
        <w:rPr>
          <w:sz w:val="18"/>
        </w:rPr>
        <w:t>*</w:t>
      </w:r>
      <w:r>
        <w:rPr>
          <w:sz w:val="18"/>
        </w:rPr>
        <w:t xml:space="preserve">  </w:t>
      </w:r>
      <w:r w:rsidRPr="0054364F">
        <w:rPr>
          <w:sz w:val="18"/>
        </w:rPr>
        <w:t>The data of 2015 are provisional</w:t>
      </w:r>
      <w:r>
        <w:rPr>
          <w:sz w:val="18"/>
        </w:rPr>
        <w:t>.</w:t>
      </w:r>
    </w:p>
    <w:p w:rsidR="00F233AB" w:rsidRPr="00B02247" w:rsidRDefault="00F233AB" w:rsidP="00EE480E">
      <w:pPr>
        <w:pStyle w:val="H1G"/>
      </w:pPr>
      <w:r w:rsidRPr="00B02247">
        <w:tab/>
      </w:r>
      <w:r w:rsidRPr="00B02247">
        <w:tab/>
        <w:t>Registered</w:t>
      </w:r>
      <w:r w:rsidR="005B2A41">
        <w:t xml:space="preserve"> </w:t>
      </w:r>
      <w:r w:rsidRPr="00B02247">
        <w:t>students</w:t>
      </w:r>
      <w:r w:rsidR="005B2A41">
        <w:t xml:space="preserve"> </w:t>
      </w:r>
      <w:r w:rsidRPr="00B02247">
        <w:t>and</w:t>
      </w:r>
      <w:r w:rsidR="005B2A41">
        <w:t xml:space="preserve"> </w:t>
      </w:r>
      <w:r w:rsidRPr="00B02247">
        <w:t>dropout</w:t>
      </w:r>
      <w:r w:rsidR="005B2A41">
        <w:t xml:space="preserve"> </w:t>
      </w:r>
      <w:r w:rsidRPr="00B02247">
        <w:t>rates</w:t>
      </w:r>
    </w:p>
    <w:p w:rsidR="00F233AB" w:rsidRPr="00B02247" w:rsidRDefault="004E47C5" w:rsidP="00E04918">
      <w:pPr>
        <w:pStyle w:val="SingleTxtG"/>
      </w:pPr>
      <w:r>
        <w:tab/>
      </w:r>
      <w:r w:rsidR="00F233AB" w:rsidRPr="00B02247">
        <w:t>There</w:t>
      </w:r>
      <w:r w:rsidR="005B2A41">
        <w:t xml:space="preserve"> </w:t>
      </w:r>
      <w:r w:rsidR="00F233AB" w:rsidRPr="00B02247">
        <w:t>is</w:t>
      </w:r>
      <w:r w:rsidR="005B2A41">
        <w:t xml:space="preserve"> </w:t>
      </w:r>
      <w:r w:rsidR="00F233AB" w:rsidRPr="00B02247">
        <w:t>a</w:t>
      </w:r>
      <w:r w:rsidR="005B2A41">
        <w:t xml:space="preserve"> </w:t>
      </w:r>
      <w:r w:rsidR="00F233AB" w:rsidRPr="00B02247">
        <w:t>significant</w:t>
      </w:r>
      <w:r w:rsidR="005B2A41">
        <w:t xml:space="preserve"> </w:t>
      </w:r>
      <w:r w:rsidR="00F233AB" w:rsidRPr="00B02247">
        <w:t>deviation</w:t>
      </w:r>
      <w:r w:rsidR="005B2A41">
        <w:t xml:space="preserve"> </w:t>
      </w:r>
      <w:r w:rsidR="00F233AB" w:rsidRPr="00B02247">
        <w:t>in</w:t>
      </w:r>
      <w:r w:rsidR="005B2A41">
        <w:t xml:space="preserve"> </w:t>
      </w:r>
      <w:r w:rsidR="00F233AB" w:rsidRPr="00B02247">
        <w:t>the</w:t>
      </w:r>
      <w:r w:rsidR="005B2A41">
        <w:t xml:space="preserve"> </w:t>
      </w:r>
      <w:r w:rsidR="00F233AB" w:rsidRPr="00B02247">
        <w:t>dropout</w:t>
      </w:r>
      <w:r w:rsidR="005B2A41">
        <w:t xml:space="preserve"> </w:t>
      </w:r>
      <w:r w:rsidR="00F233AB" w:rsidRPr="00B02247">
        <w:t>rates</w:t>
      </w:r>
      <w:r w:rsidR="005B2A41">
        <w:t xml:space="preserve"> </w:t>
      </w:r>
      <w:r w:rsidR="00F233AB" w:rsidRPr="00B02247">
        <w:t>between</w:t>
      </w:r>
      <w:r w:rsidR="005B2A41">
        <w:t xml:space="preserve"> </w:t>
      </w:r>
      <w:r w:rsidR="00F233AB" w:rsidRPr="00B02247">
        <w:t>school</w:t>
      </w:r>
      <w:r w:rsidR="005B2A41">
        <w:t xml:space="preserve"> </w:t>
      </w:r>
      <w:r w:rsidR="00F233AB" w:rsidRPr="00B02247">
        <w:t>types</w:t>
      </w:r>
      <w:r w:rsidR="005B2A41">
        <w:t xml:space="preserve"> </w:t>
      </w:r>
      <w:r w:rsidR="00F233AB" w:rsidRPr="00B02247">
        <w:t>and</w:t>
      </w:r>
      <w:r w:rsidR="005B2A41">
        <w:t xml:space="preserve"> </w:t>
      </w:r>
      <w:r w:rsidR="00F233AB" w:rsidRPr="00B02247">
        <w:t>grades.</w:t>
      </w:r>
      <w:r w:rsidR="005B2A41">
        <w:t xml:space="preserve"> </w:t>
      </w:r>
      <w:r w:rsidR="00F233AB" w:rsidRPr="00B02247">
        <w:t>The</w:t>
      </w:r>
      <w:r w:rsidR="005B2A41">
        <w:t xml:space="preserve"> </w:t>
      </w:r>
      <w:r w:rsidR="00F233AB" w:rsidRPr="00B02247">
        <w:t>highest</w:t>
      </w:r>
      <w:r w:rsidR="005B2A41">
        <w:t xml:space="preserve"> </w:t>
      </w:r>
      <w:r w:rsidR="00F233AB" w:rsidRPr="00B02247">
        <w:t>percentage</w:t>
      </w:r>
      <w:r w:rsidR="005B2A41">
        <w:t xml:space="preserve"> </w:t>
      </w:r>
      <w:r w:rsidR="00F233AB" w:rsidRPr="00B02247">
        <w:t>is</w:t>
      </w:r>
      <w:r w:rsidR="005B2A41">
        <w:t xml:space="preserve"> </w:t>
      </w:r>
      <w:r w:rsidR="00F233AB" w:rsidRPr="00B02247">
        <w:t>recorded</w:t>
      </w:r>
      <w:r w:rsidR="005B2A41">
        <w:t xml:space="preserve"> </w:t>
      </w:r>
      <w:r w:rsidR="00F233AB" w:rsidRPr="00B02247">
        <w:t>in</w:t>
      </w:r>
      <w:r w:rsidR="005B2A41">
        <w:t xml:space="preserve"> </w:t>
      </w:r>
      <w:r w:rsidR="00F233AB" w:rsidRPr="00B02247">
        <w:t>vocational</w:t>
      </w:r>
      <w:r w:rsidR="005B2A41">
        <w:t xml:space="preserve"> </w:t>
      </w:r>
      <w:r w:rsidR="00F233AB" w:rsidRPr="00B02247">
        <w:t>training</w:t>
      </w:r>
      <w:r w:rsidR="005B2A41">
        <w:t xml:space="preserve"> </w:t>
      </w:r>
      <w:r w:rsidR="00F233AB" w:rsidRPr="00B02247">
        <w:t>(11%),</w:t>
      </w:r>
      <w:r w:rsidR="005B2A41">
        <w:t xml:space="preserve"> </w:t>
      </w:r>
      <w:r w:rsidR="00F233AB" w:rsidRPr="00B02247">
        <w:t>while</w:t>
      </w:r>
      <w:r w:rsidR="005B2A41">
        <w:t xml:space="preserve"> </w:t>
      </w:r>
      <w:r w:rsidR="00F233AB" w:rsidRPr="00B02247">
        <w:t>the</w:t>
      </w:r>
      <w:r w:rsidR="005B2A41">
        <w:t xml:space="preserve"> </w:t>
      </w:r>
      <w:r w:rsidR="00F233AB" w:rsidRPr="00B02247">
        <w:t>largest</w:t>
      </w:r>
      <w:r w:rsidR="005B2A41">
        <w:t xml:space="preserve"> </w:t>
      </w:r>
      <w:r w:rsidR="00F233AB" w:rsidRPr="00B02247">
        <w:t>number</w:t>
      </w:r>
      <w:r w:rsidR="005B2A41">
        <w:t xml:space="preserve"> </w:t>
      </w:r>
      <w:r w:rsidR="00F233AB" w:rsidRPr="00B02247">
        <w:t>of</w:t>
      </w:r>
      <w:r w:rsidR="005B2A41">
        <w:t xml:space="preserve"> </w:t>
      </w:r>
      <w:r w:rsidR="00F233AB" w:rsidRPr="00B02247">
        <w:t>pupils</w:t>
      </w:r>
      <w:r w:rsidR="005B2A41">
        <w:t xml:space="preserve"> </w:t>
      </w:r>
      <w:r w:rsidR="00F233AB" w:rsidRPr="00B02247">
        <w:t>drops</w:t>
      </w:r>
      <w:r w:rsidR="005B2A41">
        <w:t xml:space="preserve"> </w:t>
      </w:r>
      <w:r w:rsidR="00F233AB" w:rsidRPr="00B02247">
        <w:t>out</w:t>
      </w:r>
      <w:r w:rsidR="005B2A41">
        <w:t xml:space="preserve"> </w:t>
      </w:r>
      <w:r w:rsidR="00F233AB" w:rsidRPr="00B02247">
        <w:t>at</w:t>
      </w:r>
      <w:r w:rsidR="005B2A41">
        <w:t xml:space="preserve"> </w:t>
      </w:r>
      <w:r w:rsidR="00F233AB" w:rsidRPr="00B02247">
        <w:t>the</w:t>
      </w:r>
      <w:r w:rsidR="005B2A41">
        <w:t xml:space="preserve"> </w:t>
      </w:r>
      <w:r w:rsidR="00F233AB" w:rsidRPr="00B02247">
        <w:t>Gymnasium</w:t>
      </w:r>
      <w:r w:rsidR="005B2A41">
        <w:t xml:space="preserve"> </w:t>
      </w:r>
      <w:r w:rsidR="00F233AB" w:rsidRPr="00B02247">
        <w:t>(4,338</w:t>
      </w:r>
      <w:r w:rsidR="005B2A41">
        <w:t xml:space="preserve"> </w:t>
      </w:r>
      <w:r w:rsidR="00F233AB" w:rsidRPr="00B02247">
        <w:t>pupils)</w:t>
      </w:r>
      <w:r w:rsidR="005B2A41">
        <w:t xml:space="preserve"> </w:t>
      </w:r>
      <w:r w:rsidR="00F233AB" w:rsidRPr="00B02247">
        <w:t>with</w:t>
      </w:r>
      <w:r w:rsidR="005B2A41">
        <w:t xml:space="preserve"> </w:t>
      </w:r>
      <w:r w:rsidR="00F233AB" w:rsidRPr="00B02247">
        <w:t>a</w:t>
      </w:r>
      <w:r w:rsidR="005B2A41">
        <w:t xml:space="preserve"> </w:t>
      </w:r>
      <w:r w:rsidR="00F233AB" w:rsidRPr="00B02247">
        <w:t>significantly</w:t>
      </w:r>
      <w:r w:rsidR="005B2A41">
        <w:t xml:space="preserve"> </w:t>
      </w:r>
      <w:r w:rsidR="00F233AB" w:rsidRPr="00B02247">
        <w:t>higher</w:t>
      </w:r>
      <w:r w:rsidR="005B2A41">
        <w:t xml:space="preserve"> </w:t>
      </w:r>
      <w:r w:rsidR="00F233AB" w:rsidRPr="00B02247">
        <w:t>percentage</w:t>
      </w:r>
      <w:r w:rsidR="005B2A41">
        <w:t xml:space="preserve"> </w:t>
      </w:r>
      <w:r w:rsidR="00F233AB" w:rsidRPr="00B02247">
        <w:t>(4</w:t>
      </w:r>
      <w:r w:rsidR="00E04918">
        <w:t>.</w:t>
      </w:r>
      <w:r w:rsidR="00F233AB" w:rsidRPr="00B02247">
        <w:t>23%)</w:t>
      </w:r>
      <w:r w:rsidR="005B2A41">
        <w:t xml:space="preserve"> </w:t>
      </w:r>
      <w:r w:rsidR="00F233AB" w:rsidRPr="00B02247">
        <w:t>compared</w:t>
      </w:r>
      <w:r w:rsidR="005B2A41">
        <w:t xml:space="preserve"> </w:t>
      </w:r>
      <w:r w:rsidR="00F233AB" w:rsidRPr="00B02247">
        <w:t>to</w:t>
      </w:r>
      <w:r w:rsidR="005B2A41">
        <w:t xml:space="preserve"> </w:t>
      </w:r>
      <w:r w:rsidR="00F233AB" w:rsidRPr="00B02247">
        <w:t>Primary</w:t>
      </w:r>
      <w:r w:rsidR="005B2A41">
        <w:t xml:space="preserve"> </w:t>
      </w:r>
      <w:r w:rsidR="00F233AB" w:rsidRPr="00B02247">
        <w:t>or</w:t>
      </w:r>
      <w:r w:rsidR="005B2A41">
        <w:t xml:space="preserve"> </w:t>
      </w:r>
      <w:r w:rsidR="00F233AB" w:rsidRPr="00B02247">
        <w:t>High</w:t>
      </w:r>
      <w:r w:rsidR="005B2A41">
        <w:t xml:space="preserve"> </w:t>
      </w:r>
      <w:r w:rsidR="00F233AB" w:rsidRPr="00B02247">
        <w:t>Schools.</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44"/>
        <w:gridCol w:w="839"/>
        <w:gridCol w:w="1620"/>
        <w:gridCol w:w="985"/>
        <w:gridCol w:w="854"/>
        <w:gridCol w:w="1029"/>
      </w:tblGrid>
      <w:tr w:rsidR="00057A0D" w:rsidRPr="004E47C5" w:rsidTr="00057A0D">
        <w:trPr>
          <w:tblHeader/>
        </w:trPr>
        <w:tc>
          <w:tcPr>
            <w:tcW w:w="1956" w:type="pct"/>
            <w:gridSpan w:val="2"/>
            <w:vMerge w:val="restart"/>
            <w:tcBorders>
              <w:top w:val="single" w:sz="4" w:space="0" w:color="auto"/>
              <w:bottom w:val="single" w:sz="12" w:space="0" w:color="auto"/>
            </w:tcBorders>
            <w:shd w:val="clear" w:color="auto" w:fill="auto"/>
            <w:vAlign w:val="bottom"/>
          </w:tcPr>
          <w:p w:rsidR="00F233AB" w:rsidRPr="004E47C5" w:rsidRDefault="004E47C5" w:rsidP="004E47C5">
            <w:pPr>
              <w:suppressAutoHyphens w:val="0"/>
              <w:spacing w:before="80" w:after="80" w:line="200" w:lineRule="exact"/>
              <w:ind w:right="113"/>
              <w:rPr>
                <w:i/>
                <w:sz w:val="16"/>
              </w:rPr>
            </w:pPr>
            <w:r w:rsidRPr="004E47C5">
              <w:rPr>
                <w:i/>
                <w:sz w:val="16"/>
              </w:rPr>
              <w:t>Education classification</w:t>
            </w:r>
          </w:p>
        </w:tc>
        <w:tc>
          <w:tcPr>
            <w:tcW w:w="1099" w:type="pct"/>
            <w:vMerge w:val="restart"/>
            <w:tcBorders>
              <w:top w:val="single" w:sz="4" w:space="0" w:color="auto"/>
              <w:bottom w:val="single" w:sz="12" w:space="0" w:color="auto"/>
            </w:tcBorders>
            <w:shd w:val="clear" w:color="auto" w:fill="auto"/>
            <w:vAlign w:val="bottom"/>
          </w:tcPr>
          <w:p w:rsidR="00F233AB" w:rsidRPr="004E47C5" w:rsidRDefault="004E47C5" w:rsidP="00057A0D">
            <w:pPr>
              <w:suppressAutoHyphens w:val="0"/>
              <w:spacing w:before="80" w:after="80" w:line="200" w:lineRule="exact"/>
              <w:ind w:right="113"/>
              <w:rPr>
                <w:i/>
                <w:sz w:val="16"/>
              </w:rPr>
            </w:pPr>
            <w:r w:rsidRPr="004E47C5">
              <w:rPr>
                <w:i/>
                <w:sz w:val="16"/>
              </w:rPr>
              <w:t>School type</w:t>
            </w:r>
          </w:p>
        </w:tc>
        <w:tc>
          <w:tcPr>
            <w:tcW w:w="668" w:type="pct"/>
            <w:tcBorders>
              <w:top w:val="single" w:sz="4" w:space="0" w:color="auto"/>
              <w:bottom w:val="single" w:sz="4" w:space="0" w:color="auto"/>
            </w:tcBorders>
            <w:shd w:val="clear" w:color="auto" w:fill="auto"/>
            <w:vAlign w:val="bottom"/>
          </w:tcPr>
          <w:p w:rsidR="00F233AB" w:rsidRPr="004E47C5" w:rsidRDefault="004E47C5" w:rsidP="004E47C5">
            <w:pPr>
              <w:suppressAutoHyphens w:val="0"/>
              <w:spacing w:before="80" w:after="80" w:line="200" w:lineRule="exact"/>
              <w:ind w:right="113"/>
              <w:jc w:val="right"/>
              <w:rPr>
                <w:i/>
                <w:sz w:val="16"/>
              </w:rPr>
            </w:pPr>
            <w:r w:rsidRPr="004E47C5">
              <w:rPr>
                <w:i/>
                <w:sz w:val="16"/>
              </w:rPr>
              <w:t>Registered</w:t>
            </w:r>
          </w:p>
        </w:tc>
        <w:tc>
          <w:tcPr>
            <w:tcW w:w="579" w:type="pct"/>
            <w:tcBorders>
              <w:top w:val="single" w:sz="4" w:space="0" w:color="auto"/>
              <w:bottom w:val="single" w:sz="4" w:space="0" w:color="auto"/>
            </w:tcBorders>
            <w:shd w:val="clear" w:color="auto" w:fill="auto"/>
            <w:vAlign w:val="bottom"/>
          </w:tcPr>
          <w:p w:rsidR="00F233AB" w:rsidRPr="004E47C5" w:rsidRDefault="004E47C5" w:rsidP="004E47C5">
            <w:pPr>
              <w:suppressAutoHyphens w:val="0"/>
              <w:spacing w:before="80" w:after="80" w:line="200" w:lineRule="exact"/>
              <w:ind w:right="113"/>
              <w:jc w:val="right"/>
              <w:rPr>
                <w:i/>
                <w:sz w:val="16"/>
              </w:rPr>
            </w:pPr>
            <w:r>
              <w:rPr>
                <w:i/>
                <w:sz w:val="16"/>
              </w:rPr>
              <w:t>D</w:t>
            </w:r>
            <w:r w:rsidRPr="004E47C5">
              <w:rPr>
                <w:i/>
                <w:sz w:val="16"/>
              </w:rPr>
              <w:t>ropouts</w:t>
            </w:r>
          </w:p>
        </w:tc>
        <w:tc>
          <w:tcPr>
            <w:tcW w:w="698" w:type="pct"/>
            <w:tcBorders>
              <w:top w:val="single" w:sz="4" w:space="0" w:color="auto"/>
              <w:bottom w:val="single" w:sz="4" w:space="0" w:color="auto"/>
            </w:tcBorders>
            <w:shd w:val="clear" w:color="auto" w:fill="auto"/>
            <w:vAlign w:val="bottom"/>
          </w:tcPr>
          <w:p w:rsidR="00F233AB" w:rsidRPr="004E47C5" w:rsidRDefault="004E47C5" w:rsidP="00057A0D">
            <w:pPr>
              <w:suppressAutoHyphens w:val="0"/>
              <w:spacing w:before="80" w:after="80" w:line="200" w:lineRule="exact"/>
              <w:ind w:right="113"/>
              <w:jc w:val="right"/>
              <w:rPr>
                <w:i/>
                <w:sz w:val="16"/>
              </w:rPr>
            </w:pPr>
            <w:r w:rsidRPr="004E47C5">
              <w:rPr>
                <w:i/>
                <w:sz w:val="16"/>
              </w:rPr>
              <w:t>Student</w:t>
            </w:r>
            <w:r>
              <w:rPr>
                <w:i/>
                <w:sz w:val="16"/>
              </w:rPr>
              <w:t xml:space="preserve"> d</w:t>
            </w:r>
            <w:r w:rsidRPr="004E47C5">
              <w:rPr>
                <w:i/>
                <w:sz w:val="16"/>
              </w:rPr>
              <w:t>ropout percentage</w:t>
            </w:r>
            <w:r w:rsidR="00057A0D">
              <w:rPr>
                <w:i/>
                <w:sz w:val="16"/>
              </w:rPr>
              <w:t xml:space="preserve"> </w:t>
            </w:r>
            <w:r w:rsidRPr="004E47C5">
              <w:rPr>
                <w:i/>
                <w:sz w:val="16"/>
              </w:rPr>
              <w:t>%</w:t>
            </w:r>
          </w:p>
        </w:tc>
      </w:tr>
      <w:tr w:rsidR="00057A0D" w:rsidRPr="004E47C5" w:rsidTr="00057A0D">
        <w:trPr>
          <w:tblHeader/>
        </w:trPr>
        <w:tc>
          <w:tcPr>
            <w:tcW w:w="1956" w:type="pct"/>
            <w:gridSpan w:val="2"/>
            <w:vMerge/>
            <w:tcBorders>
              <w:top w:val="nil"/>
              <w:bottom w:val="single" w:sz="12" w:space="0" w:color="auto"/>
            </w:tcBorders>
            <w:shd w:val="clear" w:color="auto" w:fill="auto"/>
            <w:vAlign w:val="bottom"/>
          </w:tcPr>
          <w:p w:rsidR="00F233AB" w:rsidRPr="004E47C5" w:rsidRDefault="00F233AB" w:rsidP="004E47C5">
            <w:pPr>
              <w:suppressAutoHyphens w:val="0"/>
              <w:spacing w:before="40" w:after="40" w:line="220" w:lineRule="exact"/>
              <w:ind w:right="113"/>
              <w:rPr>
                <w:sz w:val="18"/>
              </w:rPr>
            </w:pPr>
          </w:p>
        </w:tc>
        <w:tc>
          <w:tcPr>
            <w:tcW w:w="1099" w:type="pct"/>
            <w:vMerge/>
            <w:tcBorders>
              <w:top w:val="nil"/>
              <w:bottom w:val="single" w:sz="12" w:space="0" w:color="auto"/>
            </w:tcBorders>
            <w:shd w:val="clear" w:color="auto" w:fill="auto"/>
            <w:vAlign w:val="bottom"/>
          </w:tcPr>
          <w:p w:rsidR="00F233AB" w:rsidRPr="004E47C5" w:rsidRDefault="00F233AB" w:rsidP="00057A0D">
            <w:pPr>
              <w:suppressAutoHyphens w:val="0"/>
              <w:spacing w:before="40" w:after="40" w:line="220" w:lineRule="exact"/>
              <w:ind w:right="113"/>
              <w:rPr>
                <w:sz w:val="18"/>
              </w:rPr>
            </w:pPr>
          </w:p>
        </w:tc>
        <w:tc>
          <w:tcPr>
            <w:tcW w:w="1945" w:type="pct"/>
            <w:gridSpan w:val="3"/>
            <w:tcBorders>
              <w:top w:val="single" w:sz="4" w:space="0" w:color="auto"/>
              <w:bottom w:val="single" w:sz="12" w:space="0" w:color="auto"/>
            </w:tcBorders>
            <w:shd w:val="clear" w:color="auto" w:fill="auto"/>
            <w:vAlign w:val="bottom"/>
          </w:tcPr>
          <w:p w:rsidR="00F233AB" w:rsidRPr="00057A0D" w:rsidRDefault="004E47C5" w:rsidP="00057A0D">
            <w:pPr>
              <w:suppressAutoHyphens w:val="0"/>
              <w:spacing w:before="80" w:after="80" w:line="200" w:lineRule="exact"/>
              <w:ind w:right="113"/>
              <w:jc w:val="center"/>
              <w:rPr>
                <w:i/>
                <w:sz w:val="16"/>
              </w:rPr>
            </w:pPr>
            <w:r w:rsidRPr="00057A0D">
              <w:rPr>
                <w:i/>
                <w:sz w:val="16"/>
              </w:rPr>
              <w:t>(School period 2013–16)</w:t>
            </w:r>
          </w:p>
        </w:tc>
      </w:tr>
      <w:tr w:rsidR="00057A0D" w:rsidRPr="004E47C5" w:rsidTr="003E5508">
        <w:tc>
          <w:tcPr>
            <w:tcW w:w="1387" w:type="pct"/>
            <w:tcBorders>
              <w:top w:val="single" w:sz="12" w:space="0" w:color="auto"/>
            </w:tcBorders>
            <w:shd w:val="clear" w:color="auto" w:fill="auto"/>
          </w:tcPr>
          <w:p w:rsidR="00F233AB" w:rsidRPr="004E47C5" w:rsidRDefault="004E47C5" w:rsidP="004E47C5">
            <w:pPr>
              <w:suppressAutoHyphens w:val="0"/>
              <w:spacing w:before="40" w:after="40" w:line="220" w:lineRule="exact"/>
              <w:ind w:right="113"/>
              <w:rPr>
                <w:sz w:val="18"/>
              </w:rPr>
            </w:pPr>
            <w:r w:rsidRPr="004E47C5">
              <w:rPr>
                <w:sz w:val="18"/>
              </w:rPr>
              <w:t>Primary (compulsory) education</w:t>
            </w:r>
          </w:p>
        </w:tc>
        <w:tc>
          <w:tcPr>
            <w:tcW w:w="569" w:type="pct"/>
            <w:tcBorders>
              <w:top w:val="single" w:sz="12" w:space="0" w:color="auto"/>
            </w:tcBorders>
            <w:shd w:val="clear" w:color="auto" w:fill="auto"/>
          </w:tcPr>
          <w:p w:rsidR="00F233AB" w:rsidRPr="004E47C5" w:rsidRDefault="00F233AB" w:rsidP="004E47C5">
            <w:pPr>
              <w:suppressAutoHyphens w:val="0"/>
              <w:spacing w:before="40" w:after="40" w:line="220" w:lineRule="exact"/>
              <w:ind w:right="113"/>
              <w:rPr>
                <w:sz w:val="18"/>
              </w:rPr>
            </w:pPr>
            <w:r w:rsidRPr="004E47C5">
              <w:rPr>
                <w:sz w:val="18"/>
              </w:rPr>
              <w:t>ISCED</w:t>
            </w:r>
            <w:r w:rsidR="005B2A41" w:rsidRPr="004E47C5">
              <w:rPr>
                <w:sz w:val="18"/>
              </w:rPr>
              <w:t xml:space="preserve"> </w:t>
            </w:r>
            <w:r w:rsidRPr="004E47C5">
              <w:rPr>
                <w:sz w:val="18"/>
              </w:rPr>
              <w:t>1</w:t>
            </w:r>
          </w:p>
        </w:tc>
        <w:tc>
          <w:tcPr>
            <w:tcW w:w="1099" w:type="pct"/>
            <w:tcBorders>
              <w:top w:val="single" w:sz="12" w:space="0" w:color="auto"/>
            </w:tcBorders>
            <w:shd w:val="clear" w:color="auto" w:fill="auto"/>
          </w:tcPr>
          <w:p w:rsidR="00F233AB" w:rsidRPr="004E47C5" w:rsidRDefault="003E731F" w:rsidP="00E04918">
            <w:pPr>
              <w:suppressAutoHyphens w:val="0"/>
              <w:spacing w:before="40" w:after="40" w:line="220" w:lineRule="exact"/>
              <w:ind w:right="113"/>
              <w:rPr>
                <w:sz w:val="18"/>
              </w:rPr>
            </w:pPr>
            <w:r>
              <w:rPr>
                <w:sz w:val="18"/>
              </w:rPr>
              <w:t>“</w:t>
            </w:r>
            <w:r w:rsidR="00F233AB" w:rsidRPr="004E47C5">
              <w:rPr>
                <w:sz w:val="18"/>
              </w:rPr>
              <w:t>Demotiko</w:t>
            </w:r>
            <w:r>
              <w:rPr>
                <w:sz w:val="18"/>
              </w:rPr>
              <w:t>”</w:t>
            </w:r>
            <w:r w:rsidR="00E04918">
              <w:rPr>
                <w:sz w:val="18"/>
              </w:rPr>
              <w:br/>
            </w:r>
            <w:r w:rsidR="00F233AB" w:rsidRPr="004E47C5">
              <w:rPr>
                <w:sz w:val="18"/>
              </w:rPr>
              <w:t>(cohort</w:t>
            </w:r>
            <w:r w:rsidR="005B2A41" w:rsidRPr="004E47C5">
              <w:rPr>
                <w:sz w:val="18"/>
              </w:rPr>
              <w:t xml:space="preserve"> </w:t>
            </w:r>
            <w:r w:rsidR="00F233AB" w:rsidRPr="004E47C5">
              <w:rPr>
                <w:sz w:val="18"/>
              </w:rPr>
              <w:t>A</w:t>
            </w:r>
            <w:r w:rsidRPr="00E749C0">
              <w:rPr>
                <w:b/>
                <w:bCs/>
                <w:sz w:val="18"/>
              </w:rPr>
              <w:t>–</w:t>
            </w:r>
            <w:r w:rsidR="00F233AB" w:rsidRPr="004E47C5">
              <w:rPr>
                <w:sz w:val="18"/>
              </w:rPr>
              <w:t>C)</w:t>
            </w:r>
          </w:p>
        </w:tc>
        <w:tc>
          <w:tcPr>
            <w:tcW w:w="668" w:type="pct"/>
            <w:tcBorders>
              <w:top w:val="single" w:sz="12" w:space="0" w:color="auto"/>
            </w:tcBorders>
            <w:shd w:val="clear" w:color="auto" w:fill="auto"/>
            <w:vAlign w:val="bottom"/>
          </w:tcPr>
          <w:p w:rsidR="00F233AB" w:rsidRPr="004E47C5" w:rsidRDefault="00F233AB" w:rsidP="004E47C5">
            <w:pPr>
              <w:suppressAutoHyphens w:val="0"/>
              <w:spacing w:before="40" w:after="40" w:line="220" w:lineRule="exact"/>
              <w:ind w:right="113"/>
              <w:jc w:val="right"/>
              <w:rPr>
                <w:sz w:val="18"/>
              </w:rPr>
            </w:pPr>
            <w:r w:rsidRPr="004E47C5">
              <w:rPr>
                <w:sz w:val="18"/>
              </w:rPr>
              <w:t>99</w:t>
            </w:r>
            <w:r w:rsidR="004A0704">
              <w:rPr>
                <w:sz w:val="18"/>
              </w:rPr>
              <w:t xml:space="preserve"> </w:t>
            </w:r>
            <w:r w:rsidRPr="004E47C5">
              <w:rPr>
                <w:sz w:val="18"/>
              </w:rPr>
              <w:t>984</w:t>
            </w:r>
          </w:p>
        </w:tc>
        <w:tc>
          <w:tcPr>
            <w:tcW w:w="579" w:type="pct"/>
            <w:tcBorders>
              <w:top w:val="single" w:sz="12" w:space="0" w:color="auto"/>
            </w:tcBorders>
            <w:shd w:val="clear" w:color="auto" w:fill="auto"/>
            <w:vAlign w:val="bottom"/>
          </w:tcPr>
          <w:p w:rsidR="00F233AB" w:rsidRPr="004E47C5" w:rsidRDefault="00F233AB" w:rsidP="004E47C5">
            <w:pPr>
              <w:suppressAutoHyphens w:val="0"/>
              <w:spacing w:before="40" w:after="40" w:line="220" w:lineRule="exact"/>
              <w:ind w:right="113"/>
              <w:jc w:val="right"/>
              <w:rPr>
                <w:sz w:val="18"/>
              </w:rPr>
            </w:pPr>
            <w:r w:rsidRPr="004E47C5">
              <w:rPr>
                <w:sz w:val="18"/>
              </w:rPr>
              <w:t>1</w:t>
            </w:r>
            <w:r w:rsidR="004A0704">
              <w:rPr>
                <w:sz w:val="18"/>
              </w:rPr>
              <w:t xml:space="preserve"> </w:t>
            </w:r>
            <w:r w:rsidRPr="004E47C5">
              <w:rPr>
                <w:sz w:val="18"/>
              </w:rPr>
              <w:t>788</w:t>
            </w:r>
          </w:p>
        </w:tc>
        <w:tc>
          <w:tcPr>
            <w:tcW w:w="698" w:type="pct"/>
            <w:tcBorders>
              <w:top w:val="single" w:sz="12" w:space="0" w:color="auto"/>
            </w:tcBorders>
            <w:shd w:val="clear" w:color="auto" w:fill="auto"/>
            <w:vAlign w:val="bottom"/>
          </w:tcPr>
          <w:p w:rsidR="00F233AB" w:rsidRPr="004E47C5" w:rsidRDefault="00F233AB" w:rsidP="004E47C5">
            <w:pPr>
              <w:suppressAutoHyphens w:val="0"/>
              <w:spacing w:before="40" w:after="40" w:line="220" w:lineRule="exact"/>
              <w:ind w:right="113"/>
              <w:jc w:val="right"/>
              <w:rPr>
                <w:sz w:val="18"/>
              </w:rPr>
            </w:pPr>
            <w:r w:rsidRPr="004E47C5">
              <w:rPr>
                <w:sz w:val="18"/>
              </w:rPr>
              <w:t>1</w:t>
            </w:r>
            <w:r w:rsidR="004A0704">
              <w:rPr>
                <w:sz w:val="18"/>
              </w:rPr>
              <w:t>.</w:t>
            </w:r>
            <w:r w:rsidRPr="004E47C5">
              <w:rPr>
                <w:sz w:val="18"/>
              </w:rPr>
              <w:t>79%</w:t>
            </w:r>
          </w:p>
        </w:tc>
      </w:tr>
      <w:tr w:rsidR="00057A0D" w:rsidRPr="004E47C5" w:rsidTr="003E5508">
        <w:tc>
          <w:tcPr>
            <w:tcW w:w="1387" w:type="pct"/>
            <w:shd w:val="clear" w:color="auto" w:fill="auto"/>
          </w:tcPr>
          <w:p w:rsidR="00F233AB" w:rsidRPr="004E47C5" w:rsidRDefault="004E47C5" w:rsidP="004E47C5">
            <w:pPr>
              <w:suppressAutoHyphens w:val="0"/>
              <w:spacing w:before="40" w:after="40" w:line="220" w:lineRule="exact"/>
              <w:ind w:right="113"/>
              <w:rPr>
                <w:sz w:val="18"/>
              </w:rPr>
            </w:pPr>
            <w:r w:rsidRPr="004E47C5">
              <w:rPr>
                <w:sz w:val="18"/>
              </w:rPr>
              <w:t>Primary (compulsory) education</w:t>
            </w:r>
          </w:p>
        </w:tc>
        <w:tc>
          <w:tcPr>
            <w:tcW w:w="569" w:type="pct"/>
            <w:shd w:val="clear" w:color="auto" w:fill="auto"/>
          </w:tcPr>
          <w:p w:rsidR="00F233AB" w:rsidRPr="004E47C5" w:rsidRDefault="00F233AB" w:rsidP="004E47C5">
            <w:pPr>
              <w:suppressAutoHyphens w:val="0"/>
              <w:spacing w:before="40" w:after="40" w:line="220" w:lineRule="exact"/>
              <w:ind w:right="113"/>
              <w:rPr>
                <w:sz w:val="18"/>
              </w:rPr>
            </w:pPr>
            <w:r w:rsidRPr="004E47C5">
              <w:rPr>
                <w:sz w:val="18"/>
              </w:rPr>
              <w:t>ISCED</w:t>
            </w:r>
            <w:r w:rsidR="005B2A41" w:rsidRPr="004E47C5">
              <w:rPr>
                <w:sz w:val="18"/>
              </w:rPr>
              <w:t xml:space="preserve"> </w:t>
            </w:r>
            <w:r w:rsidRPr="004E47C5">
              <w:rPr>
                <w:sz w:val="18"/>
              </w:rPr>
              <w:t>1</w:t>
            </w:r>
          </w:p>
        </w:tc>
        <w:tc>
          <w:tcPr>
            <w:tcW w:w="1099" w:type="pct"/>
            <w:shd w:val="clear" w:color="auto" w:fill="auto"/>
          </w:tcPr>
          <w:p w:rsidR="00F233AB" w:rsidRPr="004E47C5" w:rsidRDefault="003E731F" w:rsidP="00E04918">
            <w:pPr>
              <w:suppressAutoHyphens w:val="0"/>
              <w:spacing w:before="40" w:after="40" w:line="220" w:lineRule="exact"/>
              <w:ind w:right="113"/>
              <w:rPr>
                <w:sz w:val="18"/>
              </w:rPr>
            </w:pPr>
            <w:r>
              <w:rPr>
                <w:sz w:val="18"/>
              </w:rPr>
              <w:t>“</w:t>
            </w:r>
            <w:r w:rsidR="00F233AB" w:rsidRPr="004E47C5">
              <w:rPr>
                <w:sz w:val="18"/>
              </w:rPr>
              <w:t>Demotiko</w:t>
            </w:r>
            <w:r>
              <w:rPr>
                <w:sz w:val="18"/>
              </w:rPr>
              <w:t>”</w:t>
            </w:r>
            <w:r w:rsidR="00E04918">
              <w:rPr>
                <w:sz w:val="18"/>
              </w:rPr>
              <w:br/>
            </w:r>
            <w:r w:rsidR="00F233AB" w:rsidRPr="004E47C5">
              <w:rPr>
                <w:sz w:val="18"/>
              </w:rPr>
              <w:t>(cohort</w:t>
            </w:r>
            <w:r w:rsidR="005B2A41" w:rsidRPr="004E47C5">
              <w:rPr>
                <w:sz w:val="18"/>
              </w:rPr>
              <w:t xml:space="preserve"> </w:t>
            </w:r>
            <w:r w:rsidR="00F233AB" w:rsidRPr="004E47C5">
              <w:rPr>
                <w:sz w:val="18"/>
              </w:rPr>
              <w:t>D</w:t>
            </w:r>
            <w:r>
              <w:rPr>
                <w:sz w:val="18"/>
              </w:rPr>
              <w:t>–</w:t>
            </w:r>
            <w:r w:rsidR="00F233AB" w:rsidRPr="004E47C5">
              <w:rPr>
                <w:sz w:val="18"/>
              </w:rPr>
              <w:t>F)</w:t>
            </w:r>
          </w:p>
        </w:tc>
        <w:tc>
          <w:tcPr>
            <w:tcW w:w="668" w:type="pct"/>
            <w:shd w:val="clear" w:color="auto" w:fill="auto"/>
            <w:vAlign w:val="bottom"/>
          </w:tcPr>
          <w:p w:rsidR="00F233AB" w:rsidRPr="004E47C5" w:rsidRDefault="00F233AB" w:rsidP="004E47C5">
            <w:pPr>
              <w:suppressAutoHyphens w:val="0"/>
              <w:spacing w:before="40" w:after="40" w:line="220" w:lineRule="exact"/>
              <w:ind w:right="113"/>
              <w:jc w:val="right"/>
              <w:rPr>
                <w:sz w:val="18"/>
              </w:rPr>
            </w:pPr>
            <w:r w:rsidRPr="004E47C5">
              <w:rPr>
                <w:sz w:val="18"/>
              </w:rPr>
              <w:t>95</w:t>
            </w:r>
            <w:r w:rsidR="004A0704">
              <w:rPr>
                <w:sz w:val="18"/>
              </w:rPr>
              <w:t xml:space="preserve"> </w:t>
            </w:r>
            <w:r w:rsidRPr="004E47C5">
              <w:rPr>
                <w:sz w:val="18"/>
              </w:rPr>
              <w:t>805</w:t>
            </w:r>
          </w:p>
        </w:tc>
        <w:tc>
          <w:tcPr>
            <w:tcW w:w="579" w:type="pct"/>
            <w:shd w:val="clear" w:color="auto" w:fill="auto"/>
            <w:vAlign w:val="bottom"/>
          </w:tcPr>
          <w:p w:rsidR="00F233AB" w:rsidRPr="004E47C5" w:rsidRDefault="00F233AB" w:rsidP="004E47C5">
            <w:pPr>
              <w:suppressAutoHyphens w:val="0"/>
              <w:spacing w:before="40" w:after="40" w:line="220" w:lineRule="exact"/>
              <w:ind w:right="113"/>
              <w:jc w:val="right"/>
              <w:rPr>
                <w:sz w:val="18"/>
              </w:rPr>
            </w:pPr>
            <w:r w:rsidRPr="004E47C5">
              <w:rPr>
                <w:sz w:val="18"/>
              </w:rPr>
              <w:t>1</w:t>
            </w:r>
            <w:r w:rsidR="004A0704">
              <w:rPr>
                <w:sz w:val="18"/>
              </w:rPr>
              <w:t xml:space="preserve"> </w:t>
            </w:r>
            <w:r w:rsidRPr="004E47C5">
              <w:rPr>
                <w:sz w:val="18"/>
              </w:rPr>
              <w:t>577</w:t>
            </w:r>
          </w:p>
        </w:tc>
        <w:tc>
          <w:tcPr>
            <w:tcW w:w="698" w:type="pct"/>
            <w:shd w:val="clear" w:color="auto" w:fill="auto"/>
            <w:vAlign w:val="bottom"/>
          </w:tcPr>
          <w:p w:rsidR="00F233AB" w:rsidRPr="004E47C5" w:rsidRDefault="00F233AB" w:rsidP="004E47C5">
            <w:pPr>
              <w:suppressAutoHyphens w:val="0"/>
              <w:spacing w:before="40" w:after="40" w:line="220" w:lineRule="exact"/>
              <w:ind w:right="113"/>
              <w:jc w:val="right"/>
              <w:rPr>
                <w:sz w:val="18"/>
              </w:rPr>
            </w:pPr>
            <w:r w:rsidRPr="004E47C5">
              <w:rPr>
                <w:sz w:val="18"/>
              </w:rPr>
              <w:t>1</w:t>
            </w:r>
            <w:r w:rsidR="004A0704">
              <w:rPr>
                <w:sz w:val="18"/>
              </w:rPr>
              <w:t>.</w:t>
            </w:r>
            <w:r w:rsidRPr="004E47C5">
              <w:rPr>
                <w:sz w:val="18"/>
              </w:rPr>
              <w:t>65%</w:t>
            </w:r>
          </w:p>
        </w:tc>
      </w:tr>
      <w:tr w:rsidR="00057A0D" w:rsidRPr="004E47C5" w:rsidTr="003E5508">
        <w:tc>
          <w:tcPr>
            <w:tcW w:w="1387" w:type="pct"/>
            <w:shd w:val="clear" w:color="auto" w:fill="auto"/>
          </w:tcPr>
          <w:p w:rsidR="00F233AB" w:rsidRPr="004E47C5" w:rsidRDefault="004E47C5" w:rsidP="00057A0D">
            <w:pPr>
              <w:suppressAutoHyphens w:val="0"/>
              <w:spacing w:before="40" w:after="40" w:line="220" w:lineRule="exact"/>
              <w:ind w:right="113"/>
              <w:rPr>
                <w:sz w:val="18"/>
              </w:rPr>
            </w:pPr>
            <w:r w:rsidRPr="004E47C5">
              <w:rPr>
                <w:sz w:val="18"/>
              </w:rPr>
              <w:t>Secondary</w:t>
            </w:r>
            <w:r w:rsidR="00057A0D">
              <w:rPr>
                <w:sz w:val="18"/>
              </w:rPr>
              <w:t xml:space="preserve"> </w:t>
            </w:r>
            <w:r w:rsidRPr="004E47C5">
              <w:rPr>
                <w:sz w:val="18"/>
              </w:rPr>
              <w:t>(compulsory) education</w:t>
            </w:r>
          </w:p>
        </w:tc>
        <w:tc>
          <w:tcPr>
            <w:tcW w:w="569" w:type="pct"/>
            <w:shd w:val="clear" w:color="auto" w:fill="auto"/>
          </w:tcPr>
          <w:p w:rsidR="00F233AB" w:rsidRPr="004E47C5" w:rsidRDefault="00F233AB" w:rsidP="004E47C5">
            <w:pPr>
              <w:suppressAutoHyphens w:val="0"/>
              <w:spacing w:before="40" w:after="40" w:line="220" w:lineRule="exact"/>
              <w:ind w:right="113"/>
              <w:rPr>
                <w:sz w:val="18"/>
              </w:rPr>
            </w:pPr>
            <w:r w:rsidRPr="004E47C5">
              <w:rPr>
                <w:sz w:val="18"/>
              </w:rPr>
              <w:t>ISCED</w:t>
            </w:r>
            <w:r w:rsidR="005B2A41" w:rsidRPr="004E47C5">
              <w:rPr>
                <w:sz w:val="18"/>
              </w:rPr>
              <w:t xml:space="preserve"> </w:t>
            </w:r>
            <w:r w:rsidRPr="004E47C5">
              <w:rPr>
                <w:sz w:val="18"/>
              </w:rPr>
              <w:t>2</w:t>
            </w:r>
          </w:p>
        </w:tc>
        <w:tc>
          <w:tcPr>
            <w:tcW w:w="1099" w:type="pct"/>
            <w:shd w:val="clear" w:color="auto" w:fill="auto"/>
          </w:tcPr>
          <w:p w:rsidR="00F233AB" w:rsidRPr="004E47C5" w:rsidRDefault="003E731F" w:rsidP="00057A0D">
            <w:pPr>
              <w:suppressAutoHyphens w:val="0"/>
              <w:spacing w:before="40" w:after="40" w:line="220" w:lineRule="exact"/>
              <w:ind w:right="113"/>
              <w:rPr>
                <w:sz w:val="18"/>
              </w:rPr>
            </w:pPr>
            <w:r>
              <w:rPr>
                <w:sz w:val="18"/>
              </w:rPr>
              <w:t>“</w:t>
            </w:r>
            <w:r w:rsidR="00F233AB" w:rsidRPr="004E47C5">
              <w:rPr>
                <w:sz w:val="18"/>
              </w:rPr>
              <w:t>Gymnasio</w:t>
            </w:r>
            <w:r>
              <w:rPr>
                <w:sz w:val="18"/>
              </w:rPr>
              <w:t>”</w:t>
            </w:r>
          </w:p>
        </w:tc>
        <w:tc>
          <w:tcPr>
            <w:tcW w:w="668" w:type="pct"/>
            <w:shd w:val="clear" w:color="auto" w:fill="auto"/>
            <w:vAlign w:val="bottom"/>
          </w:tcPr>
          <w:p w:rsidR="00F233AB" w:rsidRPr="004E47C5" w:rsidRDefault="00F233AB" w:rsidP="004E47C5">
            <w:pPr>
              <w:suppressAutoHyphens w:val="0"/>
              <w:spacing w:before="40" w:after="40" w:line="220" w:lineRule="exact"/>
              <w:ind w:right="113"/>
              <w:jc w:val="right"/>
              <w:rPr>
                <w:sz w:val="18"/>
              </w:rPr>
            </w:pPr>
            <w:r w:rsidRPr="004E47C5">
              <w:rPr>
                <w:sz w:val="18"/>
              </w:rPr>
              <w:t>102</w:t>
            </w:r>
            <w:r w:rsidR="004A0704">
              <w:rPr>
                <w:sz w:val="18"/>
              </w:rPr>
              <w:t xml:space="preserve"> </w:t>
            </w:r>
            <w:r w:rsidRPr="004E47C5">
              <w:rPr>
                <w:sz w:val="18"/>
              </w:rPr>
              <w:t>447</w:t>
            </w:r>
          </w:p>
        </w:tc>
        <w:tc>
          <w:tcPr>
            <w:tcW w:w="579" w:type="pct"/>
            <w:shd w:val="clear" w:color="auto" w:fill="auto"/>
            <w:vAlign w:val="bottom"/>
          </w:tcPr>
          <w:p w:rsidR="00F233AB" w:rsidRPr="004E47C5" w:rsidRDefault="00F233AB" w:rsidP="004E47C5">
            <w:pPr>
              <w:suppressAutoHyphens w:val="0"/>
              <w:spacing w:before="40" w:after="40" w:line="220" w:lineRule="exact"/>
              <w:ind w:right="113"/>
              <w:jc w:val="right"/>
              <w:rPr>
                <w:sz w:val="18"/>
              </w:rPr>
            </w:pPr>
            <w:r w:rsidRPr="004E47C5">
              <w:rPr>
                <w:sz w:val="18"/>
              </w:rPr>
              <w:t>4</w:t>
            </w:r>
            <w:r w:rsidR="004A0704">
              <w:rPr>
                <w:sz w:val="18"/>
              </w:rPr>
              <w:t xml:space="preserve"> </w:t>
            </w:r>
            <w:r w:rsidRPr="004E47C5">
              <w:rPr>
                <w:sz w:val="18"/>
              </w:rPr>
              <w:t>338</w:t>
            </w:r>
          </w:p>
        </w:tc>
        <w:tc>
          <w:tcPr>
            <w:tcW w:w="698" w:type="pct"/>
            <w:shd w:val="clear" w:color="auto" w:fill="auto"/>
            <w:vAlign w:val="bottom"/>
          </w:tcPr>
          <w:p w:rsidR="00F233AB" w:rsidRPr="004E47C5" w:rsidRDefault="00F233AB" w:rsidP="004E47C5">
            <w:pPr>
              <w:suppressAutoHyphens w:val="0"/>
              <w:spacing w:before="40" w:after="40" w:line="220" w:lineRule="exact"/>
              <w:ind w:right="113"/>
              <w:jc w:val="right"/>
              <w:rPr>
                <w:sz w:val="18"/>
              </w:rPr>
            </w:pPr>
            <w:r w:rsidRPr="004E47C5">
              <w:rPr>
                <w:sz w:val="18"/>
              </w:rPr>
              <w:t>4</w:t>
            </w:r>
            <w:r w:rsidR="004A0704">
              <w:rPr>
                <w:sz w:val="18"/>
              </w:rPr>
              <w:t>.</w:t>
            </w:r>
            <w:r w:rsidRPr="004E47C5">
              <w:rPr>
                <w:sz w:val="18"/>
              </w:rPr>
              <w:t>23%</w:t>
            </w:r>
          </w:p>
        </w:tc>
      </w:tr>
      <w:tr w:rsidR="00057A0D" w:rsidRPr="004E47C5" w:rsidTr="003E5508">
        <w:tc>
          <w:tcPr>
            <w:tcW w:w="1387" w:type="pct"/>
            <w:shd w:val="clear" w:color="auto" w:fill="auto"/>
          </w:tcPr>
          <w:p w:rsidR="00F233AB" w:rsidRPr="004E47C5" w:rsidRDefault="004E47C5" w:rsidP="00057A0D">
            <w:pPr>
              <w:suppressAutoHyphens w:val="0"/>
              <w:spacing w:before="40" w:after="40" w:line="220" w:lineRule="exact"/>
              <w:ind w:right="113"/>
              <w:rPr>
                <w:sz w:val="18"/>
              </w:rPr>
            </w:pPr>
            <w:r w:rsidRPr="004E47C5">
              <w:rPr>
                <w:sz w:val="18"/>
              </w:rPr>
              <w:t>Secondary</w:t>
            </w:r>
            <w:r w:rsidR="00057A0D">
              <w:rPr>
                <w:sz w:val="18"/>
              </w:rPr>
              <w:t xml:space="preserve"> </w:t>
            </w:r>
            <w:r w:rsidRPr="004E47C5">
              <w:rPr>
                <w:sz w:val="18"/>
              </w:rPr>
              <w:t>(non-compulsory) education</w:t>
            </w:r>
          </w:p>
        </w:tc>
        <w:tc>
          <w:tcPr>
            <w:tcW w:w="569" w:type="pct"/>
            <w:shd w:val="clear" w:color="auto" w:fill="auto"/>
          </w:tcPr>
          <w:p w:rsidR="00F233AB" w:rsidRPr="004E47C5" w:rsidRDefault="00F233AB" w:rsidP="004E47C5">
            <w:pPr>
              <w:suppressAutoHyphens w:val="0"/>
              <w:spacing w:before="40" w:after="40" w:line="220" w:lineRule="exact"/>
              <w:ind w:right="113"/>
              <w:rPr>
                <w:sz w:val="18"/>
              </w:rPr>
            </w:pPr>
            <w:r w:rsidRPr="004E47C5">
              <w:rPr>
                <w:sz w:val="18"/>
              </w:rPr>
              <w:t>ISCED</w:t>
            </w:r>
            <w:r w:rsidR="005B2A41" w:rsidRPr="004E47C5">
              <w:rPr>
                <w:sz w:val="18"/>
              </w:rPr>
              <w:t xml:space="preserve"> </w:t>
            </w:r>
            <w:r w:rsidRPr="004E47C5">
              <w:rPr>
                <w:sz w:val="18"/>
              </w:rPr>
              <w:t>3</w:t>
            </w:r>
          </w:p>
        </w:tc>
        <w:tc>
          <w:tcPr>
            <w:tcW w:w="1099" w:type="pct"/>
            <w:shd w:val="clear" w:color="auto" w:fill="auto"/>
          </w:tcPr>
          <w:p w:rsidR="00F233AB" w:rsidRPr="004E47C5" w:rsidRDefault="003E731F" w:rsidP="00057A0D">
            <w:pPr>
              <w:suppressAutoHyphens w:val="0"/>
              <w:spacing w:before="40" w:after="40" w:line="220" w:lineRule="exact"/>
              <w:ind w:right="113"/>
              <w:rPr>
                <w:sz w:val="18"/>
              </w:rPr>
            </w:pPr>
            <w:r>
              <w:rPr>
                <w:sz w:val="18"/>
              </w:rPr>
              <w:t>“</w:t>
            </w:r>
            <w:r w:rsidR="00F233AB" w:rsidRPr="004E47C5">
              <w:rPr>
                <w:sz w:val="18"/>
              </w:rPr>
              <w:t>General</w:t>
            </w:r>
            <w:r w:rsidR="005B2A41" w:rsidRPr="004E47C5">
              <w:rPr>
                <w:sz w:val="18"/>
              </w:rPr>
              <w:t xml:space="preserve"> </w:t>
            </w:r>
            <w:r w:rsidR="00F233AB" w:rsidRPr="004E47C5">
              <w:rPr>
                <w:sz w:val="18"/>
              </w:rPr>
              <w:t>Lykeio</w:t>
            </w:r>
            <w:r>
              <w:rPr>
                <w:sz w:val="18"/>
              </w:rPr>
              <w:t>”</w:t>
            </w:r>
          </w:p>
        </w:tc>
        <w:tc>
          <w:tcPr>
            <w:tcW w:w="668" w:type="pct"/>
            <w:shd w:val="clear" w:color="auto" w:fill="auto"/>
            <w:vAlign w:val="bottom"/>
          </w:tcPr>
          <w:p w:rsidR="00F233AB" w:rsidRPr="004E47C5" w:rsidRDefault="00F233AB" w:rsidP="004E47C5">
            <w:pPr>
              <w:suppressAutoHyphens w:val="0"/>
              <w:spacing w:before="40" w:after="40" w:line="220" w:lineRule="exact"/>
              <w:ind w:right="113"/>
              <w:jc w:val="right"/>
              <w:rPr>
                <w:sz w:val="18"/>
              </w:rPr>
            </w:pPr>
            <w:r w:rsidRPr="004E47C5">
              <w:rPr>
                <w:sz w:val="18"/>
              </w:rPr>
              <w:t>78</w:t>
            </w:r>
            <w:r w:rsidR="004A0704">
              <w:rPr>
                <w:sz w:val="18"/>
              </w:rPr>
              <w:t xml:space="preserve"> </w:t>
            </w:r>
            <w:r w:rsidRPr="004E47C5">
              <w:rPr>
                <w:sz w:val="18"/>
              </w:rPr>
              <w:t>237</w:t>
            </w:r>
          </w:p>
        </w:tc>
        <w:tc>
          <w:tcPr>
            <w:tcW w:w="579" w:type="pct"/>
            <w:shd w:val="clear" w:color="auto" w:fill="auto"/>
            <w:vAlign w:val="bottom"/>
          </w:tcPr>
          <w:p w:rsidR="00F233AB" w:rsidRPr="004E47C5" w:rsidRDefault="00F233AB" w:rsidP="004E47C5">
            <w:pPr>
              <w:suppressAutoHyphens w:val="0"/>
              <w:spacing w:before="40" w:after="40" w:line="220" w:lineRule="exact"/>
              <w:ind w:right="113"/>
              <w:jc w:val="right"/>
              <w:rPr>
                <w:sz w:val="18"/>
              </w:rPr>
            </w:pPr>
            <w:r w:rsidRPr="004E47C5">
              <w:rPr>
                <w:sz w:val="18"/>
              </w:rPr>
              <w:t>1</w:t>
            </w:r>
            <w:r w:rsidR="004A0704">
              <w:rPr>
                <w:sz w:val="18"/>
              </w:rPr>
              <w:t xml:space="preserve"> </w:t>
            </w:r>
            <w:r w:rsidRPr="004E47C5">
              <w:rPr>
                <w:sz w:val="18"/>
              </w:rPr>
              <w:t>499</w:t>
            </w:r>
          </w:p>
        </w:tc>
        <w:tc>
          <w:tcPr>
            <w:tcW w:w="698" w:type="pct"/>
            <w:shd w:val="clear" w:color="auto" w:fill="auto"/>
            <w:vAlign w:val="bottom"/>
          </w:tcPr>
          <w:p w:rsidR="00F233AB" w:rsidRPr="004E47C5" w:rsidRDefault="00F233AB" w:rsidP="004E47C5">
            <w:pPr>
              <w:suppressAutoHyphens w:val="0"/>
              <w:spacing w:before="40" w:after="40" w:line="220" w:lineRule="exact"/>
              <w:ind w:right="113"/>
              <w:jc w:val="right"/>
              <w:rPr>
                <w:sz w:val="18"/>
              </w:rPr>
            </w:pPr>
            <w:r w:rsidRPr="004E47C5">
              <w:rPr>
                <w:sz w:val="18"/>
              </w:rPr>
              <w:t>1</w:t>
            </w:r>
            <w:r w:rsidR="004A0704">
              <w:rPr>
                <w:sz w:val="18"/>
              </w:rPr>
              <w:t>.</w:t>
            </w:r>
            <w:r w:rsidRPr="004E47C5">
              <w:rPr>
                <w:sz w:val="18"/>
              </w:rPr>
              <w:t>92%</w:t>
            </w:r>
          </w:p>
        </w:tc>
      </w:tr>
      <w:tr w:rsidR="00057A0D" w:rsidRPr="004E47C5" w:rsidTr="003E5508">
        <w:tc>
          <w:tcPr>
            <w:tcW w:w="1387" w:type="pct"/>
            <w:shd w:val="clear" w:color="auto" w:fill="auto"/>
          </w:tcPr>
          <w:p w:rsidR="00F233AB" w:rsidRPr="004E47C5" w:rsidRDefault="004E47C5" w:rsidP="003B1188">
            <w:pPr>
              <w:suppressAutoHyphens w:val="0"/>
              <w:spacing w:before="40" w:after="40" w:line="220" w:lineRule="exact"/>
              <w:ind w:right="113"/>
              <w:rPr>
                <w:sz w:val="18"/>
              </w:rPr>
            </w:pPr>
            <w:r w:rsidRPr="004E47C5">
              <w:rPr>
                <w:sz w:val="18"/>
              </w:rPr>
              <w:t>Secondary</w:t>
            </w:r>
            <w:r w:rsidR="00057A0D">
              <w:rPr>
                <w:sz w:val="18"/>
              </w:rPr>
              <w:t xml:space="preserve"> </w:t>
            </w:r>
            <w:r w:rsidR="00057A0D">
              <w:rPr>
                <w:sz w:val="18"/>
              </w:rPr>
              <w:br/>
            </w:r>
            <w:r w:rsidRPr="004E47C5">
              <w:rPr>
                <w:sz w:val="18"/>
              </w:rPr>
              <w:t>Vocational (non-compulsory)</w:t>
            </w:r>
            <w:r w:rsidR="003B1188">
              <w:rPr>
                <w:sz w:val="18"/>
              </w:rPr>
              <w:t xml:space="preserve"> e</w:t>
            </w:r>
            <w:r w:rsidRPr="004E47C5">
              <w:rPr>
                <w:sz w:val="18"/>
              </w:rPr>
              <w:t>ducation</w:t>
            </w:r>
          </w:p>
        </w:tc>
        <w:tc>
          <w:tcPr>
            <w:tcW w:w="569" w:type="pct"/>
            <w:shd w:val="clear" w:color="auto" w:fill="auto"/>
          </w:tcPr>
          <w:p w:rsidR="00F233AB" w:rsidRPr="004E47C5" w:rsidRDefault="00F233AB" w:rsidP="004E47C5">
            <w:pPr>
              <w:suppressAutoHyphens w:val="0"/>
              <w:spacing w:before="40" w:after="40" w:line="220" w:lineRule="exact"/>
              <w:ind w:right="113"/>
              <w:rPr>
                <w:sz w:val="18"/>
              </w:rPr>
            </w:pPr>
            <w:r w:rsidRPr="004E47C5">
              <w:rPr>
                <w:sz w:val="18"/>
              </w:rPr>
              <w:t>ISCED</w:t>
            </w:r>
            <w:r w:rsidR="005B2A41" w:rsidRPr="004E47C5">
              <w:rPr>
                <w:sz w:val="18"/>
              </w:rPr>
              <w:t xml:space="preserve"> </w:t>
            </w:r>
            <w:r w:rsidRPr="004E47C5">
              <w:rPr>
                <w:sz w:val="18"/>
              </w:rPr>
              <w:t>3</w:t>
            </w:r>
          </w:p>
        </w:tc>
        <w:tc>
          <w:tcPr>
            <w:tcW w:w="1099" w:type="pct"/>
            <w:shd w:val="clear" w:color="auto" w:fill="auto"/>
          </w:tcPr>
          <w:p w:rsidR="00F233AB" w:rsidRPr="004E47C5" w:rsidRDefault="003E731F" w:rsidP="00057A0D">
            <w:pPr>
              <w:suppressAutoHyphens w:val="0"/>
              <w:spacing w:before="40" w:after="40" w:line="220" w:lineRule="exact"/>
              <w:ind w:right="113"/>
              <w:rPr>
                <w:sz w:val="18"/>
              </w:rPr>
            </w:pPr>
            <w:r>
              <w:rPr>
                <w:sz w:val="18"/>
              </w:rPr>
              <w:t>“</w:t>
            </w:r>
            <w:r w:rsidR="00F233AB" w:rsidRPr="004E47C5">
              <w:rPr>
                <w:sz w:val="18"/>
              </w:rPr>
              <w:t>Vocational</w:t>
            </w:r>
            <w:r w:rsidR="005B2A41" w:rsidRPr="004E47C5">
              <w:rPr>
                <w:sz w:val="18"/>
              </w:rPr>
              <w:t xml:space="preserve"> </w:t>
            </w:r>
            <w:r w:rsidR="00F233AB" w:rsidRPr="004E47C5">
              <w:rPr>
                <w:sz w:val="18"/>
              </w:rPr>
              <w:t>Lykeio</w:t>
            </w:r>
            <w:r>
              <w:rPr>
                <w:sz w:val="18"/>
              </w:rPr>
              <w:t>”</w:t>
            </w:r>
          </w:p>
        </w:tc>
        <w:tc>
          <w:tcPr>
            <w:tcW w:w="668" w:type="pct"/>
            <w:shd w:val="clear" w:color="auto" w:fill="auto"/>
            <w:vAlign w:val="bottom"/>
          </w:tcPr>
          <w:p w:rsidR="00F233AB" w:rsidRPr="004E47C5" w:rsidRDefault="00F233AB" w:rsidP="004E47C5">
            <w:pPr>
              <w:suppressAutoHyphens w:val="0"/>
              <w:spacing w:before="40" w:after="40" w:line="220" w:lineRule="exact"/>
              <w:ind w:right="113"/>
              <w:jc w:val="right"/>
              <w:rPr>
                <w:sz w:val="18"/>
              </w:rPr>
            </w:pPr>
            <w:r w:rsidRPr="004E47C5">
              <w:rPr>
                <w:sz w:val="18"/>
              </w:rPr>
              <w:t>19</w:t>
            </w:r>
            <w:r w:rsidR="004A0704">
              <w:rPr>
                <w:sz w:val="18"/>
              </w:rPr>
              <w:t xml:space="preserve"> </w:t>
            </w:r>
            <w:r w:rsidRPr="004E47C5">
              <w:rPr>
                <w:sz w:val="18"/>
              </w:rPr>
              <w:t>800</w:t>
            </w:r>
          </w:p>
        </w:tc>
        <w:tc>
          <w:tcPr>
            <w:tcW w:w="579" w:type="pct"/>
            <w:shd w:val="clear" w:color="auto" w:fill="auto"/>
            <w:vAlign w:val="bottom"/>
          </w:tcPr>
          <w:p w:rsidR="00F233AB" w:rsidRPr="004E47C5" w:rsidRDefault="00F233AB" w:rsidP="004E47C5">
            <w:pPr>
              <w:suppressAutoHyphens w:val="0"/>
              <w:spacing w:before="40" w:after="40" w:line="220" w:lineRule="exact"/>
              <w:ind w:right="113"/>
              <w:jc w:val="right"/>
              <w:rPr>
                <w:sz w:val="18"/>
              </w:rPr>
            </w:pPr>
            <w:r w:rsidRPr="004E47C5">
              <w:rPr>
                <w:sz w:val="18"/>
              </w:rPr>
              <w:t>2</w:t>
            </w:r>
            <w:r w:rsidR="004A0704">
              <w:rPr>
                <w:sz w:val="18"/>
              </w:rPr>
              <w:t xml:space="preserve"> </w:t>
            </w:r>
            <w:r w:rsidRPr="004E47C5">
              <w:rPr>
                <w:sz w:val="18"/>
              </w:rPr>
              <w:t>181</w:t>
            </w:r>
          </w:p>
        </w:tc>
        <w:tc>
          <w:tcPr>
            <w:tcW w:w="698" w:type="pct"/>
            <w:shd w:val="clear" w:color="auto" w:fill="auto"/>
            <w:vAlign w:val="bottom"/>
          </w:tcPr>
          <w:p w:rsidR="00F233AB" w:rsidRPr="004E47C5" w:rsidRDefault="00F233AB" w:rsidP="004E47C5">
            <w:pPr>
              <w:suppressAutoHyphens w:val="0"/>
              <w:spacing w:before="40" w:after="40" w:line="220" w:lineRule="exact"/>
              <w:ind w:right="113"/>
              <w:jc w:val="right"/>
              <w:rPr>
                <w:sz w:val="18"/>
              </w:rPr>
            </w:pPr>
            <w:r w:rsidRPr="004E47C5">
              <w:rPr>
                <w:sz w:val="18"/>
              </w:rPr>
              <w:t>11</w:t>
            </w:r>
            <w:r w:rsidR="004A0704">
              <w:rPr>
                <w:sz w:val="18"/>
              </w:rPr>
              <w:t>.</w:t>
            </w:r>
            <w:r w:rsidRPr="004E47C5">
              <w:rPr>
                <w:sz w:val="18"/>
              </w:rPr>
              <w:t>02%</w:t>
            </w:r>
          </w:p>
        </w:tc>
      </w:tr>
    </w:tbl>
    <w:p w:rsidR="00F233AB" w:rsidRPr="00057A0D" w:rsidRDefault="00057A0D" w:rsidP="00057A0D">
      <w:pPr>
        <w:spacing w:before="120"/>
        <w:ind w:left="1134" w:right="1134" w:firstLine="170"/>
        <w:rPr>
          <w:sz w:val="18"/>
        </w:rPr>
      </w:pPr>
      <w:r w:rsidRPr="00057A0D">
        <w:rPr>
          <w:i/>
          <w:iCs/>
          <w:sz w:val="18"/>
        </w:rPr>
        <w:t>Source:</w:t>
      </w:r>
      <w:r w:rsidRPr="00057A0D">
        <w:rPr>
          <w:sz w:val="18"/>
        </w:rPr>
        <w:t xml:space="preserve"> </w:t>
      </w:r>
      <w:r>
        <w:rPr>
          <w:sz w:val="18"/>
        </w:rPr>
        <w:t xml:space="preserve"> </w:t>
      </w:r>
      <w:r w:rsidRPr="00057A0D">
        <w:rPr>
          <w:sz w:val="18"/>
        </w:rPr>
        <w:t xml:space="preserve">Information System </w:t>
      </w:r>
      <w:r w:rsidR="003E731F">
        <w:rPr>
          <w:sz w:val="18"/>
        </w:rPr>
        <w:t>“</w:t>
      </w:r>
      <w:r w:rsidRPr="00057A0D">
        <w:rPr>
          <w:sz w:val="18"/>
        </w:rPr>
        <w:t>myschool</w:t>
      </w:r>
      <w:r w:rsidR="003E731F">
        <w:rPr>
          <w:sz w:val="18"/>
        </w:rPr>
        <w:t>”</w:t>
      </w:r>
      <w:r w:rsidRPr="00057A0D">
        <w:rPr>
          <w:sz w:val="18"/>
        </w:rPr>
        <w:t xml:space="preserve"> (Jan.</w:t>
      </w:r>
      <w:r w:rsidR="004A0704">
        <w:rPr>
          <w:sz w:val="18"/>
        </w:rPr>
        <w:t xml:space="preserve"> </w:t>
      </w:r>
      <w:r w:rsidRPr="00057A0D">
        <w:rPr>
          <w:sz w:val="18"/>
        </w:rPr>
        <w:t>2017), Ministry of Education, edited by: IEP Student Dropout Observatory</w:t>
      </w:r>
      <w:r>
        <w:rPr>
          <w:sz w:val="18"/>
        </w:rPr>
        <w:t>.</w:t>
      </w:r>
    </w:p>
    <w:p w:rsidR="00057A0D" w:rsidRPr="00B02247" w:rsidRDefault="00057A0D" w:rsidP="00F233AB"/>
    <w:p w:rsidR="00F233AB" w:rsidRPr="00B02247" w:rsidRDefault="00E749C0" w:rsidP="00DB31E8">
      <w:pPr>
        <w:pStyle w:val="SingleTxtG"/>
      </w:pPr>
      <w:r>
        <w:rPr>
          <w:noProof/>
          <w:lang w:eastAsia="zh-CN"/>
        </w:rPr>
        <w:t>–</w:t>
      </w:r>
      <w:r w:rsidR="00F233AB" w:rsidRPr="00B02247">
        <w:rPr>
          <w:noProof/>
          <w:lang w:eastAsia="zh-CN"/>
        </w:rPr>
        <w:drawing>
          <wp:inline distT="0" distB="0" distL="0" distR="0" wp14:anchorId="3ACEC623" wp14:editId="2993EE5B">
            <wp:extent cx="5273675" cy="3122295"/>
            <wp:effectExtent l="0" t="0" r="3175" b="1905"/>
            <wp:docPr id="33" name="Γράφημα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233AB" w:rsidRPr="00B02247" w:rsidRDefault="00F233AB" w:rsidP="00EE480E">
      <w:pPr>
        <w:pStyle w:val="H1G"/>
      </w:pPr>
      <w:r w:rsidRPr="00B02247">
        <w:lastRenderedPageBreak/>
        <w:tab/>
      </w:r>
      <w:r w:rsidRPr="00B02247">
        <w:tab/>
        <w:t>Student</w:t>
      </w:r>
      <w:r w:rsidR="005B2A41">
        <w:t xml:space="preserve"> </w:t>
      </w:r>
      <w:r w:rsidRPr="00B02247">
        <w:t>dropout</w:t>
      </w:r>
      <w:r w:rsidR="005B2A41">
        <w:t xml:space="preserve"> </w:t>
      </w:r>
      <w:r w:rsidRPr="00B02247">
        <w:t>by</w:t>
      </w:r>
      <w:r w:rsidR="005B2A41">
        <w:t xml:space="preserve"> </w:t>
      </w:r>
      <w:r w:rsidRPr="00B02247">
        <w:t>gender</w:t>
      </w:r>
      <w:r w:rsidR="005B2A41">
        <w:t xml:space="preserve"> </w:t>
      </w:r>
      <w:r w:rsidRPr="00B02247">
        <w:t>and</w:t>
      </w:r>
      <w:r w:rsidR="005B2A41">
        <w:t xml:space="preserve"> </w:t>
      </w:r>
      <w:r w:rsidRPr="00B02247">
        <w:t>type</w:t>
      </w:r>
      <w:r w:rsidR="005B2A41">
        <w:t xml:space="preserve"> </w:t>
      </w:r>
      <w:r w:rsidRPr="00B02247">
        <w:t>of</w:t>
      </w:r>
      <w:r w:rsidR="005B2A41">
        <w:t xml:space="preserve"> </w:t>
      </w:r>
      <w:r w:rsidRPr="00B02247">
        <w:t>school</w:t>
      </w:r>
    </w:p>
    <w:p w:rsidR="00F233AB" w:rsidRPr="00B02247" w:rsidRDefault="00DB31E8" w:rsidP="00DB31E8">
      <w:pPr>
        <w:pStyle w:val="SingleTxtG"/>
      </w:pPr>
      <w:r>
        <w:tab/>
      </w:r>
      <w:r w:rsidR="00F233AB" w:rsidRPr="00B02247">
        <w:t>The</w:t>
      </w:r>
      <w:r w:rsidR="005B2A41">
        <w:t xml:space="preserve"> </w:t>
      </w:r>
      <w:r w:rsidR="00F233AB" w:rsidRPr="00B02247">
        <w:t>following</w:t>
      </w:r>
      <w:r w:rsidR="005B2A41">
        <w:t xml:space="preserve"> </w:t>
      </w:r>
      <w:r w:rsidR="00F233AB" w:rsidRPr="00B02247">
        <w:t>table</w:t>
      </w:r>
      <w:r w:rsidR="005B2A41">
        <w:t xml:space="preserve"> </w:t>
      </w:r>
      <w:r w:rsidR="00F233AB" w:rsidRPr="00B02247">
        <w:t>shows</w:t>
      </w:r>
      <w:r w:rsidR="005B2A41">
        <w:t xml:space="preserve"> </w:t>
      </w:r>
      <w:r w:rsidR="00F233AB" w:rsidRPr="00B02247">
        <w:t>registered</w:t>
      </w:r>
      <w:r w:rsidR="005B2A41">
        <w:t xml:space="preserve"> </w:t>
      </w:r>
      <w:r w:rsidR="00F233AB" w:rsidRPr="00B02247">
        <w:t>students</w:t>
      </w:r>
      <w:r w:rsidR="005B2A41">
        <w:t xml:space="preserve"> </w:t>
      </w:r>
      <w:r w:rsidR="00F233AB" w:rsidRPr="00B02247">
        <w:t>and</w:t>
      </w:r>
      <w:r w:rsidR="005B2A41">
        <w:t xml:space="preserve"> </w:t>
      </w:r>
      <w:r w:rsidR="00F233AB" w:rsidRPr="00B02247">
        <w:t>student</w:t>
      </w:r>
      <w:r w:rsidR="005B2A41">
        <w:t xml:space="preserve"> </w:t>
      </w:r>
      <w:r w:rsidR="00F233AB" w:rsidRPr="00B02247">
        <w:t>dropout</w:t>
      </w:r>
      <w:r w:rsidR="005B2A41">
        <w:t xml:space="preserve"> </w:t>
      </w:r>
      <w:r w:rsidR="00F233AB" w:rsidRPr="00B02247">
        <w:t>rates,</w:t>
      </w:r>
      <w:r w:rsidR="005B2A41">
        <w:t xml:space="preserve"> </w:t>
      </w:r>
      <w:r w:rsidR="00F233AB" w:rsidRPr="00B02247">
        <w:t>by</w:t>
      </w:r>
      <w:r w:rsidR="005B2A41">
        <w:t xml:space="preserve"> </w:t>
      </w:r>
      <w:r w:rsidR="00F233AB" w:rsidRPr="00B02247">
        <w:t>gender</w:t>
      </w:r>
      <w:r w:rsidR="005B2A41">
        <w:t xml:space="preserve"> </w:t>
      </w:r>
      <w:r w:rsidR="00F233AB" w:rsidRPr="00B02247">
        <w:t>and</w:t>
      </w:r>
      <w:r w:rsidR="005B2A41">
        <w:t xml:space="preserve"> </w:t>
      </w:r>
      <w:r w:rsidR="00F233AB" w:rsidRPr="00B02247">
        <w:t>school</w:t>
      </w:r>
      <w:r w:rsidR="005B2A41">
        <w:t xml:space="preserve"> </w:t>
      </w:r>
      <w:r w:rsidR="00F233AB" w:rsidRPr="00B02247">
        <w:t>type.</w:t>
      </w:r>
      <w:r w:rsidR="005B2A41">
        <w:t xml:space="preserve"> </w:t>
      </w:r>
      <w:r w:rsidR="00F233AB" w:rsidRPr="00B02247">
        <w:t>It</w:t>
      </w:r>
      <w:r w:rsidR="005B2A41">
        <w:t xml:space="preserve"> </w:t>
      </w:r>
      <w:r w:rsidR="00F233AB" w:rsidRPr="00B02247">
        <w:t>is</w:t>
      </w:r>
      <w:r w:rsidR="005B2A41">
        <w:t xml:space="preserve"> </w:t>
      </w:r>
      <w:r w:rsidR="00F233AB" w:rsidRPr="00B02247">
        <w:t>noted</w:t>
      </w:r>
      <w:r w:rsidR="005B2A41">
        <w:t xml:space="preserve"> </w:t>
      </w:r>
      <w:r w:rsidR="00F233AB" w:rsidRPr="00B02247">
        <w:t>that</w:t>
      </w:r>
      <w:r w:rsidR="005B2A41">
        <w:t xml:space="preserve"> </w:t>
      </w:r>
      <w:r w:rsidR="00F233AB" w:rsidRPr="00B02247">
        <w:t>boys</w:t>
      </w:r>
      <w:r w:rsidR="005B2A41">
        <w:t xml:space="preserve"> </w:t>
      </w:r>
      <w:r w:rsidR="00F233AB" w:rsidRPr="00B02247">
        <w:t>show</w:t>
      </w:r>
      <w:r w:rsidR="005B2A41">
        <w:t xml:space="preserve"> </w:t>
      </w:r>
      <w:r w:rsidR="00F233AB" w:rsidRPr="00B02247">
        <w:t>consistently</w:t>
      </w:r>
      <w:r w:rsidR="005B2A41">
        <w:t xml:space="preserve"> </w:t>
      </w:r>
      <w:r w:rsidR="00F233AB" w:rsidRPr="00B02247">
        <w:t>higher</w:t>
      </w:r>
      <w:r w:rsidR="005B2A41">
        <w:t xml:space="preserve"> </w:t>
      </w:r>
      <w:r w:rsidR="00F233AB" w:rsidRPr="00B02247">
        <w:t>drop-out</w:t>
      </w:r>
      <w:r w:rsidR="005B2A41">
        <w:t xml:space="preserve"> </w:t>
      </w:r>
      <w:r w:rsidR="00F233AB" w:rsidRPr="00B02247">
        <w:t>rates</w:t>
      </w:r>
      <w:r w:rsidR="005B2A41">
        <w:t xml:space="preserve"> </w:t>
      </w:r>
      <w:r w:rsidR="00F233AB" w:rsidRPr="00B02247">
        <w:t>than</w:t>
      </w:r>
      <w:r w:rsidR="005B2A41">
        <w:t xml:space="preserve"> </w:t>
      </w:r>
      <w:r w:rsidR="00F233AB" w:rsidRPr="00B02247">
        <w:t>girls</w:t>
      </w:r>
      <w:r w:rsidR="005B2A41">
        <w:t xml:space="preserve"> </w:t>
      </w:r>
      <w:r w:rsidR="00F233AB" w:rsidRPr="00B02247">
        <w:t>at</w:t>
      </w:r>
      <w:r w:rsidR="005B2A41">
        <w:t xml:space="preserve"> </w:t>
      </w:r>
      <w:r w:rsidR="00F233AB" w:rsidRPr="00B02247">
        <w:t>all</w:t>
      </w:r>
      <w:r w:rsidR="005B2A41">
        <w:t xml:space="preserve"> </w:t>
      </w:r>
      <w:r w:rsidR="00F233AB" w:rsidRPr="00B02247">
        <w:t>levels</w:t>
      </w:r>
      <w:r w:rsidR="005B2A41">
        <w:t xml:space="preserve"> </w:t>
      </w:r>
      <w:r w:rsidR="00F233AB" w:rsidRPr="00B02247">
        <w:t>of</w:t>
      </w:r>
      <w:r w:rsidR="005B2A41">
        <w:t xml:space="preserve"> </w:t>
      </w:r>
      <w:r w:rsidR="00F233AB" w:rsidRPr="00B02247">
        <w:t>education</w:t>
      </w:r>
      <w:r w:rsidR="005B2A41">
        <w:t xml:space="preserve"> </w:t>
      </w:r>
      <w:r w:rsidR="00F233AB" w:rsidRPr="00B02247">
        <w:t>and</w:t>
      </w:r>
      <w:r w:rsidR="005B2A41">
        <w:t xml:space="preserve"> </w:t>
      </w:r>
      <w:r w:rsidR="00F233AB" w:rsidRPr="00B02247">
        <w:t>school</w:t>
      </w:r>
      <w:r w:rsidR="005B2A41">
        <w:t xml:space="preserve"> </w:t>
      </w:r>
      <w:r w:rsidR="00F233AB" w:rsidRPr="00B02247">
        <w:t>type.</w:t>
      </w:r>
      <w:r w:rsidR="005B2A41">
        <w:t xml:space="preserve"> </w:t>
      </w:r>
      <w:r w:rsidR="00F233AB" w:rsidRPr="00B02247">
        <w:t>Greater</w:t>
      </w:r>
      <w:r w:rsidR="005B2A41">
        <w:t xml:space="preserve"> </w:t>
      </w:r>
      <w:r w:rsidR="00F233AB" w:rsidRPr="00B02247">
        <w:t>deviation</w:t>
      </w:r>
      <w:r w:rsidR="005B2A41">
        <w:t xml:space="preserve"> </w:t>
      </w:r>
      <w:r w:rsidR="00F233AB" w:rsidRPr="00B02247">
        <w:t>of</w:t>
      </w:r>
      <w:r w:rsidR="005B2A41">
        <w:t xml:space="preserve"> </w:t>
      </w:r>
      <w:r w:rsidR="00F233AB" w:rsidRPr="00B02247">
        <w:t>individual</w:t>
      </w:r>
      <w:r w:rsidR="005B2A41">
        <w:t xml:space="preserve"> </w:t>
      </w:r>
      <w:r w:rsidR="00F233AB" w:rsidRPr="00B02247">
        <w:t>percentages</w:t>
      </w:r>
      <w:r w:rsidR="005B2A41">
        <w:t xml:space="preserve"> </w:t>
      </w:r>
      <w:r w:rsidR="00F233AB" w:rsidRPr="00B02247">
        <w:t>occurs</w:t>
      </w:r>
      <w:r w:rsidR="005B2A41">
        <w:t xml:space="preserve"> </w:t>
      </w:r>
      <w:r w:rsidR="00F233AB" w:rsidRPr="00B02247">
        <w:t>in</w:t>
      </w:r>
      <w:r w:rsidR="005B2A41">
        <w:t xml:space="preserve"> </w:t>
      </w:r>
      <w:r w:rsidR="003E731F">
        <w:t>“</w:t>
      </w:r>
      <w:r w:rsidR="00F233AB" w:rsidRPr="00B02247">
        <w:t>Gymnasium</w:t>
      </w:r>
      <w:r w:rsidR="003E731F">
        <w:t>”</w:t>
      </w:r>
      <w:r w:rsidR="005B2A41">
        <w:t xml:space="preserve"> </w:t>
      </w:r>
      <w:r w:rsidR="00F233AB" w:rsidRPr="00B02247">
        <w:t>(ISCED</w:t>
      </w:r>
      <w:r w:rsidR="005B2A41">
        <w:t xml:space="preserve"> </w:t>
      </w:r>
      <w:r w:rsidR="00F233AB" w:rsidRPr="00B02247">
        <w:t>2),</w:t>
      </w:r>
      <w:r w:rsidR="005B2A41">
        <w:t xml:space="preserve"> </w:t>
      </w:r>
      <w:r w:rsidR="00F233AB" w:rsidRPr="00B02247">
        <w:t>where</w:t>
      </w:r>
      <w:r w:rsidR="005B2A41">
        <w:t xml:space="preserve"> </w:t>
      </w:r>
      <w:r w:rsidR="00F233AB" w:rsidRPr="00B02247">
        <w:t>boys</w:t>
      </w:r>
      <w:r w:rsidR="005B2A41">
        <w:t xml:space="preserve"> </w:t>
      </w:r>
      <w:r w:rsidR="00F233AB" w:rsidRPr="00B02247">
        <w:t>dropout</w:t>
      </w:r>
      <w:r w:rsidR="005B2A41">
        <w:t xml:space="preserve"> </w:t>
      </w:r>
      <w:r w:rsidR="00F233AB" w:rsidRPr="00B02247">
        <w:t>for</w:t>
      </w:r>
      <w:r w:rsidR="005B2A41">
        <w:t xml:space="preserve"> </w:t>
      </w:r>
      <w:r w:rsidR="00F233AB" w:rsidRPr="00B02247">
        <w:t>about</w:t>
      </w:r>
      <w:r w:rsidR="005B2A41">
        <w:t xml:space="preserve"> </w:t>
      </w:r>
      <w:r w:rsidR="00F233AB" w:rsidRPr="00B02247">
        <w:t>35%</w:t>
      </w:r>
      <w:r w:rsidR="005B2A41">
        <w:t xml:space="preserve"> </w:t>
      </w:r>
      <w:r w:rsidR="00F233AB" w:rsidRPr="00B02247">
        <w:t>more</w:t>
      </w:r>
      <w:r w:rsidR="005B2A41">
        <w:t xml:space="preserve"> </w:t>
      </w:r>
      <w:r w:rsidR="00F233AB" w:rsidRPr="00B02247">
        <w:t>than</w:t>
      </w:r>
      <w:r w:rsidR="005B2A41">
        <w:t xml:space="preserve"> </w:t>
      </w:r>
      <w:r w:rsidR="00F233AB" w:rsidRPr="00B02247">
        <w:t>girls</w:t>
      </w:r>
      <w:r w:rsidR="005B2A41">
        <w:t xml:space="preserve"> </w:t>
      </w:r>
      <w:r w:rsidR="00F233AB" w:rsidRPr="00B02247">
        <w:t>(4.82%</w:t>
      </w:r>
      <w:r w:rsidR="005B2A41">
        <w:t xml:space="preserve"> </w:t>
      </w:r>
      <w:r w:rsidR="00F233AB" w:rsidRPr="00B02247">
        <w:t>and</w:t>
      </w:r>
      <w:r w:rsidR="005B2A41">
        <w:t xml:space="preserve"> </w:t>
      </w:r>
      <w:r w:rsidR="00F233AB" w:rsidRPr="00B02247">
        <w:t>3.58%</w:t>
      </w:r>
      <w:r w:rsidR="005B2A41">
        <w:t xml:space="preserve"> </w:t>
      </w:r>
      <w:r w:rsidR="00F233AB" w:rsidRPr="00B02247">
        <w:t>respectively).</w:t>
      </w:r>
      <w:r w:rsidR="005B2A41">
        <w:t xml:space="preserve"> </w:t>
      </w:r>
      <w:r w:rsidR="00F233AB" w:rsidRPr="00B02247">
        <w:t>There</w:t>
      </w:r>
      <w:r w:rsidR="005B2A41">
        <w:t xml:space="preserve"> </w:t>
      </w:r>
      <w:r w:rsidR="00F233AB" w:rsidRPr="00B02247">
        <w:t>is</w:t>
      </w:r>
      <w:r w:rsidR="005B2A41">
        <w:t xml:space="preserve"> </w:t>
      </w:r>
      <w:r w:rsidR="00F233AB" w:rsidRPr="00B02247">
        <w:t>no</w:t>
      </w:r>
      <w:r w:rsidR="005B2A41">
        <w:t xml:space="preserve"> </w:t>
      </w:r>
      <w:r w:rsidR="00F233AB" w:rsidRPr="00B02247">
        <w:t>remarkable</w:t>
      </w:r>
      <w:r w:rsidR="005B2A41">
        <w:t xml:space="preserve"> </w:t>
      </w:r>
      <w:r w:rsidR="00F233AB" w:rsidRPr="00B02247">
        <w:t>differentiation</w:t>
      </w:r>
      <w:r w:rsidR="005B2A41">
        <w:t xml:space="preserve"> </w:t>
      </w:r>
      <w:r w:rsidR="00F233AB" w:rsidRPr="00B02247">
        <w:t>in</w:t>
      </w:r>
      <w:r w:rsidR="005B2A41">
        <w:t xml:space="preserve"> </w:t>
      </w:r>
      <w:r w:rsidR="00F233AB" w:rsidRPr="00B02247">
        <w:t>Primary</w:t>
      </w:r>
      <w:r w:rsidR="005B2A41">
        <w:t xml:space="preserve"> </w:t>
      </w:r>
      <w:r w:rsidR="00F233AB" w:rsidRPr="00B02247">
        <w:t>Education</w:t>
      </w:r>
      <w:r w:rsidR="005B2A41">
        <w:t xml:space="preserve"> </w:t>
      </w:r>
      <w:r w:rsidR="00F233AB" w:rsidRPr="00B02247">
        <w:t>(ISCED</w:t>
      </w:r>
      <w:r w:rsidR="005B2A41">
        <w:t xml:space="preserve"> </w:t>
      </w:r>
      <w:r w:rsidR="00F233AB" w:rsidRPr="00B02247">
        <w:t>1),</w:t>
      </w:r>
      <w:r w:rsidR="005B2A41">
        <w:t xml:space="preserve"> </w:t>
      </w:r>
      <w:r w:rsidR="00F233AB" w:rsidRPr="00B02247">
        <w:t>while</w:t>
      </w:r>
      <w:r w:rsidR="005B2A41">
        <w:t xml:space="preserve"> </w:t>
      </w:r>
      <w:r w:rsidR="00F233AB" w:rsidRPr="00B02247">
        <w:t>in</w:t>
      </w:r>
      <w:r w:rsidR="005B2A41">
        <w:t xml:space="preserve"> </w:t>
      </w:r>
      <w:r w:rsidR="00F233AB" w:rsidRPr="00B02247">
        <w:t>both,</w:t>
      </w:r>
      <w:r w:rsidR="005B2A41">
        <w:t xml:space="preserve"> </w:t>
      </w:r>
      <w:r w:rsidR="00F233AB" w:rsidRPr="00B02247">
        <w:t>General</w:t>
      </w:r>
      <w:r w:rsidR="005B2A41">
        <w:t xml:space="preserve"> </w:t>
      </w:r>
      <w:r w:rsidR="00F233AB" w:rsidRPr="00B02247">
        <w:t>and</w:t>
      </w:r>
      <w:r w:rsidR="005B2A41">
        <w:t xml:space="preserve"> </w:t>
      </w:r>
      <w:r w:rsidR="00F233AB" w:rsidRPr="00B02247">
        <w:t>Vocational,</w:t>
      </w:r>
      <w:r w:rsidR="005B2A41">
        <w:t xml:space="preserve"> </w:t>
      </w:r>
      <w:r w:rsidR="003E731F">
        <w:t>“</w:t>
      </w:r>
      <w:r w:rsidR="00F233AB" w:rsidRPr="00B02247">
        <w:t>Lycea</w:t>
      </w:r>
      <w:r w:rsidR="003E731F">
        <w:t>”</w:t>
      </w:r>
      <w:r w:rsidR="005B2A41">
        <w:t xml:space="preserve"> </w:t>
      </w:r>
      <w:r w:rsidR="00F233AB" w:rsidRPr="00B02247">
        <w:t>(ISCED</w:t>
      </w:r>
      <w:r w:rsidR="005B2A41">
        <w:t xml:space="preserve"> </w:t>
      </w:r>
      <w:r w:rsidR="00F233AB" w:rsidRPr="00B02247">
        <w:t>3),</w:t>
      </w:r>
      <w:r w:rsidR="005B2A41">
        <w:t xml:space="preserve"> </w:t>
      </w:r>
      <w:r w:rsidR="00F233AB" w:rsidRPr="00B02247">
        <w:t>boys</w:t>
      </w:r>
      <w:r w:rsidR="005B2A41">
        <w:t xml:space="preserve"> </w:t>
      </w:r>
      <w:r w:rsidR="003E731F">
        <w:t>“</w:t>
      </w:r>
      <w:r w:rsidR="00F233AB" w:rsidRPr="00B02247">
        <w:t>predate</w:t>
      </w:r>
      <w:r w:rsidR="003E731F">
        <w:t>”</w:t>
      </w:r>
      <w:r w:rsidR="005B2A41">
        <w:t xml:space="preserve"> </w:t>
      </w:r>
      <w:r w:rsidR="00F233AB" w:rsidRPr="00B02247">
        <w:t>about</w:t>
      </w:r>
      <w:r w:rsidR="005B2A41">
        <w:t xml:space="preserve"> </w:t>
      </w:r>
      <w:r w:rsidR="00F233AB" w:rsidRPr="00B02247">
        <w:t>15%</w:t>
      </w:r>
      <w:r w:rsidR="005B2A41">
        <w:t xml:space="preserve"> </w:t>
      </w:r>
      <w:r w:rsidR="00F233AB" w:rsidRPr="00B02247">
        <w:t>of</w:t>
      </w:r>
      <w:r w:rsidR="005B2A41">
        <w:t xml:space="preserve"> </w:t>
      </w:r>
      <w:r w:rsidR="00F233AB" w:rsidRPr="00B02247">
        <w:t>early</w:t>
      </w:r>
      <w:r w:rsidR="005B2A41">
        <w:t xml:space="preserve"> </w:t>
      </w:r>
      <w:r w:rsidR="00F233AB" w:rsidRPr="00B02247">
        <w:t>school</w:t>
      </w:r>
      <w:r w:rsidR="005B2A41">
        <w:t xml:space="preserve"> </w:t>
      </w:r>
      <w:r w:rsidR="00F233AB" w:rsidRPr="00B02247">
        <w:t>leaving</w:t>
      </w:r>
      <w:r w:rsidR="005B2A41">
        <w:t xml:space="preserve"> </w:t>
      </w:r>
      <w:r w:rsidR="00F233AB" w:rsidRPr="00B02247">
        <w:t>towards</w:t>
      </w:r>
      <w:r w:rsidR="005B2A41">
        <w:t xml:space="preserve"> </w:t>
      </w:r>
      <w:r w:rsidR="00F233AB" w:rsidRPr="00B02247">
        <w:t>girls.</w:t>
      </w:r>
    </w:p>
    <w:tbl>
      <w:tblPr>
        <w:tblW w:w="737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71"/>
        <w:gridCol w:w="910"/>
        <w:gridCol w:w="813"/>
        <w:gridCol w:w="869"/>
        <w:gridCol w:w="751"/>
        <w:gridCol w:w="869"/>
        <w:gridCol w:w="751"/>
        <w:gridCol w:w="869"/>
        <w:gridCol w:w="869"/>
      </w:tblGrid>
      <w:tr w:rsidR="00F233AB" w:rsidRPr="00C1779F" w:rsidTr="008279D0">
        <w:trPr>
          <w:cantSplit/>
          <w:tblHeader/>
        </w:trPr>
        <w:tc>
          <w:tcPr>
            <w:tcW w:w="671" w:type="dxa"/>
            <w:vMerge w:val="restart"/>
            <w:tcBorders>
              <w:top w:val="single" w:sz="4" w:space="0" w:color="auto"/>
              <w:bottom w:val="single" w:sz="12" w:space="0" w:color="auto"/>
            </w:tcBorders>
            <w:shd w:val="clear" w:color="auto" w:fill="auto"/>
            <w:vAlign w:val="bottom"/>
          </w:tcPr>
          <w:p w:rsidR="00F233AB" w:rsidRPr="00C1779F" w:rsidRDefault="00C1779F" w:rsidP="00C1779F">
            <w:pPr>
              <w:suppressAutoHyphens w:val="0"/>
              <w:spacing w:before="80" w:after="80" w:line="200" w:lineRule="exact"/>
              <w:ind w:right="113"/>
              <w:rPr>
                <w:i/>
                <w:sz w:val="16"/>
              </w:rPr>
            </w:pPr>
            <w:r w:rsidRPr="00C1779F">
              <w:rPr>
                <w:i/>
                <w:sz w:val="16"/>
              </w:rPr>
              <w:t>Sex</w:t>
            </w:r>
          </w:p>
        </w:tc>
        <w:tc>
          <w:tcPr>
            <w:tcW w:w="1723" w:type="dxa"/>
            <w:gridSpan w:val="2"/>
            <w:tcBorders>
              <w:top w:val="single" w:sz="4" w:space="0" w:color="auto"/>
              <w:bottom w:val="single" w:sz="4" w:space="0" w:color="auto"/>
            </w:tcBorders>
            <w:shd w:val="clear" w:color="auto" w:fill="auto"/>
            <w:vAlign w:val="bottom"/>
          </w:tcPr>
          <w:p w:rsidR="00F233AB" w:rsidRPr="00C1779F" w:rsidRDefault="005B2A41" w:rsidP="004A0704">
            <w:pPr>
              <w:suppressAutoHyphens w:val="0"/>
              <w:spacing w:before="80" w:after="80" w:line="200" w:lineRule="exact"/>
              <w:ind w:right="113"/>
              <w:jc w:val="right"/>
              <w:rPr>
                <w:i/>
                <w:sz w:val="16"/>
              </w:rPr>
            </w:pPr>
            <w:r w:rsidRPr="00C1779F">
              <w:rPr>
                <w:i/>
                <w:sz w:val="16"/>
              </w:rPr>
              <w:t xml:space="preserve"> </w:t>
            </w:r>
            <w:r w:rsidR="00F233AB" w:rsidRPr="00C1779F">
              <w:rPr>
                <w:i/>
                <w:sz w:val="16"/>
              </w:rPr>
              <w:t>Primary</w:t>
            </w:r>
            <w:r w:rsidRPr="00C1779F">
              <w:rPr>
                <w:i/>
                <w:sz w:val="16"/>
              </w:rPr>
              <w:t xml:space="preserve"> </w:t>
            </w:r>
            <w:r w:rsidR="00F233AB" w:rsidRPr="00C1779F">
              <w:rPr>
                <w:i/>
                <w:sz w:val="16"/>
              </w:rPr>
              <w:t>Education</w:t>
            </w:r>
            <w:r w:rsidR="004A0704">
              <w:rPr>
                <w:i/>
                <w:sz w:val="16"/>
              </w:rPr>
              <w:br/>
            </w:r>
            <w:r w:rsidR="00F233AB" w:rsidRPr="00C1779F">
              <w:rPr>
                <w:i/>
                <w:sz w:val="16"/>
              </w:rPr>
              <w:t>(ISCED</w:t>
            </w:r>
            <w:r w:rsidRPr="00C1779F">
              <w:rPr>
                <w:i/>
                <w:sz w:val="16"/>
              </w:rPr>
              <w:t xml:space="preserve"> </w:t>
            </w:r>
            <w:r w:rsidR="00F233AB" w:rsidRPr="00C1779F">
              <w:rPr>
                <w:i/>
                <w:sz w:val="16"/>
              </w:rPr>
              <w:t>1)</w:t>
            </w:r>
          </w:p>
        </w:tc>
        <w:tc>
          <w:tcPr>
            <w:tcW w:w="1620" w:type="dxa"/>
            <w:gridSpan w:val="2"/>
            <w:tcBorders>
              <w:top w:val="single" w:sz="4" w:space="0" w:color="auto"/>
              <w:bottom w:val="single" w:sz="4" w:space="0" w:color="auto"/>
            </w:tcBorders>
            <w:shd w:val="clear" w:color="auto" w:fill="auto"/>
            <w:vAlign w:val="bottom"/>
          </w:tcPr>
          <w:p w:rsidR="00F233AB" w:rsidRPr="00C1779F" w:rsidRDefault="005B2A41" w:rsidP="004A0704">
            <w:pPr>
              <w:suppressAutoHyphens w:val="0"/>
              <w:spacing w:before="80" w:after="80" w:line="200" w:lineRule="exact"/>
              <w:ind w:right="113"/>
              <w:jc w:val="right"/>
              <w:rPr>
                <w:i/>
                <w:sz w:val="16"/>
              </w:rPr>
            </w:pPr>
            <w:r w:rsidRPr="00C1779F">
              <w:rPr>
                <w:i/>
                <w:sz w:val="16"/>
              </w:rPr>
              <w:t xml:space="preserve"> </w:t>
            </w:r>
            <w:r w:rsidR="00F233AB" w:rsidRPr="00C1779F">
              <w:rPr>
                <w:i/>
                <w:sz w:val="16"/>
              </w:rPr>
              <w:t>Secondary</w:t>
            </w:r>
            <w:r w:rsidRPr="00C1779F">
              <w:rPr>
                <w:i/>
                <w:sz w:val="16"/>
              </w:rPr>
              <w:t xml:space="preserve"> </w:t>
            </w:r>
            <w:r w:rsidR="00F233AB" w:rsidRPr="00C1779F">
              <w:rPr>
                <w:i/>
                <w:sz w:val="16"/>
              </w:rPr>
              <w:t>Education</w:t>
            </w:r>
            <w:r w:rsidR="004A0704">
              <w:rPr>
                <w:i/>
                <w:sz w:val="16"/>
              </w:rPr>
              <w:br/>
            </w:r>
            <w:r w:rsidR="00F233AB" w:rsidRPr="00C1779F">
              <w:rPr>
                <w:i/>
                <w:sz w:val="16"/>
              </w:rPr>
              <w:t>(ISCED</w:t>
            </w:r>
            <w:r w:rsidRPr="00C1779F">
              <w:rPr>
                <w:i/>
                <w:sz w:val="16"/>
              </w:rPr>
              <w:t xml:space="preserve"> </w:t>
            </w:r>
            <w:r w:rsidR="00F233AB" w:rsidRPr="00C1779F">
              <w:rPr>
                <w:i/>
                <w:sz w:val="16"/>
              </w:rPr>
              <w:t>2)</w:t>
            </w:r>
          </w:p>
        </w:tc>
        <w:tc>
          <w:tcPr>
            <w:tcW w:w="1620" w:type="dxa"/>
            <w:gridSpan w:val="2"/>
            <w:tcBorders>
              <w:top w:val="single" w:sz="4" w:space="0" w:color="auto"/>
              <w:bottom w:val="single" w:sz="4" w:space="0" w:color="auto"/>
            </w:tcBorders>
            <w:shd w:val="clear" w:color="auto" w:fill="auto"/>
            <w:vAlign w:val="bottom"/>
          </w:tcPr>
          <w:p w:rsidR="00F233AB" w:rsidRPr="00C1779F" w:rsidRDefault="00F233AB" w:rsidP="004A0704">
            <w:pPr>
              <w:suppressAutoHyphens w:val="0"/>
              <w:spacing w:before="80" w:after="80" w:line="200" w:lineRule="exact"/>
              <w:ind w:right="113"/>
              <w:jc w:val="right"/>
              <w:rPr>
                <w:i/>
                <w:sz w:val="16"/>
              </w:rPr>
            </w:pPr>
            <w:r w:rsidRPr="00C1779F">
              <w:rPr>
                <w:i/>
                <w:sz w:val="16"/>
              </w:rPr>
              <w:t>Secondary</w:t>
            </w:r>
            <w:r w:rsidR="005B2A41" w:rsidRPr="00C1779F">
              <w:rPr>
                <w:i/>
                <w:sz w:val="16"/>
              </w:rPr>
              <w:t xml:space="preserve"> </w:t>
            </w:r>
            <w:r w:rsidRPr="00C1779F">
              <w:rPr>
                <w:i/>
                <w:sz w:val="16"/>
              </w:rPr>
              <w:t>Education</w:t>
            </w:r>
            <w:r w:rsidR="004A0704">
              <w:rPr>
                <w:i/>
                <w:sz w:val="16"/>
              </w:rPr>
              <w:br/>
            </w:r>
            <w:r w:rsidRPr="00C1779F">
              <w:rPr>
                <w:i/>
                <w:sz w:val="16"/>
              </w:rPr>
              <w:t>(ISCED</w:t>
            </w:r>
            <w:r w:rsidR="005B2A41" w:rsidRPr="00C1779F">
              <w:rPr>
                <w:i/>
                <w:sz w:val="16"/>
              </w:rPr>
              <w:t xml:space="preserve"> </w:t>
            </w:r>
            <w:r w:rsidRPr="00C1779F">
              <w:rPr>
                <w:i/>
                <w:sz w:val="16"/>
              </w:rPr>
              <w:t>3)</w:t>
            </w:r>
          </w:p>
        </w:tc>
        <w:tc>
          <w:tcPr>
            <w:tcW w:w="1737" w:type="dxa"/>
            <w:gridSpan w:val="2"/>
            <w:tcBorders>
              <w:top w:val="single" w:sz="4" w:space="0" w:color="auto"/>
              <w:bottom w:val="single" w:sz="4" w:space="0" w:color="auto"/>
            </w:tcBorders>
            <w:shd w:val="clear" w:color="auto" w:fill="auto"/>
            <w:vAlign w:val="bottom"/>
          </w:tcPr>
          <w:p w:rsidR="00F233AB" w:rsidRPr="00C1779F" w:rsidRDefault="00F233AB" w:rsidP="004A0704">
            <w:pPr>
              <w:suppressAutoHyphens w:val="0"/>
              <w:spacing w:before="80" w:after="80" w:line="200" w:lineRule="exact"/>
              <w:ind w:right="113"/>
              <w:jc w:val="right"/>
              <w:rPr>
                <w:i/>
                <w:sz w:val="16"/>
              </w:rPr>
            </w:pPr>
            <w:r w:rsidRPr="00C1779F">
              <w:rPr>
                <w:i/>
                <w:sz w:val="16"/>
              </w:rPr>
              <w:t>Secondary-Vocational</w:t>
            </w:r>
            <w:r w:rsidR="005B2A41" w:rsidRPr="00C1779F">
              <w:rPr>
                <w:i/>
                <w:sz w:val="16"/>
              </w:rPr>
              <w:t xml:space="preserve"> </w:t>
            </w:r>
            <w:r w:rsidRPr="00C1779F">
              <w:rPr>
                <w:i/>
                <w:sz w:val="16"/>
              </w:rPr>
              <w:t>Education</w:t>
            </w:r>
            <w:r w:rsidR="005B2A41" w:rsidRPr="00C1779F">
              <w:rPr>
                <w:i/>
                <w:sz w:val="16"/>
              </w:rPr>
              <w:t xml:space="preserve"> </w:t>
            </w:r>
            <w:r w:rsidR="004A0704">
              <w:rPr>
                <w:i/>
                <w:sz w:val="16"/>
              </w:rPr>
              <w:br/>
            </w:r>
            <w:r w:rsidRPr="00C1779F">
              <w:rPr>
                <w:i/>
                <w:sz w:val="16"/>
              </w:rPr>
              <w:t>(ISCED</w:t>
            </w:r>
            <w:r w:rsidR="005B2A41" w:rsidRPr="00C1779F">
              <w:rPr>
                <w:i/>
                <w:sz w:val="16"/>
              </w:rPr>
              <w:t xml:space="preserve"> </w:t>
            </w:r>
            <w:r w:rsidRPr="00C1779F">
              <w:rPr>
                <w:i/>
                <w:sz w:val="16"/>
              </w:rPr>
              <w:t>3)</w:t>
            </w:r>
          </w:p>
        </w:tc>
      </w:tr>
      <w:tr w:rsidR="00C1779F" w:rsidRPr="00C1779F" w:rsidTr="008279D0">
        <w:trPr>
          <w:cantSplit/>
          <w:tblHeader/>
        </w:trPr>
        <w:tc>
          <w:tcPr>
            <w:tcW w:w="671" w:type="dxa"/>
            <w:vMerge/>
            <w:tcBorders>
              <w:top w:val="single" w:sz="12" w:space="0" w:color="auto"/>
              <w:bottom w:val="single" w:sz="12" w:space="0" w:color="auto"/>
            </w:tcBorders>
            <w:shd w:val="clear" w:color="auto" w:fill="auto"/>
            <w:vAlign w:val="bottom"/>
          </w:tcPr>
          <w:p w:rsidR="00F233AB" w:rsidRPr="00C1779F" w:rsidRDefault="00F233AB" w:rsidP="00C1779F">
            <w:pPr>
              <w:suppressAutoHyphens w:val="0"/>
              <w:spacing w:before="40" w:after="40" w:line="220" w:lineRule="exact"/>
              <w:ind w:right="113"/>
              <w:rPr>
                <w:sz w:val="18"/>
              </w:rPr>
            </w:pPr>
          </w:p>
        </w:tc>
        <w:tc>
          <w:tcPr>
            <w:tcW w:w="910" w:type="dxa"/>
            <w:tcBorders>
              <w:top w:val="single" w:sz="4" w:space="0" w:color="auto"/>
              <w:bottom w:val="single" w:sz="12" w:space="0" w:color="auto"/>
            </w:tcBorders>
            <w:shd w:val="clear" w:color="auto" w:fill="auto"/>
            <w:vAlign w:val="bottom"/>
          </w:tcPr>
          <w:p w:rsidR="00F233AB" w:rsidRPr="00C1779F" w:rsidRDefault="00C1779F" w:rsidP="00C1779F">
            <w:pPr>
              <w:suppressAutoHyphens w:val="0"/>
              <w:spacing w:before="80" w:after="80" w:line="200" w:lineRule="exact"/>
              <w:ind w:right="113"/>
              <w:jc w:val="right"/>
              <w:rPr>
                <w:i/>
                <w:sz w:val="16"/>
              </w:rPr>
            </w:pPr>
            <w:r w:rsidRPr="00C1779F">
              <w:rPr>
                <w:i/>
                <w:sz w:val="16"/>
              </w:rPr>
              <w:t xml:space="preserve">Registered </w:t>
            </w:r>
          </w:p>
        </w:tc>
        <w:tc>
          <w:tcPr>
            <w:tcW w:w="813" w:type="dxa"/>
            <w:tcBorders>
              <w:top w:val="single" w:sz="4" w:space="0" w:color="auto"/>
              <w:bottom w:val="single" w:sz="12" w:space="0" w:color="auto"/>
            </w:tcBorders>
            <w:shd w:val="clear" w:color="auto" w:fill="auto"/>
            <w:vAlign w:val="bottom"/>
          </w:tcPr>
          <w:p w:rsidR="00F233AB" w:rsidRPr="00C1779F" w:rsidRDefault="00C1779F" w:rsidP="00C1779F">
            <w:pPr>
              <w:suppressAutoHyphens w:val="0"/>
              <w:spacing w:before="80" w:after="80" w:line="200" w:lineRule="exact"/>
              <w:ind w:right="113"/>
              <w:jc w:val="right"/>
              <w:rPr>
                <w:i/>
                <w:sz w:val="16"/>
              </w:rPr>
            </w:pPr>
            <w:r w:rsidRPr="00C1779F">
              <w:rPr>
                <w:i/>
                <w:sz w:val="16"/>
              </w:rPr>
              <w:t>% Dropouts</w:t>
            </w:r>
          </w:p>
        </w:tc>
        <w:tc>
          <w:tcPr>
            <w:tcW w:w="869" w:type="dxa"/>
            <w:tcBorders>
              <w:top w:val="single" w:sz="4" w:space="0" w:color="auto"/>
              <w:bottom w:val="single" w:sz="12" w:space="0" w:color="auto"/>
            </w:tcBorders>
            <w:shd w:val="clear" w:color="auto" w:fill="auto"/>
            <w:vAlign w:val="bottom"/>
          </w:tcPr>
          <w:p w:rsidR="00F233AB" w:rsidRPr="00C1779F" w:rsidRDefault="00C1779F" w:rsidP="00C1779F">
            <w:pPr>
              <w:suppressAutoHyphens w:val="0"/>
              <w:spacing w:before="80" w:after="80" w:line="200" w:lineRule="exact"/>
              <w:ind w:right="113"/>
              <w:jc w:val="right"/>
              <w:rPr>
                <w:i/>
                <w:sz w:val="16"/>
              </w:rPr>
            </w:pPr>
            <w:r>
              <w:rPr>
                <w:i/>
                <w:sz w:val="16"/>
              </w:rPr>
              <w:t>R</w:t>
            </w:r>
            <w:r w:rsidRPr="00C1779F">
              <w:rPr>
                <w:i/>
                <w:sz w:val="16"/>
              </w:rPr>
              <w:t xml:space="preserve">egistered </w:t>
            </w:r>
          </w:p>
        </w:tc>
        <w:tc>
          <w:tcPr>
            <w:tcW w:w="751" w:type="dxa"/>
            <w:tcBorders>
              <w:top w:val="single" w:sz="4" w:space="0" w:color="auto"/>
              <w:bottom w:val="single" w:sz="12" w:space="0" w:color="auto"/>
            </w:tcBorders>
            <w:shd w:val="clear" w:color="auto" w:fill="auto"/>
            <w:vAlign w:val="bottom"/>
          </w:tcPr>
          <w:p w:rsidR="00F233AB" w:rsidRPr="00C1779F" w:rsidRDefault="00C1779F" w:rsidP="00C1779F">
            <w:pPr>
              <w:suppressAutoHyphens w:val="0"/>
              <w:spacing w:before="80" w:after="80" w:line="200" w:lineRule="exact"/>
              <w:ind w:right="113"/>
              <w:jc w:val="right"/>
              <w:rPr>
                <w:i/>
                <w:sz w:val="16"/>
              </w:rPr>
            </w:pPr>
            <w:r w:rsidRPr="00C1779F">
              <w:rPr>
                <w:i/>
                <w:sz w:val="16"/>
              </w:rPr>
              <w:t xml:space="preserve"> %</w:t>
            </w:r>
            <w:r>
              <w:rPr>
                <w:i/>
                <w:sz w:val="16"/>
              </w:rPr>
              <w:t xml:space="preserve"> D</w:t>
            </w:r>
            <w:r w:rsidRPr="00C1779F">
              <w:rPr>
                <w:i/>
                <w:sz w:val="16"/>
              </w:rPr>
              <w:t>ropouts</w:t>
            </w:r>
          </w:p>
        </w:tc>
        <w:tc>
          <w:tcPr>
            <w:tcW w:w="869" w:type="dxa"/>
            <w:tcBorders>
              <w:top w:val="single" w:sz="4" w:space="0" w:color="auto"/>
              <w:bottom w:val="single" w:sz="12" w:space="0" w:color="auto"/>
            </w:tcBorders>
            <w:shd w:val="clear" w:color="auto" w:fill="auto"/>
            <w:vAlign w:val="bottom"/>
          </w:tcPr>
          <w:p w:rsidR="00F233AB" w:rsidRPr="00C1779F" w:rsidRDefault="00C1779F" w:rsidP="00C1779F">
            <w:pPr>
              <w:suppressAutoHyphens w:val="0"/>
              <w:spacing w:before="80" w:after="80" w:line="200" w:lineRule="exact"/>
              <w:ind w:right="113"/>
              <w:jc w:val="right"/>
              <w:rPr>
                <w:i/>
                <w:sz w:val="16"/>
              </w:rPr>
            </w:pPr>
            <w:r>
              <w:rPr>
                <w:i/>
                <w:sz w:val="16"/>
              </w:rPr>
              <w:t>R</w:t>
            </w:r>
            <w:r w:rsidRPr="00C1779F">
              <w:rPr>
                <w:i/>
                <w:sz w:val="16"/>
              </w:rPr>
              <w:t>egistered</w:t>
            </w:r>
          </w:p>
        </w:tc>
        <w:tc>
          <w:tcPr>
            <w:tcW w:w="751" w:type="dxa"/>
            <w:tcBorders>
              <w:top w:val="single" w:sz="4" w:space="0" w:color="auto"/>
              <w:bottom w:val="single" w:sz="12" w:space="0" w:color="auto"/>
            </w:tcBorders>
            <w:shd w:val="clear" w:color="auto" w:fill="auto"/>
            <w:vAlign w:val="bottom"/>
          </w:tcPr>
          <w:p w:rsidR="00F233AB" w:rsidRPr="00C1779F" w:rsidRDefault="00C1779F" w:rsidP="00E05933">
            <w:pPr>
              <w:suppressAutoHyphens w:val="0"/>
              <w:spacing w:before="80" w:after="80" w:line="200" w:lineRule="exact"/>
              <w:ind w:right="113"/>
              <w:jc w:val="right"/>
              <w:rPr>
                <w:i/>
                <w:sz w:val="16"/>
              </w:rPr>
            </w:pPr>
            <w:r w:rsidRPr="00C1779F">
              <w:rPr>
                <w:i/>
                <w:sz w:val="16"/>
              </w:rPr>
              <w:t>%</w:t>
            </w:r>
            <w:r w:rsidR="00E05933">
              <w:rPr>
                <w:i/>
                <w:sz w:val="16"/>
              </w:rPr>
              <w:t xml:space="preserve"> </w:t>
            </w:r>
            <w:r>
              <w:rPr>
                <w:i/>
                <w:sz w:val="16"/>
              </w:rPr>
              <w:t>D</w:t>
            </w:r>
            <w:r w:rsidRPr="00C1779F">
              <w:rPr>
                <w:i/>
                <w:sz w:val="16"/>
              </w:rPr>
              <w:t>ropouts</w:t>
            </w:r>
          </w:p>
        </w:tc>
        <w:tc>
          <w:tcPr>
            <w:tcW w:w="869" w:type="dxa"/>
            <w:tcBorders>
              <w:top w:val="single" w:sz="4" w:space="0" w:color="auto"/>
              <w:bottom w:val="single" w:sz="12" w:space="0" w:color="auto"/>
            </w:tcBorders>
            <w:shd w:val="clear" w:color="auto" w:fill="auto"/>
            <w:vAlign w:val="bottom"/>
          </w:tcPr>
          <w:p w:rsidR="00F233AB" w:rsidRPr="00C1779F" w:rsidRDefault="00C1779F" w:rsidP="00C1779F">
            <w:pPr>
              <w:suppressAutoHyphens w:val="0"/>
              <w:spacing w:before="80" w:after="80" w:line="200" w:lineRule="exact"/>
              <w:ind w:right="113"/>
              <w:jc w:val="right"/>
              <w:rPr>
                <w:i/>
                <w:sz w:val="16"/>
              </w:rPr>
            </w:pPr>
            <w:r>
              <w:rPr>
                <w:i/>
                <w:sz w:val="16"/>
              </w:rPr>
              <w:t>R</w:t>
            </w:r>
            <w:r w:rsidR="00E05933">
              <w:rPr>
                <w:i/>
                <w:sz w:val="16"/>
              </w:rPr>
              <w:t>egistered</w:t>
            </w:r>
          </w:p>
        </w:tc>
        <w:tc>
          <w:tcPr>
            <w:tcW w:w="869" w:type="dxa"/>
            <w:tcBorders>
              <w:top w:val="single" w:sz="4" w:space="0" w:color="auto"/>
              <w:bottom w:val="single" w:sz="12" w:space="0" w:color="auto"/>
            </w:tcBorders>
            <w:shd w:val="clear" w:color="auto" w:fill="auto"/>
            <w:vAlign w:val="bottom"/>
          </w:tcPr>
          <w:p w:rsidR="00F233AB" w:rsidRPr="00C1779F" w:rsidRDefault="00C1779F" w:rsidP="00C1779F">
            <w:pPr>
              <w:suppressAutoHyphens w:val="0"/>
              <w:spacing w:before="80" w:after="80" w:line="200" w:lineRule="exact"/>
              <w:ind w:right="113"/>
              <w:jc w:val="right"/>
              <w:rPr>
                <w:i/>
                <w:sz w:val="16"/>
              </w:rPr>
            </w:pPr>
            <w:r w:rsidRPr="00C1779F">
              <w:rPr>
                <w:i/>
                <w:sz w:val="16"/>
              </w:rPr>
              <w:t xml:space="preserve"> %</w:t>
            </w:r>
            <w:r>
              <w:rPr>
                <w:i/>
                <w:sz w:val="16"/>
              </w:rPr>
              <w:t xml:space="preserve"> D</w:t>
            </w:r>
            <w:r w:rsidRPr="00C1779F">
              <w:rPr>
                <w:i/>
                <w:sz w:val="16"/>
              </w:rPr>
              <w:t>ropouts</w:t>
            </w:r>
          </w:p>
        </w:tc>
      </w:tr>
      <w:tr w:rsidR="00C1779F" w:rsidRPr="00C1779F" w:rsidTr="008279D0">
        <w:trPr>
          <w:cantSplit/>
        </w:trPr>
        <w:tc>
          <w:tcPr>
            <w:tcW w:w="671" w:type="dxa"/>
            <w:tcBorders>
              <w:top w:val="single" w:sz="12" w:space="0" w:color="auto"/>
            </w:tcBorders>
            <w:shd w:val="clear" w:color="auto" w:fill="auto"/>
          </w:tcPr>
          <w:p w:rsidR="00F233AB" w:rsidRPr="00C1779F" w:rsidRDefault="00C1779F" w:rsidP="00C1779F">
            <w:pPr>
              <w:suppressAutoHyphens w:val="0"/>
              <w:spacing w:before="40" w:after="40" w:line="220" w:lineRule="exact"/>
              <w:ind w:right="113"/>
              <w:rPr>
                <w:sz w:val="18"/>
              </w:rPr>
            </w:pPr>
            <w:r w:rsidRPr="00C1779F">
              <w:rPr>
                <w:sz w:val="18"/>
              </w:rPr>
              <w:t>Male</w:t>
            </w:r>
          </w:p>
        </w:tc>
        <w:tc>
          <w:tcPr>
            <w:tcW w:w="910" w:type="dxa"/>
            <w:tcBorders>
              <w:top w:val="single" w:sz="12" w:space="0" w:color="auto"/>
            </w:tcBorders>
            <w:shd w:val="clear" w:color="auto" w:fill="auto"/>
            <w:vAlign w:val="bottom"/>
          </w:tcPr>
          <w:p w:rsidR="00F233AB" w:rsidRPr="00C1779F" w:rsidRDefault="00F233AB" w:rsidP="004A0704">
            <w:pPr>
              <w:suppressAutoHyphens w:val="0"/>
              <w:spacing w:before="40" w:after="40" w:line="220" w:lineRule="exact"/>
              <w:ind w:right="113"/>
              <w:jc w:val="right"/>
              <w:rPr>
                <w:sz w:val="18"/>
              </w:rPr>
            </w:pPr>
            <w:r w:rsidRPr="00C1779F">
              <w:rPr>
                <w:sz w:val="18"/>
              </w:rPr>
              <w:t>51</w:t>
            </w:r>
            <w:r w:rsidR="004A0704">
              <w:rPr>
                <w:sz w:val="18"/>
              </w:rPr>
              <w:t xml:space="preserve"> </w:t>
            </w:r>
            <w:r w:rsidRPr="00C1779F">
              <w:rPr>
                <w:sz w:val="18"/>
              </w:rPr>
              <w:t>593</w:t>
            </w:r>
          </w:p>
        </w:tc>
        <w:tc>
          <w:tcPr>
            <w:tcW w:w="813" w:type="dxa"/>
            <w:tcBorders>
              <w:top w:val="single" w:sz="12" w:space="0" w:color="auto"/>
            </w:tcBorders>
            <w:shd w:val="clear" w:color="auto" w:fill="auto"/>
            <w:vAlign w:val="bottom"/>
          </w:tcPr>
          <w:p w:rsidR="00F233AB" w:rsidRPr="00C1779F" w:rsidRDefault="00F233AB" w:rsidP="00C1779F">
            <w:pPr>
              <w:suppressAutoHyphens w:val="0"/>
              <w:spacing w:before="40" w:after="40" w:line="220" w:lineRule="exact"/>
              <w:ind w:right="113"/>
              <w:jc w:val="right"/>
              <w:rPr>
                <w:sz w:val="18"/>
              </w:rPr>
            </w:pPr>
            <w:r w:rsidRPr="00C1779F">
              <w:rPr>
                <w:sz w:val="18"/>
              </w:rPr>
              <w:t>1</w:t>
            </w:r>
            <w:r w:rsidR="004A0704">
              <w:rPr>
                <w:sz w:val="18"/>
              </w:rPr>
              <w:t>.</w:t>
            </w:r>
            <w:r w:rsidRPr="00C1779F">
              <w:rPr>
                <w:sz w:val="18"/>
              </w:rPr>
              <w:t>81</w:t>
            </w:r>
          </w:p>
        </w:tc>
        <w:tc>
          <w:tcPr>
            <w:tcW w:w="869" w:type="dxa"/>
            <w:tcBorders>
              <w:top w:val="single" w:sz="12" w:space="0" w:color="auto"/>
            </w:tcBorders>
            <w:shd w:val="clear" w:color="auto" w:fill="auto"/>
            <w:vAlign w:val="bottom"/>
          </w:tcPr>
          <w:p w:rsidR="00F233AB" w:rsidRPr="00C1779F" w:rsidRDefault="00F233AB" w:rsidP="002754C3">
            <w:pPr>
              <w:suppressAutoHyphens w:val="0"/>
              <w:spacing w:before="40" w:after="40" w:line="220" w:lineRule="exact"/>
              <w:ind w:right="113"/>
              <w:jc w:val="right"/>
              <w:rPr>
                <w:sz w:val="18"/>
              </w:rPr>
            </w:pPr>
            <w:r w:rsidRPr="00C1779F">
              <w:rPr>
                <w:sz w:val="18"/>
              </w:rPr>
              <w:t>53</w:t>
            </w:r>
            <w:r w:rsidR="002754C3">
              <w:rPr>
                <w:sz w:val="18"/>
              </w:rPr>
              <w:t xml:space="preserve"> </w:t>
            </w:r>
            <w:r w:rsidRPr="00C1779F">
              <w:rPr>
                <w:sz w:val="18"/>
              </w:rPr>
              <w:t>949</w:t>
            </w:r>
          </w:p>
        </w:tc>
        <w:tc>
          <w:tcPr>
            <w:tcW w:w="751" w:type="dxa"/>
            <w:tcBorders>
              <w:top w:val="single" w:sz="12" w:space="0" w:color="auto"/>
            </w:tcBorders>
            <w:shd w:val="clear" w:color="auto" w:fill="auto"/>
            <w:vAlign w:val="bottom"/>
          </w:tcPr>
          <w:p w:rsidR="00F233AB" w:rsidRPr="00C1779F" w:rsidRDefault="00F233AB" w:rsidP="00C1779F">
            <w:pPr>
              <w:suppressAutoHyphens w:val="0"/>
              <w:spacing w:before="40" w:after="40" w:line="220" w:lineRule="exact"/>
              <w:ind w:right="113"/>
              <w:jc w:val="right"/>
              <w:rPr>
                <w:sz w:val="18"/>
              </w:rPr>
            </w:pPr>
            <w:r w:rsidRPr="00C1779F">
              <w:rPr>
                <w:sz w:val="18"/>
              </w:rPr>
              <w:t>4</w:t>
            </w:r>
            <w:r w:rsidR="004A0704">
              <w:rPr>
                <w:sz w:val="18"/>
              </w:rPr>
              <w:t>.</w:t>
            </w:r>
            <w:r w:rsidRPr="00C1779F">
              <w:rPr>
                <w:sz w:val="18"/>
              </w:rPr>
              <w:t>82</w:t>
            </w:r>
          </w:p>
        </w:tc>
        <w:tc>
          <w:tcPr>
            <w:tcW w:w="869" w:type="dxa"/>
            <w:tcBorders>
              <w:top w:val="single" w:sz="12" w:space="0" w:color="auto"/>
            </w:tcBorders>
            <w:shd w:val="clear" w:color="auto" w:fill="auto"/>
            <w:vAlign w:val="bottom"/>
          </w:tcPr>
          <w:p w:rsidR="00F233AB" w:rsidRPr="00C1779F" w:rsidRDefault="00F233AB" w:rsidP="002754C3">
            <w:pPr>
              <w:suppressAutoHyphens w:val="0"/>
              <w:spacing w:before="40" w:after="40" w:line="220" w:lineRule="exact"/>
              <w:ind w:right="113"/>
              <w:jc w:val="right"/>
              <w:rPr>
                <w:sz w:val="18"/>
              </w:rPr>
            </w:pPr>
            <w:r w:rsidRPr="00C1779F">
              <w:rPr>
                <w:sz w:val="18"/>
              </w:rPr>
              <w:t>37</w:t>
            </w:r>
            <w:r w:rsidR="002754C3">
              <w:rPr>
                <w:sz w:val="18"/>
              </w:rPr>
              <w:t xml:space="preserve"> </w:t>
            </w:r>
            <w:r w:rsidRPr="00C1779F">
              <w:rPr>
                <w:sz w:val="18"/>
              </w:rPr>
              <w:t>005</w:t>
            </w:r>
          </w:p>
        </w:tc>
        <w:tc>
          <w:tcPr>
            <w:tcW w:w="751" w:type="dxa"/>
            <w:tcBorders>
              <w:top w:val="single" w:sz="12" w:space="0" w:color="auto"/>
            </w:tcBorders>
            <w:shd w:val="clear" w:color="auto" w:fill="auto"/>
            <w:vAlign w:val="bottom"/>
          </w:tcPr>
          <w:p w:rsidR="00F233AB" w:rsidRPr="00C1779F" w:rsidRDefault="00F233AB" w:rsidP="00C1779F">
            <w:pPr>
              <w:suppressAutoHyphens w:val="0"/>
              <w:spacing w:before="40" w:after="40" w:line="220" w:lineRule="exact"/>
              <w:ind w:right="113"/>
              <w:jc w:val="right"/>
              <w:rPr>
                <w:sz w:val="18"/>
              </w:rPr>
            </w:pPr>
            <w:r w:rsidRPr="00C1779F">
              <w:rPr>
                <w:sz w:val="18"/>
              </w:rPr>
              <w:t>2</w:t>
            </w:r>
            <w:r w:rsidR="004A0704">
              <w:rPr>
                <w:sz w:val="18"/>
              </w:rPr>
              <w:t>.</w:t>
            </w:r>
            <w:r w:rsidRPr="00C1779F">
              <w:rPr>
                <w:sz w:val="18"/>
              </w:rPr>
              <w:t>08</w:t>
            </w:r>
          </w:p>
        </w:tc>
        <w:tc>
          <w:tcPr>
            <w:tcW w:w="869" w:type="dxa"/>
            <w:tcBorders>
              <w:top w:val="single" w:sz="12" w:space="0" w:color="auto"/>
            </w:tcBorders>
            <w:shd w:val="clear" w:color="auto" w:fill="auto"/>
            <w:vAlign w:val="bottom"/>
          </w:tcPr>
          <w:p w:rsidR="00F233AB" w:rsidRPr="00C1779F" w:rsidRDefault="00F233AB" w:rsidP="002754C3">
            <w:pPr>
              <w:suppressAutoHyphens w:val="0"/>
              <w:spacing w:before="40" w:after="40" w:line="220" w:lineRule="exact"/>
              <w:ind w:right="113"/>
              <w:jc w:val="right"/>
              <w:rPr>
                <w:sz w:val="18"/>
              </w:rPr>
            </w:pPr>
            <w:r w:rsidRPr="00C1779F">
              <w:rPr>
                <w:sz w:val="18"/>
              </w:rPr>
              <w:t>13</w:t>
            </w:r>
            <w:r w:rsidR="002754C3">
              <w:rPr>
                <w:sz w:val="18"/>
              </w:rPr>
              <w:t xml:space="preserve"> </w:t>
            </w:r>
            <w:r w:rsidRPr="00C1779F">
              <w:rPr>
                <w:sz w:val="18"/>
              </w:rPr>
              <w:t>857</w:t>
            </w:r>
          </w:p>
        </w:tc>
        <w:tc>
          <w:tcPr>
            <w:tcW w:w="869" w:type="dxa"/>
            <w:tcBorders>
              <w:top w:val="single" w:sz="12" w:space="0" w:color="auto"/>
            </w:tcBorders>
            <w:shd w:val="clear" w:color="auto" w:fill="auto"/>
            <w:vAlign w:val="bottom"/>
          </w:tcPr>
          <w:p w:rsidR="00F233AB" w:rsidRPr="00C1779F" w:rsidRDefault="00F233AB" w:rsidP="00C1779F">
            <w:pPr>
              <w:suppressAutoHyphens w:val="0"/>
              <w:spacing w:before="40" w:after="40" w:line="220" w:lineRule="exact"/>
              <w:ind w:right="113"/>
              <w:jc w:val="right"/>
              <w:rPr>
                <w:sz w:val="18"/>
              </w:rPr>
            </w:pPr>
            <w:r w:rsidRPr="00C1779F">
              <w:rPr>
                <w:sz w:val="18"/>
              </w:rPr>
              <w:t>11</w:t>
            </w:r>
            <w:r w:rsidR="004A0704">
              <w:rPr>
                <w:sz w:val="18"/>
              </w:rPr>
              <w:t>.</w:t>
            </w:r>
            <w:r w:rsidRPr="00C1779F">
              <w:rPr>
                <w:sz w:val="18"/>
              </w:rPr>
              <w:t>45</w:t>
            </w:r>
          </w:p>
        </w:tc>
      </w:tr>
      <w:tr w:rsidR="00C1779F" w:rsidRPr="00C1779F" w:rsidTr="00C1779F">
        <w:trPr>
          <w:cantSplit/>
        </w:trPr>
        <w:tc>
          <w:tcPr>
            <w:tcW w:w="671" w:type="dxa"/>
            <w:tcBorders>
              <w:bottom w:val="single" w:sz="4" w:space="0" w:color="auto"/>
            </w:tcBorders>
            <w:shd w:val="clear" w:color="auto" w:fill="auto"/>
          </w:tcPr>
          <w:p w:rsidR="00F233AB" w:rsidRPr="00C1779F" w:rsidRDefault="00C1779F" w:rsidP="00C1779F">
            <w:pPr>
              <w:suppressAutoHyphens w:val="0"/>
              <w:spacing w:before="40" w:after="40" w:line="220" w:lineRule="exact"/>
              <w:ind w:right="113"/>
              <w:rPr>
                <w:sz w:val="18"/>
              </w:rPr>
            </w:pPr>
            <w:r w:rsidRPr="00C1779F">
              <w:rPr>
                <w:sz w:val="18"/>
              </w:rPr>
              <w:t>Female</w:t>
            </w:r>
          </w:p>
        </w:tc>
        <w:tc>
          <w:tcPr>
            <w:tcW w:w="910" w:type="dxa"/>
            <w:tcBorders>
              <w:bottom w:val="single" w:sz="4" w:space="0" w:color="auto"/>
            </w:tcBorders>
            <w:shd w:val="clear" w:color="auto" w:fill="auto"/>
            <w:vAlign w:val="bottom"/>
          </w:tcPr>
          <w:p w:rsidR="00F233AB" w:rsidRPr="00C1779F" w:rsidRDefault="00F233AB" w:rsidP="004A0704">
            <w:pPr>
              <w:suppressAutoHyphens w:val="0"/>
              <w:spacing w:before="40" w:after="40" w:line="220" w:lineRule="exact"/>
              <w:ind w:right="113"/>
              <w:jc w:val="right"/>
              <w:rPr>
                <w:sz w:val="18"/>
              </w:rPr>
            </w:pPr>
            <w:r w:rsidRPr="00C1779F">
              <w:rPr>
                <w:sz w:val="18"/>
              </w:rPr>
              <w:t>48</w:t>
            </w:r>
            <w:r w:rsidR="004A0704">
              <w:rPr>
                <w:sz w:val="18"/>
              </w:rPr>
              <w:t xml:space="preserve"> </w:t>
            </w:r>
            <w:r w:rsidRPr="00C1779F">
              <w:rPr>
                <w:sz w:val="18"/>
              </w:rPr>
              <w:t>391</w:t>
            </w:r>
          </w:p>
        </w:tc>
        <w:tc>
          <w:tcPr>
            <w:tcW w:w="813" w:type="dxa"/>
            <w:tcBorders>
              <w:bottom w:val="single" w:sz="4" w:space="0" w:color="auto"/>
            </w:tcBorders>
            <w:shd w:val="clear" w:color="auto" w:fill="auto"/>
            <w:vAlign w:val="bottom"/>
          </w:tcPr>
          <w:p w:rsidR="00F233AB" w:rsidRPr="00C1779F" w:rsidRDefault="00F233AB" w:rsidP="00C1779F">
            <w:pPr>
              <w:suppressAutoHyphens w:val="0"/>
              <w:spacing w:before="40" w:after="40" w:line="220" w:lineRule="exact"/>
              <w:ind w:right="113"/>
              <w:jc w:val="right"/>
              <w:rPr>
                <w:sz w:val="18"/>
              </w:rPr>
            </w:pPr>
            <w:r w:rsidRPr="00C1779F">
              <w:rPr>
                <w:sz w:val="18"/>
              </w:rPr>
              <w:t>1</w:t>
            </w:r>
            <w:r w:rsidR="004A0704">
              <w:rPr>
                <w:sz w:val="18"/>
              </w:rPr>
              <w:t>.</w:t>
            </w:r>
            <w:r w:rsidRPr="00C1779F">
              <w:rPr>
                <w:sz w:val="18"/>
              </w:rPr>
              <w:t>76</w:t>
            </w:r>
          </w:p>
        </w:tc>
        <w:tc>
          <w:tcPr>
            <w:tcW w:w="869" w:type="dxa"/>
            <w:tcBorders>
              <w:bottom w:val="single" w:sz="4" w:space="0" w:color="auto"/>
            </w:tcBorders>
            <w:shd w:val="clear" w:color="auto" w:fill="auto"/>
            <w:vAlign w:val="bottom"/>
          </w:tcPr>
          <w:p w:rsidR="00F233AB" w:rsidRPr="00C1779F" w:rsidRDefault="00F233AB" w:rsidP="002754C3">
            <w:pPr>
              <w:suppressAutoHyphens w:val="0"/>
              <w:spacing w:before="40" w:after="40" w:line="220" w:lineRule="exact"/>
              <w:ind w:right="113"/>
              <w:jc w:val="right"/>
              <w:rPr>
                <w:sz w:val="18"/>
              </w:rPr>
            </w:pPr>
            <w:r w:rsidRPr="00C1779F">
              <w:rPr>
                <w:sz w:val="18"/>
              </w:rPr>
              <w:t>48</w:t>
            </w:r>
            <w:r w:rsidR="002754C3">
              <w:rPr>
                <w:sz w:val="18"/>
              </w:rPr>
              <w:t xml:space="preserve"> </w:t>
            </w:r>
            <w:r w:rsidRPr="00C1779F">
              <w:rPr>
                <w:sz w:val="18"/>
              </w:rPr>
              <w:t>498</w:t>
            </w:r>
          </w:p>
        </w:tc>
        <w:tc>
          <w:tcPr>
            <w:tcW w:w="751" w:type="dxa"/>
            <w:tcBorders>
              <w:bottom w:val="single" w:sz="4" w:space="0" w:color="auto"/>
            </w:tcBorders>
            <w:shd w:val="clear" w:color="auto" w:fill="auto"/>
            <w:vAlign w:val="bottom"/>
          </w:tcPr>
          <w:p w:rsidR="00F233AB" w:rsidRPr="00C1779F" w:rsidRDefault="00F233AB" w:rsidP="00C1779F">
            <w:pPr>
              <w:suppressAutoHyphens w:val="0"/>
              <w:spacing w:before="40" w:after="40" w:line="220" w:lineRule="exact"/>
              <w:ind w:right="113"/>
              <w:jc w:val="right"/>
              <w:rPr>
                <w:sz w:val="18"/>
              </w:rPr>
            </w:pPr>
            <w:r w:rsidRPr="00C1779F">
              <w:rPr>
                <w:sz w:val="18"/>
              </w:rPr>
              <w:t>3</w:t>
            </w:r>
            <w:r w:rsidR="004A0704">
              <w:rPr>
                <w:sz w:val="18"/>
              </w:rPr>
              <w:t>.</w:t>
            </w:r>
            <w:r w:rsidRPr="00C1779F">
              <w:rPr>
                <w:sz w:val="18"/>
              </w:rPr>
              <w:t>58</w:t>
            </w:r>
          </w:p>
        </w:tc>
        <w:tc>
          <w:tcPr>
            <w:tcW w:w="869" w:type="dxa"/>
            <w:tcBorders>
              <w:bottom w:val="single" w:sz="4" w:space="0" w:color="auto"/>
            </w:tcBorders>
            <w:shd w:val="clear" w:color="auto" w:fill="auto"/>
            <w:vAlign w:val="bottom"/>
          </w:tcPr>
          <w:p w:rsidR="00F233AB" w:rsidRPr="00C1779F" w:rsidRDefault="00F233AB" w:rsidP="002754C3">
            <w:pPr>
              <w:suppressAutoHyphens w:val="0"/>
              <w:spacing w:before="40" w:after="40" w:line="220" w:lineRule="exact"/>
              <w:ind w:right="113"/>
              <w:jc w:val="right"/>
              <w:rPr>
                <w:sz w:val="18"/>
              </w:rPr>
            </w:pPr>
            <w:r w:rsidRPr="00C1779F">
              <w:rPr>
                <w:sz w:val="18"/>
              </w:rPr>
              <w:t>41</w:t>
            </w:r>
            <w:r w:rsidR="002754C3">
              <w:rPr>
                <w:sz w:val="18"/>
              </w:rPr>
              <w:t xml:space="preserve"> </w:t>
            </w:r>
            <w:r w:rsidRPr="00C1779F">
              <w:rPr>
                <w:sz w:val="18"/>
              </w:rPr>
              <w:t>232</w:t>
            </w:r>
          </w:p>
        </w:tc>
        <w:tc>
          <w:tcPr>
            <w:tcW w:w="751" w:type="dxa"/>
            <w:tcBorders>
              <w:bottom w:val="single" w:sz="4" w:space="0" w:color="auto"/>
            </w:tcBorders>
            <w:shd w:val="clear" w:color="auto" w:fill="auto"/>
            <w:vAlign w:val="bottom"/>
          </w:tcPr>
          <w:p w:rsidR="00F233AB" w:rsidRPr="00C1779F" w:rsidRDefault="00F233AB" w:rsidP="00C1779F">
            <w:pPr>
              <w:suppressAutoHyphens w:val="0"/>
              <w:spacing w:before="40" w:after="40" w:line="220" w:lineRule="exact"/>
              <w:ind w:right="113"/>
              <w:jc w:val="right"/>
              <w:rPr>
                <w:sz w:val="18"/>
              </w:rPr>
            </w:pPr>
            <w:r w:rsidRPr="00C1779F">
              <w:rPr>
                <w:sz w:val="18"/>
              </w:rPr>
              <w:t>1</w:t>
            </w:r>
            <w:r w:rsidR="004A0704">
              <w:rPr>
                <w:sz w:val="18"/>
              </w:rPr>
              <w:t>.</w:t>
            </w:r>
            <w:r w:rsidRPr="00C1779F">
              <w:rPr>
                <w:sz w:val="18"/>
              </w:rPr>
              <w:t>77</w:t>
            </w:r>
          </w:p>
        </w:tc>
        <w:tc>
          <w:tcPr>
            <w:tcW w:w="869" w:type="dxa"/>
            <w:tcBorders>
              <w:bottom w:val="single" w:sz="4" w:space="0" w:color="auto"/>
            </w:tcBorders>
            <w:shd w:val="clear" w:color="auto" w:fill="auto"/>
            <w:vAlign w:val="bottom"/>
          </w:tcPr>
          <w:p w:rsidR="00F233AB" w:rsidRPr="00C1779F" w:rsidRDefault="00F233AB" w:rsidP="002754C3">
            <w:pPr>
              <w:suppressAutoHyphens w:val="0"/>
              <w:spacing w:before="40" w:after="40" w:line="220" w:lineRule="exact"/>
              <w:ind w:right="113"/>
              <w:jc w:val="right"/>
              <w:rPr>
                <w:sz w:val="18"/>
              </w:rPr>
            </w:pPr>
            <w:r w:rsidRPr="00C1779F">
              <w:rPr>
                <w:sz w:val="18"/>
              </w:rPr>
              <w:t>5</w:t>
            </w:r>
            <w:r w:rsidR="002754C3">
              <w:rPr>
                <w:sz w:val="18"/>
              </w:rPr>
              <w:t xml:space="preserve"> </w:t>
            </w:r>
            <w:r w:rsidRPr="00C1779F">
              <w:rPr>
                <w:sz w:val="18"/>
              </w:rPr>
              <w:t>943</w:t>
            </w:r>
          </w:p>
        </w:tc>
        <w:tc>
          <w:tcPr>
            <w:tcW w:w="869" w:type="dxa"/>
            <w:tcBorders>
              <w:bottom w:val="single" w:sz="4" w:space="0" w:color="auto"/>
            </w:tcBorders>
            <w:shd w:val="clear" w:color="auto" w:fill="auto"/>
            <w:vAlign w:val="bottom"/>
          </w:tcPr>
          <w:p w:rsidR="00F233AB" w:rsidRPr="00C1779F" w:rsidRDefault="00F233AB" w:rsidP="00C1779F">
            <w:pPr>
              <w:suppressAutoHyphens w:val="0"/>
              <w:spacing w:before="40" w:after="40" w:line="220" w:lineRule="exact"/>
              <w:ind w:right="113"/>
              <w:jc w:val="right"/>
              <w:rPr>
                <w:sz w:val="18"/>
              </w:rPr>
            </w:pPr>
            <w:r w:rsidRPr="00C1779F">
              <w:rPr>
                <w:sz w:val="18"/>
              </w:rPr>
              <w:t>9</w:t>
            </w:r>
            <w:r w:rsidR="004A0704">
              <w:rPr>
                <w:sz w:val="18"/>
              </w:rPr>
              <w:t>.</w:t>
            </w:r>
            <w:r w:rsidRPr="00C1779F">
              <w:rPr>
                <w:sz w:val="18"/>
              </w:rPr>
              <w:t>99</w:t>
            </w:r>
          </w:p>
        </w:tc>
      </w:tr>
      <w:tr w:rsidR="00C1779F" w:rsidRPr="00C1779F" w:rsidTr="00C1779F">
        <w:trPr>
          <w:cantSplit/>
        </w:trPr>
        <w:tc>
          <w:tcPr>
            <w:tcW w:w="671" w:type="dxa"/>
            <w:tcBorders>
              <w:top w:val="single" w:sz="4" w:space="0" w:color="auto"/>
              <w:bottom w:val="single" w:sz="12" w:space="0" w:color="auto"/>
            </w:tcBorders>
            <w:shd w:val="clear" w:color="auto" w:fill="auto"/>
          </w:tcPr>
          <w:p w:rsidR="00F233AB" w:rsidRPr="00C1779F" w:rsidRDefault="00C1779F" w:rsidP="00C1779F">
            <w:pPr>
              <w:suppressAutoHyphens w:val="0"/>
              <w:spacing w:before="80" w:after="80" w:line="220" w:lineRule="exact"/>
              <w:ind w:right="113"/>
              <w:jc w:val="right"/>
              <w:rPr>
                <w:b/>
                <w:sz w:val="18"/>
              </w:rPr>
            </w:pPr>
            <w:r w:rsidRPr="00C1779F">
              <w:rPr>
                <w:b/>
                <w:sz w:val="18"/>
              </w:rPr>
              <w:t>Total</w:t>
            </w:r>
          </w:p>
        </w:tc>
        <w:tc>
          <w:tcPr>
            <w:tcW w:w="910" w:type="dxa"/>
            <w:tcBorders>
              <w:top w:val="single" w:sz="4" w:space="0" w:color="auto"/>
              <w:bottom w:val="single" w:sz="12" w:space="0" w:color="auto"/>
            </w:tcBorders>
            <w:shd w:val="clear" w:color="auto" w:fill="auto"/>
            <w:vAlign w:val="bottom"/>
          </w:tcPr>
          <w:p w:rsidR="00F233AB" w:rsidRPr="00C1779F" w:rsidRDefault="00F233AB" w:rsidP="002754C3">
            <w:pPr>
              <w:suppressAutoHyphens w:val="0"/>
              <w:spacing w:before="80" w:after="80" w:line="220" w:lineRule="exact"/>
              <w:ind w:right="113"/>
              <w:jc w:val="right"/>
              <w:rPr>
                <w:b/>
                <w:sz w:val="18"/>
              </w:rPr>
            </w:pPr>
            <w:r w:rsidRPr="00C1779F">
              <w:rPr>
                <w:b/>
                <w:sz w:val="18"/>
              </w:rPr>
              <w:t>99</w:t>
            </w:r>
            <w:r w:rsidR="002754C3">
              <w:rPr>
                <w:b/>
                <w:sz w:val="18"/>
              </w:rPr>
              <w:t xml:space="preserve"> </w:t>
            </w:r>
            <w:r w:rsidRPr="00C1779F">
              <w:rPr>
                <w:b/>
                <w:sz w:val="18"/>
              </w:rPr>
              <w:t>984</w:t>
            </w:r>
          </w:p>
        </w:tc>
        <w:tc>
          <w:tcPr>
            <w:tcW w:w="813" w:type="dxa"/>
            <w:tcBorders>
              <w:top w:val="single" w:sz="4" w:space="0" w:color="auto"/>
              <w:bottom w:val="single" w:sz="12" w:space="0" w:color="auto"/>
            </w:tcBorders>
            <w:shd w:val="clear" w:color="auto" w:fill="auto"/>
            <w:vAlign w:val="bottom"/>
          </w:tcPr>
          <w:p w:rsidR="00F233AB" w:rsidRPr="00C1779F" w:rsidRDefault="00F233AB" w:rsidP="00C1779F">
            <w:pPr>
              <w:suppressAutoHyphens w:val="0"/>
              <w:spacing w:before="80" w:after="80" w:line="220" w:lineRule="exact"/>
              <w:ind w:right="113"/>
              <w:jc w:val="right"/>
              <w:rPr>
                <w:b/>
                <w:sz w:val="18"/>
              </w:rPr>
            </w:pPr>
            <w:r w:rsidRPr="00C1779F">
              <w:rPr>
                <w:b/>
                <w:sz w:val="18"/>
              </w:rPr>
              <w:t>1</w:t>
            </w:r>
            <w:r w:rsidR="004A0704">
              <w:rPr>
                <w:b/>
                <w:sz w:val="18"/>
              </w:rPr>
              <w:t>.</w:t>
            </w:r>
            <w:r w:rsidRPr="00C1779F">
              <w:rPr>
                <w:b/>
                <w:sz w:val="18"/>
              </w:rPr>
              <w:t>79</w:t>
            </w:r>
          </w:p>
        </w:tc>
        <w:tc>
          <w:tcPr>
            <w:tcW w:w="869" w:type="dxa"/>
            <w:tcBorders>
              <w:top w:val="single" w:sz="4" w:space="0" w:color="auto"/>
              <w:bottom w:val="single" w:sz="12" w:space="0" w:color="auto"/>
            </w:tcBorders>
            <w:shd w:val="clear" w:color="auto" w:fill="auto"/>
            <w:vAlign w:val="bottom"/>
          </w:tcPr>
          <w:p w:rsidR="00F233AB" w:rsidRPr="00C1779F" w:rsidRDefault="00F233AB" w:rsidP="002754C3">
            <w:pPr>
              <w:suppressAutoHyphens w:val="0"/>
              <w:spacing w:before="80" w:after="80" w:line="220" w:lineRule="exact"/>
              <w:ind w:right="113"/>
              <w:jc w:val="right"/>
              <w:rPr>
                <w:b/>
                <w:sz w:val="18"/>
              </w:rPr>
            </w:pPr>
            <w:r w:rsidRPr="00C1779F">
              <w:rPr>
                <w:b/>
                <w:sz w:val="18"/>
              </w:rPr>
              <w:t>102</w:t>
            </w:r>
            <w:r w:rsidR="002754C3">
              <w:rPr>
                <w:b/>
                <w:sz w:val="18"/>
              </w:rPr>
              <w:t xml:space="preserve"> </w:t>
            </w:r>
            <w:r w:rsidRPr="00C1779F">
              <w:rPr>
                <w:b/>
                <w:sz w:val="18"/>
              </w:rPr>
              <w:t>447</w:t>
            </w:r>
          </w:p>
        </w:tc>
        <w:tc>
          <w:tcPr>
            <w:tcW w:w="751" w:type="dxa"/>
            <w:tcBorders>
              <w:top w:val="single" w:sz="4" w:space="0" w:color="auto"/>
              <w:bottom w:val="single" w:sz="12" w:space="0" w:color="auto"/>
            </w:tcBorders>
            <w:shd w:val="clear" w:color="auto" w:fill="auto"/>
            <w:vAlign w:val="bottom"/>
          </w:tcPr>
          <w:p w:rsidR="00F233AB" w:rsidRPr="00C1779F" w:rsidRDefault="00F233AB" w:rsidP="00C1779F">
            <w:pPr>
              <w:suppressAutoHyphens w:val="0"/>
              <w:spacing w:before="80" w:after="80" w:line="220" w:lineRule="exact"/>
              <w:ind w:right="113"/>
              <w:jc w:val="right"/>
              <w:rPr>
                <w:b/>
                <w:sz w:val="18"/>
              </w:rPr>
            </w:pPr>
            <w:r w:rsidRPr="00C1779F">
              <w:rPr>
                <w:b/>
                <w:sz w:val="18"/>
              </w:rPr>
              <w:t>4</w:t>
            </w:r>
            <w:r w:rsidR="004A0704">
              <w:rPr>
                <w:b/>
                <w:sz w:val="18"/>
              </w:rPr>
              <w:t>.</w:t>
            </w:r>
            <w:r w:rsidRPr="00C1779F">
              <w:rPr>
                <w:b/>
                <w:sz w:val="18"/>
              </w:rPr>
              <w:t>23</w:t>
            </w:r>
          </w:p>
        </w:tc>
        <w:tc>
          <w:tcPr>
            <w:tcW w:w="869" w:type="dxa"/>
            <w:tcBorders>
              <w:top w:val="single" w:sz="4" w:space="0" w:color="auto"/>
              <w:bottom w:val="single" w:sz="12" w:space="0" w:color="auto"/>
            </w:tcBorders>
            <w:shd w:val="clear" w:color="auto" w:fill="auto"/>
            <w:vAlign w:val="bottom"/>
          </w:tcPr>
          <w:p w:rsidR="00F233AB" w:rsidRPr="00C1779F" w:rsidRDefault="00F233AB" w:rsidP="00C1779F">
            <w:pPr>
              <w:suppressAutoHyphens w:val="0"/>
              <w:spacing w:before="80" w:after="80" w:line="220" w:lineRule="exact"/>
              <w:ind w:right="113"/>
              <w:jc w:val="right"/>
              <w:rPr>
                <w:b/>
                <w:sz w:val="18"/>
              </w:rPr>
            </w:pPr>
            <w:r w:rsidRPr="00C1779F">
              <w:rPr>
                <w:b/>
                <w:sz w:val="18"/>
              </w:rPr>
              <w:t>78.237</w:t>
            </w:r>
          </w:p>
        </w:tc>
        <w:tc>
          <w:tcPr>
            <w:tcW w:w="751" w:type="dxa"/>
            <w:tcBorders>
              <w:top w:val="single" w:sz="4" w:space="0" w:color="auto"/>
              <w:bottom w:val="single" w:sz="12" w:space="0" w:color="auto"/>
            </w:tcBorders>
            <w:shd w:val="clear" w:color="auto" w:fill="auto"/>
            <w:vAlign w:val="bottom"/>
          </w:tcPr>
          <w:p w:rsidR="00F233AB" w:rsidRPr="00C1779F" w:rsidRDefault="00F233AB" w:rsidP="00C1779F">
            <w:pPr>
              <w:suppressAutoHyphens w:val="0"/>
              <w:spacing w:before="80" w:after="80" w:line="220" w:lineRule="exact"/>
              <w:ind w:right="113"/>
              <w:jc w:val="right"/>
              <w:rPr>
                <w:b/>
                <w:sz w:val="18"/>
              </w:rPr>
            </w:pPr>
            <w:r w:rsidRPr="00C1779F">
              <w:rPr>
                <w:b/>
                <w:sz w:val="18"/>
              </w:rPr>
              <w:t>1</w:t>
            </w:r>
            <w:r w:rsidR="004A0704">
              <w:rPr>
                <w:b/>
                <w:sz w:val="18"/>
              </w:rPr>
              <w:t>.</w:t>
            </w:r>
            <w:r w:rsidRPr="00C1779F">
              <w:rPr>
                <w:b/>
                <w:sz w:val="18"/>
              </w:rPr>
              <w:t>92</w:t>
            </w:r>
          </w:p>
        </w:tc>
        <w:tc>
          <w:tcPr>
            <w:tcW w:w="869" w:type="dxa"/>
            <w:tcBorders>
              <w:top w:val="single" w:sz="4" w:space="0" w:color="auto"/>
              <w:bottom w:val="single" w:sz="12" w:space="0" w:color="auto"/>
            </w:tcBorders>
            <w:shd w:val="clear" w:color="auto" w:fill="auto"/>
            <w:vAlign w:val="bottom"/>
          </w:tcPr>
          <w:p w:rsidR="00F233AB" w:rsidRPr="00C1779F" w:rsidRDefault="00F233AB" w:rsidP="002754C3">
            <w:pPr>
              <w:suppressAutoHyphens w:val="0"/>
              <w:spacing w:before="80" w:after="80" w:line="220" w:lineRule="exact"/>
              <w:ind w:right="113"/>
              <w:jc w:val="right"/>
              <w:rPr>
                <w:b/>
                <w:sz w:val="18"/>
              </w:rPr>
            </w:pPr>
            <w:r w:rsidRPr="00C1779F">
              <w:rPr>
                <w:b/>
                <w:sz w:val="18"/>
              </w:rPr>
              <w:t>19</w:t>
            </w:r>
            <w:r w:rsidR="002754C3">
              <w:rPr>
                <w:b/>
                <w:sz w:val="18"/>
              </w:rPr>
              <w:t xml:space="preserve"> </w:t>
            </w:r>
            <w:r w:rsidRPr="00C1779F">
              <w:rPr>
                <w:b/>
                <w:sz w:val="18"/>
              </w:rPr>
              <w:t>800</w:t>
            </w:r>
          </w:p>
        </w:tc>
        <w:tc>
          <w:tcPr>
            <w:tcW w:w="869" w:type="dxa"/>
            <w:tcBorders>
              <w:top w:val="single" w:sz="4" w:space="0" w:color="auto"/>
              <w:bottom w:val="single" w:sz="12" w:space="0" w:color="auto"/>
            </w:tcBorders>
            <w:shd w:val="clear" w:color="auto" w:fill="auto"/>
            <w:vAlign w:val="bottom"/>
          </w:tcPr>
          <w:p w:rsidR="00F233AB" w:rsidRPr="00C1779F" w:rsidRDefault="00F233AB" w:rsidP="00C1779F">
            <w:pPr>
              <w:suppressAutoHyphens w:val="0"/>
              <w:spacing w:before="80" w:after="80" w:line="220" w:lineRule="exact"/>
              <w:ind w:right="113"/>
              <w:jc w:val="right"/>
              <w:rPr>
                <w:b/>
                <w:sz w:val="18"/>
              </w:rPr>
            </w:pPr>
            <w:r w:rsidRPr="00C1779F">
              <w:rPr>
                <w:b/>
                <w:sz w:val="18"/>
              </w:rPr>
              <w:t>11</w:t>
            </w:r>
            <w:r w:rsidR="004A0704">
              <w:rPr>
                <w:b/>
                <w:sz w:val="18"/>
              </w:rPr>
              <w:t>.</w:t>
            </w:r>
            <w:r w:rsidRPr="00C1779F">
              <w:rPr>
                <w:b/>
                <w:sz w:val="18"/>
              </w:rPr>
              <w:t>02</w:t>
            </w:r>
          </w:p>
        </w:tc>
      </w:tr>
    </w:tbl>
    <w:p w:rsidR="00F233AB" w:rsidRPr="00B02247" w:rsidRDefault="00F233AB" w:rsidP="00F233AB"/>
    <w:p w:rsidR="00F233AB" w:rsidRPr="00B02247" w:rsidRDefault="005B2A41" w:rsidP="00AD546F">
      <w:pPr>
        <w:pStyle w:val="SingleTxtG"/>
      </w:pPr>
      <w:r>
        <w:t xml:space="preserve"> </w:t>
      </w:r>
      <w:r w:rsidR="00F233AB" w:rsidRPr="00B02247">
        <w:rPr>
          <w:noProof/>
          <w:lang w:eastAsia="zh-CN"/>
        </w:rPr>
        <w:drawing>
          <wp:inline distT="0" distB="0" distL="0" distR="0" wp14:anchorId="2B2BD108" wp14:editId="4AFEEDAE">
            <wp:extent cx="4639310" cy="3528695"/>
            <wp:effectExtent l="0" t="0" r="8890" b="14605"/>
            <wp:docPr id="34" name="Γράφημα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233AB" w:rsidRDefault="00F233AB" w:rsidP="00E05933">
      <w:pPr>
        <w:pStyle w:val="H1G"/>
      </w:pPr>
      <w:r w:rsidRPr="00B02247">
        <w:tab/>
      </w:r>
      <w:r w:rsidRPr="00B02247">
        <w:tab/>
        <w:t>Students,</w:t>
      </w:r>
      <w:r w:rsidR="005B2A41">
        <w:t xml:space="preserve"> </w:t>
      </w:r>
      <w:r w:rsidRPr="00B02247">
        <w:t>School</w:t>
      </w:r>
      <w:r w:rsidR="005B2A41">
        <w:t xml:space="preserve"> </w:t>
      </w:r>
      <w:r w:rsidRPr="00B02247">
        <w:t>Units,</w:t>
      </w:r>
      <w:r w:rsidR="005B2A41">
        <w:t xml:space="preserve"> </w:t>
      </w:r>
      <w:r w:rsidRPr="00B02247">
        <w:t>Teaching</w:t>
      </w:r>
      <w:r w:rsidR="005B2A41">
        <w:t xml:space="preserve"> </w:t>
      </w:r>
      <w:r w:rsidRPr="00B02247">
        <w:t>Staff</w:t>
      </w:r>
    </w:p>
    <w:p w:rsidR="00E05933" w:rsidRPr="00612B8C" w:rsidRDefault="00612B8C" w:rsidP="00B33FB4">
      <w:pPr>
        <w:pStyle w:val="H23G"/>
      </w:pPr>
      <w:r>
        <w:tab/>
      </w:r>
      <w:r>
        <w:tab/>
      </w:r>
      <w:r w:rsidR="00E05933" w:rsidRPr="00B02247">
        <w:t>1</w:t>
      </w:r>
      <w:r w:rsidR="00B33FB4">
        <w:t xml:space="preserve">. </w:t>
      </w:r>
      <w:r w:rsidR="00E05933" w:rsidRPr="00B02247">
        <w:t>Primary</w:t>
      </w:r>
      <w:r w:rsidR="00E05933">
        <w:t xml:space="preserve"> </w:t>
      </w:r>
      <w:r w:rsidR="00E05933" w:rsidRPr="00B02247">
        <w:t>education</w:t>
      </w:r>
      <w:r w:rsidR="00E05933">
        <w:t xml:space="preserve"> </w:t>
      </w:r>
      <w:r w:rsidR="00E05933" w:rsidRPr="00B02247">
        <w:t>(kindergartens):</w:t>
      </w:r>
      <w:r w:rsidR="00E05933">
        <w:t xml:space="preserve"> </w:t>
      </w:r>
      <w:r w:rsidR="00E05933" w:rsidRPr="00612B8C">
        <w:t>Pupils, school units and teaching staff by the end of school years 2011/12–2014/15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38"/>
        <w:gridCol w:w="1303"/>
        <w:gridCol w:w="1225"/>
        <w:gridCol w:w="1383"/>
        <w:gridCol w:w="1021"/>
      </w:tblGrid>
      <w:tr w:rsidR="00F233AB" w:rsidRPr="009C5335" w:rsidTr="009C5335">
        <w:trPr>
          <w:tblHeader/>
        </w:trPr>
        <w:tc>
          <w:tcPr>
            <w:tcW w:w="2438" w:type="dxa"/>
            <w:tcBorders>
              <w:top w:val="single" w:sz="4" w:space="0" w:color="auto"/>
              <w:bottom w:val="single" w:sz="12" w:space="0" w:color="auto"/>
            </w:tcBorders>
            <w:shd w:val="clear" w:color="auto" w:fill="auto"/>
            <w:vAlign w:val="bottom"/>
          </w:tcPr>
          <w:p w:rsidR="00F233AB" w:rsidRPr="009C5335" w:rsidRDefault="00F233AB" w:rsidP="009C5335">
            <w:pPr>
              <w:suppressAutoHyphens w:val="0"/>
              <w:spacing w:before="80" w:after="80" w:line="200" w:lineRule="exact"/>
              <w:ind w:right="113"/>
              <w:rPr>
                <w:i/>
                <w:sz w:val="16"/>
              </w:rPr>
            </w:pPr>
          </w:p>
        </w:tc>
        <w:tc>
          <w:tcPr>
            <w:tcW w:w="1303" w:type="dxa"/>
            <w:tcBorders>
              <w:top w:val="single" w:sz="4" w:space="0" w:color="auto"/>
              <w:bottom w:val="single" w:sz="12" w:space="0" w:color="auto"/>
            </w:tcBorders>
            <w:shd w:val="clear" w:color="auto" w:fill="auto"/>
            <w:vAlign w:val="bottom"/>
          </w:tcPr>
          <w:p w:rsidR="00F233AB" w:rsidRPr="009C5335" w:rsidRDefault="00612B8C" w:rsidP="009C5335">
            <w:pPr>
              <w:suppressAutoHyphens w:val="0"/>
              <w:spacing w:before="80" w:after="80" w:line="200" w:lineRule="exact"/>
              <w:ind w:right="113"/>
              <w:jc w:val="right"/>
              <w:rPr>
                <w:i/>
                <w:sz w:val="16"/>
              </w:rPr>
            </w:pPr>
            <w:r w:rsidRPr="009C5335">
              <w:rPr>
                <w:i/>
                <w:sz w:val="16"/>
              </w:rPr>
              <w:t>2011/12</w:t>
            </w:r>
          </w:p>
        </w:tc>
        <w:tc>
          <w:tcPr>
            <w:tcW w:w="1225" w:type="dxa"/>
            <w:tcBorders>
              <w:top w:val="single" w:sz="4" w:space="0" w:color="auto"/>
              <w:bottom w:val="single" w:sz="12" w:space="0" w:color="auto"/>
            </w:tcBorders>
            <w:shd w:val="clear" w:color="auto" w:fill="auto"/>
            <w:vAlign w:val="bottom"/>
          </w:tcPr>
          <w:p w:rsidR="00F233AB" w:rsidRPr="009C5335" w:rsidRDefault="00F233AB" w:rsidP="009C5335">
            <w:pPr>
              <w:suppressAutoHyphens w:val="0"/>
              <w:spacing w:before="80" w:after="80" w:line="200" w:lineRule="exact"/>
              <w:ind w:right="113"/>
              <w:jc w:val="right"/>
              <w:rPr>
                <w:i/>
                <w:sz w:val="16"/>
              </w:rPr>
            </w:pPr>
            <w:r w:rsidRPr="009C5335">
              <w:rPr>
                <w:i/>
                <w:sz w:val="16"/>
              </w:rPr>
              <w:t>2012/13</w:t>
            </w:r>
          </w:p>
        </w:tc>
        <w:tc>
          <w:tcPr>
            <w:tcW w:w="1383" w:type="dxa"/>
            <w:tcBorders>
              <w:top w:val="single" w:sz="4" w:space="0" w:color="auto"/>
              <w:bottom w:val="single" w:sz="12" w:space="0" w:color="auto"/>
            </w:tcBorders>
            <w:shd w:val="clear" w:color="auto" w:fill="auto"/>
            <w:vAlign w:val="bottom"/>
          </w:tcPr>
          <w:p w:rsidR="00F233AB" w:rsidRPr="009C5335" w:rsidRDefault="00F233AB" w:rsidP="009C5335">
            <w:pPr>
              <w:suppressAutoHyphens w:val="0"/>
              <w:spacing w:before="80" w:after="80" w:line="200" w:lineRule="exact"/>
              <w:ind w:right="113"/>
              <w:jc w:val="right"/>
              <w:rPr>
                <w:i/>
                <w:sz w:val="16"/>
              </w:rPr>
            </w:pPr>
            <w:r w:rsidRPr="009C5335">
              <w:rPr>
                <w:i/>
                <w:sz w:val="16"/>
              </w:rPr>
              <w:t>2013/14</w:t>
            </w:r>
          </w:p>
        </w:tc>
        <w:tc>
          <w:tcPr>
            <w:tcW w:w="1021" w:type="dxa"/>
            <w:tcBorders>
              <w:top w:val="single" w:sz="4" w:space="0" w:color="auto"/>
              <w:bottom w:val="single" w:sz="12" w:space="0" w:color="auto"/>
            </w:tcBorders>
            <w:shd w:val="clear" w:color="auto" w:fill="auto"/>
            <w:vAlign w:val="bottom"/>
          </w:tcPr>
          <w:p w:rsidR="00F233AB" w:rsidRPr="009C5335" w:rsidRDefault="00F233AB" w:rsidP="009C5335">
            <w:pPr>
              <w:suppressAutoHyphens w:val="0"/>
              <w:spacing w:before="80" w:after="80" w:line="200" w:lineRule="exact"/>
              <w:ind w:right="113"/>
              <w:jc w:val="right"/>
              <w:rPr>
                <w:i/>
                <w:sz w:val="16"/>
              </w:rPr>
            </w:pPr>
            <w:r w:rsidRPr="009C5335">
              <w:rPr>
                <w:i/>
                <w:sz w:val="16"/>
              </w:rPr>
              <w:t>2014/15</w:t>
            </w:r>
          </w:p>
        </w:tc>
      </w:tr>
      <w:tr w:rsidR="00F233AB" w:rsidRPr="009C5335" w:rsidTr="009C5335">
        <w:tc>
          <w:tcPr>
            <w:tcW w:w="2438" w:type="dxa"/>
            <w:tcBorders>
              <w:top w:val="single" w:sz="12" w:space="0" w:color="auto"/>
            </w:tcBorders>
            <w:shd w:val="clear" w:color="auto" w:fill="auto"/>
          </w:tcPr>
          <w:p w:rsidR="00F233AB" w:rsidRPr="009C5335" w:rsidRDefault="00F233AB" w:rsidP="009C5335">
            <w:pPr>
              <w:suppressAutoHyphens w:val="0"/>
              <w:spacing w:before="40" w:after="40" w:line="220" w:lineRule="exact"/>
              <w:ind w:right="113"/>
              <w:rPr>
                <w:sz w:val="18"/>
              </w:rPr>
            </w:pPr>
            <w:r w:rsidRPr="009C5335">
              <w:rPr>
                <w:sz w:val="18"/>
              </w:rPr>
              <w:t>School</w:t>
            </w:r>
            <w:r w:rsidR="005B2A41" w:rsidRPr="009C5335">
              <w:rPr>
                <w:sz w:val="18"/>
              </w:rPr>
              <w:t xml:space="preserve"> </w:t>
            </w:r>
            <w:r w:rsidRPr="009C5335">
              <w:rPr>
                <w:sz w:val="18"/>
              </w:rPr>
              <w:t>units</w:t>
            </w:r>
          </w:p>
        </w:tc>
        <w:tc>
          <w:tcPr>
            <w:tcW w:w="1303" w:type="dxa"/>
            <w:tcBorders>
              <w:top w:val="single" w:sz="12" w:space="0" w:color="auto"/>
            </w:tcBorders>
            <w:shd w:val="clear" w:color="auto" w:fill="auto"/>
            <w:vAlign w:val="bottom"/>
          </w:tcPr>
          <w:p w:rsidR="00F233AB" w:rsidRPr="009C5335" w:rsidRDefault="00F52EC4" w:rsidP="009C5335">
            <w:pPr>
              <w:suppressAutoHyphens w:val="0"/>
              <w:spacing w:before="40" w:after="40" w:line="220" w:lineRule="exact"/>
              <w:ind w:right="113"/>
              <w:jc w:val="right"/>
              <w:rPr>
                <w:sz w:val="18"/>
              </w:rPr>
            </w:pPr>
            <w:r w:rsidRPr="009C5335">
              <w:rPr>
                <w:sz w:val="18"/>
              </w:rPr>
              <w:t>5</w:t>
            </w:r>
            <w:r w:rsidR="004A0704">
              <w:rPr>
                <w:sz w:val="18"/>
              </w:rPr>
              <w:t xml:space="preserve"> </w:t>
            </w:r>
            <w:r w:rsidRPr="009C5335">
              <w:rPr>
                <w:sz w:val="18"/>
              </w:rPr>
              <w:t>861</w:t>
            </w:r>
          </w:p>
        </w:tc>
        <w:tc>
          <w:tcPr>
            <w:tcW w:w="1225" w:type="dxa"/>
            <w:tcBorders>
              <w:top w:val="single" w:sz="12" w:space="0" w:color="auto"/>
            </w:tcBorders>
            <w:shd w:val="clear" w:color="auto" w:fill="auto"/>
            <w:vAlign w:val="bottom"/>
          </w:tcPr>
          <w:p w:rsidR="00F233AB" w:rsidRPr="009C5335" w:rsidRDefault="00F52EC4" w:rsidP="009C5335">
            <w:pPr>
              <w:suppressAutoHyphens w:val="0"/>
              <w:spacing w:before="40" w:after="40" w:line="220" w:lineRule="exact"/>
              <w:ind w:right="113"/>
              <w:jc w:val="right"/>
              <w:rPr>
                <w:sz w:val="18"/>
              </w:rPr>
            </w:pPr>
            <w:r w:rsidRPr="009C5335">
              <w:rPr>
                <w:sz w:val="18"/>
              </w:rPr>
              <w:t>5</w:t>
            </w:r>
            <w:r w:rsidR="004A0704">
              <w:rPr>
                <w:sz w:val="18"/>
              </w:rPr>
              <w:t xml:space="preserve"> </w:t>
            </w:r>
            <w:r w:rsidRPr="009C5335">
              <w:rPr>
                <w:sz w:val="18"/>
              </w:rPr>
              <w:t>792</w:t>
            </w:r>
          </w:p>
        </w:tc>
        <w:tc>
          <w:tcPr>
            <w:tcW w:w="1383" w:type="dxa"/>
            <w:tcBorders>
              <w:top w:val="single" w:sz="12" w:space="0" w:color="auto"/>
            </w:tcBorders>
            <w:shd w:val="clear" w:color="auto" w:fill="auto"/>
            <w:vAlign w:val="bottom"/>
          </w:tcPr>
          <w:p w:rsidR="00F233AB" w:rsidRPr="009C5335" w:rsidRDefault="00F52EC4" w:rsidP="009C5335">
            <w:pPr>
              <w:suppressAutoHyphens w:val="0"/>
              <w:spacing w:before="40" w:after="40" w:line="220" w:lineRule="exact"/>
              <w:ind w:right="113"/>
              <w:jc w:val="right"/>
              <w:rPr>
                <w:sz w:val="18"/>
              </w:rPr>
            </w:pPr>
            <w:r w:rsidRPr="009C5335">
              <w:rPr>
                <w:sz w:val="18"/>
              </w:rPr>
              <w:t>5</w:t>
            </w:r>
            <w:r w:rsidR="004A0704">
              <w:rPr>
                <w:sz w:val="18"/>
              </w:rPr>
              <w:t xml:space="preserve"> </w:t>
            </w:r>
            <w:r w:rsidRPr="009C5335">
              <w:rPr>
                <w:sz w:val="18"/>
              </w:rPr>
              <w:t>606</w:t>
            </w:r>
          </w:p>
        </w:tc>
        <w:tc>
          <w:tcPr>
            <w:tcW w:w="1021" w:type="dxa"/>
            <w:tcBorders>
              <w:top w:val="single" w:sz="12" w:space="0" w:color="auto"/>
            </w:tcBorders>
            <w:shd w:val="clear" w:color="auto" w:fill="auto"/>
            <w:vAlign w:val="bottom"/>
          </w:tcPr>
          <w:p w:rsidR="00F233AB" w:rsidRPr="009C5335" w:rsidRDefault="00F52EC4" w:rsidP="009C5335">
            <w:pPr>
              <w:suppressAutoHyphens w:val="0"/>
              <w:spacing w:before="40" w:after="40" w:line="220" w:lineRule="exact"/>
              <w:ind w:right="113"/>
              <w:jc w:val="right"/>
              <w:rPr>
                <w:sz w:val="18"/>
              </w:rPr>
            </w:pPr>
            <w:r w:rsidRPr="009C5335">
              <w:rPr>
                <w:sz w:val="18"/>
              </w:rPr>
              <w:t>5</w:t>
            </w:r>
            <w:r w:rsidR="004A0704">
              <w:rPr>
                <w:sz w:val="18"/>
              </w:rPr>
              <w:t xml:space="preserve"> </w:t>
            </w:r>
            <w:r w:rsidRPr="009C5335">
              <w:rPr>
                <w:sz w:val="18"/>
              </w:rPr>
              <w:t>612</w:t>
            </w:r>
          </w:p>
        </w:tc>
      </w:tr>
      <w:tr w:rsidR="00612B8C" w:rsidRPr="009C5335" w:rsidTr="009C5335">
        <w:tc>
          <w:tcPr>
            <w:tcW w:w="2438" w:type="dxa"/>
            <w:shd w:val="clear" w:color="auto" w:fill="auto"/>
          </w:tcPr>
          <w:p w:rsidR="00612B8C" w:rsidRPr="009C5335" w:rsidRDefault="00612B8C" w:rsidP="009C5335">
            <w:pPr>
              <w:suppressAutoHyphens w:val="0"/>
              <w:spacing w:before="40" w:after="40" w:line="220" w:lineRule="exact"/>
              <w:ind w:right="113"/>
              <w:rPr>
                <w:sz w:val="18"/>
              </w:rPr>
            </w:pPr>
            <w:r w:rsidRPr="009C5335">
              <w:rPr>
                <w:sz w:val="18"/>
              </w:rPr>
              <w:t xml:space="preserve">Teaching </w:t>
            </w:r>
            <w:r w:rsidR="00F52EC4" w:rsidRPr="009C5335">
              <w:rPr>
                <w:sz w:val="18"/>
              </w:rPr>
              <w:t>staff</w:t>
            </w:r>
          </w:p>
        </w:tc>
        <w:tc>
          <w:tcPr>
            <w:tcW w:w="1303" w:type="dxa"/>
            <w:shd w:val="clear" w:color="auto" w:fill="auto"/>
            <w:vAlign w:val="bottom"/>
          </w:tcPr>
          <w:p w:rsidR="00612B8C" w:rsidRPr="009C5335" w:rsidRDefault="00F52EC4" w:rsidP="009C5335">
            <w:pPr>
              <w:suppressAutoHyphens w:val="0"/>
              <w:spacing w:before="40" w:after="40" w:line="220" w:lineRule="exact"/>
              <w:ind w:right="113"/>
              <w:jc w:val="right"/>
              <w:rPr>
                <w:sz w:val="18"/>
              </w:rPr>
            </w:pPr>
            <w:r w:rsidRPr="009C5335">
              <w:rPr>
                <w:sz w:val="18"/>
              </w:rPr>
              <w:t>14</w:t>
            </w:r>
            <w:r w:rsidR="004A0704">
              <w:rPr>
                <w:sz w:val="18"/>
              </w:rPr>
              <w:t xml:space="preserve"> </w:t>
            </w:r>
            <w:r w:rsidRPr="009C5335">
              <w:rPr>
                <w:sz w:val="18"/>
              </w:rPr>
              <w:t>018</w:t>
            </w:r>
          </w:p>
        </w:tc>
        <w:tc>
          <w:tcPr>
            <w:tcW w:w="1225" w:type="dxa"/>
            <w:shd w:val="clear" w:color="auto" w:fill="auto"/>
            <w:vAlign w:val="bottom"/>
          </w:tcPr>
          <w:p w:rsidR="00612B8C" w:rsidRPr="009C5335" w:rsidRDefault="00F52EC4" w:rsidP="009C5335">
            <w:pPr>
              <w:suppressAutoHyphens w:val="0"/>
              <w:spacing w:before="40" w:after="40" w:line="220" w:lineRule="exact"/>
              <w:ind w:right="113"/>
              <w:jc w:val="right"/>
              <w:rPr>
                <w:sz w:val="18"/>
              </w:rPr>
            </w:pPr>
            <w:r w:rsidRPr="009C5335">
              <w:rPr>
                <w:sz w:val="18"/>
              </w:rPr>
              <w:t>13</w:t>
            </w:r>
            <w:r w:rsidR="004A0704">
              <w:rPr>
                <w:sz w:val="18"/>
              </w:rPr>
              <w:t xml:space="preserve"> </w:t>
            </w:r>
            <w:r w:rsidRPr="009C5335">
              <w:rPr>
                <w:sz w:val="18"/>
              </w:rPr>
              <w:t>853</w:t>
            </w:r>
          </w:p>
        </w:tc>
        <w:tc>
          <w:tcPr>
            <w:tcW w:w="1383" w:type="dxa"/>
            <w:shd w:val="clear" w:color="auto" w:fill="auto"/>
            <w:vAlign w:val="bottom"/>
          </w:tcPr>
          <w:p w:rsidR="00612B8C" w:rsidRPr="009C5335" w:rsidRDefault="00F52EC4" w:rsidP="009C5335">
            <w:pPr>
              <w:suppressAutoHyphens w:val="0"/>
              <w:spacing w:before="40" w:after="40" w:line="220" w:lineRule="exact"/>
              <w:ind w:right="113"/>
              <w:jc w:val="right"/>
              <w:rPr>
                <w:sz w:val="18"/>
              </w:rPr>
            </w:pPr>
            <w:r w:rsidRPr="009C5335">
              <w:rPr>
                <w:sz w:val="18"/>
              </w:rPr>
              <w:t>13</w:t>
            </w:r>
            <w:r w:rsidR="004A0704">
              <w:rPr>
                <w:sz w:val="18"/>
              </w:rPr>
              <w:t xml:space="preserve"> </w:t>
            </w:r>
            <w:r w:rsidRPr="009C5335">
              <w:rPr>
                <w:sz w:val="18"/>
              </w:rPr>
              <w:t>526</w:t>
            </w:r>
          </w:p>
        </w:tc>
        <w:tc>
          <w:tcPr>
            <w:tcW w:w="1021" w:type="dxa"/>
            <w:shd w:val="clear" w:color="auto" w:fill="auto"/>
            <w:vAlign w:val="bottom"/>
          </w:tcPr>
          <w:p w:rsidR="00612B8C" w:rsidRPr="009C5335" w:rsidRDefault="00F52EC4" w:rsidP="009C5335">
            <w:pPr>
              <w:suppressAutoHyphens w:val="0"/>
              <w:spacing w:before="40" w:after="40" w:line="220" w:lineRule="exact"/>
              <w:ind w:right="113"/>
              <w:jc w:val="right"/>
              <w:rPr>
                <w:sz w:val="18"/>
              </w:rPr>
            </w:pPr>
            <w:r w:rsidRPr="009C5335">
              <w:rPr>
                <w:sz w:val="18"/>
              </w:rPr>
              <w:t>14</w:t>
            </w:r>
            <w:r w:rsidR="004A0704">
              <w:rPr>
                <w:sz w:val="18"/>
              </w:rPr>
              <w:t xml:space="preserve"> </w:t>
            </w:r>
            <w:r w:rsidRPr="009C5335">
              <w:rPr>
                <w:sz w:val="18"/>
              </w:rPr>
              <w:t>573</w:t>
            </w:r>
          </w:p>
        </w:tc>
      </w:tr>
      <w:tr w:rsidR="00612B8C" w:rsidRPr="009C5335" w:rsidTr="009C5335">
        <w:tc>
          <w:tcPr>
            <w:tcW w:w="2438" w:type="dxa"/>
            <w:shd w:val="clear" w:color="auto" w:fill="auto"/>
          </w:tcPr>
          <w:p w:rsidR="00612B8C" w:rsidRPr="009C5335" w:rsidRDefault="009C5335" w:rsidP="009C5335">
            <w:pPr>
              <w:suppressAutoHyphens w:val="0"/>
              <w:spacing w:before="40" w:after="40" w:line="220" w:lineRule="exact"/>
              <w:ind w:right="113"/>
              <w:rPr>
                <w:sz w:val="18"/>
              </w:rPr>
            </w:pPr>
            <w:r w:rsidRPr="009C5335">
              <w:rPr>
                <w:sz w:val="18"/>
              </w:rPr>
              <w:t>Pupils</w:t>
            </w:r>
          </w:p>
        </w:tc>
        <w:tc>
          <w:tcPr>
            <w:tcW w:w="1303" w:type="dxa"/>
            <w:shd w:val="clear" w:color="auto" w:fill="auto"/>
            <w:vAlign w:val="bottom"/>
          </w:tcPr>
          <w:p w:rsidR="00612B8C" w:rsidRPr="009C5335" w:rsidRDefault="009C5335" w:rsidP="009C5335">
            <w:pPr>
              <w:suppressAutoHyphens w:val="0"/>
              <w:spacing w:before="40" w:after="40" w:line="220" w:lineRule="exact"/>
              <w:ind w:right="113"/>
              <w:jc w:val="right"/>
              <w:rPr>
                <w:sz w:val="18"/>
              </w:rPr>
            </w:pPr>
            <w:r w:rsidRPr="009C5335">
              <w:rPr>
                <w:sz w:val="18"/>
              </w:rPr>
              <w:t>165</w:t>
            </w:r>
            <w:r w:rsidR="004A0704">
              <w:rPr>
                <w:sz w:val="18"/>
              </w:rPr>
              <w:t xml:space="preserve"> </w:t>
            </w:r>
            <w:r w:rsidRPr="009C5335">
              <w:rPr>
                <w:sz w:val="18"/>
              </w:rPr>
              <w:t>931</w:t>
            </w:r>
          </w:p>
        </w:tc>
        <w:tc>
          <w:tcPr>
            <w:tcW w:w="1225" w:type="dxa"/>
            <w:shd w:val="clear" w:color="auto" w:fill="auto"/>
            <w:vAlign w:val="bottom"/>
          </w:tcPr>
          <w:p w:rsidR="00612B8C" w:rsidRPr="009C5335" w:rsidRDefault="009C5335" w:rsidP="009C5335">
            <w:pPr>
              <w:suppressAutoHyphens w:val="0"/>
              <w:spacing w:before="40" w:after="40" w:line="220" w:lineRule="exact"/>
              <w:ind w:right="113"/>
              <w:jc w:val="right"/>
              <w:rPr>
                <w:sz w:val="18"/>
              </w:rPr>
            </w:pPr>
            <w:r w:rsidRPr="009C5335">
              <w:rPr>
                <w:sz w:val="18"/>
              </w:rPr>
              <w:t>166</w:t>
            </w:r>
            <w:r w:rsidR="004A0704">
              <w:rPr>
                <w:sz w:val="18"/>
              </w:rPr>
              <w:t xml:space="preserve"> </w:t>
            </w:r>
            <w:r w:rsidRPr="009C5335">
              <w:rPr>
                <w:sz w:val="18"/>
              </w:rPr>
              <w:t>576</w:t>
            </w:r>
          </w:p>
        </w:tc>
        <w:tc>
          <w:tcPr>
            <w:tcW w:w="1383" w:type="dxa"/>
            <w:shd w:val="clear" w:color="auto" w:fill="auto"/>
            <w:vAlign w:val="bottom"/>
          </w:tcPr>
          <w:p w:rsidR="00612B8C" w:rsidRPr="009C5335" w:rsidRDefault="009C5335" w:rsidP="009C5335">
            <w:pPr>
              <w:suppressAutoHyphens w:val="0"/>
              <w:spacing w:before="40" w:after="40" w:line="220" w:lineRule="exact"/>
              <w:ind w:right="113"/>
              <w:jc w:val="right"/>
              <w:rPr>
                <w:sz w:val="18"/>
              </w:rPr>
            </w:pPr>
            <w:r w:rsidRPr="009C5335">
              <w:rPr>
                <w:sz w:val="18"/>
              </w:rPr>
              <w:t>160</w:t>
            </w:r>
            <w:r w:rsidR="004A0704">
              <w:rPr>
                <w:sz w:val="18"/>
              </w:rPr>
              <w:t xml:space="preserve"> </w:t>
            </w:r>
            <w:r w:rsidRPr="009C5335">
              <w:rPr>
                <w:sz w:val="18"/>
              </w:rPr>
              <w:t>994</w:t>
            </w:r>
          </w:p>
        </w:tc>
        <w:tc>
          <w:tcPr>
            <w:tcW w:w="1021" w:type="dxa"/>
            <w:shd w:val="clear" w:color="auto" w:fill="auto"/>
            <w:vAlign w:val="bottom"/>
          </w:tcPr>
          <w:p w:rsidR="00612B8C" w:rsidRPr="009C5335" w:rsidRDefault="009C5335" w:rsidP="009C5335">
            <w:pPr>
              <w:suppressAutoHyphens w:val="0"/>
              <w:spacing w:before="40" w:after="40" w:line="220" w:lineRule="exact"/>
              <w:ind w:right="113"/>
              <w:jc w:val="right"/>
              <w:rPr>
                <w:sz w:val="18"/>
              </w:rPr>
            </w:pPr>
            <w:r w:rsidRPr="009C5335">
              <w:rPr>
                <w:sz w:val="18"/>
              </w:rPr>
              <w:t>160</w:t>
            </w:r>
            <w:r w:rsidR="004A0704">
              <w:rPr>
                <w:sz w:val="18"/>
              </w:rPr>
              <w:t xml:space="preserve"> </w:t>
            </w:r>
            <w:r w:rsidRPr="009C5335">
              <w:rPr>
                <w:sz w:val="18"/>
              </w:rPr>
              <w:t>201</w:t>
            </w:r>
          </w:p>
        </w:tc>
      </w:tr>
      <w:tr w:rsidR="00612B8C" w:rsidRPr="009C5335" w:rsidTr="009C5335">
        <w:tc>
          <w:tcPr>
            <w:tcW w:w="2438" w:type="dxa"/>
            <w:tcBorders>
              <w:bottom w:val="nil"/>
            </w:tcBorders>
            <w:shd w:val="clear" w:color="auto" w:fill="auto"/>
          </w:tcPr>
          <w:p w:rsidR="00612B8C" w:rsidRPr="009C5335" w:rsidRDefault="00F52EC4" w:rsidP="009C5335">
            <w:pPr>
              <w:suppressAutoHyphens w:val="0"/>
              <w:spacing w:before="40" w:after="40" w:line="220" w:lineRule="exact"/>
              <w:ind w:right="113"/>
              <w:rPr>
                <w:sz w:val="18"/>
              </w:rPr>
            </w:pPr>
            <w:r w:rsidRPr="009C5335">
              <w:rPr>
                <w:sz w:val="18"/>
              </w:rPr>
              <w:t>Public schools</w:t>
            </w:r>
          </w:p>
        </w:tc>
        <w:tc>
          <w:tcPr>
            <w:tcW w:w="1303" w:type="dxa"/>
            <w:tcBorders>
              <w:bottom w:val="nil"/>
            </w:tcBorders>
            <w:shd w:val="clear" w:color="auto" w:fill="auto"/>
            <w:vAlign w:val="bottom"/>
          </w:tcPr>
          <w:p w:rsidR="00612B8C" w:rsidRPr="009C5335" w:rsidRDefault="00612B8C" w:rsidP="009C5335">
            <w:pPr>
              <w:suppressAutoHyphens w:val="0"/>
              <w:spacing w:before="40" w:after="40" w:line="220" w:lineRule="exact"/>
              <w:ind w:right="113"/>
              <w:jc w:val="right"/>
              <w:rPr>
                <w:sz w:val="18"/>
              </w:rPr>
            </w:pPr>
          </w:p>
        </w:tc>
        <w:tc>
          <w:tcPr>
            <w:tcW w:w="1225" w:type="dxa"/>
            <w:tcBorders>
              <w:bottom w:val="nil"/>
            </w:tcBorders>
            <w:shd w:val="clear" w:color="auto" w:fill="auto"/>
            <w:vAlign w:val="bottom"/>
          </w:tcPr>
          <w:p w:rsidR="00612B8C" w:rsidRPr="009C5335" w:rsidRDefault="00612B8C" w:rsidP="009C5335">
            <w:pPr>
              <w:suppressAutoHyphens w:val="0"/>
              <w:spacing w:before="40" w:after="40" w:line="220" w:lineRule="exact"/>
              <w:ind w:right="113"/>
              <w:jc w:val="right"/>
              <w:rPr>
                <w:sz w:val="18"/>
              </w:rPr>
            </w:pPr>
          </w:p>
        </w:tc>
        <w:tc>
          <w:tcPr>
            <w:tcW w:w="1383" w:type="dxa"/>
            <w:tcBorders>
              <w:bottom w:val="nil"/>
            </w:tcBorders>
            <w:shd w:val="clear" w:color="auto" w:fill="auto"/>
            <w:vAlign w:val="bottom"/>
          </w:tcPr>
          <w:p w:rsidR="00612B8C" w:rsidRPr="009C5335" w:rsidRDefault="00612B8C" w:rsidP="009C5335">
            <w:pPr>
              <w:suppressAutoHyphens w:val="0"/>
              <w:spacing w:before="40" w:after="40" w:line="220" w:lineRule="exact"/>
              <w:ind w:right="113"/>
              <w:jc w:val="right"/>
              <w:rPr>
                <w:sz w:val="18"/>
              </w:rPr>
            </w:pPr>
          </w:p>
        </w:tc>
        <w:tc>
          <w:tcPr>
            <w:tcW w:w="1021" w:type="dxa"/>
            <w:tcBorders>
              <w:bottom w:val="nil"/>
            </w:tcBorders>
            <w:shd w:val="clear" w:color="auto" w:fill="auto"/>
            <w:vAlign w:val="bottom"/>
          </w:tcPr>
          <w:p w:rsidR="00612B8C" w:rsidRPr="009C5335" w:rsidRDefault="00612B8C" w:rsidP="009C5335">
            <w:pPr>
              <w:suppressAutoHyphens w:val="0"/>
              <w:spacing w:before="40" w:after="40" w:line="220" w:lineRule="exact"/>
              <w:ind w:right="113"/>
              <w:jc w:val="right"/>
              <w:rPr>
                <w:sz w:val="18"/>
              </w:rPr>
            </w:pPr>
          </w:p>
        </w:tc>
      </w:tr>
      <w:tr w:rsidR="00612B8C" w:rsidRPr="009C5335" w:rsidTr="00E373B2">
        <w:tc>
          <w:tcPr>
            <w:tcW w:w="2438" w:type="dxa"/>
            <w:tcBorders>
              <w:top w:val="nil"/>
              <w:bottom w:val="nil"/>
            </w:tcBorders>
            <w:shd w:val="clear" w:color="auto" w:fill="auto"/>
          </w:tcPr>
          <w:p w:rsidR="00612B8C" w:rsidRPr="009C5335" w:rsidRDefault="00F52EC4" w:rsidP="009C5335">
            <w:pPr>
              <w:suppressAutoHyphens w:val="0"/>
              <w:spacing w:before="40" w:after="40" w:line="220" w:lineRule="exact"/>
              <w:ind w:left="145" w:right="113"/>
              <w:rPr>
                <w:sz w:val="18"/>
              </w:rPr>
            </w:pPr>
            <w:r w:rsidRPr="009C5335">
              <w:rPr>
                <w:sz w:val="18"/>
              </w:rPr>
              <w:t>School units</w:t>
            </w:r>
          </w:p>
        </w:tc>
        <w:tc>
          <w:tcPr>
            <w:tcW w:w="1303" w:type="dxa"/>
            <w:tcBorders>
              <w:top w:val="nil"/>
              <w:bottom w:val="nil"/>
            </w:tcBorders>
            <w:shd w:val="clear" w:color="auto" w:fill="auto"/>
            <w:vAlign w:val="bottom"/>
          </w:tcPr>
          <w:p w:rsidR="00612B8C" w:rsidRPr="009C5335" w:rsidRDefault="00F52EC4" w:rsidP="009C5335">
            <w:pPr>
              <w:suppressAutoHyphens w:val="0"/>
              <w:spacing w:before="40" w:after="40" w:line="220" w:lineRule="exact"/>
              <w:ind w:left="145" w:right="113"/>
              <w:jc w:val="right"/>
              <w:rPr>
                <w:sz w:val="18"/>
              </w:rPr>
            </w:pPr>
            <w:r w:rsidRPr="009C5335">
              <w:rPr>
                <w:sz w:val="18"/>
              </w:rPr>
              <w:t>5</w:t>
            </w:r>
            <w:r w:rsidR="004A0704">
              <w:rPr>
                <w:sz w:val="18"/>
              </w:rPr>
              <w:t xml:space="preserve"> </w:t>
            </w:r>
            <w:r w:rsidRPr="009C5335">
              <w:rPr>
                <w:sz w:val="18"/>
              </w:rPr>
              <w:t>401</w:t>
            </w:r>
          </w:p>
        </w:tc>
        <w:tc>
          <w:tcPr>
            <w:tcW w:w="1225" w:type="dxa"/>
            <w:tcBorders>
              <w:top w:val="nil"/>
              <w:bottom w:val="nil"/>
            </w:tcBorders>
            <w:shd w:val="clear" w:color="auto" w:fill="auto"/>
            <w:vAlign w:val="bottom"/>
          </w:tcPr>
          <w:p w:rsidR="00612B8C" w:rsidRPr="009C5335" w:rsidRDefault="00F52EC4" w:rsidP="009C5335">
            <w:pPr>
              <w:suppressAutoHyphens w:val="0"/>
              <w:spacing w:before="40" w:after="40" w:line="220" w:lineRule="exact"/>
              <w:ind w:left="145" w:right="113"/>
              <w:jc w:val="right"/>
              <w:rPr>
                <w:sz w:val="18"/>
              </w:rPr>
            </w:pPr>
            <w:r w:rsidRPr="009C5335">
              <w:rPr>
                <w:sz w:val="18"/>
              </w:rPr>
              <w:t>5</w:t>
            </w:r>
            <w:r w:rsidR="004A0704">
              <w:rPr>
                <w:sz w:val="18"/>
              </w:rPr>
              <w:t xml:space="preserve"> </w:t>
            </w:r>
            <w:r w:rsidRPr="009C5335">
              <w:rPr>
                <w:sz w:val="18"/>
              </w:rPr>
              <w:t>309</w:t>
            </w:r>
          </w:p>
        </w:tc>
        <w:tc>
          <w:tcPr>
            <w:tcW w:w="1383" w:type="dxa"/>
            <w:tcBorders>
              <w:top w:val="nil"/>
              <w:bottom w:val="nil"/>
            </w:tcBorders>
            <w:shd w:val="clear" w:color="auto" w:fill="auto"/>
            <w:vAlign w:val="bottom"/>
          </w:tcPr>
          <w:p w:rsidR="00612B8C" w:rsidRPr="009C5335" w:rsidRDefault="00F52EC4" w:rsidP="009C5335">
            <w:pPr>
              <w:suppressAutoHyphens w:val="0"/>
              <w:spacing w:before="40" w:after="40" w:line="220" w:lineRule="exact"/>
              <w:ind w:left="145" w:right="113"/>
              <w:jc w:val="right"/>
              <w:rPr>
                <w:sz w:val="18"/>
              </w:rPr>
            </w:pPr>
            <w:r w:rsidRPr="009C5335">
              <w:rPr>
                <w:sz w:val="18"/>
              </w:rPr>
              <w:t>5</w:t>
            </w:r>
            <w:r w:rsidR="004A0704">
              <w:rPr>
                <w:sz w:val="18"/>
              </w:rPr>
              <w:t xml:space="preserve"> </w:t>
            </w:r>
            <w:r w:rsidRPr="009C5335">
              <w:rPr>
                <w:sz w:val="18"/>
              </w:rPr>
              <w:t>161</w:t>
            </w:r>
          </w:p>
        </w:tc>
        <w:tc>
          <w:tcPr>
            <w:tcW w:w="1021" w:type="dxa"/>
            <w:tcBorders>
              <w:top w:val="nil"/>
              <w:bottom w:val="nil"/>
            </w:tcBorders>
            <w:shd w:val="clear" w:color="auto" w:fill="auto"/>
            <w:vAlign w:val="bottom"/>
          </w:tcPr>
          <w:p w:rsidR="00612B8C" w:rsidRPr="009C5335" w:rsidRDefault="00F52EC4" w:rsidP="009C5335">
            <w:pPr>
              <w:suppressAutoHyphens w:val="0"/>
              <w:spacing w:before="40" w:after="40" w:line="220" w:lineRule="exact"/>
              <w:ind w:left="145" w:right="113"/>
              <w:jc w:val="right"/>
              <w:rPr>
                <w:sz w:val="18"/>
              </w:rPr>
            </w:pPr>
            <w:r w:rsidRPr="009C5335">
              <w:rPr>
                <w:sz w:val="18"/>
              </w:rPr>
              <w:t>5</w:t>
            </w:r>
            <w:r w:rsidR="004A0704">
              <w:rPr>
                <w:sz w:val="18"/>
              </w:rPr>
              <w:t xml:space="preserve"> </w:t>
            </w:r>
            <w:r w:rsidRPr="009C5335">
              <w:rPr>
                <w:sz w:val="18"/>
              </w:rPr>
              <w:t>171</w:t>
            </w:r>
          </w:p>
        </w:tc>
      </w:tr>
      <w:tr w:rsidR="00612B8C" w:rsidRPr="009C5335" w:rsidTr="00E373B2">
        <w:tc>
          <w:tcPr>
            <w:tcW w:w="2438" w:type="dxa"/>
            <w:tcBorders>
              <w:top w:val="nil"/>
              <w:bottom w:val="nil"/>
            </w:tcBorders>
            <w:shd w:val="clear" w:color="auto" w:fill="auto"/>
          </w:tcPr>
          <w:p w:rsidR="00612B8C" w:rsidRPr="009C5335" w:rsidRDefault="00F52EC4" w:rsidP="009C5335">
            <w:pPr>
              <w:suppressAutoHyphens w:val="0"/>
              <w:spacing w:before="40" w:after="40" w:line="220" w:lineRule="exact"/>
              <w:ind w:left="145" w:right="113"/>
              <w:rPr>
                <w:sz w:val="18"/>
              </w:rPr>
            </w:pPr>
            <w:r w:rsidRPr="009C5335">
              <w:rPr>
                <w:sz w:val="18"/>
              </w:rPr>
              <w:t xml:space="preserve">Teaching </w:t>
            </w:r>
            <w:r w:rsidR="009C5335" w:rsidRPr="009C5335">
              <w:rPr>
                <w:sz w:val="18"/>
              </w:rPr>
              <w:t>staff</w:t>
            </w:r>
          </w:p>
        </w:tc>
        <w:tc>
          <w:tcPr>
            <w:tcW w:w="1303" w:type="dxa"/>
            <w:tcBorders>
              <w:top w:val="nil"/>
              <w:bottom w:val="nil"/>
            </w:tcBorders>
            <w:shd w:val="clear" w:color="auto" w:fill="auto"/>
            <w:vAlign w:val="bottom"/>
          </w:tcPr>
          <w:p w:rsidR="00612B8C" w:rsidRPr="009C5335" w:rsidRDefault="009C5335" w:rsidP="009C5335">
            <w:pPr>
              <w:suppressAutoHyphens w:val="0"/>
              <w:spacing w:before="40" w:after="40" w:line="220" w:lineRule="exact"/>
              <w:ind w:left="145" w:right="113"/>
              <w:jc w:val="right"/>
              <w:rPr>
                <w:sz w:val="18"/>
              </w:rPr>
            </w:pPr>
            <w:r w:rsidRPr="009C5335">
              <w:rPr>
                <w:sz w:val="18"/>
              </w:rPr>
              <w:t>13</w:t>
            </w:r>
            <w:r w:rsidR="004A0704">
              <w:rPr>
                <w:sz w:val="18"/>
              </w:rPr>
              <w:t xml:space="preserve"> </w:t>
            </w:r>
            <w:r w:rsidRPr="009C5335">
              <w:rPr>
                <w:sz w:val="18"/>
              </w:rPr>
              <w:t>320</w:t>
            </w:r>
          </w:p>
        </w:tc>
        <w:tc>
          <w:tcPr>
            <w:tcW w:w="1225" w:type="dxa"/>
            <w:tcBorders>
              <w:top w:val="nil"/>
              <w:bottom w:val="nil"/>
            </w:tcBorders>
            <w:shd w:val="clear" w:color="auto" w:fill="auto"/>
            <w:vAlign w:val="bottom"/>
          </w:tcPr>
          <w:p w:rsidR="00612B8C" w:rsidRPr="009C5335" w:rsidRDefault="009C5335" w:rsidP="009C5335">
            <w:pPr>
              <w:suppressAutoHyphens w:val="0"/>
              <w:spacing w:before="40" w:after="40" w:line="220" w:lineRule="exact"/>
              <w:ind w:left="145" w:right="113"/>
              <w:jc w:val="right"/>
              <w:rPr>
                <w:sz w:val="18"/>
              </w:rPr>
            </w:pPr>
            <w:r w:rsidRPr="009C5335">
              <w:rPr>
                <w:sz w:val="18"/>
              </w:rPr>
              <w:t>13</w:t>
            </w:r>
            <w:r w:rsidR="004A0704">
              <w:rPr>
                <w:sz w:val="18"/>
              </w:rPr>
              <w:t xml:space="preserve"> </w:t>
            </w:r>
            <w:r w:rsidRPr="009C5335">
              <w:rPr>
                <w:sz w:val="18"/>
              </w:rPr>
              <w:t>155</w:t>
            </w:r>
          </w:p>
        </w:tc>
        <w:tc>
          <w:tcPr>
            <w:tcW w:w="1383" w:type="dxa"/>
            <w:tcBorders>
              <w:top w:val="nil"/>
              <w:bottom w:val="nil"/>
            </w:tcBorders>
            <w:shd w:val="clear" w:color="auto" w:fill="auto"/>
            <w:vAlign w:val="bottom"/>
          </w:tcPr>
          <w:p w:rsidR="00612B8C" w:rsidRPr="009C5335" w:rsidRDefault="009C5335" w:rsidP="009C5335">
            <w:pPr>
              <w:suppressAutoHyphens w:val="0"/>
              <w:spacing w:before="40" w:after="40" w:line="220" w:lineRule="exact"/>
              <w:ind w:left="145" w:right="113"/>
              <w:jc w:val="right"/>
              <w:rPr>
                <w:sz w:val="18"/>
              </w:rPr>
            </w:pPr>
            <w:r w:rsidRPr="009C5335">
              <w:rPr>
                <w:sz w:val="18"/>
              </w:rPr>
              <w:t>12</w:t>
            </w:r>
            <w:r w:rsidR="004A0704">
              <w:rPr>
                <w:sz w:val="18"/>
              </w:rPr>
              <w:t xml:space="preserve"> </w:t>
            </w:r>
            <w:r w:rsidRPr="009C5335">
              <w:rPr>
                <w:sz w:val="18"/>
              </w:rPr>
              <w:t>877</w:t>
            </w:r>
          </w:p>
        </w:tc>
        <w:tc>
          <w:tcPr>
            <w:tcW w:w="1021" w:type="dxa"/>
            <w:tcBorders>
              <w:top w:val="nil"/>
              <w:bottom w:val="nil"/>
            </w:tcBorders>
            <w:shd w:val="clear" w:color="auto" w:fill="auto"/>
            <w:vAlign w:val="bottom"/>
          </w:tcPr>
          <w:p w:rsidR="00612B8C" w:rsidRPr="009C5335" w:rsidRDefault="009C5335" w:rsidP="009C5335">
            <w:pPr>
              <w:suppressAutoHyphens w:val="0"/>
              <w:spacing w:before="40" w:after="40" w:line="220" w:lineRule="exact"/>
              <w:ind w:left="145" w:right="113"/>
              <w:jc w:val="right"/>
              <w:rPr>
                <w:sz w:val="18"/>
              </w:rPr>
            </w:pPr>
            <w:r w:rsidRPr="009C5335">
              <w:rPr>
                <w:sz w:val="18"/>
              </w:rPr>
              <w:t>13</w:t>
            </w:r>
            <w:r w:rsidR="004A0704">
              <w:rPr>
                <w:sz w:val="18"/>
              </w:rPr>
              <w:t xml:space="preserve"> </w:t>
            </w:r>
            <w:r w:rsidRPr="009C5335">
              <w:rPr>
                <w:sz w:val="18"/>
              </w:rPr>
              <w:t>803</w:t>
            </w:r>
          </w:p>
        </w:tc>
      </w:tr>
      <w:tr w:rsidR="00612B8C" w:rsidRPr="009C5335" w:rsidTr="00E373B2">
        <w:tc>
          <w:tcPr>
            <w:tcW w:w="2438" w:type="dxa"/>
            <w:tcBorders>
              <w:top w:val="nil"/>
            </w:tcBorders>
            <w:shd w:val="clear" w:color="auto" w:fill="auto"/>
          </w:tcPr>
          <w:p w:rsidR="00612B8C" w:rsidRPr="009C5335" w:rsidRDefault="009C5335" w:rsidP="009C5335">
            <w:pPr>
              <w:suppressAutoHyphens w:val="0"/>
              <w:spacing w:before="40" w:after="40" w:line="220" w:lineRule="exact"/>
              <w:ind w:left="145" w:right="113"/>
              <w:rPr>
                <w:sz w:val="18"/>
              </w:rPr>
            </w:pPr>
            <w:r w:rsidRPr="009C5335">
              <w:rPr>
                <w:sz w:val="18"/>
              </w:rPr>
              <w:lastRenderedPageBreak/>
              <w:t>Pupils</w:t>
            </w:r>
          </w:p>
        </w:tc>
        <w:tc>
          <w:tcPr>
            <w:tcW w:w="1303" w:type="dxa"/>
            <w:tcBorders>
              <w:top w:val="nil"/>
            </w:tcBorders>
            <w:shd w:val="clear" w:color="auto" w:fill="auto"/>
            <w:vAlign w:val="bottom"/>
          </w:tcPr>
          <w:p w:rsidR="00612B8C" w:rsidRPr="009C5335" w:rsidRDefault="009C5335" w:rsidP="009C5335">
            <w:pPr>
              <w:suppressAutoHyphens w:val="0"/>
              <w:spacing w:before="40" w:after="40" w:line="220" w:lineRule="exact"/>
              <w:ind w:left="145" w:right="113"/>
              <w:jc w:val="right"/>
              <w:rPr>
                <w:sz w:val="18"/>
              </w:rPr>
            </w:pPr>
            <w:r w:rsidRPr="009C5335">
              <w:rPr>
                <w:sz w:val="18"/>
              </w:rPr>
              <w:t>154</w:t>
            </w:r>
            <w:r w:rsidR="00E373B2">
              <w:rPr>
                <w:sz w:val="18"/>
              </w:rPr>
              <w:t xml:space="preserve"> </w:t>
            </w:r>
            <w:r w:rsidRPr="009C5335">
              <w:rPr>
                <w:sz w:val="18"/>
              </w:rPr>
              <w:t>396</w:t>
            </w:r>
          </w:p>
        </w:tc>
        <w:tc>
          <w:tcPr>
            <w:tcW w:w="1225" w:type="dxa"/>
            <w:tcBorders>
              <w:top w:val="nil"/>
            </w:tcBorders>
            <w:shd w:val="clear" w:color="auto" w:fill="auto"/>
            <w:vAlign w:val="bottom"/>
          </w:tcPr>
          <w:p w:rsidR="00612B8C" w:rsidRPr="009C5335" w:rsidRDefault="009C5335" w:rsidP="009C5335">
            <w:pPr>
              <w:suppressAutoHyphens w:val="0"/>
              <w:spacing w:before="40" w:after="40" w:line="220" w:lineRule="exact"/>
              <w:ind w:left="145" w:right="113"/>
              <w:jc w:val="right"/>
              <w:rPr>
                <w:sz w:val="18"/>
              </w:rPr>
            </w:pPr>
            <w:r w:rsidRPr="009C5335">
              <w:rPr>
                <w:sz w:val="18"/>
              </w:rPr>
              <w:t>155</w:t>
            </w:r>
            <w:r w:rsidR="00E373B2">
              <w:rPr>
                <w:sz w:val="18"/>
              </w:rPr>
              <w:t xml:space="preserve"> </w:t>
            </w:r>
            <w:r w:rsidRPr="009C5335">
              <w:rPr>
                <w:sz w:val="18"/>
              </w:rPr>
              <w:t>541</w:t>
            </w:r>
          </w:p>
        </w:tc>
        <w:tc>
          <w:tcPr>
            <w:tcW w:w="1383" w:type="dxa"/>
            <w:tcBorders>
              <w:top w:val="nil"/>
            </w:tcBorders>
            <w:shd w:val="clear" w:color="auto" w:fill="auto"/>
            <w:vAlign w:val="bottom"/>
          </w:tcPr>
          <w:p w:rsidR="00612B8C" w:rsidRPr="009C5335" w:rsidRDefault="009C5335" w:rsidP="009C5335">
            <w:pPr>
              <w:suppressAutoHyphens w:val="0"/>
              <w:spacing w:before="40" w:after="40" w:line="220" w:lineRule="exact"/>
              <w:ind w:left="145" w:right="113"/>
              <w:jc w:val="right"/>
              <w:rPr>
                <w:sz w:val="18"/>
              </w:rPr>
            </w:pPr>
            <w:r w:rsidRPr="009C5335">
              <w:rPr>
                <w:sz w:val="18"/>
              </w:rPr>
              <w:t>151</w:t>
            </w:r>
            <w:r w:rsidR="00E373B2">
              <w:rPr>
                <w:sz w:val="18"/>
              </w:rPr>
              <w:t xml:space="preserve"> </w:t>
            </w:r>
            <w:r w:rsidRPr="009C5335">
              <w:rPr>
                <w:sz w:val="18"/>
              </w:rPr>
              <w:t>019</w:t>
            </w:r>
          </w:p>
        </w:tc>
        <w:tc>
          <w:tcPr>
            <w:tcW w:w="1021" w:type="dxa"/>
            <w:tcBorders>
              <w:top w:val="nil"/>
            </w:tcBorders>
            <w:shd w:val="clear" w:color="auto" w:fill="auto"/>
            <w:vAlign w:val="bottom"/>
          </w:tcPr>
          <w:p w:rsidR="00612B8C" w:rsidRPr="009C5335" w:rsidRDefault="009C5335" w:rsidP="009C5335">
            <w:pPr>
              <w:suppressAutoHyphens w:val="0"/>
              <w:spacing w:before="40" w:after="40" w:line="220" w:lineRule="exact"/>
              <w:ind w:left="145" w:right="113"/>
              <w:jc w:val="right"/>
              <w:rPr>
                <w:sz w:val="18"/>
              </w:rPr>
            </w:pPr>
            <w:r w:rsidRPr="009C5335">
              <w:rPr>
                <w:sz w:val="18"/>
              </w:rPr>
              <w:t>149</w:t>
            </w:r>
            <w:r w:rsidR="00E373B2">
              <w:rPr>
                <w:sz w:val="18"/>
              </w:rPr>
              <w:t xml:space="preserve"> </w:t>
            </w:r>
            <w:r w:rsidRPr="009C5335">
              <w:rPr>
                <w:sz w:val="18"/>
              </w:rPr>
              <w:t>764</w:t>
            </w:r>
          </w:p>
        </w:tc>
      </w:tr>
      <w:tr w:rsidR="00612B8C" w:rsidRPr="009C5335" w:rsidTr="009C5335">
        <w:tc>
          <w:tcPr>
            <w:tcW w:w="2438" w:type="dxa"/>
            <w:shd w:val="clear" w:color="auto" w:fill="auto"/>
          </w:tcPr>
          <w:p w:rsidR="00612B8C" w:rsidRPr="009C5335" w:rsidRDefault="009C5335" w:rsidP="00E373B2">
            <w:pPr>
              <w:suppressAutoHyphens w:val="0"/>
              <w:spacing w:before="40" w:after="40" w:line="220" w:lineRule="exact"/>
              <w:ind w:left="145" w:right="113"/>
              <w:rPr>
                <w:sz w:val="18"/>
              </w:rPr>
            </w:pPr>
            <w:r w:rsidRPr="009C5335">
              <w:rPr>
                <w:sz w:val="18"/>
              </w:rPr>
              <w:t>Pupils</w:t>
            </w:r>
            <w:r w:rsidR="00E373B2">
              <w:rPr>
                <w:sz w:val="18"/>
              </w:rPr>
              <w:t>-</w:t>
            </w:r>
            <w:r w:rsidRPr="009C5335">
              <w:rPr>
                <w:sz w:val="18"/>
              </w:rPr>
              <w:t>teacher ratio</w:t>
            </w:r>
          </w:p>
        </w:tc>
        <w:tc>
          <w:tcPr>
            <w:tcW w:w="1303" w:type="dxa"/>
            <w:shd w:val="clear" w:color="auto" w:fill="auto"/>
            <w:vAlign w:val="bottom"/>
          </w:tcPr>
          <w:p w:rsidR="00612B8C" w:rsidRPr="009C5335" w:rsidRDefault="009C5335" w:rsidP="009C5335">
            <w:pPr>
              <w:suppressAutoHyphens w:val="0"/>
              <w:spacing w:before="40" w:after="40" w:line="220" w:lineRule="exact"/>
              <w:ind w:left="145" w:right="113"/>
              <w:jc w:val="right"/>
              <w:rPr>
                <w:sz w:val="18"/>
              </w:rPr>
            </w:pPr>
            <w:r w:rsidRPr="009C5335">
              <w:rPr>
                <w:sz w:val="18"/>
              </w:rPr>
              <w:t>11</w:t>
            </w:r>
            <w:r w:rsidR="0023601B">
              <w:rPr>
                <w:sz w:val="18"/>
              </w:rPr>
              <w:t>.</w:t>
            </w:r>
            <w:r w:rsidRPr="009C5335">
              <w:rPr>
                <w:sz w:val="18"/>
              </w:rPr>
              <w:t>6</w:t>
            </w:r>
          </w:p>
        </w:tc>
        <w:tc>
          <w:tcPr>
            <w:tcW w:w="1225" w:type="dxa"/>
            <w:shd w:val="clear" w:color="auto" w:fill="auto"/>
            <w:vAlign w:val="bottom"/>
          </w:tcPr>
          <w:p w:rsidR="00612B8C" w:rsidRPr="009C5335" w:rsidRDefault="009C5335" w:rsidP="009C5335">
            <w:pPr>
              <w:suppressAutoHyphens w:val="0"/>
              <w:spacing w:before="40" w:after="40" w:line="220" w:lineRule="exact"/>
              <w:ind w:left="145" w:right="113"/>
              <w:jc w:val="right"/>
              <w:rPr>
                <w:sz w:val="18"/>
              </w:rPr>
            </w:pPr>
            <w:r w:rsidRPr="009C5335">
              <w:rPr>
                <w:sz w:val="18"/>
              </w:rPr>
              <w:t>11</w:t>
            </w:r>
            <w:r w:rsidR="0023601B">
              <w:rPr>
                <w:sz w:val="18"/>
              </w:rPr>
              <w:t>.</w:t>
            </w:r>
            <w:r w:rsidRPr="009C5335">
              <w:rPr>
                <w:sz w:val="18"/>
              </w:rPr>
              <w:t>8</w:t>
            </w:r>
          </w:p>
        </w:tc>
        <w:tc>
          <w:tcPr>
            <w:tcW w:w="1383" w:type="dxa"/>
            <w:shd w:val="clear" w:color="auto" w:fill="auto"/>
            <w:vAlign w:val="bottom"/>
          </w:tcPr>
          <w:p w:rsidR="00612B8C" w:rsidRPr="009C5335" w:rsidRDefault="009C5335" w:rsidP="009C5335">
            <w:pPr>
              <w:suppressAutoHyphens w:val="0"/>
              <w:spacing w:before="40" w:after="40" w:line="220" w:lineRule="exact"/>
              <w:ind w:left="145" w:right="113"/>
              <w:jc w:val="right"/>
              <w:rPr>
                <w:sz w:val="18"/>
              </w:rPr>
            </w:pPr>
            <w:r w:rsidRPr="009C5335">
              <w:rPr>
                <w:sz w:val="18"/>
              </w:rPr>
              <w:t>11</w:t>
            </w:r>
            <w:r w:rsidR="0023601B">
              <w:rPr>
                <w:sz w:val="18"/>
              </w:rPr>
              <w:t>.</w:t>
            </w:r>
            <w:r w:rsidRPr="009C5335">
              <w:rPr>
                <w:sz w:val="18"/>
              </w:rPr>
              <w:t>7</w:t>
            </w:r>
          </w:p>
        </w:tc>
        <w:tc>
          <w:tcPr>
            <w:tcW w:w="1021" w:type="dxa"/>
            <w:shd w:val="clear" w:color="auto" w:fill="auto"/>
            <w:vAlign w:val="bottom"/>
          </w:tcPr>
          <w:p w:rsidR="00612B8C" w:rsidRPr="009C5335" w:rsidRDefault="009C5335" w:rsidP="009C5335">
            <w:pPr>
              <w:suppressAutoHyphens w:val="0"/>
              <w:spacing w:before="40" w:after="40" w:line="220" w:lineRule="exact"/>
              <w:ind w:left="145" w:right="113"/>
              <w:jc w:val="right"/>
              <w:rPr>
                <w:sz w:val="18"/>
              </w:rPr>
            </w:pPr>
            <w:r w:rsidRPr="009C5335">
              <w:rPr>
                <w:sz w:val="18"/>
              </w:rPr>
              <w:t>11</w:t>
            </w:r>
            <w:r w:rsidR="0023601B">
              <w:rPr>
                <w:sz w:val="18"/>
              </w:rPr>
              <w:t>.</w:t>
            </w:r>
            <w:r w:rsidRPr="009C5335">
              <w:rPr>
                <w:sz w:val="18"/>
              </w:rPr>
              <w:t>0</w:t>
            </w:r>
          </w:p>
        </w:tc>
      </w:tr>
    </w:tbl>
    <w:p w:rsidR="00F233AB" w:rsidRDefault="00B33FB4" w:rsidP="00B33FB4">
      <w:pPr>
        <w:pStyle w:val="H23G"/>
      </w:pPr>
      <w:r>
        <w:tab/>
      </w:r>
      <w:r>
        <w:tab/>
      </w:r>
      <w:r w:rsidRPr="00B02247">
        <w:t>2</w:t>
      </w:r>
      <w:r>
        <w:t xml:space="preserve">. </w:t>
      </w:r>
      <w:r w:rsidRPr="00B02247">
        <w:t>Primary</w:t>
      </w:r>
      <w:r>
        <w:t xml:space="preserve"> </w:t>
      </w:r>
      <w:r w:rsidRPr="00B02247">
        <w:t>education:</w:t>
      </w:r>
      <w:r>
        <w:t xml:space="preserve"> </w:t>
      </w:r>
      <w:r w:rsidRPr="00B02247">
        <w:t>Pupils,</w:t>
      </w:r>
      <w:r>
        <w:t xml:space="preserve"> </w:t>
      </w:r>
      <w:r w:rsidRPr="00B02247">
        <w:t>school</w:t>
      </w:r>
      <w:r>
        <w:t xml:space="preserve"> </w:t>
      </w:r>
      <w:r w:rsidRPr="00B02247">
        <w:t>units</w:t>
      </w:r>
      <w:r>
        <w:t xml:space="preserve"> </w:t>
      </w:r>
      <w:r w:rsidRPr="00B02247">
        <w:t>and</w:t>
      </w:r>
      <w:r>
        <w:t xml:space="preserve"> </w:t>
      </w:r>
      <w:r w:rsidRPr="00B02247">
        <w:t>teaching</w:t>
      </w:r>
      <w:r>
        <w:t xml:space="preserve"> </w:t>
      </w:r>
      <w:r w:rsidRPr="00B02247">
        <w:t>staff</w:t>
      </w:r>
      <w:r>
        <w:t xml:space="preserve"> </w:t>
      </w:r>
      <w:r w:rsidRPr="00B02247">
        <w:t>by</w:t>
      </w:r>
      <w:r>
        <w:t xml:space="preserve"> </w:t>
      </w:r>
      <w:r w:rsidRPr="00B02247">
        <w:t>the</w:t>
      </w:r>
      <w:r>
        <w:t xml:space="preserve"> </w:t>
      </w:r>
      <w:r w:rsidRPr="00B02247">
        <w:t>end</w:t>
      </w:r>
      <w:r>
        <w:t xml:space="preserve"> </w:t>
      </w:r>
      <w:r w:rsidRPr="00B02247">
        <w:t>of</w:t>
      </w:r>
      <w:r>
        <w:t xml:space="preserve"> </w:t>
      </w:r>
      <w:r w:rsidRPr="00B02247">
        <w:t>school</w:t>
      </w:r>
      <w:r>
        <w:t xml:space="preserve"> </w:t>
      </w:r>
      <w:r w:rsidRPr="00B02247">
        <w:t>years</w:t>
      </w:r>
      <w:r>
        <w:t xml:space="preserve"> </w:t>
      </w:r>
      <w:r w:rsidRPr="00B02247">
        <w:t>2011/12</w:t>
      </w:r>
      <w:r>
        <w:t>–</w:t>
      </w:r>
      <w:r w:rsidRPr="00B02247">
        <w:t>2014/15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38"/>
        <w:gridCol w:w="1303"/>
        <w:gridCol w:w="1225"/>
        <w:gridCol w:w="1383"/>
        <w:gridCol w:w="1021"/>
      </w:tblGrid>
      <w:tr w:rsidR="00E34389" w:rsidRPr="009C5335" w:rsidTr="00AC2605">
        <w:trPr>
          <w:tblHeader/>
        </w:trPr>
        <w:tc>
          <w:tcPr>
            <w:tcW w:w="2438" w:type="dxa"/>
            <w:tcBorders>
              <w:top w:val="single" w:sz="4" w:space="0" w:color="auto"/>
              <w:bottom w:val="single" w:sz="12" w:space="0" w:color="auto"/>
            </w:tcBorders>
            <w:shd w:val="clear" w:color="auto" w:fill="auto"/>
            <w:vAlign w:val="bottom"/>
          </w:tcPr>
          <w:p w:rsidR="00E34389" w:rsidRPr="009C5335" w:rsidRDefault="00E34389" w:rsidP="00AC2605">
            <w:pPr>
              <w:suppressAutoHyphens w:val="0"/>
              <w:spacing w:before="80" w:after="80" w:line="200" w:lineRule="exact"/>
              <w:ind w:right="113"/>
              <w:rPr>
                <w:i/>
                <w:sz w:val="16"/>
              </w:rPr>
            </w:pPr>
          </w:p>
        </w:tc>
        <w:tc>
          <w:tcPr>
            <w:tcW w:w="1303" w:type="dxa"/>
            <w:tcBorders>
              <w:top w:val="single" w:sz="4" w:space="0" w:color="auto"/>
              <w:bottom w:val="single" w:sz="12" w:space="0" w:color="auto"/>
            </w:tcBorders>
            <w:shd w:val="clear" w:color="auto" w:fill="auto"/>
            <w:vAlign w:val="bottom"/>
          </w:tcPr>
          <w:p w:rsidR="00E34389" w:rsidRPr="009C5335" w:rsidRDefault="00E34389" w:rsidP="00AC2605">
            <w:pPr>
              <w:suppressAutoHyphens w:val="0"/>
              <w:spacing w:before="80" w:after="80" w:line="200" w:lineRule="exact"/>
              <w:ind w:right="113"/>
              <w:jc w:val="right"/>
              <w:rPr>
                <w:i/>
                <w:sz w:val="16"/>
              </w:rPr>
            </w:pPr>
            <w:r w:rsidRPr="009C5335">
              <w:rPr>
                <w:i/>
                <w:sz w:val="16"/>
              </w:rPr>
              <w:t>2011/12</w:t>
            </w:r>
          </w:p>
        </w:tc>
        <w:tc>
          <w:tcPr>
            <w:tcW w:w="1225" w:type="dxa"/>
            <w:tcBorders>
              <w:top w:val="single" w:sz="4" w:space="0" w:color="auto"/>
              <w:bottom w:val="single" w:sz="12" w:space="0" w:color="auto"/>
            </w:tcBorders>
            <w:shd w:val="clear" w:color="auto" w:fill="auto"/>
            <w:vAlign w:val="bottom"/>
          </w:tcPr>
          <w:p w:rsidR="00E34389" w:rsidRPr="009C5335" w:rsidRDefault="00E34389" w:rsidP="00AC2605">
            <w:pPr>
              <w:suppressAutoHyphens w:val="0"/>
              <w:spacing w:before="80" w:after="80" w:line="200" w:lineRule="exact"/>
              <w:ind w:right="113"/>
              <w:jc w:val="right"/>
              <w:rPr>
                <w:i/>
                <w:sz w:val="16"/>
              </w:rPr>
            </w:pPr>
            <w:r w:rsidRPr="009C5335">
              <w:rPr>
                <w:i/>
                <w:sz w:val="16"/>
              </w:rPr>
              <w:t>2012/13</w:t>
            </w:r>
          </w:p>
        </w:tc>
        <w:tc>
          <w:tcPr>
            <w:tcW w:w="1383" w:type="dxa"/>
            <w:tcBorders>
              <w:top w:val="single" w:sz="4" w:space="0" w:color="auto"/>
              <w:bottom w:val="single" w:sz="12" w:space="0" w:color="auto"/>
            </w:tcBorders>
            <w:shd w:val="clear" w:color="auto" w:fill="auto"/>
            <w:vAlign w:val="bottom"/>
          </w:tcPr>
          <w:p w:rsidR="00E34389" w:rsidRPr="009C5335" w:rsidRDefault="00E34389" w:rsidP="00AC2605">
            <w:pPr>
              <w:suppressAutoHyphens w:val="0"/>
              <w:spacing w:before="80" w:after="80" w:line="200" w:lineRule="exact"/>
              <w:ind w:right="113"/>
              <w:jc w:val="right"/>
              <w:rPr>
                <w:i/>
                <w:sz w:val="16"/>
              </w:rPr>
            </w:pPr>
            <w:r w:rsidRPr="009C5335">
              <w:rPr>
                <w:i/>
                <w:sz w:val="16"/>
              </w:rPr>
              <w:t>2013/14</w:t>
            </w:r>
          </w:p>
        </w:tc>
        <w:tc>
          <w:tcPr>
            <w:tcW w:w="1021" w:type="dxa"/>
            <w:tcBorders>
              <w:top w:val="single" w:sz="4" w:space="0" w:color="auto"/>
              <w:bottom w:val="single" w:sz="12" w:space="0" w:color="auto"/>
            </w:tcBorders>
            <w:shd w:val="clear" w:color="auto" w:fill="auto"/>
            <w:vAlign w:val="bottom"/>
          </w:tcPr>
          <w:p w:rsidR="00E34389" w:rsidRPr="009C5335" w:rsidRDefault="00E34389" w:rsidP="00AC2605">
            <w:pPr>
              <w:suppressAutoHyphens w:val="0"/>
              <w:spacing w:before="80" w:after="80" w:line="200" w:lineRule="exact"/>
              <w:ind w:right="113"/>
              <w:jc w:val="right"/>
              <w:rPr>
                <w:i/>
                <w:sz w:val="16"/>
              </w:rPr>
            </w:pPr>
            <w:r w:rsidRPr="009C5335">
              <w:rPr>
                <w:i/>
                <w:sz w:val="16"/>
              </w:rPr>
              <w:t>2014/15</w:t>
            </w:r>
          </w:p>
        </w:tc>
      </w:tr>
      <w:tr w:rsidR="00E34389" w:rsidRPr="009C5335" w:rsidTr="00AC2605">
        <w:tc>
          <w:tcPr>
            <w:tcW w:w="2438" w:type="dxa"/>
            <w:tcBorders>
              <w:top w:val="single" w:sz="12" w:space="0" w:color="auto"/>
            </w:tcBorders>
            <w:shd w:val="clear" w:color="auto" w:fill="auto"/>
          </w:tcPr>
          <w:p w:rsidR="00E34389" w:rsidRPr="009C5335" w:rsidRDefault="00E34389" w:rsidP="00AC2605">
            <w:pPr>
              <w:suppressAutoHyphens w:val="0"/>
              <w:spacing w:before="40" w:after="40" w:line="220" w:lineRule="exact"/>
              <w:ind w:right="113"/>
              <w:rPr>
                <w:sz w:val="18"/>
              </w:rPr>
            </w:pPr>
            <w:r w:rsidRPr="009C5335">
              <w:rPr>
                <w:sz w:val="18"/>
              </w:rPr>
              <w:t>School units</w:t>
            </w:r>
          </w:p>
        </w:tc>
        <w:tc>
          <w:tcPr>
            <w:tcW w:w="1303" w:type="dxa"/>
            <w:tcBorders>
              <w:top w:val="single" w:sz="12" w:space="0" w:color="auto"/>
            </w:tcBorders>
            <w:shd w:val="clear" w:color="auto" w:fill="auto"/>
            <w:vAlign w:val="bottom"/>
          </w:tcPr>
          <w:p w:rsidR="00E34389" w:rsidRPr="009C5335" w:rsidRDefault="00F02A8E" w:rsidP="00F02A8E">
            <w:pPr>
              <w:suppressAutoHyphens w:val="0"/>
              <w:spacing w:before="40" w:after="40" w:line="220" w:lineRule="exact"/>
              <w:ind w:right="113"/>
              <w:jc w:val="right"/>
              <w:rPr>
                <w:sz w:val="18"/>
              </w:rPr>
            </w:pPr>
            <w:r>
              <w:rPr>
                <w:sz w:val="18"/>
              </w:rPr>
              <w:t>4</w:t>
            </w:r>
            <w:r w:rsidR="0023601B">
              <w:rPr>
                <w:sz w:val="18"/>
              </w:rPr>
              <w:t xml:space="preserve"> </w:t>
            </w:r>
            <w:r>
              <w:rPr>
                <w:sz w:val="18"/>
              </w:rPr>
              <w:t>746</w:t>
            </w:r>
          </w:p>
        </w:tc>
        <w:tc>
          <w:tcPr>
            <w:tcW w:w="1225" w:type="dxa"/>
            <w:tcBorders>
              <w:top w:val="single" w:sz="12" w:space="0" w:color="auto"/>
            </w:tcBorders>
            <w:shd w:val="clear" w:color="auto" w:fill="auto"/>
            <w:vAlign w:val="bottom"/>
          </w:tcPr>
          <w:p w:rsidR="00E34389" w:rsidRPr="009C5335" w:rsidRDefault="009D01DC" w:rsidP="009D01DC">
            <w:pPr>
              <w:suppressAutoHyphens w:val="0"/>
              <w:spacing w:before="40" w:after="40" w:line="220" w:lineRule="exact"/>
              <w:ind w:right="113"/>
              <w:jc w:val="right"/>
              <w:rPr>
                <w:sz w:val="18"/>
              </w:rPr>
            </w:pPr>
            <w:r>
              <w:rPr>
                <w:sz w:val="18"/>
              </w:rPr>
              <w:t>4</w:t>
            </w:r>
            <w:r w:rsidR="0023601B">
              <w:rPr>
                <w:sz w:val="18"/>
              </w:rPr>
              <w:t xml:space="preserve"> </w:t>
            </w:r>
            <w:r>
              <w:rPr>
                <w:sz w:val="18"/>
              </w:rPr>
              <w:t>698</w:t>
            </w:r>
          </w:p>
        </w:tc>
        <w:tc>
          <w:tcPr>
            <w:tcW w:w="1383" w:type="dxa"/>
            <w:tcBorders>
              <w:top w:val="single" w:sz="12" w:space="0" w:color="auto"/>
            </w:tcBorders>
            <w:shd w:val="clear" w:color="auto" w:fill="auto"/>
            <w:vAlign w:val="bottom"/>
          </w:tcPr>
          <w:p w:rsidR="00E34389" w:rsidRPr="009C5335" w:rsidRDefault="009D01DC" w:rsidP="009D01DC">
            <w:pPr>
              <w:suppressAutoHyphens w:val="0"/>
              <w:spacing w:before="40" w:after="40" w:line="220" w:lineRule="exact"/>
              <w:ind w:right="113"/>
              <w:jc w:val="right"/>
              <w:rPr>
                <w:sz w:val="18"/>
              </w:rPr>
            </w:pPr>
            <w:r>
              <w:rPr>
                <w:sz w:val="18"/>
              </w:rPr>
              <w:t>4</w:t>
            </w:r>
            <w:r w:rsidR="0023601B">
              <w:rPr>
                <w:sz w:val="18"/>
              </w:rPr>
              <w:t xml:space="preserve"> </w:t>
            </w:r>
            <w:r>
              <w:rPr>
                <w:sz w:val="18"/>
              </w:rPr>
              <w:t>633</w:t>
            </w:r>
          </w:p>
        </w:tc>
        <w:tc>
          <w:tcPr>
            <w:tcW w:w="1021" w:type="dxa"/>
            <w:tcBorders>
              <w:top w:val="single" w:sz="12" w:space="0" w:color="auto"/>
            </w:tcBorders>
            <w:shd w:val="clear" w:color="auto" w:fill="auto"/>
            <w:vAlign w:val="bottom"/>
          </w:tcPr>
          <w:p w:rsidR="00E34389" w:rsidRPr="009C5335" w:rsidRDefault="009D01DC" w:rsidP="009D01DC">
            <w:pPr>
              <w:suppressAutoHyphens w:val="0"/>
              <w:spacing w:before="40" w:after="40" w:line="220" w:lineRule="exact"/>
              <w:ind w:right="113"/>
              <w:jc w:val="right"/>
              <w:rPr>
                <w:sz w:val="18"/>
              </w:rPr>
            </w:pPr>
            <w:r>
              <w:rPr>
                <w:sz w:val="18"/>
              </w:rPr>
              <w:t>4</w:t>
            </w:r>
            <w:r w:rsidR="0023601B">
              <w:rPr>
                <w:sz w:val="18"/>
              </w:rPr>
              <w:t xml:space="preserve"> </w:t>
            </w:r>
            <w:r>
              <w:rPr>
                <w:sz w:val="18"/>
              </w:rPr>
              <w:t>560</w:t>
            </w:r>
          </w:p>
        </w:tc>
      </w:tr>
      <w:tr w:rsidR="00E34389" w:rsidRPr="009C5335" w:rsidTr="00AC2605">
        <w:tc>
          <w:tcPr>
            <w:tcW w:w="2438" w:type="dxa"/>
            <w:shd w:val="clear" w:color="auto" w:fill="auto"/>
          </w:tcPr>
          <w:p w:rsidR="00E34389" w:rsidRPr="009C5335" w:rsidRDefault="00E34389" w:rsidP="00AC2605">
            <w:pPr>
              <w:suppressAutoHyphens w:val="0"/>
              <w:spacing w:before="40" w:after="40" w:line="220" w:lineRule="exact"/>
              <w:ind w:right="113"/>
              <w:rPr>
                <w:sz w:val="18"/>
              </w:rPr>
            </w:pPr>
            <w:r w:rsidRPr="009C5335">
              <w:rPr>
                <w:sz w:val="18"/>
              </w:rPr>
              <w:t>Teaching staff</w:t>
            </w:r>
          </w:p>
        </w:tc>
        <w:tc>
          <w:tcPr>
            <w:tcW w:w="1303" w:type="dxa"/>
            <w:shd w:val="clear" w:color="auto" w:fill="auto"/>
            <w:vAlign w:val="bottom"/>
          </w:tcPr>
          <w:p w:rsidR="00E34389" w:rsidRPr="009C5335" w:rsidRDefault="009D01DC" w:rsidP="009D01DC">
            <w:pPr>
              <w:suppressAutoHyphens w:val="0"/>
              <w:spacing w:before="40" w:after="40" w:line="220" w:lineRule="exact"/>
              <w:ind w:right="113"/>
              <w:jc w:val="right"/>
              <w:rPr>
                <w:sz w:val="18"/>
              </w:rPr>
            </w:pPr>
            <w:r>
              <w:rPr>
                <w:sz w:val="18"/>
              </w:rPr>
              <w:t>67</w:t>
            </w:r>
            <w:r w:rsidR="0023601B">
              <w:rPr>
                <w:sz w:val="18"/>
              </w:rPr>
              <w:t xml:space="preserve"> </w:t>
            </w:r>
            <w:r>
              <w:rPr>
                <w:sz w:val="18"/>
              </w:rPr>
              <w:t>314</w:t>
            </w:r>
          </w:p>
        </w:tc>
        <w:tc>
          <w:tcPr>
            <w:tcW w:w="1225" w:type="dxa"/>
            <w:shd w:val="clear" w:color="auto" w:fill="auto"/>
            <w:vAlign w:val="bottom"/>
          </w:tcPr>
          <w:p w:rsidR="00E34389" w:rsidRPr="009C5335" w:rsidRDefault="009D01DC" w:rsidP="009D01DC">
            <w:pPr>
              <w:suppressAutoHyphens w:val="0"/>
              <w:spacing w:before="40" w:after="40" w:line="220" w:lineRule="exact"/>
              <w:ind w:right="113"/>
              <w:jc w:val="right"/>
              <w:rPr>
                <w:sz w:val="18"/>
              </w:rPr>
            </w:pPr>
            <w:r>
              <w:rPr>
                <w:sz w:val="18"/>
              </w:rPr>
              <w:t>65</w:t>
            </w:r>
            <w:r w:rsidR="00E9665A">
              <w:rPr>
                <w:sz w:val="18"/>
              </w:rPr>
              <w:t xml:space="preserve"> </w:t>
            </w:r>
            <w:r>
              <w:rPr>
                <w:sz w:val="18"/>
              </w:rPr>
              <w:t>557</w:t>
            </w:r>
          </w:p>
        </w:tc>
        <w:tc>
          <w:tcPr>
            <w:tcW w:w="1383" w:type="dxa"/>
            <w:shd w:val="clear" w:color="auto" w:fill="auto"/>
            <w:vAlign w:val="bottom"/>
          </w:tcPr>
          <w:p w:rsidR="00E34389" w:rsidRPr="009C5335" w:rsidRDefault="009D01DC" w:rsidP="009D01DC">
            <w:pPr>
              <w:suppressAutoHyphens w:val="0"/>
              <w:spacing w:before="40" w:after="40" w:line="220" w:lineRule="exact"/>
              <w:ind w:right="113"/>
              <w:jc w:val="right"/>
              <w:rPr>
                <w:sz w:val="18"/>
              </w:rPr>
            </w:pPr>
            <w:r>
              <w:rPr>
                <w:sz w:val="18"/>
              </w:rPr>
              <w:t>65</w:t>
            </w:r>
            <w:r w:rsidR="0023601B">
              <w:rPr>
                <w:sz w:val="18"/>
              </w:rPr>
              <w:t xml:space="preserve"> </w:t>
            </w:r>
            <w:r>
              <w:rPr>
                <w:sz w:val="18"/>
              </w:rPr>
              <w:t>329</w:t>
            </w:r>
          </w:p>
        </w:tc>
        <w:tc>
          <w:tcPr>
            <w:tcW w:w="1021" w:type="dxa"/>
            <w:shd w:val="clear" w:color="auto" w:fill="auto"/>
            <w:vAlign w:val="bottom"/>
          </w:tcPr>
          <w:p w:rsidR="00E34389" w:rsidRPr="009C5335" w:rsidRDefault="009D01DC" w:rsidP="009D01DC">
            <w:pPr>
              <w:suppressAutoHyphens w:val="0"/>
              <w:spacing w:before="40" w:after="40" w:line="220" w:lineRule="exact"/>
              <w:ind w:right="113"/>
              <w:jc w:val="right"/>
              <w:rPr>
                <w:sz w:val="18"/>
              </w:rPr>
            </w:pPr>
            <w:r>
              <w:rPr>
                <w:sz w:val="18"/>
              </w:rPr>
              <w:t>65</w:t>
            </w:r>
            <w:r w:rsidR="0023601B">
              <w:rPr>
                <w:sz w:val="18"/>
              </w:rPr>
              <w:t xml:space="preserve"> </w:t>
            </w:r>
            <w:r>
              <w:rPr>
                <w:sz w:val="18"/>
              </w:rPr>
              <w:t>461</w:t>
            </w:r>
          </w:p>
        </w:tc>
      </w:tr>
      <w:tr w:rsidR="00E34389" w:rsidRPr="009C5335" w:rsidTr="00AC2605">
        <w:tc>
          <w:tcPr>
            <w:tcW w:w="2438" w:type="dxa"/>
            <w:shd w:val="clear" w:color="auto" w:fill="auto"/>
          </w:tcPr>
          <w:p w:rsidR="00E34389" w:rsidRPr="009C5335" w:rsidRDefault="00E34389" w:rsidP="00AC2605">
            <w:pPr>
              <w:suppressAutoHyphens w:val="0"/>
              <w:spacing w:before="40" w:after="40" w:line="220" w:lineRule="exact"/>
              <w:ind w:right="113"/>
              <w:rPr>
                <w:sz w:val="18"/>
              </w:rPr>
            </w:pPr>
            <w:r w:rsidRPr="009C5335">
              <w:rPr>
                <w:sz w:val="18"/>
              </w:rPr>
              <w:t>Pupils</w:t>
            </w:r>
          </w:p>
        </w:tc>
        <w:tc>
          <w:tcPr>
            <w:tcW w:w="1303" w:type="dxa"/>
            <w:shd w:val="clear" w:color="auto" w:fill="auto"/>
            <w:vAlign w:val="bottom"/>
          </w:tcPr>
          <w:p w:rsidR="00E34389" w:rsidRPr="009C5335" w:rsidRDefault="009D01DC" w:rsidP="009D01DC">
            <w:pPr>
              <w:suppressAutoHyphens w:val="0"/>
              <w:spacing w:before="40" w:after="40" w:line="220" w:lineRule="exact"/>
              <w:ind w:right="113"/>
              <w:jc w:val="right"/>
              <w:rPr>
                <w:sz w:val="18"/>
              </w:rPr>
            </w:pPr>
            <w:r>
              <w:rPr>
                <w:sz w:val="18"/>
              </w:rPr>
              <w:t>633</w:t>
            </w:r>
            <w:r w:rsidR="0023601B">
              <w:rPr>
                <w:sz w:val="18"/>
              </w:rPr>
              <w:t xml:space="preserve"> </w:t>
            </w:r>
            <w:r>
              <w:rPr>
                <w:sz w:val="18"/>
              </w:rPr>
              <w:t>291</w:t>
            </w:r>
          </w:p>
        </w:tc>
        <w:tc>
          <w:tcPr>
            <w:tcW w:w="1225" w:type="dxa"/>
            <w:shd w:val="clear" w:color="auto" w:fill="auto"/>
            <w:vAlign w:val="bottom"/>
          </w:tcPr>
          <w:p w:rsidR="00E34389" w:rsidRPr="009C5335" w:rsidRDefault="009D01DC" w:rsidP="009D01DC">
            <w:pPr>
              <w:suppressAutoHyphens w:val="0"/>
              <w:spacing w:before="40" w:after="40" w:line="220" w:lineRule="exact"/>
              <w:ind w:right="113"/>
              <w:jc w:val="right"/>
              <w:rPr>
                <w:sz w:val="18"/>
              </w:rPr>
            </w:pPr>
            <w:r>
              <w:rPr>
                <w:sz w:val="18"/>
              </w:rPr>
              <w:t>630</w:t>
            </w:r>
            <w:r w:rsidR="0023601B">
              <w:rPr>
                <w:sz w:val="18"/>
              </w:rPr>
              <w:t xml:space="preserve"> </w:t>
            </w:r>
            <w:r>
              <w:rPr>
                <w:sz w:val="18"/>
              </w:rPr>
              <w:t>043</w:t>
            </w:r>
          </w:p>
        </w:tc>
        <w:tc>
          <w:tcPr>
            <w:tcW w:w="1383" w:type="dxa"/>
            <w:shd w:val="clear" w:color="auto" w:fill="auto"/>
            <w:vAlign w:val="bottom"/>
          </w:tcPr>
          <w:p w:rsidR="00E34389" w:rsidRPr="009C5335" w:rsidRDefault="009D01DC" w:rsidP="009D01DC">
            <w:pPr>
              <w:suppressAutoHyphens w:val="0"/>
              <w:spacing w:before="40" w:after="40" w:line="220" w:lineRule="exact"/>
              <w:ind w:right="113"/>
              <w:jc w:val="right"/>
              <w:rPr>
                <w:sz w:val="18"/>
              </w:rPr>
            </w:pPr>
            <w:r>
              <w:rPr>
                <w:sz w:val="18"/>
              </w:rPr>
              <w:t>625</w:t>
            </w:r>
            <w:r w:rsidR="0023601B">
              <w:rPr>
                <w:sz w:val="18"/>
              </w:rPr>
              <w:t xml:space="preserve"> </w:t>
            </w:r>
            <w:r>
              <w:rPr>
                <w:sz w:val="18"/>
              </w:rPr>
              <w:t>165</w:t>
            </w:r>
          </w:p>
        </w:tc>
        <w:tc>
          <w:tcPr>
            <w:tcW w:w="1021" w:type="dxa"/>
            <w:shd w:val="clear" w:color="auto" w:fill="auto"/>
            <w:vAlign w:val="bottom"/>
          </w:tcPr>
          <w:p w:rsidR="00E34389" w:rsidRPr="009C5335" w:rsidRDefault="009D01DC" w:rsidP="009D01DC">
            <w:pPr>
              <w:suppressAutoHyphens w:val="0"/>
              <w:spacing w:before="40" w:after="40" w:line="220" w:lineRule="exact"/>
              <w:ind w:right="113"/>
              <w:jc w:val="right"/>
              <w:rPr>
                <w:sz w:val="18"/>
              </w:rPr>
            </w:pPr>
            <w:r>
              <w:rPr>
                <w:sz w:val="18"/>
              </w:rPr>
              <w:t>639</w:t>
            </w:r>
            <w:r w:rsidR="0023601B">
              <w:rPr>
                <w:sz w:val="18"/>
              </w:rPr>
              <w:t xml:space="preserve"> </w:t>
            </w:r>
            <w:r>
              <w:rPr>
                <w:sz w:val="18"/>
              </w:rPr>
              <w:t>600</w:t>
            </w:r>
          </w:p>
        </w:tc>
      </w:tr>
      <w:tr w:rsidR="00E34389" w:rsidRPr="009C5335" w:rsidTr="00AC2605">
        <w:tc>
          <w:tcPr>
            <w:tcW w:w="2438" w:type="dxa"/>
            <w:tcBorders>
              <w:bottom w:val="nil"/>
            </w:tcBorders>
            <w:shd w:val="clear" w:color="auto" w:fill="auto"/>
          </w:tcPr>
          <w:p w:rsidR="00E34389" w:rsidRPr="009C5335" w:rsidRDefault="00E34389" w:rsidP="00AC2605">
            <w:pPr>
              <w:suppressAutoHyphens w:val="0"/>
              <w:spacing w:before="40" w:after="40" w:line="220" w:lineRule="exact"/>
              <w:ind w:right="113"/>
              <w:rPr>
                <w:sz w:val="18"/>
              </w:rPr>
            </w:pPr>
            <w:r w:rsidRPr="009C5335">
              <w:rPr>
                <w:sz w:val="18"/>
              </w:rPr>
              <w:t>Public schools</w:t>
            </w:r>
          </w:p>
        </w:tc>
        <w:tc>
          <w:tcPr>
            <w:tcW w:w="1303" w:type="dxa"/>
            <w:tcBorders>
              <w:bottom w:val="nil"/>
            </w:tcBorders>
            <w:shd w:val="clear" w:color="auto" w:fill="auto"/>
            <w:vAlign w:val="bottom"/>
          </w:tcPr>
          <w:p w:rsidR="00E34389" w:rsidRPr="009C5335" w:rsidRDefault="00E34389" w:rsidP="00AC2605">
            <w:pPr>
              <w:suppressAutoHyphens w:val="0"/>
              <w:spacing w:before="40" w:after="40" w:line="220" w:lineRule="exact"/>
              <w:ind w:right="113"/>
              <w:jc w:val="right"/>
              <w:rPr>
                <w:sz w:val="18"/>
              </w:rPr>
            </w:pPr>
          </w:p>
        </w:tc>
        <w:tc>
          <w:tcPr>
            <w:tcW w:w="1225" w:type="dxa"/>
            <w:tcBorders>
              <w:bottom w:val="nil"/>
            </w:tcBorders>
            <w:shd w:val="clear" w:color="auto" w:fill="auto"/>
            <w:vAlign w:val="bottom"/>
          </w:tcPr>
          <w:p w:rsidR="00E34389" w:rsidRPr="009C5335" w:rsidRDefault="00E34389" w:rsidP="00AC2605">
            <w:pPr>
              <w:suppressAutoHyphens w:val="0"/>
              <w:spacing w:before="40" w:after="40" w:line="220" w:lineRule="exact"/>
              <w:ind w:right="113"/>
              <w:jc w:val="right"/>
              <w:rPr>
                <w:sz w:val="18"/>
              </w:rPr>
            </w:pPr>
          </w:p>
        </w:tc>
        <w:tc>
          <w:tcPr>
            <w:tcW w:w="1383" w:type="dxa"/>
            <w:tcBorders>
              <w:bottom w:val="nil"/>
            </w:tcBorders>
            <w:shd w:val="clear" w:color="auto" w:fill="auto"/>
            <w:vAlign w:val="bottom"/>
          </w:tcPr>
          <w:p w:rsidR="00E34389" w:rsidRPr="009C5335" w:rsidRDefault="00E34389" w:rsidP="00AC2605">
            <w:pPr>
              <w:suppressAutoHyphens w:val="0"/>
              <w:spacing w:before="40" w:after="40" w:line="220" w:lineRule="exact"/>
              <w:ind w:right="113"/>
              <w:jc w:val="right"/>
              <w:rPr>
                <w:sz w:val="18"/>
              </w:rPr>
            </w:pPr>
          </w:p>
        </w:tc>
        <w:tc>
          <w:tcPr>
            <w:tcW w:w="1021" w:type="dxa"/>
            <w:tcBorders>
              <w:bottom w:val="nil"/>
            </w:tcBorders>
            <w:shd w:val="clear" w:color="auto" w:fill="auto"/>
            <w:vAlign w:val="bottom"/>
          </w:tcPr>
          <w:p w:rsidR="00E34389" w:rsidRPr="009C5335" w:rsidRDefault="00E34389" w:rsidP="00AC2605">
            <w:pPr>
              <w:suppressAutoHyphens w:val="0"/>
              <w:spacing w:before="40" w:after="40" w:line="220" w:lineRule="exact"/>
              <w:ind w:right="113"/>
              <w:jc w:val="right"/>
              <w:rPr>
                <w:sz w:val="18"/>
              </w:rPr>
            </w:pPr>
          </w:p>
        </w:tc>
      </w:tr>
      <w:tr w:rsidR="00E34389" w:rsidRPr="009C5335" w:rsidTr="00AC2605">
        <w:tc>
          <w:tcPr>
            <w:tcW w:w="2438" w:type="dxa"/>
            <w:tcBorders>
              <w:top w:val="nil"/>
              <w:bottom w:val="nil"/>
            </w:tcBorders>
            <w:shd w:val="clear" w:color="auto" w:fill="auto"/>
          </w:tcPr>
          <w:p w:rsidR="00E34389" w:rsidRPr="009C5335" w:rsidRDefault="00E34389" w:rsidP="00AC2605">
            <w:pPr>
              <w:suppressAutoHyphens w:val="0"/>
              <w:spacing w:before="40" w:after="40" w:line="220" w:lineRule="exact"/>
              <w:ind w:left="145" w:right="113"/>
              <w:rPr>
                <w:sz w:val="18"/>
              </w:rPr>
            </w:pPr>
            <w:r w:rsidRPr="009C5335">
              <w:rPr>
                <w:sz w:val="18"/>
              </w:rPr>
              <w:t>School units</w:t>
            </w:r>
          </w:p>
        </w:tc>
        <w:tc>
          <w:tcPr>
            <w:tcW w:w="1303" w:type="dxa"/>
            <w:tcBorders>
              <w:top w:val="nil"/>
              <w:bottom w:val="nil"/>
            </w:tcBorders>
            <w:shd w:val="clear" w:color="auto" w:fill="auto"/>
            <w:vAlign w:val="bottom"/>
          </w:tcPr>
          <w:p w:rsidR="00E34389" w:rsidRPr="009C5335" w:rsidRDefault="009D01DC" w:rsidP="009D01DC">
            <w:pPr>
              <w:suppressAutoHyphens w:val="0"/>
              <w:spacing w:before="40" w:after="40" w:line="220" w:lineRule="exact"/>
              <w:ind w:right="113"/>
              <w:jc w:val="right"/>
              <w:rPr>
                <w:sz w:val="18"/>
              </w:rPr>
            </w:pPr>
            <w:r>
              <w:rPr>
                <w:sz w:val="18"/>
              </w:rPr>
              <w:t>4</w:t>
            </w:r>
            <w:r w:rsidR="0023601B">
              <w:rPr>
                <w:sz w:val="18"/>
              </w:rPr>
              <w:t xml:space="preserve"> </w:t>
            </w:r>
            <w:r>
              <w:rPr>
                <w:sz w:val="18"/>
              </w:rPr>
              <w:t>392</w:t>
            </w:r>
          </w:p>
        </w:tc>
        <w:tc>
          <w:tcPr>
            <w:tcW w:w="1225" w:type="dxa"/>
            <w:tcBorders>
              <w:top w:val="nil"/>
              <w:bottom w:val="nil"/>
            </w:tcBorders>
            <w:shd w:val="clear" w:color="auto" w:fill="auto"/>
            <w:vAlign w:val="bottom"/>
          </w:tcPr>
          <w:p w:rsidR="00E34389" w:rsidRPr="009C5335" w:rsidRDefault="00F02A8E" w:rsidP="009D01DC">
            <w:pPr>
              <w:suppressAutoHyphens w:val="0"/>
              <w:spacing w:before="40" w:after="40" w:line="220" w:lineRule="exact"/>
              <w:ind w:right="113"/>
              <w:jc w:val="right"/>
              <w:rPr>
                <w:sz w:val="18"/>
              </w:rPr>
            </w:pPr>
            <w:r w:rsidRPr="00E34389">
              <w:rPr>
                <w:sz w:val="18"/>
              </w:rPr>
              <w:t>4</w:t>
            </w:r>
            <w:r w:rsidR="0023601B">
              <w:rPr>
                <w:sz w:val="18"/>
              </w:rPr>
              <w:t xml:space="preserve"> </w:t>
            </w:r>
            <w:r w:rsidRPr="00E34389">
              <w:rPr>
                <w:sz w:val="18"/>
              </w:rPr>
              <w:t>3</w:t>
            </w:r>
            <w:r w:rsidR="009D01DC">
              <w:rPr>
                <w:sz w:val="18"/>
              </w:rPr>
              <w:t>50</w:t>
            </w:r>
          </w:p>
        </w:tc>
        <w:tc>
          <w:tcPr>
            <w:tcW w:w="1383" w:type="dxa"/>
            <w:tcBorders>
              <w:top w:val="nil"/>
              <w:bottom w:val="nil"/>
            </w:tcBorders>
            <w:shd w:val="clear" w:color="auto" w:fill="auto"/>
            <w:vAlign w:val="bottom"/>
          </w:tcPr>
          <w:p w:rsidR="00E34389" w:rsidRPr="009C5335" w:rsidRDefault="009D01DC" w:rsidP="009D01DC">
            <w:pPr>
              <w:suppressAutoHyphens w:val="0"/>
              <w:spacing w:before="40" w:after="40" w:line="220" w:lineRule="exact"/>
              <w:ind w:right="113"/>
              <w:jc w:val="right"/>
              <w:rPr>
                <w:sz w:val="18"/>
              </w:rPr>
            </w:pPr>
            <w:r>
              <w:rPr>
                <w:sz w:val="18"/>
              </w:rPr>
              <w:t>4</w:t>
            </w:r>
            <w:r w:rsidR="0023601B">
              <w:rPr>
                <w:sz w:val="18"/>
              </w:rPr>
              <w:t xml:space="preserve"> </w:t>
            </w:r>
            <w:r>
              <w:rPr>
                <w:sz w:val="18"/>
              </w:rPr>
              <w:t>313</w:t>
            </w:r>
          </w:p>
        </w:tc>
        <w:tc>
          <w:tcPr>
            <w:tcW w:w="1021" w:type="dxa"/>
            <w:tcBorders>
              <w:top w:val="nil"/>
              <w:bottom w:val="nil"/>
            </w:tcBorders>
            <w:shd w:val="clear" w:color="auto" w:fill="auto"/>
            <w:vAlign w:val="bottom"/>
          </w:tcPr>
          <w:p w:rsidR="00E34389" w:rsidRPr="009C5335" w:rsidRDefault="009D01DC" w:rsidP="009D01DC">
            <w:pPr>
              <w:suppressAutoHyphens w:val="0"/>
              <w:spacing w:before="40" w:after="40" w:line="220" w:lineRule="exact"/>
              <w:ind w:right="113"/>
              <w:jc w:val="right"/>
              <w:rPr>
                <w:sz w:val="18"/>
              </w:rPr>
            </w:pPr>
            <w:r>
              <w:rPr>
                <w:sz w:val="18"/>
              </w:rPr>
              <w:t>4</w:t>
            </w:r>
            <w:r w:rsidR="0023601B">
              <w:rPr>
                <w:sz w:val="18"/>
              </w:rPr>
              <w:t xml:space="preserve"> </w:t>
            </w:r>
            <w:r>
              <w:rPr>
                <w:sz w:val="18"/>
              </w:rPr>
              <w:t>253</w:t>
            </w:r>
          </w:p>
        </w:tc>
      </w:tr>
      <w:tr w:rsidR="00E34389" w:rsidRPr="009C5335" w:rsidTr="00AC2605">
        <w:tc>
          <w:tcPr>
            <w:tcW w:w="2438" w:type="dxa"/>
            <w:tcBorders>
              <w:top w:val="nil"/>
            </w:tcBorders>
            <w:shd w:val="clear" w:color="auto" w:fill="auto"/>
          </w:tcPr>
          <w:p w:rsidR="00E34389" w:rsidRPr="009C5335" w:rsidRDefault="00E34389" w:rsidP="00AC2605">
            <w:pPr>
              <w:suppressAutoHyphens w:val="0"/>
              <w:spacing w:before="40" w:after="40" w:line="220" w:lineRule="exact"/>
              <w:ind w:left="145" w:right="113"/>
              <w:rPr>
                <w:sz w:val="18"/>
              </w:rPr>
            </w:pPr>
            <w:r w:rsidRPr="009C5335">
              <w:rPr>
                <w:sz w:val="18"/>
              </w:rPr>
              <w:t>Teaching staff</w:t>
            </w:r>
          </w:p>
        </w:tc>
        <w:tc>
          <w:tcPr>
            <w:tcW w:w="1303" w:type="dxa"/>
            <w:tcBorders>
              <w:top w:val="nil"/>
            </w:tcBorders>
            <w:shd w:val="clear" w:color="auto" w:fill="auto"/>
            <w:vAlign w:val="bottom"/>
          </w:tcPr>
          <w:p w:rsidR="00E34389" w:rsidRPr="009C5335" w:rsidRDefault="009D01DC" w:rsidP="009D01DC">
            <w:pPr>
              <w:suppressAutoHyphens w:val="0"/>
              <w:spacing w:before="40" w:after="40" w:line="220" w:lineRule="exact"/>
              <w:ind w:right="113"/>
              <w:jc w:val="right"/>
              <w:rPr>
                <w:sz w:val="18"/>
              </w:rPr>
            </w:pPr>
            <w:r>
              <w:rPr>
                <w:sz w:val="18"/>
              </w:rPr>
              <w:t>63</w:t>
            </w:r>
            <w:r w:rsidR="0023601B">
              <w:rPr>
                <w:sz w:val="18"/>
              </w:rPr>
              <w:t xml:space="preserve"> </w:t>
            </w:r>
            <w:r>
              <w:rPr>
                <w:sz w:val="18"/>
              </w:rPr>
              <w:t>396</w:t>
            </w:r>
          </w:p>
        </w:tc>
        <w:tc>
          <w:tcPr>
            <w:tcW w:w="1225" w:type="dxa"/>
            <w:tcBorders>
              <w:top w:val="nil"/>
            </w:tcBorders>
            <w:shd w:val="clear" w:color="auto" w:fill="auto"/>
            <w:vAlign w:val="bottom"/>
          </w:tcPr>
          <w:p w:rsidR="00E34389" w:rsidRPr="009C5335" w:rsidRDefault="009D01DC" w:rsidP="009D01DC">
            <w:pPr>
              <w:suppressAutoHyphens w:val="0"/>
              <w:spacing w:before="40" w:after="40" w:line="220" w:lineRule="exact"/>
              <w:ind w:right="113"/>
              <w:jc w:val="right"/>
              <w:rPr>
                <w:sz w:val="18"/>
              </w:rPr>
            </w:pPr>
            <w:r>
              <w:rPr>
                <w:sz w:val="18"/>
              </w:rPr>
              <w:t>61</w:t>
            </w:r>
            <w:r w:rsidR="0023601B">
              <w:rPr>
                <w:sz w:val="18"/>
              </w:rPr>
              <w:t xml:space="preserve"> </w:t>
            </w:r>
            <w:r>
              <w:rPr>
                <w:sz w:val="18"/>
              </w:rPr>
              <w:t>726</w:t>
            </w:r>
          </w:p>
        </w:tc>
        <w:tc>
          <w:tcPr>
            <w:tcW w:w="1383" w:type="dxa"/>
            <w:tcBorders>
              <w:top w:val="nil"/>
            </w:tcBorders>
            <w:shd w:val="clear" w:color="auto" w:fill="auto"/>
            <w:vAlign w:val="bottom"/>
          </w:tcPr>
          <w:p w:rsidR="00E34389" w:rsidRPr="009C5335" w:rsidRDefault="009D01DC" w:rsidP="009D01DC">
            <w:pPr>
              <w:suppressAutoHyphens w:val="0"/>
              <w:spacing w:before="40" w:after="40" w:line="220" w:lineRule="exact"/>
              <w:ind w:right="113"/>
              <w:jc w:val="right"/>
              <w:rPr>
                <w:sz w:val="18"/>
              </w:rPr>
            </w:pPr>
            <w:r>
              <w:rPr>
                <w:sz w:val="18"/>
              </w:rPr>
              <w:t>61</w:t>
            </w:r>
            <w:r w:rsidR="0023601B">
              <w:rPr>
                <w:sz w:val="18"/>
              </w:rPr>
              <w:t xml:space="preserve"> </w:t>
            </w:r>
            <w:r>
              <w:rPr>
                <w:sz w:val="18"/>
              </w:rPr>
              <w:t>582</w:t>
            </w:r>
          </w:p>
        </w:tc>
        <w:tc>
          <w:tcPr>
            <w:tcW w:w="1021" w:type="dxa"/>
            <w:tcBorders>
              <w:top w:val="nil"/>
            </w:tcBorders>
            <w:shd w:val="clear" w:color="auto" w:fill="auto"/>
            <w:vAlign w:val="bottom"/>
          </w:tcPr>
          <w:p w:rsidR="00E34389" w:rsidRPr="009C5335" w:rsidRDefault="009D01DC" w:rsidP="009D01DC">
            <w:pPr>
              <w:suppressAutoHyphens w:val="0"/>
              <w:spacing w:before="40" w:after="40" w:line="220" w:lineRule="exact"/>
              <w:ind w:right="113"/>
              <w:jc w:val="right"/>
              <w:rPr>
                <w:sz w:val="18"/>
              </w:rPr>
            </w:pPr>
            <w:r>
              <w:rPr>
                <w:sz w:val="18"/>
              </w:rPr>
              <w:t>61</w:t>
            </w:r>
            <w:r w:rsidR="0023601B">
              <w:rPr>
                <w:sz w:val="18"/>
              </w:rPr>
              <w:t xml:space="preserve"> </w:t>
            </w:r>
            <w:r>
              <w:rPr>
                <w:sz w:val="18"/>
              </w:rPr>
              <w:t>719</w:t>
            </w:r>
          </w:p>
        </w:tc>
      </w:tr>
      <w:tr w:rsidR="00E34389" w:rsidRPr="009C5335" w:rsidTr="00AC2605">
        <w:tc>
          <w:tcPr>
            <w:tcW w:w="2438" w:type="dxa"/>
            <w:shd w:val="clear" w:color="auto" w:fill="auto"/>
          </w:tcPr>
          <w:p w:rsidR="00E34389" w:rsidRPr="009C5335" w:rsidRDefault="00E34389" w:rsidP="00AC2605">
            <w:pPr>
              <w:suppressAutoHyphens w:val="0"/>
              <w:spacing w:before="40" w:after="40" w:line="220" w:lineRule="exact"/>
              <w:ind w:left="145" w:right="113"/>
              <w:rPr>
                <w:sz w:val="18"/>
              </w:rPr>
            </w:pPr>
            <w:r w:rsidRPr="009C5335">
              <w:rPr>
                <w:sz w:val="18"/>
              </w:rPr>
              <w:t>Pupils</w:t>
            </w:r>
          </w:p>
        </w:tc>
        <w:tc>
          <w:tcPr>
            <w:tcW w:w="1303" w:type="dxa"/>
            <w:shd w:val="clear" w:color="auto" w:fill="auto"/>
            <w:vAlign w:val="bottom"/>
          </w:tcPr>
          <w:p w:rsidR="00E34389" w:rsidRPr="009C5335" w:rsidRDefault="009D01DC" w:rsidP="009D01DC">
            <w:pPr>
              <w:suppressAutoHyphens w:val="0"/>
              <w:spacing w:before="40" w:after="40" w:line="220" w:lineRule="exact"/>
              <w:ind w:right="113"/>
              <w:jc w:val="right"/>
              <w:rPr>
                <w:sz w:val="18"/>
              </w:rPr>
            </w:pPr>
            <w:r>
              <w:rPr>
                <w:sz w:val="18"/>
              </w:rPr>
              <w:t>590</w:t>
            </w:r>
            <w:r w:rsidR="0023601B">
              <w:rPr>
                <w:sz w:val="18"/>
              </w:rPr>
              <w:t xml:space="preserve"> </w:t>
            </w:r>
            <w:r>
              <w:rPr>
                <w:sz w:val="18"/>
              </w:rPr>
              <w:t>070</w:t>
            </w:r>
          </w:p>
        </w:tc>
        <w:tc>
          <w:tcPr>
            <w:tcW w:w="1225" w:type="dxa"/>
            <w:shd w:val="clear" w:color="auto" w:fill="auto"/>
            <w:vAlign w:val="bottom"/>
          </w:tcPr>
          <w:p w:rsidR="00E34389" w:rsidRPr="009C5335" w:rsidRDefault="009D01DC" w:rsidP="009D01DC">
            <w:pPr>
              <w:suppressAutoHyphens w:val="0"/>
              <w:spacing w:before="40" w:after="40" w:line="220" w:lineRule="exact"/>
              <w:ind w:right="113"/>
              <w:jc w:val="right"/>
              <w:rPr>
                <w:sz w:val="18"/>
              </w:rPr>
            </w:pPr>
            <w:r>
              <w:rPr>
                <w:sz w:val="18"/>
              </w:rPr>
              <w:t>588</w:t>
            </w:r>
            <w:r w:rsidR="0023601B">
              <w:rPr>
                <w:sz w:val="18"/>
              </w:rPr>
              <w:t xml:space="preserve"> </w:t>
            </w:r>
            <w:r>
              <w:rPr>
                <w:sz w:val="18"/>
              </w:rPr>
              <w:t>382</w:t>
            </w:r>
          </w:p>
        </w:tc>
        <w:tc>
          <w:tcPr>
            <w:tcW w:w="1383" w:type="dxa"/>
            <w:shd w:val="clear" w:color="auto" w:fill="auto"/>
            <w:vAlign w:val="bottom"/>
          </w:tcPr>
          <w:p w:rsidR="00E34389" w:rsidRPr="009C5335" w:rsidRDefault="009D01DC" w:rsidP="009D01DC">
            <w:pPr>
              <w:suppressAutoHyphens w:val="0"/>
              <w:spacing w:before="40" w:after="40" w:line="220" w:lineRule="exact"/>
              <w:ind w:right="113"/>
              <w:jc w:val="right"/>
              <w:rPr>
                <w:sz w:val="18"/>
              </w:rPr>
            </w:pPr>
            <w:r>
              <w:rPr>
                <w:sz w:val="18"/>
              </w:rPr>
              <w:t>586</w:t>
            </w:r>
            <w:r w:rsidR="0023601B">
              <w:rPr>
                <w:sz w:val="18"/>
              </w:rPr>
              <w:t xml:space="preserve"> </w:t>
            </w:r>
            <w:r>
              <w:rPr>
                <w:sz w:val="18"/>
              </w:rPr>
              <w:t>111</w:t>
            </w:r>
          </w:p>
        </w:tc>
        <w:tc>
          <w:tcPr>
            <w:tcW w:w="1021" w:type="dxa"/>
            <w:shd w:val="clear" w:color="auto" w:fill="auto"/>
            <w:vAlign w:val="bottom"/>
          </w:tcPr>
          <w:p w:rsidR="00E34389" w:rsidRPr="009C5335" w:rsidRDefault="009D01DC" w:rsidP="009D01DC">
            <w:pPr>
              <w:suppressAutoHyphens w:val="0"/>
              <w:spacing w:before="40" w:after="40" w:line="220" w:lineRule="exact"/>
              <w:ind w:right="113"/>
              <w:jc w:val="right"/>
              <w:rPr>
                <w:sz w:val="18"/>
              </w:rPr>
            </w:pPr>
            <w:r>
              <w:rPr>
                <w:sz w:val="18"/>
              </w:rPr>
              <w:t>600</w:t>
            </w:r>
            <w:r w:rsidR="0023601B">
              <w:rPr>
                <w:sz w:val="18"/>
              </w:rPr>
              <w:t xml:space="preserve"> </w:t>
            </w:r>
            <w:r>
              <w:rPr>
                <w:sz w:val="18"/>
              </w:rPr>
              <w:t>781</w:t>
            </w:r>
          </w:p>
        </w:tc>
      </w:tr>
      <w:tr w:rsidR="00E34389" w:rsidRPr="009C5335" w:rsidTr="00AC2605">
        <w:tc>
          <w:tcPr>
            <w:tcW w:w="2438" w:type="dxa"/>
            <w:shd w:val="clear" w:color="auto" w:fill="auto"/>
          </w:tcPr>
          <w:p w:rsidR="00E34389" w:rsidRPr="009C5335" w:rsidRDefault="00E34389" w:rsidP="00F7767D">
            <w:pPr>
              <w:suppressAutoHyphens w:val="0"/>
              <w:spacing w:before="40" w:after="40" w:line="220" w:lineRule="exact"/>
              <w:ind w:left="145" w:right="113"/>
              <w:rPr>
                <w:sz w:val="18"/>
              </w:rPr>
            </w:pPr>
            <w:r w:rsidRPr="009C5335">
              <w:rPr>
                <w:sz w:val="18"/>
              </w:rPr>
              <w:t>Pupils</w:t>
            </w:r>
            <w:r w:rsidR="00F7767D">
              <w:rPr>
                <w:sz w:val="18"/>
              </w:rPr>
              <w:t>-</w:t>
            </w:r>
            <w:r w:rsidRPr="009C5335">
              <w:rPr>
                <w:sz w:val="18"/>
              </w:rPr>
              <w:t>teacher ratio</w:t>
            </w:r>
          </w:p>
        </w:tc>
        <w:tc>
          <w:tcPr>
            <w:tcW w:w="1303" w:type="dxa"/>
            <w:shd w:val="clear" w:color="auto" w:fill="auto"/>
            <w:vAlign w:val="bottom"/>
          </w:tcPr>
          <w:p w:rsidR="00E34389" w:rsidRPr="009C5335" w:rsidRDefault="00F02A8E" w:rsidP="0023601B">
            <w:pPr>
              <w:suppressAutoHyphens w:val="0"/>
              <w:spacing w:before="40" w:after="40" w:line="220" w:lineRule="exact"/>
              <w:ind w:left="145" w:right="113"/>
              <w:jc w:val="right"/>
              <w:rPr>
                <w:sz w:val="18"/>
              </w:rPr>
            </w:pPr>
            <w:r w:rsidRPr="00E34389">
              <w:rPr>
                <w:sz w:val="18"/>
              </w:rPr>
              <w:t>9</w:t>
            </w:r>
            <w:r w:rsidR="0023601B">
              <w:rPr>
                <w:sz w:val="18"/>
              </w:rPr>
              <w:t>.</w:t>
            </w:r>
            <w:r w:rsidRPr="00E34389">
              <w:rPr>
                <w:sz w:val="18"/>
              </w:rPr>
              <w:t>3</w:t>
            </w:r>
          </w:p>
        </w:tc>
        <w:tc>
          <w:tcPr>
            <w:tcW w:w="1225" w:type="dxa"/>
            <w:shd w:val="clear" w:color="auto" w:fill="auto"/>
            <w:vAlign w:val="bottom"/>
          </w:tcPr>
          <w:p w:rsidR="00E34389" w:rsidRPr="009C5335" w:rsidRDefault="00F02A8E" w:rsidP="0023601B">
            <w:pPr>
              <w:suppressAutoHyphens w:val="0"/>
              <w:spacing w:before="40" w:after="40" w:line="220" w:lineRule="exact"/>
              <w:ind w:left="145" w:right="113"/>
              <w:jc w:val="right"/>
              <w:rPr>
                <w:sz w:val="18"/>
              </w:rPr>
            </w:pPr>
            <w:r w:rsidRPr="00E34389">
              <w:rPr>
                <w:sz w:val="18"/>
              </w:rPr>
              <w:t>9</w:t>
            </w:r>
            <w:r w:rsidR="0023601B">
              <w:rPr>
                <w:sz w:val="18"/>
              </w:rPr>
              <w:t>.</w:t>
            </w:r>
            <w:r w:rsidRPr="00E34389">
              <w:rPr>
                <w:sz w:val="18"/>
              </w:rPr>
              <w:t>5</w:t>
            </w:r>
            <w:r w:rsidRPr="009C5335">
              <w:rPr>
                <w:sz w:val="18"/>
              </w:rPr>
              <w:t>5</w:t>
            </w:r>
          </w:p>
        </w:tc>
        <w:tc>
          <w:tcPr>
            <w:tcW w:w="1383" w:type="dxa"/>
            <w:shd w:val="clear" w:color="auto" w:fill="auto"/>
            <w:vAlign w:val="bottom"/>
          </w:tcPr>
          <w:p w:rsidR="00E34389" w:rsidRPr="009C5335" w:rsidRDefault="00F02A8E" w:rsidP="0023601B">
            <w:pPr>
              <w:suppressAutoHyphens w:val="0"/>
              <w:spacing w:before="40" w:after="40" w:line="220" w:lineRule="exact"/>
              <w:ind w:left="145" w:right="113"/>
              <w:jc w:val="right"/>
              <w:rPr>
                <w:sz w:val="18"/>
              </w:rPr>
            </w:pPr>
            <w:r w:rsidRPr="00E34389">
              <w:rPr>
                <w:sz w:val="18"/>
              </w:rPr>
              <w:t>9</w:t>
            </w:r>
            <w:r w:rsidR="0023601B">
              <w:rPr>
                <w:sz w:val="18"/>
              </w:rPr>
              <w:t>.</w:t>
            </w:r>
            <w:r w:rsidRPr="00E34389">
              <w:rPr>
                <w:sz w:val="18"/>
              </w:rPr>
              <w:t>5</w:t>
            </w:r>
          </w:p>
        </w:tc>
        <w:tc>
          <w:tcPr>
            <w:tcW w:w="1021" w:type="dxa"/>
            <w:shd w:val="clear" w:color="auto" w:fill="auto"/>
            <w:vAlign w:val="bottom"/>
          </w:tcPr>
          <w:p w:rsidR="00E34389" w:rsidRPr="009C5335" w:rsidRDefault="00F02A8E" w:rsidP="0023601B">
            <w:pPr>
              <w:suppressAutoHyphens w:val="0"/>
              <w:spacing w:before="40" w:after="40" w:line="220" w:lineRule="exact"/>
              <w:ind w:left="145" w:right="113"/>
              <w:jc w:val="right"/>
              <w:rPr>
                <w:sz w:val="18"/>
              </w:rPr>
            </w:pPr>
            <w:r w:rsidRPr="00E34389">
              <w:rPr>
                <w:sz w:val="18"/>
              </w:rPr>
              <w:t>9</w:t>
            </w:r>
            <w:r w:rsidR="0023601B">
              <w:rPr>
                <w:sz w:val="18"/>
              </w:rPr>
              <w:t>.</w:t>
            </w:r>
            <w:r w:rsidRPr="00E34389">
              <w:rPr>
                <w:sz w:val="18"/>
              </w:rPr>
              <w:t>7</w:t>
            </w:r>
          </w:p>
        </w:tc>
      </w:tr>
    </w:tbl>
    <w:p w:rsidR="00E34389" w:rsidRDefault="005368E8" w:rsidP="005368E8">
      <w:pPr>
        <w:pStyle w:val="H23G"/>
      </w:pPr>
      <w:r>
        <w:tab/>
      </w:r>
      <w:r>
        <w:tab/>
      </w:r>
      <w:r w:rsidRPr="00B02247">
        <w:t>3A</w:t>
      </w:r>
      <w:r>
        <w:t xml:space="preserve">. </w:t>
      </w:r>
      <w:r w:rsidRPr="00B02247">
        <w:t>Secondary</w:t>
      </w:r>
      <w:r>
        <w:t xml:space="preserve"> </w:t>
      </w:r>
      <w:r w:rsidRPr="00B02247">
        <w:t>education:</w:t>
      </w:r>
      <w:r>
        <w:t xml:space="preserve"> </w:t>
      </w:r>
      <w:r w:rsidRPr="00B02247">
        <w:t>Pupils,</w:t>
      </w:r>
      <w:r>
        <w:t xml:space="preserve"> </w:t>
      </w:r>
      <w:r w:rsidRPr="00B02247">
        <w:t>school</w:t>
      </w:r>
      <w:r>
        <w:t xml:space="preserve"> </w:t>
      </w:r>
      <w:r w:rsidRPr="00B02247">
        <w:t>units</w:t>
      </w:r>
      <w:r>
        <w:t xml:space="preserve"> </w:t>
      </w:r>
      <w:r w:rsidRPr="00B02247">
        <w:t>and</w:t>
      </w:r>
      <w:r>
        <w:t xml:space="preserve"> </w:t>
      </w:r>
      <w:r w:rsidRPr="00B02247">
        <w:t>teaching</w:t>
      </w:r>
      <w:r>
        <w:t xml:space="preserve"> </w:t>
      </w:r>
      <w:r w:rsidRPr="00B02247">
        <w:t>staff</w:t>
      </w:r>
      <w:r>
        <w:t xml:space="preserve"> </w:t>
      </w:r>
      <w:r w:rsidRPr="00B02247">
        <w:t>by</w:t>
      </w:r>
      <w:r>
        <w:t xml:space="preserve"> </w:t>
      </w:r>
      <w:r w:rsidRPr="00B02247">
        <w:t>the</w:t>
      </w:r>
      <w:r>
        <w:t xml:space="preserve"> </w:t>
      </w:r>
      <w:r w:rsidRPr="00B02247">
        <w:t>end</w:t>
      </w:r>
      <w:r>
        <w:t xml:space="preserve"> </w:t>
      </w:r>
      <w:r w:rsidRPr="00B02247">
        <w:t>of</w:t>
      </w:r>
      <w:r>
        <w:t xml:space="preserve"> </w:t>
      </w:r>
      <w:r w:rsidRPr="00B02247">
        <w:t>school</w:t>
      </w:r>
      <w:r>
        <w:t xml:space="preserve"> </w:t>
      </w:r>
      <w:r w:rsidRPr="00B02247">
        <w:t>years</w:t>
      </w:r>
      <w:r>
        <w:t xml:space="preserve"> </w:t>
      </w:r>
      <w:r w:rsidRPr="00B02247">
        <w:t>2010/11–2013/14</w:t>
      </w:r>
      <w:r>
        <w:t xml:space="preserve"> </w:t>
      </w:r>
      <w:r w:rsidRPr="00B02247">
        <w:t>(</w:t>
      </w:r>
      <w:r>
        <w:t>D</w:t>
      </w:r>
      <w:r w:rsidRPr="00B02247">
        <w:t>ay</w:t>
      </w:r>
      <w:r>
        <w:t xml:space="preserve"> </w:t>
      </w:r>
      <w:r w:rsidRPr="00B02247">
        <w:t>schools)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38"/>
        <w:gridCol w:w="1303"/>
        <w:gridCol w:w="1225"/>
        <w:gridCol w:w="1383"/>
        <w:gridCol w:w="1021"/>
      </w:tblGrid>
      <w:tr w:rsidR="00807D8D" w:rsidRPr="009C5335" w:rsidTr="00AD0B17">
        <w:trPr>
          <w:tblHeader/>
        </w:trPr>
        <w:tc>
          <w:tcPr>
            <w:tcW w:w="2438" w:type="dxa"/>
            <w:tcBorders>
              <w:top w:val="single" w:sz="4" w:space="0" w:color="auto"/>
              <w:bottom w:val="single" w:sz="12" w:space="0" w:color="auto"/>
            </w:tcBorders>
            <w:shd w:val="clear" w:color="auto" w:fill="auto"/>
            <w:vAlign w:val="bottom"/>
          </w:tcPr>
          <w:p w:rsidR="00807D8D" w:rsidRPr="009C5335" w:rsidRDefault="00807D8D" w:rsidP="00807D8D">
            <w:pPr>
              <w:suppressAutoHyphens w:val="0"/>
              <w:spacing w:before="80" w:after="80" w:line="200" w:lineRule="exact"/>
              <w:ind w:right="113"/>
              <w:rPr>
                <w:i/>
                <w:sz w:val="16"/>
              </w:rPr>
            </w:pPr>
          </w:p>
        </w:tc>
        <w:tc>
          <w:tcPr>
            <w:tcW w:w="1303" w:type="dxa"/>
            <w:tcBorders>
              <w:top w:val="single" w:sz="4" w:space="0" w:color="auto"/>
              <w:bottom w:val="single" w:sz="12" w:space="0" w:color="auto"/>
            </w:tcBorders>
            <w:shd w:val="clear" w:color="auto" w:fill="auto"/>
            <w:vAlign w:val="bottom"/>
          </w:tcPr>
          <w:p w:rsidR="00807D8D" w:rsidRPr="005368E8" w:rsidRDefault="00807D8D" w:rsidP="00807D8D">
            <w:pPr>
              <w:suppressAutoHyphens w:val="0"/>
              <w:spacing w:before="80" w:after="80" w:line="200" w:lineRule="exact"/>
              <w:ind w:right="113"/>
              <w:jc w:val="right"/>
              <w:rPr>
                <w:i/>
                <w:sz w:val="16"/>
              </w:rPr>
            </w:pPr>
            <w:r>
              <w:rPr>
                <w:i/>
                <w:sz w:val="16"/>
              </w:rPr>
              <w:t>2010/11</w:t>
            </w:r>
          </w:p>
        </w:tc>
        <w:tc>
          <w:tcPr>
            <w:tcW w:w="1225" w:type="dxa"/>
            <w:tcBorders>
              <w:top w:val="single" w:sz="4" w:space="0" w:color="auto"/>
              <w:bottom w:val="single" w:sz="12" w:space="0" w:color="auto"/>
            </w:tcBorders>
            <w:shd w:val="clear" w:color="auto" w:fill="auto"/>
            <w:vAlign w:val="bottom"/>
          </w:tcPr>
          <w:p w:rsidR="00807D8D" w:rsidRPr="005368E8" w:rsidRDefault="00807D8D" w:rsidP="00807D8D">
            <w:pPr>
              <w:suppressAutoHyphens w:val="0"/>
              <w:spacing w:before="80" w:after="80" w:line="200" w:lineRule="exact"/>
              <w:ind w:right="113"/>
              <w:jc w:val="right"/>
              <w:rPr>
                <w:i/>
                <w:sz w:val="16"/>
              </w:rPr>
            </w:pPr>
            <w:r w:rsidRPr="005368E8">
              <w:rPr>
                <w:i/>
                <w:sz w:val="16"/>
              </w:rPr>
              <w:t>2011/12</w:t>
            </w:r>
          </w:p>
        </w:tc>
        <w:tc>
          <w:tcPr>
            <w:tcW w:w="1383" w:type="dxa"/>
            <w:tcBorders>
              <w:top w:val="single" w:sz="4" w:space="0" w:color="auto"/>
              <w:bottom w:val="single" w:sz="12" w:space="0" w:color="auto"/>
            </w:tcBorders>
            <w:shd w:val="clear" w:color="auto" w:fill="auto"/>
            <w:vAlign w:val="bottom"/>
          </w:tcPr>
          <w:p w:rsidR="00807D8D" w:rsidRPr="005368E8" w:rsidRDefault="00807D8D" w:rsidP="00807D8D">
            <w:pPr>
              <w:suppressAutoHyphens w:val="0"/>
              <w:spacing w:before="80" w:after="80" w:line="200" w:lineRule="exact"/>
              <w:ind w:right="113"/>
              <w:jc w:val="right"/>
              <w:rPr>
                <w:i/>
                <w:sz w:val="16"/>
              </w:rPr>
            </w:pPr>
            <w:r w:rsidRPr="005368E8">
              <w:rPr>
                <w:i/>
                <w:sz w:val="16"/>
              </w:rPr>
              <w:t>2012/13</w:t>
            </w:r>
          </w:p>
        </w:tc>
        <w:tc>
          <w:tcPr>
            <w:tcW w:w="1021" w:type="dxa"/>
            <w:tcBorders>
              <w:top w:val="single" w:sz="4" w:space="0" w:color="auto"/>
              <w:bottom w:val="single" w:sz="12" w:space="0" w:color="auto"/>
            </w:tcBorders>
            <w:shd w:val="clear" w:color="auto" w:fill="auto"/>
            <w:vAlign w:val="bottom"/>
          </w:tcPr>
          <w:p w:rsidR="00807D8D" w:rsidRPr="005368E8" w:rsidRDefault="00807D8D" w:rsidP="00807D8D">
            <w:pPr>
              <w:suppressAutoHyphens w:val="0"/>
              <w:spacing w:before="80" w:after="80" w:line="200" w:lineRule="exact"/>
              <w:ind w:right="113"/>
              <w:jc w:val="right"/>
              <w:rPr>
                <w:i/>
                <w:sz w:val="16"/>
              </w:rPr>
            </w:pPr>
            <w:r w:rsidRPr="005368E8">
              <w:rPr>
                <w:i/>
                <w:sz w:val="16"/>
              </w:rPr>
              <w:t>2013/14</w:t>
            </w:r>
          </w:p>
        </w:tc>
      </w:tr>
      <w:tr w:rsidR="00807D8D" w:rsidRPr="009C5335" w:rsidTr="00AD0B17">
        <w:tc>
          <w:tcPr>
            <w:tcW w:w="2438" w:type="dxa"/>
            <w:tcBorders>
              <w:top w:val="single" w:sz="12" w:space="0" w:color="auto"/>
            </w:tcBorders>
            <w:shd w:val="clear" w:color="auto" w:fill="auto"/>
          </w:tcPr>
          <w:p w:rsidR="00807D8D" w:rsidRPr="009C5335" w:rsidRDefault="00807D8D" w:rsidP="00807D8D">
            <w:pPr>
              <w:suppressAutoHyphens w:val="0"/>
              <w:spacing w:before="40" w:after="40" w:line="220" w:lineRule="exact"/>
              <w:ind w:right="113"/>
              <w:rPr>
                <w:sz w:val="18"/>
              </w:rPr>
            </w:pPr>
            <w:r w:rsidRPr="009C5335">
              <w:rPr>
                <w:sz w:val="18"/>
              </w:rPr>
              <w:t>School units</w:t>
            </w:r>
          </w:p>
        </w:tc>
        <w:tc>
          <w:tcPr>
            <w:tcW w:w="1303" w:type="dxa"/>
            <w:tcBorders>
              <w:top w:val="single" w:sz="12" w:space="0" w:color="auto"/>
            </w:tcBorders>
            <w:shd w:val="clear" w:color="auto" w:fill="auto"/>
            <w:vAlign w:val="bottom"/>
          </w:tcPr>
          <w:p w:rsidR="00807D8D" w:rsidRPr="005368E8" w:rsidRDefault="00697544" w:rsidP="00697544">
            <w:pPr>
              <w:suppressAutoHyphens w:val="0"/>
              <w:spacing w:before="40" w:after="40" w:line="220" w:lineRule="exact"/>
              <w:ind w:right="113"/>
              <w:jc w:val="right"/>
              <w:rPr>
                <w:sz w:val="18"/>
              </w:rPr>
            </w:pPr>
            <w:r>
              <w:rPr>
                <w:sz w:val="18"/>
              </w:rPr>
              <w:t>1</w:t>
            </w:r>
            <w:r w:rsidR="0028496F">
              <w:rPr>
                <w:sz w:val="18"/>
              </w:rPr>
              <w:t xml:space="preserve"> </w:t>
            </w:r>
            <w:r>
              <w:rPr>
                <w:sz w:val="18"/>
              </w:rPr>
              <w:t>928</w:t>
            </w:r>
          </w:p>
        </w:tc>
        <w:tc>
          <w:tcPr>
            <w:tcW w:w="1225" w:type="dxa"/>
            <w:tcBorders>
              <w:top w:val="single" w:sz="12" w:space="0" w:color="auto"/>
            </w:tcBorders>
            <w:shd w:val="clear" w:color="auto" w:fill="auto"/>
            <w:vAlign w:val="bottom"/>
          </w:tcPr>
          <w:p w:rsidR="00807D8D" w:rsidRPr="005368E8" w:rsidRDefault="00697544" w:rsidP="00697544">
            <w:pPr>
              <w:suppressAutoHyphens w:val="0"/>
              <w:spacing w:before="40" w:after="40" w:line="220" w:lineRule="exact"/>
              <w:ind w:right="113"/>
              <w:jc w:val="right"/>
              <w:rPr>
                <w:sz w:val="18"/>
              </w:rPr>
            </w:pPr>
            <w:r>
              <w:rPr>
                <w:sz w:val="18"/>
              </w:rPr>
              <w:t>1</w:t>
            </w:r>
            <w:r w:rsidR="0028496F">
              <w:rPr>
                <w:sz w:val="18"/>
              </w:rPr>
              <w:t xml:space="preserve"> </w:t>
            </w:r>
            <w:r>
              <w:rPr>
                <w:sz w:val="18"/>
              </w:rPr>
              <w:t>829</w:t>
            </w:r>
          </w:p>
        </w:tc>
        <w:tc>
          <w:tcPr>
            <w:tcW w:w="1383" w:type="dxa"/>
            <w:tcBorders>
              <w:top w:val="single" w:sz="12" w:space="0" w:color="auto"/>
            </w:tcBorders>
            <w:shd w:val="clear" w:color="auto" w:fill="auto"/>
            <w:vAlign w:val="bottom"/>
          </w:tcPr>
          <w:p w:rsidR="00807D8D" w:rsidRPr="005368E8" w:rsidRDefault="00697544" w:rsidP="00697544">
            <w:pPr>
              <w:suppressAutoHyphens w:val="0"/>
              <w:spacing w:before="40" w:after="40" w:line="220" w:lineRule="exact"/>
              <w:ind w:right="113"/>
              <w:jc w:val="right"/>
              <w:rPr>
                <w:sz w:val="18"/>
              </w:rPr>
            </w:pPr>
            <w:r>
              <w:rPr>
                <w:sz w:val="18"/>
              </w:rPr>
              <w:t>1</w:t>
            </w:r>
            <w:r w:rsidR="0028496F">
              <w:rPr>
                <w:sz w:val="18"/>
              </w:rPr>
              <w:t xml:space="preserve"> </w:t>
            </w:r>
            <w:r>
              <w:rPr>
                <w:sz w:val="18"/>
              </w:rPr>
              <w:t>827</w:t>
            </w:r>
          </w:p>
        </w:tc>
        <w:tc>
          <w:tcPr>
            <w:tcW w:w="1021" w:type="dxa"/>
            <w:tcBorders>
              <w:top w:val="single" w:sz="12" w:space="0" w:color="auto"/>
            </w:tcBorders>
            <w:shd w:val="clear" w:color="auto" w:fill="auto"/>
            <w:vAlign w:val="bottom"/>
          </w:tcPr>
          <w:p w:rsidR="00807D8D" w:rsidRPr="005368E8" w:rsidRDefault="00697544" w:rsidP="00697544">
            <w:pPr>
              <w:suppressAutoHyphens w:val="0"/>
              <w:spacing w:before="40" w:after="40" w:line="220" w:lineRule="exact"/>
              <w:ind w:right="113"/>
              <w:jc w:val="right"/>
              <w:rPr>
                <w:sz w:val="18"/>
              </w:rPr>
            </w:pPr>
            <w:r>
              <w:rPr>
                <w:sz w:val="18"/>
              </w:rPr>
              <w:t>1</w:t>
            </w:r>
            <w:r w:rsidR="0028496F">
              <w:rPr>
                <w:sz w:val="18"/>
              </w:rPr>
              <w:t xml:space="preserve"> </w:t>
            </w:r>
            <w:r>
              <w:rPr>
                <w:sz w:val="18"/>
              </w:rPr>
              <w:t>794</w:t>
            </w:r>
          </w:p>
        </w:tc>
      </w:tr>
      <w:tr w:rsidR="00807D8D" w:rsidRPr="009C5335" w:rsidTr="00AD0B17">
        <w:tc>
          <w:tcPr>
            <w:tcW w:w="2438" w:type="dxa"/>
            <w:shd w:val="clear" w:color="auto" w:fill="auto"/>
          </w:tcPr>
          <w:p w:rsidR="00807D8D" w:rsidRPr="009C5335" w:rsidRDefault="00807D8D" w:rsidP="00807D8D">
            <w:pPr>
              <w:suppressAutoHyphens w:val="0"/>
              <w:spacing w:before="40" w:after="40" w:line="220" w:lineRule="exact"/>
              <w:ind w:right="113"/>
              <w:rPr>
                <w:sz w:val="18"/>
              </w:rPr>
            </w:pPr>
            <w:r w:rsidRPr="009C5335">
              <w:rPr>
                <w:sz w:val="18"/>
              </w:rPr>
              <w:t>Teaching staff</w:t>
            </w:r>
          </w:p>
        </w:tc>
        <w:tc>
          <w:tcPr>
            <w:tcW w:w="1303" w:type="dxa"/>
            <w:shd w:val="clear" w:color="auto" w:fill="auto"/>
            <w:vAlign w:val="bottom"/>
          </w:tcPr>
          <w:p w:rsidR="00807D8D" w:rsidRPr="009C5335" w:rsidRDefault="00697544" w:rsidP="00697544">
            <w:pPr>
              <w:suppressAutoHyphens w:val="0"/>
              <w:spacing w:before="40" w:after="40" w:line="220" w:lineRule="exact"/>
              <w:ind w:right="113"/>
              <w:jc w:val="right"/>
              <w:rPr>
                <w:sz w:val="18"/>
              </w:rPr>
            </w:pPr>
            <w:r>
              <w:rPr>
                <w:sz w:val="18"/>
              </w:rPr>
              <w:t>67</w:t>
            </w:r>
            <w:r w:rsidR="0028496F">
              <w:rPr>
                <w:sz w:val="18"/>
              </w:rPr>
              <w:t xml:space="preserve"> </w:t>
            </w:r>
            <w:r>
              <w:rPr>
                <w:sz w:val="18"/>
              </w:rPr>
              <w:t>314</w:t>
            </w:r>
          </w:p>
        </w:tc>
        <w:tc>
          <w:tcPr>
            <w:tcW w:w="1225" w:type="dxa"/>
            <w:shd w:val="clear" w:color="auto" w:fill="auto"/>
            <w:vAlign w:val="bottom"/>
          </w:tcPr>
          <w:p w:rsidR="00807D8D" w:rsidRPr="009C5335" w:rsidRDefault="00697544" w:rsidP="00697544">
            <w:pPr>
              <w:suppressAutoHyphens w:val="0"/>
              <w:spacing w:before="40" w:after="40" w:line="220" w:lineRule="exact"/>
              <w:ind w:right="113"/>
              <w:jc w:val="right"/>
              <w:rPr>
                <w:sz w:val="18"/>
              </w:rPr>
            </w:pPr>
            <w:r>
              <w:rPr>
                <w:sz w:val="18"/>
              </w:rPr>
              <w:t>65</w:t>
            </w:r>
            <w:r w:rsidR="0028496F">
              <w:rPr>
                <w:sz w:val="18"/>
              </w:rPr>
              <w:t xml:space="preserve"> </w:t>
            </w:r>
            <w:r>
              <w:rPr>
                <w:sz w:val="18"/>
              </w:rPr>
              <w:t>557</w:t>
            </w:r>
          </w:p>
        </w:tc>
        <w:tc>
          <w:tcPr>
            <w:tcW w:w="1383" w:type="dxa"/>
            <w:shd w:val="clear" w:color="auto" w:fill="auto"/>
            <w:vAlign w:val="bottom"/>
          </w:tcPr>
          <w:p w:rsidR="00807D8D" w:rsidRPr="009C5335" w:rsidRDefault="00697544" w:rsidP="00697544">
            <w:pPr>
              <w:suppressAutoHyphens w:val="0"/>
              <w:spacing w:before="40" w:after="40" w:line="220" w:lineRule="exact"/>
              <w:ind w:right="113"/>
              <w:jc w:val="right"/>
              <w:rPr>
                <w:sz w:val="18"/>
              </w:rPr>
            </w:pPr>
            <w:r>
              <w:rPr>
                <w:sz w:val="18"/>
              </w:rPr>
              <w:t>65</w:t>
            </w:r>
            <w:r w:rsidR="0028496F">
              <w:rPr>
                <w:sz w:val="18"/>
              </w:rPr>
              <w:t xml:space="preserve"> </w:t>
            </w:r>
            <w:r>
              <w:rPr>
                <w:sz w:val="18"/>
              </w:rPr>
              <w:t>329</w:t>
            </w:r>
          </w:p>
        </w:tc>
        <w:tc>
          <w:tcPr>
            <w:tcW w:w="1021" w:type="dxa"/>
            <w:shd w:val="clear" w:color="auto" w:fill="auto"/>
            <w:vAlign w:val="bottom"/>
          </w:tcPr>
          <w:p w:rsidR="00807D8D" w:rsidRPr="009C5335" w:rsidRDefault="00697544" w:rsidP="00697544">
            <w:pPr>
              <w:suppressAutoHyphens w:val="0"/>
              <w:spacing w:before="40" w:after="40" w:line="220" w:lineRule="exact"/>
              <w:ind w:right="113"/>
              <w:jc w:val="right"/>
              <w:rPr>
                <w:sz w:val="18"/>
              </w:rPr>
            </w:pPr>
            <w:r>
              <w:rPr>
                <w:sz w:val="18"/>
              </w:rPr>
              <w:t>65</w:t>
            </w:r>
            <w:r w:rsidR="0028496F">
              <w:rPr>
                <w:sz w:val="18"/>
              </w:rPr>
              <w:t xml:space="preserve"> </w:t>
            </w:r>
            <w:r>
              <w:rPr>
                <w:sz w:val="18"/>
              </w:rPr>
              <w:t>461</w:t>
            </w:r>
          </w:p>
        </w:tc>
      </w:tr>
      <w:tr w:rsidR="00807D8D" w:rsidRPr="009C5335" w:rsidTr="00AD0B17">
        <w:tc>
          <w:tcPr>
            <w:tcW w:w="2438" w:type="dxa"/>
            <w:shd w:val="clear" w:color="auto" w:fill="auto"/>
          </w:tcPr>
          <w:p w:rsidR="00807D8D" w:rsidRPr="009C5335" w:rsidRDefault="00807D8D" w:rsidP="00807D8D">
            <w:pPr>
              <w:suppressAutoHyphens w:val="0"/>
              <w:spacing w:before="40" w:after="40" w:line="220" w:lineRule="exact"/>
              <w:ind w:right="113"/>
              <w:rPr>
                <w:sz w:val="18"/>
              </w:rPr>
            </w:pPr>
            <w:r w:rsidRPr="009C5335">
              <w:rPr>
                <w:sz w:val="18"/>
              </w:rPr>
              <w:t>Pupils</w:t>
            </w:r>
          </w:p>
        </w:tc>
        <w:tc>
          <w:tcPr>
            <w:tcW w:w="1303" w:type="dxa"/>
            <w:shd w:val="clear" w:color="auto" w:fill="auto"/>
            <w:vAlign w:val="bottom"/>
          </w:tcPr>
          <w:p w:rsidR="00807D8D" w:rsidRPr="009C5335" w:rsidRDefault="00697544" w:rsidP="00697544">
            <w:pPr>
              <w:suppressAutoHyphens w:val="0"/>
              <w:spacing w:before="40" w:after="40" w:line="220" w:lineRule="exact"/>
              <w:ind w:right="113"/>
              <w:jc w:val="right"/>
              <w:rPr>
                <w:sz w:val="18"/>
              </w:rPr>
            </w:pPr>
            <w:r>
              <w:rPr>
                <w:sz w:val="18"/>
              </w:rPr>
              <w:t>633</w:t>
            </w:r>
            <w:r w:rsidR="0028496F">
              <w:rPr>
                <w:sz w:val="18"/>
              </w:rPr>
              <w:t xml:space="preserve"> </w:t>
            </w:r>
            <w:r>
              <w:rPr>
                <w:sz w:val="18"/>
              </w:rPr>
              <w:t>291</w:t>
            </w:r>
          </w:p>
        </w:tc>
        <w:tc>
          <w:tcPr>
            <w:tcW w:w="1225" w:type="dxa"/>
            <w:shd w:val="clear" w:color="auto" w:fill="auto"/>
            <w:vAlign w:val="bottom"/>
          </w:tcPr>
          <w:p w:rsidR="00807D8D" w:rsidRPr="009C5335" w:rsidRDefault="00697544" w:rsidP="00697544">
            <w:pPr>
              <w:suppressAutoHyphens w:val="0"/>
              <w:spacing w:before="40" w:after="40" w:line="220" w:lineRule="exact"/>
              <w:ind w:right="113"/>
              <w:jc w:val="right"/>
              <w:rPr>
                <w:sz w:val="18"/>
              </w:rPr>
            </w:pPr>
            <w:r>
              <w:rPr>
                <w:sz w:val="18"/>
              </w:rPr>
              <w:t>630</w:t>
            </w:r>
            <w:r w:rsidR="0028496F">
              <w:rPr>
                <w:sz w:val="18"/>
              </w:rPr>
              <w:t xml:space="preserve"> </w:t>
            </w:r>
            <w:r>
              <w:rPr>
                <w:sz w:val="18"/>
              </w:rPr>
              <w:t>043</w:t>
            </w:r>
          </w:p>
        </w:tc>
        <w:tc>
          <w:tcPr>
            <w:tcW w:w="1383" w:type="dxa"/>
            <w:shd w:val="clear" w:color="auto" w:fill="auto"/>
            <w:vAlign w:val="bottom"/>
          </w:tcPr>
          <w:p w:rsidR="00807D8D" w:rsidRPr="009C5335" w:rsidRDefault="00697544" w:rsidP="00697544">
            <w:pPr>
              <w:suppressAutoHyphens w:val="0"/>
              <w:spacing w:before="40" w:after="40" w:line="220" w:lineRule="exact"/>
              <w:ind w:right="113"/>
              <w:jc w:val="right"/>
              <w:rPr>
                <w:sz w:val="18"/>
              </w:rPr>
            </w:pPr>
            <w:r>
              <w:rPr>
                <w:sz w:val="18"/>
              </w:rPr>
              <w:t>625</w:t>
            </w:r>
            <w:r w:rsidR="0028496F">
              <w:rPr>
                <w:sz w:val="18"/>
              </w:rPr>
              <w:t xml:space="preserve"> </w:t>
            </w:r>
            <w:r>
              <w:rPr>
                <w:sz w:val="18"/>
              </w:rPr>
              <w:t>165</w:t>
            </w:r>
          </w:p>
        </w:tc>
        <w:tc>
          <w:tcPr>
            <w:tcW w:w="1021" w:type="dxa"/>
            <w:shd w:val="clear" w:color="auto" w:fill="auto"/>
            <w:vAlign w:val="bottom"/>
          </w:tcPr>
          <w:p w:rsidR="00807D8D" w:rsidRPr="009C5335" w:rsidRDefault="00697544" w:rsidP="00697544">
            <w:pPr>
              <w:suppressAutoHyphens w:val="0"/>
              <w:spacing w:before="40" w:after="40" w:line="220" w:lineRule="exact"/>
              <w:ind w:right="113"/>
              <w:jc w:val="right"/>
              <w:rPr>
                <w:sz w:val="18"/>
              </w:rPr>
            </w:pPr>
            <w:r>
              <w:rPr>
                <w:sz w:val="18"/>
              </w:rPr>
              <w:t>639</w:t>
            </w:r>
            <w:r w:rsidR="0028496F">
              <w:rPr>
                <w:sz w:val="18"/>
              </w:rPr>
              <w:t xml:space="preserve"> </w:t>
            </w:r>
            <w:r>
              <w:rPr>
                <w:sz w:val="18"/>
              </w:rPr>
              <w:t>600</w:t>
            </w:r>
          </w:p>
        </w:tc>
      </w:tr>
      <w:tr w:rsidR="00807D8D" w:rsidRPr="009C5335" w:rsidTr="00AD0B17">
        <w:tc>
          <w:tcPr>
            <w:tcW w:w="2438" w:type="dxa"/>
            <w:tcBorders>
              <w:bottom w:val="nil"/>
            </w:tcBorders>
            <w:shd w:val="clear" w:color="auto" w:fill="auto"/>
          </w:tcPr>
          <w:p w:rsidR="00807D8D" w:rsidRPr="009C5335" w:rsidRDefault="00807D8D" w:rsidP="00807D8D">
            <w:pPr>
              <w:suppressAutoHyphens w:val="0"/>
              <w:spacing w:before="40" w:after="40" w:line="220" w:lineRule="exact"/>
              <w:ind w:right="113"/>
              <w:rPr>
                <w:sz w:val="18"/>
              </w:rPr>
            </w:pPr>
            <w:r w:rsidRPr="009C5335">
              <w:rPr>
                <w:sz w:val="18"/>
              </w:rPr>
              <w:t>Public schools</w:t>
            </w:r>
          </w:p>
        </w:tc>
        <w:tc>
          <w:tcPr>
            <w:tcW w:w="1303" w:type="dxa"/>
            <w:tcBorders>
              <w:bottom w:val="nil"/>
            </w:tcBorders>
            <w:shd w:val="clear" w:color="auto" w:fill="auto"/>
            <w:vAlign w:val="bottom"/>
          </w:tcPr>
          <w:p w:rsidR="00807D8D" w:rsidRPr="009C5335" w:rsidRDefault="00807D8D" w:rsidP="00697544">
            <w:pPr>
              <w:suppressAutoHyphens w:val="0"/>
              <w:spacing w:before="40" w:after="40" w:line="220" w:lineRule="exact"/>
              <w:ind w:right="113"/>
              <w:jc w:val="right"/>
              <w:rPr>
                <w:sz w:val="18"/>
              </w:rPr>
            </w:pPr>
          </w:p>
        </w:tc>
        <w:tc>
          <w:tcPr>
            <w:tcW w:w="1225" w:type="dxa"/>
            <w:tcBorders>
              <w:bottom w:val="nil"/>
            </w:tcBorders>
            <w:shd w:val="clear" w:color="auto" w:fill="auto"/>
            <w:vAlign w:val="bottom"/>
          </w:tcPr>
          <w:p w:rsidR="00807D8D" w:rsidRPr="009C5335" w:rsidRDefault="00807D8D" w:rsidP="00697544">
            <w:pPr>
              <w:suppressAutoHyphens w:val="0"/>
              <w:spacing w:before="40" w:after="40" w:line="220" w:lineRule="exact"/>
              <w:ind w:right="113"/>
              <w:jc w:val="right"/>
              <w:rPr>
                <w:sz w:val="18"/>
              </w:rPr>
            </w:pPr>
          </w:p>
        </w:tc>
        <w:tc>
          <w:tcPr>
            <w:tcW w:w="1383" w:type="dxa"/>
            <w:tcBorders>
              <w:bottom w:val="nil"/>
            </w:tcBorders>
            <w:shd w:val="clear" w:color="auto" w:fill="auto"/>
            <w:vAlign w:val="bottom"/>
          </w:tcPr>
          <w:p w:rsidR="00807D8D" w:rsidRPr="009C5335" w:rsidRDefault="00807D8D" w:rsidP="00697544">
            <w:pPr>
              <w:suppressAutoHyphens w:val="0"/>
              <w:spacing w:before="40" w:after="40" w:line="220" w:lineRule="exact"/>
              <w:ind w:right="113"/>
              <w:jc w:val="right"/>
              <w:rPr>
                <w:sz w:val="18"/>
              </w:rPr>
            </w:pPr>
          </w:p>
        </w:tc>
        <w:tc>
          <w:tcPr>
            <w:tcW w:w="1021" w:type="dxa"/>
            <w:tcBorders>
              <w:bottom w:val="nil"/>
            </w:tcBorders>
            <w:shd w:val="clear" w:color="auto" w:fill="auto"/>
            <w:vAlign w:val="bottom"/>
          </w:tcPr>
          <w:p w:rsidR="00807D8D" w:rsidRPr="009C5335" w:rsidRDefault="00807D8D" w:rsidP="00697544">
            <w:pPr>
              <w:suppressAutoHyphens w:val="0"/>
              <w:spacing w:before="40" w:after="40" w:line="220" w:lineRule="exact"/>
              <w:ind w:right="113"/>
              <w:jc w:val="right"/>
              <w:rPr>
                <w:sz w:val="18"/>
              </w:rPr>
            </w:pPr>
          </w:p>
        </w:tc>
      </w:tr>
      <w:tr w:rsidR="00807D8D" w:rsidRPr="009C5335" w:rsidTr="00AD0B17">
        <w:tc>
          <w:tcPr>
            <w:tcW w:w="2438" w:type="dxa"/>
            <w:tcBorders>
              <w:top w:val="nil"/>
              <w:bottom w:val="nil"/>
            </w:tcBorders>
            <w:shd w:val="clear" w:color="auto" w:fill="auto"/>
          </w:tcPr>
          <w:p w:rsidR="00807D8D" w:rsidRPr="009C5335" w:rsidRDefault="00807D8D" w:rsidP="00807D8D">
            <w:pPr>
              <w:suppressAutoHyphens w:val="0"/>
              <w:spacing w:before="40" w:after="40" w:line="220" w:lineRule="exact"/>
              <w:ind w:left="145" w:right="113"/>
              <w:rPr>
                <w:sz w:val="18"/>
              </w:rPr>
            </w:pPr>
            <w:r w:rsidRPr="009C5335">
              <w:rPr>
                <w:sz w:val="18"/>
              </w:rPr>
              <w:t>School units</w:t>
            </w:r>
          </w:p>
        </w:tc>
        <w:tc>
          <w:tcPr>
            <w:tcW w:w="1303" w:type="dxa"/>
            <w:tcBorders>
              <w:top w:val="nil"/>
              <w:bottom w:val="nil"/>
            </w:tcBorders>
            <w:shd w:val="clear" w:color="auto" w:fill="auto"/>
            <w:vAlign w:val="bottom"/>
          </w:tcPr>
          <w:p w:rsidR="00807D8D" w:rsidRPr="009C5335" w:rsidRDefault="00E04F5B" w:rsidP="00E04F5B">
            <w:pPr>
              <w:suppressAutoHyphens w:val="0"/>
              <w:spacing w:before="40" w:after="40" w:line="220" w:lineRule="exact"/>
              <w:ind w:right="113"/>
              <w:jc w:val="right"/>
              <w:rPr>
                <w:sz w:val="18"/>
              </w:rPr>
            </w:pPr>
            <w:r>
              <w:rPr>
                <w:sz w:val="18"/>
              </w:rPr>
              <w:t>1</w:t>
            </w:r>
            <w:r w:rsidR="0028496F">
              <w:rPr>
                <w:sz w:val="18"/>
              </w:rPr>
              <w:t xml:space="preserve"> </w:t>
            </w:r>
            <w:r>
              <w:rPr>
                <w:sz w:val="18"/>
              </w:rPr>
              <w:t>747</w:t>
            </w:r>
          </w:p>
        </w:tc>
        <w:tc>
          <w:tcPr>
            <w:tcW w:w="1225" w:type="dxa"/>
            <w:tcBorders>
              <w:top w:val="nil"/>
              <w:bottom w:val="nil"/>
            </w:tcBorders>
            <w:shd w:val="clear" w:color="auto" w:fill="auto"/>
            <w:vAlign w:val="bottom"/>
          </w:tcPr>
          <w:p w:rsidR="00807D8D" w:rsidRPr="009C5335" w:rsidRDefault="00E04F5B" w:rsidP="00E04F5B">
            <w:pPr>
              <w:suppressAutoHyphens w:val="0"/>
              <w:spacing w:before="40" w:after="40" w:line="220" w:lineRule="exact"/>
              <w:ind w:right="113"/>
              <w:jc w:val="right"/>
              <w:rPr>
                <w:sz w:val="18"/>
              </w:rPr>
            </w:pPr>
            <w:r>
              <w:rPr>
                <w:sz w:val="18"/>
              </w:rPr>
              <w:t>1</w:t>
            </w:r>
            <w:r w:rsidR="0028496F">
              <w:rPr>
                <w:sz w:val="18"/>
              </w:rPr>
              <w:t xml:space="preserve"> </w:t>
            </w:r>
            <w:r>
              <w:rPr>
                <w:sz w:val="18"/>
              </w:rPr>
              <w:t>657</w:t>
            </w:r>
          </w:p>
        </w:tc>
        <w:tc>
          <w:tcPr>
            <w:tcW w:w="1383" w:type="dxa"/>
            <w:tcBorders>
              <w:top w:val="nil"/>
              <w:bottom w:val="nil"/>
            </w:tcBorders>
            <w:shd w:val="clear" w:color="auto" w:fill="auto"/>
            <w:vAlign w:val="bottom"/>
          </w:tcPr>
          <w:p w:rsidR="00807D8D" w:rsidRPr="009C5335" w:rsidRDefault="00E04F5B" w:rsidP="00E04F5B">
            <w:pPr>
              <w:suppressAutoHyphens w:val="0"/>
              <w:spacing w:before="40" w:after="40" w:line="220" w:lineRule="exact"/>
              <w:ind w:right="113"/>
              <w:jc w:val="right"/>
              <w:rPr>
                <w:sz w:val="18"/>
              </w:rPr>
            </w:pPr>
            <w:r>
              <w:rPr>
                <w:sz w:val="18"/>
              </w:rPr>
              <w:t>1</w:t>
            </w:r>
            <w:r w:rsidR="0028496F">
              <w:rPr>
                <w:sz w:val="18"/>
              </w:rPr>
              <w:t xml:space="preserve"> </w:t>
            </w:r>
            <w:r>
              <w:rPr>
                <w:sz w:val="18"/>
              </w:rPr>
              <w:t>659</w:t>
            </w:r>
          </w:p>
        </w:tc>
        <w:tc>
          <w:tcPr>
            <w:tcW w:w="1021" w:type="dxa"/>
            <w:tcBorders>
              <w:top w:val="nil"/>
              <w:bottom w:val="nil"/>
            </w:tcBorders>
            <w:shd w:val="clear" w:color="auto" w:fill="auto"/>
            <w:vAlign w:val="bottom"/>
          </w:tcPr>
          <w:p w:rsidR="00807D8D" w:rsidRPr="009C5335" w:rsidRDefault="00E04F5B" w:rsidP="00E04F5B">
            <w:pPr>
              <w:suppressAutoHyphens w:val="0"/>
              <w:spacing w:before="40" w:after="40" w:line="220" w:lineRule="exact"/>
              <w:ind w:right="113"/>
              <w:jc w:val="right"/>
              <w:rPr>
                <w:sz w:val="18"/>
              </w:rPr>
            </w:pPr>
            <w:r>
              <w:rPr>
                <w:sz w:val="18"/>
              </w:rPr>
              <w:t>1</w:t>
            </w:r>
            <w:r w:rsidR="0028496F">
              <w:rPr>
                <w:sz w:val="18"/>
              </w:rPr>
              <w:t xml:space="preserve"> </w:t>
            </w:r>
            <w:r>
              <w:rPr>
                <w:sz w:val="18"/>
              </w:rPr>
              <w:t>625</w:t>
            </w:r>
          </w:p>
        </w:tc>
      </w:tr>
      <w:tr w:rsidR="00807D8D" w:rsidRPr="009C5335" w:rsidTr="00AD0B17">
        <w:tc>
          <w:tcPr>
            <w:tcW w:w="2438" w:type="dxa"/>
            <w:tcBorders>
              <w:top w:val="nil"/>
            </w:tcBorders>
            <w:shd w:val="clear" w:color="auto" w:fill="auto"/>
          </w:tcPr>
          <w:p w:rsidR="00807D8D" w:rsidRPr="009C5335" w:rsidRDefault="00807D8D" w:rsidP="00807D8D">
            <w:pPr>
              <w:suppressAutoHyphens w:val="0"/>
              <w:spacing w:before="40" w:after="40" w:line="220" w:lineRule="exact"/>
              <w:ind w:left="145" w:right="113"/>
              <w:rPr>
                <w:sz w:val="18"/>
              </w:rPr>
            </w:pPr>
            <w:r w:rsidRPr="009C5335">
              <w:rPr>
                <w:sz w:val="18"/>
              </w:rPr>
              <w:t>Teaching staff</w:t>
            </w:r>
          </w:p>
        </w:tc>
        <w:tc>
          <w:tcPr>
            <w:tcW w:w="1303" w:type="dxa"/>
            <w:tcBorders>
              <w:top w:val="nil"/>
            </w:tcBorders>
            <w:shd w:val="clear" w:color="auto" w:fill="auto"/>
            <w:vAlign w:val="bottom"/>
          </w:tcPr>
          <w:p w:rsidR="00807D8D" w:rsidRPr="009C5335" w:rsidRDefault="00E04F5B" w:rsidP="00E04F5B">
            <w:pPr>
              <w:suppressAutoHyphens w:val="0"/>
              <w:spacing w:before="40" w:after="40" w:line="220" w:lineRule="exact"/>
              <w:ind w:right="113"/>
              <w:jc w:val="right"/>
              <w:rPr>
                <w:sz w:val="18"/>
              </w:rPr>
            </w:pPr>
            <w:r>
              <w:rPr>
                <w:sz w:val="18"/>
              </w:rPr>
              <w:t>45</w:t>
            </w:r>
            <w:r w:rsidR="0028496F">
              <w:rPr>
                <w:sz w:val="18"/>
              </w:rPr>
              <w:t xml:space="preserve"> </w:t>
            </w:r>
            <w:r>
              <w:rPr>
                <w:sz w:val="18"/>
              </w:rPr>
              <w:t>875</w:t>
            </w:r>
          </w:p>
        </w:tc>
        <w:tc>
          <w:tcPr>
            <w:tcW w:w="1225" w:type="dxa"/>
            <w:tcBorders>
              <w:top w:val="nil"/>
            </w:tcBorders>
            <w:shd w:val="clear" w:color="auto" w:fill="auto"/>
            <w:vAlign w:val="bottom"/>
          </w:tcPr>
          <w:p w:rsidR="00807D8D" w:rsidRPr="009C5335" w:rsidRDefault="00E04F5B" w:rsidP="00E04F5B">
            <w:pPr>
              <w:suppressAutoHyphens w:val="0"/>
              <w:spacing w:before="40" w:after="40" w:line="220" w:lineRule="exact"/>
              <w:ind w:right="113"/>
              <w:jc w:val="right"/>
              <w:rPr>
                <w:sz w:val="18"/>
              </w:rPr>
            </w:pPr>
            <w:r>
              <w:rPr>
                <w:sz w:val="18"/>
              </w:rPr>
              <w:t>42</w:t>
            </w:r>
            <w:r w:rsidR="0028496F">
              <w:rPr>
                <w:sz w:val="18"/>
              </w:rPr>
              <w:t xml:space="preserve"> </w:t>
            </w:r>
            <w:r>
              <w:rPr>
                <w:sz w:val="18"/>
              </w:rPr>
              <w:t>226</w:t>
            </w:r>
          </w:p>
        </w:tc>
        <w:tc>
          <w:tcPr>
            <w:tcW w:w="1383" w:type="dxa"/>
            <w:tcBorders>
              <w:top w:val="nil"/>
            </w:tcBorders>
            <w:shd w:val="clear" w:color="auto" w:fill="auto"/>
            <w:vAlign w:val="bottom"/>
          </w:tcPr>
          <w:p w:rsidR="00807D8D" w:rsidRPr="009C5335" w:rsidRDefault="00E04F5B" w:rsidP="00E04F5B">
            <w:pPr>
              <w:suppressAutoHyphens w:val="0"/>
              <w:spacing w:before="40" w:after="40" w:line="220" w:lineRule="exact"/>
              <w:ind w:right="113"/>
              <w:jc w:val="right"/>
              <w:rPr>
                <w:sz w:val="18"/>
              </w:rPr>
            </w:pPr>
            <w:r>
              <w:rPr>
                <w:sz w:val="18"/>
              </w:rPr>
              <w:t>39</w:t>
            </w:r>
            <w:r w:rsidR="0028496F">
              <w:rPr>
                <w:sz w:val="18"/>
              </w:rPr>
              <w:t xml:space="preserve"> </w:t>
            </w:r>
            <w:r>
              <w:rPr>
                <w:sz w:val="18"/>
              </w:rPr>
              <w:t>800</w:t>
            </w:r>
          </w:p>
        </w:tc>
        <w:tc>
          <w:tcPr>
            <w:tcW w:w="1021" w:type="dxa"/>
            <w:tcBorders>
              <w:top w:val="nil"/>
            </w:tcBorders>
            <w:shd w:val="clear" w:color="auto" w:fill="auto"/>
            <w:vAlign w:val="bottom"/>
          </w:tcPr>
          <w:p w:rsidR="00807D8D" w:rsidRPr="009C5335" w:rsidRDefault="00E04F5B" w:rsidP="00E04F5B">
            <w:pPr>
              <w:suppressAutoHyphens w:val="0"/>
              <w:spacing w:before="40" w:after="40" w:line="220" w:lineRule="exact"/>
              <w:ind w:right="113"/>
              <w:jc w:val="right"/>
              <w:rPr>
                <w:sz w:val="18"/>
              </w:rPr>
            </w:pPr>
            <w:r>
              <w:rPr>
                <w:sz w:val="18"/>
              </w:rPr>
              <w:t>35</w:t>
            </w:r>
            <w:r w:rsidR="0028496F">
              <w:rPr>
                <w:sz w:val="18"/>
              </w:rPr>
              <w:t xml:space="preserve"> </w:t>
            </w:r>
            <w:r>
              <w:rPr>
                <w:sz w:val="18"/>
              </w:rPr>
              <w:t>908</w:t>
            </w:r>
          </w:p>
        </w:tc>
      </w:tr>
      <w:tr w:rsidR="00807D8D" w:rsidRPr="009C5335" w:rsidTr="00AD0B17">
        <w:tc>
          <w:tcPr>
            <w:tcW w:w="2438" w:type="dxa"/>
            <w:shd w:val="clear" w:color="auto" w:fill="auto"/>
          </w:tcPr>
          <w:p w:rsidR="00807D8D" w:rsidRPr="009C5335" w:rsidRDefault="00807D8D" w:rsidP="00807D8D">
            <w:pPr>
              <w:suppressAutoHyphens w:val="0"/>
              <w:spacing w:before="40" w:after="40" w:line="220" w:lineRule="exact"/>
              <w:ind w:left="145" w:right="113"/>
              <w:rPr>
                <w:sz w:val="18"/>
              </w:rPr>
            </w:pPr>
            <w:r w:rsidRPr="009C5335">
              <w:rPr>
                <w:sz w:val="18"/>
              </w:rPr>
              <w:t>Pupils</w:t>
            </w:r>
          </w:p>
        </w:tc>
        <w:tc>
          <w:tcPr>
            <w:tcW w:w="1303" w:type="dxa"/>
            <w:shd w:val="clear" w:color="auto" w:fill="auto"/>
            <w:vAlign w:val="bottom"/>
          </w:tcPr>
          <w:p w:rsidR="00807D8D" w:rsidRPr="009C5335" w:rsidRDefault="00E04F5B" w:rsidP="00E04F5B">
            <w:pPr>
              <w:suppressAutoHyphens w:val="0"/>
              <w:spacing w:before="40" w:after="40" w:line="220" w:lineRule="exact"/>
              <w:ind w:right="113"/>
              <w:jc w:val="right"/>
              <w:rPr>
                <w:sz w:val="18"/>
              </w:rPr>
            </w:pPr>
            <w:r>
              <w:rPr>
                <w:sz w:val="18"/>
              </w:rPr>
              <w:t>308</w:t>
            </w:r>
            <w:r w:rsidR="0028496F">
              <w:rPr>
                <w:sz w:val="18"/>
              </w:rPr>
              <w:t xml:space="preserve"> </w:t>
            </w:r>
            <w:r>
              <w:rPr>
                <w:sz w:val="18"/>
              </w:rPr>
              <w:t>697</w:t>
            </w:r>
          </w:p>
        </w:tc>
        <w:tc>
          <w:tcPr>
            <w:tcW w:w="1225" w:type="dxa"/>
            <w:shd w:val="clear" w:color="auto" w:fill="auto"/>
            <w:vAlign w:val="bottom"/>
          </w:tcPr>
          <w:p w:rsidR="00807D8D" w:rsidRPr="009C5335" w:rsidRDefault="00E04F5B" w:rsidP="00E04F5B">
            <w:pPr>
              <w:suppressAutoHyphens w:val="0"/>
              <w:spacing w:before="40" w:after="40" w:line="220" w:lineRule="exact"/>
              <w:ind w:right="113"/>
              <w:jc w:val="right"/>
              <w:rPr>
                <w:sz w:val="18"/>
              </w:rPr>
            </w:pPr>
            <w:r>
              <w:rPr>
                <w:sz w:val="18"/>
              </w:rPr>
              <w:t>302</w:t>
            </w:r>
            <w:r w:rsidR="0028496F">
              <w:rPr>
                <w:sz w:val="18"/>
              </w:rPr>
              <w:t xml:space="preserve"> </w:t>
            </w:r>
            <w:r>
              <w:rPr>
                <w:sz w:val="18"/>
              </w:rPr>
              <w:t>116</w:t>
            </w:r>
          </w:p>
        </w:tc>
        <w:tc>
          <w:tcPr>
            <w:tcW w:w="1383" w:type="dxa"/>
            <w:shd w:val="clear" w:color="auto" w:fill="auto"/>
            <w:vAlign w:val="bottom"/>
          </w:tcPr>
          <w:p w:rsidR="00807D8D" w:rsidRPr="009C5335" w:rsidRDefault="00E04F5B" w:rsidP="00E04F5B">
            <w:pPr>
              <w:suppressAutoHyphens w:val="0"/>
              <w:spacing w:before="40" w:after="40" w:line="220" w:lineRule="exact"/>
              <w:ind w:right="113"/>
              <w:jc w:val="right"/>
              <w:rPr>
                <w:sz w:val="18"/>
              </w:rPr>
            </w:pPr>
            <w:r>
              <w:rPr>
                <w:sz w:val="18"/>
              </w:rPr>
              <w:t>299</w:t>
            </w:r>
            <w:r w:rsidR="0028496F">
              <w:rPr>
                <w:sz w:val="18"/>
              </w:rPr>
              <w:t xml:space="preserve"> </w:t>
            </w:r>
            <w:r>
              <w:rPr>
                <w:sz w:val="18"/>
              </w:rPr>
              <w:t>571</w:t>
            </w:r>
          </w:p>
        </w:tc>
        <w:tc>
          <w:tcPr>
            <w:tcW w:w="1021" w:type="dxa"/>
            <w:shd w:val="clear" w:color="auto" w:fill="auto"/>
            <w:vAlign w:val="bottom"/>
          </w:tcPr>
          <w:p w:rsidR="00807D8D" w:rsidRPr="009C5335" w:rsidRDefault="00E04F5B" w:rsidP="00E04F5B">
            <w:pPr>
              <w:suppressAutoHyphens w:val="0"/>
              <w:spacing w:before="40" w:after="40" w:line="220" w:lineRule="exact"/>
              <w:ind w:right="113"/>
              <w:jc w:val="right"/>
              <w:rPr>
                <w:sz w:val="18"/>
              </w:rPr>
            </w:pPr>
            <w:r>
              <w:rPr>
                <w:sz w:val="18"/>
              </w:rPr>
              <w:t>291</w:t>
            </w:r>
            <w:r w:rsidR="0028496F">
              <w:rPr>
                <w:sz w:val="18"/>
              </w:rPr>
              <w:t xml:space="preserve"> </w:t>
            </w:r>
            <w:r>
              <w:rPr>
                <w:sz w:val="18"/>
              </w:rPr>
              <w:t>458</w:t>
            </w:r>
          </w:p>
        </w:tc>
      </w:tr>
      <w:tr w:rsidR="00807D8D" w:rsidRPr="009C5335" w:rsidTr="00AD0B17">
        <w:tc>
          <w:tcPr>
            <w:tcW w:w="2438" w:type="dxa"/>
            <w:shd w:val="clear" w:color="auto" w:fill="auto"/>
          </w:tcPr>
          <w:p w:rsidR="00807D8D" w:rsidRPr="009C5335" w:rsidRDefault="00807D8D" w:rsidP="003E731F">
            <w:pPr>
              <w:suppressAutoHyphens w:val="0"/>
              <w:spacing w:before="40" w:after="40" w:line="220" w:lineRule="exact"/>
              <w:ind w:left="145" w:right="113"/>
              <w:rPr>
                <w:sz w:val="18"/>
              </w:rPr>
            </w:pPr>
            <w:r w:rsidRPr="009C5335">
              <w:rPr>
                <w:sz w:val="18"/>
              </w:rPr>
              <w:t>Pupils</w:t>
            </w:r>
            <w:r w:rsidR="003E731F">
              <w:rPr>
                <w:sz w:val="18"/>
              </w:rPr>
              <w:t>-</w:t>
            </w:r>
            <w:r w:rsidRPr="009C5335">
              <w:rPr>
                <w:sz w:val="18"/>
              </w:rPr>
              <w:t>teacher ratio</w:t>
            </w:r>
          </w:p>
        </w:tc>
        <w:tc>
          <w:tcPr>
            <w:tcW w:w="1303" w:type="dxa"/>
            <w:shd w:val="clear" w:color="auto" w:fill="auto"/>
            <w:vAlign w:val="bottom"/>
          </w:tcPr>
          <w:p w:rsidR="00807D8D" w:rsidRPr="009C5335" w:rsidRDefault="00E04F5B" w:rsidP="00B8327D">
            <w:pPr>
              <w:suppressAutoHyphens w:val="0"/>
              <w:spacing w:before="40" w:after="40" w:line="220" w:lineRule="exact"/>
              <w:ind w:right="113"/>
              <w:jc w:val="right"/>
              <w:rPr>
                <w:sz w:val="18"/>
              </w:rPr>
            </w:pPr>
            <w:r>
              <w:rPr>
                <w:sz w:val="18"/>
              </w:rPr>
              <w:t>6</w:t>
            </w:r>
            <w:r w:rsidR="00B8327D">
              <w:rPr>
                <w:sz w:val="18"/>
              </w:rPr>
              <w:t>.</w:t>
            </w:r>
            <w:r>
              <w:rPr>
                <w:sz w:val="18"/>
              </w:rPr>
              <w:t>7</w:t>
            </w:r>
          </w:p>
        </w:tc>
        <w:tc>
          <w:tcPr>
            <w:tcW w:w="1225" w:type="dxa"/>
            <w:shd w:val="clear" w:color="auto" w:fill="auto"/>
            <w:vAlign w:val="bottom"/>
          </w:tcPr>
          <w:p w:rsidR="00807D8D" w:rsidRPr="009C5335" w:rsidRDefault="00E04F5B" w:rsidP="00B8327D">
            <w:pPr>
              <w:suppressAutoHyphens w:val="0"/>
              <w:spacing w:before="40" w:after="40" w:line="220" w:lineRule="exact"/>
              <w:ind w:right="113"/>
              <w:jc w:val="right"/>
              <w:rPr>
                <w:sz w:val="18"/>
              </w:rPr>
            </w:pPr>
            <w:r>
              <w:rPr>
                <w:sz w:val="18"/>
              </w:rPr>
              <w:t>7</w:t>
            </w:r>
            <w:r w:rsidR="00B8327D">
              <w:rPr>
                <w:sz w:val="18"/>
              </w:rPr>
              <w:t>.</w:t>
            </w:r>
            <w:r>
              <w:rPr>
                <w:sz w:val="18"/>
              </w:rPr>
              <w:t>2</w:t>
            </w:r>
          </w:p>
        </w:tc>
        <w:tc>
          <w:tcPr>
            <w:tcW w:w="1383" w:type="dxa"/>
            <w:shd w:val="clear" w:color="auto" w:fill="auto"/>
            <w:vAlign w:val="bottom"/>
          </w:tcPr>
          <w:p w:rsidR="00807D8D" w:rsidRPr="009C5335" w:rsidRDefault="00E04F5B" w:rsidP="00B8327D">
            <w:pPr>
              <w:suppressAutoHyphens w:val="0"/>
              <w:spacing w:before="40" w:after="40" w:line="220" w:lineRule="exact"/>
              <w:ind w:right="113"/>
              <w:jc w:val="right"/>
              <w:rPr>
                <w:sz w:val="18"/>
              </w:rPr>
            </w:pPr>
            <w:r>
              <w:rPr>
                <w:sz w:val="18"/>
              </w:rPr>
              <w:t>7</w:t>
            </w:r>
            <w:r w:rsidR="00B8327D">
              <w:rPr>
                <w:sz w:val="18"/>
              </w:rPr>
              <w:t>.</w:t>
            </w:r>
            <w:r>
              <w:rPr>
                <w:sz w:val="18"/>
              </w:rPr>
              <w:t>5</w:t>
            </w:r>
          </w:p>
        </w:tc>
        <w:tc>
          <w:tcPr>
            <w:tcW w:w="1021" w:type="dxa"/>
            <w:shd w:val="clear" w:color="auto" w:fill="auto"/>
            <w:vAlign w:val="bottom"/>
          </w:tcPr>
          <w:p w:rsidR="00807D8D" w:rsidRPr="009C5335" w:rsidRDefault="00E04F5B" w:rsidP="00B8327D">
            <w:pPr>
              <w:suppressAutoHyphens w:val="0"/>
              <w:spacing w:before="40" w:after="40" w:line="220" w:lineRule="exact"/>
              <w:ind w:right="113"/>
              <w:jc w:val="right"/>
              <w:rPr>
                <w:sz w:val="18"/>
              </w:rPr>
            </w:pPr>
            <w:r>
              <w:rPr>
                <w:sz w:val="18"/>
              </w:rPr>
              <w:t>8</w:t>
            </w:r>
            <w:r w:rsidR="00B8327D">
              <w:rPr>
                <w:sz w:val="18"/>
              </w:rPr>
              <w:t>.</w:t>
            </w:r>
            <w:r>
              <w:rPr>
                <w:sz w:val="18"/>
              </w:rPr>
              <w:t>1</w:t>
            </w:r>
          </w:p>
        </w:tc>
      </w:tr>
      <w:tr w:rsidR="00807D8D" w:rsidRPr="009C5335" w:rsidTr="00AD0B17">
        <w:tc>
          <w:tcPr>
            <w:tcW w:w="2438" w:type="dxa"/>
            <w:shd w:val="clear" w:color="auto" w:fill="auto"/>
          </w:tcPr>
          <w:p w:rsidR="00807D8D" w:rsidRPr="003D6C5E" w:rsidRDefault="00807D8D" w:rsidP="00807D8D">
            <w:pPr>
              <w:spacing w:before="40" w:after="40" w:line="220" w:lineRule="exact"/>
              <w:rPr>
                <w:sz w:val="18"/>
              </w:rPr>
            </w:pPr>
            <w:r w:rsidRPr="003D6C5E">
              <w:rPr>
                <w:sz w:val="18"/>
              </w:rPr>
              <w:t>Private schools</w:t>
            </w:r>
          </w:p>
        </w:tc>
        <w:tc>
          <w:tcPr>
            <w:tcW w:w="1303" w:type="dxa"/>
            <w:shd w:val="clear" w:color="auto" w:fill="auto"/>
            <w:vAlign w:val="bottom"/>
          </w:tcPr>
          <w:p w:rsidR="00807D8D" w:rsidRPr="00E34389" w:rsidRDefault="00807D8D" w:rsidP="00697544">
            <w:pPr>
              <w:suppressAutoHyphens w:val="0"/>
              <w:spacing w:before="40" w:after="40" w:line="220" w:lineRule="exact"/>
              <w:ind w:left="145" w:right="113"/>
              <w:jc w:val="right"/>
              <w:rPr>
                <w:sz w:val="18"/>
              </w:rPr>
            </w:pPr>
          </w:p>
        </w:tc>
        <w:tc>
          <w:tcPr>
            <w:tcW w:w="1225" w:type="dxa"/>
            <w:shd w:val="clear" w:color="auto" w:fill="auto"/>
            <w:vAlign w:val="bottom"/>
          </w:tcPr>
          <w:p w:rsidR="00807D8D" w:rsidRPr="00E34389" w:rsidRDefault="00807D8D" w:rsidP="00697544">
            <w:pPr>
              <w:suppressAutoHyphens w:val="0"/>
              <w:spacing w:before="40" w:after="40" w:line="220" w:lineRule="exact"/>
              <w:ind w:left="145" w:right="113"/>
              <w:jc w:val="right"/>
              <w:rPr>
                <w:sz w:val="18"/>
              </w:rPr>
            </w:pPr>
          </w:p>
        </w:tc>
        <w:tc>
          <w:tcPr>
            <w:tcW w:w="1383" w:type="dxa"/>
            <w:shd w:val="clear" w:color="auto" w:fill="auto"/>
            <w:vAlign w:val="bottom"/>
          </w:tcPr>
          <w:p w:rsidR="00807D8D" w:rsidRPr="00E34389" w:rsidRDefault="00807D8D" w:rsidP="00697544">
            <w:pPr>
              <w:suppressAutoHyphens w:val="0"/>
              <w:spacing w:before="40" w:after="40" w:line="220" w:lineRule="exact"/>
              <w:ind w:left="145" w:right="113"/>
              <w:jc w:val="right"/>
              <w:rPr>
                <w:sz w:val="18"/>
              </w:rPr>
            </w:pPr>
          </w:p>
        </w:tc>
        <w:tc>
          <w:tcPr>
            <w:tcW w:w="1021" w:type="dxa"/>
            <w:shd w:val="clear" w:color="auto" w:fill="auto"/>
            <w:vAlign w:val="bottom"/>
          </w:tcPr>
          <w:p w:rsidR="00807D8D" w:rsidRPr="00E34389" w:rsidRDefault="00807D8D" w:rsidP="00697544">
            <w:pPr>
              <w:suppressAutoHyphens w:val="0"/>
              <w:spacing w:before="40" w:after="40" w:line="220" w:lineRule="exact"/>
              <w:ind w:left="145" w:right="113"/>
              <w:jc w:val="right"/>
              <w:rPr>
                <w:sz w:val="18"/>
              </w:rPr>
            </w:pPr>
          </w:p>
        </w:tc>
      </w:tr>
      <w:tr w:rsidR="00807D8D" w:rsidRPr="009C5335" w:rsidTr="00AD0B17">
        <w:tc>
          <w:tcPr>
            <w:tcW w:w="2438" w:type="dxa"/>
            <w:shd w:val="clear" w:color="auto" w:fill="auto"/>
          </w:tcPr>
          <w:p w:rsidR="00807D8D" w:rsidRPr="003D6C5E" w:rsidRDefault="00807D8D" w:rsidP="00807D8D">
            <w:pPr>
              <w:suppressAutoHyphens w:val="0"/>
              <w:spacing w:before="40" w:after="40" w:line="220" w:lineRule="exact"/>
              <w:ind w:left="145" w:right="113"/>
              <w:rPr>
                <w:sz w:val="18"/>
              </w:rPr>
            </w:pPr>
            <w:r w:rsidRPr="003D6C5E">
              <w:rPr>
                <w:sz w:val="18"/>
              </w:rPr>
              <w:t>School units</w:t>
            </w:r>
          </w:p>
        </w:tc>
        <w:tc>
          <w:tcPr>
            <w:tcW w:w="1303" w:type="dxa"/>
            <w:shd w:val="clear" w:color="auto" w:fill="auto"/>
            <w:vAlign w:val="bottom"/>
          </w:tcPr>
          <w:p w:rsidR="00807D8D" w:rsidRPr="00E34389" w:rsidRDefault="00E04F5B" w:rsidP="00E04F5B">
            <w:pPr>
              <w:suppressAutoHyphens w:val="0"/>
              <w:spacing w:before="40" w:after="40" w:line="220" w:lineRule="exact"/>
              <w:ind w:right="113"/>
              <w:jc w:val="right"/>
              <w:rPr>
                <w:sz w:val="18"/>
              </w:rPr>
            </w:pPr>
            <w:r>
              <w:rPr>
                <w:sz w:val="18"/>
              </w:rPr>
              <w:t>99</w:t>
            </w:r>
          </w:p>
        </w:tc>
        <w:tc>
          <w:tcPr>
            <w:tcW w:w="1225" w:type="dxa"/>
            <w:shd w:val="clear" w:color="auto" w:fill="auto"/>
            <w:vAlign w:val="bottom"/>
          </w:tcPr>
          <w:p w:rsidR="00807D8D" w:rsidRPr="00E34389" w:rsidRDefault="00E04F5B" w:rsidP="00E04F5B">
            <w:pPr>
              <w:suppressAutoHyphens w:val="0"/>
              <w:spacing w:before="40" w:after="40" w:line="220" w:lineRule="exact"/>
              <w:ind w:right="113"/>
              <w:jc w:val="right"/>
              <w:rPr>
                <w:sz w:val="18"/>
              </w:rPr>
            </w:pPr>
            <w:r>
              <w:rPr>
                <w:sz w:val="18"/>
              </w:rPr>
              <w:t>99</w:t>
            </w:r>
          </w:p>
        </w:tc>
        <w:tc>
          <w:tcPr>
            <w:tcW w:w="1383" w:type="dxa"/>
            <w:shd w:val="clear" w:color="auto" w:fill="auto"/>
            <w:vAlign w:val="bottom"/>
          </w:tcPr>
          <w:p w:rsidR="00807D8D" w:rsidRPr="00E34389" w:rsidRDefault="00E04F5B" w:rsidP="00E04F5B">
            <w:pPr>
              <w:suppressAutoHyphens w:val="0"/>
              <w:spacing w:before="40" w:after="40" w:line="220" w:lineRule="exact"/>
              <w:ind w:right="113"/>
              <w:jc w:val="right"/>
              <w:rPr>
                <w:sz w:val="18"/>
              </w:rPr>
            </w:pPr>
            <w:r>
              <w:rPr>
                <w:sz w:val="18"/>
              </w:rPr>
              <w:t>98</w:t>
            </w:r>
          </w:p>
        </w:tc>
        <w:tc>
          <w:tcPr>
            <w:tcW w:w="1021" w:type="dxa"/>
            <w:shd w:val="clear" w:color="auto" w:fill="auto"/>
            <w:vAlign w:val="bottom"/>
          </w:tcPr>
          <w:p w:rsidR="00807D8D" w:rsidRPr="00E34389" w:rsidRDefault="00E04F5B" w:rsidP="00E04F5B">
            <w:pPr>
              <w:suppressAutoHyphens w:val="0"/>
              <w:spacing w:before="40" w:after="40" w:line="220" w:lineRule="exact"/>
              <w:ind w:right="113"/>
              <w:jc w:val="right"/>
              <w:rPr>
                <w:sz w:val="18"/>
              </w:rPr>
            </w:pPr>
            <w:r>
              <w:rPr>
                <w:sz w:val="18"/>
              </w:rPr>
              <w:t>98</w:t>
            </w:r>
          </w:p>
        </w:tc>
      </w:tr>
      <w:tr w:rsidR="00807D8D" w:rsidRPr="009C5335" w:rsidTr="00AD0B17">
        <w:tc>
          <w:tcPr>
            <w:tcW w:w="2438" w:type="dxa"/>
            <w:shd w:val="clear" w:color="auto" w:fill="auto"/>
          </w:tcPr>
          <w:p w:rsidR="00807D8D" w:rsidRPr="003D6C5E" w:rsidRDefault="00807D8D" w:rsidP="00807D8D">
            <w:pPr>
              <w:suppressAutoHyphens w:val="0"/>
              <w:spacing w:before="40" w:after="40" w:line="220" w:lineRule="exact"/>
              <w:ind w:left="145" w:right="113"/>
              <w:rPr>
                <w:sz w:val="18"/>
              </w:rPr>
            </w:pPr>
            <w:r w:rsidRPr="003D6C5E">
              <w:rPr>
                <w:sz w:val="18"/>
              </w:rPr>
              <w:t>Teaching staff</w:t>
            </w:r>
          </w:p>
        </w:tc>
        <w:tc>
          <w:tcPr>
            <w:tcW w:w="1303" w:type="dxa"/>
            <w:shd w:val="clear" w:color="auto" w:fill="auto"/>
            <w:vAlign w:val="bottom"/>
          </w:tcPr>
          <w:p w:rsidR="00807D8D" w:rsidRPr="00E34389" w:rsidRDefault="00E04F5B" w:rsidP="00E04F5B">
            <w:pPr>
              <w:suppressAutoHyphens w:val="0"/>
              <w:spacing w:before="40" w:after="40" w:line="220" w:lineRule="exact"/>
              <w:ind w:right="113"/>
              <w:jc w:val="right"/>
              <w:rPr>
                <w:sz w:val="18"/>
              </w:rPr>
            </w:pPr>
            <w:r>
              <w:rPr>
                <w:sz w:val="18"/>
              </w:rPr>
              <w:t>2</w:t>
            </w:r>
            <w:r w:rsidR="0028496F">
              <w:rPr>
                <w:sz w:val="18"/>
              </w:rPr>
              <w:t xml:space="preserve"> </w:t>
            </w:r>
            <w:r>
              <w:rPr>
                <w:sz w:val="18"/>
              </w:rPr>
              <w:t>262</w:t>
            </w:r>
          </w:p>
        </w:tc>
        <w:tc>
          <w:tcPr>
            <w:tcW w:w="1225" w:type="dxa"/>
            <w:shd w:val="clear" w:color="auto" w:fill="auto"/>
            <w:vAlign w:val="bottom"/>
          </w:tcPr>
          <w:p w:rsidR="00807D8D" w:rsidRPr="00E34389" w:rsidRDefault="00E04F5B" w:rsidP="00E04F5B">
            <w:pPr>
              <w:suppressAutoHyphens w:val="0"/>
              <w:spacing w:before="40" w:after="40" w:line="220" w:lineRule="exact"/>
              <w:ind w:right="113"/>
              <w:jc w:val="right"/>
              <w:rPr>
                <w:sz w:val="18"/>
              </w:rPr>
            </w:pPr>
            <w:r>
              <w:rPr>
                <w:sz w:val="18"/>
              </w:rPr>
              <w:t>2</w:t>
            </w:r>
            <w:r w:rsidR="0028496F">
              <w:rPr>
                <w:sz w:val="18"/>
              </w:rPr>
              <w:t xml:space="preserve"> </w:t>
            </w:r>
            <w:r>
              <w:rPr>
                <w:sz w:val="18"/>
              </w:rPr>
              <w:t>197</w:t>
            </w:r>
          </w:p>
        </w:tc>
        <w:tc>
          <w:tcPr>
            <w:tcW w:w="1383" w:type="dxa"/>
            <w:shd w:val="clear" w:color="auto" w:fill="auto"/>
            <w:vAlign w:val="bottom"/>
          </w:tcPr>
          <w:p w:rsidR="00807D8D" w:rsidRPr="00E34389" w:rsidRDefault="00E04F5B" w:rsidP="00E04F5B">
            <w:pPr>
              <w:suppressAutoHyphens w:val="0"/>
              <w:spacing w:before="40" w:after="40" w:line="220" w:lineRule="exact"/>
              <w:ind w:right="113"/>
              <w:jc w:val="right"/>
              <w:rPr>
                <w:sz w:val="18"/>
              </w:rPr>
            </w:pPr>
            <w:r>
              <w:rPr>
                <w:sz w:val="18"/>
              </w:rPr>
              <w:t>2</w:t>
            </w:r>
            <w:r w:rsidR="0028496F">
              <w:rPr>
                <w:sz w:val="18"/>
              </w:rPr>
              <w:t xml:space="preserve"> </w:t>
            </w:r>
            <w:r>
              <w:rPr>
                <w:sz w:val="18"/>
              </w:rPr>
              <w:t>080</w:t>
            </w:r>
          </w:p>
        </w:tc>
        <w:tc>
          <w:tcPr>
            <w:tcW w:w="1021" w:type="dxa"/>
            <w:shd w:val="clear" w:color="auto" w:fill="auto"/>
            <w:vAlign w:val="bottom"/>
          </w:tcPr>
          <w:p w:rsidR="00807D8D" w:rsidRPr="00E34389" w:rsidRDefault="00E04F5B" w:rsidP="00E04F5B">
            <w:pPr>
              <w:suppressAutoHyphens w:val="0"/>
              <w:spacing w:before="40" w:after="40" w:line="220" w:lineRule="exact"/>
              <w:ind w:right="113"/>
              <w:jc w:val="right"/>
              <w:rPr>
                <w:sz w:val="18"/>
              </w:rPr>
            </w:pPr>
            <w:r>
              <w:rPr>
                <w:sz w:val="18"/>
              </w:rPr>
              <w:t>2</w:t>
            </w:r>
            <w:r w:rsidR="0028496F">
              <w:rPr>
                <w:sz w:val="18"/>
              </w:rPr>
              <w:t xml:space="preserve"> </w:t>
            </w:r>
            <w:r>
              <w:rPr>
                <w:sz w:val="18"/>
              </w:rPr>
              <w:t>010</w:t>
            </w:r>
          </w:p>
        </w:tc>
      </w:tr>
      <w:tr w:rsidR="00807D8D" w:rsidRPr="009C5335" w:rsidTr="00AD0B17">
        <w:tc>
          <w:tcPr>
            <w:tcW w:w="2438" w:type="dxa"/>
            <w:shd w:val="clear" w:color="auto" w:fill="auto"/>
          </w:tcPr>
          <w:p w:rsidR="00807D8D" w:rsidRPr="003D6C5E" w:rsidRDefault="00807D8D" w:rsidP="00807D8D">
            <w:pPr>
              <w:suppressAutoHyphens w:val="0"/>
              <w:spacing w:before="40" w:after="40" w:line="220" w:lineRule="exact"/>
              <w:ind w:left="145" w:right="113"/>
              <w:rPr>
                <w:sz w:val="18"/>
              </w:rPr>
            </w:pPr>
            <w:r w:rsidRPr="003D6C5E">
              <w:rPr>
                <w:sz w:val="18"/>
              </w:rPr>
              <w:t>Pupils</w:t>
            </w:r>
          </w:p>
        </w:tc>
        <w:tc>
          <w:tcPr>
            <w:tcW w:w="1303" w:type="dxa"/>
            <w:shd w:val="clear" w:color="auto" w:fill="auto"/>
            <w:vAlign w:val="bottom"/>
          </w:tcPr>
          <w:p w:rsidR="00807D8D" w:rsidRPr="00E34389" w:rsidRDefault="00E04F5B" w:rsidP="00E04F5B">
            <w:pPr>
              <w:suppressAutoHyphens w:val="0"/>
              <w:spacing w:before="40" w:after="40" w:line="220" w:lineRule="exact"/>
              <w:ind w:right="113"/>
              <w:jc w:val="right"/>
              <w:rPr>
                <w:sz w:val="18"/>
              </w:rPr>
            </w:pPr>
            <w:r>
              <w:rPr>
                <w:sz w:val="18"/>
              </w:rPr>
              <w:t>16</w:t>
            </w:r>
            <w:r w:rsidR="0028496F">
              <w:rPr>
                <w:sz w:val="18"/>
              </w:rPr>
              <w:t xml:space="preserve"> </w:t>
            </w:r>
            <w:r>
              <w:rPr>
                <w:sz w:val="18"/>
              </w:rPr>
              <w:t>328</w:t>
            </w:r>
          </w:p>
        </w:tc>
        <w:tc>
          <w:tcPr>
            <w:tcW w:w="1225" w:type="dxa"/>
            <w:shd w:val="clear" w:color="auto" w:fill="auto"/>
            <w:vAlign w:val="bottom"/>
          </w:tcPr>
          <w:p w:rsidR="00807D8D" w:rsidRPr="00E34389" w:rsidRDefault="00697544" w:rsidP="00E04F5B">
            <w:pPr>
              <w:suppressAutoHyphens w:val="0"/>
              <w:spacing w:before="40" w:after="40" w:line="220" w:lineRule="exact"/>
              <w:ind w:right="113"/>
              <w:jc w:val="right"/>
              <w:rPr>
                <w:sz w:val="18"/>
              </w:rPr>
            </w:pPr>
            <w:r w:rsidRPr="005368E8">
              <w:rPr>
                <w:sz w:val="18"/>
              </w:rPr>
              <w:t>16</w:t>
            </w:r>
            <w:r w:rsidR="0028496F">
              <w:rPr>
                <w:sz w:val="18"/>
              </w:rPr>
              <w:t xml:space="preserve"> </w:t>
            </w:r>
            <w:r w:rsidRPr="005368E8">
              <w:rPr>
                <w:sz w:val="18"/>
              </w:rPr>
              <w:t>1</w:t>
            </w:r>
            <w:r w:rsidR="00E04F5B">
              <w:rPr>
                <w:sz w:val="18"/>
              </w:rPr>
              <w:t>82</w:t>
            </w:r>
          </w:p>
        </w:tc>
        <w:tc>
          <w:tcPr>
            <w:tcW w:w="1383" w:type="dxa"/>
            <w:shd w:val="clear" w:color="auto" w:fill="auto"/>
            <w:vAlign w:val="bottom"/>
          </w:tcPr>
          <w:p w:rsidR="00807D8D" w:rsidRPr="00E34389" w:rsidRDefault="00E04F5B" w:rsidP="00E04F5B">
            <w:pPr>
              <w:suppressAutoHyphens w:val="0"/>
              <w:spacing w:before="40" w:after="40" w:line="220" w:lineRule="exact"/>
              <w:ind w:right="113"/>
              <w:jc w:val="right"/>
              <w:rPr>
                <w:sz w:val="18"/>
              </w:rPr>
            </w:pPr>
            <w:r>
              <w:rPr>
                <w:sz w:val="18"/>
              </w:rPr>
              <w:t>15</w:t>
            </w:r>
            <w:r w:rsidR="0028496F">
              <w:rPr>
                <w:sz w:val="18"/>
              </w:rPr>
              <w:t xml:space="preserve"> </w:t>
            </w:r>
            <w:r>
              <w:rPr>
                <w:sz w:val="18"/>
              </w:rPr>
              <w:t>087</w:t>
            </w:r>
          </w:p>
        </w:tc>
        <w:tc>
          <w:tcPr>
            <w:tcW w:w="1021" w:type="dxa"/>
            <w:shd w:val="clear" w:color="auto" w:fill="auto"/>
            <w:vAlign w:val="bottom"/>
          </w:tcPr>
          <w:p w:rsidR="00807D8D" w:rsidRPr="00E34389" w:rsidRDefault="00E04F5B" w:rsidP="00E04F5B">
            <w:pPr>
              <w:suppressAutoHyphens w:val="0"/>
              <w:spacing w:before="40" w:after="40" w:line="220" w:lineRule="exact"/>
              <w:ind w:right="113"/>
              <w:jc w:val="right"/>
              <w:rPr>
                <w:sz w:val="18"/>
              </w:rPr>
            </w:pPr>
            <w:r>
              <w:rPr>
                <w:sz w:val="18"/>
              </w:rPr>
              <w:t>14</w:t>
            </w:r>
            <w:r w:rsidR="0028496F">
              <w:rPr>
                <w:sz w:val="18"/>
              </w:rPr>
              <w:t xml:space="preserve"> </w:t>
            </w:r>
            <w:r>
              <w:rPr>
                <w:sz w:val="18"/>
              </w:rPr>
              <w:t>042</w:t>
            </w:r>
          </w:p>
        </w:tc>
      </w:tr>
      <w:tr w:rsidR="00807D8D" w:rsidRPr="009C5335" w:rsidTr="00AD0B17">
        <w:tc>
          <w:tcPr>
            <w:tcW w:w="2438" w:type="dxa"/>
            <w:shd w:val="clear" w:color="auto" w:fill="auto"/>
          </w:tcPr>
          <w:p w:rsidR="00807D8D" w:rsidRPr="003D6C5E" w:rsidRDefault="00807D8D" w:rsidP="00807D8D">
            <w:pPr>
              <w:suppressAutoHyphens w:val="0"/>
              <w:spacing w:before="40" w:after="40" w:line="220" w:lineRule="exact"/>
              <w:ind w:left="145" w:right="113"/>
              <w:rPr>
                <w:sz w:val="18"/>
              </w:rPr>
            </w:pPr>
            <w:r w:rsidRPr="003D6C5E">
              <w:rPr>
                <w:sz w:val="18"/>
              </w:rPr>
              <w:t>Pupils</w:t>
            </w:r>
            <w:r w:rsidR="00E7091E">
              <w:rPr>
                <w:sz w:val="18"/>
              </w:rPr>
              <w:t>-</w:t>
            </w:r>
            <w:r w:rsidRPr="003D6C5E">
              <w:rPr>
                <w:sz w:val="18"/>
              </w:rPr>
              <w:t>teacher ratio</w:t>
            </w:r>
          </w:p>
        </w:tc>
        <w:tc>
          <w:tcPr>
            <w:tcW w:w="1303" w:type="dxa"/>
            <w:shd w:val="clear" w:color="auto" w:fill="auto"/>
            <w:vAlign w:val="bottom"/>
          </w:tcPr>
          <w:p w:rsidR="00807D8D" w:rsidRPr="00E34389" w:rsidRDefault="00697544" w:rsidP="00807D8D">
            <w:pPr>
              <w:suppressAutoHyphens w:val="0"/>
              <w:spacing w:before="40" w:after="40" w:line="220" w:lineRule="exact"/>
              <w:ind w:left="145" w:right="113"/>
              <w:jc w:val="right"/>
              <w:rPr>
                <w:sz w:val="18"/>
              </w:rPr>
            </w:pPr>
            <w:r w:rsidRPr="005368E8">
              <w:rPr>
                <w:sz w:val="18"/>
              </w:rPr>
              <w:t>7.2</w:t>
            </w:r>
          </w:p>
        </w:tc>
        <w:tc>
          <w:tcPr>
            <w:tcW w:w="1225" w:type="dxa"/>
            <w:shd w:val="clear" w:color="auto" w:fill="auto"/>
            <w:vAlign w:val="bottom"/>
          </w:tcPr>
          <w:p w:rsidR="00807D8D" w:rsidRPr="00E34389" w:rsidRDefault="00697544" w:rsidP="00807D8D">
            <w:pPr>
              <w:suppressAutoHyphens w:val="0"/>
              <w:spacing w:before="40" w:after="40" w:line="220" w:lineRule="exact"/>
              <w:ind w:left="145" w:right="113"/>
              <w:jc w:val="right"/>
              <w:rPr>
                <w:sz w:val="18"/>
              </w:rPr>
            </w:pPr>
            <w:r w:rsidRPr="005368E8">
              <w:rPr>
                <w:sz w:val="18"/>
              </w:rPr>
              <w:t>7.4</w:t>
            </w:r>
          </w:p>
        </w:tc>
        <w:tc>
          <w:tcPr>
            <w:tcW w:w="1383" w:type="dxa"/>
            <w:shd w:val="clear" w:color="auto" w:fill="auto"/>
            <w:vAlign w:val="bottom"/>
          </w:tcPr>
          <w:p w:rsidR="00807D8D" w:rsidRPr="00E34389" w:rsidRDefault="00697544" w:rsidP="00807D8D">
            <w:pPr>
              <w:suppressAutoHyphens w:val="0"/>
              <w:spacing w:before="40" w:after="40" w:line="220" w:lineRule="exact"/>
              <w:ind w:left="145" w:right="113"/>
              <w:jc w:val="right"/>
              <w:rPr>
                <w:sz w:val="18"/>
              </w:rPr>
            </w:pPr>
            <w:r w:rsidRPr="005368E8">
              <w:rPr>
                <w:sz w:val="18"/>
              </w:rPr>
              <w:t>7.3</w:t>
            </w:r>
          </w:p>
        </w:tc>
        <w:tc>
          <w:tcPr>
            <w:tcW w:w="1021" w:type="dxa"/>
            <w:shd w:val="clear" w:color="auto" w:fill="auto"/>
            <w:vAlign w:val="bottom"/>
          </w:tcPr>
          <w:p w:rsidR="00807D8D" w:rsidRPr="00E34389" w:rsidRDefault="00697544" w:rsidP="00807D8D">
            <w:pPr>
              <w:suppressAutoHyphens w:val="0"/>
              <w:spacing w:before="40" w:after="40" w:line="220" w:lineRule="exact"/>
              <w:ind w:left="145" w:right="113"/>
              <w:jc w:val="right"/>
              <w:rPr>
                <w:sz w:val="18"/>
              </w:rPr>
            </w:pPr>
            <w:r w:rsidRPr="005368E8">
              <w:rPr>
                <w:sz w:val="18"/>
              </w:rPr>
              <w:t>7.0</w:t>
            </w:r>
          </w:p>
        </w:tc>
      </w:tr>
    </w:tbl>
    <w:p w:rsidR="00F233AB" w:rsidRPr="00B02247" w:rsidRDefault="005B2A41" w:rsidP="008660D2">
      <w:pPr>
        <w:pStyle w:val="H23G"/>
      </w:pPr>
      <w:r>
        <w:t xml:space="preserve"> </w:t>
      </w:r>
      <w:r w:rsidR="00E7091E">
        <w:tab/>
      </w:r>
      <w:r w:rsidR="00E7091E">
        <w:tab/>
      </w:r>
      <w:r w:rsidR="00E7091E" w:rsidRPr="00B02247">
        <w:t>3B</w:t>
      </w:r>
      <w:r w:rsidR="00E7091E">
        <w:t xml:space="preserve">. </w:t>
      </w:r>
      <w:r w:rsidR="00E7091E" w:rsidRPr="00B02247">
        <w:t>Secondary</w:t>
      </w:r>
      <w:r w:rsidR="00E7091E">
        <w:t xml:space="preserve"> </w:t>
      </w:r>
      <w:r w:rsidR="00E7091E" w:rsidRPr="00B02247">
        <w:t>(compulsory)</w:t>
      </w:r>
      <w:r w:rsidR="00E7091E">
        <w:t xml:space="preserve"> </w:t>
      </w:r>
      <w:r w:rsidR="00E7091E" w:rsidRPr="00B02247">
        <w:t>education:</w:t>
      </w:r>
      <w:r w:rsidR="00E7091E">
        <w:t xml:space="preserve"> </w:t>
      </w:r>
      <w:r w:rsidR="00E7091E" w:rsidRPr="00B02247">
        <w:t>Pupils,</w:t>
      </w:r>
      <w:r w:rsidR="00E7091E">
        <w:t xml:space="preserve"> </w:t>
      </w:r>
      <w:r w:rsidR="00E7091E" w:rsidRPr="00B02247">
        <w:t>school</w:t>
      </w:r>
      <w:r w:rsidR="00E7091E">
        <w:t xml:space="preserve"> </w:t>
      </w:r>
      <w:r w:rsidR="00E7091E" w:rsidRPr="00B02247">
        <w:t>units</w:t>
      </w:r>
      <w:r w:rsidR="00E7091E">
        <w:t xml:space="preserve"> </w:t>
      </w:r>
      <w:r w:rsidR="00E7091E" w:rsidRPr="00B02247">
        <w:t>and</w:t>
      </w:r>
      <w:r w:rsidR="00E7091E">
        <w:t xml:space="preserve"> </w:t>
      </w:r>
      <w:r w:rsidR="00E7091E" w:rsidRPr="00B02247">
        <w:t>teaching</w:t>
      </w:r>
      <w:r w:rsidR="00E7091E">
        <w:t xml:space="preserve"> </w:t>
      </w:r>
      <w:r w:rsidR="00E7091E" w:rsidRPr="00B02247">
        <w:t>staff</w:t>
      </w:r>
      <w:r w:rsidR="00E7091E">
        <w:t xml:space="preserve"> </w:t>
      </w:r>
      <w:r w:rsidR="00E7091E" w:rsidRPr="00B02247">
        <w:t>by</w:t>
      </w:r>
      <w:r w:rsidR="00E7091E">
        <w:t xml:space="preserve"> </w:t>
      </w:r>
      <w:r w:rsidR="00E7091E" w:rsidRPr="00B02247">
        <w:t>the</w:t>
      </w:r>
      <w:r w:rsidR="00E7091E">
        <w:t xml:space="preserve"> </w:t>
      </w:r>
      <w:r w:rsidR="00E7091E" w:rsidRPr="00B02247">
        <w:t>end</w:t>
      </w:r>
      <w:r w:rsidR="00E7091E">
        <w:t xml:space="preserve"> </w:t>
      </w:r>
      <w:r w:rsidR="00E7091E" w:rsidRPr="00B02247">
        <w:t>of</w:t>
      </w:r>
      <w:r w:rsidR="00E7091E">
        <w:t xml:space="preserve"> </w:t>
      </w:r>
      <w:r w:rsidR="00E7091E" w:rsidRPr="00B02247">
        <w:t>school</w:t>
      </w:r>
      <w:r w:rsidR="00E7091E">
        <w:t xml:space="preserve"> </w:t>
      </w:r>
      <w:r w:rsidR="00E7091E" w:rsidRPr="00B02247">
        <w:t>years</w:t>
      </w:r>
      <w:r w:rsidR="00E7091E">
        <w:t xml:space="preserve"> </w:t>
      </w:r>
      <w:r w:rsidR="00E7091E" w:rsidRPr="00B02247">
        <w:t>2010/11–2013/14</w:t>
      </w:r>
      <w:r w:rsidR="00E7091E">
        <w:t xml:space="preserve"> </w:t>
      </w:r>
      <w:r w:rsidR="00E7091E" w:rsidRPr="00B02247">
        <w:t>(</w:t>
      </w:r>
      <w:r w:rsidR="0028496F">
        <w:t>E</w:t>
      </w:r>
      <w:r w:rsidR="0028496F" w:rsidRPr="00B02247">
        <w:t>vening</w:t>
      </w:r>
      <w:r w:rsidR="0028496F">
        <w:t xml:space="preserve"> </w:t>
      </w:r>
      <w:r w:rsidR="0028496F" w:rsidRPr="00B02247">
        <w:t>schools</w:t>
      </w:r>
      <w:r w:rsidR="00E7091E" w:rsidRPr="00B02247">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38"/>
        <w:gridCol w:w="1303"/>
        <w:gridCol w:w="1225"/>
        <w:gridCol w:w="1383"/>
        <w:gridCol w:w="1021"/>
      </w:tblGrid>
      <w:tr w:rsidR="00E7091E" w:rsidRPr="009C5335" w:rsidTr="00AD0B17">
        <w:trPr>
          <w:tblHeader/>
        </w:trPr>
        <w:tc>
          <w:tcPr>
            <w:tcW w:w="2438" w:type="dxa"/>
            <w:tcBorders>
              <w:top w:val="single" w:sz="4" w:space="0" w:color="auto"/>
              <w:bottom w:val="single" w:sz="12" w:space="0" w:color="auto"/>
            </w:tcBorders>
            <w:shd w:val="clear" w:color="auto" w:fill="auto"/>
            <w:vAlign w:val="bottom"/>
          </w:tcPr>
          <w:p w:rsidR="00E7091E" w:rsidRPr="009C5335" w:rsidRDefault="00E7091E" w:rsidP="00AD0B17">
            <w:pPr>
              <w:suppressAutoHyphens w:val="0"/>
              <w:spacing w:before="80" w:after="80" w:line="200" w:lineRule="exact"/>
              <w:ind w:right="113"/>
              <w:rPr>
                <w:i/>
                <w:sz w:val="16"/>
              </w:rPr>
            </w:pPr>
          </w:p>
        </w:tc>
        <w:tc>
          <w:tcPr>
            <w:tcW w:w="1303" w:type="dxa"/>
            <w:tcBorders>
              <w:top w:val="single" w:sz="4" w:space="0" w:color="auto"/>
              <w:bottom w:val="single" w:sz="12" w:space="0" w:color="auto"/>
            </w:tcBorders>
            <w:shd w:val="clear" w:color="auto" w:fill="auto"/>
            <w:vAlign w:val="bottom"/>
          </w:tcPr>
          <w:p w:rsidR="00E7091E" w:rsidRPr="005368E8" w:rsidRDefault="00E7091E" w:rsidP="00AD0B17">
            <w:pPr>
              <w:suppressAutoHyphens w:val="0"/>
              <w:spacing w:before="80" w:after="80" w:line="200" w:lineRule="exact"/>
              <w:ind w:right="113"/>
              <w:jc w:val="right"/>
              <w:rPr>
                <w:i/>
                <w:sz w:val="16"/>
              </w:rPr>
            </w:pPr>
            <w:r>
              <w:rPr>
                <w:i/>
                <w:sz w:val="16"/>
              </w:rPr>
              <w:t>2010/11</w:t>
            </w:r>
          </w:p>
        </w:tc>
        <w:tc>
          <w:tcPr>
            <w:tcW w:w="1225" w:type="dxa"/>
            <w:tcBorders>
              <w:top w:val="single" w:sz="4" w:space="0" w:color="auto"/>
              <w:bottom w:val="single" w:sz="12" w:space="0" w:color="auto"/>
            </w:tcBorders>
            <w:shd w:val="clear" w:color="auto" w:fill="auto"/>
            <w:vAlign w:val="bottom"/>
          </w:tcPr>
          <w:p w:rsidR="00E7091E" w:rsidRPr="005368E8" w:rsidRDefault="00E7091E" w:rsidP="00AD0B17">
            <w:pPr>
              <w:suppressAutoHyphens w:val="0"/>
              <w:spacing w:before="80" w:after="80" w:line="200" w:lineRule="exact"/>
              <w:ind w:right="113"/>
              <w:jc w:val="right"/>
              <w:rPr>
                <w:i/>
                <w:sz w:val="16"/>
              </w:rPr>
            </w:pPr>
            <w:r w:rsidRPr="005368E8">
              <w:rPr>
                <w:i/>
                <w:sz w:val="16"/>
              </w:rPr>
              <w:t>2011/12</w:t>
            </w:r>
          </w:p>
        </w:tc>
        <w:tc>
          <w:tcPr>
            <w:tcW w:w="1383" w:type="dxa"/>
            <w:tcBorders>
              <w:top w:val="single" w:sz="4" w:space="0" w:color="auto"/>
              <w:bottom w:val="single" w:sz="12" w:space="0" w:color="auto"/>
            </w:tcBorders>
            <w:shd w:val="clear" w:color="auto" w:fill="auto"/>
            <w:vAlign w:val="bottom"/>
          </w:tcPr>
          <w:p w:rsidR="00E7091E" w:rsidRPr="005368E8" w:rsidRDefault="00E7091E" w:rsidP="00AD0B17">
            <w:pPr>
              <w:suppressAutoHyphens w:val="0"/>
              <w:spacing w:before="80" w:after="80" w:line="200" w:lineRule="exact"/>
              <w:ind w:right="113"/>
              <w:jc w:val="right"/>
              <w:rPr>
                <w:i/>
                <w:sz w:val="16"/>
              </w:rPr>
            </w:pPr>
            <w:r w:rsidRPr="005368E8">
              <w:rPr>
                <w:i/>
                <w:sz w:val="16"/>
              </w:rPr>
              <w:t>2012/13</w:t>
            </w:r>
          </w:p>
        </w:tc>
        <w:tc>
          <w:tcPr>
            <w:tcW w:w="1021" w:type="dxa"/>
            <w:tcBorders>
              <w:top w:val="single" w:sz="4" w:space="0" w:color="auto"/>
              <w:bottom w:val="single" w:sz="12" w:space="0" w:color="auto"/>
            </w:tcBorders>
            <w:shd w:val="clear" w:color="auto" w:fill="auto"/>
            <w:vAlign w:val="bottom"/>
          </w:tcPr>
          <w:p w:rsidR="00E7091E" w:rsidRPr="005368E8" w:rsidRDefault="00E7091E" w:rsidP="00AD0B17">
            <w:pPr>
              <w:suppressAutoHyphens w:val="0"/>
              <w:spacing w:before="80" w:after="80" w:line="200" w:lineRule="exact"/>
              <w:ind w:right="113"/>
              <w:jc w:val="right"/>
              <w:rPr>
                <w:i/>
                <w:sz w:val="16"/>
              </w:rPr>
            </w:pPr>
            <w:r w:rsidRPr="005368E8">
              <w:rPr>
                <w:i/>
                <w:sz w:val="16"/>
              </w:rPr>
              <w:t>2013/14</w:t>
            </w:r>
          </w:p>
        </w:tc>
      </w:tr>
      <w:tr w:rsidR="005023C8" w:rsidRPr="009C5335" w:rsidTr="00AD0B17">
        <w:tc>
          <w:tcPr>
            <w:tcW w:w="2438" w:type="dxa"/>
            <w:tcBorders>
              <w:bottom w:val="nil"/>
            </w:tcBorders>
            <w:shd w:val="clear" w:color="auto" w:fill="auto"/>
          </w:tcPr>
          <w:p w:rsidR="005023C8" w:rsidRPr="009C5335" w:rsidRDefault="005023C8" w:rsidP="005023C8">
            <w:pPr>
              <w:suppressAutoHyphens w:val="0"/>
              <w:spacing w:before="40" w:after="40" w:line="220" w:lineRule="exact"/>
              <w:ind w:right="113"/>
              <w:rPr>
                <w:sz w:val="18"/>
              </w:rPr>
            </w:pPr>
            <w:r w:rsidRPr="009C5335">
              <w:rPr>
                <w:sz w:val="18"/>
              </w:rPr>
              <w:t>Public schools</w:t>
            </w:r>
          </w:p>
        </w:tc>
        <w:tc>
          <w:tcPr>
            <w:tcW w:w="1303" w:type="dxa"/>
            <w:tcBorders>
              <w:bottom w:val="nil"/>
            </w:tcBorders>
            <w:shd w:val="clear" w:color="auto" w:fill="auto"/>
            <w:vAlign w:val="bottom"/>
          </w:tcPr>
          <w:p w:rsidR="005023C8" w:rsidRPr="00E7091E" w:rsidRDefault="005023C8" w:rsidP="005023C8">
            <w:pPr>
              <w:suppressAutoHyphens w:val="0"/>
              <w:spacing w:before="40" w:after="40" w:line="220" w:lineRule="exact"/>
              <w:ind w:right="113"/>
              <w:jc w:val="right"/>
              <w:rPr>
                <w:sz w:val="18"/>
              </w:rPr>
            </w:pPr>
            <w:r>
              <w:rPr>
                <w:sz w:val="18"/>
              </w:rPr>
              <w:t>79</w:t>
            </w:r>
          </w:p>
        </w:tc>
        <w:tc>
          <w:tcPr>
            <w:tcW w:w="1225" w:type="dxa"/>
            <w:tcBorders>
              <w:bottom w:val="nil"/>
            </w:tcBorders>
            <w:shd w:val="clear" w:color="auto" w:fill="auto"/>
            <w:vAlign w:val="bottom"/>
          </w:tcPr>
          <w:p w:rsidR="005023C8" w:rsidRPr="00E7091E" w:rsidRDefault="005023C8" w:rsidP="005023C8">
            <w:pPr>
              <w:suppressAutoHyphens w:val="0"/>
              <w:spacing w:before="40" w:after="40" w:line="220" w:lineRule="exact"/>
              <w:ind w:right="113"/>
              <w:jc w:val="right"/>
              <w:rPr>
                <w:sz w:val="18"/>
              </w:rPr>
            </w:pPr>
            <w:r>
              <w:rPr>
                <w:sz w:val="18"/>
              </w:rPr>
              <w:t>72</w:t>
            </w:r>
          </w:p>
        </w:tc>
        <w:tc>
          <w:tcPr>
            <w:tcW w:w="1383" w:type="dxa"/>
            <w:tcBorders>
              <w:bottom w:val="nil"/>
            </w:tcBorders>
            <w:shd w:val="clear" w:color="auto" w:fill="auto"/>
            <w:vAlign w:val="bottom"/>
          </w:tcPr>
          <w:p w:rsidR="005023C8" w:rsidRPr="00E7091E" w:rsidRDefault="005023C8" w:rsidP="005023C8">
            <w:pPr>
              <w:suppressAutoHyphens w:val="0"/>
              <w:spacing w:before="40" w:after="40" w:line="220" w:lineRule="exact"/>
              <w:ind w:right="113"/>
              <w:jc w:val="right"/>
              <w:rPr>
                <w:sz w:val="18"/>
              </w:rPr>
            </w:pPr>
            <w:r>
              <w:rPr>
                <w:sz w:val="18"/>
              </w:rPr>
              <w:t>70</w:t>
            </w:r>
          </w:p>
        </w:tc>
        <w:tc>
          <w:tcPr>
            <w:tcW w:w="1021" w:type="dxa"/>
            <w:tcBorders>
              <w:bottom w:val="nil"/>
            </w:tcBorders>
            <w:shd w:val="clear" w:color="auto" w:fill="auto"/>
            <w:vAlign w:val="bottom"/>
          </w:tcPr>
          <w:p w:rsidR="005023C8" w:rsidRPr="00E7091E" w:rsidRDefault="005023C8" w:rsidP="005023C8">
            <w:pPr>
              <w:suppressAutoHyphens w:val="0"/>
              <w:spacing w:before="40" w:after="40" w:line="220" w:lineRule="exact"/>
              <w:ind w:right="113"/>
              <w:jc w:val="right"/>
              <w:rPr>
                <w:sz w:val="18"/>
              </w:rPr>
            </w:pPr>
            <w:r>
              <w:rPr>
                <w:sz w:val="18"/>
              </w:rPr>
              <w:t>71</w:t>
            </w:r>
          </w:p>
        </w:tc>
      </w:tr>
      <w:tr w:rsidR="005023C8" w:rsidRPr="009C5335" w:rsidTr="00AD0B17">
        <w:tc>
          <w:tcPr>
            <w:tcW w:w="2438" w:type="dxa"/>
            <w:tcBorders>
              <w:top w:val="nil"/>
              <w:bottom w:val="nil"/>
            </w:tcBorders>
            <w:shd w:val="clear" w:color="auto" w:fill="auto"/>
          </w:tcPr>
          <w:p w:rsidR="005023C8" w:rsidRPr="009C5335" w:rsidRDefault="005023C8" w:rsidP="005023C8">
            <w:pPr>
              <w:suppressAutoHyphens w:val="0"/>
              <w:spacing w:before="40" w:after="40" w:line="220" w:lineRule="exact"/>
              <w:ind w:left="145" w:right="113"/>
              <w:rPr>
                <w:sz w:val="18"/>
              </w:rPr>
            </w:pPr>
            <w:r w:rsidRPr="009C5335">
              <w:rPr>
                <w:sz w:val="18"/>
              </w:rPr>
              <w:t>School units</w:t>
            </w:r>
          </w:p>
        </w:tc>
        <w:tc>
          <w:tcPr>
            <w:tcW w:w="1303" w:type="dxa"/>
            <w:tcBorders>
              <w:top w:val="nil"/>
              <w:bottom w:val="nil"/>
            </w:tcBorders>
            <w:shd w:val="clear" w:color="auto" w:fill="auto"/>
            <w:vAlign w:val="bottom"/>
          </w:tcPr>
          <w:p w:rsidR="005023C8" w:rsidRPr="009C5335" w:rsidRDefault="004C4230" w:rsidP="004C4230">
            <w:pPr>
              <w:suppressAutoHyphens w:val="0"/>
              <w:spacing w:before="40" w:after="40" w:line="220" w:lineRule="exact"/>
              <w:ind w:right="113"/>
              <w:jc w:val="right"/>
              <w:rPr>
                <w:sz w:val="18"/>
              </w:rPr>
            </w:pPr>
            <w:r>
              <w:rPr>
                <w:sz w:val="18"/>
              </w:rPr>
              <w:t>887</w:t>
            </w:r>
          </w:p>
        </w:tc>
        <w:tc>
          <w:tcPr>
            <w:tcW w:w="1225" w:type="dxa"/>
            <w:tcBorders>
              <w:top w:val="nil"/>
              <w:bottom w:val="nil"/>
            </w:tcBorders>
            <w:shd w:val="clear" w:color="auto" w:fill="auto"/>
            <w:vAlign w:val="bottom"/>
          </w:tcPr>
          <w:p w:rsidR="005023C8" w:rsidRPr="009C5335" w:rsidRDefault="004C4230" w:rsidP="004C4230">
            <w:pPr>
              <w:suppressAutoHyphens w:val="0"/>
              <w:spacing w:before="40" w:after="40" w:line="220" w:lineRule="exact"/>
              <w:ind w:right="113"/>
              <w:jc w:val="right"/>
              <w:rPr>
                <w:sz w:val="18"/>
              </w:rPr>
            </w:pPr>
            <w:r>
              <w:rPr>
                <w:sz w:val="18"/>
              </w:rPr>
              <w:t>845</w:t>
            </w:r>
          </w:p>
        </w:tc>
        <w:tc>
          <w:tcPr>
            <w:tcW w:w="1383" w:type="dxa"/>
            <w:tcBorders>
              <w:top w:val="nil"/>
              <w:bottom w:val="nil"/>
            </w:tcBorders>
            <w:shd w:val="clear" w:color="auto" w:fill="auto"/>
            <w:vAlign w:val="bottom"/>
          </w:tcPr>
          <w:p w:rsidR="005023C8" w:rsidRPr="009C5335" w:rsidRDefault="004C4230" w:rsidP="004C4230">
            <w:pPr>
              <w:suppressAutoHyphens w:val="0"/>
              <w:spacing w:before="40" w:after="40" w:line="220" w:lineRule="exact"/>
              <w:ind w:right="113"/>
              <w:jc w:val="right"/>
              <w:rPr>
                <w:sz w:val="18"/>
              </w:rPr>
            </w:pPr>
            <w:r>
              <w:rPr>
                <w:sz w:val="18"/>
              </w:rPr>
              <w:t>785</w:t>
            </w:r>
          </w:p>
        </w:tc>
        <w:tc>
          <w:tcPr>
            <w:tcW w:w="1021" w:type="dxa"/>
            <w:tcBorders>
              <w:top w:val="nil"/>
              <w:bottom w:val="nil"/>
            </w:tcBorders>
            <w:shd w:val="clear" w:color="auto" w:fill="auto"/>
            <w:vAlign w:val="bottom"/>
          </w:tcPr>
          <w:p w:rsidR="005023C8" w:rsidRPr="009C5335" w:rsidRDefault="004C4230" w:rsidP="004C4230">
            <w:pPr>
              <w:suppressAutoHyphens w:val="0"/>
              <w:spacing w:before="40" w:after="40" w:line="220" w:lineRule="exact"/>
              <w:ind w:right="113"/>
              <w:jc w:val="right"/>
              <w:rPr>
                <w:sz w:val="18"/>
              </w:rPr>
            </w:pPr>
            <w:r>
              <w:rPr>
                <w:sz w:val="18"/>
              </w:rPr>
              <w:t>737</w:t>
            </w:r>
          </w:p>
        </w:tc>
      </w:tr>
      <w:tr w:rsidR="005023C8" w:rsidRPr="009C5335" w:rsidTr="00AD0B17">
        <w:tc>
          <w:tcPr>
            <w:tcW w:w="2438" w:type="dxa"/>
            <w:tcBorders>
              <w:top w:val="nil"/>
            </w:tcBorders>
            <w:shd w:val="clear" w:color="auto" w:fill="auto"/>
          </w:tcPr>
          <w:p w:rsidR="005023C8" w:rsidRPr="009C5335" w:rsidRDefault="005023C8" w:rsidP="005023C8">
            <w:pPr>
              <w:suppressAutoHyphens w:val="0"/>
              <w:spacing w:before="40" w:after="40" w:line="220" w:lineRule="exact"/>
              <w:ind w:left="145" w:right="113"/>
              <w:rPr>
                <w:sz w:val="18"/>
              </w:rPr>
            </w:pPr>
            <w:r w:rsidRPr="009C5335">
              <w:rPr>
                <w:sz w:val="18"/>
              </w:rPr>
              <w:t>Teaching staff</w:t>
            </w:r>
          </w:p>
        </w:tc>
        <w:tc>
          <w:tcPr>
            <w:tcW w:w="1303" w:type="dxa"/>
            <w:tcBorders>
              <w:top w:val="nil"/>
            </w:tcBorders>
            <w:shd w:val="clear" w:color="auto" w:fill="auto"/>
            <w:vAlign w:val="bottom"/>
          </w:tcPr>
          <w:p w:rsidR="005023C8" w:rsidRPr="009C5335" w:rsidRDefault="004C4230" w:rsidP="004C4230">
            <w:pPr>
              <w:suppressAutoHyphens w:val="0"/>
              <w:spacing w:before="40" w:after="40" w:line="220" w:lineRule="exact"/>
              <w:ind w:right="113"/>
              <w:jc w:val="right"/>
              <w:rPr>
                <w:sz w:val="18"/>
              </w:rPr>
            </w:pPr>
            <w:r>
              <w:rPr>
                <w:sz w:val="18"/>
              </w:rPr>
              <w:t>6</w:t>
            </w:r>
            <w:r w:rsidR="008536C1">
              <w:rPr>
                <w:sz w:val="18"/>
              </w:rPr>
              <w:t xml:space="preserve"> </w:t>
            </w:r>
            <w:r>
              <w:rPr>
                <w:sz w:val="18"/>
              </w:rPr>
              <w:t>909</w:t>
            </w:r>
          </w:p>
        </w:tc>
        <w:tc>
          <w:tcPr>
            <w:tcW w:w="1225" w:type="dxa"/>
            <w:tcBorders>
              <w:top w:val="nil"/>
            </w:tcBorders>
            <w:shd w:val="clear" w:color="auto" w:fill="auto"/>
            <w:vAlign w:val="bottom"/>
          </w:tcPr>
          <w:p w:rsidR="005023C8" w:rsidRPr="009C5335" w:rsidRDefault="004C4230" w:rsidP="004C4230">
            <w:pPr>
              <w:suppressAutoHyphens w:val="0"/>
              <w:spacing w:before="40" w:after="40" w:line="220" w:lineRule="exact"/>
              <w:ind w:right="113"/>
              <w:jc w:val="right"/>
              <w:rPr>
                <w:sz w:val="18"/>
              </w:rPr>
            </w:pPr>
            <w:r>
              <w:rPr>
                <w:sz w:val="18"/>
              </w:rPr>
              <w:t>6</w:t>
            </w:r>
            <w:r w:rsidR="008536C1">
              <w:rPr>
                <w:sz w:val="18"/>
              </w:rPr>
              <w:t xml:space="preserve"> </w:t>
            </w:r>
            <w:r>
              <w:rPr>
                <w:sz w:val="18"/>
              </w:rPr>
              <w:t>069</w:t>
            </w:r>
          </w:p>
        </w:tc>
        <w:tc>
          <w:tcPr>
            <w:tcW w:w="1383" w:type="dxa"/>
            <w:tcBorders>
              <w:top w:val="nil"/>
            </w:tcBorders>
            <w:shd w:val="clear" w:color="auto" w:fill="auto"/>
            <w:vAlign w:val="bottom"/>
          </w:tcPr>
          <w:p w:rsidR="005023C8" w:rsidRPr="009C5335" w:rsidRDefault="004C4230" w:rsidP="004C4230">
            <w:pPr>
              <w:suppressAutoHyphens w:val="0"/>
              <w:spacing w:before="40" w:after="40" w:line="220" w:lineRule="exact"/>
              <w:ind w:right="113"/>
              <w:jc w:val="right"/>
              <w:rPr>
                <w:sz w:val="18"/>
              </w:rPr>
            </w:pPr>
            <w:r>
              <w:rPr>
                <w:sz w:val="18"/>
              </w:rPr>
              <w:t>5</w:t>
            </w:r>
            <w:r w:rsidR="008536C1">
              <w:rPr>
                <w:sz w:val="18"/>
              </w:rPr>
              <w:t xml:space="preserve"> </w:t>
            </w:r>
            <w:r>
              <w:rPr>
                <w:sz w:val="18"/>
              </w:rPr>
              <w:t>292</w:t>
            </w:r>
          </w:p>
        </w:tc>
        <w:tc>
          <w:tcPr>
            <w:tcW w:w="1021" w:type="dxa"/>
            <w:tcBorders>
              <w:top w:val="nil"/>
            </w:tcBorders>
            <w:shd w:val="clear" w:color="auto" w:fill="auto"/>
            <w:vAlign w:val="bottom"/>
          </w:tcPr>
          <w:p w:rsidR="005023C8" w:rsidRPr="009C5335" w:rsidRDefault="004C4230" w:rsidP="004C4230">
            <w:pPr>
              <w:suppressAutoHyphens w:val="0"/>
              <w:spacing w:before="40" w:after="40" w:line="220" w:lineRule="exact"/>
              <w:ind w:right="113"/>
              <w:jc w:val="right"/>
              <w:rPr>
                <w:sz w:val="18"/>
              </w:rPr>
            </w:pPr>
            <w:r>
              <w:rPr>
                <w:sz w:val="18"/>
              </w:rPr>
              <w:t>4</w:t>
            </w:r>
            <w:r w:rsidR="008536C1">
              <w:rPr>
                <w:sz w:val="18"/>
              </w:rPr>
              <w:t xml:space="preserve"> </w:t>
            </w:r>
            <w:r>
              <w:rPr>
                <w:sz w:val="18"/>
              </w:rPr>
              <w:t>889</w:t>
            </w:r>
          </w:p>
        </w:tc>
      </w:tr>
      <w:tr w:rsidR="005023C8" w:rsidRPr="009C5335" w:rsidTr="00AD0B17">
        <w:tc>
          <w:tcPr>
            <w:tcW w:w="2438" w:type="dxa"/>
            <w:shd w:val="clear" w:color="auto" w:fill="auto"/>
          </w:tcPr>
          <w:p w:rsidR="005023C8" w:rsidRPr="009C5335" w:rsidRDefault="005023C8" w:rsidP="005023C8">
            <w:pPr>
              <w:suppressAutoHyphens w:val="0"/>
              <w:spacing w:before="40" w:after="40" w:line="220" w:lineRule="exact"/>
              <w:ind w:left="145" w:right="113"/>
              <w:rPr>
                <w:sz w:val="18"/>
              </w:rPr>
            </w:pPr>
            <w:r w:rsidRPr="009C5335">
              <w:rPr>
                <w:sz w:val="18"/>
              </w:rPr>
              <w:t>Pupils</w:t>
            </w:r>
          </w:p>
        </w:tc>
        <w:tc>
          <w:tcPr>
            <w:tcW w:w="1303" w:type="dxa"/>
            <w:shd w:val="clear" w:color="auto" w:fill="auto"/>
            <w:vAlign w:val="bottom"/>
          </w:tcPr>
          <w:p w:rsidR="005023C8" w:rsidRPr="009C5335" w:rsidRDefault="004C4230" w:rsidP="008536C1">
            <w:pPr>
              <w:suppressAutoHyphens w:val="0"/>
              <w:spacing w:before="40" w:after="40" w:line="220" w:lineRule="exact"/>
              <w:ind w:right="113"/>
              <w:jc w:val="right"/>
              <w:rPr>
                <w:sz w:val="18"/>
              </w:rPr>
            </w:pPr>
            <w:r>
              <w:rPr>
                <w:sz w:val="18"/>
              </w:rPr>
              <w:t>7</w:t>
            </w:r>
            <w:r w:rsidR="008536C1">
              <w:rPr>
                <w:sz w:val="18"/>
              </w:rPr>
              <w:t>.</w:t>
            </w:r>
            <w:r>
              <w:rPr>
                <w:sz w:val="18"/>
              </w:rPr>
              <w:t>8</w:t>
            </w:r>
          </w:p>
        </w:tc>
        <w:tc>
          <w:tcPr>
            <w:tcW w:w="1225" w:type="dxa"/>
            <w:shd w:val="clear" w:color="auto" w:fill="auto"/>
            <w:vAlign w:val="bottom"/>
          </w:tcPr>
          <w:p w:rsidR="005023C8" w:rsidRPr="009C5335" w:rsidRDefault="004C4230" w:rsidP="004C4230">
            <w:pPr>
              <w:suppressAutoHyphens w:val="0"/>
              <w:spacing w:before="40" w:after="40" w:line="220" w:lineRule="exact"/>
              <w:ind w:right="113"/>
              <w:jc w:val="right"/>
              <w:rPr>
                <w:sz w:val="18"/>
              </w:rPr>
            </w:pPr>
            <w:r>
              <w:rPr>
                <w:sz w:val="18"/>
              </w:rPr>
              <w:t>7.2</w:t>
            </w:r>
          </w:p>
        </w:tc>
        <w:tc>
          <w:tcPr>
            <w:tcW w:w="1383" w:type="dxa"/>
            <w:shd w:val="clear" w:color="auto" w:fill="auto"/>
            <w:vAlign w:val="bottom"/>
          </w:tcPr>
          <w:p w:rsidR="005023C8" w:rsidRPr="009C5335" w:rsidRDefault="004C4230" w:rsidP="005023C8">
            <w:pPr>
              <w:suppressAutoHyphens w:val="0"/>
              <w:spacing w:before="40" w:after="40" w:line="220" w:lineRule="exact"/>
              <w:ind w:right="113"/>
              <w:jc w:val="right"/>
              <w:rPr>
                <w:sz w:val="18"/>
              </w:rPr>
            </w:pPr>
            <w:r w:rsidRPr="00E7091E">
              <w:rPr>
                <w:sz w:val="18"/>
              </w:rPr>
              <w:t>6.7</w:t>
            </w:r>
          </w:p>
        </w:tc>
        <w:tc>
          <w:tcPr>
            <w:tcW w:w="1021" w:type="dxa"/>
            <w:shd w:val="clear" w:color="auto" w:fill="auto"/>
            <w:vAlign w:val="bottom"/>
          </w:tcPr>
          <w:p w:rsidR="005023C8" w:rsidRPr="009C5335" w:rsidRDefault="004C4230" w:rsidP="008536C1">
            <w:pPr>
              <w:suppressAutoHyphens w:val="0"/>
              <w:spacing w:before="40" w:after="40" w:line="220" w:lineRule="exact"/>
              <w:ind w:right="113"/>
              <w:jc w:val="right"/>
              <w:rPr>
                <w:sz w:val="18"/>
              </w:rPr>
            </w:pPr>
            <w:r>
              <w:rPr>
                <w:sz w:val="18"/>
              </w:rPr>
              <w:t>6</w:t>
            </w:r>
            <w:r w:rsidR="008536C1">
              <w:rPr>
                <w:sz w:val="18"/>
              </w:rPr>
              <w:t>.</w:t>
            </w:r>
            <w:r>
              <w:rPr>
                <w:sz w:val="18"/>
              </w:rPr>
              <w:t>6</w:t>
            </w:r>
          </w:p>
        </w:tc>
      </w:tr>
      <w:tr w:rsidR="005023C8" w:rsidRPr="009C5335" w:rsidTr="00AD0B17">
        <w:tc>
          <w:tcPr>
            <w:tcW w:w="2438" w:type="dxa"/>
            <w:shd w:val="clear" w:color="auto" w:fill="auto"/>
          </w:tcPr>
          <w:p w:rsidR="005023C8" w:rsidRPr="009C5335" w:rsidRDefault="005023C8" w:rsidP="003E731F">
            <w:pPr>
              <w:suppressAutoHyphens w:val="0"/>
              <w:spacing w:before="40" w:after="40" w:line="220" w:lineRule="exact"/>
              <w:ind w:left="145" w:right="113"/>
              <w:rPr>
                <w:sz w:val="18"/>
              </w:rPr>
            </w:pPr>
            <w:r w:rsidRPr="009C5335">
              <w:rPr>
                <w:sz w:val="18"/>
              </w:rPr>
              <w:t>Pupils</w:t>
            </w:r>
            <w:r w:rsidR="003E731F">
              <w:rPr>
                <w:sz w:val="18"/>
              </w:rPr>
              <w:t>-</w:t>
            </w:r>
            <w:r w:rsidRPr="009C5335">
              <w:rPr>
                <w:sz w:val="18"/>
              </w:rPr>
              <w:t>teacher ratio</w:t>
            </w:r>
          </w:p>
        </w:tc>
        <w:tc>
          <w:tcPr>
            <w:tcW w:w="1303" w:type="dxa"/>
            <w:shd w:val="clear" w:color="auto" w:fill="auto"/>
            <w:vAlign w:val="bottom"/>
          </w:tcPr>
          <w:p w:rsidR="005023C8" w:rsidRPr="009C5335" w:rsidRDefault="005023C8" w:rsidP="004C4230">
            <w:pPr>
              <w:suppressAutoHyphens w:val="0"/>
              <w:spacing w:before="40" w:after="40" w:line="220" w:lineRule="exact"/>
              <w:ind w:right="113"/>
              <w:jc w:val="right"/>
              <w:rPr>
                <w:sz w:val="18"/>
              </w:rPr>
            </w:pPr>
          </w:p>
        </w:tc>
        <w:tc>
          <w:tcPr>
            <w:tcW w:w="1225" w:type="dxa"/>
            <w:shd w:val="clear" w:color="auto" w:fill="auto"/>
            <w:vAlign w:val="bottom"/>
          </w:tcPr>
          <w:p w:rsidR="005023C8" w:rsidRPr="009C5335" w:rsidRDefault="005023C8" w:rsidP="004C4230">
            <w:pPr>
              <w:suppressAutoHyphens w:val="0"/>
              <w:spacing w:before="40" w:after="40" w:line="220" w:lineRule="exact"/>
              <w:ind w:right="113"/>
              <w:jc w:val="right"/>
              <w:rPr>
                <w:sz w:val="18"/>
              </w:rPr>
            </w:pPr>
          </w:p>
        </w:tc>
        <w:tc>
          <w:tcPr>
            <w:tcW w:w="1383" w:type="dxa"/>
            <w:shd w:val="clear" w:color="auto" w:fill="auto"/>
            <w:vAlign w:val="bottom"/>
          </w:tcPr>
          <w:p w:rsidR="005023C8" w:rsidRPr="009C5335" w:rsidRDefault="005023C8" w:rsidP="005023C8">
            <w:pPr>
              <w:suppressAutoHyphens w:val="0"/>
              <w:spacing w:before="40" w:after="40" w:line="220" w:lineRule="exact"/>
              <w:ind w:right="113"/>
              <w:jc w:val="right"/>
              <w:rPr>
                <w:sz w:val="18"/>
              </w:rPr>
            </w:pPr>
          </w:p>
        </w:tc>
        <w:tc>
          <w:tcPr>
            <w:tcW w:w="1021" w:type="dxa"/>
            <w:shd w:val="clear" w:color="auto" w:fill="auto"/>
            <w:vAlign w:val="bottom"/>
          </w:tcPr>
          <w:p w:rsidR="005023C8" w:rsidRPr="009C5335" w:rsidRDefault="005023C8" w:rsidP="005023C8">
            <w:pPr>
              <w:suppressAutoHyphens w:val="0"/>
              <w:spacing w:before="40" w:after="40" w:line="220" w:lineRule="exact"/>
              <w:ind w:right="113"/>
              <w:jc w:val="right"/>
              <w:rPr>
                <w:sz w:val="18"/>
              </w:rPr>
            </w:pPr>
          </w:p>
        </w:tc>
      </w:tr>
      <w:tr w:rsidR="005023C8" w:rsidRPr="009C5335" w:rsidTr="00AD0B17">
        <w:tc>
          <w:tcPr>
            <w:tcW w:w="2438" w:type="dxa"/>
            <w:shd w:val="clear" w:color="auto" w:fill="auto"/>
          </w:tcPr>
          <w:p w:rsidR="005023C8" w:rsidRPr="003D6C5E" w:rsidRDefault="005023C8" w:rsidP="005023C8">
            <w:pPr>
              <w:spacing w:before="40" w:after="40" w:line="220" w:lineRule="exact"/>
              <w:rPr>
                <w:sz w:val="18"/>
              </w:rPr>
            </w:pPr>
            <w:r w:rsidRPr="003D6C5E">
              <w:rPr>
                <w:sz w:val="18"/>
              </w:rPr>
              <w:t>Private schools</w:t>
            </w:r>
          </w:p>
        </w:tc>
        <w:tc>
          <w:tcPr>
            <w:tcW w:w="1303" w:type="dxa"/>
            <w:shd w:val="clear" w:color="auto" w:fill="auto"/>
            <w:vAlign w:val="bottom"/>
          </w:tcPr>
          <w:p w:rsidR="005023C8" w:rsidRPr="00E34389" w:rsidRDefault="004C4230" w:rsidP="004C4230">
            <w:pPr>
              <w:suppressAutoHyphens w:val="0"/>
              <w:spacing w:before="40" w:after="40" w:line="220" w:lineRule="exact"/>
              <w:ind w:right="113"/>
              <w:jc w:val="right"/>
              <w:rPr>
                <w:sz w:val="18"/>
              </w:rPr>
            </w:pPr>
            <w:r>
              <w:rPr>
                <w:sz w:val="18"/>
              </w:rPr>
              <w:t>3</w:t>
            </w:r>
          </w:p>
        </w:tc>
        <w:tc>
          <w:tcPr>
            <w:tcW w:w="1225" w:type="dxa"/>
            <w:shd w:val="clear" w:color="auto" w:fill="auto"/>
            <w:vAlign w:val="bottom"/>
          </w:tcPr>
          <w:p w:rsidR="005023C8" w:rsidRPr="00E34389" w:rsidRDefault="004C4230" w:rsidP="004C4230">
            <w:pPr>
              <w:suppressAutoHyphens w:val="0"/>
              <w:spacing w:before="40" w:after="40" w:line="220" w:lineRule="exact"/>
              <w:ind w:right="113"/>
              <w:jc w:val="right"/>
              <w:rPr>
                <w:sz w:val="18"/>
              </w:rPr>
            </w:pPr>
            <w:r>
              <w:rPr>
                <w:sz w:val="18"/>
              </w:rPr>
              <w:t>1</w:t>
            </w:r>
          </w:p>
        </w:tc>
        <w:tc>
          <w:tcPr>
            <w:tcW w:w="1383" w:type="dxa"/>
            <w:shd w:val="clear" w:color="auto" w:fill="auto"/>
            <w:vAlign w:val="bottom"/>
          </w:tcPr>
          <w:p w:rsidR="005023C8" w:rsidRPr="00E34389" w:rsidRDefault="005023C8" w:rsidP="005023C8">
            <w:pPr>
              <w:suppressAutoHyphens w:val="0"/>
              <w:spacing w:before="40" w:after="40" w:line="220" w:lineRule="exact"/>
              <w:ind w:left="145" w:right="113"/>
              <w:jc w:val="right"/>
              <w:rPr>
                <w:sz w:val="18"/>
              </w:rPr>
            </w:pPr>
          </w:p>
        </w:tc>
        <w:tc>
          <w:tcPr>
            <w:tcW w:w="1021" w:type="dxa"/>
            <w:shd w:val="clear" w:color="auto" w:fill="auto"/>
            <w:vAlign w:val="bottom"/>
          </w:tcPr>
          <w:p w:rsidR="005023C8" w:rsidRPr="00E34389" w:rsidRDefault="005023C8" w:rsidP="005023C8">
            <w:pPr>
              <w:suppressAutoHyphens w:val="0"/>
              <w:spacing w:before="40" w:after="40" w:line="220" w:lineRule="exact"/>
              <w:ind w:left="145" w:right="113"/>
              <w:jc w:val="right"/>
              <w:rPr>
                <w:sz w:val="18"/>
              </w:rPr>
            </w:pPr>
          </w:p>
        </w:tc>
      </w:tr>
      <w:tr w:rsidR="005023C8" w:rsidRPr="009C5335" w:rsidTr="00AD0B17">
        <w:tc>
          <w:tcPr>
            <w:tcW w:w="2438" w:type="dxa"/>
            <w:shd w:val="clear" w:color="auto" w:fill="auto"/>
          </w:tcPr>
          <w:p w:rsidR="005023C8" w:rsidRPr="003D6C5E" w:rsidRDefault="005023C8" w:rsidP="005023C8">
            <w:pPr>
              <w:suppressAutoHyphens w:val="0"/>
              <w:spacing w:before="40" w:after="40" w:line="220" w:lineRule="exact"/>
              <w:ind w:left="145" w:right="113"/>
              <w:rPr>
                <w:sz w:val="18"/>
              </w:rPr>
            </w:pPr>
            <w:r w:rsidRPr="003D6C5E">
              <w:rPr>
                <w:sz w:val="18"/>
              </w:rPr>
              <w:t>School units</w:t>
            </w:r>
          </w:p>
        </w:tc>
        <w:tc>
          <w:tcPr>
            <w:tcW w:w="1303" w:type="dxa"/>
            <w:shd w:val="clear" w:color="auto" w:fill="auto"/>
            <w:vAlign w:val="bottom"/>
          </w:tcPr>
          <w:p w:rsidR="005023C8" w:rsidRPr="00E34389" w:rsidRDefault="004C4230" w:rsidP="004C4230">
            <w:pPr>
              <w:suppressAutoHyphens w:val="0"/>
              <w:spacing w:before="40" w:after="40" w:line="220" w:lineRule="exact"/>
              <w:ind w:right="113"/>
              <w:jc w:val="right"/>
              <w:rPr>
                <w:sz w:val="18"/>
              </w:rPr>
            </w:pPr>
            <w:r>
              <w:rPr>
                <w:sz w:val="18"/>
              </w:rPr>
              <w:t>15</w:t>
            </w:r>
          </w:p>
        </w:tc>
        <w:tc>
          <w:tcPr>
            <w:tcW w:w="1225" w:type="dxa"/>
            <w:shd w:val="clear" w:color="auto" w:fill="auto"/>
            <w:vAlign w:val="bottom"/>
          </w:tcPr>
          <w:p w:rsidR="005023C8" w:rsidRPr="00E34389" w:rsidRDefault="004C4230" w:rsidP="004C4230">
            <w:pPr>
              <w:suppressAutoHyphens w:val="0"/>
              <w:spacing w:before="40" w:after="40" w:line="220" w:lineRule="exact"/>
              <w:ind w:right="113"/>
              <w:jc w:val="right"/>
              <w:rPr>
                <w:sz w:val="18"/>
              </w:rPr>
            </w:pPr>
            <w:r>
              <w:rPr>
                <w:sz w:val="18"/>
              </w:rPr>
              <w:t>5</w:t>
            </w:r>
          </w:p>
        </w:tc>
        <w:tc>
          <w:tcPr>
            <w:tcW w:w="1383" w:type="dxa"/>
            <w:shd w:val="clear" w:color="auto" w:fill="auto"/>
            <w:vAlign w:val="bottom"/>
          </w:tcPr>
          <w:p w:rsidR="005023C8" w:rsidRPr="00E34389" w:rsidRDefault="005023C8" w:rsidP="005023C8">
            <w:pPr>
              <w:suppressAutoHyphens w:val="0"/>
              <w:spacing w:before="40" w:after="40" w:line="220" w:lineRule="exact"/>
              <w:ind w:right="113"/>
              <w:jc w:val="right"/>
              <w:rPr>
                <w:sz w:val="18"/>
              </w:rPr>
            </w:pPr>
          </w:p>
        </w:tc>
        <w:tc>
          <w:tcPr>
            <w:tcW w:w="1021" w:type="dxa"/>
            <w:shd w:val="clear" w:color="auto" w:fill="auto"/>
            <w:vAlign w:val="bottom"/>
          </w:tcPr>
          <w:p w:rsidR="005023C8" w:rsidRPr="00E34389" w:rsidRDefault="005023C8" w:rsidP="005023C8">
            <w:pPr>
              <w:suppressAutoHyphens w:val="0"/>
              <w:spacing w:before="40" w:after="40" w:line="220" w:lineRule="exact"/>
              <w:ind w:right="113"/>
              <w:jc w:val="right"/>
              <w:rPr>
                <w:sz w:val="18"/>
              </w:rPr>
            </w:pPr>
          </w:p>
        </w:tc>
      </w:tr>
      <w:tr w:rsidR="005023C8" w:rsidRPr="009C5335" w:rsidTr="004C4230">
        <w:tc>
          <w:tcPr>
            <w:tcW w:w="2438" w:type="dxa"/>
            <w:tcBorders>
              <w:bottom w:val="nil"/>
            </w:tcBorders>
            <w:shd w:val="clear" w:color="auto" w:fill="auto"/>
          </w:tcPr>
          <w:p w:rsidR="005023C8" w:rsidRPr="003D6C5E" w:rsidRDefault="005023C8" w:rsidP="005023C8">
            <w:pPr>
              <w:suppressAutoHyphens w:val="0"/>
              <w:spacing w:before="40" w:after="40" w:line="220" w:lineRule="exact"/>
              <w:ind w:left="145" w:right="113"/>
              <w:rPr>
                <w:sz w:val="18"/>
              </w:rPr>
            </w:pPr>
            <w:r w:rsidRPr="003D6C5E">
              <w:rPr>
                <w:sz w:val="18"/>
              </w:rPr>
              <w:t>Teaching staff</w:t>
            </w:r>
          </w:p>
        </w:tc>
        <w:tc>
          <w:tcPr>
            <w:tcW w:w="1303" w:type="dxa"/>
            <w:tcBorders>
              <w:bottom w:val="nil"/>
            </w:tcBorders>
            <w:shd w:val="clear" w:color="auto" w:fill="auto"/>
            <w:vAlign w:val="bottom"/>
          </w:tcPr>
          <w:p w:rsidR="005023C8" w:rsidRPr="00E34389" w:rsidRDefault="004C4230" w:rsidP="004C4230">
            <w:pPr>
              <w:suppressAutoHyphens w:val="0"/>
              <w:spacing w:before="40" w:after="40" w:line="220" w:lineRule="exact"/>
              <w:ind w:right="113"/>
              <w:jc w:val="right"/>
              <w:rPr>
                <w:sz w:val="18"/>
              </w:rPr>
            </w:pPr>
            <w:r>
              <w:rPr>
                <w:sz w:val="18"/>
              </w:rPr>
              <w:t>71</w:t>
            </w:r>
          </w:p>
        </w:tc>
        <w:tc>
          <w:tcPr>
            <w:tcW w:w="1225" w:type="dxa"/>
            <w:tcBorders>
              <w:bottom w:val="nil"/>
            </w:tcBorders>
            <w:shd w:val="clear" w:color="auto" w:fill="auto"/>
            <w:vAlign w:val="bottom"/>
          </w:tcPr>
          <w:p w:rsidR="005023C8" w:rsidRPr="00E34389" w:rsidRDefault="004C4230" w:rsidP="004C4230">
            <w:pPr>
              <w:suppressAutoHyphens w:val="0"/>
              <w:spacing w:before="40" w:after="40" w:line="220" w:lineRule="exact"/>
              <w:ind w:right="113"/>
              <w:jc w:val="right"/>
              <w:rPr>
                <w:sz w:val="18"/>
              </w:rPr>
            </w:pPr>
            <w:r>
              <w:rPr>
                <w:sz w:val="18"/>
              </w:rPr>
              <w:t>35</w:t>
            </w:r>
          </w:p>
        </w:tc>
        <w:tc>
          <w:tcPr>
            <w:tcW w:w="1383" w:type="dxa"/>
            <w:tcBorders>
              <w:bottom w:val="nil"/>
            </w:tcBorders>
            <w:shd w:val="clear" w:color="auto" w:fill="auto"/>
            <w:vAlign w:val="bottom"/>
          </w:tcPr>
          <w:p w:rsidR="005023C8" w:rsidRPr="00E34389" w:rsidRDefault="005023C8" w:rsidP="005023C8">
            <w:pPr>
              <w:suppressAutoHyphens w:val="0"/>
              <w:spacing w:before="40" w:after="40" w:line="220" w:lineRule="exact"/>
              <w:ind w:right="113"/>
              <w:jc w:val="right"/>
              <w:rPr>
                <w:sz w:val="18"/>
              </w:rPr>
            </w:pPr>
          </w:p>
        </w:tc>
        <w:tc>
          <w:tcPr>
            <w:tcW w:w="1021" w:type="dxa"/>
            <w:tcBorders>
              <w:bottom w:val="nil"/>
            </w:tcBorders>
            <w:shd w:val="clear" w:color="auto" w:fill="auto"/>
            <w:vAlign w:val="bottom"/>
          </w:tcPr>
          <w:p w:rsidR="005023C8" w:rsidRPr="00E34389" w:rsidRDefault="005023C8" w:rsidP="005023C8">
            <w:pPr>
              <w:suppressAutoHyphens w:val="0"/>
              <w:spacing w:before="40" w:after="40" w:line="220" w:lineRule="exact"/>
              <w:ind w:right="113"/>
              <w:jc w:val="right"/>
              <w:rPr>
                <w:sz w:val="18"/>
              </w:rPr>
            </w:pPr>
          </w:p>
        </w:tc>
      </w:tr>
      <w:tr w:rsidR="005023C8" w:rsidRPr="009C5335" w:rsidTr="004C4230">
        <w:tc>
          <w:tcPr>
            <w:tcW w:w="2438" w:type="dxa"/>
            <w:tcBorders>
              <w:top w:val="nil"/>
              <w:bottom w:val="nil"/>
            </w:tcBorders>
            <w:shd w:val="clear" w:color="auto" w:fill="auto"/>
          </w:tcPr>
          <w:p w:rsidR="005023C8" w:rsidRPr="003D6C5E" w:rsidRDefault="005023C8" w:rsidP="005023C8">
            <w:pPr>
              <w:suppressAutoHyphens w:val="0"/>
              <w:spacing w:before="40" w:after="40" w:line="220" w:lineRule="exact"/>
              <w:ind w:left="145" w:right="113"/>
              <w:rPr>
                <w:sz w:val="18"/>
              </w:rPr>
            </w:pPr>
            <w:r w:rsidRPr="003D6C5E">
              <w:rPr>
                <w:sz w:val="18"/>
              </w:rPr>
              <w:t>Pupils</w:t>
            </w:r>
          </w:p>
        </w:tc>
        <w:tc>
          <w:tcPr>
            <w:tcW w:w="1303" w:type="dxa"/>
            <w:tcBorders>
              <w:top w:val="nil"/>
              <w:bottom w:val="nil"/>
            </w:tcBorders>
            <w:shd w:val="clear" w:color="auto" w:fill="auto"/>
            <w:vAlign w:val="bottom"/>
          </w:tcPr>
          <w:p w:rsidR="005023C8" w:rsidRPr="00E34389" w:rsidRDefault="004C4230" w:rsidP="005023C8">
            <w:pPr>
              <w:suppressAutoHyphens w:val="0"/>
              <w:spacing w:before="40" w:after="40" w:line="220" w:lineRule="exact"/>
              <w:ind w:right="113"/>
              <w:jc w:val="right"/>
              <w:rPr>
                <w:sz w:val="18"/>
              </w:rPr>
            </w:pPr>
            <w:r w:rsidRPr="00E7091E">
              <w:rPr>
                <w:sz w:val="18"/>
              </w:rPr>
              <w:t>4.7</w:t>
            </w:r>
          </w:p>
        </w:tc>
        <w:tc>
          <w:tcPr>
            <w:tcW w:w="1225" w:type="dxa"/>
            <w:tcBorders>
              <w:top w:val="nil"/>
              <w:bottom w:val="nil"/>
            </w:tcBorders>
            <w:shd w:val="clear" w:color="auto" w:fill="auto"/>
            <w:vAlign w:val="bottom"/>
          </w:tcPr>
          <w:p w:rsidR="005023C8" w:rsidRPr="00E34389" w:rsidRDefault="004C4230" w:rsidP="005023C8">
            <w:pPr>
              <w:suppressAutoHyphens w:val="0"/>
              <w:spacing w:before="40" w:after="40" w:line="220" w:lineRule="exact"/>
              <w:ind w:right="113"/>
              <w:jc w:val="right"/>
              <w:rPr>
                <w:sz w:val="18"/>
              </w:rPr>
            </w:pPr>
            <w:r w:rsidRPr="00E7091E">
              <w:rPr>
                <w:sz w:val="18"/>
              </w:rPr>
              <w:t>7.0</w:t>
            </w:r>
          </w:p>
        </w:tc>
        <w:tc>
          <w:tcPr>
            <w:tcW w:w="1383" w:type="dxa"/>
            <w:tcBorders>
              <w:top w:val="nil"/>
              <w:bottom w:val="nil"/>
            </w:tcBorders>
            <w:shd w:val="clear" w:color="auto" w:fill="auto"/>
            <w:vAlign w:val="bottom"/>
          </w:tcPr>
          <w:p w:rsidR="005023C8" w:rsidRPr="00E34389" w:rsidRDefault="005023C8" w:rsidP="005023C8">
            <w:pPr>
              <w:suppressAutoHyphens w:val="0"/>
              <w:spacing w:before="40" w:after="40" w:line="220" w:lineRule="exact"/>
              <w:ind w:right="113"/>
              <w:jc w:val="right"/>
              <w:rPr>
                <w:sz w:val="18"/>
              </w:rPr>
            </w:pPr>
          </w:p>
        </w:tc>
        <w:tc>
          <w:tcPr>
            <w:tcW w:w="1021" w:type="dxa"/>
            <w:tcBorders>
              <w:top w:val="nil"/>
              <w:bottom w:val="nil"/>
            </w:tcBorders>
            <w:shd w:val="clear" w:color="auto" w:fill="auto"/>
            <w:vAlign w:val="bottom"/>
          </w:tcPr>
          <w:p w:rsidR="005023C8" w:rsidRPr="00E34389" w:rsidRDefault="005023C8" w:rsidP="005023C8">
            <w:pPr>
              <w:suppressAutoHyphens w:val="0"/>
              <w:spacing w:before="40" w:after="40" w:line="220" w:lineRule="exact"/>
              <w:ind w:right="113"/>
              <w:jc w:val="right"/>
              <w:rPr>
                <w:sz w:val="18"/>
              </w:rPr>
            </w:pPr>
          </w:p>
        </w:tc>
      </w:tr>
      <w:tr w:rsidR="005023C8" w:rsidRPr="009C5335" w:rsidTr="004C4230">
        <w:tc>
          <w:tcPr>
            <w:tcW w:w="2438" w:type="dxa"/>
            <w:tcBorders>
              <w:top w:val="nil"/>
            </w:tcBorders>
            <w:shd w:val="clear" w:color="auto" w:fill="auto"/>
          </w:tcPr>
          <w:p w:rsidR="005023C8" w:rsidRPr="003D6C5E" w:rsidRDefault="005023C8" w:rsidP="004C4230">
            <w:pPr>
              <w:suppressAutoHyphens w:val="0"/>
              <w:spacing w:before="40" w:after="40" w:line="220" w:lineRule="exact"/>
              <w:ind w:left="145" w:right="113"/>
              <w:rPr>
                <w:sz w:val="18"/>
              </w:rPr>
            </w:pPr>
            <w:r w:rsidRPr="003D6C5E">
              <w:rPr>
                <w:sz w:val="18"/>
              </w:rPr>
              <w:t>Pupils</w:t>
            </w:r>
            <w:r w:rsidR="004C4230">
              <w:rPr>
                <w:sz w:val="18"/>
              </w:rPr>
              <w:t>-</w:t>
            </w:r>
            <w:r w:rsidRPr="003D6C5E">
              <w:rPr>
                <w:sz w:val="18"/>
              </w:rPr>
              <w:t>teacher ratio</w:t>
            </w:r>
          </w:p>
        </w:tc>
        <w:tc>
          <w:tcPr>
            <w:tcW w:w="1303" w:type="dxa"/>
            <w:tcBorders>
              <w:top w:val="nil"/>
            </w:tcBorders>
            <w:shd w:val="clear" w:color="auto" w:fill="auto"/>
            <w:vAlign w:val="bottom"/>
          </w:tcPr>
          <w:p w:rsidR="005023C8" w:rsidRPr="00E34389" w:rsidRDefault="005023C8" w:rsidP="005023C8">
            <w:pPr>
              <w:suppressAutoHyphens w:val="0"/>
              <w:spacing w:before="40" w:after="40" w:line="220" w:lineRule="exact"/>
              <w:ind w:left="145" w:right="113"/>
              <w:jc w:val="right"/>
              <w:rPr>
                <w:sz w:val="18"/>
              </w:rPr>
            </w:pPr>
          </w:p>
        </w:tc>
        <w:tc>
          <w:tcPr>
            <w:tcW w:w="1225" w:type="dxa"/>
            <w:tcBorders>
              <w:top w:val="nil"/>
            </w:tcBorders>
            <w:shd w:val="clear" w:color="auto" w:fill="auto"/>
            <w:vAlign w:val="bottom"/>
          </w:tcPr>
          <w:p w:rsidR="005023C8" w:rsidRPr="00E34389" w:rsidRDefault="005023C8" w:rsidP="005023C8">
            <w:pPr>
              <w:suppressAutoHyphens w:val="0"/>
              <w:spacing w:before="40" w:after="40" w:line="220" w:lineRule="exact"/>
              <w:ind w:left="145" w:right="113"/>
              <w:jc w:val="right"/>
              <w:rPr>
                <w:sz w:val="18"/>
              </w:rPr>
            </w:pPr>
          </w:p>
        </w:tc>
        <w:tc>
          <w:tcPr>
            <w:tcW w:w="1383" w:type="dxa"/>
            <w:tcBorders>
              <w:top w:val="nil"/>
            </w:tcBorders>
            <w:shd w:val="clear" w:color="auto" w:fill="auto"/>
            <w:vAlign w:val="bottom"/>
          </w:tcPr>
          <w:p w:rsidR="005023C8" w:rsidRPr="00E34389" w:rsidRDefault="005023C8" w:rsidP="005023C8">
            <w:pPr>
              <w:suppressAutoHyphens w:val="0"/>
              <w:spacing w:before="40" w:after="40" w:line="220" w:lineRule="exact"/>
              <w:ind w:left="145" w:right="113"/>
              <w:jc w:val="right"/>
              <w:rPr>
                <w:sz w:val="18"/>
              </w:rPr>
            </w:pPr>
          </w:p>
        </w:tc>
        <w:tc>
          <w:tcPr>
            <w:tcW w:w="1021" w:type="dxa"/>
            <w:tcBorders>
              <w:top w:val="nil"/>
            </w:tcBorders>
            <w:shd w:val="clear" w:color="auto" w:fill="auto"/>
            <w:vAlign w:val="bottom"/>
          </w:tcPr>
          <w:p w:rsidR="005023C8" w:rsidRPr="00E34389" w:rsidRDefault="005023C8" w:rsidP="005023C8">
            <w:pPr>
              <w:suppressAutoHyphens w:val="0"/>
              <w:spacing w:before="40" w:after="40" w:line="220" w:lineRule="exact"/>
              <w:ind w:left="145" w:right="113"/>
              <w:jc w:val="right"/>
              <w:rPr>
                <w:sz w:val="18"/>
              </w:rPr>
            </w:pPr>
          </w:p>
        </w:tc>
      </w:tr>
    </w:tbl>
    <w:p w:rsidR="00F233AB" w:rsidRDefault="00481B9B" w:rsidP="00383810">
      <w:pPr>
        <w:pStyle w:val="H23G"/>
      </w:pPr>
      <w:r>
        <w:lastRenderedPageBreak/>
        <w:tab/>
      </w:r>
      <w:r>
        <w:tab/>
      </w:r>
      <w:r w:rsidRPr="00B02247">
        <w:t>4A</w:t>
      </w:r>
      <w:r>
        <w:t xml:space="preserve">. </w:t>
      </w:r>
      <w:r w:rsidRPr="00B02247">
        <w:t>Secondary</w:t>
      </w:r>
      <w:r>
        <w:t xml:space="preserve"> </w:t>
      </w:r>
      <w:r w:rsidRPr="00B02247">
        <w:t>(non-compulsory)</w:t>
      </w:r>
      <w:r>
        <w:t xml:space="preserve"> </w:t>
      </w:r>
      <w:r w:rsidRPr="00B02247">
        <w:t>education:</w:t>
      </w:r>
      <w:r>
        <w:t xml:space="preserve"> </w:t>
      </w:r>
      <w:r w:rsidRPr="00B02247">
        <w:t>Pupils,</w:t>
      </w:r>
      <w:r>
        <w:t xml:space="preserve"> </w:t>
      </w:r>
      <w:r w:rsidRPr="00B02247">
        <w:t>school</w:t>
      </w:r>
      <w:r>
        <w:t xml:space="preserve"> </w:t>
      </w:r>
      <w:r w:rsidRPr="00B02247">
        <w:t>units</w:t>
      </w:r>
      <w:r>
        <w:t xml:space="preserve"> </w:t>
      </w:r>
      <w:r w:rsidRPr="00B02247">
        <w:t>and</w:t>
      </w:r>
      <w:r>
        <w:t xml:space="preserve"> </w:t>
      </w:r>
      <w:r w:rsidRPr="00B02247">
        <w:t>teaching</w:t>
      </w:r>
      <w:r>
        <w:t xml:space="preserve"> </w:t>
      </w:r>
      <w:r w:rsidRPr="00B02247">
        <w:t>staff</w:t>
      </w:r>
      <w:r>
        <w:t xml:space="preserve"> </w:t>
      </w:r>
      <w:r w:rsidRPr="00B02247">
        <w:t>by</w:t>
      </w:r>
      <w:r>
        <w:t xml:space="preserve"> </w:t>
      </w:r>
      <w:r w:rsidRPr="00B02247">
        <w:t>the</w:t>
      </w:r>
      <w:r>
        <w:t xml:space="preserve"> </w:t>
      </w:r>
      <w:r w:rsidRPr="00B02247">
        <w:t>end</w:t>
      </w:r>
      <w:r>
        <w:t xml:space="preserve"> </w:t>
      </w:r>
      <w:r w:rsidRPr="00B02247">
        <w:t>of</w:t>
      </w:r>
      <w:r>
        <w:t xml:space="preserve"> </w:t>
      </w:r>
      <w:r w:rsidRPr="00B02247">
        <w:t>school</w:t>
      </w:r>
      <w:r>
        <w:t xml:space="preserve"> </w:t>
      </w:r>
      <w:r w:rsidRPr="00B02247">
        <w:t>years</w:t>
      </w:r>
      <w:r>
        <w:t xml:space="preserve"> </w:t>
      </w:r>
      <w:r w:rsidRPr="00B02247">
        <w:t>2010/11</w:t>
      </w:r>
      <w:r w:rsidR="00383810">
        <w:t>–</w:t>
      </w:r>
      <w:r w:rsidRPr="00B02247">
        <w:t>2013/14</w:t>
      </w:r>
      <w:r>
        <w:t xml:space="preserve"> </w:t>
      </w:r>
      <w:r w:rsidRPr="00B02247">
        <w:t>(</w:t>
      </w:r>
      <w:r w:rsidR="00383810" w:rsidRPr="00B02247">
        <w:t>Day</w:t>
      </w:r>
      <w:r w:rsidR="00383810">
        <w:t xml:space="preserve"> s</w:t>
      </w:r>
      <w:r w:rsidR="00383810" w:rsidRPr="00B02247">
        <w:t>chools</w:t>
      </w:r>
      <w:r w:rsidRPr="00B02247">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38"/>
        <w:gridCol w:w="1303"/>
        <w:gridCol w:w="1225"/>
        <w:gridCol w:w="1383"/>
        <w:gridCol w:w="1021"/>
      </w:tblGrid>
      <w:tr w:rsidR="00A20D33" w:rsidRPr="009C5335" w:rsidTr="00AD0B17">
        <w:trPr>
          <w:tblHeader/>
        </w:trPr>
        <w:tc>
          <w:tcPr>
            <w:tcW w:w="2438" w:type="dxa"/>
            <w:tcBorders>
              <w:top w:val="single" w:sz="4" w:space="0" w:color="auto"/>
              <w:bottom w:val="single" w:sz="12" w:space="0" w:color="auto"/>
            </w:tcBorders>
            <w:shd w:val="clear" w:color="auto" w:fill="auto"/>
            <w:vAlign w:val="bottom"/>
          </w:tcPr>
          <w:p w:rsidR="00A20D33" w:rsidRPr="009C5335" w:rsidRDefault="00A20D33" w:rsidP="00AD0B17">
            <w:pPr>
              <w:suppressAutoHyphens w:val="0"/>
              <w:spacing w:before="80" w:after="80" w:line="200" w:lineRule="exact"/>
              <w:ind w:right="113"/>
              <w:rPr>
                <w:i/>
                <w:sz w:val="16"/>
              </w:rPr>
            </w:pPr>
          </w:p>
        </w:tc>
        <w:tc>
          <w:tcPr>
            <w:tcW w:w="1303" w:type="dxa"/>
            <w:tcBorders>
              <w:top w:val="single" w:sz="4" w:space="0" w:color="auto"/>
              <w:bottom w:val="single" w:sz="12" w:space="0" w:color="auto"/>
            </w:tcBorders>
            <w:shd w:val="clear" w:color="auto" w:fill="auto"/>
            <w:vAlign w:val="bottom"/>
          </w:tcPr>
          <w:p w:rsidR="00A20D33" w:rsidRPr="005368E8" w:rsidRDefault="00A20D33" w:rsidP="00AD0B17">
            <w:pPr>
              <w:suppressAutoHyphens w:val="0"/>
              <w:spacing w:before="80" w:after="80" w:line="200" w:lineRule="exact"/>
              <w:ind w:right="113"/>
              <w:jc w:val="right"/>
              <w:rPr>
                <w:i/>
                <w:sz w:val="16"/>
              </w:rPr>
            </w:pPr>
            <w:r>
              <w:rPr>
                <w:i/>
                <w:sz w:val="16"/>
              </w:rPr>
              <w:t>2010/11</w:t>
            </w:r>
          </w:p>
        </w:tc>
        <w:tc>
          <w:tcPr>
            <w:tcW w:w="1225" w:type="dxa"/>
            <w:tcBorders>
              <w:top w:val="single" w:sz="4" w:space="0" w:color="auto"/>
              <w:bottom w:val="single" w:sz="12" w:space="0" w:color="auto"/>
            </w:tcBorders>
            <w:shd w:val="clear" w:color="auto" w:fill="auto"/>
            <w:vAlign w:val="bottom"/>
          </w:tcPr>
          <w:p w:rsidR="00A20D33" w:rsidRPr="005368E8" w:rsidRDefault="00A20D33" w:rsidP="00AD0B17">
            <w:pPr>
              <w:suppressAutoHyphens w:val="0"/>
              <w:spacing w:before="80" w:after="80" w:line="200" w:lineRule="exact"/>
              <w:ind w:right="113"/>
              <w:jc w:val="right"/>
              <w:rPr>
                <w:i/>
                <w:sz w:val="16"/>
              </w:rPr>
            </w:pPr>
            <w:r w:rsidRPr="005368E8">
              <w:rPr>
                <w:i/>
                <w:sz w:val="16"/>
              </w:rPr>
              <w:t>2011/12</w:t>
            </w:r>
          </w:p>
        </w:tc>
        <w:tc>
          <w:tcPr>
            <w:tcW w:w="1383" w:type="dxa"/>
            <w:tcBorders>
              <w:top w:val="single" w:sz="4" w:space="0" w:color="auto"/>
              <w:bottom w:val="single" w:sz="12" w:space="0" w:color="auto"/>
            </w:tcBorders>
            <w:shd w:val="clear" w:color="auto" w:fill="auto"/>
            <w:vAlign w:val="bottom"/>
          </w:tcPr>
          <w:p w:rsidR="00A20D33" w:rsidRPr="005368E8" w:rsidRDefault="00A20D33" w:rsidP="00AD0B17">
            <w:pPr>
              <w:suppressAutoHyphens w:val="0"/>
              <w:spacing w:before="80" w:after="80" w:line="200" w:lineRule="exact"/>
              <w:ind w:right="113"/>
              <w:jc w:val="right"/>
              <w:rPr>
                <w:i/>
                <w:sz w:val="16"/>
              </w:rPr>
            </w:pPr>
            <w:r w:rsidRPr="005368E8">
              <w:rPr>
                <w:i/>
                <w:sz w:val="16"/>
              </w:rPr>
              <w:t>2012/13</w:t>
            </w:r>
          </w:p>
        </w:tc>
        <w:tc>
          <w:tcPr>
            <w:tcW w:w="1021" w:type="dxa"/>
            <w:tcBorders>
              <w:top w:val="single" w:sz="4" w:space="0" w:color="auto"/>
              <w:bottom w:val="single" w:sz="12" w:space="0" w:color="auto"/>
            </w:tcBorders>
            <w:shd w:val="clear" w:color="auto" w:fill="auto"/>
            <w:vAlign w:val="bottom"/>
          </w:tcPr>
          <w:p w:rsidR="00A20D33" w:rsidRPr="005368E8" w:rsidRDefault="00A20D33" w:rsidP="00AD0B17">
            <w:pPr>
              <w:suppressAutoHyphens w:val="0"/>
              <w:spacing w:before="80" w:after="80" w:line="200" w:lineRule="exact"/>
              <w:ind w:right="113"/>
              <w:jc w:val="right"/>
              <w:rPr>
                <w:i/>
                <w:sz w:val="16"/>
              </w:rPr>
            </w:pPr>
            <w:r w:rsidRPr="005368E8">
              <w:rPr>
                <w:i/>
                <w:sz w:val="16"/>
              </w:rPr>
              <w:t>2013/14</w:t>
            </w:r>
          </w:p>
        </w:tc>
      </w:tr>
      <w:tr w:rsidR="007115A8" w:rsidRPr="009C5335" w:rsidTr="00AD0B17">
        <w:tc>
          <w:tcPr>
            <w:tcW w:w="2438" w:type="dxa"/>
            <w:tcBorders>
              <w:bottom w:val="nil"/>
            </w:tcBorders>
            <w:shd w:val="clear" w:color="auto" w:fill="auto"/>
          </w:tcPr>
          <w:p w:rsidR="007115A8" w:rsidRPr="009C5335" w:rsidRDefault="007115A8" w:rsidP="007115A8">
            <w:pPr>
              <w:suppressAutoHyphens w:val="0"/>
              <w:spacing w:before="40" w:after="40" w:line="220" w:lineRule="exact"/>
              <w:ind w:right="113"/>
              <w:rPr>
                <w:sz w:val="18"/>
              </w:rPr>
            </w:pPr>
            <w:r w:rsidRPr="009C5335">
              <w:rPr>
                <w:sz w:val="18"/>
              </w:rPr>
              <w:t>School units</w:t>
            </w:r>
          </w:p>
        </w:tc>
        <w:tc>
          <w:tcPr>
            <w:tcW w:w="1303" w:type="dxa"/>
            <w:tcBorders>
              <w:bottom w:val="nil"/>
            </w:tcBorders>
            <w:shd w:val="clear" w:color="auto" w:fill="auto"/>
            <w:vAlign w:val="bottom"/>
          </w:tcPr>
          <w:p w:rsidR="007115A8" w:rsidRPr="00875CFA" w:rsidRDefault="00295201" w:rsidP="00295201">
            <w:pPr>
              <w:suppressAutoHyphens w:val="0"/>
              <w:spacing w:before="40" w:after="40" w:line="220" w:lineRule="exact"/>
              <w:ind w:right="113"/>
              <w:jc w:val="right"/>
              <w:rPr>
                <w:sz w:val="18"/>
              </w:rPr>
            </w:pPr>
            <w:r>
              <w:rPr>
                <w:sz w:val="18"/>
              </w:rPr>
              <w:t>1</w:t>
            </w:r>
            <w:r w:rsidR="008660D2">
              <w:rPr>
                <w:sz w:val="18"/>
              </w:rPr>
              <w:t xml:space="preserve"> </w:t>
            </w:r>
            <w:r>
              <w:rPr>
                <w:sz w:val="18"/>
              </w:rPr>
              <w:t>338</w:t>
            </w:r>
          </w:p>
        </w:tc>
        <w:tc>
          <w:tcPr>
            <w:tcW w:w="1225" w:type="dxa"/>
            <w:tcBorders>
              <w:bottom w:val="nil"/>
            </w:tcBorders>
            <w:shd w:val="clear" w:color="auto" w:fill="auto"/>
            <w:vAlign w:val="bottom"/>
          </w:tcPr>
          <w:p w:rsidR="007115A8" w:rsidRPr="00875CFA" w:rsidRDefault="00A44651" w:rsidP="00A44651">
            <w:pPr>
              <w:suppressAutoHyphens w:val="0"/>
              <w:spacing w:before="40" w:after="40" w:line="220" w:lineRule="exact"/>
              <w:ind w:right="113"/>
              <w:jc w:val="right"/>
              <w:rPr>
                <w:sz w:val="18"/>
              </w:rPr>
            </w:pPr>
            <w:r>
              <w:rPr>
                <w:sz w:val="18"/>
              </w:rPr>
              <w:t>1</w:t>
            </w:r>
            <w:r w:rsidR="008660D2">
              <w:rPr>
                <w:sz w:val="18"/>
              </w:rPr>
              <w:t xml:space="preserve"> </w:t>
            </w:r>
            <w:r>
              <w:rPr>
                <w:sz w:val="18"/>
              </w:rPr>
              <w:t>320</w:t>
            </w:r>
          </w:p>
        </w:tc>
        <w:tc>
          <w:tcPr>
            <w:tcW w:w="1383" w:type="dxa"/>
            <w:tcBorders>
              <w:bottom w:val="nil"/>
            </w:tcBorders>
            <w:shd w:val="clear" w:color="auto" w:fill="auto"/>
            <w:vAlign w:val="bottom"/>
          </w:tcPr>
          <w:p w:rsidR="007115A8" w:rsidRPr="00875CFA" w:rsidRDefault="00A44651" w:rsidP="00A44651">
            <w:pPr>
              <w:suppressAutoHyphens w:val="0"/>
              <w:spacing w:before="40" w:after="40" w:line="220" w:lineRule="exact"/>
              <w:ind w:right="113"/>
              <w:jc w:val="right"/>
              <w:rPr>
                <w:sz w:val="18"/>
              </w:rPr>
            </w:pPr>
            <w:r>
              <w:rPr>
                <w:sz w:val="18"/>
              </w:rPr>
              <w:t>1</w:t>
            </w:r>
            <w:r w:rsidR="008660D2">
              <w:rPr>
                <w:sz w:val="18"/>
              </w:rPr>
              <w:t xml:space="preserve"> </w:t>
            </w:r>
            <w:r>
              <w:rPr>
                <w:sz w:val="18"/>
              </w:rPr>
              <w:t>318</w:t>
            </w:r>
          </w:p>
        </w:tc>
        <w:tc>
          <w:tcPr>
            <w:tcW w:w="1021" w:type="dxa"/>
            <w:tcBorders>
              <w:bottom w:val="nil"/>
            </w:tcBorders>
            <w:shd w:val="clear" w:color="auto" w:fill="auto"/>
            <w:vAlign w:val="bottom"/>
          </w:tcPr>
          <w:p w:rsidR="007115A8" w:rsidRPr="00875CFA" w:rsidRDefault="00A44651" w:rsidP="00A44651">
            <w:pPr>
              <w:suppressAutoHyphens w:val="0"/>
              <w:spacing w:before="40" w:after="40" w:line="220" w:lineRule="exact"/>
              <w:ind w:right="113"/>
              <w:jc w:val="right"/>
              <w:rPr>
                <w:sz w:val="18"/>
              </w:rPr>
            </w:pPr>
            <w:r>
              <w:rPr>
                <w:sz w:val="18"/>
              </w:rPr>
              <w:t>1</w:t>
            </w:r>
            <w:r w:rsidR="008660D2">
              <w:rPr>
                <w:sz w:val="18"/>
              </w:rPr>
              <w:t xml:space="preserve"> </w:t>
            </w:r>
            <w:r>
              <w:rPr>
                <w:sz w:val="18"/>
              </w:rPr>
              <w:t>306</w:t>
            </w:r>
          </w:p>
        </w:tc>
      </w:tr>
      <w:tr w:rsidR="007115A8" w:rsidRPr="009C5335" w:rsidTr="00AD0B17">
        <w:tc>
          <w:tcPr>
            <w:tcW w:w="2438" w:type="dxa"/>
            <w:tcBorders>
              <w:top w:val="nil"/>
              <w:bottom w:val="nil"/>
            </w:tcBorders>
            <w:shd w:val="clear" w:color="auto" w:fill="auto"/>
          </w:tcPr>
          <w:p w:rsidR="007115A8" w:rsidRPr="009C5335" w:rsidRDefault="007115A8" w:rsidP="007115A8">
            <w:pPr>
              <w:suppressAutoHyphens w:val="0"/>
              <w:spacing w:before="40" w:after="40" w:line="220" w:lineRule="exact"/>
              <w:ind w:right="113"/>
              <w:rPr>
                <w:sz w:val="18"/>
              </w:rPr>
            </w:pPr>
            <w:r w:rsidRPr="009C5335">
              <w:rPr>
                <w:sz w:val="18"/>
              </w:rPr>
              <w:t>Teaching staff</w:t>
            </w:r>
          </w:p>
        </w:tc>
        <w:tc>
          <w:tcPr>
            <w:tcW w:w="1303" w:type="dxa"/>
            <w:tcBorders>
              <w:top w:val="nil"/>
              <w:bottom w:val="nil"/>
            </w:tcBorders>
            <w:shd w:val="clear" w:color="auto" w:fill="auto"/>
            <w:vAlign w:val="bottom"/>
          </w:tcPr>
          <w:p w:rsidR="007115A8" w:rsidRPr="009C5335" w:rsidRDefault="00A44651" w:rsidP="00A44651">
            <w:pPr>
              <w:suppressAutoHyphens w:val="0"/>
              <w:spacing w:before="40" w:after="40" w:line="220" w:lineRule="exact"/>
              <w:ind w:right="113"/>
              <w:jc w:val="right"/>
              <w:rPr>
                <w:sz w:val="18"/>
              </w:rPr>
            </w:pPr>
            <w:r>
              <w:rPr>
                <w:sz w:val="18"/>
              </w:rPr>
              <w:t>29</w:t>
            </w:r>
            <w:r w:rsidR="008660D2">
              <w:rPr>
                <w:sz w:val="18"/>
              </w:rPr>
              <w:t xml:space="preserve"> </w:t>
            </w:r>
            <w:r>
              <w:rPr>
                <w:sz w:val="18"/>
              </w:rPr>
              <w:t>837</w:t>
            </w:r>
          </w:p>
        </w:tc>
        <w:tc>
          <w:tcPr>
            <w:tcW w:w="1225" w:type="dxa"/>
            <w:tcBorders>
              <w:top w:val="nil"/>
              <w:bottom w:val="nil"/>
            </w:tcBorders>
            <w:shd w:val="clear" w:color="auto" w:fill="auto"/>
            <w:vAlign w:val="bottom"/>
          </w:tcPr>
          <w:p w:rsidR="007115A8" w:rsidRPr="009C5335" w:rsidRDefault="00274FBB" w:rsidP="00A44651">
            <w:pPr>
              <w:suppressAutoHyphens w:val="0"/>
              <w:spacing w:before="40" w:after="40" w:line="220" w:lineRule="exact"/>
              <w:ind w:right="113"/>
              <w:jc w:val="right"/>
              <w:rPr>
                <w:sz w:val="18"/>
              </w:rPr>
            </w:pPr>
            <w:r w:rsidRPr="00875CFA">
              <w:rPr>
                <w:sz w:val="18"/>
              </w:rPr>
              <w:t>27</w:t>
            </w:r>
            <w:r w:rsidR="008660D2">
              <w:rPr>
                <w:sz w:val="18"/>
              </w:rPr>
              <w:t xml:space="preserve"> </w:t>
            </w:r>
            <w:r w:rsidRPr="00875CFA">
              <w:rPr>
                <w:sz w:val="18"/>
              </w:rPr>
              <w:t>6</w:t>
            </w:r>
            <w:r w:rsidR="00A44651">
              <w:rPr>
                <w:sz w:val="18"/>
              </w:rPr>
              <w:t>72</w:t>
            </w:r>
          </w:p>
        </w:tc>
        <w:tc>
          <w:tcPr>
            <w:tcW w:w="1383" w:type="dxa"/>
            <w:tcBorders>
              <w:top w:val="nil"/>
              <w:bottom w:val="nil"/>
            </w:tcBorders>
            <w:shd w:val="clear" w:color="auto" w:fill="auto"/>
            <w:vAlign w:val="bottom"/>
          </w:tcPr>
          <w:p w:rsidR="007115A8" w:rsidRPr="009C5335" w:rsidRDefault="00A44651" w:rsidP="00A44651">
            <w:pPr>
              <w:suppressAutoHyphens w:val="0"/>
              <w:spacing w:before="40" w:after="40" w:line="220" w:lineRule="exact"/>
              <w:ind w:right="113"/>
              <w:jc w:val="right"/>
              <w:rPr>
                <w:sz w:val="18"/>
              </w:rPr>
            </w:pPr>
            <w:r>
              <w:rPr>
                <w:sz w:val="18"/>
              </w:rPr>
              <w:t>27</w:t>
            </w:r>
            <w:r w:rsidR="008660D2">
              <w:rPr>
                <w:sz w:val="18"/>
              </w:rPr>
              <w:t xml:space="preserve"> </w:t>
            </w:r>
            <w:r>
              <w:rPr>
                <w:sz w:val="18"/>
              </w:rPr>
              <w:t>327</w:t>
            </w:r>
          </w:p>
        </w:tc>
        <w:tc>
          <w:tcPr>
            <w:tcW w:w="1021" w:type="dxa"/>
            <w:tcBorders>
              <w:top w:val="nil"/>
              <w:bottom w:val="nil"/>
            </w:tcBorders>
            <w:shd w:val="clear" w:color="auto" w:fill="auto"/>
            <w:vAlign w:val="bottom"/>
          </w:tcPr>
          <w:p w:rsidR="007115A8" w:rsidRPr="009C5335" w:rsidRDefault="00A44651" w:rsidP="00A44651">
            <w:pPr>
              <w:suppressAutoHyphens w:val="0"/>
              <w:spacing w:before="40" w:after="40" w:line="220" w:lineRule="exact"/>
              <w:ind w:right="113"/>
              <w:jc w:val="right"/>
              <w:rPr>
                <w:sz w:val="18"/>
              </w:rPr>
            </w:pPr>
            <w:r>
              <w:rPr>
                <w:sz w:val="18"/>
              </w:rPr>
              <w:t>24</w:t>
            </w:r>
            <w:r w:rsidR="008660D2">
              <w:rPr>
                <w:sz w:val="18"/>
              </w:rPr>
              <w:t xml:space="preserve"> </w:t>
            </w:r>
            <w:r>
              <w:rPr>
                <w:sz w:val="18"/>
              </w:rPr>
              <w:t>345</w:t>
            </w:r>
          </w:p>
        </w:tc>
      </w:tr>
      <w:tr w:rsidR="007115A8" w:rsidRPr="009C5335" w:rsidTr="00AD0B17">
        <w:tc>
          <w:tcPr>
            <w:tcW w:w="2438" w:type="dxa"/>
            <w:tcBorders>
              <w:top w:val="nil"/>
            </w:tcBorders>
            <w:shd w:val="clear" w:color="auto" w:fill="auto"/>
          </w:tcPr>
          <w:p w:rsidR="007115A8" w:rsidRPr="009C5335" w:rsidRDefault="007115A8" w:rsidP="007115A8">
            <w:pPr>
              <w:suppressAutoHyphens w:val="0"/>
              <w:spacing w:before="40" w:after="40" w:line="220" w:lineRule="exact"/>
              <w:ind w:right="113"/>
              <w:rPr>
                <w:sz w:val="18"/>
              </w:rPr>
            </w:pPr>
            <w:r w:rsidRPr="009C5335">
              <w:rPr>
                <w:sz w:val="18"/>
              </w:rPr>
              <w:t>Pupils</w:t>
            </w:r>
          </w:p>
        </w:tc>
        <w:tc>
          <w:tcPr>
            <w:tcW w:w="1303" w:type="dxa"/>
            <w:tcBorders>
              <w:top w:val="nil"/>
            </w:tcBorders>
            <w:shd w:val="clear" w:color="auto" w:fill="auto"/>
            <w:vAlign w:val="bottom"/>
          </w:tcPr>
          <w:p w:rsidR="007115A8" w:rsidRPr="009C5335" w:rsidRDefault="00A44651" w:rsidP="00A44651">
            <w:pPr>
              <w:suppressAutoHyphens w:val="0"/>
              <w:spacing w:before="40" w:after="40" w:line="220" w:lineRule="exact"/>
              <w:ind w:right="113"/>
              <w:jc w:val="right"/>
              <w:rPr>
                <w:sz w:val="18"/>
              </w:rPr>
            </w:pPr>
            <w:r>
              <w:rPr>
                <w:sz w:val="18"/>
              </w:rPr>
              <w:t>247</w:t>
            </w:r>
            <w:r w:rsidR="008660D2">
              <w:rPr>
                <w:sz w:val="18"/>
              </w:rPr>
              <w:t xml:space="preserve"> </w:t>
            </w:r>
            <w:r>
              <w:rPr>
                <w:sz w:val="18"/>
              </w:rPr>
              <w:t>209</w:t>
            </w:r>
          </w:p>
        </w:tc>
        <w:tc>
          <w:tcPr>
            <w:tcW w:w="1225" w:type="dxa"/>
            <w:tcBorders>
              <w:top w:val="nil"/>
            </w:tcBorders>
            <w:shd w:val="clear" w:color="auto" w:fill="auto"/>
            <w:vAlign w:val="bottom"/>
          </w:tcPr>
          <w:p w:rsidR="007115A8" w:rsidRPr="009C5335" w:rsidRDefault="00A44651" w:rsidP="00A44651">
            <w:pPr>
              <w:suppressAutoHyphens w:val="0"/>
              <w:spacing w:before="40" w:after="40" w:line="220" w:lineRule="exact"/>
              <w:ind w:right="113"/>
              <w:jc w:val="right"/>
              <w:rPr>
                <w:sz w:val="18"/>
              </w:rPr>
            </w:pPr>
            <w:r>
              <w:rPr>
                <w:sz w:val="18"/>
              </w:rPr>
              <w:t>247</w:t>
            </w:r>
            <w:r w:rsidR="008660D2">
              <w:rPr>
                <w:sz w:val="18"/>
              </w:rPr>
              <w:t xml:space="preserve"> </w:t>
            </w:r>
            <w:r>
              <w:rPr>
                <w:sz w:val="18"/>
              </w:rPr>
              <w:t>717</w:t>
            </w:r>
          </w:p>
        </w:tc>
        <w:tc>
          <w:tcPr>
            <w:tcW w:w="1383" w:type="dxa"/>
            <w:tcBorders>
              <w:top w:val="nil"/>
            </w:tcBorders>
            <w:shd w:val="clear" w:color="auto" w:fill="auto"/>
            <w:vAlign w:val="bottom"/>
          </w:tcPr>
          <w:p w:rsidR="007115A8" w:rsidRPr="009C5335" w:rsidRDefault="00A44651" w:rsidP="00A44651">
            <w:pPr>
              <w:suppressAutoHyphens w:val="0"/>
              <w:spacing w:before="40" w:after="40" w:line="220" w:lineRule="exact"/>
              <w:ind w:right="113"/>
              <w:jc w:val="right"/>
              <w:rPr>
                <w:sz w:val="18"/>
              </w:rPr>
            </w:pPr>
            <w:r>
              <w:rPr>
                <w:sz w:val="18"/>
              </w:rPr>
              <w:t>245</w:t>
            </w:r>
            <w:r w:rsidR="008660D2">
              <w:rPr>
                <w:sz w:val="18"/>
              </w:rPr>
              <w:t xml:space="preserve"> </w:t>
            </w:r>
            <w:r>
              <w:rPr>
                <w:sz w:val="18"/>
              </w:rPr>
              <w:t>892</w:t>
            </w:r>
          </w:p>
        </w:tc>
        <w:tc>
          <w:tcPr>
            <w:tcW w:w="1021" w:type="dxa"/>
            <w:tcBorders>
              <w:top w:val="nil"/>
            </w:tcBorders>
            <w:shd w:val="clear" w:color="auto" w:fill="auto"/>
            <w:vAlign w:val="bottom"/>
          </w:tcPr>
          <w:p w:rsidR="007115A8" w:rsidRPr="009C5335" w:rsidRDefault="00A44651" w:rsidP="00A44651">
            <w:pPr>
              <w:suppressAutoHyphens w:val="0"/>
              <w:spacing w:before="40" w:after="40" w:line="220" w:lineRule="exact"/>
              <w:ind w:right="113"/>
              <w:jc w:val="right"/>
              <w:rPr>
                <w:sz w:val="18"/>
              </w:rPr>
            </w:pPr>
            <w:r>
              <w:rPr>
                <w:sz w:val="18"/>
              </w:rPr>
              <w:t>241</w:t>
            </w:r>
            <w:r w:rsidR="008660D2">
              <w:rPr>
                <w:sz w:val="18"/>
              </w:rPr>
              <w:t xml:space="preserve"> </w:t>
            </w:r>
            <w:r>
              <w:rPr>
                <w:sz w:val="18"/>
              </w:rPr>
              <w:t>905</w:t>
            </w:r>
          </w:p>
        </w:tc>
      </w:tr>
      <w:tr w:rsidR="007115A8" w:rsidRPr="009C5335" w:rsidTr="00AD0B17">
        <w:tc>
          <w:tcPr>
            <w:tcW w:w="2438" w:type="dxa"/>
            <w:shd w:val="clear" w:color="auto" w:fill="auto"/>
          </w:tcPr>
          <w:p w:rsidR="007115A8" w:rsidRPr="009C5335" w:rsidRDefault="007115A8" w:rsidP="007115A8">
            <w:pPr>
              <w:suppressAutoHyphens w:val="0"/>
              <w:spacing w:before="40" w:after="40" w:line="220" w:lineRule="exact"/>
              <w:ind w:right="113"/>
              <w:rPr>
                <w:sz w:val="18"/>
              </w:rPr>
            </w:pPr>
            <w:r w:rsidRPr="009C5335">
              <w:rPr>
                <w:sz w:val="18"/>
              </w:rPr>
              <w:t>Public schools</w:t>
            </w:r>
          </w:p>
        </w:tc>
        <w:tc>
          <w:tcPr>
            <w:tcW w:w="1303" w:type="dxa"/>
            <w:shd w:val="clear" w:color="auto" w:fill="auto"/>
            <w:vAlign w:val="bottom"/>
          </w:tcPr>
          <w:p w:rsidR="007115A8" w:rsidRPr="009C5335" w:rsidRDefault="007115A8" w:rsidP="00274FBB">
            <w:pPr>
              <w:suppressAutoHyphens w:val="0"/>
              <w:spacing w:before="40" w:after="40" w:line="220" w:lineRule="exact"/>
              <w:ind w:right="113"/>
              <w:jc w:val="right"/>
              <w:rPr>
                <w:sz w:val="18"/>
              </w:rPr>
            </w:pPr>
          </w:p>
        </w:tc>
        <w:tc>
          <w:tcPr>
            <w:tcW w:w="1225" w:type="dxa"/>
            <w:shd w:val="clear" w:color="auto" w:fill="auto"/>
            <w:vAlign w:val="bottom"/>
          </w:tcPr>
          <w:p w:rsidR="007115A8" w:rsidRPr="009C5335" w:rsidRDefault="007115A8" w:rsidP="00274FBB">
            <w:pPr>
              <w:suppressAutoHyphens w:val="0"/>
              <w:spacing w:before="40" w:after="40" w:line="220" w:lineRule="exact"/>
              <w:ind w:right="113"/>
              <w:jc w:val="right"/>
              <w:rPr>
                <w:sz w:val="18"/>
              </w:rPr>
            </w:pPr>
          </w:p>
        </w:tc>
        <w:tc>
          <w:tcPr>
            <w:tcW w:w="1383" w:type="dxa"/>
            <w:shd w:val="clear" w:color="auto" w:fill="auto"/>
            <w:vAlign w:val="bottom"/>
          </w:tcPr>
          <w:p w:rsidR="007115A8" w:rsidRPr="009C5335" w:rsidRDefault="007115A8" w:rsidP="00274FBB">
            <w:pPr>
              <w:suppressAutoHyphens w:val="0"/>
              <w:spacing w:before="40" w:after="40" w:line="220" w:lineRule="exact"/>
              <w:ind w:right="113"/>
              <w:jc w:val="right"/>
              <w:rPr>
                <w:sz w:val="18"/>
              </w:rPr>
            </w:pPr>
          </w:p>
        </w:tc>
        <w:tc>
          <w:tcPr>
            <w:tcW w:w="1021" w:type="dxa"/>
            <w:shd w:val="clear" w:color="auto" w:fill="auto"/>
            <w:vAlign w:val="bottom"/>
          </w:tcPr>
          <w:p w:rsidR="007115A8" w:rsidRPr="009C5335" w:rsidRDefault="007115A8" w:rsidP="00274FBB">
            <w:pPr>
              <w:suppressAutoHyphens w:val="0"/>
              <w:spacing w:before="40" w:after="40" w:line="220" w:lineRule="exact"/>
              <w:ind w:right="113"/>
              <w:jc w:val="right"/>
              <w:rPr>
                <w:sz w:val="18"/>
              </w:rPr>
            </w:pPr>
          </w:p>
        </w:tc>
      </w:tr>
      <w:tr w:rsidR="007115A8" w:rsidRPr="009C5335" w:rsidTr="00AD0B17">
        <w:tc>
          <w:tcPr>
            <w:tcW w:w="2438" w:type="dxa"/>
            <w:shd w:val="clear" w:color="auto" w:fill="auto"/>
          </w:tcPr>
          <w:p w:rsidR="007115A8" w:rsidRPr="009C5335" w:rsidRDefault="007115A8" w:rsidP="007115A8">
            <w:pPr>
              <w:suppressAutoHyphens w:val="0"/>
              <w:spacing w:before="40" w:after="40" w:line="220" w:lineRule="exact"/>
              <w:ind w:left="145" w:right="113"/>
              <w:rPr>
                <w:sz w:val="18"/>
              </w:rPr>
            </w:pPr>
            <w:r w:rsidRPr="009C5335">
              <w:rPr>
                <w:sz w:val="18"/>
              </w:rPr>
              <w:t>School units</w:t>
            </w:r>
          </w:p>
        </w:tc>
        <w:tc>
          <w:tcPr>
            <w:tcW w:w="1303" w:type="dxa"/>
            <w:shd w:val="clear" w:color="auto" w:fill="auto"/>
            <w:vAlign w:val="bottom"/>
          </w:tcPr>
          <w:p w:rsidR="007115A8" w:rsidRPr="009C5335" w:rsidRDefault="00A44651" w:rsidP="00A44651">
            <w:pPr>
              <w:suppressAutoHyphens w:val="0"/>
              <w:spacing w:before="40" w:after="40" w:line="220" w:lineRule="exact"/>
              <w:ind w:right="113"/>
              <w:jc w:val="right"/>
              <w:rPr>
                <w:sz w:val="18"/>
              </w:rPr>
            </w:pPr>
            <w:r>
              <w:rPr>
                <w:sz w:val="18"/>
              </w:rPr>
              <w:t>1</w:t>
            </w:r>
            <w:r w:rsidR="008660D2">
              <w:rPr>
                <w:sz w:val="18"/>
              </w:rPr>
              <w:t xml:space="preserve"> </w:t>
            </w:r>
            <w:r>
              <w:rPr>
                <w:sz w:val="18"/>
              </w:rPr>
              <w:t>175</w:t>
            </w:r>
          </w:p>
        </w:tc>
        <w:tc>
          <w:tcPr>
            <w:tcW w:w="1225" w:type="dxa"/>
            <w:shd w:val="clear" w:color="auto" w:fill="auto"/>
            <w:vAlign w:val="bottom"/>
          </w:tcPr>
          <w:p w:rsidR="007115A8" w:rsidRPr="009C5335" w:rsidRDefault="00A44651" w:rsidP="00A44651">
            <w:pPr>
              <w:suppressAutoHyphens w:val="0"/>
              <w:spacing w:before="40" w:after="40" w:line="220" w:lineRule="exact"/>
              <w:ind w:right="113"/>
              <w:jc w:val="right"/>
              <w:rPr>
                <w:sz w:val="18"/>
              </w:rPr>
            </w:pPr>
            <w:r>
              <w:rPr>
                <w:sz w:val="18"/>
              </w:rPr>
              <w:t>1</w:t>
            </w:r>
            <w:r w:rsidR="008660D2">
              <w:rPr>
                <w:sz w:val="18"/>
              </w:rPr>
              <w:t xml:space="preserve"> </w:t>
            </w:r>
            <w:r>
              <w:rPr>
                <w:sz w:val="18"/>
              </w:rPr>
              <w:t>159</w:t>
            </w:r>
          </w:p>
        </w:tc>
        <w:tc>
          <w:tcPr>
            <w:tcW w:w="1383" w:type="dxa"/>
            <w:shd w:val="clear" w:color="auto" w:fill="auto"/>
            <w:vAlign w:val="bottom"/>
          </w:tcPr>
          <w:p w:rsidR="007115A8" w:rsidRPr="009C5335" w:rsidRDefault="00A44651" w:rsidP="00A44651">
            <w:pPr>
              <w:suppressAutoHyphens w:val="0"/>
              <w:spacing w:before="40" w:after="40" w:line="220" w:lineRule="exact"/>
              <w:ind w:right="113"/>
              <w:jc w:val="right"/>
              <w:rPr>
                <w:sz w:val="18"/>
              </w:rPr>
            </w:pPr>
            <w:r>
              <w:rPr>
                <w:sz w:val="18"/>
              </w:rPr>
              <w:t>1</w:t>
            </w:r>
            <w:r w:rsidR="008660D2">
              <w:rPr>
                <w:sz w:val="18"/>
              </w:rPr>
              <w:t xml:space="preserve"> </w:t>
            </w:r>
            <w:r>
              <w:rPr>
                <w:sz w:val="18"/>
              </w:rPr>
              <w:t>155</w:t>
            </w:r>
          </w:p>
        </w:tc>
        <w:tc>
          <w:tcPr>
            <w:tcW w:w="1021" w:type="dxa"/>
            <w:shd w:val="clear" w:color="auto" w:fill="auto"/>
            <w:vAlign w:val="bottom"/>
          </w:tcPr>
          <w:p w:rsidR="007115A8" w:rsidRPr="009C5335" w:rsidRDefault="00A44651" w:rsidP="00A44651">
            <w:pPr>
              <w:suppressAutoHyphens w:val="0"/>
              <w:spacing w:before="40" w:after="40" w:line="220" w:lineRule="exact"/>
              <w:ind w:right="113"/>
              <w:jc w:val="right"/>
              <w:rPr>
                <w:sz w:val="18"/>
              </w:rPr>
            </w:pPr>
            <w:r>
              <w:rPr>
                <w:sz w:val="18"/>
              </w:rPr>
              <w:t>1</w:t>
            </w:r>
            <w:r w:rsidR="008660D2">
              <w:rPr>
                <w:sz w:val="18"/>
              </w:rPr>
              <w:t xml:space="preserve"> </w:t>
            </w:r>
            <w:r>
              <w:rPr>
                <w:sz w:val="18"/>
              </w:rPr>
              <w:t>145</w:t>
            </w:r>
          </w:p>
        </w:tc>
      </w:tr>
      <w:tr w:rsidR="007115A8" w:rsidRPr="009C5335" w:rsidTr="00AD0B17">
        <w:tc>
          <w:tcPr>
            <w:tcW w:w="2438" w:type="dxa"/>
            <w:shd w:val="clear" w:color="auto" w:fill="auto"/>
          </w:tcPr>
          <w:p w:rsidR="007115A8" w:rsidRPr="009C5335" w:rsidRDefault="007115A8" w:rsidP="007115A8">
            <w:pPr>
              <w:suppressAutoHyphens w:val="0"/>
              <w:spacing w:before="40" w:after="40" w:line="220" w:lineRule="exact"/>
              <w:ind w:left="145" w:right="113"/>
              <w:rPr>
                <w:sz w:val="18"/>
              </w:rPr>
            </w:pPr>
            <w:r w:rsidRPr="009C5335">
              <w:rPr>
                <w:sz w:val="18"/>
              </w:rPr>
              <w:t>Teaching staff</w:t>
            </w:r>
          </w:p>
        </w:tc>
        <w:tc>
          <w:tcPr>
            <w:tcW w:w="1303" w:type="dxa"/>
            <w:shd w:val="clear" w:color="auto" w:fill="auto"/>
            <w:vAlign w:val="bottom"/>
          </w:tcPr>
          <w:p w:rsidR="007115A8" w:rsidRPr="00E34389" w:rsidRDefault="00A44651" w:rsidP="00A44651">
            <w:pPr>
              <w:suppressAutoHyphens w:val="0"/>
              <w:spacing w:before="40" w:after="40" w:line="220" w:lineRule="exact"/>
              <w:ind w:right="113"/>
              <w:jc w:val="right"/>
              <w:rPr>
                <w:sz w:val="18"/>
              </w:rPr>
            </w:pPr>
            <w:r>
              <w:rPr>
                <w:sz w:val="18"/>
              </w:rPr>
              <w:t>27</w:t>
            </w:r>
            <w:r w:rsidR="008660D2">
              <w:rPr>
                <w:sz w:val="18"/>
              </w:rPr>
              <w:t xml:space="preserve"> </w:t>
            </w:r>
            <w:r>
              <w:rPr>
                <w:sz w:val="18"/>
              </w:rPr>
              <w:t>365</w:t>
            </w:r>
          </w:p>
        </w:tc>
        <w:tc>
          <w:tcPr>
            <w:tcW w:w="1225" w:type="dxa"/>
            <w:shd w:val="clear" w:color="auto" w:fill="auto"/>
            <w:vAlign w:val="bottom"/>
          </w:tcPr>
          <w:p w:rsidR="007115A8" w:rsidRPr="00E34389" w:rsidRDefault="00A44651" w:rsidP="00A44651">
            <w:pPr>
              <w:suppressAutoHyphens w:val="0"/>
              <w:spacing w:before="40" w:after="40" w:line="220" w:lineRule="exact"/>
              <w:ind w:right="113"/>
              <w:jc w:val="right"/>
              <w:rPr>
                <w:sz w:val="18"/>
              </w:rPr>
            </w:pPr>
            <w:r>
              <w:rPr>
                <w:sz w:val="18"/>
              </w:rPr>
              <w:t>25</w:t>
            </w:r>
            <w:r w:rsidR="008660D2">
              <w:rPr>
                <w:sz w:val="18"/>
              </w:rPr>
              <w:t xml:space="preserve"> </w:t>
            </w:r>
            <w:r>
              <w:rPr>
                <w:sz w:val="18"/>
              </w:rPr>
              <w:t>318</w:t>
            </w:r>
          </w:p>
        </w:tc>
        <w:tc>
          <w:tcPr>
            <w:tcW w:w="1383" w:type="dxa"/>
            <w:shd w:val="clear" w:color="auto" w:fill="auto"/>
            <w:vAlign w:val="bottom"/>
          </w:tcPr>
          <w:p w:rsidR="007115A8" w:rsidRPr="00E34389" w:rsidRDefault="00A44651" w:rsidP="00A44651">
            <w:pPr>
              <w:suppressAutoHyphens w:val="0"/>
              <w:spacing w:before="40" w:after="40" w:line="220" w:lineRule="exact"/>
              <w:ind w:right="113"/>
              <w:jc w:val="right"/>
              <w:rPr>
                <w:sz w:val="18"/>
              </w:rPr>
            </w:pPr>
            <w:r>
              <w:rPr>
                <w:sz w:val="18"/>
              </w:rPr>
              <w:t>25</w:t>
            </w:r>
            <w:r w:rsidR="008660D2">
              <w:rPr>
                <w:sz w:val="18"/>
              </w:rPr>
              <w:t xml:space="preserve"> </w:t>
            </w:r>
            <w:r>
              <w:rPr>
                <w:sz w:val="18"/>
              </w:rPr>
              <w:t>012</w:t>
            </w:r>
          </w:p>
        </w:tc>
        <w:tc>
          <w:tcPr>
            <w:tcW w:w="1021" w:type="dxa"/>
            <w:shd w:val="clear" w:color="auto" w:fill="auto"/>
            <w:vAlign w:val="bottom"/>
          </w:tcPr>
          <w:p w:rsidR="007115A8" w:rsidRPr="00E34389" w:rsidRDefault="00A44651" w:rsidP="00A44651">
            <w:pPr>
              <w:suppressAutoHyphens w:val="0"/>
              <w:spacing w:before="40" w:after="40" w:line="220" w:lineRule="exact"/>
              <w:ind w:right="113"/>
              <w:jc w:val="right"/>
              <w:rPr>
                <w:sz w:val="18"/>
              </w:rPr>
            </w:pPr>
            <w:r>
              <w:rPr>
                <w:sz w:val="18"/>
              </w:rPr>
              <w:t>22</w:t>
            </w:r>
            <w:r w:rsidR="008660D2">
              <w:rPr>
                <w:sz w:val="18"/>
              </w:rPr>
              <w:t xml:space="preserve"> </w:t>
            </w:r>
            <w:r>
              <w:rPr>
                <w:sz w:val="18"/>
              </w:rPr>
              <w:t>183</w:t>
            </w:r>
          </w:p>
        </w:tc>
      </w:tr>
      <w:tr w:rsidR="007115A8" w:rsidRPr="009C5335" w:rsidTr="00AD0B17">
        <w:tc>
          <w:tcPr>
            <w:tcW w:w="2438" w:type="dxa"/>
            <w:shd w:val="clear" w:color="auto" w:fill="auto"/>
          </w:tcPr>
          <w:p w:rsidR="007115A8" w:rsidRPr="009C5335" w:rsidRDefault="007115A8" w:rsidP="007115A8">
            <w:pPr>
              <w:suppressAutoHyphens w:val="0"/>
              <w:spacing w:before="40" w:after="40" w:line="220" w:lineRule="exact"/>
              <w:ind w:left="145" w:right="113"/>
              <w:rPr>
                <w:sz w:val="18"/>
              </w:rPr>
            </w:pPr>
            <w:r w:rsidRPr="009C5335">
              <w:rPr>
                <w:sz w:val="18"/>
              </w:rPr>
              <w:t>Pupils</w:t>
            </w:r>
          </w:p>
        </w:tc>
        <w:tc>
          <w:tcPr>
            <w:tcW w:w="1303" w:type="dxa"/>
            <w:shd w:val="clear" w:color="auto" w:fill="auto"/>
            <w:vAlign w:val="bottom"/>
          </w:tcPr>
          <w:p w:rsidR="007115A8" w:rsidRPr="00E34389" w:rsidRDefault="00A44651" w:rsidP="00A44651">
            <w:pPr>
              <w:suppressAutoHyphens w:val="0"/>
              <w:spacing w:before="40" w:after="40" w:line="220" w:lineRule="exact"/>
              <w:ind w:right="113"/>
              <w:jc w:val="right"/>
              <w:rPr>
                <w:sz w:val="18"/>
              </w:rPr>
            </w:pPr>
            <w:r>
              <w:rPr>
                <w:sz w:val="18"/>
              </w:rPr>
              <w:t>224</w:t>
            </w:r>
            <w:r w:rsidR="008660D2">
              <w:rPr>
                <w:sz w:val="18"/>
              </w:rPr>
              <w:t xml:space="preserve"> </w:t>
            </w:r>
            <w:r>
              <w:rPr>
                <w:sz w:val="18"/>
              </w:rPr>
              <w:t>999</w:t>
            </w:r>
          </w:p>
        </w:tc>
        <w:tc>
          <w:tcPr>
            <w:tcW w:w="1225" w:type="dxa"/>
            <w:shd w:val="clear" w:color="auto" w:fill="auto"/>
            <w:vAlign w:val="bottom"/>
          </w:tcPr>
          <w:p w:rsidR="007115A8" w:rsidRPr="00E34389" w:rsidRDefault="00A44651" w:rsidP="00A44651">
            <w:pPr>
              <w:suppressAutoHyphens w:val="0"/>
              <w:spacing w:before="40" w:after="40" w:line="220" w:lineRule="exact"/>
              <w:ind w:right="113"/>
              <w:jc w:val="right"/>
              <w:rPr>
                <w:sz w:val="18"/>
              </w:rPr>
            </w:pPr>
            <w:r>
              <w:rPr>
                <w:sz w:val="18"/>
              </w:rPr>
              <w:t>226</w:t>
            </w:r>
            <w:r w:rsidR="008660D2">
              <w:rPr>
                <w:sz w:val="18"/>
              </w:rPr>
              <w:t xml:space="preserve"> </w:t>
            </w:r>
            <w:r>
              <w:rPr>
                <w:sz w:val="18"/>
              </w:rPr>
              <w:t>129</w:t>
            </w:r>
          </w:p>
        </w:tc>
        <w:tc>
          <w:tcPr>
            <w:tcW w:w="1383" w:type="dxa"/>
            <w:shd w:val="clear" w:color="auto" w:fill="auto"/>
            <w:vAlign w:val="bottom"/>
          </w:tcPr>
          <w:p w:rsidR="007115A8" w:rsidRPr="00E34389" w:rsidRDefault="00A44651" w:rsidP="00A44651">
            <w:pPr>
              <w:suppressAutoHyphens w:val="0"/>
              <w:spacing w:before="40" w:after="40" w:line="220" w:lineRule="exact"/>
              <w:ind w:right="113"/>
              <w:jc w:val="right"/>
              <w:rPr>
                <w:sz w:val="18"/>
              </w:rPr>
            </w:pPr>
            <w:r>
              <w:rPr>
                <w:sz w:val="18"/>
              </w:rPr>
              <w:t>225</w:t>
            </w:r>
            <w:r w:rsidR="008660D2">
              <w:rPr>
                <w:sz w:val="18"/>
              </w:rPr>
              <w:t xml:space="preserve"> </w:t>
            </w:r>
            <w:r>
              <w:rPr>
                <w:sz w:val="18"/>
              </w:rPr>
              <w:t>189</w:t>
            </w:r>
          </w:p>
        </w:tc>
        <w:tc>
          <w:tcPr>
            <w:tcW w:w="1021" w:type="dxa"/>
            <w:shd w:val="clear" w:color="auto" w:fill="auto"/>
            <w:vAlign w:val="bottom"/>
          </w:tcPr>
          <w:p w:rsidR="007115A8" w:rsidRPr="00E34389" w:rsidRDefault="00A44651" w:rsidP="00A44651">
            <w:pPr>
              <w:suppressAutoHyphens w:val="0"/>
              <w:spacing w:before="40" w:after="40" w:line="220" w:lineRule="exact"/>
              <w:ind w:right="113"/>
              <w:jc w:val="right"/>
              <w:rPr>
                <w:sz w:val="18"/>
              </w:rPr>
            </w:pPr>
            <w:r>
              <w:rPr>
                <w:sz w:val="18"/>
              </w:rPr>
              <w:t>222</w:t>
            </w:r>
            <w:r w:rsidR="008660D2">
              <w:rPr>
                <w:sz w:val="18"/>
              </w:rPr>
              <w:t xml:space="preserve"> </w:t>
            </w:r>
            <w:r>
              <w:rPr>
                <w:sz w:val="18"/>
              </w:rPr>
              <w:t>441</w:t>
            </w:r>
          </w:p>
        </w:tc>
      </w:tr>
      <w:tr w:rsidR="007115A8" w:rsidRPr="009C5335" w:rsidTr="00AD0B17">
        <w:tc>
          <w:tcPr>
            <w:tcW w:w="2438" w:type="dxa"/>
            <w:tcBorders>
              <w:bottom w:val="nil"/>
            </w:tcBorders>
            <w:shd w:val="clear" w:color="auto" w:fill="auto"/>
          </w:tcPr>
          <w:p w:rsidR="007115A8" w:rsidRPr="009C5335" w:rsidRDefault="007115A8" w:rsidP="00A44651">
            <w:pPr>
              <w:suppressAutoHyphens w:val="0"/>
              <w:spacing w:before="40" w:after="40" w:line="220" w:lineRule="exact"/>
              <w:ind w:left="145" w:right="113"/>
              <w:rPr>
                <w:sz w:val="18"/>
              </w:rPr>
            </w:pPr>
            <w:r w:rsidRPr="009C5335">
              <w:rPr>
                <w:sz w:val="18"/>
              </w:rPr>
              <w:t>Pupils</w:t>
            </w:r>
            <w:r w:rsidR="00A44651">
              <w:rPr>
                <w:sz w:val="18"/>
              </w:rPr>
              <w:t>-</w:t>
            </w:r>
            <w:r w:rsidRPr="009C5335">
              <w:rPr>
                <w:sz w:val="18"/>
              </w:rPr>
              <w:t>teacher ratio</w:t>
            </w:r>
          </w:p>
        </w:tc>
        <w:tc>
          <w:tcPr>
            <w:tcW w:w="1303" w:type="dxa"/>
            <w:tcBorders>
              <w:bottom w:val="nil"/>
            </w:tcBorders>
            <w:shd w:val="clear" w:color="auto" w:fill="auto"/>
            <w:vAlign w:val="bottom"/>
          </w:tcPr>
          <w:p w:rsidR="007115A8" w:rsidRPr="00E34389" w:rsidRDefault="00A44651" w:rsidP="00A44651">
            <w:pPr>
              <w:suppressAutoHyphens w:val="0"/>
              <w:spacing w:before="40" w:after="40" w:line="220" w:lineRule="exact"/>
              <w:ind w:right="113"/>
              <w:jc w:val="right"/>
              <w:rPr>
                <w:sz w:val="18"/>
              </w:rPr>
            </w:pPr>
            <w:r>
              <w:rPr>
                <w:sz w:val="18"/>
              </w:rPr>
              <w:t>8.2</w:t>
            </w:r>
          </w:p>
        </w:tc>
        <w:tc>
          <w:tcPr>
            <w:tcW w:w="1225" w:type="dxa"/>
            <w:tcBorders>
              <w:bottom w:val="nil"/>
            </w:tcBorders>
            <w:shd w:val="clear" w:color="auto" w:fill="auto"/>
            <w:vAlign w:val="bottom"/>
          </w:tcPr>
          <w:p w:rsidR="007115A8" w:rsidRPr="00E34389" w:rsidRDefault="00A44651" w:rsidP="00A44651">
            <w:pPr>
              <w:suppressAutoHyphens w:val="0"/>
              <w:spacing w:before="40" w:after="40" w:line="220" w:lineRule="exact"/>
              <w:ind w:right="113"/>
              <w:jc w:val="right"/>
              <w:rPr>
                <w:sz w:val="18"/>
              </w:rPr>
            </w:pPr>
            <w:r>
              <w:rPr>
                <w:sz w:val="18"/>
              </w:rPr>
              <w:t>8.9</w:t>
            </w:r>
          </w:p>
        </w:tc>
        <w:tc>
          <w:tcPr>
            <w:tcW w:w="1383" w:type="dxa"/>
            <w:tcBorders>
              <w:bottom w:val="nil"/>
            </w:tcBorders>
            <w:shd w:val="clear" w:color="auto" w:fill="auto"/>
            <w:vAlign w:val="bottom"/>
          </w:tcPr>
          <w:p w:rsidR="007115A8" w:rsidRPr="00E34389" w:rsidRDefault="00A44651" w:rsidP="00A44651">
            <w:pPr>
              <w:suppressAutoHyphens w:val="0"/>
              <w:spacing w:before="40" w:after="40" w:line="220" w:lineRule="exact"/>
              <w:ind w:right="113"/>
              <w:jc w:val="right"/>
              <w:rPr>
                <w:sz w:val="18"/>
              </w:rPr>
            </w:pPr>
            <w:r>
              <w:rPr>
                <w:sz w:val="18"/>
              </w:rPr>
              <w:t>9.0</w:t>
            </w:r>
          </w:p>
        </w:tc>
        <w:tc>
          <w:tcPr>
            <w:tcW w:w="1021" w:type="dxa"/>
            <w:tcBorders>
              <w:bottom w:val="nil"/>
            </w:tcBorders>
            <w:shd w:val="clear" w:color="auto" w:fill="auto"/>
            <w:vAlign w:val="bottom"/>
          </w:tcPr>
          <w:p w:rsidR="007115A8" w:rsidRPr="00E34389" w:rsidRDefault="00A44651" w:rsidP="008660D2">
            <w:pPr>
              <w:suppressAutoHyphens w:val="0"/>
              <w:spacing w:before="40" w:after="40" w:line="220" w:lineRule="exact"/>
              <w:ind w:right="113"/>
              <w:jc w:val="right"/>
              <w:rPr>
                <w:sz w:val="18"/>
              </w:rPr>
            </w:pPr>
            <w:r>
              <w:rPr>
                <w:sz w:val="18"/>
              </w:rPr>
              <w:t>10</w:t>
            </w:r>
            <w:r w:rsidR="008660D2">
              <w:rPr>
                <w:sz w:val="18"/>
              </w:rPr>
              <w:t>.</w:t>
            </w:r>
            <w:r>
              <w:rPr>
                <w:sz w:val="18"/>
              </w:rPr>
              <w:t>0</w:t>
            </w:r>
          </w:p>
        </w:tc>
      </w:tr>
      <w:tr w:rsidR="007115A8" w:rsidRPr="009C5335" w:rsidTr="00AD0B17">
        <w:tc>
          <w:tcPr>
            <w:tcW w:w="2438" w:type="dxa"/>
            <w:tcBorders>
              <w:top w:val="nil"/>
              <w:bottom w:val="nil"/>
            </w:tcBorders>
            <w:shd w:val="clear" w:color="auto" w:fill="auto"/>
          </w:tcPr>
          <w:p w:rsidR="007115A8" w:rsidRPr="003D6C5E" w:rsidRDefault="007115A8" w:rsidP="007115A8">
            <w:pPr>
              <w:spacing w:before="40" w:after="40" w:line="220" w:lineRule="exact"/>
              <w:rPr>
                <w:sz w:val="18"/>
              </w:rPr>
            </w:pPr>
            <w:r w:rsidRPr="003D6C5E">
              <w:rPr>
                <w:sz w:val="18"/>
              </w:rPr>
              <w:t>Private schools</w:t>
            </w:r>
          </w:p>
        </w:tc>
        <w:tc>
          <w:tcPr>
            <w:tcW w:w="1303" w:type="dxa"/>
            <w:tcBorders>
              <w:top w:val="nil"/>
              <w:bottom w:val="nil"/>
            </w:tcBorders>
            <w:shd w:val="clear" w:color="auto" w:fill="auto"/>
            <w:vAlign w:val="bottom"/>
          </w:tcPr>
          <w:p w:rsidR="007115A8" w:rsidRPr="00E34389" w:rsidRDefault="007115A8" w:rsidP="00274FBB">
            <w:pPr>
              <w:suppressAutoHyphens w:val="0"/>
              <w:spacing w:before="40" w:after="40" w:line="220" w:lineRule="exact"/>
              <w:ind w:right="113"/>
              <w:jc w:val="right"/>
              <w:rPr>
                <w:sz w:val="18"/>
              </w:rPr>
            </w:pPr>
          </w:p>
        </w:tc>
        <w:tc>
          <w:tcPr>
            <w:tcW w:w="1225" w:type="dxa"/>
            <w:tcBorders>
              <w:top w:val="nil"/>
              <w:bottom w:val="nil"/>
            </w:tcBorders>
            <w:shd w:val="clear" w:color="auto" w:fill="auto"/>
            <w:vAlign w:val="bottom"/>
          </w:tcPr>
          <w:p w:rsidR="007115A8" w:rsidRPr="00E34389" w:rsidRDefault="007115A8" w:rsidP="00274FBB">
            <w:pPr>
              <w:suppressAutoHyphens w:val="0"/>
              <w:spacing w:before="40" w:after="40" w:line="220" w:lineRule="exact"/>
              <w:ind w:right="113"/>
              <w:jc w:val="right"/>
              <w:rPr>
                <w:sz w:val="18"/>
              </w:rPr>
            </w:pPr>
          </w:p>
        </w:tc>
        <w:tc>
          <w:tcPr>
            <w:tcW w:w="1383" w:type="dxa"/>
            <w:tcBorders>
              <w:top w:val="nil"/>
              <w:bottom w:val="nil"/>
            </w:tcBorders>
            <w:shd w:val="clear" w:color="auto" w:fill="auto"/>
            <w:vAlign w:val="bottom"/>
          </w:tcPr>
          <w:p w:rsidR="007115A8" w:rsidRPr="00E34389" w:rsidRDefault="007115A8" w:rsidP="00274FBB">
            <w:pPr>
              <w:suppressAutoHyphens w:val="0"/>
              <w:spacing w:before="40" w:after="40" w:line="220" w:lineRule="exact"/>
              <w:ind w:right="113"/>
              <w:jc w:val="right"/>
              <w:rPr>
                <w:sz w:val="18"/>
              </w:rPr>
            </w:pPr>
          </w:p>
        </w:tc>
        <w:tc>
          <w:tcPr>
            <w:tcW w:w="1021" w:type="dxa"/>
            <w:tcBorders>
              <w:top w:val="nil"/>
              <w:bottom w:val="nil"/>
            </w:tcBorders>
            <w:shd w:val="clear" w:color="auto" w:fill="auto"/>
            <w:vAlign w:val="bottom"/>
          </w:tcPr>
          <w:p w:rsidR="007115A8" w:rsidRPr="00E34389" w:rsidRDefault="007115A8" w:rsidP="00274FBB">
            <w:pPr>
              <w:suppressAutoHyphens w:val="0"/>
              <w:spacing w:before="40" w:after="40" w:line="220" w:lineRule="exact"/>
              <w:ind w:right="113"/>
              <w:jc w:val="right"/>
              <w:rPr>
                <w:sz w:val="18"/>
              </w:rPr>
            </w:pPr>
          </w:p>
        </w:tc>
      </w:tr>
      <w:tr w:rsidR="007115A8" w:rsidRPr="009C5335" w:rsidTr="00875CFA">
        <w:tc>
          <w:tcPr>
            <w:tcW w:w="2438" w:type="dxa"/>
            <w:tcBorders>
              <w:top w:val="nil"/>
              <w:bottom w:val="nil"/>
            </w:tcBorders>
            <w:shd w:val="clear" w:color="auto" w:fill="auto"/>
          </w:tcPr>
          <w:p w:rsidR="007115A8" w:rsidRPr="003D6C5E" w:rsidRDefault="007115A8" w:rsidP="007115A8">
            <w:pPr>
              <w:suppressAutoHyphens w:val="0"/>
              <w:spacing w:before="40" w:after="40" w:line="220" w:lineRule="exact"/>
              <w:ind w:left="145" w:right="113"/>
              <w:rPr>
                <w:sz w:val="18"/>
              </w:rPr>
            </w:pPr>
            <w:r w:rsidRPr="003D6C5E">
              <w:rPr>
                <w:sz w:val="18"/>
              </w:rPr>
              <w:t>School units</w:t>
            </w:r>
          </w:p>
        </w:tc>
        <w:tc>
          <w:tcPr>
            <w:tcW w:w="1303" w:type="dxa"/>
            <w:tcBorders>
              <w:top w:val="nil"/>
              <w:bottom w:val="nil"/>
            </w:tcBorders>
            <w:shd w:val="clear" w:color="auto" w:fill="auto"/>
            <w:vAlign w:val="bottom"/>
          </w:tcPr>
          <w:p w:rsidR="007115A8" w:rsidRPr="00E34389" w:rsidRDefault="00A44651" w:rsidP="00A44651">
            <w:pPr>
              <w:suppressAutoHyphens w:val="0"/>
              <w:spacing w:before="40" w:after="40" w:line="220" w:lineRule="exact"/>
              <w:ind w:right="113"/>
              <w:jc w:val="right"/>
              <w:rPr>
                <w:sz w:val="18"/>
              </w:rPr>
            </w:pPr>
            <w:r>
              <w:rPr>
                <w:sz w:val="18"/>
              </w:rPr>
              <w:t>91</w:t>
            </w:r>
          </w:p>
        </w:tc>
        <w:tc>
          <w:tcPr>
            <w:tcW w:w="1225" w:type="dxa"/>
            <w:tcBorders>
              <w:top w:val="nil"/>
              <w:bottom w:val="nil"/>
            </w:tcBorders>
            <w:shd w:val="clear" w:color="auto" w:fill="auto"/>
            <w:vAlign w:val="bottom"/>
          </w:tcPr>
          <w:p w:rsidR="007115A8" w:rsidRPr="00E34389" w:rsidRDefault="00A44651" w:rsidP="00A44651">
            <w:pPr>
              <w:suppressAutoHyphens w:val="0"/>
              <w:spacing w:before="40" w:after="40" w:line="220" w:lineRule="exact"/>
              <w:ind w:right="113"/>
              <w:jc w:val="right"/>
              <w:rPr>
                <w:sz w:val="18"/>
              </w:rPr>
            </w:pPr>
            <w:r>
              <w:rPr>
                <w:sz w:val="18"/>
              </w:rPr>
              <w:t>90</w:t>
            </w:r>
          </w:p>
        </w:tc>
        <w:tc>
          <w:tcPr>
            <w:tcW w:w="1383" w:type="dxa"/>
            <w:tcBorders>
              <w:top w:val="nil"/>
              <w:bottom w:val="nil"/>
            </w:tcBorders>
            <w:shd w:val="clear" w:color="auto" w:fill="auto"/>
            <w:vAlign w:val="bottom"/>
          </w:tcPr>
          <w:p w:rsidR="007115A8" w:rsidRPr="00E34389" w:rsidRDefault="00A44651" w:rsidP="00A44651">
            <w:pPr>
              <w:suppressAutoHyphens w:val="0"/>
              <w:spacing w:before="40" w:after="40" w:line="220" w:lineRule="exact"/>
              <w:ind w:right="113"/>
              <w:jc w:val="right"/>
              <w:rPr>
                <w:sz w:val="18"/>
              </w:rPr>
            </w:pPr>
            <w:r>
              <w:rPr>
                <w:sz w:val="18"/>
              </w:rPr>
              <w:t>91</w:t>
            </w:r>
          </w:p>
        </w:tc>
        <w:tc>
          <w:tcPr>
            <w:tcW w:w="1021" w:type="dxa"/>
            <w:tcBorders>
              <w:top w:val="nil"/>
              <w:bottom w:val="nil"/>
            </w:tcBorders>
            <w:shd w:val="clear" w:color="auto" w:fill="auto"/>
            <w:vAlign w:val="bottom"/>
          </w:tcPr>
          <w:p w:rsidR="007115A8" w:rsidRPr="00E34389" w:rsidRDefault="00A44651" w:rsidP="00A44651">
            <w:pPr>
              <w:suppressAutoHyphens w:val="0"/>
              <w:spacing w:before="40" w:after="40" w:line="220" w:lineRule="exact"/>
              <w:ind w:right="113"/>
              <w:jc w:val="right"/>
              <w:rPr>
                <w:sz w:val="18"/>
              </w:rPr>
            </w:pPr>
            <w:r>
              <w:rPr>
                <w:sz w:val="18"/>
              </w:rPr>
              <w:t>92</w:t>
            </w:r>
          </w:p>
        </w:tc>
      </w:tr>
      <w:tr w:rsidR="007115A8" w:rsidRPr="009C5335" w:rsidTr="00875CFA">
        <w:tc>
          <w:tcPr>
            <w:tcW w:w="2438" w:type="dxa"/>
            <w:tcBorders>
              <w:top w:val="nil"/>
              <w:bottom w:val="nil"/>
            </w:tcBorders>
            <w:shd w:val="clear" w:color="auto" w:fill="auto"/>
          </w:tcPr>
          <w:p w:rsidR="007115A8" w:rsidRPr="003D6C5E" w:rsidRDefault="007115A8" w:rsidP="007115A8">
            <w:pPr>
              <w:suppressAutoHyphens w:val="0"/>
              <w:spacing w:before="40" w:after="40" w:line="220" w:lineRule="exact"/>
              <w:ind w:left="145" w:right="113"/>
              <w:rPr>
                <w:sz w:val="18"/>
              </w:rPr>
            </w:pPr>
            <w:r w:rsidRPr="003D6C5E">
              <w:rPr>
                <w:sz w:val="18"/>
              </w:rPr>
              <w:t>Teaching staff</w:t>
            </w:r>
          </w:p>
        </w:tc>
        <w:tc>
          <w:tcPr>
            <w:tcW w:w="1303" w:type="dxa"/>
            <w:tcBorders>
              <w:top w:val="nil"/>
              <w:bottom w:val="nil"/>
            </w:tcBorders>
            <w:shd w:val="clear" w:color="auto" w:fill="auto"/>
            <w:vAlign w:val="bottom"/>
          </w:tcPr>
          <w:p w:rsidR="007115A8" w:rsidRPr="00E34389" w:rsidRDefault="00A44651" w:rsidP="00A44651">
            <w:pPr>
              <w:suppressAutoHyphens w:val="0"/>
              <w:spacing w:before="40" w:after="40" w:line="220" w:lineRule="exact"/>
              <w:ind w:right="113"/>
              <w:jc w:val="right"/>
              <w:rPr>
                <w:sz w:val="18"/>
              </w:rPr>
            </w:pPr>
            <w:r>
              <w:rPr>
                <w:sz w:val="18"/>
              </w:rPr>
              <w:t>1</w:t>
            </w:r>
            <w:r w:rsidR="008660D2">
              <w:rPr>
                <w:sz w:val="18"/>
              </w:rPr>
              <w:t xml:space="preserve"> </w:t>
            </w:r>
            <w:r>
              <w:rPr>
                <w:sz w:val="18"/>
              </w:rPr>
              <w:t>793</w:t>
            </w:r>
          </w:p>
        </w:tc>
        <w:tc>
          <w:tcPr>
            <w:tcW w:w="1225" w:type="dxa"/>
            <w:tcBorders>
              <w:top w:val="nil"/>
              <w:bottom w:val="nil"/>
            </w:tcBorders>
            <w:shd w:val="clear" w:color="auto" w:fill="auto"/>
            <w:vAlign w:val="bottom"/>
          </w:tcPr>
          <w:p w:rsidR="007115A8" w:rsidRPr="00E34389" w:rsidRDefault="00A44651" w:rsidP="00A44651">
            <w:pPr>
              <w:suppressAutoHyphens w:val="0"/>
              <w:spacing w:before="40" w:after="40" w:line="220" w:lineRule="exact"/>
              <w:ind w:right="113"/>
              <w:jc w:val="right"/>
              <w:rPr>
                <w:sz w:val="18"/>
              </w:rPr>
            </w:pPr>
            <w:r>
              <w:rPr>
                <w:sz w:val="18"/>
              </w:rPr>
              <w:t>1</w:t>
            </w:r>
            <w:r w:rsidR="008660D2">
              <w:rPr>
                <w:sz w:val="18"/>
              </w:rPr>
              <w:t xml:space="preserve"> </w:t>
            </w:r>
            <w:r>
              <w:rPr>
                <w:sz w:val="18"/>
              </w:rPr>
              <w:t>834</w:t>
            </w:r>
          </w:p>
        </w:tc>
        <w:tc>
          <w:tcPr>
            <w:tcW w:w="1383" w:type="dxa"/>
            <w:tcBorders>
              <w:top w:val="nil"/>
              <w:bottom w:val="nil"/>
            </w:tcBorders>
            <w:shd w:val="clear" w:color="auto" w:fill="auto"/>
            <w:vAlign w:val="bottom"/>
          </w:tcPr>
          <w:p w:rsidR="007115A8" w:rsidRPr="00E34389" w:rsidRDefault="00A44651" w:rsidP="00A44651">
            <w:pPr>
              <w:suppressAutoHyphens w:val="0"/>
              <w:spacing w:before="40" w:after="40" w:line="220" w:lineRule="exact"/>
              <w:ind w:right="113"/>
              <w:jc w:val="right"/>
              <w:rPr>
                <w:sz w:val="18"/>
              </w:rPr>
            </w:pPr>
            <w:r>
              <w:rPr>
                <w:sz w:val="18"/>
              </w:rPr>
              <w:t>1</w:t>
            </w:r>
            <w:r w:rsidR="008660D2">
              <w:rPr>
                <w:sz w:val="18"/>
              </w:rPr>
              <w:t xml:space="preserve"> </w:t>
            </w:r>
            <w:r>
              <w:rPr>
                <w:sz w:val="18"/>
              </w:rPr>
              <w:t>741</w:t>
            </w:r>
          </w:p>
        </w:tc>
        <w:tc>
          <w:tcPr>
            <w:tcW w:w="1021" w:type="dxa"/>
            <w:tcBorders>
              <w:top w:val="nil"/>
              <w:bottom w:val="nil"/>
            </w:tcBorders>
            <w:shd w:val="clear" w:color="auto" w:fill="auto"/>
            <w:vAlign w:val="bottom"/>
          </w:tcPr>
          <w:p w:rsidR="007115A8" w:rsidRPr="00E34389" w:rsidRDefault="00A44651" w:rsidP="008660D2">
            <w:pPr>
              <w:suppressAutoHyphens w:val="0"/>
              <w:spacing w:before="40" w:after="40" w:line="220" w:lineRule="exact"/>
              <w:ind w:right="113"/>
              <w:jc w:val="right"/>
              <w:rPr>
                <w:sz w:val="18"/>
              </w:rPr>
            </w:pPr>
            <w:r>
              <w:rPr>
                <w:sz w:val="18"/>
              </w:rPr>
              <w:t>1</w:t>
            </w:r>
            <w:r w:rsidR="008660D2">
              <w:rPr>
                <w:sz w:val="18"/>
              </w:rPr>
              <w:t xml:space="preserve"> </w:t>
            </w:r>
            <w:r>
              <w:rPr>
                <w:sz w:val="18"/>
              </w:rPr>
              <w:t>709</w:t>
            </w:r>
          </w:p>
        </w:tc>
      </w:tr>
      <w:tr w:rsidR="007115A8" w:rsidRPr="009C5335" w:rsidTr="00875CFA">
        <w:tc>
          <w:tcPr>
            <w:tcW w:w="2438" w:type="dxa"/>
            <w:tcBorders>
              <w:top w:val="nil"/>
              <w:bottom w:val="nil"/>
            </w:tcBorders>
            <w:shd w:val="clear" w:color="auto" w:fill="auto"/>
          </w:tcPr>
          <w:p w:rsidR="007115A8" w:rsidRPr="003D6C5E" w:rsidRDefault="007115A8" w:rsidP="007115A8">
            <w:pPr>
              <w:suppressAutoHyphens w:val="0"/>
              <w:spacing w:before="40" w:after="40" w:line="220" w:lineRule="exact"/>
              <w:ind w:left="145" w:right="113"/>
              <w:rPr>
                <w:sz w:val="18"/>
              </w:rPr>
            </w:pPr>
            <w:r w:rsidRPr="003D6C5E">
              <w:rPr>
                <w:sz w:val="18"/>
              </w:rPr>
              <w:t>Pupils</w:t>
            </w:r>
          </w:p>
        </w:tc>
        <w:tc>
          <w:tcPr>
            <w:tcW w:w="1303" w:type="dxa"/>
            <w:tcBorders>
              <w:top w:val="nil"/>
              <w:bottom w:val="nil"/>
            </w:tcBorders>
            <w:shd w:val="clear" w:color="auto" w:fill="auto"/>
            <w:vAlign w:val="bottom"/>
          </w:tcPr>
          <w:p w:rsidR="007115A8" w:rsidRPr="00E34389" w:rsidRDefault="00A44651" w:rsidP="00A44651">
            <w:pPr>
              <w:suppressAutoHyphens w:val="0"/>
              <w:spacing w:before="40" w:after="40" w:line="220" w:lineRule="exact"/>
              <w:ind w:right="113"/>
              <w:jc w:val="right"/>
              <w:rPr>
                <w:sz w:val="18"/>
              </w:rPr>
            </w:pPr>
            <w:r>
              <w:rPr>
                <w:sz w:val="18"/>
              </w:rPr>
              <w:t>15</w:t>
            </w:r>
            <w:r w:rsidR="00D75032">
              <w:rPr>
                <w:sz w:val="18"/>
              </w:rPr>
              <w:t xml:space="preserve"> </w:t>
            </w:r>
            <w:r>
              <w:rPr>
                <w:sz w:val="18"/>
              </w:rPr>
              <w:t>280</w:t>
            </w:r>
          </w:p>
        </w:tc>
        <w:tc>
          <w:tcPr>
            <w:tcW w:w="1225" w:type="dxa"/>
            <w:tcBorders>
              <w:top w:val="nil"/>
              <w:bottom w:val="nil"/>
            </w:tcBorders>
            <w:shd w:val="clear" w:color="auto" w:fill="auto"/>
            <w:vAlign w:val="bottom"/>
          </w:tcPr>
          <w:p w:rsidR="007115A8" w:rsidRPr="00E34389" w:rsidRDefault="00A44651" w:rsidP="00A44651">
            <w:pPr>
              <w:suppressAutoHyphens w:val="0"/>
              <w:spacing w:before="40" w:after="40" w:line="220" w:lineRule="exact"/>
              <w:ind w:right="113"/>
              <w:jc w:val="right"/>
              <w:rPr>
                <w:sz w:val="18"/>
              </w:rPr>
            </w:pPr>
            <w:r>
              <w:rPr>
                <w:sz w:val="18"/>
              </w:rPr>
              <w:t>15</w:t>
            </w:r>
            <w:r w:rsidR="00D75032">
              <w:rPr>
                <w:sz w:val="18"/>
              </w:rPr>
              <w:t xml:space="preserve"> </w:t>
            </w:r>
            <w:r>
              <w:rPr>
                <w:sz w:val="18"/>
              </w:rPr>
              <w:t>344</w:t>
            </w:r>
          </w:p>
        </w:tc>
        <w:tc>
          <w:tcPr>
            <w:tcW w:w="1383" w:type="dxa"/>
            <w:tcBorders>
              <w:top w:val="nil"/>
              <w:bottom w:val="nil"/>
            </w:tcBorders>
            <w:shd w:val="clear" w:color="auto" w:fill="auto"/>
            <w:vAlign w:val="bottom"/>
          </w:tcPr>
          <w:p w:rsidR="007115A8" w:rsidRPr="00E34389" w:rsidRDefault="00A44651" w:rsidP="00A44651">
            <w:pPr>
              <w:suppressAutoHyphens w:val="0"/>
              <w:spacing w:before="40" w:after="40" w:line="220" w:lineRule="exact"/>
              <w:ind w:right="113"/>
              <w:jc w:val="right"/>
              <w:rPr>
                <w:sz w:val="18"/>
              </w:rPr>
            </w:pPr>
            <w:r>
              <w:rPr>
                <w:sz w:val="18"/>
              </w:rPr>
              <w:t>14</w:t>
            </w:r>
            <w:r w:rsidR="00D75032">
              <w:rPr>
                <w:sz w:val="18"/>
              </w:rPr>
              <w:t xml:space="preserve"> </w:t>
            </w:r>
            <w:r>
              <w:rPr>
                <w:sz w:val="18"/>
              </w:rPr>
              <w:t>696</w:t>
            </w:r>
          </w:p>
        </w:tc>
        <w:tc>
          <w:tcPr>
            <w:tcW w:w="1021" w:type="dxa"/>
            <w:tcBorders>
              <w:top w:val="nil"/>
              <w:bottom w:val="nil"/>
            </w:tcBorders>
            <w:shd w:val="clear" w:color="auto" w:fill="auto"/>
            <w:vAlign w:val="bottom"/>
          </w:tcPr>
          <w:p w:rsidR="007115A8" w:rsidRPr="00E34389" w:rsidRDefault="00A44651" w:rsidP="00EE2C1B">
            <w:pPr>
              <w:suppressAutoHyphens w:val="0"/>
              <w:spacing w:before="40" w:after="40" w:line="220" w:lineRule="exact"/>
              <w:ind w:right="113"/>
              <w:jc w:val="right"/>
              <w:rPr>
                <w:sz w:val="18"/>
              </w:rPr>
            </w:pPr>
            <w:r>
              <w:rPr>
                <w:sz w:val="18"/>
              </w:rPr>
              <w:t>13</w:t>
            </w:r>
            <w:r w:rsidR="00EE2C1B">
              <w:rPr>
                <w:sz w:val="18"/>
              </w:rPr>
              <w:t xml:space="preserve"> </w:t>
            </w:r>
            <w:r>
              <w:rPr>
                <w:sz w:val="18"/>
              </w:rPr>
              <w:t>875</w:t>
            </w:r>
          </w:p>
        </w:tc>
      </w:tr>
      <w:tr w:rsidR="007115A8" w:rsidRPr="009C5335" w:rsidTr="00875CFA">
        <w:tc>
          <w:tcPr>
            <w:tcW w:w="2438" w:type="dxa"/>
            <w:tcBorders>
              <w:top w:val="nil"/>
              <w:bottom w:val="single" w:sz="12" w:space="0" w:color="auto"/>
            </w:tcBorders>
            <w:shd w:val="clear" w:color="auto" w:fill="auto"/>
          </w:tcPr>
          <w:p w:rsidR="007115A8" w:rsidRPr="003D6C5E" w:rsidRDefault="007115A8" w:rsidP="007115A8">
            <w:pPr>
              <w:suppressAutoHyphens w:val="0"/>
              <w:spacing w:before="40" w:after="40" w:line="220" w:lineRule="exact"/>
              <w:ind w:left="145" w:right="113"/>
              <w:rPr>
                <w:sz w:val="18"/>
              </w:rPr>
            </w:pPr>
            <w:r w:rsidRPr="003D6C5E">
              <w:rPr>
                <w:sz w:val="18"/>
              </w:rPr>
              <w:t>Pupils</w:t>
            </w:r>
            <w:r>
              <w:rPr>
                <w:sz w:val="18"/>
              </w:rPr>
              <w:t>-</w:t>
            </w:r>
            <w:r w:rsidRPr="003D6C5E">
              <w:rPr>
                <w:sz w:val="18"/>
              </w:rPr>
              <w:t>teacher ratio</w:t>
            </w:r>
          </w:p>
        </w:tc>
        <w:tc>
          <w:tcPr>
            <w:tcW w:w="1303" w:type="dxa"/>
            <w:tcBorders>
              <w:top w:val="nil"/>
              <w:bottom w:val="single" w:sz="12" w:space="0" w:color="auto"/>
            </w:tcBorders>
            <w:shd w:val="clear" w:color="auto" w:fill="auto"/>
            <w:vAlign w:val="bottom"/>
          </w:tcPr>
          <w:p w:rsidR="007115A8" w:rsidRPr="00E34389" w:rsidRDefault="00274FBB" w:rsidP="00D75032">
            <w:pPr>
              <w:suppressAutoHyphens w:val="0"/>
              <w:spacing w:before="40" w:after="40" w:line="220" w:lineRule="exact"/>
              <w:ind w:left="145" w:right="113"/>
              <w:jc w:val="right"/>
              <w:rPr>
                <w:sz w:val="18"/>
              </w:rPr>
            </w:pPr>
            <w:r w:rsidRPr="00875CFA">
              <w:rPr>
                <w:sz w:val="18"/>
              </w:rPr>
              <w:t>8</w:t>
            </w:r>
            <w:r w:rsidR="00D75032">
              <w:rPr>
                <w:sz w:val="18"/>
              </w:rPr>
              <w:t>.</w:t>
            </w:r>
            <w:r w:rsidRPr="00875CFA">
              <w:rPr>
                <w:sz w:val="18"/>
              </w:rPr>
              <w:t>8</w:t>
            </w:r>
          </w:p>
        </w:tc>
        <w:tc>
          <w:tcPr>
            <w:tcW w:w="1225" w:type="dxa"/>
            <w:tcBorders>
              <w:top w:val="nil"/>
              <w:bottom w:val="single" w:sz="12" w:space="0" w:color="auto"/>
            </w:tcBorders>
            <w:shd w:val="clear" w:color="auto" w:fill="auto"/>
            <w:vAlign w:val="bottom"/>
          </w:tcPr>
          <w:p w:rsidR="007115A8" w:rsidRPr="00E34389" w:rsidRDefault="00274FBB" w:rsidP="00D75032">
            <w:pPr>
              <w:suppressAutoHyphens w:val="0"/>
              <w:spacing w:before="40" w:after="40" w:line="220" w:lineRule="exact"/>
              <w:ind w:left="145" w:right="113"/>
              <w:jc w:val="right"/>
              <w:rPr>
                <w:sz w:val="18"/>
              </w:rPr>
            </w:pPr>
            <w:r w:rsidRPr="00875CFA">
              <w:rPr>
                <w:sz w:val="18"/>
              </w:rPr>
              <w:t>8</w:t>
            </w:r>
            <w:r w:rsidR="00D75032">
              <w:rPr>
                <w:sz w:val="18"/>
              </w:rPr>
              <w:t>.</w:t>
            </w:r>
            <w:r w:rsidRPr="00875CFA">
              <w:rPr>
                <w:sz w:val="18"/>
              </w:rPr>
              <w:t>4</w:t>
            </w:r>
          </w:p>
        </w:tc>
        <w:tc>
          <w:tcPr>
            <w:tcW w:w="1383" w:type="dxa"/>
            <w:tcBorders>
              <w:top w:val="nil"/>
              <w:bottom w:val="single" w:sz="12" w:space="0" w:color="auto"/>
            </w:tcBorders>
            <w:shd w:val="clear" w:color="auto" w:fill="auto"/>
            <w:vAlign w:val="bottom"/>
          </w:tcPr>
          <w:p w:rsidR="007115A8" w:rsidRPr="00E34389" w:rsidRDefault="00274FBB" w:rsidP="00D75032">
            <w:pPr>
              <w:suppressAutoHyphens w:val="0"/>
              <w:spacing w:before="40" w:after="40" w:line="220" w:lineRule="exact"/>
              <w:ind w:left="145" w:right="113"/>
              <w:jc w:val="right"/>
              <w:rPr>
                <w:sz w:val="18"/>
              </w:rPr>
            </w:pPr>
            <w:r w:rsidRPr="00875CFA">
              <w:rPr>
                <w:sz w:val="18"/>
              </w:rPr>
              <w:t>8</w:t>
            </w:r>
            <w:r w:rsidR="00D75032">
              <w:rPr>
                <w:sz w:val="18"/>
              </w:rPr>
              <w:t>.</w:t>
            </w:r>
            <w:r w:rsidRPr="00875CFA">
              <w:rPr>
                <w:sz w:val="18"/>
              </w:rPr>
              <w:t>4</w:t>
            </w:r>
          </w:p>
        </w:tc>
        <w:tc>
          <w:tcPr>
            <w:tcW w:w="1021" w:type="dxa"/>
            <w:tcBorders>
              <w:top w:val="nil"/>
              <w:bottom w:val="single" w:sz="12" w:space="0" w:color="auto"/>
            </w:tcBorders>
            <w:shd w:val="clear" w:color="auto" w:fill="auto"/>
            <w:vAlign w:val="bottom"/>
          </w:tcPr>
          <w:p w:rsidR="007115A8" w:rsidRPr="00E34389" w:rsidRDefault="00274FBB" w:rsidP="00D75032">
            <w:pPr>
              <w:suppressAutoHyphens w:val="0"/>
              <w:spacing w:before="40" w:after="40" w:line="220" w:lineRule="exact"/>
              <w:ind w:left="145" w:right="113"/>
              <w:jc w:val="right"/>
              <w:rPr>
                <w:sz w:val="18"/>
              </w:rPr>
            </w:pPr>
            <w:r w:rsidRPr="00875CFA">
              <w:rPr>
                <w:sz w:val="18"/>
              </w:rPr>
              <w:t>8</w:t>
            </w:r>
            <w:r w:rsidR="00D75032">
              <w:rPr>
                <w:sz w:val="18"/>
              </w:rPr>
              <w:t>.</w:t>
            </w:r>
            <w:r w:rsidRPr="00875CFA">
              <w:rPr>
                <w:sz w:val="18"/>
              </w:rPr>
              <w:t>1</w:t>
            </w:r>
          </w:p>
        </w:tc>
      </w:tr>
    </w:tbl>
    <w:p w:rsidR="00D227C4" w:rsidRDefault="00D227C4" w:rsidP="00471C81">
      <w:pPr>
        <w:pStyle w:val="H23G"/>
      </w:pPr>
      <w:r>
        <w:tab/>
      </w:r>
      <w:r>
        <w:tab/>
      </w:r>
      <w:r w:rsidRPr="00B02247">
        <w:t>4B</w:t>
      </w:r>
      <w:r>
        <w:t>.</w:t>
      </w:r>
      <w:r w:rsidR="00471C81">
        <w:t xml:space="preserve"> </w:t>
      </w:r>
      <w:r w:rsidRPr="00B02247">
        <w:t>Secondary</w:t>
      </w:r>
      <w:r>
        <w:t xml:space="preserve"> </w:t>
      </w:r>
      <w:r w:rsidRPr="00B02247">
        <w:t>(compulsory)</w:t>
      </w:r>
      <w:r>
        <w:t xml:space="preserve"> </w:t>
      </w:r>
      <w:r w:rsidRPr="00B02247">
        <w:t>education:</w:t>
      </w:r>
      <w:r>
        <w:t xml:space="preserve"> </w:t>
      </w:r>
      <w:r w:rsidRPr="00B02247">
        <w:t>Pupils,</w:t>
      </w:r>
      <w:r>
        <w:t xml:space="preserve"> </w:t>
      </w:r>
      <w:r w:rsidRPr="00B02247">
        <w:t>school</w:t>
      </w:r>
      <w:r>
        <w:t xml:space="preserve"> </w:t>
      </w:r>
      <w:r w:rsidRPr="00B02247">
        <w:t>units</w:t>
      </w:r>
      <w:r>
        <w:t xml:space="preserve"> </w:t>
      </w:r>
      <w:r w:rsidRPr="00B02247">
        <w:t>and</w:t>
      </w:r>
      <w:r>
        <w:t xml:space="preserve"> </w:t>
      </w:r>
      <w:r w:rsidRPr="00B02247">
        <w:t>teaching</w:t>
      </w:r>
      <w:r>
        <w:t xml:space="preserve"> </w:t>
      </w:r>
      <w:r w:rsidRPr="00B02247">
        <w:t>staff</w:t>
      </w:r>
      <w:r>
        <w:t xml:space="preserve"> </w:t>
      </w:r>
      <w:r w:rsidRPr="00B02247">
        <w:t>by</w:t>
      </w:r>
      <w:r>
        <w:t xml:space="preserve"> </w:t>
      </w:r>
      <w:r w:rsidRPr="00B02247">
        <w:t>the</w:t>
      </w:r>
      <w:r>
        <w:t xml:space="preserve"> </w:t>
      </w:r>
      <w:r w:rsidRPr="00B02247">
        <w:t>end</w:t>
      </w:r>
      <w:r>
        <w:t xml:space="preserve"> </w:t>
      </w:r>
      <w:r w:rsidRPr="00B02247">
        <w:t>of</w:t>
      </w:r>
      <w:r>
        <w:t xml:space="preserve"> </w:t>
      </w:r>
      <w:r w:rsidRPr="00B02247">
        <w:t>school</w:t>
      </w:r>
      <w:r>
        <w:t xml:space="preserve"> </w:t>
      </w:r>
      <w:r w:rsidRPr="00B02247">
        <w:t>years</w:t>
      </w:r>
      <w:r>
        <w:t xml:space="preserve"> </w:t>
      </w:r>
      <w:r w:rsidRPr="00B02247">
        <w:t>2010/11–2013/14</w:t>
      </w:r>
      <w:r>
        <w:t xml:space="preserve"> </w:t>
      </w:r>
      <w:r w:rsidRPr="00B02247">
        <w:t>(</w:t>
      </w:r>
      <w:r w:rsidR="00471C81">
        <w:t>E</w:t>
      </w:r>
      <w:r w:rsidR="00471C81" w:rsidRPr="00B02247">
        <w:t>vening</w:t>
      </w:r>
      <w:r w:rsidR="00471C81">
        <w:t xml:space="preserve"> </w:t>
      </w:r>
      <w:r w:rsidR="00471C81" w:rsidRPr="00B02247">
        <w:t>schools</w:t>
      </w:r>
      <w:r w:rsidRPr="00B02247">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38"/>
        <w:gridCol w:w="1303"/>
        <w:gridCol w:w="1225"/>
        <w:gridCol w:w="1383"/>
        <w:gridCol w:w="1021"/>
      </w:tblGrid>
      <w:tr w:rsidR="00297C02" w:rsidRPr="009C5335" w:rsidTr="00AD0B17">
        <w:trPr>
          <w:tblHeader/>
        </w:trPr>
        <w:tc>
          <w:tcPr>
            <w:tcW w:w="2438" w:type="dxa"/>
            <w:tcBorders>
              <w:top w:val="single" w:sz="4" w:space="0" w:color="auto"/>
              <w:bottom w:val="single" w:sz="12" w:space="0" w:color="auto"/>
            </w:tcBorders>
            <w:shd w:val="clear" w:color="auto" w:fill="auto"/>
            <w:vAlign w:val="bottom"/>
          </w:tcPr>
          <w:p w:rsidR="00297C02" w:rsidRPr="009C5335" w:rsidRDefault="00297C02" w:rsidP="00AD0B17">
            <w:pPr>
              <w:suppressAutoHyphens w:val="0"/>
              <w:spacing w:before="80" w:after="80" w:line="200" w:lineRule="exact"/>
              <w:ind w:right="113"/>
              <w:rPr>
                <w:i/>
                <w:sz w:val="16"/>
              </w:rPr>
            </w:pPr>
          </w:p>
        </w:tc>
        <w:tc>
          <w:tcPr>
            <w:tcW w:w="1303" w:type="dxa"/>
            <w:tcBorders>
              <w:top w:val="single" w:sz="4" w:space="0" w:color="auto"/>
              <w:bottom w:val="single" w:sz="12" w:space="0" w:color="auto"/>
            </w:tcBorders>
            <w:shd w:val="clear" w:color="auto" w:fill="auto"/>
            <w:vAlign w:val="bottom"/>
          </w:tcPr>
          <w:p w:rsidR="00297C02" w:rsidRPr="005368E8" w:rsidRDefault="00297C02" w:rsidP="00AD0B17">
            <w:pPr>
              <w:suppressAutoHyphens w:val="0"/>
              <w:spacing w:before="80" w:after="80" w:line="200" w:lineRule="exact"/>
              <w:ind w:right="113"/>
              <w:jc w:val="right"/>
              <w:rPr>
                <w:i/>
                <w:sz w:val="16"/>
              </w:rPr>
            </w:pPr>
            <w:r>
              <w:rPr>
                <w:i/>
                <w:sz w:val="16"/>
              </w:rPr>
              <w:t>2010/11</w:t>
            </w:r>
          </w:p>
        </w:tc>
        <w:tc>
          <w:tcPr>
            <w:tcW w:w="1225" w:type="dxa"/>
            <w:tcBorders>
              <w:top w:val="single" w:sz="4" w:space="0" w:color="auto"/>
              <w:bottom w:val="single" w:sz="12" w:space="0" w:color="auto"/>
            </w:tcBorders>
            <w:shd w:val="clear" w:color="auto" w:fill="auto"/>
            <w:vAlign w:val="bottom"/>
          </w:tcPr>
          <w:p w:rsidR="00297C02" w:rsidRPr="005368E8" w:rsidRDefault="00297C02" w:rsidP="00AD0B17">
            <w:pPr>
              <w:suppressAutoHyphens w:val="0"/>
              <w:spacing w:before="80" w:after="80" w:line="200" w:lineRule="exact"/>
              <w:ind w:right="113"/>
              <w:jc w:val="right"/>
              <w:rPr>
                <w:i/>
                <w:sz w:val="16"/>
              </w:rPr>
            </w:pPr>
            <w:r w:rsidRPr="005368E8">
              <w:rPr>
                <w:i/>
                <w:sz w:val="16"/>
              </w:rPr>
              <w:t>2011/12</w:t>
            </w:r>
          </w:p>
        </w:tc>
        <w:tc>
          <w:tcPr>
            <w:tcW w:w="1383" w:type="dxa"/>
            <w:tcBorders>
              <w:top w:val="single" w:sz="4" w:space="0" w:color="auto"/>
              <w:bottom w:val="single" w:sz="12" w:space="0" w:color="auto"/>
            </w:tcBorders>
            <w:shd w:val="clear" w:color="auto" w:fill="auto"/>
            <w:vAlign w:val="bottom"/>
          </w:tcPr>
          <w:p w:rsidR="00297C02" w:rsidRPr="005368E8" w:rsidRDefault="00297C02" w:rsidP="00AD0B17">
            <w:pPr>
              <w:suppressAutoHyphens w:val="0"/>
              <w:spacing w:before="80" w:after="80" w:line="200" w:lineRule="exact"/>
              <w:ind w:right="113"/>
              <w:jc w:val="right"/>
              <w:rPr>
                <w:i/>
                <w:sz w:val="16"/>
              </w:rPr>
            </w:pPr>
            <w:r w:rsidRPr="005368E8">
              <w:rPr>
                <w:i/>
                <w:sz w:val="16"/>
              </w:rPr>
              <w:t>2012/13</w:t>
            </w:r>
          </w:p>
        </w:tc>
        <w:tc>
          <w:tcPr>
            <w:tcW w:w="1021" w:type="dxa"/>
            <w:tcBorders>
              <w:top w:val="single" w:sz="4" w:space="0" w:color="auto"/>
              <w:bottom w:val="single" w:sz="12" w:space="0" w:color="auto"/>
            </w:tcBorders>
            <w:shd w:val="clear" w:color="auto" w:fill="auto"/>
            <w:vAlign w:val="bottom"/>
          </w:tcPr>
          <w:p w:rsidR="00297C02" w:rsidRPr="005368E8" w:rsidRDefault="00297C02" w:rsidP="00AD0B17">
            <w:pPr>
              <w:suppressAutoHyphens w:val="0"/>
              <w:spacing w:before="80" w:after="80" w:line="200" w:lineRule="exact"/>
              <w:ind w:right="113"/>
              <w:jc w:val="right"/>
              <w:rPr>
                <w:i/>
                <w:sz w:val="16"/>
              </w:rPr>
            </w:pPr>
            <w:r w:rsidRPr="005368E8">
              <w:rPr>
                <w:i/>
                <w:sz w:val="16"/>
              </w:rPr>
              <w:t>2013/14</w:t>
            </w:r>
          </w:p>
        </w:tc>
      </w:tr>
      <w:tr w:rsidR="00C725B6" w:rsidRPr="009C5335" w:rsidTr="00AD0B17">
        <w:tc>
          <w:tcPr>
            <w:tcW w:w="2438" w:type="dxa"/>
            <w:tcBorders>
              <w:bottom w:val="nil"/>
            </w:tcBorders>
            <w:shd w:val="clear" w:color="auto" w:fill="auto"/>
          </w:tcPr>
          <w:p w:rsidR="00C725B6" w:rsidRPr="009C5335" w:rsidRDefault="00C725B6" w:rsidP="00C725B6">
            <w:pPr>
              <w:suppressAutoHyphens w:val="0"/>
              <w:spacing w:before="40" w:after="40" w:line="220" w:lineRule="exact"/>
              <w:ind w:right="113"/>
              <w:rPr>
                <w:sz w:val="18"/>
              </w:rPr>
            </w:pPr>
            <w:r w:rsidRPr="009C5335">
              <w:rPr>
                <w:sz w:val="18"/>
              </w:rPr>
              <w:t>Public schools</w:t>
            </w:r>
          </w:p>
        </w:tc>
        <w:tc>
          <w:tcPr>
            <w:tcW w:w="1303" w:type="dxa"/>
            <w:tcBorders>
              <w:bottom w:val="nil"/>
            </w:tcBorders>
            <w:shd w:val="clear" w:color="auto" w:fill="auto"/>
            <w:vAlign w:val="bottom"/>
          </w:tcPr>
          <w:p w:rsidR="00C725B6" w:rsidRPr="00824BF5" w:rsidRDefault="004B5B3B" w:rsidP="004B5B3B">
            <w:pPr>
              <w:suppressAutoHyphens w:val="0"/>
              <w:spacing w:before="40" w:after="40" w:line="220" w:lineRule="exact"/>
              <w:ind w:right="113"/>
              <w:jc w:val="right"/>
              <w:rPr>
                <w:sz w:val="18"/>
              </w:rPr>
            </w:pPr>
            <w:r>
              <w:rPr>
                <w:sz w:val="18"/>
              </w:rPr>
              <w:t>69</w:t>
            </w:r>
          </w:p>
        </w:tc>
        <w:tc>
          <w:tcPr>
            <w:tcW w:w="1225" w:type="dxa"/>
            <w:tcBorders>
              <w:bottom w:val="nil"/>
            </w:tcBorders>
            <w:shd w:val="clear" w:color="auto" w:fill="auto"/>
            <w:vAlign w:val="bottom"/>
          </w:tcPr>
          <w:p w:rsidR="00C725B6" w:rsidRPr="00824BF5" w:rsidRDefault="004B5B3B" w:rsidP="004B5B3B">
            <w:pPr>
              <w:suppressAutoHyphens w:val="0"/>
              <w:spacing w:before="40" w:after="40" w:line="220" w:lineRule="exact"/>
              <w:ind w:right="113"/>
              <w:jc w:val="right"/>
              <w:rPr>
                <w:sz w:val="18"/>
              </w:rPr>
            </w:pPr>
            <w:r>
              <w:rPr>
                <w:sz w:val="18"/>
              </w:rPr>
              <w:t>69</w:t>
            </w:r>
          </w:p>
        </w:tc>
        <w:tc>
          <w:tcPr>
            <w:tcW w:w="1383" w:type="dxa"/>
            <w:tcBorders>
              <w:bottom w:val="nil"/>
            </w:tcBorders>
            <w:shd w:val="clear" w:color="auto" w:fill="auto"/>
            <w:vAlign w:val="bottom"/>
          </w:tcPr>
          <w:p w:rsidR="00C725B6" w:rsidRPr="00824BF5" w:rsidRDefault="004B5B3B" w:rsidP="004B5B3B">
            <w:pPr>
              <w:suppressAutoHyphens w:val="0"/>
              <w:spacing w:before="40" w:after="40" w:line="220" w:lineRule="exact"/>
              <w:ind w:right="113"/>
              <w:jc w:val="right"/>
              <w:rPr>
                <w:sz w:val="18"/>
              </w:rPr>
            </w:pPr>
            <w:r>
              <w:rPr>
                <w:sz w:val="18"/>
              </w:rPr>
              <w:t>70</w:t>
            </w:r>
          </w:p>
        </w:tc>
        <w:tc>
          <w:tcPr>
            <w:tcW w:w="1021" w:type="dxa"/>
            <w:tcBorders>
              <w:bottom w:val="nil"/>
            </w:tcBorders>
            <w:shd w:val="clear" w:color="auto" w:fill="auto"/>
            <w:vAlign w:val="bottom"/>
          </w:tcPr>
          <w:p w:rsidR="00C725B6" w:rsidRPr="00824BF5" w:rsidRDefault="004B5B3B" w:rsidP="004B5B3B">
            <w:pPr>
              <w:suppressAutoHyphens w:val="0"/>
              <w:spacing w:before="40" w:after="40" w:line="220" w:lineRule="exact"/>
              <w:ind w:right="113"/>
              <w:jc w:val="right"/>
              <w:rPr>
                <w:sz w:val="18"/>
              </w:rPr>
            </w:pPr>
            <w:r>
              <w:rPr>
                <w:sz w:val="18"/>
              </w:rPr>
              <w:t>68</w:t>
            </w:r>
          </w:p>
        </w:tc>
      </w:tr>
      <w:tr w:rsidR="00C725B6" w:rsidRPr="009C5335" w:rsidTr="00AD0B17">
        <w:tc>
          <w:tcPr>
            <w:tcW w:w="2438" w:type="dxa"/>
            <w:tcBorders>
              <w:top w:val="nil"/>
              <w:bottom w:val="nil"/>
            </w:tcBorders>
            <w:shd w:val="clear" w:color="auto" w:fill="auto"/>
          </w:tcPr>
          <w:p w:rsidR="00C725B6" w:rsidRPr="009C5335" w:rsidRDefault="00C725B6" w:rsidP="00C725B6">
            <w:pPr>
              <w:suppressAutoHyphens w:val="0"/>
              <w:spacing w:before="40" w:after="40" w:line="220" w:lineRule="exact"/>
              <w:ind w:left="145" w:right="113"/>
              <w:rPr>
                <w:sz w:val="18"/>
              </w:rPr>
            </w:pPr>
            <w:r w:rsidRPr="009C5335">
              <w:rPr>
                <w:sz w:val="18"/>
              </w:rPr>
              <w:t>School units</w:t>
            </w:r>
          </w:p>
        </w:tc>
        <w:tc>
          <w:tcPr>
            <w:tcW w:w="1303" w:type="dxa"/>
            <w:tcBorders>
              <w:top w:val="nil"/>
              <w:bottom w:val="nil"/>
            </w:tcBorders>
            <w:shd w:val="clear" w:color="auto" w:fill="auto"/>
            <w:vAlign w:val="bottom"/>
          </w:tcPr>
          <w:p w:rsidR="00C725B6" w:rsidRPr="009C5335" w:rsidRDefault="004B5B3B" w:rsidP="004B5B3B">
            <w:pPr>
              <w:suppressAutoHyphens w:val="0"/>
              <w:spacing w:before="40" w:after="40" w:line="220" w:lineRule="exact"/>
              <w:ind w:right="113"/>
              <w:jc w:val="right"/>
              <w:rPr>
                <w:sz w:val="18"/>
              </w:rPr>
            </w:pPr>
            <w:r>
              <w:rPr>
                <w:sz w:val="18"/>
              </w:rPr>
              <w:t>650</w:t>
            </w:r>
          </w:p>
        </w:tc>
        <w:tc>
          <w:tcPr>
            <w:tcW w:w="1225" w:type="dxa"/>
            <w:tcBorders>
              <w:top w:val="nil"/>
              <w:bottom w:val="nil"/>
            </w:tcBorders>
            <w:shd w:val="clear" w:color="auto" w:fill="auto"/>
            <w:vAlign w:val="bottom"/>
          </w:tcPr>
          <w:p w:rsidR="00C725B6" w:rsidRPr="009C5335" w:rsidRDefault="004B5B3B" w:rsidP="004B5B3B">
            <w:pPr>
              <w:suppressAutoHyphens w:val="0"/>
              <w:spacing w:before="40" w:after="40" w:line="220" w:lineRule="exact"/>
              <w:ind w:right="113"/>
              <w:jc w:val="right"/>
              <w:rPr>
                <w:sz w:val="18"/>
              </w:rPr>
            </w:pPr>
            <w:r>
              <w:rPr>
                <w:sz w:val="18"/>
              </w:rPr>
              <w:t>499</w:t>
            </w:r>
          </w:p>
        </w:tc>
        <w:tc>
          <w:tcPr>
            <w:tcW w:w="1383" w:type="dxa"/>
            <w:tcBorders>
              <w:top w:val="nil"/>
              <w:bottom w:val="nil"/>
            </w:tcBorders>
            <w:shd w:val="clear" w:color="auto" w:fill="auto"/>
            <w:vAlign w:val="bottom"/>
          </w:tcPr>
          <w:p w:rsidR="00C725B6" w:rsidRPr="009C5335" w:rsidRDefault="004B5B3B" w:rsidP="004B5B3B">
            <w:pPr>
              <w:suppressAutoHyphens w:val="0"/>
              <w:spacing w:before="40" w:after="40" w:line="220" w:lineRule="exact"/>
              <w:ind w:right="113"/>
              <w:jc w:val="right"/>
              <w:rPr>
                <w:sz w:val="18"/>
              </w:rPr>
            </w:pPr>
            <w:r>
              <w:rPr>
                <w:sz w:val="18"/>
              </w:rPr>
              <w:t>555</w:t>
            </w:r>
          </w:p>
        </w:tc>
        <w:tc>
          <w:tcPr>
            <w:tcW w:w="1021" w:type="dxa"/>
            <w:tcBorders>
              <w:top w:val="nil"/>
              <w:bottom w:val="nil"/>
            </w:tcBorders>
            <w:shd w:val="clear" w:color="auto" w:fill="auto"/>
            <w:vAlign w:val="bottom"/>
          </w:tcPr>
          <w:p w:rsidR="00C725B6" w:rsidRPr="009C5335" w:rsidRDefault="004B5B3B" w:rsidP="004B5B3B">
            <w:pPr>
              <w:suppressAutoHyphens w:val="0"/>
              <w:spacing w:before="40" w:after="40" w:line="220" w:lineRule="exact"/>
              <w:ind w:right="113"/>
              <w:jc w:val="right"/>
              <w:rPr>
                <w:sz w:val="18"/>
              </w:rPr>
            </w:pPr>
            <w:r>
              <w:rPr>
                <w:sz w:val="18"/>
              </w:rPr>
              <w:t>442</w:t>
            </w:r>
          </w:p>
        </w:tc>
      </w:tr>
      <w:tr w:rsidR="00C725B6" w:rsidRPr="009C5335" w:rsidTr="00AD0B17">
        <w:tc>
          <w:tcPr>
            <w:tcW w:w="2438" w:type="dxa"/>
            <w:tcBorders>
              <w:top w:val="nil"/>
            </w:tcBorders>
            <w:shd w:val="clear" w:color="auto" w:fill="auto"/>
          </w:tcPr>
          <w:p w:rsidR="00C725B6" w:rsidRPr="009C5335" w:rsidRDefault="00C725B6" w:rsidP="00C725B6">
            <w:pPr>
              <w:suppressAutoHyphens w:val="0"/>
              <w:spacing w:before="40" w:after="40" w:line="220" w:lineRule="exact"/>
              <w:ind w:left="145" w:right="113"/>
              <w:rPr>
                <w:sz w:val="18"/>
              </w:rPr>
            </w:pPr>
            <w:r w:rsidRPr="009C5335">
              <w:rPr>
                <w:sz w:val="18"/>
              </w:rPr>
              <w:t>Teaching staff</w:t>
            </w:r>
          </w:p>
        </w:tc>
        <w:tc>
          <w:tcPr>
            <w:tcW w:w="1303" w:type="dxa"/>
            <w:tcBorders>
              <w:top w:val="nil"/>
            </w:tcBorders>
            <w:shd w:val="clear" w:color="auto" w:fill="auto"/>
            <w:vAlign w:val="bottom"/>
          </w:tcPr>
          <w:p w:rsidR="00C725B6" w:rsidRPr="009C5335" w:rsidRDefault="004B5B3B" w:rsidP="004B5B3B">
            <w:pPr>
              <w:suppressAutoHyphens w:val="0"/>
              <w:spacing w:before="40" w:after="40" w:line="220" w:lineRule="exact"/>
              <w:ind w:right="113"/>
              <w:jc w:val="right"/>
              <w:rPr>
                <w:sz w:val="18"/>
              </w:rPr>
            </w:pPr>
            <w:r>
              <w:rPr>
                <w:sz w:val="18"/>
              </w:rPr>
              <w:t>6</w:t>
            </w:r>
            <w:r w:rsidR="005E0CC7">
              <w:rPr>
                <w:sz w:val="18"/>
              </w:rPr>
              <w:t xml:space="preserve"> </w:t>
            </w:r>
            <w:r>
              <w:rPr>
                <w:sz w:val="18"/>
              </w:rPr>
              <w:t>583</w:t>
            </w:r>
          </w:p>
        </w:tc>
        <w:tc>
          <w:tcPr>
            <w:tcW w:w="1225" w:type="dxa"/>
            <w:tcBorders>
              <w:top w:val="nil"/>
            </w:tcBorders>
            <w:shd w:val="clear" w:color="auto" w:fill="auto"/>
            <w:vAlign w:val="bottom"/>
          </w:tcPr>
          <w:p w:rsidR="00C725B6" w:rsidRPr="009C5335" w:rsidRDefault="004B5B3B" w:rsidP="004B5B3B">
            <w:pPr>
              <w:suppressAutoHyphens w:val="0"/>
              <w:spacing w:before="40" w:after="40" w:line="220" w:lineRule="exact"/>
              <w:ind w:right="113"/>
              <w:jc w:val="right"/>
              <w:rPr>
                <w:sz w:val="18"/>
              </w:rPr>
            </w:pPr>
            <w:r>
              <w:rPr>
                <w:sz w:val="18"/>
              </w:rPr>
              <w:t>6</w:t>
            </w:r>
            <w:r w:rsidR="005E0CC7">
              <w:rPr>
                <w:sz w:val="18"/>
              </w:rPr>
              <w:t xml:space="preserve"> </w:t>
            </w:r>
            <w:r>
              <w:rPr>
                <w:sz w:val="18"/>
              </w:rPr>
              <w:t>016</w:t>
            </w:r>
          </w:p>
        </w:tc>
        <w:tc>
          <w:tcPr>
            <w:tcW w:w="1383" w:type="dxa"/>
            <w:tcBorders>
              <w:top w:val="nil"/>
            </w:tcBorders>
            <w:shd w:val="clear" w:color="auto" w:fill="auto"/>
            <w:vAlign w:val="bottom"/>
          </w:tcPr>
          <w:p w:rsidR="00C725B6" w:rsidRPr="009C5335" w:rsidRDefault="004B5B3B" w:rsidP="004B5B3B">
            <w:pPr>
              <w:suppressAutoHyphens w:val="0"/>
              <w:spacing w:before="40" w:after="40" w:line="220" w:lineRule="exact"/>
              <w:ind w:right="113"/>
              <w:jc w:val="right"/>
              <w:rPr>
                <w:sz w:val="18"/>
              </w:rPr>
            </w:pPr>
            <w:r>
              <w:rPr>
                <w:sz w:val="18"/>
              </w:rPr>
              <w:t>5</w:t>
            </w:r>
            <w:r w:rsidR="005E0CC7">
              <w:rPr>
                <w:sz w:val="18"/>
              </w:rPr>
              <w:t xml:space="preserve"> </w:t>
            </w:r>
            <w:r>
              <w:rPr>
                <w:sz w:val="18"/>
              </w:rPr>
              <w:t>809</w:t>
            </w:r>
          </w:p>
        </w:tc>
        <w:tc>
          <w:tcPr>
            <w:tcW w:w="1021" w:type="dxa"/>
            <w:tcBorders>
              <w:top w:val="nil"/>
            </w:tcBorders>
            <w:shd w:val="clear" w:color="auto" w:fill="auto"/>
            <w:vAlign w:val="bottom"/>
          </w:tcPr>
          <w:p w:rsidR="00C725B6" w:rsidRPr="009C5335" w:rsidRDefault="004B5B3B" w:rsidP="005E0CC7">
            <w:pPr>
              <w:suppressAutoHyphens w:val="0"/>
              <w:spacing w:before="40" w:after="40" w:line="220" w:lineRule="exact"/>
              <w:ind w:right="113"/>
              <w:jc w:val="right"/>
              <w:rPr>
                <w:sz w:val="18"/>
              </w:rPr>
            </w:pPr>
            <w:r>
              <w:rPr>
                <w:sz w:val="18"/>
              </w:rPr>
              <w:t>5</w:t>
            </w:r>
            <w:r w:rsidR="005E0CC7">
              <w:rPr>
                <w:sz w:val="18"/>
              </w:rPr>
              <w:t xml:space="preserve"> </w:t>
            </w:r>
            <w:r>
              <w:rPr>
                <w:sz w:val="18"/>
              </w:rPr>
              <w:t>492</w:t>
            </w:r>
          </w:p>
        </w:tc>
      </w:tr>
      <w:tr w:rsidR="00C725B6" w:rsidRPr="009C5335" w:rsidTr="00AD0B17">
        <w:tc>
          <w:tcPr>
            <w:tcW w:w="2438" w:type="dxa"/>
            <w:shd w:val="clear" w:color="auto" w:fill="auto"/>
          </w:tcPr>
          <w:p w:rsidR="00C725B6" w:rsidRPr="009C5335" w:rsidRDefault="00C725B6" w:rsidP="00C725B6">
            <w:pPr>
              <w:suppressAutoHyphens w:val="0"/>
              <w:spacing w:before="40" w:after="40" w:line="220" w:lineRule="exact"/>
              <w:ind w:left="145" w:right="113"/>
              <w:rPr>
                <w:sz w:val="18"/>
              </w:rPr>
            </w:pPr>
            <w:r w:rsidRPr="009C5335">
              <w:rPr>
                <w:sz w:val="18"/>
              </w:rPr>
              <w:t>Pupils</w:t>
            </w:r>
          </w:p>
        </w:tc>
        <w:tc>
          <w:tcPr>
            <w:tcW w:w="1303" w:type="dxa"/>
            <w:shd w:val="clear" w:color="auto" w:fill="auto"/>
            <w:vAlign w:val="bottom"/>
          </w:tcPr>
          <w:p w:rsidR="00C725B6" w:rsidRPr="009C5335" w:rsidRDefault="004B5B3B" w:rsidP="004B5B3B">
            <w:pPr>
              <w:suppressAutoHyphens w:val="0"/>
              <w:spacing w:before="40" w:after="40" w:line="220" w:lineRule="exact"/>
              <w:ind w:right="113"/>
              <w:jc w:val="right"/>
              <w:rPr>
                <w:sz w:val="18"/>
              </w:rPr>
            </w:pPr>
            <w:r>
              <w:rPr>
                <w:sz w:val="18"/>
              </w:rPr>
              <w:t>10</w:t>
            </w:r>
            <w:r w:rsidR="005E0CC7">
              <w:rPr>
                <w:sz w:val="18"/>
              </w:rPr>
              <w:t>.</w:t>
            </w:r>
            <w:r>
              <w:rPr>
                <w:sz w:val="18"/>
              </w:rPr>
              <w:t>1</w:t>
            </w:r>
          </w:p>
        </w:tc>
        <w:tc>
          <w:tcPr>
            <w:tcW w:w="1225" w:type="dxa"/>
            <w:shd w:val="clear" w:color="auto" w:fill="auto"/>
            <w:vAlign w:val="bottom"/>
          </w:tcPr>
          <w:p w:rsidR="00C725B6" w:rsidRPr="009C5335" w:rsidRDefault="004B5B3B" w:rsidP="004B5B3B">
            <w:pPr>
              <w:suppressAutoHyphens w:val="0"/>
              <w:spacing w:before="40" w:after="40" w:line="220" w:lineRule="exact"/>
              <w:ind w:right="113"/>
              <w:jc w:val="right"/>
              <w:rPr>
                <w:sz w:val="18"/>
              </w:rPr>
            </w:pPr>
            <w:r>
              <w:rPr>
                <w:sz w:val="18"/>
              </w:rPr>
              <w:t>12</w:t>
            </w:r>
            <w:r w:rsidR="005E0CC7">
              <w:rPr>
                <w:sz w:val="18"/>
              </w:rPr>
              <w:t>.</w:t>
            </w:r>
            <w:r>
              <w:rPr>
                <w:sz w:val="18"/>
              </w:rPr>
              <w:t>1</w:t>
            </w:r>
          </w:p>
        </w:tc>
        <w:tc>
          <w:tcPr>
            <w:tcW w:w="1383" w:type="dxa"/>
            <w:shd w:val="clear" w:color="auto" w:fill="auto"/>
            <w:vAlign w:val="bottom"/>
          </w:tcPr>
          <w:p w:rsidR="00C725B6" w:rsidRPr="009C5335" w:rsidRDefault="004B5B3B" w:rsidP="004B5B3B">
            <w:pPr>
              <w:suppressAutoHyphens w:val="0"/>
              <w:spacing w:before="40" w:after="40" w:line="220" w:lineRule="exact"/>
              <w:ind w:right="113"/>
              <w:jc w:val="right"/>
              <w:rPr>
                <w:sz w:val="18"/>
              </w:rPr>
            </w:pPr>
            <w:r>
              <w:rPr>
                <w:sz w:val="18"/>
              </w:rPr>
              <w:t>10</w:t>
            </w:r>
            <w:r w:rsidR="005E0CC7">
              <w:rPr>
                <w:sz w:val="18"/>
              </w:rPr>
              <w:t>.</w:t>
            </w:r>
            <w:r>
              <w:rPr>
                <w:sz w:val="18"/>
              </w:rPr>
              <w:t>5</w:t>
            </w:r>
          </w:p>
        </w:tc>
        <w:tc>
          <w:tcPr>
            <w:tcW w:w="1021" w:type="dxa"/>
            <w:shd w:val="clear" w:color="auto" w:fill="auto"/>
            <w:vAlign w:val="bottom"/>
          </w:tcPr>
          <w:p w:rsidR="00C725B6" w:rsidRPr="009C5335" w:rsidRDefault="004B5B3B" w:rsidP="004B5B3B">
            <w:pPr>
              <w:suppressAutoHyphens w:val="0"/>
              <w:spacing w:before="40" w:after="40" w:line="220" w:lineRule="exact"/>
              <w:ind w:right="113"/>
              <w:jc w:val="right"/>
              <w:rPr>
                <w:sz w:val="18"/>
              </w:rPr>
            </w:pPr>
            <w:r>
              <w:rPr>
                <w:sz w:val="18"/>
              </w:rPr>
              <w:t>12</w:t>
            </w:r>
            <w:r w:rsidR="005E0CC7">
              <w:rPr>
                <w:sz w:val="18"/>
              </w:rPr>
              <w:t>.</w:t>
            </w:r>
            <w:r>
              <w:rPr>
                <w:sz w:val="18"/>
              </w:rPr>
              <w:t>4</w:t>
            </w:r>
          </w:p>
        </w:tc>
      </w:tr>
      <w:tr w:rsidR="00C725B6" w:rsidRPr="009C5335" w:rsidTr="00AD0B17">
        <w:tc>
          <w:tcPr>
            <w:tcW w:w="2438" w:type="dxa"/>
            <w:shd w:val="clear" w:color="auto" w:fill="auto"/>
          </w:tcPr>
          <w:p w:rsidR="00C725B6" w:rsidRPr="009C5335" w:rsidRDefault="00C725B6" w:rsidP="00C725B6">
            <w:pPr>
              <w:suppressAutoHyphens w:val="0"/>
              <w:spacing w:before="40" w:after="40" w:line="220" w:lineRule="exact"/>
              <w:ind w:left="145" w:right="113"/>
              <w:rPr>
                <w:sz w:val="18"/>
              </w:rPr>
            </w:pPr>
            <w:r w:rsidRPr="009C5335">
              <w:rPr>
                <w:sz w:val="18"/>
              </w:rPr>
              <w:t>Pupils –teacher ratio</w:t>
            </w:r>
          </w:p>
        </w:tc>
        <w:tc>
          <w:tcPr>
            <w:tcW w:w="1303" w:type="dxa"/>
            <w:shd w:val="clear" w:color="auto" w:fill="auto"/>
            <w:vAlign w:val="bottom"/>
          </w:tcPr>
          <w:p w:rsidR="00C725B6" w:rsidRPr="009C5335" w:rsidRDefault="00C725B6" w:rsidP="00C725B6">
            <w:pPr>
              <w:suppressAutoHyphens w:val="0"/>
              <w:spacing w:before="40" w:after="40" w:line="220" w:lineRule="exact"/>
              <w:ind w:right="113"/>
              <w:jc w:val="right"/>
              <w:rPr>
                <w:sz w:val="18"/>
              </w:rPr>
            </w:pPr>
          </w:p>
        </w:tc>
        <w:tc>
          <w:tcPr>
            <w:tcW w:w="1225" w:type="dxa"/>
            <w:shd w:val="clear" w:color="auto" w:fill="auto"/>
            <w:vAlign w:val="bottom"/>
          </w:tcPr>
          <w:p w:rsidR="00C725B6" w:rsidRPr="009C5335" w:rsidRDefault="00C725B6" w:rsidP="00C725B6">
            <w:pPr>
              <w:suppressAutoHyphens w:val="0"/>
              <w:spacing w:before="40" w:after="40" w:line="220" w:lineRule="exact"/>
              <w:ind w:right="113"/>
              <w:jc w:val="right"/>
              <w:rPr>
                <w:sz w:val="18"/>
              </w:rPr>
            </w:pPr>
          </w:p>
        </w:tc>
        <w:tc>
          <w:tcPr>
            <w:tcW w:w="1383" w:type="dxa"/>
            <w:shd w:val="clear" w:color="auto" w:fill="auto"/>
            <w:vAlign w:val="bottom"/>
          </w:tcPr>
          <w:p w:rsidR="00C725B6" w:rsidRPr="009C5335" w:rsidRDefault="00C725B6" w:rsidP="00C725B6">
            <w:pPr>
              <w:suppressAutoHyphens w:val="0"/>
              <w:spacing w:before="40" w:after="40" w:line="220" w:lineRule="exact"/>
              <w:ind w:right="113"/>
              <w:jc w:val="right"/>
              <w:rPr>
                <w:sz w:val="18"/>
              </w:rPr>
            </w:pPr>
          </w:p>
        </w:tc>
        <w:tc>
          <w:tcPr>
            <w:tcW w:w="1021" w:type="dxa"/>
            <w:shd w:val="clear" w:color="auto" w:fill="auto"/>
            <w:vAlign w:val="bottom"/>
          </w:tcPr>
          <w:p w:rsidR="00C725B6" w:rsidRPr="009C5335" w:rsidRDefault="00C725B6" w:rsidP="00C725B6">
            <w:pPr>
              <w:suppressAutoHyphens w:val="0"/>
              <w:spacing w:before="40" w:after="40" w:line="220" w:lineRule="exact"/>
              <w:ind w:right="113"/>
              <w:jc w:val="right"/>
              <w:rPr>
                <w:sz w:val="18"/>
              </w:rPr>
            </w:pPr>
          </w:p>
        </w:tc>
      </w:tr>
      <w:tr w:rsidR="00C725B6" w:rsidRPr="009C5335" w:rsidTr="00AD0B17">
        <w:tc>
          <w:tcPr>
            <w:tcW w:w="2438" w:type="dxa"/>
            <w:shd w:val="clear" w:color="auto" w:fill="auto"/>
          </w:tcPr>
          <w:p w:rsidR="00C725B6" w:rsidRPr="003D6C5E" w:rsidRDefault="00C725B6" w:rsidP="00C725B6">
            <w:pPr>
              <w:spacing w:before="40" w:after="40" w:line="220" w:lineRule="exact"/>
              <w:rPr>
                <w:sz w:val="18"/>
              </w:rPr>
            </w:pPr>
            <w:r w:rsidRPr="003D6C5E">
              <w:rPr>
                <w:sz w:val="18"/>
              </w:rPr>
              <w:t>Private schools</w:t>
            </w:r>
          </w:p>
        </w:tc>
        <w:tc>
          <w:tcPr>
            <w:tcW w:w="1303" w:type="dxa"/>
            <w:shd w:val="clear" w:color="auto" w:fill="auto"/>
            <w:vAlign w:val="bottom"/>
          </w:tcPr>
          <w:p w:rsidR="00C725B6" w:rsidRPr="00E34389" w:rsidRDefault="004B5B3B" w:rsidP="004B5B3B">
            <w:pPr>
              <w:suppressAutoHyphens w:val="0"/>
              <w:spacing w:before="40" w:after="40" w:line="220" w:lineRule="exact"/>
              <w:ind w:right="113"/>
              <w:jc w:val="right"/>
              <w:rPr>
                <w:sz w:val="18"/>
              </w:rPr>
            </w:pPr>
            <w:r>
              <w:rPr>
                <w:sz w:val="18"/>
              </w:rPr>
              <w:t>3</w:t>
            </w:r>
          </w:p>
        </w:tc>
        <w:tc>
          <w:tcPr>
            <w:tcW w:w="1225" w:type="dxa"/>
            <w:shd w:val="clear" w:color="auto" w:fill="auto"/>
            <w:vAlign w:val="bottom"/>
          </w:tcPr>
          <w:p w:rsidR="00C725B6" w:rsidRPr="00E34389" w:rsidRDefault="004B5B3B" w:rsidP="004B5B3B">
            <w:pPr>
              <w:suppressAutoHyphens w:val="0"/>
              <w:spacing w:before="40" w:after="40" w:line="220" w:lineRule="exact"/>
              <w:ind w:right="113"/>
              <w:jc w:val="right"/>
              <w:rPr>
                <w:sz w:val="18"/>
              </w:rPr>
            </w:pPr>
            <w:r>
              <w:rPr>
                <w:sz w:val="18"/>
              </w:rPr>
              <w:t>2</w:t>
            </w:r>
          </w:p>
        </w:tc>
        <w:tc>
          <w:tcPr>
            <w:tcW w:w="1383" w:type="dxa"/>
            <w:shd w:val="clear" w:color="auto" w:fill="auto"/>
            <w:vAlign w:val="bottom"/>
          </w:tcPr>
          <w:p w:rsidR="00C725B6" w:rsidRPr="00E34389" w:rsidRDefault="004B5B3B" w:rsidP="004B5B3B">
            <w:pPr>
              <w:suppressAutoHyphens w:val="0"/>
              <w:spacing w:before="40" w:after="40" w:line="220" w:lineRule="exact"/>
              <w:ind w:right="113"/>
              <w:jc w:val="right"/>
              <w:rPr>
                <w:sz w:val="18"/>
              </w:rPr>
            </w:pPr>
            <w:r>
              <w:rPr>
                <w:sz w:val="18"/>
              </w:rPr>
              <w:t>2</w:t>
            </w:r>
          </w:p>
        </w:tc>
        <w:tc>
          <w:tcPr>
            <w:tcW w:w="1021" w:type="dxa"/>
            <w:shd w:val="clear" w:color="auto" w:fill="auto"/>
            <w:vAlign w:val="bottom"/>
          </w:tcPr>
          <w:p w:rsidR="00C725B6" w:rsidRPr="00E34389" w:rsidRDefault="004B5B3B" w:rsidP="004B5B3B">
            <w:pPr>
              <w:suppressAutoHyphens w:val="0"/>
              <w:spacing w:before="40" w:after="40" w:line="220" w:lineRule="exact"/>
              <w:ind w:right="113"/>
              <w:jc w:val="right"/>
              <w:rPr>
                <w:sz w:val="18"/>
              </w:rPr>
            </w:pPr>
            <w:r>
              <w:rPr>
                <w:sz w:val="18"/>
              </w:rPr>
              <w:t>1</w:t>
            </w:r>
          </w:p>
        </w:tc>
      </w:tr>
      <w:tr w:rsidR="00C725B6" w:rsidRPr="009C5335" w:rsidTr="00AD0B17">
        <w:tc>
          <w:tcPr>
            <w:tcW w:w="2438" w:type="dxa"/>
            <w:shd w:val="clear" w:color="auto" w:fill="auto"/>
          </w:tcPr>
          <w:p w:rsidR="00C725B6" w:rsidRPr="003D6C5E" w:rsidRDefault="00C725B6" w:rsidP="00C725B6">
            <w:pPr>
              <w:suppressAutoHyphens w:val="0"/>
              <w:spacing w:before="40" w:after="40" w:line="220" w:lineRule="exact"/>
              <w:ind w:left="145" w:right="113"/>
              <w:rPr>
                <w:sz w:val="18"/>
              </w:rPr>
            </w:pPr>
            <w:r w:rsidRPr="003D6C5E">
              <w:rPr>
                <w:sz w:val="18"/>
              </w:rPr>
              <w:t>School units</w:t>
            </w:r>
          </w:p>
        </w:tc>
        <w:tc>
          <w:tcPr>
            <w:tcW w:w="1303" w:type="dxa"/>
            <w:shd w:val="clear" w:color="auto" w:fill="auto"/>
            <w:vAlign w:val="bottom"/>
          </w:tcPr>
          <w:p w:rsidR="00C725B6" w:rsidRPr="00E34389" w:rsidRDefault="004B5B3B" w:rsidP="004B5B3B">
            <w:pPr>
              <w:suppressAutoHyphens w:val="0"/>
              <w:spacing w:before="40" w:after="40" w:line="220" w:lineRule="exact"/>
              <w:ind w:right="113"/>
              <w:jc w:val="right"/>
              <w:rPr>
                <w:sz w:val="18"/>
              </w:rPr>
            </w:pPr>
            <w:r>
              <w:rPr>
                <w:sz w:val="18"/>
              </w:rPr>
              <w:t>29</w:t>
            </w:r>
          </w:p>
        </w:tc>
        <w:tc>
          <w:tcPr>
            <w:tcW w:w="1225" w:type="dxa"/>
            <w:shd w:val="clear" w:color="auto" w:fill="auto"/>
            <w:vAlign w:val="bottom"/>
          </w:tcPr>
          <w:p w:rsidR="00C725B6" w:rsidRPr="00E34389" w:rsidRDefault="004B5B3B" w:rsidP="004B5B3B">
            <w:pPr>
              <w:suppressAutoHyphens w:val="0"/>
              <w:spacing w:before="40" w:after="40" w:line="220" w:lineRule="exact"/>
              <w:ind w:right="113"/>
              <w:jc w:val="right"/>
              <w:rPr>
                <w:sz w:val="18"/>
              </w:rPr>
            </w:pPr>
            <w:r>
              <w:rPr>
                <w:sz w:val="18"/>
              </w:rPr>
              <w:t>21</w:t>
            </w:r>
          </w:p>
        </w:tc>
        <w:tc>
          <w:tcPr>
            <w:tcW w:w="1383" w:type="dxa"/>
            <w:shd w:val="clear" w:color="auto" w:fill="auto"/>
            <w:vAlign w:val="bottom"/>
          </w:tcPr>
          <w:p w:rsidR="00C725B6" w:rsidRPr="00E34389" w:rsidRDefault="004B5B3B" w:rsidP="004B5B3B">
            <w:pPr>
              <w:suppressAutoHyphens w:val="0"/>
              <w:spacing w:before="40" w:after="40" w:line="220" w:lineRule="exact"/>
              <w:ind w:right="113"/>
              <w:jc w:val="right"/>
              <w:rPr>
                <w:sz w:val="18"/>
              </w:rPr>
            </w:pPr>
            <w:r>
              <w:rPr>
                <w:sz w:val="18"/>
              </w:rPr>
              <w:t>19</w:t>
            </w:r>
          </w:p>
        </w:tc>
        <w:tc>
          <w:tcPr>
            <w:tcW w:w="1021" w:type="dxa"/>
            <w:shd w:val="clear" w:color="auto" w:fill="auto"/>
            <w:vAlign w:val="bottom"/>
          </w:tcPr>
          <w:p w:rsidR="00C725B6" w:rsidRPr="00E34389" w:rsidRDefault="004B5B3B" w:rsidP="004B5B3B">
            <w:pPr>
              <w:suppressAutoHyphens w:val="0"/>
              <w:spacing w:before="40" w:after="40" w:line="220" w:lineRule="exact"/>
              <w:ind w:right="113"/>
              <w:jc w:val="right"/>
              <w:rPr>
                <w:sz w:val="18"/>
              </w:rPr>
            </w:pPr>
            <w:r>
              <w:rPr>
                <w:sz w:val="18"/>
              </w:rPr>
              <w:t>11</w:t>
            </w:r>
          </w:p>
        </w:tc>
      </w:tr>
      <w:tr w:rsidR="00C725B6" w:rsidRPr="009C5335" w:rsidTr="00AD0B17">
        <w:tc>
          <w:tcPr>
            <w:tcW w:w="2438" w:type="dxa"/>
            <w:tcBorders>
              <w:bottom w:val="nil"/>
            </w:tcBorders>
            <w:shd w:val="clear" w:color="auto" w:fill="auto"/>
          </w:tcPr>
          <w:p w:rsidR="00C725B6" w:rsidRPr="003D6C5E" w:rsidRDefault="00C725B6" w:rsidP="00C725B6">
            <w:pPr>
              <w:suppressAutoHyphens w:val="0"/>
              <w:spacing w:before="40" w:after="40" w:line="220" w:lineRule="exact"/>
              <w:ind w:left="145" w:right="113"/>
              <w:rPr>
                <w:sz w:val="18"/>
              </w:rPr>
            </w:pPr>
            <w:r w:rsidRPr="003D6C5E">
              <w:rPr>
                <w:sz w:val="18"/>
              </w:rPr>
              <w:t>Teaching staff</w:t>
            </w:r>
          </w:p>
        </w:tc>
        <w:tc>
          <w:tcPr>
            <w:tcW w:w="1303" w:type="dxa"/>
            <w:tcBorders>
              <w:bottom w:val="nil"/>
            </w:tcBorders>
            <w:shd w:val="clear" w:color="auto" w:fill="auto"/>
            <w:vAlign w:val="bottom"/>
          </w:tcPr>
          <w:p w:rsidR="00C725B6" w:rsidRPr="00E34389" w:rsidRDefault="004B5B3B" w:rsidP="004B5B3B">
            <w:pPr>
              <w:suppressAutoHyphens w:val="0"/>
              <w:spacing w:before="40" w:after="40" w:line="220" w:lineRule="exact"/>
              <w:ind w:right="113"/>
              <w:jc w:val="right"/>
              <w:rPr>
                <w:sz w:val="18"/>
              </w:rPr>
            </w:pPr>
            <w:r>
              <w:rPr>
                <w:sz w:val="18"/>
              </w:rPr>
              <w:t>347</w:t>
            </w:r>
          </w:p>
        </w:tc>
        <w:tc>
          <w:tcPr>
            <w:tcW w:w="1225" w:type="dxa"/>
            <w:tcBorders>
              <w:bottom w:val="nil"/>
            </w:tcBorders>
            <w:shd w:val="clear" w:color="auto" w:fill="auto"/>
            <w:vAlign w:val="bottom"/>
          </w:tcPr>
          <w:p w:rsidR="00C725B6" w:rsidRPr="00E34389" w:rsidRDefault="00C725B6" w:rsidP="004B5B3B">
            <w:pPr>
              <w:suppressAutoHyphens w:val="0"/>
              <w:spacing w:before="40" w:after="40" w:line="220" w:lineRule="exact"/>
              <w:ind w:right="113"/>
              <w:jc w:val="right"/>
              <w:rPr>
                <w:sz w:val="18"/>
              </w:rPr>
            </w:pPr>
            <w:r w:rsidRPr="00824BF5">
              <w:rPr>
                <w:sz w:val="18"/>
              </w:rPr>
              <w:t>228</w:t>
            </w:r>
          </w:p>
        </w:tc>
        <w:tc>
          <w:tcPr>
            <w:tcW w:w="1383" w:type="dxa"/>
            <w:tcBorders>
              <w:bottom w:val="nil"/>
            </w:tcBorders>
            <w:shd w:val="clear" w:color="auto" w:fill="auto"/>
            <w:vAlign w:val="bottom"/>
          </w:tcPr>
          <w:p w:rsidR="00C725B6" w:rsidRPr="00E34389" w:rsidRDefault="00C725B6" w:rsidP="004B5B3B">
            <w:pPr>
              <w:suppressAutoHyphens w:val="0"/>
              <w:spacing w:before="40" w:after="40" w:line="220" w:lineRule="exact"/>
              <w:ind w:right="113"/>
              <w:jc w:val="right"/>
              <w:rPr>
                <w:sz w:val="18"/>
              </w:rPr>
            </w:pPr>
            <w:r w:rsidRPr="00824BF5">
              <w:rPr>
                <w:sz w:val="18"/>
              </w:rPr>
              <w:t>1</w:t>
            </w:r>
            <w:r w:rsidR="004B5B3B">
              <w:rPr>
                <w:sz w:val="18"/>
              </w:rPr>
              <w:t>98</w:t>
            </w:r>
          </w:p>
        </w:tc>
        <w:tc>
          <w:tcPr>
            <w:tcW w:w="1021" w:type="dxa"/>
            <w:tcBorders>
              <w:bottom w:val="nil"/>
            </w:tcBorders>
            <w:shd w:val="clear" w:color="auto" w:fill="auto"/>
            <w:vAlign w:val="bottom"/>
          </w:tcPr>
          <w:p w:rsidR="00C725B6" w:rsidRPr="00E34389" w:rsidRDefault="004B5B3B" w:rsidP="004B5B3B">
            <w:pPr>
              <w:suppressAutoHyphens w:val="0"/>
              <w:spacing w:before="40" w:after="40" w:line="220" w:lineRule="exact"/>
              <w:ind w:right="113"/>
              <w:jc w:val="right"/>
              <w:rPr>
                <w:sz w:val="18"/>
              </w:rPr>
            </w:pPr>
            <w:r>
              <w:rPr>
                <w:sz w:val="18"/>
              </w:rPr>
              <w:t>97</w:t>
            </w:r>
          </w:p>
        </w:tc>
      </w:tr>
      <w:tr w:rsidR="00C725B6" w:rsidRPr="009C5335" w:rsidTr="00AD0B17">
        <w:tc>
          <w:tcPr>
            <w:tcW w:w="2438" w:type="dxa"/>
            <w:tcBorders>
              <w:top w:val="nil"/>
              <w:bottom w:val="nil"/>
            </w:tcBorders>
            <w:shd w:val="clear" w:color="auto" w:fill="auto"/>
          </w:tcPr>
          <w:p w:rsidR="00C725B6" w:rsidRPr="003D6C5E" w:rsidRDefault="00C725B6" w:rsidP="00C725B6">
            <w:pPr>
              <w:suppressAutoHyphens w:val="0"/>
              <w:spacing w:before="40" w:after="40" w:line="220" w:lineRule="exact"/>
              <w:ind w:left="145" w:right="113"/>
              <w:rPr>
                <w:sz w:val="18"/>
              </w:rPr>
            </w:pPr>
            <w:r w:rsidRPr="003D6C5E">
              <w:rPr>
                <w:sz w:val="18"/>
              </w:rPr>
              <w:t>Pupils</w:t>
            </w:r>
          </w:p>
        </w:tc>
        <w:tc>
          <w:tcPr>
            <w:tcW w:w="1303" w:type="dxa"/>
            <w:tcBorders>
              <w:top w:val="nil"/>
              <w:bottom w:val="nil"/>
            </w:tcBorders>
            <w:shd w:val="clear" w:color="auto" w:fill="auto"/>
            <w:vAlign w:val="bottom"/>
          </w:tcPr>
          <w:p w:rsidR="00C725B6" w:rsidRPr="00E34389" w:rsidRDefault="00C725B6" w:rsidP="00C725B6">
            <w:pPr>
              <w:suppressAutoHyphens w:val="0"/>
              <w:spacing w:before="40" w:after="40" w:line="220" w:lineRule="exact"/>
              <w:ind w:right="113"/>
              <w:jc w:val="right"/>
              <w:rPr>
                <w:sz w:val="18"/>
              </w:rPr>
            </w:pPr>
            <w:r w:rsidRPr="00824BF5">
              <w:rPr>
                <w:sz w:val="18"/>
              </w:rPr>
              <w:t>12</w:t>
            </w:r>
            <w:r w:rsidR="005E0CC7">
              <w:rPr>
                <w:sz w:val="18"/>
              </w:rPr>
              <w:t>.</w:t>
            </w:r>
            <w:r w:rsidRPr="00824BF5">
              <w:rPr>
                <w:sz w:val="18"/>
              </w:rPr>
              <w:t>0</w:t>
            </w:r>
          </w:p>
        </w:tc>
        <w:tc>
          <w:tcPr>
            <w:tcW w:w="1225" w:type="dxa"/>
            <w:tcBorders>
              <w:top w:val="nil"/>
              <w:bottom w:val="nil"/>
            </w:tcBorders>
            <w:shd w:val="clear" w:color="auto" w:fill="auto"/>
            <w:vAlign w:val="bottom"/>
          </w:tcPr>
          <w:p w:rsidR="00C725B6" w:rsidRPr="00E34389" w:rsidRDefault="00C725B6" w:rsidP="00C725B6">
            <w:pPr>
              <w:suppressAutoHyphens w:val="0"/>
              <w:spacing w:before="40" w:after="40" w:line="220" w:lineRule="exact"/>
              <w:ind w:right="113"/>
              <w:jc w:val="right"/>
              <w:rPr>
                <w:sz w:val="18"/>
              </w:rPr>
            </w:pPr>
            <w:r w:rsidRPr="00824BF5">
              <w:rPr>
                <w:sz w:val="18"/>
              </w:rPr>
              <w:t>10</w:t>
            </w:r>
            <w:r w:rsidR="005E0CC7">
              <w:rPr>
                <w:sz w:val="18"/>
              </w:rPr>
              <w:t>.</w:t>
            </w:r>
            <w:r w:rsidRPr="00824BF5">
              <w:rPr>
                <w:sz w:val="18"/>
              </w:rPr>
              <w:t>9</w:t>
            </w:r>
          </w:p>
        </w:tc>
        <w:tc>
          <w:tcPr>
            <w:tcW w:w="1383" w:type="dxa"/>
            <w:tcBorders>
              <w:top w:val="nil"/>
              <w:bottom w:val="nil"/>
            </w:tcBorders>
            <w:shd w:val="clear" w:color="auto" w:fill="auto"/>
            <w:vAlign w:val="bottom"/>
          </w:tcPr>
          <w:p w:rsidR="00C725B6" w:rsidRPr="00E34389" w:rsidRDefault="00C725B6" w:rsidP="00C725B6">
            <w:pPr>
              <w:suppressAutoHyphens w:val="0"/>
              <w:spacing w:before="40" w:after="40" w:line="220" w:lineRule="exact"/>
              <w:ind w:right="113"/>
              <w:jc w:val="right"/>
              <w:rPr>
                <w:sz w:val="18"/>
              </w:rPr>
            </w:pPr>
            <w:r w:rsidRPr="00824BF5">
              <w:rPr>
                <w:sz w:val="18"/>
              </w:rPr>
              <w:t>10</w:t>
            </w:r>
            <w:r w:rsidR="005E0CC7">
              <w:rPr>
                <w:sz w:val="18"/>
              </w:rPr>
              <w:t>.</w:t>
            </w:r>
            <w:r w:rsidRPr="00824BF5">
              <w:rPr>
                <w:sz w:val="18"/>
              </w:rPr>
              <w:t>4</w:t>
            </w:r>
          </w:p>
        </w:tc>
        <w:tc>
          <w:tcPr>
            <w:tcW w:w="1021" w:type="dxa"/>
            <w:tcBorders>
              <w:top w:val="nil"/>
              <w:bottom w:val="nil"/>
            </w:tcBorders>
            <w:shd w:val="clear" w:color="auto" w:fill="auto"/>
            <w:vAlign w:val="bottom"/>
          </w:tcPr>
          <w:p w:rsidR="00C725B6" w:rsidRPr="00E34389" w:rsidRDefault="00C725B6" w:rsidP="00C725B6">
            <w:pPr>
              <w:suppressAutoHyphens w:val="0"/>
              <w:spacing w:before="40" w:after="40" w:line="220" w:lineRule="exact"/>
              <w:ind w:right="113"/>
              <w:jc w:val="right"/>
              <w:rPr>
                <w:sz w:val="18"/>
              </w:rPr>
            </w:pPr>
            <w:r w:rsidRPr="00824BF5">
              <w:rPr>
                <w:sz w:val="18"/>
              </w:rPr>
              <w:t>8</w:t>
            </w:r>
            <w:r w:rsidR="005E0CC7">
              <w:rPr>
                <w:sz w:val="18"/>
              </w:rPr>
              <w:t>.</w:t>
            </w:r>
            <w:r w:rsidRPr="00824BF5">
              <w:rPr>
                <w:sz w:val="18"/>
              </w:rPr>
              <w:t>8</w:t>
            </w:r>
          </w:p>
        </w:tc>
      </w:tr>
      <w:tr w:rsidR="00C725B6" w:rsidRPr="009C5335" w:rsidTr="00AD0B17">
        <w:tc>
          <w:tcPr>
            <w:tcW w:w="2438" w:type="dxa"/>
            <w:tcBorders>
              <w:top w:val="nil"/>
            </w:tcBorders>
            <w:shd w:val="clear" w:color="auto" w:fill="auto"/>
          </w:tcPr>
          <w:p w:rsidR="00C725B6" w:rsidRPr="003D6C5E" w:rsidRDefault="00C725B6" w:rsidP="00C725B6">
            <w:pPr>
              <w:suppressAutoHyphens w:val="0"/>
              <w:spacing w:before="40" w:after="40" w:line="220" w:lineRule="exact"/>
              <w:ind w:left="145" w:right="113"/>
              <w:rPr>
                <w:sz w:val="18"/>
              </w:rPr>
            </w:pPr>
            <w:r w:rsidRPr="003D6C5E">
              <w:rPr>
                <w:sz w:val="18"/>
              </w:rPr>
              <w:t>Pupils</w:t>
            </w:r>
            <w:r>
              <w:rPr>
                <w:sz w:val="18"/>
              </w:rPr>
              <w:t>-</w:t>
            </w:r>
            <w:r w:rsidRPr="003D6C5E">
              <w:rPr>
                <w:sz w:val="18"/>
              </w:rPr>
              <w:t>teacher ratio</w:t>
            </w:r>
          </w:p>
        </w:tc>
        <w:tc>
          <w:tcPr>
            <w:tcW w:w="1303" w:type="dxa"/>
            <w:tcBorders>
              <w:top w:val="nil"/>
            </w:tcBorders>
            <w:shd w:val="clear" w:color="auto" w:fill="auto"/>
            <w:vAlign w:val="bottom"/>
          </w:tcPr>
          <w:p w:rsidR="00C725B6" w:rsidRPr="00E34389" w:rsidRDefault="00C725B6" w:rsidP="00C725B6">
            <w:pPr>
              <w:suppressAutoHyphens w:val="0"/>
              <w:spacing w:before="40" w:after="40" w:line="220" w:lineRule="exact"/>
              <w:ind w:left="145" w:right="113"/>
              <w:jc w:val="right"/>
              <w:rPr>
                <w:sz w:val="18"/>
              </w:rPr>
            </w:pPr>
          </w:p>
        </w:tc>
        <w:tc>
          <w:tcPr>
            <w:tcW w:w="1225" w:type="dxa"/>
            <w:tcBorders>
              <w:top w:val="nil"/>
            </w:tcBorders>
            <w:shd w:val="clear" w:color="auto" w:fill="auto"/>
            <w:vAlign w:val="bottom"/>
          </w:tcPr>
          <w:p w:rsidR="00C725B6" w:rsidRPr="00E34389" w:rsidRDefault="00C725B6" w:rsidP="00C725B6">
            <w:pPr>
              <w:suppressAutoHyphens w:val="0"/>
              <w:spacing w:before="40" w:after="40" w:line="220" w:lineRule="exact"/>
              <w:ind w:left="145" w:right="113"/>
              <w:jc w:val="right"/>
              <w:rPr>
                <w:sz w:val="18"/>
              </w:rPr>
            </w:pPr>
          </w:p>
        </w:tc>
        <w:tc>
          <w:tcPr>
            <w:tcW w:w="1383" w:type="dxa"/>
            <w:tcBorders>
              <w:top w:val="nil"/>
            </w:tcBorders>
            <w:shd w:val="clear" w:color="auto" w:fill="auto"/>
            <w:vAlign w:val="bottom"/>
          </w:tcPr>
          <w:p w:rsidR="00C725B6" w:rsidRPr="00E34389" w:rsidRDefault="00C725B6" w:rsidP="00C725B6">
            <w:pPr>
              <w:suppressAutoHyphens w:val="0"/>
              <w:spacing w:before="40" w:after="40" w:line="220" w:lineRule="exact"/>
              <w:ind w:left="145" w:right="113"/>
              <w:jc w:val="right"/>
              <w:rPr>
                <w:sz w:val="18"/>
              </w:rPr>
            </w:pPr>
          </w:p>
        </w:tc>
        <w:tc>
          <w:tcPr>
            <w:tcW w:w="1021" w:type="dxa"/>
            <w:tcBorders>
              <w:top w:val="nil"/>
            </w:tcBorders>
            <w:shd w:val="clear" w:color="auto" w:fill="auto"/>
            <w:vAlign w:val="bottom"/>
          </w:tcPr>
          <w:p w:rsidR="00C725B6" w:rsidRPr="00E34389" w:rsidRDefault="00C725B6" w:rsidP="00C725B6">
            <w:pPr>
              <w:suppressAutoHyphens w:val="0"/>
              <w:spacing w:before="40" w:after="40" w:line="220" w:lineRule="exact"/>
              <w:ind w:left="145" w:right="113"/>
              <w:jc w:val="right"/>
              <w:rPr>
                <w:sz w:val="18"/>
              </w:rPr>
            </w:pPr>
          </w:p>
        </w:tc>
      </w:tr>
    </w:tbl>
    <w:p w:rsidR="00F233AB" w:rsidRPr="00B02247" w:rsidRDefault="00F233AB" w:rsidP="00F233AB">
      <w:r w:rsidRPr="00B02247">
        <w:rPr>
          <w:noProof/>
          <w:lang w:eastAsia="zh-CN"/>
        </w:rPr>
        <w:drawing>
          <wp:inline distT="0" distB="0" distL="0" distR="0" wp14:anchorId="30F11AE2" wp14:editId="2CA10E72">
            <wp:extent cx="5832475" cy="3103245"/>
            <wp:effectExtent l="0" t="0" r="0" b="1905"/>
            <wp:docPr id="35"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32475" cy="3103245"/>
                    </a:xfrm>
                    <a:prstGeom prst="rect">
                      <a:avLst/>
                    </a:prstGeom>
                    <a:noFill/>
                    <a:ln>
                      <a:noFill/>
                    </a:ln>
                  </pic:spPr>
                </pic:pic>
              </a:graphicData>
            </a:graphic>
          </wp:inline>
        </w:drawing>
      </w:r>
    </w:p>
    <w:p w:rsidR="00F233AB" w:rsidRPr="00B02247" w:rsidRDefault="00F233AB" w:rsidP="00F233AB">
      <w:r w:rsidRPr="00B02247">
        <w:rPr>
          <w:noProof/>
          <w:lang w:eastAsia="zh-CN"/>
        </w:rPr>
        <w:lastRenderedPageBreak/>
        <w:drawing>
          <wp:inline distT="0" distB="0" distL="0" distR="0" wp14:anchorId="39B3E3B0" wp14:editId="45329A39">
            <wp:extent cx="5846445" cy="3276600"/>
            <wp:effectExtent l="0" t="0" r="1905" b="0"/>
            <wp:docPr id="36"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6445" cy="3276600"/>
                    </a:xfrm>
                    <a:prstGeom prst="rect">
                      <a:avLst/>
                    </a:prstGeom>
                    <a:noFill/>
                    <a:ln>
                      <a:noFill/>
                    </a:ln>
                  </pic:spPr>
                </pic:pic>
              </a:graphicData>
            </a:graphic>
          </wp:inline>
        </w:drawing>
      </w:r>
    </w:p>
    <w:p w:rsidR="00F233AB" w:rsidRPr="00B02247" w:rsidRDefault="00F233AB" w:rsidP="00CF44E9">
      <w:pPr>
        <w:pStyle w:val="H1G"/>
      </w:pPr>
      <w:r w:rsidRPr="00B02247">
        <w:tab/>
      </w:r>
      <w:r w:rsidRPr="00B02247">
        <w:tab/>
        <w:t>Indicators</w:t>
      </w:r>
      <w:r w:rsidR="005B2A41">
        <w:t xml:space="preserve"> </w:t>
      </w:r>
      <w:r w:rsidRPr="00B02247">
        <w:t>on</w:t>
      </w:r>
      <w:r w:rsidR="005B2A41">
        <w:t xml:space="preserve"> </w:t>
      </w:r>
      <w:r w:rsidRPr="00B02247">
        <w:t>the</w:t>
      </w:r>
      <w:r w:rsidR="005B2A41">
        <w:t xml:space="preserve"> </w:t>
      </w:r>
      <w:r w:rsidRPr="00B02247">
        <w:t>political</w:t>
      </w:r>
      <w:r w:rsidR="005B2A41">
        <w:t xml:space="preserve"> </w:t>
      </w:r>
      <w:r w:rsidRPr="00B02247">
        <w:t>system</w:t>
      </w:r>
    </w:p>
    <w:p w:rsidR="00F233AB" w:rsidRPr="00B02247" w:rsidRDefault="00CF44E9" w:rsidP="00CF44E9">
      <w:pPr>
        <w:pStyle w:val="SingleTxtG"/>
      </w:pPr>
      <w:r>
        <w:tab/>
      </w:r>
      <w:r w:rsidR="00F233AB" w:rsidRPr="00B02247">
        <w:t>The</w:t>
      </w:r>
      <w:r w:rsidR="005B2A41">
        <w:t xml:space="preserve"> </w:t>
      </w:r>
      <w:r w:rsidR="00F233AB" w:rsidRPr="00B02247">
        <w:t>number</w:t>
      </w:r>
      <w:r w:rsidR="005B2A41">
        <w:t xml:space="preserve"> </w:t>
      </w:r>
      <w:r w:rsidR="00F233AB" w:rsidRPr="00B02247">
        <w:t>of</w:t>
      </w:r>
      <w:r w:rsidR="005B2A41">
        <w:t xml:space="preserve"> </w:t>
      </w:r>
      <w:r w:rsidR="00F233AB" w:rsidRPr="00B02247">
        <w:t>recognized</w:t>
      </w:r>
      <w:r w:rsidR="005B2A41">
        <w:t xml:space="preserve"> </w:t>
      </w:r>
      <w:r w:rsidR="00F233AB" w:rsidRPr="00B02247">
        <w:t>political</w:t>
      </w:r>
      <w:r w:rsidR="005B2A41">
        <w:t xml:space="preserve"> </w:t>
      </w:r>
      <w:r w:rsidR="00F233AB" w:rsidRPr="00B02247">
        <w:t>parties</w:t>
      </w:r>
      <w:r w:rsidR="005B2A41">
        <w:t xml:space="preserve"> </w:t>
      </w:r>
      <w:r w:rsidR="00F233AB" w:rsidRPr="00B02247">
        <w:t>at</w:t>
      </w:r>
      <w:r w:rsidR="005B2A41">
        <w:t xml:space="preserve"> </w:t>
      </w:r>
      <w:r w:rsidR="00F233AB" w:rsidRPr="00B02247">
        <w:t>national</w:t>
      </w:r>
      <w:r w:rsidR="005B2A41">
        <w:t xml:space="preserve"> </w:t>
      </w:r>
      <w:r w:rsidR="00F233AB" w:rsidRPr="00B02247">
        <w:t>level,</w:t>
      </w:r>
      <w:r w:rsidR="005B2A41">
        <w:t xml:space="preserve"> </w:t>
      </w:r>
      <w:r w:rsidR="00F233AB" w:rsidRPr="00B02247">
        <w:t>according</w:t>
      </w:r>
      <w:r w:rsidR="005B2A41">
        <w:t xml:space="preserve"> </w:t>
      </w:r>
      <w:r w:rsidR="00F233AB" w:rsidRPr="00B02247">
        <w:t>to</w:t>
      </w:r>
      <w:r w:rsidR="005B2A41">
        <w:t xml:space="preserve"> </w:t>
      </w:r>
      <w:r w:rsidR="00F233AB" w:rsidRPr="00B02247">
        <w:t>our</w:t>
      </w:r>
      <w:r w:rsidR="005B2A41">
        <w:t xml:space="preserve"> </w:t>
      </w:r>
      <w:r w:rsidR="00F233AB" w:rsidRPr="00B02247">
        <w:t>updated</w:t>
      </w:r>
      <w:r w:rsidR="005B2A41">
        <w:t xml:space="preserve"> </w:t>
      </w:r>
      <w:r w:rsidR="00F233AB" w:rsidRPr="00B02247">
        <w:t>data,</w:t>
      </w:r>
      <w:r w:rsidR="005B2A41">
        <w:t xml:space="preserve"> </w:t>
      </w:r>
      <w:r w:rsidR="00F233AB" w:rsidRPr="00B02247">
        <w:t>amounts</w:t>
      </w:r>
      <w:r w:rsidR="005B2A41">
        <w:t xml:space="preserve"> </w:t>
      </w:r>
      <w:r w:rsidR="00F233AB" w:rsidRPr="00B02247">
        <w:t>to</w:t>
      </w:r>
      <w:r w:rsidR="005B2A41">
        <w:t xml:space="preserve"> </w:t>
      </w:r>
      <w:r w:rsidR="00F233AB" w:rsidRPr="00B02247">
        <w:t>671</w:t>
      </w:r>
      <w:r w:rsidR="005B2A41">
        <w:t xml:space="preserve"> </w:t>
      </w:r>
      <w:r w:rsidR="00F233AB" w:rsidRPr="00B02247">
        <w:t>since</w:t>
      </w:r>
      <w:r w:rsidR="005B2A41">
        <w:t xml:space="preserve"> </w:t>
      </w:r>
      <w:r w:rsidR="00F233AB" w:rsidRPr="00B02247">
        <w:t>1974.</w:t>
      </w:r>
    </w:p>
    <w:p w:rsidR="00F233AB" w:rsidRPr="00B02247" w:rsidRDefault="00CF44E9" w:rsidP="00CF44E9">
      <w:pPr>
        <w:pStyle w:val="SingleTxtG"/>
      </w:pPr>
      <w:r>
        <w:tab/>
      </w:r>
      <w:r w:rsidR="00F233AB" w:rsidRPr="00B02247">
        <w:t>The</w:t>
      </w:r>
      <w:r w:rsidR="005B2A41">
        <w:t xml:space="preserve"> </w:t>
      </w:r>
      <w:r w:rsidR="00F233AB" w:rsidRPr="00B02247">
        <w:t>number</w:t>
      </w:r>
      <w:r w:rsidR="005B2A41">
        <w:t xml:space="preserve"> </w:t>
      </w:r>
      <w:r w:rsidR="00F233AB" w:rsidRPr="00B02247">
        <w:t>of</w:t>
      </w:r>
      <w:r w:rsidR="005B2A41">
        <w:t xml:space="preserve"> </w:t>
      </w:r>
      <w:r w:rsidR="00F233AB" w:rsidRPr="00B02247">
        <w:t>registered</w:t>
      </w:r>
      <w:r w:rsidR="005B2A41">
        <w:t xml:space="preserve"> </w:t>
      </w:r>
      <w:r w:rsidR="00F233AB" w:rsidRPr="00B02247">
        <w:t>voters</w:t>
      </w:r>
      <w:r w:rsidR="005B2A41">
        <w:t xml:space="preserve"> </w:t>
      </w:r>
      <w:r w:rsidR="00F233AB" w:rsidRPr="00B02247">
        <w:t>amounts</w:t>
      </w:r>
      <w:r w:rsidR="005B2A41">
        <w:t xml:space="preserve"> </w:t>
      </w:r>
      <w:r w:rsidR="00F233AB" w:rsidRPr="00B02247">
        <w:t>to</w:t>
      </w:r>
      <w:r w:rsidR="005B2A41">
        <w:t xml:space="preserve"> </w:t>
      </w:r>
      <w:r w:rsidR="00F233AB" w:rsidRPr="00B02247">
        <w:t>9,903,327.</w:t>
      </w:r>
      <w:r w:rsidR="005B2A41">
        <w:t xml:space="preserve"> </w:t>
      </w:r>
      <w:r w:rsidR="00F233AB" w:rsidRPr="00B02247">
        <w:t>The</w:t>
      </w:r>
      <w:r w:rsidR="005B2A41">
        <w:t xml:space="preserve"> </w:t>
      </w:r>
      <w:r w:rsidR="00F233AB" w:rsidRPr="00B02247">
        <w:t>proportion</w:t>
      </w:r>
      <w:r w:rsidR="005B2A41">
        <w:t xml:space="preserve"> </w:t>
      </w:r>
      <w:r w:rsidR="00F233AB" w:rsidRPr="00B02247">
        <w:t>of</w:t>
      </w:r>
      <w:r w:rsidR="005B2A41">
        <w:t xml:space="preserve"> </w:t>
      </w:r>
      <w:r w:rsidR="00F233AB" w:rsidRPr="00B02247">
        <w:t>the</w:t>
      </w:r>
      <w:r w:rsidR="005B2A41">
        <w:t xml:space="preserve"> </w:t>
      </w:r>
      <w:r w:rsidR="00F233AB" w:rsidRPr="00B02247">
        <w:t>population</w:t>
      </w:r>
      <w:r w:rsidR="005B2A41">
        <w:t xml:space="preserve"> </w:t>
      </w:r>
      <w:r w:rsidR="00F233AB" w:rsidRPr="00B02247">
        <w:t>entitled</w:t>
      </w:r>
      <w:r w:rsidR="005B2A41">
        <w:t xml:space="preserve"> </w:t>
      </w:r>
      <w:r w:rsidR="00F233AB" w:rsidRPr="00B02247">
        <w:t>to</w:t>
      </w:r>
      <w:r w:rsidR="005B2A41">
        <w:t xml:space="preserve"> </w:t>
      </w:r>
      <w:r w:rsidR="00F233AB" w:rsidRPr="00B02247">
        <w:t>vote</w:t>
      </w:r>
      <w:r w:rsidR="005B2A41">
        <w:t xml:space="preserve"> </w:t>
      </w:r>
      <w:r w:rsidR="00F233AB" w:rsidRPr="00B02247">
        <w:t>cannot</w:t>
      </w:r>
      <w:r w:rsidR="005B2A41">
        <w:t xml:space="preserve"> </w:t>
      </w:r>
      <w:r w:rsidR="00F233AB" w:rsidRPr="00B02247">
        <w:t>be</w:t>
      </w:r>
      <w:r w:rsidR="005B2A41">
        <w:t xml:space="preserve"> </w:t>
      </w:r>
      <w:r w:rsidR="00F233AB" w:rsidRPr="00B02247">
        <w:t>calculated</w:t>
      </w:r>
      <w:r w:rsidR="005B2A41">
        <w:t xml:space="preserve"> </w:t>
      </w:r>
      <w:r w:rsidR="00F233AB" w:rsidRPr="00B02247">
        <w:t>because</w:t>
      </w:r>
      <w:r w:rsidR="005B2A41">
        <w:t xml:space="preserve"> </w:t>
      </w:r>
      <w:r w:rsidR="00F233AB" w:rsidRPr="00B02247">
        <w:t>the</w:t>
      </w:r>
      <w:r w:rsidR="005B2A41">
        <w:t xml:space="preserve"> </w:t>
      </w:r>
      <w:r w:rsidR="00F233AB" w:rsidRPr="00B02247">
        <w:t>available</w:t>
      </w:r>
      <w:r w:rsidR="005B2A41">
        <w:t xml:space="preserve"> </w:t>
      </w:r>
      <w:r w:rsidR="00F233AB" w:rsidRPr="00B02247">
        <w:t>data</w:t>
      </w:r>
      <w:r w:rsidR="005B2A41">
        <w:t xml:space="preserve"> </w:t>
      </w:r>
      <w:r w:rsidR="00F233AB" w:rsidRPr="00B02247">
        <w:t>are</w:t>
      </w:r>
      <w:r w:rsidR="005B2A41">
        <w:t xml:space="preserve"> </w:t>
      </w:r>
      <w:r w:rsidR="00F233AB" w:rsidRPr="00B02247">
        <w:t>relating</w:t>
      </w:r>
      <w:r w:rsidR="005B2A41">
        <w:t xml:space="preserve"> </w:t>
      </w:r>
      <w:r w:rsidR="00F233AB" w:rsidRPr="00B02247">
        <w:t>to</w:t>
      </w:r>
      <w:r w:rsidR="005B2A41">
        <w:t xml:space="preserve"> </w:t>
      </w:r>
      <w:r w:rsidR="00F233AB" w:rsidRPr="00B02247">
        <w:t>different</w:t>
      </w:r>
      <w:r w:rsidR="005B2A41">
        <w:t xml:space="preserve"> </w:t>
      </w:r>
      <w:r w:rsidR="00F233AB" w:rsidRPr="00B02247">
        <w:t>periods:</w:t>
      </w:r>
      <w:r w:rsidR="005B2A41">
        <w:t xml:space="preserve"> </w:t>
      </w:r>
      <w:r w:rsidR="00F233AB" w:rsidRPr="00B02247">
        <w:t>on</w:t>
      </w:r>
      <w:r w:rsidR="005B2A41">
        <w:t xml:space="preserve"> </w:t>
      </w:r>
      <w:r w:rsidR="00F233AB" w:rsidRPr="00B02247">
        <w:t>the</w:t>
      </w:r>
      <w:r w:rsidR="005B2A41">
        <w:t xml:space="preserve"> </w:t>
      </w:r>
      <w:r w:rsidR="00F233AB" w:rsidRPr="00B02247">
        <w:t>one</w:t>
      </w:r>
      <w:r w:rsidR="005B2A41">
        <w:t xml:space="preserve"> </w:t>
      </w:r>
      <w:r w:rsidR="00F233AB" w:rsidRPr="00B02247">
        <w:t>hand,</w:t>
      </w:r>
      <w:r w:rsidR="005B2A41">
        <w:t xml:space="preserve"> </w:t>
      </w:r>
      <w:r w:rsidR="00F233AB" w:rsidRPr="00B02247">
        <w:t>the</w:t>
      </w:r>
      <w:r w:rsidR="005B2A41">
        <w:t xml:space="preserve"> </w:t>
      </w:r>
      <w:r w:rsidR="00F233AB" w:rsidRPr="00B02247">
        <w:t>census</w:t>
      </w:r>
      <w:r w:rsidR="005B2A41">
        <w:t xml:space="preserve"> </w:t>
      </w:r>
      <w:r w:rsidR="00F233AB" w:rsidRPr="00B02247">
        <w:t>of</w:t>
      </w:r>
      <w:r w:rsidR="005B2A41">
        <w:t xml:space="preserve"> </w:t>
      </w:r>
      <w:r w:rsidR="00F233AB" w:rsidRPr="00B02247">
        <w:t>the</w:t>
      </w:r>
      <w:r w:rsidR="005B2A41">
        <w:t xml:space="preserve"> </w:t>
      </w:r>
      <w:r w:rsidR="00F233AB" w:rsidRPr="00B02247">
        <w:t>population</w:t>
      </w:r>
      <w:r w:rsidR="005B2A41">
        <w:t xml:space="preserve"> </w:t>
      </w:r>
      <w:r w:rsidR="00F233AB" w:rsidRPr="00B02247">
        <w:t>is</w:t>
      </w:r>
      <w:r w:rsidR="005B2A41">
        <w:t xml:space="preserve"> </w:t>
      </w:r>
      <w:r w:rsidR="00F233AB" w:rsidRPr="00B02247">
        <w:t>carried</w:t>
      </w:r>
      <w:r w:rsidR="005B2A41">
        <w:t xml:space="preserve"> </w:t>
      </w:r>
      <w:r w:rsidR="00F233AB" w:rsidRPr="00B02247">
        <w:t>out</w:t>
      </w:r>
      <w:r w:rsidR="005B2A41">
        <w:t xml:space="preserve"> </w:t>
      </w:r>
      <w:r w:rsidR="00F233AB" w:rsidRPr="00B02247">
        <w:t>every</w:t>
      </w:r>
      <w:r w:rsidR="005B2A41">
        <w:t xml:space="preserve"> </w:t>
      </w:r>
      <w:r w:rsidR="00F233AB" w:rsidRPr="00B02247">
        <w:t>decade,</w:t>
      </w:r>
      <w:r w:rsidR="005B2A41">
        <w:t xml:space="preserve"> </w:t>
      </w:r>
      <w:r w:rsidR="00F233AB" w:rsidRPr="00B02247">
        <w:t>while</w:t>
      </w:r>
      <w:r w:rsidR="005B2A41">
        <w:t xml:space="preserve"> </w:t>
      </w:r>
      <w:r w:rsidR="00F233AB" w:rsidRPr="00B02247">
        <w:t>the</w:t>
      </w:r>
      <w:r w:rsidR="005B2A41">
        <w:t xml:space="preserve"> </w:t>
      </w:r>
      <w:r w:rsidR="00F233AB" w:rsidRPr="00B02247">
        <w:t>electoral</w:t>
      </w:r>
      <w:r w:rsidR="005B2A41">
        <w:t xml:space="preserve"> </w:t>
      </w:r>
      <w:r w:rsidR="00F233AB" w:rsidRPr="00B02247">
        <w:t>lists</w:t>
      </w:r>
      <w:r w:rsidR="005B2A41">
        <w:t xml:space="preserve"> </w:t>
      </w:r>
      <w:r w:rsidR="00F233AB" w:rsidRPr="00B02247">
        <w:t>are</w:t>
      </w:r>
      <w:r w:rsidR="005B2A41">
        <w:t xml:space="preserve"> </w:t>
      </w:r>
      <w:r w:rsidR="00F233AB" w:rsidRPr="00B02247">
        <w:t>reviewed</w:t>
      </w:r>
      <w:r w:rsidR="005B2A41">
        <w:t xml:space="preserve"> </w:t>
      </w:r>
      <w:r w:rsidR="00F233AB" w:rsidRPr="00B02247">
        <w:t>every</w:t>
      </w:r>
      <w:r w:rsidR="005B2A41">
        <w:t xml:space="preserve"> </w:t>
      </w:r>
      <w:r w:rsidR="00F233AB" w:rsidRPr="00B02247">
        <w:t>two</w:t>
      </w:r>
      <w:r w:rsidR="005B2A41">
        <w:t xml:space="preserve"> </w:t>
      </w:r>
      <w:r w:rsidR="00F233AB" w:rsidRPr="00B02247">
        <w:t>months.</w:t>
      </w:r>
    </w:p>
    <w:p w:rsidR="00F233AB" w:rsidRPr="00B02247" w:rsidRDefault="00CF44E9" w:rsidP="00157E16">
      <w:pPr>
        <w:pStyle w:val="SingleTxtG"/>
        <w:spacing w:after="240"/>
      </w:pPr>
      <w:r>
        <w:tab/>
      </w:r>
      <w:r w:rsidR="00F233AB" w:rsidRPr="00B02247">
        <w:t>The</w:t>
      </w:r>
      <w:r w:rsidR="005B2A41">
        <w:t xml:space="preserve"> </w:t>
      </w:r>
      <w:r w:rsidR="00F233AB" w:rsidRPr="00B02247">
        <w:t>distribution</w:t>
      </w:r>
      <w:r w:rsidR="005B2A41">
        <w:t xml:space="preserve"> </w:t>
      </w:r>
      <w:r w:rsidR="00F233AB" w:rsidRPr="00B02247">
        <w:t>of</w:t>
      </w:r>
      <w:r w:rsidR="005B2A41">
        <w:t xml:space="preserve"> </w:t>
      </w:r>
      <w:r w:rsidR="00F233AB" w:rsidRPr="00B02247">
        <w:t>parliamentary</w:t>
      </w:r>
      <w:r w:rsidR="005B2A41">
        <w:t xml:space="preserve"> </w:t>
      </w:r>
      <w:r w:rsidR="00F233AB" w:rsidRPr="00B02247">
        <w:t>seats,</w:t>
      </w:r>
      <w:r w:rsidR="005B2A41">
        <w:t xml:space="preserve"> </w:t>
      </w:r>
      <w:r w:rsidR="00F233AB" w:rsidRPr="00B02247">
        <w:t>as</w:t>
      </w:r>
      <w:r w:rsidR="005B2A41">
        <w:t xml:space="preserve"> </w:t>
      </w:r>
      <w:r w:rsidR="00F233AB" w:rsidRPr="00B02247">
        <w:t>resulted</w:t>
      </w:r>
      <w:r w:rsidR="005B2A41">
        <w:t xml:space="preserve"> </w:t>
      </w:r>
      <w:r w:rsidR="00F233AB" w:rsidRPr="00B02247">
        <w:t>from</w:t>
      </w:r>
      <w:r w:rsidR="005B2A41">
        <w:t xml:space="preserve"> </w:t>
      </w:r>
      <w:r w:rsidR="00F233AB" w:rsidRPr="00B02247">
        <w:t>the</w:t>
      </w:r>
      <w:r w:rsidR="005B2A41">
        <w:t xml:space="preserve"> </w:t>
      </w:r>
      <w:r w:rsidR="00F233AB" w:rsidRPr="00B02247">
        <w:t>September</w:t>
      </w:r>
      <w:r w:rsidR="005B2A41">
        <w:t xml:space="preserve"> </w:t>
      </w:r>
      <w:r w:rsidR="00F233AB" w:rsidRPr="00B02247">
        <w:t>2015</w:t>
      </w:r>
      <w:r w:rsidR="005B2A41">
        <w:t xml:space="preserve"> </w:t>
      </w:r>
      <w:r w:rsidR="00F233AB" w:rsidRPr="00B02247">
        <w:t>elections,</w:t>
      </w:r>
      <w:r w:rsidR="005B2A41">
        <w:t xml:space="preserve"> </w:t>
      </w:r>
      <w:r w:rsidR="00F233AB" w:rsidRPr="00B02247">
        <w:t>is</w:t>
      </w:r>
      <w:r w:rsidR="005B2A41">
        <w:t xml:space="preserve"> </w:t>
      </w:r>
      <w:r w:rsidR="00F233AB" w:rsidRPr="00B02247">
        <w:t>reflected</w:t>
      </w:r>
      <w:r w:rsidR="005B2A41">
        <w:t xml:space="preserve"> </w:t>
      </w:r>
      <w:r w:rsidR="00F233AB" w:rsidRPr="00B02247">
        <w:t>in</w:t>
      </w:r>
      <w:r w:rsidR="005B2A41">
        <w:t xml:space="preserve"> </w:t>
      </w:r>
      <w:r w:rsidR="00F233AB" w:rsidRPr="00B02247">
        <w:t>the</w:t>
      </w:r>
      <w:r w:rsidR="005B2A41">
        <w:t xml:space="preserve"> </w:t>
      </w:r>
      <w:r w:rsidR="00F233AB" w:rsidRPr="00B02247">
        <w:t>following</w:t>
      </w:r>
      <w:r w:rsidR="005B2A41">
        <w:t xml:space="preserve"> </w:t>
      </w:r>
      <w:r w:rsidR="00F233AB" w:rsidRPr="00B02247">
        <w:t>table: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6"/>
        <w:gridCol w:w="6074"/>
        <w:gridCol w:w="870"/>
      </w:tblGrid>
      <w:tr w:rsidR="00F233AB" w:rsidRPr="00157E16" w:rsidTr="005E0CC7">
        <w:tc>
          <w:tcPr>
            <w:tcW w:w="426" w:type="dxa"/>
            <w:tcBorders>
              <w:top w:val="single" w:sz="4" w:space="0" w:color="auto"/>
              <w:bottom w:val="nil"/>
            </w:tcBorders>
            <w:shd w:val="clear" w:color="auto" w:fill="auto"/>
            <w:vAlign w:val="bottom"/>
          </w:tcPr>
          <w:p w:rsidR="00F233AB" w:rsidRPr="00157E16" w:rsidRDefault="00F233AB" w:rsidP="00157E16">
            <w:pPr>
              <w:suppressAutoHyphens w:val="0"/>
              <w:spacing w:before="40" w:after="40" w:line="220" w:lineRule="exact"/>
              <w:ind w:right="113"/>
              <w:rPr>
                <w:sz w:val="18"/>
              </w:rPr>
            </w:pPr>
            <w:r w:rsidRPr="00157E16">
              <w:rPr>
                <w:sz w:val="18"/>
              </w:rPr>
              <w:t>1.</w:t>
            </w:r>
          </w:p>
        </w:tc>
        <w:tc>
          <w:tcPr>
            <w:tcW w:w="6074" w:type="dxa"/>
            <w:tcBorders>
              <w:top w:val="single" w:sz="4" w:space="0" w:color="auto"/>
              <w:bottom w:val="nil"/>
            </w:tcBorders>
            <w:shd w:val="clear" w:color="auto" w:fill="auto"/>
            <w:vAlign w:val="bottom"/>
          </w:tcPr>
          <w:p w:rsidR="00F233AB" w:rsidRPr="00157E16" w:rsidRDefault="00F233AB" w:rsidP="00157E16">
            <w:pPr>
              <w:suppressAutoHyphens w:val="0"/>
              <w:spacing w:before="40" w:after="40" w:line="220" w:lineRule="exact"/>
              <w:ind w:right="113"/>
              <w:rPr>
                <w:sz w:val="18"/>
              </w:rPr>
            </w:pPr>
            <w:r w:rsidRPr="00157E16">
              <w:rPr>
                <w:sz w:val="18"/>
              </w:rPr>
              <w:t>Coalition</w:t>
            </w:r>
            <w:r w:rsidR="005B2A41" w:rsidRPr="00157E16">
              <w:rPr>
                <w:sz w:val="18"/>
              </w:rPr>
              <w:t xml:space="preserve"> </w:t>
            </w:r>
            <w:r w:rsidRPr="00157E16">
              <w:rPr>
                <w:sz w:val="18"/>
              </w:rPr>
              <w:t>of</w:t>
            </w:r>
            <w:r w:rsidR="005B2A41" w:rsidRPr="00157E16">
              <w:rPr>
                <w:sz w:val="18"/>
              </w:rPr>
              <w:t xml:space="preserve"> </w:t>
            </w:r>
            <w:r w:rsidRPr="00157E16">
              <w:rPr>
                <w:sz w:val="18"/>
              </w:rPr>
              <w:t>the</w:t>
            </w:r>
            <w:r w:rsidR="005B2A41" w:rsidRPr="00157E16">
              <w:rPr>
                <w:sz w:val="18"/>
              </w:rPr>
              <w:t xml:space="preserve"> </w:t>
            </w:r>
            <w:r w:rsidRPr="00157E16">
              <w:rPr>
                <w:sz w:val="18"/>
              </w:rPr>
              <w:t>radical</w:t>
            </w:r>
            <w:r w:rsidR="005B2A41" w:rsidRPr="00157E16">
              <w:rPr>
                <w:sz w:val="18"/>
              </w:rPr>
              <w:t xml:space="preserve"> </w:t>
            </w:r>
            <w:r w:rsidRPr="00157E16">
              <w:rPr>
                <w:sz w:val="18"/>
              </w:rPr>
              <w:t>left</w:t>
            </w:r>
          </w:p>
        </w:tc>
        <w:tc>
          <w:tcPr>
            <w:tcW w:w="870" w:type="dxa"/>
            <w:tcBorders>
              <w:top w:val="single" w:sz="4" w:space="0" w:color="auto"/>
              <w:bottom w:val="nil"/>
            </w:tcBorders>
            <w:shd w:val="clear" w:color="auto" w:fill="auto"/>
            <w:vAlign w:val="bottom"/>
          </w:tcPr>
          <w:p w:rsidR="00F233AB" w:rsidRPr="00157E16" w:rsidRDefault="00F233AB" w:rsidP="000A4C2D">
            <w:pPr>
              <w:suppressAutoHyphens w:val="0"/>
              <w:spacing w:before="40" w:after="40" w:line="220" w:lineRule="exact"/>
              <w:ind w:right="113"/>
              <w:jc w:val="right"/>
              <w:rPr>
                <w:sz w:val="18"/>
              </w:rPr>
            </w:pPr>
            <w:r w:rsidRPr="00157E16">
              <w:rPr>
                <w:sz w:val="18"/>
              </w:rPr>
              <w:t>145</w:t>
            </w:r>
          </w:p>
        </w:tc>
      </w:tr>
      <w:tr w:rsidR="00F233AB" w:rsidRPr="00157E16" w:rsidTr="005E0CC7">
        <w:tc>
          <w:tcPr>
            <w:tcW w:w="426" w:type="dxa"/>
            <w:tcBorders>
              <w:top w:val="nil"/>
              <w:bottom w:val="nil"/>
            </w:tcBorders>
            <w:shd w:val="clear" w:color="auto" w:fill="auto"/>
          </w:tcPr>
          <w:p w:rsidR="00F233AB" w:rsidRPr="00157E16" w:rsidRDefault="00F233AB" w:rsidP="00157E16">
            <w:pPr>
              <w:suppressAutoHyphens w:val="0"/>
              <w:spacing w:before="40" w:after="40" w:line="220" w:lineRule="exact"/>
              <w:ind w:right="113"/>
              <w:rPr>
                <w:sz w:val="18"/>
              </w:rPr>
            </w:pPr>
            <w:r w:rsidRPr="00157E16">
              <w:rPr>
                <w:sz w:val="18"/>
              </w:rPr>
              <w:t>2.</w:t>
            </w:r>
          </w:p>
        </w:tc>
        <w:tc>
          <w:tcPr>
            <w:tcW w:w="6074" w:type="dxa"/>
            <w:tcBorders>
              <w:top w:val="nil"/>
              <w:bottom w:val="nil"/>
            </w:tcBorders>
            <w:shd w:val="clear" w:color="auto" w:fill="auto"/>
            <w:vAlign w:val="bottom"/>
          </w:tcPr>
          <w:p w:rsidR="00F233AB" w:rsidRPr="00157E16" w:rsidRDefault="00F233AB" w:rsidP="00157E16">
            <w:pPr>
              <w:suppressAutoHyphens w:val="0"/>
              <w:spacing w:before="40" w:after="40" w:line="220" w:lineRule="exact"/>
              <w:ind w:right="113"/>
              <w:rPr>
                <w:sz w:val="18"/>
              </w:rPr>
            </w:pPr>
            <w:r w:rsidRPr="00157E16">
              <w:rPr>
                <w:sz w:val="18"/>
              </w:rPr>
              <w:t>New</w:t>
            </w:r>
            <w:r w:rsidR="005B2A41" w:rsidRPr="00157E16">
              <w:rPr>
                <w:sz w:val="18"/>
              </w:rPr>
              <w:t xml:space="preserve"> </w:t>
            </w:r>
            <w:r w:rsidRPr="00157E16">
              <w:rPr>
                <w:sz w:val="18"/>
              </w:rPr>
              <w:t>democracy</w:t>
            </w:r>
          </w:p>
        </w:tc>
        <w:tc>
          <w:tcPr>
            <w:tcW w:w="870" w:type="dxa"/>
            <w:tcBorders>
              <w:top w:val="nil"/>
              <w:bottom w:val="nil"/>
            </w:tcBorders>
            <w:shd w:val="clear" w:color="auto" w:fill="auto"/>
            <w:vAlign w:val="bottom"/>
          </w:tcPr>
          <w:p w:rsidR="00F233AB" w:rsidRPr="00157E16" w:rsidRDefault="00F233AB" w:rsidP="00157E16">
            <w:pPr>
              <w:suppressAutoHyphens w:val="0"/>
              <w:spacing w:before="40" w:after="40" w:line="220" w:lineRule="exact"/>
              <w:ind w:right="113"/>
              <w:jc w:val="right"/>
              <w:rPr>
                <w:sz w:val="18"/>
              </w:rPr>
            </w:pPr>
            <w:r w:rsidRPr="00157E16">
              <w:rPr>
                <w:sz w:val="18"/>
              </w:rPr>
              <w:t>75</w:t>
            </w:r>
          </w:p>
        </w:tc>
      </w:tr>
      <w:tr w:rsidR="00F233AB" w:rsidRPr="00157E16" w:rsidTr="005E0CC7">
        <w:tc>
          <w:tcPr>
            <w:tcW w:w="426" w:type="dxa"/>
            <w:tcBorders>
              <w:top w:val="nil"/>
              <w:bottom w:val="nil"/>
            </w:tcBorders>
            <w:shd w:val="clear" w:color="auto" w:fill="auto"/>
          </w:tcPr>
          <w:p w:rsidR="00F233AB" w:rsidRPr="00157E16" w:rsidRDefault="00F233AB" w:rsidP="00157E16">
            <w:pPr>
              <w:suppressAutoHyphens w:val="0"/>
              <w:spacing w:before="40" w:after="40" w:line="220" w:lineRule="exact"/>
              <w:ind w:right="113"/>
              <w:rPr>
                <w:sz w:val="18"/>
              </w:rPr>
            </w:pPr>
            <w:r w:rsidRPr="00157E16">
              <w:rPr>
                <w:sz w:val="18"/>
              </w:rPr>
              <w:t>3.</w:t>
            </w:r>
          </w:p>
        </w:tc>
        <w:tc>
          <w:tcPr>
            <w:tcW w:w="6074" w:type="dxa"/>
            <w:tcBorders>
              <w:top w:val="nil"/>
              <w:bottom w:val="nil"/>
            </w:tcBorders>
            <w:shd w:val="clear" w:color="auto" w:fill="auto"/>
            <w:vAlign w:val="bottom"/>
          </w:tcPr>
          <w:p w:rsidR="00F233AB" w:rsidRPr="00157E16" w:rsidRDefault="00F233AB" w:rsidP="00157E16">
            <w:pPr>
              <w:suppressAutoHyphens w:val="0"/>
              <w:spacing w:before="40" w:after="40" w:line="220" w:lineRule="exact"/>
              <w:ind w:right="113"/>
              <w:rPr>
                <w:sz w:val="18"/>
              </w:rPr>
            </w:pPr>
            <w:r w:rsidRPr="00157E16">
              <w:rPr>
                <w:sz w:val="18"/>
              </w:rPr>
              <w:t>Golden</w:t>
            </w:r>
            <w:r w:rsidR="005B2A41" w:rsidRPr="00157E16">
              <w:rPr>
                <w:sz w:val="18"/>
              </w:rPr>
              <w:t xml:space="preserve"> </w:t>
            </w:r>
            <w:r w:rsidRPr="00157E16">
              <w:rPr>
                <w:sz w:val="18"/>
              </w:rPr>
              <w:t>dawn</w:t>
            </w:r>
          </w:p>
        </w:tc>
        <w:tc>
          <w:tcPr>
            <w:tcW w:w="870" w:type="dxa"/>
            <w:tcBorders>
              <w:top w:val="nil"/>
              <w:bottom w:val="nil"/>
            </w:tcBorders>
            <w:shd w:val="clear" w:color="auto" w:fill="auto"/>
            <w:vAlign w:val="bottom"/>
          </w:tcPr>
          <w:p w:rsidR="00F233AB" w:rsidRPr="00157E16" w:rsidRDefault="00F233AB" w:rsidP="00157E16">
            <w:pPr>
              <w:suppressAutoHyphens w:val="0"/>
              <w:spacing w:before="40" w:after="40" w:line="220" w:lineRule="exact"/>
              <w:ind w:right="113"/>
              <w:jc w:val="right"/>
              <w:rPr>
                <w:sz w:val="18"/>
              </w:rPr>
            </w:pPr>
            <w:r w:rsidRPr="00157E16">
              <w:rPr>
                <w:sz w:val="18"/>
              </w:rPr>
              <w:t>18</w:t>
            </w:r>
          </w:p>
        </w:tc>
      </w:tr>
      <w:tr w:rsidR="00F233AB" w:rsidRPr="00157E16" w:rsidTr="005E0CC7">
        <w:tc>
          <w:tcPr>
            <w:tcW w:w="426" w:type="dxa"/>
            <w:tcBorders>
              <w:top w:val="nil"/>
            </w:tcBorders>
            <w:shd w:val="clear" w:color="auto" w:fill="auto"/>
          </w:tcPr>
          <w:p w:rsidR="00F233AB" w:rsidRPr="00157E16" w:rsidRDefault="00F233AB" w:rsidP="00157E16">
            <w:pPr>
              <w:suppressAutoHyphens w:val="0"/>
              <w:spacing w:before="40" w:after="40" w:line="220" w:lineRule="exact"/>
              <w:ind w:right="113"/>
              <w:rPr>
                <w:sz w:val="18"/>
              </w:rPr>
            </w:pPr>
            <w:r w:rsidRPr="00157E16">
              <w:rPr>
                <w:sz w:val="18"/>
              </w:rPr>
              <w:t>4.</w:t>
            </w:r>
          </w:p>
        </w:tc>
        <w:tc>
          <w:tcPr>
            <w:tcW w:w="6074" w:type="dxa"/>
            <w:tcBorders>
              <w:top w:val="nil"/>
            </w:tcBorders>
            <w:shd w:val="clear" w:color="auto" w:fill="auto"/>
            <w:vAlign w:val="bottom"/>
          </w:tcPr>
          <w:p w:rsidR="00F233AB" w:rsidRPr="00157E16" w:rsidRDefault="00F233AB" w:rsidP="00157E16">
            <w:pPr>
              <w:suppressAutoHyphens w:val="0"/>
              <w:spacing w:before="40" w:after="40" w:line="220" w:lineRule="exact"/>
              <w:ind w:right="113"/>
              <w:rPr>
                <w:sz w:val="18"/>
              </w:rPr>
            </w:pPr>
            <w:r w:rsidRPr="00157E16">
              <w:rPr>
                <w:sz w:val="18"/>
              </w:rPr>
              <w:t>Democratic</w:t>
            </w:r>
            <w:r w:rsidR="005B2A41" w:rsidRPr="00157E16">
              <w:rPr>
                <w:sz w:val="18"/>
              </w:rPr>
              <w:t xml:space="preserve"> </w:t>
            </w:r>
            <w:r w:rsidRPr="00157E16">
              <w:rPr>
                <w:sz w:val="18"/>
              </w:rPr>
              <w:t>coalition</w:t>
            </w:r>
            <w:r w:rsidR="005B2A41" w:rsidRPr="00157E16">
              <w:rPr>
                <w:sz w:val="18"/>
              </w:rPr>
              <w:t xml:space="preserve"> </w:t>
            </w:r>
            <w:r w:rsidRPr="00157E16">
              <w:rPr>
                <w:sz w:val="18"/>
              </w:rPr>
              <w:t>(panhellenic</w:t>
            </w:r>
            <w:r w:rsidR="005B2A41" w:rsidRPr="00157E16">
              <w:rPr>
                <w:sz w:val="18"/>
              </w:rPr>
              <w:t xml:space="preserve"> </w:t>
            </w:r>
            <w:r w:rsidRPr="00157E16">
              <w:rPr>
                <w:sz w:val="18"/>
              </w:rPr>
              <w:t>socialist</w:t>
            </w:r>
            <w:r w:rsidR="005B2A41" w:rsidRPr="00157E16">
              <w:rPr>
                <w:sz w:val="18"/>
              </w:rPr>
              <w:t xml:space="preserve"> </w:t>
            </w:r>
            <w:r w:rsidRPr="00157E16">
              <w:rPr>
                <w:sz w:val="18"/>
              </w:rPr>
              <w:t>movement-democratic</w:t>
            </w:r>
            <w:r w:rsidR="005B2A41" w:rsidRPr="00157E16">
              <w:rPr>
                <w:sz w:val="18"/>
              </w:rPr>
              <w:t xml:space="preserve"> </w:t>
            </w:r>
            <w:r w:rsidRPr="00157E16">
              <w:rPr>
                <w:sz w:val="18"/>
              </w:rPr>
              <w:t>left)</w:t>
            </w:r>
          </w:p>
        </w:tc>
        <w:tc>
          <w:tcPr>
            <w:tcW w:w="870" w:type="dxa"/>
            <w:tcBorders>
              <w:top w:val="nil"/>
            </w:tcBorders>
            <w:shd w:val="clear" w:color="auto" w:fill="auto"/>
            <w:vAlign w:val="bottom"/>
          </w:tcPr>
          <w:p w:rsidR="00F233AB" w:rsidRPr="00157E16" w:rsidRDefault="00F233AB" w:rsidP="00157E16">
            <w:pPr>
              <w:suppressAutoHyphens w:val="0"/>
              <w:spacing w:before="40" w:after="40" w:line="220" w:lineRule="exact"/>
              <w:ind w:right="113"/>
              <w:jc w:val="right"/>
              <w:rPr>
                <w:sz w:val="18"/>
              </w:rPr>
            </w:pPr>
            <w:r w:rsidRPr="00157E16">
              <w:rPr>
                <w:sz w:val="18"/>
              </w:rPr>
              <w:t>17</w:t>
            </w:r>
          </w:p>
        </w:tc>
      </w:tr>
      <w:tr w:rsidR="00F233AB" w:rsidRPr="00157E16" w:rsidTr="005E0CC7">
        <w:tc>
          <w:tcPr>
            <w:tcW w:w="426" w:type="dxa"/>
            <w:shd w:val="clear" w:color="auto" w:fill="auto"/>
          </w:tcPr>
          <w:p w:rsidR="00F233AB" w:rsidRPr="00157E16" w:rsidRDefault="00F233AB" w:rsidP="00157E16">
            <w:pPr>
              <w:suppressAutoHyphens w:val="0"/>
              <w:spacing w:before="40" w:after="40" w:line="220" w:lineRule="exact"/>
              <w:ind w:right="113"/>
              <w:rPr>
                <w:sz w:val="18"/>
              </w:rPr>
            </w:pPr>
            <w:r w:rsidRPr="00157E16">
              <w:rPr>
                <w:sz w:val="18"/>
              </w:rPr>
              <w:t>5.</w:t>
            </w:r>
          </w:p>
        </w:tc>
        <w:tc>
          <w:tcPr>
            <w:tcW w:w="6074" w:type="dxa"/>
            <w:shd w:val="clear" w:color="auto" w:fill="auto"/>
            <w:vAlign w:val="bottom"/>
          </w:tcPr>
          <w:p w:rsidR="00F233AB" w:rsidRPr="00157E16" w:rsidRDefault="00F233AB" w:rsidP="00157E16">
            <w:pPr>
              <w:suppressAutoHyphens w:val="0"/>
              <w:spacing w:before="40" w:after="40" w:line="220" w:lineRule="exact"/>
              <w:ind w:right="113"/>
              <w:rPr>
                <w:sz w:val="18"/>
              </w:rPr>
            </w:pPr>
            <w:r w:rsidRPr="00157E16">
              <w:rPr>
                <w:sz w:val="18"/>
              </w:rPr>
              <w:t>Communist</w:t>
            </w:r>
            <w:r w:rsidR="005B2A41" w:rsidRPr="00157E16">
              <w:rPr>
                <w:sz w:val="18"/>
              </w:rPr>
              <w:t xml:space="preserve"> </w:t>
            </w:r>
            <w:r w:rsidRPr="00157E16">
              <w:rPr>
                <w:sz w:val="18"/>
              </w:rPr>
              <w:t>party</w:t>
            </w:r>
            <w:r w:rsidR="005B2A41" w:rsidRPr="00157E16">
              <w:rPr>
                <w:sz w:val="18"/>
              </w:rPr>
              <w:t xml:space="preserve"> </w:t>
            </w:r>
            <w:r w:rsidRPr="00157E16">
              <w:rPr>
                <w:sz w:val="18"/>
              </w:rPr>
              <w:t>of</w:t>
            </w:r>
            <w:r w:rsidR="005B2A41" w:rsidRPr="00157E16">
              <w:rPr>
                <w:sz w:val="18"/>
              </w:rPr>
              <w:t xml:space="preserve"> </w:t>
            </w:r>
            <w:r w:rsidRPr="00157E16">
              <w:rPr>
                <w:sz w:val="18"/>
              </w:rPr>
              <w:t>Greece</w:t>
            </w:r>
          </w:p>
        </w:tc>
        <w:tc>
          <w:tcPr>
            <w:tcW w:w="870" w:type="dxa"/>
            <w:shd w:val="clear" w:color="auto" w:fill="auto"/>
            <w:vAlign w:val="bottom"/>
          </w:tcPr>
          <w:p w:rsidR="00F233AB" w:rsidRPr="00157E16" w:rsidRDefault="00F233AB" w:rsidP="00157E16">
            <w:pPr>
              <w:suppressAutoHyphens w:val="0"/>
              <w:spacing w:before="40" w:after="40" w:line="220" w:lineRule="exact"/>
              <w:ind w:right="113"/>
              <w:jc w:val="right"/>
              <w:rPr>
                <w:sz w:val="18"/>
              </w:rPr>
            </w:pPr>
            <w:r w:rsidRPr="00157E16">
              <w:rPr>
                <w:sz w:val="18"/>
              </w:rPr>
              <w:t>15</w:t>
            </w:r>
          </w:p>
        </w:tc>
      </w:tr>
      <w:tr w:rsidR="00F233AB" w:rsidRPr="00157E16" w:rsidTr="005E0CC7">
        <w:tc>
          <w:tcPr>
            <w:tcW w:w="426" w:type="dxa"/>
            <w:shd w:val="clear" w:color="auto" w:fill="auto"/>
          </w:tcPr>
          <w:p w:rsidR="00F233AB" w:rsidRPr="00157E16" w:rsidRDefault="00F233AB" w:rsidP="00157E16">
            <w:pPr>
              <w:suppressAutoHyphens w:val="0"/>
              <w:spacing w:before="40" w:after="40" w:line="220" w:lineRule="exact"/>
              <w:ind w:right="113"/>
              <w:rPr>
                <w:sz w:val="18"/>
              </w:rPr>
            </w:pPr>
            <w:r w:rsidRPr="00157E16">
              <w:rPr>
                <w:sz w:val="18"/>
              </w:rPr>
              <w:t>6.</w:t>
            </w:r>
          </w:p>
        </w:tc>
        <w:tc>
          <w:tcPr>
            <w:tcW w:w="6074" w:type="dxa"/>
            <w:shd w:val="clear" w:color="auto" w:fill="auto"/>
            <w:vAlign w:val="bottom"/>
          </w:tcPr>
          <w:p w:rsidR="00F233AB" w:rsidRPr="00157E16" w:rsidRDefault="00F233AB" w:rsidP="00157E16">
            <w:pPr>
              <w:suppressAutoHyphens w:val="0"/>
              <w:spacing w:before="40" w:after="40" w:line="220" w:lineRule="exact"/>
              <w:ind w:right="113"/>
              <w:rPr>
                <w:sz w:val="18"/>
              </w:rPr>
            </w:pPr>
            <w:r w:rsidRPr="00157E16">
              <w:rPr>
                <w:sz w:val="18"/>
              </w:rPr>
              <w:t>The</w:t>
            </w:r>
            <w:r w:rsidR="005B2A41" w:rsidRPr="00157E16">
              <w:rPr>
                <w:sz w:val="18"/>
              </w:rPr>
              <w:t xml:space="preserve"> </w:t>
            </w:r>
            <w:r w:rsidRPr="00157E16">
              <w:rPr>
                <w:sz w:val="18"/>
              </w:rPr>
              <w:t>river</w:t>
            </w:r>
          </w:p>
        </w:tc>
        <w:tc>
          <w:tcPr>
            <w:tcW w:w="870" w:type="dxa"/>
            <w:shd w:val="clear" w:color="auto" w:fill="auto"/>
            <w:vAlign w:val="bottom"/>
          </w:tcPr>
          <w:p w:rsidR="00F233AB" w:rsidRPr="00157E16" w:rsidRDefault="00F233AB" w:rsidP="00157E16">
            <w:pPr>
              <w:suppressAutoHyphens w:val="0"/>
              <w:spacing w:before="40" w:after="40" w:line="220" w:lineRule="exact"/>
              <w:ind w:right="113"/>
              <w:jc w:val="right"/>
              <w:rPr>
                <w:sz w:val="18"/>
              </w:rPr>
            </w:pPr>
            <w:r w:rsidRPr="00157E16">
              <w:rPr>
                <w:sz w:val="18"/>
              </w:rPr>
              <w:t>11</w:t>
            </w:r>
          </w:p>
        </w:tc>
      </w:tr>
      <w:tr w:rsidR="00F233AB" w:rsidRPr="00157E16" w:rsidTr="005E0CC7">
        <w:tc>
          <w:tcPr>
            <w:tcW w:w="426" w:type="dxa"/>
            <w:shd w:val="clear" w:color="auto" w:fill="auto"/>
          </w:tcPr>
          <w:p w:rsidR="00F233AB" w:rsidRPr="00157E16" w:rsidRDefault="00F233AB" w:rsidP="00157E16">
            <w:pPr>
              <w:suppressAutoHyphens w:val="0"/>
              <w:spacing w:before="40" w:after="40" w:line="220" w:lineRule="exact"/>
              <w:ind w:right="113"/>
              <w:rPr>
                <w:sz w:val="18"/>
              </w:rPr>
            </w:pPr>
            <w:r w:rsidRPr="00157E16">
              <w:rPr>
                <w:sz w:val="18"/>
              </w:rPr>
              <w:t>7.</w:t>
            </w:r>
          </w:p>
        </w:tc>
        <w:tc>
          <w:tcPr>
            <w:tcW w:w="6074" w:type="dxa"/>
            <w:shd w:val="clear" w:color="auto" w:fill="auto"/>
            <w:vAlign w:val="bottom"/>
          </w:tcPr>
          <w:p w:rsidR="00F233AB" w:rsidRPr="00157E16" w:rsidRDefault="00F233AB" w:rsidP="00157E16">
            <w:pPr>
              <w:suppressAutoHyphens w:val="0"/>
              <w:spacing w:before="40" w:after="40" w:line="220" w:lineRule="exact"/>
              <w:ind w:right="113"/>
              <w:rPr>
                <w:sz w:val="18"/>
              </w:rPr>
            </w:pPr>
            <w:r w:rsidRPr="00157E16">
              <w:rPr>
                <w:sz w:val="18"/>
              </w:rPr>
              <w:t>Independent</w:t>
            </w:r>
            <w:r w:rsidR="005B2A41" w:rsidRPr="00157E16">
              <w:rPr>
                <w:sz w:val="18"/>
              </w:rPr>
              <w:t xml:space="preserve"> </w:t>
            </w:r>
            <w:r w:rsidRPr="00157E16">
              <w:rPr>
                <w:sz w:val="18"/>
              </w:rPr>
              <w:t>Greeks</w:t>
            </w:r>
          </w:p>
        </w:tc>
        <w:tc>
          <w:tcPr>
            <w:tcW w:w="870" w:type="dxa"/>
            <w:shd w:val="clear" w:color="auto" w:fill="auto"/>
            <w:vAlign w:val="bottom"/>
          </w:tcPr>
          <w:p w:rsidR="00F233AB" w:rsidRPr="00157E16" w:rsidRDefault="00F233AB" w:rsidP="00157E16">
            <w:pPr>
              <w:suppressAutoHyphens w:val="0"/>
              <w:spacing w:before="40" w:after="40" w:line="220" w:lineRule="exact"/>
              <w:ind w:right="113"/>
              <w:jc w:val="right"/>
              <w:rPr>
                <w:sz w:val="18"/>
              </w:rPr>
            </w:pPr>
            <w:r w:rsidRPr="00157E16">
              <w:rPr>
                <w:sz w:val="18"/>
              </w:rPr>
              <w:t>10</w:t>
            </w:r>
          </w:p>
        </w:tc>
      </w:tr>
      <w:tr w:rsidR="00F233AB" w:rsidRPr="00157E16" w:rsidTr="005E0CC7">
        <w:tc>
          <w:tcPr>
            <w:tcW w:w="426" w:type="dxa"/>
            <w:shd w:val="clear" w:color="auto" w:fill="auto"/>
          </w:tcPr>
          <w:p w:rsidR="00F233AB" w:rsidRPr="00157E16" w:rsidRDefault="00F233AB" w:rsidP="00157E16">
            <w:pPr>
              <w:suppressAutoHyphens w:val="0"/>
              <w:spacing w:before="40" w:after="40" w:line="220" w:lineRule="exact"/>
              <w:ind w:right="113"/>
              <w:rPr>
                <w:sz w:val="18"/>
              </w:rPr>
            </w:pPr>
            <w:r w:rsidRPr="00157E16">
              <w:rPr>
                <w:sz w:val="18"/>
              </w:rPr>
              <w:t>8.</w:t>
            </w:r>
          </w:p>
        </w:tc>
        <w:tc>
          <w:tcPr>
            <w:tcW w:w="6074" w:type="dxa"/>
            <w:shd w:val="clear" w:color="auto" w:fill="auto"/>
            <w:vAlign w:val="bottom"/>
          </w:tcPr>
          <w:p w:rsidR="00F233AB" w:rsidRPr="00157E16" w:rsidRDefault="00F233AB" w:rsidP="00157E16">
            <w:pPr>
              <w:suppressAutoHyphens w:val="0"/>
              <w:spacing w:before="40" w:after="40" w:line="220" w:lineRule="exact"/>
              <w:ind w:right="113"/>
              <w:rPr>
                <w:sz w:val="18"/>
              </w:rPr>
            </w:pPr>
            <w:r w:rsidRPr="00157E16">
              <w:rPr>
                <w:sz w:val="18"/>
              </w:rPr>
              <w:t>Union</w:t>
            </w:r>
            <w:r w:rsidR="005B2A41" w:rsidRPr="00157E16">
              <w:rPr>
                <w:sz w:val="18"/>
              </w:rPr>
              <w:t xml:space="preserve"> </w:t>
            </w:r>
            <w:r w:rsidRPr="00157E16">
              <w:rPr>
                <w:sz w:val="18"/>
              </w:rPr>
              <w:t>of</w:t>
            </w:r>
            <w:r w:rsidR="005B2A41" w:rsidRPr="00157E16">
              <w:rPr>
                <w:sz w:val="18"/>
              </w:rPr>
              <w:t xml:space="preserve"> </w:t>
            </w:r>
            <w:r w:rsidRPr="00157E16">
              <w:rPr>
                <w:sz w:val="18"/>
              </w:rPr>
              <w:t>the</w:t>
            </w:r>
            <w:r w:rsidR="005B2A41" w:rsidRPr="00157E16">
              <w:rPr>
                <w:sz w:val="18"/>
              </w:rPr>
              <w:t xml:space="preserve"> </w:t>
            </w:r>
            <w:r w:rsidRPr="00157E16">
              <w:rPr>
                <w:sz w:val="18"/>
              </w:rPr>
              <w:t>centre</w:t>
            </w:r>
          </w:p>
        </w:tc>
        <w:tc>
          <w:tcPr>
            <w:tcW w:w="870" w:type="dxa"/>
            <w:shd w:val="clear" w:color="auto" w:fill="auto"/>
            <w:vAlign w:val="bottom"/>
          </w:tcPr>
          <w:p w:rsidR="00F233AB" w:rsidRPr="00157E16" w:rsidRDefault="00F233AB" w:rsidP="00157E16">
            <w:pPr>
              <w:suppressAutoHyphens w:val="0"/>
              <w:spacing w:before="40" w:after="40" w:line="220" w:lineRule="exact"/>
              <w:ind w:right="113"/>
              <w:jc w:val="right"/>
              <w:rPr>
                <w:sz w:val="18"/>
              </w:rPr>
            </w:pPr>
            <w:r w:rsidRPr="00157E16">
              <w:rPr>
                <w:sz w:val="18"/>
              </w:rPr>
              <w:t>9</w:t>
            </w:r>
          </w:p>
        </w:tc>
      </w:tr>
    </w:tbl>
    <w:p w:rsidR="00F233AB" w:rsidRPr="0077123C" w:rsidRDefault="00F233AB" w:rsidP="008807CA">
      <w:pPr>
        <w:pStyle w:val="SingleTxtG"/>
        <w:spacing w:before="240"/>
      </w:pPr>
      <w:r w:rsidRPr="0077123C">
        <w:t>The</w:t>
      </w:r>
      <w:r w:rsidR="005B2A41" w:rsidRPr="0077123C">
        <w:t xml:space="preserve"> </w:t>
      </w:r>
      <w:r w:rsidRPr="0077123C">
        <w:t>percentage</w:t>
      </w:r>
      <w:r w:rsidR="005B2A41" w:rsidRPr="0077123C">
        <w:t xml:space="preserve"> </w:t>
      </w:r>
      <w:r w:rsidRPr="0077123C">
        <w:t>of</w:t>
      </w:r>
      <w:r w:rsidR="005B2A41" w:rsidRPr="0077123C">
        <w:t xml:space="preserve"> </w:t>
      </w:r>
      <w:r w:rsidRPr="0077123C">
        <w:t>women</w:t>
      </w:r>
      <w:r w:rsidR="005B2A41" w:rsidRPr="0077123C">
        <w:t xml:space="preserve"> </w:t>
      </w:r>
      <w:r w:rsidRPr="0077123C">
        <w:t>elected</w:t>
      </w:r>
      <w:r w:rsidR="005B2A41" w:rsidRPr="0077123C">
        <w:t xml:space="preserve"> </w:t>
      </w:r>
      <w:r w:rsidRPr="0077123C">
        <w:t>in</w:t>
      </w:r>
      <w:r w:rsidR="005B2A41" w:rsidRPr="0077123C">
        <w:t xml:space="preserve"> </w:t>
      </w:r>
      <w:r w:rsidRPr="0077123C">
        <w:t>the</w:t>
      </w:r>
      <w:r w:rsidR="005B2A41" w:rsidRPr="0077123C">
        <w:t xml:space="preserve"> </w:t>
      </w:r>
      <w:r w:rsidRPr="0077123C">
        <w:t>Greek</w:t>
      </w:r>
      <w:r w:rsidR="005B2A41" w:rsidRPr="0077123C">
        <w:t xml:space="preserve"> </w:t>
      </w:r>
      <w:r w:rsidRPr="0077123C">
        <w:t>Parliament</w:t>
      </w:r>
      <w:r w:rsidR="005B2A41" w:rsidRPr="0077123C">
        <w:t xml:space="preserve"> </w:t>
      </w:r>
      <w:r w:rsidRPr="0077123C">
        <w:t>is</w:t>
      </w:r>
      <w:r w:rsidR="005B2A41" w:rsidRPr="0077123C">
        <w:t xml:space="preserve"> </w:t>
      </w:r>
      <w:r w:rsidRPr="0077123C">
        <w:t>18%.</w:t>
      </w:r>
    </w:p>
    <w:p w:rsidR="00F233AB" w:rsidRPr="0077123C" w:rsidRDefault="00F233AB" w:rsidP="008807CA">
      <w:pPr>
        <w:pStyle w:val="SingleTxtG"/>
      </w:pPr>
      <w:r w:rsidRPr="0077123C">
        <w:t>The</w:t>
      </w:r>
      <w:r w:rsidR="005B2A41" w:rsidRPr="0077123C">
        <w:t xml:space="preserve"> </w:t>
      </w:r>
      <w:r w:rsidRPr="0077123C">
        <w:t>average</w:t>
      </w:r>
      <w:r w:rsidR="005B2A41" w:rsidRPr="0077123C">
        <w:t xml:space="preserve"> </w:t>
      </w:r>
      <w:r w:rsidRPr="0077123C">
        <w:t>voter</w:t>
      </w:r>
      <w:r w:rsidR="005B2A41" w:rsidRPr="0077123C">
        <w:t xml:space="preserve"> </w:t>
      </w:r>
      <w:r w:rsidRPr="0077123C">
        <w:t>turnout</w:t>
      </w:r>
      <w:r w:rsidR="005B2A41" w:rsidRPr="0077123C">
        <w:t xml:space="preserve"> </w:t>
      </w:r>
      <w:r w:rsidRPr="0077123C">
        <w:t>in</w:t>
      </w:r>
      <w:r w:rsidR="005B2A41" w:rsidRPr="0077123C">
        <w:t xml:space="preserve"> </w:t>
      </w:r>
      <w:r w:rsidRPr="0077123C">
        <w:t>the</w:t>
      </w:r>
      <w:r w:rsidR="005B2A41" w:rsidRPr="0077123C">
        <w:t xml:space="preserve"> </w:t>
      </w:r>
      <w:r w:rsidRPr="0077123C">
        <w:t>most</w:t>
      </w:r>
      <w:r w:rsidR="005B2A41" w:rsidRPr="0077123C">
        <w:t xml:space="preserve"> </w:t>
      </w:r>
      <w:r w:rsidRPr="0077123C">
        <w:t>recent</w:t>
      </w:r>
      <w:r w:rsidR="005B2A41" w:rsidRPr="0077123C">
        <w:t xml:space="preserve"> </w:t>
      </w:r>
      <w:r w:rsidRPr="0077123C">
        <w:t>national</w:t>
      </w:r>
      <w:r w:rsidR="005B2A41" w:rsidRPr="0077123C">
        <w:t xml:space="preserve"> </w:t>
      </w:r>
      <w:r w:rsidRPr="0077123C">
        <w:t>elections</w:t>
      </w:r>
      <w:r w:rsidR="005B2A41" w:rsidRPr="0077123C">
        <w:t xml:space="preserve"> </w:t>
      </w:r>
      <w:r w:rsidRPr="0077123C">
        <w:t>was</w:t>
      </w:r>
      <w:r w:rsidR="005B2A41" w:rsidRPr="0077123C">
        <w:t xml:space="preserve"> </w:t>
      </w:r>
      <w:r w:rsidRPr="0077123C">
        <w:t>56</w:t>
      </w:r>
      <w:r w:rsidR="005E0CC7">
        <w:t>.</w:t>
      </w:r>
      <w:r w:rsidRPr="0077123C">
        <w:t>16%.</w:t>
      </w:r>
    </w:p>
    <w:p w:rsidR="00F233AB" w:rsidRPr="00B02247" w:rsidRDefault="00F233AB" w:rsidP="00E33062">
      <w:pPr>
        <w:pStyle w:val="H1G"/>
      </w:pPr>
      <w:r w:rsidRPr="00B02247">
        <w:lastRenderedPageBreak/>
        <w:tab/>
      </w:r>
      <w:r w:rsidRPr="00B02247">
        <w:tab/>
        <w:t>Information</w:t>
      </w:r>
      <w:r w:rsidR="005B2A41">
        <w:t xml:space="preserve"> </w:t>
      </w:r>
      <w:r w:rsidRPr="00B02247">
        <w:t>on</w:t>
      </w:r>
      <w:r w:rsidR="005B2A41">
        <w:t xml:space="preserve"> </w:t>
      </w:r>
      <w:r w:rsidRPr="00B02247">
        <w:t>the</w:t>
      </w:r>
      <w:r w:rsidR="005B2A41">
        <w:t xml:space="preserve"> </w:t>
      </w:r>
      <w:r w:rsidRPr="00B02247">
        <w:t>Administration</w:t>
      </w:r>
      <w:r w:rsidR="005B2A41">
        <w:t xml:space="preserve"> </w:t>
      </w:r>
      <w:r w:rsidRPr="00B02247">
        <w:t>of</w:t>
      </w:r>
      <w:r w:rsidR="005B2A41">
        <w:t xml:space="preserve"> </w:t>
      </w:r>
      <w:r w:rsidRPr="00B02247">
        <w:t>Justice</w:t>
      </w:r>
      <w:r w:rsidR="005B2A41">
        <w:t xml:space="preserve"> </w:t>
      </w:r>
    </w:p>
    <w:tbl>
      <w:tblPr>
        <w:tblW w:w="7364"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4"/>
        <w:gridCol w:w="1680"/>
        <w:gridCol w:w="690"/>
        <w:gridCol w:w="690"/>
        <w:gridCol w:w="690"/>
        <w:gridCol w:w="690"/>
        <w:gridCol w:w="690"/>
        <w:gridCol w:w="690"/>
        <w:gridCol w:w="625"/>
        <w:gridCol w:w="625"/>
      </w:tblGrid>
      <w:tr w:rsidR="00F233AB" w:rsidRPr="00566958" w:rsidTr="00F9527B">
        <w:trPr>
          <w:tblHeader/>
        </w:trPr>
        <w:tc>
          <w:tcPr>
            <w:tcW w:w="294" w:type="dxa"/>
            <w:tcBorders>
              <w:top w:val="single" w:sz="4" w:space="0" w:color="auto"/>
              <w:bottom w:val="single" w:sz="12" w:space="0" w:color="auto"/>
            </w:tcBorders>
            <w:shd w:val="clear" w:color="auto" w:fill="auto"/>
            <w:vAlign w:val="bottom"/>
            <w:hideMark/>
          </w:tcPr>
          <w:p w:rsidR="00F233AB" w:rsidRPr="00566958" w:rsidRDefault="005B2A41" w:rsidP="00E33062">
            <w:pPr>
              <w:keepNext/>
              <w:keepLines/>
              <w:suppressAutoHyphens w:val="0"/>
              <w:spacing w:before="80" w:after="80" w:line="200" w:lineRule="exact"/>
              <w:ind w:right="113"/>
              <w:rPr>
                <w:i/>
                <w:sz w:val="16"/>
              </w:rPr>
            </w:pPr>
            <w:r w:rsidRPr="00566958">
              <w:rPr>
                <w:i/>
                <w:sz w:val="16"/>
              </w:rPr>
              <w:t xml:space="preserve"> </w:t>
            </w:r>
          </w:p>
        </w:tc>
        <w:tc>
          <w:tcPr>
            <w:tcW w:w="1680" w:type="dxa"/>
            <w:tcBorders>
              <w:top w:val="single" w:sz="4" w:space="0" w:color="auto"/>
              <w:bottom w:val="single" w:sz="12" w:space="0" w:color="auto"/>
            </w:tcBorders>
            <w:shd w:val="clear" w:color="auto" w:fill="auto"/>
            <w:vAlign w:val="bottom"/>
            <w:hideMark/>
          </w:tcPr>
          <w:p w:rsidR="00F233AB" w:rsidRPr="00566958" w:rsidRDefault="005B2A41" w:rsidP="00E33062">
            <w:pPr>
              <w:keepNext/>
              <w:keepLines/>
              <w:suppressAutoHyphens w:val="0"/>
              <w:spacing w:before="80" w:after="80" w:line="200" w:lineRule="exact"/>
              <w:ind w:right="113"/>
              <w:rPr>
                <w:i/>
                <w:sz w:val="16"/>
              </w:rPr>
            </w:pPr>
            <w:r w:rsidRPr="00566958">
              <w:rPr>
                <w:i/>
                <w:sz w:val="16"/>
              </w:rPr>
              <w:t xml:space="preserve"> </w:t>
            </w:r>
          </w:p>
        </w:tc>
        <w:tc>
          <w:tcPr>
            <w:tcW w:w="690" w:type="dxa"/>
            <w:tcBorders>
              <w:top w:val="single" w:sz="4" w:space="0" w:color="auto"/>
              <w:bottom w:val="single" w:sz="12" w:space="0" w:color="auto"/>
            </w:tcBorders>
            <w:shd w:val="clear" w:color="auto" w:fill="auto"/>
            <w:vAlign w:val="bottom"/>
            <w:hideMark/>
          </w:tcPr>
          <w:p w:rsidR="00F233AB" w:rsidRPr="00566958" w:rsidRDefault="00F233AB" w:rsidP="00E33062">
            <w:pPr>
              <w:keepNext/>
              <w:keepLines/>
              <w:suppressAutoHyphens w:val="0"/>
              <w:spacing w:before="80" w:after="80" w:line="200" w:lineRule="exact"/>
              <w:ind w:right="113"/>
              <w:jc w:val="right"/>
              <w:rPr>
                <w:i/>
                <w:sz w:val="16"/>
              </w:rPr>
            </w:pPr>
            <w:r w:rsidRPr="00566958">
              <w:rPr>
                <w:i/>
                <w:sz w:val="16"/>
              </w:rPr>
              <w:t>2010</w:t>
            </w:r>
          </w:p>
        </w:tc>
        <w:tc>
          <w:tcPr>
            <w:tcW w:w="690" w:type="dxa"/>
            <w:tcBorders>
              <w:top w:val="single" w:sz="4" w:space="0" w:color="auto"/>
              <w:bottom w:val="single" w:sz="12" w:space="0" w:color="auto"/>
            </w:tcBorders>
            <w:shd w:val="clear" w:color="auto" w:fill="auto"/>
            <w:vAlign w:val="bottom"/>
            <w:hideMark/>
          </w:tcPr>
          <w:p w:rsidR="00F233AB" w:rsidRPr="00566958" w:rsidRDefault="00F233AB" w:rsidP="00E33062">
            <w:pPr>
              <w:keepNext/>
              <w:keepLines/>
              <w:suppressAutoHyphens w:val="0"/>
              <w:spacing w:before="80" w:after="80" w:line="200" w:lineRule="exact"/>
              <w:ind w:right="113"/>
              <w:jc w:val="right"/>
              <w:rPr>
                <w:i/>
                <w:sz w:val="16"/>
              </w:rPr>
            </w:pPr>
            <w:r w:rsidRPr="00566958">
              <w:rPr>
                <w:i/>
                <w:sz w:val="16"/>
              </w:rPr>
              <w:t>2011</w:t>
            </w:r>
          </w:p>
        </w:tc>
        <w:tc>
          <w:tcPr>
            <w:tcW w:w="690" w:type="dxa"/>
            <w:tcBorders>
              <w:top w:val="single" w:sz="4" w:space="0" w:color="auto"/>
              <w:bottom w:val="single" w:sz="12" w:space="0" w:color="auto"/>
            </w:tcBorders>
            <w:shd w:val="clear" w:color="auto" w:fill="auto"/>
            <w:vAlign w:val="bottom"/>
            <w:hideMark/>
          </w:tcPr>
          <w:p w:rsidR="00F233AB" w:rsidRPr="00566958" w:rsidRDefault="00F233AB" w:rsidP="00E33062">
            <w:pPr>
              <w:keepNext/>
              <w:keepLines/>
              <w:suppressAutoHyphens w:val="0"/>
              <w:spacing w:before="80" w:after="80" w:line="200" w:lineRule="exact"/>
              <w:ind w:right="113"/>
              <w:jc w:val="right"/>
              <w:rPr>
                <w:i/>
                <w:sz w:val="16"/>
              </w:rPr>
            </w:pPr>
            <w:r w:rsidRPr="00566958">
              <w:rPr>
                <w:i/>
                <w:sz w:val="16"/>
              </w:rPr>
              <w:t>2012</w:t>
            </w:r>
          </w:p>
        </w:tc>
        <w:tc>
          <w:tcPr>
            <w:tcW w:w="690" w:type="dxa"/>
            <w:tcBorders>
              <w:top w:val="single" w:sz="4" w:space="0" w:color="auto"/>
              <w:bottom w:val="single" w:sz="12" w:space="0" w:color="auto"/>
            </w:tcBorders>
            <w:shd w:val="clear" w:color="auto" w:fill="auto"/>
            <w:vAlign w:val="bottom"/>
            <w:hideMark/>
          </w:tcPr>
          <w:p w:rsidR="00F233AB" w:rsidRPr="00566958" w:rsidRDefault="00F233AB" w:rsidP="00E33062">
            <w:pPr>
              <w:keepNext/>
              <w:keepLines/>
              <w:suppressAutoHyphens w:val="0"/>
              <w:spacing w:before="80" w:after="80" w:line="200" w:lineRule="exact"/>
              <w:ind w:right="113"/>
              <w:jc w:val="right"/>
              <w:rPr>
                <w:i/>
                <w:sz w:val="16"/>
              </w:rPr>
            </w:pPr>
            <w:r w:rsidRPr="00566958">
              <w:rPr>
                <w:i/>
                <w:sz w:val="16"/>
              </w:rPr>
              <w:t>2013</w:t>
            </w:r>
          </w:p>
        </w:tc>
        <w:tc>
          <w:tcPr>
            <w:tcW w:w="690" w:type="dxa"/>
            <w:tcBorders>
              <w:top w:val="single" w:sz="4" w:space="0" w:color="auto"/>
              <w:bottom w:val="single" w:sz="12" w:space="0" w:color="auto"/>
            </w:tcBorders>
            <w:shd w:val="clear" w:color="auto" w:fill="auto"/>
            <w:vAlign w:val="bottom"/>
            <w:hideMark/>
          </w:tcPr>
          <w:p w:rsidR="00F233AB" w:rsidRPr="00566958" w:rsidRDefault="00F233AB" w:rsidP="00E33062">
            <w:pPr>
              <w:keepNext/>
              <w:keepLines/>
              <w:suppressAutoHyphens w:val="0"/>
              <w:spacing w:before="80" w:after="80" w:line="200" w:lineRule="exact"/>
              <w:ind w:right="113"/>
              <w:jc w:val="right"/>
              <w:rPr>
                <w:i/>
                <w:sz w:val="16"/>
              </w:rPr>
            </w:pPr>
            <w:r w:rsidRPr="00566958">
              <w:rPr>
                <w:i/>
                <w:sz w:val="16"/>
              </w:rPr>
              <w:t>2014</w:t>
            </w:r>
          </w:p>
        </w:tc>
        <w:tc>
          <w:tcPr>
            <w:tcW w:w="690" w:type="dxa"/>
            <w:tcBorders>
              <w:top w:val="single" w:sz="4" w:space="0" w:color="auto"/>
              <w:bottom w:val="single" w:sz="12" w:space="0" w:color="auto"/>
            </w:tcBorders>
            <w:shd w:val="clear" w:color="auto" w:fill="auto"/>
            <w:vAlign w:val="bottom"/>
            <w:hideMark/>
          </w:tcPr>
          <w:p w:rsidR="00F233AB" w:rsidRPr="00566958" w:rsidRDefault="00F233AB" w:rsidP="00E33062">
            <w:pPr>
              <w:keepNext/>
              <w:keepLines/>
              <w:suppressAutoHyphens w:val="0"/>
              <w:spacing w:before="80" w:after="80" w:line="200" w:lineRule="exact"/>
              <w:ind w:right="113"/>
              <w:jc w:val="right"/>
              <w:rPr>
                <w:i/>
                <w:sz w:val="16"/>
              </w:rPr>
            </w:pPr>
            <w:r w:rsidRPr="00566958">
              <w:rPr>
                <w:i/>
                <w:sz w:val="16"/>
              </w:rPr>
              <w:t>2015</w:t>
            </w:r>
          </w:p>
        </w:tc>
        <w:tc>
          <w:tcPr>
            <w:tcW w:w="625" w:type="dxa"/>
            <w:tcBorders>
              <w:top w:val="single" w:sz="4" w:space="0" w:color="auto"/>
              <w:bottom w:val="single" w:sz="12" w:space="0" w:color="auto"/>
            </w:tcBorders>
            <w:shd w:val="clear" w:color="auto" w:fill="auto"/>
            <w:vAlign w:val="bottom"/>
          </w:tcPr>
          <w:p w:rsidR="00F233AB" w:rsidRPr="00566958" w:rsidRDefault="00F233AB" w:rsidP="00E33062">
            <w:pPr>
              <w:keepNext/>
              <w:keepLines/>
              <w:suppressAutoHyphens w:val="0"/>
              <w:spacing w:before="80" w:after="80" w:line="200" w:lineRule="exact"/>
              <w:ind w:right="113"/>
              <w:jc w:val="right"/>
              <w:rPr>
                <w:i/>
                <w:sz w:val="16"/>
              </w:rPr>
            </w:pPr>
            <w:r w:rsidRPr="00566958">
              <w:rPr>
                <w:i/>
                <w:sz w:val="16"/>
              </w:rPr>
              <w:t>2016</w:t>
            </w:r>
          </w:p>
        </w:tc>
        <w:tc>
          <w:tcPr>
            <w:tcW w:w="625" w:type="dxa"/>
            <w:tcBorders>
              <w:top w:val="single" w:sz="4" w:space="0" w:color="auto"/>
              <w:bottom w:val="single" w:sz="12" w:space="0" w:color="auto"/>
            </w:tcBorders>
            <w:shd w:val="clear" w:color="auto" w:fill="auto"/>
            <w:vAlign w:val="bottom"/>
          </w:tcPr>
          <w:p w:rsidR="00F233AB" w:rsidRPr="00566958" w:rsidRDefault="00F233AB" w:rsidP="00E33062">
            <w:pPr>
              <w:keepNext/>
              <w:keepLines/>
              <w:suppressAutoHyphens w:val="0"/>
              <w:spacing w:before="80" w:after="80" w:line="200" w:lineRule="exact"/>
              <w:ind w:right="113"/>
              <w:jc w:val="right"/>
              <w:rPr>
                <w:i/>
                <w:sz w:val="16"/>
              </w:rPr>
            </w:pPr>
            <w:r w:rsidRPr="00566958">
              <w:rPr>
                <w:i/>
                <w:sz w:val="16"/>
              </w:rPr>
              <w:t>2017</w:t>
            </w:r>
          </w:p>
        </w:tc>
      </w:tr>
      <w:tr w:rsidR="00F233AB" w:rsidRPr="00566958" w:rsidTr="00F9527B">
        <w:tc>
          <w:tcPr>
            <w:tcW w:w="294" w:type="dxa"/>
            <w:tcBorders>
              <w:top w:val="single" w:sz="12" w:space="0" w:color="auto"/>
              <w:bottom w:val="single" w:sz="4" w:space="0" w:color="auto"/>
            </w:tcBorders>
            <w:shd w:val="clear" w:color="auto" w:fill="auto"/>
            <w:hideMark/>
          </w:tcPr>
          <w:p w:rsidR="00F233AB" w:rsidRPr="00566958" w:rsidRDefault="00F233AB" w:rsidP="00E33062">
            <w:pPr>
              <w:keepNext/>
              <w:keepLines/>
              <w:suppressAutoHyphens w:val="0"/>
              <w:spacing w:before="80" w:after="80" w:line="220" w:lineRule="exact"/>
              <w:ind w:right="113"/>
              <w:rPr>
                <w:bCs/>
                <w:sz w:val="18"/>
              </w:rPr>
            </w:pPr>
            <w:r w:rsidRPr="00566958">
              <w:rPr>
                <w:bCs/>
                <w:sz w:val="18"/>
              </w:rPr>
              <w:t>1</w:t>
            </w:r>
          </w:p>
        </w:tc>
        <w:tc>
          <w:tcPr>
            <w:tcW w:w="1680" w:type="dxa"/>
            <w:tcBorders>
              <w:top w:val="single" w:sz="12" w:space="0" w:color="auto"/>
              <w:bottom w:val="single" w:sz="4" w:space="0" w:color="auto"/>
            </w:tcBorders>
            <w:shd w:val="clear" w:color="auto" w:fill="auto"/>
            <w:vAlign w:val="bottom"/>
            <w:hideMark/>
          </w:tcPr>
          <w:p w:rsidR="00F233AB" w:rsidRPr="00566958" w:rsidRDefault="00F233AB" w:rsidP="00E33062">
            <w:pPr>
              <w:keepNext/>
              <w:keepLines/>
              <w:suppressAutoHyphens w:val="0"/>
              <w:spacing w:before="80" w:after="80" w:line="220" w:lineRule="exact"/>
              <w:ind w:right="113"/>
              <w:jc w:val="right"/>
              <w:rPr>
                <w:b/>
                <w:sz w:val="18"/>
              </w:rPr>
            </w:pPr>
            <w:r w:rsidRPr="00566958">
              <w:rPr>
                <w:b/>
                <w:sz w:val="18"/>
              </w:rPr>
              <w:t>Total</w:t>
            </w:r>
            <w:r w:rsidR="005B2A41" w:rsidRPr="00566958">
              <w:rPr>
                <w:b/>
                <w:sz w:val="18"/>
              </w:rPr>
              <w:t xml:space="preserve"> </w:t>
            </w:r>
            <w:r w:rsidRPr="00566958">
              <w:rPr>
                <w:b/>
                <w:sz w:val="18"/>
              </w:rPr>
              <w:t>prison</w:t>
            </w:r>
            <w:r w:rsidR="005B2A41" w:rsidRPr="00566958">
              <w:rPr>
                <w:b/>
                <w:sz w:val="18"/>
              </w:rPr>
              <w:t xml:space="preserve"> </w:t>
            </w:r>
            <w:r w:rsidRPr="00566958">
              <w:rPr>
                <w:b/>
                <w:sz w:val="18"/>
              </w:rPr>
              <w:t>population</w:t>
            </w:r>
            <w:r w:rsidR="005B2A41" w:rsidRPr="00566958">
              <w:rPr>
                <w:b/>
                <w:sz w:val="18"/>
              </w:rPr>
              <w:t xml:space="preserve"> </w:t>
            </w:r>
            <w:r w:rsidRPr="00566958">
              <w:rPr>
                <w:b/>
                <w:sz w:val="18"/>
              </w:rPr>
              <w:t>(including</w:t>
            </w:r>
            <w:r w:rsidR="005B2A41" w:rsidRPr="00566958">
              <w:rPr>
                <w:b/>
                <w:sz w:val="18"/>
              </w:rPr>
              <w:t xml:space="preserve"> </w:t>
            </w:r>
            <w:r w:rsidRPr="00566958">
              <w:rPr>
                <w:b/>
                <w:sz w:val="18"/>
              </w:rPr>
              <w:t>pre-trial</w:t>
            </w:r>
            <w:r w:rsidR="005B2A41" w:rsidRPr="00566958">
              <w:rPr>
                <w:b/>
                <w:sz w:val="18"/>
              </w:rPr>
              <w:t xml:space="preserve"> </w:t>
            </w:r>
            <w:r w:rsidRPr="00566958">
              <w:rPr>
                <w:b/>
                <w:sz w:val="18"/>
              </w:rPr>
              <w:t>detainees)</w:t>
            </w:r>
          </w:p>
        </w:tc>
        <w:tc>
          <w:tcPr>
            <w:tcW w:w="690" w:type="dxa"/>
            <w:tcBorders>
              <w:top w:val="single" w:sz="12" w:space="0" w:color="auto"/>
              <w:bottom w:val="single" w:sz="4" w:space="0" w:color="auto"/>
            </w:tcBorders>
            <w:shd w:val="clear" w:color="auto" w:fill="auto"/>
            <w:vAlign w:val="bottom"/>
            <w:hideMark/>
          </w:tcPr>
          <w:p w:rsidR="00F233AB" w:rsidRPr="00566958" w:rsidRDefault="00F233AB" w:rsidP="00E33062">
            <w:pPr>
              <w:keepNext/>
              <w:keepLines/>
              <w:suppressAutoHyphens w:val="0"/>
              <w:spacing w:before="80" w:after="80" w:line="220" w:lineRule="exact"/>
              <w:ind w:right="113"/>
              <w:jc w:val="right"/>
              <w:rPr>
                <w:b/>
                <w:sz w:val="18"/>
              </w:rPr>
            </w:pPr>
            <w:r w:rsidRPr="00566958">
              <w:rPr>
                <w:b/>
                <w:sz w:val="18"/>
              </w:rPr>
              <w:t>11</w:t>
            </w:r>
            <w:r w:rsidR="00A843BC">
              <w:rPr>
                <w:b/>
                <w:sz w:val="18"/>
              </w:rPr>
              <w:t xml:space="preserve"> </w:t>
            </w:r>
            <w:r w:rsidRPr="00566958">
              <w:rPr>
                <w:b/>
                <w:sz w:val="18"/>
              </w:rPr>
              <w:t>364</w:t>
            </w:r>
          </w:p>
        </w:tc>
        <w:tc>
          <w:tcPr>
            <w:tcW w:w="690" w:type="dxa"/>
            <w:tcBorders>
              <w:top w:val="single" w:sz="12" w:space="0" w:color="auto"/>
              <w:bottom w:val="single" w:sz="4" w:space="0" w:color="auto"/>
            </w:tcBorders>
            <w:shd w:val="clear" w:color="auto" w:fill="auto"/>
            <w:vAlign w:val="bottom"/>
            <w:hideMark/>
          </w:tcPr>
          <w:p w:rsidR="00F233AB" w:rsidRPr="00566958" w:rsidRDefault="00F233AB" w:rsidP="00E33062">
            <w:pPr>
              <w:keepNext/>
              <w:keepLines/>
              <w:suppressAutoHyphens w:val="0"/>
              <w:spacing w:before="80" w:after="80" w:line="220" w:lineRule="exact"/>
              <w:ind w:right="113"/>
              <w:jc w:val="right"/>
              <w:rPr>
                <w:b/>
                <w:sz w:val="18"/>
              </w:rPr>
            </w:pPr>
            <w:r w:rsidRPr="00566958">
              <w:rPr>
                <w:b/>
                <w:sz w:val="18"/>
              </w:rPr>
              <w:t>12</w:t>
            </w:r>
            <w:r w:rsidR="00A843BC">
              <w:rPr>
                <w:b/>
                <w:sz w:val="18"/>
              </w:rPr>
              <w:t xml:space="preserve"> </w:t>
            </w:r>
            <w:r w:rsidRPr="00566958">
              <w:rPr>
                <w:b/>
                <w:sz w:val="18"/>
              </w:rPr>
              <w:t>349</w:t>
            </w:r>
          </w:p>
        </w:tc>
        <w:tc>
          <w:tcPr>
            <w:tcW w:w="690" w:type="dxa"/>
            <w:tcBorders>
              <w:top w:val="single" w:sz="12" w:space="0" w:color="auto"/>
              <w:bottom w:val="single" w:sz="4" w:space="0" w:color="auto"/>
            </w:tcBorders>
            <w:shd w:val="clear" w:color="auto" w:fill="auto"/>
            <w:vAlign w:val="bottom"/>
            <w:hideMark/>
          </w:tcPr>
          <w:p w:rsidR="00F233AB" w:rsidRPr="00566958" w:rsidRDefault="00F233AB" w:rsidP="00E33062">
            <w:pPr>
              <w:keepNext/>
              <w:keepLines/>
              <w:suppressAutoHyphens w:val="0"/>
              <w:spacing w:before="80" w:after="80" w:line="220" w:lineRule="exact"/>
              <w:ind w:right="113"/>
              <w:jc w:val="right"/>
              <w:rPr>
                <w:b/>
                <w:sz w:val="18"/>
              </w:rPr>
            </w:pPr>
            <w:r w:rsidRPr="00566958">
              <w:rPr>
                <w:b/>
                <w:sz w:val="18"/>
              </w:rPr>
              <w:t>12</w:t>
            </w:r>
            <w:r w:rsidR="00A843BC">
              <w:rPr>
                <w:b/>
                <w:sz w:val="18"/>
              </w:rPr>
              <w:t xml:space="preserve"> </w:t>
            </w:r>
            <w:r w:rsidRPr="00566958">
              <w:rPr>
                <w:b/>
                <w:sz w:val="18"/>
              </w:rPr>
              <w:t>479</w:t>
            </w:r>
          </w:p>
        </w:tc>
        <w:tc>
          <w:tcPr>
            <w:tcW w:w="690" w:type="dxa"/>
            <w:tcBorders>
              <w:top w:val="single" w:sz="12" w:space="0" w:color="auto"/>
              <w:bottom w:val="single" w:sz="4" w:space="0" w:color="auto"/>
            </w:tcBorders>
            <w:shd w:val="clear" w:color="auto" w:fill="auto"/>
            <w:vAlign w:val="bottom"/>
            <w:hideMark/>
          </w:tcPr>
          <w:p w:rsidR="00F233AB" w:rsidRPr="00566958" w:rsidRDefault="00F233AB" w:rsidP="00E33062">
            <w:pPr>
              <w:keepNext/>
              <w:keepLines/>
              <w:suppressAutoHyphens w:val="0"/>
              <w:spacing w:before="80" w:after="80" w:line="220" w:lineRule="exact"/>
              <w:ind w:right="113"/>
              <w:jc w:val="right"/>
              <w:rPr>
                <w:b/>
                <w:sz w:val="18"/>
              </w:rPr>
            </w:pPr>
            <w:r w:rsidRPr="00566958">
              <w:rPr>
                <w:b/>
                <w:sz w:val="18"/>
              </w:rPr>
              <w:t>12</w:t>
            </w:r>
            <w:r w:rsidR="00A843BC">
              <w:rPr>
                <w:b/>
                <w:sz w:val="18"/>
              </w:rPr>
              <w:t xml:space="preserve"> </w:t>
            </w:r>
            <w:r w:rsidRPr="00566958">
              <w:rPr>
                <w:b/>
                <w:sz w:val="18"/>
              </w:rPr>
              <w:t>475</w:t>
            </w:r>
          </w:p>
        </w:tc>
        <w:tc>
          <w:tcPr>
            <w:tcW w:w="690" w:type="dxa"/>
            <w:tcBorders>
              <w:top w:val="single" w:sz="12" w:space="0" w:color="auto"/>
              <w:bottom w:val="single" w:sz="4" w:space="0" w:color="auto"/>
            </w:tcBorders>
            <w:shd w:val="clear" w:color="auto" w:fill="auto"/>
            <w:vAlign w:val="bottom"/>
            <w:hideMark/>
          </w:tcPr>
          <w:p w:rsidR="00F233AB" w:rsidRPr="00566958" w:rsidRDefault="00F233AB" w:rsidP="00E33062">
            <w:pPr>
              <w:keepNext/>
              <w:keepLines/>
              <w:suppressAutoHyphens w:val="0"/>
              <w:spacing w:before="80" w:after="80" w:line="220" w:lineRule="exact"/>
              <w:ind w:right="113"/>
              <w:jc w:val="right"/>
              <w:rPr>
                <w:b/>
                <w:sz w:val="18"/>
              </w:rPr>
            </w:pPr>
            <w:r w:rsidRPr="00566958">
              <w:rPr>
                <w:b/>
                <w:sz w:val="18"/>
              </w:rPr>
              <w:t>12</w:t>
            </w:r>
            <w:r w:rsidR="00A843BC">
              <w:rPr>
                <w:b/>
                <w:sz w:val="18"/>
              </w:rPr>
              <w:t xml:space="preserve"> </w:t>
            </w:r>
            <w:r w:rsidRPr="00566958">
              <w:rPr>
                <w:b/>
                <w:sz w:val="18"/>
              </w:rPr>
              <w:t>693</w:t>
            </w:r>
          </w:p>
        </w:tc>
        <w:tc>
          <w:tcPr>
            <w:tcW w:w="690" w:type="dxa"/>
            <w:tcBorders>
              <w:top w:val="single" w:sz="12" w:space="0" w:color="auto"/>
              <w:bottom w:val="single" w:sz="4" w:space="0" w:color="auto"/>
            </w:tcBorders>
            <w:shd w:val="clear" w:color="auto" w:fill="auto"/>
            <w:vAlign w:val="bottom"/>
            <w:hideMark/>
          </w:tcPr>
          <w:p w:rsidR="00F233AB" w:rsidRPr="00566958" w:rsidRDefault="00F233AB" w:rsidP="00E33062">
            <w:pPr>
              <w:keepNext/>
              <w:keepLines/>
              <w:suppressAutoHyphens w:val="0"/>
              <w:spacing w:before="80" w:after="80" w:line="220" w:lineRule="exact"/>
              <w:ind w:right="113"/>
              <w:jc w:val="right"/>
              <w:rPr>
                <w:b/>
                <w:sz w:val="18"/>
              </w:rPr>
            </w:pPr>
            <w:r w:rsidRPr="00566958">
              <w:rPr>
                <w:b/>
                <w:sz w:val="18"/>
              </w:rPr>
              <w:t>11</w:t>
            </w:r>
            <w:r w:rsidR="00A843BC">
              <w:rPr>
                <w:b/>
                <w:sz w:val="18"/>
              </w:rPr>
              <w:t xml:space="preserve"> </w:t>
            </w:r>
            <w:r w:rsidRPr="00566958">
              <w:rPr>
                <w:b/>
                <w:sz w:val="18"/>
              </w:rPr>
              <w:t>798</w:t>
            </w:r>
          </w:p>
        </w:tc>
        <w:tc>
          <w:tcPr>
            <w:tcW w:w="625" w:type="dxa"/>
            <w:tcBorders>
              <w:top w:val="single" w:sz="12" w:space="0" w:color="auto"/>
              <w:bottom w:val="single" w:sz="4" w:space="0" w:color="auto"/>
            </w:tcBorders>
            <w:shd w:val="clear" w:color="auto" w:fill="auto"/>
            <w:vAlign w:val="bottom"/>
          </w:tcPr>
          <w:p w:rsidR="00F233AB" w:rsidRPr="00566958" w:rsidRDefault="00F233AB" w:rsidP="00E33062">
            <w:pPr>
              <w:keepNext/>
              <w:keepLines/>
              <w:suppressAutoHyphens w:val="0"/>
              <w:spacing w:before="80" w:after="80" w:line="220" w:lineRule="exact"/>
              <w:ind w:right="113"/>
              <w:jc w:val="right"/>
              <w:rPr>
                <w:b/>
                <w:sz w:val="18"/>
              </w:rPr>
            </w:pPr>
            <w:r w:rsidRPr="00566958">
              <w:rPr>
                <w:b/>
                <w:sz w:val="18"/>
              </w:rPr>
              <w:t>9</w:t>
            </w:r>
            <w:r w:rsidR="00A843BC">
              <w:rPr>
                <w:b/>
                <w:sz w:val="18"/>
              </w:rPr>
              <w:t xml:space="preserve"> </w:t>
            </w:r>
            <w:r w:rsidRPr="00566958">
              <w:rPr>
                <w:b/>
                <w:sz w:val="18"/>
              </w:rPr>
              <w:t>611</w:t>
            </w:r>
          </w:p>
        </w:tc>
        <w:tc>
          <w:tcPr>
            <w:tcW w:w="625" w:type="dxa"/>
            <w:tcBorders>
              <w:top w:val="single" w:sz="12" w:space="0" w:color="auto"/>
              <w:bottom w:val="single" w:sz="4" w:space="0" w:color="auto"/>
            </w:tcBorders>
            <w:shd w:val="clear" w:color="auto" w:fill="auto"/>
            <w:vAlign w:val="bottom"/>
          </w:tcPr>
          <w:p w:rsidR="00F233AB" w:rsidRPr="00566958" w:rsidRDefault="00F233AB" w:rsidP="00E33062">
            <w:pPr>
              <w:keepNext/>
              <w:keepLines/>
              <w:suppressAutoHyphens w:val="0"/>
              <w:spacing w:before="80" w:after="80" w:line="220" w:lineRule="exact"/>
              <w:ind w:right="113"/>
              <w:jc w:val="right"/>
              <w:rPr>
                <w:b/>
                <w:sz w:val="18"/>
              </w:rPr>
            </w:pPr>
            <w:r w:rsidRPr="00566958">
              <w:rPr>
                <w:b/>
                <w:sz w:val="18"/>
              </w:rPr>
              <w:t>9</w:t>
            </w:r>
            <w:r w:rsidR="00A843BC">
              <w:rPr>
                <w:b/>
                <w:sz w:val="18"/>
              </w:rPr>
              <w:t xml:space="preserve"> </w:t>
            </w:r>
            <w:r w:rsidRPr="00566958">
              <w:rPr>
                <w:b/>
                <w:sz w:val="18"/>
              </w:rPr>
              <w:t>560</w:t>
            </w:r>
          </w:p>
        </w:tc>
      </w:tr>
      <w:tr w:rsidR="00F233AB" w:rsidRPr="00566958" w:rsidTr="00F9527B">
        <w:tc>
          <w:tcPr>
            <w:tcW w:w="294" w:type="dxa"/>
            <w:tcBorders>
              <w:top w:val="single" w:sz="4" w:space="0" w:color="auto"/>
              <w:bottom w:val="nil"/>
            </w:tcBorders>
            <w:shd w:val="clear" w:color="auto" w:fill="auto"/>
            <w:hideMark/>
          </w:tcPr>
          <w:p w:rsidR="00F233AB" w:rsidRPr="00566958" w:rsidRDefault="00F233AB" w:rsidP="00E33062">
            <w:pPr>
              <w:keepNext/>
              <w:keepLines/>
              <w:suppressAutoHyphens w:val="0"/>
              <w:spacing w:before="40" w:after="40" w:line="220" w:lineRule="exact"/>
              <w:ind w:right="113"/>
              <w:rPr>
                <w:sz w:val="18"/>
              </w:rPr>
            </w:pPr>
            <w:r w:rsidRPr="00566958">
              <w:rPr>
                <w:sz w:val="18"/>
              </w:rPr>
              <w:t>2</w:t>
            </w:r>
          </w:p>
        </w:tc>
        <w:tc>
          <w:tcPr>
            <w:tcW w:w="1680" w:type="dxa"/>
            <w:tcBorders>
              <w:top w:val="single" w:sz="4" w:space="0" w:color="auto"/>
              <w:bottom w:val="nil"/>
            </w:tcBorders>
            <w:shd w:val="clear" w:color="auto" w:fill="auto"/>
            <w:vAlign w:val="bottom"/>
            <w:hideMark/>
          </w:tcPr>
          <w:p w:rsidR="00F233AB" w:rsidRPr="00566958" w:rsidRDefault="00F233AB" w:rsidP="00E33062">
            <w:pPr>
              <w:keepNext/>
              <w:keepLines/>
              <w:suppressAutoHyphens w:val="0"/>
              <w:spacing w:before="40" w:after="40" w:line="220" w:lineRule="exact"/>
              <w:ind w:right="113"/>
              <w:rPr>
                <w:sz w:val="18"/>
              </w:rPr>
            </w:pPr>
            <w:r w:rsidRPr="00566958">
              <w:rPr>
                <w:sz w:val="18"/>
              </w:rPr>
              <w:t>Remand</w:t>
            </w:r>
            <w:r w:rsidR="005B2A41" w:rsidRPr="00566958">
              <w:rPr>
                <w:sz w:val="18"/>
              </w:rPr>
              <w:t xml:space="preserve"> </w:t>
            </w:r>
            <w:r w:rsidRPr="00566958">
              <w:rPr>
                <w:sz w:val="18"/>
              </w:rPr>
              <w:t>prisoners</w:t>
            </w:r>
          </w:p>
        </w:tc>
        <w:tc>
          <w:tcPr>
            <w:tcW w:w="690" w:type="dxa"/>
            <w:tcBorders>
              <w:top w:val="single" w:sz="4" w:space="0" w:color="auto"/>
              <w:bottom w:val="nil"/>
            </w:tcBorders>
            <w:shd w:val="clear" w:color="auto" w:fill="auto"/>
            <w:vAlign w:val="bottom"/>
            <w:hideMark/>
          </w:tcPr>
          <w:p w:rsidR="00F233AB" w:rsidRPr="00566958" w:rsidRDefault="00F233AB" w:rsidP="00E33062">
            <w:pPr>
              <w:keepNext/>
              <w:keepLines/>
              <w:suppressAutoHyphens w:val="0"/>
              <w:spacing w:before="40" w:after="40" w:line="220" w:lineRule="exact"/>
              <w:ind w:right="113"/>
              <w:jc w:val="right"/>
              <w:rPr>
                <w:sz w:val="18"/>
              </w:rPr>
            </w:pPr>
            <w:r w:rsidRPr="00566958">
              <w:rPr>
                <w:sz w:val="18"/>
              </w:rPr>
              <w:t>3</w:t>
            </w:r>
            <w:r w:rsidR="00A843BC">
              <w:rPr>
                <w:sz w:val="18"/>
              </w:rPr>
              <w:t xml:space="preserve"> </w:t>
            </w:r>
            <w:r w:rsidRPr="00566958">
              <w:rPr>
                <w:sz w:val="18"/>
              </w:rPr>
              <w:t>541</w:t>
            </w:r>
          </w:p>
        </w:tc>
        <w:tc>
          <w:tcPr>
            <w:tcW w:w="690" w:type="dxa"/>
            <w:tcBorders>
              <w:top w:val="single" w:sz="4" w:space="0" w:color="auto"/>
              <w:bottom w:val="nil"/>
            </w:tcBorders>
            <w:shd w:val="clear" w:color="auto" w:fill="auto"/>
            <w:vAlign w:val="bottom"/>
            <w:hideMark/>
          </w:tcPr>
          <w:p w:rsidR="00F233AB" w:rsidRPr="00566958" w:rsidRDefault="00F233AB" w:rsidP="00E33062">
            <w:pPr>
              <w:keepNext/>
              <w:keepLines/>
              <w:suppressAutoHyphens w:val="0"/>
              <w:spacing w:before="40" w:after="40" w:line="220" w:lineRule="exact"/>
              <w:ind w:right="113"/>
              <w:jc w:val="right"/>
              <w:rPr>
                <w:sz w:val="18"/>
              </w:rPr>
            </w:pPr>
            <w:r w:rsidRPr="00566958">
              <w:rPr>
                <w:sz w:val="18"/>
              </w:rPr>
              <w:t>4</w:t>
            </w:r>
            <w:r w:rsidR="00A843BC">
              <w:rPr>
                <w:sz w:val="18"/>
              </w:rPr>
              <w:t xml:space="preserve"> </w:t>
            </w:r>
            <w:r w:rsidRPr="00566958">
              <w:rPr>
                <w:sz w:val="18"/>
              </w:rPr>
              <w:t>050</w:t>
            </w:r>
          </w:p>
        </w:tc>
        <w:tc>
          <w:tcPr>
            <w:tcW w:w="690" w:type="dxa"/>
            <w:tcBorders>
              <w:top w:val="single" w:sz="4" w:space="0" w:color="auto"/>
              <w:bottom w:val="nil"/>
            </w:tcBorders>
            <w:shd w:val="clear" w:color="auto" w:fill="auto"/>
            <w:vAlign w:val="bottom"/>
            <w:hideMark/>
          </w:tcPr>
          <w:p w:rsidR="00F233AB" w:rsidRPr="00566958" w:rsidRDefault="00F233AB" w:rsidP="00E33062">
            <w:pPr>
              <w:keepNext/>
              <w:keepLines/>
              <w:suppressAutoHyphens w:val="0"/>
              <w:spacing w:before="40" w:after="40" w:line="220" w:lineRule="exact"/>
              <w:ind w:right="113"/>
              <w:jc w:val="right"/>
              <w:rPr>
                <w:sz w:val="18"/>
              </w:rPr>
            </w:pPr>
            <w:r w:rsidRPr="00566958">
              <w:rPr>
                <w:sz w:val="18"/>
              </w:rPr>
              <w:t>4</w:t>
            </w:r>
            <w:r w:rsidR="00A843BC">
              <w:rPr>
                <w:sz w:val="18"/>
              </w:rPr>
              <w:t xml:space="preserve"> </w:t>
            </w:r>
            <w:r w:rsidRPr="00566958">
              <w:rPr>
                <w:sz w:val="18"/>
              </w:rPr>
              <w:t>254</w:t>
            </w:r>
          </w:p>
        </w:tc>
        <w:tc>
          <w:tcPr>
            <w:tcW w:w="690" w:type="dxa"/>
            <w:tcBorders>
              <w:top w:val="single" w:sz="4" w:space="0" w:color="auto"/>
              <w:bottom w:val="nil"/>
            </w:tcBorders>
            <w:shd w:val="clear" w:color="auto" w:fill="auto"/>
            <w:vAlign w:val="bottom"/>
            <w:hideMark/>
          </w:tcPr>
          <w:p w:rsidR="00F233AB" w:rsidRPr="00566958" w:rsidRDefault="00F233AB" w:rsidP="00E33062">
            <w:pPr>
              <w:keepNext/>
              <w:keepLines/>
              <w:suppressAutoHyphens w:val="0"/>
              <w:spacing w:before="40" w:after="40" w:line="220" w:lineRule="exact"/>
              <w:ind w:right="113"/>
              <w:jc w:val="right"/>
              <w:rPr>
                <w:sz w:val="18"/>
              </w:rPr>
            </w:pPr>
            <w:r w:rsidRPr="00566958">
              <w:rPr>
                <w:sz w:val="18"/>
              </w:rPr>
              <w:t>4</w:t>
            </w:r>
            <w:r w:rsidR="00A843BC">
              <w:rPr>
                <w:sz w:val="18"/>
              </w:rPr>
              <w:t xml:space="preserve"> </w:t>
            </w:r>
            <w:r w:rsidRPr="00566958">
              <w:rPr>
                <w:sz w:val="18"/>
              </w:rPr>
              <w:t>325</w:t>
            </w:r>
          </w:p>
        </w:tc>
        <w:tc>
          <w:tcPr>
            <w:tcW w:w="690" w:type="dxa"/>
            <w:tcBorders>
              <w:top w:val="single" w:sz="4" w:space="0" w:color="auto"/>
              <w:bottom w:val="nil"/>
            </w:tcBorders>
            <w:shd w:val="clear" w:color="auto" w:fill="auto"/>
            <w:vAlign w:val="bottom"/>
            <w:hideMark/>
          </w:tcPr>
          <w:p w:rsidR="00F233AB" w:rsidRPr="00566958" w:rsidRDefault="00F233AB" w:rsidP="00E33062">
            <w:pPr>
              <w:keepNext/>
              <w:keepLines/>
              <w:suppressAutoHyphens w:val="0"/>
              <w:spacing w:before="40" w:after="40" w:line="220" w:lineRule="exact"/>
              <w:ind w:right="113"/>
              <w:jc w:val="right"/>
              <w:rPr>
                <w:sz w:val="18"/>
              </w:rPr>
            </w:pPr>
            <w:r w:rsidRPr="00566958">
              <w:rPr>
                <w:sz w:val="18"/>
              </w:rPr>
              <w:t>2</w:t>
            </w:r>
            <w:r w:rsidR="00A843BC">
              <w:rPr>
                <w:sz w:val="18"/>
              </w:rPr>
              <w:t xml:space="preserve"> </w:t>
            </w:r>
            <w:r w:rsidRPr="00566958">
              <w:rPr>
                <w:sz w:val="18"/>
              </w:rPr>
              <w:t>861</w:t>
            </w:r>
          </w:p>
        </w:tc>
        <w:tc>
          <w:tcPr>
            <w:tcW w:w="690" w:type="dxa"/>
            <w:tcBorders>
              <w:top w:val="single" w:sz="4" w:space="0" w:color="auto"/>
              <w:bottom w:val="nil"/>
            </w:tcBorders>
            <w:shd w:val="clear" w:color="auto" w:fill="auto"/>
            <w:vAlign w:val="bottom"/>
            <w:hideMark/>
          </w:tcPr>
          <w:p w:rsidR="00F233AB" w:rsidRPr="00566958" w:rsidRDefault="00F233AB" w:rsidP="00E33062">
            <w:pPr>
              <w:keepNext/>
              <w:keepLines/>
              <w:suppressAutoHyphens w:val="0"/>
              <w:spacing w:before="40" w:after="40" w:line="220" w:lineRule="exact"/>
              <w:ind w:right="113"/>
              <w:jc w:val="right"/>
              <w:rPr>
                <w:sz w:val="18"/>
              </w:rPr>
            </w:pPr>
            <w:r w:rsidRPr="00566958">
              <w:rPr>
                <w:sz w:val="18"/>
              </w:rPr>
              <w:t>2</w:t>
            </w:r>
            <w:r w:rsidR="00A843BC">
              <w:rPr>
                <w:sz w:val="18"/>
              </w:rPr>
              <w:t xml:space="preserve"> </w:t>
            </w:r>
            <w:r w:rsidRPr="00566958">
              <w:rPr>
                <w:sz w:val="18"/>
              </w:rPr>
              <w:t>470</w:t>
            </w:r>
          </w:p>
        </w:tc>
        <w:tc>
          <w:tcPr>
            <w:tcW w:w="625" w:type="dxa"/>
            <w:tcBorders>
              <w:top w:val="single" w:sz="4" w:space="0" w:color="auto"/>
              <w:bottom w:val="nil"/>
            </w:tcBorders>
            <w:shd w:val="clear" w:color="auto" w:fill="auto"/>
            <w:vAlign w:val="bottom"/>
          </w:tcPr>
          <w:p w:rsidR="00F233AB" w:rsidRPr="00566958" w:rsidRDefault="00F233AB" w:rsidP="00E33062">
            <w:pPr>
              <w:keepNext/>
              <w:keepLines/>
              <w:suppressAutoHyphens w:val="0"/>
              <w:spacing w:before="40" w:after="40" w:line="220" w:lineRule="exact"/>
              <w:ind w:right="113"/>
              <w:jc w:val="right"/>
              <w:rPr>
                <w:sz w:val="18"/>
              </w:rPr>
            </w:pPr>
            <w:r w:rsidRPr="00566958">
              <w:rPr>
                <w:sz w:val="18"/>
              </w:rPr>
              <w:t>2</w:t>
            </w:r>
            <w:r w:rsidR="00A843BC">
              <w:rPr>
                <w:sz w:val="18"/>
              </w:rPr>
              <w:t xml:space="preserve"> </w:t>
            </w:r>
            <w:r w:rsidRPr="00566958">
              <w:rPr>
                <w:sz w:val="18"/>
              </w:rPr>
              <w:t>510</w:t>
            </w:r>
          </w:p>
        </w:tc>
        <w:tc>
          <w:tcPr>
            <w:tcW w:w="625" w:type="dxa"/>
            <w:tcBorders>
              <w:top w:val="single" w:sz="4" w:space="0" w:color="auto"/>
              <w:bottom w:val="nil"/>
            </w:tcBorders>
            <w:shd w:val="clear" w:color="auto" w:fill="auto"/>
            <w:vAlign w:val="bottom"/>
          </w:tcPr>
          <w:p w:rsidR="00F233AB" w:rsidRPr="00566958" w:rsidRDefault="00F233AB" w:rsidP="00E33062">
            <w:pPr>
              <w:keepNext/>
              <w:keepLines/>
              <w:suppressAutoHyphens w:val="0"/>
              <w:spacing w:before="40" w:after="40" w:line="220" w:lineRule="exact"/>
              <w:ind w:right="113"/>
              <w:jc w:val="right"/>
              <w:rPr>
                <w:sz w:val="18"/>
              </w:rPr>
            </w:pPr>
            <w:r w:rsidRPr="00566958">
              <w:rPr>
                <w:sz w:val="18"/>
              </w:rPr>
              <w:t>2</w:t>
            </w:r>
            <w:r w:rsidR="00A843BC">
              <w:rPr>
                <w:sz w:val="18"/>
              </w:rPr>
              <w:t xml:space="preserve"> </w:t>
            </w:r>
            <w:r w:rsidRPr="00566958">
              <w:rPr>
                <w:sz w:val="18"/>
              </w:rPr>
              <w:t>829</w:t>
            </w:r>
          </w:p>
        </w:tc>
      </w:tr>
      <w:tr w:rsidR="00F233AB" w:rsidRPr="00566958" w:rsidTr="00F9527B">
        <w:tc>
          <w:tcPr>
            <w:tcW w:w="294" w:type="dxa"/>
            <w:tcBorders>
              <w:top w:val="nil"/>
            </w:tcBorders>
            <w:shd w:val="clear" w:color="auto" w:fill="auto"/>
            <w:hideMark/>
          </w:tcPr>
          <w:p w:rsidR="00F233AB" w:rsidRPr="00566958" w:rsidRDefault="00F233AB" w:rsidP="00566958">
            <w:pPr>
              <w:suppressAutoHyphens w:val="0"/>
              <w:spacing w:before="40" w:after="40" w:line="220" w:lineRule="exact"/>
              <w:ind w:right="113"/>
              <w:rPr>
                <w:sz w:val="18"/>
              </w:rPr>
            </w:pPr>
            <w:r w:rsidRPr="00566958">
              <w:rPr>
                <w:sz w:val="18"/>
              </w:rPr>
              <w:t>3</w:t>
            </w:r>
          </w:p>
        </w:tc>
        <w:tc>
          <w:tcPr>
            <w:tcW w:w="1680" w:type="dxa"/>
            <w:tcBorders>
              <w:top w:val="nil"/>
            </w:tcBorders>
            <w:shd w:val="clear" w:color="auto" w:fill="auto"/>
            <w:vAlign w:val="bottom"/>
            <w:hideMark/>
          </w:tcPr>
          <w:p w:rsidR="00F233AB" w:rsidRPr="00566958" w:rsidRDefault="00F233AB" w:rsidP="00566958">
            <w:pPr>
              <w:suppressAutoHyphens w:val="0"/>
              <w:spacing w:before="40" w:after="40" w:line="220" w:lineRule="exact"/>
              <w:ind w:right="113"/>
              <w:rPr>
                <w:sz w:val="18"/>
              </w:rPr>
            </w:pPr>
            <w:r w:rsidRPr="00566958">
              <w:rPr>
                <w:sz w:val="18"/>
              </w:rPr>
              <w:t>Foreign</w:t>
            </w:r>
            <w:r w:rsidR="005B2A41" w:rsidRPr="00566958">
              <w:rPr>
                <w:sz w:val="18"/>
              </w:rPr>
              <w:t xml:space="preserve"> </w:t>
            </w:r>
            <w:r w:rsidRPr="00566958">
              <w:rPr>
                <w:sz w:val="18"/>
              </w:rPr>
              <w:t>prisoners</w:t>
            </w:r>
          </w:p>
        </w:tc>
        <w:tc>
          <w:tcPr>
            <w:tcW w:w="690" w:type="dxa"/>
            <w:tcBorders>
              <w:top w:val="nil"/>
            </w:tcBorders>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6</w:t>
            </w:r>
            <w:r w:rsidR="00A843BC">
              <w:rPr>
                <w:sz w:val="18"/>
              </w:rPr>
              <w:t xml:space="preserve"> </w:t>
            </w:r>
            <w:r w:rsidRPr="00566958">
              <w:rPr>
                <w:sz w:val="18"/>
              </w:rPr>
              <w:t>307</w:t>
            </w:r>
          </w:p>
        </w:tc>
        <w:tc>
          <w:tcPr>
            <w:tcW w:w="690" w:type="dxa"/>
            <w:tcBorders>
              <w:top w:val="nil"/>
            </w:tcBorders>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7</w:t>
            </w:r>
            <w:r w:rsidR="00A843BC">
              <w:rPr>
                <w:sz w:val="18"/>
              </w:rPr>
              <w:t xml:space="preserve"> </w:t>
            </w:r>
            <w:r w:rsidRPr="00566958">
              <w:rPr>
                <w:sz w:val="18"/>
              </w:rPr>
              <w:t>210</w:t>
            </w:r>
          </w:p>
        </w:tc>
        <w:tc>
          <w:tcPr>
            <w:tcW w:w="690" w:type="dxa"/>
            <w:tcBorders>
              <w:top w:val="nil"/>
            </w:tcBorders>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7</w:t>
            </w:r>
            <w:r w:rsidR="00A843BC">
              <w:rPr>
                <w:sz w:val="18"/>
              </w:rPr>
              <w:t xml:space="preserve"> </w:t>
            </w:r>
            <w:r w:rsidRPr="00566958">
              <w:rPr>
                <w:sz w:val="18"/>
              </w:rPr>
              <w:t>887</w:t>
            </w:r>
          </w:p>
        </w:tc>
        <w:tc>
          <w:tcPr>
            <w:tcW w:w="690" w:type="dxa"/>
            <w:tcBorders>
              <w:top w:val="nil"/>
            </w:tcBorders>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7</w:t>
            </w:r>
            <w:r w:rsidR="00A843BC">
              <w:rPr>
                <w:sz w:val="18"/>
              </w:rPr>
              <w:t xml:space="preserve"> </w:t>
            </w:r>
            <w:r w:rsidRPr="00566958">
              <w:rPr>
                <w:sz w:val="18"/>
              </w:rPr>
              <w:t>875</w:t>
            </w:r>
          </w:p>
        </w:tc>
        <w:tc>
          <w:tcPr>
            <w:tcW w:w="690" w:type="dxa"/>
            <w:tcBorders>
              <w:top w:val="nil"/>
            </w:tcBorders>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7</w:t>
            </w:r>
            <w:r w:rsidR="00A843BC">
              <w:rPr>
                <w:sz w:val="18"/>
              </w:rPr>
              <w:t xml:space="preserve"> </w:t>
            </w:r>
            <w:r w:rsidRPr="00566958">
              <w:rPr>
                <w:sz w:val="18"/>
              </w:rPr>
              <w:t>623</w:t>
            </w:r>
          </w:p>
        </w:tc>
        <w:tc>
          <w:tcPr>
            <w:tcW w:w="690" w:type="dxa"/>
            <w:tcBorders>
              <w:top w:val="nil"/>
            </w:tcBorders>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6</w:t>
            </w:r>
            <w:r w:rsidR="00A843BC">
              <w:rPr>
                <w:sz w:val="18"/>
              </w:rPr>
              <w:t xml:space="preserve"> </w:t>
            </w:r>
            <w:r w:rsidRPr="00566958">
              <w:rPr>
                <w:sz w:val="18"/>
              </w:rPr>
              <w:t>882</w:t>
            </w:r>
          </w:p>
        </w:tc>
        <w:tc>
          <w:tcPr>
            <w:tcW w:w="625" w:type="dxa"/>
            <w:tcBorders>
              <w:top w:val="nil"/>
            </w:tcBorders>
            <w:shd w:val="clear" w:color="auto" w:fill="auto"/>
            <w:vAlign w:val="bottom"/>
          </w:tcPr>
          <w:p w:rsidR="00F233AB" w:rsidRPr="00566958" w:rsidRDefault="00F233AB" w:rsidP="00566958">
            <w:pPr>
              <w:suppressAutoHyphens w:val="0"/>
              <w:spacing w:before="40" w:after="40" w:line="220" w:lineRule="exact"/>
              <w:ind w:right="113"/>
              <w:jc w:val="right"/>
              <w:rPr>
                <w:sz w:val="18"/>
              </w:rPr>
            </w:pPr>
            <w:r w:rsidRPr="00566958">
              <w:rPr>
                <w:sz w:val="18"/>
              </w:rPr>
              <w:t>5</w:t>
            </w:r>
            <w:r w:rsidR="00A843BC">
              <w:rPr>
                <w:sz w:val="18"/>
              </w:rPr>
              <w:t xml:space="preserve"> </w:t>
            </w:r>
            <w:r w:rsidRPr="00566958">
              <w:rPr>
                <w:sz w:val="18"/>
              </w:rPr>
              <w:t>289</w:t>
            </w:r>
          </w:p>
        </w:tc>
        <w:tc>
          <w:tcPr>
            <w:tcW w:w="625" w:type="dxa"/>
            <w:tcBorders>
              <w:top w:val="nil"/>
            </w:tcBorders>
            <w:shd w:val="clear" w:color="auto" w:fill="auto"/>
            <w:vAlign w:val="bottom"/>
          </w:tcPr>
          <w:p w:rsidR="00F233AB" w:rsidRPr="00566958" w:rsidRDefault="00F233AB" w:rsidP="00566958">
            <w:pPr>
              <w:suppressAutoHyphens w:val="0"/>
              <w:spacing w:before="40" w:after="40" w:line="220" w:lineRule="exact"/>
              <w:ind w:right="113"/>
              <w:jc w:val="right"/>
              <w:rPr>
                <w:sz w:val="18"/>
              </w:rPr>
            </w:pPr>
            <w:r w:rsidRPr="00566958">
              <w:rPr>
                <w:sz w:val="18"/>
              </w:rPr>
              <w:t>5</w:t>
            </w:r>
            <w:r w:rsidR="00A843BC">
              <w:rPr>
                <w:sz w:val="18"/>
              </w:rPr>
              <w:t xml:space="preserve"> </w:t>
            </w:r>
            <w:r w:rsidRPr="00566958">
              <w:rPr>
                <w:sz w:val="18"/>
              </w:rPr>
              <w:t>195</w:t>
            </w:r>
          </w:p>
        </w:tc>
      </w:tr>
      <w:tr w:rsidR="00F233AB" w:rsidRPr="00566958" w:rsidTr="00F9527B">
        <w:tc>
          <w:tcPr>
            <w:tcW w:w="294" w:type="dxa"/>
            <w:shd w:val="clear" w:color="auto" w:fill="auto"/>
            <w:hideMark/>
          </w:tcPr>
          <w:p w:rsidR="00F233AB" w:rsidRPr="00566958" w:rsidRDefault="00F233AB" w:rsidP="00566958">
            <w:pPr>
              <w:suppressAutoHyphens w:val="0"/>
              <w:spacing w:before="40" w:after="40" w:line="220" w:lineRule="exact"/>
              <w:ind w:right="113"/>
              <w:rPr>
                <w:sz w:val="18"/>
              </w:rPr>
            </w:pPr>
            <w:r w:rsidRPr="00566958">
              <w:rPr>
                <w:sz w:val="18"/>
              </w:rPr>
              <w:t>4</w:t>
            </w:r>
          </w:p>
        </w:tc>
        <w:tc>
          <w:tcPr>
            <w:tcW w:w="1680" w:type="dxa"/>
            <w:shd w:val="clear" w:color="auto" w:fill="auto"/>
            <w:vAlign w:val="bottom"/>
            <w:hideMark/>
          </w:tcPr>
          <w:p w:rsidR="00F233AB" w:rsidRPr="00566958" w:rsidRDefault="00F233AB" w:rsidP="00566958">
            <w:pPr>
              <w:suppressAutoHyphens w:val="0"/>
              <w:spacing w:before="40" w:after="40" w:line="220" w:lineRule="exact"/>
              <w:ind w:right="113"/>
              <w:rPr>
                <w:sz w:val="18"/>
              </w:rPr>
            </w:pPr>
            <w:r w:rsidRPr="00566958">
              <w:rPr>
                <w:sz w:val="18"/>
              </w:rPr>
              <w:t>Female</w:t>
            </w:r>
            <w:r w:rsidR="005B2A41" w:rsidRPr="00566958">
              <w:rPr>
                <w:sz w:val="18"/>
              </w:rPr>
              <w:t xml:space="preserve"> </w:t>
            </w:r>
            <w:r w:rsidRPr="00566958">
              <w:rPr>
                <w:sz w:val="18"/>
              </w:rPr>
              <w:t>prisoners</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554</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577</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562</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557</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648</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572</w:t>
            </w:r>
          </w:p>
        </w:tc>
        <w:tc>
          <w:tcPr>
            <w:tcW w:w="625" w:type="dxa"/>
            <w:shd w:val="clear" w:color="auto" w:fill="auto"/>
            <w:vAlign w:val="bottom"/>
          </w:tcPr>
          <w:p w:rsidR="00F233AB" w:rsidRPr="00566958" w:rsidRDefault="00F233AB" w:rsidP="00566958">
            <w:pPr>
              <w:suppressAutoHyphens w:val="0"/>
              <w:spacing w:before="40" w:after="40" w:line="220" w:lineRule="exact"/>
              <w:ind w:right="113"/>
              <w:jc w:val="right"/>
              <w:rPr>
                <w:sz w:val="18"/>
              </w:rPr>
            </w:pPr>
            <w:r w:rsidRPr="00566958">
              <w:rPr>
                <w:sz w:val="18"/>
              </w:rPr>
              <w:t>486</w:t>
            </w:r>
          </w:p>
        </w:tc>
        <w:tc>
          <w:tcPr>
            <w:tcW w:w="625" w:type="dxa"/>
            <w:shd w:val="clear" w:color="auto" w:fill="auto"/>
            <w:vAlign w:val="bottom"/>
          </w:tcPr>
          <w:p w:rsidR="00F233AB" w:rsidRPr="00566958" w:rsidRDefault="00F233AB" w:rsidP="00566958">
            <w:pPr>
              <w:suppressAutoHyphens w:val="0"/>
              <w:spacing w:before="40" w:after="40" w:line="220" w:lineRule="exact"/>
              <w:ind w:right="113"/>
              <w:jc w:val="right"/>
              <w:rPr>
                <w:sz w:val="18"/>
              </w:rPr>
            </w:pPr>
            <w:r w:rsidRPr="00566958">
              <w:rPr>
                <w:sz w:val="18"/>
              </w:rPr>
              <w:t>527</w:t>
            </w:r>
          </w:p>
        </w:tc>
      </w:tr>
      <w:tr w:rsidR="00F233AB" w:rsidRPr="00566958" w:rsidTr="00F9527B">
        <w:tc>
          <w:tcPr>
            <w:tcW w:w="294" w:type="dxa"/>
            <w:shd w:val="clear" w:color="auto" w:fill="auto"/>
            <w:hideMark/>
          </w:tcPr>
          <w:p w:rsidR="00F233AB" w:rsidRPr="00566958" w:rsidRDefault="00F233AB" w:rsidP="00566958">
            <w:pPr>
              <w:suppressAutoHyphens w:val="0"/>
              <w:spacing w:before="40" w:after="40" w:line="220" w:lineRule="exact"/>
              <w:ind w:right="113"/>
              <w:rPr>
                <w:sz w:val="18"/>
              </w:rPr>
            </w:pPr>
            <w:r w:rsidRPr="00566958">
              <w:rPr>
                <w:sz w:val="18"/>
              </w:rPr>
              <w:t>5</w:t>
            </w:r>
          </w:p>
        </w:tc>
        <w:tc>
          <w:tcPr>
            <w:tcW w:w="1680" w:type="dxa"/>
            <w:shd w:val="clear" w:color="auto" w:fill="auto"/>
            <w:vAlign w:val="bottom"/>
            <w:hideMark/>
          </w:tcPr>
          <w:p w:rsidR="00F233AB" w:rsidRPr="00566958" w:rsidRDefault="00F233AB" w:rsidP="00566958">
            <w:pPr>
              <w:suppressAutoHyphens w:val="0"/>
              <w:spacing w:before="40" w:after="40" w:line="220" w:lineRule="exact"/>
              <w:ind w:right="113"/>
              <w:rPr>
                <w:sz w:val="18"/>
              </w:rPr>
            </w:pPr>
            <w:r w:rsidRPr="00566958">
              <w:rPr>
                <w:sz w:val="18"/>
              </w:rPr>
              <w:t>Juvenile</w:t>
            </w:r>
            <w:r w:rsidR="005B2A41" w:rsidRPr="00566958">
              <w:rPr>
                <w:sz w:val="18"/>
              </w:rPr>
              <w:t xml:space="preserve"> </w:t>
            </w:r>
            <w:r w:rsidRPr="00566958">
              <w:rPr>
                <w:sz w:val="18"/>
              </w:rPr>
              <w:t>prisoners</w:t>
            </w:r>
            <w:r w:rsidR="005B2A41" w:rsidRPr="00566958">
              <w:rPr>
                <w:sz w:val="18"/>
              </w:rPr>
              <w:t xml:space="preserve"> </w:t>
            </w:r>
            <w:r w:rsidRPr="00566958">
              <w:rPr>
                <w:sz w:val="18"/>
              </w:rPr>
              <w:t>(minors</w:t>
            </w:r>
            <w:r w:rsidR="005B2A41" w:rsidRPr="00566958">
              <w:rPr>
                <w:sz w:val="18"/>
              </w:rPr>
              <w:t xml:space="preserve"> </w:t>
            </w:r>
            <w:r w:rsidRPr="00566958">
              <w:rPr>
                <w:sz w:val="18"/>
              </w:rPr>
              <w:t>and</w:t>
            </w:r>
            <w:r w:rsidR="005B2A41" w:rsidRPr="00566958">
              <w:rPr>
                <w:sz w:val="18"/>
              </w:rPr>
              <w:t xml:space="preserve"> </w:t>
            </w:r>
            <w:r w:rsidRPr="00566958">
              <w:rPr>
                <w:sz w:val="18"/>
              </w:rPr>
              <w:t>young</w:t>
            </w:r>
            <w:r w:rsidR="005B2A41" w:rsidRPr="00566958">
              <w:rPr>
                <w:sz w:val="18"/>
              </w:rPr>
              <w:t xml:space="preserve"> </w:t>
            </w:r>
            <w:r w:rsidRPr="00566958">
              <w:rPr>
                <w:sz w:val="18"/>
              </w:rPr>
              <w:t>offenders)</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510</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568</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587</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600</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452</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358</w:t>
            </w:r>
          </w:p>
        </w:tc>
        <w:tc>
          <w:tcPr>
            <w:tcW w:w="625" w:type="dxa"/>
            <w:shd w:val="clear" w:color="auto" w:fill="auto"/>
            <w:vAlign w:val="bottom"/>
          </w:tcPr>
          <w:p w:rsidR="00F233AB" w:rsidRPr="00566958" w:rsidRDefault="00F233AB" w:rsidP="00566958">
            <w:pPr>
              <w:suppressAutoHyphens w:val="0"/>
              <w:spacing w:before="40" w:after="40" w:line="220" w:lineRule="exact"/>
              <w:ind w:right="113"/>
              <w:jc w:val="right"/>
              <w:rPr>
                <w:sz w:val="18"/>
              </w:rPr>
            </w:pPr>
            <w:r w:rsidRPr="00566958">
              <w:rPr>
                <w:sz w:val="18"/>
              </w:rPr>
              <w:t>245</w:t>
            </w:r>
          </w:p>
        </w:tc>
        <w:tc>
          <w:tcPr>
            <w:tcW w:w="625" w:type="dxa"/>
            <w:shd w:val="clear" w:color="auto" w:fill="auto"/>
            <w:vAlign w:val="bottom"/>
          </w:tcPr>
          <w:p w:rsidR="00F233AB" w:rsidRPr="00566958" w:rsidRDefault="00F233AB" w:rsidP="00566958">
            <w:pPr>
              <w:suppressAutoHyphens w:val="0"/>
              <w:spacing w:before="40" w:after="40" w:line="220" w:lineRule="exact"/>
              <w:ind w:right="113"/>
              <w:jc w:val="right"/>
              <w:rPr>
                <w:sz w:val="18"/>
              </w:rPr>
            </w:pPr>
            <w:r w:rsidRPr="00566958">
              <w:rPr>
                <w:sz w:val="18"/>
              </w:rPr>
              <w:t>250</w:t>
            </w:r>
          </w:p>
        </w:tc>
      </w:tr>
      <w:tr w:rsidR="00F233AB" w:rsidRPr="00566958" w:rsidTr="00F9527B">
        <w:tc>
          <w:tcPr>
            <w:tcW w:w="294" w:type="dxa"/>
            <w:shd w:val="clear" w:color="auto" w:fill="auto"/>
            <w:hideMark/>
          </w:tcPr>
          <w:p w:rsidR="00F233AB" w:rsidRPr="00566958" w:rsidRDefault="00F233AB" w:rsidP="00566958">
            <w:pPr>
              <w:suppressAutoHyphens w:val="0"/>
              <w:spacing w:before="40" w:after="40" w:line="220" w:lineRule="exact"/>
              <w:ind w:right="113"/>
              <w:rPr>
                <w:sz w:val="18"/>
              </w:rPr>
            </w:pPr>
            <w:r w:rsidRPr="00566958">
              <w:rPr>
                <w:sz w:val="18"/>
              </w:rPr>
              <w:t>6</w:t>
            </w:r>
          </w:p>
        </w:tc>
        <w:tc>
          <w:tcPr>
            <w:tcW w:w="1680" w:type="dxa"/>
            <w:shd w:val="clear" w:color="auto" w:fill="auto"/>
            <w:vAlign w:val="bottom"/>
            <w:hideMark/>
          </w:tcPr>
          <w:p w:rsidR="00F233AB" w:rsidRPr="00566958" w:rsidRDefault="00F233AB" w:rsidP="00566958">
            <w:pPr>
              <w:suppressAutoHyphens w:val="0"/>
              <w:spacing w:before="40" w:after="40" w:line="220" w:lineRule="exact"/>
              <w:ind w:right="113"/>
              <w:rPr>
                <w:sz w:val="18"/>
              </w:rPr>
            </w:pPr>
            <w:r w:rsidRPr="00566958">
              <w:rPr>
                <w:sz w:val="18"/>
              </w:rPr>
              <w:t>Number</w:t>
            </w:r>
            <w:r w:rsidR="005B2A41" w:rsidRPr="00566958">
              <w:rPr>
                <w:sz w:val="18"/>
              </w:rPr>
              <w:t xml:space="preserve"> </w:t>
            </w:r>
            <w:r w:rsidRPr="00566958">
              <w:rPr>
                <w:sz w:val="18"/>
              </w:rPr>
              <w:t>of</w:t>
            </w:r>
            <w:r w:rsidR="005B2A41" w:rsidRPr="00566958">
              <w:rPr>
                <w:sz w:val="18"/>
              </w:rPr>
              <w:t xml:space="preserve"> </w:t>
            </w:r>
            <w:r w:rsidRPr="00566958">
              <w:rPr>
                <w:sz w:val="18"/>
              </w:rPr>
              <w:t>prisoners</w:t>
            </w:r>
            <w:r w:rsidR="005B2A41" w:rsidRPr="00566958">
              <w:rPr>
                <w:sz w:val="18"/>
              </w:rPr>
              <w:t xml:space="preserve"> </w:t>
            </w:r>
            <w:r w:rsidRPr="00566958">
              <w:rPr>
                <w:sz w:val="18"/>
              </w:rPr>
              <w:t>for</w:t>
            </w:r>
            <w:r w:rsidR="005B2A41" w:rsidRPr="00566958">
              <w:rPr>
                <w:sz w:val="18"/>
              </w:rPr>
              <w:t xml:space="preserve"> </w:t>
            </w:r>
            <w:r w:rsidRPr="00566958">
              <w:rPr>
                <w:sz w:val="18"/>
              </w:rPr>
              <w:t>drug</w:t>
            </w:r>
            <w:r w:rsidR="005B2A41" w:rsidRPr="00566958">
              <w:rPr>
                <w:sz w:val="18"/>
              </w:rPr>
              <w:t xml:space="preserve"> </w:t>
            </w:r>
            <w:r w:rsidRPr="00566958">
              <w:rPr>
                <w:sz w:val="18"/>
              </w:rPr>
              <w:t>related</w:t>
            </w:r>
            <w:r w:rsidR="005B2A41" w:rsidRPr="00566958">
              <w:rPr>
                <w:sz w:val="18"/>
              </w:rPr>
              <w:t xml:space="preserve"> </w:t>
            </w:r>
            <w:r w:rsidRPr="00566958">
              <w:rPr>
                <w:sz w:val="18"/>
              </w:rPr>
              <w:t>offences</w:t>
            </w:r>
            <w:r w:rsidR="005B2A41" w:rsidRPr="00566958">
              <w:rPr>
                <w:sz w:val="18"/>
              </w:rPr>
              <w:t xml:space="preserve"> </w:t>
            </w:r>
            <w:r w:rsidRPr="00566958">
              <w:rPr>
                <w:sz w:val="18"/>
              </w:rPr>
              <w:t>(including</w:t>
            </w:r>
            <w:r w:rsidR="005B2A41" w:rsidRPr="00566958">
              <w:rPr>
                <w:sz w:val="18"/>
              </w:rPr>
              <w:t xml:space="preserve"> </w:t>
            </w:r>
            <w:r w:rsidRPr="00566958">
              <w:rPr>
                <w:sz w:val="18"/>
              </w:rPr>
              <w:t>pre-trial</w:t>
            </w:r>
            <w:r w:rsidR="005B2A41" w:rsidRPr="00566958">
              <w:rPr>
                <w:sz w:val="18"/>
              </w:rPr>
              <w:t xml:space="preserve"> </w:t>
            </w:r>
            <w:r w:rsidRPr="00566958">
              <w:rPr>
                <w:sz w:val="18"/>
              </w:rPr>
              <w:t>detainees)</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4</w:t>
            </w:r>
            <w:r w:rsidR="00A843BC">
              <w:rPr>
                <w:sz w:val="18"/>
              </w:rPr>
              <w:t xml:space="preserve"> </w:t>
            </w:r>
            <w:r w:rsidRPr="00566958">
              <w:rPr>
                <w:sz w:val="18"/>
              </w:rPr>
              <w:t>345</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4</w:t>
            </w:r>
            <w:r w:rsidR="00A843BC">
              <w:rPr>
                <w:sz w:val="18"/>
              </w:rPr>
              <w:t xml:space="preserve"> </w:t>
            </w:r>
            <w:r w:rsidRPr="00566958">
              <w:rPr>
                <w:sz w:val="18"/>
              </w:rPr>
              <w:t>303</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4</w:t>
            </w:r>
            <w:r w:rsidR="00A843BC">
              <w:rPr>
                <w:sz w:val="18"/>
              </w:rPr>
              <w:t xml:space="preserve"> </w:t>
            </w:r>
            <w:r w:rsidRPr="00566958">
              <w:rPr>
                <w:sz w:val="18"/>
              </w:rPr>
              <w:t>136</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4</w:t>
            </w:r>
            <w:r w:rsidR="00A843BC">
              <w:rPr>
                <w:sz w:val="18"/>
              </w:rPr>
              <w:t xml:space="preserve"> </w:t>
            </w:r>
            <w:r w:rsidRPr="00566958">
              <w:rPr>
                <w:sz w:val="18"/>
              </w:rPr>
              <w:t>267</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3</w:t>
            </w:r>
            <w:r w:rsidR="00A843BC">
              <w:rPr>
                <w:sz w:val="18"/>
              </w:rPr>
              <w:t xml:space="preserve"> </w:t>
            </w:r>
            <w:r w:rsidRPr="00566958">
              <w:rPr>
                <w:sz w:val="18"/>
              </w:rPr>
              <w:t>384</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2</w:t>
            </w:r>
            <w:r w:rsidR="00A843BC">
              <w:rPr>
                <w:sz w:val="18"/>
              </w:rPr>
              <w:t xml:space="preserve"> </w:t>
            </w:r>
            <w:r w:rsidRPr="00566958">
              <w:rPr>
                <w:sz w:val="18"/>
              </w:rPr>
              <w:t>872</w:t>
            </w:r>
          </w:p>
        </w:tc>
        <w:tc>
          <w:tcPr>
            <w:tcW w:w="625" w:type="dxa"/>
            <w:shd w:val="clear" w:color="auto" w:fill="auto"/>
            <w:vAlign w:val="bottom"/>
          </w:tcPr>
          <w:p w:rsidR="00F233AB" w:rsidRPr="00566958" w:rsidRDefault="00F233AB" w:rsidP="00566958">
            <w:pPr>
              <w:suppressAutoHyphens w:val="0"/>
              <w:spacing w:before="40" w:after="40" w:line="220" w:lineRule="exact"/>
              <w:ind w:right="113"/>
              <w:jc w:val="right"/>
              <w:rPr>
                <w:sz w:val="18"/>
              </w:rPr>
            </w:pPr>
            <w:r w:rsidRPr="00566958">
              <w:rPr>
                <w:sz w:val="18"/>
              </w:rPr>
              <w:t>1</w:t>
            </w:r>
            <w:r w:rsidR="00A843BC">
              <w:rPr>
                <w:sz w:val="18"/>
              </w:rPr>
              <w:t xml:space="preserve"> </w:t>
            </w:r>
            <w:r w:rsidRPr="00566958">
              <w:rPr>
                <w:sz w:val="18"/>
              </w:rPr>
              <w:t>827</w:t>
            </w:r>
          </w:p>
        </w:tc>
        <w:tc>
          <w:tcPr>
            <w:tcW w:w="625" w:type="dxa"/>
            <w:shd w:val="clear" w:color="auto" w:fill="auto"/>
            <w:vAlign w:val="bottom"/>
          </w:tcPr>
          <w:p w:rsidR="00F233AB" w:rsidRPr="00566958" w:rsidRDefault="00F233AB" w:rsidP="00566958">
            <w:pPr>
              <w:suppressAutoHyphens w:val="0"/>
              <w:spacing w:before="40" w:after="40" w:line="220" w:lineRule="exact"/>
              <w:ind w:right="113"/>
              <w:jc w:val="right"/>
              <w:rPr>
                <w:sz w:val="18"/>
              </w:rPr>
            </w:pPr>
            <w:r w:rsidRPr="00566958">
              <w:rPr>
                <w:sz w:val="18"/>
              </w:rPr>
              <w:t>2</w:t>
            </w:r>
            <w:r w:rsidR="00A843BC">
              <w:rPr>
                <w:sz w:val="18"/>
              </w:rPr>
              <w:t xml:space="preserve"> </w:t>
            </w:r>
            <w:r w:rsidRPr="00566958">
              <w:rPr>
                <w:sz w:val="18"/>
              </w:rPr>
              <w:t>034</w:t>
            </w:r>
          </w:p>
        </w:tc>
      </w:tr>
      <w:tr w:rsidR="00F233AB" w:rsidRPr="00566958" w:rsidTr="00F9527B">
        <w:tc>
          <w:tcPr>
            <w:tcW w:w="294" w:type="dxa"/>
            <w:shd w:val="clear" w:color="auto" w:fill="auto"/>
            <w:hideMark/>
          </w:tcPr>
          <w:p w:rsidR="00F233AB" w:rsidRPr="00566958" w:rsidRDefault="00F233AB" w:rsidP="00566958">
            <w:pPr>
              <w:suppressAutoHyphens w:val="0"/>
              <w:spacing w:before="40" w:after="40" w:line="220" w:lineRule="exact"/>
              <w:ind w:right="113"/>
              <w:rPr>
                <w:sz w:val="18"/>
              </w:rPr>
            </w:pPr>
            <w:r w:rsidRPr="00566958">
              <w:rPr>
                <w:sz w:val="18"/>
              </w:rPr>
              <w:t>7</w:t>
            </w:r>
          </w:p>
        </w:tc>
        <w:tc>
          <w:tcPr>
            <w:tcW w:w="1680" w:type="dxa"/>
            <w:shd w:val="clear" w:color="auto" w:fill="auto"/>
            <w:vAlign w:val="bottom"/>
            <w:hideMark/>
          </w:tcPr>
          <w:p w:rsidR="00F233AB" w:rsidRPr="00566958" w:rsidRDefault="00F233AB" w:rsidP="00566958">
            <w:pPr>
              <w:suppressAutoHyphens w:val="0"/>
              <w:spacing w:before="40" w:after="40" w:line="220" w:lineRule="exact"/>
              <w:ind w:right="113"/>
              <w:rPr>
                <w:sz w:val="18"/>
              </w:rPr>
            </w:pPr>
            <w:r w:rsidRPr="00566958">
              <w:rPr>
                <w:sz w:val="18"/>
              </w:rPr>
              <w:t>Death</w:t>
            </w:r>
            <w:r w:rsidR="005B2A41" w:rsidRPr="00566958">
              <w:rPr>
                <w:sz w:val="18"/>
              </w:rPr>
              <w:t xml:space="preserve"> </w:t>
            </w:r>
            <w:r w:rsidRPr="00566958">
              <w:rPr>
                <w:sz w:val="18"/>
              </w:rPr>
              <w:t>sentence</w:t>
            </w:r>
            <w:r w:rsidR="005B2A41" w:rsidRPr="00566958">
              <w:rPr>
                <w:sz w:val="18"/>
              </w:rPr>
              <w:t xml:space="preserve"> </w:t>
            </w:r>
            <w:r w:rsidRPr="00566958">
              <w:rPr>
                <w:sz w:val="18"/>
              </w:rPr>
              <w:t>(officially</w:t>
            </w:r>
            <w:r w:rsidR="005B2A41" w:rsidRPr="00566958">
              <w:rPr>
                <w:sz w:val="18"/>
              </w:rPr>
              <w:t xml:space="preserve"> </w:t>
            </w:r>
            <w:r w:rsidRPr="00566958">
              <w:rPr>
                <w:sz w:val="18"/>
              </w:rPr>
              <w:t>abolished</w:t>
            </w:r>
            <w:r w:rsidR="005B2A41" w:rsidRPr="00566958">
              <w:rPr>
                <w:sz w:val="18"/>
              </w:rPr>
              <w:t xml:space="preserve"> </w:t>
            </w:r>
            <w:r w:rsidRPr="00566958">
              <w:rPr>
                <w:sz w:val="18"/>
              </w:rPr>
              <w:t>in</w:t>
            </w:r>
            <w:r w:rsidR="005B2A41" w:rsidRPr="00566958">
              <w:rPr>
                <w:sz w:val="18"/>
              </w:rPr>
              <w:t xml:space="preserve"> </w:t>
            </w:r>
            <w:r w:rsidRPr="00566958">
              <w:rPr>
                <w:sz w:val="18"/>
              </w:rPr>
              <w:t>1994)</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0</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0</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0</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0</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0</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0</w:t>
            </w:r>
          </w:p>
        </w:tc>
        <w:tc>
          <w:tcPr>
            <w:tcW w:w="625" w:type="dxa"/>
            <w:shd w:val="clear" w:color="auto" w:fill="auto"/>
            <w:vAlign w:val="bottom"/>
          </w:tcPr>
          <w:p w:rsidR="00F233AB" w:rsidRPr="00566958" w:rsidRDefault="00F233AB" w:rsidP="00566958">
            <w:pPr>
              <w:suppressAutoHyphens w:val="0"/>
              <w:spacing w:before="40" w:after="40" w:line="220" w:lineRule="exact"/>
              <w:ind w:right="113"/>
              <w:jc w:val="right"/>
              <w:rPr>
                <w:sz w:val="18"/>
              </w:rPr>
            </w:pPr>
            <w:r w:rsidRPr="00566958">
              <w:rPr>
                <w:sz w:val="18"/>
              </w:rPr>
              <w:t>0</w:t>
            </w:r>
          </w:p>
        </w:tc>
        <w:tc>
          <w:tcPr>
            <w:tcW w:w="625" w:type="dxa"/>
            <w:shd w:val="clear" w:color="auto" w:fill="auto"/>
            <w:vAlign w:val="bottom"/>
          </w:tcPr>
          <w:p w:rsidR="00F233AB" w:rsidRPr="00566958" w:rsidRDefault="00F233AB" w:rsidP="00566958">
            <w:pPr>
              <w:suppressAutoHyphens w:val="0"/>
              <w:spacing w:before="40" w:after="40" w:line="220" w:lineRule="exact"/>
              <w:ind w:right="113"/>
              <w:jc w:val="right"/>
              <w:rPr>
                <w:sz w:val="18"/>
              </w:rPr>
            </w:pPr>
            <w:r w:rsidRPr="00566958">
              <w:rPr>
                <w:sz w:val="18"/>
              </w:rPr>
              <w:t>0</w:t>
            </w:r>
          </w:p>
        </w:tc>
      </w:tr>
      <w:tr w:rsidR="00F233AB" w:rsidRPr="00566958" w:rsidTr="00F9527B">
        <w:tc>
          <w:tcPr>
            <w:tcW w:w="294" w:type="dxa"/>
            <w:shd w:val="clear" w:color="auto" w:fill="auto"/>
            <w:hideMark/>
          </w:tcPr>
          <w:p w:rsidR="00F233AB" w:rsidRPr="00566958" w:rsidRDefault="00F233AB" w:rsidP="00566958">
            <w:pPr>
              <w:suppressAutoHyphens w:val="0"/>
              <w:spacing w:before="40" w:after="40" w:line="220" w:lineRule="exact"/>
              <w:ind w:right="113"/>
              <w:rPr>
                <w:sz w:val="18"/>
              </w:rPr>
            </w:pPr>
            <w:r w:rsidRPr="00566958">
              <w:rPr>
                <w:sz w:val="18"/>
              </w:rPr>
              <w:t>8</w:t>
            </w:r>
          </w:p>
        </w:tc>
        <w:tc>
          <w:tcPr>
            <w:tcW w:w="1680" w:type="dxa"/>
            <w:shd w:val="clear" w:color="auto" w:fill="auto"/>
            <w:vAlign w:val="bottom"/>
            <w:hideMark/>
          </w:tcPr>
          <w:p w:rsidR="00F233AB" w:rsidRPr="00566958" w:rsidRDefault="00F233AB" w:rsidP="00566958">
            <w:pPr>
              <w:suppressAutoHyphens w:val="0"/>
              <w:spacing w:before="40" w:after="40" w:line="220" w:lineRule="exact"/>
              <w:ind w:right="113"/>
              <w:rPr>
                <w:sz w:val="18"/>
              </w:rPr>
            </w:pPr>
            <w:r w:rsidRPr="00566958">
              <w:rPr>
                <w:sz w:val="18"/>
              </w:rPr>
              <w:t>Prisoners</w:t>
            </w:r>
            <w:r w:rsidR="005B2A41" w:rsidRPr="00566958">
              <w:rPr>
                <w:sz w:val="18"/>
              </w:rPr>
              <w:t xml:space="preserve"> </w:t>
            </w:r>
            <w:r w:rsidRPr="00566958">
              <w:rPr>
                <w:sz w:val="18"/>
              </w:rPr>
              <w:t>serving</w:t>
            </w:r>
            <w:r w:rsidR="005B2A41" w:rsidRPr="00566958">
              <w:rPr>
                <w:sz w:val="18"/>
              </w:rPr>
              <w:t xml:space="preserve"> </w:t>
            </w:r>
            <w:r w:rsidRPr="00566958">
              <w:rPr>
                <w:sz w:val="18"/>
              </w:rPr>
              <w:t>life</w:t>
            </w:r>
            <w:r w:rsidR="005B2A41" w:rsidRPr="00566958">
              <w:rPr>
                <w:sz w:val="18"/>
              </w:rPr>
              <w:t xml:space="preserve"> </w:t>
            </w:r>
            <w:r w:rsidRPr="00566958">
              <w:rPr>
                <w:sz w:val="18"/>
              </w:rPr>
              <w:t>sentence</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823</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807</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977</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1</w:t>
            </w:r>
            <w:r w:rsidR="00611455">
              <w:rPr>
                <w:sz w:val="18"/>
              </w:rPr>
              <w:t xml:space="preserve"> </w:t>
            </w:r>
            <w:r w:rsidRPr="00566958">
              <w:rPr>
                <w:sz w:val="18"/>
              </w:rPr>
              <w:t>025</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1</w:t>
            </w:r>
            <w:r w:rsidR="00611455">
              <w:rPr>
                <w:sz w:val="18"/>
              </w:rPr>
              <w:t xml:space="preserve"> </w:t>
            </w:r>
            <w:r w:rsidRPr="00566958">
              <w:rPr>
                <w:sz w:val="18"/>
              </w:rPr>
              <w:t>041</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982</w:t>
            </w:r>
          </w:p>
        </w:tc>
        <w:tc>
          <w:tcPr>
            <w:tcW w:w="625" w:type="dxa"/>
            <w:shd w:val="clear" w:color="auto" w:fill="auto"/>
            <w:vAlign w:val="bottom"/>
          </w:tcPr>
          <w:p w:rsidR="00F233AB" w:rsidRPr="00566958" w:rsidRDefault="00F233AB" w:rsidP="00566958">
            <w:pPr>
              <w:suppressAutoHyphens w:val="0"/>
              <w:spacing w:before="40" w:after="40" w:line="220" w:lineRule="exact"/>
              <w:ind w:right="113"/>
              <w:jc w:val="right"/>
              <w:rPr>
                <w:sz w:val="18"/>
              </w:rPr>
            </w:pPr>
            <w:r w:rsidRPr="00566958">
              <w:rPr>
                <w:sz w:val="18"/>
              </w:rPr>
              <w:t>960</w:t>
            </w:r>
          </w:p>
        </w:tc>
        <w:tc>
          <w:tcPr>
            <w:tcW w:w="625" w:type="dxa"/>
            <w:shd w:val="clear" w:color="auto" w:fill="auto"/>
            <w:vAlign w:val="bottom"/>
          </w:tcPr>
          <w:p w:rsidR="00F233AB" w:rsidRPr="00566958" w:rsidRDefault="00F233AB" w:rsidP="00566958">
            <w:pPr>
              <w:suppressAutoHyphens w:val="0"/>
              <w:spacing w:before="40" w:after="40" w:line="220" w:lineRule="exact"/>
              <w:ind w:right="113"/>
              <w:jc w:val="right"/>
              <w:rPr>
                <w:sz w:val="18"/>
              </w:rPr>
            </w:pPr>
            <w:r w:rsidRPr="00566958">
              <w:rPr>
                <w:sz w:val="18"/>
              </w:rPr>
              <w:t>941</w:t>
            </w:r>
          </w:p>
        </w:tc>
      </w:tr>
      <w:tr w:rsidR="00F233AB" w:rsidRPr="00566958" w:rsidTr="00F9527B">
        <w:tc>
          <w:tcPr>
            <w:tcW w:w="294" w:type="dxa"/>
            <w:shd w:val="clear" w:color="auto" w:fill="auto"/>
            <w:hideMark/>
          </w:tcPr>
          <w:p w:rsidR="00F233AB" w:rsidRPr="00566958" w:rsidRDefault="00F233AB" w:rsidP="00566958">
            <w:pPr>
              <w:suppressAutoHyphens w:val="0"/>
              <w:spacing w:before="40" w:after="40" w:line="220" w:lineRule="exact"/>
              <w:ind w:right="113"/>
              <w:rPr>
                <w:sz w:val="18"/>
              </w:rPr>
            </w:pPr>
            <w:r w:rsidRPr="00566958">
              <w:rPr>
                <w:sz w:val="18"/>
              </w:rPr>
              <w:t>9</w:t>
            </w:r>
          </w:p>
        </w:tc>
        <w:tc>
          <w:tcPr>
            <w:tcW w:w="1680" w:type="dxa"/>
            <w:shd w:val="clear" w:color="auto" w:fill="auto"/>
            <w:vAlign w:val="bottom"/>
            <w:hideMark/>
          </w:tcPr>
          <w:p w:rsidR="00F233AB" w:rsidRPr="00566958" w:rsidRDefault="00F233AB" w:rsidP="00566958">
            <w:pPr>
              <w:suppressAutoHyphens w:val="0"/>
              <w:spacing w:before="40" w:after="40" w:line="220" w:lineRule="exact"/>
              <w:ind w:right="113"/>
              <w:rPr>
                <w:sz w:val="18"/>
              </w:rPr>
            </w:pPr>
            <w:r w:rsidRPr="00566958">
              <w:rPr>
                <w:sz w:val="18"/>
              </w:rPr>
              <w:t>Prisoners</w:t>
            </w:r>
            <w:r w:rsidR="005B2A41" w:rsidRPr="00566958">
              <w:rPr>
                <w:sz w:val="18"/>
              </w:rPr>
              <w:t xml:space="preserve"> </w:t>
            </w:r>
            <w:r w:rsidRPr="00566958">
              <w:rPr>
                <w:sz w:val="18"/>
              </w:rPr>
              <w:t>serving</w:t>
            </w:r>
            <w:r w:rsidR="005B2A41" w:rsidRPr="00566958">
              <w:rPr>
                <w:sz w:val="18"/>
              </w:rPr>
              <w:t xml:space="preserve"> </w:t>
            </w:r>
            <w:r w:rsidRPr="00566958">
              <w:rPr>
                <w:sz w:val="18"/>
              </w:rPr>
              <w:t>sentence</w:t>
            </w:r>
            <w:r w:rsidR="005B2A41" w:rsidRPr="00566958">
              <w:rPr>
                <w:sz w:val="18"/>
              </w:rPr>
              <w:t xml:space="preserve"> </w:t>
            </w:r>
            <w:r w:rsidRPr="00566958">
              <w:rPr>
                <w:sz w:val="18"/>
              </w:rPr>
              <w:t>from</w:t>
            </w:r>
            <w:r w:rsidR="005B2A41" w:rsidRPr="00566958">
              <w:rPr>
                <w:sz w:val="18"/>
              </w:rPr>
              <w:t xml:space="preserve"> </w:t>
            </w:r>
            <w:r w:rsidRPr="00566958">
              <w:rPr>
                <w:sz w:val="18"/>
              </w:rPr>
              <w:t>5</w:t>
            </w:r>
            <w:r w:rsidR="005B2A41" w:rsidRPr="00566958">
              <w:rPr>
                <w:sz w:val="18"/>
              </w:rPr>
              <w:t xml:space="preserve"> </w:t>
            </w:r>
            <w:r w:rsidRPr="00566958">
              <w:rPr>
                <w:sz w:val="18"/>
              </w:rPr>
              <w:t>to</w:t>
            </w:r>
            <w:r w:rsidR="005B2A41" w:rsidRPr="00566958">
              <w:rPr>
                <w:sz w:val="18"/>
              </w:rPr>
              <w:t xml:space="preserve"> </w:t>
            </w:r>
            <w:r w:rsidRPr="00566958">
              <w:rPr>
                <w:sz w:val="18"/>
              </w:rPr>
              <w:t>20</w:t>
            </w:r>
            <w:r w:rsidR="005B2A41" w:rsidRPr="00566958">
              <w:rPr>
                <w:sz w:val="18"/>
              </w:rPr>
              <w:t xml:space="preserve"> </w:t>
            </w:r>
            <w:r w:rsidRPr="00566958">
              <w:rPr>
                <w:sz w:val="18"/>
              </w:rPr>
              <w:t>years</w:t>
            </w:r>
          </w:p>
        </w:tc>
        <w:tc>
          <w:tcPr>
            <w:tcW w:w="690" w:type="dxa"/>
            <w:shd w:val="clear" w:color="auto" w:fill="auto"/>
            <w:vAlign w:val="bottom"/>
            <w:hideMark/>
          </w:tcPr>
          <w:p w:rsidR="00F233AB" w:rsidRPr="00566958" w:rsidRDefault="005B2A41" w:rsidP="00566958">
            <w:pPr>
              <w:suppressAutoHyphens w:val="0"/>
              <w:spacing w:before="40" w:after="40" w:line="220" w:lineRule="exact"/>
              <w:ind w:right="113"/>
              <w:jc w:val="right"/>
              <w:rPr>
                <w:sz w:val="18"/>
              </w:rPr>
            </w:pPr>
            <w:r w:rsidRPr="00566958">
              <w:rPr>
                <w:sz w:val="18"/>
              </w:rPr>
              <w:t xml:space="preserve"> </w:t>
            </w:r>
          </w:p>
        </w:tc>
        <w:tc>
          <w:tcPr>
            <w:tcW w:w="690" w:type="dxa"/>
            <w:shd w:val="clear" w:color="auto" w:fill="auto"/>
            <w:vAlign w:val="bottom"/>
            <w:hideMark/>
          </w:tcPr>
          <w:p w:rsidR="00F233AB" w:rsidRPr="00566958" w:rsidRDefault="005B2A41" w:rsidP="00566958">
            <w:pPr>
              <w:suppressAutoHyphens w:val="0"/>
              <w:spacing w:before="40" w:after="40" w:line="220" w:lineRule="exact"/>
              <w:ind w:right="113"/>
              <w:jc w:val="right"/>
              <w:rPr>
                <w:sz w:val="18"/>
              </w:rPr>
            </w:pPr>
            <w:r w:rsidRPr="00566958">
              <w:rPr>
                <w:sz w:val="18"/>
              </w:rPr>
              <w:t xml:space="preserve"> </w:t>
            </w:r>
          </w:p>
        </w:tc>
        <w:tc>
          <w:tcPr>
            <w:tcW w:w="690" w:type="dxa"/>
            <w:shd w:val="clear" w:color="auto" w:fill="auto"/>
            <w:vAlign w:val="bottom"/>
            <w:hideMark/>
          </w:tcPr>
          <w:p w:rsidR="00F233AB" w:rsidRPr="00566958" w:rsidRDefault="005B2A41" w:rsidP="00566958">
            <w:pPr>
              <w:suppressAutoHyphens w:val="0"/>
              <w:spacing w:before="40" w:after="40" w:line="220" w:lineRule="exact"/>
              <w:ind w:right="113"/>
              <w:jc w:val="right"/>
              <w:rPr>
                <w:sz w:val="18"/>
              </w:rPr>
            </w:pPr>
            <w:r w:rsidRPr="00566958">
              <w:rPr>
                <w:sz w:val="18"/>
              </w:rPr>
              <w:t xml:space="preserve"> </w:t>
            </w:r>
          </w:p>
        </w:tc>
        <w:tc>
          <w:tcPr>
            <w:tcW w:w="690" w:type="dxa"/>
            <w:shd w:val="clear" w:color="auto" w:fill="auto"/>
            <w:vAlign w:val="bottom"/>
            <w:hideMark/>
          </w:tcPr>
          <w:p w:rsidR="00F233AB" w:rsidRPr="00566958" w:rsidRDefault="005B2A41" w:rsidP="00566958">
            <w:pPr>
              <w:suppressAutoHyphens w:val="0"/>
              <w:spacing w:before="40" w:after="40" w:line="220" w:lineRule="exact"/>
              <w:ind w:right="113"/>
              <w:jc w:val="right"/>
              <w:rPr>
                <w:sz w:val="18"/>
              </w:rPr>
            </w:pPr>
            <w:r w:rsidRPr="00566958">
              <w:rPr>
                <w:sz w:val="18"/>
              </w:rPr>
              <w:t xml:space="preserve"> </w:t>
            </w:r>
          </w:p>
        </w:tc>
        <w:tc>
          <w:tcPr>
            <w:tcW w:w="690" w:type="dxa"/>
            <w:shd w:val="clear" w:color="auto" w:fill="auto"/>
            <w:vAlign w:val="bottom"/>
            <w:hideMark/>
          </w:tcPr>
          <w:p w:rsidR="00F233AB" w:rsidRPr="00566958" w:rsidRDefault="005B2A41" w:rsidP="00566958">
            <w:pPr>
              <w:suppressAutoHyphens w:val="0"/>
              <w:spacing w:before="40" w:after="40" w:line="220" w:lineRule="exact"/>
              <w:ind w:right="113"/>
              <w:jc w:val="right"/>
              <w:rPr>
                <w:sz w:val="18"/>
              </w:rPr>
            </w:pPr>
            <w:r w:rsidRPr="00566958">
              <w:rPr>
                <w:sz w:val="18"/>
              </w:rPr>
              <w:t xml:space="preserve"> </w:t>
            </w:r>
          </w:p>
        </w:tc>
        <w:tc>
          <w:tcPr>
            <w:tcW w:w="690" w:type="dxa"/>
            <w:shd w:val="clear" w:color="auto" w:fill="auto"/>
            <w:vAlign w:val="bottom"/>
            <w:hideMark/>
          </w:tcPr>
          <w:p w:rsidR="00F233AB" w:rsidRPr="00566958" w:rsidRDefault="005B2A41" w:rsidP="00566958">
            <w:pPr>
              <w:suppressAutoHyphens w:val="0"/>
              <w:spacing w:before="40" w:after="40" w:line="220" w:lineRule="exact"/>
              <w:ind w:right="113"/>
              <w:jc w:val="right"/>
              <w:rPr>
                <w:sz w:val="18"/>
              </w:rPr>
            </w:pPr>
            <w:r w:rsidRPr="00566958">
              <w:rPr>
                <w:sz w:val="18"/>
              </w:rPr>
              <w:t xml:space="preserve"> </w:t>
            </w:r>
          </w:p>
        </w:tc>
        <w:tc>
          <w:tcPr>
            <w:tcW w:w="625" w:type="dxa"/>
            <w:shd w:val="clear" w:color="auto" w:fill="auto"/>
            <w:vAlign w:val="bottom"/>
          </w:tcPr>
          <w:p w:rsidR="00F233AB" w:rsidRPr="00566958" w:rsidRDefault="00F233AB" w:rsidP="00566958">
            <w:pPr>
              <w:suppressAutoHyphens w:val="0"/>
              <w:spacing w:before="40" w:after="40" w:line="220" w:lineRule="exact"/>
              <w:ind w:right="113"/>
              <w:jc w:val="right"/>
              <w:rPr>
                <w:sz w:val="18"/>
              </w:rPr>
            </w:pPr>
          </w:p>
        </w:tc>
        <w:tc>
          <w:tcPr>
            <w:tcW w:w="625" w:type="dxa"/>
            <w:shd w:val="clear" w:color="auto" w:fill="auto"/>
            <w:vAlign w:val="bottom"/>
          </w:tcPr>
          <w:p w:rsidR="00F233AB" w:rsidRPr="00566958" w:rsidRDefault="00F233AB" w:rsidP="00566958">
            <w:pPr>
              <w:suppressAutoHyphens w:val="0"/>
              <w:spacing w:before="40" w:after="40" w:line="220" w:lineRule="exact"/>
              <w:ind w:right="113"/>
              <w:jc w:val="right"/>
              <w:rPr>
                <w:sz w:val="18"/>
              </w:rPr>
            </w:pPr>
          </w:p>
        </w:tc>
      </w:tr>
      <w:tr w:rsidR="00F233AB" w:rsidRPr="00566958" w:rsidTr="00F9527B">
        <w:tc>
          <w:tcPr>
            <w:tcW w:w="294" w:type="dxa"/>
            <w:shd w:val="clear" w:color="auto" w:fill="auto"/>
            <w:hideMark/>
          </w:tcPr>
          <w:p w:rsidR="00F233AB" w:rsidRPr="00566958" w:rsidRDefault="005B2A41" w:rsidP="00566958">
            <w:pPr>
              <w:suppressAutoHyphens w:val="0"/>
              <w:spacing w:before="40" w:after="40" w:line="220" w:lineRule="exact"/>
              <w:ind w:right="113"/>
              <w:rPr>
                <w:sz w:val="18"/>
              </w:rPr>
            </w:pPr>
            <w:r w:rsidRPr="00566958">
              <w:rPr>
                <w:sz w:val="18"/>
              </w:rPr>
              <w:t xml:space="preserve"> </w:t>
            </w:r>
          </w:p>
        </w:tc>
        <w:tc>
          <w:tcPr>
            <w:tcW w:w="1680" w:type="dxa"/>
            <w:shd w:val="clear" w:color="auto" w:fill="auto"/>
            <w:vAlign w:val="bottom"/>
            <w:hideMark/>
          </w:tcPr>
          <w:p w:rsidR="00F233AB" w:rsidRPr="00566958" w:rsidRDefault="00F233AB" w:rsidP="00F9527B">
            <w:pPr>
              <w:suppressAutoHyphens w:val="0"/>
              <w:spacing w:before="40" w:after="40" w:line="220" w:lineRule="exact"/>
              <w:ind w:left="134" w:right="113"/>
              <w:rPr>
                <w:sz w:val="18"/>
              </w:rPr>
            </w:pPr>
            <w:r w:rsidRPr="00566958">
              <w:rPr>
                <w:sz w:val="18"/>
              </w:rPr>
              <w:t>from</w:t>
            </w:r>
            <w:r w:rsidR="005B2A41" w:rsidRPr="00566958">
              <w:rPr>
                <w:sz w:val="18"/>
              </w:rPr>
              <w:t xml:space="preserve"> </w:t>
            </w:r>
            <w:r w:rsidRPr="00566958">
              <w:rPr>
                <w:sz w:val="18"/>
              </w:rPr>
              <w:t>5</w:t>
            </w:r>
            <w:r w:rsidR="005B2A41" w:rsidRPr="00566958">
              <w:rPr>
                <w:sz w:val="18"/>
              </w:rPr>
              <w:t xml:space="preserve"> </w:t>
            </w:r>
            <w:r w:rsidRPr="00566958">
              <w:rPr>
                <w:sz w:val="18"/>
              </w:rPr>
              <w:t>to</w:t>
            </w:r>
            <w:r w:rsidR="005B2A41" w:rsidRPr="00566958">
              <w:rPr>
                <w:sz w:val="18"/>
              </w:rPr>
              <w:t xml:space="preserve"> </w:t>
            </w:r>
            <w:r w:rsidRPr="00566958">
              <w:rPr>
                <w:sz w:val="18"/>
              </w:rPr>
              <w:t>10</w:t>
            </w:r>
            <w:r w:rsidR="005B2A41" w:rsidRPr="00566958">
              <w:rPr>
                <w:sz w:val="18"/>
              </w:rPr>
              <w:t xml:space="preserve"> </w:t>
            </w:r>
            <w:r w:rsidRPr="00566958">
              <w:rPr>
                <w:sz w:val="18"/>
              </w:rPr>
              <w:t>years</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2</w:t>
            </w:r>
            <w:r w:rsidR="00611455">
              <w:rPr>
                <w:sz w:val="18"/>
              </w:rPr>
              <w:t xml:space="preserve"> </w:t>
            </w:r>
            <w:r w:rsidRPr="00566958">
              <w:rPr>
                <w:sz w:val="18"/>
              </w:rPr>
              <w:t>594</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2</w:t>
            </w:r>
            <w:r w:rsidR="00611455">
              <w:rPr>
                <w:sz w:val="18"/>
              </w:rPr>
              <w:t xml:space="preserve"> </w:t>
            </w:r>
            <w:r w:rsidRPr="00566958">
              <w:rPr>
                <w:sz w:val="18"/>
              </w:rPr>
              <w:t>385</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2</w:t>
            </w:r>
            <w:r w:rsidR="00611455">
              <w:rPr>
                <w:sz w:val="18"/>
              </w:rPr>
              <w:t xml:space="preserve"> </w:t>
            </w:r>
            <w:r w:rsidRPr="00566958">
              <w:rPr>
                <w:sz w:val="18"/>
              </w:rPr>
              <w:t>511</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2</w:t>
            </w:r>
            <w:r w:rsidR="00611455">
              <w:rPr>
                <w:sz w:val="18"/>
              </w:rPr>
              <w:t xml:space="preserve"> </w:t>
            </w:r>
            <w:r w:rsidRPr="00566958">
              <w:rPr>
                <w:sz w:val="18"/>
              </w:rPr>
              <w:t>535</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3</w:t>
            </w:r>
            <w:r w:rsidR="00611455">
              <w:rPr>
                <w:sz w:val="18"/>
              </w:rPr>
              <w:t xml:space="preserve"> </w:t>
            </w:r>
            <w:r w:rsidRPr="00566958">
              <w:rPr>
                <w:sz w:val="18"/>
              </w:rPr>
              <w:t>557</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2</w:t>
            </w:r>
            <w:r w:rsidR="00611455">
              <w:rPr>
                <w:sz w:val="18"/>
              </w:rPr>
              <w:t xml:space="preserve"> </w:t>
            </w:r>
            <w:r w:rsidRPr="00566958">
              <w:rPr>
                <w:sz w:val="18"/>
              </w:rPr>
              <w:t>887</w:t>
            </w:r>
          </w:p>
        </w:tc>
        <w:tc>
          <w:tcPr>
            <w:tcW w:w="625" w:type="dxa"/>
            <w:shd w:val="clear" w:color="auto" w:fill="auto"/>
            <w:vAlign w:val="bottom"/>
          </w:tcPr>
          <w:p w:rsidR="00F233AB" w:rsidRPr="00566958" w:rsidRDefault="00F233AB" w:rsidP="00566958">
            <w:pPr>
              <w:suppressAutoHyphens w:val="0"/>
              <w:spacing w:before="40" w:after="40" w:line="220" w:lineRule="exact"/>
              <w:ind w:right="113"/>
              <w:jc w:val="right"/>
              <w:rPr>
                <w:sz w:val="18"/>
              </w:rPr>
            </w:pPr>
            <w:r w:rsidRPr="00566958">
              <w:rPr>
                <w:sz w:val="18"/>
              </w:rPr>
              <w:t>2</w:t>
            </w:r>
            <w:r w:rsidR="00611455">
              <w:rPr>
                <w:sz w:val="18"/>
              </w:rPr>
              <w:t xml:space="preserve"> </w:t>
            </w:r>
            <w:r w:rsidRPr="00566958">
              <w:rPr>
                <w:sz w:val="18"/>
              </w:rPr>
              <w:t>013</w:t>
            </w:r>
          </w:p>
        </w:tc>
        <w:tc>
          <w:tcPr>
            <w:tcW w:w="625" w:type="dxa"/>
            <w:shd w:val="clear" w:color="auto" w:fill="auto"/>
            <w:vAlign w:val="bottom"/>
          </w:tcPr>
          <w:p w:rsidR="00F233AB" w:rsidRPr="00566958" w:rsidRDefault="00F233AB" w:rsidP="00566958">
            <w:pPr>
              <w:suppressAutoHyphens w:val="0"/>
              <w:spacing w:before="40" w:after="40" w:line="220" w:lineRule="exact"/>
              <w:ind w:right="113"/>
              <w:jc w:val="right"/>
              <w:rPr>
                <w:sz w:val="18"/>
              </w:rPr>
            </w:pPr>
            <w:r w:rsidRPr="00566958">
              <w:rPr>
                <w:sz w:val="18"/>
              </w:rPr>
              <w:t>1</w:t>
            </w:r>
            <w:r w:rsidR="00611455">
              <w:rPr>
                <w:sz w:val="18"/>
              </w:rPr>
              <w:t xml:space="preserve"> </w:t>
            </w:r>
            <w:r w:rsidRPr="00566958">
              <w:rPr>
                <w:sz w:val="18"/>
              </w:rPr>
              <w:t>798</w:t>
            </w:r>
          </w:p>
        </w:tc>
      </w:tr>
      <w:tr w:rsidR="00F233AB" w:rsidRPr="00566958" w:rsidTr="00F9527B">
        <w:tc>
          <w:tcPr>
            <w:tcW w:w="294" w:type="dxa"/>
            <w:shd w:val="clear" w:color="auto" w:fill="auto"/>
            <w:hideMark/>
          </w:tcPr>
          <w:p w:rsidR="00F233AB" w:rsidRPr="00566958" w:rsidRDefault="005B2A41" w:rsidP="00566958">
            <w:pPr>
              <w:suppressAutoHyphens w:val="0"/>
              <w:spacing w:before="40" w:after="40" w:line="220" w:lineRule="exact"/>
              <w:ind w:right="113"/>
              <w:rPr>
                <w:sz w:val="18"/>
              </w:rPr>
            </w:pPr>
            <w:r w:rsidRPr="00566958">
              <w:rPr>
                <w:sz w:val="18"/>
              </w:rPr>
              <w:t xml:space="preserve"> </w:t>
            </w:r>
          </w:p>
        </w:tc>
        <w:tc>
          <w:tcPr>
            <w:tcW w:w="1680" w:type="dxa"/>
            <w:shd w:val="clear" w:color="auto" w:fill="auto"/>
            <w:vAlign w:val="bottom"/>
            <w:hideMark/>
          </w:tcPr>
          <w:p w:rsidR="00F233AB" w:rsidRPr="00566958" w:rsidRDefault="00F233AB" w:rsidP="00F9527B">
            <w:pPr>
              <w:suppressAutoHyphens w:val="0"/>
              <w:spacing w:before="40" w:after="40" w:line="220" w:lineRule="exact"/>
              <w:ind w:left="134" w:right="113"/>
              <w:rPr>
                <w:sz w:val="18"/>
              </w:rPr>
            </w:pPr>
            <w:r w:rsidRPr="00566958">
              <w:rPr>
                <w:sz w:val="18"/>
              </w:rPr>
              <w:t>from</w:t>
            </w:r>
            <w:r w:rsidR="005B2A41" w:rsidRPr="00566958">
              <w:rPr>
                <w:sz w:val="18"/>
              </w:rPr>
              <w:t xml:space="preserve"> </w:t>
            </w:r>
            <w:r w:rsidRPr="00566958">
              <w:rPr>
                <w:sz w:val="18"/>
              </w:rPr>
              <w:t>10</w:t>
            </w:r>
            <w:r w:rsidR="005B2A41" w:rsidRPr="00566958">
              <w:rPr>
                <w:sz w:val="18"/>
              </w:rPr>
              <w:t xml:space="preserve"> </w:t>
            </w:r>
            <w:r w:rsidRPr="00566958">
              <w:rPr>
                <w:sz w:val="18"/>
              </w:rPr>
              <w:t>to</w:t>
            </w:r>
            <w:r w:rsidR="005B2A41" w:rsidRPr="00566958">
              <w:rPr>
                <w:sz w:val="18"/>
              </w:rPr>
              <w:t xml:space="preserve"> </w:t>
            </w:r>
            <w:r w:rsidRPr="00566958">
              <w:rPr>
                <w:sz w:val="18"/>
              </w:rPr>
              <w:t>15</w:t>
            </w:r>
            <w:r w:rsidR="005B2A41" w:rsidRPr="00566958">
              <w:rPr>
                <w:sz w:val="18"/>
              </w:rPr>
              <w:t xml:space="preserve"> </w:t>
            </w:r>
            <w:r w:rsidRPr="00566958">
              <w:rPr>
                <w:sz w:val="18"/>
              </w:rPr>
              <w:t>years</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1</w:t>
            </w:r>
            <w:r w:rsidR="00611455">
              <w:rPr>
                <w:sz w:val="18"/>
              </w:rPr>
              <w:t xml:space="preserve"> </w:t>
            </w:r>
            <w:r w:rsidRPr="00566958">
              <w:rPr>
                <w:sz w:val="18"/>
              </w:rPr>
              <w:t>564</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1</w:t>
            </w:r>
            <w:r w:rsidR="00611455">
              <w:rPr>
                <w:sz w:val="18"/>
              </w:rPr>
              <w:t xml:space="preserve"> </w:t>
            </w:r>
            <w:r w:rsidRPr="00566958">
              <w:rPr>
                <w:sz w:val="18"/>
              </w:rPr>
              <w:t>584</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1</w:t>
            </w:r>
            <w:r w:rsidR="00611455">
              <w:rPr>
                <w:sz w:val="18"/>
              </w:rPr>
              <w:t xml:space="preserve"> </w:t>
            </w:r>
            <w:r w:rsidRPr="00566958">
              <w:rPr>
                <w:sz w:val="18"/>
              </w:rPr>
              <w:t>665</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1</w:t>
            </w:r>
            <w:r w:rsidR="00611455">
              <w:rPr>
                <w:sz w:val="18"/>
              </w:rPr>
              <w:t xml:space="preserve"> </w:t>
            </w:r>
            <w:r w:rsidRPr="00566958">
              <w:rPr>
                <w:sz w:val="18"/>
              </w:rPr>
              <w:t>728</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1</w:t>
            </w:r>
            <w:r w:rsidR="00611455">
              <w:rPr>
                <w:sz w:val="18"/>
              </w:rPr>
              <w:t xml:space="preserve"> </w:t>
            </w:r>
            <w:r w:rsidRPr="00566958">
              <w:rPr>
                <w:sz w:val="18"/>
              </w:rPr>
              <w:t>979</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1</w:t>
            </w:r>
            <w:r w:rsidR="00611455">
              <w:rPr>
                <w:sz w:val="18"/>
              </w:rPr>
              <w:t xml:space="preserve"> </w:t>
            </w:r>
            <w:r w:rsidRPr="00566958">
              <w:rPr>
                <w:sz w:val="18"/>
              </w:rPr>
              <w:t>827</w:t>
            </w:r>
          </w:p>
        </w:tc>
        <w:tc>
          <w:tcPr>
            <w:tcW w:w="625" w:type="dxa"/>
            <w:shd w:val="clear" w:color="auto" w:fill="auto"/>
            <w:vAlign w:val="bottom"/>
          </w:tcPr>
          <w:p w:rsidR="00F233AB" w:rsidRPr="00566958" w:rsidRDefault="00F233AB" w:rsidP="00566958">
            <w:pPr>
              <w:suppressAutoHyphens w:val="0"/>
              <w:spacing w:before="40" w:after="40" w:line="220" w:lineRule="exact"/>
              <w:ind w:right="113"/>
              <w:jc w:val="right"/>
              <w:rPr>
                <w:sz w:val="18"/>
              </w:rPr>
            </w:pPr>
            <w:r w:rsidRPr="00566958">
              <w:rPr>
                <w:sz w:val="18"/>
              </w:rPr>
              <w:t>1</w:t>
            </w:r>
            <w:r w:rsidR="00611455">
              <w:rPr>
                <w:sz w:val="18"/>
              </w:rPr>
              <w:t xml:space="preserve"> </w:t>
            </w:r>
            <w:r w:rsidRPr="00566958">
              <w:rPr>
                <w:sz w:val="18"/>
              </w:rPr>
              <w:t>360</w:t>
            </w:r>
          </w:p>
        </w:tc>
        <w:tc>
          <w:tcPr>
            <w:tcW w:w="625" w:type="dxa"/>
            <w:shd w:val="clear" w:color="auto" w:fill="auto"/>
            <w:vAlign w:val="bottom"/>
          </w:tcPr>
          <w:p w:rsidR="00F233AB" w:rsidRPr="00566958" w:rsidRDefault="00F233AB" w:rsidP="00566958">
            <w:pPr>
              <w:suppressAutoHyphens w:val="0"/>
              <w:spacing w:before="40" w:after="40" w:line="220" w:lineRule="exact"/>
              <w:ind w:right="113"/>
              <w:jc w:val="right"/>
              <w:rPr>
                <w:sz w:val="18"/>
              </w:rPr>
            </w:pPr>
            <w:r w:rsidRPr="00566958">
              <w:rPr>
                <w:sz w:val="18"/>
              </w:rPr>
              <w:t>1</w:t>
            </w:r>
            <w:r w:rsidR="00611455">
              <w:rPr>
                <w:sz w:val="18"/>
              </w:rPr>
              <w:t xml:space="preserve"> </w:t>
            </w:r>
            <w:r w:rsidRPr="00566958">
              <w:rPr>
                <w:sz w:val="18"/>
              </w:rPr>
              <w:t>150</w:t>
            </w:r>
          </w:p>
        </w:tc>
      </w:tr>
      <w:tr w:rsidR="00F233AB" w:rsidRPr="00566958" w:rsidTr="00F9527B">
        <w:tc>
          <w:tcPr>
            <w:tcW w:w="294" w:type="dxa"/>
            <w:shd w:val="clear" w:color="auto" w:fill="auto"/>
            <w:hideMark/>
          </w:tcPr>
          <w:p w:rsidR="00F233AB" w:rsidRPr="00566958" w:rsidRDefault="005B2A41" w:rsidP="00566958">
            <w:pPr>
              <w:suppressAutoHyphens w:val="0"/>
              <w:spacing w:before="40" w:after="40" w:line="220" w:lineRule="exact"/>
              <w:ind w:right="113"/>
              <w:rPr>
                <w:sz w:val="18"/>
              </w:rPr>
            </w:pPr>
            <w:r w:rsidRPr="00566958">
              <w:rPr>
                <w:sz w:val="18"/>
              </w:rPr>
              <w:t xml:space="preserve"> </w:t>
            </w:r>
          </w:p>
        </w:tc>
        <w:tc>
          <w:tcPr>
            <w:tcW w:w="1680" w:type="dxa"/>
            <w:shd w:val="clear" w:color="auto" w:fill="auto"/>
            <w:vAlign w:val="bottom"/>
            <w:hideMark/>
          </w:tcPr>
          <w:p w:rsidR="00F233AB" w:rsidRPr="00566958" w:rsidRDefault="00F233AB" w:rsidP="00F9527B">
            <w:pPr>
              <w:suppressAutoHyphens w:val="0"/>
              <w:spacing w:before="40" w:after="40" w:line="220" w:lineRule="exact"/>
              <w:ind w:left="134" w:right="113"/>
              <w:rPr>
                <w:sz w:val="18"/>
              </w:rPr>
            </w:pPr>
            <w:r w:rsidRPr="00566958">
              <w:rPr>
                <w:sz w:val="18"/>
              </w:rPr>
              <w:t>above</w:t>
            </w:r>
            <w:r w:rsidR="005B2A41" w:rsidRPr="00566958">
              <w:rPr>
                <w:sz w:val="18"/>
              </w:rPr>
              <w:t xml:space="preserve"> </w:t>
            </w:r>
            <w:r w:rsidRPr="00566958">
              <w:rPr>
                <w:sz w:val="18"/>
              </w:rPr>
              <w:t>15</w:t>
            </w:r>
            <w:r w:rsidR="005B2A41" w:rsidRPr="00566958">
              <w:rPr>
                <w:sz w:val="18"/>
              </w:rPr>
              <w:t xml:space="preserve"> </w:t>
            </w:r>
            <w:r w:rsidRPr="00566958">
              <w:rPr>
                <w:sz w:val="18"/>
              </w:rPr>
              <w:t>years</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1</w:t>
            </w:r>
            <w:r w:rsidR="00611455">
              <w:rPr>
                <w:sz w:val="18"/>
              </w:rPr>
              <w:t xml:space="preserve"> </w:t>
            </w:r>
            <w:r w:rsidRPr="00566958">
              <w:rPr>
                <w:sz w:val="18"/>
              </w:rPr>
              <w:t>090</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1</w:t>
            </w:r>
            <w:r w:rsidR="00611455">
              <w:rPr>
                <w:sz w:val="18"/>
              </w:rPr>
              <w:t xml:space="preserve"> </w:t>
            </w:r>
            <w:r w:rsidRPr="00566958">
              <w:rPr>
                <w:sz w:val="18"/>
              </w:rPr>
              <w:t>173</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3</w:t>
            </w:r>
            <w:r w:rsidR="00611455">
              <w:rPr>
                <w:sz w:val="18"/>
              </w:rPr>
              <w:t xml:space="preserve"> </w:t>
            </w:r>
            <w:r w:rsidRPr="00566958">
              <w:rPr>
                <w:sz w:val="18"/>
              </w:rPr>
              <w:t>100</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3</w:t>
            </w:r>
            <w:r w:rsidR="00611455">
              <w:rPr>
                <w:sz w:val="18"/>
              </w:rPr>
              <w:t xml:space="preserve"> </w:t>
            </w:r>
            <w:r w:rsidRPr="00566958">
              <w:rPr>
                <w:sz w:val="18"/>
              </w:rPr>
              <w:t>200</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2</w:t>
            </w:r>
            <w:r w:rsidR="00611455">
              <w:rPr>
                <w:sz w:val="18"/>
              </w:rPr>
              <w:t xml:space="preserve"> </w:t>
            </w:r>
            <w:r w:rsidRPr="00566958">
              <w:rPr>
                <w:sz w:val="18"/>
              </w:rPr>
              <w:t>055</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2</w:t>
            </w:r>
            <w:r w:rsidR="00611455">
              <w:rPr>
                <w:sz w:val="18"/>
              </w:rPr>
              <w:t xml:space="preserve"> </w:t>
            </w:r>
            <w:r w:rsidRPr="00566958">
              <w:rPr>
                <w:sz w:val="18"/>
              </w:rPr>
              <w:t>244</w:t>
            </w:r>
          </w:p>
        </w:tc>
        <w:tc>
          <w:tcPr>
            <w:tcW w:w="625" w:type="dxa"/>
            <w:shd w:val="clear" w:color="auto" w:fill="auto"/>
            <w:vAlign w:val="bottom"/>
          </w:tcPr>
          <w:p w:rsidR="00F233AB" w:rsidRPr="00566958" w:rsidRDefault="00F233AB" w:rsidP="00566958">
            <w:pPr>
              <w:suppressAutoHyphens w:val="0"/>
              <w:spacing w:before="40" w:after="40" w:line="220" w:lineRule="exact"/>
              <w:ind w:right="113"/>
              <w:jc w:val="right"/>
              <w:rPr>
                <w:sz w:val="18"/>
              </w:rPr>
            </w:pPr>
            <w:r w:rsidRPr="00566958">
              <w:rPr>
                <w:sz w:val="18"/>
              </w:rPr>
              <w:t>2</w:t>
            </w:r>
            <w:r w:rsidR="00611455">
              <w:rPr>
                <w:sz w:val="18"/>
              </w:rPr>
              <w:t xml:space="preserve"> </w:t>
            </w:r>
            <w:r w:rsidRPr="00566958">
              <w:rPr>
                <w:sz w:val="18"/>
              </w:rPr>
              <w:t>093</w:t>
            </w:r>
          </w:p>
        </w:tc>
        <w:tc>
          <w:tcPr>
            <w:tcW w:w="625" w:type="dxa"/>
            <w:shd w:val="clear" w:color="auto" w:fill="auto"/>
            <w:vAlign w:val="bottom"/>
          </w:tcPr>
          <w:p w:rsidR="00F233AB" w:rsidRPr="00566958" w:rsidRDefault="00F233AB" w:rsidP="00566958">
            <w:pPr>
              <w:suppressAutoHyphens w:val="0"/>
              <w:spacing w:before="40" w:after="40" w:line="220" w:lineRule="exact"/>
              <w:ind w:right="113"/>
              <w:jc w:val="right"/>
              <w:rPr>
                <w:sz w:val="18"/>
              </w:rPr>
            </w:pPr>
            <w:r w:rsidRPr="00566958">
              <w:rPr>
                <w:sz w:val="18"/>
              </w:rPr>
              <w:t>2</w:t>
            </w:r>
            <w:r w:rsidR="00611455">
              <w:rPr>
                <w:sz w:val="18"/>
              </w:rPr>
              <w:t xml:space="preserve"> </w:t>
            </w:r>
            <w:r w:rsidRPr="00566958">
              <w:rPr>
                <w:sz w:val="18"/>
              </w:rPr>
              <w:t>142</w:t>
            </w:r>
          </w:p>
        </w:tc>
      </w:tr>
      <w:tr w:rsidR="00F233AB" w:rsidRPr="00566958" w:rsidTr="00F9527B">
        <w:tc>
          <w:tcPr>
            <w:tcW w:w="294" w:type="dxa"/>
            <w:shd w:val="clear" w:color="auto" w:fill="auto"/>
            <w:hideMark/>
          </w:tcPr>
          <w:p w:rsidR="00F233AB" w:rsidRPr="00566958" w:rsidRDefault="00F233AB" w:rsidP="00566958">
            <w:pPr>
              <w:suppressAutoHyphens w:val="0"/>
              <w:spacing w:before="40" w:after="40" w:line="220" w:lineRule="exact"/>
              <w:ind w:right="113"/>
              <w:rPr>
                <w:sz w:val="18"/>
              </w:rPr>
            </w:pPr>
            <w:r w:rsidRPr="00566958">
              <w:rPr>
                <w:sz w:val="18"/>
              </w:rPr>
              <w:t>10</w:t>
            </w:r>
          </w:p>
        </w:tc>
        <w:tc>
          <w:tcPr>
            <w:tcW w:w="1680" w:type="dxa"/>
            <w:shd w:val="clear" w:color="auto" w:fill="auto"/>
            <w:vAlign w:val="bottom"/>
            <w:hideMark/>
          </w:tcPr>
          <w:p w:rsidR="00F233AB" w:rsidRPr="00566958" w:rsidRDefault="00F233AB" w:rsidP="00566958">
            <w:pPr>
              <w:suppressAutoHyphens w:val="0"/>
              <w:spacing w:before="40" w:after="40" w:line="220" w:lineRule="exact"/>
              <w:ind w:right="113"/>
              <w:rPr>
                <w:sz w:val="18"/>
              </w:rPr>
            </w:pPr>
            <w:r w:rsidRPr="00566958">
              <w:rPr>
                <w:sz w:val="18"/>
              </w:rPr>
              <w:t>Prisoners</w:t>
            </w:r>
            <w:r w:rsidR="005B2A41" w:rsidRPr="00566958">
              <w:rPr>
                <w:sz w:val="18"/>
              </w:rPr>
              <w:t xml:space="preserve"> </w:t>
            </w:r>
            <w:r w:rsidRPr="00566958">
              <w:rPr>
                <w:sz w:val="18"/>
              </w:rPr>
              <w:t>serving</w:t>
            </w:r>
            <w:r w:rsidR="005B2A41" w:rsidRPr="00566958">
              <w:rPr>
                <w:sz w:val="18"/>
              </w:rPr>
              <w:t xml:space="preserve"> </w:t>
            </w:r>
            <w:r w:rsidRPr="00566958">
              <w:rPr>
                <w:sz w:val="18"/>
              </w:rPr>
              <w:t>sentence</w:t>
            </w:r>
            <w:r w:rsidR="005B2A41" w:rsidRPr="00566958">
              <w:rPr>
                <w:sz w:val="18"/>
              </w:rPr>
              <w:t xml:space="preserve"> </w:t>
            </w:r>
            <w:r w:rsidRPr="00566958">
              <w:rPr>
                <w:sz w:val="18"/>
              </w:rPr>
              <w:t>from</w:t>
            </w:r>
            <w:r w:rsidR="005B2A41" w:rsidRPr="00566958">
              <w:rPr>
                <w:sz w:val="18"/>
              </w:rPr>
              <w:t xml:space="preserve"> </w:t>
            </w:r>
            <w:r w:rsidR="000930BB">
              <w:rPr>
                <w:sz w:val="18"/>
              </w:rPr>
              <w:br/>
            </w:r>
            <w:r w:rsidRPr="00566958">
              <w:rPr>
                <w:sz w:val="18"/>
              </w:rPr>
              <w:t>10</w:t>
            </w:r>
            <w:r w:rsidR="005B2A41" w:rsidRPr="00566958">
              <w:rPr>
                <w:sz w:val="18"/>
              </w:rPr>
              <w:t xml:space="preserve"> </w:t>
            </w:r>
            <w:r w:rsidRPr="00566958">
              <w:rPr>
                <w:sz w:val="18"/>
              </w:rPr>
              <w:t>days</w:t>
            </w:r>
            <w:r w:rsidR="005B2A41" w:rsidRPr="00566958">
              <w:rPr>
                <w:sz w:val="18"/>
              </w:rPr>
              <w:t xml:space="preserve"> </w:t>
            </w:r>
            <w:r w:rsidRPr="00566958">
              <w:rPr>
                <w:sz w:val="18"/>
              </w:rPr>
              <w:t>to</w:t>
            </w:r>
            <w:r w:rsidR="005B2A41" w:rsidRPr="00566958">
              <w:rPr>
                <w:sz w:val="18"/>
              </w:rPr>
              <w:t xml:space="preserve"> </w:t>
            </w:r>
            <w:r w:rsidRPr="00566958">
              <w:rPr>
                <w:sz w:val="18"/>
              </w:rPr>
              <w:t>5</w:t>
            </w:r>
            <w:r w:rsidR="005B2A41" w:rsidRPr="00566958">
              <w:rPr>
                <w:sz w:val="18"/>
              </w:rPr>
              <w:t xml:space="preserve"> </w:t>
            </w:r>
            <w:r w:rsidRPr="00566958">
              <w:rPr>
                <w:sz w:val="18"/>
              </w:rPr>
              <w:t>years</w:t>
            </w:r>
          </w:p>
        </w:tc>
        <w:tc>
          <w:tcPr>
            <w:tcW w:w="690" w:type="dxa"/>
            <w:shd w:val="clear" w:color="auto" w:fill="auto"/>
            <w:vAlign w:val="bottom"/>
            <w:hideMark/>
          </w:tcPr>
          <w:p w:rsidR="00F233AB" w:rsidRPr="00566958" w:rsidRDefault="005B2A41" w:rsidP="00566958">
            <w:pPr>
              <w:suppressAutoHyphens w:val="0"/>
              <w:spacing w:before="40" w:after="40" w:line="220" w:lineRule="exact"/>
              <w:ind w:right="113"/>
              <w:jc w:val="right"/>
              <w:rPr>
                <w:sz w:val="18"/>
              </w:rPr>
            </w:pPr>
            <w:r w:rsidRPr="00566958">
              <w:rPr>
                <w:sz w:val="18"/>
              </w:rPr>
              <w:t xml:space="preserve"> </w:t>
            </w:r>
          </w:p>
        </w:tc>
        <w:tc>
          <w:tcPr>
            <w:tcW w:w="690" w:type="dxa"/>
            <w:shd w:val="clear" w:color="auto" w:fill="auto"/>
            <w:vAlign w:val="bottom"/>
            <w:hideMark/>
          </w:tcPr>
          <w:p w:rsidR="00F233AB" w:rsidRPr="00566958" w:rsidRDefault="005B2A41" w:rsidP="00566958">
            <w:pPr>
              <w:suppressAutoHyphens w:val="0"/>
              <w:spacing w:before="40" w:after="40" w:line="220" w:lineRule="exact"/>
              <w:ind w:right="113"/>
              <w:jc w:val="right"/>
              <w:rPr>
                <w:sz w:val="18"/>
              </w:rPr>
            </w:pPr>
            <w:r w:rsidRPr="00566958">
              <w:rPr>
                <w:sz w:val="18"/>
              </w:rPr>
              <w:t xml:space="preserve"> </w:t>
            </w:r>
          </w:p>
        </w:tc>
        <w:tc>
          <w:tcPr>
            <w:tcW w:w="690" w:type="dxa"/>
            <w:shd w:val="clear" w:color="auto" w:fill="auto"/>
            <w:vAlign w:val="bottom"/>
            <w:hideMark/>
          </w:tcPr>
          <w:p w:rsidR="00F233AB" w:rsidRPr="00566958" w:rsidRDefault="005B2A41" w:rsidP="00566958">
            <w:pPr>
              <w:suppressAutoHyphens w:val="0"/>
              <w:spacing w:before="40" w:after="40" w:line="220" w:lineRule="exact"/>
              <w:ind w:right="113"/>
              <w:jc w:val="right"/>
              <w:rPr>
                <w:sz w:val="18"/>
              </w:rPr>
            </w:pPr>
            <w:r w:rsidRPr="00566958">
              <w:rPr>
                <w:sz w:val="18"/>
              </w:rPr>
              <w:t xml:space="preserve"> </w:t>
            </w:r>
          </w:p>
        </w:tc>
        <w:tc>
          <w:tcPr>
            <w:tcW w:w="690" w:type="dxa"/>
            <w:shd w:val="clear" w:color="auto" w:fill="auto"/>
            <w:vAlign w:val="bottom"/>
            <w:hideMark/>
          </w:tcPr>
          <w:p w:rsidR="00F233AB" w:rsidRPr="00566958" w:rsidRDefault="005B2A41" w:rsidP="00566958">
            <w:pPr>
              <w:suppressAutoHyphens w:val="0"/>
              <w:spacing w:before="40" w:after="40" w:line="220" w:lineRule="exact"/>
              <w:ind w:right="113"/>
              <w:jc w:val="right"/>
              <w:rPr>
                <w:sz w:val="18"/>
              </w:rPr>
            </w:pPr>
            <w:r w:rsidRPr="00566958">
              <w:rPr>
                <w:sz w:val="18"/>
              </w:rPr>
              <w:t xml:space="preserve"> </w:t>
            </w:r>
          </w:p>
        </w:tc>
        <w:tc>
          <w:tcPr>
            <w:tcW w:w="690" w:type="dxa"/>
            <w:shd w:val="clear" w:color="auto" w:fill="auto"/>
            <w:vAlign w:val="bottom"/>
            <w:hideMark/>
          </w:tcPr>
          <w:p w:rsidR="00F233AB" w:rsidRPr="00566958" w:rsidRDefault="005B2A41" w:rsidP="00566958">
            <w:pPr>
              <w:suppressAutoHyphens w:val="0"/>
              <w:spacing w:before="40" w:after="40" w:line="220" w:lineRule="exact"/>
              <w:ind w:right="113"/>
              <w:jc w:val="right"/>
              <w:rPr>
                <w:sz w:val="18"/>
              </w:rPr>
            </w:pPr>
            <w:r w:rsidRPr="00566958">
              <w:rPr>
                <w:sz w:val="18"/>
              </w:rPr>
              <w:t xml:space="preserve"> </w:t>
            </w:r>
          </w:p>
        </w:tc>
        <w:tc>
          <w:tcPr>
            <w:tcW w:w="690" w:type="dxa"/>
            <w:shd w:val="clear" w:color="auto" w:fill="auto"/>
            <w:vAlign w:val="bottom"/>
            <w:hideMark/>
          </w:tcPr>
          <w:p w:rsidR="00F233AB" w:rsidRPr="00566958" w:rsidRDefault="005B2A41" w:rsidP="00566958">
            <w:pPr>
              <w:suppressAutoHyphens w:val="0"/>
              <w:spacing w:before="40" w:after="40" w:line="220" w:lineRule="exact"/>
              <w:ind w:right="113"/>
              <w:jc w:val="right"/>
              <w:rPr>
                <w:sz w:val="18"/>
              </w:rPr>
            </w:pPr>
            <w:r w:rsidRPr="00566958">
              <w:rPr>
                <w:sz w:val="18"/>
              </w:rPr>
              <w:t xml:space="preserve"> </w:t>
            </w:r>
          </w:p>
        </w:tc>
        <w:tc>
          <w:tcPr>
            <w:tcW w:w="625" w:type="dxa"/>
            <w:shd w:val="clear" w:color="auto" w:fill="auto"/>
            <w:vAlign w:val="bottom"/>
          </w:tcPr>
          <w:p w:rsidR="00F233AB" w:rsidRPr="00566958" w:rsidRDefault="00F233AB" w:rsidP="00566958">
            <w:pPr>
              <w:suppressAutoHyphens w:val="0"/>
              <w:spacing w:before="40" w:after="40" w:line="220" w:lineRule="exact"/>
              <w:ind w:right="113"/>
              <w:jc w:val="right"/>
              <w:rPr>
                <w:sz w:val="18"/>
              </w:rPr>
            </w:pPr>
          </w:p>
        </w:tc>
        <w:tc>
          <w:tcPr>
            <w:tcW w:w="625" w:type="dxa"/>
            <w:shd w:val="clear" w:color="auto" w:fill="auto"/>
            <w:vAlign w:val="bottom"/>
          </w:tcPr>
          <w:p w:rsidR="00F233AB" w:rsidRPr="00566958" w:rsidRDefault="00F233AB" w:rsidP="00566958">
            <w:pPr>
              <w:suppressAutoHyphens w:val="0"/>
              <w:spacing w:before="40" w:after="40" w:line="220" w:lineRule="exact"/>
              <w:ind w:right="113"/>
              <w:jc w:val="right"/>
              <w:rPr>
                <w:sz w:val="18"/>
              </w:rPr>
            </w:pPr>
          </w:p>
        </w:tc>
      </w:tr>
      <w:tr w:rsidR="00F233AB" w:rsidRPr="00566958" w:rsidTr="00F9527B">
        <w:tc>
          <w:tcPr>
            <w:tcW w:w="294" w:type="dxa"/>
            <w:shd w:val="clear" w:color="auto" w:fill="auto"/>
            <w:hideMark/>
          </w:tcPr>
          <w:p w:rsidR="00F233AB" w:rsidRPr="00566958" w:rsidRDefault="005B2A41" w:rsidP="00566958">
            <w:pPr>
              <w:suppressAutoHyphens w:val="0"/>
              <w:spacing w:before="40" w:after="40" w:line="220" w:lineRule="exact"/>
              <w:ind w:right="113"/>
              <w:rPr>
                <w:sz w:val="18"/>
              </w:rPr>
            </w:pPr>
            <w:r w:rsidRPr="00566958">
              <w:rPr>
                <w:sz w:val="18"/>
              </w:rPr>
              <w:t xml:space="preserve"> </w:t>
            </w:r>
          </w:p>
        </w:tc>
        <w:tc>
          <w:tcPr>
            <w:tcW w:w="1680" w:type="dxa"/>
            <w:shd w:val="clear" w:color="auto" w:fill="auto"/>
            <w:vAlign w:val="bottom"/>
            <w:hideMark/>
          </w:tcPr>
          <w:p w:rsidR="00F233AB" w:rsidRPr="00566958" w:rsidRDefault="00F233AB" w:rsidP="00F9527B">
            <w:pPr>
              <w:suppressAutoHyphens w:val="0"/>
              <w:spacing w:before="40" w:after="40" w:line="220" w:lineRule="exact"/>
              <w:ind w:left="134" w:right="113"/>
              <w:rPr>
                <w:sz w:val="18"/>
              </w:rPr>
            </w:pPr>
            <w:r w:rsidRPr="00566958">
              <w:rPr>
                <w:sz w:val="18"/>
              </w:rPr>
              <w:t>up</w:t>
            </w:r>
            <w:r w:rsidR="005B2A41" w:rsidRPr="00566958">
              <w:rPr>
                <w:sz w:val="18"/>
              </w:rPr>
              <w:t xml:space="preserve"> </w:t>
            </w:r>
            <w:r w:rsidRPr="00566958">
              <w:rPr>
                <w:sz w:val="18"/>
              </w:rPr>
              <w:t>to</w:t>
            </w:r>
            <w:r w:rsidR="005B2A41" w:rsidRPr="00566958">
              <w:rPr>
                <w:sz w:val="18"/>
              </w:rPr>
              <w:t xml:space="preserve"> </w:t>
            </w:r>
            <w:r w:rsidRPr="00566958">
              <w:rPr>
                <w:sz w:val="18"/>
              </w:rPr>
              <w:t>6</w:t>
            </w:r>
            <w:r w:rsidR="005B2A41" w:rsidRPr="00566958">
              <w:rPr>
                <w:sz w:val="18"/>
              </w:rPr>
              <w:t xml:space="preserve"> </w:t>
            </w:r>
            <w:r w:rsidRPr="00566958">
              <w:rPr>
                <w:sz w:val="18"/>
              </w:rPr>
              <w:t>months</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260</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261</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290</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282</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75</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66</w:t>
            </w:r>
          </w:p>
        </w:tc>
        <w:tc>
          <w:tcPr>
            <w:tcW w:w="625" w:type="dxa"/>
            <w:shd w:val="clear" w:color="auto" w:fill="auto"/>
            <w:vAlign w:val="bottom"/>
          </w:tcPr>
          <w:p w:rsidR="00F233AB" w:rsidRPr="00566958" w:rsidRDefault="00F233AB" w:rsidP="00566958">
            <w:pPr>
              <w:suppressAutoHyphens w:val="0"/>
              <w:spacing w:before="40" w:after="40" w:line="220" w:lineRule="exact"/>
              <w:ind w:right="113"/>
              <w:jc w:val="right"/>
              <w:rPr>
                <w:sz w:val="18"/>
              </w:rPr>
            </w:pPr>
            <w:r w:rsidRPr="00566958">
              <w:rPr>
                <w:sz w:val="18"/>
              </w:rPr>
              <w:t>63</w:t>
            </w:r>
          </w:p>
        </w:tc>
        <w:tc>
          <w:tcPr>
            <w:tcW w:w="625" w:type="dxa"/>
            <w:shd w:val="clear" w:color="auto" w:fill="auto"/>
            <w:vAlign w:val="bottom"/>
          </w:tcPr>
          <w:p w:rsidR="00F233AB" w:rsidRPr="00566958" w:rsidRDefault="00F233AB" w:rsidP="00566958">
            <w:pPr>
              <w:suppressAutoHyphens w:val="0"/>
              <w:spacing w:before="40" w:after="40" w:line="220" w:lineRule="exact"/>
              <w:ind w:right="113"/>
              <w:jc w:val="right"/>
              <w:rPr>
                <w:sz w:val="18"/>
              </w:rPr>
            </w:pPr>
            <w:r w:rsidRPr="00566958">
              <w:rPr>
                <w:sz w:val="18"/>
              </w:rPr>
              <w:t>46</w:t>
            </w:r>
          </w:p>
        </w:tc>
      </w:tr>
      <w:tr w:rsidR="00F233AB" w:rsidRPr="00566958" w:rsidTr="00F9527B">
        <w:tc>
          <w:tcPr>
            <w:tcW w:w="294" w:type="dxa"/>
            <w:shd w:val="clear" w:color="auto" w:fill="auto"/>
            <w:hideMark/>
          </w:tcPr>
          <w:p w:rsidR="00F233AB" w:rsidRPr="00566958" w:rsidRDefault="005B2A41" w:rsidP="00566958">
            <w:pPr>
              <w:suppressAutoHyphens w:val="0"/>
              <w:spacing w:before="40" w:after="40" w:line="220" w:lineRule="exact"/>
              <w:ind w:right="113"/>
              <w:rPr>
                <w:sz w:val="18"/>
              </w:rPr>
            </w:pPr>
            <w:r w:rsidRPr="00566958">
              <w:rPr>
                <w:sz w:val="18"/>
              </w:rPr>
              <w:t xml:space="preserve"> </w:t>
            </w:r>
          </w:p>
        </w:tc>
        <w:tc>
          <w:tcPr>
            <w:tcW w:w="1680" w:type="dxa"/>
            <w:shd w:val="clear" w:color="auto" w:fill="auto"/>
            <w:vAlign w:val="bottom"/>
            <w:hideMark/>
          </w:tcPr>
          <w:p w:rsidR="00F233AB" w:rsidRPr="00566958" w:rsidRDefault="00F233AB" w:rsidP="00F9527B">
            <w:pPr>
              <w:suppressAutoHyphens w:val="0"/>
              <w:spacing w:before="40" w:after="40" w:line="220" w:lineRule="exact"/>
              <w:ind w:left="134" w:right="113"/>
              <w:rPr>
                <w:sz w:val="18"/>
              </w:rPr>
            </w:pPr>
            <w:r w:rsidRPr="00566958">
              <w:rPr>
                <w:sz w:val="18"/>
              </w:rPr>
              <w:t>from</w:t>
            </w:r>
            <w:r w:rsidR="005B2A41" w:rsidRPr="00566958">
              <w:rPr>
                <w:sz w:val="18"/>
              </w:rPr>
              <w:t xml:space="preserve"> </w:t>
            </w:r>
            <w:r w:rsidRPr="00566958">
              <w:rPr>
                <w:sz w:val="18"/>
              </w:rPr>
              <w:t>6</w:t>
            </w:r>
            <w:r w:rsidR="005B2A41" w:rsidRPr="00566958">
              <w:rPr>
                <w:sz w:val="18"/>
              </w:rPr>
              <w:t xml:space="preserve"> </w:t>
            </w:r>
            <w:r w:rsidRPr="00566958">
              <w:rPr>
                <w:sz w:val="18"/>
              </w:rPr>
              <w:t>months</w:t>
            </w:r>
            <w:r w:rsidR="005B2A41" w:rsidRPr="00566958">
              <w:rPr>
                <w:sz w:val="18"/>
              </w:rPr>
              <w:t xml:space="preserve"> </w:t>
            </w:r>
            <w:r w:rsidRPr="00566958">
              <w:rPr>
                <w:sz w:val="18"/>
              </w:rPr>
              <w:t>to</w:t>
            </w:r>
            <w:r w:rsidR="005B2A41" w:rsidRPr="00566958">
              <w:rPr>
                <w:sz w:val="18"/>
              </w:rPr>
              <w:t xml:space="preserve"> </w:t>
            </w:r>
            <w:r w:rsidR="000930BB">
              <w:rPr>
                <w:sz w:val="18"/>
              </w:rPr>
              <w:br/>
            </w:r>
            <w:r w:rsidRPr="00566958">
              <w:rPr>
                <w:sz w:val="18"/>
              </w:rPr>
              <w:t>1</w:t>
            </w:r>
            <w:r w:rsidR="005B2A41" w:rsidRPr="00566958">
              <w:rPr>
                <w:sz w:val="18"/>
              </w:rPr>
              <w:t xml:space="preserve"> </w:t>
            </w:r>
            <w:r w:rsidRPr="00566958">
              <w:rPr>
                <w:sz w:val="18"/>
              </w:rPr>
              <w:t>year</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229</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222</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252</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248</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116</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126</w:t>
            </w:r>
          </w:p>
        </w:tc>
        <w:tc>
          <w:tcPr>
            <w:tcW w:w="625" w:type="dxa"/>
            <w:shd w:val="clear" w:color="auto" w:fill="auto"/>
            <w:vAlign w:val="bottom"/>
          </w:tcPr>
          <w:p w:rsidR="00F233AB" w:rsidRPr="00566958" w:rsidRDefault="00F233AB" w:rsidP="00566958">
            <w:pPr>
              <w:suppressAutoHyphens w:val="0"/>
              <w:spacing w:before="40" w:after="40" w:line="220" w:lineRule="exact"/>
              <w:ind w:right="113"/>
              <w:jc w:val="right"/>
              <w:rPr>
                <w:sz w:val="18"/>
              </w:rPr>
            </w:pPr>
            <w:r w:rsidRPr="00566958">
              <w:rPr>
                <w:sz w:val="18"/>
              </w:rPr>
              <w:t>78</w:t>
            </w:r>
          </w:p>
        </w:tc>
        <w:tc>
          <w:tcPr>
            <w:tcW w:w="625" w:type="dxa"/>
            <w:shd w:val="clear" w:color="auto" w:fill="auto"/>
            <w:vAlign w:val="bottom"/>
          </w:tcPr>
          <w:p w:rsidR="00F233AB" w:rsidRPr="00566958" w:rsidRDefault="00F233AB" w:rsidP="00566958">
            <w:pPr>
              <w:suppressAutoHyphens w:val="0"/>
              <w:spacing w:before="40" w:after="40" w:line="220" w:lineRule="exact"/>
              <w:ind w:right="113"/>
              <w:jc w:val="right"/>
              <w:rPr>
                <w:sz w:val="18"/>
              </w:rPr>
            </w:pPr>
            <w:r w:rsidRPr="00566958">
              <w:rPr>
                <w:sz w:val="18"/>
              </w:rPr>
              <w:t>84</w:t>
            </w:r>
          </w:p>
        </w:tc>
      </w:tr>
      <w:tr w:rsidR="00F233AB" w:rsidRPr="00566958" w:rsidTr="00F9527B">
        <w:tc>
          <w:tcPr>
            <w:tcW w:w="294" w:type="dxa"/>
            <w:shd w:val="clear" w:color="auto" w:fill="auto"/>
            <w:hideMark/>
          </w:tcPr>
          <w:p w:rsidR="00F233AB" w:rsidRPr="00566958" w:rsidRDefault="005B2A41" w:rsidP="00566958">
            <w:pPr>
              <w:suppressAutoHyphens w:val="0"/>
              <w:spacing w:before="40" w:after="40" w:line="220" w:lineRule="exact"/>
              <w:ind w:right="113"/>
              <w:rPr>
                <w:sz w:val="18"/>
              </w:rPr>
            </w:pPr>
            <w:r w:rsidRPr="00566958">
              <w:rPr>
                <w:sz w:val="18"/>
              </w:rPr>
              <w:t xml:space="preserve"> </w:t>
            </w:r>
          </w:p>
        </w:tc>
        <w:tc>
          <w:tcPr>
            <w:tcW w:w="1680" w:type="dxa"/>
            <w:shd w:val="clear" w:color="auto" w:fill="auto"/>
            <w:vAlign w:val="bottom"/>
            <w:hideMark/>
          </w:tcPr>
          <w:p w:rsidR="00F233AB" w:rsidRPr="00566958" w:rsidRDefault="00F233AB" w:rsidP="00F9527B">
            <w:pPr>
              <w:suppressAutoHyphens w:val="0"/>
              <w:spacing w:before="40" w:after="40" w:line="220" w:lineRule="exact"/>
              <w:ind w:left="134" w:right="113"/>
              <w:rPr>
                <w:sz w:val="18"/>
              </w:rPr>
            </w:pPr>
            <w:r w:rsidRPr="00566958">
              <w:rPr>
                <w:sz w:val="18"/>
              </w:rPr>
              <w:t>from</w:t>
            </w:r>
            <w:r w:rsidR="005B2A41" w:rsidRPr="00566958">
              <w:rPr>
                <w:sz w:val="18"/>
              </w:rPr>
              <w:t xml:space="preserve"> </w:t>
            </w:r>
            <w:r w:rsidRPr="00566958">
              <w:rPr>
                <w:sz w:val="18"/>
              </w:rPr>
              <w:t>1</w:t>
            </w:r>
            <w:r w:rsidR="005B2A41" w:rsidRPr="00566958">
              <w:rPr>
                <w:sz w:val="18"/>
              </w:rPr>
              <w:t xml:space="preserve"> </w:t>
            </w:r>
            <w:r w:rsidRPr="00566958">
              <w:rPr>
                <w:sz w:val="18"/>
              </w:rPr>
              <w:t>to</w:t>
            </w:r>
            <w:r w:rsidR="005B2A41" w:rsidRPr="00566958">
              <w:rPr>
                <w:sz w:val="18"/>
              </w:rPr>
              <w:t xml:space="preserve"> </w:t>
            </w:r>
            <w:r w:rsidRPr="00566958">
              <w:rPr>
                <w:sz w:val="18"/>
              </w:rPr>
              <w:t>2</w:t>
            </w:r>
            <w:r w:rsidR="005B2A41" w:rsidRPr="00566958">
              <w:rPr>
                <w:sz w:val="18"/>
              </w:rPr>
              <w:t xml:space="preserve"> </w:t>
            </w:r>
            <w:r w:rsidRPr="00566958">
              <w:rPr>
                <w:sz w:val="18"/>
              </w:rPr>
              <w:t>years</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288</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253</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260</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271</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206</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178</w:t>
            </w:r>
          </w:p>
        </w:tc>
        <w:tc>
          <w:tcPr>
            <w:tcW w:w="625" w:type="dxa"/>
            <w:shd w:val="clear" w:color="auto" w:fill="auto"/>
            <w:vAlign w:val="bottom"/>
          </w:tcPr>
          <w:p w:rsidR="00F233AB" w:rsidRPr="00566958" w:rsidRDefault="00F233AB" w:rsidP="00566958">
            <w:pPr>
              <w:suppressAutoHyphens w:val="0"/>
              <w:spacing w:before="40" w:after="40" w:line="220" w:lineRule="exact"/>
              <w:ind w:right="113"/>
              <w:jc w:val="right"/>
              <w:rPr>
                <w:sz w:val="18"/>
              </w:rPr>
            </w:pPr>
            <w:r w:rsidRPr="00566958">
              <w:rPr>
                <w:sz w:val="18"/>
              </w:rPr>
              <w:t>137</w:t>
            </w:r>
          </w:p>
        </w:tc>
        <w:tc>
          <w:tcPr>
            <w:tcW w:w="625" w:type="dxa"/>
            <w:shd w:val="clear" w:color="auto" w:fill="auto"/>
            <w:vAlign w:val="bottom"/>
          </w:tcPr>
          <w:p w:rsidR="00F233AB" w:rsidRPr="00566958" w:rsidRDefault="00F233AB" w:rsidP="00566958">
            <w:pPr>
              <w:suppressAutoHyphens w:val="0"/>
              <w:spacing w:before="40" w:after="40" w:line="220" w:lineRule="exact"/>
              <w:ind w:right="113"/>
              <w:jc w:val="right"/>
              <w:rPr>
                <w:sz w:val="18"/>
              </w:rPr>
            </w:pPr>
            <w:r w:rsidRPr="00566958">
              <w:rPr>
                <w:sz w:val="18"/>
              </w:rPr>
              <w:t>150</w:t>
            </w:r>
          </w:p>
        </w:tc>
      </w:tr>
      <w:tr w:rsidR="00F233AB" w:rsidRPr="00566958" w:rsidTr="00F9527B">
        <w:tc>
          <w:tcPr>
            <w:tcW w:w="294" w:type="dxa"/>
            <w:shd w:val="clear" w:color="auto" w:fill="auto"/>
            <w:hideMark/>
          </w:tcPr>
          <w:p w:rsidR="00F233AB" w:rsidRPr="00566958" w:rsidRDefault="005B2A41" w:rsidP="00566958">
            <w:pPr>
              <w:suppressAutoHyphens w:val="0"/>
              <w:spacing w:before="40" w:after="40" w:line="220" w:lineRule="exact"/>
              <w:ind w:right="113"/>
              <w:rPr>
                <w:sz w:val="18"/>
              </w:rPr>
            </w:pPr>
            <w:r w:rsidRPr="00566958">
              <w:rPr>
                <w:sz w:val="18"/>
              </w:rPr>
              <w:t xml:space="preserve"> </w:t>
            </w:r>
          </w:p>
        </w:tc>
        <w:tc>
          <w:tcPr>
            <w:tcW w:w="1680" w:type="dxa"/>
            <w:shd w:val="clear" w:color="auto" w:fill="auto"/>
            <w:vAlign w:val="bottom"/>
            <w:hideMark/>
          </w:tcPr>
          <w:p w:rsidR="00F233AB" w:rsidRPr="00566958" w:rsidRDefault="00F233AB" w:rsidP="00F9527B">
            <w:pPr>
              <w:suppressAutoHyphens w:val="0"/>
              <w:spacing w:before="40" w:after="40" w:line="220" w:lineRule="exact"/>
              <w:ind w:left="134" w:right="113"/>
              <w:rPr>
                <w:sz w:val="18"/>
              </w:rPr>
            </w:pPr>
            <w:r w:rsidRPr="00566958">
              <w:rPr>
                <w:sz w:val="18"/>
              </w:rPr>
              <w:t>from</w:t>
            </w:r>
            <w:r w:rsidR="005B2A41" w:rsidRPr="00566958">
              <w:rPr>
                <w:sz w:val="18"/>
              </w:rPr>
              <w:t xml:space="preserve"> </w:t>
            </w:r>
            <w:r w:rsidRPr="00566958">
              <w:rPr>
                <w:sz w:val="18"/>
              </w:rPr>
              <w:t>2</w:t>
            </w:r>
            <w:r w:rsidR="005B2A41" w:rsidRPr="00566958">
              <w:rPr>
                <w:sz w:val="18"/>
              </w:rPr>
              <w:t xml:space="preserve"> </w:t>
            </w:r>
            <w:r w:rsidRPr="00566958">
              <w:rPr>
                <w:sz w:val="18"/>
              </w:rPr>
              <w:t>to</w:t>
            </w:r>
            <w:r w:rsidR="005B2A41" w:rsidRPr="00566958">
              <w:rPr>
                <w:sz w:val="18"/>
              </w:rPr>
              <w:t xml:space="preserve"> </w:t>
            </w:r>
            <w:r w:rsidRPr="00566958">
              <w:rPr>
                <w:sz w:val="18"/>
              </w:rPr>
              <w:t>5</w:t>
            </w:r>
            <w:r w:rsidR="005B2A41" w:rsidRPr="00566958">
              <w:rPr>
                <w:sz w:val="18"/>
              </w:rPr>
              <w:t xml:space="preserve"> </w:t>
            </w:r>
            <w:r w:rsidRPr="00566958">
              <w:rPr>
                <w:sz w:val="18"/>
              </w:rPr>
              <w:t>years</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765</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701</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727</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835</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540</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446</w:t>
            </w:r>
          </w:p>
        </w:tc>
        <w:tc>
          <w:tcPr>
            <w:tcW w:w="625" w:type="dxa"/>
            <w:shd w:val="clear" w:color="auto" w:fill="auto"/>
            <w:vAlign w:val="bottom"/>
          </w:tcPr>
          <w:p w:rsidR="00F233AB" w:rsidRPr="00566958" w:rsidRDefault="00F233AB" w:rsidP="00566958">
            <w:pPr>
              <w:suppressAutoHyphens w:val="0"/>
              <w:spacing w:before="40" w:after="40" w:line="220" w:lineRule="exact"/>
              <w:ind w:right="113"/>
              <w:jc w:val="right"/>
              <w:rPr>
                <w:sz w:val="18"/>
              </w:rPr>
            </w:pPr>
            <w:r w:rsidRPr="00566958">
              <w:rPr>
                <w:sz w:val="18"/>
              </w:rPr>
              <w:t>326</w:t>
            </w:r>
          </w:p>
        </w:tc>
        <w:tc>
          <w:tcPr>
            <w:tcW w:w="625" w:type="dxa"/>
            <w:shd w:val="clear" w:color="auto" w:fill="auto"/>
            <w:vAlign w:val="bottom"/>
          </w:tcPr>
          <w:p w:rsidR="00F233AB" w:rsidRPr="00566958" w:rsidRDefault="00F233AB" w:rsidP="00566958">
            <w:pPr>
              <w:suppressAutoHyphens w:val="0"/>
              <w:spacing w:before="40" w:after="40" w:line="220" w:lineRule="exact"/>
              <w:ind w:right="113"/>
              <w:jc w:val="right"/>
              <w:rPr>
                <w:sz w:val="18"/>
              </w:rPr>
            </w:pPr>
            <w:r w:rsidRPr="00566958">
              <w:rPr>
                <w:sz w:val="18"/>
              </w:rPr>
              <w:t>366</w:t>
            </w:r>
          </w:p>
        </w:tc>
      </w:tr>
      <w:tr w:rsidR="00F233AB" w:rsidRPr="00566958" w:rsidTr="00F9527B">
        <w:tc>
          <w:tcPr>
            <w:tcW w:w="294" w:type="dxa"/>
            <w:shd w:val="clear" w:color="auto" w:fill="auto"/>
            <w:hideMark/>
          </w:tcPr>
          <w:p w:rsidR="00F233AB" w:rsidRPr="00566958" w:rsidRDefault="00F233AB" w:rsidP="00566958">
            <w:pPr>
              <w:suppressAutoHyphens w:val="0"/>
              <w:spacing w:before="40" w:after="40" w:line="220" w:lineRule="exact"/>
              <w:ind w:right="113"/>
              <w:rPr>
                <w:sz w:val="18"/>
              </w:rPr>
            </w:pPr>
            <w:r w:rsidRPr="00566958">
              <w:rPr>
                <w:sz w:val="18"/>
              </w:rPr>
              <w:t>11</w:t>
            </w:r>
          </w:p>
        </w:tc>
        <w:tc>
          <w:tcPr>
            <w:tcW w:w="1680" w:type="dxa"/>
            <w:shd w:val="clear" w:color="auto" w:fill="auto"/>
            <w:vAlign w:val="bottom"/>
            <w:hideMark/>
          </w:tcPr>
          <w:p w:rsidR="00F233AB" w:rsidRPr="00566958" w:rsidRDefault="00F233AB" w:rsidP="00566958">
            <w:pPr>
              <w:suppressAutoHyphens w:val="0"/>
              <w:spacing w:before="40" w:after="40" w:line="220" w:lineRule="exact"/>
              <w:ind w:right="113"/>
              <w:rPr>
                <w:sz w:val="18"/>
              </w:rPr>
            </w:pPr>
            <w:r w:rsidRPr="00566958">
              <w:rPr>
                <w:sz w:val="18"/>
              </w:rPr>
              <w:t>Prisoners</w:t>
            </w:r>
            <w:r w:rsidR="005B2A41" w:rsidRPr="00566958">
              <w:rPr>
                <w:sz w:val="18"/>
              </w:rPr>
              <w:t xml:space="preserve"> </w:t>
            </w:r>
            <w:r w:rsidRPr="00566958">
              <w:rPr>
                <w:sz w:val="18"/>
              </w:rPr>
              <w:t>for</w:t>
            </w:r>
            <w:r w:rsidR="005B2A41" w:rsidRPr="00566958">
              <w:rPr>
                <w:sz w:val="18"/>
              </w:rPr>
              <w:t xml:space="preserve"> </w:t>
            </w:r>
            <w:r w:rsidRPr="00566958">
              <w:rPr>
                <w:sz w:val="18"/>
              </w:rPr>
              <w:t>debt</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43</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29</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36</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47</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27</w:t>
            </w:r>
          </w:p>
        </w:tc>
        <w:tc>
          <w:tcPr>
            <w:tcW w:w="690" w:type="dxa"/>
            <w:shd w:val="clear" w:color="auto" w:fill="auto"/>
            <w:vAlign w:val="bottom"/>
            <w:hideMark/>
          </w:tcPr>
          <w:p w:rsidR="00F233AB" w:rsidRPr="00566958" w:rsidRDefault="00F233AB" w:rsidP="00566958">
            <w:pPr>
              <w:suppressAutoHyphens w:val="0"/>
              <w:spacing w:before="40" w:after="40" w:line="220" w:lineRule="exact"/>
              <w:ind w:right="113"/>
              <w:jc w:val="right"/>
              <w:rPr>
                <w:sz w:val="18"/>
              </w:rPr>
            </w:pPr>
            <w:r w:rsidRPr="00566958">
              <w:rPr>
                <w:sz w:val="18"/>
              </w:rPr>
              <w:t>23</w:t>
            </w:r>
          </w:p>
        </w:tc>
        <w:tc>
          <w:tcPr>
            <w:tcW w:w="625" w:type="dxa"/>
            <w:shd w:val="clear" w:color="auto" w:fill="auto"/>
            <w:vAlign w:val="bottom"/>
          </w:tcPr>
          <w:p w:rsidR="00F233AB" w:rsidRPr="00566958" w:rsidRDefault="00F233AB" w:rsidP="00566958">
            <w:pPr>
              <w:suppressAutoHyphens w:val="0"/>
              <w:spacing w:before="40" w:after="40" w:line="220" w:lineRule="exact"/>
              <w:ind w:right="113"/>
              <w:jc w:val="right"/>
              <w:rPr>
                <w:sz w:val="18"/>
              </w:rPr>
            </w:pPr>
            <w:r w:rsidRPr="00566958">
              <w:rPr>
                <w:sz w:val="18"/>
              </w:rPr>
              <w:t>56</w:t>
            </w:r>
          </w:p>
        </w:tc>
        <w:tc>
          <w:tcPr>
            <w:tcW w:w="625" w:type="dxa"/>
            <w:shd w:val="clear" w:color="auto" w:fill="auto"/>
            <w:vAlign w:val="bottom"/>
          </w:tcPr>
          <w:p w:rsidR="00F233AB" w:rsidRPr="00566958" w:rsidRDefault="00F233AB" w:rsidP="00566958">
            <w:pPr>
              <w:suppressAutoHyphens w:val="0"/>
              <w:spacing w:before="40" w:after="40" w:line="220" w:lineRule="exact"/>
              <w:ind w:right="113"/>
              <w:jc w:val="right"/>
              <w:rPr>
                <w:sz w:val="18"/>
              </w:rPr>
            </w:pPr>
            <w:r w:rsidRPr="00566958">
              <w:rPr>
                <w:sz w:val="18"/>
              </w:rPr>
              <w:t>10</w:t>
            </w:r>
          </w:p>
        </w:tc>
      </w:tr>
    </w:tbl>
    <w:p w:rsidR="00F233AB" w:rsidRPr="00B02247" w:rsidRDefault="00F233AB" w:rsidP="005F194E">
      <w:pPr>
        <w:pStyle w:val="H23G"/>
      </w:pPr>
      <w:r w:rsidRPr="00B02247">
        <w:tab/>
      </w:r>
      <w:r w:rsidRPr="00B02247">
        <w:tab/>
        <w:t>Statistical</w:t>
      </w:r>
      <w:r w:rsidR="005B2A41">
        <w:t xml:space="preserve"> </w:t>
      </w:r>
      <w:r w:rsidRPr="00B02247">
        <w:t>data</w:t>
      </w:r>
      <w:r w:rsidR="005B2A41">
        <w:t xml:space="preserve"> </w:t>
      </w:r>
      <w:r w:rsidRPr="00B02247">
        <w:t>on</w:t>
      </w:r>
      <w:r w:rsidR="005B2A41">
        <w:t xml:space="preserve"> </w:t>
      </w:r>
      <w:r w:rsidRPr="00B02247">
        <w:t>Article</w:t>
      </w:r>
      <w:r w:rsidR="005B2A41">
        <w:t xml:space="preserve"> </w:t>
      </w:r>
      <w:r w:rsidRPr="00B02247">
        <w:t>351</w:t>
      </w:r>
      <w:r w:rsidR="005B2A41">
        <w:t xml:space="preserve"> </w:t>
      </w:r>
      <w:r w:rsidRPr="00B02247">
        <w:t>Penal</w:t>
      </w:r>
      <w:r w:rsidR="005B2A41">
        <w:t xml:space="preserve"> </w:t>
      </w:r>
      <w:r w:rsidRPr="00B02247">
        <w:t>Code</w:t>
      </w:r>
      <w:r w:rsidR="005B2A41">
        <w:t xml:space="preserve"> </w:t>
      </w:r>
      <w:r w:rsidRPr="00B02247">
        <w:t>(trafficking</w:t>
      </w:r>
      <w:r w:rsidR="005B2A41">
        <w:t xml:space="preserve"> </w:t>
      </w:r>
      <w:r w:rsidRPr="00B02247">
        <w:t>in</w:t>
      </w:r>
      <w:r w:rsidR="005B2A41">
        <w:t xml:space="preserve"> </w:t>
      </w:r>
      <w:r w:rsidRPr="00B02247">
        <w:t>human</w:t>
      </w:r>
      <w:r w:rsidR="005B2A41">
        <w:t xml:space="preserve"> </w:t>
      </w:r>
      <w:r w:rsidRPr="00B02247">
        <w:t>beings</w:t>
      </w:r>
      <w:r w:rsidR="005B2A41">
        <w:t xml:space="preserve"> </w:t>
      </w:r>
      <w:r w:rsidRPr="00B02247">
        <w:t>for</w:t>
      </w:r>
      <w:r w:rsidR="005B2A41">
        <w:t xml:space="preserve"> </w:t>
      </w:r>
      <w:r w:rsidRPr="00B02247">
        <w:t>sexual</w:t>
      </w:r>
      <w:r w:rsidR="005B2A41">
        <w:t xml:space="preserve"> </w:t>
      </w:r>
      <w:r w:rsidRPr="00B02247">
        <w:t>exploitation)</w:t>
      </w:r>
      <w:r w:rsidR="005B2A41">
        <w:t xml:space="preserve"> </w:t>
      </w:r>
      <w:r w:rsidRPr="00B02247">
        <w:t>and</w:t>
      </w:r>
      <w:r w:rsidR="005B2A41">
        <w:t xml:space="preserve"> </w:t>
      </w:r>
      <w:r w:rsidRPr="00B02247">
        <w:t>Article</w:t>
      </w:r>
      <w:r w:rsidR="005B2A41">
        <w:t xml:space="preserve"> </w:t>
      </w:r>
      <w:r w:rsidRPr="00B02247">
        <w:t>323</w:t>
      </w:r>
      <w:r w:rsidR="005B2A41">
        <w:t xml:space="preserve"> </w:t>
      </w:r>
      <w:r w:rsidRPr="00B02247">
        <w:t>A</w:t>
      </w:r>
      <w:r w:rsidR="005B2A41">
        <w:t xml:space="preserve"> </w:t>
      </w:r>
      <w:r w:rsidRPr="00B02247">
        <w:t>of</w:t>
      </w:r>
      <w:r w:rsidR="005B2A41">
        <w:t xml:space="preserve"> </w:t>
      </w:r>
      <w:r w:rsidRPr="00B02247">
        <w:t>Penal</w:t>
      </w:r>
      <w:r w:rsidR="005B2A41">
        <w:t xml:space="preserve"> </w:t>
      </w:r>
      <w:r w:rsidRPr="00B02247">
        <w:t>Code</w:t>
      </w:r>
      <w:r w:rsidR="005B2A41">
        <w:t xml:space="preserve"> </w:t>
      </w:r>
      <w:r w:rsidRPr="00B02247">
        <w:t>(trafficking</w:t>
      </w:r>
      <w:r w:rsidR="005B2A41">
        <w:t xml:space="preserve"> </w:t>
      </w:r>
      <w:r w:rsidRPr="00B02247">
        <w:t>in</w:t>
      </w:r>
      <w:r w:rsidR="005B2A41">
        <w:t xml:space="preserve"> </w:t>
      </w:r>
      <w:r w:rsidRPr="00B02247">
        <w:t>human</w:t>
      </w:r>
      <w:r w:rsidR="005B2A41">
        <w:t xml:space="preserve"> </w:t>
      </w:r>
      <w:r w:rsidRPr="00B02247">
        <w:t>beings</w:t>
      </w:r>
      <w:r w:rsidR="005B2A41">
        <w:t xml:space="preserve"> </w:t>
      </w:r>
      <w:r w:rsidRPr="00B02247">
        <w:t>for</w:t>
      </w:r>
      <w:r w:rsidR="005B2A41">
        <w:t xml:space="preserve"> </w:t>
      </w:r>
      <w:r w:rsidRPr="00B02247">
        <w:t>forced</w:t>
      </w:r>
      <w:r w:rsidR="005B2A41">
        <w:t xml:space="preserve"> </w:t>
      </w:r>
      <w:r w:rsidRPr="00B02247">
        <w:t>labour,</w:t>
      </w:r>
      <w:r w:rsidR="005B2A41">
        <w:t xml:space="preserve"> </w:t>
      </w:r>
      <w:r w:rsidRPr="00B02247">
        <w:t>etc.</w:t>
      </w:r>
    </w:p>
    <w:tbl>
      <w:tblPr>
        <w:tblW w:w="7369"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633"/>
        <w:gridCol w:w="684"/>
        <w:gridCol w:w="684"/>
        <w:gridCol w:w="684"/>
        <w:gridCol w:w="684"/>
      </w:tblGrid>
      <w:tr w:rsidR="00F233AB" w:rsidRPr="00AD0B17" w:rsidTr="005F194E">
        <w:trPr>
          <w:tblHeader/>
        </w:trPr>
        <w:tc>
          <w:tcPr>
            <w:tcW w:w="4633" w:type="dxa"/>
            <w:tcBorders>
              <w:top w:val="single" w:sz="4" w:space="0" w:color="auto"/>
              <w:bottom w:val="single" w:sz="12" w:space="0" w:color="auto"/>
            </w:tcBorders>
            <w:shd w:val="clear" w:color="auto" w:fill="auto"/>
            <w:vAlign w:val="bottom"/>
          </w:tcPr>
          <w:p w:rsidR="00F233AB" w:rsidRPr="00AD0B17" w:rsidRDefault="00F233AB" w:rsidP="005F194E">
            <w:pPr>
              <w:keepNext/>
              <w:keepLines/>
              <w:suppressAutoHyphens w:val="0"/>
              <w:spacing w:before="80" w:after="80" w:line="200" w:lineRule="exact"/>
              <w:ind w:right="113"/>
              <w:rPr>
                <w:i/>
                <w:sz w:val="16"/>
              </w:rPr>
            </w:pPr>
          </w:p>
        </w:tc>
        <w:tc>
          <w:tcPr>
            <w:tcW w:w="684" w:type="dxa"/>
            <w:tcBorders>
              <w:top w:val="single" w:sz="4" w:space="0" w:color="auto"/>
              <w:bottom w:val="single" w:sz="12" w:space="0" w:color="auto"/>
            </w:tcBorders>
            <w:shd w:val="clear" w:color="auto" w:fill="auto"/>
            <w:vAlign w:val="bottom"/>
          </w:tcPr>
          <w:p w:rsidR="00F233AB" w:rsidRPr="00AD0B17" w:rsidRDefault="00F233AB" w:rsidP="005F194E">
            <w:pPr>
              <w:keepNext/>
              <w:keepLines/>
              <w:suppressAutoHyphens w:val="0"/>
              <w:spacing w:before="80" w:after="80" w:line="200" w:lineRule="exact"/>
              <w:ind w:right="113"/>
              <w:jc w:val="right"/>
              <w:rPr>
                <w:i/>
                <w:sz w:val="16"/>
              </w:rPr>
            </w:pPr>
            <w:r w:rsidRPr="00AD0B17">
              <w:rPr>
                <w:i/>
                <w:sz w:val="16"/>
              </w:rPr>
              <w:t>2013</w:t>
            </w:r>
          </w:p>
        </w:tc>
        <w:tc>
          <w:tcPr>
            <w:tcW w:w="684" w:type="dxa"/>
            <w:tcBorders>
              <w:top w:val="single" w:sz="4" w:space="0" w:color="auto"/>
              <w:bottom w:val="single" w:sz="12" w:space="0" w:color="auto"/>
            </w:tcBorders>
            <w:shd w:val="clear" w:color="auto" w:fill="auto"/>
            <w:vAlign w:val="bottom"/>
          </w:tcPr>
          <w:p w:rsidR="00F233AB" w:rsidRPr="00AD0B17" w:rsidRDefault="00F233AB" w:rsidP="005F194E">
            <w:pPr>
              <w:keepNext/>
              <w:keepLines/>
              <w:suppressAutoHyphens w:val="0"/>
              <w:spacing w:before="80" w:after="80" w:line="200" w:lineRule="exact"/>
              <w:ind w:right="113"/>
              <w:jc w:val="right"/>
              <w:rPr>
                <w:i/>
                <w:sz w:val="16"/>
              </w:rPr>
            </w:pPr>
            <w:r w:rsidRPr="00AD0B17">
              <w:rPr>
                <w:i/>
                <w:sz w:val="16"/>
              </w:rPr>
              <w:t>2014</w:t>
            </w:r>
          </w:p>
        </w:tc>
        <w:tc>
          <w:tcPr>
            <w:tcW w:w="684" w:type="dxa"/>
            <w:tcBorders>
              <w:top w:val="single" w:sz="4" w:space="0" w:color="auto"/>
              <w:bottom w:val="single" w:sz="12" w:space="0" w:color="auto"/>
            </w:tcBorders>
            <w:shd w:val="clear" w:color="auto" w:fill="auto"/>
            <w:vAlign w:val="bottom"/>
          </w:tcPr>
          <w:p w:rsidR="00F233AB" w:rsidRPr="00AD0B17" w:rsidRDefault="00F233AB" w:rsidP="005F194E">
            <w:pPr>
              <w:keepNext/>
              <w:keepLines/>
              <w:suppressAutoHyphens w:val="0"/>
              <w:spacing w:before="80" w:after="80" w:line="200" w:lineRule="exact"/>
              <w:ind w:right="113"/>
              <w:jc w:val="right"/>
              <w:rPr>
                <w:i/>
                <w:sz w:val="16"/>
              </w:rPr>
            </w:pPr>
            <w:r w:rsidRPr="00AD0B17">
              <w:rPr>
                <w:i/>
                <w:sz w:val="16"/>
              </w:rPr>
              <w:t>2015</w:t>
            </w:r>
          </w:p>
        </w:tc>
        <w:tc>
          <w:tcPr>
            <w:tcW w:w="684" w:type="dxa"/>
            <w:tcBorders>
              <w:top w:val="single" w:sz="4" w:space="0" w:color="auto"/>
              <w:bottom w:val="single" w:sz="12" w:space="0" w:color="auto"/>
            </w:tcBorders>
            <w:shd w:val="clear" w:color="auto" w:fill="auto"/>
            <w:vAlign w:val="bottom"/>
          </w:tcPr>
          <w:p w:rsidR="00F233AB" w:rsidRPr="00AD0B17" w:rsidRDefault="00F233AB" w:rsidP="005F194E">
            <w:pPr>
              <w:keepNext/>
              <w:keepLines/>
              <w:suppressAutoHyphens w:val="0"/>
              <w:spacing w:before="80" w:after="80" w:line="200" w:lineRule="exact"/>
              <w:ind w:right="113"/>
              <w:jc w:val="right"/>
              <w:rPr>
                <w:i/>
                <w:sz w:val="16"/>
              </w:rPr>
            </w:pPr>
            <w:r w:rsidRPr="00AD0B17">
              <w:rPr>
                <w:i/>
                <w:sz w:val="16"/>
              </w:rPr>
              <w:t>2016</w:t>
            </w:r>
          </w:p>
        </w:tc>
      </w:tr>
      <w:tr w:rsidR="00F233AB" w:rsidRPr="00AD0B17" w:rsidTr="005F194E">
        <w:tc>
          <w:tcPr>
            <w:tcW w:w="4633" w:type="dxa"/>
            <w:tcBorders>
              <w:top w:val="single" w:sz="12" w:space="0" w:color="auto"/>
            </w:tcBorders>
            <w:shd w:val="clear" w:color="auto" w:fill="auto"/>
          </w:tcPr>
          <w:p w:rsidR="00F233AB" w:rsidRPr="00AD0B17" w:rsidRDefault="00F233AB" w:rsidP="005F194E">
            <w:pPr>
              <w:keepNext/>
              <w:keepLines/>
              <w:suppressAutoHyphens w:val="0"/>
              <w:spacing w:before="40" w:after="40" w:line="220" w:lineRule="exact"/>
              <w:ind w:right="113"/>
              <w:rPr>
                <w:sz w:val="18"/>
              </w:rPr>
            </w:pPr>
            <w:r w:rsidRPr="00AD0B17">
              <w:rPr>
                <w:sz w:val="18"/>
              </w:rPr>
              <w:t>Criminal</w:t>
            </w:r>
            <w:r w:rsidR="005B2A41" w:rsidRPr="00AD0B17">
              <w:rPr>
                <w:sz w:val="18"/>
              </w:rPr>
              <w:t xml:space="preserve"> </w:t>
            </w:r>
            <w:r w:rsidRPr="00AD0B17">
              <w:rPr>
                <w:sz w:val="18"/>
              </w:rPr>
              <w:t>prosecutions</w:t>
            </w:r>
            <w:r w:rsidR="005B2A41" w:rsidRPr="00AD0B17">
              <w:rPr>
                <w:sz w:val="18"/>
              </w:rPr>
              <w:t xml:space="preserve"> </w:t>
            </w:r>
            <w:r w:rsidRPr="00AD0B17">
              <w:rPr>
                <w:sz w:val="18"/>
              </w:rPr>
              <w:t>for</w:t>
            </w:r>
            <w:r w:rsidR="005B2A41" w:rsidRPr="00AD0B17">
              <w:rPr>
                <w:sz w:val="18"/>
              </w:rPr>
              <w:t xml:space="preserve"> </w:t>
            </w:r>
            <w:r w:rsidRPr="00AD0B17">
              <w:rPr>
                <w:sz w:val="18"/>
              </w:rPr>
              <w:t>sexual</w:t>
            </w:r>
            <w:r w:rsidR="005B2A41" w:rsidRPr="00AD0B17">
              <w:rPr>
                <w:sz w:val="18"/>
              </w:rPr>
              <w:t xml:space="preserve"> </w:t>
            </w:r>
            <w:r w:rsidRPr="00AD0B17">
              <w:rPr>
                <w:sz w:val="18"/>
              </w:rPr>
              <w:t>exploitation</w:t>
            </w:r>
          </w:p>
        </w:tc>
        <w:tc>
          <w:tcPr>
            <w:tcW w:w="684" w:type="dxa"/>
            <w:tcBorders>
              <w:top w:val="single" w:sz="12" w:space="0" w:color="auto"/>
            </w:tcBorders>
            <w:shd w:val="clear" w:color="auto" w:fill="auto"/>
            <w:vAlign w:val="bottom"/>
          </w:tcPr>
          <w:p w:rsidR="00F233AB" w:rsidRPr="00AD0B17" w:rsidRDefault="005F194E" w:rsidP="005F194E">
            <w:pPr>
              <w:keepNext/>
              <w:keepLines/>
              <w:suppressAutoHyphens w:val="0"/>
              <w:spacing w:before="40" w:after="40" w:line="220" w:lineRule="exact"/>
              <w:ind w:right="113"/>
              <w:jc w:val="right"/>
              <w:rPr>
                <w:sz w:val="18"/>
              </w:rPr>
            </w:pPr>
            <w:r>
              <w:rPr>
                <w:sz w:val="18"/>
              </w:rPr>
              <w:t>36</w:t>
            </w:r>
          </w:p>
        </w:tc>
        <w:tc>
          <w:tcPr>
            <w:tcW w:w="684" w:type="dxa"/>
            <w:tcBorders>
              <w:top w:val="single" w:sz="12" w:space="0" w:color="auto"/>
            </w:tcBorders>
            <w:shd w:val="clear" w:color="auto" w:fill="auto"/>
            <w:vAlign w:val="bottom"/>
          </w:tcPr>
          <w:p w:rsidR="00F233AB" w:rsidRPr="00AD0B17" w:rsidRDefault="00F233AB" w:rsidP="005F194E">
            <w:pPr>
              <w:keepNext/>
              <w:keepLines/>
              <w:suppressAutoHyphens w:val="0"/>
              <w:spacing w:before="40" w:after="40" w:line="220" w:lineRule="exact"/>
              <w:ind w:right="113"/>
              <w:jc w:val="right"/>
              <w:rPr>
                <w:sz w:val="18"/>
              </w:rPr>
            </w:pPr>
            <w:r w:rsidRPr="00AD0B17">
              <w:rPr>
                <w:sz w:val="18"/>
              </w:rPr>
              <w:t>35</w:t>
            </w:r>
          </w:p>
        </w:tc>
        <w:tc>
          <w:tcPr>
            <w:tcW w:w="684" w:type="dxa"/>
            <w:tcBorders>
              <w:top w:val="single" w:sz="12" w:space="0" w:color="auto"/>
            </w:tcBorders>
            <w:shd w:val="clear" w:color="auto" w:fill="auto"/>
            <w:vAlign w:val="bottom"/>
          </w:tcPr>
          <w:p w:rsidR="00F233AB" w:rsidRPr="00AD0B17" w:rsidRDefault="00F233AB" w:rsidP="005F194E">
            <w:pPr>
              <w:keepNext/>
              <w:keepLines/>
              <w:suppressAutoHyphens w:val="0"/>
              <w:spacing w:before="40" w:after="40" w:line="220" w:lineRule="exact"/>
              <w:ind w:right="113"/>
              <w:jc w:val="right"/>
              <w:rPr>
                <w:sz w:val="18"/>
              </w:rPr>
            </w:pPr>
            <w:r w:rsidRPr="00AD0B17">
              <w:rPr>
                <w:sz w:val="18"/>
              </w:rPr>
              <w:t>32</w:t>
            </w:r>
          </w:p>
        </w:tc>
        <w:tc>
          <w:tcPr>
            <w:tcW w:w="684" w:type="dxa"/>
            <w:tcBorders>
              <w:top w:val="single" w:sz="12" w:space="0" w:color="auto"/>
            </w:tcBorders>
            <w:shd w:val="clear" w:color="auto" w:fill="auto"/>
            <w:vAlign w:val="bottom"/>
          </w:tcPr>
          <w:p w:rsidR="00F233AB" w:rsidRPr="00AD0B17" w:rsidRDefault="00F233AB" w:rsidP="005F194E">
            <w:pPr>
              <w:keepNext/>
              <w:keepLines/>
              <w:suppressAutoHyphens w:val="0"/>
              <w:spacing w:before="40" w:after="40" w:line="220" w:lineRule="exact"/>
              <w:ind w:right="113"/>
              <w:jc w:val="right"/>
              <w:rPr>
                <w:sz w:val="18"/>
              </w:rPr>
            </w:pPr>
            <w:r w:rsidRPr="00AD0B17">
              <w:rPr>
                <w:sz w:val="18"/>
              </w:rPr>
              <w:t>25</w:t>
            </w:r>
          </w:p>
        </w:tc>
      </w:tr>
      <w:tr w:rsidR="00F233AB" w:rsidRPr="00AD0B17" w:rsidTr="005F194E">
        <w:tc>
          <w:tcPr>
            <w:tcW w:w="4633" w:type="dxa"/>
            <w:shd w:val="clear" w:color="auto" w:fill="auto"/>
          </w:tcPr>
          <w:p w:rsidR="00F233AB" w:rsidRPr="00AD0B17" w:rsidRDefault="00F233AB" w:rsidP="00AD0B17">
            <w:pPr>
              <w:suppressAutoHyphens w:val="0"/>
              <w:spacing w:before="40" w:after="40" w:line="220" w:lineRule="exact"/>
              <w:ind w:right="113"/>
              <w:rPr>
                <w:sz w:val="18"/>
              </w:rPr>
            </w:pPr>
            <w:r w:rsidRPr="00AD0B17">
              <w:rPr>
                <w:sz w:val="18"/>
              </w:rPr>
              <w:t>Criminal</w:t>
            </w:r>
            <w:r w:rsidR="005B2A41" w:rsidRPr="00AD0B17">
              <w:rPr>
                <w:sz w:val="18"/>
              </w:rPr>
              <w:t xml:space="preserve"> </w:t>
            </w:r>
            <w:r w:rsidRPr="00AD0B17">
              <w:rPr>
                <w:sz w:val="18"/>
              </w:rPr>
              <w:t>prosecutions</w:t>
            </w:r>
            <w:r w:rsidR="005B2A41" w:rsidRPr="00AD0B17">
              <w:rPr>
                <w:sz w:val="18"/>
              </w:rPr>
              <w:t xml:space="preserve"> </w:t>
            </w:r>
            <w:r w:rsidRPr="00AD0B17">
              <w:rPr>
                <w:sz w:val="18"/>
              </w:rPr>
              <w:t>for</w:t>
            </w:r>
            <w:r w:rsidR="005B2A41" w:rsidRPr="00AD0B17">
              <w:rPr>
                <w:sz w:val="18"/>
              </w:rPr>
              <w:t xml:space="preserve"> </w:t>
            </w:r>
            <w:r w:rsidRPr="00AD0B17">
              <w:rPr>
                <w:sz w:val="18"/>
              </w:rPr>
              <w:t>forced</w:t>
            </w:r>
            <w:r w:rsidR="005B2A41" w:rsidRPr="00AD0B17">
              <w:rPr>
                <w:sz w:val="18"/>
              </w:rPr>
              <w:t xml:space="preserve"> </w:t>
            </w:r>
            <w:r w:rsidRPr="00AD0B17">
              <w:rPr>
                <w:sz w:val="18"/>
              </w:rPr>
              <w:t>labour</w:t>
            </w:r>
            <w:r w:rsidR="005B2A41" w:rsidRPr="00AD0B17">
              <w:rPr>
                <w:sz w:val="18"/>
              </w:rPr>
              <w:t xml:space="preserve"> </w:t>
            </w:r>
            <w:r w:rsidRPr="00AD0B17">
              <w:rPr>
                <w:sz w:val="18"/>
              </w:rPr>
              <w:t>etc.</w:t>
            </w: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r w:rsidRPr="00AD0B17">
              <w:rPr>
                <w:sz w:val="18"/>
              </w:rPr>
              <w:t>6</w:t>
            </w: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r w:rsidRPr="00AD0B17">
              <w:rPr>
                <w:sz w:val="18"/>
              </w:rPr>
              <w:t>5</w:t>
            </w: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r w:rsidRPr="00AD0B17">
              <w:rPr>
                <w:sz w:val="18"/>
              </w:rPr>
              <w:t>5</w:t>
            </w: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r w:rsidRPr="00AD0B17">
              <w:rPr>
                <w:sz w:val="18"/>
              </w:rPr>
              <w:t>7</w:t>
            </w:r>
          </w:p>
        </w:tc>
      </w:tr>
      <w:tr w:rsidR="00F233AB" w:rsidRPr="00AD0B17" w:rsidTr="005F194E">
        <w:tc>
          <w:tcPr>
            <w:tcW w:w="4633" w:type="dxa"/>
            <w:shd w:val="clear" w:color="auto" w:fill="auto"/>
          </w:tcPr>
          <w:p w:rsidR="00F233AB" w:rsidRPr="00AD0B17" w:rsidRDefault="00F233AB" w:rsidP="00AD0B17">
            <w:pPr>
              <w:suppressAutoHyphens w:val="0"/>
              <w:spacing w:before="40" w:after="40" w:line="220" w:lineRule="exact"/>
              <w:ind w:right="113"/>
              <w:rPr>
                <w:sz w:val="18"/>
              </w:rPr>
            </w:pPr>
            <w:r w:rsidRPr="00AD0B17">
              <w:rPr>
                <w:sz w:val="18"/>
              </w:rPr>
              <w:t>Convictions</w:t>
            </w:r>
            <w:r w:rsidR="005B2A41" w:rsidRPr="00AD0B17">
              <w:rPr>
                <w:sz w:val="18"/>
              </w:rPr>
              <w:t xml:space="preserve"> </w:t>
            </w:r>
            <w:r w:rsidRPr="00AD0B17">
              <w:rPr>
                <w:sz w:val="18"/>
              </w:rPr>
              <w:t>in</w:t>
            </w:r>
            <w:r w:rsidR="005B2A41" w:rsidRPr="00AD0B17">
              <w:rPr>
                <w:sz w:val="18"/>
              </w:rPr>
              <w:t xml:space="preserve"> </w:t>
            </w:r>
            <w:r w:rsidRPr="00AD0B17">
              <w:rPr>
                <w:sz w:val="18"/>
              </w:rPr>
              <w:t>first</w:t>
            </w:r>
            <w:r w:rsidR="005B2A41" w:rsidRPr="00AD0B17">
              <w:rPr>
                <w:sz w:val="18"/>
              </w:rPr>
              <w:t xml:space="preserve"> </w:t>
            </w:r>
            <w:r w:rsidRPr="00AD0B17">
              <w:rPr>
                <w:sz w:val="18"/>
              </w:rPr>
              <w:t>instance</w:t>
            </w:r>
            <w:r w:rsidR="005B2A41" w:rsidRPr="00AD0B17">
              <w:rPr>
                <w:sz w:val="18"/>
              </w:rPr>
              <w:t xml:space="preserve"> </w:t>
            </w:r>
            <w:r w:rsidRPr="00AD0B17">
              <w:rPr>
                <w:sz w:val="18"/>
              </w:rPr>
              <w:t>for</w:t>
            </w:r>
            <w:r w:rsidR="005B2A41" w:rsidRPr="00AD0B17">
              <w:rPr>
                <w:sz w:val="18"/>
              </w:rPr>
              <w:t xml:space="preserve"> </w:t>
            </w:r>
            <w:r w:rsidRPr="00AD0B17">
              <w:rPr>
                <w:sz w:val="18"/>
              </w:rPr>
              <w:t>sexual</w:t>
            </w:r>
            <w:r w:rsidR="005B2A41" w:rsidRPr="00AD0B17">
              <w:rPr>
                <w:sz w:val="18"/>
              </w:rPr>
              <w:t xml:space="preserve"> </w:t>
            </w:r>
            <w:r w:rsidRPr="00AD0B17">
              <w:rPr>
                <w:sz w:val="18"/>
              </w:rPr>
              <w:t>exploitation</w:t>
            </w: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r w:rsidRPr="00AD0B17">
              <w:rPr>
                <w:sz w:val="18"/>
              </w:rPr>
              <w:t>39</w:t>
            </w: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r w:rsidRPr="00AD0B17">
              <w:rPr>
                <w:sz w:val="18"/>
              </w:rPr>
              <w:t>12</w:t>
            </w: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r w:rsidRPr="00AD0B17">
              <w:rPr>
                <w:sz w:val="18"/>
              </w:rPr>
              <w:t>12</w:t>
            </w: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r w:rsidRPr="00AD0B17">
              <w:rPr>
                <w:sz w:val="18"/>
              </w:rPr>
              <w:t>7</w:t>
            </w:r>
          </w:p>
        </w:tc>
      </w:tr>
      <w:tr w:rsidR="00F233AB" w:rsidRPr="00AD0B17" w:rsidTr="005F194E">
        <w:tc>
          <w:tcPr>
            <w:tcW w:w="4633" w:type="dxa"/>
            <w:shd w:val="clear" w:color="auto" w:fill="auto"/>
          </w:tcPr>
          <w:p w:rsidR="00F233AB" w:rsidRPr="00AD0B17" w:rsidRDefault="00F233AB" w:rsidP="00AD0B17">
            <w:pPr>
              <w:suppressAutoHyphens w:val="0"/>
              <w:spacing w:before="40" w:after="40" w:line="220" w:lineRule="exact"/>
              <w:ind w:right="113"/>
              <w:rPr>
                <w:sz w:val="18"/>
              </w:rPr>
            </w:pPr>
            <w:r w:rsidRPr="00AD0B17">
              <w:rPr>
                <w:sz w:val="18"/>
              </w:rPr>
              <w:t>Convictions</w:t>
            </w:r>
            <w:r w:rsidR="005B2A41" w:rsidRPr="00AD0B17">
              <w:rPr>
                <w:sz w:val="18"/>
              </w:rPr>
              <w:t xml:space="preserve"> </w:t>
            </w:r>
            <w:r w:rsidRPr="00AD0B17">
              <w:rPr>
                <w:sz w:val="18"/>
              </w:rPr>
              <w:t>in</w:t>
            </w:r>
            <w:r w:rsidR="005B2A41" w:rsidRPr="00AD0B17">
              <w:rPr>
                <w:sz w:val="18"/>
              </w:rPr>
              <w:t xml:space="preserve"> </w:t>
            </w:r>
            <w:r w:rsidRPr="00AD0B17">
              <w:rPr>
                <w:sz w:val="18"/>
              </w:rPr>
              <w:t>first</w:t>
            </w:r>
            <w:r w:rsidR="005B2A41" w:rsidRPr="00AD0B17">
              <w:rPr>
                <w:sz w:val="18"/>
              </w:rPr>
              <w:t xml:space="preserve"> </w:t>
            </w:r>
            <w:r w:rsidRPr="00AD0B17">
              <w:rPr>
                <w:sz w:val="18"/>
              </w:rPr>
              <w:t>instance</w:t>
            </w:r>
            <w:r w:rsidR="005B2A41" w:rsidRPr="00AD0B17">
              <w:rPr>
                <w:sz w:val="18"/>
              </w:rPr>
              <w:t xml:space="preserve"> </w:t>
            </w:r>
            <w:r w:rsidRPr="00AD0B17">
              <w:rPr>
                <w:sz w:val="18"/>
              </w:rPr>
              <w:t>for</w:t>
            </w:r>
            <w:r w:rsidR="005B2A41" w:rsidRPr="00AD0B17">
              <w:rPr>
                <w:sz w:val="18"/>
              </w:rPr>
              <w:t xml:space="preserve"> </w:t>
            </w:r>
            <w:r w:rsidRPr="00AD0B17">
              <w:rPr>
                <w:sz w:val="18"/>
              </w:rPr>
              <w:t>forced</w:t>
            </w:r>
            <w:r w:rsidR="005B2A41" w:rsidRPr="00AD0B17">
              <w:rPr>
                <w:sz w:val="18"/>
              </w:rPr>
              <w:t xml:space="preserve"> </w:t>
            </w:r>
            <w:r w:rsidRPr="00AD0B17">
              <w:rPr>
                <w:sz w:val="18"/>
              </w:rPr>
              <w:t>labour</w:t>
            </w:r>
            <w:r w:rsidR="005B2A41" w:rsidRPr="00AD0B17">
              <w:rPr>
                <w:sz w:val="18"/>
              </w:rPr>
              <w:t xml:space="preserve"> </w:t>
            </w:r>
            <w:r w:rsidRPr="00AD0B17">
              <w:rPr>
                <w:sz w:val="18"/>
              </w:rPr>
              <w:t>etc</w:t>
            </w:r>
            <w:r w:rsidR="005F194E">
              <w:rPr>
                <w:sz w:val="18"/>
              </w:rPr>
              <w:t>.</w:t>
            </w: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r w:rsidRPr="00AD0B17">
              <w:rPr>
                <w:sz w:val="18"/>
              </w:rPr>
              <w:t>7</w:t>
            </w: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r w:rsidRPr="00AD0B17">
              <w:rPr>
                <w:sz w:val="18"/>
              </w:rPr>
              <w:t>1</w:t>
            </w: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r w:rsidRPr="00AD0B17">
              <w:rPr>
                <w:sz w:val="18"/>
              </w:rPr>
              <w:t>3</w:t>
            </w: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r w:rsidRPr="00AD0B17">
              <w:rPr>
                <w:sz w:val="18"/>
              </w:rPr>
              <w:t>1</w:t>
            </w:r>
          </w:p>
        </w:tc>
      </w:tr>
      <w:tr w:rsidR="00F233AB" w:rsidRPr="00AD0B17" w:rsidTr="005F194E">
        <w:tc>
          <w:tcPr>
            <w:tcW w:w="4633" w:type="dxa"/>
            <w:shd w:val="clear" w:color="auto" w:fill="auto"/>
          </w:tcPr>
          <w:p w:rsidR="00F233AB" w:rsidRPr="00AD0B17" w:rsidRDefault="00F233AB" w:rsidP="00AD0B17">
            <w:pPr>
              <w:suppressAutoHyphens w:val="0"/>
              <w:spacing w:before="40" w:after="40" w:line="220" w:lineRule="exact"/>
              <w:ind w:right="113"/>
              <w:rPr>
                <w:sz w:val="18"/>
              </w:rPr>
            </w:pPr>
            <w:r w:rsidRPr="00AD0B17">
              <w:rPr>
                <w:sz w:val="18"/>
              </w:rPr>
              <w:t>Acquittal</w:t>
            </w:r>
            <w:r w:rsidR="005B2A41" w:rsidRPr="00AD0B17">
              <w:rPr>
                <w:sz w:val="18"/>
              </w:rPr>
              <w:t xml:space="preserve"> </w:t>
            </w:r>
            <w:r w:rsidRPr="00AD0B17">
              <w:rPr>
                <w:sz w:val="18"/>
              </w:rPr>
              <w:t>decisions</w:t>
            </w:r>
            <w:r w:rsidR="005B2A41" w:rsidRPr="00AD0B17">
              <w:rPr>
                <w:sz w:val="18"/>
              </w:rPr>
              <w:t xml:space="preserve"> </w:t>
            </w:r>
            <w:r w:rsidRPr="00AD0B17">
              <w:rPr>
                <w:sz w:val="18"/>
              </w:rPr>
              <w:t>for</w:t>
            </w:r>
            <w:r w:rsidR="005B2A41" w:rsidRPr="00AD0B17">
              <w:rPr>
                <w:sz w:val="18"/>
              </w:rPr>
              <w:t xml:space="preserve"> </w:t>
            </w:r>
            <w:r w:rsidRPr="00AD0B17">
              <w:rPr>
                <w:sz w:val="18"/>
              </w:rPr>
              <w:t>sexual</w:t>
            </w:r>
            <w:r w:rsidR="005B2A41" w:rsidRPr="00AD0B17">
              <w:rPr>
                <w:sz w:val="18"/>
              </w:rPr>
              <w:t xml:space="preserve"> </w:t>
            </w:r>
            <w:r w:rsidRPr="00AD0B17">
              <w:rPr>
                <w:sz w:val="18"/>
              </w:rPr>
              <w:t>exploitation</w:t>
            </w: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r w:rsidRPr="00AD0B17">
              <w:rPr>
                <w:sz w:val="18"/>
              </w:rPr>
              <w:t>13</w:t>
            </w: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r w:rsidRPr="00AD0B17">
              <w:rPr>
                <w:sz w:val="18"/>
              </w:rPr>
              <w:t>7</w:t>
            </w: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r w:rsidRPr="00AD0B17">
              <w:rPr>
                <w:sz w:val="18"/>
              </w:rPr>
              <w:t>5</w:t>
            </w: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r w:rsidRPr="00AD0B17">
              <w:rPr>
                <w:sz w:val="18"/>
              </w:rPr>
              <w:t>2</w:t>
            </w:r>
          </w:p>
        </w:tc>
      </w:tr>
      <w:tr w:rsidR="00F233AB" w:rsidRPr="00AD0B17" w:rsidTr="005F194E">
        <w:tc>
          <w:tcPr>
            <w:tcW w:w="4633" w:type="dxa"/>
            <w:shd w:val="clear" w:color="auto" w:fill="auto"/>
          </w:tcPr>
          <w:p w:rsidR="00F233AB" w:rsidRPr="00AD0B17" w:rsidRDefault="00F233AB" w:rsidP="00AD0B17">
            <w:pPr>
              <w:suppressAutoHyphens w:val="0"/>
              <w:spacing w:before="40" w:after="40" w:line="220" w:lineRule="exact"/>
              <w:ind w:right="113"/>
              <w:rPr>
                <w:sz w:val="18"/>
              </w:rPr>
            </w:pPr>
            <w:r w:rsidRPr="00AD0B17">
              <w:rPr>
                <w:sz w:val="18"/>
              </w:rPr>
              <w:t>Acquittal</w:t>
            </w:r>
            <w:r w:rsidR="005B2A41" w:rsidRPr="00AD0B17">
              <w:rPr>
                <w:sz w:val="18"/>
              </w:rPr>
              <w:t xml:space="preserve"> </w:t>
            </w:r>
            <w:r w:rsidRPr="00AD0B17">
              <w:rPr>
                <w:sz w:val="18"/>
              </w:rPr>
              <w:t>decision</w:t>
            </w:r>
            <w:r w:rsidR="005B2A41" w:rsidRPr="00AD0B17">
              <w:rPr>
                <w:sz w:val="18"/>
              </w:rPr>
              <w:t xml:space="preserve"> </w:t>
            </w:r>
            <w:r w:rsidRPr="00AD0B17">
              <w:rPr>
                <w:sz w:val="18"/>
              </w:rPr>
              <w:t>for</w:t>
            </w:r>
            <w:r w:rsidR="005B2A41" w:rsidRPr="00AD0B17">
              <w:rPr>
                <w:sz w:val="18"/>
              </w:rPr>
              <w:t xml:space="preserve"> </w:t>
            </w:r>
            <w:r w:rsidRPr="00AD0B17">
              <w:rPr>
                <w:sz w:val="18"/>
              </w:rPr>
              <w:t>forced</w:t>
            </w:r>
            <w:r w:rsidR="005B2A41" w:rsidRPr="00AD0B17">
              <w:rPr>
                <w:sz w:val="18"/>
              </w:rPr>
              <w:t xml:space="preserve"> </w:t>
            </w:r>
            <w:r w:rsidRPr="00AD0B17">
              <w:rPr>
                <w:sz w:val="18"/>
              </w:rPr>
              <w:t>labour</w:t>
            </w:r>
            <w:r w:rsidR="005B2A41" w:rsidRPr="00AD0B17">
              <w:rPr>
                <w:sz w:val="18"/>
              </w:rPr>
              <w:t xml:space="preserve"> </w:t>
            </w:r>
            <w:r w:rsidRPr="00AD0B17">
              <w:rPr>
                <w:sz w:val="18"/>
              </w:rPr>
              <w:t>etc.</w:t>
            </w: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r w:rsidRPr="00AD0B17">
              <w:rPr>
                <w:sz w:val="18"/>
              </w:rPr>
              <w:t>3</w:t>
            </w: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r w:rsidRPr="00AD0B17">
              <w:rPr>
                <w:sz w:val="18"/>
              </w:rPr>
              <w:t>3</w:t>
            </w: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r w:rsidRPr="00AD0B17">
              <w:rPr>
                <w:sz w:val="18"/>
              </w:rPr>
              <w:t>1</w:t>
            </w: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r w:rsidRPr="00AD0B17">
              <w:rPr>
                <w:sz w:val="18"/>
              </w:rPr>
              <w:t>1</w:t>
            </w:r>
          </w:p>
        </w:tc>
      </w:tr>
      <w:tr w:rsidR="00F233AB" w:rsidRPr="00AD0B17" w:rsidTr="005F194E">
        <w:tc>
          <w:tcPr>
            <w:tcW w:w="4633" w:type="dxa"/>
            <w:shd w:val="clear" w:color="auto" w:fill="auto"/>
          </w:tcPr>
          <w:p w:rsidR="00F233AB" w:rsidRPr="00AD0B17" w:rsidRDefault="00F233AB" w:rsidP="00AD0B17">
            <w:pPr>
              <w:suppressAutoHyphens w:val="0"/>
              <w:spacing w:before="40" w:after="40" w:line="220" w:lineRule="exact"/>
              <w:ind w:right="113"/>
              <w:rPr>
                <w:sz w:val="18"/>
              </w:rPr>
            </w:pPr>
            <w:r w:rsidRPr="00AD0B17">
              <w:rPr>
                <w:sz w:val="18"/>
              </w:rPr>
              <w:t>Suspended</w:t>
            </w:r>
            <w:r w:rsidR="005B2A41" w:rsidRPr="00AD0B17">
              <w:rPr>
                <w:sz w:val="18"/>
              </w:rPr>
              <w:t xml:space="preserve"> </w:t>
            </w:r>
            <w:r w:rsidRPr="00AD0B17">
              <w:rPr>
                <w:sz w:val="18"/>
              </w:rPr>
              <w:t>sentences</w:t>
            </w:r>
            <w:r w:rsidR="005B2A41" w:rsidRPr="00AD0B17">
              <w:rPr>
                <w:sz w:val="18"/>
              </w:rPr>
              <w:t xml:space="preserve"> </w:t>
            </w:r>
            <w:r w:rsidRPr="00AD0B17">
              <w:rPr>
                <w:sz w:val="18"/>
              </w:rPr>
              <w:t>for</w:t>
            </w:r>
            <w:r w:rsidR="005B2A41" w:rsidRPr="00AD0B17">
              <w:rPr>
                <w:sz w:val="18"/>
              </w:rPr>
              <w:t xml:space="preserve"> </w:t>
            </w:r>
            <w:r w:rsidRPr="00AD0B17">
              <w:rPr>
                <w:sz w:val="18"/>
              </w:rPr>
              <w:t>sexual</w:t>
            </w:r>
            <w:r w:rsidR="005B2A41" w:rsidRPr="00AD0B17">
              <w:rPr>
                <w:sz w:val="18"/>
              </w:rPr>
              <w:t xml:space="preserve"> </w:t>
            </w:r>
            <w:r w:rsidRPr="00AD0B17">
              <w:rPr>
                <w:sz w:val="18"/>
              </w:rPr>
              <w:t>exploitation</w:t>
            </w: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r w:rsidRPr="00AD0B17">
              <w:rPr>
                <w:sz w:val="18"/>
              </w:rPr>
              <w:t>34</w:t>
            </w: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r w:rsidRPr="00AD0B17">
              <w:rPr>
                <w:sz w:val="18"/>
              </w:rPr>
              <w:t>9</w:t>
            </w: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r w:rsidRPr="00AD0B17">
              <w:rPr>
                <w:sz w:val="18"/>
              </w:rPr>
              <w:t>16</w:t>
            </w: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r w:rsidRPr="00AD0B17">
              <w:rPr>
                <w:sz w:val="18"/>
              </w:rPr>
              <w:t>17</w:t>
            </w:r>
          </w:p>
        </w:tc>
      </w:tr>
      <w:tr w:rsidR="00F233AB" w:rsidRPr="00AD0B17" w:rsidTr="005F194E">
        <w:tc>
          <w:tcPr>
            <w:tcW w:w="4633" w:type="dxa"/>
            <w:shd w:val="clear" w:color="auto" w:fill="auto"/>
          </w:tcPr>
          <w:p w:rsidR="00F233AB" w:rsidRPr="00AD0B17" w:rsidRDefault="00F233AB" w:rsidP="00AD0B17">
            <w:pPr>
              <w:suppressAutoHyphens w:val="0"/>
              <w:spacing w:before="40" w:after="40" w:line="220" w:lineRule="exact"/>
              <w:ind w:right="113"/>
              <w:rPr>
                <w:sz w:val="18"/>
              </w:rPr>
            </w:pPr>
            <w:r w:rsidRPr="00AD0B17">
              <w:rPr>
                <w:sz w:val="18"/>
              </w:rPr>
              <w:t>Suspended</w:t>
            </w:r>
            <w:r w:rsidR="005B2A41" w:rsidRPr="00AD0B17">
              <w:rPr>
                <w:sz w:val="18"/>
              </w:rPr>
              <w:t xml:space="preserve"> </w:t>
            </w:r>
            <w:r w:rsidRPr="00AD0B17">
              <w:rPr>
                <w:sz w:val="18"/>
              </w:rPr>
              <w:t>sentences</w:t>
            </w:r>
            <w:r w:rsidR="005B2A41" w:rsidRPr="00AD0B17">
              <w:rPr>
                <w:sz w:val="18"/>
              </w:rPr>
              <w:t xml:space="preserve"> </w:t>
            </w:r>
            <w:r w:rsidRPr="00AD0B17">
              <w:rPr>
                <w:sz w:val="18"/>
              </w:rPr>
              <w:t>for</w:t>
            </w:r>
            <w:r w:rsidR="005B2A41" w:rsidRPr="00AD0B17">
              <w:rPr>
                <w:sz w:val="18"/>
              </w:rPr>
              <w:t xml:space="preserve"> </w:t>
            </w:r>
            <w:r w:rsidRPr="00AD0B17">
              <w:rPr>
                <w:sz w:val="18"/>
              </w:rPr>
              <w:t>forced</w:t>
            </w:r>
            <w:r w:rsidR="005B2A41" w:rsidRPr="00AD0B17">
              <w:rPr>
                <w:sz w:val="18"/>
              </w:rPr>
              <w:t xml:space="preserve"> </w:t>
            </w:r>
            <w:r w:rsidRPr="00AD0B17">
              <w:rPr>
                <w:sz w:val="18"/>
              </w:rPr>
              <w:t>labour</w:t>
            </w:r>
            <w:r w:rsidR="005B2A41" w:rsidRPr="00AD0B17">
              <w:rPr>
                <w:sz w:val="18"/>
              </w:rPr>
              <w:t xml:space="preserve"> </w:t>
            </w:r>
            <w:r w:rsidRPr="00AD0B17">
              <w:rPr>
                <w:sz w:val="18"/>
              </w:rPr>
              <w:t>etc</w:t>
            </w:r>
            <w:r w:rsidR="005F194E">
              <w:rPr>
                <w:sz w:val="18"/>
              </w:rPr>
              <w:t>.</w:t>
            </w: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r w:rsidRPr="00AD0B17">
              <w:rPr>
                <w:sz w:val="18"/>
              </w:rPr>
              <w:t>8</w:t>
            </w: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r w:rsidRPr="00AD0B17">
              <w:rPr>
                <w:sz w:val="18"/>
              </w:rPr>
              <w:t>2</w:t>
            </w: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r w:rsidRPr="00AD0B17">
              <w:rPr>
                <w:sz w:val="18"/>
              </w:rPr>
              <w:t>1</w:t>
            </w: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r w:rsidRPr="00AD0B17">
              <w:rPr>
                <w:sz w:val="18"/>
              </w:rPr>
              <w:t>2</w:t>
            </w:r>
          </w:p>
        </w:tc>
      </w:tr>
      <w:tr w:rsidR="00F233AB" w:rsidRPr="00AD0B17" w:rsidTr="005F194E">
        <w:tc>
          <w:tcPr>
            <w:tcW w:w="4633" w:type="dxa"/>
            <w:shd w:val="clear" w:color="auto" w:fill="auto"/>
          </w:tcPr>
          <w:p w:rsidR="00F233AB" w:rsidRPr="00AD0B17" w:rsidRDefault="00F233AB" w:rsidP="00AD0B17">
            <w:pPr>
              <w:suppressAutoHyphens w:val="0"/>
              <w:spacing w:before="40" w:after="40" w:line="220" w:lineRule="exact"/>
              <w:ind w:right="113"/>
              <w:rPr>
                <w:sz w:val="18"/>
              </w:rPr>
            </w:pPr>
            <w:r w:rsidRPr="00AD0B17">
              <w:rPr>
                <w:sz w:val="18"/>
              </w:rPr>
              <w:t>Appeals</w:t>
            </w:r>
            <w:r w:rsidR="005B2A41" w:rsidRPr="00AD0B17">
              <w:rPr>
                <w:sz w:val="18"/>
              </w:rPr>
              <w:t xml:space="preserve"> </w:t>
            </w:r>
            <w:r w:rsidRPr="00AD0B17">
              <w:rPr>
                <w:sz w:val="18"/>
              </w:rPr>
              <w:t>to</w:t>
            </w:r>
            <w:r w:rsidR="005B2A41" w:rsidRPr="00AD0B17">
              <w:rPr>
                <w:sz w:val="18"/>
              </w:rPr>
              <w:t xml:space="preserve"> </w:t>
            </w:r>
            <w:r w:rsidRPr="00AD0B17">
              <w:rPr>
                <w:sz w:val="18"/>
              </w:rPr>
              <w:t>the</w:t>
            </w:r>
            <w:r w:rsidR="005B2A41" w:rsidRPr="00AD0B17">
              <w:rPr>
                <w:sz w:val="18"/>
              </w:rPr>
              <w:t xml:space="preserve"> </w:t>
            </w:r>
            <w:r w:rsidRPr="00AD0B17">
              <w:rPr>
                <w:sz w:val="18"/>
              </w:rPr>
              <w:t>judgments</w:t>
            </w:r>
            <w:r w:rsidR="005B2A41" w:rsidRPr="00AD0B17">
              <w:rPr>
                <w:sz w:val="18"/>
              </w:rPr>
              <w:t xml:space="preserve"> </w:t>
            </w:r>
            <w:r w:rsidRPr="00AD0B17">
              <w:rPr>
                <w:sz w:val="18"/>
              </w:rPr>
              <w:t>at</w:t>
            </w:r>
            <w:r w:rsidR="005B2A41" w:rsidRPr="00AD0B17">
              <w:rPr>
                <w:sz w:val="18"/>
              </w:rPr>
              <w:t xml:space="preserve"> </w:t>
            </w:r>
            <w:r w:rsidRPr="00AD0B17">
              <w:rPr>
                <w:sz w:val="18"/>
              </w:rPr>
              <w:t>first</w:t>
            </w:r>
            <w:r w:rsidR="005B2A41" w:rsidRPr="00AD0B17">
              <w:rPr>
                <w:sz w:val="18"/>
              </w:rPr>
              <w:t xml:space="preserve"> </w:t>
            </w:r>
            <w:r w:rsidRPr="00AD0B17">
              <w:rPr>
                <w:sz w:val="18"/>
              </w:rPr>
              <w:t>instance</w:t>
            </w:r>
            <w:r w:rsidR="005B2A41" w:rsidRPr="00AD0B17">
              <w:rPr>
                <w:sz w:val="18"/>
              </w:rPr>
              <w:t xml:space="preserve"> </w:t>
            </w:r>
            <w:r w:rsidRPr="00AD0B17">
              <w:rPr>
                <w:sz w:val="18"/>
              </w:rPr>
              <w:t>for</w:t>
            </w:r>
            <w:r w:rsidR="005B2A41" w:rsidRPr="00AD0B17">
              <w:rPr>
                <w:sz w:val="18"/>
              </w:rPr>
              <w:t xml:space="preserve"> </w:t>
            </w:r>
            <w:r w:rsidRPr="00AD0B17">
              <w:rPr>
                <w:sz w:val="18"/>
              </w:rPr>
              <w:t>sexual</w:t>
            </w:r>
            <w:r w:rsidR="005B2A41" w:rsidRPr="00AD0B17">
              <w:rPr>
                <w:sz w:val="18"/>
              </w:rPr>
              <w:t xml:space="preserve"> </w:t>
            </w:r>
            <w:r w:rsidRPr="00AD0B17">
              <w:rPr>
                <w:sz w:val="18"/>
              </w:rPr>
              <w:lastRenderedPageBreak/>
              <w:t>exploitation</w:t>
            </w: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r w:rsidRPr="00AD0B17">
              <w:rPr>
                <w:sz w:val="18"/>
              </w:rPr>
              <w:lastRenderedPageBreak/>
              <w:t>17</w:t>
            </w: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r w:rsidRPr="00AD0B17">
              <w:rPr>
                <w:sz w:val="18"/>
              </w:rPr>
              <w:t>10</w:t>
            </w: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r w:rsidRPr="00AD0B17">
              <w:rPr>
                <w:sz w:val="18"/>
              </w:rPr>
              <w:t>7</w:t>
            </w: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r w:rsidRPr="00AD0B17">
              <w:rPr>
                <w:sz w:val="18"/>
              </w:rPr>
              <w:t>2</w:t>
            </w:r>
          </w:p>
        </w:tc>
      </w:tr>
      <w:tr w:rsidR="00F233AB" w:rsidRPr="00AD0B17" w:rsidTr="005F194E">
        <w:tc>
          <w:tcPr>
            <w:tcW w:w="4633" w:type="dxa"/>
            <w:shd w:val="clear" w:color="auto" w:fill="auto"/>
          </w:tcPr>
          <w:p w:rsidR="00F233AB" w:rsidRPr="00AD0B17" w:rsidRDefault="00F233AB" w:rsidP="00AD0B17">
            <w:pPr>
              <w:suppressAutoHyphens w:val="0"/>
              <w:spacing w:before="40" w:after="40" w:line="220" w:lineRule="exact"/>
              <w:ind w:right="113"/>
              <w:rPr>
                <w:sz w:val="18"/>
              </w:rPr>
            </w:pPr>
            <w:r w:rsidRPr="00AD0B17">
              <w:rPr>
                <w:sz w:val="18"/>
              </w:rPr>
              <w:t>Appeal</w:t>
            </w:r>
            <w:r w:rsidR="005B2A41" w:rsidRPr="00AD0B17">
              <w:rPr>
                <w:sz w:val="18"/>
              </w:rPr>
              <w:t xml:space="preserve"> </w:t>
            </w:r>
            <w:r w:rsidRPr="00AD0B17">
              <w:rPr>
                <w:sz w:val="18"/>
              </w:rPr>
              <w:t>to</w:t>
            </w:r>
            <w:r w:rsidR="005B2A41" w:rsidRPr="00AD0B17">
              <w:rPr>
                <w:sz w:val="18"/>
              </w:rPr>
              <w:t xml:space="preserve"> </w:t>
            </w:r>
            <w:r w:rsidRPr="00AD0B17">
              <w:rPr>
                <w:sz w:val="18"/>
              </w:rPr>
              <w:t>the</w:t>
            </w:r>
            <w:r w:rsidR="005B2A41" w:rsidRPr="00AD0B17">
              <w:rPr>
                <w:sz w:val="18"/>
              </w:rPr>
              <w:t xml:space="preserve"> </w:t>
            </w:r>
            <w:r w:rsidRPr="00AD0B17">
              <w:rPr>
                <w:sz w:val="18"/>
              </w:rPr>
              <w:t>judgments</w:t>
            </w:r>
            <w:r w:rsidR="005B2A41" w:rsidRPr="00AD0B17">
              <w:rPr>
                <w:sz w:val="18"/>
              </w:rPr>
              <w:t xml:space="preserve"> </w:t>
            </w:r>
            <w:r w:rsidRPr="00AD0B17">
              <w:rPr>
                <w:sz w:val="18"/>
              </w:rPr>
              <w:t>at</w:t>
            </w:r>
            <w:r w:rsidR="005B2A41" w:rsidRPr="00AD0B17">
              <w:rPr>
                <w:sz w:val="18"/>
              </w:rPr>
              <w:t xml:space="preserve"> </w:t>
            </w:r>
            <w:r w:rsidRPr="00AD0B17">
              <w:rPr>
                <w:sz w:val="18"/>
              </w:rPr>
              <w:t>first</w:t>
            </w:r>
            <w:r w:rsidR="005B2A41" w:rsidRPr="00AD0B17">
              <w:rPr>
                <w:sz w:val="18"/>
              </w:rPr>
              <w:t xml:space="preserve"> </w:t>
            </w:r>
            <w:r w:rsidRPr="00AD0B17">
              <w:rPr>
                <w:sz w:val="18"/>
              </w:rPr>
              <w:t>instance</w:t>
            </w:r>
            <w:r w:rsidR="005B2A41" w:rsidRPr="00AD0B17">
              <w:rPr>
                <w:sz w:val="18"/>
              </w:rPr>
              <w:t xml:space="preserve"> </w:t>
            </w:r>
            <w:r w:rsidRPr="00AD0B17">
              <w:rPr>
                <w:sz w:val="18"/>
              </w:rPr>
              <w:t>for</w:t>
            </w:r>
            <w:r w:rsidR="005B2A41" w:rsidRPr="00AD0B17">
              <w:rPr>
                <w:sz w:val="18"/>
              </w:rPr>
              <w:t xml:space="preserve"> </w:t>
            </w:r>
            <w:r w:rsidRPr="00AD0B17">
              <w:rPr>
                <w:sz w:val="18"/>
              </w:rPr>
              <w:t>forced</w:t>
            </w:r>
            <w:r w:rsidR="005B2A41" w:rsidRPr="00AD0B17">
              <w:rPr>
                <w:sz w:val="18"/>
              </w:rPr>
              <w:t xml:space="preserve"> </w:t>
            </w:r>
            <w:r w:rsidRPr="00AD0B17">
              <w:rPr>
                <w:sz w:val="18"/>
              </w:rPr>
              <w:t>labour</w:t>
            </w:r>
            <w:r w:rsidR="005B2A41" w:rsidRPr="00AD0B17">
              <w:rPr>
                <w:sz w:val="18"/>
              </w:rPr>
              <w:t xml:space="preserve"> </w:t>
            </w:r>
            <w:r w:rsidRPr="00AD0B17">
              <w:rPr>
                <w:sz w:val="18"/>
              </w:rPr>
              <w:t>etc</w:t>
            </w:r>
            <w:r w:rsidR="005F194E">
              <w:rPr>
                <w:sz w:val="18"/>
              </w:rPr>
              <w:t>.</w:t>
            </w: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r w:rsidRPr="00AD0B17">
              <w:rPr>
                <w:sz w:val="18"/>
              </w:rPr>
              <w:t>0</w:t>
            </w: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r w:rsidRPr="00AD0B17">
              <w:rPr>
                <w:sz w:val="18"/>
              </w:rPr>
              <w:t>1</w:t>
            </w: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r w:rsidRPr="00AD0B17">
              <w:rPr>
                <w:sz w:val="18"/>
              </w:rPr>
              <w:t>0</w:t>
            </w: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r w:rsidRPr="00AD0B17">
              <w:rPr>
                <w:sz w:val="18"/>
              </w:rPr>
              <w:t>0</w:t>
            </w:r>
          </w:p>
        </w:tc>
      </w:tr>
      <w:tr w:rsidR="00F233AB" w:rsidRPr="00AD0B17" w:rsidTr="005F194E">
        <w:tc>
          <w:tcPr>
            <w:tcW w:w="4633" w:type="dxa"/>
            <w:shd w:val="clear" w:color="auto" w:fill="auto"/>
          </w:tcPr>
          <w:p w:rsidR="00F233AB" w:rsidRPr="00AD0B17" w:rsidRDefault="00F233AB" w:rsidP="00AD0B17">
            <w:pPr>
              <w:suppressAutoHyphens w:val="0"/>
              <w:spacing w:before="40" w:after="40" w:line="220" w:lineRule="exact"/>
              <w:ind w:right="113"/>
              <w:rPr>
                <w:sz w:val="18"/>
              </w:rPr>
            </w:pPr>
            <w:r w:rsidRPr="00AD0B17">
              <w:rPr>
                <w:sz w:val="18"/>
              </w:rPr>
              <w:t>Convictions</w:t>
            </w:r>
            <w:r w:rsidR="005B2A41" w:rsidRPr="00AD0B17">
              <w:rPr>
                <w:sz w:val="18"/>
              </w:rPr>
              <w:t xml:space="preserve"> </w:t>
            </w:r>
            <w:r w:rsidRPr="00AD0B17">
              <w:rPr>
                <w:sz w:val="18"/>
              </w:rPr>
              <w:t>in</w:t>
            </w:r>
            <w:r w:rsidR="005B2A41" w:rsidRPr="00AD0B17">
              <w:rPr>
                <w:sz w:val="18"/>
              </w:rPr>
              <w:t xml:space="preserve"> </w:t>
            </w:r>
            <w:r w:rsidRPr="00AD0B17">
              <w:rPr>
                <w:sz w:val="18"/>
              </w:rPr>
              <w:t>second</w:t>
            </w:r>
            <w:r w:rsidR="005B2A41" w:rsidRPr="00AD0B17">
              <w:rPr>
                <w:sz w:val="18"/>
              </w:rPr>
              <w:t xml:space="preserve"> </w:t>
            </w:r>
            <w:r w:rsidRPr="00AD0B17">
              <w:rPr>
                <w:sz w:val="18"/>
              </w:rPr>
              <w:t>instance</w:t>
            </w:r>
            <w:r w:rsidR="005B2A41" w:rsidRPr="00AD0B17">
              <w:rPr>
                <w:sz w:val="18"/>
              </w:rPr>
              <w:t xml:space="preserve"> </w:t>
            </w:r>
            <w:r w:rsidRPr="00AD0B17">
              <w:rPr>
                <w:sz w:val="18"/>
              </w:rPr>
              <w:t>for</w:t>
            </w:r>
            <w:r w:rsidR="005B2A41" w:rsidRPr="00AD0B17">
              <w:rPr>
                <w:sz w:val="18"/>
              </w:rPr>
              <w:t xml:space="preserve"> </w:t>
            </w:r>
            <w:r w:rsidRPr="00AD0B17">
              <w:rPr>
                <w:sz w:val="18"/>
              </w:rPr>
              <w:t>sexual</w:t>
            </w:r>
            <w:r w:rsidR="005B2A41" w:rsidRPr="00AD0B17">
              <w:rPr>
                <w:sz w:val="18"/>
              </w:rPr>
              <w:t xml:space="preserve"> </w:t>
            </w:r>
            <w:r w:rsidRPr="00AD0B17">
              <w:rPr>
                <w:sz w:val="18"/>
              </w:rPr>
              <w:t>exploitation</w:t>
            </w: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r w:rsidRPr="00AD0B17">
              <w:rPr>
                <w:sz w:val="18"/>
              </w:rPr>
              <w:t>1</w:t>
            </w: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r w:rsidRPr="00AD0B17">
              <w:rPr>
                <w:sz w:val="18"/>
              </w:rPr>
              <w:t>6</w:t>
            </w: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r w:rsidRPr="00AD0B17">
              <w:rPr>
                <w:sz w:val="18"/>
              </w:rPr>
              <w:t>1</w:t>
            </w:r>
          </w:p>
        </w:tc>
      </w:tr>
      <w:tr w:rsidR="00F233AB" w:rsidRPr="00AD0B17" w:rsidTr="005F194E">
        <w:tc>
          <w:tcPr>
            <w:tcW w:w="4633" w:type="dxa"/>
            <w:shd w:val="clear" w:color="auto" w:fill="auto"/>
          </w:tcPr>
          <w:p w:rsidR="00F233AB" w:rsidRPr="00AD0B17" w:rsidRDefault="00F233AB" w:rsidP="00AD0B17">
            <w:pPr>
              <w:suppressAutoHyphens w:val="0"/>
              <w:spacing w:before="40" w:after="40" w:line="220" w:lineRule="exact"/>
              <w:ind w:right="113"/>
              <w:rPr>
                <w:sz w:val="18"/>
              </w:rPr>
            </w:pPr>
            <w:r w:rsidRPr="00AD0B17">
              <w:rPr>
                <w:sz w:val="18"/>
              </w:rPr>
              <w:t>Convictions</w:t>
            </w:r>
            <w:r w:rsidR="005B2A41" w:rsidRPr="00AD0B17">
              <w:rPr>
                <w:sz w:val="18"/>
              </w:rPr>
              <w:t xml:space="preserve"> </w:t>
            </w:r>
            <w:r w:rsidRPr="00AD0B17">
              <w:rPr>
                <w:sz w:val="18"/>
              </w:rPr>
              <w:t>in</w:t>
            </w:r>
            <w:r w:rsidR="005B2A41" w:rsidRPr="00AD0B17">
              <w:rPr>
                <w:sz w:val="18"/>
              </w:rPr>
              <w:t xml:space="preserve"> </w:t>
            </w:r>
            <w:r w:rsidRPr="00AD0B17">
              <w:rPr>
                <w:sz w:val="18"/>
              </w:rPr>
              <w:t>second</w:t>
            </w:r>
            <w:r w:rsidR="005B2A41" w:rsidRPr="00AD0B17">
              <w:rPr>
                <w:sz w:val="18"/>
              </w:rPr>
              <w:t xml:space="preserve"> </w:t>
            </w:r>
            <w:r w:rsidRPr="00AD0B17">
              <w:rPr>
                <w:sz w:val="18"/>
              </w:rPr>
              <w:t>instance</w:t>
            </w:r>
            <w:r w:rsidR="005B2A41" w:rsidRPr="00AD0B17">
              <w:rPr>
                <w:sz w:val="18"/>
              </w:rPr>
              <w:t xml:space="preserve"> </w:t>
            </w:r>
            <w:r w:rsidRPr="00AD0B17">
              <w:rPr>
                <w:sz w:val="18"/>
              </w:rPr>
              <w:t>for</w:t>
            </w:r>
            <w:r w:rsidR="005B2A41" w:rsidRPr="00AD0B17">
              <w:rPr>
                <w:sz w:val="18"/>
              </w:rPr>
              <w:t xml:space="preserve"> </w:t>
            </w:r>
            <w:r w:rsidRPr="00AD0B17">
              <w:rPr>
                <w:sz w:val="18"/>
              </w:rPr>
              <w:t>forced</w:t>
            </w:r>
            <w:r w:rsidR="005B2A41" w:rsidRPr="00AD0B17">
              <w:rPr>
                <w:sz w:val="18"/>
              </w:rPr>
              <w:t xml:space="preserve"> </w:t>
            </w:r>
            <w:r w:rsidRPr="00AD0B17">
              <w:rPr>
                <w:sz w:val="18"/>
              </w:rPr>
              <w:t>labour</w:t>
            </w: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r w:rsidRPr="00AD0B17">
              <w:rPr>
                <w:sz w:val="18"/>
              </w:rPr>
              <w:t>1</w:t>
            </w: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r w:rsidRPr="00AD0B17">
              <w:rPr>
                <w:sz w:val="18"/>
              </w:rPr>
              <w:t>0</w:t>
            </w:r>
          </w:p>
        </w:tc>
        <w:tc>
          <w:tcPr>
            <w:tcW w:w="684" w:type="dxa"/>
            <w:shd w:val="clear" w:color="auto" w:fill="auto"/>
            <w:vAlign w:val="bottom"/>
          </w:tcPr>
          <w:p w:rsidR="00F233AB" w:rsidRPr="00AD0B17" w:rsidRDefault="00F233AB" w:rsidP="00AD0B17">
            <w:pPr>
              <w:suppressAutoHyphens w:val="0"/>
              <w:spacing w:before="40" w:after="40" w:line="220" w:lineRule="exact"/>
              <w:ind w:right="113"/>
              <w:jc w:val="right"/>
              <w:rPr>
                <w:sz w:val="18"/>
              </w:rPr>
            </w:pPr>
            <w:r w:rsidRPr="00AD0B17">
              <w:rPr>
                <w:sz w:val="18"/>
              </w:rPr>
              <w:t>0</w:t>
            </w:r>
          </w:p>
        </w:tc>
      </w:tr>
    </w:tbl>
    <w:p w:rsidR="00F233AB" w:rsidRPr="00B02247" w:rsidRDefault="00F233AB" w:rsidP="005F194E">
      <w:pPr>
        <w:pStyle w:val="H23G"/>
      </w:pPr>
      <w:r w:rsidRPr="00B02247">
        <w:tab/>
      </w:r>
      <w:r w:rsidRPr="00B02247">
        <w:tab/>
        <w:t>Statistical</w:t>
      </w:r>
      <w:r w:rsidR="005B2A41">
        <w:t xml:space="preserve"> </w:t>
      </w:r>
      <w:r w:rsidRPr="00B02247">
        <w:t>data</w:t>
      </w:r>
      <w:r w:rsidR="005B2A41">
        <w:t xml:space="preserve"> </w:t>
      </w:r>
      <w:r w:rsidRPr="00B02247">
        <w:t>on</w:t>
      </w:r>
      <w:r w:rsidR="005B2A41">
        <w:t xml:space="preserve"> </w:t>
      </w:r>
      <w:r w:rsidRPr="00B02247">
        <w:t>hate</w:t>
      </w:r>
      <w:r w:rsidR="005B2A41">
        <w:t xml:space="preserve"> </w:t>
      </w:r>
      <w:r w:rsidRPr="00B02247">
        <w:t>crimes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82"/>
        <w:gridCol w:w="989"/>
        <w:gridCol w:w="1204"/>
        <w:gridCol w:w="1205"/>
        <w:gridCol w:w="990"/>
      </w:tblGrid>
      <w:tr w:rsidR="00F233AB" w:rsidRPr="00E43B83" w:rsidTr="00BD7AA1">
        <w:trPr>
          <w:tblHeader/>
        </w:trPr>
        <w:tc>
          <w:tcPr>
            <w:tcW w:w="2982" w:type="dxa"/>
            <w:tcBorders>
              <w:top w:val="single" w:sz="4" w:space="0" w:color="auto"/>
              <w:bottom w:val="single" w:sz="12" w:space="0" w:color="auto"/>
            </w:tcBorders>
            <w:shd w:val="clear" w:color="auto" w:fill="auto"/>
            <w:vAlign w:val="bottom"/>
          </w:tcPr>
          <w:p w:rsidR="00F233AB" w:rsidRPr="00E43B83" w:rsidRDefault="00F233AB" w:rsidP="00E43B83">
            <w:pPr>
              <w:suppressAutoHyphens w:val="0"/>
              <w:spacing w:before="80" w:after="80" w:line="200" w:lineRule="exact"/>
              <w:ind w:right="113"/>
              <w:rPr>
                <w:i/>
                <w:sz w:val="16"/>
              </w:rPr>
            </w:pPr>
          </w:p>
        </w:tc>
        <w:tc>
          <w:tcPr>
            <w:tcW w:w="989" w:type="dxa"/>
            <w:tcBorders>
              <w:top w:val="single" w:sz="4" w:space="0" w:color="auto"/>
              <w:bottom w:val="single" w:sz="12" w:space="0" w:color="auto"/>
            </w:tcBorders>
            <w:shd w:val="clear" w:color="auto" w:fill="auto"/>
            <w:vAlign w:val="bottom"/>
          </w:tcPr>
          <w:p w:rsidR="00F233AB" w:rsidRPr="00E43B83" w:rsidRDefault="00F233AB" w:rsidP="00E43B83">
            <w:pPr>
              <w:suppressAutoHyphens w:val="0"/>
              <w:spacing w:before="80" w:after="80" w:line="200" w:lineRule="exact"/>
              <w:ind w:right="113"/>
              <w:jc w:val="right"/>
              <w:rPr>
                <w:i/>
                <w:sz w:val="16"/>
              </w:rPr>
            </w:pPr>
            <w:r w:rsidRPr="00E43B83">
              <w:rPr>
                <w:i/>
                <w:sz w:val="16"/>
              </w:rPr>
              <w:t>2013</w:t>
            </w:r>
          </w:p>
        </w:tc>
        <w:tc>
          <w:tcPr>
            <w:tcW w:w="1204" w:type="dxa"/>
            <w:tcBorders>
              <w:top w:val="single" w:sz="4" w:space="0" w:color="auto"/>
              <w:bottom w:val="single" w:sz="12" w:space="0" w:color="auto"/>
            </w:tcBorders>
            <w:shd w:val="clear" w:color="auto" w:fill="auto"/>
            <w:vAlign w:val="bottom"/>
          </w:tcPr>
          <w:p w:rsidR="00F233AB" w:rsidRPr="00E43B83" w:rsidRDefault="00F233AB" w:rsidP="00E43B83">
            <w:pPr>
              <w:suppressAutoHyphens w:val="0"/>
              <w:spacing w:before="80" w:after="80" w:line="200" w:lineRule="exact"/>
              <w:ind w:right="113"/>
              <w:jc w:val="right"/>
              <w:rPr>
                <w:i/>
                <w:sz w:val="16"/>
              </w:rPr>
            </w:pPr>
            <w:r w:rsidRPr="00E43B83">
              <w:rPr>
                <w:i/>
                <w:sz w:val="16"/>
              </w:rPr>
              <w:t>2014</w:t>
            </w:r>
          </w:p>
        </w:tc>
        <w:tc>
          <w:tcPr>
            <w:tcW w:w="1205" w:type="dxa"/>
            <w:tcBorders>
              <w:top w:val="single" w:sz="4" w:space="0" w:color="auto"/>
              <w:bottom w:val="single" w:sz="12" w:space="0" w:color="auto"/>
            </w:tcBorders>
            <w:shd w:val="clear" w:color="auto" w:fill="auto"/>
            <w:vAlign w:val="bottom"/>
          </w:tcPr>
          <w:p w:rsidR="00F233AB" w:rsidRPr="00E43B83" w:rsidRDefault="00F233AB" w:rsidP="00E43B83">
            <w:pPr>
              <w:suppressAutoHyphens w:val="0"/>
              <w:spacing w:before="80" w:after="80" w:line="200" w:lineRule="exact"/>
              <w:ind w:right="113"/>
              <w:jc w:val="right"/>
              <w:rPr>
                <w:i/>
                <w:sz w:val="16"/>
              </w:rPr>
            </w:pPr>
            <w:r w:rsidRPr="00E43B83">
              <w:rPr>
                <w:i/>
                <w:sz w:val="16"/>
              </w:rPr>
              <w:t>2015</w:t>
            </w:r>
          </w:p>
        </w:tc>
        <w:tc>
          <w:tcPr>
            <w:tcW w:w="990" w:type="dxa"/>
            <w:tcBorders>
              <w:top w:val="single" w:sz="4" w:space="0" w:color="auto"/>
              <w:bottom w:val="single" w:sz="12" w:space="0" w:color="auto"/>
            </w:tcBorders>
            <w:shd w:val="clear" w:color="auto" w:fill="auto"/>
            <w:vAlign w:val="bottom"/>
          </w:tcPr>
          <w:p w:rsidR="00F233AB" w:rsidRPr="00E43B83" w:rsidRDefault="00F233AB" w:rsidP="00E43B83">
            <w:pPr>
              <w:suppressAutoHyphens w:val="0"/>
              <w:spacing w:before="80" w:after="80" w:line="200" w:lineRule="exact"/>
              <w:ind w:right="113"/>
              <w:jc w:val="right"/>
              <w:rPr>
                <w:i/>
                <w:sz w:val="16"/>
              </w:rPr>
            </w:pPr>
            <w:r w:rsidRPr="00E43B83">
              <w:rPr>
                <w:i/>
                <w:sz w:val="16"/>
              </w:rPr>
              <w:t>2016</w:t>
            </w:r>
          </w:p>
        </w:tc>
      </w:tr>
      <w:tr w:rsidR="00F233AB" w:rsidRPr="00E43B83" w:rsidTr="00BD7AA1">
        <w:tc>
          <w:tcPr>
            <w:tcW w:w="2982" w:type="dxa"/>
            <w:tcBorders>
              <w:top w:val="single" w:sz="12" w:space="0" w:color="auto"/>
            </w:tcBorders>
            <w:shd w:val="clear" w:color="auto" w:fill="auto"/>
          </w:tcPr>
          <w:p w:rsidR="00F233AB" w:rsidRPr="00E43B83" w:rsidRDefault="00F233AB" w:rsidP="00E43B83">
            <w:pPr>
              <w:suppressAutoHyphens w:val="0"/>
              <w:spacing w:before="40" w:after="40" w:line="220" w:lineRule="exact"/>
              <w:ind w:right="113"/>
              <w:rPr>
                <w:sz w:val="18"/>
              </w:rPr>
            </w:pPr>
            <w:r w:rsidRPr="00E43B83">
              <w:rPr>
                <w:sz w:val="18"/>
              </w:rPr>
              <w:t>Incidents</w:t>
            </w:r>
            <w:r w:rsidR="005B2A41" w:rsidRPr="00E43B83">
              <w:rPr>
                <w:sz w:val="18"/>
              </w:rPr>
              <w:t xml:space="preserve"> </w:t>
            </w:r>
            <w:r w:rsidRPr="00E43B83">
              <w:rPr>
                <w:sz w:val="18"/>
              </w:rPr>
              <w:t>with</w:t>
            </w:r>
            <w:r w:rsidR="005B2A41" w:rsidRPr="00E43B83">
              <w:rPr>
                <w:sz w:val="18"/>
              </w:rPr>
              <w:t xml:space="preserve"> </w:t>
            </w:r>
            <w:r w:rsidRPr="00E43B83">
              <w:rPr>
                <w:sz w:val="18"/>
              </w:rPr>
              <w:t>a</w:t>
            </w:r>
            <w:r w:rsidR="005B2A41" w:rsidRPr="00E43B83">
              <w:rPr>
                <w:sz w:val="18"/>
              </w:rPr>
              <w:t xml:space="preserve"> </w:t>
            </w:r>
            <w:r w:rsidRPr="00E43B83">
              <w:rPr>
                <w:sz w:val="18"/>
              </w:rPr>
              <w:t>possible</w:t>
            </w:r>
            <w:r w:rsidR="005B2A41" w:rsidRPr="00E43B83">
              <w:rPr>
                <w:sz w:val="18"/>
              </w:rPr>
              <w:t xml:space="preserve"> </w:t>
            </w:r>
            <w:r w:rsidRPr="00E43B83">
              <w:rPr>
                <w:sz w:val="18"/>
              </w:rPr>
              <w:t>bias-motivation</w:t>
            </w:r>
          </w:p>
        </w:tc>
        <w:tc>
          <w:tcPr>
            <w:tcW w:w="989" w:type="dxa"/>
            <w:tcBorders>
              <w:top w:val="single" w:sz="12" w:space="0" w:color="auto"/>
            </w:tcBorders>
            <w:shd w:val="clear" w:color="auto" w:fill="auto"/>
            <w:vAlign w:val="bottom"/>
          </w:tcPr>
          <w:p w:rsidR="00F233AB" w:rsidRPr="00E43B83" w:rsidRDefault="00F233AB" w:rsidP="00E43B83">
            <w:pPr>
              <w:suppressAutoHyphens w:val="0"/>
              <w:spacing w:before="40" w:after="40" w:line="220" w:lineRule="exact"/>
              <w:ind w:right="113"/>
              <w:jc w:val="right"/>
              <w:rPr>
                <w:sz w:val="18"/>
              </w:rPr>
            </w:pPr>
            <w:r w:rsidRPr="00E43B83">
              <w:rPr>
                <w:sz w:val="18"/>
              </w:rPr>
              <w:t>109</w:t>
            </w:r>
          </w:p>
        </w:tc>
        <w:tc>
          <w:tcPr>
            <w:tcW w:w="1204" w:type="dxa"/>
            <w:tcBorders>
              <w:top w:val="single" w:sz="12" w:space="0" w:color="auto"/>
            </w:tcBorders>
            <w:shd w:val="clear" w:color="auto" w:fill="auto"/>
            <w:vAlign w:val="bottom"/>
          </w:tcPr>
          <w:p w:rsidR="00F233AB" w:rsidRPr="00E43B83" w:rsidRDefault="00F233AB" w:rsidP="00E43B83">
            <w:pPr>
              <w:suppressAutoHyphens w:val="0"/>
              <w:spacing w:before="40" w:after="40" w:line="220" w:lineRule="exact"/>
              <w:ind w:right="113"/>
              <w:jc w:val="right"/>
              <w:rPr>
                <w:sz w:val="18"/>
              </w:rPr>
            </w:pPr>
            <w:r w:rsidRPr="00E43B83">
              <w:rPr>
                <w:sz w:val="18"/>
              </w:rPr>
              <w:t>80</w:t>
            </w:r>
          </w:p>
        </w:tc>
        <w:tc>
          <w:tcPr>
            <w:tcW w:w="1205" w:type="dxa"/>
            <w:tcBorders>
              <w:top w:val="single" w:sz="12" w:space="0" w:color="auto"/>
            </w:tcBorders>
            <w:shd w:val="clear" w:color="auto" w:fill="auto"/>
            <w:vAlign w:val="bottom"/>
          </w:tcPr>
          <w:p w:rsidR="00F233AB" w:rsidRPr="00E43B83" w:rsidRDefault="00F233AB" w:rsidP="00E43B83">
            <w:pPr>
              <w:suppressAutoHyphens w:val="0"/>
              <w:spacing w:before="40" w:after="40" w:line="220" w:lineRule="exact"/>
              <w:ind w:right="113"/>
              <w:jc w:val="right"/>
              <w:rPr>
                <w:sz w:val="18"/>
              </w:rPr>
            </w:pPr>
            <w:r w:rsidRPr="00E43B83">
              <w:rPr>
                <w:sz w:val="18"/>
              </w:rPr>
              <w:t>98</w:t>
            </w:r>
          </w:p>
        </w:tc>
        <w:tc>
          <w:tcPr>
            <w:tcW w:w="990" w:type="dxa"/>
            <w:tcBorders>
              <w:top w:val="single" w:sz="12" w:space="0" w:color="auto"/>
            </w:tcBorders>
            <w:shd w:val="clear" w:color="auto" w:fill="auto"/>
            <w:vAlign w:val="bottom"/>
          </w:tcPr>
          <w:p w:rsidR="00F233AB" w:rsidRPr="00E43B83" w:rsidRDefault="00F233AB" w:rsidP="00E43B83">
            <w:pPr>
              <w:suppressAutoHyphens w:val="0"/>
              <w:spacing w:before="40" w:after="40" w:line="220" w:lineRule="exact"/>
              <w:ind w:right="113"/>
              <w:jc w:val="right"/>
              <w:rPr>
                <w:sz w:val="18"/>
              </w:rPr>
            </w:pPr>
            <w:r w:rsidRPr="00E43B83">
              <w:rPr>
                <w:sz w:val="18"/>
              </w:rPr>
              <w:t>84</w:t>
            </w:r>
          </w:p>
        </w:tc>
      </w:tr>
      <w:tr w:rsidR="00F233AB" w:rsidRPr="00E43B83" w:rsidTr="00BD7AA1">
        <w:tc>
          <w:tcPr>
            <w:tcW w:w="2982" w:type="dxa"/>
            <w:shd w:val="clear" w:color="auto" w:fill="auto"/>
          </w:tcPr>
          <w:p w:rsidR="00F233AB" w:rsidRPr="00E43B83" w:rsidRDefault="00F233AB" w:rsidP="00E43B83">
            <w:pPr>
              <w:suppressAutoHyphens w:val="0"/>
              <w:spacing w:before="40" w:after="40" w:line="220" w:lineRule="exact"/>
              <w:ind w:right="113"/>
              <w:rPr>
                <w:sz w:val="18"/>
              </w:rPr>
            </w:pPr>
            <w:r w:rsidRPr="00E43B83">
              <w:rPr>
                <w:sz w:val="18"/>
              </w:rPr>
              <w:t>Inadmissible</w:t>
            </w:r>
            <w:r w:rsidR="005B2A41" w:rsidRPr="00E43B83">
              <w:rPr>
                <w:sz w:val="18"/>
              </w:rPr>
              <w:t xml:space="preserve"> </w:t>
            </w:r>
            <w:r w:rsidRPr="00E43B83">
              <w:rPr>
                <w:sz w:val="18"/>
              </w:rPr>
              <w:t>cases</w:t>
            </w:r>
          </w:p>
        </w:tc>
        <w:tc>
          <w:tcPr>
            <w:tcW w:w="989" w:type="dxa"/>
            <w:shd w:val="clear" w:color="auto" w:fill="auto"/>
            <w:vAlign w:val="bottom"/>
          </w:tcPr>
          <w:p w:rsidR="00F233AB" w:rsidRPr="00E43B83" w:rsidRDefault="00F233AB" w:rsidP="00E43B83">
            <w:pPr>
              <w:suppressAutoHyphens w:val="0"/>
              <w:spacing w:before="40" w:after="40" w:line="220" w:lineRule="exact"/>
              <w:ind w:right="113"/>
              <w:jc w:val="right"/>
              <w:rPr>
                <w:sz w:val="18"/>
              </w:rPr>
            </w:pPr>
          </w:p>
        </w:tc>
        <w:tc>
          <w:tcPr>
            <w:tcW w:w="1204" w:type="dxa"/>
            <w:shd w:val="clear" w:color="auto" w:fill="auto"/>
            <w:vAlign w:val="bottom"/>
          </w:tcPr>
          <w:p w:rsidR="00F233AB" w:rsidRPr="00E43B83" w:rsidRDefault="00F233AB" w:rsidP="00E43B83">
            <w:pPr>
              <w:suppressAutoHyphens w:val="0"/>
              <w:spacing w:before="40" w:after="40" w:line="220" w:lineRule="exact"/>
              <w:ind w:right="113"/>
              <w:jc w:val="right"/>
              <w:rPr>
                <w:sz w:val="18"/>
              </w:rPr>
            </w:pPr>
            <w:r w:rsidRPr="00E43B83">
              <w:rPr>
                <w:sz w:val="18"/>
              </w:rPr>
              <w:t>15</w:t>
            </w:r>
          </w:p>
        </w:tc>
        <w:tc>
          <w:tcPr>
            <w:tcW w:w="1205" w:type="dxa"/>
            <w:shd w:val="clear" w:color="auto" w:fill="auto"/>
            <w:vAlign w:val="bottom"/>
          </w:tcPr>
          <w:p w:rsidR="00F233AB" w:rsidRPr="00E43B83" w:rsidRDefault="00F233AB" w:rsidP="00E43B83">
            <w:pPr>
              <w:suppressAutoHyphens w:val="0"/>
              <w:spacing w:before="40" w:after="40" w:line="220" w:lineRule="exact"/>
              <w:ind w:right="113"/>
              <w:jc w:val="right"/>
              <w:rPr>
                <w:sz w:val="18"/>
              </w:rPr>
            </w:pPr>
            <w:r w:rsidRPr="00E43B83">
              <w:rPr>
                <w:sz w:val="18"/>
              </w:rPr>
              <w:t>16</w:t>
            </w:r>
          </w:p>
        </w:tc>
        <w:tc>
          <w:tcPr>
            <w:tcW w:w="990" w:type="dxa"/>
            <w:shd w:val="clear" w:color="auto" w:fill="auto"/>
            <w:vAlign w:val="bottom"/>
          </w:tcPr>
          <w:p w:rsidR="00F233AB" w:rsidRPr="00E43B83" w:rsidRDefault="00F233AB" w:rsidP="00E43B83">
            <w:pPr>
              <w:suppressAutoHyphens w:val="0"/>
              <w:spacing w:before="40" w:after="40" w:line="220" w:lineRule="exact"/>
              <w:ind w:right="113"/>
              <w:jc w:val="right"/>
              <w:rPr>
                <w:sz w:val="18"/>
              </w:rPr>
            </w:pPr>
            <w:r w:rsidRPr="00E43B83">
              <w:rPr>
                <w:sz w:val="18"/>
              </w:rPr>
              <w:t>3</w:t>
            </w:r>
          </w:p>
        </w:tc>
      </w:tr>
      <w:tr w:rsidR="00F233AB" w:rsidRPr="00E43B83" w:rsidTr="00BD7AA1">
        <w:tc>
          <w:tcPr>
            <w:tcW w:w="2982" w:type="dxa"/>
            <w:shd w:val="clear" w:color="auto" w:fill="auto"/>
          </w:tcPr>
          <w:p w:rsidR="00F233AB" w:rsidRPr="00E43B83" w:rsidRDefault="00F233AB" w:rsidP="00E43B83">
            <w:pPr>
              <w:suppressAutoHyphens w:val="0"/>
              <w:spacing w:before="40" w:after="40" w:line="220" w:lineRule="exact"/>
              <w:ind w:right="113"/>
              <w:rPr>
                <w:sz w:val="18"/>
              </w:rPr>
            </w:pPr>
            <w:r w:rsidRPr="00E43B83">
              <w:rPr>
                <w:sz w:val="18"/>
              </w:rPr>
              <w:t>Criminal</w:t>
            </w:r>
            <w:r w:rsidR="005B2A41" w:rsidRPr="00E43B83">
              <w:rPr>
                <w:sz w:val="18"/>
              </w:rPr>
              <w:t xml:space="preserve"> </w:t>
            </w:r>
            <w:r w:rsidRPr="00E43B83">
              <w:rPr>
                <w:sz w:val="18"/>
              </w:rPr>
              <w:t>prosecutions</w:t>
            </w:r>
            <w:r w:rsidR="005B2A41" w:rsidRPr="00E43B83">
              <w:rPr>
                <w:sz w:val="18"/>
              </w:rPr>
              <w:t xml:space="preserve"> </w:t>
            </w:r>
            <w:r w:rsidRPr="00E43B83">
              <w:rPr>
                <w:sz w:val="18"/>
              </w:rPr>
              <w:t>initiated</w:t>
            </w:r>
          </w:p>
        </w:tc>
        <w:tc>
          <w:tcPr>
            <w:tcW w:w="989" w:type="dxa"/>
            <w:shd w:val="clear" w:color="auto" w:fill="auto"/>
            <w:vAlign w:val="bottom"/>
          </w:tcPr>
          <w:p w:rsidR="00F233AB" w:rsidRPr="00E43B83" w:rsidRDefault="00F233AB" w:rsidP="00E43B83">
            <w:pPr>
              <w:suppressAutoHyphens w:val="0"/>
              <w:spacing w:before="40" w:after="40" w:line="220" w:lineRule="exact"/>
              <w:ind w:right="113"/>
              <w:jc w:val="right"/>
              <w:rPr>
                <w:sz w:val="18"/>
              </w:rPr>
            </w:pPr>
            <w:r w:rsidRPr="00E43B83">
              <w:rPr>
                <w:sz w:val="18"/>
              </w:rPr>
              <w:t>44</w:t>
            </w:r>
          </w:p>
        </w:tc>
        <w:tc>
          <w:tcPr>
            <w:tcW w:w="1204" w:type="dxa"/>
            <w:shd w:val="clear" w:color="auto" w:fill="auto"/>
            <w:vAlign w:val="bottom"/>
          </w:tcPr>
          <w:p w:rsidR="00F233AB" w:rsidRPr="00E43B83" w:rsidRDefault="00F233AB" w:rsidP="00E43B83">
            <w:pPr>
              <w:suppressAutoHyphens w:val="0"/>
              <w:spacing w:before="40" w:after="40" w:line="220" w:lineRule="exact"/>
              <w:ind w:right="113"/>
              <w:jc w:val="right"/>
              <w:rPr>
                <w:sz w:val="18"/>
              </w:rPr>
            </w:pPr>
            <w:r w:rsidRPr="00E43B83">
              <w:rPr>
                <w:sz w:val="18"/>
              </w:rPr>
              <w:t>28</w:t>
            </w:r>
          </w:p>
        </w:tc>
        <w:tc>
          <w:tcPr>
            <w:tcW w:w="1205" w:type="dxa"/>
            <w:shd w:val="clear" w:color="auto" w:fill="auto"/>
            <w:vAlign w:val="bottom"/>
          </w:tcPr>
          <w:p w:rsidR="00F233AB" w:rsidRPr="00E43B83" w:rsidRDefault="00F233AB" w:rsidP="00E43B83">
            <w:pPr>
              <w:suppressAutoHyphens w:val="0"/>
              <w:spacing w:before="40" w:after="40" w:line="220" w:lineRule="exact"/>
              <w:ind w:right="113"/>
              <w:jc w:val="right"/>
              <w:rPr>
                <w:sz w:val="18"/>
              </w:rPr>
            </w:pPr>
            <w:r w:rsidRPr="00E43B83">
              <w:rPr>
                <w:sz w:val="18"/>
              </w:rPr>
              <w:t>40</w:t>
            </w:r>
          </w:p>
        </w:tc>
        <w:tc>
          <w:tcPr>
            <w:tcW w:w="990" w:type="dxa"/>
            <w:shd w:val="clear" w:color="auto" w:fill="auto"/>
            <w:vAlign w:val="bottom"/>
          </w:tcPr>
          <w:p w:rsidR="00F233AB" w:rsidRPr="00E43B83" w:rsidRDefault="00F233AB" w:rsidP="00E43B83">
            <w:pPr>
              <w:suppressAutoHyphens w:val="0"/>
              <w:spacing w:before="40" w:after="40" w:line="220" w:lineRule="exact"/>
              <w:ind w:right="113"/>
              <w:jc w:val="right"/>
              <w:rPr>
                <w:sz w:val="18"/>
              </w:rPr>
            </w:pPr>
            <w:r w:rsidRPr="00E43B83">
              <w:rPr>
                <w:sz w:val="18"/>
              </w:rPr>
              <w:t>20</w:t>
            </w:r>
          </w:p>
        </w:tc>
      </w:tr>
      <w:tr w:rsidR="00F233AB" w:rsidRPr="00E43B83" w:rsidTr="00BD7AA1">
        <w:tc>
          <w:tcPr>
            <w:tcW w:w="2982" w:type="dxa"/>
            <w:shd w:val="clear" w:color="auto" w:fill="auto"/>
          </w:tcPr>
          <w:p w:rsidR="00F233AB" w:rsidRPr="00E43B83" w:rsidRDefault="00F233AB" w:rsidP="00E43B83">
            <w:pPr>
              <w:suppressAutoHyphens w:val="0"/>
              <w:spacing w:before="40" w:after="40" w:line="220" w:lineRule="exact"/>
              <w:ind w:right="113"/>
              <w:rPr>
                <w:sz w:val="18"/>
              </w:rPr>
            </w:pPr>
            <w:r w:rsidRPr="00E43B83">
              <w:rPr>
                <w:sz w:val="18"/>
              </w:rPr>
              <w:t>Cases</w:t>
            </w:r>
            <w:r w:rsidR="005B2A41" w:rsidRPr="00E43B83">
              <w:rPr>
                <w:sz w:val="18"/>
              </w:rPr>
              <w:t xml:space="preserve"> </w:t>
            </w:r>
            <w:r w:rsidRPr="00E43B83">
              <w:rPr>
                <w:sz w:val="18"/>
              </w:rPr>
              <w:t>filed</w:t>
            </w:r>
            <w:r w:rsidR="005B2A41" w:rsidRPr="00E43B83">
              <w:rPr>
                <w:sz w:val="18"/>
              </w:rPr>
              <w:t xml:space="preserve"> </w:t>
            </w:r>
            <w:r w:rsidRPr="00E43B83">
              <w:rPr>
                <w:sz w:val="18"/>
              </w:rPr>
              <w:t>(perpetrators</w:t>
            </w:r>
            <w:r w:rsidR="005B2A41" w:rsidRPr="00E43B83">
              <w:rPr>
                <w:sz w:val="18"/>
              </w:rPr>
              <w:t xml:space="preserve"> </w:t>
            </w:r>
            <w:r w:rsidRPr="00E43B83">
              <w:rPr>
                <w:sz w:val="18"/>
              </w:rPr>
              <w:t>not</w:t>
            </w:r>
            <w:r w:rsidR="005B2A41" w:rsidRPr="00E43B83">
              <w:rPr>
                <w:sz w:val="18"/>
              </w:rPr>
              <w:t xml:space="preserve"> </w:t>
            </w:r>
            <w:r w:rsidRPr="00E43B83">
              <w:rPr>
                <w:sz w:val="18"/>
              </w:rPr>
              <w:t>identified)</w:t>
            </w:r>
          </w:p>
        </w:tc>
        <w:tc>
          <w:tcPr>
            <w:tcW w:w="989" w:type="dxa"/>
            <w:shd w:val="clear" w:color="auto" w:fill="auto"/>
            <w:vAlign w:val="bottom"/>
          </w:tcPr>
          <w:p w:rsidR="00F233AB" w:rsidRPr="00E43B83" w:rsidRDefault="00F233AB" w:rsidP="00E43B83">
            <w:pPr>
              <w:suppressAutoHyphens w:val="0"/>
              <w:spacing w:before="40" w:after="40" w:line="220" w:lineRule="exact"/>
              <w:ind w:right="113"/>
              <w:jc w:val="right"/>
              <w:rPr>
                <w:sz w:val="18"/>
              </w:rPr>
            </w:pPr>
            <w:r w:rsidRPr="00E43B83">
              <w:rPr>
                <w:sz w:val="18"/>
              </w:rPr>
              <w:t>5</w:t>
            </w:r>
          </w:p>
        </w:tc>
        <w:tc>
          <w:tcPr>
            <w:tcW w:w="1204" w:type="dxa"/>
            <w:shd w:val="clear" w:color="auto" w:fill="auto"/>
            <w:vAlign w:val="bottom"/>
          </w:tcPr>
          <w:p w:rsidR="00F233AB" w:rsidRPr="00E43B83" w:rsidRDefault="00F233AB" w:rsidP="00E43B83">
            <w:pPr>
              <w:suppressAutoHyphens w:val="0"/>
              <w:spacing w:before="40" w:after="40" w:line="220" w:lineRule="exact"/>
              <w:ind w:right="113"/>
              <w:jc w:val="right"/>
              <w:rPr>
                <w:sz w:val="18"/>
              </w:rPr>
            </w:pPr>
            <w:r w:rsidRPr="00E43B83">
              <w:rPr>
                <w:sz w:val="18"/>
              </w:rPr>
              <w:t>16</w:t>
            </w:r>
          </w:p>
        </w:tc>
        <w:tc>
          <w:tcPr>
            <w:tcW w:w="1205" w:type="dxa"/>
            <w:shd w:val="clear" w:color="auto" w:fill="auto"/>
            <w:vAlign w:val="bottom"/>
          </w:tcPr>
          <w:p w:rsidR="00F233AB" w:rsidRPr="00E43B83" w:rsidRDefault="00F233AB" w:rsidP="00E43B83">
            <w:pPr>
              <w:suppressAutoHyphens w:val="0"/>
              <w:spacing w:before="40" w:after="40" w:line="220" w:lineRule="exact"/>
              <w:ind w:right="113"/>
              <w:jc w:val="right"/>
              <w:rPr>
                <w:sz w:val="18"/>
              </w:rPr>
            </w:pPr>
            <w:r w:rsidRPr="00E43B83">
              <w:rPr>
                <w:sz w:val="18"/>
              </w:rPr>
              <w:t>22</w:t>
            </w:r>
          </w:p>
        </w:tc>
        <w:tc>
          <w:tcPr>
            <w:tcW w:w="990" w:type="dxa"/>
            <w:shd w:val="clear" w:color="auto" w:fill="auto"/>
            <w:vAlign w:val="bottom"/>
          </w:tcPr>
          <w:p w:rsidR="00F233AB" w:rsidRPr="00E43B83" w:rsidRDefault="00F233AB" w:rsidP="00E43B83">
            <w:pPr>
              <w:suppressAutoHyphens w:val="0"/>
              <w:spacing w:before="40" w:after="40" w:line="220" w:lineRule="exact"/>
              <w:ind w:right="113"/>
              <w:jc w:val="right"/>
              <w:rPr>
                <w:sz w:val="18"/>
              </w:rPr>
            </w:pPr>
            <w:r w:rsidRPr="00E43B83">
              <w:rPr>
                <w:sz w:val="18"/>
              </w:rPr>
              <w:t>9</w:t>
            </w:r>
          </w:p>
        </w:tc>
      </w:tr>
      <w:tr w:rsidR="00F233AB" w:rsidRPr="00E43B83" w:rsidTr="0082708E">
        <w:tc>
          <w:tcPr>
            <w:tcW w:w="2982" w:type="dxa"/>
            <w:shd w:val="clear" w:color="auto" w:fill="auto"/>
          </w:tcPr>
          <w:p w:rsidR="00F233AB" w:rsidRPr="00E43B83" w:rsidRDefault="00F233AB" w:rsidP="00E43B83">
            <w:pPr>
              <w:suppressAutoHyphens w:val="0"/>
              <w:spacing w:before="40" w:after="40" w:line="220" w:lineRule="exact"/>
              <w:ind w:right="113"/>
              <w:rPr>
                <w:sz w:val="18"/>
              </w:rPr>
            </w:pPr>
            <w:r w:rsidRPr="00E43B83">
              <w:rPr>
                <w:sz w:val="18"/>
              </w:rPr>
              <w:t>Judgments</w:t>
            </w:r>
            <w:r w:rsidR="005B2A41" w:rsidRPr="00E43B83">
              <w:rPr>
                <w:sz w:val="18"/>
              </w:rPr>
              <w:t xml:space="preserve"> </w:t>
            </w:r>
            <w:r w:rsidRPr="00E43B83">
              <w:rPr>
                <w:sz w:val="18"/>
              </w:rPr>
              <w:t>delivered</w:t>
            </w:r>
          </w:p>
        </w:tc>
        <w:tc>
          <w:tcPr>
            <w:tcW w:w="989" w:type="dxa"/>
            <w:shd w:val="clear" w:color="auto" w:fill="auto"/>
          </w:tcPr>
          <w:p w:rsidR="00F233AB" w:rsidRPr="00E43B83" w:rsidRDefault="00F233AB" w:rsidP="00E43B83">
            <w:pPr>
              <w:suppressAutoHyphens w:val="0"/>
              <w:spacing w:before="40" w:after="40" w:line="220" w:lineRule="exact"/>
              <w:ind w:right="113"/>
              <w:jc w:val="right"/>
              <w:rPr>
                <w:sz w:val="18"/>
              </w:rPr>
            </w:pPr>
            <w:r w:rsidRPr="00E43B83">
              <w:rPr>
                <w:sz w:val="18"/>
              </w:rPr>
              <w:t>5</w:t>
            </w:r>
          </w:p>
        </w:tc>
        <w:tc>
          <w:tcPr>
            <w:tcW w:w="1204" w:type="dxa"/>
            <w:shd w:val="clear" w:color="auto" w:fill="auto"/>
            <w:vAlign w:val="bottom"/>
          </w:tcPr>
          <w:p w:rsidR="00F233AB" w:rsidRPr="00E43B83" w:rsidRDefault="00F233AB" w:rsidP="00BD7AA1">
            <w:pPr>
              <w:suppressAutoHyphens w:val="0"/>
              <w:spacing w:before="40" w:after="40" w:line="220" w:lineRule="exact"/>
              <w:ind w:right="113"/>
              <w:jc w:val="right"/>
              <w:rPr>
                <w:sz w:val="18"/>
              </w:rPr>
            </w:pPr>
            <w:r w:rsidRPr="00E43B83">
              <w:rPr>
                <w:sz w:val="18"/>
              </w:rPr>
              <w:t>10</w:t>
            </w:r>
            <w:r w:rsidR="00BD7AA1">
              <w:rPr>
                <w:sz w:val="18"/>
              </w:rPr>
              <w:br/>
            </w:r>
            <w:r w:rsidRPr="00E43B83">
              <w:rPr>
                <w:sz w:val="18"/>
              </w:rPr>
              <w:t>(8</w:t>
            </w:r>
            <w:r w:rsidR="005B2A41" w:rsidRPr="00E43B83">
              <w:rPr>
                <w:sz w:val="18"/>
              </w:rPr>
              <w:t xml:space="preserve"> </w:t>
            </w:r>
            <w:r w:rsidRPr="00E43B83">
              <w:rPr>
                <w:sz w:val="18"/>
              </w:rPr>
              <w:t>convictions,</w:t>
            </w:r>
            <w:r w:rsidR="005B2A41" w:rsidRPr="00E43B83">
              <w:rPr>
                <w:sz w:val="18"/>
              </w:rPr>
              <w:t xml:space="preserve"> </w:t>
            </w:r>
            <w:r w:rsidRPr="00E43B83">
              <w:rPr>
                <w:sz w:val="18"/>
              </w:rPr>
              <w:t>2</w:t>
            </w:r>
            <w:r w:rsidR="005B2A41" w:rsidRPr="00E43B83">
              <w:rPr>
                <w:sz w:val="18"/>
              </w:rPr>
              <w:t xml:space="preserve"> </w:t>
            </w:r>
            <w:r w:rsidRPr="00E43B83">
              <w:rPr>
                <w:sz w:val="18"/>
              </w:rPr>
              <w:t>acquittals)</w:t>
            </w:r>
          </w:p>
        </w:tc>
        <w:tc>
          <w:tcPr>
            <w:tcW w:w="1205" w:type="dxa"/>
            <w:shd w:val="clear" w:color="auto" w:fill="auto"/>
            <w:vAlign w:val="bottom"/>
          </w:tcPr>
          <w:p w:rsidR="00F233AB" w:rsidRPr="00E43B83" w:rsidRDefault="00F233AB" w:rsidP="00E43B83">
            <w:pPr>
              <w:suppressAutoHyphens w:val="0"/>
              <w:spacing w:before="40" w:after="40" w:line="220" w:lineRule="exact"/>
              <w:ind w:right="113"/>
              <w:jc w:val="right"/>
              <w:rPr>
                <w:sz w:val="18"/>
              </w:rPr>
            </w:pPr>
            <w:r w:rsidRPr="00E43B83">
              <w:rPr>
                <w:sz w:val="18"/>
              </w:rPr>
              <w:t>5</w:t>
            </w:r>
            <w:r w:rsidR="00BD7AA1">
              <w:rPr>
                <w:sz w:val="18"/>
              </w:rPr>
              <w:br/>
            </w:r>
            <w:r w:rsidRPr="00E43B83">
              <w:rPr>
                <w:sz w:val="18"/>
              </w:rPr>
              <w:t>(3</w:t>
            </w:r>
            <w:r w:rsidR="005B2A41" w:rsidRPr="00E43B83">
              <w:rPr>
                <w:sz w:val="18"/>
              </w:rPr>
              <w:t xml:space="preserve"> </w:t>
            </w:r>
            <w:r w:rsidRPr="00E43B83">
              <w:rPr>
                <w:sz w:val="18"/>
              </w:rPr>
              <w:t>convictions,</w:t>
            </w:r>
            <w:r w:rsidR="005B2A41" w:rsidRPr="00E43B83">
              <w:rPr>
                <w:sz w:val="18"/>
              </w:rPr>
              <w:t xml:space="preserve"> </w:t>
            </w:r>
            <w:r w:rsidRPr="00E43B83">
              <w:rPr>
                <w:sz w:val="18"/>
              </w:rPr>
              <w:t>2</w:t>
            </w:r>
            <w:r w:rsidR="005B2A41" w:rsidRPr="00E43B83">
              <w:rPr>
                <w:sz w:val="18"/>
              </w:rPr>
              <w:t xml:space="preserve"> </w:t>
            </w:r>
            <w:r w:rsidRPr="00E43B83">
              <w:rPr>
                <w:sz w:val="18"/>
              </w:rPr>
              <w:t>acquittals)</w:t>
            </w:r>
          </w:p>
        </w:tc>
        <w:tc>
          <w:tcPr>
            <w:tcW w:w="990" w:type="dxa"/>
            <w:shd w:val="clear" w:color="auto" w:fill="auto"/>
            <w:vAlign w:val="bottom"/>
          </w:tcPr>
          <w:p w:rsidR="00F233AB" w:rsidRPr="00E43B83" w:rsidRDefault="00F233AB" w:rsidP="00E43B83">
            <w:pPr>
              <w:suppressAutoHyphens w:val="0"/>
              <w:spacing w:before="40" w:after="40" w:line="220" w:lineRule="exact"/>
              <w:ind w:right="113"/>
              <w:jc w:val="right"/>
              <w:rPr>
                <w:sz w:val="18"/>
              </w:rPr>
            </w:pPr>
          </w:p>
        </w:tc>
      </w:tr>
      <w:tr w:rsidR="00F233AB" w:rsidRPr="00E43B83" w:rsidTr="00BD7AA1">
        <w:tc>
          <w:tcPr>
            <w:tcW w:w="2982" w:type="dxa"/>
            <w:shd w:val="clear" w:color="auto" w:fill="auto"/>
          </w:tcPr>
          <w:p w:rsidR="00F233AB" w:rsidRPr="00E43B83" w:rsidRDefault="00F233AB" w:rsidP="00E43B83">
            <w:pPr>
              <w:suppressAutoHyphens w:val="0"/>
              <w:spacing w:before="40" w:after="40" w:line="220" w:lineRule="exact"/>
              <w:ind w:right="113"/>
              <w:rPr>
                <w:sz w:val="18"/>
              </w:rPr>
            </w:pPr>
            <w:r w:rsidRPr="00E43B83">
              <w:rPr>
                <w:sz w:val="18"/>
              </w:rPr>
              <w:t>Cases</w:t>
            </w:r>
            <w:r w:rsidR="005B2A41" w:rsidRPr="00E43B83">
              <w:rPr>
                <w:sz w:val="18"/>
              </w:rPr>
              <w:t xml:space="preserve"> </w:t>
            </w:r>
            <w:r w:rsidRPr="00E43B83">
              <w:rPr>
                <w:sz w:val="18"/>
              </w:rPr>
              <w:t>under</w:t>
            </w:r>
            <w:r w:rsidR="005B2A41" w:rsidRPr="00E43B83">
              <w:rPr>
                <w:sz w:val="18"/>
              </w:rPr>
              <w:t xml:space="preserve"> </w:t>
            </w:r>
            <w:r w:rsidRPr="00E43B83">
              <w:rPr>
                <w:sz w:val="18"/>
              </w:rPr>
              <w:t>investigation</w:t>
            </w:r>
            <w:r w:rsidRPr="0007450C">
              <w:rPr>
                <w:rStyle w:val="FootnoteReference"/>
              </w:rPr>
              <w:footnoteReference w:id="4"/>
            </w:r>
          </w:p>
        </w:tc>
        <w:tc>
          <w:tcPr>
            <w:tcW w:w="989" w:type="dxa"/>
            <w:shd w:val="clear" w:color="auto" w:fill="auto"/>
            <w:vAlign w:val="bottom"/>
          </w:tcPr>
          <w:p w:rsidR="00F233AB" w:rsidRPr="00E43B83" w:rsidRDefault="00F233AB" w:rsidP="00E43B83">
            <w:pPr>
              <w:suppressAutoHyphens w:val="0"/>
              <w:spacing w:before="40" w:after="40" w:line="220" w:lineRule="exact"/>
              <w:ind w:right="113"/>
              <w:jc w:val="right"/>
              <w:rPr>
                <w:sz w:val="18"/>
              </w:rPr>
            </w:pPr>
          </w:p>
        </w:tc>
        <w:tc>
          <w:tcPr>
            <w:tcW w:w="1204" w:type="dxa"/>
            <w:shd w:val="clear" w:color="auto" w:fill="auto"/>
            <w:vAlign w:val="bottom"/>
          </w:tcPr>
          <w:p w:rsidR="00F233AB" w:rsidRPr="00E43B83" w:rsidRDefault="00F233AB" w:rsidP="00E43B83">
            <w:pPr>
              <w:suppressAutoHyphens w:val="0"/>
              <w:spacing w:before="40" w:after="40" w:line="220" w:lineRule="exact"/>
              <w:ind w:right="113"/>
              <w:jc w:val="right"/>
              <w:rPr>
                <w:sz w:val="18"/>
              </w:rPr>
            </w:pPr>
          </w:p>
        </w:tc>
        <w:tc>
          <w:tcPr>
            <w:tcW w:w="1205" w:type="dxa"/>
            <w:shd w:val="clear" w:color="auto" w:fill="auto"/>
            <w:vAlign w:val="bottom"/>
          </w:tcPr>
          <w:p w:rsidR="00F233AB" w:rsidRPr="00E43B83" w:rsidRDefault="00F233AB" w:rsidP="00E43B83">
            <w:pPr>
              <w:suppressAutoHyphens w:val="0"/>
              <w:spacing w:before="40" w:after="40" w:line="220" w:lineRule="exact"/>
              <w:ind w:right="113"/>
              <w:jc w:val="right"/>
              <w:rPr>
                <w:sz w:val="18"/>
              </w:rPr>
            </w:pPr>
          </w:p>
        </w:tc>
        <w:tc>
          <w:tcPr>
            <w:tcW w:w="990" w:type="dxa"/>
            <w:shd w:val="clear" w:color="auto" w:fill="auto"/>
            <w:vAlign w:val="bottom"/>
          </w:tcPr>
          <w:p w:rsidR="00F233AB" w:rsidRPr="00E43B83" w:rsidRDefault="00F233AB" w:rsidP="00E43B83">
            <w:pPr>
              <w:suppressAutoHyphens w:val="0"/>
              <w:spacing w:before="40" w:after="40" w:line="220" w:lineRule="exact"/>
              <w:ind w:right="113"/>
              <w:jc w:val="right"/>
              <w:rPr>
                <w:sz w:val="18"/>
              </w:rPr>
            </w:pPr>
            <w:r w:rsidRPr="00E43B83">
              <w:rPr>
                <w:sz w:val="18"/>
              </w:rPr>
              <w:t>61</w:t>
            </w:r>
          </w:p>
        </w:tc>
      </w:tr>
    </w:tbl>
    <w:p w:rsidR="00F233AB" w:rsidRPr="00B02247" w:rsidRDefault="00F233AB" w:rsidP="00BD7AA1">
      <w:pPr>
        <w:pStyle w:val="H23G"/>
      </w:pPr>
      <w:r w:rsidRPr="00B02247">
        <w:tab/>
      </w:r>
      <w:r w:rsidRPr="00B02247">
        <w:tab/>
        <w:t>Number</w:t>
      </w:r>
      <w:r w:rsidR="005B2A41">
        <w:t xml:space="preserve"> </w:t>
      </w:r>
      <w:r w:rsidRPr="00B02247">
        <w:t>of</w:t>
      </w:r>
      <w:r w:rsidR="005B2A41">
        <w:t xml:space="preserve"> </w:t>
      </w:r>
      <w:r w:rsidRPr="00B02247">
        <w:t>persons</w:t>
      </w:r>
      <w:r w:rsidR="005B2A41">
        <w:t xml:space="preserve"> </w:t>
      </w:r>
      <w:r w:rsidRPr="00B02247">
        <w:t>and</w:t>
      </w:r>
      <w:r w:rsidR="005B2A41">
        <w:t xml:space="preserve"> </w:t>
      </w:r>
      <w:r w:rsidRPr="00B02247">
        <w:t>rate</w:t>
      </w:r>
      <w:r w:rsidR="005B2A41">
        <w:t xml:space="preserve"> </w:t>
      </w:r>
      <w:r w:rsidRPr="00B02247">
        <w:t>(per</w:t>
      </w:r>
      <w:r w:rsidR="005B2A41">
        <w:t xml:space="preserve"> </w:t>
      </w:r>
      <w:r w:rsidRPr="00B02247">
        <w:t>100,000</w:t>
      </w:r>
      <w:r w:rsidR="005B2A41">
        <w:t xml:space="preserve"> </w:t>
      </w:r>
      <w:r w:rsidRPr="00B02247">
        <w:t>persons)</w:t>
      </w:r>
      <w:r w:rsidR="005B2A41">
        <w:t xml:space="preserve"> </w:t>
      </w:r>
      <w:r w:rsidRPr="00B02247">
        <w:t>who</w:t>
      </w:r>
      <w:r w:rsidR="005B2A41">
        <w:t xml:space="preserve"> </w:t>
      </w:r>
      <w:r w:rsidRPr="00B02247">
        <w:t>were</w:t>
      </w:r>
      <w:r w:rsidR="005B2A41">
        <w:t xml:space="preserve"> </w:t>
      </w:r>
      <w:r w:rsidRPr="00B02247">
        <w:t>arrested/brought</w:t>
      </w:r>
      <w:r w:rsidR="005B2A41">
        <w:t xml:space="preserve"> </w:t>
      </w:r>
      <w:r w:rsidRPr="00B02247">
        <w:t>before</w:t>
      </w:r>
      <w:r w:rsidR="005B2A41">
        <w:t xml:space="preserve"> </w:t>
      </w:r>
      <w:r w:rsidRPr="00B02247">
        <w:t>a</w:t>
      </w:r>
      <w:r w:rsidR="005B2A41">
        <w:t xml:space="preserve"> </w:t>
      </w:r>
      <w:r w:rsidRPr="00B02247">
        <w:t>court\convicted\sentenced\incarcerated</w:t>
      </w:r>
      <w:r w:rsidR="005B2A41">
        <w:t xml:space="preserve"> </w:t>
      </w:r>
      <w:r w:rsidRPr="00B02247">
        <w:t>for</w:t>
      </w:r>
      <w:r w:rsidR="005B2A41">
        <w:t xml:space="preserve"> </w:t>
      </w:r>
      <w:r w:rsidRPr="00B02247">
        <w:t>violent</w:t>
      </w:r>
      <w:r w:rsidR="005B2A41">
        <w:t xml:space="preserve"> </w:t>
      </w:r>
      <w:r w:rsidRPr="00B02247">
        <w:t>or</w:t>
      </w:r>
      <w:r w:rsidR="005B2A41">
        <w:t xml:space="preserve"> </w:t>
      </w:r>
      <w:r w:rsidRPr="00B02247">
        <w:t>other</w:t>
      </w:r>
      <w:r w:rsidR="005B2A41">
        <w:t xml:space="preserve"> </w:t>
      </w:r>
      <w:r w:rsidRPr="00B02247">
        <w:t>serious</w:t>
      </w:r>
      <w:r w:rsidR="005B2A41">
        <w:t xml:space="preserve"> </w:t>
      </w:r>
      <w:r w:rsidRPr="00B02247">
        <w:t>crimes</w:t>
      </w:r>
      <w:r w:rsidR="005B2A41">
        <w:t xml:space="preserve"> </w:t>
      </w:r>
      <w:r w:rsidRPr="00B02247">
        <w:t>(such</w:t>
      </w:r>
      <w:r w:rsidR="005B2A41">
        <w:t xml:space="preserve"> </w:t>
      </w:r>
      <w:r w:rsidRPr="00B02247">
        <w:t>as</w:t>
      </w:r>
      <w:r w:rsidR="005B2A41">
        <w:t xml:space="preserve"> </w:t>
      </w:r>
      <w:r w:rsidRPr="00B02247">
        <w:t>homicide,</w:t>
      </w:r>
      <w:r w:rsidR="005B2A41">
        <w:t xml:space="preserve"> </w:t>
      </w:r>
      <w:r w:rsidRPr="00B02247">
        <w:t>robbery,</w:t>
      </w:r>
      <w:r w:rsidR="005B2A41">
        <w:t xml:space="preserve"> </w:t>
      </w:r>
      <w:r w:rsidRPr="00B02247">
        <w:t>assault</w:t>
      </w:r>
      <w:r w:rsidR="005B2A41">
        <w:t xml:space="preserve"> </w:t>
      </w:r>
      <w:r w:rsidRPr="00B02247">
        <w:t>and</w:t>
      </w:r>
      <w:r w:rsidR="005B2A41">
        <w:t xml:space="preserve"> </w:t>
      </w:r>
      <w:r w:rsidRPr="00B02247">
        <w:t>trafficking)</w:t>
      </w:r>
    </w:p>
    <w:tbl>
      <w:tblPr>
        <w:tblW w:w="8509"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82"/>
        <w:gridCol w:w="836"/>
        <w:gridCol w:w="792"/>
        <w:gridCol w:w="962"/>
        <w:gridCol w:w="860"/>
        <w:gridCol w:w="877"/>
        <w:gridCol w:w="824"/>
        <w:gridCol w:w="952"/>
        <w:gridCol w:w="824"/>
      </w:tblGrid>
      <w:tr w:rsidR="00FA0B91" w:rsidRPr="007B2AFF" w:rsidTr="006F3F5F">
        <w:trPr>
          <w:tblHeader/>
        </w:trPr>
        <w:tc>
          <w:tcPr>
            <w:tcW w:w="1582" w:type="dxa"/>
            <w:tcBorders>
              <w:top w:val="single" w:sz="4" w:space="0" w:color="auto"/>
              <w:bottom w:val="nil"/>
            </w:tcBorders>
            <w:shd w:val="clear" w:color="auto" w:fill="auto"/>
            <w:vAlign w:val="bottom"/>
          </w:tcPr>
          <w:p w:rsidR="00F233AB" w:rsidRPr="007B2AFF" w:rsidRDefault="00F233AB" w:rsidP="007B2AFF">
            <w:pPr>
              <w:suppressAutoHyphens w:val="0"/>
              <w:spacing w:before="80" w:after="80" w:line="200" w:lineRule="exact"/>
              <w:ind w:right="113"/>
              <w:rPr>
                <w:i/>
                <w:sz w:val="16"/>
              </w:rPr>
            </w:pPr>
          </w:p>
        </w:tc>
        <w:tc>
          <w:tcPr>
            <w:tcW w:w="3450" w:type="dxa"/>
            <w:gridSpan w:val="4"/>
            <w:tcBorders>
              <w:top w:val="single" w:sz="4" w:space="0" w:color="auto"/>
              <w:bottom w:val="single" w:sz="4" w:space="0" w:color="auto"/>
              <w:right w:val="single" w:sz="24" w:space="0" w:color="FFFFFF" w:themeColor="background1"/>
            </w:tcBorders>
            <w:shd w:val="clear" w:color="auto" w:fill="auto"/>
            <w:vAlign w:val="bottom"/>
          </w:tcPr>
          <w:p w:rsidR="00F233AB" w:rsidRPr="007B2AFF" w:rsidRDefault="00F233AB" w:rsidP="007B2AFF">
            <w:pPr>
              <w:suppressAutoHyphens w:val="0"/>
              <w:spacing w:before="80" w:after="80" w:line="200" w:lineRule="exact"/>
              <w:ind w:right="113"/>
              <w:jc w:val="center"/>
              <w:rPr>
                <w:i/>
                <w:sz w:val="16"/>
              </w:rPr>
            </w:pPr>
            <w:r w:rsidRPr="007B2AFF">
              <w:rPr>
                <w:i/>
                <w:sz w:val="16"/>
              </w:rPr>
              <w:t>2015</w:t>
            </w:r>
            <w:r w:rsidR="005B2A41" w:rsidRPr="007B2AFF">
              <w:rPr>
                <w:i/>
                <w:sz w:val="16"/>
              </w:rPr>
              <w:t xml:space="preserve"> </w:t>
            </w:r>
            <w:r w:rsidRPr="007B2AFF">
              <w:rPr>
                <w:i/>
                <w:sz w:val="16"/>
              </w:rPr>
              <w:t>Crimes</w:t>
            </w:r>
          </w:p>
        </w:tc>
        <w:tc>
          <w:tcPr>
            <w:tcW w:w="3477" w:type="dxa"/>
            <w:gridSpan w:val="4"/>
            <w:tcBorders>
              <w:top w:val="single" w:sz="4" w:space="0" w:color="auto"/>
              <w:left w:val="single" w:sz="24" w:space="0" w:color="FFFFFF" w:themeColor="background1"/>
              <w:bottom w:val="single" w:sz="4" w:space="0" w:color="auto"/>
            </w:tcBorders>
            <w:shd w:val="clear" w:color="auto" w:fill="auto"/>
            <w:vAlign w:val="bottom"/>
          </w:tcPr>
          <w:p w:rsidR="00F233AB" w:rsidRPr="007B2AFF" w:rsidRDefault="00F233AB" w:rsidP="007B2AFF">
            <w:pPr>
              <w:suppressAutoHyphens w:val="0"/>
              <w:spacing w:before="80" w:after="80" w:line="200" w:lineRule="exact"/>
              <w:ind w:right="113"/>
              <w:jc w:val="center"/>
              <w:rPr>
                <w:i/>
                <w:sz w:val="16"/>
              </w:rPr>
            </w:pPr>
            <w:r w:rsidRPr="007B2AFF">
              <w:rPr>
                <w:i/>
                <w:sz w:val="16"/>
              </w:rPr>
              <w:t>2016</w:t>
            </w:r>
            <w:r w:rsidR="005B2A41" w:rsidRPr="007B2AFF">
              <w:rPr>
                <w:i/>
                <w:sz w:val="16"/>
              </w:rPr>
              <w:t xml:space="preserve"> </w:t>
            </w:r>
            <w:r w:rsidRPr="007B2AFF">
              <w:rPr>
                <w:i/>
                <w:sz w:val="16"/>
              </w:rPr>
              <w:t>Crimes</w:t>
            </w:r>
          </w:p>
        </w:tc>
      </w:tr>
      <w:tr w:rsidR="006535E0" w:rsidRPr="007B2AFF" w:rsidTr="006F3F5F">
        <w:tc>
          <w:tcPr>
            <w:tcW w:w="1582" w:type="dxa"/>
            <w:tcBorders>
              <w:top w:val="nil"/>
              <w:bottom w:val="single" w:sz="12" w:space="0" w:color="auto"/>
            </w:tcBorders>
            <w:shd w:val="clear" w:color="auto" w:fill="auto"/>
          </w:tcPr>
          <w:p w:rsidR="00F233AB" w:rsidRPr="007B2AFF" w:rsidRDefault="005B2A41" w:rsidP="007B2AFF">
            <w:pPr>
              <w:suppressAutoHyphens w:val="0"/>
              <w:spacing w:before="80" w:after="80" w:line="200" w:lineRule="exact"/>
              <w:ind w:right="113"/>
              <w:jc w:val="right"/>
              <w:rPr>
                <w:i/>
                <w:sz w:val="16"/>
              </w:rPr>
            </w:pPr>
            <w:r w:rsidRPr="007B2AFF">
              <w:rPr>
                <w:i/>
                <w:sz w:val="16"/>
              </w:rPr>
              <w:t xml:space="preserve"> </w:t>
            </w:r>
          </w:p>
        </w:tc>
        <w:tc>
          <w:tcPr>
            <w:tcW w:w="836" w:type="dxa"/>
            <w:tcBorders>
              <w:top w:val="single" w:sz="4" w:space="0" w:color="auto"/>
              <w:bottom w:val="single" w:sz="12" w:space="0" w:color="auto"/>
            </w:tcBorders>
            <w:shd w:val="clear" w:color="auto" w:fill="auto"/>
            <w:vAlign w:val="bottom"/>
          </w:tcPr>
          <w:p w:rsidR="00F233AB" w:rsidRPr="007B2AFF" w:rsidRDefault="00F233AB" w:rsidP="007B2AFF">
            <w:pPr>
              <w:suppressAutoHyphens w:val="0"/>
              <w:spacing w:before="80" w:after="80" w:line="200" w:lineRule="exact"/>
              <w:ind w:right="113"/>
              <w:jc w:val="right"/>
              <w:rPr>
                <w:i/>
                <w:sz w:val="16"/>
              </w:rPr>
            </w:pPr>
            <w:r w:rsidRPr="007B2AFF">
              <w:rPr>
                <w:i/>
                <w:sz w:val="16"/>
              </w:rPr>
              <w:t>Committed</w:t>
            </w:r>
          </w:p>
        </w:tc>
        <w:tc>
          <w:tcPr>
            <w:tcW w:w="792" w:type="dxa"/>
            <w:tcBorders>
              <w:top w:val="single" w:sz="4" w:space="0" w:color="auto"/>
              <w:bottom w:val="single" w:sz="12" w:space="0" w:color="auto"/>
            </w:tcBorders>
            <w:shd w:val="clear" w:color="auto" w:fill="auto"/>
            <w:vAlign w:val="bottom"/>
          </w:tcPr>
          <w:p w:rsidR="00F233AB" w:rsidRPr="007B2AFF" w:rsidRDefault="00F233AB" w:rsidP="007B2AFF">
            <w:pPr>
              <w:suppressAutoHyphens w:val="0"/>
              <w:spacing w:before="80" w:after="80" w:line="200" w:lineRule="exact"/>
              <w:ind w:right="113"/>
              <w:jc w:val="right"/>
              <w:rPr>
                <w:i/>
                <w:sz w:val="16"/>
              </w:rPr>
            </w:pPr>
            <w:r w:rsidRPr="007B2AFF">
              <w:rPr>
                <w:i/>
                <w:sz w:val="16"/>
              </w:rPr>
              <w:t>Attempted</w:t>
            </w:r>
          </w:p>
        </w:tc>
        <w:tc>
          <w:tcPr>
            <w:tcW w:w="962" w:type="dxa"/>
            <w:tcBorders>
              <w:top w:val="single" w:sz="4" w:space="0" w:color="auto"/>
              <w:bottom w:val="single" w:sz="12" w:space="0" w:color="auto"/>
            </w:tcBorders>
            <w:shd w:val="clear" w:color="auto" w:fill="auto"/>
            <w:vAlign w:val="bottom"/>
          </w:tcPr>
          <w:p w:rsidR="00F233AB" w:rsidRPr="007B2AFF" w:rsidRDefault="00F233AB" w:rsidP="007B2AFF">
            <w:pPr>
              <w:suppressAutoHyphens w:val="0"/>
              <w:spacing w:before="80" w:after="80" w:line="200" w:lineRule="exact"/>
              <w:ind w:right="113"/>
              <w:jc w:val="right"/>
              <w:rPr>
                <w:i/>
                <w:sz w:val="16"/>
              </w:rPr>
            </w:pPr>
            <w:r w:rsidRPr="007B2AFF">
              <w:rPr>
                <w:i/>
                <w:sz w:val="16"/>
              </w:rPr>
              <w:t>Perpetrators</w:t>
            </w:r>
          </w:p>
        </w:tc>
        <w:tc>
          <w:tcPr>
            <w:tcW w:w="860" w:type="dxa"/>
            <w:tcBorders>
              <w:top w:val="single" w:sz="4" w:space="0" w:color="auto"/>
              <w:bottom w:val="single" w:sz="12" w:space="0" w:color="auto"/>
              <w:right w:val="single" w:sz="24" w:space="0" w:color="FFFFFF" w:themeColor="background1"/>
            </w:tcBorders>
            <w:shd w:val="clear" w:color="auto" w:fill="auto"/>
            <w:vAlign w:val="bottom"/>
          </w:tcPr>
          <w:p w:rsidR="00F233AB" w:rsidRPr="007B2AFF" w:rsidRDefault="00F233AB" w:rsidP="005E0CC7">
            <w:pPr>
              <w:suppressAutoHyphens w:val="0"/>
              <w:spacing w:before="80" w:after="80" w:line="200" w:lineRule="exact"/>
              <w:ind w:right="113"/>
              <w:jc w:val="right"/>
              <w:rPr>
                <w:i/>
                <w:sz w:val="16"/>
              </w:rPr>
            </w:pPr>
            <w:r w:rsidRPr="007B2AFF">
              <w:rPr>
                <w:i/>
                <w:sz w:val="16"/>
              </w:rPr>
              <w:t>Rate</w:t>
            </w:r>
            <w:r w:rsidR="005B2A41" w:rsidRPr="007B2AFF">
              <w:rPr>
                <w:i/>
                <w:sz w:val="16"/>
              </w:rPr>
              <w:t xml:space="preserve"> </w:t>
            </w:r>
            <w:r w:rsidRPr="007B2AFF">
              <w:rPr>
                <w:i/>
                <w:sz w:val="16"/>
              </w:rPr>
              <w:t>per</w:t>
            </w:r>
            <w:r w:rsidR="005B2A41" w:rsidRPr="007B2AFF">
              <w:rPr>
                <w:i/>
                <w:sz w:val="16"/>
              </w:rPr>
              <w:t xml:space="preserve"> </w:t>
            </w:r>
            <w:r w:rsidRPr="007B2AFF">
              <w:rPr>
                <w:i/>
                <w:sz w:val="16"/>
              </w:rPr>
              <w:t>100</w:t>
            </w:r>
            <w:r w:rsidR="005E0CC7">
              <w:rPr>
                <w:i/>
                <w:sz w:val="16"/>
              </w:rPr>
              <w:t xml:space="preserve"> </w:t>
            </w:r>
            <w:r w:rsidRPr="007B2AFF">
              <w:rPr>
                <w:i/>
                <w:sz w:val="16"/>
              </w:rPr>
              <w:t>000</w:t>
            </w:r>
            <w:r w:rsidR="005B2A41" w:rsidRPr="007B2AFF">
              <w:rPr>
                <w:i/>
                <w:sz w:val="16"/>
              </w:rPr>
              <w:t xml:space="preserve"> </w:t>
            </w:r>
            <w:r w:rsidRPr="007B2AFF">
              <w:rPr>
                <w:i/>
                <w:sz w:val="16"/>
              </w:rPr>
              <w:t>persons</w:t>
            </w:r>
          </w:p>
        </w:tc>
        <w:tc>
          <w:tcPr>
            <w:tcW w:w="877" w:type="dxa"/>
            <w:tcBorders>
              <w:top w:val="single" w:sz="4" w:space="0" w:color="auto"/>
              <w:left w:val="single" w:sz="24" w:space="0" w:color="FFFFFF" w:themeColor="background1"/>
              <w:bottom w:val="single" w:sz="12" w:space="0" w:color="auto"/>
            </w:tcBorders>
            <w:shd w:val="clear" w:color="auto" w:fill="auto"/>
            <w:vAlign w:val="bottom"/>
          </w:tcPr>
          <w:p w:rsidR="00F233AB" w:rsidRPr="007B2AFF" w:rsidRDefault="00F233AB" w:rsidP="007B2AFF">
            <w:pPr>
              <w:suppressAutoHyphens w:val="0"/>
              <w:spacing w:before="80" w:after="80" w:line="200" w:lineRule="exact"/>
              <w:ind w:right="113"/>
              <w:jc w:val="right"/>
              <w:rPr>
                <w:i/>
                <w:sz w:val="16"/>
              </w:rPr>
            </w:pPr>
            <w:r w:rsidRPr="007B2AFF">
              <w:rPr>
                <w:i/>
                <w:sz w:val="16"/>
              </w:rPr>
              <w:t>Committed</w:t>
            </w:r>
          </w:p>
        </w:tc>
        <w:tc>
          <w:tcPr>
            <w:tcW w:w="824" w:type="dxa"/>
            <w:tcBorders>
              <w:top w:val="single" w:sz="4" w:space="0" w:color="auto"/>
              <w:bottom w:val="single" w:sz="12" w:space="0" w:color="auto"/>
            </w:tcBorders>
            <w:shd w:val="clear" w:color="auto" w:fill="auto"/>
            <w:vAlign w:val="bottom"/>
          </w:tcPr>
          <w:p w:rsidR="00F233AB" w:rsidRPr="007B2AFF" w:rsidRDefault="00F233AB" w:rsidP="007B2AFF">
            <w:pPr>
              <w:suppressAutoHyphens w:val="0"/>
              <w:spacing w:before="80" w:after="80" w:line="200" w:lineRule="exact"/>
              <w:ind w:right="113"/>
              <w:jc w:val="right"/>
              <w:rPr>
                <w:i/>
                <w:sz w:val="16"/>
              </w:rPr>
            </w:pPr>
            <w:r w:rsidRPr="007B2AFF">
              <w:rPr>
                <w:i/>
                <w:sz w:val="16"/>
              </w:rPr>
              <w:t>Attempted</w:t>
            </w:r>
          </w:p>
        </w:tc>
        <w:tc>
          <w:tcPr>
            <w:tcW w:w="952" w:type="dxa"/>
            <w:tcBorders>
              <w:top w:val="single" w:sz="4" w:space="0" w:color="auto"/>
              <w:bottom w:val="single" w:sz="12" w:space="0" w:color="auto"/>
            </w:tcBorders>
            <w:shd w:val="clear" w:color="auto" w:fill="auto"/>
            <w:vAlign w:val="bottom"/>
          </w:tcPr>
          <w:p w:rsidR="00F233AB" w:rsidRPr="007B2AFF" w:rsidRDefault="00F233AB" w:rsidP="007B2AFF">
            <w:pPr>
              <w:suppressAutoHyphens w:val="0"/>
              <w:spacing w:before="80" w:after="80" w:line="200" w:lineRule="exact"/>
              <w:ind w:right="113"/>
              <w:jc w:val="right"/>
              <w:rPr>
                <w:i/>
                <w:sz w:val="16"/>
              </w:rPr>
            </w:pPr>
            <w:r w:rsidRPr="007B2AFF">
              <w:rPr>
                <w:i/>
                <w:sz w:val="16"/>
              </w:rPr>
              <w:t>Perpetrators</w:t>
            </w:r>
          </w:p>
        </w:tc>
        <w:tc>
          <w:tcPr>
            <w:tcW w:w="824" w:type="dxa"/>
            <w:tcBorders>
              <w:top w:val="single" w:sz="4" w:space="0" w:color="auto"/>
              <w:bottom w:val="single" w:sz="12" w:space="0" w:color="auto"/>
            </w:tcBorders>
            <w:shd w:val="clear" w:color="auto" w:fill="auto"/>
            <w:vAlign w:val="bottom"/>
          </w:tcPr>
          <w:p w:rsidR="00F233AB" w:rsidRPr="007B2AFF" w:rsidRDefault="00F233AB" w:rsidP="005E0CC7">
            <w:pPr>
              <w:suppressAutoHyphens w:val="0"/>
              <w:spacing w:before="80" w:after="80" w:line="200" w:lineRule="exact"/>
              <w:ind w:right="113"/>
              <w:jc w:val="right"/>
              <w:rPr>
                <w:i/>
                <w:sz w:val="16"/>
              </w:rPr>
            </w:pPr>
            <w:r w:rsidRPr="007B2AFF">
              <w:rPr>
                <w:i/>
                <w:sz w:val="16"/>
              </w:rPr>
              <w:t>Rate</w:t>
            </w:r>
            <w:r w:rsidR="005B2A41" w:rsidRPr="007B2AFF">
              <w:rPr>
                <w:i/>
                <w:sz w:val="16"/>
              </w:rPr>
              <w:t xml:space="preserve"> </w:t>
            </w:r>
            <w:r w:rsidRPr="007B2AFF">
              <w:rPr>
                <w:i/>
                <w:sz w:val="16"/>
              </w:rPr>
              <w:t>per</w:t>
            </w:r>
            <w:r w:rsidR="005B2A41" w:rsidRPr="007B2AFF">
              <w:rPr>
                <w:i/>
                <w:sz w:val="16"/>
              </w:rPr>
              <w:t xml:space="preserve"> </w:t>
            </w:r>
            <w:r w:rsidR="005E0CC7">
              <w:rPr>
                <w:i/>
                <w:sz w:val="16"/>
              </w:rPr>
              <w:br/>
            </w:r>
            <w:r w:rsidRPr="007B2AFF">
              <w:rPr>
                <w:i/>
                <w:sz w:val="16"/>
              </w:rPr>
              <w:t>100</w:t>
            </w:r>
            <w:r w:rsidR="005E0CC7">
              <w:rPr>
                <w:i/>
                <w:sz w:val="16"/>
              </w:rPr>
              <w:t xml:space="preserve"> </w:t>
            </w:r>
            <w:r w:rsidRPr="007B2AFF">
              <w:rPr>
                <w:i/>
                <w:sz w:val="16"/>
              </w:rPr>
              <w:t>000</w:t>
            </w:r>
            <w:r w:rsidR="005B2A41" w:rsidRPr="007B2AFF">
              <w:rPr>
                <w:i/>
                <w:sz w:val="16"/>
              </w:rPr>
              <w:t xml:space="preserve"> </w:t>
            </w:r>
            <w:r w:rsidRPr="007B2AFF">
              <w:rPr>
                <w:i/>
                <w:sz w:val="16"/>
              </w:rPr>
              <w:t>persons</w:t>
            </w:r>
          </w:p>
        </w:tc>
      </w:tr>
      <w:tr w:rsidR="006535E0" w:rsidRPr="007B2AFF" w:rsidTr="006F3F5F">
        <w:tc>
          <w:tcPr>
            <w:tcW w:w="1582" w:type="dxa"/>
            <w:tcBorders>
              <w:top w:val="single" w:sz="12" w:space="0" w:color="auto"/>
            </w:tcBorders>
            <w:shd w:val="clear" w:color="auto" w:fill="auto"/>
          </w:tcPr>
          <w:p w:rsidR="00F233AB" w:rsidRPr="007B2AFF" w:rsidRDefault="00F233AB" w:rsidP="007B2AFF">
            <w:pPr>
              <w:suppressAutoHyphens w:val="0"/>
              <w:spacing w:before="40" w:after="40" w:line="220" w:lineRule="exact"/>
              <w:ind w:right="113"/>
              <w:rPr>
                <w:sz w:val="18"/>
              </w:rPr>
            </w:pPr>
            <w:r w:rsidRPr="007B2AFF">
              <w:rPr>
                <w:sz w:val="18"/>
              </w:rPr>
              <w:t>Homicide</w:t>
            </w:r>
          </w:p>
        </w:tc>
        <w:tc>
          <w:tcPr>
            <w:tcW w:w="836" w:type="dxa"/>
            <w:tcBorders>
              <w:top w:val="single" w:sz="12" w:space="0" w:color="auto"/>
            </w:tcBorders>
            <w:shd w:val="clear" w:color="auto" w:fill="auto"/>
            <w:vAlign w:val="bottom"/>
          </w:tcPr>
          <w:p w:rsidR="00F233AB" w:rsidRPr="007B2AFF" w:rsidRDefault="00F233AB" w:rsidP="007B2AFF">
            <w:pPr>
              <w:suppressAutoHyphens w:val="0"/>
              <w:spacing w:before="40" w:after="40" w:line="220" w:lineRule="exact"/>
              <w:ind w:right="113"/>
              <w:jc w:val="right"/>
              <w:rPr>
                <w:sz w:val="18"/>
              </w:rPr>
            </w:pPr>
            <w:r w:rsidRPr="007B2AFF">
              <w:rPr>
                <w:sz w:val="18"/>
              </w:rPr>
              <w:t>86</w:t>
            </w:r>
          </w:p>
        </w:tc>
        <w:tc>
          <w:tcPr>
            <w:tcW w:w="792" w:type="dxa"/>
            <w:tcBorders>
              <w:top w:val="single" w:sz="12" w:space="0" w:color="auto"/>
            </w:tcBorders>
            <w:shd w:val="clear" w:color="auto" w:fill="auto"/>
            <w:vAlign w:val="bottom"/>
          </w:tcPr>
          <w:p w:rsidR="00F233AB" w:rsidRPr="007B2AFF" w:rsidRDefault="00F233AB" w:rsidP="007B2AFF">
            <w:pPr>
              <w:suppressAutoHyphens w:val="0"/>
              <w:spacing w:before="40" w:after="40" w:line="220" w:lineRule="exact"/>
              <w:ind w:right="113"/>
              <w:jc w:val="right"/>
              <w:rPr>
                <w:sz w:val="18"/>
              </w:rPr>
            </w:pPr>
            <w:r w:rsidRPr="007B2AFF">
              <w:rPr>
                <w:sz w:val="18"/>
              </w:rPr>
              <w:t>169</w:t>
            </w:r>
          </w:p>
        </w:tc>
        <w:tc>
          <w:tcPr>
            <w:tcW w:w="962" w:type="dxa"/>
            <w:tcBorders>
              <w:top w:val="single" w:sz="12" w:space="0" w:color="auto"/>
            </w:tcBorders>
            <w:shd w:val="clear" w:color="auto" w:fill="auto"/>
            <w:vAlign w:val="bottom"/>
          </w:tcPr>
          <w:p w:rsidR="00F233AB" w:rsidRPr="007B2AFF" w:rsidRDefault="00F233AB" w:rsidP="007B2AFF">
            <w:pPr>
              <w:suppressAutoHyphens w:val="0"/>
              <w:spacing w:before="40" w:after="40" w:line="220" w:lineRule="exact"/>
              <w:ind w:right="113"/>
              <w:jc w:val="right"/>
              <w:rPr>
                <w:sz w:val="18"/>
              </w:rPr>
            </w:pPr>
            <w:r w:rsidRPr="007B2AFF">
              <w:rPr>
                <w:sz w:val="18"/>
              </w:rPr>
              <w:t>355</w:t>
            </w:r>
          </w:p>
        </w:tc>
        <w:tc>
          <w:tcPr>
            <w:tcW w:w="860" w:type="dxa"/>
            <w:tcBorders>
              <w:top w:val="single" w:sz="12" w:space="0" w:color="auto"/>
            </w:tcBorders>
            <w:shd w:val="clear" w:color="auto" w:fill="auto"/>
            <w:vAlign w:val="bottom"/>
          </w:tcPr>
          <w:p w:rsidR="00F233AB" w:rsidRPr="007B2AFF" w:rsidRDefault="00F233AB" w:rsidP="007B2AFF">
            <w:pPr>
              <w:suppressAutoHyphens w:val="0"/>
              <w:spacing w:before="40" w:after="40" w:line="220" w:lineRule="exact"/>
              <w:ind w:right="113"/>
              <w:jc w:val="right"/>
              <w:rPr>
                <w:sz w:val="18"/>
              </w:rPr>
            </w:pPr>
            <w:r w:rsidRPr="007B2AFF">
              <w:rPr>
                <w:sz w:val="18"/>
              </w:rPr>
              <w:t>0</w:t>
            </w:r>
            <w:r w:rsidR="005E0CC7">
              <w:rPr>
                <w:sz w:val="18"/>
              </w:rPr>
              <w:t>.</w:t>
            </w:r>
            <w:r w:rsidRPr="007B2AFF">
              <w:rPr>
                <w:sz w:val="18"/>
              </w:rPr>
              <w:t>80</w:t>
            </w:r>
          </w:p>
        </w:tc>
        <w:tc>
          <w:tcPr>
            <w:tcW w:w="877" w:type="dxa"/>
            <w:tcBorders>
              <w:top w:val="single" w:sz="12" w:space="0" w:color="auto"/>
            </w:tcBorders>
            <w:shd w:val="clear" w:color="auto" w:fill="auto"/>
            <w:vAlign w:val="bottom"/>
          </w:tcPr>
          <w:p w:rsidR="00F233AB" w:rsidRPr="007B2AFF" w:rsidRDefault="00F233AB" w:rsidP="007B2AFF">
            <w:pPr>
              <w:suppressAutoHyphens w:val="0"/>
              <w:spacing w:before="40" w:after="40" w:line="220" w:lineRule="exact"/>
              <w:ind w:right="113"/>
              <w:jc w:val="right"/>
              <w:rPr>
                <w:sz w:val="18"/>
              </w:rPr>
            </w:pPr>
            <w:r w:rsidRPr="007B2AFF">
              <w:rPr>
                <w:sz w:val="18"/>
              </w:rPr>
              <w:t>81</w:t>
            </w:r>
          </w:p>
        </w:tc>
        <w:tc>
          <w:tcPr>
            <w:tcW w:w="824" w:type="dxa"/>
            <w:tcBorders>
              <w:top w:val="single" w:sz="12" w:space="0" w:color="auto"/>
            </w:tcBorders>
            <w:shd w:val="clear" w:color="auto" w:fill="auto"/>
            <w:vAlign w:val="bottom"/>
          </w:tcPr>
          <w:p w:rsidR="00F233AB" w:rsidRPr="007B2AFF" w:rsidRDefault="00F233AB" w:rsidP="007B2AFF">
            <w:pPr>
              <w:suppressAutoHyphens w:val="0"/>
              <w:spacing w:before="40" w:after="40" w:line="220" w:lineRule="exact"/>
              <w:ind w:right="113"/>
              <w:jc w:val="right"/>
              <w:rPr>
                <w:sz w:val="18"/>
              </w:rPr>
            </w:pPr>
            <w:r w:rsidRPr="007B2AFF">
              <w:rPr>
                <w:sz w:val="18"/>
              </w:rPr>
              <w:t>132</w:t>
            </w:r>
          </w:p>
        </w:tc>
        <w:tc>
          <w:tcPr>
            <w:tcW w:w="952" w:type="dxa"/>
            <w:tcBorders>
              <w:top w:val="single" w:sz="12" w:space="0" w:color="auto"/>
            </w:tcBorders>
            <w:shd w:val="clear" w:color="auto" w:fill="auto"/>
            <w:vAlign w:val="bottom"/>
          </w:tcPr>
          <w:p w:rsidR="00F233AB" w:rsidRPr="007B2AFF" w:rsidRDefault="00F233AB" w:rsidP="007B2AFF">
            <w:pPr>
              <w:suppressAutoHyphens w:val="0"/>
              <w:spacing w:before="40" w:after="40" w:line="220" w:lineRule="exact"/>
              <w:ind w:right="113"/>
              <w:jc w:val="right"/>
              <w:rPr>
                <w:sz w:val="18"/>
              </w:rPr>
            </w:pPr>
            <w:r w:rsidRPr="007B2AFF">
              <w:rPr>
                <w:sz w:val="18"/>
              </w:rPr>
              <w:t>264</w:t>
            </w:r>
          </w:p>
        </w:tc>
        <w:tc>
          <w:tcPr>
            <w:tcW w:w="824" w:type="dxa"/>
            <w:tcBorders>
              <w:top w:val="single" w:sz="12" w:space="0" w:color="auto"/>
            </w:tcBorders>
            <w:shd w:val="clear" w:color="auto" w:fill="auto"/>
            <w:vAlign w:val="bottom"/>
          </w:tcPr>
          <w:p w:rsidR="00F233AB" w:rsidRPr="007B2AFF" w:rsidRDefault="00F233AB" w:rsidP="007B2AFF">
            <w:pPr>
              <w:suppressAutoHyphens w:val="0"/>
              <w:spacing w:before="40" w:after="40" w:line="220" w:lineRule="exact"/>
              <w:ind w:right="113"/>
              <w:jc w:val="right"/>
              <w:rPr>
                <w:sz w:val="18"/>
              </w:rPr>
            </w:pPr>
            <w:r w:rsidRPr="007B2AFF">
              <w:rPr>
                <w:sz w:val="18"/>
              </w:rPr>
              <w:t>0</w:t>
            </w:r>
            <w:r w:rsidR="005E0CC7">
              <w:rPr>
                <w:sz w:val="18"/>
              </w:rPr>
              <w:t>.</w:t>
            </w:r>
            <w:r w:rsidRPr="007B2AFF">
              <w:rPr>
                <w:sz w:val="18"/>
              </w:rPr>
              <w:t>75</w:t>
            </w:r>
          </w:p>
        </w:tc>
      </w:tr>
      <w:tr w:rsidR="006535E0" w:rsidRPr="007B2AFF" w:rsidTr="006F3F5F">
        <w:tc>
          <w:tcPr>
            <w:tcW w:w="1582" w:type="dxa"/>
            <w:shd w:val="clear" w:color="auto" w:fill="auto"/>
          </w:tcPr>
          <w:p w:rsidR="00F233AB" w:rsidRPr="007B2AFF" w:rsidRDefault="00F233AB" w:rsidP="007B2AFF">
            <w:pPr>
              <w:suppressAutoHyphens w:val="0"/>
              <w:spacing w:before="40" w:after="40" w:line="220" w:lineRule="exact"/>
              <w:ind w:right="113"/>
              <w:rPr>
                <w:sz w:val="18"/>
              </w:rPr>
            </w:pPr>
            <w:r w:rsidRPr="007B2AFF">
              <w:rPr>
                <w:sz w:val="18"/>
              </w:rPr>
              <w:t>Rape</w:t>
            </w:r>
          </w:p>
        </w:tc>
        <w:tc>
          <w:tcPr>
            <w:tcW w:w="836" w:type="dxa"/>
            <w:shd w:val="clear" w:color="auto" w:fill="auto"/>
            <w:vAlign w:val="bottom"/>
          </w:tcPr>
          <w:p w:rsidR="00F233AB" w:rsidRPr="007B2AFF" w:rsidRDefault="00F233AB" w:rsidP="007B2AFF">
            <w:pPr>
              <w:suppressAutoHyphens w:val="0"/>
              <w:spacing w:before="40" w:after="40" w:line="220" w:lineRule="exact"/>
              <w:ind w:right="113"/>
              <w:jc w:val="right"/>
              <w:rPr>
                <w:sz w:val="18"/>
              </w:rPr>
            </w:pPr>
            <w:r w:rsidRPr="007B2AFF">
              <w:rPr>
                <w:sz w:val="18"/>
              </w:rPr>
              <w:t>122</w:t>
            </w:r>
          </w:p>
        </w:tc>
        <w:tc>
          <w:tcPr>
            <w:tcW w:w="792" w:type="dxa"/>
            <w:shd w:val="clear" w:color="auto" w:fill="auto"/>
            <w:vAlign w:val="bottom"/>
          </w:tcPr>
          <w:p w:rsidR="00F233AB" w:rsidRPr="007B2AFF" w:rsidRDefault="00F233AB" w:rsidP="007B2AFF">
            <w:pPr>
              <w:suppressAutoHyphens w:val="0"/>
              <w:spacing w:before="40" w:after="40" w:line="220" w:lineRule="exact"/>
              <w:ind w:right="113"/>
              <w:jc w:val="right"/>
              <w:rPr>
                <w:sz w:val="18"/>
              </w:rPr>
            </w:pPr>
            <w:r w:rsidRPr="007B2AFF">
              <w:rPr>
                <w:sz w:val="18"/>
              </w:rPr>
              <w:t>56</w:t>
            </w:r>
          </w:p>
        </w:tc>
        <w:tc>
          <w:tcPr>
            <w:tcW w:w="962" w:type="dxa"/>
            <w:shd w:val="clear" w:color="auto" w:fill="auto"/>
            <w:vAlign w:val="bottom"/>
          </w:tcPr>
          <w:p w:rsidR="00F233AB" w:rsidRPr="007B2AFF" w:rsidRDefault="00F233AB" w:rsidP="007B2AFF">
            <w:pPr>
              <w:suppressAutoHyphens w:val="0"/>
              <w:spacing w:before="40" w:after="40" w:line="220" w:lineRule="exact"/>
              <w:ind w:right="113"/>
              <w:jc w:val="right"/>
              <w:rPr>
                <w:sz w:val="18"/>
              </w:rPr>
            </w:pPr>
            <w:r w:rsidRPr="007B2AFF">
              <w:rPr>
                <w:sz w:val="18"/>
              </w:rPr>
              <w:t>142</w:t>
            </w:r>
          </w:p>
        </w:tc>
        <w:tc>
          <w:tcPr>
            <w:tcW w:w="860" w:type="dxa"/>
            <w:shd w:val="clear" w:color="auto" w:fill="auto"/>
            <w:vAlign w:val="bottom"/>
          </w:tcPr>
          <w:p w:rsidR="00F233AB" w:rsidRPr="007B2AFF" w:rsidRDefault="00F233AB" w:rsidP="007B2AFF">
            <w:pPr>
              <w:suppressAutoHyphens w:val="0"/>
              <w:spacing w:before="40" w:after="40" w:line="220" w:lineRule="exact"/>
              <w:ind w:right="113"/>
              <w:jc w:val="right"/>
              <w:rPr>
                <w:sz w:val="18"/>
              </w:rPr>
            </w:pPr>
            <w:r w:rsidRPr="007B2AFF">
              <w:rPr>
                <w:sz w:val="18"/>
              </w:rPr>
              <w:t>1</w:t>
            </w:r>
            <w:r w:rsidR="005E0CC7">
              <w:rPr>
                <w:sz w:val="18"/>
              </w:rPr>
              <w:t>.</w:t>
            </w:r>
            <w:r w:rsidRPr="007B2AFF">
              <w:rPr>
                <w:sz w:val="18"/>
              </w:rPr>
              <w:t>13</w:t>
            </w:r>
          </w:p>
        </w:tc>
        <w:tc>
          <w:tcPr>
            <w:tcW w:w="877" w:type="dxa"/>
            <w:shd w:val="clear" w:color="auto" w:fill="auto"/>
            <w:vAlign w:val="bottom"/>
          </w:tcPr>
          <w:p w:rsidR="00F233AB" w:rsidRPr="007B2AFF" w:rsidRDefault="00F233AB" w:rsidP="007B2AFF">
            <w:pPr>
              <w:suppressAutoHyphens w:val="0"/>
              <w:spacing w:before="40" w:after="40" w:line="220" w:lineRule="exact"/>
              <w:ind w:right="113"/>
              <w:jc w:val="right"/>
              <w:rPr>
                <w:sz w:val="18"/>
              </w:rPr>
            </w:pPr>
            <w:r w:rsidRPr="007B2AFF">
              <w:rPr>
                <w:sz w:val="18"/>
              </w:rPr>
              <w:t>155</w:t>
            </w:r>
          </w:p>
        </w:tc>
        <w:tc>
          <w:tcPr>
            <w:tcW w:w="824" w:type="dxa"/>
            <w:shd w:val="clear" w:color="auto" w:fill="auto"/>
            <w:vAlign w:val="bottom"/>
          </w:tcPr>
          <w:p w:rsidR="00F233AB" w:rsidRPr="007B2AFF" w:rsidRDefault="00F233AB" w:rsidP="007B2AFF">
            <w:pPr>
              <w:suppressAutoHyphens w:val="0"/>
              <w:spacing w:before="40" w:after="40" w:line="220" w:lineRule="exact"/>
              <w:ind w:right="113"/>
              <w:jc w:val="right"/>
              <w:rPr>
                <w:sz w:val="18"/>
              </w:rPr>
            </w:pPr>
            <w:r w:rsidRPr="007B2AFF">
              <w:rPr>
                <w:sz w:val="18"/>
              </w:rPr>
              <w:t>82</w:t>
            </w:r>
          </w:p>
        </w:tc>
        <w:tc>
          <w:tcPr>
            <w:tcW w:w="952" w:type="dxa"/>
            <w:shd w:val="clear" w:color="auto" w:fill="auto"/>
            <w:vAlign w:val="bottom"/>
          </w:tcPr>
          <w:p w:rsidR="00F233AB" w:rsidRPr="007B2AFF" w:rsidRDefault="00F233AB" w:rsidP="007B2AFF">
            <w:pPr>
              <w:suppressAutoHyphens w:val="0"/>
              <w:spacing w:before="40" w:after="40" w:line="220" w:lineRule="exact"/>
              <w:ind w:right="113"/>
              <w:jc w:val="right"/>
              <w:rPr>
                <w:sz w:val="18"/>
              </w:rPr>
            </w:pPr>
            <w:r w:rsidRPr="007B2AFF">
              <w:rPr>
                <w:sz w:val="18"/>
              </w:rPr>
              <w:t>193</w:t>
            </w:r>
          </w:p>
        </w:tc>
        <w:tc>
          <w:tcPr>
            <w:tcW w:w="824" w:type="dxa"/>
            <w:shd w:val="clear" w:color="auto" w:fill="auto"/>
            <w:vAlign w:val="bottom"/>
          </w:tcPr>
          <w:p w:rsidR="00F233AB" w:rsidRPr="007B2AFF" w:rsidRDefault="00F233AB" w:rsidP="007B2AFF">
            <w:pPr>
              <w:suppressAutoHyphens w:val="0"/>
              <w:spacing w:before="40" w:after="40" w:line="220" w:lineRule="exact"/>
              <w:ind w:right="113"/>
              <w:jc w:val="right"/>
              <w:rPr>
                <w:sz w:val="18"/>
              </w:rPr>
            </w:pPr>
            <w:r w:rsidRPr="007B2AFF">
              <w:rPr>
                <w:sz w:val="18"/>
              </w:rPr>
              <w:t>1</w:t>
            </w:r>
            <w:r w:rsidR="005E0CC7">
              <w:rPr>
                <w:sz w:val="18"/>
              </w:rPr>
              <w:t>.</w:t>
            </w:r>
            <w:r w:rsidRPr="007B2AFF">
              <w:rPr>
                <w:sz w:val="18"/>
              </w:rPr>
              <w:t>43</w:t>
            </w:r>
          </w:p>
        </w:tc>
      </w:tr>
      <w:tr w:rsidR="006535E0" w:rsidRPr="007B2AFF" w:rsidTr="006F3F5F">
        <w:tc>
          <w:tcPr>
            <w:tcW w:w="1582" w:type="dxa"/>
            <w:shd w:val="clear" w:color="auto" w:fill="auto"/>
          </w:tcPr>
          <w:p w:rsidR="00F233AB" w:rsidRPr="007B2AFF" w:rsidRDefault="00F233AB" w:rsidP="007B2AFF">
            <w:pPr>
              <w:suppressAutoHyphens w:val="0"/>
              <w:spacing w:before="40" w:after="40" w:line="220" w:lineRule="exact"/>
              <w:ind w:right="113"/>
              <w:rPr>
                <w:sz w:val="18"/>
              </w:rPr>
            </w:pPr>
            <w:r w:rsidRPr="007B2AFF">
              <w:rPr>
                <w:sz w:val="18"/>
              </w:rPr>
              <w:t>Robbery</w:t>
            </w:r>
          </w:p>
        </w:tc>
        <w:tc>
          <w:tcPr>
            <w:tcW w:w="836" w:type="dxa"/>
            <w:shd w:val="clear" w:color="auto" w:fill="auto"/>
            <w:vAlign w:val="bottom"/>
          </w:tcPr>
          <w:p w:rsidR="00F233AB" w:rsidRPr="007B2AFF" w:rsidRDefault="00F233AB" w:rsidP="005E0CC7">
            <w:pPr>
              <w:suppressAutoHyphens w:val="0"/>
              <w:spacing w:before="40" w:after="40" w:line="220" w:lineRule="exact"/>
              <w:ind w:right="113"/>
              <w:jc w:val="right"/>
              <w:rPr>
                <w:sz w:val="18"/>
              </w:rPr>
            </w:pPr>
            <w:r w:rsidRPr="007B2AFF">
              <w:rPr>
                <w:sz w:val="18"/>
              </w:rPr>
              <w:t>4</w:t>
            </w:r>
            <w:r w:rsidR="005E0CC7">
              <w:rPr>
                <w:sz w:val="18"/>
              </w:rPr>
              <w:t xml:space="preserve"> </w:t>
            </w:r>
            <w:r w:rsidRPr="007B2AFF">
              <w:rPr>
                <w:sz w:val="18"/>
              </w:rPr>
              <w:t>136</w:t>
            </w:r>
          </w:p>
        </w:tc>
        <w:tc>
          <w:tcPr>
            <w:tcW w:w="792" w:type="dxa"/>
            <w:shd w:val="clear" w:color="auto" w:fill="auto"/>
            <w:vAlign w:val="bottom"/>
          </w:tcPr>
          <w:p w:rsidR="00F233AB" w:rsidRPr="007B2AFF" w:rsidRDefault="00F233AB" w:rsidP="007B2AFF">
            <w:pPr>
              <w:suppressAutoHyphens w:val="0"/>
              <w:spacing w:before="40" w:after="40" w:line="220" w:lineRule="exact"/>
              <w:ind w:right="113"/>
              <w:jc w:val="right"/>
              <w:rPr>
                <w:sz w:val="18"/>
              </w:rPr>
            </w:pPr>
            <w:r w:rsidRPr="007B2AFF">
              <w:rPr>
                <w:sz w:val="18"/>
              </w:rPr>
              <w:t>338</w:t>
            </w:r>
          </w:p>
        </w:tc>
        <w:tc>
          <w:tcPr>
            <w:tcW w:w="962" w:type="dxa"/>
            <w:shd w:val="clear" w:color="auto" w:fill="auto"/>
            <w:vAlign w:val="bottom"/>
          </w:tcPr>
          <w:p w:rsidR="00F233AB" w:rsidRPr="007B2AFF" w:rsidRDefault="00F233AB" w:rsidP="005E0CC7">
            <w:pPr>
              <w:suppressAutoHyphens w:val="0"/>
              <w:spacing w:before="40" w:after="40" w:line="220" w:lineRule="exact"/>
              <w:ind w:right="113"/>
              <w:jc w:val="right"/>
              <w:rPr>
                <w:sz w:val="18"/>
              </w:rPr>
            </w:pPr>
            <w:r w:rsidRPr="007B2AFF">
              <w:rPr>
                <w:sz w:val="18"/>
              </w:rPr>
              <w:t>2</w:t>
            </w:r>
            <w:r w:rsidR="005E0CC7">
              <w:rPr>
                <w:sz w:val="18"/>
              </w:rPr>
              <w:t xml:space="preserve"> </w:t>
            </w:r>
            <w:r w:rsidRPr="007B2AFF">
              <w:rPr>
                <w:sz w:val="18"/>
              </w:rPr>
              <w:t>038</w:t>
            </w:r>
          </w:p>
        </w:tc>
        <w:tc>
          <w:tcPr>
            <w:tcW w:w="860" w:type="dxa"/>
            <w:shd w:val="clear" w:color="auto" w:fill="auto"/>
            <w:vAlign w:val="bottom"/>
          </w:tcPr>
          <w:p w:rsidR="00F233AB" w:rsidRPr="007B2AFF" w:rsidRDefault="00F233AB" w:rsidP="007B2AFF">
            <w:pPr>
              <w:suppressAutoHyphens w:val="0"/>
              <w:spacing w:before="40" w:after="40" w:line="220" w:lineRule="exact"/>
              <w:ind w:right="113"/>
              <w:jc w:val="right"/>
              <w:rPr>
                <w:sz w:val="18"/>
              </w:rPr>
            </w:pPr>
            <w:r w:rsidRPr="007B2AFF">
              <w:rPr>
                <w:sz w:val="18"/>
              </w:rPr>
              <w:t>39</w:t>
            </w:r>
            <w:r w:rsidR="005E0CC7">
              <w:rPr>
                <w:sz w:val="18"/>
              </w:rPr>
              <w:t>.</w:t>
            </w:r>
            <w:r w:rsidRPr="007B2AFF">
              <w:rPr>
                <w:sz w:val="18"/>
              </w:rPr>
              <w:t>90</w:t>
            </w:r>
          </w:p>
        </w:tc>
        <w:tc>
          <w:tcPr>
            <w:tcW w:w="877" w:type="dxa"/>
            <w:shd w:val="clear" w:color="auto" w:fill="auto"/>
            <w:vAlign w:val="bottom"/>
          </w:tcPr>
          <w:p w:rsidR="00F233AB" w:rsidRPr="007B2AFF" w:rsidRDefault="00F233AB" w:rsidP="005E0CC7">
            <w:pPr>
              <w:suppressAutoHyphens w:val="0"/>
              <w:spacing w:before="40" w:after="40" w:line="220" w:lineRule="exact"/>
              <w:ind w:right="113"/>
              <w:jc w:val="right"/>
              <w:rPr>
                <w:sz w:val="18"/>
              </w:rPr>
            </w:pPr>
            <w:r w:rsidRPr="007B2AFF">
              <w:rPr>
                <w:sz w:val="18"/>
              </w:rPr>
              <w:t>4</w:t>
            </w:r>
            <w:r w:rsidR="005E0CC7">
              <w:rPr>
                <w:sz w:val="18"/>
              </w:rPr>
              <w:t xml:space="preserve"> </w:t>
            </w:r>
            <w:r w:rsidRPr="007B2AFF">
              <w:rPr>
                <w:sz w:val="18"/>
              </w:rPr>
              <w:t>738</w:t>
            </w:r>
          </w:p>
        </w:tc>
        <w:tc>
          <w:tcPr>
            <w:tcW w:w="824" w:type="dxa"/>
            <w:shd w:val="clear" w:color="auto" w:fill="auto"/>
            <w:vAlign w:val="bottom"/>
          </w:tcPr>
          <w:p w:rsidR="00F233AB" w:rsidRPr="007B2AFF" w:rsidRDefault="00F233AB" w:rsidP="007B2AFF">
            <w:pPr>
              <w:suppressAutoHyphens w:val="0"/>
              <w:spacing w:before="40" w:after="40" w:line="220" w:lineRule="exact"/>
              <w:ind w:right="113"/>
              <w:jc w:val="right"/>
              <w:rPr>
                <w:sz w:val="18"/>
              </w:rPr>
            </w:pPr>
            <w:r w:rsidRPr="007B2AFF">
              <w:rPr>
                <w:sz w:val="18"/>
              </w:rPr>
              <w:t>325</w:t>
            </w:r>
          </w:p>
        </w:tc>
        <w:tc>
          <w:tcPr>
            <w:tcW w:w="952" w:type="dxa"/>
            <w:shd w:val="clear" w:color="auto" w:fill="auto"/>
            <w:vAlign w:val="bottom"/>
          </w:tcPr>
          <w:p w:rsidR="00F233AB" w:rsidRPr="007B2AFF" w:rsidRDefault="00F233AB" w:rsidP="005E0CC7">
            <w:pPr>
              <w:suppressAutoHyphens w:val="0"/>
              <w:spacing w:before="40" w:after="40" w:line="220" w:lineRule="exact"/>
              <w:ind w:right="113"/>
              <w:jc w:val="right"/>
              <w:rPr>
                <w:sz w:val="18"/>
              </w:rPr>
            </w:pPr>
            <w:r w:rsidRPr="007B2AFF">
              <w:rPr>
                <w:sz w:val="18"/>
              </w:rPr>
              <w:t>1</w:t>
            </w:r>
            <w:r w:rsidR="005E0CC7">
              <w:rPr>
                <w:sz w:val="18"/>
              </w:rPr>
              <w:t xml:space="preserve"> </w:t>
            </w:r>
            <w:r w:rsidRPr="007B2AFF">
              <w:rPr>
                <w:sz w:val="18"/>
              </w:rPr>
              <w:t>913</w:t>
            </w:r>
          </w:p>
        </w:tc>
        <w:tc>
          <w:tcPr>
            <w:tcW w:w="824" w:type="dxa"/>
            <w:shd w:val="clear" w:color="auto" w:fill="auto"/>
            <w:vAlign w:val="bottom"/>
          </w:tcPr>
          <w:p w:rsidR="00F233AB" w:rsidRPr="007B2AFF" w:rsidRDefault="00F233AB" w:rsidP="007B2AFF">
            <w:pPr>
              <w:suppressAutoHyphens w:val="0"/>
              <w:spacing w:before="40" w:after="40" w:line="220" w:lineRule="exact"/>
              <w:ind w:right="113"/>
              <w:jc w:val="right"/>
              <w:rPr>
                <w:sz w:val="18"/>
              </w:rPr>
            </w:pPr>
            <w:r w:rsidRPr="007B2AFF">
              <w:rPr>
                <w:sz w:val="18"/>
              </w:rPr>
              <w:t>43</w:t>
            </w:r>
            <w:r w:rsidR="005E0CC7">
              <w:rPr>
                <w:sz w:val="18"/>
              </w:rPr>
              <w:t>.</w:t>
            </w:r>
            <w:r w:rsidRPr="007B2AFF">
              <w:rPr>
                <w:sz w:val="18"/>
              </w:rPr>
              <w:t>80</w:t>
            </w:r>
          </w:p>
        </w:tc>
      </w:tr>
      <w:tr w:rsidR="006535E0" w:rsidRPr="007B2AFF" w:rsidTr="006F3F5F">
        <w:tc>
          <w:tcPr>
            <w:tcW w:w="1582" w:type="dxa"/>
            <w:shd w:val="clear" w:color="auto" w:fill="auto"/>
          </w:tcPr>
          <w:p w:rsidR="00F233AB" w:rsidRPr="007B2AFF" w:rsidRDefault="00F233AB" w:rsidP="007B2AFF">
            <w:pPr>
              <w:suppressAutoHyphens w:val="0"/>
              <w:spacing w:before="40" w:after="40" w:line="220" w:lineRule="exact"/>
              <w:ind w:right="113"/>
              <w:rPr>
                <w:sz w:val="18"/>
              </w:rPr>
            </w:pPr>
            <w:r w:rsidRPr="007B2AFF">
              <w:rPr>
                <w:sz w:val="18"/>
              </w:rPr>
              <w:t>Trafficking</w:t>
            </w:r>
            <w:r w:rsidR="005B2A41" w:rsidRPr="007B2AFF">
              <w:rPr>
                <w:sz w:val="18"/>
              </w:rPr>
              <w:t xml:space="preserve"> </w:t>
            </w:r>
            <w:r w:rsidRPr="007B2AFF">
              <w:rPr>
                <w:sz w:val="18"/>
              </w:rPr>
              <w:t>in</w:t>
            </w:r>
            <w:r w:rsidR="005B2A41" w:rsidRPr="007B2AFF">
              <w:rPr>
                <w:sz w:val="18"/>
              </w:rPr>
              <w:t xml:space="preserve"> </w:t>
            </w:r>
            <w:r w:rsidRPr="007B2AFF">
              <w:rPr>
                <w:sz w:val="18"/>
              </w:rPr>
              <w:t>human</w:t>
            </w:r>
            <w:r w:rsidR="005B2A41" w:rsidRPr="007B2AFF">
              <w:rPr>
                <w:sz w:val="18"/>
              </w:rPr>
              <w:t xml:space="preserve"> </w:t>
            </w:r>
            <w:r w:rsidRPr="007B2AFF">
              <w:rPr>
                <w:sz w:val="18"/>
              </w:rPr>
              <w:t>beings</w:t>
            </w:r>
          </w:p>
        </w:tc>
        <w:tc>
          <w:tcPr>
            <w:tcW w:w="836" w:type="dxa"/>
            <w:shd w:val="clear" w:color="auto" w:fill="auto"/>
            <w:vAlign w:val="bottom"/>
          </w:tcPr>
          <w:p w:rsidR="00F233AB" w:rsidRPr="007B2AFF" w:rsidRDefault="00F233AB" w:rsidP="007B2AFF">
            <w:pPr>
              <w:suppressAutoHyphens w:val="0"/>
              <w:spacing w:before="40" w:after="40" w:line="220" w:lineRule="exact"/>
              <w:ind w:right="113"/>
              <w:jc w:val="right"/>
              <w:rPr>
                <w:sz w:val="18"/>
              </w:rPr>
            </w:pPr>
            <w:r w:rsidRPr="007B2AFF">
              <w:rPr>
                <w:sz w:val="18"/>
              </w:rPr>
              <w:t>32</w:t>
            </w:r>
          </w:p>
        </w:tc>
        <w:tc>
          <w:tcPr>
            <w:tcW w:w="792" w:type="dxa"/>
            <w:shd w:val="clear" w:color="auto" w:fill="auto"/>
            <w:vAlign w:val="bottom"/>
          </w:tcPr>
          <w:p w:rsidR="00F233AB" w:rsidRPr="007B2AFF" w:rsidRDefault="00F233AB" w:rsidP="007B2AFF">
            <w:pPr>
              <w:suppressAutoHyphens w:val="0"/>
              <w:spacing w:before="40" w:after="40" w:line="220" w:lineRule="exact"/>
              <w:ind w:right="113"/>
              <w:jc w:val="right"/>
              <w:rPr>
                <w:sz w:val="18"/>
              </w:rPr>
            </w:pPr>
            <w:r w:rsidRPr="007B2AFF">
              <w:rPr>
                <w:sz w:val="18"/>
              </w:rPr>
              <w:t>117</w:t>
            </w:r>
          </w:p>
        </w:tc>
        <w:tc>
          <w:tcPr>
            <w:tcW w:w="962" w:type="dxa"/>
            <w:shd w:val="clear" w:color="auto" w:fill="auto"/>
            <w:vAlign w:val="bottom"/>
          </w:tcPr>
          <w:p w:rsidR="00F233AB" w:rsidRPr="007B2AFF" w:rsidRDefault="00F233AB" w:rsidP="007B2AFF">
            <w:pPr>
              <w:suppressAutoHyphens w:val="0"/>
              <w:spacing w:before="40" w:after="40" w:line="220" w:lineRule="exact"/>
              <w:ind w:right="113"/>
              <w:jc w:val="right"/>
              <w:rPr>
                <w:sz w:val="18"/>
              </w:rPr>
            </w:pPr>
            <w:r w:rsidRPr="007B2AFF">
              <w:rPr>
                <w:sz w:val="18"/>
              </w:rPr>
              <w:t>0</w:t>
            </w:r>
            <w:r w:rsidR="005E0CC7">
              <w:rPr>
                <w:sz w:val="18"/>
              </w:rPr>
              <w:t>.</w:t>
            </w:r>
            <w:r w:rsidRPr="007B2AFF">
              <w:rPr>
                <w:sz w:val="18"/>
              </w:rPr>
              <w:t>30</w:t>
            </w:r>
          </w:p>
        </w:tc>
        <w:tc>
          <w:tcPr>
            <w:tcW w:w="860" w:type="dxa"/>
            <w:shd w:val="clear" w:color="auto" w:fill="auto"/>
            <w:vAlign w:val="bottom"/>
          </w:tcPr>
          <w:p w:rsidR="00F233AB" w:rsidRPr="007B2AFF" w:rsidRDefault="00F233AB" w:rsidP="007B2AFF">
            <w:pPr>
              <w:suppressAutoHyphens w:val="0"/>
              <w:spacing w:before="40" w:after="40" w:line="220" w:lineRule="exact"/>
              <w:ind w:right="113"/>
              <w:jc w:val="right"/>
              <w:rPr>
                <w:sz w:val="18"/>
              </w:rPr>
            </w:pPr>
            <w:r w:rsidRPr="007B2AFF">
              <w:rPr>
                <w:sz w:val="18"/>
              </w:rPr>
              <w:t>25</w:t>
            </w:r>
          </w:p>
        </w:tc>
        <w:tc>
          <w:tcPr>
            <w:tcW w:w="877" w:type="dxa"/>
            <w:shd w:val="clear" w:color="auto" w:fill="auto"/>
            <w:vAlign w:val="bottom"/>
          </w:tcPr>
          <w:p w:rsidR="00F233AB" w:rsidRPr="007B2AFF" w:rsidRDefault="00F233AB" w:rsidP="007B2AFF">
            <w:pPr>
              <w:suppressAutoHyphens w:val="0"/>
              <w:spacing w:before="40" w:after="40" w:line="220" w:lineRule="exact"/>
              <w:ind w:right="113"/>
              <w:jc w:val="right"/>
              <w:rPr>
                <w:sz w:val="18"/>
              </w:rPr>
            </w:pPr>
            <w:r w:rsidRPr="007B2AFF">
              <w:rPr>
                <w:sz w:val="18"/>
              </w:rPr>
              <w:t>99</w:t>
            </w:r>
          </w:p>
        </w:tc>
        <w:tc>
          <w:tcPr>
            <w:tcW w:w="824" w:type="dxa"/>
            <w:shd w:val="clear" w:color="auto" w:fill="auto"/>
            <w:vAlign w:val="bottom"/>
          </w:tcPr>
          <w:p w:rsidR="00F233AB" w:rsidRPr="007B2AFF" w:rsidRDefault="00F233AB" w:rsidP="007B2AFF">
            <w:pPr>
              <w:suppressAutoHyphens w:val="0"/>
              <w:spacing w:before="40" w:after="40" w:line="220" w:lineRule="exact"/>
              <w:ind w:right="113"/>
              <w:jc w:val="right"/>
              <w:rPr>
                <w:sz w:val="18"/>
              </w:rPr>
            </w:pPr>
            <w:r w:rsidRPr="007B2AFF">
              <w:rPr>
                <w:sz w:val="18"/>
              </w:rPr>
              <w:t>0</w:t>
            </w:r>
            <w:r w:rsidR="005E0CC7">
              <w:rPr>
                <w:sz w:val="18"/>
              </w:rPr>
              <w:t>.</w:t>
            </w:r>
            <w:r w:rsidRPr="007B2AFF">
              <w:rPr>
                <w:sz w:val="18"/>
              </w:rPr>
              <w:t>23</w:t>
            </w:r>
          </w:p>
        </w:tc>
        <w:tc>
          <w:tcPr>
            <w:tcW w:w="952" w:type="dxa"/>
            <w:shd w:val="clear" w:color="auto" w:fill="auto"/>
            <w:vAlign w:val="bottom"/>
          </w:tcPr>
          <w:p w:rsidR="00F233AB" w:rsidRPr="007B2AFF" w:rsidRDefault="00F233AB" w:rsidP="007B2AFF">
            <w:pPr>
              <w:suppressAutoHyphens w:val="0"/>
              <w:spacing w:before="40" w:after="40" w:line="220" w:lineRule="exact"/>
              <w:ind w:right="113"/>
              <w:jc w:val="right"/>
              <w:rPr>
                <w:sz w:val="18"/>
              </w:rPr>
            </w:pPr>
          </w:p>
        </w:tc>
        <w:tc>
          <w:tcPr>
            <w:tcW w:w="824" w:type="dxa"/>
            <w:shd w:val="clear" w:color="auto" w:fill="auto"/>
            <w:vAlign w:val="bottom"/>
          </w:tcPr>
          <w:p w:rsidR="00F233AB" w:rsidRPr="007B2AFF" w:rsidRDefault="00F233AB" w:rsidP="007B2AFF">
            <w:pPr>
              <w:suppressAutoHyphens w:val="0"/>
              <w:spacing w:before="40" w:after="40" w:line="220" w:lineRule="exact"/>
              <w:ind w:right="113"/>
              <w:jc w:val="right"/>
              <w:rPr>
                <w:sz w:val="18"/>
              </w:rPr>
            </w:pPr>
          </w:p>
        </w:tc>
      </w:tr>
    </w:tbl>
    <w:p w:rsidR="00F233AB" w:rsidRPr="00B02247" w:rsidRDefault="00F233AB" w:rsidP="00255590">
      <w:pPr>
        <w:pStyle w:val="H23G"/>
      </w:pPr>
      <w:r w:rsidRPr="00B02247">
        <w:tab/>
      </w:r>
      <w:r w:rsidRPr="00B02247">
        <w:tab/>
        <w:t>Regular</w:t>
      </w:r>
      <w:r w:rsidR="005B2A41">
        <w:t xml:space="preserve"> </w:t>
      </w:r>
      <w:r w:rsidRPr="00B02247">
        <w:t>Budget</w:t>
      </w:r>
      <w:r w:rsidR="005B2A41">
        <w:t xml:space="preserve"> </w:t>
      </w:r>
      <w:r w:rsidRPr="00B02247">
        <w:t>of</w:t>
      </w:r>
      <w:r w:rsidR="005B2A41">
        <w:t xml:space="preserve"> </w:t>
      </w:r>
      <w:r w:rsidRPr="00B02247">
        <w:t>the</w:t>
      </w:r>
      <w:r w:rsidR="005B2A41">
        <w:t xml:space="preserve"> </w:t>
      </w:r>
      <w:r w:rsidRPr="00B02247">
        <w:t>Hellenic</w:t>
      </w:r>
      <w:r w:rsidR="005B2A41">
        <w:t xml:space="preserve"> </w:t>
      </w:r>
      <w:r w:rsidRPr="00B02247">
        <w:t>Police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F233AB" w:rsidRPr="007246FE" w:rsidTr="007246FE">
        <w:trPr>
          <w:tblHeader/>
        </w:trPr>
        <w:tc>
          <w:tcPr>
            <w:tcW w:w="3685" w:type="dxa"/>
            <w:tcBorders>
              <w:top w:val="single" w:sz="4" w:space="0" w:color="auto"/>
              <w:bottom w:val="nil"/>
            </w:tcBorders>
            <w:shd w:val="clear" w:color="auto" w:fill="auto"/>
            <w:vAlign w:val="bottom"/>
          </w:tcPr>
          <w:p w:rsidR="00F233AB" w:rsidRPr="007246FE" w:rsidRDefault="00F233AB" w:rsidP="007246FE">
            <w:pPr>
              <w:suppressAutoHyphens w:val="0"/>
              <w:spacing w:before="40" w:after="40" w:line="220" w:lineRule="exact"/>
              <w:ind w:right="113"/>
              <w:rPr>
                <w:sz w:val="18"/>
              </w:rPr>
            </w:pPr>
            <w:r w:rsidRPr="007246FE">
              <w:rPr>
                <w:sz w:val="18"/>
              </w:rPr>
              <w:t>2014</w:t>
            </w:r>
          </w:p>
        </w:tc>
        <w:tc>
          <w:tcPr>
            <w:tcW w:w="3685" w:type="dxa"/>
            <w:tcBorders>
              <w:top w:val="single" w:sz="4" w:space="0" w:color="auto"/>
              <w:bottom w:val="nil"/>
            </w:tcBorders>
            <w:shd w:val="clear" w:color="auto" w:fill="auto"/>
            <w:vAlign w:val="bottom"/>
          </w:tcPr>
          <w:p w:rsidR="00F233AB" w:rsidRPr="007246FE" w:rsidRDefault="00F233AB" w:rsidP="007246FE">
            <w:pPr>
              <w:suppressAutoHyphens w:val="0"/>
              <w:spacing w:before="40" w:after="40" w:line="220" w:lineRule="exact"/>
              <w:ind w:right="113"/>
              <w:jc w:val="right"/>
              <w:rPr>
                <w:sz w:val="18"/>
              </w:rPr>
            </w:pPr>
            <w:r w:rsidRPr="007246FE">
              <w:rPr>
                <w:sz w:val="18"/>
              </w:rPr>
              <w:t>1</w:t>
            </w:r>
            <w:r w:rsidR="00EF747A">
              <w:rPr>
                <w:sz w:val="18"/>
              </w:rPr>
              <w:t xml:space="preserve"> </w:t>
            </w:r>
            <w:r w:rsidRPr="007246FE">
              <w:rPr>
                <w:sz w:val="18"/>
              </w:rPr>
              <w:t>382</w:t>
            </w:r>
            <w:r w:rsidR="00EF747A">
              <w:rPr>
                <w:sz w:val="18"/>
              </w:rPr>
              <w:t xml:space="preserve"> </w:t>
            </w:r>
            <w:r w:rsidRPr="007246FE">
              <w:rPr>
                <w:sz w:val="18"/>
              </w:rPr>
              <w:t>200</w:t>
            </w:r>
            <w:r w:rsidR="00EF747A">
              <w:rPr>
                <w:sz w:val="18"/>
              </w:rPr>
              <w:t xml:space="preserve"> </w:t>
            </w:r>
            <w:r w:rsidRPr="007246FE">
              <w:rPr>
                <w:sz w:val="18"/>
              </w:rPr>
              <w:t>000</w:t>
            </w:r>
            <w:r w:rsidR="00EF747A">
              <w:rPr>
                <w:sz w:val="18"/>
              </w:rPr>
              <w:t>.</w:t>
            </w:r>
            <w:r w:rsidRPr="007246FE">
              <w:rPr>
                <w:sz w:val="18"/>
              </w:rPr>
              <w:t>00</w:t>
            </w:r>
            <w:r w:rsidR="005B2A41" w:rsidRPr="007246FE">
              <w:rPr>
                <w:sz w:val="18"/>
              </w:rPr>
              <w:t xml:space="preserve"> </w:t>
            </w:r>
            <w:r w:rsidRPr="007246FE">
              <w:rPr>
                <w:sz w:val="18"/>
              </w:rPr>
              <w:t>€</w:t>
            </w:r>
          </w:p>
        </w:tc>
      </w:tr>
      <w:tr w:rsidR="00F233AB" w:rsidRPr="007246FE" w:rsidTr="007246FE">
        <w:tc>
          <w:tcPr>
            <w:tcW w:w="3685" w:type="dxa"/>
            <w:tcBorders>
              <w:top w:val="nil"/>
            </w:tcBorders>
            <w:shd w:val="clear" w:color="auto" w:fill="auto"/>
          </w:tcPr>
          <w:p w:rsidR="00F233AB" w:rsidRPr="007246FE" w:rsidRDefault="00F233AB" w:rsidP="007246FE">
            <w:pPr>
              <w:suppressAutoHyphens w:val="0"/>
              <w:spacing w:before="40" w:after="40" w:line="220" w:lineRule="exact"/>
              <w:ind w:right="113"/>
              <w:rPr>
                <w:sz w:val="18"/>
              </w:rPr>
            </w:pPr>
            <w:r w:rsidRPr="007246FE">
              <w:rPr>
                <w:sz w:val="18"/>
              </w:rPr>
              <w:t>2015</w:t>
            </w:r>
          </w:p>
        </w:tc>
        <w:tc>
          <w:tcPr>
            <w:tcW w:w="3685" w:type="dxa"/>
            <w:tcBorders>
              <w:top w:val="nil"/>
            </w:tcBorders>
            <w:shd w:val="clear" w:color="auto" w:fill="auto"/>
            <w:vAlign w:val="bottom"/>
          </w:tcPr>
          <w:p w:rsidR="00F233AB" w:rsidRPr="007246FE" w:rsidRDefault="00F233AB" w:rsidP="007246FE">
            <w:pPr>
              <w:suppressAutoHyphens w:val="0"/>
              <w:spacing w:before="40" w:after="40" w:line="220" w:lineRule="exact"/>
              <w:ind w:right="113"/>
              <w:jc w:val="right"/>
              <w:rPr>
                <w:sz w:val="18"/>
              </w:rPr>
            </w:pPr>
            <w:r w:rsidRPr="007246FE">
              <w:rPr>
                <w:sz w:val="18"/>
              </w:rPr>
              <w:t>1</w:t>
            </w:r>
            <w:r w:rsidR="00EF747A">
              <w:rPr>
                <w:sz w:val="18"/>
              </w:rPr>
              <w:t xml:space="preserve"> </w:t>
            </w:r>
            <w:r w:rsidRPr="007246FE">
              <w:rPr>
                <w:sz w:val="18"/>
              </w:rPr>
              <w:t>525</w:t>
            </w:r>
            <w:r w:rsidR="00EF747A">
              <w:rPr>
                <w:sz w:val="18"/>
              </w:rPr>
              <w:t xml:space="preserve"> </w:t>
            </w:r>
            <w:r w:rsidRPr="007246FE">
              <w:rPr>
                <w:sz w:val="18"/>
              </w:rPr>
              <w:t>323</w:t>
            </w:r>
            <w:r w:rsidR="00EF747A">
              <w:rPr>
                <w:sz w:val="18"/>
              </w:rPr>
              <w:t xml:space="preserve"> </w:t>
            </w:r>
            <w:r w:rsidRPr="007246FE">
              <w:rPr>
                <w:sz w:val="18"/>
              </w:rPr>
              <w:t>000</w:t>
            </w:r>
            <w:r w:rsidR="00EF747A">
              <w:rPr>
                <w:sz w:val="18"/>
              </w:rPr>
              <w:t>.</w:t>
            </w:r>
            <w:r w:rsidRPr="007246FE">
              <w:rPr>
                <w:sz w:val="18"/>
              </w:rPr>
              <w:t>00</w:t>
            </w:r>
            <w:r w:rsidR="005B2A41" w:rsidRPr="007246FE">
              <w:rPr>
                <w:sz w:val="18"/>
              </w:rPr>
              <w:t xml:space="preserve"> </w:t>
            </w:r>
            <w:r w:rsidRPr="007246FE">
              <w:rPr>
                <w:sz w:val="18"/>
              </w:rPr>
              <w:t>€</w:t>
            </w:r>
          </w:p>
        </w:tc>
      </w:tr>
      <w:tr w:rsidR="00F233AB" w:rsidRPr="007246FE" w:rsidTr="007246FE">
        <w:tc>
          <w:tcPr>
            <w:tcW w:w="3685" w:type="dxa"/>
            <w:shd w:val="clear" w:color="auto" w:fill="auto"/>
          </w:tcPr>
          <w:p w:rsidR="00F233AB" w:rsidRPr="007246FE" w:rsidRDefault="00F233AB" w:rsidP="007246FE">
            <w:pPr>
              <w:suppressAutoHyphens w:val="0"/>
              <w:spacing w:before="40" w:after="40" w:line="220" w:lineRule="exact"/>
              <w:ind w:right="113"/>
              <w:rPr>
                <w:sz w:val="18"/>
              </w:rPr>
            </w:pPr>
            <w:r w:rsidRPr="007246FE">
              <w:rPr>
                <w:sz w:val="18"/>
              </w:rPr>
              <w:t>2016</w:t>
            </w:r>
          </w:p>
        </w:tc>
        <w:tc>
          <w:tcPr>
            <w:tcW w:w="3685" w:type="dxa"/>
            <w:shd w:val="clear" w:color="auto" w:fill="auto"/>
            <w:vAlign w:val="bottom"/>
          </w:tcPr>
          <w:p w:rsidR="00F233AB" w:rsidRPr="007246FE" w:rsidRDefault="00F233AB" w:rsidP="007246FE">
            <w:pPr>
              <w:suppressAutoHyphens w:val="0"/>
              <w:spacing w:before="40" w:after="40" w:line="220" w:lineRule="exact"/>
              <w:ind w:right="113"/>
              <w:jc w:val="right"/>
              <w:rPr>
                <w:sz w:val="18"/>
              </w:rPr>
            </w:pPr>
            <w:r w:rsidRPr="007246FE">
              <w:rPr>
                <w:sz w:val="18"/>
              </w:rPr>
              <w:t>1</w:t>
            </w:r>
            <w:r w:rsidR="00EF747A">
              <w:rPr>
                <w:sz w:val="18"/>
              </w:rPr>
              <w:t xml:space="preserve"> </w:t>
            </w:r>
            <w:r w:rsidRPr="007246FE">
              <w:rPr>
                <w:sz w:val="18"/>
              </w:rPr>
              <w:t>527</w:t>
            </w:r>
            <w:r w:rsidR="00EF747A">
              <w:rPr>
                <w:sz w:val="18"/>
              </w:rPr>
              <w:t xml:space="preserve"> </w:t>
            </w:r>
            <w:r w:rsidRPr="007246FE">
              <w:rPr>
                <w:sz w:val="18"/>
              </w:rPr>
              <w:t>675</w:t>
            </w:r>
            <w:r w:rsidR="00EF747A">
              <w:rPr>
                <w:sz w:val="18"/>
              </w:rPr>
              <w:t xml:space="preserve"> </w:t>
            </w:r>
            <w:r w:rsidRPr="007246FE">
              <w:rPr>
                <w:sz w:val="18"/>
              </w:rPr>
              <w:t>000</w:t>
            </w:r>
            <w:r w:rsidR="00EF747A">
              <w:rPr>
                <w:sz w:val="18"/>
              </w:rPr>
              <w:t>.</w:t>
            </w:r>
            <w:r w:rsidRPr="007246FE">
              <w:rPr>
                <w:sz w:val="18"/>
              </w:rPr>
              <w:t>00</w:t>
            </w:r>
            <w:r w:rsidR="005B2A41" w:rsidRPr="007246FE">
              <w:rPr>
                <w:sz w:val="18"/>
              </w:rPr>
              <w:t xml:space="preserve"> </w:t>
            </w:r>
            <w:r w:rsidRPr="007246FE">
              <w:rPr>
                <w:sz w:val="18"/>
              </w:rPr>
              <w:t>€</w:t>
            </w:r>
          </w:p>
        </w:tc>
      </w:tr>
      <w:tr w:rsidR="00F233AB" w:rsidRPr="007246FE" w:rsidTr="007246FE">
        <w:tc>
          <w:tcPr>
            <w:tcW w:w="3685" w:type="dxa"/>
            <w:shd w:val="clear" w:color="auto" w:fill="auto"/>
          </w:tcPr>
          <w:p w:rsidR="00F233AB" w:rsidRPr="007246FE" w:rsidRDefault="00F233AB" w:rsidP="007246FE">
            <w:pPr>
              <w:suppressAutoHyphens w:val="0"/>
              <w:spacing w:before="40" w:after="40" w:line="220" w:lineRule="exact"/>
              <w:ind w:right="113"/>
              <w:rPr>
                <w:sz w:val="18"/>
              </w:rPr>
            </w:pPr>
            <w:r w:rsidRPr="007246FE">
              <w:rPr>
                <w:sz w:val="18"/>
              </w:rPr>
              <w:t>2017</w:t>
            </w:r>
          </w:p>
        </w:tc>
        <w:tc>
          <w:tcPr>
            <w:tcW w:w="3685" w:type="dxa"/>
            <w:shd w:val="clear" w:color="auto" w:fill="auto"/>
            <w:vAlign w:val="bottom"/>
          </w:tcPr>
          <w:p w:rsidR="00F233AB" w:rsidRPr="007246FE" w:rsidRDefault="00F233AB" w:rsidP="00EF747A">
            <w:pPr>
              <w:suppressAutoHyphens w:val="0"/>
              <w:spacing w:before="40" w:after="40" w:line="220" w:lineRule="exact"/>
              <w:ind w:right="113"/>
              <w:jc w:val="right"/>
              <w:rPr>
                <w:sz w:val="18"/>
              </w:rPr>
            </w:pPr>
            <w:r w:rsidRPr="007246FE">
              <w:rPr>
                <w:sz w:val="18"/>
              </w:rPr>
              <w:t>1</w:t>
            </w:r>
            <w:r w:rsidR="00EF747A">
              <w:rPr>
                <w:sz w:val="18"/>
              </w:rPr>
              <w:t xml:space="preserve"> </w:t>
            </w:r>
            <w:r w:rsidRPr="007246FE">
              <w:rPr>
                <w:sz w:val="18"/>
              </w:rPr>
              <w:t>544</w:t>
            </w:r>
            <w:r w:rsidR="00EF747A">
              <w:rPr>
                <w:sz w:val="18"/>
              </w:rPr>
              <w:t xml:space="preserve"> </w:t>
            </w:r>
            <w:r w:rsidRPr="007246FE">
              <w:rPr>
                <w:sz w:val="18"/>
              </w:rPr>
              <w:t>675</w:t>
            </w:r>
            <w:r w:rsidR="00EF747A">
              <w:rPr>
                <w:sz w:val="18"/>
              </w:rPr>
              <w:t xml:space="preserve"> </w:t>
            </w:r>
            <w:r w:rsidRPr="007246FE">
              <w:rPr>
                <w:sz w:val="18"/>
              </w:rPr>
              <w:t>000</w:t>
            </w:r>
            <w:r w:rsidR="00EF747A">
              <w:rPr>
                <w:sz w:val="18"/>
              </w:rPr>
              <w:t>.</w:t>
            </w:r>
            <w:r w:rsidRPr="007246FE">
              <w:rPr>
                <w:sz w:val="18"/>
              </w:rPr>
              <w:t>00</w:t>
            </w:r>
            <w:r w:rsidR="005B2A41" w:rsidRPr="007246FE">
              <w:rPr>
                <w:sz w:val="18"/>
              </w:rPr>
              <w:t xml:space="preserve"> </w:t>
            </w:r>
            <w:r w:rsidRPr="007246FE">
              <w:rPr>
                <w:sz w:val="18"/>
              </w:rPr>
              <w:t>€</w:t>
            </w:r>
          </w:p>
        </w:tc>
      </w:tr>
    </w:tbl>
    <w:p w:rsidR="00D35EEF" w:rsidRPr="000F1023" w:rsidRDefault="00E25C1E" w:rsidP="00E25C1E">
      <w:pPr>
        <w:pStyle w:val="SingleTxtG"/>
        <w:spacing w:before="240"/>
        <w:jc w:val="center"/>
        <w:rPr>
          <w:lang w:val="fr-CH"/>
        </w:rPr>
      </w:pPr>
      <w:r w:rsidRPr="00E25C1E">
        <w:rPr>
          <w:u w:val="single"/>
          <w:lang w:val="fr-CH"/>
        </w:rPr>
        <w:tab/>
      </w:r>
      <w:r w:rsidRPr="00E25C1E">
        <w:rPr>
          <w:u w:val="single"/>
          <w:lang w:val="fr-CH"/>
        </w:rPr>
        <w:tab/>
      </w:r>
      <w:r w:rsidRPr="00E25C1E">
        <w:rPr>
          <w:u w:val="single"/>
          <w:lang w:val="fr-CH"/>
        </w:rPr>
        <w:tab/>
      </w:r>
    </w:p>
    <w:sectPr w:rsidR="00D35EEF" w:rsidRPr="000F1023" w:rsidSect="006C5DD3">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146" w:rsidRDefault="009F5146"/>
  </w:endnote>
  <w:endnote w:type="continuationSeparator" w:id="0">
    <w:p w:rsidR="009F5146" w:rsidRDefault="009F5146"/>
  </w:endnote>
  <w:endnote w:type="continuationNotice" w:id="1">
    <w:p w:rsidR="009F5146" w:rsidRDefault="009F51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3B2" w:rsidRDefault="00E373B2" w:rsidP="005B2A41">
    <w:pPr>
      <w:pStyle w:val="Footer"/>
      <w:tabs>
        <w:tab w:val="right" w:pos="9638"/>
      </w:tabs>
    </w:pPr>
    <w:r w:rsidRPr="00E61060">
      <w:rPr>
        <w:b/>
        <w:bCs/>
        <w:sz w:val="18"/>
      </w:rPr>
      <w:fldChar w:fldCharType="begin"/>
    </w:r>
    <w:r w:rsidRPr="00E61060">
      <w:rPr>
        <w:b/>
        <w:bCs/>
        <w:sz w:val="18"/>
      </w:rPr>
      <w:instrText xml:space="preserve"> PAGE  \* MERGEFORMAT </w:instrText>
    </w:r>
    <w:r w:rsidRPr="00E61060">
      <w:rPr>
        <w:b/>
        <w:bCs/>
        <w:sz w:val="18"/>
      </w:rPr>
      <w:fldChar w:fldCharType="separate"/>
    </w:r>
    <w:r w:rsidR="00102678">
      <w:rPr>
        <w:b/>
        <w:bCs/>
        <w:noProof/>
        <w:sz w:val="18"/>
      </w:rPr>
      <w:t>20</w:t>
    </w:r>
    <w:r w:rsidRPr="00E6106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3B2" w:rsidRDefault="00E373B2" w:rsidP="00E61060">
    <w:pPr>
      <w:pStyle w:val="Footer"/>
      <w:tabs>
        <w:tab w:val="right" w:pos="9638"/>
      </w:tabs>
    </w:pPr>
    <w:r>
      <w:tab/>
    </w:r>
    <w:r w:rsidRPr="00E61060">
      <w:rPr>
        <w:b/>
        <w:bCs/>
        <w:sz w:val="18"/>
      </w:rPr>
      <w:fldChar w:fldCharType="begin"/>
    </w:r>
    <w:r w:rsidRPr="00E61060">
      <w:rPr>
        <w:b/>
        <w:bCs/>
        <w:sz w:val="18"/>
      </w:rPr>
      <w:instrText xml:space="preserve"> PAGE  \* MERGEFORMAT </w:instrText>
    </w:r>
    <w:r w:rsidRPr="00E61060">
      <w:rPr>
        <w:b/>
        <w:bCs/>
        <w:sz w:val="18"/>
      </w:rPr>
      <w:fldChar w:fldCharType="separate"/>
    </w:r>
    <w:r w:rsidR="00102678">
      <w:rPr>
        <w:b/>
        <w:bCs/>
        <w:noProof/>
        <w:sz w:val="18"/>
      </w:rPr>
      <w:t>21</w:t>
    </w:r>
    <w:r w:rsidRPr="00E6106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3CE" w:rsidRDefault="00FE73CE" w:rsidP="00FE73CE">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E73CE" w:rsidRDefault="00FE73CE" w:rsidP="00FE73CE">
    <w:pPr>
      <w:pStyle w:val="Footer"/>
      <w:ind w:right="1134"/>
      <w:rPr>
        <w:sz w:val="20"/>
      </w:rPr>
    </w:pPr>
    <w:r>
      <w:rPr>
        <w:sz w:val="20"/>
      </w:rPr>
      <w:t>GE.18-20313(E)</w:t>
    </w:r>
  </w:p>
  <w:p w:rsidR="00FE73CE" w:rsidRPr="00FE73CE" w:rsidRDefault="00FE73CE" w:rsidP="00FE73C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HRI/CORE/GRC/20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GRC/201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146" w:rsidRPr="000B175B" w:rsidRDefault="009F5146" w:rsidP="000B175B">
      <w:pPr>
        <w:tabs>
          <w:tab w:val="right" w:pos="2155"/>
        </w:tabs>
        <w:spacing w:after="80"/>
        <w:ind w:left="680"/>
        <w:rPr>
          <w:u w:val="single"/>
        </w:rPr>
      </w:pPr>
      <w:r>
        <w:rPr>
          <w:u w:val="single"/>
        </w:rPr>
        <w:tab/>
      </w:r>
    </w:p>
  </w:footnote>
  <w:footnote w:type="continuationSeparator" w:id="0">
    <w:p w:rsidR="009F5146" w:rsidRPr="00FC68B7" w:rsidRDefault="009F5146" w:rsidP="00FC68B7">
      <w:pPr>
        <w:tabs>
          <w:tab w:val="left" w:pos="2155"/>
        </w:tabs>
        <w:spacing w:after="80"/>
        <w:ind w:left="680"/>
        <w:rPr>
          <w:u w:val="single"/>
        </w:rPr>
      </w:pPr>
      <w:r>
        <w:rPr>
          <w:u w:val="single"/>
        </w:rPr>
        <w:tab/>
      </w:r>
    </w:p>
  </w:footnote>
  <w:footnote w:type="continuationNotice" w:id="1">
    <w:p w:rsidR="009F5146" w:rsidRDefault="009F5146"/>
  </w:footnote>
  <w:footnote w:id="2">
    <w:p w:rsidR="00E373B2" w:rsidRPr="00F233AB" w:rsidRDefault="00E373B2" w:rsidP="00F20016">
      <w:pPr>
        <w:pStyle w:val="FootnoteText"/>
      </w:pPr>
      <w:r>
        <w:rPr>
          <w:rStyle w:val="FootnoteReference"/>
        </w:rPr>
        <w:tab/>
      </w:r>
      <w:r w:rsidRPr="00F233AB">
        <w:rPr>
          <w:rStyle w:val="FootnoteReference"/>
          <w:sz w:val="20"/>
          <w:vertAlign w:val="baseline"/>
        </w:rPr>
        <w:t>*</w:t>
      </w:r>
      <w:r>
        <w:rPr>
          <w:rStyle w:val="FootnoteReference"/>
          <w:sz w:val="20"/>
          <w:vertAlign w:val="baseline"/>
        </w:rPr>
        <w:tab/>
      </w:r>
      <w:r w:rsidRPr="00C779C0">
        <w:t>The present document is being issued without formal editing</w:t>
      </w:r>
      <w:r w:rsidRPr="00C779C0">
        <w:rPr>
          <w:szCs w:val="18"/>
        </w:rPr>
        <w:t>.</w:t>
      </w:r>
    </w:p>
  </w:footnote>
  <w:footnote w:id="3">
    <w:p w:rsidR="00E373B2" w:rsidRPr="007504FE" w:rsidRDefault="00E373B2" w:rsidP="00F20016">
      <w:pPr>
        <w:pStyle w:val="FootnoteText"/>
        <w:rPr>
          <w:lang w:val="en-US"/>
        </w:rPr>
      </w:pPr>
      <w:r>
        <w:rPr>
          <w:lang w:val="en-US"/>
        </w:rPr>
        <w:tab/>
      </w:r>
      <w:r w:rsidRPr="0007450C">
        <w:rPr>
          <w:rStyle w:val="FootnoteReference"/>
        </w:rPr>
        <w:footnoteRef/>
      </w:r>
      <w:r w:rsidRPr="007E3A6E">
        <w:rPr>
          <w:lang w:val="en-US"/>
        </w:rPr>
        <w:t xml:space="preserve"> </w:t>
      </w:r>
      <w:r>
        <w:rPr>
          <w:lang w:val="en-US"/>
        </w:rPr>
        <w:tab/>
      </w:r>
      <w:r w:rsidRPr="007E3A6E">
        <w:rPr>
          <w:lang w:val="en-US"/>
        </w:rPr>
        <w:t xml:space="preserve">It is to be noted that Greece has ratified </w:t>
      </w:r>
      <w:r w:rsidRPr="007504FE">
        <w:rPr>
          <w:lang w:val="en-US"/>
        </w:rPr>
        <w:t>Protocol No. 13 to the Convention for the Protection of Human Rights and Fundamental Freedoms, concerning the abolition of the death penalty in all circumstances</w:t>
      </w:r>
      <w:r>
        <w:rPr>
          <w:lang w:val="en-US"/>
        </w:rPr>
        <w:t>.</w:t>
      </w:r>
    </w:p>
  </w:footnote>
  <w:footnote w:id="4">
    <w:p w:rsidR="00E373B2" w:rsidRPr="000D480D" w:rsidRDefault="00E373B2" w:rsidP="00F20016">
      <w:pPr>
        <w:pStyle w:val="FootnoteText"/>
        <w:rPr>
          <w:lang w:val="en-US"/>
        </w:rPr>
      </w:pPr>
      <w:r>
        <w:rPr>
          <w:lang w:val="en-US"/>
        </w:rPr>
        <w:tab/>
      </w:r>
      <w:r w:rsidRPr="0007450C">
        <w:rPr>
          <w:rStyle w:val="FootnoteReference"/>
        </w:rPr>
        <w:footnoteRef/>
      </w:r>
      <w:r w:rsidRPr="000D480D">
        <w:rPr>
          <w:lang w:val="en-US"/>
        </w:rPr>
        <w:t xml:space="preserve"> </w:t>
      </w:r>
      <w:r>
        <w:rPr>
          <w:lang w:val="en-US"/>
        </w:rPr>
        <w:tab/>
      </w:r>
      <w:r w:rsidRPr="000D480D">
        <w:rPr>
          <w:lang w:val="en-US"/>
        </w:rPr>
        <w:t>In the same year, 6 cases have already be brought before courts but data collection on court decisions has not been completed yet</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3B2" w:rsidRDefault="00E373B2" w:rsidP="00E61060">
    <w:pPr>
      <w:pStyle w:val="Header"/>
    </w:pPr>
    <w:r>
      <w:t>HRI/CORE/GRC/2018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3B2" w:rsidRDefault="00E373B2" w:rsidP="00E61060">
    <w:pPr>
      <w:pStyle w:val="Header"/>
      <w:jc w:val="right"/>
    </w:pPr>
    <w:r>
      <w:t>HRI/CORE/GRC/2018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5" w:nlCheck="1" w:checkStyle="1"/>
  <w:activeWritingStyle w:appName="MSWord" w:lang="en-GB" w:vendorID="64" w:dllVersion="6" w:nlCheck="1" w:checkStyle="0"/>
  <w:activeWritingStyle w:appName="MSWord" w:lang="fr-CH" w:vendorID="64" w:dllVersion="6" w:nlCheck="1" w:checkStyle="0"/>
  <w:activeWritingStyle w:appName="MSWord" w:lang="en-US" w:vendorID="64" w:dllVersion="6" w:nlCheck="1" w:checkStyle="0"/>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7D"/>
    <w:rsid w:val="00045330"/>
    <w:rsid w:val="00050F6B"/>
    <w:rsid w:val="00054B59"/>
    <w:rsid w:val="00057A0D"/>
    <w:rsid w:val="00057E97"/>
    <w:rsid w:val="00060C3A"/>
    <w:rsid w:val="00062A3D"/>
    <w:rsid w:val="0007231E"/>
    <w:rsid w:val="000726BE"/>
    <w:rsid w:val="00072C8C"/>
    <w:rsid w:val="000733B5"/>
    <w:rsid w:val="0007441C"/>
    <w:rsid w:val="0007450C"/>
    <w:rsid w:val="00081815"/>
    <w:rsid w:val="0008312D"/>
    <w:rsid w:val="000874E7"/>
    <w:rsid w:val="000930BB"/>
    <w:rsid w:val="000931C0"/>
    <w:rsid w:val="000A4C2D"/>
    <w:rsid w:val="000B13D5"/>
    <w:rsid w:val="000B175B"/>
    <w:rsid w:val="000B3A0F"/>
    <w:rsid w:val="000B4EF7"/>
    <w:rsid w:val="000C2C03"/>
    <w:rsid w:val="000C2D2E"/>
    <w:rsid w:val="000C4514"/>
    <w:rsid w:val="000E0415"/>
    <w:rsid w:val="000E5A38"/>
    <w:rsid w:val="000F1023"/>
    <w:rsid w:val="000F466F"/>
    <w:rsid w:val="00102678"/>
    <w:rsid w:val="001103AA"/>
    <w:rsid w:val="0013794A"/>
    <w:rsid w:val="00141072"/>
    <w:rsid w:val="00157E16"/>
    <w:rsid w:val="001657D0"/>
    <w:rsid w:val="00165F3A"/>
    <w:rsid w:val="00170682"/>
    <w:rsid w:val="00183968"/>
    <w:rsid w:val="0019249F"/>
    <w:rsid w:val="001A11B7"/>
    <w:rsid w:val="001A1DC0"/>
    <w:rsid w:val="001A6686"/>
    <w:rsid w:val="001B4B04"/>
    <w:rsid w:val="001B4C71"/>
    <w:rsid w:val="001B4E45"/>
    <w:rsid w:val="001C63E5"/>
    <w:rsid w:val="001C6663"/>
    <w:rsid w:val="001C7895"/>
    <w:rsid w:val="001D0C8C"/>
    <w:rsid w:val="001D12AE"/>
    <w:rsid w:val="001D26DF"/>
    <w:rsid w:val="001D3A03"/>
    <w:rsid w:val="001F20C3"/>
    <w:rsid w:val="00202DA8"/>
    <w:rsid w:val="00205532"/>
    <w:rsid w:val="00211E0B"/>
    <w:rsid w:val="00220116"/>
    <w:rsid w:val="00226AD5"/>
    <w:rsid w:val="0023210C"/>
    <w:rsid w:val="0023601B"/>
    <w:rsid w:val="002360B6"/>
    <w:rsid w:val="00255590"/>
    <w:rsid w:val="00260961"/>
    <w:rsid w:val="0026263F"/>
    <w:rsid w:val="00267F5F"/>
    <w:rsid w:val="00274FBB"/>
    <w:rsid w:val="002754C3"/>
    <w:rsid w:val="0028496F"/>
    <w:rsid w:val="00286B4D"/>
    <w:rsid w:val="002937F7"/>
    <w:rsid w:val="00295201"/>
    <w:rsid w:val="00297C02"/>
    <w:rsid w:val="002B03B4"/>
    <w:rsid w:val="002C000D"/>
    <w:rsid w:val="002D5A28"/>
    <w:rsid w:val="002E3C7F"/>
    <w:rsid w:val="002F175C"/>
    <w:rsid w:val="002F5810"/>
    <w:rsid w:val="00314242"/>
    <w:rsid w:val="00320818"/>
    <w:rsid w:val="003229D8"/>
    <w:rsid w:val="00347FC8"/>
    <w:rsid w:val="00352709"/>
    <w:rsid w:val="00353C74"/>
    <w:rsid w:val="00367567"/>
    <w:rsid w:val="00371178"/>
    <w:rsid w:val="00383810"/>
    <w:rsid w:val="003A6810"/>
    <w:rsid w:val="003A7592"/>
    <w:rsid w:val="003B1188"/>
    <w:rsid w:val="003B29A7"/>
    <w:rsid w:val="003B78AF"/>
    <w:rsid w:val="003C2CC4"/>
    <w:rsid w:val="003D3599"/>
    <w:rsid w:val="003D4B23"/>
    <w:rsid w:val="003D690C"/>
    <w:rsid w:val="003E3D33"/>
    <w:rsid w:val="003E5508"/>
    <w:rsid w:val="003E731F"/>
    <w:rsid w:val="003F310C"/>
    <w:rsid w:val="003F4F97"/>
    <w:rsid w:val="003F501E"/>
    <w:rsid w:val="003F5C11"/>
    <w:rsid w:val="00410C89"/>
    <w:rsid w:val="00411E3B"/>
    <w:rsid w:val="00426B9B"/>
    <w:rsid w:val="004325CB"/>
    <w:rsid w:val="00436B33"/>
    <w:rsid w:val="004418DC"/>
    <w:rsid w:val="00442A83"/>
    <w:rsid w:val="00443B5F"/>
    <w:rsid w:val="0045495B"/>
    <w:rsid w:val="00471C81"/>
    <w:rsid w:val="00481B9B"/>
    <w:rsid w:val="00487488"/>
    <w:rsid w:val="0049197C"/>
    <w:rsid w:val="004A0704"/>
    <w:rsid w:val="004A33C6"/>
    <w:rsid w:val="004A7B4C"/>
    <w:rsid w:val="004B5B3B"/>
    <w:rsid w:val="004C4230"/>
    <w:rsid w:val="004C70DA"/>
    <w:rsid w:val="004C7B38"/>
    <w:rsid w:val="004E47C5"/>
    <w:rsid w:val="004E5D4F"/>
    <w:rsid w:val="005023C8"/>
    <w:rsid w:val="0051662F"/>
    <w:rsid w:val="00516C18"/>
    <w:rsid w:val="0052136D"/>
    <w:rsid w:val="00525ECB"/>
    <w:rsid w:val="0052775E"/>
    <w:rsid w:val="005368E8"/>
    <w:rsid w:val="00541260"/>
    <w:rsid w:val="005420F2"/>
    <w:rsid w:val="0054364F"/>
    <w:rsid w:val="00561A6E"/>
    <w:rsid w:val="005628B6"/>
    <w:rsid w:val="00566958"/>
    <w:rsid w:val="005732C5"/>
    <w:rsid w:val="00584036"/>
    <w:rsid w:val="005848B3"/>
    <w:rsid w:val="00584DAE"/>
    <w:rsid w:val="00597051"/>
    <w:rsid w:val="005B2553"/>
    <w:rsid w:val="005B2A41"/>
    <w:rsid w:val="005B3DB3"/>
    <w:rsid w:val="005C61A8"/>
    <w:rsid w:val="005E0CC7"/>
    <w:rsid w:val="005F194E"/>
    <w:rsid w:val="005F7717"/>
    <w:rsid w:val="005F7B75"/>
    <w:rsid w:val="006001EE"/>
    <w:rsid w:val="00605042"/>
    <w:rsid w:val="00611455"/>
    <w:rsid w:val="00611FC4"/>
    <w:rsid w:val="00612B8C"/>
    <w:rsid w:val="006176FB"/>
    <w:rsid w:val="0062184A"/>
    <w:rsid w:val="00640B26"/>
    <w:rsid w:val="00652D0A"/>
    <w:rsid w:val="006533EC"/>
    <w:rsid w:val="006535E0"/>
    <w:rsid w:val="00662BB6"/>
    <w:rsid w:val="00684C21"/>
    <w:rsid w:val="00684CF3"/>
    <w:rsid w:val="0069577F"/>
    <w:rsid w:val="00697544"/>
    <w:rsid w:val="006A0F3A"/>
    <w:rsid w:val="006B654C"/>
    <w:rsid w:val="006B6A0C"/>
    <w:rsid w:val="006C5DD3"/>
    <w:rsid w:val="006D37AF"/>
    <w:rsid w:val="006D51D0"/>
    <w:rsid w:val="006E329B"/>
    <w:rsid w:val="006E564B"/>
    <w:rsid w:val="006E7191"/>
    <w:rsid w:val="006F3F5F"/>
    <w:rsid w:val="00703577"/>
    <w:rsid w:val="007115A8"/>
    <w:rsid w:val="00712365"/>
    <w:rsid w:val="007246FE"/>
    <w:rsid w:val="0072632A"/>
    <w:rsid w:val="007327D5"/>
    <w:rsid w:val="00733979"/>
    <w:rsid w:val="007439E9"/>
    <w:rsid w:val="00754AE5"/>
    <w:rsid w:val="007629C8"/>
    <w:rsid w:val="007663CA"/>
    <w:rsid w:val="0077123C"/>
    <w:rsid w:val="007712ED"/>
    <w:rsid w:val="0077392F"/>
    <w:rsid w:val="00782B1B"/>
    <w:rsid w:val="007A51B0"/>
    <w:rsid w:val="007B1540"/>
    <w:rsid w:val="007B2AFF"/>
    <w:rsid w:val="007B6BA5"/>
    <w:rsid w:val="007C1ADB"/>
    <w:rsid w:val="007C3390"/>
    <w:rsid w:val="007C4F4B"/>
    <w:rsid w:val="007C6128"/>
    <w:rsid w:val="007C784F"/>
    <w:rsid w:val="007E01B9"/>
    <w:rsid w:val="007E0B2D"/>
    <w:rsid w:val="007F6611"/>
    <w:rsid w:val="00807D8D"/>
    <w:rsid w:val="008104C2"/>
    <w:rsid w:val="008242D7"/>
    <w:rsid w:val="00824BF5"/>
    <w:rsid w:val="008257B1"/>
    <w:rsid w:val="0082708E"/>
    <w:rsid w:val="008279D0"/>
    <w:rsid w:val="00835CD7"/>
    <w:rsid w:val="00843767"/>
    <w:rsid w:val="008536C1"/>
    <w:rsid w:val="008660D2"/>
    <w:rsid w:val="008679D9"/>
    <w:rsid w:val="00871D91"/>
    <w:rsid w:val="0087353A"/>
    <w:rsid w:val="00875CFA"/>
    <w:rsid w:val="008807CA"/>
    <w:rsid w:val="008975C1"/>
    <w:rsid w:val="008979B1"/>
    <w:rsid w:val="008A1DB2"/>
    <w:rsid w:val="008A3C7E"/>
    <w:rsid w:val="008A6B25"/>
    <w:rsid w:val="008A6C4F"/>
    <w:rsid w:val="008B2335"/>
    <w:rsid w:val="008C0051"/>
    <w:rsid w:val="008C2A78"/>
    <w:rsid w:val="008C3EB3"/>
    <w:rsid w:val="008E0678"/>
    <w:rsid w:val="00910F40"/>
    <w:rsid w:val="0091168A"/>
    <w:rsid w:val="00912C08"/>
    <w:rsid w:val="00915034"/>
    <w:rsid w:val="009223CA"/>
    <w:rsid w:val="00940F93"/>
    <w:rsid w:val="00944D86"/>
    <w:rsid w:val="0095347F"/>
    <w:rsid w:val="00957187"/>
    <w:rsid w:val="00967D17"/>
    <w:rsid w:val="00970C65"/>
    <w:rsid w:val="009760F3"/>
    <w:rsid w:val="009909F5"/>
    <w:rsid w:val="009A0E8D"/>
    <w:rsid w:val="009A4916"/>
    <w:rsid w:val="009B26E7"/>
    <w:rsid w:val="009B4CC6"/>
    <w:rsid w:val="009C0F71"/>
    <w:rsid w:val="009C5335"/>
    <w:rsid w:val="009D01DC"/>
    <w:rsid w:val="009D0E09"/>
    <w:rsid w:val="009D5D9B"/>
    <w:rsid w:val="009E0CB7"/>
    <w:rsid w:val="009E4A2F"/>
    <w:rsid w:val="009F5146"/>
    <w:rsid w:val="00A00A3F"/>
    <w:rsid w:val="00A00E5E"/>
    <w:rsid w:val="00A01489"/>
    <w:rsid w:val="00A2046E"/>
    <w:rsid w:val="00A20D33"/>
    <w:rsid w:val="00A24AD5"/>
    <w:rsid w:val="00A31B6F"/>
    <w:rsid w:val="00A338F1"/>
    <w:rsid w:val="00A404FE"/>
    <w:rsid w:val="00A44651"/>
    <w:rsid w:val="00A5132A"/>
    <w:rsid w:val="00A609B0"/>
    <w:rsid w:val="00A64FD8"/>
    <w:rsid w:val="00A6566E"/>
    <w:rsid w:val="00A72F22"/>
    <w:rsid w:val="00A7360F"/>
    <w:rsid w:val="00A748A6"/>
    <w:rsid w:val="00A769F4"/>
    <w:rsid w:val="00A776B4"/>
    <w:rsid w:val="00A843BC"/>
    <w:rsid w:val="00A864AC"/>
    <w:rsid w:val="00A94361"/>
    <w:rsid w:val="00AA293C"/>
    <w:rsid w:val="00AB1129"/>
    <w:rsid w:val="00AC2605"/>
    <w:rsid w:val="00AD0B17"/>
    <w:rsid w:val="00AD546F"/>
    <w:rsid w:val="00B0300B"/>
    <w:rsid w:val="00B13E9B"/>
    <w:rsid w:val="00B20291"/>
    <w:rsid w:val="00B23AFE"/>
    <w:rsid w:val="00B30179"/>
    <w:rsid w:val="00B30325"/>
    <w:rsid w:val="00B339A7"/>
    <w:rsid w:val="00B33FB4"/>
    <w:rsid w:val="00B56934"/>
    <w:rsid w:val="00B56E4A"/>
    <w:rsid w:val="00B56E9C"/>
    <w:rsid w:val="00B64B1F"/>
    <w:rsid w:val="00B6553F"/>
    <w:rsid w:val="00B66E5E"/>
    <w:rsid w:val="00B76853"/>
    <w:rsid w:val="00B77D05"/>
    <w:rsid w:val="00B81206"/>
    <w:rsid w:val="00B81E12"/>
    <w:rsid w:val="00B8327D"/>
    <w:rsid w:val="00B9067B"/>
    <w:rsid w:val="00BA3795"/>
    <w:rsid w:val="00BB3A83"/>
    <w:rsid w:val="00BB74DD"/>
    <w:rsid w:val="00BC2C23"/>
    <w:rsid w:val="00BC74E9"/>
    <w:rsid w:val="00BD0D7D"/>
    <w:rsid w:val="00BD7AA1"/>
    <w:rsid w:val="00BE0C8E"/>
    <w:rsid w:val="00BF5011"/>
    <w:rsid w:val="00BF68A8"/>
    <w:rsid w:val="00C048F7"/>
    <w:rsid w:val="00C11A03"/>
    <w:rsid w:val="00C1779F"/>
    <w:rsid w:val="00C23C13"/>
    <w:rsid w:val="00C24F8F"/>
    <w:rsid w:val="00C31678"/>
    <w:rsid w:val="00C429C5"/>
    <w:rsid w:val="00C463DD"/>
    <w:rsid w:val="00C4724C"/>
    <w:rsid w:val="00C629A0"/>
    <w:rsid w:val="00C62D2B"/>
    <w:rsid w:val="00C725B6"/>
    <w:rsid w:val="00C745C3"/>
    <w:rsid w:val="00C903AC"/>
    <w:rsid w:val="00C9515F"/>
    <w:rsid w:val="00CA0006"/>
    <w:rsid w:val="00CA2931"/>
    <w:rsid w:val="00CA3263"/>
    <w:rsid w:val="00CA3486"/>
    <w:rsid w:val="00CB674C"/>
    <w:rsid w:val="00CE4A8F"/>
    <w:rsid w:val="00CF1D90"/>
    <w:rsid w:val="00CF44E9"/>
    <w:rsid w:val="00D00828"/>
    <w:rsid w:val="00D07676"/>
    <w:rsid w:val="00D11D99"/>
    <w:rsid w:val="00D2031B"/>
    <w:rsid w:val="00D227C4"/>
    <w:rsid w:val="00D25FE2"/>
    <w:rsid w:val="00D35EEF"/>
    <w:rsid w:val="00D41E8D"/>
    <w:rsid w:val="00D43252"/>
    <w:rsid w:val="00D47EEA"/>
    <w:rsid w:val="00D60AA4"/>
    <w:rsid w:val="00D75032"/>
    <w:rsid w:val="00D87F85"/>
    <w:rsid w:val="00D95303"/>
    <w:rsid w:val="00D978C6"/>
    <w:rsid w:val="00DA3111"/>
    <w:rsid w:val="00DA3C1C"/>
    <w:rsid w:val="00DB0C79"/>
    <w:rsid w:val="00DB31E8"/>
    <w:rsid w:val="00DB78E4"/>
    <w:rsid w:val="00DC1590"/>
    <w:rsid w:val="00DC5D2C"/>
    <w:rsid w:val="00DC6EBA"/>
    <w:rsid w:val="00DF5310"/>
    <w:rsid w:val="00DF672D"/>
    <w:rsid w:val="00E04918"/>
    <w:rsid w:val="00E04F5B"/>
    <w:rsid w:val="00E05933"/>
    <w:rsid w:val="00E1307D"/>
    <w:rsid w:val="00E2503A"/>
    <w:rsid w:val="00E25C1E"/>
    <w:rsid w:val="00E27346"/>
    <w:rsid w:val="00E33062"/>
    <w:rsid w:val="00E34389"/>
    <w:rsid w:val="00E373B2"/>
    <w:rsid w:val="00E40C4C"/>
    <w:rsid w:val="00E43B83"/>
    <w:rsid w:val="00E61060"/>
    <w:rsid w:val="00E7091E"/>
    <w:rsid w:val="00E71BC8"/>
    <w:rsid w:val="00E7260F"/>
    <w:rsid w:val="00E749C0"/>
    <w:rsid w:val="00E779FC"/>
    <w:rsid w:val="00E96630"/>
    <w:rsid w:val="00E9665A"/>
    <w:rsid w:val="00EA4C9B"/>
    <w:rsid w:val="00EB2581"/>
    <w:rsid w:val="00EC35FA"/>
    <w:rsid w:val="00ED7A2A"/>
    <w:rsid w:val="00EE2C1B"/>
    <w:rsid w:val="00EE480E"/>
    <w:rsid w:val="00EF1D7F"/>
    <w:rsid w:val="00EF1E92"/>
    <w:rsid w:val="00EF747A"/>
    <w:rsid w:val="00F02A8E"/>
    <w:rsid w:val="00F20016"/>
    <w:rsid w:val="00F2023E"/>
    <w:rsid w:val="00F20C3D"/>
    <w:rsid w:val="00F233AB"/>
    <w:rsid w:val="00F43E9E"/>
    <w:rsid w:val="00F52EC4"/>
    <w:rsid w:val="00F7110B"/>
    <w:rsid w:val="00F7767D"/>
    <w:rsid w:val="00F8457D"/>
    <w:rsid w:val="00F84B00"/>
    <w:rsid w:val="00F9057C"/>
    <w:rsid w:val="00F906D7"/>
    <w:rsid w:val="00F93781"/>
    <w:rsid w:val="00F9527B"/>
    <w:rsid w:val="00FA0B91"/>
    <w:rsid w:val="00FB613B"/>
    <w:rsid w:val="00FC68B7"/>
    <w:rsid w:val="00FE106A"/>
    <w:rsid w:val="00FE73C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51CB63C2-EDA9-43A0-8E9A-203E420A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qFormat/>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1"/>
      </w:numPr>
      <w:spacing w:after="120"/>
      <w:ind w:right="1134"/>
      <w:jc w:val="both"/>
    </w:pPr>
  </w:style>
  <w:style w:type="paragraph" w:styleId="EndnoteText">
    <w:name w:val="endnote text"/>
    <w:aliases w:val="2_G"/>
    <w:basedOn w:val="FootnoteText"/>
    <w:link w:val="EndnoteTextChar"/>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qFormat/>
    <w:rsid w:val="003C2CC4"/>
    <w:pPr>
      <w:numPr>
        <w:numId w:val="1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95347F"/>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styleId="BalloonText">
    <w:name w:val="Balloon Text"/>
    <w:basedOn w:val="Normal"/>
    <w:link w:val="BalloonTextChar"/>
    <w:uiPriority w:val="99"/>
    <w:rsid w:val="000F10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F1023"/>
    <w:rPr>
      <w:rFonts w:ascii="Tahoma" w:hAnsi="Tahoma" w:cs="Tahoma"/>
      <w:sz w:val="16"/>
      <w:szCs w:val="16"/>
      <w:lang w:eastAsia="en-US"/>
    </w:rPr>
  </w:style>
  <w:style w:type="character" w:customStyle="1" w:styleId="Heading1Char">
    <w:name w:val="Heading 1 Char"/>
    <w:aliases w:val="Table_G Char"/>
    <w:basedOn w:val="DefaultParagraphFont"/>
    <w:link w:val="Heading1"/>
    <w:rsid w:val="00F233AB"/>
    <w:rPr>
      <w:lang w:eastAsia="en-US"/>
    </w:rPr>
  </w:style>
  <w:style w:type="character" w:customStyle="1" w:styleId="FootnoteTextChar">
    <w:name w:val="Footnote Text Char"/>
    <w:aliases w:val="5_G Char"/>
    <w:basedOn w:val="DefaultParagraphFont"/>
    <w:link w:val="FootnoteText"/>
    <w:rsid w:val="00F233AB"/>
    <w:rPr>
      <w:sz w:val="18"/>
      <w:lang w:eastAsia="en-US"/>
    </w:rPr>
  </w:style>
  <w:style w:type="character" w:customStyle="1" w:styleId="EndnoteTextChar">
    <w:name w:val="Endnote Text Char"/>
    <w:aliases w:val="2_G Char"/>
    <w:basedOn w:val="DefaultParagraphFont"/>
    <w:link w:val="EndnoteText"/>
    <w:rsid w:val="00F233AB"/>
    <w:rPr>
      <w:sz w:val="18"/>
      <w:lang w:eastAsia="en-US"/>
    </w:rPr>
  </w:style>
  <w:style w:type="character" w:customStyle="1" w:styleId="FooterChar">
    <w:name w:val="Footer Char"/>
    <w:aliases w:val="3_G Char"/>
    <w:basedOn w:val="DefaultParagraphFont"/>
    <w:link w:val="Footer"/>
    <w:rsid w:val="00F233AB"/>
    <w:rPr>
      <w:sz w:val="16"/>
      <w:lang w:eastAsia="en-US"/>
    </w:rPr>
  </w:style>
  <w:style w:type="character" w:customStyle="1" w:styleId="HeaderChar">
    <w:name w:val="Header Char"/>
    <w:aliases w:val="6_G Char"/>
    <w:basedOn w:val="DefaultParagraphFont"/>
    <w:link w:val="Header"/>
    <w:rsid w:val="00F233AB"/>
    <w:rPr>
      <w:b/>
      <w:sz w:val="18"/>
      <w:lang w:eastAsia="en-US"/>
    </w:rPr>
  </w:style>
  <w:style w:type="character" w:customStyle="1" w:styleId="Heading2Char">
    <w:name w:val="Heading 2 Char"/>
    <w:basedOn w:val="DefaultParagraphFont"/>
    <w:link w:val="Heading2"/>
    <w:rsid w:val="00F233AB"/>
    <w:rPr>
      <w:lang w:eastAsia="en-US"/>
    </w:rPr>
  </w:style>
  <w:style w:type="character" w:customStyle="1" w:styleId="Heading3Char">
    <w:name w:val="Heading 3 Char"/>
    <w:basedOn w:val="DefaultParagraphFont"/>
    <w:link w:val="Heading3"/>
    <w:rsid w:val="00F233AB"/>
    <w:rPr>
      <w:lang w:eastAsia="en-US"/>
    </w:rPr>
  </w:style>
  <w:style w:type="character" w:customStyle="1" w:styleId="Heading4Char">
    <w:name w:val="Heading 4 Char"/>
    <w:basedOn w:val="DefaultParagraphFont"/>
    <w:link w:val="Heading4"/>
    <w:rsid w:val="00F233AB"/>
    <w:rPr>
      <w:lang w:eastAsia="en-US"/>
    </w:rPr>
  </w:style>
  <w:style w:type="character" w:customStyle="1" w:styleId="Heading5Char">
    <w:name w:val="Heading 5 Char"/>
    <w:basedOn w:val="DefaultParagraphFont"/>
    <w:link w:val="Heading5"/>
    <w:rsid w:val="00F233AB"/>
    <w:rPr>
      <w:lang w:eastAsia="en-US"/>
    </w:rPr>
  </w:style>
  <w:style w:type="character" w:customStyle="1" w:styleId="Heading6Char">
    <w:name w:val="Heading 6 Char"/>
    <w:basedOn w:val="DefaultParagraphFont"/>
    <w:link w:val="Heading6"/>
    <w:rsid w:val="00F233AB"/>
    <w:rPr>
      <w:lang w:eastAsia="en-US"/>
    </w:rPr>
  </w:style>
  <w:style w:type="character" w:customStyle="1" w:styleId="Heading7Char">
    <w:name w:val="Heading 7 Char"/>
    <w:basedOn w:val="DefaultParagraphFont"/>
    <w:link w:val="Heading7"/>
    <w:rsid w:val="00F233AB"/>
    <w:rPr>
      <w:lang w:eastAsia="en-US"/>
    </w:rPr>
  </w:style>
  <w:style w:type="character" w:customStyle="1" w:styleId="Heading8Char">
    <w:name w:val="Heading 8 Char"/>
    <w:basedOn w:val="DefaultParagraphFont"/>
    <w:link w:val="Heading8"/>
    <w:rsid w:val="00F233AB"/>
    <w:rPr>
      <w:lang w:eastAsia="en-US"/>
    </w:rPr>
  </w:style>
  <w:style w:type="character" w:customStyle="1" w:styleId="Heading9Char">
    <w:name w:val="Heading 9 Char"/>
    <w:basedOn w:val="DefaultParagraphFont"/>
    <w:link w:val="Heading9"/>
    <w:rsid w:val="00F233AB"/>
    <w:rPr>
      <w:lang w:eastAsia="en-US"/>
    </w:rPr>
  </w:style>
  <w:style w:type="paragraph" w:styleId="Revision">
    <w:name w:val="Revision"/>
    <w:hidden/>
    <w:uiPriority w:val="99"/>
    <w:semiHidden/>
    <w:rsid w:val="00F233AB"/>
    <w:rPr>
      <w:rFonts w:ascii="Calibri" w:eastAsia="Calibri" w:hAnsi="Calibri"/>
      <w:sz w:val="22"/>
      <w:szCs w:val="22"/>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E:\-201703\&#927;&#929;&#921;&#931;&#932;&#921;&#922;&#913;%20&#917;&#929;&#917;&#933;&#925;&#913;%20&#928;&#924;&#916;%202013-2016\KEIMENA\&#916;&#917;&#923;&#932;&#921;&#927;_&#932;&#933;&#928;&#927;&#933;\booklet\&#924;&#916;-&#913;&#925;&#913;_ISCED-1-2-3.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E:\-201703\&#927;&#929;&#921;&#931;&#932;&#921;&#922;&#913;%20&#917;&#929;&#917;&#933;&#925;&#913;%20&#928;&#924;&#916;%202013-2016\KEIMENA\&#916;&#917;&#923;&#932;&#921;&#927;_&#932;&#933;&#928;&#927;&#933;\booklet\&#924;&#916;-&#913;&#925;&#913;_ISCED-1-2-3-23032017.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2680047247886453"/>
          <c:y val="0.19796891543878581"/>
          <c:w val="0.83860372257224169"/>
          <c:h val="0.64976242105236159"/>
        </c:manualLayout>
      </c:layout>
      <c:bar3DChart>
        <c:barDir val="col"/>
        <c:grouping val="clustered"/>
        <c:varyColors val="1"/>
        <c:ser>
          <c:idx val="0"/>
          <c:order val="0"/>
          <c:invertIfNegative val="0"/>
          <c:dPt>
            <c:idx val="4"/>
            <c:invertIfNegative val="0"/>
            <c:bubble3D val="0"/>
            <c:spPr>
              <a:solidFill>
                <a:schemeClr val="bg1">
                  <a:lumMod val="75000"/>
                </a:schemeClr>
              </a:solidFill>
            </c:spPr>
            <c:extLst>
              <c:ext xmlns:c16="http://schemas.microsoft.com/office/drawing/2014/chart" uri="{C3380CC4-5D6E-409C-BE32-E72D297353CC}">
                <c16:uniqueId val="{00000001-D05E-4E2D-B69D-6C3897F4B6C4}"/>
              </c:ext>
            </c:extLst>
          </c:dPt>
          <c:dLbls>
            <c:dLbl>
              <c:idx val="0"/>
              <c:layout>
                <c:manualLayout>
                  <c:x val="1.142300000183793E-2"/>
                  <c:y val="-3.09258530183727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05E-4E2D-B69D-6C3897F4B6C4}"/>
                </c:ext>
              </c:extLst>
            </c:dLbl>
            <c:dLbl>
              <c:idx val="1"/>
              <c:layout>
                <c:manualLayout>
                  <c:x val="6.5373093584102494E-4"/>
                  <c:y val="-3.07408136482942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05E-4E2D-B69D-6C3897F4B6C4}"/>
                </c:ext>
              </c:extLst>
            </c:dLbl>
            <c:dLbl>
              <c:idx val="2"/>
              <c:layout>
                <c:manualLayout>
                  <c:x val="-5.2241672281490865E-3"/>
                  <c:y val="-1.66666666666667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05E-4E2D-B69D-6C3897F4B6C4}"/>
                </c:ext>
              </c:extLst>
            </c:dLbl>
            <c:dLbl>
              <c:idx val="3"/>
              <c:layout>
                <c:manualLayout>
                  <c:x val="0"/>
                  <c:y val="-2.24074803149606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05E-4E2D-B69D-6C3897F4B6C4}"/>
                </c:ext>
              </c:extLst>
            </c:dLbl>
            <c:dLbl>
              <c:idx val="4"/>
              <c:layout>
                <c:manualLayout>
                  <c:x val="-5.7287078430838835E-2"/>
                  <c:y val="3.70363079615055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05E-4E2D-B69D-6C3897F4B6C4}"/>
                </c:ext>
              </c:extLst>
            </c:dLbl>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 (3)'!$I$3:$I$7</c:f>
              <c:strCache>
                <c:ptCount val="5"/>
                <c:pt idx="0">
                  <c:v>ΔΗΜ.ΣΧ (κοόρτη τάξεων Α'-Β'-Γ')</c:v>
                </c:pt>
                <c:pt idx="1">
                  <c:v>ΔΗΜ.ΣΧ (κοόρτη τάξεων Δ'-Ε'-Στ')</c:v>
                </c:pt>
                <c:pt idx="2">
                  <c:v>ΓΥΜΝΑΣΙΟ</c:v>
                </c:pt>
                <c:pt idx="3">
                  <c:v>ΓΕΛ</c:v>
                </c:pt>
                <c:pt idx="4">
                  <c:v>ΕΠΑΛ</c:v>
                </c:pt>
              </c:strCache>
            </c:strRef>
          </c:cat>
          <c:val>
            <c:numRef>
              <c:f>'Φύλλο1 (3)'!$J$3:$J$7</c:f>
              <c:numCache>
                <c:formatCode>0.00%</c:formatCode>
                <c:ptCount val="5"/>
                <c:pt idx="0">
                  <c:v>1.7900000000000145E-2</c:v>
                </c:pt>
                <c:pt idx="1">
                  <c:v>1.6500000000000195E-2</c:v>
                </c:pt>
                <c:pt idx="2">
                  <c:v>4.2300000000000171E-2</c:v>
                </c:pt>
                <c:pt idx="3">
                  <c:v>1.9200000000000217E-2</c:v>
                </c:pt>
                <c:pt idx="4">
                  <c:v>0.11019999999999995</c:v>
                </c:pt>
              </c:numCache>
            </c:numRef>
          </c:val>
          <c:extLst>
            <c:ext xmlns:c16="http://schemas.microsoft.com/office/drawing/2014/chart" uri="{C3380CC4-5D6E-409C-BE32-E72D297353CC}">
              <c16:uniqueId val="{00000006-D05E-4E2D-B69D-6C3897F4B6C4}"/>
            </c:ext>
          </c:extLst>
        </c:ser>
        <c:dLbls>
          <c:showLegendKey val="0"/>
          <c:showVal val="0"/>
          <c:showCatName val="0"/>
          <c:showSerName val="0"/>
          <c:showPercent val="0"/>
          <c:showBubbleSize val="0"/>
        </c:dLbls>
        <c:gapWidth val="150"/>
        <c:shape val="box"/>
        <c:axId val="150683072"/>
        <c:axId val="150691648"/>
        <c:axId val="0"/>
      </c:bar3DChart>
      <c:catAx>
        <c:axId val="150683072"/>
        <c:scaling>
          <c:orientation val="minMax"/>
        </c:scaling>
        <c:delete val="1"/>
        <c:axPos val="b"/>
        <c:numFmt formatCode="General" sourceLinked="0"/>
        <c:majorTickMark val="out"/>
        <c:minorTickMark val="none"/>
        <c:tickLblPos val="none"/>
        <c:crossAx val="150691648"/>
        <c:crosses val="autoZero"/>
        <c:auto val="1"/>
        <c:lblAlgn val="ctr"/>
        <c:lblOffset val="100"/>
        <c:noMultiLvlLbl val="0"/>
      </c:catAx>
      <c:valAx>
        <c:axId val="150691648"/>
        <c:scaling>
          <c:orientation val="minMax"/>
        </c:scaling>
        <c:delete val="0"/>
        <c:axPos val="l"/>
        <c:majorGridlines/>
        <c:numFmt formatCode="0%" sourceLinked="0"/>
        <c:majorTickMark val="out"/>
        <c:minorTickMark val="none"/>
        <c:tickLblPos val="nextTo"/>
        <c:txPr>
          <a:bodyPr/>
          <a:lstStyle/>
          <a:p>
            <a:pPr>
              <a:defRPr sz="1200"/>
            </a:pPr>
            <a:endParaRPr lang="en-US"/>
          </a:p>
        </c:txPr>
        <c:crossAx val="150683072"/>
        <c:crosses val="autoZero"/>
        <c:crossBetween val="between"/>
      </c:valAx>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241902751277109"/>
          <c:y val="0.17186618134444626"/>
          <c:w val="0.84461645918884265"/>
          <c:h val="0.57389847698503482"/>
        </c:manualLayout>
      </c:layout>
      <c:barChart>
        <c:barDir val="col"/>
        <c:grouping val="clustered"/>
        <c:varyColors val="0"/>
        <c:ser>
          <c:idx val="0"/>
          <c:order val="0"/>
          <c:tx>
            <c:strRef>
              <c:f>'Φύλλο1 (3)'!$J$27</c:f>
              <c:strCache>
                <c:ptCount val="1"/>
                <c:pt idx="0">
                  <c:v>ΑΓΟΡΙΑ</c:v>
                </c:pt>
              </c:strCache>
            </c:strRef>
          </c:tx>
          <c:invertIfNegative val="0"/>
          <c:dLbls>
            <c:dLbl>
              <c:idx val="0"/>
              <c:layout>
                <c:manualLayout>
                  <c:x val="-1.9274237100953284E-2"/>
                  <c:y val="1.36270375746337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2B3-4FD0-8E7A-18D4CAC0ABD8}"/>
                </c:ext>
              </c:extLst>
            </c:dLbl>
            <c:dLbl>
              <c:idx val="1"/>
              <c:layout>
                <c:manualLayout>
                  <c:x val="-1.125063713978848E-2"/>
                  <c:y val="1.12480425620862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2B3-4FD0-8E7A-18D4CAC0ABD8}"/>
                </c:ext>
              </c:extLst>
            </c:dLbl>
            <c:dLbl>
              <c:idx val="2"/>
              <c:layout>
                <c:manualLayout>
                  <c:x val="-2.7302008810733091E-2"/>
                  <c:y val="1.24949056984944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2B3-4FD0-8E7A-18D4CAC0ABD8}"/>
                </c:ext>
              </c:extLst>
            </c:dLbl>
            <c:dLbl>
              <c:idx val="3"/>
              <c:layout>
                <c:manualLayout>
                  <c:x val="-1.6874533522654781E-2"/>
                  <c:y val="1.72044341734503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2B3-4FD0-8E7A-18D4CAC0ABD8}"/>
                </c:ext>
              </c:extLst>
            </c:dLbl>
            <c:spPr>
              <a:solidFill>
                <a:srgbClr val="C6D9F1"/>
              </a:solid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 (3)'!$I$28:$I$31</c:f>
              <c:strCache>
                <c:ptCount val="4"/>
                <c:pt idx="0">
                  <c:v>ΔΗΜ.ΣΧ (Α'-Β'-Γ')</c:v>
                </c:pt>
                <c:pt idx="1">
                  <c:v>ΓΥΜΝΑΣΙΟ</c:v>
                </c:pt>
                <c:pt idx="2">
                  <c:v>ΓΕΛ</c:v>
                </c:pt>
                <c:pt idx="3">
                  <c:v>ΕΠΑΛ</c:v>
                </c:pt>
              </c:strCache>
            </c:strRef>
          </c:cat>
          <c:val>
            <c:numRef>
              <c:f>'Φύλλο1 (3)'!$J$28:$J$31</c:f>
              <c:numCache>
                <c:formatCode>0.00%</c:formatCode>
                <c:ptCount val="4"/>
                <c:pt idx="0">
                  <c:v>1.8100000000000043E-2</c:v>
                </c:pt>
                <c:pt idx="1">
                  <c:v>4.82E-2</c:v>
                </c:pt>
                <c:pt idx="2">
                  <c:v>2.0800000000000006E-2</c:v>
                </c:pt>
                <c:pt idx="3">
                  <c:v>0.1145</c:v>
                </c:pt>
              </c:numCache>
            </c:numRef>
          </c:val>
          <c:extLst>
            <c:ext xmlns:c16="http://schemas.microsoft.com/office/drawing/2014/chart" uri="{C3380CC4-5D6E-409C-BE32-E72D297353CC}">
              <c16:uniqueId val="{00000004-32B3-4FD0-8E7A-18D4CAC0ABD8}"/>
            </c:ext>
          </c:extLst>
        </c:ser>
        <c:ser>
          <c:idx val="1"/>
          <c:order val="1"/>
          <c:tx>
            <c:strRef>
              <c:f>'Φύλλο1 (3)'!$K$27</c:f>
              <c:strCache>
                <c:ptCount val="1"/>
                <c:pt idx="0">
                  <c:v>ΚΟΡΙΤΣΙΑ</c:v>
                </c:pt>
              </c:strCache>
            </c:strRef>
          </c:tx>
          <c:invertIfNegative val="0"/>
          <c:dLbls>
            <c:dLbl>
              <c:idx val="0"/>
              <c:layout>
                <c:manualLayout>
                  <c:x val="7.2235041171262214E-3"/>
                  <c:y val="3.26189041817550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2B3-4FD0-8E7A-18D4CAC0ABD8}"/>
                </c:ext>
              </c:extLst>
            </c:dLbl>
            <c:dLbl>
              <c:idx val="1"/>
              <c:layout>
                <c:manualLayout>
                  <c:x val="-7.9433886127950194E-4"/>
                  <c:y val="1.5734823068632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2B3-4FD0-8E7A-18D4CAC0ABD8}"/>
                </c:ext>
              </c:extLst>
            </c:dLbl>
            <c:dLbl>
              <c:idx val="2"/>
              <c:layout>
                <c:manualLayout>
                  <c:x val="0"/>
                  <c:y val="2.53702588080316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2B3-4FD0-8E7A-18D4CAC0ABD8}"/>
                </c:ext>
              </c:extLst>
            </c:dLbl>
            <c:dLbl>
              <c:idx val="3"/>
              <c:layout>
                <c:manualLayout>
                  <c:x val="9.6386067561444067E-3"/>
                  <c:y val="1.50326631380413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2B3-4FD0-8E7A-18D4CAC0ABD8}"/>
                </c:ext>
              </c:extLst>
            </c:dLbl>
            <c:spPr>
              <a:solidFill>
                <a:srgbClr val="FFCDCD"/>
              </a:solid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 (3)'!$I$28:$I$31</c:f>
              <c:strCache>
                <c:ptCount val="4"/>
                <c:pt idx="0">
                  <c:v>ΔΗΜ.ΣΧ (Α'-Β'-Γ')</c:v>
                </c:pt>
                <c:pt idx="1">
                  <c:v>ΓΥΜΝΑΣΙΟ</c:v>
                </c:pt>
                <c:pt idx="2">
                  <c:v>ΓΕΛ</c:v>
                </c:pt>
                <c:pt idx="3">
                  <c:v>ΕΠΑΛ</c:v>
                </c:pt>
              </c:strCache>
            </c:strRef>
          </c:cat>
          <c:val>
            <c:numRef>
              <c:f>'Φύλλο1 (3)'!$K$28:$K$31</c:f>
              <c:numCache>
                <c:formatCode>0.00%</c:formatCode>
                <c:ptCount val="4"/>
                <c:pt idx="0">
                  <c:v>1.7600000000000001E-2</c:v>
                </c:pt>
                <c:pt idx="1">
                  <c:v>3.5799999999999998E-2</c:v>
                </c:pt>
                <c:pt idx="2">
                  <c:v>1.77E-2</c:v>
                </c:pt>
                <c:pt idx="3">
                  <c:v>9.9900000000000044E-2</c:v>
                </c:pt>
              </c:numCache>
            </c:numRef>
          </c:val>
          <c:extLst>
            <c:ext xmlns:c16="http://schemas.microsoft.com/office/drawing/2014/chart" uri="{C3380CC4-5D6E-409C-BE32-E72D297353CC}">
              <c16:uniqueId val="{00000009-32B3-4FD0-8E7A-18D4CAC0ABD8}"/>
            </c:ext>
          </c:extLst>
        </c:ser>
        <c:ser>
          <c:idx val="2"/>
          <c:order val="2"/>
          <c:tx>
            <c:strRef>
              <c:f>'Φύλλο1 (3)'!$L$27</c:f>
              <c:strCache>
                <c:ptCount val="1"/>
                <c:pt idx="0">
                  <c:v>ΣΥΝΟΛΟ</c:v>
                </c:pt>
              </c:strCache>
            </c:strRef>
          </c:tx>
          <c:spPr>
            <a:solidFill>
              <a:srgbClr val="FFFF69"/>
            </a:solidFill>
          </c:spPr>
          <c:invertIfNegative val="0"/>
          <c:dLbls>
            <c:dLbl>
              <c:idx val="0"/>
              <c:layout>
                <c:manualLayout>
                  <c:x val="2.9370363896423612E-2"/>
                  <c:y val="-3.29984210125630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2B3-4FD0-8E7A-18D4CAC0ABD8}"/>
                </c:ext>
              </c:extLst>
            </c:dLbl>
            <c:dLbl>
              <c:idx val="1"/>
              <c:layout>
                <c:manualLayout>
                  <c:x val="3.0365488566276942E-2"/>
                  <c:y val="1.1943998221513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2B3-4FD0-8E7A-18D4CAC0ABD8}"/>
                </c:ext>
              </c:extLst>
            </c:dLbl>
            <c:dLbl>
              <c:idx val="2"/>
              <c:layout>
                <c:manualLayout>
                  <c:x val="2.9657718260777351E-2"/>
                  <c:y val="9.666097143833972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2B3-4FD0-8E7A-18D4CAC0ABD8}"/>
                </c:ext>
              </c:extLst>
            </c:dLbl>
            <c:dLbl>
              <c:idx val="3"/>
              <c:layout>
                <c:manualLayout>
                  <c:x val="1.4457815335086485E-2"/>
                  <c:y val="5.92020268810596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2B3-4FD0-8E7A-18D4CAC0ABD8}"/>
                </c:ext>
              </c:extLst>
            </c:dLbl>
            <c:spPr>
              <a:solidFill>
                <a:srgbClr val="FFFFB9"/>
              </a:solidFill>
              <a:ln>
                <a:noFill/>
              </a:ln>
              <a:effectLst/>
            </c:spPr>
            <c:txPr>
              <a:bodyPr/>
              <a:lstStyle/>
              <a:p>
                <a:pPr>
                  <a:defRPr sz="8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 (3)'!$I$28:$I$31</c:f>
              <c:strCache>
                <c:ptCount val="4"/>
                <c:pt idx="0">
                  <c:v>ΔΗΜ.ΣΧ (Α'-Β'-Γ')</c:v>
                </c:pt>
                <c:pt idx="1">
                  <c:v>ΓΥΜΝΑΣΙΟ</c:v>
                </c:pt>
                <c:pt idx="2">
                  <c:v>ΓΕΛ</c:v>
                </c:pt>
                <c:pt idx="3">
                  <c:v>ΕΠΑΛ</c:v>
                </c:pt>
              </c:strCache>
            </c:strRef>
          </c:cat>
          <c:val>
            <c:numRef>
              <c:f>'Φύλλο1 (3)'!$L$28:$L$31</c:f>
              <c:numCache>
                <c:formatCode>0.00%</c:formatCode>
                <c:ptCount val="4"/>
                <c:pt idx="0">
                  <c:v>1.7899999999999999E-2</c:v>
                </c:pt>
                <c:pt idx="1">
                  <c:v>4.2300000000000094E-2</c:v>
                </c:pt>
                <c:pt idx="2">
                  <c:v>1.9200000000000179E-2</c:v>
                </c:pt>
                <c:pt idx="3">
                  <c:v>0.11020000000000002</c:v>
                </c:pt>
              </c:numCache>
            </c:numRef>
          </c:val>
          <c:extLst>
            <c:ext xmlns:c16="http://schemas.microsoft.com/office/drawing/2014/chart" uri="{C3380CC4-5D6E-409C-BE32-E72D297353CC}">
              <c16:uniqueId val="{0000000E-32B3-4FD0-8E7A-18D4CAC0ABD8}"/>
            </c:ext>
          </c:extLst>
        </c:ser>
        <c:dLbls>
          <c:showLegendKey val="0"/>
          <c:showVal val="0"/>
          <c:showCatName val="0"/>
          <c:showSerName val="0"/>
          <c:showPercent val="0"/>
          <c:showBubbleSize val="0"/>
        </c:dLbls>
        <c:gapWidth val="150"/>
        <c:axId val="151076192"/>
        <c:axId val="151108360"/>
      </c:barChart>
      <c:catAx>
        <c:axId val="151076192"/>
        <c:scaling>
          <c:orientation val="minMax"/>
        </c:scaling>
        <c:delete val="1"/>
        <c:axPos val="b"/>
        <c:numFmt formatCode="General" sourceLinked="0"/>
        <c:majorTickMark val="out"/>
        <c:minorTickMark val="none"/>
        <c:tickLblPos val="none"/>
        <c:crossAx val="151108360"/>
        <c:crosses val="autoZero"/>
        <c:auto val="1"/>
        <c:lblAlgn val="ctr"/>
        <c:lblOffset val="100"/>
        <c:noMultiLvlLbl val="0"/>
      </c:catAx>
      <c:valAx>
        <c:axId val="151108360"/>
        <c:scaling>
          <c:orientation val="minMax"/>
          <c:max val="0.14000000000000001"/>
        </c:scaling>
        <c:delete val="0"/>
        <c:axPos val="l"/>
        <c:majorGridlines/>
        <c:numFmt formatCode="0%" sourceLinked="0"/>
        <c:majorTickMark val="out"/>
        <c:minorTickMark val="none"/>
        <c:tickLblPos val="nextTo"/>
        <c:txPr>
          <a:bodyPr/>
          <a:lstStyle/>
          <a:p>
            <a:pPr>
              <a:defRPr sz="1200"/>
            </a:pPr>
            <a:endParaRPr lang="en-US"/>
          </a:p>
        </c:txPr>
        <c:crossAx val="151076192"/>
        <c:crosses val="autoZero"/>
        <c:crossBetween val="between"/>
      </c:valAx>
    </c:plotArea>
    <c:plotVisOnly val="1"/>
    <c:dispBlanksAs val="gap"/>
    <c:showDLblsOverMax val="0"/>
  </c:chart>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0.05747</cdr:x>
      <cdr:y>0.02192</cdr:y>
    </cdr:from>
    <cdr:to>
      <cdr:x>0.97269</cdr:x>
      <cdr:y>0.16842</cdr:y>
    </cdr:to>
    <cdr:sp macro="" textlink="">
      <cdr:nvSpPr>
        <cdr:cNvPr id="2" name="1 - TextBox"/>
        <cdr:cNvSpPr txBox="1"/>
      </cdr:nvSpPr>
      <cdr:spPr>
        <a:xfrm xmlns:a="http://schemas.openxmlformats.org/drawingml/2006/main">
          <a:off x="315318" y="71252"/>
          <a:ext cx="5021497" cy="476225"/>
        </a:xfrm>
        <a:prstGeom xmlns:a="http://schemas.openxmlformats.org/drawingml/2006/main" prst="rect">
          <a:avLst/>
        </a:prstGeom>
        <a:solidFill xmlns:a="http://schemas.openxmlformats.org/drawingml/2006/main">
          <a:schemeClr val="bg2"/>
        </a:solidFill>
      </cdr:spPr>
      <cdr:txBody>
        <a:bodyPr xmlns:a="http://schemas.openxmlformats.org/drawingml/2006/main" vertOverflow="clip" wrap="square" rtlCol="0" anchor="ctr"/>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100" b="1" baseline="0">
              <a:latin typeface="+mn-lt"/>
              <a:ea typeface="+mn-ea"/>
              <a:cs typeface="+mn-cs"/>
            </a:rPr>
            <a:t>PRIMARY AND SECONDARY EDUCATION: </a:t>
          </a:r>
          <a:r>
            <a:rPr lang="en-US" sz="1100" b="1">
              <a:latin typeface="+mn-lt"/>
              <a:ea typeface="+mn-ea"/>
              <a:cs typeface="+mn-cs"/>
            </a:rPr>
            <a:t>STUDENT DROPOUT</a:t>
          </a:r>
          <a:r>
            <a:rPr lang="en-US" sz="1100">
              <a:latin typeface="+mn-lt"/>
              <a:ea typeface="+mn-ea"/>
              <a:cs typeface="+mn-cs"/>
            </a:rPr>
            <a:t> </a:t>
          </a:r>
          <a:r>
            <a:rPr lang="el-GR" sz="1100" b="1">
              <a:latin typeface="+mn-lt"/>
              <a:ea typeface="+mn-ea"/>
              <a:cs typeface="+mn-cs"/>
            </a:rPr>
            <a:t>PERCENTAGE</a:t>
          </a:r>
          <a:r>
            <a:rPr lang="el-GR" sz="1100">
              <a:latin typeface="+mn-lt"/>
              <a:ea typeface="+mn-ea"/>
              <a:cs typeface="+mn-cs"/>
            </a:rPr>
            <a:t> </a:t>
          </a:r>
          <a:r>
            <a:rPr lang="el-GR" sz="1100" b="1">
              <a:latin typeface="+mn-lt"/>
              <a:ea typeface="+mn-ea"/>
              <a:cs typeface="+mn-cs"/>
            </a:rPr>
            <a:t>% </a:t>
          </a:r>
          <a:r>
            <a:rPr lang="en-US" sz="1100" b="1">
              <a:latin typeface="+mn-lt"/>
              <a:ea typeface="+mn-ea"/>
              <a:cs typeface="+mn-cs"/>
            </a:rPr>
            <a:t>IN GREEK PUBLIC SCHOOLS (SCHOOL PERIOD 2013</a:t>
          </a:r>
          <a:r>
            <a:rPr lang="en-GB" sz="1100" b="1">
              <a:effectLst/>
              <a:latin typeface="+mn-lt"/>
              <a:ea typeface="+mn-ea"/>
              <a:cs typeface="+mn-cs"/>
            </a:rPr>
            <a:t>–</a:t>
          </a:r>
          <a:r>
            <a:rPr lang="en-US" sz="1100" b="1">
              <a:latin typeface="+mn-lt"/>
              <a:ea typeface="+mn-ea"/>
              <a:cs typeface="+mn-cs"/>
            </a:rPr>
            <a:t>2016)</a:t>
          </a:r>
          <a:endParaRPr lang="el-GR" sz="1200">
            <a:latin typeface="+mn-lt"/>
            <a:ea typeface="+mn-ea"/>
            <a:cs typeface="+mn-cs"/>
          </a:endParaRPr>
        </a:p>
      </cdr:txBody>
    </cdr:sp>
  </cdr:relSizeAnchor>
  <cdr:relSizeAnchor xmlns:cdr="http://schemas.openxmlformats.org/drawingml/2006/chartDrawing">
    <cdr:from>
      <cdr:x>0.14789</cdr:x>
      <cdr:y>0.86013</cdr:y>
    </cdr:from>
    <cdr:to>
      <cdr:x>0.92065</cdr:x>
      <cdr:y>0.95957</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80010" y="2687796"/>
          <a:ext cx="4075762" cy="310723"/>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0.01351</cdr:x>
      <cdr:y>0.02835</cdr:y>
    </cdr:from>
    <cdr:to>
      <cdr:x>0.96424</cdr:x>
      <cdr:y>0.14742</cdr:y>
    </cdr:to>
    <cdr:sp macro="" textlink="">
      <cdr:nvSpPr>
        <cdr:cNvPr id="2" name="1 - TextBox"/>
        <cdr:cNvSpPr txBox="1"/>
      </cdr:nvSpPr>
      <cdr:spPr>
        <a:xfrm xmlns:a="http://schemas.openxmlformats.org/drawingml/2006/main">
          <a:off x="71252" y="106878"/>
          <a:ext cx="5013121" cy="448957"/>
        </a:xfrm>
        <a:prstGeom xmlns:a="http://schemas.openxmlformats.org/drawingml/2006/main" prst="rect">
          <a:avLst/>
        </a:prstGeom>
        <a:solidFill xmlns:a="http://schemas.openxmlformats.org/drawingml/2006/main">
          <a:srgbClr val="EEECE1"/>
        </a:solidFill>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100" b="1" baseline="0">
              <a:latin typeface="Calibri"/>
            </a:rPr>
            <a:t>DROPOUT RATES </a:t>
          </a:r>
          <a:r>
            <a:rPr lang="el-GR" sz="1100" b="1" baseline="0">
              <a:latin typeface="Calibri"/>
            </a:rPr>
            <a:t>% </a:t>
          </a:r>
          <a:r>
            <a:rPr lang="en-US" sz="1100" b="1" baseline="0">
              <a:latin typeface="Calibri"/>
            </a:rPr>
            <a:t>BY SEX</a:t>
          </a:r>
          <a:r>
            <a:rPr lang="el-GR" sz="1100" b="1" baseline="0">
              <a:latin typeface="Calibri"/>
            </a:rPr>
            <a:t/>
          </a:r>
          <a:br>
            <a:rPr lang="el-GR" sz="1100" b="1" baseline="0">
              <a:latin typeface="Calibri"/>
            </a:rPr>
          </a:br>
          <a:r>
            <a:rPr lang="el-GR" sz="1100" b="0" baseline="0">
              <a:latin typeface="Calibri"/>
            </a:rPr>
            <a:t>(</a:t>
          </a:r>
          <a:r>
            <a:rPr lang="en-US" sz="1100" b="0">
              <a:latin typeface="Calibri"/>
            </a:rPr>
            <a:t>SCHOOL PERIOD</a:t>
          </a:r>
          <a:r>
            <a:rPr lang="el-GR" sz="1100" b="0">
              <a:latin typeface="Calibri"/>
            </a:rPr>
            <a:t> 2013</a:t>
          </a:r>
          <a:r>
            <a:rPr lang="en-GB" sz="1100" b="0">
              <a:effectLst/>
              <a:latin typeface="Calibri"/>
              <a:ea typeface="+mn-ea"/>
              <a:cs typeface="+mn-cs"/>
            </a:rPr>
            <a:t>–</a:t>
          </a:r>
          <a:r>
            <a:rPr lang="el-GR" sz="1100" b="0">
              <a:latin typeface="Calibri"/>
            </a:rPr>
            <a:t>2016)</a:t>
          </a:r>
          <a:endParaRPr lang="el-GR" sz="1100"/>
        </a:p>
      </cdr:txBody>
    </cdr:sp>
  </cdr:relSizeAnchor>
  <cdr:relSizeAnchor xmlns:cdr="http://schemas.openxmlformats.org/drawingml/2006/chartDrawing">
    <cdr:from>
      <cdr:x>0.11125</cdr:x>
      <cdr:y>0.77205</cdr:y>
    </cdr:from>
    <cdr:to>
      <cdr:x>0.95343</cdr:x>
      <cdr:y>0.88883</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86591" y="2910963"/>
          <a:ext cx="4440767" cy="440290"/>
        </a:xfrm>
        <a:prstGeom xmlns:a="http://schemas.openxmlformats.org/drawingml/2006/main" prst="rect">
          <a:avLst/>
        </a:prstGeom>
      </cdr:spPr>
    </cdr:pic>
  </cdr:relSizeAnchor>
  <cdr:relSizeAnchor xmlns:cdr="http://schemas.openxmlformats.org/drawingml/2006/chartDrawing">
    <cdr:from>
      <cdr:x>0.23478</cdr:x>
      <cdr:y>0.89919</cdr:y>
    </cdr:from>
    <cdr:to>
      <cdr:x>0.76218</cdr:x>
      <cdr:y>0.96991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237957" y="3390314"/>
          <a:ext cx="2780953" cy="266667"/>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HRI.dotm</Template>
  <TotalTime>0</TotalTime>
  <Pages>49</Pages>
  <Words>24271</Words>
  <Characters>131389</Characters>
  <Application>Microsoft Office Word</Application>
  <DocSecurity>0</DocSecurity>
  <Lines>4112</Lines>
  <Paragraphs>2427</Paragraphs>
  <ScaleCrop>false</ScaleCrop>
  <HeadingPairs>
    <vt:vector size="2" baseType="variant">
      <vt:variant>
        <vt:lpstr>Title</vt:lpstr>
      </vt:variant>
      <vt:variant>
        <vt:i4>1</vt:i4>
      </vt:variant>
    </vt:vector>
  </HeadingPairs>
  <TitlesOfParts>
    <vt:vector size="1" baseType="lpstr">
      <vt:lpstr>HRI/CORE/GRC/2018</vt:lpstr>
    </vt:vector>
  </TitlesOfParts>
  <Company>CSD</Company>
  <LinksUpToDate>false</LinksUpToDate>
  <CharactersWithSpaces>153681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HRI/CORE/GRC/2018</dc:title>
  <dc:subject>1820313</dc:subject>
  <dc:creator>Brigoli</dc:creator>
  <cp:keywords/>
  <dc:description/>
  <cp:lastModifiedBy>Generic Desk Anglais</cp:lastModifiedBy>
  <cp:revision>2</cp:revision>
  <cp:lastPrinted>2018-11-26T13:35:00Z</cp:lastPrinted>
  <dcterms:created xsi:type="dcterms:W3CDTF">2018-11-27T14:33:00Z</dcterms:created>
  <dcterms:modified xsi:type="dcterms:W3CDTF">2018-11-27T14:33:00Z</dcterms:modified>
</cp:coreProperties>
</file>