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C8796BE" w14:textId="77777777" w:rsidTr="003A3D90">
        <w:trPr>
          <w:trHeight w:hRule="exact" w:val="851"/>
        </w:trPr>
        <w:tc>
          <w:tcPr>
            <w:tcW w:w="142" w:type="dxa"/>
            <w:tcBorders>
              <w:bottom w:val="single" w:sz="4" w:space="0" w:color="auto"/>
            </w:tcBorders>
          </w:tcPr>
          <w:p w14:paraId="6634ACB6" w14:textId="77777777" w:rsidR="002D5AAC" w:rsidRDefault="002D5AAC" w:rsidP="009C2230">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0DD2A327"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4C9CB42" w14:textId="77777777" w:rsidR="002D5AAC" w:rsidRDefault="009C2230" w:rsidP="009C2230">
            <w:pPr>
              <w:jc w:val="right"/>
            </w:pPr>
            <w:r w:rsidRPr="009C2230">
              <w:rPr>
                <w:sz w:val="40"/>
              </w:rPr>
              <w:t>HRI</w:t>
            </w:r>
            <w:r>
              <w:t>/CORE/CHN-HKG/2019</w:t>
            </w:r>
          </w:p>
        </w:tc>
      </w:tr>
      <w:tr w:rsidR="002D5AAC" w:rsidRPr="0017299B" w14:paraId="2541A0F2" w14:textId="77777777" w:rsidTr="003A3D90">
        <w:trPr>
          <w:trHeight w:hRule="exact" w:val="2835"/>
        </w:trPr>
        <w:tc>
          <w:tcPr>
            <w:tcW w:w="1280" w:type="dxa"/>
            <w:gridSpan w:val="2"/>
            <w:tcBorders>
              <w:top w:val="single" w:sz="4" w:space="0" w:color="auto"/>
              <w:bottom w:val="single" w:sz="12" w:space="0" w:color="auto"/>
            </w:tcBorders>
          </w:tcPr>
          <w:p w14:paraId="68AEC2D9" w14:textId="77777777" w:rsidR="002D5AAC" w:rsidRDefault="007B5263" w:rsidP="003A3D90">
            <w:pPr>
              <w:spacing w:before="120"/>
              <w:jc w:val="center"/>
            </w:pPr>
            <w:r>
              <w:rPr>
                <w:noProof/>
                <w:lang w:val="fr-CH" w:eastAsia="fr-CH"/>
              </w:rPr>
              <w:drawing>
                <wp:inline distT="0" distB="0" distL="0" distR="0" wp14:anchorId="6E3038B8" wp14:editId="4AFCE43A">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375F825"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2FBD59D7" w14:textId="77777777" w:rsidR="002D5AAC" w:rsidRPr="009C2230" w:rsidRDefault="009C2230" w:rsidP="003A3D90">
            <w:pPr>
              <w:spacing w:before="240"/>
              <w:rPr>
                <w:lang w:val="en-US"/>
              </w:rPr>
            </w:pPr>
            <w:r w:rsidRPr="009C2230">
              <w:rPr>
                <w:lang w:val="en-US"/>
              </w:rPr>
              <w:t>Distr.: General</w:t>
            </w:r>
          </w:p>
          <w:p w14:paraId="0E2C6201" w14:textId="77777777" w:rsidR="009C2230" w:rsidRPr="009C2230" w:rsidRDefault="009C2230" w:rsidP="009C2230">
            <w:pPr>
              <w:spacing w:line="240" w:lineRule="exact"/>
              <w:rPr>
                <w:lang w:val="en-US"/>
              </w:rPr>
            </w:pPr>
            <w:r w:rsidRPr="009C2230">
              <w:rPr>
                <w:lang w:val="en-US"/>
              </w:rPr>
              <w:t>28 June 2019</w:t>
            </w:r>
          </w:p>
          <w:p w14:paraId="57B86C1F" w14:textId="77777777" w:rsidR="009C2230" w:rsidRPr="009C2230" w:rsidRDefault="009C2230" w:rsidP="009C2230">
            <w:pPr>
              <w:spacing w:line="240" w:lineRule="exact"/>
              <w:rPr>
                <w:lang w:val="en-US"/>
              </w:rPr>
            </w:pPr>
            <w:r w:rsidRPr="009C2230">
              <w:rPr>
                <w:lang w:val="en-US"/>
              </w:rPr>
              <w:t>Russian</w:t>
            </w:r>
          </w:p>
          <w:p w14:paraId="5918BE19" w14:textId="77777777" w:rsidR="009C2230" w:rsidRPr="009C2230" w:rsidRDefault="009C2230" w:rsidP="009C2230">
            <w:pPr>
              <w:spacing w:line="240" w:lineRule="exact"/>
              <w:rPr>
                <w:lang w:val="en-US"/>
              </w:rPr>
            </w:pPr>
            <w:r w:rsidRPr="009C2230">
              <w:rPr>
                <w:lang w:val="en-US"/>
              </w:rPr>
              <w:t>Original: C</w:t>
            </w:r>
            <w:r w:rsidR="00BF0053">
              <w:rPr>
                <w:lang w:val="en-US"/>
              </w:rPr>
              <w:t>h</w:t>
            </w:r>
            <w:r w:rsidRPr="009C2230">
              <w:rPr>
                <w:lang w:val="en-US"/>
              </w:rPr>
              <w:t>inese and English</w:t>
            </w:r>
          </w:p>
        </w:tc>
      </w:tr>
    </w:tbl>
    <w:p w14:paraId="61C831EA" w14:textId="77777777" w:rsidR="009C2230" w:rsidRPr="003028E3" w:rsidRDefault="009C2230" w:rsidP="009C2230">
      <w:pPr>
        <w:pStyle w:val="HMG"/>
        <w:spacing w:before="480"/>
      </w:pPr>
      <w:r w:rsidRPr="003028E3">
        <w:rPr>
          <w:lang w:val="en-US"/>
        </w:rPr>
        <w:tab/>
      </w:r>
      <w:r w:rsidRPr="003028E3">
        <w:rPr>
          <w:lang w:val="en-US"/>
        </w:rPr>
        <w:tab/>
      </w:r>
      <w:r w:rsidRPr="007422D6">
        <w:t>Общий базовый документ, являющийся частью докладов государств-участников</w:t>
      </w:r>
    </w:p>
    <w:p w14:paraId="582FBB38" w14:textId="77777777" w:rsidR="009C2230" w:rsidRPr="003028E3" w:rsidRDefault="009C2230" w:rsidP="009C2230">
      <w:pPr>
        <w:pStyle w:val="HChG"/>
      </w:pPr>
      <w:r w:rsidRPr="007422D6">
        <w:rPr>
          <w:bCs/>
        </w:rPr>
        <w:tab/>
      </w:r>
      <w:r w:rsidRPr="007422D6">
        <w:rPr>
          <w:bCs/>
        </w:rPr>
        <w:tab/>
      </w:r>
      <w:bookmarkStart w:id="1" w:name="_Toc12351609"/>
      <w:r w:rsidRPr="007422D6">
        <w:rPr>
          <w:bCs/>
        </w:rPr>
        <w:t>Гонконг, Китай</w:t>
      </w:r>
      <w:r w:rsidRPr="009C2230">
        <w:rPr>
          <w:rStyle w:val="aa"/>
          <w:b w:val="0"/>
          <w:bCs/>
          <w:position w:val="6"/>
          <w:szCs w:val="18"/>
          <w:vertAlign w:val="baseline"/>
        </w:rPr>
        <w:footnoteReference w:customMarkFollows="1" w:id="1"/>
        <w:t xml:space="preserve">* </w:t>
      </w:r>
      <w:r w:rsidRPr="009C2230">
        <w:rPr>
          <w:rStyle w:val="aa"/>
          <w:b w:val="0"/>
          <w:bCs/>
          <w:position w:val="6"/>
          <w:szCs w:val="18"/>
          <w:vertAlign w:val="baseline"/>
        </w:rPr>
        <w:footnoteReference w:customMarkFollows="1" w:id="2"/>
        <w:t>**</w:t>
      </w:r>
      <w:bookmarkEnd w:id="1"/>
    </w:p>
    <w:p w14:paraId="3A2E2BAF" w14:textId="77777777" w:rsidR="009C2230" w:rsidRPr="003028E3" w:rsidRDefault="009C2230" w:rsidP="009C2230">
      <w:pPr>
        <w:pStyle w:val="SingleTxtG"/>
        <w:jc w:val="right"/>
      </w:pPr>
      <w:r w:rsidRPr="007422D6">
        <w:t>[Дата получения: 28 января 2019 года]</w:t>
      </w:r>
    </w:p>
    <w:p w14:paraId="184EB856" w14:textId="77777777" w:rsidR="009C2230" w:rsidRPr="003028E3" w:rsidRDefault="009C2230" w:rsidP="009C2230">
      <w:pPr>
        <w:pageBreakBefore/>
        <w:spacing w:after="120"/>
        <w:rPr>
          <w:sz w:val="28"/>
        </w:rPr>
      </w:pPr>
      <w:r>
        <w:rPr>
          <w:sz w:val="28"/>
        </w:rPr>
        <w:lastRenderedPageBreak/>
        <w:t>Содержание</w:t>
      </w:r>
    </w:p>
    <w:p w14:paraId="1F0273F7" w14:textId="77777777" w:rsidR="009C2230" w:rsidRPr="003028E3" w:rsidRDefault="009C2230" w:rsidP="009C2230">
      <w:pPr>
        <w:tabs>
          <w:tab w:val="right" w:pos="9638"/>
        </w:tabs>
        <w:spacing w:after="120"/>
        <w:ind w:left="283"/>
        <w:rPr>
          <w:sz w:val="18"/>
        </w:rPr>
      </w:pPr>
      <w:r>
        <w:rPr>
          <w:i/>
          <w:iCs/>
          <w:sz w:val="18"/>
        </w:rPr>
        <w:tab/>
        <w:t>Стр.</w:t>
      </w:r>
    </w:p>
    <w:p w14:paraId="3C279177" w14:textId="77777777" w:rsidR="009C2230" w:rsidRPr="003028E3" w:rsidRDefault="009C2230" w:rsidP="00DD4CBA">
      <w:pPr>
        <w:tabs>
          <w:tab w:val="left" w:pos="1134"/>
          <w:tab w:val="left" w:pos="1559"/>
          <w:tab w:val="left" w:pos="1984"/>
          <w:tab w:val="left" w:leader="dot" w:pos="8787"/>
          <w:tab w:val="right" w:pos="9638"/>
        </w:tabs>
        <w:spacing w:after="120"/>
      </w:pPr>
      <w:r>
        <w:tab/>
        <w:t xml:space="preserve">Общая информация </w:t>
      </w:r>
      <w:r w:rsidR="000B3881">
        <w:tab/>
      </w:r>
      <w:r w:rsidR="000B3881">
        <w:tab/>
      </w:r>
      <w:r>
        <w:t>4</w:t>
      </w:r>
    </w:p>
    <w:p w14:paraId="550447B0" w14:textId="77777777" w:rsidR="009C2230" w:rsidRPr="003028E3" w:rsidRDefault="009C2230" w:rsidP="000B3881">
      <w:pPr>
        <w:tabs>
          <w:tab w:val="left" w:pos="1701"/>
          <w:tab w:val="left" w:pos="1984"/>
          <w:tab w:val="left" w:leader="dot" w:pos="8787"/>
          <w:tab w:val="right" w:pos="9638"/>
        </w:tabs>
        <w:spacing w:after="120"/>
      </w:pPr>
      <w:r>
        <w:tab/>
        <w:t>Демографические, экономические, социальные и культурные показатели</w:t>
      </w:r>
      <w:r w:rsidR="000B3881">
        <w:t xml:space="preserve"> </w:t>
      </w:r>
      <w:r>
        <w:tab/>
      </w:r>
      <w:r>
        <w:tab/>
        <w:t>4</w:t>
      </w:r>
    </w:p>
    <w:p w14:paraId="203F1364" w14:textId="77777777" w:rsidR="009C2230" w:rsidRPr="003028E3" w:rsidRDefault="009C2230" w:rsidP="00303371">
      <w:pPr>
        <w:tabs>
          <w:tab w:val="left" w:pos="1701"/>
          <w:tab w:val="left" w:pos="1984"/>
          <w:tab w:val="left" w:leader="dot" w:pos="8787"/>
          <w:tab w:val="right" w:pos="9638"/>
        </w:tabs>
        <w:spacing w:after="120"/>
      </w:pPr>
      <w:r w:rsidRPr="007422D6">
        <w:tab/>
        <w:t>Конституционная, политическая и правовая система ОАРГ</w:t>
      </w:r>
      <w:r w:rsidR="000B3881">
        <w:t xml:space="preserve"> </w:t>
      </w:r>
      <w:r w:rsidR="000B3881">
        <w:tab/>
      </w:r>
      <w:r w:rsidR="000B3881">
        <w:tab/>
      </w:r>
      <w:r w:rsidRPr="007422D6">
        <w:t>4</w:t>
      </w:r>
    </w:p>
    <w:p w14:paraId="2ED79EBF" w14:textId="77777777" w:rsidR="009C2230" w:rsidRPr="003028E3" w:rsidRDefault="009C2230" w:rsidP="003E45D7">
      <w:pPr>
        <w:tabs>
          <w:tab w:val="left" w:pos="2268"/>
          <w:tab w:val="left" w:pos="2835"/>
          <w:tab w:val="left" w:leader="dot" w:pos="8787"/>
          <w:tab w:val="right" w:pos="9638"/>
        </w:tabs>
        <w:spacing w:after="120"/>
      </w:pPr>
      <w:r w:rsidRPr="007422D6">
        <w:tab/>
        <w:t>Основной закон ОАРГ</w:t>
      </w:r>
      <w:r w:rsidR="000B3881">
        <w:t xml:space="preserve"> </w:t>
      </w:r>
      <w:r w:rsidR="000B3881">
        <w:tab/>
      </w:r>
      <w:r w:rsidR="000B3881">
        <w:tab/>
      </w:r>
      <w:r w:rsidRPr="007422D6">
        <w:t>4</w:t>
      </w:r>
    </w:p>
    <w:p w14:paraId="20F1E0CD" w14:textId="77777777" w:rsidR="009C2230" w:rsidRPr="0021227D" w:rsidRDefault="009C2230" w:rsidP="003E45D7">
      <w:pPr>
        <w:tabs>
          <w:tab w:val="left" w:pos="2268"/>
          <w:tab w:val="left" w:pos="2835"/>
          <w:tab w:val="left" w:leader="dot" w:pos="8787"/>
          <w:tab w:val="right" w:pos="9638"/>
        </w:tabs>
        <w:spacing w:after="120"/>
      </w:pPr>
      <w:r>
        <w:tab/>
        <w:t>Политическая система</w:t>
      </w:r>
      <w:r w:rsidR="000B3881">
        <w:t xml:space="preserve"> </w:t>
      </w:r>
      <w:r w:rsidR="000B3881">
        <w:tab/>
      </w:r>
      <w:r w:rsidR="000B3881">
        <w:tab/>
      </w:r>
      <w:r w:rsidR="000B3881" w:rsidRPr="0021227D">
        <w:t>6</w:t>
      </w:r>
    </w:p>
    <w:p w14:paraId="7A49E306" w14:textId="77777777" w:rsidR="009C2230" w:rsidRPr="003028E3" w:rsidRDefault="009C2230" w:rsidP="003E45D7">
      <w:pPr>
        <w:tabs>
          <w:tab w:val="left" w:pos="2268"/>
          <w:tab w:val="left" w:pos="2835"/>
          <w:tab w:val="left" w:leader="dot" w:pos="8787"/>
          <w:tab w:val="right" w:pos="9638"/>
        </w:tabs>
        <w:spacing w:after="120"/>
      </w:pPr>
      <w:r w:rsidRPr="007422D6">
        <w:tab/>
        <w:t>Отправление правосудия</w:t>
      </w:r>
      <w:r w:rsidR="000B3881">
        <w:t xml:space="preserve"> </w:t>
      </w:r>
      <w:r w:rsidR="000B3881">
        <w:tab/>
      </w:r>
      <w:r w:rsidR="000B3881">
        <w:tab/>
      </w:r>
      <w:r w:rsidRPr="007422D6">
        <w:t>8</w:t>
      </w:r>
    </w:p>
    <w:p w14:paraId="7F97531D" w14:textId="77777777" w:rsidR="009C2230" w:rsidRPr="0021227D" w:rsidRDefault="009C2230" w:rsidP="003E45D7">
      <w:pPr>
        <w:tabs>
          <w:tab w:val="left" w:pos="2268"/>
          <w:tab w:val="left" w:pos="2835"/>
          <w:tab w:val="left" w:leader="dot" w:pos="8787"/>
          <w:tab w:val="right" w:pos="9638"/>
        </w:tabs>
        <w:spacing w:after="120"/>
      </w:pPr>
      <w:r w:rsidRPr="007422D6">
        <w:tab/>
        <w:t>Неправительственные организации</w:t>
      </w:r>
      <w:r w:rsidR="000B3881">
        <w:t xml:space="preserve"> </w:t>
      </w:r>
      <w:r w:rsidR="000B3881">
        <w:tab/>
      </w:r>
      <w:r w:rsidR="000B3881">
        <w:tab/>
      </w:r>
      <w:r w:rsidRPr="007422D6">
        <w:t>1</w:t>
      </w:r>
      <w:r w:rsidR="0021227D" w:rsidRPr="0021227D">
        <w:t>1</w:t>
      </w:r>
    </w:p>
    <w:p w14:paraId="6B5C7C23" w14:textId="77777777" w:rsidR="009C2230" w:rsidRPr="0021227D" w:rsidRDefault="009C2230" w:rsidP="003E45D7">
      <w:pPr>
        <w:tabs>
          <w:tab w:val="left" w:pos="1701"/>
          <w:tab w:val="left" w:pos="1984"/>
          <w:tab w:val="left" w:leader="dot" w:pos="8787"/>
          <w:tab w:val="right" w:pos="9638"/>
        </w:tabs>
        <w:spacing w:after="120"/>
      </w:pPr>
      <w:r>
        <w:tab/>
        <w:t xml:space="preserve">Общая основа защиты и поощрения прав человека </w:t>
      </w:r>
      <w:r w:rsidR="000B3881">
        <w:tab/>
      </w:r>
      <w:r w:rsidR="000B3881">
        <w:tab/>
      </w:r>
      <w:r>
        <w:t>1</w:t>
      </w:r>
      <w:r w:rsidR="0021227D" w:rsidRPr="0021227D">
        <w:t>1</w:t>
      </w:r>
    </w:p>
    <w:p w14:paraId="56134D9D" w14:textId="77777777" w:rsidR="009C2230" w:rsidRPr="0021227D" w:rsidRDefault="009C2230" w:rsidP="003E45D7">
      <w:pPr>
        <w:tabs>
          <w:tab w:val="left" w:pos="2268"/>
          <w:tab w:val="left" w:pos="2835"/>
          <w:tab w:val="left" w:leader="dot" w:pos="8787"/>
          <w:tab w:val="right" w:pos="9638"/>
        </w:tabs>
        <w:spacing w:after="120"/>
        <w:ind w:left="2268" w:hanging="2268"/>
      </w:pPr>
      <w:r w:rsidRPr="007422D6">
        <w:tab/>
      </w:r>
      <w:r w:rsidR="00BF0053" w:rsidRPr="003E45D7">
        <w:t>Применение</w:t>
      </w:r>
      <w:r w:rsidR="00BF0053" w:rsidRPr="007422D6">
        <w:rPr>
          <w:bCs/>
        </w:rPr>
        <w:t xml:space="preserve"> международных договоров по правам</w:t>
      </w:r>
      <w:r w:rsidR="003E45D7">
        <w:rPr>
          <w:bCs/>
        </w:rPr>
        <w:t xml:space="preserve"> </w:t>
      </w:r>
      <w:r w:rsidR="00BF0053" w:rsidRPr="007422D6">
        <w:rPr>
          <w:bCs/>
        </w:rPr>
        <w:t>человека в</w:t>
      </w:r>
      <w:r w:rsidR="00BF0053">
        <w:rPr>
          <w:bCs/>
        </w:rPr>
        <w:t xml:space="preserve"> </w:t>
      </w:r>
      <w:proofErr w:type="spellStart"/>
      <w:r w:rsidR="00BF0053" w:rsidRPr="007422D6">
        <w:rPr>
          <w:bCs/>
        </w:rPr>
        <w:t>ОАРГ</w:t>
      </w:r>
      <w:proofErr w:type="spellEnd"/>
      <w:r w:rsidRPr="007422D6">
        <w:t xml:space="preserve"> </w:t>
      </w:r>
      <w:r w:rsidR="000B3881">
        <w:tab/>
      </w:r>
      <w:r w:rsidR="000B3881">
        <w:tab/>
      </w:r>
      <w:r w:rsidRPr="007422D6">
        <w:t>1</w:t>
      </w:r>
      <w:r w:rsidR="0021227D" w:rsidRPr="0021227D">
        <w:t>1</w:t>
      </w:r>
    </w:p>
    <w:p w14:paraId="3D956676" w14:textId="77777777" w:rsidR="009C2230" w:rsidRPr="003028E3" w:rsidRDefault="009C2230" w:rsidP="003E45D7">
      <w:pPr>
        <w:tabs>
          <w:tab w:val="left" w:pos="1701"/>
          <w:tab w:val="left" w:pos="1984"/>
          <w:tab w:val="left" w:leader="dot" w:pos="8787"/>
          <w:tab w:val="right" w:pos="9638"/>
        </w:tabs>
        <w:spacing w:after="120"/>
      </w:pPr>
      <w:r w:rsidRPr="007422D6">
        <w:tab/>
        <w:t xml:space="preserve">Правовые основы защиты прав человека </w:t>
      </w:r>
      <w:r w:rsidR="000B3881">
        <w:tab/>
      </w:r>
      <w:r w:rsidR="000B3881">
        <w:tab/>
      </w:r>
      <w:r w:rsidRPr="007422D6">
        <w:t>11</w:t>
      </w:r>
    </w:p>
    <w:p w14:paraId="2788A252" w14:textId="77777777" w:rsidR="009C2230" w:rsidRPr="003028E3" w:rsidRDefault="009C2230" w:rsidP="003E45D7">
      <w:pPr>
        <w:tabs>
          <w:tab w:val="left" w:pos="2268"/>
          <w:tab w:val="left" w:pos="2835"/>
          <w:tab w:val="left" w:leader="dot" w:pos="8787"/>
          <w:tab w:val="right" w:pos="9638"/>
        </w:tabs>
        <w:spacing w:after="120"/>
        <w:ind w:left="2268" w:hanging="2268"/>
      </w:pPr>
      <w:r w:rsidRPr="007422D6">
        <w:tab/>
      </w:r>
      <w:r w:rsidR="00BF0053" w:rsidRPr="003E45D7">
        <w:t>Верховенство</w:t>
      </w:r>
      <w:r w:rsidR="00BF0053" w:rsidRPr="007422D6">
        <w:rPr>
          <w:bCs/>
        </w:rPr>
        <w:t xml:space="preserve"> права</w:t>
      </w:r>
      <w:r w:rsidRPr="007422D6">
        <w:t xml:space="preserve"> </w:t>
      </w:r>
      <w:r w:rsidR="000B3881">
        <w:tab/>
      </w:r>
      <w:r w:rsidR="000B3881">
        <w:tab/>
      </w:r>
      <w:r w:rsidRPr="007422D6">
        <w:t>11</w:t>
      </w:r>
    </w:p>
    <w:p w14:paraId="3FC7FB61" w14:textId="77777777" w:rsidR="009C2230" w:rsidRPr="0021227D" w:rsidRDefault="009C2230" w:rsidP="003E45D7">
      <w:pPr>
        <w:tabs>
          <w:tab w:val="left" w:pos="2268"/>
          <w:tab w:val="left" w:pos="2835"/>
          <w:tab w:val="left" w:leader="dot" w:pos="8787"/>
          <w:tab w:val="right" w:pos="9638"/>
        </w:tabs>
        <w:spacing w:after="120"/>
        <w:ind w:left="2268" w:hanging="2268"/>
      </w:pPr>
      <w:r>
        <w:tab/>
        <w:t xml:space="preserve">Гарантии прав человека в Основном законе </w:t>
      </w:r>
      <w:r w:rsidR="000B3881">
        <w:tab/>
      </w:r>
      <w:r w:rsidR="000B3881">
        <w:tab/>
      </w:r>
      <w:r>
        <w:t>1</w:t>
      </w:r>
      <w:r w:rsidR="0021227D" w:rsidRPr="0021227D">
        <w:t>2</w:t>
      </w:r>
    </w:p>
    <w:p w14:paraId="76039F09" w14:textId="77777777" w:rsidR="009C2230" w:rsidRPr="0021227D" w:rsidRDefault="009C2230" w:rsidP="003E45D7">
      <w:pPr>
        <w:tabs>
          <w:tab w:val="left" w:pos="2268"/>
          <w:tab w:val="left" w:pos="2835"/>
          <w:tab w:val="left" w:leader="dot" w:pos="8787"/>
          <w:tab w:val="right" w:pos="9638"/>
        </w:tabs>
        <w:spacing w:after="120"/>
        <w:ind w:left="2268" w:hanging="2268"/>
      </w:pPr>
      <w:r w:rsidRPr="007422D6">
        <w:tab/>
      </w:r>
      <w:r w:rsidR="00BF0053" w:rsidRPr="003E45D7">
        <w:t>Место</w:t>
      </w:r>
      <w:r w:rsidR="00BF0053" w:rsidRPr="007422D6">
        <w:rPr>
          <w:bCs/>
        </w:rPr>
        <w:t xml:space="preserve"> других договоров о правах человека в законодательстве</w:t>
      </w:r>
      <w:r w:rsidR="003E45D7">
        <w:rPr>
          <w:bCs/>
        </w:rPr>
        <w:t xml:space="preserve"> </w:t>
      </w:r>
      <w:proofErr w:type="spellStart"/>
      <w:r w:rsidR="00BF0053" w:rsidRPr="007422D6">
        <w:rPr>
          <w:bCs/>
        </w:rPr>
        <w:t>ОАРГ</w:t>
      </w:r>
      <w:proofErr w:type="spellEnd"/>
      <w:r w:rsidRPr="007422D6">
        <w:t xml:space="preserve"> </w:t>
      </w:r>
      <w:r w:rsidR="000B3881">
        <w:tab/>
      </w:r>
      <w:r w:rsidR="000B3881">
        <w:tab/>
      </w:r>
      <w:r w:rsidRPr="007422D6">
        <w:t>1</w:t>
      </w:r>
      <w:r w:rsidR="0021227D" w:rsidRPr="0021227D">
        <w:t>3</w:t>
      </w:r>
    </w:p>
    <w:p w14:paraId="03F92491" w14:textId="77777777" w:rsidR="009C2230" w:rsidRPr="0021227D" w:rsidRDefault="009C2230" w:rsidP="003E45D7">
      <w:pPr>
        <w:tabs>
          <w:tab w:val="left" w:pos="2268"/>
          <w:tab w:val="left" w:pos="2835"/>
          <w:tab w:val="left" w:leader="dot" w:pos="8787"/>
          <w:tab w:val="right" w:pos="9638"/>
        </w:tabs>
        <w:spacing w:after="120"/>
        <w:ind w:left="2268" w:hanging="2268"/>
      </w:pPr>
      <w:r w:rsidRPr="007422D6">
        <w:tab/>
        <w:t xml:space="preserve">Закон </w:t>
      </w:r>
      <w:r w:rsidR="00FC02E8">
        <w:t>«</w:t>
      </w:r>
      <w:r w:rsidRPr="007422D6">
        <w:t>О Билле о правах Гонконга</w:t>
      </w:r>
      <w:r w:rsidR="00FC02E8">
        <w:t>»</w:t>
      </w:r>
      <w:r w:rsidRPr="007422D6">
        <w:t xml:space="preserve"> </w:t>
      </w:r>
      <w:r w:rsidR="000B3881">
        <w:tab/>
      </w:r>
      <w:r w:rsidR="000B3881">
        <w:tab/>
      </w:r>
      <w:r w:rsidRPr="007422D6">
        <w:t>1</w:t>
      </w:r>
      <w:r w:rsidR="0021227D" w:rsidRPr="0021227D">
        <w:t>3</w:t>
      </w:r>
    </w:p>
    <w:p w14:paraId="07FC91BE" w14:textId="77777777" w:rsidR="009C2230" w:rsidRPr="00C97E6D" w:rsidRDefault="009C2230" w:rsidP="003E45D7">
      <w:pPr>
        <w:tabs>
          <w:tab w:val="left" w:pos="2268"/>
          <w:tab w:val="left" w:pos="2835"/>
          <w:tab w:val="left" w:leader="dot" w:pos="8787"/>
          <w:tab w:val="right" w:pos="9638"/>
        </w:tabs>
        <w:spacing w:after="120"/>
        <w:ind w:left="2268" w:hanging="2268"/>
      </w:pPr>
      <w:r w:rsidRPr="007422D6">
        <w:tab/>
        <w:t xml:space="preserve">Юридическая помощь </w:t>
      </w:r>
      <w:r w:rsidR="000B3881">
        <w:tab/>
      </w:r>
      <w:r w:rsidR="000B3881">
        <w:tab/>
      </w:r>
      <w:r w:rsidRPr="007422D6">
        <w:t>1</w:t>
      </w:r>
      <w:r w:rsidR="0021227D" w:rsidRPr="00C97E6D">
        <w:t>3</w:t>
      </w:r>
    </w:p>
    <w:p w14:paraId="7F6FC8F0" w14:textId="77777777" w:rsidR="009C2230" w:rsidRPr="00C97E6D" w:rsidRDefault="009C2230" w:rsidP="003E45D7">
      <w:pPr>
        <w:tabs>
          <w:tab w:val="left" w:pos="2268"/>
          <w:tab w:val="left" w:pos="2835"/>
          <w:tab w:val="left" w:leader="dot" w:pos="8787"/>
          <w:tab w:val="right" w:pos="9638"/>
        </w:tabs>
        <w:spacing w:after="120"/>
        <w:ind w:left="2268" w:hanging="2268"/>
      </w:pPr>
      <w:r w:rsidRPr="007422D6">
        <w:tab/>
      </w:r>
      <w:r w:rsidR="00BF0053" w:rsidRPr="007422D6">
        <w:rPr>
          <w:bCs/>
        </w:rPr>
        <w:t>Бюро омбудсмена</w:t>
      </w:r>
      <w:r w:rsidRPr="007422D6">
        <w:t xml:space="preserve"> </w:t>
      </w:r>
      <w:r w:rsidR="000B3881">
        <w:tab/>
      </w:r>
      <w:r w:rsidR="0021227D">
        <w:tab/>
      </w:r>
      <w:r w:rsidRPr="007422D6">
        <w:t>1</w:t>
      </w:r>
      <w:r w:rsidR="00C97E6D" w:rsidRPr="00C97E6D">
        <w:t>4</w:t>
      </w:r>
    </w:p>
    <w:p w14:paraId="7E7C91C0" w14:textId="77777777" w:rsidR="009C2230" w:rsidRPr="00C97E6D" w:rsidRDefault="009C2230" w:rsidP="003E45D7">
      <w:pPr>
        <w:tabs>
          <w:tab w:val="left" w:pos="2268"/>
          <w:tab w:val="left" w:pos="2835"/>
          <w:tab w:val="left" w:leader="dot" w:pos="8787"/>
          <w:tab w:val="right" w:pos="9638"/>
        </w:tabs>
        <w:spacing w:after="120"/>
        <w:ind w:left="2268" w:hanging="2268"/>
      </w:pPr>
      <w:r>
        <w:tab/>
        <w:t xml:space="preserve">Комиссия по равным возможностям </w:t>
      </w:r>
      <w:r w:rsidR="000B3881">
        <w:tab/>
      </w:r>
      <w:r w:rsidR="000B3881">
        <w:tab/>
      </w:r>
      <w:r>
        <w:t>1</w:t>
      </w:r>
      <w:r w:rsidR="00C97E6D" w:rsidRPr="00C97E6D">
        <w:t>5</w:t>
      </w:r>
    </w:p>
    <w:p w14:paraId="0BF0689E" w14:textId="77777777" w:rsidR="009C2230" w:rsidRPr="00C97E6D" w:rsidRDefault="009C2230" w:rsidP="003E45D7">
      <w:pPr>
        <w:tabs>
          <w:tab w:val="left" w:pos="2268"/>
          <w:tab w:val="left" w:pos="2835"/>
          <w:tab w:val="left" w:leader="dot" w:pos="8787"/>
          <w:tab w:val="right" w:pos="9638"/>
        </w:tabs>
        <w:spacing w:after="120"/>
        <w:ind w:left="2268" w:hanging="2268"/>
      </w:pPr>
      <w:r w:rsidRPr="007422D6">
        <w:tab/>
      </w:r>
      <w:r w:rsidR="00BF0053" w:rsidRPr="007422D6">
        <w:rPr>
          <w:bCs/>
        </w:rPr>
        <w:t>Уполномоченный по защите конфиденциальности</w:t>
      </w:r>
      <w:r w:rsidR="003E45D7">
        <w:rPr>
          <w:bCs/>
        </w:rPr>
        <w:t xml:space="preserve"> </w:t>
      </w:r>
      <w:r w:rsidR="00BF0053" w:rsidRPr="007422D6">
        <w:rPr>
          <w:bCs/>
        </w:rPr>
        <w:t>персональных</w:t>
      </w:r>
      <w:r w:rsidR="003E45D7">
        <w:rPr>
          <w:bCs/>
        </w:rPr>
        <w:br/>
      </w:r>
      <w:r w:rsidR="00BF0053" w:rsidRPr="007422D6">
        <w:rPr>
          <w:bCs/>
        </w:rPr>
        <w:t>данных</w:t>
      </w:r>
      <w:r w:rsidRPr="007422D6">
        <w:t xml:space="preserve"> </w:t>
      </w:r>
      <w:r w:rsidR="000B3881">
        <w:tab/>
      </w:r>
      <w:r w:rsidR="000B3881">
        <w:tab/>
      </w:r>
      <w:r w:rsidRPr="007422D6">
        <w:t>1</w:t>
      </w:r>
      <w:r w:rsidR="00C97E6D" w:rsidRPr="00C97E6D">
        <w:t>5</w:t>
      </w:r>
    </w:p>
    <w:p w14:paraId="20EA1E3D" w14:textId="77777777" w:rsidR="009C2230" w:rsidRPr="00C97E6D" w:rsidRDefault="009C2230" w:rsidP="003E45D7">
      <w:pPr>
        <w:tabs>
          <w:tab w:val="left" w:pos="2268"/>
          <w:tab w:val="left" w:pos="2835"/>
          <w:tab w:val="left" w:leader="dot" w:pos="8787"/>
          <w:tab w:val="right" w:pos="9638"/>
        </w:tabs>
        <w:spacing w:after="120"/>
        <w:ind w:left="2268" w:hanging="2268"/>
      </w:pPr>
      <w:r w:rsidRPr="007422D6">
        <w:tab/>
      </w:r>
      <w:r w:rsidRPr="003E45D7">
        <w:rPr>
          <w:bCs/>
        </w:rPr>
        <w:t>Жалобы</w:t>
      </w:r>
      <w:r w:rsidRPr="007422D6">
        <w:t xml:space="preserve"> и расследования </w:t>
      </w:r>
      <w:r w:rsidR="000B3881">
        <w:tab/>
      </w:r>
      <w:r w:rsidR="000B3881">
        <w:tab/>
      </w:r>
      <w:r w:rsidRPr="007422D6">
        <w:t>1</w:t>
      </w:r>
      <w:r w:rsidR="00C97E6D" w:rsidRPr="00C97E6D">
        <w:t>6</w:t>
      </w:r>
    </w:p>
    <w:p w14:paraId="5096BD69" w14:textId="77777777" w:rsidR="009C2230" w:rsidRPr="00C97E6D" w:rsidRDefault="009C2230" w:rsidP="003E45D7">
      <w:pPr>
        <w:tabs>
          <w:tab w:val="left" w:pos="1701"/>
          <w:tab w:val="left" w:pos="1984"/>
          <w:tab w:val="left" w:leader="dot" w:pos="8787"/>
          <w:tab w:val="right" w:pos="9638"/>
        </w:tabs>
        <w:spacing w:after="120"/>
      </w:pPr>
      <w:r w:rsidRPr="007422D6">
        <w:tab/>
        <w:t xml:space="preserve">Основа поощрения прав человека </w:t>
      </w:r>
      <w:r w:rsidR="000B3881">
        <w:tab/>
      </w:r>
      <w:r w:rsidR="000B3881">
        <w:tab/>
      </w:r>
      <w:r w:rsidRPr="007422D6">
        <w:t>1</w:t>
      </w:r>
      <w:r w:rsidR="00C97E6D" w:rsidRPr="00C97E6D">
        <w:t>7</w:t>
      </w:r>
    </w:p>
    <w:p w14:paraId="41ED4846" w14:textId="77777777" w:rsidR="009C2230" w:rsidRPr="00C97E6D" w:rsidRDefault="009C2230" w:rsidP="003E45D7">
      <w:pPr>
        <w:tabs>
          <w:tab w:val="left" w:pos="2268"/>
          <w:tab w:val="left" w:pos="2835"/>
          <w:tab w:val="left" w:leader="dot" w:pos="8787"/>
          <w:tab w:val="right" w:pos="9638"/>
        </w:tabs>
        <w:spacing w:after="120"/>
        <w:ind w:left="2268" w:hanging="2268"/>
      </w:pPr>
      <w:r w:rsidRPr="007422D6">
        <w:tab/>
        <w:t>Повышение осведомленности общественности о договорах</w:t>
      </w:r>
      <w:r w:rsidR="000B3881">
        <w:br/>
      </w:r>
      <w:r w:rsidRPr="007422D6">
        <w:t xml:space="preserve">о </w:t>
      </w:r>
      <w:r w:rsidRPr="003E45D7">
        <w:rPr>
          <w:bCs/>
        </w:rPr>
        <w:t>правах</w:t>
      </w:r>
      <w:r w:rsidRPr="007422D6">
        <w:t xml:space="preserve"> человека </w:t>
      </w:r>
      <w:r w:rsidR="000B3881">
        <w:tab/>
      </w:r>
      <w:r w:rsidR="000B3881">
        <w:tab/>
      </w:r>
      <w:r w:rsidRPr="007422D6">
        <w:t>1</w:t>
      </w:r>
      <w:r w:rsidR="00C97E6D" w:rsidRPr="00C97E6D">
        <w:t>7</w:t>
      </w:r>
    </w:p>
    <w:p w14:paraId="46FA8B2F" w14:textId="77777777" w:rsidR="009C2230" w:rsidRPr="00C97E6D" w:rsidRDefault="009C2230" w:rsidP="003E45D7">
      <w:pPr>
        <w:tabs>
          <w:tab w:val="left" w:pos="2268"/>
          <w:tab w:val="left" w:pos="2835"/>
          <w:tab w:val="left" w:leader="dot" w:pos="8787"/>
          <w:tab w:val="right" w:pos="9638"/>
        </w:tabs>
        <w:spacing w:after="120"/>
        <w:ind w:left="2268" w:hanging="2268"/>
      </w:pPr>
      <w:r>
        <w:tab/>
      </w:r>
      <w:r w:rsidR="00BF0053" w:rsidRPr="007422D6">
        <w:rPr>
          <w:bCs/>
        </w:rPr>
        <w:t>Процесс подготовки и представления докладов</w:t>
      </w:r>
      <w:r>
        <w:t xml:space="preserve"> </w:t>
      </w:r>
      <w:r w:rsidR="000B3881">
        <w:tab/>
      </w:r>
      <w:r w:rsidR="000B3881">
        <w:tab/>
      </w:r>
      <w:r w:rsidR="00C97E6D" w:rsidRPr="00C97E6D">
        <w:t>21</w:t>
      </w:r>
    </w:p>
    <w:p w14:paraId="14BA572E" w14:textId="77777777" w:rsidR="009C2230" w:rsidRPr="00C97E6D" w:rsidRDefault="009C2230" w:rsidP="003E45D7">
      <w:pPr>
        <w:tabs>
          <w:tab w:val="left" w:pos="2268"/>
          <w:tab w:val="left" w:pos="2835"/>
          <w:tab w:val="left" w:leader="dot" w:pos="8787"/>
          <w:tab w:val="right" w:pos="9638"/>
        </w:tabs>
        <w:spacing w:after="120"/>
        <w:ind w:left="2268" w:hanging="2268"/>
      </w:pPr>
      <w:r w:rsidRPr="007422D6">
        <w:tab/>
      </w:r>
      <w:r w:rsidRPr="003E45D7">
        <w:rPr>
          <w:bCs/>
        </w:rPr>
        <w:t>Информация</w:t>
      </w:r>
      <w:r w:rsidRPr="007422D6">
        <w:t xml:space="preserve"> о недискриминации и равенстве </w:t>
      </w:r>
      <w:r w:rsidR="000B3881">
        <w:tab/>
      </w:r>
      <w:r w:rsidR="000B3881">
        <w:tab/>
      </w:r>
      <w:r w:rsidR="00C97E6D" w:rsidRPr="00C97E6D">
        <w:t>22</w:t>
      </w:r>
    </w:p>
    <w:p w14:paraId="4BAF2FAA" w14:textId="77777777" w:rsidR="009C2230" w:rsidRPr="00C97E6D" w:rsidRDefault="009C2230" w:rsidP="003E45D7">
      <w:pPr>
        <w:tabs>
          <w:tab w:val="left" w:pos="2268"/>
          <w:tab w:val="left" w:pos="2835"/>
          <w:tab w:val="left" w:leader="dot" w:pos="8787"/>
          <w:tab w:val="right" w:pos="9638"/>
        </w:tabs>
        <w:spacing w:after="120"/>
        <w:ind w:left="2268" w:hanging="2268"/>
      </w:pPr>
      <w:r w:rsidRPr="007422D6">
        <w:tab/>
      </w:r>
      <w:r w:rsidR="000B3881" w:rsidRPr="003E45D7">
        <w:rPr>
          <w:bCs/>
        </w:rPr>
        <w:t>К</w:t>
      </w:r>
      <w:r w:rsidRPr="003E45D7">
        <w:rPr>
          <w:bCs/>
        </w:rPr>
        <w:t>омиссия</w:t>
      </w:r>
      <w:r w:rsidRPr="007422D6">
        <w:t xml:space="preserve"> по равным возможностям </w:t>
      </w:r>
      <w:r w:rsidR="000B3881">
        <w:tab/>
      </w:r>
      <w:r w:rsidR="000B3881">
        <w:tab/>
      </w:r>
      <w:r w:rsidRPr="007422D6">
        <w:t>2</w:t>
      </w:r>
      <w:r w:rsidR="00C97E6D" w:rsidRPr="00C97E6D">
        <w:t>2</w:t>
      </w:r>
    </w:p>
    <w:p w14:paraId="1AC47031" w14:textId="77777777" w:rsidR="009C2230" w:rsidRPr="00C97E6D" w:rsidRDefault="009C2230" w:rsidP="003E45D7">
      <w:pPr>
        <w:tabs>
          <w:tab w:val="left" w:pos="2268"/>
          <w:tab w:val="left" w:pos="2835"/>
          <w:tab w:val="left" w:leader="dot" w:pos="8787"/>
          <w:tab w:val="right" w:pos="9638"/>
        </w:tabs>
        <w:spacing w:after="120"/>
        <w:ind w:left="2268" w:hanging="2268"/>
      </w:pPr>
      <w:r w:rsidRPr="007422D6">
        <w:tab/>
      </w:r>
      <w:r w:rsidRPr="003E45D7">
        <w:rPr>
          <w:bCs/>
        </w:rPr>
        <w:t>Поощрение</w:t>
      </w:r>
      <w:r w:rsidRPr="007422D6">
        <w:t xml:space="preserve"> недискриминации и равенства </w:t>
      </w:r>
      <w:r w:rsidR="000B3881">
        <w:tab/>
      </w:r>
      <w:r w:rsidR="000B3881">
        <w:tab/>
      </w:r>
      <w:r w:rsidRPr="007422D6">
        <w:t>2</w:t>
      </w:r>
      <w:r w:rsidR="00C97E6D" w:rsidRPr="00C97E6D">
        <w:t>4</w:t>
      </w:r>
    </w:p>
    <w:p w14:paraId="7D10BCB2" w14:textId="77777777" w:rsidR="009C2230" w:rsidRPr="003028E3" w:rsidRDefault="009C2230" w:rsidP="000B3881">
      <w:pPr>
        <w:pStyle w:val="HChG"/>
        <w:pageBreakBefore/>
      </w:pPr>
      <w:r>
        <w:tab/>
      </w:r>
      <w:r>
        <w:tab/>
      </w:r>
      <w:bookmarkStart w:id="2" w:name="_Toc12351610"/>
      <w:r w:rsidRPr="007422D6">
        <w:t>Перечень сокращений</w:t>
      </w:r>
      <w:bookmarkEnd w:id="2"/>
    </w:p>
    <w:p w14:paraId="06240203" w14:textId="77777777" w:rsidR="00FC02E8" w:rsidRPr="003028E3" w:rsidRDefault="00FC02E8" w:rsidP="00FC02E8">
      <w:pPr>
        <w:pStyle w:val="SingleTxtG"/>
        <w:ind w:left="3332" w:hanging="2198"/>
        <w:jc w:val="left"/>
      </w:pPr>
      <w:r w:rsidRPr="007422D6">
        <w:t>БПГ</w:t>
      </w:r>
      <w:r>
        <w:tab/>
      </w:r>
      <w:r w:rsidRPr="007422D6">
        <w:t>Билль о правах Гонконга</w:t>
      </w:r>
    </w:p>
    <w:p w14:paraId="2E6DDE9E" w14:textId="77777777" w:rsidR="00FC02E8" w:rsidRPr="003028E3" w:rsidRDefault="00FC02E8" w:rsidP="00FC02E8">
      <w:pPr>
        <w:pStyle w:val="SingleTxtG"/>
        <w:ind w:left="3332" w:hanging="2198"/>
        <w:jc w:val="left"/>
      </w:pPr>
      <w:r w:rsidRPr="007422D6">
        <w:t>БТС</w:t>
      </w:r>
      <w:r>
        <w:tab/>
      </w:r>
      <w:r w:rsidRPr="007422D6">
        <w:t>Бюро труда и социального обеспечения</w:t>
      </w:r>
    </w:p>
    <w:p w14:paraId="48022FB6" w14:textId="77777777" w:rsidR="00FC02E8" w:rsidRPr="003028E3" w:rsidRDefault="00FC02E8" w:rsidP="00FC02E8">
      <w:pPr>
        <w:pStyle w:val="SingleTxtG"/>
        <w:ind w:left="3332" w:hanging="2198"/>
        <w:jc w:val="left"/>
      </w:pPr>
      <w:r w:rsidRPr="007422D6">
        <w:t>ВВП</w:t>
      </w:r>
      <w:r w:rsidRPr="007422D6">
        <w:tab/>
        <w:t>валовой внутренний продукт</w:t>
      </w:r>
    </w:p>
    <w:p w14:paraId="16ED2A91" w14:textId="77777777" w:rsidR="00FC02E8" w:rsidRPr="003028E3" w:rsidRDefault="00FC02E8" w:rsidP="00FC02E8">
      <w:pPr>
        <w:pStyle w:val="SingleTxtG"/>
        <w:ind w:left="3332" w:hanging="2198"/>
        <w:jc w:val="left"/>
      </w:pPr>
      <w:r w:rsidRPr="007422D6">
        <w:t>ВНД</w:t>
      </w:r>
      <w:r>
        <w:tab/>
      </w:r>
      <w:r w:rsidRPr="007422D6">
        <w:t>Валовой национальный доход</w:t>
      </w:r>
    </w:p>
    <w:p w14:paraId="2386C12A" w14:textId="77777777" w:rsidR="00FC02E8" w:rsidRPr="003028E3" w:rsidRDefault="00FC02E8" w:rsidP="00FC02E8">
      <w:pPr>
        <w:pStyle w:val="SingleTxtG"/>
        <w:ind w:left="3332" w:hanging="2198"/>
        <w:jc w:val="left"/>
      </w:pPr>
      <w:r w:rsidRPr="007422D6">
        <w:t>ВСНП</w:t>
      </w:r>
      <w:r w:rsidRPr="007422D6">
        <w:tab/>
        <w:t>Всекитайское собрание народных представителей</w:t>
      </w:r>
    </w:p>
    <w:p w14:paraId="03AD1C7D" w14:textId="77777777" w:rsidR="00FC02E8" w:rsidRPr="003028E3" w:rsidRDefault="00FC02E8" w:rsidP="00FC02E8">
      <w:pPr>
        <w:pStyle w:val="SingleTxtG"/>
        <w:ind w:left="3332" w:hanging="2198"/>
        <w:jc w:val="left"/>
      </w:pPr>
      <w:r w:rsidRPr="007422D6">
        <w:t>ДИС</w:t>
      </w:r>
      <w:r>
        <w:tab/>
      </w:r>
      <w:r w:rsidRPr="007422D6">
        <w:t>Департамент исправительных служб</w:t>
      </w:r>
    </w:p>
    <w:p w14:paraId="232A8BAD" w14:textId="77777777" w:rsidR="00FC02E8" w:rsidRPr="003028E3" w:rsidRDefault="00FC02E8" w:rsidP="00FC02E8">
      <w:pPr>
        <w:pStyle w:val="SingleTxtG"/>
        <w:ind w:left="3332" w:hanging="2198"/>
        <w:jc w:val="left"/>
      </w:pPr>
      <w:r w:rsidRPr="007422D6">
        <w:t>ЖП</w:t>
      </w:r>
      <w:r>
        <w:tab/>
      </w:r>
      <w:r w:rsidRPr="007422D6">
        <w:t>жалобы на полицию</w:t>
      </w:r>
    </w:p>
    <w:p w14:paraId="323D4264" w14:textId="77777777" w:rsidR="00FC02E8" w:rsidRPr="003028E3" w:rsidRDefault="00FC02E8" w:rsidP="00FC02E8">
      <w:pPr>
        <w:pStyle w:val="SingleTxtG"/>
        <w:ind w:left="3332" w:hanging="2198"/>
        <w:jc w:val="left"/>
      </w:pPr>
      <w:r w:rsidRPr="007422D6">
        <w:t>Заксовет</w:t>
      </w:r>
      <w:r>
        <w:tab/>
      </w:r>
      <w:r w:rsidRPr="007422D6">
        <w:t>Законодательный совет</w:t>
      </w:r>
    </w:p>
    <w:p w14:paraId="7328C84C" w14:textId="77777777" w:rsidR="00FC02E8" w:rsidRPr="003028E3" w:rsidRDefault="00FC02E8" w:rsidP="00FC02E8">
      <w:pPr>
        <w:pStyle w:val="SingleTxtG"/>
        <w:ind w:left="3332" w:hanging="2198"/>
        <w:jc w:val="left"/>
      </w:pPr>
      <w:r w:rsidRPr="007422D6">
        <w:t>ЗБПГ</w:t>
      </w:r>
      <w:r w:rsidRPr="007422D6">
        <w:tab/>
        <w:t xml:space="preserve">Закон </w:t>
      </w:r>
      <w:r>
        <w:t>«</w:t>
      </w:r>
      <w:r w:rsidRPr="007422D6">
        <w:t>О Билле о правах Гонконга</w:t>
      </w:r>
      <w:r>
        <w:t>»</w:t>
      </w:r>
      <w:r w:rsidRPr="007422D6">
        <w:t xml:space="preserve"> (раздел 383 свод</w:t>
      </w:r>
      <w:r>
        <w:t>а</w:t>
      </w:r>
      <w:r w:rsidRPr="007422D6">
        <w:t xml:space="preserve"> законов)</w:t>
      </w:r>
    </w:p>
    <w:p w14:paraId="7E9900DE" w14:textId="77777777" w:rsidR="00FC02E8" w:rsidRPr="003028E3" w:rsidRDefault="00FC02E8" w:rsidP="00FC02E8">
      <w:pPr>
        <w:pStyle w:val="SingleTxtG"/>
        <w:ind w:left="3332" w:hanging="2198"/>
        <w:jc w:val="left"/>
      </w:pPr>
      <w:r w:rsidRPr="007422D6">
        <w:rPr>
          <w:rFonts w:hint="eastAsia"/>
        </w:rPr>
        <w:t>ЗДИ</w:t>
      </w:r>
      <w:r w:rsidRPr="007422D6">
        <w:rPr>
          <w:rFonts w:hint="eastAsia"/>
        </w:rPr>
        <w:tab/>
        <w:t xml:space="preserve">Закон </w:t>
      </w:r>
      <w:r>
        <w:t>«</w:t>
      </w:r>
      <w:r w:rsidRPr="007422D6">
        <w:rPr>
          <w:rFonts w:hint="eastAsia"/>
        </w:rPr>
        <w:t>О дискриминации на почве инвалидности</w:t>
      </w:r>
      <w:r>
        <w:t>»</w:t>
      </w:r>
      <w:r>
        <w:br/>
      </w:r>
      <w:r w:rsidRPr="007422D6">
        <w:rPr>
          <w:rFonts w:hint="eastAsia"/>
        </w:rPr>
        <w:t>(раздел 487 свода законов)</w:t>
      </w:r>
    </w:p>
    <w:p w14:paraId="4EC34F31" w14:textId="77777777" w:rsidR="00FC02E8" w:rsidRPr="003028E3" w:rsidRDefault="00FC02E8" w:rsidP="00FC02E8">
      <w:pPr>
        <w:pStyle w:val="SingleTxtG"/>
        <w:ind w:left="3332" w:hanging="2198"/>
        <w:jc w:val="left"/>
      </w:pPr>
      <w:r>
        <w:rPr>
          <w:rFonts w:hint="eastAsia"/>
        </w:rPr>
        <w:t>ЗДП</w:t>
      </w:r>
      <w:r>
        <w:tab/>
      </w:r>
      <w:r w:rsidRPr="007422D6">
        <w:rPr>
          <w:rFonts w:hint="eastAsia"/>
        </w:rPr>
        <w:t>Закон о дискриминации по признаку пола</w:t>
      </w:r>
      <w:r>
        <w:br/>
      </w:r>
      <w:r w:rsidRPr="007422D6">
        <w:rPr>
          <w:rFonts w:hint="eastAsia"/>
        </w:rPr>
        <w:t>(раздел 480 свода законов)</w:t>
      </w:r>
    </w:p>
    <w:p w14:paraId="35C1DF19" w14:textId="77777777" w:rsidR="00FC02E8" w:rsidRPr="003028E3" w:rsidRDefault="00FC02E8" w:rsidP="00FC02E8">
      <w:pPr>
        <w:pStyle w:val="SingleTxtG"/>
        <w:ind w:left="3332" w:hanging="2198"/>
        <w:jc w:val="left"/>
      </w:pPr>
      <w:r w:rsidRPr="007422D6">
        <w:t>Исполсовет</w:t>
      </w:r>
      <w:r w:rsidRPr="007422D6">
        <w:tab/>
        <w:t>Исполнительный совет</w:t>
      </w:r>
    </w:p>
    <w:p w14:paraId="699882D1" w14:textId="77777777" w:rsidR="00FC02E8" w:rsidRPr="003028E3" w:rsidRDefault="00FC02E8" w:rsidP="00FC02E8">
      <w:pPr>
        <w:pStyle w:val="SingleTxtG"/>
        <w:ind w:left="3332" w:hanging="2198"/>
        <w:jc w:val="left"/>
      </w:pPr>
      <w:r w:rsidRPr="007422D6">
        <w:t>КЛДЖ</w:t>
      </w:r>
      <w:r>
        <w:tab/>
      </w:r>
      <w:r w:rsidRPr="007422D6">
        <w:t>Конвенция о ликвидации всех форм дискриминации</w:t>
      </w:r>
      <w:r>
        <w:br/>
      </w:r>
      <w:r w:rsidRPr="007422D6">
        <w:t>в отношении женщин</w:t>
      </w:r>
    </w:p>
    <w:p w14:paraId="1ADF89BC" w14:textId="77777777" w:rsidR="00FC02E8" w:rsidRPr="003028E3" w:rsidRDefault="00FC02E8" w:rsidP="00FC02E8">
      <w:pPr>
        <w:pStyle w:val="SingleTxtG"/>
        <w:ind w:left="3332" w:hanging="2198"/>
        <w:jc w:val="left"/>
      </w:pPr>
      <w:r w:rsidRPr="007422D6">
        <w:t>КПИ</w:t>
      </w:r>
      <w:r>
        <w:tab/>
      </w:r>
      <w:r w:rsidRPr="007422D6">
        <w:t>Конвенция о правах инвалидов</w:t>
      </w:r>
    </w:p>
    <w:p w14:paraId="0CB3A3CD" w14:textId="77777777" w:rsidR="00FC02E8" w:rsidRPr="003028E3" w:rsidRDefault="00FC02E8" w:rsidP="00FC02E8">
      <w:pPr>
        <w:pStyle w:val="SingleTxtG"/>
        <w:ind w:left="3332" w:hanging="2198"/>
        <w:jc w:val="left"/>
      </w:pPr>
      <w:r w:rsidRPr="007422D6">
        <w:t>КРВ</w:t>
      </w:r>
      <w:r>
        <w:tab/>
      </w:r>
      <w:r w:rsidRPr="007422D6">
        <w:t>Комиссия по равным возможностям</w:t>
      </w:r>
    </w:p>
    <w:p w14:paraId="629FB348" w14:textId="77777777" w:rsidR="00FC02E8" w:rsidRPr="003028E3" w:rsidRDefault="00FC02E8" w:rsidP="00FC02E8">
      <w:pPr>
        <w:pStyle w:val="SingleTxtG"/>
        <w:ind w:left="3332" w:hanging="2198"/>
        <w:jc w:val="left"/>
      </w:pPr>
      <w:r w:rsidRPr="007422D6">
        <w:t>МКБ</w:t>
      </w:r>
      <w:r w:rsidRPr="007422D6">
        <w:tab/>
        <w:t>Международная статистическая классификация болезней</w:t>
      </w:r>
      <w:r>
        <w:br/>
      </w:r>
      <w:r w:rsidRPr="007422D6">
        <w:t>и проблем со здоровьем</w:t>
      </w:r>
    </w:p>
    <w:p w14:paraId="23ADB9C2" w14:textId="77777777" w:rsidR="00FC02E8" w:rsidRPr="003028E3" w:rsidRDefault="00FC02E8" w:rsidP="00FC02E8">
      <w:pPr>
        <w:pStyle w:val="SingleTxtG"/>
        <w:ind w:left="3332" w:hanging="2198"/>
        <w:jc w:val="left"/>
      </w:pPr>
      <w:r w:rsidRPr="007422D6">
        <w:t>МПГПП</w:t>
      </w:r>
      <w:r w:rsidRPr="007422D6">
        <w:tab/>
        <w:t>Международный пакт о гражданских и политических правах</w:t>
      </w:r>
    </w:p>
    <w:p w14:paraId="5ABC10D4" w14:textId="77777777" w:rsidR="00FC02E8" w:rsidRPr="003028E3" w:rsidRDefault="00FC02E8" w:rsidP="00FC02E8">
      <w:pPr>
        <w:pStyle w:val="SingleTxtG"/>
        <w:ind w:left="3332" w:hanging="2198"/>
        <w:jc w:val="left"/>
      </w:pPr>
      <w:r w:rsidRPr="007422D6">
        <w:t>МПЭСКП</w:t>
      </w:r>
      <w:r>
        <w:tab/>
      </w:r>
      <w:r w:rsidRPr="007422D6">
        <w:t>Международный пакт об экономических, социальных</w:t>
      </w:r>
      <w:r>
        <w:br/>
      </w:r>
      <w:r w:rsidRPr="007422D6">
        <w:t>и культурных правах</w:t>
      </w:r>
    </w:p>
    <w:p w14:paraId="7BDE8E8C" w14:textId="77777777" w:rsidR="00FC02E8" w:rsidRPr="003028E3" w:rsidRDefault="00FC02E8" w:rsidP="00FC02E8">
      <w:pPr>
        <w:pStyle w:val="SingleTxtG"/>
        <w:ind w:left="3332" w:hanging="2198"/>
        <w:jc w:val="left"/>
      </w:pPr>
      <w:r w:rsidRPr="007422D6">
        <w:t>НКПК</w:t>
      </w:r>
      <w:r w:rsidRPr="007422D6">
        <w:tab/>
        <w:t>Независимая комиссия по борьбе с коррупцией</w:t>
      </w:r>
    </w:p>
    <w:p w14:paraId="240F8287" w14:textId="77777777" w:rsidR="00FC02E8" w:rsidRPr="003028E3" w:rsidRDefault="00FC02E8" w:rsidP="00FC02E8">
      <w:pPr>
        <w:pStyle w:val="SingleTxtG"/>
        <w:ind w:left="3332" w:hanging="2198"/>
        <w:jc w:val="left"/>
      </w:pPr>
      <w:r w:rsidRPr="007422D6">
        <w:t>НПО</w:t>
      </w:r>
      <w:r>
        <w:tab/>
      </w:r>
      <w:r w:rsidRPr="007422D6">
        <w:t>неправительственная организация</w:t>
      </w:r>
    </w:p>
    <w:p w14:paraId="020F3DA7" w14:textId="77777777" w:rsidR="00FC02E8" w:rsidRPr="003028E3" w:rsidRDefault="00FC02E8" w:rsidP="00FC02E8">
      <w:pPr>
        <w:pStyle w:val="SingleTxtG"/>
        <w:ind w:left="3332" w:hanging="2198"/>
        <w:jc w:val="left"/>
      </w:pPr>
      <w:r w:rsidRPr="007422D6">
        <w:t>НСЖП</w:t>
      </w:r>
      <w:r w:rsidRPr="007422D6">
        <w:tab/>
        <w:t>Независимый совет по жалобам на полицию</w:t>
      </w:r>
    </w:p>
    <w:p w14:paraId="1DBCE385" w14:textId="77777777" w:rsidR="00FC02E8" w:rsidRPr="003028E3" w:rsidRDefault="00FC02E8" w:rsidP="00FC02E8">
      <w:pPr>
        <w:pStyle w:val="SingleTxtG"/>
        <w:ind w:left="3332" w:hanging="2198"/>
        <w:jc w:val="left"/>
      </w:pPr>
      <w:r w:rsidRPr="007422D6">
        <w:t>ОАРГ</w:t>
      </w:r>
      <w:r>
        <w:tab/>
      </w:r>
      <w:r w:rsidRPr="007422D6">
        <w:t>Особый административный район Гонконг Китайской Народной Республики</w:t>
      </w:r>
    </w:p>
    <w:p w14:paraId="72713377" w14:textId="77777777" w:rsidR="00FC02E8" w:rsidRPr="003028E3" w:rsidRDefault="00FC02E8" w:rsidP="00FC02E8">
      <w:pPr>
        <w:pStyle w:val="SingleTxtG"/>
        <w:ind w:left="3332" w:hanging="2198"/>
        <w:jc w:val="left"/>
      </w:pPr>
      <w:r w:rsidRPr="007422D6">
        <w:rPr>
          <w:rFonts w:hint="eastAsia"/>
        </w:rPr>
        <w:t>ОРЖ</w:t>
      </w:r>
      <w:r w:rsidRPr="007422D6">
        <w:rPr>
          <w:rFonts w:hint="eastAsia"/>
        </w:rPr>
        <w:tab/>
        <w:t>Отдел расследования жалоб</w:t>
      </w:r>
    </w:p>
    <w:p w14:paraId="7BD05E61" w14:textId="77777777" w:rsidR="00FC02E8" w:rsidRPr="003028E3" w:rsidRDefault="00FC02E8" w:rsidP="00FC02E8">
      <w:pPr>
        <w:pStyle w:val="SingleTxtG"/>
        <w:ind w:left="3332" w:hanging="2198"/>
        <w:jc w:val="left"/>
      </w:pPr>
      <w:r w:rsidRPr="007422D6">
        <w:t>Основной закон</w:t>
      </w:r>
      <w:r w:rsidRPr="007422D6">
        <w:tab/>
        <w:t>Основной закон особого административного района Гонконг Китайской Народной Республики</w:t>
      </w:r>
    </w:p>
    <w:p w14:paraId="03C19CB6" w14:textId="77777777" w:rsidR="00FC02E8" w:rsidRPr="003028E3" w:rsidRDefault="00FC02E8" w:rsidP="00FC02E8">
      <w:pPr>
        <w:pStyle w:val="SingleTxtG"/>
        <w:ind w:left="3332" w:hanging="2198"/>
        <w:jc w:val="left"/>
      </w:pPr>
      <w:r w:rsidRPr="007422D6">
        <w:rPr>
          <w:rFonts w:hint="eastAsia"/>
        </w:rPr>
        <w:t>ОЮП</w:t>
      </w:r>
      <w:r w:rsidRPr="007422D6">
        <w:rPr>
          <w:rFonts w:hint="eastAsia"/>
        </w:rPr>
        <w:tab/>
        <w:t>Департамент юридической помощи</w:t>
      </w:r>
    </w:p>
    <w:p w14:paraId="35A5B421" w14:textId="77777777" w:rsidR="00FC02E8" w:rsidRPr="003028E3" w:rsidRDefault="00FC02E8" w:rsidP="00FC02E8">
      <w:pPr>
        <w:pStyle w:val="SingleTxtG"/>
        <w:ind w:left="3332" w:hanging="2198"/>
        <w:jc w:val="left"/>
      </w:pPr>
      <w:r w:rsidRPr="007422D6">
        <w:t>ПГ</w:t>
      </w:r>
      <w:r>
        <w:tab/>
      </w:r>
      <w:r w:rsidRPr="007422D6">
        <w:t>Полиция Гонконга</w:t>
      </w:r>
    </w:p>
    <w:p w14:paraId="30FC30CD" w14:textId="77777777" w:rsidR="00FC02E8" w:rsidRPr="003028E3" w:rsidRDefault="00FC02E8" w:rsidP="00FC02E8">
      <w:pPr>
        <w:pStyle w:val="SingleTxtG"/>
        <w:ind w:left="3332" w:hanging="2198"/>
        <w:jc w:val="left"/>
      </w:pPr>
      <w:r w:rsidRPr="007422D6">
        <w:t>ПК ВСНП</w:t>
      </w:r>
      <w:r>
        <w:tab/>
      </w:r>
      <w:r w:rsidRPr="007422D6">
        <w:t>Постоянный комитет ВСНП</w:t>
      </w:r>
    </w:p>
    <w:p w14:paraId="55E90801" w14:textId="77777777" w:rsidR="00FC02E8" w:rsidRPr="003028E3" w:rsidRDefault="00FC02E8" w:rsidP="00FC02E8">
      <w:pPr>
        <w:pStyle w:val="SingleTxtG"/>
        <w:ind w:left="3332" w:hanging="2198"/>
        <w:jc w:val="left"/>
      </w:pPr>
      <w:r w:rsidRPr="007422D6">
        <w:rPr>
          <w:rFonts w:hint="eastAsia"/>
        </w:rPr>
        <w:t>РВНД</w:t>
      </w:r>
      <w:r>
        <w:tab/>
      </w:r>
      <w:r w:rsidRPr="007422D6">
        <w:rPr>
          <w:rFonts w:hint="eastAsia"/>
        </w:rPr>
        <w:t>реальный валовой национальный доход</w:t>
      </w:r>
    </w:p>
    <w:p w14:paraId="67E4FEE7" w14:textId="77777777" w:rsidR="00FC02E8" w:rsidRPr="003028E3" w:rsidRDefault="00FC02E8" w:rsidP="00FC02E8">
      <w:pPr>
        <w:pStyle w:val="SingleTxtG"/>
        <w:ind w:left="3332" w:hanging="2198"/>
        <w:jc w:val="left"/>
      </w:pPr>
      <w:r w:rsidRPr="007422D6">
        <w:t>СДЗ</w:t>
      </w:r>
      <w:r w:rsidRPr="007422D6">
        <w:tab/>
        <w:t>Служба дежурных защитников</w:t>
      </w:r>
    </w:p>
    <w:p w14:paraId="5713DD60" w14:textId="77777777" w:rsidR="00FC02E8" w:rsidRPr="003028E3" w:rsidRDefault="00FC02E8" w:rsidP="00FC02E8">
      <w:pPr>
        <w:pStyle w:val="SingleTxtG"/>
        <w:ind w:left="3332" w:hanging="2198"/>
        <w:jc w:val="left"/>
      </w:pPr>
      <w:r w:rsidRPr="007422D6">
        <w:t>СР</w:t>
      </w:r>
      <w:r w:rsidRPr="007422D6">
        <w:tab/>
        <w:t>социальная реклама</w:t>
      </w:r>
    </w:p>
    <w:p w14:paraId="30209693" w14:textId="77777777" w:rsidR="009C2230" w:rsidRPr="003028E3" w:rsidRDefault="009C2230" w:rsidP="009C2230">
      <w:pPr>
        <w:pStyle w:val="HChG"/>
      </w:pPr>
      <w:r w:rsidRPr="007422D6">
        <w:rPr>
          <w:bCs/>
        </w:rPr>
        <w:tab/>
      </w:r>
      <w:r w:rsidRPr="007422D6">
        <w:rPr>
          <w:bCs/>
        </w:rPr>
        <w:tab/>
      </w:r>
      <w:bookmarkStart w:id="3" w:name="_Toc12351611"/>
      <w:r w:rsidRPr="007422D6">
        <w:rPr>
          <w:bCs/>
        </w:rPr>
        <w:t>Общая информация</w:t>
      </w:r>
      <w:bookmarkEnd w:id="3"/>
    </w:p>
    <w:p w14:paraId="6D3D520D" w14:textId="77777777" w:rsidR="009C2230" w:rsidRPr="003028E3" w:rsidRDefault="009C2230" w:rsidP="009C2230">
      <w:pPr>
        <w:pStyle w:val="H1G"/>
      </w:pPr>
      <w:r w:rsidRPr="007422D6">
        <w:rPr>
          <w:bCs/>
        </w:rPr>
        <w:tab/>
      </w:r>
      <w:r w:rsidRPr="007422D6">
        <w:rPr>
          <w:bCs/>
        </w:rPr>
        <w:tab/>
      </w:r>
      <w:bookmarkStart w:id="4" w:name="_Toc12351612"/>
      <w:r w:rsidRPr="007422D6">
        <w:rPr>
          <w:bCs/>
        </w:rPr>
        <w:t>Демографические, экономические, социальные и культурные показатели</w:t>
      </w:r>
      <w:bookmarkEnd w:id="4"/>
    </w:p>
    <w:p w14:paraId="6481B5F4" w14:textId="77777777" w:rsidR="009C2230" w:rsidRPr="003028E3" w:rsidRDefault="009C2230" w:rsidP="009C2230">
      <w:pPr>
        <w:pStyle w:val="SingleTxtG"/>
      </w:pPr>
      <w:r w:rsidRPr="007422D6">
        <w:t>1.</w:t>
      </w:r>
      <w:r w:rsidRPr="007422D6">
        <w:tab/>
        <w:t>Соответствующие демографические показатели и социальные, экономические и культурные показатели в отношении Особого административного района Гонконг (ОАРГ) Китайской Народной Республики приводятся в приложении А.</w:t>
      </w:r>
    </w:p>
    <w:p w14:paraId="5F2E4DF2" w14:textId="77777777" w:rsidR="009C2230" w:rsidRPr="003028E3" w:rsidRDefault="009C2230" w:rsidP="009C2230">
      <w:pPr>
        <w:pStyle w:val="SingleTxtG"/>
      </w:pPr>
      <w:r w:rsidRPr="007422D6">
        <w:t>2.</w:t>
      </w:r>
      <w:r w:rsidRPr="007422D6">
        <w:tab/>
        <w:t>Население Гонконга на середину 2011 года составляло 7,07 млн человек.</w:t>
      </w:r>
      <w:r w:rsidR="00FC02E8">
        <w:br/>
      </w:r>
      <w:r w:rsidRPr="007422D6">
        <w:t>В последние годы ежегодный прирост населения колебался от 0,4% до 1,1%,</w:t>
      </w:r>
      <w:r w:rsidR="00FC02E8">
        <w:br/>
      </w:r>
      <w:r w:rsidRPr="007422D6">
        <w:t>а по состоянию на середину 2017 года население увеличилось до 7,39 млн человек. Увеличение численности населения было обусловлено главным образом постоянным притоком жителей материкового Китая, прибывающих в Гонконг в порядке воссоединения семей, и естественным приростом в течение этого периода.</w:t>
      </w:r>
    </w:p>
    <w:p w14:paraId="0E7123DE" w14:textId="77777777" w:rsidR="009C2230" w:rsidRPr="003028E3" w:rsidRDefault="009C2230" w:rsidP="009C2230">
      <w:pPr>
        <w:pStyle w:val="SingleTxtG"/>
      </w:pPr>
      <w:r w:rsidRPr="007422D6">
        <w:t>3.</w:t>
      </w:r>
      <w:r w:rsidRPr="007422D6">
        <w:tab/>
        <w:t xml:space="preserve">Бóльшая часть населения Гонконга </w:t>
      </w:r>
      <w:r w:rsidR="00FC02E8">
        <w:t>–</w:t>
      </w:r>
      <w:r w:rsidRPr="007422D6">
        <w:t xml:space="preserve"> китайцы (92%). Численность этнических меньшинств в Гонконге составила в 2016 году 584 383 человек (около 8% населения), увеличившись на 29,5% по сравнению с 2011 годом. Среди всех этнических меньшинств в Гонконге заметно возросло</w:t>
      </w:r>
      <w:r w:rsidR="00FC02E8">
        <w:t xml:space="preserve"> </w:t>
      </w:r>
      <w:r w:rsidRPr="007422D6">
        <w:t xml:space="preserve">число филиппинцев </w:t>
      </w:r>
      <w:r w:rsidR="00FC02E8">
        <w:t>–</w:t>
      </w:r>
      <w:r w:rsidRPr="007422D6">
        <w:t xml:space="preserve"> с 133 018 человек в 2011 году до 184 081 человек в 2016 году, доля которых в числе всех этнических меньшинств выросла с 29,5% до 31,5%.</w:t>
      </w:r>
    </w:p>
    <w:p w14:paraId="2579C528" w14:textId="77777777" w:rsidR="009C2230" w:rsidRPr="003028E3" w:rsidRDefault="009C2230" w:rsidP="009C2230">
      <w:pPr>
        <w:pStyle w:val="SingleTxtG"/>
      </w:pPr>
      <w:r w:rsidRPr="007422D6">
        <w:t>4.</w:t>
      </w:r>
      <w:r w:rsidRPr="007422D6">
        <w:tab/>
        <w:t>Что касается наиболее общеупотребительных языков, то в 2016 году</w:t>
      </w:r>
      <w:r w:rsidR="00FC02E8">
        <w:br/>
      </w:r>
      <w:r w:rsidRPr="007422D6">
        <w:t xml:space="preserve">94% китайцев в возрасте от пяти лет и старше обычно говорили дома на </w:t>
      </w:r>
      <w:proofErr w:type="spellStart"/>
      <w:r w:rsidRPr="007422D6">
        <w:t>гуандунском</w:t>
      </w:r>
      <w:proofErr w:type="spellEnd"/>
      <w:r w:rsidRPr="007422D6">
        <w:t xml:space="preserve"> диалекте, за которым следовали другие китайские диалекты (кроме гуандунского и путунхуа) (3,4%). С другой стороны, среди представителей этнических меньшинств в возрасте пяти лет и старше наиболее распространенным в семье был английский язык (45,6%), за которым следовал гуандунский (30,3%).</w:t>
      </w:r>
    </w:p>
    <w:p w14:paraId="4B8D4A46" w14:textId="77777777" w:rsidR="009C2230" w:rsidRPr="003028E3" w:rsidRDefault="009C2230" w:rsidP="009C2230">
      <w:pPr>
        <w:pStyle w:val="SingleTxtG"/>
      </w:pPr>
      <w:r w:rsidRPr="007422D6">
        <w:t>5.</w:t>
      </w:r>
      <w:r w:rsidRPr="007422D6">
        <w:tab/>
        <w:t>Продолжается старение населения. Хотя доля населения в возрасте до 15 лет несколько снизилась с 11,6% в 2011 году до 11,4% в 2017 году, доля населения в возрасте 65 лет и старше выросла с 13,3% до 16,4%.</w:t>
      </w:r>
    </w:p>
    <w:p w14:paraId="066748DC" w14:textId="77777777" w:rsidR="009C2230" w:rsidRPr="003028E3" w:rsidRDefault="009C2230" w:rsidP="009C2230">
      <w:pPr>
        <w:pStyle w:val="SingleTxtG"/>
      </w:pPr>
      <w:r w:rsidRPr="007422D6">
        <w:t>6.</w:t>
      </w:r>
      <w:r w:rsidRPr="007422D6">
        <w:tab/>
        <w:t xml:space="preserve">Гонконг </w:t>
      </w:r>
      <w:r w:rsidR="0017299B" w:rsidRPr="0017299B">
        <w:t>–</w:t>
      </w:r>
      <w:r w:rsidRPr="007422D6">
        <w:t xml:space="preserve"> малая страна с открытой экономикой. Валовой внутренний продукт (ВВП) Гонконга на душу населения в 2016 году составил около 339 500 гонконгских долларов. В последние десятилетия его экономика все больше ориентируется на услуги: доля сектора услуг в ВВП выросла с 88,1% в 2001 году до 92,2% в 2016 году.</w:t>
      </w:r>
    </w:p>
    <w:p w14:paraId="4362C2D7" w14:textId="77777777" w:rsidR="009C2230" w:rsidRPr="003028E3" w:rsidRDefault="009C2230" w:rsidP="009C2230">
      <w:pPr>
        <w:pStyle w:val="SingleTxtG"/>
      </w:pPr>
      <w:r w:rsidRPr="007422D6">
        <w:t>7.</w:t>
      </w:r>
      <w:r w:rsidRPr="007422D6">
        <w:tab/>
        <w:t>Гонконг постоянно стремится быть основанной на знаниях экономикой с высокой добавленной стоимостью. Правительство ОАРГ поддерживает конкурентные преимущества четырех основных отраслей (а именно: торговли и логистики, финансовых услуг, профессиональных и производственных услуг и туризма), а также поощряет и поддерживает новые отрасли с огромным потенциалом (например, инновации и технологии, креативные отрасли и услуги морского транспорта с высокой добавленной стоимостью) с целью стимулирования экономической диверсификации и придания нового и устойчивого импульса экономике Гонконга. Ожидается, что в свете такой динамики спрос на высокообразованные и квалифицированные кадры будет постоянно расти.</w:t>
      </w:r>
    </w:p>
    <w:p w14:paraId="3ED97E4F" w14:textId="77777777" w:rsidR="009C2230" w:rsidRPr="003028E3" w:rsidRDefault="009C2230" w:rsidP="009C2230">
      <w:pPr>
        <w:pStyle w:val="H1G"/>
      </w:pPr>
      <w:r w:rsidRPr="007422D6">
        <w:rPr>
          <w:bCs/>
        </w:rPr>
        <w:tab/>
      </w:r>
      <w:r w:rsidRPr="007422D6">
        <w:rPr>
          <w:bCs/>
        </w:rPr>
        <w:tab/>
      </w:r>
      <w:bookmarkStart w:id="5" w:name="_Toc12351613"/>
      <w:r w:rsidRPr="007422D6">
        <w:rPr>
          <w:bCs/>
        </w:rPr>
        <w:t>Конституционная, политическая и правовая система ОАРГ</w:t>
      </w:r>
      <w:bookmarkEnd w:id="5"/>
    </w:p>
    <w:p w14:paraId="38CF6C20" w14:textId="77777777" w:rsidR="009C2230" w:rsidRPr="003028E3" w:rsidRDefault="009C2230" w:rsidP="009C2230">
      <w:pPr>
        <w:pStyle w:val="H23G"/>
      </w:pPr>
      <w:r w:rsidRPr="007422D6">
        <w:rPr>
          <w:bCs/>
        </w:rPr>
        <w:tab/>
      </w:r>
      <w:r w:rsidRPr="007422D6">
        <w:rPr>
          <w:bCs/>
        </w:rPr>
        <w:tab/>
      </w:r>
      <w:bookmarkStart w:id="6" w:name="_Toc12351614"/>
      <w:r w:rsidRPr="007422D6">
        <w:rPr>
          <w:bCs/>
        </w:rPr>
        <w:t>Основной закон ОАРГ</w:t>
      </w:r>
      <w:bookmarkEnd w:id="6"/>
    </w:p>
    <w:p w14:paraId="0873CFC9" w14:textId="77777777" w:rsidR="009C2230" w:rsidRPr="003028E3" w:rsidRDefault="009C2230" w:rsidP="009C2230">
      <w:pPr>
        <w:pStyle w:val="SingleTxtG"/>
      </w:pPr>
      <w:r w:rsidRPr="007422D6">
        <w:t>8.</w:t>
      </w:r>
      <w:r w:rsidRPr="007422D6">
        <w:tab/>
        <w:t>ОАРГ</w:t>
      </w:r>
      <w:r w:rsidR="00FC02E8">
        <w:t xml:space="preserve"> </w:t>
      </w:r>
      <w:r w:rsidRPr="007422D6">
        <w:t>был создан 1 июля 1997 года в соответствии с положениями статьи 31</w:t>
      </w:r>
      <w:r w:rsidR="00FC02E8">
        <w:br/>
      </w:r>
      <w:r w:rsidRPr="007422D6">
        <w:t>и подпункта 13 статьи 62 Конституции Китайской Народной Республики и соответствующими решениями Всекитайского собрания народных представителей (ВСНП), принятыми</w:t>
      </w:r>
      <w:r w:rsidR="00FC02E8">
        <w:t xml:space="preserve"> </w:t>
      </w:r>
      <w:r w:rsidRPr="007422D6">
        <w:t>4 апреля 1990 года на третьей сессии ВСНП седьмого созыва. Основной закон Особого административного района Гонконг Китайской Народной Республики (Основной закон) также вступил в силу 1 июля 1997 года.</w:t>
      </w:r>
    </w:p>
    <w:p w14:paraId="5DF7026C" w14:textId="77777777" w:rsidR="009C2230" w:rsidRPr="003028E3" w:rsidRDefault="009C2230" w:rsidP="009C2230">
      <w:pPr>
        <w:pStyle w:val="SingleTxtG"/>
      </w:pPr>
      <w:r w:rsidRPr="007422D6">
        <w:t>9.</w:t>
      </w:r>
      <w:r w:rsidRPr="007422D6">
        <w:tab/>
        <w:t>Основной закон является наиболее важным правовым актом ОАРГ.</w:t>
      </w:r>
      <w:r w:rsidR="007D1702">
        <w:br/>
      </w:r>
      <w:r w:rsidRPr="007422D6">
        <w:t>Он определяет отношения между центральной властью и ОАРГ, основные права и обязанности жителей, а также систему, действующую в ОАРГ в социальной, политической, культурной и других областях.</w:t>
      </w:r>
    </w:p>
    <w:p w14:paraId="6824D01C" w14:textId="77777777" w:rsidR="009C2230" w:rsidRPr="003028E3" w:rsidRDefault="009C2230" w:rsidP="009C2230">
      <w:pPr>
        <w:pStyle w:val="SingleTxtG"/>
      </w:pPr>
      <w:r w:rsidRPr="007422D6">
        <w:t>10.</w:t>
      </w:r>
      <w:r w:rsidRPr="007422D6">
        <w:tab/>
        <w:t>Помимо прочего, Основной закон устанавливает следующее:</w:t>
      </w:r>
    </w:p>
    <w:p w14:paraId="6750AB12" w14:textId="77777777" w:rsidR="009C2230" w:rsidRPr="003028E3" w:rsidRDefault="009C2230" w:rsidP="009C2230">
      <w:pPr>
        <w:pStyle w:val="SingleTxtG"/>
      </w:pPr>
      <w:r>
        <w:tab/>
      </w:r>
      <w:r w:rsidR="00FC02E8">
        <w:tab/>
      </w:r>
      <w:r>
        <w:t>a)</w:t>
      </w:r>
      <w:r>
        <w:tab/>
        <w:t>ОАРГ является местным административным районом Китайской Народной Республики, который обладает высокой степенью автономии и подчиняется непосредственно Центральному народному правительству. Центральное народное правительство отвечает за оборону и международные отношения ОАРГ;</w:t>
      </w:r>
    </w:p>
    <w:p w14:paraId="1CBFB6C5" w14:textId="77777777" w:rsidR="009C2230" w:rsidRPr="003028E3" w:rsidRDefault="00FC02E8" w:rsidP="009C2230">
      <w:pPr>
        <w:pStyle w:val="SingleTxtG"/>
      </w:pPr>
      <w:r>
        <w:tab/>
      </w:r>
      <w:r w:rsidR="009C2230">
        <w:tab/>
        <w:t>b)</w:t>
      </w:r>
      <w:r>
        <w:tab/>
      </w:r>
      <w:r w:rsidR="009C2230">
        <w:t>ВСНП уполномочивает ОАРГ осуществлять высокую степень автономии и пользоваться исполнительной, законодательной и независимой судебной властью, включая полномочия по вынесению окончательного решения, в соответствии с положениями Основного закона. Полномочия по вынесению окончательного решения ОАРГ предоставлены Высшему апелляционному суду, созданному в ОАРГ;</w:t>
      </w:r>
    </w:p>
    <w:p w14:paraId="01D36642" w14:textId="77777777" w:rsidR="009C2230" w:rsidRPr="003028E3" w:rsidRDefault="009C2230" w:rsidP="009C2230">
      <w:pPr>
        <w:pStyle w:val="SingleTxtG"/>
      </w:pPr>
      <w:r>
        <w:tab/>
      </w:r>
      <w:r w:rsidR="00FC02E8">
        <w:tab/>
      </w:r>
      <w:r>
        <w:t>c)</w:t>
      </w:r>
      <w:r w:rsidR="00FC02E8">
        <w:tab/>
      </w:r>
      <w:r>
        <w:t>исполнительные органы и законодательный орган ОАРГ образуются в составе постоянных жителей Гонконга согласно соответствующим положениям Основного закона;</w:t>
      </w:r>
    </w:p>
    <w:p w14:paraId="2606986B" w14:textId="77777777" w:rsidR="009C2230" w:rsidRPr="003028E3" w:rsidRDefault="009C2230" w:rsidP="009C2230">
      <w:pPr>
        <w:pStyle w:val="SingleTxtG"/>
      </w:pPr>
      <w:r>
        <w:tab/>
      </w:r>
      <w:r w:rsidR="00FC02E8">
        <w:tab/>
      </w:r>
      <w:r>
        <w:t>d)</w:t>
      </w:r>
      <w:r w:rsidR="007D1702">
        <w:tab/>
      </w:r>
      <w:r>
        <w:t xml:space="preserve">в соответствии с принципом </w:t>
      </w:r>
      <w:r w:rsidR="00FC02E8">
        <w:t>«</w:t>
      </w:r>
      <w:r>
        <w:t xml:space="preserve">одна страна </w:t>
      </w:r>
      <w:r w:rsidR="00E24F9D">
        <w:t>–</w:t>
      </w:r>
      <w:r>
        <w:t xml:space="preserve"> две системы</w:t>
      </w:r>
      <w:r w:rsidR="00FC02E8">
        <w:t>»</w:t>
      </w:r>
      <w:r>
        <w:t xml:space="preserve"> в ОАРГ не применяется социалистическая система и политика, а прежняя капиталистическая система и образ жизни Гонконга остаются неизменными в течение 50 лет;</w:t>
      </w:r>
    </w:p>
    <w:p w14:paraId="6611FB51" w14:textId="77777777" w:rsidR="009C2230" w:rsidRPr="003028E3" w:rsidRDefault="009C2230" w:rsidP="009C2230">
      <w:pPr>
        <w:pStyle w:val="SingleTxtG"/>
      </w:pPr>
      <w:r>
        <w:tab/>
      </w:r>
      <w:r w:rsidR="00FC02E8">
        <w:tab/>
      </w:r>
      <w:r>
        <w:t>e)</w:t>
      </w:r>
      <w:r w:rsidR="00FC02E8">
        <w:tab/>
      </w:r>
      <w:r>
        <w:t>законы, ранее действовавшие в Гонконге, т.</w:t>
      </w:r>
      <w:r w:rsidR="0017299B">
        <w:rPr>
          <w:lang w:val="en-US"/>
        </w:rPr>
        <w:t> </w:t>
      </w:r>
      <w:r>
        <w:t>е. общее право, право справедливости, законодательные и подзаконные акты и обычное право, сохраняются, за исключением тех, которые противоречат Основному закону, и с учетом любых поправок, внесенных законодательным органом ОАРГ;</w:t>
      </w:r>
    </w:p>
    <w:p w14:paraId="5AE336FA" w14:textId="77777777" w:rsidR="009C2230" w:rsidRPr="003028E3" w:rsidRDefault="009C2230" w:rsidP="009C2230">
      <w:pPr>
        <w:pStyle w:val="SingleTxtG"/>
      </w:pPr>
      <w:r>
        <w:tab/>
      </w:r>
      <w:r w:rsidR="00FC02E8">
        <w:tab/>
      </w:r>
      <w:r>
        <w:t>f)</w:t>
      </w:r>
      <w:r w:rsidR="00FC02E8">
        <w:tab/>
      </w:r>
      <w:r>
        <w:t>законы государства не применяются в ОАРГ, за исключением тех, которые перечислены в приложении III к Основному закону; последние вводятся в действие в ОАРГ путем обнародования или принятия его законодательными актами. Постоянный комитет (ПК) ВСНП вправе включать новые законы из спис</w:t>
      </w:r>
      <w:r w:rsidR="0017299B">
        <w:t>ка</w:t>
      </w:r>
      <w:r>
        <w:t xml:space="preserve"> в приложении III или исключать из него законы после консультаций с Комитетом по основному закону ОАРГ и правительством ОАРГ;</w:t>
      </w:r>
    </w:p>
    <w:p w14:paraId="59C10BE1" w14:textId="77777777" w:rsidR="009C2230" w:rsidRPr="003028E3" w:rsidRDefault="009C2230" w:rsidP="009C2230">
      <w:pPr>
        <w:pStyle w:val="SingleTxtG"/>
      </w:pPr>
      <w:r>
        <w:tab/>
      </w:r>
      <w:r w:rsidR="00FC02E8">
        <w:tab/>
      </w:r>
      <w:r>
        <w:t>g)</w:t>
      </w:r>
      <w:r w:rsidR="00FC02E8">
        <w:tab/>
      </w:r>
      <w:r>
        <w:t xml:space="preserve">в пределах своей компетенции и в соответствии с Основным законом </w:t>
      </w:r>
      <w:r w:rsidR="00BF0053">
        <w:t xml:space="preserve">ОАРГ может самостоятельно ведать </w:t>
      </w:r>
      <w:r>
        <w:t xml:space="preserve">от имени </w:t>
      </w:r>
      <w:r w:rsidR="00FC02E8">
        <w:t>«</w:t>
      </w:r>
      <w:r>
        <w:t>Гонконга, Китай</w:t>
      </w:r>
      <w:r w:rsidR="00FC02E8">
        <w:t>»</w:t>
      </w:r>
      <w:r w:rsidR="00BF0053">
        <w:t xml:space="preserve"> иностранными делами</w:t>
      </w:r>
      <w:r>
        <w:t>, поддерживать и развивать отношения, а также заключать и осуществлять соглашения с иностранными государствами и регионами и профильными международными организациями в соответствующих областях, включая области экономики, торговли, финансов и валютных операций, судоходства, связи, туризма, культуры и спорта;</w:t>
      </w:r>
    </w:p>
    <w:p w14:paraId="5DF1A8A1" w14:textId="77777777" w:rsidR="009C2230" w:rsidRPr="003028E3" w:rsidRDefault="009C2230" w:rsidP="009C2230">
      <w:pPr>
        <w:pStyle w:val="SingleTxtG"/>
      </w:pPr>
      <w:r>
        <w:tab/>
      </w:r>
      <w:r w:rsidR="00FC02E8">
        <w:tab/>
      </w:r>
      <w:r>
        <w:t>h)</w:t>
      </w:r>
      <w:r w:rsidR="00FC02E8">
        <w:tab/>
      </w:r>
      <w:r>
        <w:t>ОАРГ остается свободным портом, отдельной таможенной территорией и международным финансовым центром. Правительство ОАРГ самостоятельно разрабатывает денежно-кредитную и финансовую политику, обеспечивает свободное функционирование финансового бизнеса и финансовых рынков, а также регулирует и контролирует их в соответствии с законом. Правительство ОАРГ обеспечивает беспрепятственное движение капитала внутри ОАРГ, его беспрепятственный ввоз в ОАРГ и беспрепятственный вывоз из него. Правительство ОАРГ выпускает свою</w:t>
      </w:r>
      <w:r w:rsidR="00FC02E8">
        <w:t xml:space="preserve"> </w:t>
      </w:r>
      <w:r>
        <w:t>валюту и регулирует ее обращение;</w:t>
      </w:r>
    </w:p>
    <w:p w14:paraId="1ADF05ED" w14:textId="77777777" w:rsidR="009C2230" w:rsidRPr="003028E3" w:rsidRDefault="009C2230" w:rsidP="009C2230">
      <w:pPr>
        <w:pStyle w:val="SingleTxtG"/>
      </w:pPr>
      <w:r>
        <w:tab/>
      </w:r>
      <w:r w:rsidR="00FC02E8">
        <w:tab/>
      </w:r>
      <w:r>
        <w:t>i)</w:t>
      </w:r>
      <w:r w:rsidR="00FC02E8">
        <w:tab/>
      </w:r>
      <w:r>
        <w:t xml:space="preserve">правительство ОАРГ разрабатывает свою политику в области развития образования, науки, культуры, спорта, труда и социального обеспечения; </w:t>
      </w:r>
    </w:p>
    <w:p w14:paraId="78F31BFA" w14:textId="77777777" w:rsidR="009C2230" w:rsidRPr="003028E3" w:rsidRDefault="009C2230" w:rsidP="009C2230">
      <w:pPr>
        <w:pStyle w:val="SingleTxtG"/>
      </w:pPr>
      <w:r>
        <w:tab/>
      </w:r>
      <w:r w:rsidR="00FC02E8">
        <w:tab/>
      </w:r>
      <w:r>
        <w:t>j)</w:t>
      </w:r>
      <w:r w:rsidR="00FC02E8">
        <w:tab/>
      </w:r>
      <w:r>
        <w:t>жители Гонконга пользуются широким кругом прав и свобод, предусмотренных в главе III Основного закона; а также</w:t>
      </w:r>
    </w:p>
    <w:p w14:paraId="21853F95" w14:textId="77777777" w:rsidR="009C2230" w:rsidRPr="003028E3" w:rsidRDefault="00FC02E8" w:rsidP="009C2230">
      <w:pPr>
        <w:pStyle w:val="SingleTxtG"/>
      </w:pPr>
      <w:r>
        <w:tab/>
      </w:r>
      <w:r w:rsidR="009C2230">
        <w:tab/>
        <w:t>k)</w:t>
      </w:r>
      <w:r>
        <w:tab/>
      </w:r>
      <w:r w:rsidR="009C2230">
        <w:t>положения Международного пакта о гражданских и политических правах (МПГПП), Международного пакта об экономических, социальных и культурных правах (МПЭСКП) и международных трудовых конвенций применительно к Гонконгу остаются в силе и будут осуществляться с помощью законов ОАРГ.</w:t>
      </w:r>
    </w:p>
    <w:p w14:paraId="0FE4F10D" w14:textId="77777777" w:rsidR="009C2230" w:rsidRPr="003028E3" w:rsidRDefault="009C2230" w:rsidP="009C2230">
      <w:pPr>
        <w:pStyle w:val="SingleTxtG"/>
      </w:pPr>
      <w:r w:rsidRPr="007422D6">
        <w:t>11.</w:t>
      </w:r>
      <w:r w:rsidRPr="007422D6">
        <w:tab/>
        <w:t xml:space="preserve">Права и свободы жителей Гонконга будут рассмотрены в разделе </w:t>
      </w:r>
      <w:r w:rsidR="00FC02E8">
        <w:t>«</w:t>
      </w:r>
      <w:r w:rsidRPr="007422D6">
        <w:t>Общая основа защиты и поощрения прав человека</w:t>
      </w:r>
      <w:r w:rsidR="00FC02E8">
        <w:t>»</w:t>
      </w:r>
      <w:r w:rsidRPr="007422D6">
        <w:t xml:space="preserve"> ниже.</w:t>
      </w:r>
    </w:p>
    <w:p w14:paraId="5D0042DB" w14:textId="77777777" w:rsidR="009C2230" w:rsidRPr="003028E3" w:rsidRDefault="009C2230" w:rsidP="009C2230">
      <w:pPr>
        <w:pStyle w:val="H23G"/>
      </w:pPr>
      <w:r w:rsidRPr="007422D6">
        <w:rPr>
          <w:bCs/>
        </w:rPr>
        <w:tab/>
      </w:r>
      <w:r w:rsidRPr="007422D6">
        <w:rPr>
          <w:bCs/>
        </w:rPr>
        <w:tab/>
      </w:r>
      <w:bookmarkStart w:id="7" w:name="_Toc12351615"/>
      <w:r w:rsidRPr="007422D6">
        <w:rPr>
          <w:bCs/>
        </w:rPr>
        <w:t>Политическая система</w:t>
      </w:r>
      <w:bookmarkEnd w:id="7"/>
    </w:p>
    <w:p w14:paraId="6E11C22B" w14:textId="77777777" w:rsidR="009C2230" w:rsidRPr="003028E3" w:rsidRDefault="009C2230" w:rsidP="009C2230">
      <w:pPr>
        <w:pStyle w:val="SingleTxtG"/>
      </w:pPr>
      <w:r w:rsidRPr="007422D6">
        <w:t>12.</w:t>
      </w:r>
      <w:r w:rsidRPr="007422D6">
        <w:tab/>
        <w:t>Глава исполнительной власти ОАРГ является главой ОАРГ и подотчетен перед Центральным народным правительством и ОАРГ в соответствии с положениями Основного закона. Исполнительный совет оказывает ей содействие в разработке политики. Правительство ОАРГ разрабатывает и проводит политику, вносит законопроекты, осуществляет законы и предоставляет услуги населению. Законодательный совет является законодательным органом ОАРГ. Окружные советы высказывают свое мнение по вопросам управления в округе и другим вопросам. Судебная власть не зависит от исполнительной власти и законодательного органа.</w:t>
      </w:r>
    </w:p>
    <w:p w14:paraId="3A52DA11" w14:textId="77777777" w:rsidR="009C2230" w:rsidRPr="003028E3" w:rsidRDefault="009C2230" w:rsidP="009C2230">
      <w:pPr>
        <w:pStyle w:val="H4G"/>
      </w:pPr>
      <w:r w:rsidRPr="007422D6">
        <w:rPr>
          <w:iCs/>
        </w:rPr>
        <w:tab/>
      </w:r>
      <w:r w:rsidRPr="007422D6">
        <w:rPr>
          <w:iCs/>
        </w:rPr>
        <w:tab/>
        <w:t>Глава исполнительной власти</w:t>
      </w:r>
    </w:p>
    <w:p w14:paraId="17848E21" w14:textId="77777777" w:rsidR="009C2230" w:rsidRPr="003028E3" w:rsidRDefault="009C2230" w:rsidP="009C2230">
      <w:pPr>
        <w:pStyle w:val="SingleTxtG"/>
      </w:pPr>
      <w:r w:rsidRPr="007422D6">
        <w:t>13.</w:t>
      </w:r>
      <w:r w:rsidRPr="007422D6">
        <w:tab/>
        <w:t>Глава исполнительной власти возглавляет правительство ОАРГ и принимает решения о политике правительства. Она отвечает за соблюдение Основного закона и других законов, которые в соответствии с Основным законом применяются в ОАРГ. Кроме того, она подписывает законы и бюджеты, принятые Законодательным советом. Она также предлагает кандидатуры и отчитывается перед Центральным народным правительством в вопросах назначения главных должностных лиц. Она назначает или отстраняет от должности судей всех уровней и</w:t>
      </w:r>
      <w:r w:rsidR="00FC02E8">
        <w:t xml:space="preserve"> </w:t>
      </w:r>
      <w:r w:rsidRPr="007422D6">
        <w:t>государственных должностных лиц в установленном законом порядке. От имени правительства ОАРГ глава исполнительной власти также ведает иностранными и другими делами, будучи уполномочена центральной властью.</w:t>
      </w:r>
    </w:p>
    <w:p w14:paraId="534D3432" w14:textId="77777777" w:rsidR="009C2230" w:rsidRPr="003028E3" w:rsidRDefault="009C2230" w:rsidP="009C2230">
      <w:pPr>
        <w:pStyle w:val="SingleTxtG"/>
      </w:pPr>
      <w:r w:rsidRPr="007422D6">
        <w:t>14.</w:t>
      </w:r>
      <w:r w:rsidRPr="007422D6">
        <w:tab/>
        <w:t>Основной закон предусматривает, что глава исполнительной власти ОАРГ избирается на выборах или путем консультаций, проводимых на местах, и назначается Центральным народным правительством. Порядок выборов главы исполнительной власти будет уточнен с учетом фактической ситуации в ОАРГ и в соответствии с принципом постепенного и упорядоченного прогресса. Конечной целью являются выборы главы исполнительной власти путем всеобщего голосования при выдвижении кандидата представительным комитетом по выдвижению в соответствии с демократическими процедурами.</w:t>
      </w:r>
    </w:p>
    <w:p w14:paraId="53D84272" w14:textId="77777777" w:rsidR="009C2230" w:rsidRPr="003028E3" w:rsidRDefault="009C2230" w:rsidP="009C2230">
      <w:pPr>
        <w:pStyle w:val="H4G"/>
      </w:pPr>
      <w:r w:rsidRPr="007422D6">
        <w:rPr>
          <w:iCs/>
        </w:rPr>
        <w:tab/>
      </w:r>
      <w:r w:rsidRPr="007422D6">
        <w:rPr>
          <w:iCs/>
        </w:rPr>
        <w:tab/>
        <w:t>Исполнительный совет</w:t>
      </w:r>
    </w:p>
    <w:p w14:paraId="2A79F8EA" w14:textId="77777777" w:rsidR="009C2230" w:rsidRPr="003028E3" w:rsidRDefault="009C2230" w:rsidP="009C2230">
      <w:pPr>
        <w:pStyle w:val="SingleTxtG"/>
      </w:pPr>
      <w:r w:rsidRPr="007422D6">
        <w:t>15.</w:t>
      </w:r>
      <w:r w:rsidRPr="007422D6">
        <w:tab/>
        <w:t>Исполнительный совет оказывает содействие главе исполнительной власти в разработке политики. В соответствии со статьей 56 Основного закона, за исключением назначения, отстранения и наложения дисциплинарного взыскания на должностных лиц и принятия мер в чрезвычайных ситуациях, глава исполнительной власти</w:t>
      </w:r>
      <w:r w:rsidR="00FC02E8">
        <w:t xml:space="preserve"> </w:t>
      </w:r>
      <w:r w:rsidRPr="007422D6">
        <w:t>консультируется</w:t>
      </w:r>
      <w:r w:rsidR="00FC02E8">
        <w:t xml:space="preserve"> </w:t>
      </w:r>
      <w:r w:rsidRPr="007422D6">
        <w:t>Исполнительным советом до принятия важных политических решений, внесения законопроектов в Законодательный совет, принятия подзаконных актов или роспуска Законодательного совета. Глава исполнительной власти в Совете также принимает решения по жалобам, петициям и возражениям, подаваемым в законном порядке. Если глава исполнительной власти не согласна с мнением большинства Исполсовета, она указывает в письменном виде конкретные причины.</w:t>
      </w:r>
    </w:p>
    <w:p w14:paraId="244EF942" w14:textId="77777777" w:rsidR="009C2230" w:rsidRPr="003028E3" w:rsidRDefault="009C2230" w:rsidP="009C2230">
      <w:pPr>
        <w:pStyle w:val="SingleTxtG"/>
      </w:pPr>
      <w:r w:rsidRPr="007422D6">
        <w:t>16.</w:t>
      </w:r>
      <w:r w:rsidRPr="007422D6">
        <w:tab/>
        <w:t>Исполсовет обычно проводит заседания один раз в неделю. На нем председательствует глава исполнительной власти. Как предусмотрено в статье 55 Основного закона, члены Исполсовета назначаются главой исполнительной власти из числа главных должностных лиц исполнительной власти, членов Законодательного совета и общественных деятелей. Срок их полномочий не должен превышать срока полномочий главы исполнительной власти, которым они назначены.</w:t>
      </w:r>
    </w:p>
    <w:p w14:paraId="04BD2110" w14:textId="77777777" w:rsidR="009C2230" w:rsidRPr="003028E3" w:rsidRDefault="009C2230" w:rsidP="009C2230">
      <w:pPr>
        <w:pStyle w:val="SingleTxtG"/>
      </w:pPr>
      <w:r w:rsidRPr="007422D6">
        <w:t>17.</w:t>
      </w:r>
      <w:r w:rsidRPr="007422D6">
        <w:tab/>
        <w:t>В настоящее время в состав Исполнительного комитета входят 16 главных должностных лиц, назначаемых в рамках системы политических назначений,</w:t>
      </w:r>
      <w:r w:rsidR="007D1702">
        <w:br/>
      </w:r>
      <w:r w:rsidRPr="007422D6">
        <w:t>и 16 неофициальных членов.</w:t>
      </w:r>
    </w:p>
    <w:p w14:paraId="66AA0C3F" w14:textId="77777777" w:rsidR="009C2230" w:rsidRPr="003028E3" w:rsidRDefault="009C2230" w:rsidP="009C2230">
      <w:pPr>
        <w:pStyle w:val="H4G"/>
      </w:pPr>
      <w:r w:rsidRPr="007422D6">
        <w:rPr>
          <w:iCs/>
        </w:rPr>
        <w:tab/>
      </w:r>
      <w:r w:rsidRPr="007422D6">
        <w:rPr>
          <w:iCs/>
        </w:rPr>
        <w:tab/>
        <w:t>Состав правительства ОАРГ</w:t>
      </w:r>
    </w:p>
    <w:p w14:paraId="24A4B7E3" w14:textId="77777777" w:rsidR="009C2230" w:rsidRPr="003028E3" w:rsidRDefault="009C2230" w:rsidP="009C2230">
      <w:pPr>
        <w:pStyle w:val="SingleTxtG"/>
      </w:pPr>
      <w:r w:rsidRPr="007422D6">
        <w:t>18.</w:t>
      </w:r>
      <w:r w:rsidRPr="007422D6">
        <w:tab/>
        <w:t xml:space="preserve">Главой правительства ОАРГ является глава исполнительной власти. Если глава исполнительной власти не может выполнять своих обязанностей в течение короткого периода времени, такие обязанности временно исполняет один из трех секретарей департаментов, а именно главный секретарь по административным делам (ГС), секретарь по финансам (СФ) или секретарь юстиции (СЮ) в указанном порядке очередности. Правительство ОАРГ включает в себя </w:t>
      </w:r>
      <w:r w:rsidR="0017299B">
        <w:t>А</w:t>
      </w:r>
      <w:r w:rsidRPr="007422D6">
        <w:t xml:space="preserve">дминистративный департамент, </w:t>
      </w:r>
      <w:r w:rsidR="0017299B">
        <w:t>Д</w:t>
      </w:r>
      <w:r w:rsidRPr="007422D6">
        <w:t xml:space="preserve">епартамент финансов, </w:t>
      </w:r>
      <w:r w:rsidR="0017299B">
        <w:t>М</w:t>
      </w:r>
      <w:r w:rsidRPr="007422D6">
        <w:t>инистерство юстиции (МЮ) и ряд бюро, отделов и комиссий.</w:t>
      </w:r>
    </w:p>
    <w:p w14:paraId="5E2F41A0" w14:textId="77777777" w:rsidR="009C2230" w:rsidRPr="003028E3" w:rsidRDefault="009C2230" w:rsidP="009C2230">
      <w:pPr>
        <w:pStyle w:val="SingleTxtG"/>
      </w:pPr>
      <w:r w:rsidRPr="007422D6">
        <w:t>19.</w:t>
      </w:r>
      <w:r w:rsidRPr="007422D6">
        <w:tab/>
        <w:t>В настоящее время имеется 13 бюро, каждое из которых возглавляет политический секретарь, которые вместе составляют секретариат правительства.</w:t>
      </w:r>
      <w:r w:rsidR="007D1702">
        <w:br/>
      </w:r>
      <w:r w:rsidRPr="007422D6">
        <w:t xml:space="preserve">За некоторыми исключениями руководители правительственных ведомств подчиняются секретарям департаментов и политическим секретарям. Исключения </w:t>
      </w:r>
      <w:r w:rsidR="007D1702">
        <w:t>–</w:t>
      </w:r>
      <w:r w:rsidRPr="007422D6">
        <w:t xml:space="preserve"> Председатель Независимой комиссии по борьбе с коррупцией, Омбудсмен и Директор по аудиту, которые пользуются независимостью и подчиняются непосредственно главе исполнительной власти.</w:t>
      </w:r>
    </w:p>
    <w:p w14:paraId="55F57FE0" w14:textId="77777777" w:rsidR="009C2230" w:rsidRPr="003028E3" w:rsidRDefault="009C2230" w:rsidP="009C2230">
      <w:pPr>
        <w:pStyle w:val="SingleTxtG"/>
      </w:pPr>
      <w:r w:rsidRPr="007422D6">
        <w:t>20.</w:t>
      </w:r>
      <w:r w:rsidRPr="007422D6">
        <w:tab/>
        <w:t>Система политических назначений была введена с 1 июля 2002 года.</w:t>
      </w:r>
      <w:r w:rsidR="007D1702">
        <w:br/>
      </w:r>
      <w:r w:rsidRPr="007422D6">
        <w:t>В соответствии с этой системой ГС, СФ, СЮ и 13 политических секретарей правительства ОАРГ являются политическими назначенцами. Они несут ответственность за конкретные области политики и подчиняются главе исполнительной власти. Одновременно они также включаются в силу занимаемой должности в состав Исполнительного совета и вместе с другими членами Исполнительного совета оказывают содействие главе исполнительной власти в разработке политики. При этой системе сохраняется постоянная, профессиональная и политически нейтральная государственная служба.</w:t>
      </w:r>
    </w:p>
    <w:p w14:paraId="46378BAB" w14:textId="77777777" w:rsidR="009C2230" w:rsidRPr="003028E3" w:rsidRDefault="009C2230" w:rsidP="009C2230">
      <w:pPr>
        <w:pStyle w:val="H4G"/>
      </w:pPr>
      <w:r w:rsidRPr="007422D6">
        <w:rPr>
          <w:iCs/>
        </w:rPr>
        <w:tab/>
      </w:r>
      <w:r w:rsidRPr="007422D6">
        <w:rPr>
          <w:iCs/>
        </w:rPr>
        <w:tab/>
        <w:t>Законодательный совет</w:t>
      </w:r>
    </w:p>
    <w:p w14:paraId="5BF5EA0C" w14:textId="77777777" w:rsidR="009C2230" w:rsidRPr="003028E3" w:rsidRDefault="009C2230" w:rsidP="009C2230">
      <w:pPr>
        <w:pStyle w:val="SingleTxtG"/>
      </w:pPr>
      <w:r w:rsidRPr="007422D6">
        <w:t>21.</w:t>
      </w:r>
      <w:r w:rsidRPr="007422D6">
        <w:tab/>
        <w:t>Полномочия и функции Законодательного совета определены в статье 73 Основного закона. К ним относятся принятие, изменение или отмена законов в соответствии с положениями Основного закона и правовыми процедурами; рассмотрение и утверждение бюджетов, представленных правительством ОАРГ; утверждение налогообложения и государственных расходов; заслушание и обсуждение выступлений главы исполнительной власти по вопросам политики; направление запросов о работе правительства ОАРГ; обсуждение любых вопросов, касающихся общественных интересов; утверждение назначения и смещения членов Высшего апелляционного суда и председателя Высокого суда; получение и рассмотрение жалоб жителей Гонконга и т. п.</w:t>
      </w:r>
    </w:p>
    <w:p w14:paraId="0420C0C7" w14:textId="77777777" w:rsidR="009C2230" w:rsidRPr="003028E3" w:rsidRDefault="009C2230" w:rsidP="009C2230">
      <w:pPr>
        <w:pStyle w:val="SingleTxtG"/>
        <w:spacing w:after="240"/>
      </w:pPr>
      <w:r w:rsidRPr="007422D6">
        <w:t>22.</w:t>
      </w:r>
      <w:r w:rsidRPr="007422D6">
        <w:tab/>
        <w:t xml:space="preserve">В статье 68 Основного закона предусмотрено, что Законодательный совет образуется путем выборов. Порядок его формирования уточняется в свете реальной ситуации в ОАРГ и в соответствии с принципом постепенного и упорядоченного прогресса. Конечная цель </w:t>
      </w:r>
      <w:r w:rsidR="007D1702">
        <w:t>–</w:t>
      </w:r>
      <w:r w:rsidRPr="007422D6">
        <w:t xml:space="preserve"> избрание всех членов Законодательного совета всеобщим голосованием. Приложение II к Основному закону и соответствующее решение ВСНП от 4 апреля 1990 года устанавливают следующий состав членов Законодательного совета первых трех созывов:</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82"/>
        <w:gridCol w:w="1462"/>
        <w:gridCol w:w="1463"/>
        <w:gridCol w:w="1463"/>
      </w:tblGrid>
      <w:tr w:rsidR="009C2230" w:rsidRPr="00934A06" w14:paraId="2216234C" w14:textId="77777777" w:rsidTr="007D1702">
        <w:trPr>
          <w:cantSplit/>
          <w:tblHeader/>
        </w:trPr>
        <w:tc>
          <w:tcPr>
            <w:tcW w:w="2982" w:type="dxa"/>
            <w:tcBorders>
              <w:top w:val="single" w:sz="4" w:space="0" w:color="auto"/>
              <w:bottom w:val="single" w:sz="12" w:space="0" w:color="auto"/>
            </w:tcBorders>
            <w:shd w:val="clear" w:color="auto" w:fill="auto"/>
            <w:vAlign w:val="bottom"/>
          </w:tcPr>
          <w:p w14:paraId="779053C7" w14:textId="77777777" w:rsidR="009C2230" w:rsidRPr="002909A3" w:rsidRDefault="009C2230" w:rsidP="00FC02E8">
            <w:pPr>
              <w:pStyle w:val="SingleTxtG"/>
              <w:spacing w:before="80" w:after="80" w:line="200" w:lineRule="exact"/>
              <w:ind w:left="0" w:right="113"/>
              <w:jc w:val="left"/>
              <w:rPr>
                <w:i/>
                <w:sz w:val="16"/>
              </w:rPr>
            </w:pPr>
            <w:r w:rsidRPr="002909A3">
              <w:rPr>
                <w:i/>
                <w:iCs/>
                <w:sz w:val="16"/>
              </w:rPr>
              <w:t>Члены Законодательного совета</w:t>
            </w:r>
          </w:p>
        </w:tc>
        <w:tc>
          <w:tcPr>
            <w:tcW w:w="1462" w:type="dxa"/>
            <w:tcBorders>
              <w:top w:val="single" w:sz="4" w:space="0" w:color="auto"/>
              <w:bottom w:val="single" w:sz="12" w:space="0" w:color="auto"/>
            </w:tcBorders>
            <w:shd w:val="clear" w:color="auto" w:fill="auto"/>
            <w:vAlign w:val="bottom"/>
          </w:tcPr>
          <w:p w14:paraId="76EAF00D" w14:textId="77777777" w:rsidR="009C2230" w:rsidRPr="003028E3" w:rsidRDefault="009C2230" w:rsidP="00FC02E8">
            <w:pPr>
              <w:pStyle w:val="SingleTxtG"/>
              <w:spacing w:before="80" w:after="80" w:line="200" w:lineRule="exact"/>
              <w:ind w:left="0" w:right="113"/>
              <w:jc w:val="right"/>
              <w:rPr>
                <w:i/>
                <w:sz w:val="16"/>
              </w:rPr>
            </w:pPr>
            <w:r w:rsidRPr="002909A3">
              <w:rPr>
                <w:i/>
                <w:iCs/>
                <w:sz w:val="16"/>
              </w:rPr>
              <w:t>Первого созыва</w:t>
            </w:r>
            <w:r w:rsidRPr="002909A3">
              <w:rPr>
                <w:i/>
                <w:iCs/>
                <w:sz w:val="16"/>
              </w:rPr>
              <w:br/>
              <w:t xml:space="preserve">1998–2000 </w:t>
            </w:r>
            <w:r w:rsidRPr="002909A3">
              <w:rPr>
                <w:sz w:val="16"/>
              </w:rPr>
              <w:t>годы</w:t>
            </w:r>
            <w:r w:rsidRPr="002909A3">
              <w:rPr>
                <w:i/>
                <w:iCs/>
                <w:sz w:val="16"/>
              </w:rPr>
              <w:br/>
              <w:t>(два года)</w:t>
            </w:r>
          </w:p>
        </w:tc>
        <w:tc>
          <w:tcPr>
            <w:tcW w:w="1463" w:type="dxa"/>
            <w:tcBorders>
              <w:top w:val="single" w:sz="4" w:space="0" w:color="auto"/>
              <w:bottom w:val="single" w:sz="12" w:space="0" w:color="auto"/>
            </w:tcBorders>
            <w:shd w:val="clear" w:color="auto" w:fill="auto"/>
            <w:vAlign w:val="bottom"/>
          </w:tcPr>
          <w:p w14:paraId="2E081F2E" w14:textId="77777777" w:rsidR="009C2230" w:rsidRPr="003028E3" w:rsidRDefault="009C2230" w:rsidP="00FC02E8">
            <w:pPr>
              <w:pStyle w:val="SingleTxtG"/>
              <w:spacing w:before="80" w:after="80" w:line="200" w:lineRule="exact"/>
              <w:ind w:left="0" w:right="113"/>
              <w:jc w:val="right"/>
              <w:rPr>
                <w:i/>
                <w:sz w:val="16"/>
              </w:rPr>
            </w:pPr>
            <w:r w:rsidRPr="002909A3">
              <w:rPr>
                <w:i/>
                <w:iCs/>
                <w:sz w:val="16"/>
              </w:rPr>
              <w:t>Второго созыва</w:t>
            </w:r>
            <w:r w:rsidRPr="002909A3">
              <w:rPr>
                <w:i/>
                <w:iCs/>
                <w:sz w:val="16"/>
              </w:rPr>
              <w:br/>
              <w:t>2000–2004 годы</w:t>
            </w:r>
            <w:r w:rsidRPr="002909A3">
              <w:rPr>
                <w:i/>
                <w:iCs/>
                <w:sz w:val="16"/>
              </w:rPr>
              <w:br/>
              <w:t>(четыре года)</w:t>
            </w:r>
          </w:p>
        </w:tc>
        <w:tc>
          <w:tcPr>
            <w:tcW w:w="1463" w:type="dxa"/>
            <w:tcBorders>
              <w:top w:val="single" w:sz="4" w:space="0" w:color="auto"/>
              <w:bottom w:val="single" w:sz="12" w:space="0" w:color="auto"/>
            </w:tcBorders>
            <w:shd w:val="clear" w:color="auto" w:fill="auto"/>
            <w:vAlign w:val="bottom"/>
          </w:tcPr>
          <w:p w14:paraId="08A0F650" w14:textId="77777777" w:rsidR="009C2230" w:rsidRPr="003028E3" w:rsidRDefault="009C2230" w:rsidP="00FC02E8">
            <w:pPr>
              <w:pStyle w:val="SingleTxtG"/>
              <w:spacing w:before="80" w:after="80" w:line="200" w:lineRule="exact"/>
              <w:ind w:left="0" w:right="113"/>
              <w:jc w:val="right"/>
              <w:rPr>
                <w:i/>
                <w:sz w:val="16"/>
              </w:rPr>
            </w:pPr>
            <w:r w:rsidRPr="002909A3">
              <w:rPr>
                <w:i/>
                <w:iCs/>
                <w:sz w:val="16"/>
              </w:rPr>
              <w:t>Третьего созыва</w:t>
            </w:r>
            <w:r w:rsidRPr="002909A3">
              <w:rPr>
                <w:i/>
                <w:iCs/>
                <w:sz w:val="16"/>
              </w:rPr>
              <w:br/>
              <w:t>2004–2008 годы</w:t>
            </w:r>
            <w:r w:rsidRPr="002909A3">
              <w:rPr>
                <w:i/>
                <w:iCs/>
                <w:sz w:val="16"/>
              </w:rPr>
              <w:br/>
              <w:t>(четыре года)</w:t>
            </w:r>
          </w:p>
        </w:tc>
      </w:tr>
      <w:tr w:rsidR="009C2230" w14:paraId="60E727D8" w14:textId="77777777" w:rsidTr="007D1702">
        <w:trPr>
          <w:cantSplit/>
        </w:trPr>
        <w:tc>
          <w:tcPr>
            <w:tcW w:w="2982" w:type="dxa"/>
            <w:tcBorders>
              <w:top w:val="single" w:sz="12" w:space="0" w:color="auto"/>
            </w:tcBorders>
            <w:shd w:val="clear" w:color="auto" w:fill="auto"/>
          </w:tcPr>
          <w:p w14:paraId="4654D1FB" w14:textId="77777777" w:rsidR="009C2230" w:rsidRPr="003028E3" w:rsidRDefault="009C2230" w:rsidP="007D1702">
            <w:pPr>
              <w:pStyle w:val="SingleTxtG"/>
              <w:tabs>
                <w:tab w:val="left" w:pos="269"/>
              </w:tabs>
              <w:spacing w:before="60" w:after="60" w:line="220" w:lineRule="exact"/>
              <w:ind w:left="269" w:right="113" w:hanging="269"/>
              <w:jc w:val="left"/>
              <w:rPr>
                <w:sz w:val="18"/>
              </w:rPr>
            </w:pPr>
            <w:r w:rsidRPr="002909A3">
              <w:rPr>
                <w:sz w:val="18"/>
              </w:rPr>
              <w:t>а)</w:t>
            </w:r>
            <w:r w:rsidR="007D1702">
              <w:rPr>
                <w:sz w:val="18"/>
              </w:rPr>
              <w:tab/>
            </w:r>
            <w:r w:rsidRPr="002909A3">
              <w:rPr>
                <w:sz w:val="18"/>
              </w:rPr>
              <w:t>избираемые по территориальным округам путем прямых выборов</w:t>
            </w:r>
          </w:p>
        </w:tc>
        <w:tc>
          <w:tcPr>
            <w:tcW w:w="1462" w:type="dxa"/>
            <w:tcBorders>
              <w:top w:val="single" w:sz="12" w:space="0" w:color="auto"/>
            </w:tcBorders>
            <w:shd w:val="clear" w:color="auto" w:fill="auto"/>
            <w:vAlign w:val="bottom"/>
          </w:tcPr>
          <w:p w14:paraId="3F086CF1" w14:textId="77777777" w:rsidR="009C2230" w:rsidRPr="002909A3" w:rsidRDefault="009C2230" w:rsidP="007D1702">
            <w:pPr>
              <w:pStyle w:val="SingleTxtG"/>
              <w:spacing w:before="60" w:after="60" w:line="220" w:lineRule="exact"/>
              <w:ind w:left="0" w:right="113"/>
              <w:jc w:val="right"/>
              <w:rPr>
                <w:sz w:val="18"/>
              </w:rPr>
            </w:pPr>
            <w:r w:rsidRPr="002909A3">
              <w:rPr>
                <w:sz w:val="18"/>
              </w:rPr>
              <w:t>20</w:t>
            </w:r>
          </w:p>
        </w:tc>
        <w:tc>
          <w:tcPr>
            <w:tcW w:w="1463" w:type="dxa"/>
            <w:tcBorders>
              <w:top w:val="single" w:sz="12" w:space="0" w:color="auto"/>
            </w:tcBorders>
            <w:shd w:val="clear" w:color="auto" w:fill="auto"/>
            <w:vAlign w:val="bottom"/>
          </w:tcPr>
          <w:p w14:paraId="41481C76" w14:textId="77777777" w:rsidR="009C2230" w:rsidRPr="002909A3" w:rsidRDefault="009C2230" w:rsidP="007D1702">
            <w:pPr>
              <w:pStyle w:val="SingleTxtG"/>
              <w:spacing w:before="60" w:after="60" w:line="220" w:lineRule="exact"/>
              <w:ind w:left="0" w:right="113"/>
              <w:jc w:val="right"/>
              <w:rPr>
                <w:sz w:val="18"/>
              </w:rPr>
            </w:pPr>
            <w:r w:rsidRPr="002909A3">
              <w:rPr>
                <w:sz w:val="18"/>
              </w:rPr>
              <w:t>24</w:t>
            </w:r>
          </w:p>
        </w:tc>
        <w:tc>
          <w:tcPr>
            <w:tcW w:w="1463" w:type="dxa"/>
            <w:tcBorders>
              <w:top w:val="single" w:sz="12" w:space="0" w:color="auto"/>
            </w:tcBorders>
            <w:shd w:val="clear" w:color="auto" w:fill="auto"/>
            <w:vAlign w:val="bottom"/>
          </w:tcPr>
          <w:p w14:paraId="0678BC94" w14:textId="77777777" w:rsidR="009C2230" w:rsidRPr="002909A3" w:rsidRDefault="009C2230" w:rsidP="007D1702">
            <w:pPr>
              <w:pStyle w:val="SingleTxtG"/>
              <w:spacing w:before="60" w:after="60" w:line="220" w:lineRule="exact"/>
              <w:ind w:left="0" w:right="113"/>
              <w:jc w:val="right"/>
              <w:rPr>
                <w:sz w:val="18"/>
              </w:rPr>
            </w:pPr>
            <w:r w:rsidRPr="002909A3">
              <w:rPr>
                <w:sz w:val="18"/>
              </w:rPr>
              <w:t>30</w:t>
            </w:r>
          </w:p>
        </w:tc>
      </w:tr>
      <w:tr w:rsidR="009C2230" w14:paraId="79FB8E23" w14:textId="77777777" w:rsidTr="007D1702">
        <w:trPr>
          <w:cantSplit/>
        </w:trPr>
        <w:tc>
          <w:tcPr>
            <w:tcW w:w="2982" w:type="dxa"/>
            <w:shd w:val="clear" w:color="auto" w:fill="auto"/>
          </w:tcPr>
          <w:p w14:paraId="1EF07E82" w14:textId="77777777" w:rsidR="009C2230" w:rsidRPr="002909A3" w:rsidRDefault="009C2230" w:rsidP="007D1702">
            <w:pPr>
              <w:pStyle w:val="SingleTxtG"/>
              <w:tabs>
                <w:tab w:val="left" w:pos="269"/>
              </w:tabs>
              <w:spacing w:before="60" w:after="60" w:line="220" w:lineRule="exact"/>
              <w:ind w:left="269" w:right="113" w:hanging="269"/>
              <w:jc w:val="left"/>
              <w:rPr>
                <w:sz w:val="18"/>
              </w:rPr>
            </w:pPr>
            <w:r w:rsidRPr="002909A3">
              <w:rPr>
                <w:sz w:val="18"/>
              </w:rPr>
              <w:t>b)</w:t>
            </w:r>
            <w:r w:rsidRPr="002909A3">
              <w:rPr>
                <w:sz w:val="18"/>
              </w:rPr>
              <w:tab/>
              <w:t>избираемые по куриям</w:t>
            </w:r>
          </w:p>
        </w:tc>
        <w:tc>
          <w:tcPr>
            <w:tcW w:w="1462" w:type="dxa"/>
            <w:shd w:val="clear" w:color="auto" w:fill="auto"/>
            <w:vAlign w:val="bottom"/>
          </w:tcPr>
          <w:p w14:paraId="0B32106E" w14:textId="77777777" w:rsidR="009C2230" w:rsidRPr="002909A3" w:rsidRDefault="009C2230" w:rsidP="007D1702">
            <w:pPr>
              <w:pStyle w:val="SingleTxtG"/>
              <w:spacing w:before="60" w:after="60" w:line="220" w:lineRule="exact"/>
              <w:ind w:left="0" w:right="113"/>
              <w:jc w:val="right"/>
              <w:rPr>
                <w:sz w:val="18"/>
              </w:rPr>
            </w:pPr>
            <w:r w:rsidRPr="002909A3">
              <w:rPr>
                <w:sz w:val="18"/>
              </w:rPr>
              <w:t>30</w:t>
            </w:r>
          </w:p>
        </w:tc>
        <w:tc>
          <w:tcPr>
            <w:tcW w:w="1463" w:type="dxa"/>
            <w:shd w:val="clear" w:color="auto" w:fill="auto"/>
            <w:vAlign w:val="bottom"/>
          </w:tcPr>
          <w:p w14:paraId="1AACFF37" w14:textId="77777777" w:rsidR="009C2230" w:rsidRPr="002909A3" w:rsidRDefault="009C2230" w:rsidP="007D1702">
            <w:pPr>
              <w:pStyle w:val="SingleTxtG"/>
              <w:spacing w:before="60" w:after="60" w:line="220" w:lineRule="exact"/>
              <w:ind w:left="0" w:right="113"/>
              <w:jc w:val="right"/>
              <w:rPr>
                <w:sz w:val="18"/>
              </w:rPr>
            </w:pPr>
            <w:r w:rsidRPr="002909A3">
              <w:rPr>
                <w:sz w:val="18"/>
              </w:rPr>
              <w:t>30</w:t>
            </w:r>
          </w:p>
        </w:tc>
        <w:tc>
          <w:tcPr>
            <w:tcW w:w="1463" w:type="dxa"/>
            <w:shd w:val="clear" w:color="auto" w:fill="auto"/>
            <w:vAlign w:val="bottom"/>
          </w:tcPr>
          <w:p w14:paraId="79C79DBE" w14:textId="77777777" w:rsidR="009C2230" w:rsidRPr="002909A3" w:rsidRDefault="009C2230" w:rsidP="007D1702">
            <w:pPr>
              <w:pStyle w:val="SingleTxtG"/>
              <w:spacing w:before="60" w:after="60" w:line="220" w:lineRule="exact"/>
              <w:ind w:left="0" w:right="113"/>
              <w:jc w:val="right"/>
              <w:rPr>
                <w:sz w:val="18"/>
              </w:rPr>
            </w:pPr>
            <w:r w:rsidRPr="002909A3">
              <w:rPr>
                <w:sz w:val="18"/>
              </w:rPr>
              <w:t>30</w:t>
            </w:r>
          </w:p>
        </w:tc>
      </w:tr>
      <w:tr w:rsidR="009C2230" w14:paraId="4453A9C4" w14:textId="77777777" w:rsidTr="007D1702">
        <w:trPr>
          <w:cantSplit/>
        </w:trPr>
        <w:tc>
          <w:tcPr>
            <w:tcW w:w="2982" w:type="dxa"/>
            <w:tcBorders>
              <w:bottom w:val="single" w:sz="4" w:space="0" w:color="auto"/>
            </w:tcBorders>
            <w:shd w:val="clear" w:color="auto" w:fill="auto"/>
          </w:tcPr>
          <w:p w14:paraId="4288C854" w14:textId="77777777" w:rsidR="009C2230" w:rsidRPr="002909A3" w:rsidRDefault="009C2230" w:rsidP="007D1702">
            <w:pPr>
              <w:pStyle w:val="SingleTxtG"/>
              <w:tabs>
                <w:tab w:val="left" w:pos="269"/>
              </w:tabs>
              <w:spacing w:before="60" w:after="60" w:line="220" w:lineRule="exact"/>
              <w:ind w:left="269" w:right="113" w:hanging="269"/>
              <w:jc w:val="left"/>
              <w:rPr>
                <w:sz w:val="18"/>
              </w:rPr>
            </w:pPr>
            <w:r w:rsidRPr="002909A3">
              <w:rPr>
                <w:sz w:val="18"/>
              </w:rPr>
              <w:t>c)</w:t>
            </w:r>
            <w:r w:rsidR="007D1702">
              <w:rPr>
                <w:sz w:val="18"/>
              </w:rPr>
              <w:tab/>
            </w:r>
            <w:r w:rsidRPr="002909A3">
              <w:rPr>
                <w:sz w:val="18"/>
              </w:rPr>
              <w:t>избираемые избирательной комиссией</w:t>
            </w:r>
          </w:p>
        </w:tc>
        <w:tc>
          <w:tcPr>
            <w:tcW w:w="1462" w:type="dxa"/>
            <w:tcBorders>
              <w:bottom w:val="single" w:sz="4" w:space="0" w:color="auto"/>
            </w:tcBorders>
            <w:shd w:val="clear" w:color="auto" w:fill="auto"/>
            <w:vAlign w:val="bottom"/>
          </w:tcPr>
          <w:p w14:paraId="147A22D9" w14:textId="77777777" w:rsidR="009C2230" w:rsidRPr="002909A3" w:rsidRDefault="009C2230" w:rsidP="007D1702">
            <w:pPr>
              <w:pStyle w:val="SingleTxtG"/>
              <w:spacing w:before="60" w:after="60" w:line="220" w:lineRule="exact"/>
              <w:ind w:left="0" w:right="113"/>
              <w:jc w:val="right"/>
              <w:rPr>
                <w:sz w:val="18"/>
              </w:rPr>
            </w:pPr>
            <w:r w:rsidRPr="002909A3">
              <w:rPr>
                <w:sz w:val="18"/>
              </w:rPr>
              <w:t>10</w:t>
            </w:r>
          </w:p>
        </w:tc>
        <w:tc>
          <w:tcPr>
            <w:tcW w:w="1463" w:type="dxa"/>
            <w:tcBorders>
              <w:bottom w:val="single" w:sz="4" w:space="0" w:color="auto"/>
            </w:tcBorders>
            <w:shd w:val="clear" w:color="auto" w:fill="auto"/>
            <w:vAlign w:val="bottom"/>
          </w:tcPr>
          <w:p w14:paraId="2C979AA0" w14:textId="77777777" w:rsidR="009C2230" w:rsidRPr="002909A3" w:rsidRDefault="009C2230" w:rsidP="007D1702">
            <w:pPr>
              <w:pStyle w:val="SingleTxtG"/>
              <w:spacing w:before="60" w:after="60" w:line="220" w:lineRule="exact"/>
              <w:ind w:left="0" w:right="113"/>
              <w:jc w:val="right"/>
              <w:rPr>
                <w:sz w:val="18"/>
              </w:rPr>
            </w:pPr>
            <w:r w:rsidRPr="002909A3">
              <w:rPr>
                <w:sz w:val="18"/>
              </w:rPr>
              <w:t>6</w:t>
            </w:r>
          </w:p>
        </w:tc>
        <w:tc>
          <w:tcPr>
            <w:tcW w:w="1463" w:type="dxa"/>
            <w:tcBorders>
              <w:bottom w:val="single" w:sz="4" w:space="0" w:color="auto"/>
            </w:tcBorders>
            <w:shd w:val="clear" w:color="auto" w:fill="auto"/>
            <w:vAlign w:val="bottom"/>
          </w:tcPr>
          <w:p w14:paraId="4F13C404" w14:textId="77777777" w:rsidR="009C2230" w:rsidRPr="002909A3" w:rsidRDefault="0017299B" w:rsidP="007D1702">
            <w:pPr>
              <w:pStyle w:val="SingleTxtG"/>
              <w:spacing w:before="60" w:after="60" w:line="220" w:lineRule="exact"/>
              <w:ind w:left="0" w:right="113"/>
              <w:jc w:val="right"/>
              <w:rPr>
                <w:sz w:val="18"/>
              </w:rPr>
            </w:pPr>
            <w:r>
              <w:rPr>
                <w:sz w:val="18"/>
              </w:rPr>
              <w:t>–</w:t>
            </w:r>
          </w:p>
        </w:tc>
      </w:tr>
      <w:tr w:rsidR="009C2230" w14:paraId="22D1895A" w14:textId="77777777" w:rsidTr="007D1702">
        <w:trPr>
          <w:cantSplit/>
        </w:trPr>
        <w:tc>
          <w:tcPr>
            <w:tcW w:w="2982" w:type="dxa"/>
            <w:tcBorders>
              <w:top w:val="single" w:sz="4" w:space="0" w:color="auto"/>
              <w:bottom w:val="single" w:sz="12" w:space="0" w:color="auto"/>
            </w:tcBorders>
            <w:shd w:val="clear" w:color="auto" w:fill="auto"/>
          </w:tcPr>
          <w:p w14:paraId="58A495A6" w14:textId="77777777" w:rsidR="009C2230" w:rsidRPr="002909A3" w:rsidRDefault="009C2230" w:rsidP="007D1702">
            <w:pPr>
              <w:pStyle w:val="SingleTxtG"/>
              <w:spacing w:before="80" w:after="80" w:line="220" w:lineRule="exact"/>
              <w:ind w:left="283" w:right="0"/>
              <w:jc w:val="left"/>
              <w:rPr>
                <w:b/>
                <w:sz w:val="18"/>
              </w:rPr>
            </w:pPr>
            <w:r w:rsidRPr="002909A3">
              <w:rPr>
                <w:b/>
                <w:bCs/>
                <w:sz w:val="18"/>
              </w:rPr>
              <w:t>Итого</w:t>
            </w:r>
          </w:p>
        </w:tc>
        <w:tc>
          <w:tcPr>
            <w:tcW w:w="1462" w:type="dxa"/>
            <w:tcBorders>
              <w:top w:val="single" w:sz="4" w:space="0" w:color="auto"/>
              <w:bottom w:val="single" w:sz="12" w:space="0" w:color="auto"/>
            </w:tcBorders>
            <w:shd w:val="clear" w:color="auto" w:fill="auto"/>
            <w:vAlign w:val="bottom"/>
          </w:tcPr>
          <w:p w14:paraId="3D0DEC27" w14:textId="77777777" w:rsidR="009C2230" w:rsidRPr="002909A3" w:rsidRDefault="009C2230" w:rsidP="007D1702">
            <w:pPr>
              <w:pStyle w:val="SingleTxtG"/>
              <w:spacing w:before="80" w:after="80" w:line="220" w:lineRule="exact"/>
              <w:ind w:left="0" w:right="113"/>
              <w:jc w:val="right"/>
              <w:rPr>
                <w:b/>
                <w:sz w:val="18"/>
              </w:rPr>
            </w:pPr>
            <w:r w:rsidRPr="002909A3">
              <w:rPr>
                <w:b/>
                <w:bCs/>
                <w:sz w:val="18"/>
              </w:rPr>
              <w:t>60</w:t>
            </w:r>
          </w:p>
        </w:tc>
        <w:tc>
          <w:tcPr>
            <w:tcW w:w="1463" w:type="dxa"/>
            <w:tcBorders>
              <w:top w:val="single" w:sz="4" w:space="0" w:color="auto"/>
              <w:bottom w:val="single" w:sz="12" w:space="0" w:color="auto"/>
            </w:tcBorders>
            <w:shd w:val="clear" w:color="auto" w:fill="auto"/>
            <w:vAlign w:val="bottom"/>
          </w:tcPr>
          <w:p w14:paraId="5A296EC1" w14:textId="77777777" w:rsidR="009C2230" w:rsidRPr="002909A3" w:rsidRDefault="009C2230" w:rsidP="007D1702">
            <w:pPr>
              <w:pStyle w:val="SingleTxtG"/>
              <w:spacing w:before="80" w:after="80" w:line="220" w:lineRule="exact"/>
              <w:ind w:left="0" w:right="113"/>
              <w:jc w:val="right"/>
              <w:rPr>
                <w:b/>
                <w:sz w:val="18"/>
              </w:rPr>
            </w:pPr>
            <w:r w:rsidRPr="002909A3">
              <w:rPr>
                <w:b/>
                <w:bCs/>
                <w:sz w:val="18"/>
              </w:rPr>
              <w:t>60</w:t>
            </w:r>
          </w:p>
        </w:tc>
        <w:tc>
          <w:tcPr>
            <w:tcW w:w="1463" w:type="dxa"/>
            <w:tcBorders>
              <w:top w:val="single" w:sz="4" w:space="0" w:color="auto"/>
              <w:bottom w:val="single" w:sz="12" w:space="0" w:color="auto"/>
            </w:tcBorders>
            <w:shd w:val="clear" w:color="auto" w:fill="auto"/>
            <w:vAlign w:val="bottom"/>
          </w:tcPr>
          <w:p w14:paraId="028AD31C" w14:textId="77777777" w:rsidR="009C2230" w:rsidRPr="002909A3" w:rsidRDefault="009C2230" w:rsidP="007D1702">
            <w:pPr>
              <w:pStyle w:val="SingleTxtG"/>
              <w:spacing w:before="80" w:after="80" w:line="220" w:lineRule="exact"/>
              <w:ind w:left="0" w:right="113"/>
              <w:jc w:val="right"/>
              <w:rPr>
                <w:b/>
                <w:sz w:val="18"/>
              </w:rPr>
            </w:pPr>
            <w:r w:rsidRPr="002909A3">
              <w:rPr>
                <w:b/>
                <w:bCs/>
                <w:sz w:val="18"/>
              </w:rPr>
              <w:t>60</w:t>
            </w:r>
          </w:p>
        </w:tc>
      </w:tr>
    </w:tbl>
    <w:p w14:paraId="5B8F13AB" w14:textId="77777777" w:rsidR="009C2230" w:rsidRPr="003028E3" w:rsidRDefault="009C2230" w:rsidP="009C2230">
      <w:pPr>
        <w:pStyle w:val="SingleTxtG"/>
        <w:spacing w:before="240"/>
      </w:pPr>
      <w:r w:rsidRPr="007422D6">
        <w:t>23.</w:t>
      </w:r>
      <w:r w:rsidRPr="007422D6">
        <w:tab/>
        <w:t xml:space="preserve">В приложении II к Основному закону предусмотрено, что если после 2007 года возникнет необходимость изменить порядок формирования ЗС, то такие изменения должны быть одобрены большинством в две трети членов Совета, утверждены главой исполнительной власти и официально доведены до сведения ПК ВСНП. В 2007 году ПК ВСНП принял решение о том, что после того, как глава исполнительной власти будет избираться всеобщим голосованием, выборы всех членов ЗС ОАРГ также могут проводиться всеобщим голосованием. Предложение о порядке формирования Законодательного совета пятого созыва в 2012 году, представленное правительством ОАРГ, в июне 2010 года было принято Законодательным советом большинством в две трети, а в августе 2010 года было принято к сведению ПК ВСНП. В ходе всеобщих выборов в ЗС в 2012 году более 3,2 млн избирателей получили право отдать по два голоса: один </w:t>
      </w:r>
      <w:r w:rsidR="00BF0053" w:rsidRPr="00BF0053">
        <w:t>–</w:t>
      </w:r>
      <w:r w:rsidRPr="007422D6">
        <w:t xml:space="preserve"> за список кандидатов от территориальных округов, а другой </w:t>
      </w:r>
      <w:r w:rsidR="0017299B">
        <w:t>–</w:t>
      </w:r>
      <w:r w:rsidRPr="007422D6">
        <w:t xml:space="preserve"> за список кандидатов новой (второй) курии окружных советов. Избирательным округом новой курии является весь Гонконг, а кандидаты выдвигаются из числа избранных членов окружных советов. В 2012 году в состав ЗС пятого созыва вошли 70 депутатов: 35 были избраны куриями, помимо указанной выше (второй) курии окружных советов, каждая из которых представляет важный экономический, социальный или профессиональный сектор ОАРГ; остальные 35 были избраны по территориальным округам прямым голосованием, для этого Гонконг был разделен на пять территориальных округов,</w:t>
      </w:r>
      <w:r w:rsidR="007D1702">
        <w:br/>
      </w:r>
      <w:r w:rsidRPr="007422D6">
        <w:t>от каждого из которых избирались от пяти до девяти депутатов.</w:t>
      </w:r>
    </w:p>
    <w:p w14:paraId="1AF26D07" w14:textId="77777777" w:rsidR="009C2230" w:rsidRPr="003028E3" w:rsidRDefault="009C2230" w:rsidP="009C2230">
      <w:pPr>
        <w:pStyle w:val="SingleTxtG"/>
      </w:pPr>
      <w:r w:rsidRPr="007422D6">
        <w:t>24.</w:t>
      </w:r>
      <w:r w:rsidRPr="007422D6">
        <w:tab/>
        <w:t>Что касается порядка формирования Законодательного совета шестого созыва</w:t>
      </w:r>
      <w:r w:rsidR="00FC02E8">
        <w:t xml:space="preserve"> </w:t>
      </w:r>
      <w:r w:rsidRPr="007422D6">
        <w:t>в 2016 году, то в августе 2014 года ПК ВСНП принял решение о том, что существующий порядок формирования Законодательного совета, установленный в приложении II к Основному закону, не будет изменен и что в 2016 году Законодательный совет шестого созыва будет формироваться в том же порядке, что и Законодательный совет пятого созыва. В июле 2015 года Законодательный совет принял местные законодательные акты, вносящие технические поправки в порядок проведения всеобщих выборов в Законодательный совет в 2016 году.</w:t>
      </w:r>
    </w:p>
    <w:p w14:paraId="614D5A37" w14:textId="77777777" w:rsidR="009C2230" w:rsidRPr="003028E3" w:rsidRDefault="009C2230" w:rsidP="009C2230">
      <w:pPr>
        <w:pStyle w:val="H4G"/>
      </w:pPr>
      <w:r w:rsidRPr="007422D6">
        <w:rPr>
          <w:iCs/>
        </w:rPr>
        <w:tab/>
      </w:r>
      <w:r w:rsidRPr="007422D6">
        <w:rPr>
          <w:iCs/>
        </w:rPr>
        <w:tab/>
        <w:t>Окружные советы</w:t>
      </w:r>
    </w:p>
    <w:p w14:paraId="6F8AE46B" w14:textId="77777777" w:rsidR="009C2230" w:rsidRPr="003028E3" w:rsidRDefault="009C2230" w:rsidP="009C2230">
      <w:pPr>
        <w:pStyle w:val="SingleTxtG"/>
      </w:pPr>
      <w:r w:rsidRPr="007422D6">
        <w:t>25.</w:t>
      </w:r>
      <w:r w:rsidRPr="007422D6">
        <w:tab/>
        <w:t xml:space="preserve">В ОАРГ образовано 18 окружных советов, задача которых </w:t>
      </w:r>
      <w:r w:rsidR="00E24F9D">
        <w:t>–</w:t>
      </w:r>
      <w:r w:rsidRPr="007422D6">
        <w:t xml:space="preserve"> сообщать свое мнение правительству ОАРГ по всем вопросам, касающимся благосостояния жителей округа, и содействовать развитию общин путем осуществления в округах различных общественных проектов, в том числе в сфере культуры, отдыха и охраны окружающей среды. На выборах в окружные советы пятого созыва (2016–2019 годы) в ОАРГ был образован 431 избирательный округ, от каждого из которых было избрано по одному депутату. Кроме того, 27 депутатов (председатели сельских комитетов) входят в состав окружных советов в силу занимаемой должности. Очередные выборы в окружные советы пятого созыва прошли 22 ноября 2015 года.</w:t>
      </w:r>
    </w:p>
    <w:p w14:paraId="3E69C10D" w14:textId="77777777" w:rsidR="009C2230" w:rsidRPr="003028E3" w:rsidRDefault="009C2230" w:rsidP="009C2230">
      <w:pPr>
        <w:pStyle w:val="H4G"/>
      </w:pPr>
      <w:r w:rsidRPr="007422D6">
        <w:rPr>
          <w:iCs/>
        </w:rPr>
        <w:tab/>
      </w:r>
      <w:r w:rsidRPr="007422D6">
        <w:rPr>
          <w:iCs/>
        </w:rPr>
        <w:tab/>
        <w:t>Соответствующая статистика</w:t>
      </w:r>
    </w:p>
    <w:p w14:paraId="7A1FE404" w14:textId="77777777" w:rsidR="009C2230" w:rsidRPr="003028E3" w:rsidRDefault="009C2230" w:rsidP="009C2230">
      <w:pPr>
        <w:pStyle w:val="SingleTxtG"/>
      </w:pPr>
      <w:r w:rsidRPr="007422D6">
        <w:t>26.</w:t>
      </w:r>
      <w:r w:rsidRPr="007422D6">
        <w:tab/>
        <w:t>Соответствующие статистические данные о политической системе, в том числе данные о числе зарегистрированных избирателей и явке на выборах, представлены в приложении С.</w:t>
      </w:r>
    </w:p>
    <w:p w14:paraId="347B548E" w14:textId="77777777" w:rsidR="009C2230" w:rsidRPr="003028E3" w:rsidRDefault="009C2230" w:rsidP="009C2230">
      <w:pPr>
        <w:pStyle w:val="H23G"/>
      </w:pPr>
      <w:r w:rsidRPr="007422D6">
        <w:rPr>
          <w:bCs/>
        </w:rPr>
        <w:tab/>
      </w:r>
      <w:r w:rsidRPr="007422D6">
        <w:rPr>
          <w:bCs/>
        </w:rPr>
        <w:tab/>
      </w:r>
      <w:bookmarkStart w:id="8" w:name="_Toc12351616"/>
      <w:r w:rsidRPr="007422D6">
        <w:rPr>
          <w:bCs/>
        </w:rPr>
        <w:t>Отправление правосудия</w:t>
      </w:r>
      <w:bookmarkEnd w:id="8"/>
    </w:p>
    <w:p w14:paraId="7A67A306" w14:textId="77777777" w:rsidR="009C2230" w:rsidRPr="003028E3" w:rsidRDefault="009C2230" w:rsidP="009C2230">
      <w:pPr>
        <w:pStyle w:val="H4G"/>
      </w:pPr>
      <w:r w:rsidRPr="007422D6">
        <w:rPr>
          <w:iCs/>
        </w:rPr>
        <w:tab/>
      </w:r>
      <w:r w:rsidRPr="007422D6">
        <w:rPr>
          <w:iCs/>
        </w:rPr>
        <w:tab/>
        <w:t>Судебная система ОАРГ</w:t>
      </w:r>
    </w:p>
    <w:p w14:paraId="74E61C68" w14:textId="77777777" w:rsidR="009C2230" w:rsidRPr="003028E3" w:rsidRDefault="009C2230" w:rsidP="009C2230">
      <w:pPr>
        <w:pStyle w:val="SingleTxtG"/>
      </w:pPr>
      <w:r w:rsidRPr="007422D6">
        <w:t>27.</w:t>
      </w:r>
      <w:r w:rsidRPr="007422D6">
        <w:tab/>
        <w:t>Правовая система прочно основана на верховенстве права, праве на доступ к суду, качественных услугах юридической помощи, независимости юристов, а также на независимости судебной власти от исполнительной и законодательной власти.</w:t>
      </w:r>
    </w:p>
    <w:p w14:paraId="3ADCAC1B" w14:textId="77777777" w:rsidR="009C2230" w:rsidRPr="003028E3" w:rsidRDefault="009C2230" w:rsidP="009C2230">
      <w:pPr>
        <w:pStyle w:val="SingleTxtG"/>
      </w:pPr>
      <w:r w:rsidRPr="007422D6">
        <w:t>28.</w:t>
      </w:r>
      <w:r w:rsidRPr="007422D6">
        <w:tab/>
        <w:t>В соответствии со статьей 19 Основного закона ОАРГ обладает независимой судебной властью, правомочной выносить в том числе и окончательные судебные решения. Суды ОАРГ обладают юрисдикцией в отношении всех дел на территории ОАРГ с сохранением ограничений их юрисдикции, обусловленных правовой системой и принципами, ранее действовавшими в Гонконге. Суды ОАРГ не обладают юрисдикцией в отношении действий государства в таких областях, как оборона и иностранные дела.</w:t>
      </w:r>
    </w:p>
    <w:p w14:paraId="3EC3580F" w14:textId="77777777" w:rsidR="009C2230" w:rsidRPr="003028E3" w:rsidRDefault="009C2230" w:rsidP="009C2230">
      <w:pPr>
        <w:pStyle w:val="SingleTxtG"/>
      </w:pPr>
      <w:r w:rsidRPr="007422D6">
        <w:t>29.</w:t>
      </w:r>
      <w:r w:rsidRPr="007422D6">
        <w:tab/>
        <w:t>В ОАРГ существуют следующие виды судов: Высший апелляционный суд, Высокий суд (в состав которого входит апелляционный суд и суд первой инстанции), окружной суд, магистратские суды, суд по делам о конкуренции, земельный суд, суд по трудовым спорам, суд по мелким искам, суд по делам о непристойности и коронерский суд. Суды ведут производство и принимают решения по всем уголовным делам и гражданским спорам как между лицами, так и между лицами и правительством ОАРГ.</w:t>
      </w:r>
    </w:p>
    <w:p w14:paraId="6715FF87" w14:textId="77777777" w:rsidR="009C2230" w:rsidRPr="003028E3" w:rsidRDefault="009C2230" w:rsidP="009C2230">
      <w:pPr>
        <w:pStyle w:val="SingleTxtG"/>
      </w:pPr>
      <w:r w:rsidRPr="007422D6">
        <w:t>30.</w:t>
      </w:r>
      <w:r w:rsidRPr="007422D6">
        <w:tab/>
        <w:t>Согласно статье 82 Основного закона, полномочиями выносить судебные решения в последней инстанции в ОАРГ наделен Высший апелляционный суд ОАРГ, который в случае необходимости может приглашать для участия в своих заседаниях судей других юрисдикций общего права. В соответствии со статьей 84 суды выносят решения по делам, руководствуясь применимым законодательством, и могут ссылаться на предыдущие решения других судов общего права. Статья 85 устанавливает, что суды осуществляют судебную власть независимо и без какого бы то ни было вмешательства. При выполнении должностных обязанностей работники судебных органов пользуются иммунитетом от судебного преследования.</w:t>
      </w:r>
    </w:p>
    <w:p w14:paraId="51F8D434" w14:textId="77777777" w:rsidR="009C2230" w:rsidRPr="003028E3" w:rsidRDefault="009C2230" w:rsidP="009C2230">
      <w:pPr>
        <w:pStyle w:val="SingleTxtG"/>
      </w:pPr>
      <w:r w:rsidRPr="007422D6">
        <w:t>31.</w:t>
      </w:r>
      <w:r w:rsidRPr="007422D6">
        <w:tab/>
        <w:t>Согласно статье 92 Основного закона</w:t>
      </w:r>
      <w:r w:rsidR="0017299B">
        <w:t>,</w:t>
      </w:r>
      <w:r w:rsidRPr="007422D6">
        <w:t xml:space="preserve"> судьи и другие работники судебных органов ОАРГ отбираются исходя из их судейских и профессиональных качеств и могут привлекаться из других юрисдикций общего права. В статье 88 также предусматривается, что судьи назначаются главой исполнительной власти по рекомендации независимой комиссии, в состав которой входят местные судьи, юристы и видные деятели из других областей.</w:t>
      </w:r>
    </w:p>
    <w:p w14:paraId="51F1B9E3" w14:textId="77777777" w:rsidR="009C2230" w:rsidRPr="003028E3" w:rsidRDefault="009C2230" w:rsidP="009C2230">
      <w:pPr>
        <w:pStyle w:val="SingleTxtG"/>
      </w:pPr>
      <w:r w:rsidRPr="007422D6">
        <w:t>32.</w:t>
      </w:r>
      <w:r w:rsidRPr="007422D6">
        <w:tab/>
        <w:t>Судьи пользуются гарантией несменяемости. Статья 89 Основного закона устанавливает, что судья может быть отстранен от должности лишь в случае неспособности исполнять свои обязанности или проступка главой исполнительной власти по рекомендации комиссии, назначенной председателем Высшего апелляционного суда и состоящей из не менее трех местных судей. Председатель Высшего апелляционного суда может быть привлечен к следствию только в случае невозможности исполнения им своих обязанностей или проступка</w:t>
      </w:r>
      <w:r w:rsidR="00FC02E8">
        <w:t xml:space="preserve"> </w:t>
      </w:r>
      <w:r w:rsidRPr="007422D6">
        <w:t>комиссией, назначенной председателем Высшего апелляционного суда и состоящей из не менее трех местных судей, и может быть смещен главой исполнительной власти по рекомендации комиссии и в порядке, установленном в Основном законе.</w:t>
      </w:r>
    </w:p>
    <w:p w14:paraId="417521FD" w14:textId="77777777" w:rsidR="009C2230" w:rsidRPr="003028E3" w:rsidRDefault="009C2230" w:rsidP="009C2230">
      <w:pPr>
        <w:pStyle w:val="H4G"/>
      </w:pPr>
      <w:r w:rsidRPr="007422D6">
        <w:rPr>
          <w:iCs/>
        </w:rPr>
        <w:tab/>
      </w:r>
      <w:r w:rsidRPr="007422D6">
        <w:rPr>
          <w:iCs/>
        </w:rPr>
        <w:tab/>
        <w:t xml:space="preserve">Соответствующая статистика </w:t>
      </w:r>
    </w:p>
    <w:p w14:paraId="45A5CFA9" w14:textId="77777777" w:rsidR="009C2230" w:rsidRPr="003028E3" w:rsidRDefault="009C2230" w:rsidP="009C2230">
      <w:pPr>
        <w:pStyle w:val="SingleTxtG"/>
      </w:pPr>
      <w:r w:rsidRPr="007422D6">
        <w:t>33.</w:t>
      </w:r>
      <w:r w:rsidRPr="007422D6">
        <w:tab/>
        <w:t>Ниже приводятся соответствующие статистические данные об отправлении правосудия в ОАРГ за период с 2013 года по 2017 год (январь</w:t>
      </w:r>
      <w:r w:rsidR="00E735CF" w:rsidRPr="00E735CF">
        <w:t>–</w:t>
      </w:r>
      <w:r w:rsidRPr="007422D6">
        <w:t>июль) (если не указано иное). Статистические данные о вынесенных правонарушителям приговорах и случаях смерти заключенных представлены в приложении D.</w:t>
      </w:r>
    </w:p>
    <w:p w14:paraId="051C5DB1" w14:textId="77777777" w:rsidR="009C2230" w:rsidRPr="003028E3" w:rsidRDefault="009C2230" w:rsidP="009C2230">
      <w:pPr>
        <w:pStyle w:val="H23G"/>
      </w:pPr>
      <w:r w:rsidRPr="007422D6">
        <w:rPr>
          <w:bCs/>
        </w:rPr>
        <w:tab/>
      </w:r>
      <w:r w:rsidRPr="007422D6">
        <w:rPr>
          <w:bCs/>
        </w:rPr>
        <w:tab/>
      </w:r>
      <w:bookmarkStart w:id="9" w:name="_Toc12351617"/>
      <w:r w:rsidRPr="007422D6">
        <w:rPr>
          <w:bCs/>
        </w:rPr>
        <w:t>Число случаев насильственной смерти и преступлений против жизни</w:t>
      </w:r>
      <w:bookmarkEnd w:id="9"/>
      <w:r w:rsidRPr="007422D6">
        <w:rPr>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62"/>
        <w:gridCol w:w="871"/>
        <w:gridCol w:w="871"/>
        <w:gridCol w:w="871"/>
        <w:gridCol w:w="872"/>
        <w:gridCol w:w="1323"/>
      </w:tblGrid>
      <w:tr w:rsidR="009C2230" w14:paraId="48E19F04" w14:textId="77777777" w:rsidTr="007D1702">
        <w:trPr>
          <w:tblHeader/>
        </w:trPr>
        <w:tc>
          <w:tcPr>
            <w:tcW w:w="2562"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2C42F3DE" w14:textId="77777777" w:rsidR="009C2230" w:rsidRPr="00CE5AD6" w:rsidRDefault="009C2230" w:rsidP="00F845C5">
            <w:pPr>
              <w:pStyle w:val="SingleTxtG"/>
              <w:spacing w:before="80" w:after="80" w:line="200" w:lineRule="exact"/>
              <w:ind w:left="0" w:right="28"/>
              <w:jc w:val="left"/>
              <w:rPr>
                <w:i/>
                <w:sz w:val="16"/>
              </w:rPr>
            </w:pPr>
            <w:r w:rsidRPr="00CE5AD6">
              <w:rPr>
                <w:i/>
                <w:iCs/>
                <w:sz w:val="16"/>
              </w:rPr>
              <w:t>Преступление</w:t>
            </w:r>
          </w:p>
        </w:tc>
        <w:tc>
          <w:tcPr>
            <w:tcW w:w="87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1F9257B4" w14:textId="77777777" w:rsidR="009C2230" w:rsidRPr="00CE5AD6" w:rsidRDefault="009C2230" w:rsidP="00F845C5">
            <w:pPr>
              <w:pStyle w:val="SingleTxtG"/>
              <w:spacing w:before="80" w:after="80" w:line="200" w:lineRule="exact"/>
              <w:ind w:left="0" w:right="28"/>
              <w:jc w:val="right"/>
              <w:rPr>
                <w:i/>
                <w:sz w:val="16"/>
              </w:rPr>
            </w:pPr>
            <w:r w:rsidRPr="00CE5AD6">
              <w:rPr>
                <w:i/>
                <w:iCs/>
                <w:sz w:val="16"/>
              </w:rPr>
              <w:t>2013</w:t>
            </w:r>
          </w:p>
        </w:tc>
        <w:tc>
          <w:tcPr>
            <w:tcW w:w="87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4C3B55E1" w14:textId="77777777" w:rsidR="009C2230" w:rsidRPr="00CE5AD6" w:rsidRDefault="009C2230" w:rsidP="00F845C5">
            <w:pPr>
              <w:pStyle w:val="SingleTxtG"/>
              <w:spacing w:before="80" w:after="80" w:line="200" w:lineRule="exact"/>
              <w:ind w:left="0" w:right="28"/>
              <w:jc w:val="right"/>
              <w:rPr>
                <w:i/>
                <w:sz w:val="16"/>
              </w:rPr>
            </w:pPr>
            <w:r w:rsidRPr="00CE5AD6">
              <w:rPr>
                <w:i/>
                <w:iCs/>
                <w:sz w:val="16"/>
              </w:rPr>
              <w:t>2014</w:t>
            </w:r>
          </w:p>
        </w:tc>
        <w:tc>
          <w:tcPr>
            <w:tcW w:w="87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1B5A6924" w14:textId="77777777" w:rsidR="009C2230" w:rsidRPr="00CE5AD6" w:rsidRDefault="009C2230" w:rsidP="00F845C5">
            <w:pPr>
              <w:pStyle w:val="SingleTxtG"/>
              <w:spacing w:before="80" w:after="80" w:line="200" w:lineRule="exact"/>
              <w:ind w:left="0" w:right="28"/>
              <w:jc w:val="right"/>
              <w:rPr>
                <w:i/>
                <w:sz w:val="16"/>
              </w:rPr>
            </w:pPr>
            <w:r w:rsidRPr="00CE5AD6">
              <w:rPr>
                <w:rFonts w:hint="eastAsia"/>
                <w:i/>
                <w:iCs/>
                <w:sz w:val="16"/>
              </w:rPr>
              <w:t>2015</w:t>
            </w:r>
          </w:p>
        </w:tc>
        <w:tc>
          <w:tcPr>
            <w:tcW w:w="872" w:type="dxa"/>
            <w:tcBorders>
              <w:top w:val="single" w:sz="4" w:space="0" w:color="auto"/>
              <w:bottom w:val="single" w:sz="12" w:space="0" w:color="auto"/>
            </w:tcBorders>
            <w:shd w:val="clear" w:color="auto" w:fill="auto"/>
            <w:vAlign w:val="bottom"/>
          </w:tcPr>
          <w:p w14:paraId="768039BB" w14:textId="77777777" w:rsidR="009C2230" w:rsidRPr="00CE5AD6" w:rsidRDefault="009C2230" w:rsidP="00F845C5">
            <w:pPr>
              <w:pStyle w:val="SingleTxtG"/>
              <w:spacing w:before="80" w:after="80" w:line="200" w:lineRule="exact"/>
              <w:ind w:left="0" w:right="28"/>
              <w:jc w:val="right"/>
              <w:rPr>
                <w:i/>
                <w:sz w:val="16"/>
              </w:rPr>
            </w:pPr>
            <w:r w:rsidRPr="00CE5AD6">
              <w:rPr>
                <w:i/>
                <w:iCs/>
                <w:sz w:val="16"/>
              </w:rPr>
              <w:t>2016</w:t>
            </w:r>
          </w:p>
        </w:tc>
        <w:tc>
          <w:tcPr>
            <w:tcW w:w="1323" w:type="dxa"/>
            <w:tcBorders>
              <w:top w:val="single" w:sz="4" w:space="0" w:color="auto"/>
              <w:bottom w:val="single" w:sz="12" w:space="0" w:color="auto"/>
            </w:tcBorders>
            <w:shd w:val="clear" w:color="auto" w:fill="auto"/>
            <w:vAlign w:val="bottom"/>
          </w:tcPr>
          <w:p w14:paraId="3033A8DB" w14:textId="77777777" w:rsidR="009C2230" w:rsidRPr="00CE5AD6" w:rsidRDefault="009C2230" w:rsidP="00F845C5">
            <w:pPr>
              <w:pStyle w:val="SingleTxtG"/>
              <w:spacing w:before="80" w:after="80" w:line="200" w:lineRule="exact"/>
              <w:ind w:left="0" w:right="28"/>
              <w:jc w:val="right"/>
              <w:rPr>
                <w:i/>
                <w:sz w:val="16"/>
              </w:rPr>
            </w:pPr>
            <w:r w:rsidRPr="00CE5AD6">
              <w:rPr>
                <w:i/>
                <w:iCs/>
                <w:sz w:val="16"/>
              </w:rPr>
              <w:t>2017</w:t>
            </w:r>
            <w:r w:rsidRPr="00CE5AD6">
              <w:rPr>
                <w:i/>
                <w:iCs/>
                <w:sz w:val="16"/>
              </w:rPr>
              <w:br/>
              <w:t>(январь</w:t>
            </w:r>
            <w:r w:rsidR="00E735CF">
              <w:rPr>
                <w:i/>
                <w:iCs/>
                <w:sz w:val="16"/>
                <w:lang w:val="en-US"/>
              </w:rPr>
              <w:t>–</w:t>
            </w:r>
            <w:r w:rsidRPr="00CE5AD6">
              <w:rPr>
                <w:i/>
                <w:iCs/>
                <w:sz w:val="16"/>
              </w:rPr>
              <w:t>июль)</w:t>
            </w:r>
          </w:p>
        </w:tc>
      </w:tr>
      <w:tr w:rsidR="009C2230" w14:paraId="4328A3C4" w14:textId="77777777" w:rsidTr="007D1702">
        <w:tc>
          <w:tcPr>
            <w:tcW w:w="2562" w:type="dxa"/>
            <w:tcBorders>
              <w:top w:val="single" w:sz="12" w:space="0" w:color="auto"/>
            </w:tcBorders>
            <w:shd w:val="clear" w:color="auto" w:fill="auto"/>
            <w:noWrap/>
            <w:tcMar>
              <w:top w:w="15" w:type="dxa"/>
              <w:left w:w="15" w:type="dxa"/>
              <w:bottom w:w="0" w:type="dxa"/>
              <w:right w:w="15" w:type="dxa"/>
            </w:tcMar>
          </w:tcPr>
          <w:p w14:paraId="129E44E8" w14:textId="77777777" w:rsidR="009C2230" w:rsidRPr="003028E3" w:rsidRDefault="009C2230" w:rsidP="00F845C5">
            <w:pPr>
              <w:pStyle w:val="SingleTxtG"/>
              <w:spacing w:before="60" w:after="60" w:line="220" w:lineRule="exact"/>
              <w:ind w:left="0" w:right="28"/>
              <w:jc w:val="left"/>
              <w:rPr>
                <w:sz w:val="18"/>
              </w:rPr>
            </w:pPr>
            <w:r w:rsidRPr="00CE5AD6">
              <w:rPr>
                <w:sz w:val="18"/>
              </w:rPr>
              <w:t>Убийство и причинение смерти по неосторожности</w:t>
            </w:r>
          </w:p>
        </w:tc>
        <w:tc>
          <w:tcPr>
            <w:tcW w:w="871" w:type="dxa"/>
            <w:tcBorders>
              <w:top w:val="single" w:sz="12" w:space="0" w:color="auto"/>
            </w:tcBorders>
            <w:shd w:val="clear" w:color="auto" w:fill="auto"/>
            <w:noWrap/>
            <w:tcMar>
              <w:top w:w="15" w:type="dxa"/>
              <w:left w:w="15" w:type="dxa"/>
              <w:bottom w:w="0" w:type="dxa"/>
              <w:right w:w="15" w:type="dxa"/>
            </w:tcMar>
            <w:vAlign w:val="bottom"/>
          </w:tcPr>
          <w:p w14:paraId="5CC633B3"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62</w:t>
            </w:r>
            <w:r>
              <w:rPr>
                <w:rStyle w:val="aa"/>
              </w:rPr>
              <w:footnoteReference w:id="3"/>
            </w:r>
          </w:p>
        </w:tc>
        <w:tc>
          <w:tcPr>
            <w:tcW w:w="871" w:type="dxa"/>
            <w:tcBorders>
              <w:top w:val="single" w:sz="12" w:space="0" w:color="auto"/>
            </w:tcBorders>
            <w:shd w:val="clear" w:color="auto" w:fill="auto"/>
            <w:noWrap/>
            <w:tcMar>
              <w:top w:w="15" w:type="dxa"/>
              <w:left w:w="15" w:type="dxa"/>
              <w:bottom w:w="0" w:type="dxa"/>
              <w:right w:w="15" w:type="dxa"/>
            </w:tcMar>
            <w:vAlign w:val="bottom"/>
          </w:tcPr>
          <w:p w14:paraId="3ABA3571"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27</w:t>
            </w:r>
          </w:p>
        </w:tc>
        <w:tc>
          <w:tcPr>
            <w:tcW w:w="871" w:type="dxa"/>
            <w:tcBorders>
              <w:top w:val="single" w:sz="12" w:space="0" w:color="auto"/>
            </w:tcBorders>
            <w:shd w:val="clear" w:color="auto" w:fill="auto"/>
            <w:noWrap/>
            <w:tcMar>
              <w:top w:w="15" w:type="dxa"/>
              <w:left w:w="15" w:type="dxa"/>
              <w:bottom w:w="0" w:type="dxa"/>
              <w:right w:w="15" w:type="dxa"/>
            </w:tcMar>
            <w:vAlign w:val="bottom"/>
          </w:tcPr>
          <w:p w14:paraId="14A0FA9B"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22</w:t>
            </w:r>
          </w:p>
        </w:tc>
        <w:tc>
          <w:tcPr>
            <w:tcW w:w="872" w:type="dxa"/>
            <w:tcBorders>
              <w:top w:val="single" w:sz="12" w:space="0" w:color="auto"/>
            </w:tcBorders>
            <w:shd w:val="clear" w:color="auto" w:fill="auto"/>
            <w:vAlign w:val="bottom"/>
          </w:tcPr>
          <w:p w14:paraId="7EBADBE1"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28</w:t>
            </w:r>
          </w:p>
        </w:tc>
        <w:tc>
          <w:tcPr>
            <w:tcW w:w="1323" w:type="dxa"/>
            <w:tcBorders>
              <w:top w:val="single" w:sz="12" w:space="0" w:color="auto"/>
            </w:tcBorders>
            <w:shd w:val="clear" w:color="auto" w:fill="auto"/>
            <w:vAlign w:val="bottom"/>
          </w:tcPr>
          <w:p w14:paraId="61924331"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11</w:t>
            </w:r>
          </w:p>
        </w:tc>
      </w:tr>
      <w:tr w:rsidR="009C2230" w14:paraId="18988506" w14:textId="77777777" w:rsidTr="007D1702">
        <w:tc>
          <w:tcPr>
            <w:tcW w:w="2562" w:type="dxa"/>
            <w:shd w:val="clear" w:color="auto" w:fill="auto"/>
            <w:noWrap/>
            <w:tcMar>
              <w:top w:w="15" w:type="dxa"/>
              <w:left w:w="15" w:type="dxa"/>
              <w:bottom w:w="0" w:type="dxa"/>
              <w:right w:w="15" w:type="dxa"/>
            </w:tcMar>
          </w:tcPr>
          <w:p w14:paraId="091F5E70" w14:textId="77777777" w:rsidR="009C2230" w:rsidRPr="00CE5AD6" w:rsidRDefault="009C2230" w:rsidP="00F845C5">
            <w:pPr>
              <w:pStyle w:val="SingleTxtG"/>
              <w:spacing w:before="60" w:after="60" w:line="220" w:lineRule="exact"/>
              <w:ind w:left="0" w:right="28"/>
              <w:jc w:val="left"/>
              <w:rPr>
                <w:sz w:val="18"/>
              </w:rPr>
            </w:pPr>
            <w:r w:rsidRPr="00CE5AD6">
              <w:rPr>
                <w:sz w:val="18"/>
              </w:rPr>
              <w:t>Покушение на убийство</w:t>
            </w:r>
          </w:p>
        </w:tc>
        <w:tc>
          <w:tcPr>
            <w:tcW w:w="871" w:type="dxa"/>
            <w:shd w:val="clear" w:color="auto" w:fill="auto"/>
            <w:noWrap/>
            <w:tcMar>
              <w:top w:w="15" w:type="dxa"/>
              <w:left w:w="15" w:type="dxa"/>
              <w:bottom w:w="0" w:type="dxa"/>
              <w:right w:w="15" w:type="dxa"/>
            </w:tcMar>
            <w:vAlign w:val="bottom"/>
          </w:tcPr>
          <w:p w14:paraId="1376A610" w14:textId="77777777" w:rsidR="009C2230" w:rsidRPr="00CE5AD6" w:rsidRDefault="009C2230" w:rsidP="00F845C5">
            <w:pPr>
              <w:pStyle w:val="SingleTxtG"/>
              <w:spacing w:before="60" w:after="60" w:line="220" w:lineRule="exact"/>
              <w:ind w:left="0" w:right="28"/>
              <w:jc w:val="right"/>
              <w:rPr>
                <w:sz w:val="18"/>
              </w:rPr>
            </w:pPr>
            <w:r w:rsidRPr="00CE5AD6">
              <w:rPr>
                <w:sz w:val="18"/>
              </w:rPr>
              <w:t>4</w:t>
            </w:r>
          </w:p>
        </w:tc>
        <w:tc>
          <w:tcPr>
            <w:tcW w:w="871" w:type="dxa"/>
            <w:shd w:val="clear" w:color="auto" w:fill="auto"/>
            <w:noWrap/>
            <w:tcMar>
              <w:top w:w="15" w:type="dxa"/>
              <w:left w:w="15" w:type="dxa"/>
              <w:bottom w:w="0" w:type="dxa"/>
              <w:right w:w="15" w:type="dxa"/>
            </w:tcMar>
            <w:vAlign w:val="bottom"/>
          </w:tcPr>
          <w:p w14:paraId="49CD7034"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0</w:t>
            </w:r>
          </w:p>
        </w:tc>
        <w:tc>
          <w:tcPr>
            <w:tcW w:w="871" w:type="dxa"/>
            <w:shd w:val="clear" w:color="auto" w:fill="auto"/>
            <w:noWrap/>
            <w:tcMar>
              <w:top w:w="15" w:type="dxa"/>
              <w:left w:w="15" w:type="dxa"/>
              <w:bottom w:w="0" w:type="dxa"/>
              <w:right w:w="15" w:type="dxa"/>
            </w:tcMar>
            <w:vAlign w:val="bottom"/>
          </w:tcPr>
          <w:p w14:paraId="6956642A"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3</w:t>
            </w:r>
          </w:p>
        </w:tc>
        <w:tc>
          <w:tcPr>
            <w:tcW w:w="872" w:type="dxa"/>
            <w:shd w:val="clear" w:color="auto" w:fill="auto"/>
            <w:vAlign w:val="bottom"/>
          </w:tcPr>
          <w:p w14:paraId="324D80F7"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3</w:t>
            </w:r>
          </w:p>
        </w:tc>
        <w:tc>
          <w:tcPr>
            <w:tcW w:w="1323" w:type="dxa"/>
            <w:shd w:val="clear" w:color="auto" w:fill="auto"/>
            <w:vAlign w:val="bottom"/>
          </w:tcPr>
          <w:p w14:paraId="6259582C"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8</w:t>
            </w:r>
          </w:p>
        </w:tc>
      </w:tr>
    </w:tbl>
    <w:p w14:paraId="2E340661" w14:textId="77777777" w:rsidR="009C2230" w:rsidRPr="003028E3" w:rsidRDefault="009C2230" w:rsidP="009C2230">
      <w:pPr>
        <w:pStyle w:val="H23G"/>
      </w:pPr>
      <w:r w:rsidRPr="007422D6">
        <w:rPr>
          <w:bCs/>
        </w:rPr>
        <w:tab/>
      </w:r>
      <w:r w:rsidRPr="007422D6">
        <w:rPr>
          <w:bCs/>
        </w:rPr>
        <w:tab/>
      </w:r>
      <w:bookmarkStart w:id="10" w:name="_Toc12351618"/>
      <w:r w:rsidRPr="007422D6">
        <w:rPr>
          <w:bCs/>
        </w:rPr>
        <w:t>Число арестованных за насильственные или другие тяжкие преступления</w:t>
      </w:r>
      <w:bookmarkEnd w:id="10"/>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84"/>
        <w:gridCol w:w="836"/>
        <w:gridCol w:w="836"/>
        <w:gridCol w:w="836"/>
        <w:gridCol w:w="837"/>
        <w:gridCol w:w="1141"/>
      </w:tblGrid>
      <w:tr w:rsidR="009C2230" w14:paraId="624432BC" w14:textId="77777777" w:rsidTr="007D1702">
        <w:trPr>
          <w:tblHeader/>
        </w:trPr>
        <w:tc>
          <w:tcPr>
            <w:tcW w:w="288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1CE590DB" w14:textId="77777777" w:rsidR="009C2230" w:rsidRPr="00CE5AD6" w:rsidRDefault="009C2230" w:rsidP="00F845C5">
            <w:pPr>
              <w:pStyle w:val="SingleTxtG"/>
              <w:spacing w:before="80" w:after="80" w:line="200" w:lineRule="exact"/>
              <w:ind w:left="0" w:right="28"/>
              <w:jc w:val="left"/>
              <w:rPr>
                <w:i/>
                <w:sz w:val="16"/>
              </w:rPr>
            </w:pPr>
            <w:r w:rsidRPr="00CE5AD6">
              <w:rPr>
                <w:i/>
                <w:iCs/>
                <w:sz w:val="16"/>
              </w:rPr>
              <w:t>Преступление</w:t>
            </w:r>
          </w:p>
        </w:tc>
        <w:tc>
          <w:tcPr>
            <w:tcW w:w="83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2DF2DE54" w14:textId="77777777" w:rsidR="009C2230" w:rsidRPr="00CE5AD6" w:rsidRDefault="009C2230" w:rsidP="00F845C5">
            <w:pPr>
              <w:pStyle w:val="SingleTxtG"/>
              <w:spacing w:before="80" w:after="80" w:line="200" w:lineRule="exact"/>
              <w:ind w:left="0" w:right="28"/>
              <w:jc w:val="right"/>
              <w:rPr>
                <w:i/>
                <w:sz w:val="16"/>
              </w:rPr>
            </w:pPr>
            <w:r w:rsidRPr="00CE5AD6">
              <w:rPr>
                <w:i/>
                <w:iCs/>
                <w:sz w:val="16"/>
              </w:rPr>
              <w:t>2013</w:t>
            </w:r>
          </w:p>
        </w:tc>
        <w:tc>
          <w:tcPr>
            <w:tcW w:w="83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5947FBE7" w14:textId="77777777" w:rsidR="009C2230" w:rsidRPr="00CE5AD6" w:rsidRDefault="009C2230" w:rsidP="00F845C5">
            <w:pPr>
              <w:pStyle w:val="SingleTxtG"/>
              <w:spacing w:before="80" w:after="80" w:line="200" w:lineRule="exact"/>
              <w:ind w:left="0" w:right="28"/>
              <w:jc w:val="right"/>
              <w:rPr>
                <w:i/>
                <w:sz w:val="16"/>
              </w:rPr>
            </w:pPr>
            <w:r w:rsidRPr="00CE5AD6">
              <w:rPr>
                <w:i/>
                <w:iCs/>
                <w:sz w:val="16"/>
              </w:rPr>
              <w:t>2014</w:t>
            </w:r>
          </w:p>
        </w:tc>
        <w:tc>
          <w:tcPr>
            <w:tcW w:w="83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3997C062" w14:textId="77777777" w:rsidR="009C2230" w:rsidRPr="00CE5AD6" w:rsidRDefault="009C2230" w:rsidP="00F845C5">
            <w:pPr>
              <w:pStyle w:val="SingleTxtG"/>
              <w:spacing w:before="80" w:after="80" w:line="200" w:lineRule="exact"/>
              <w:ind w:left="0" w:right="28"/>
              <w:jc w:val="right"/>
              <w:rPr>
                <w:i/>
                <w:sz w:val="16"/>
              </w:rPr>
            </w:pPr>
            <w:r w:rsidRPr="00CE5AD6">
              <w:rPr>
                <w:rFonts w:hint="eastAsia"/>
                <w:i/>
                <w:iCs/>
                <w:sz w:val="16"/>
              </w:rPr>
              <w:t>2015</w:t>
            </w:r>
          </w:p>
        </w:tc>
        <w:tc>
          <w:tcPr>
            <w:tcW w:w="837" w:type="dxa"/>
            <w:tcBorders>
              <w:top w:val="single" w:sz="4" w:space="0" w:color="auto"/>
              <w:bottom w:val="single" w:sz="12" w:space="0" w:color="auto"/>
            </w:tcBorders>
            <w:shd w:val="clear" w:color="auto" w:fill="auto"/>
            <w:vAlign w:val="bottom"/>
          </w:tcPr>
          <w:p w14:paraId="0DBC45EC" w14:textId="77777777" w:rsidR="009C2230" w:rsidRPr="00CE5AD6" w:rsidRDefault="009C2230" w:rsidP="00F845C5">
            <w:pPr>
              <w:pStyle w:val="SingleTxtG"/>
              <w:spacing w:before="80" w:after="80" w:line="200" w:lineRule="exact"/>
              <w:ind w:left="0" w:right="28"/>
              <w:jc w:val="right"/>
              <w:rPr>
                <w:i/>
                <w:sz w:val="16"/>
              </w:rPr>
            </w:pPr>
            <w:r w:rsidRPr="00CE5AD6">
              <w:rPr>
                <w:i/>
                <w:iCs/>
                <w:sz w:val="16"/>
              </w:rPr>
              <w:t>2016</w:t>
            </w:r>
          </w:p>
        </w:tc>
        <w:tc>
          <w:tcPr>
            <w:tcW w:w="1141" w:type="dxa"/>
            <w:tcBorders>
              <w:top w:val="single" w:sz="4" w:space="0" w:color="auto"/>
              <w:bottom w:val="single" w:sz="12" w:space="0" w:color="auto"/>
            </w:tcBorders>
            <w:shd w:val="clear" w:color="auto" w:fill="auto"/>
            <w:vAlign w:val="bottom"/>
          </w:tcPr>
          <w:p w14:paraId="0AD32BCE" w14:textId="77777777" w:rsidR="009C2230" w:rsidRPr="00CE5AD6" w:rsidRDefault="009C2230" w:rsidP="00F845C5">
            <w:pPr>
              <w:pStyle w:val="SingleTxtG"/>
              <w:spacing w:before="80" w:after="80" w:line="200" w:lineRule="exact"/>
              <w:ind w:left="0" w:right="28"/>
              <w:jc w:val="right"/>
              <w:rPr>
                <w:i/>
                <w:sz w:val="16"/>
              </w:rPr>
            </w:pPr>
            <w:r w:rsidRPr="00CE5AD6">
              <w:rPr>
                <w:i/>
                <w:iCs/>
                <w:sz w:val="16"/>
              </w:rPr>
              <w:t>2017</w:t>
            </w:r>
            <w:r w:rsidRPr="00CE5AD6">
              <w:rPr>
                <w:i/>
                <w:iCs/>
                <w:sz w:val="16"/>
              </w:rPr>
              <w:br/>
              <w:t>(январь</w:t>
            </w:r>
            <w:r w:rsidR="00E735CF">
              <w:rPr>
                <w:i/>
                <w:iCs/>
                <w:sz w:val="16"/>
                <w:lang w:val="en-US"/>
              </w:rPr>
              <w:t>–</w:t>
            </w:r>
            <w:r w:rsidRPr="00CE5AD6">
              <w:rPr>
                <w:i/>
                <w:iCs/>
                <w:sz w:val="16"/>
              </w:rPr>
              <w:t>июль)</w:t>
            </w:r>
          </w:p>
        </w:tc>
      </w:tr>
      <w:tr w:rsidR="009C2230" w14:paraId="7EE9BE81" w14:textId="77777777" w:rsidTr="007D1702">
        <w:tc>
          <w:tcPr>
            <w:tcW w:w="2884" w:type="dxa"/>
            <w:tcBorders>
              <w:top w:val="single" w:sz="12" w:space="0" w:color="auto"/>
            </w:tcBorders>
            <w:shd w:val="clear" w:color="auto" w:fill="auto"/>
            <w:noWrap/>
            <w:tcMar>
              <w:top w:w="15" w:type="dxa"/>
              <w:left w:w="15" w:type="dxa"/>
              <w:bottom w:w="0" w:type="dxa"/>
              <w:right w:w="15" w:type="dxa"/>
            </w:tcMar>
          </w:tcPr>
          <w:p w14:paraId="6D5B3946" w14:textId="77777777" w:rsidR="009C2230" w:rsidRPr="003028E3" w:rsidRDefault="009C2230" w:rsidP="00F845C5">
            <w:pPr>
              <w:pStyle w:val="SingleTxtG"/>
              <w:spacing w:before="60" w:after="60" w:line="220" w:lineRule="exact"/>
              <w:ind w:left="0" w:right="28"/>
              <w:jc w:val="left"/>
              <w:rPr>
                <w:sz w:val="18"/>
              </w:rPr>
            </w:pPr>
            <w:r w:rsidRPr="00CE5AD6">
              <w:rPr>
                <w:sz w:val="18"/>
              </w:rPr>
              <w:t>Убийство и причинение смерти</w:t>
            </w:r>
            <w:r w:rsidR="007D1702">
              <w:rPr>
                <w:sz w:val="18"/>
              </w:rPr>
              <w:br/>
            </w:r>
            <w:r w:rsidRPr="00CE5AD6">
              <w:rPr>
                <w:sz w:val="18"/>
              </w:rPr>
              <w:t>по неосторожности</w:t>
            </w:r>
          </w:p>
        </w:tc>
        <w:tc>
          <w:tcPr>
            <w:tcW w:w="836" w:type="dxa"/>
            <w:tcBorders>
              <w:top w:val="single" w:sz="12" w:space="0" w:color="auto"/>
            </w:tcBorders>
            <w:shd w:val="clear" w:color="auto" w:fill="auto"/>
            <w:noWrap/>
            <w:tcMar>
              <w:top w:w="15" w:type="dxa"/>
              <w:left w:w="15" w:type="dxa"/>
              <w:bottom w:w="0" w:type="dxa"/>
              <w:right w:w="15" w:type="dxa"/>
            </w:tcMar>
            <w:vAlign w:val="bottom"/>
          </w:tcPr>
          <w:p w14:paraId="5FB1309B"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55</w:t>
            </w:r>
          </w:p>
        </w:tc>
        <w:tc>
          <w:tcPr>
            <w:tcW w:w="836" w:type="dxa"/>
            <w:tcBorders>
              <w:top w:val="single" w:sz="12" w:space="0" w:color="auto"/>
            </w:tcBorders>
            <w:shd w:val="clear" w:color="auto" w:fill="auto"/>
            <w:noWrap/>
            <w:tcMar>
              <w:top w:w="15" w:type="dxa"/>
              <w:left w:w="15" w:type="dxa"/>
              <w:bottom w:w="0" w:type="dxa"/>
              <w:right w:w="15" w:type="dxa"/>
            </w:tcMar>
            <w:vAlign w:val="bottom"/>
          </w:tcPr>
          <w:p w14:paraId="2BA2A604" w14:textId="77777777" w:rsidR="009C2230" w:rsidRPr="00CE5AD6" w:rsidRDefault="009C2230" w:rsidP="00F845C5">
            <w:pPr>
              <w:pStyle w:val="SingleTxtG"/>
              <w:spacing w:before="60" w:after="60" w:line="220" w:lineRule="exact"/>
              <w:ind w:left="0" w:right="28"/>
              <w:jc w:val="right"/>
              <w:rPr>
                <w:sz w:val="18"/>
              </w:rPr>
            </w:pPr>
            <w:r w:rsidRPr="00CE5AD6">
              <w:rPr>
                <w:sz w:val="18"/>
              </w:rPr>
              <w:t>32</w:t>
            </w:r>
          </w:p>
        </w:tc>
        <w:tc>
          <w:tcPr>
            <w:tcW w:w="836" w:type="dxa"/>
            <w:tcBorders>
              <w:top w:val="single" w:sz="12" w:space="0" w:color="auto"/>
            </w:tcBorders>
            <w:shd w:val="clear" w:color="auto" w:fill="auto"/>
            <w:noWrap/>
            <w:tcMar>
              <w:top w:w="15" w:type="dxa"/>
              <w:left w:w="15" w:type="dxa"/>
              <w:bottom w:w="0" w:type="dxa"/>
              <w:right w:w="15" w:type="dxa"/>
            </w:tcMar>
            <w:vAlign w:val="bottom"/>
          </w:tcPr>
          <w:p w14:paraId="19C7BD06"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28</w:t>
            </w:r>
          </w:p>
        </w:tc>
        <w:tc>
          <w:tcPr>
            <w:tcW w:w="837" w:type="dxa"/>
            <w:tcBorders>
              <w:top w:val="single" w:sz="12" w:space="0" w:color="auto"/>
            </w:tcBorders>
            <w:shd w:val="clear" w:color="auto" w:fill="auto"/>
            <w:vAlign w:val="bottom"/>
          </w:tcPr>
          <w:p w14:paraId="1EAB534B"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39</w:t>
            </w:r>
          </w:p>
        </w:tc>
        <w:tc>
          <w:tcPr>
            <w:tcW w:w="1141" w:type="dxa"/>
            <w:tcBorders>
              <w:top w:val="single" w:sz="12" w:space="0" w:color="auto"/>
            </w:tcBorders>
            <w:shd w:val="clear" w:color="auto" w:fill="auto"/>
            <w:vAlign w:val="bottom"/>
          </w:tcPr>
          <w:p w14:paraId="2DA71BFF"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15</w:t>
            </w:r>
          </w:p>
        </w:tc>
      </w:tr>
      <w:tr w:rsidR="009C2230" w14:paraId="43F17810" w14:textId="77777777" w:rsidTr="007D1702">
        <w:tc>
          <w:tcPr>
            <w:tcW w:w="2884" w:type="dxa"/>
            <w:shd w:val="clear" w:color="auto" w:fill="auto"/>
            <w:noWrap/>
            <w:tcMar>
              <w:top w:w="15" w:type="dxa"/>
              <w:left w:w="15" w:type="dxa"/>
              <w:bottom w:w="0" w:type="dxa"/>
              <w:right w:w="15" w:type="dxa"/>
            </w:tcMar>
          </w:tcPr>
          <w:p w14:paraId="683E55E5" w14:textId="77777777" w:rsidR="009C2230" w:rsidRPr="003028E3" w:rsidRDefault="009C2230" w:rsidP="00F845C5">
            <w:pPr>
              <w:pStyle w:val="SingleTxtG"/>
              <w:spacing w:before="60" w:after="60" w:line="220" w:lineRule="exact"/>
              <w:ind w:left="0" w:right="28"/>
              <w:jc w:val="left"/>
              <w:rPr>
                <w:sz w:val="18"/>
              </w:rPr>
            </w:pPr>
            <w:r w:rsidRPr="00CE5AD6">
              <w:rPr>
                <w:sz w:val="18"/>
              </w:rPr>
              <w:t>Нанесение телесных повреждений и причинение вреда здоровью</w:t>
            </w:r>
            <w:r w:rsidR="007D1702">
              <w:rPr>
                <w:sz w:val="18"/>
              </w:rPr>
              <w:br/>
            </w:r>
            <w:r w:rsidRPr="00CE5AD6">
              <w:rPr>
                <w:sz w:val="18"/>
              </w:rPr>
              <w:t>с отягчающими обстоятельствами</w:t>
            </w:r>
          </w:p>
        </w:tc>
        <w:tc>
          <w:tcPr>
            <w:tcW w:w="836" w:type="dxa"/>
            <w:shd w:val="clear" w:color="auto" w:fill="auto"/>
            <w:noWrap/>
            <w:tcMar>
              <w:top w:w="15" w:type="dxa"/>
              <w:left w:w="15" w:type="dxa"/>
              <w:bottom w:w="0" w:type="dxa"/>
              <w:right w:w="15" w:type="dxa"/>
            </w:tcMar>
            <w:vAlign w:val="bottom"/>
          </w:tcPr>
          <w:p w14:paraId="3A7215EC"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4 887</w:t>
            </w:r>
          </w:p>
        </w:tc>
        <w:tc>
          <w:tcPr>
            <w:tcW w:w="836" w:type="dxa"/>
            <w:shd w:val="clear" w:color="auto" w:fill="auto"/>
            <w:noWrap/>
            <w:tcMar>
              <w:top w:w="15" w:type="dxa"/>
              <w:left w:w="15" w:type="dxa"/>
              <w:bottom w:w="0" w:type="dxa"/>
              <w:right w:w="15" w:type="dxa"/>
            </w:tcMar>
            <w:vAlign w:val="bottom"/>
          </w:tcPr>
          <w:p w14:paraId="45BFCF82"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4 148</w:t>
            </w:r>
          </w:p>
        </w:tc>
        <w:tc>
          <w:tcPr>
            <w:tcW w:w="836" w:type="dxa"/>
            <w:shd w:val="clear" w:color="auto" w:fill="auto"/>
            <w:noWrap/>
            <w:tcMar>
              <w:top w:w="15" w:type="dxa"/>
              <w:left w:w="15" w:type="dxa"/>
              <w:bottom w:w="0" w:type="dxa"/>
              <w:right w:w="15" w:type="dxa"/>
            </w:tcMar>
            <w:vAlign w:val="bottom"/>
          </w:tcPr>
          <w:p w14:paraId="6A8880B8"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4 046</w:t>
            </w:r>
          </w:p>
        </w:tc>
        <w:tc>
          <w:tcPr>
            <w:tcW w:w="837" w:type="dxa"/>
            <w:shd w:val="clear" w:color="auto" w:fill="auto"/>
            <w:vAlign w:val="bottom"/>
          </w:tcPr>
          <w:p w14:paraId="11BF1286"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3 754</w:t>
            </w:r>
          </w:p>
        </w:tc>
        <w:tc>
          <w:tcPr>
            <w:tcW w:w="1141" w:type="dxa"/>
            <w:shd w:val="clear" w:color="auto" w:fill="auto"/>
            <w:vAlign w:val="bottom"/>
          </w:tcPr>
          <w:p w14:paraId="6A3665EF"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1 907</w:t>
            </w:r>
          </w:p>
        </w:tc>
      </w:tr>
      <w:tr w:rsidR="009C2230" w14:paraId="173B2A36" w14:textId="77777777" w:rsidTr="007D1702">
        <w:tc>
          <w:tcPr>
            <w:tcW w:w="2884" w:type="dxa"/>
            <w:shd w:val="clear" w:color="auto" w:fill="auto"/>
            <w:noWrap/>
            <w:tcMar>
              <w:top w:w="15" w:type="dxa"/>
              <w:left w:w="15" w:type="dxa"/>
              <w:bottom w:w="0" w:type="dxa"/>
              <w:right w:w="15" w:type="dxa"/>
            </w:tcMar>
          </w:tcPr>
          <w:p w14:paraId="2197C96B" w14:textId="77777777" w:rsidR="009C2230" w:rsidRPr="00CE5AD6" w:rsidRDefault="009C2230" w:rsidP="00F845C5">
            <w:pPr>
              <w:pStyle w:val="SingleTxtG"/>
              <w:spacing w:before="60" w:after="60" w:line="220" w:lineRule="exact"/>
              <w:ind w:left="0" w:right="28"/>
              <w:jc w:val="left"/>
              <w:rPr>
                <w:sz w:val="18"/>
              </w:rPr>
            </w:pPr>
            <w:r w:rsidRPr="00CE5AD6">
              <w:rPr>
                <w:sz w:val="18"/>
              </w:rPr>
              <w:t>Разбой</w:t>
            </w:r>
          </w:p>
        </w:tc>
        <w:tc>
          <w:tcPr>
            <w:tcW w:w="836" w:type="dxa"/>
            <w:shd w:val="clear" w:color="auto" w:fill="auto"/>
            <w:noWrap/>
            <w:tcMar>
              <w:top w:w="15" w:type="dxa"/>
              <w:left w:w="15" w:type="dxa"/>
              <w:bottom w:w="0" w:type="dxa"/>
              <w:right w:w="15" w:type="dxa"/>
            </w:tcMar>
            <w:vAlign w:val="bottom"/>
          </w:tcPr>
          <w:p w14:paraId="5716CBE9"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302</w:t>
            </w:r>
          </w:p>
        </w:tc>
        <w:tc>
          <w:tcPr>
            <w:tcW w:w="836" w:type="dxa"/>
            <w:shd w:val="clear" w:color="auto" w:fill="auto"/>
            <w:noWrap/>
            <w:tcMar>
              <w:top w:w="15" w:type="dxa"/>
              <w:left w:w="15" w:type="dxa"/>
              <w:bottom w:w="0" w:type="dxa"/>
              <w:right w:w="15" w:type="dxa"/>
            </w:tcMar>
            <w:vAlign w:val="bottom"/>
          </w:tcPr>
          <w:p w14:paraId="209992C5"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208</w:t>
            </w:r>
          </w:p>
        </w:tc>
        <w:tc>
          <w:tcPr>
            <w:tcW w:w="836" w:type="dxa"/>
            <w:shd w:val="clear" w:color="auto" w:fill="auto"/>
            <w:noWrap/>
            <w:tcMar>
              <w:top w:w="15" w:type="dxa"/>
              <w:left w:w="15" w:type="dxa"/>
              <w:bottom w:w="0" w:type="dxa"/>
              <w:right w:w="15" w:type="dxa"/>
            </w:tcMar>
            <w:vAlign w:val="bottom"/>
          </w:tcPr>
          <w:p w14:paraId="3EA06356"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172</w:t>
            </w:r>
          </w:p>
        </w:tc>
        <w:tc>
          <w:tcPr>
            <w:tcW w:w="837" w:type="dxa"/>
            <w:shd w:val="clear" w:color="auto" w:fill="auto"/>
            <w:vAlign w:val="bottom"/>
          </w:tcPr>
          <w:p w14:paraId="2A0FB6EE"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198</w:t>
            </w:r>
          </w:p>
        </w:tc>
        <w:tc>
          <w:tcPr>
            <w:tcW w:w="1141" w:type="dxa"/>
            <w:shd w:val="clear" w:color="auto" w:fill="auto"/>
            <w:vAlign w:val="bottom"/>
          </w:tcPr>
          <w:p w14:paraId="37E99663"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107</w:t>
            </w:r>
          </w:p>
        </w:tc>
      </w:tr>
      <w:tr w:rsidR="009C2230" w14:paraId="56FD14FF" w14:textId="77777777" w:rsidTr="007D1702">
        <w:tc>
          <w:tcPr>
            <w:tcW w:w="2884" w:type="dxa"/>
            <w:shd w:val="clear" w:color="auto" w:fill="auto"/>
            <w:noWrap/>
            <w:tcMar>
              <w:top w:w="15" w:type="dxa"/>
              <w:left w:w="15" w:type="dxa"/>
              <w:bottom w:w="0" w:type="dxa"/>
              <w:right w:w="15" w:type="dxa"/>
            </w:tcMar>
          </w:tcPr>
          <w:p w14:paraId="53CF0FB7" w14:textId="77777777" w:rsidR="009C2230" w:rsidRPr="00CE5AD6" w:rsidRDefault="009C2230" w:rsidP="00F845C5">
            <w:pPr>
              <w:pStyle w:val="SingleTxtG"/>
              <w:spacing w:before="60" w:after="60" w:line="220" w:lineRule="exact"/>
              <w:ind w:left="0" w:right="28"/>
              <w:jc w:val="left"/>
              <w:rPr>
                <w:sz w:val="18"/>
              </w:rPr>
            </w:pPr>
            <w:r w:rsidRPr="00CE5AD6">
              <w:rPr>
                <w:sz w:val="18"/>
              </w:rPr>
              <w:t>Незаконный оборот наркотиков</w:t>
            </w:r>
          </w:p>
        </w:tc>
        <w:tc>
          <w:tcPr>
            <w:tcW w:w="836" w:type="dxa"/>
            <w:shd w:val="clear" w:color="auto" w:fill="auto"/>
            <w:noWrap/>
            <w:tcMar>
              <w:top w:w="15" w:type="dxa"/>
              <w:left w:w="15" w:type="dxa"/>
              <w:bottom w:w="0" w:type="dxa"/>
              <w:right w:w="15" w:type="dxa"/>
            </w:tcMar>
            <w:vAlign w:val="bottom"/>
          </w:tcPr>
          <w:p w14:paraId="499ABEDD" w14:textId="77777777" w:rsidR="009C2230" w:rsidRPr="00CE5AD6" w:rsidRDefault="009C2230" w:rsidP="00F845C5">
            <w:pPr>
              <w:pStyle w:val="SingleTxtG"/>
              <w:spacing w:before="60" w:after="60" w:line="220" w:lineRule="exact"/>
              <w:ind w:left="0" w:right="28"/>
              <w:jc w:val="right"/>
              <w:rPr>
                <w:sz w:val="18"/>
              </w:rPr>
            </w:pPr>
            <w:r w:rsidRPr="00CE5AD6">
              <w:rPr>
                <w:sz w:val="18"/>
              </w:rPr>
              <w:t>1 639</w:t>
            </w:r>
          </w:p>
        </w:tc>
        <w:tc>
          <w:tcPr>
            <w:tcW w:w="836" w:type="dxa"/>
            <w:shd w:val="clear" w:color="auto" w:fill="auto"/>
            <w:noWrap/>
            <w:tcMar>
              <w:top w:w="15" w:type="dxa"/>
              <w:left w:w="15" w:type="dxa"/>
              <w:bottom w:w="0" w:type="dxa"/>
              <w:right w:w="15" w:type="dxa"/>
            </w:tcMar>
            <w:vAlign w:val="bottom"/>
          </w:tcPr>
          <w:p w14:paraId="509906E4" w14:textId="77777777" w:rsidR="009C2230" w:rsidRPr="00CE5AD6" w:rsidRDefault="009C2230" w:rsidP="00F845C5">
            <w:pPr>
              <w:pStyle w:val="SingleTxtG"/>
              <w:spacing w:before="60" w:after="60" w:line="220" w:lineRule="exact"/>
              <w:ind w:left="0" w:right="28"/>
              <w:jc w:val="right"/>
              <w:rPr>
                <w:sz w:val="18"/>
              </w:rPr>
            </w:pPr>
            <w:r w:rsidRPr="00CE5AD6">
              <w:rPr>
                <w:sz w:val="18"/>
              </w:rPr>
              <w:t>1 297</w:t>
            </w:r>
          </w:p>
        </w:tc>
        <w:tc>
          <w:tcPr>
            <w:tcW w:w="836" w:type="dxa"/>
            <w:shd w:val="clear" w:color="auto" w:fill="auto"/>
            <w:noWrap/>
            <w:tcMar>
              <w:top w:w="15" w:type="dxa"/>
              <w:left w:w="15" w:type="dxa"/>
              <w:bottom w:w="0" w:type="dxa"/>
              <w:right w:w="15" w:type="dxa"/>
            </w:tcMar>
            <w:vAlign w:val="bottom"/>
          </w:tcPr>
          <w:p w14:paraId="19AA342B"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1 438</w:t>
            </w:r>
          </w:p>
        </w:tc>
        <w:tc>
          <w:tcPr>
            <w:tcW w:w="837" w:type="dxa"/>
            <w:shd w:val="clear" w:color="auto" w:fill="auto"/>
            <w:vAlign w:val="bottom"/>
          </w:tcPr>
          <w:p w14:paraId="31A01935"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1 570</w:t>
            </w:r>
          </w:p>
        </w:tc>
        <w:tc>
          <w:tcPr>
            <w:tcW w:w="1141" w:type="dxa"/>
            <w:shd w:val="clear" w:color="auto" w:fill="auto"/>
            <w:vAlign w:val="bottom"/>
          </w:tcPr>
          <w:p w14:paraId="65F3D9F2" w14:textId="77777777" w:rsidR="009C2230" w:rsidRPr="00CE5AD6" w:rsidRDefault="009C2230" w:rsidP="00F845C5">
            <w:pPr>
              <w:pStyle w:val="SingleTxtG"/>
              <w:spacing w:before="60" w:after="60" w:line="220" w:lineRule="exact"/>
              <w:ind w:left="0" w:right="28"/>
              <w:jc w:val="right"/>
              <w:rPr>
                <w:sz w:val="18"/>
              </w:rPr>
            </w:pPr>
            <w:r w:rsidRPr="00CE5AD6">
              <w:rPr>
                <w:rFonts w:hint="eastAsia"/>
                <w:sz w:val="18"/>
              </w:rPr>
              <w:t>783</w:t>
            </w:r>
          </w:p>
        </w:tc>
      </w:tr>
    </w:tbl>
    <w:p w14:paraId="461B4CAF" w14:textId="77777777" w:rsidR="009C2230" w:rsidRPr="003028E3" w:rsidRDefault="009C2230" w:rsidP="009C2230">
      <w:pPr>
        <w:pStyle w:val="H23G"/>
      </w:pPr>
      <w:r w:rsidRPr="007422D6">
        <w:rPr>
          <w:bCs/>
        </w:rPr>
        <w:tab/>
      </w:r>
      <w:r w:rsidRPr="007422D6">
        <w:rPr>
          <w:bCs/>
        </w:rPr>
        <w:tab/>
      </w:r>
      <w:bookmarkStart w:id="11" w:name="_Toc12351619"/>
      <w:r w:rsidRPr="007422D6">
        <w:rPr>
          <w:bCs/>
        </w:rPr>
        <w:t>Число зарегистрированных случаев насилия на сексуальной почве</w:t>
      </w:r>
      <w:bookmarkEnd w:id="11"/>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84"/>
        <w:gridCol w:w="839"/>
        <w:gridCol w:w="840"/>
        <w:gridCol w:w="840"/>
        <w:gridCol w:w="840"/>
        <w:gridCol w:w="1127"/>
      </w:tblGrid>
      <w:tr w:rsidR="009C2230" w14:paraId="51E18169" w14:textId="77777777" w:rsidTr="007D1702">
        <w:trPr>
          <w:tblHeader/>
        </w:trPr>
        <w:tc>
          <w:tcPr>
            <w:tcW w:w="288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2059AB72" w14:textId="77777777" w:rsidR="009C2230" w:rsidRPr="00532D80" w:rsidRDefault="009C2230" w:rsidP="00F845C5">
            <w:pPr>
              <w:pStyle w:val="SingleTxtG"/>
              <w:spacing w:before="80" w:after="80" w:line="200" w:lineRule="exact"/>
              <w:ind w:left="0" w:right="28"/>
              <w:jc w:val="left"/>
              <w:rPr>
                <w:i/>
                <w:sz w:val="16"/>
              </w:rPr>
            </w:pPr>
            <w:r w:rsidRPr="00532D80">
              <w:rPr>
                <w:i/>
                <w:iCs/>
                <w:sz w:val="16"/>
              </w:rPr>
              <w:t>Преступление</w:t>
            </w:r>
          </w:p>
        </w:tc>
        <w:tc>
          <w:tcPr>
            <w:tcW w:w="83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2B12EE09"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2013</w:t>
            </w:r>
          </w:p>
        </w:tc>
        <w:tc>
          <w:tcPr>
            <w:tcW w:w="84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10429CE6"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2014</w:t>
            </w:r>
          </w:p>
        </w:tc>
        <w:tc>
          <w:tcPr>
            <w:tcW w:w="84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6689DDEC" w14:textId="77777777" w:rsidR="009C2230" w:rsidRPr="00532D80" w:rsidRDefault="009C2230" w:rsidP="00F845C5">
            <w:pPr>
              <w:pStyle w:val="SingleTxtG"/>
              <w:spacing w:before="80" w:after="80" w:line="200" w:lineRule="exact"/>
              <w:ind w:left="0" w:right="28"/>
              <w:jc w:val="right"/>
              <w:rPr>
                <w:i/>
                <w:sz w:val="16"/>
              </w:rPr>
            </w:pPr>
            <w:r w:rsidRPr="00532D80">
              <w:rPr>
                <w:rFonts w:hint="eastAsia"/>
                <w:i/>
                <w:iCs/>
                <w:sz w:val="16"/>
              </w:rPr>
              <w:t>2015</w:t>
            </w:r>
          </w:p>
        </w:tc>
        <w:tc>
          <w:tcPr>
            <w:tcW w:w="840" w:type="dxa"/>
            <w:tcBorders>
              <w:top w:val="single" w:sz="4" w:space="0" w:color="auto"/>
              <w:bottom w:val="single" w:sz="12" w:space="0" w:color="auto"/>
            </w:tcBorders>
            <w:shd w:val="clear" w:color="auto" w:fill="auto"/>
            <w:vAlign w:val="bottom"/>
          </w:tcPr>
          <w:p w14:paraId="521393AE"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2016</w:t>
            </w:r>
          </w:p>
        </w:tc>
        <w:tc>
          <w:tcPr>
            <w:tcW w:w="1127" w:type="dxa"/>
            <w:tcBorders>
              <w:top w:val="single" w:sz="4" w:space="0" w:color="auto"/>
              <w:bottom w:val="single" w:sz="12" w:space="0" w:color="auto"/>
            </w:tcBorders>
            <w:shd w:val="clear" w:color="auto" w:fill="auto"/>
            <w:vAlign w:val="bottom"/>
          </w:tcPr>
          <w:p w14:paraId="54155818"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2017</w:t>
            </w:r>
            <w:r w:rsidRPr="00532D80">
              <w:rPr>
                <w:i/>
                <w:iCs/>
                <w:sz w:val="16"/>
              </w:rPr>
              <w:br/>
              <w:t>(январь</w:t>
            </w:r>
            <w:r w:rsidR="00E735CF">
              <w:rPr>
                <w:i/>
                <w:iCs/>
                <w:sz w:val="16"/>
                <w:lang w:val="en-US"/>
              </w:rPr>
              <w:t>–</w:t>
            </w:r>
            <w:r w:rsidRPr="00532D80">
              <w:rPr>
                <w:i/>
                <w:iCs/>
                <w:sz w:val="16"/>
              </w:rPr>
              <w:t>июль)</w:t>
            </w:r>
          </w:p>
        </w:tc>
      </w:tr>
      <w:tr w:rsidR="009C2230" w14:paraId="3F364DD5" w14:textId="77777777" w:rsidTr="007D1702">
        <w:tc>
          <w:tcPr>
            <w:tcW w:w="2884" w:type="dxa"/>
            <w:tcBorders>
              <w:top w:val="single" w:sz="12" w:space="0" w:color="auto"/>
            </w:tcBorders>
            <w:shd w:val="clear" w:color="auto" w:fill="auto"/>
            <w:noWrap/>
            <w:tcMar>
              <w:top w:w="15" w:type="dxa"/>
              <w:left w:w="15" w:type="dxa"/>
              <w:bottom w:w="0" w:type="dxa"/>
              <w:right w:w="15" w:type="dxa"/>
            </w:tcMar>
          </w:tcPr>
          <w:p w14:paraId="532E7A2D" w14:textId="77777777" w:rsidR="009C2230" w:rsidRPr="00532D80" w:rsidRDefault="009C2230" w:rsidP="00F845C5">
            <w:pPr>
              <w:pStyle w:val="SingleTxtG"/>
              <w:spacing w:before="60" w:after="60" w:line="220" w:lineRule="exact"/>
              <w:ind w:left="0" w:right="28"/>
              <w:jc w:val="left"/>
              <w:rPr>
                <w:sz w:val="18"/>
              </w:rPr>
            </w:pPr>
            <w:r w:rsidRPr="00532D80">
              <w:rPr>
                <w:sz w:val="18"/>
              </w:rPr>
              <w:t>Изнасилование</w:t>
            </w:r>
          </w:p>
        </w:tc>
        <w:tc>
          <w:tcPr>
            <w:tcW w:w="839" w:type="dxa"/>
            <w:tcBorders>
              <w:top w:val="single" w:sz="12" w:space="0" w:color="auto"/>
            </w:tcBorders>
            <w:shd w:val="clear" w:color="auto" w:fill="auto"/>
            <w:noWrap/>
            <w:tcMar>
              <w:top w:w="15" w:type="dxa"/>
              <w:left w:w="15" w:type="dxa"/>
              <w:bottom w:w="0" w:type="dxa"/>
              <w:right w:w="15" w:type="dxa"/>
            </w:tcMar>
            <w:vAlign w:val="bottom"/>
          </w:tcPr>
          <w:p w14:paraId="3911F2CE" w14:textId="77777777" w:rsidR="009C2230" w:rsidRPr="00532D80" w:rsidRDefault="009C2230" w:rsidP="00F845C5">
            <w:pPr>
              <w:pStyle w:val="SingleTxtG"/>
              <w:spacing w:before="60" w:after="60" w:line="220" w:lineRule="exact"/>
              <w:ind w:left="0" w:right="28"/>
              <w:jc w:val="right"/>
              <w:rPr>
                <w:sz w:val="18"/>
              </w:rPr>
            </w:pPr>
            <w:r w:rsidRPr="00532D80">
              <w:rPr>
                <w:sz w:val="18"/>
              </w:rPr>
              <w:t>105</w:t>
            </w:r>
          </w:p>
        </w:tc>
        <w:tc>
          <w:tcPr>
            <w:tcW w:w="840" w:type="dxa"/>
            <w:tcBorders>
              <w:top w:val="single" w:sz="12" w:space="0" w:color="auto"/>
            </w:tcBorders>
            <w:shd w:val="clear" w:color="auto" w:fill="auto"/>
            <w:noWrap/>
            <w:tcMar>
              <w:top w:w="15" w:type="dxa"/>
              <w:left w:w="15" w:type="dxa"/>
              <w:bottom w:w="0" w:type="dxa"/>
              <w:right w:w="15" w:type="dxa"/>
            </w:tcMar>
            <w:vAlign w:val="bottom"/>
          </w:tcPr>
          <w:p w14:paraId="009C963E"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56</w:t>
            </w:r>
          </w:p>
        </w:tc>
        <w:tc>
          <w:tcPr>
            <w:tcW w:w="840" w:type="dxa"/>
            <w:tcBorders>
              <w:top w:val="single" w:sz="12" w:space="0" w:color="auto"/>
            </w:tcBorders>
            <w:shd w:val="clear" w:color="auto" w:fill="auto"/>
            <w:noWrap/>
            <w:tcMar>
              <w:top w:w="15" w:type="dxa"/>
              <w:left w:w="15" w:type="dxa"/>
              <w:bottom w:w="0" w:type="dxa"/>
              <w:right w:w="15" w:type="dxa"/>
            </w:tcMar>
            <w:vAlign w:val="bottom"/>
          </w:tcPr>
          <w:p w14:paraId="123C6DFE"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70</w:t>
            </w:r>
          </w:p>
        </w:tc>
        <w:tc>
          <w:tcPr>
            <w:tcW w:w="840" w:type="dxa"/>
            <w:tcBorders>
              <w:top w:val="single" w:sz="12" w:space="0" w:color="auto"/>
            </w:tcBorders>
            <w:shd w:val="clear" w:color="auto" w:fill="auto"/>
            <w:vAlign w:val="bottom"/>
          </w:tcPr>
          <w:p w14:paraId="335455DC"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71</w:t>
            </w:r>
          </w:p>
        </w:tc>
        <w:tc>
          <w:tcPr>
            <w:tcW w:w="1127" w:type="dxa"/>
            <w:tcBorders>
              <w:top w:val="single" w:sz="12" w:space="0" w:color="auto"/>
            </w:tcBorders>
            <w:shd w:val="clear" w:color="auto" w:fill="auto"/>
            <w:vAlign w:val="bottom"/>
          </w:tcPr>
          <w:p w14:paraId="456E9AD2"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39</w:t>
            </w:r>
          </w:p>
        </w:tc>
      </w:tr>
      <w:tr w:rsidR="009C2230" w14:paraId="17E24CBC" w14:textId="77777777" w:rsidTr="007D1702">
        <w:tc>
          <w:tcPr>
            <w:tcW w:w="2884" w:type="dxa"/>
            <w:shd w:val="clear" w:color="auto" w:fill="auto"/>
            <w:noWrap/>
            <w:tcMar>
              <w:top w:w="15" w:type="dxa"/>
              <w:left w:w="15" w:type="dxa"/>
              <w:bottom w:w="0" w:type="dxa"/>
              <w:right w:w="15" w:type="dxa"/>
            </w:tcMar>
          </w:tcPr>
          <w:p w14:paraId="2154B6F4" w14:textId="77777777" w:rsidR="009C2230" w:rsidRPr="00532D80" w:rsidRDefault="009C2230" w:rsidP="00F845C5">
            <w:pPr>
              <w:pStyle w:val="SingleTxtG"/>
              <w:spacing w:before="60" w:after="60" w:line="220" w:lineRule="exact"/>
              <w:ind w:left="0" w:right="28"/>
              <w:jc w:val="left"/>
              <w:rPr>
                <w:sz w:val="18"/>
              </w:rPr>
            </w:pPr>
            <w:r w:rsidRPr="00532D80">
              <w:rPr>
                <w:sz w:val="18"/>
              </w:rPr>
              <w:t>Развратные действия</w:t>
            </w:r>
          </w:p>
        </w:tc>
        <w:tc>
          <w:tcPr>
            <w:tcW w:w="839" w:type="dxa"/>
            <w:shd w:val="clear" w:color="auto" w:fill="auto"/>
            <w:noWrap/>
            <w:tcMar>
              <w:top w:w="15" w:type="dxa"/>
              <w:left w:w="15" w:type="dxa"/>
              <w:bottom w:w="0" w:type="dxa"/>
              <w:right w:w="15" w:type="dxa"/>
            </w:tcMar>
            <w:vAlign w:val="bottom"/>
          </w:tcPr>
          <w:p w14:paraId="49FB688F" w14:textId="77777777" w:rsidR="009C2230" w:rsidRPr="00532D80" w:rsidRDefault="009C2230" w:rsidP="00F845C5">
            <w:pPr>
              <w:pStyle w:val="SingleTxtG"/>
              <w:spacing w:before="60" w:after="60" w:line="220" w:lineRule="exact"/>
              <w:ind w:left="0" w:right="28"/>
              <w:jc w:val="right"/>
              <w:rPr>
                <w:sz w:val="18"/>
              </w:rPr>
            </w:pPr>
            <w:r w:rsidRPr="00532D80">
              <w:rPr>
                <w:sz w:val="18"/>
              </w:rPr>
              <w:t>1 463</w:t>
            </w:r>
          </w:p>
        </w:tc>
        <w:tc>
          <w:tcPr>
            <w:tcW w:w="840" w:type="dxa"/>
            <w:shd w:val="clear" w:color="auto" w:fill="auto"/>
            <w:noWrap/>
            <w:tcMar>
              <w:top w:w="15" w:type="dxa"/>
              <w:left w:w="15" w:type="dxa"/>
              <w:bottom w:w="0" w:type="dxa"/>
              <w:right w:w="15" w:type="dxa"/>
            </w:tcMar>
            <w:vAlign w:val="bottom"/>
          </w:tcPr>
          <w:p w14:paraId="4CE71F73" w14:textId="77777777" w:rsidR="009C2230" w:rsidRPr="00532D80" w:rsidRDefault="009C2230" w:rsidP="00F845C5">
            <w:pPr>
              <w:pStyle w:val="SingleTxtG"/>
              <w:spacing w:before="60" w:after="60" w:line="220" w:lineRule="exact"/>
              <w:ind w:left="0" w:right="28"/>
              <w:jc w:val="right"/>
              <w:rPr>
                <w:sz w:val="18"/>
              </w:rPr>
            </w:pPr>
            <w:r w:rsidRPr="00532D80">
              <w:rPr>
                <w:sz w:val="18"/>
              </w:rPr>
              <w:t>1 115</w:t>
            </w:r>
          </w:p>
        </w:tc>
        <w:tc>
          <w:tcPr>
            <w:tcW w:w="840" w:type="dxa"/>
            <w:shd w:val="clear" w:color="auto" w:fill="auto"/>
            <w:noWrap/>
            <w:tcMar>
              <w:top w:w="15" w:type="dxa"/>
              <w:left w:w="15" w:type="dxa"/>
              <w:bottom w:w="0" w:type="dxa"/>
              <w:right w:w="15" w:type="dxa"/>
            </w:tcMar>
            <w:vAlign w:val="bottom"/>
          </w:tcPr>
          <w:p w14:paraId="59AE4F06"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1 068</w:t>
            </w:r>
          </w:p>
        </w:tc>
        <w:tc>
          <w:tcPr>
            <w:tcW w:w="840" w:type="dxa"/>
            <w:shd w:val="clear" w:color="auto" w:fill="auto"/>
            <w:vAlign w:val="bottom"/>
          </w:tcPr>
          <w:p w14:paraId="0F1A87A1"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1 019</w:t>
            </w:r>
          </w:p>
        </w:tc>
        <w:tc>
          <w:tcPr>
            <w:tcW w:w="1127" w:type="dxa"/>
            <w:shd w:val="clear" w:color="auto" w:fill="auto"/>
            <w:vAlign w:val="bottom"/>
          </w:tcPr>
          <w:p w14:paraId="07D1D4ED"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620</w:t>
            </w:r>
          </w:p>
        </w:tc>
      </w:tr>
    </w:tbl>
    <w:p w14:paraId="5FA68A75" w14:textId="77777777" w:rsidR="009C2230" w:rsidRPr="003028E3" w:rsidRDefault="009C2230" w:rsidP="009C2230">
      <w:pPr>
        <w:pStyle w:val="H23G"/>
      </w:pPr>
      <w:r w:rsidRPr="007422D6">
        <w:rPr>
          <w:bCs/>
        </w:rPr>
        <w:tab/>
      </w:r>
      <w:r w:rsidRPr="007422D6">
        <w:rPr>
          <w:bCs/>
        </w:rPr>
        <w:tab/>
      </w:r>
      <w:bookmarkStart w:id="12" w:name="_Toc12351620"/>
      <w:r w:rsidRPr="007422D6">
        <w:rPr>
          <w:bCs/>
        </w:rPr>
        <w:t>Число сотрудников полиции на 100 000 чел. населения</w:t>
      </w:r>
      <w:bookmarkEnd w:id="12"/>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70"/>
        <w:gridCol w:w="900"/>
        <w:gridCol w:w="900"/>
        <w:gridCol w:w="900"/>
        <w:gridCol w:w="900"/>
        <w:gridCol w:w="900"/>
      </w:tblGrid>
      <w:tr w:rsidR="009C2230" w14:paraId="23CAD395" w14:textId="77777777" w:rsidTr="007D1702">
        <w:trPr>
          <w:tblHeader/>
        </w:trPr>
        <w:tc>
          <w:tcPr>
            <w:tcW w:w="287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131A9342" w14:textId="77777777" w:rsidR="009C2230" w:rsidRPr="003028E3" w:rsidRDefault="009C2230" w:rsidP="00F845C5">
            <w:pPr>
              <w:pStyle w:val="SingleTxtG"/>
              <w:spacing w:before="80" w:after="80" w:line="200" w:lineRule="exact"/>
              <w:ind w:left="0" w:right="28"/>
              <w:jc w:val="left"/>
              <w:rPr>
                <w:i/>
                <w:sz w:val="16"/>
              </w:rPr>
            </w:pPr>
          </w:p>
        </w:tc>
        <w:tc>
          <w:tcPr>
            <w:tcW w:w="90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7D8FFBE7"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2012</w:t>
            </w:r>
          </w:p>
        </w:tc>
        <w:tc>
          <w:tcPr>
            <w:tcW w:w="90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17BFBE36"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2013</w:t>
            </w:r>
          </w:p>
        </w:tc>
        <w:tc>
          <w:tcPr>
            <w:tcW w:w="90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31F0E9AC"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2014</w:t>
            </w:r>
          </w:p>
        </w:tc>
        <w:tc>
          <w:tcPr>
            <w:tcW w:w="900" w:type="dxa"/>
            <w:tcBorders>
              <w:top w:val="single" w:sz="4" w:space="0" w:color="auto"/>
              <w:bottom w:val="single" w:sz="12" w:space="0" w:color="auto"/>
            </w:tcBorders>
            <w:shd w:val="clear" w:color="auto" w:fill="auto"/>
            <w:vAlign w:val="bottom"/>
          </w:tcPr>
          <w:p w14:paraId="02412CFA"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2015</w:t>
            </w:r>
          </w:p>
        </w:tc>
        <w:tc>
          <w:tcPr>
            <w:tcW w:w="900" w:type="dxa"/>
            <w:tcBorders>
              <w:top w:val="single" w:sz="4" w:space="0" w:color="auto"/>
              <w:bottom w:val="single" w:sz="12" w:space="0" w:color="auto"/>
            </w:tcBorders>
            <w:shd w:val="clear" w:color="auto" w:fill="auto"/>
            <w:vAlign w:val="bottom"/>
          </w:tcPr>
          <w:p w14:paraId="19671CDC" w14:textId="77777777" w:rsidR="009C2230" w:rsidRPr="00532D80" w:rsidRDefault="009C2230" w:rsidP="00F845C5">
            <w:pPr>
              <w:pStyle w:val="SingleTxtG"/>
              <w:spacing w:before="80" w:after="80" w:line="200" w:lineRule="exact"/>
              <w:ind w:left="0" w:right="28"/>
              <w:jc w:val="right"/>
              <w:rPr>
                <w:i/>
                <w:sz w:val="16"/>
              </w:rPr>
            </w:pPr>
            <w:r w:rsidRPr="00532D80">
              <w:rPr>
                <w:rFonts w:hint="eastAsia"/>
                <w:i/>
                <w:iCs/>
                <w:sz w:val="16"/>
              </w:rPr>
              <w:t>2016</w:t>
            </w:r>
          </w:p>
        </w:tc>
      </w:tr>
      <w:tr w:rsidR="009C2230" w14:paraId="10CF4F1E" w14:textId="77777777" w:rsidTr="007D1702">
        <w:tc>
          <w:tcPr>
            <w:tcW w:w="2870" w:type="dxa"/>
            <w:tcBorders>
              <w:top w:val="single" w:sz="12" w:space="0" w:color="auto"/>
            </w:tcBorders>
            <w:shd w:val="clear" w:color="auto" w:fill="auto"/>
            <w:noWrap/>
            <w:tcMar>
              <w:top w:w="15" w:type="dxa"/>
              <w:left w:w="15" w:type="dxa"/>
              <w:bottom w:w="0" w:type="dxa"/>
              <w:right w:w="15" w:type="dxa"/>
            </w:tcMar>
          </w:tcPr>
          <w:p w14:paraId="3723B353" w14:textId="77777777" w:rsidR="009C2230" w:rsidRPr="00532D80" w:rsidRDefault="009C2230" w:rsidP="00F845C5">
            <w:pPr>
              <w:pStyle w:val="SingleTxtG"/>
              <w:spacing w:before="60" w:after="60" w:line="220" w:lineRule="exact"/>
              <w:ind w:left="0" w:right="28"/>
              <w:jc w:val="left"/>
              <w:rPr>
                <w:sz w:val="18"/>
              </w:rPr>
            </w:pPr>
            <w:r w:rsidRPr="00532D80">
              <w:rPr>
                <w:sz w:val="18"/>
              </w:rPr>
              <w:t>Сотрудников полиции</w:t>
            </w:r>
          </w:p>
        </w:tc>
        <w:tc>
          <w:tcPr>
            <w:tcW w:w="900" w:type="dxa"/>
            <w:tcBorders>
              <w:top w:val="single" w:sz="12" w:space="0" w:color="auto"/>
            </w:tcBorders>
            <w:shd w:val="clear" w:color="auto" w:fill="auto"/>
            <w:noWrap/>
            <w:tcMar>
              <w:top w:w="15" w:type="dxa"/>
              <w:left w:w="15" w:type="dxa"/>
              <w:bottom w:w="0" w:type="dxa"/>
              <w:right w:w="15" w:type="dxa"/>
            </w:tcMar>
            <w:vAlign w:val="bottom"/>
          </w:tcPr>
          <w:p w14:paraId="6FA359D5" w14:textId="77777777" w:rsidR="009C2230" w:rsidRPr="00532D80" w:rsidRDefault="009C2230" w:rsidP="00F845C5">
            <w:pPr>
              <w:pStyle w:val="SingleTxtG"/>
              <w:spacing w:before="60" w:after="60" w:line="220" w:lineRule="exact"/>
              <w:ind w:left="0" w:right="28"/>
              <w:jc w:val="right"/>
              <w:rPr>
                <w:sz w:val="18"/>
              </w:rPr>
            </w:pPr>
            <w:r w:rsidRPr="00532D80">
              <w:rPr>
                <w:sz w:val="18"/>
              </w:rPr>
              <w:t>395,0</w:t>
            </w:r>
          </w:p>
        </w:tc>
        <w:tc>
          <w:tcPr>
            <w:tcW w:w="900" w:type="dxa"/>
            <w:tcBorders>
              <w:top w:val="single" w:sz="12" w:space="0" w:color="auto"/>
            </w:tcBorders>
            <w:shd w:val="clear" w:color="auto" w:fill="auto"/>
            <w:noWrap/>
            <w:tcMar>
              <w:top w:w="15" w:type="dxa"/>
              <w:left w:w="15" w:type="dxa"/>
              <w:bottom w:w="0" w:type="dxa"/>
              <w:right w:w="15" w:type="dxa"/>
            </w:tcMar>
            <w:vAlign w:val="bottom"/>
          </w:tcPr>
          <w:p w14:paraId="68BA22AF" w14:textId="77777777" w:rsidR="009C2230" w:rsidRPr="00532D80" w:rsidRDefault="009C2230" w:rsidP="00F845C5">
            <w:pPr>
              <w:pStyle w:val="SingleTxtG"/>
              <w:spacing w:before="60" w:after="60" w:line="220" w:lineRule="exact"/>
              <w:ind w:left="0" w:right="28"/>
              <w:jc w:val="right"/>
              <w:rPr>
                <w:sz w:val="18"/>
              </w:rPr>
            </w:pPr>
            <w:r w:rsidRPr="00532D80">
              <w:rPr>
                <w:sz w:val="18"/>
              </w:rPr>
              <w:t>394,9</w:t>
            </w:r>
          </w:p>
        </w:tc>
        <w:tc>
          <w:tcPr>
            <w:tcW w:w="900" w:type="dxa"/>
            <w:tcBorders>
              <w:top w:val="single" w:sz="12" w:space="0" w:color="auto"/>
            </w:tcBorders>
            <w:shd w:val="clear" w:color="auto" w:fill="auto"/>
            <w:noWrap/>
            <w:tcMar>
              <w:top w:w="15" w:type="dxa"/>
              <w:left w:w="15" w:type="dxa"/>
              <w:bottom w:w="0" w:type="dxa"/>
              <w:right w:w="15" w:type="dxa"/>
            </w:tcMar>
            <w:vAlign w:val="bottom"/>
          </w:tcPr>
          <w:p w14:paraId="47D17967" w14:textId="77777777" w:rsidR="009C2230" w:rsidRPr="00532D80" w:rsidRDefault="009C2230" w:rsidP="00F845C5">
            <w:pPr>
              <w:pStyle w:val="SingleTxtG"/>
              <w:spacing w:before="60" w:after="60" w:line="220" w:lineRule="exact"/>
              <w:ind w:left="0" w:right="28"/>
              <w:jc w:val="right"/>
              <w:rPr>
                <w:sz w:val="18"/>
              </w:rPr>
            </w:pPr>
            <w:r w:rsidRPr="00532D80">
              <w:rPr>
                <w:sz w:val="18"/>
              </w:rPr>
              <w:t>393,7</w:t>
            </w:r>
          </w:p>
        </w:tc>
        <w:tc>
          <w:tcPr>
            <w:tcW w:w="900" w:type="dxa"/>
            <w:tcBorders>
              <w:top w:val="single" w:sz="12" w:space="0" w:color="auto"/>
            </w:tcBorders>
            <w:shd w:val="clear" w:color="auto" w:fill="auto"/>
            <w:vAlign w:val="bottom"/>
          </w:tcPr>
          <w:p w14:paraId="4A2B387D" w14:textId="77777777" w:rsidR="009C2230" w:rsidRPr="00532D80" w:rsidRDefault="009C2230" w:rsidP="00F845C5">
            <w:pPr>
              <w:pStyle w:val="SingleTxtG"/>
              <w:spacing w:before="60" w:after="60" w:line="220" w:lineRule="exact"/>
              <w:ind w:left="0" w:right="28"/>
              <w:jc w:val="right"/>
              <w:rPr>
                <w:sz w:val="18"/>
              </w:rPr>
            </w:pPr>
            <w:r w:rsidRPr="00532D80">
              <w:rPr>
                <w:sz w:val="18"/>
              </w:rPr>
              <w:t>392,4</w:t>
            </w:r>
          </w:p>
        </w:tc>
        <w:tc>
          <w:tcPr>
            <w:tcW w:w="900" w:type="dxa"/>
            <w:tcBorders>
              <w:top w:val="single" w:sz="12" w:space="0" w:color="auto"/>
            </w:tcBorders>
            <w:shd w:val="clear" w:color="auto" w:fill="auto"/>
            <w:vAlign w:val="bottom"/>
          </w:tcPr>
          <w:p w14:paraId="7722E59A"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395,0</w:t>
            </w:r>
          </w:p>
        </w:tc>
      </w:tr>
    </w:tbl>
    <w:p w14:paraId="7C1AE346" w14:textId="77777777" w:rsidR="009C2230" w:rsidRPr="007422D6" w:rsidRDefault="009C2230" w:rsidP="009C2230">
      <w:pPr>
        <w:pStyle w:val="H23G"/>
      </w:pPr>
      <w:r w:rsidRPr="007422D6">
        <w:rPr>
          <w:bCs/>
        </w:rPr>
        <w:tab/>
      </w:r>
      <w:r w:rsidRPr="007422D6">
        <w:rPr>
          <w:bCs/>
        </w:rPr>
        <w:tab/>
      </w:r>
      <w:bookmarkStart w:id="13" w:name="_Toc12351621"/>
      <w:r w:rsidRPr="007422D6">
        <w:rPr>
          <w:bCs/>
        </w:rPr>
        <w:t>Число судей и судебных работников</w:t>
      </w:r>
      <w:bookmarkEnd w:id="13"/>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70"/>
        <w:gridCol w:w="900"/>
        <w:gridCol w:w="900"/>
        <w:gridCol w:w="900"/>
        <w:gridCol w:w="900"/>
        <w:gridCol w:w="900"/>
      </w:tblGrid>
      <w:tr w:rsidR="009C2230" w14:paraId="2E49A424" w14:textId="77777777" w:rsidTr="007D1702">
        <w:trPr>
          <w:tblHeader/>
        </w:trPr>
        <w:tc>
          <w:tcPr>
            <w:tcW w:w="287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14:paraId="2E8DE92B" w14:textId="77777777" w:rsidR="009C2230" w:rsidRPr="00532D80" w:rsidRDefault="009C2230" w:rsidP="00F845C5">
            <w:pPr>
              <w:pStyle w:val="SingleTxtG"/>
              <w:spacing w:before="80" w:after="80" w:line="200" w:lineRule="exact"/>
              <w:ind w:left="0" w:right="28"/>
              <w:jc w:val="left"/>
              <w:rPr>
                <w:i/>
                <w:sz w:val="16"/>
              </w:rPr>
            </w:pPr>
          </w:p>
        </w:tc>
        <w:tc>
          <w:tcPr>
            <w:tcW w:w="900" w:type="dxa"/>
            <w:tcBorders>
              <w:top w:val="single" w:sz="4" w:space="0" w:color="auto"/>
              <w:bottom w:val="single" w:sz="12" w:space="0" w:color="auto"/>
            </w:tcBorders>
            <w:shd w:val="clear" w:color="auto" w:fill="auto"/>
            <w:vAlign w:val="bottom"/>
          </w:tcPr>
          <w:p w14:paraId="1536F077"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2013</w:t>
            </w:r>
          </w:p>
        </w:tc>
        <w:tc>
          <w:tcPr>
            <w:tcW w:w="900" w:type="dxa"/>
            <w:tcBorders>
              <w:top w:val="single" w:sz="4" w:space="0" w:color="auto"/>
              <w:bottom w:val="single" w:sz="12" w:space="0" w:color="auto"/>
            </w:tcBorders>
            <w:shd w:val="clear" w:color="auto" w:fill="auto"/>
            <w:vAlign w:val="bottom"/>
          </w:tcPr>
          <w:p w14:paraId="77B3B089"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2014</w:t>
            </w:r>
          </w:p>
        </w:tc>
        <w:tc>
          <w:tcPr>
            <w:tcW w:w="900" w:type="dxa"/>
            <w:tcBorders>
              <w:top w:val="single" w:sz="4" w:space="0" w:color="auto"/>
              <w:bottom w:val="single" w:sz="12" w:space="0" w:color="auto"/>
            </w:tcBorders>
            <w:shd w:val="clear" w:color="auto" w:fill="auto"/>
            <w:vAlign w:val="bottom"/>
          </w:tcPr>
          <w:p w14:paraId="43887786"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2015</w:t>
            </w:r>
          </w:p>
        </w:tc>
        <w:tc>
          <w:tcPr>
            <w:tcW w:w="900" w:type="dxa"/>
            <w:tcBorders>
              <w:top w:val="single" w:sz="4" w:space="0" w:color="auto"/>
              <w:bottom w:val="single" w:sz="12" w:space="0" w:color="auto"/>
            </w:tcBorders>
            <w:shd w:val="clear" w:color="auto" w:fill="auto"/>
            <w:vAlign w:val="bottom"/>
          </w:tcPr>
          <w:p w14:paraId="655E1DFA"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2016</w:t>
            </w:r>
          </w:p>
        </w:tc>
        <w:tc>
          <w:tcPr>
            <w:tcW w:w="900" w:type="dxa"/>
            <w:tcBorders>
              <w:top w:val="single" w:sz="4" w:space="0" w:color="auto"/>
              <w:bottom w:val="single" w:sz="12" w:space="0" w:color="auto"/>
            </w:tcBorders>
            <w:shd w:val="clear" w:color="auto" w:fill="auto"/>
            <w:vAlign w:val="bottom"/>
          </w:tcPr>
          <w:p w14:paraId="66B0F8E7" w14:textId="77777777" w:rsidR="009C2230" w:rsidRPr="00532D80" w:rsidRDefault="009C2230" w:rsidP="00F845C5">
            <w:pPr>
              <w:pStyle w:val="SingleTxtG"/>
              <w:spacing w:before="80" w:after="80" w:line="200" w:lineRule="exact"/>
              <w:ind w:left="0" w:right="28"/>
              <w:jc w:val="right"/>
              <w:rPr>
                <w:i/>
                <w:sz w:val="16"/>
              </w:rPr>
            </w:pPr>
            <w:r w:rsidRPr="00532D80">
              <w:rPr>
                <w:i/>
                <w:iCs/>
                <w:sz w:val="16"/>
              </w:rPr>
              <w:t>2017</w:t>
            </w:r>
          </w:p>
        </w:tc>
      </w:tr>
      <w:tr w:rsidR="009C2230" w14:paraId="0CFD9168" w14:textId="77777777" w:rsidTr="007D1702">
        <w:tc>
          <w:tcPr>
            <w:tcW w:w="2870" w:type="dxa"/>
            <w:tcBorders>
              <w:top w:val="single" w:sz="12" w:space="0" w:color="auto"/>
            </w:tcBorders>
            <w:shd w:val="clear" w:color="auto" w:fill="auto"/>
            <w:noWrap/>
            <w:tcMar>
              <w:top w:w="15" w:type="dxa"/>
              <w:left w:w="15" w:type="dxa"/>
              <w:bottom w:w="0" w:type="dxa"/>
              <w:right w:w="15" w:type="dxa"/>
            </w:tcMar>
          </w:tcPr>
          <w:p w14:paraId="5A2AB3F8" w14:textId="77777777" w:rsidR="009C2230" w:rsidRPr="00532D80" w:rsidRDefault="009C2230" w:rsidP="00F845C5">
            <w:pPr>
              <w:pStyle w:val="SingleTxtG"/>
              <w:spacing w:before="60" w:after="60" w:line="220" w:lineRule="exact"/>
              <w:ind w:left="0" w:right="28"/>
              <w:jc w:val="left"/>
              <w:rPr>
                <w:sz w:val="18"/>
              </w:rPr>
            </w:pPr>
            <w:r w:rsidRPr="00532D80">
              <w:rPr>
                <w:sz w:val="18"/>
              </w:rPr>
              <w:t>Судей и судебных работников</w:t>
            </w:r>
          </w:p>
        </w:tc>
        <w:tc>
          <w:tcPr>
            <w:tcW w:w="900" w:type="dxa"/>
            <w:tcBorders>
              <w:top w:val="single" w:sz="12" w:space="0" w:color="auto"/>
            </w:tcBorders>
            <w:shd w:val="clear" w:color="auto" w:fill="auto"/>
            <w:vAlign w:val="bottom"/>
          </w:tcPr>
          <w:p w14:paraId="33472875" w14:textId="77777777" w:rsidR="009C2230" w:rsidRPr="00532D80" w:rsidRDefault="009C2230" w:rsidP="00F845C5">
            <w:pPr>
              <w:pStyle w:val="SingleTxtG"/>
              <w:spacing w:before="60" w:after="60" w:line="220" w:lineRule="exact"/>
              <w:ind w:left="0" w:right="28"/>
              <w:jc w:val="right"/>
              <w:rPr>
                <w:sz w:val="18"/>
              </w:rPr>
            </w:pPr>
            <w:r w:rsidRPr="00532D80">
              <w:rPr>
                <w:sz w:val="18"/>
              </w:rPr>
              <w:t>157</w:t>
            </w:r>
          </w:p>
        </w:tc>
        <w:tc>
          <w:tcPr>
            <w:tcW w:w="900" w:type="dxa"/>
            <w:tcBorders>
              <w:top w:val="single" w:sz="12" w:space="0" w:color="auto"/>
            </w:tcBorders>
            <w:shd w:val="clear" w:color="auto" w:fill="auto"/>
            <w:vAlign w:val="bottom"/>
          </w:tcPr>
          <w:p w14:paraId="4BE7D18B" w14:textId="77777777" w:rsidR="009C2230" w:rsidRPr="00532D80" w:rsidRDefault="009C2230" w:rsidP="00F845C5">
            <w:pPr>
              <w:pStyle w:val="SingleTxtG"/>
              <w:spacing w:before="60" w:after="60" w:line="220" w:lineRule="exact"/>
              <w:ind w:left="0" w:right="28"/>
              <w:jc w:val="right"/>
              <w:rPr>
                <w:sz w:val="18"/>
              </w:rPr>
            </w:pPr>
            <w:r w:rsidRPr="00532D80">
              <w:rPr>
                <w:sz w:val="18"/>
              </w:rPr>
              <w:t>157</w:t>
            </w:r>
          </w:p>
        </w:tc>
        <w:tc>
          <w:tcPr>
            <w:tcW w:w="900" w:type="dxa"/>
            <w:tcBorders>
              <w:top w:val="single" w:sz="12" w:space="0" w:color="auto"/>
            </w:tcBorders>
            <w:shd w:val="clear" w:color="auto" w:fill="auto"/>
            <w:vAlign w:val="bottom"/>
          </w:tcPr>
          <w:p w14:paraId="175E8E73" w14:textId="77777777" w:rsidR="009C2230" w:rsidRPr="00532D80" w:rsidRDefault="009C2230" w:rsidP="00F845C5">
            <w:pPr>
              <w:pStyle w:val="SingleTxtG"/>
              <w:spacing w:before="60" w:after="60" w:line="220" w:lineRule="exact"/>
              <w:ind w:left="0" w:right="28"/>
              <w:jc w:val="right"/>
              <w:rPr>
                <w:sz w:val="18"/>
              </w:rPr>
            </w:pPr>
            <w:r w:rsidRPr="00532D80">
              <w:rPr>
                <w:sz w:val="18"/>
              </w:rPr>
              <w:t>169</w:t>
            </w:r>
          </w:p>
        </w:tc>
        <w:tc>
          <w:tcPr>
            <w:tcW w:w="900" w:type="dxa"/>
            <w:tcBorders>
              <w:top w:val="single" w:sz="12" w:space="0" w:color="auto"/>
            </w:tcBorders>
            <w:shd w:val="clear" w:color="auto" w:fill="auto"/>
            <w:vAlign w:val="bottom"/>
          </w:tcPr>
          <w:p w14:paraId="218B9A29"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165</w:t>
            </w:r>
          </w:p>
        </w:tc>
        <w:tc>
          <w:tcPr>
            <w:tcW w:w="900" w:type="dxa"/>
            <w:tcBorders>
              <w:top w:val="single" w:sz="12" w:space="0" w:color="auto"/>
            </w:tcBorders>
            <w:shd w:val="clear" w:color="auto" w:fill="auto"/>
            <w:vAlign w:val="bottom"/>
          </w:tcPr>
          <w:p w14:paraId="03A5DC35" w14:textId="77777777" w:rsidR="009C2230" w:rsidRPr="00532D80" w:rsidRDefault="009C2230" w:rsidP="00F845C5">
            <w:pPr>
              <w:pStyle w:val="SingleTxtG"/>
              <w:spacing w:before="60" w:after="60" w:line="220" w:lineRule="exact"/>
              <w:ind w:left="0" w:right="28"/>
              <w:jc w:val="right"/>
              <w:rPr>
                <w:sz w:val="18"/>
              </w:rPr>
            </w:pPr>
            <w:r w:rsidRPr="00532D80">
              <w:rPr>
                <w:rFonts w:hint="eastAsia"/>
                <w:sz w:val="18"/>
              </w:rPr>
              <w:t>157</w:t>
            </w:r>
          </w:p>
        </w:tc>
      </w:tr>
    </w:tbl>
    <w:p w14:paraId="76C00670" w14:textId="77777777" w:rsidR="009C2230" w:rsidRPr="003028E3" w:rsidRDefault="009C2230" w:rsidP="009C2230">
      <w:pPr>
        <w:pStyle w:val="H23G"/>
      </w:pPr>
      <w:r w:rsidRPr="007422D6">
        <w:rPr>
          <w:bCs/>
        </w:rPr>
        <w:tab/>
      </w:r>
      <w:r w:rsidRPr="007422D6">
        <w:rPr>
          <w:bCs/>
        </w:rPr>
        <w:tab/>
      </w:r>
      <w:bookmarkStart w:id="14" w:name="_Toc12351622"/>
      <w:r w:rsidRPr="007422D6">
        <w:rPr>
          <w:bCs/>
        </w:rPr>
        <w:t>Статистические данные о юридической помощи по уголовным делам</w:t>
      </w:r>
      <w:bookmarkEnd w:id="14"/>
    </w:p>
    <w:tbl>
      <w:tblPr>
        <w:tblW w:w="73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8"/>
        <w:gridCol w:w="2002"/>
        <w:gridCol w:w="951"/>
        <w:gridCol w:w="952"/>
        <w:gridCol w:w="952"/>
        <w:gridCol w:w="952"/>
        <w:gridCol w:w="1260"/>
      </w:tblGrid>
      <w:tr w:rsidR="009C2230" w14:paraId="375608C7" w14:textId="77777777" w:rsidTr="00F845C5">
        <w:trPr>
          <w:tblHeader/>
        </w:trPr>
        <w:tc>
          <w:tcPr>
            <w:tcW w:w="308" w:type="dxa"/>
            <w:tcBorders>
              <w:top w:val="single" w:sz="4" w:space="0" w:color="auto"/>
              <w:bottom w:val="single" w:sz="12" w:space="0" w:color="auto"/>
            </w:tcBorders>
            <w:shd w:val="clear" w:color="auto" w:fill="auto"/>
            <w:tcMar>
              <w:left w:w="29" w:type="dxa"/>
              <w:right w:w="72" w:type="dxa"/>
            </w:tcMar>
            <w:vAlign w:val="bottom"/>
          </w:tcPr>
          <w:p w14:paraId="3FC3F7B7" w14:textId="77777777" w:rsidR="009C2230" w:rsidRPr="003028E3" w:rsidRDefault="009C2230" w:rsidP="00F845C5">
            <w:pPr>
              <w:pStyle w:val="SingleTxtG"/>
              <w:spacing w:before="80" w:after="80" w:line="200" w:lineRule="exact"/>
              <w:ind w:left="0" w:right="28"/>
              <w:jc w:val="left"/>
              <w:rPr>
                <w:i/>
                <w:sz w:val="16"/>
              </w:rPr>
            </w:pPr>
          </w:p>
        </w:tc>
        <w:tc>
          <w:tcPr>
            <w:tcW w:w="2002" w:type="dxa"/>
            <w:tcBorders>
              <w:top w:val="single" w:sz="4" w:space="0" w:color="auto"/>
              <w:bottom w:val="single" w:sz="12" w:space="0" w:color="auto"/>
            </w:tcBorders>
            <w:shd w:val="clear" w:color="auto" w:fill="auto"/>
            <w:tcMar>
              <w:left w:w="0" w:type="dxa"/>
              <w:right w:w="43" w:type="dxa"/>
            </w:tcMar>
            <w:vAlign w:val="bottom"/>
          </w:tcPr>
          <w:p w14:paraId="5C02F93A" w14:textId="77777777" w:rsidR="009C2230" w:rsidRPr="003028E3" w:rsidRDefault="009C2230" w:rsidP="00F845C5">
            <w:pPr>
              <w:pStyle w:val="SingleTxtG"/>
              <w:spacing w:before="80" w:after="80" w:line="200" w:lineRule="exact"/>
              <w:ind w:left="0" w:right="28"/>
              <w:jc w:val="left"/>
              <w:rPr>
                <w:i/>
                <w:sz w:val="16"/>
              </w:rPr>
            </w:pPr>
          </w:p>
        </w:tc>
        <w:tc>
          <w:tcPr>
            <w:tcW w:w="951" w:type="dxa"/>
            <w:tcBorders>
              <w:top w:val="single" w:sz="4" w:space="0" w:color="auto"/>
              <w:bottom w:val="single" w:sz="12" w:space="0" w:color="auto"/>
            </w:tcBorders>
            <w:shd w:val="clear" w:color="auto" w:fill="auto"/>
            <w:tcMar>
              <w:left w:w="72" w:type="dxa"/>
              <w:right w:w="72" w:type="dxa"/>
            </w:tcMar>
            <w:vAlign w:val="bottom"/>
          </w:tcPr>
          <w:p w14:paraId="7920066D" w14:textId="77777777" w:rsidR="009C2230" w:rsidRPr="00FE689C" w:rsidRDefault="009C2230" w:rsidP="00F845C5">
            <w:pPr>
              <w:pStyle w:val="SingleTxtG"/>
              <w:spacing w:before="80" w:after="80" w:line="200" w:lineRule="exact"/>
              <w:ind w:left="0" w:right="28"/>
              <w:jc w:val="right"/>
              <w:rPr>
                <w:i/>
                <w:sz w:val="16"/>
              </w:rPr>
            </w:pPr>
            <w:r w:rsidRPr="00FE689C">
              <w:rPr>
                <w:i/>
                <w:iCs/>
                <w:sz w:val="16"/>
              </w:rPr>
              <w:t>2013</w:t>
            </w:r>
          </w:p>
        </w:tc>
        <w:tc>
          <w:tcPr>
            <w:tcW w:w="952" w:type="dxa"/>
            <w:tcBorders>
              <w:top w:val="single" w:sz="4" w:space="0" w:color="auto"/>
              <w:bottom w:val="single" w:sz="12" w:space="0" w:color="auto"/>
            </w:tcBorders>
            <w:shd w:val="clear" w:color="auto" w:fill="auto"/>
            <w:tcMar>
              <w:left w:w="72" w:type="dxa"/>
              <w:right w:w="72" w:type="dxa"/>
            </w:tcMar>
            <w:vAlign w:val="bottom"/>
          </w:tcPr>
          <w:p w14:paraId="5CA37410" w14:textId="77777777" w:rsidR="009C2230" w:rsidRPr="00FE689C" w:rsidRDefault="009C2230" w:rsidP="00F845C5">
            <w:pPr>
              <w:pStyle w:val="SingleTxtG"/>
              <w:spacing w:before="80" w:after="80" w:line="200" w:lineRule="exact"/>
              <w:ind w:left="0" w:right="28"/>
              <w:jc w:val="right"/>
              <w:rPr>
                <w:i/>
                <w:sz w:val="16"/>
              </w:rPr>
            </w:pPr>
            <w:r w:rsidRPr="00FE689C">
              <w:rPr>
                <w:i/>
                <w:iCs/>
                <w:sz w:val="16"/>
              </w:rPr>
              <w:t>2014</w:t>
            </w:r>
          </w:p>
        </w:tc>
        <w:tc>
          <w:tcPr>
            <w:tcW w:w="952" w:type="dxa"/>
            <w:tcBorders>
              <w:top w:val="single" w:sz="4" w:space="0" w:color="auto"/>
              <w:bottom w:val="single" w:sz="12" w:space="0" w:color="auto"/>
            </w:tcBorders>
            <w:shd w:val="clear" w:color="auto" w:fill="auto"/>
            <w:tcMar>
              <w:left w:w="72" w:type="dxa"/>
              <w:right w:w="72" w:type="dxa"/>
            </w:tcMar>
            <w:vAlign w:val="bottom"/>
          </w:tcPr>
          <w:p w14:paraId="05A87C62" w14:textId="77777777" w:rsidR="009C2230" w:rsidRPr="00FE689C" w:rsidRDefault="009C2230" w:rsidP="00F845C5">
            <w:pPr>
              <w:pStyle w:val="SingleTxtG"/>
              <w:spacing w:before="80" w:after="80" w:line="200" w:lineRule="exact"/>
              <w:ind w:left="0" w:right="28"/>
              <w:jc w:val="right"/>
              <w:rPr>
                <w:i/>
                <w:sz w:val="16"/>
              </w:rPr>
            </w:pPr>
            <w:r w:rsidRPr="00FE689C">
              <w:rPr>
                <w:i/>
                <w:iCs/>
                <w:sz w:val="16"/>
              </w:rPr>
              <w:t>2015</w:t>
            </w:r>
          </w:p>
        </w:tc>
        <w:tc>
          <w:tcPr>
            <w:tcW w:w="952" w:type="dxa"/>
            <w:tcBorders>
              <w:top w:val="single" w:sz="4" w:space="0" w:color="auto"/>
              <w:bottom w:val="single" w:sz="12" w:space="0" w:color="auto"/>
            </w:tcBorders>
            <w:shd w:val="clear" w:color="auto" w:fill="auto"/>
            <w:tcMar>
              <w:left w:w="72" w:type="dxa"/>
              <w:right w:w="72" w:type="dxa"/>
            </w:tcMar>
            <w:vAlign w:val="bottom"/>
          </w:tcPr>
          <w:p w14:paraId="2BB864AA" w14:textId="77777777" w:rsidR="009C2230" w:rsidRPr="00FE689C" w:rsidRDefault="009C2230" w:rsidP="00F845C5">
            <w:pPr>
              <w:pStyle w:val="SingleTxtG"/>
              <w:spacing w:before="80" w:after="80" w:line="200" w:lineRule="exact"/>
              <w:ind w:left="0" w:right="28"/>
              <w:jc w:val="right"/>
              <w:rPr>
                <w:i/>
                <w:sz w:val="16"/>
              </w:rPr>
            </w:pPr>
            <w:r w:rsidRPr="00FE689C">
              <w:rPr>
                <w:rFonts w:hint="eastAsia"/>
                <w:i/>
                <w:iCs/>
                <w:sz w:val="16"/>
              </w:rPr>
              <w:t>2016</w:t>
            </w:r>
          </w:p>
        </w:tc>
        <w:tc>
          <w:tcPr>
            <w:tcW w:w="1260" w:type="dxa"/>
            <w:tcBorders>
              <w:top w:val="single" w:sz="4" w:space="0" w:color="auto"/>
              <w:bottom w:val="single" w:sz="12" w:space="0" w:color="auto"/>
            </w:tcBorders>
            <w:shd w:val="clear" w:color="auto" w:fill="auto"/>
            <w:tcMar>
              <w:left w:w="72" w:type="dxa"/>
              <w:right w:w="72" w:type="dxa"/>
            </w:tcMar>
            <w:vAlign w:val="bottom"/>
          </w:tcPr>
          <w:p w14:paraId="5BFA95EA" w14:textId="77777777" w:rsidR="009C2230" w:rsidRPr="00FE689C" w:rsidRDefault="009C2230" w:rsidP="00F845C5">
            <w:pPr>
              <w:pStyle w:val="SingleTxtG"/>
              <w:spacing w:before="80" w:after="80" w:line="200" w:lineRule="exact"/>
              <w:ind w:left="0" w:right="28"/>
              <w:jc w:val="right"/>
              <w:rPr>
                <w:i/>
                <w:sz w:val="16"/>
              </w:rPr>
            </w:pPr>
            <w:r w:rsidRPr="00FE689C">
              <w:rPr>
                <w:rFonts w:hint="eastAsia"/>
                <w:i/>
                <w:iCs/>
                <w:sz w:val="16"/>
              </w:rPr>
              <w:t>2017</w:t>
            </w:r>
            <w:r w:rsidRPr="00FE689C">
              <w:rPr>
                <w:rFonts w:hint="eastAsia"/>
                <w:i/>
                <w:iCs/>
                <w:sz w:val="16"/>
              </w:rPr>
              <w:br/>
              <w:t>(январь</w:t>
            </w:r>
            <w:r w:rsidR="00E735CF">
              <w:rPr>
                <w:rFonts w:hint="eastAsia"/>
                <w:i/>
                <w:iCs/>
                <w:sz w:val="16"/>
                <w:lang w:val="en-US"/>
              </w:rPr>
              <w:t>–</w:t>
            </w:r>
            <w:r w:rsidRPr="00FE689C">
              <w:rPr>
                <w:rFonts w:hint="eastAsia"/>
                <w:i/>
                <w:iCs/>
                <w:sz w:val="16"/>
              </w:rPr>
              <w:t>июль)</w:t>
            </w:r>
          </w:p>
        </w:tc>
      </w:tr>
      <w:tr w:rsidR="009C2230" w14:paraId="53B7822F" w14:textId="77777777" w:rsidTr="00F845C5">
        <w:tc>
          <w:tcPr>
            <w:tcW w:w="308" w:type="dxa"/>
            <w:tcBorders>
              <w:top w:val="single" w:sz="12" w:space="0" w:color="auto"/>
            </w:tcBorders>
            <w:shd w:val="clear" w:color="auto" w:fill="auto"/>
            <w:tcMar>
              <w:left w:w="29" w:type="dxa"/>
              <w:right w:w="72" w:type="dxa"/>
            </w:tcMar>
          </w:tcPr>
          <w:p w14:paraId="7A9B7ACE" w14:textId="77777777" w:rsidR="009C2230" w:rsidRPr="00FE689C" w:rsidRDefault="009C2230" w:rsidP="00F845C5">
            <w:pPr>
              <w:pStyle w:val="SingleTxtG"/>
              <w:spacing w:before="60" w:after="60" w:line="220" w:lineRule="exact"/>
              <w:ind w:left="0" w:right="28"/>
              <w:jc w:val="left"/>
              <w:rPr>
                <w:sz w:val="18"/>
              </w:rPr>
            </w:pPr>
            <w:r w:rsidRPr="00FE689C">
              <w:rPr>
                <w:sz w:val="18"/>
              </w:rPr>
              <w:t>1)</w:t>
            </w:r>
          </w:p>
        </w:tc>
        <w:tc>
          <w:tcPr>
            <w:tcW w:w="2002" w:type="dxa"/>
            <w:tcBorders>
              <w:top w:val="single" w:sz="12" w:space="0" w:color="auto"/>
            </w:tcBorders>
            <w:shd w:val="clear" w:color="auto" w:fill="auto"/>
            <w:tcMar>
              <w:left w:w="0" w:type="dxa"/>
              <w:right w:w="43" w:type="dxa"/>
            </w:tcMar>
            <w:vAlign w:val="bottom"/>
          </w:tcPr>
          <w:p w14:paraId="39C319BC" w14:textId="77777777" w:rsidR="009C2230" w:rsidRPr="003028E3" w:rsidRDefault="009C2230" w:rsidP="00F845C5">
            <w:pPr>
              <w:pStyle w:val="SingleTxtG"/>
              <w:spacing w:before="60" w:after="60" w:line="220" w:lineRule="exact"/>
              <w:ind w:left="0" w:right="28"/>
              <w:jc w:val="left"/>
              <w:rPr>
                <w:sz w:val="18"/>
              </w:rPr>
            </w:pPr>
            <w:r w:rsidRPr="00FE689C">
              <w:rPr>
                <w:sz w:val="18"/>
              </w:rPr>
              <w:t>Число заявлений</w:t>
            </w:r>
            <w:r w:rsidR="00F845C5">
              <w:rPr>
                <w:sz w:val="18"/>
              </w:rPr>
              <w:br/>
            </w:r>
            <w:r w:rsidRPr="00FE689C">
              <w:rPr>
                <w:sz w:val="18"/>
              </w:rPr>
              <w:t>о предоставлении юридической помощи</w:t>
            </w:r>
          </w:p>
        </w:tc>
        <w:tc>
          <w:tcPr>
            <w:tcW w:w="951" w:type="dxa"/>
            <w:tcBorders>
              <w:top w:val="single" w:sz="12" w:space="0" w:color="auto"/>
            </w:tcBorders>
            <w:shd w:val="clear" w:color="auto" w:fill="auto"/>
            <w:tcMar>
              <w:left w:w="72" w:type="dxa"/>
              <w:right w:w="72" w:type="dxa"/>
            </w:tcMar>
            <w:vAlign w:val="bottom"/>
          </w:tcPr>
          <w:p w14:paraId="0CBF2687" w14:textId="77777777" w:rsidR="009C2230" w:rsidRPr="00FE689C" w:rsidRDefault="009C2230" w:rsidP="00F845C5">
            <w:pPr>
              <w:pStyle w:val="SingleTxtG"/>
              <w:spacing w:before="60" w:after="60" w:line="220" w:lineRule="exact"/>
              <w:ind w:left="0" w:right="28"/>
              <w:jc w:val="right"/>
              <w:rPr>
                <w:sz w:val="18"/>
              </w:rPr>
            </w:pPr>
            <w:r w:rsidRPr="00FE689C">
              <w:rPr>
                <w:sz w:val="18"/>
              </w:rPr>
              <w:t>3 797</w:t>
            </w:r>
          </w:p>
        </w:tc>
        <w:tc>
          <w:tcPr>
            <w:tcW w:w="952" w:type="dxa"/>
            <w:tcBorders>
              <w:top w:val="single" w:sz="12" w:space="0" w:color="auto"/>
            </w:tcBorders>
            <w:shd w:val="clear" w:color="auto" w:fill="auto"/>
            <w:tcMar>
              <w:left w:w="72" w:type="dxa"/>
              <w:right w:w="72" w:type="dxa"/>
            </w:tcMar>
            <w:vAlign w:val="bottom"/>
          </w:tcPr>
          <w:p w14:paraId="1C35CBBB" w14:textId="77777777" w:rsidR="009C2230" w:rsidRPr="00FE689C" w:rsidRDefault="009C2230" w:rsidP="00F845C5">
            <w:pPr>
              <w:pStyle w:val="SingleTxtG"/>
              <w:spacing w:before="60" w:after="60" w:line="220" w:lineRule="exact"/>
              <w:ind w:left="0" w:right="28"/>
              <w:jc w:val="right"/>
              <w:rPr>
                <w:sz w:val="18"/>
              </w:rPr>
            </w:pPr>
            <w:r w:rsidRPr="00FE689C">
              <w:rPr>
                <w:sz w:val="18"/>
              </w:rPr>
              <w:t>3 717</w:t>
            </w:r>
          </w:p>
        </w:tc>
        <w:tc>
          <w:tcPr>
            <w:tcW w:w="952" w:type="dxa"/>
            <w:tcBorders>
              <w:top w:val="single" w:sz="12" w:space="0" w:color="auto"/>
            </w:tcBorders>
            <w:shd w:val="clear" w:color="auto" w:fill="auto"/>
            <w:tcMar>
              <w:left w:w="72" w:type="dxa"/>
              <w:right w:w="72" w:type="dxa"/>
            </w:tcMar>
            <w:vAlign w:val="bottom"/>
          </w:tcPr>
          <w:p w14:paraId="56D591BC"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3 630</w:t>
            </w:r>
          </w:p>
        </w:tc>
        <w:tc>
          <w:tcPr>
            <w:tcW w:w="952" w:type="dxa"/>
            <w:tcBorders>
              <w:top w:val="single" w:sz="12" w:space="0" w:color="auto"/>
            </w:tcBorders>
            <w:shd w:val="clear" w:color="auto" w:fill="auto"/>
            <w:tcMar>
              <w:left w:w="72" w:type="dxa"/>
              <w:right w:w="72" w:type="dxa"/>
            </w:tcMar>
            <w:vAlign w:val="bottom"/>
          </w:tcPr>
          <w:p w14:paraId="5A44BA1A"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3 567</w:t>
            </w:r>
          </w:p>
        </w:tc>
        <w:tc>
          <w:tcPr>
            <w:tcW w:w="1260" w:type="dxa"/>
            <w:tcBorders>
              <w:top w:val="single" w:sz="12" w:space="0" w:color="auto"/>
            </w:tcBorders>
            <w:shd w:val="clear" w:color="auto" w:fill="auto"/>
            <w:tcMar>
              <w:left w:w="72" w:type="dxa"/>
              <w:right w:w="72" w:type="dxa"/>
            </w:tcMar>
            <w:vAlign w:val="bottom"/>
          </w:tcPr>
          <w:p w14:paraId="19A46B5D"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2 108</w:t>
            </w:r>
          </w:p>
        </w:tc>
      </w:tr>
      <w:tr w:rsidR="009C2230" w14:paraId="2690BCA8" w14:textId="77777777" w:rsidTr="00F845C5">
        <w:tc>
          <w:tcPr>
            <w:tcW w:w="308" w:type="dxa"/>
            <w:shd w:val="clear" w:color="auto" w:fill="auto"/>
            <w:tcMar>
              <w:left w:w="29" w:type="dxa"/>
              <w:right w:w="72" w:type="dxa"/>
            </w:tcMar>
          </w:tcPr>
          <w:p w14:paraId="420A3624" w14:textId="77777777" w:rsidR="009C2230" w:rsidRPr="00FE689C" w:rsidRDefault="009C2230" w:rsidP="00F845C5">
            <w:pPr>
              <w:pStyle w:val="SingleTxtG"/>
              <w:spacing w:before="60" w:after="60" w:line="220" w:lineRule="exact"/>
              <w:ind w:left="0" w:right="28"/>
              <w:jc w:val="left"/>
              <w:rPr>
                <w:sz w:val="18"/>
              </w:rPr>
            </w:pPr>
            <w:r w:rsidRPr="00FE689C">
              <w:rPr>
                <w:sz w:val="18"/>
              </w:rPr>
              <w:t>2)</w:t>
            </w:r>
          </w:p>
        </w:tc>
        <w:tc>
          <w:tcPr>
            <w:tcW w:w="2002" w:type="dxa"/>
            <w:shd w:val="clear" w:color="auto" w:fill="auto"/>
            <w:tcMar>
              <w:left w:w="0" w:type="dxa"/>
              <w:right w:w="43" w:type="dxa"/>
            </w:tcMar>
            <w:vAlign w:val="bottom"/>
          </w:tcPr>
          <w:p w14:paraId="1CCBE097" w14:textId="77777777" w:rsidR="009C2230" w:rsidRPr="003028E3" w:rsidRDefault="009C2230" w:rsidP="00F845C5">
            <w:pPr>
              <w:pStyle w:val="SingleTxtG"/>
              <w:spacing w:before="60" w:after="60" w:line="220" w:lineRule="exact"/>
              <w:ind w:left="0" w:right="28"/>
              <w:jc w:val="left"/>
              <w:rPr>
                <w:sz w:val="18"/>
              </w:rPr>
            </w:pPr>
            <w:r w:rsidRPr="00FE689C">
              <w:rPr>
                <w:sz w:val="18"/>
              </w:rPr>
              <w:t>Число мотивированных отказов в удовлетворении заявлений</w:t>
            </w:r>
          </w:p>
        </w:tc>
        <w:tc>
          <w:tcPr>
            <w:tcW w:w="951" w:type="dxa"/>
            <w:shd w:val="clear" w:color="auto" w:fill="auto"/>
            <w:tcMar>
              <w:left w:w="72" w:type="dxa"/>
              <w:right w:w="72" w:type="dxa"/>
            </w:tcMar>
            <w:vAlign w:val="bottom"/>
          </w:tcPr>
          <w:p w14:paraId="5473CEB4" w14:textId="77777777" w:rsidR="009C2230" w:rsidRPr="00FE689C" w:rsidRDefault="009C2230" w:rsidP="00F845C5">
            <w:pPr>
              <w:pStyle w:val="SingleTxtG"/>
              <w:spacing w:before="60" w:after="60" w:line="220" w:lineRule="exact"/>
              <w:ind w:left="0" w:right="28"/>
              <w:jc w:val="right"/>
              <w:rPr>
                <w:sz w:val="18"/>
              </w:rPr>
            </w:pPr>
            <w:r w:rsidRPr="00FE689C">
              <w:rPr>
                <w:sz w:val="18"/>
              </w:rPr>
              <w:t>889</w:t>
            </w:r>
          </w:p>
        </w:tc>
        <w:tc>
          <w:tcPr>
            <w:tcW w:w="952" w:type="dxa"/>
            <w:shd w:val="clear" w:color="auto" w:fill="auto"/>
            <w:tcMar>
              <w:left w:w="72" w:type="dxa"/>
              <w:right w:w="72" w:type="dxa"/>
            </w:tcMar>
            <w:vAlign w:val="bottom"/>
          </w:tcPr>
          <w:p w14:paraId="79CDC506" w14:textId="77777777" w:rsidR="009C2230" w:rsidRPr="00FE689C" w:rsidRDefault="009C2230" w:rsidP="00F845C5">
            <w:pPr>
              <w:pStyle w:val="SingleTxtG"/>
              <w:spacing w:before="60" w:after="60" w:line="220" w:lineRule="exact"/>
              <w:ind w:left="0" w:right="28"/>
              <w:jc w:val="right"/>
              <w:rPr>
                <w:sz w:val="18"/>
              </w:rPr>
            </w:pPr>
            <w:r w:rsidRPr="00FE689C">
              <w:rPr>
                <w:sz w:val="18"/>
              </w:rPr>
              <w:t>823</w:t>
            </w:r>
          </w:p>
        </w:tc>
        <w:tc>
          <w:tcPr>
            <w:tcW w:w="952" w:type="dxa"/>
            <w:shd w:val="clear" w:color="auto" w:fill="auto"/>
            <w:tcMar>
              <w:left w:w="72" w:type="dxa"/>
              <w:right w:w="72" w:type="dxa"/>
            </w:tcMar>
            <w:vAlign w:val="bottom"/>
          </w:tcPr>
          <w:p w14:paraId="660C7E20"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921</w:t>
            </w:r>
          </w:p>
        </w:tc>
        <w:tc>
          <w:tcPr>
            <w:tcW w:w="952" w:type="dxa"/>
            <w:shd w:val="clear" w:color="auto" w:fill="auto"/>
            <w:tcMar>
              <w:left w:w="72" w:type="dxa"/>
              <w:right w:w="72" w:type="dxa"/>
            </w:tcMar>
            <w:vAlign w:val="bottom"/>
          </w:tcPr>
          <w:p w14:paraId="084F70B6"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817</w:t>
            </w:r>
          </w:p>
        </w:tc>
        <w:tc>
          <w:tcPr>
            <w:tcW w:w="1260" w:type="dxa"/>
            <w:shd w:val="clear" w:color="auto" w:fill="auto"/>
            <w:tcMar>
              <w:left w:w="72" w:type="dxa"/>
              <w:right w:w="72" w:type="dxa"/>
            </w:tcMar>
            <w:vAlign w:val="bottom"/>
          </w:tcPr>
          <w:p w14:paraId="6AA3BCD9"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489</w:t>
            </w:r>
          </w:p>
        </w:tc>
      </w:tr>
      <w:tr w:rsidR="009C2230" w14:paraId="4336FA47" w14:textId="77777777" w:rsidTr="00F845C5">
        <w:tc>
          <w:tcPr>
            <w:tcW w:w="308" w:type="dxa"/>
            <w:shd w:val="clear" w:color="auto" w:fill="auto"/>
            <w:tcMar>
              <w:left w:w="29" w:type="dxa"/>
              <w:right w:w="72" w:type="dxa"/>
            </w:tcMar>
          </w:tcPr>
          <w:p w14:paraId="19A23B1F" w14:textId="77777777" w:rsidR="009C2230" w:rsidRPr="00FE689C" w:rsidRDefault="009C2230" w:rsidP="00F845C5">
            <w:pPr>
              <w:pStyle w:val="SingleTxtG"/>
              <w:spacing w:before="60" w:after="60" w:line="220" w:lineRule="exact"/>
              <w:ind w:left="0" w:right="28"/>
              <w:jc w:val="left"/>
              <w:rPr>
                <w:sz w:val="18"/>
              </w:rPr>
            </w:pPr>
            <w:r w:rsidRPr="00FE689C">
              <w:rPr>
                <w:sz w:val="18"/>
              </w:rPr>
              <w:t>3)</w:t>
            </w:r>
          </w:p>
        </w:tc>
        <w:tc>
          <w:tcPr>
            <w:tcW w:w="2002" w:type="dxa"/>
            <w:shd w:val="clear" w:color="auto" w:fill="auto"/>
            <w:tcMar>
              <w:left w:w="0" w:type="dxa"/>
              <w:right w:w="43" w:type="dxa"/>
            </w:tcMar>
            <w:vAlign w:val="bottom"/>
          </w:tcPr>
          <w:p w14:paraId="7FC2CFAD" w14:textId="77777777" w:rsidR="009C2230" w:rsidRPr="003028E3" w:rsidRDefault="009C2230" w:rsidP="00F845C5">
            <w:pPr>
              <w:pStyle w:val="SingleTxtG"/>
              <w:spacing w:before="60" w:after="60" w:line="220" w:lineRule="exact"/>
              <w:ind w:left="0" w:right="28"/>
              <w:jc w:val="left"/>
              <w:rPr>
                <w:sz w:val="18"/>
              </w:rPr>
            </w:pPr>
            <w:r w:rsidRPr="00FE689C">
              <w:rPr>
                <w:sz w:val="18"/>
              </w:rPr>
              <w:t>Число удовлетворенных заявлений</w:t>
            </w:r>
            <w:r w:rsidR="00F845C5">
              <w:rPr>
                <w:sz w:val="18"/>
              </w:rPr>
              <w:br/>
            </w:r>
            <w:r w:rsidRPr="00FE689C">
              <w:rPr>
                <w:sz w:val="18"/>
              </w:rPr>
              <w:t>о предоставлении юридической помощи</w:t>
            </w:r>
          </w:p>
        </w:tc>
        <w:tc>
          <w:tcPr>
            <w:tcW w:w="951" w:type="dxa"/>
            <w:shd w:val="clear" w:color="auto" w:fill="auto"/>
            <w:tcMar>
              <w:left w:w="72" w:type="dxa"/>
              <w:right w:w="72" w:type="dxa"/>
            </w:tcMar>
            <w:vAlign w:val="bottom"/>
          </w:tcPr>
          <w:p w14:paraId="6FA6219F" w14:textId="77777777" w:rsidR="009C2230" w:rsidRPr="00FE689C" w:rsidRDefault="009C2230" w:rsidP="00F845C5">
            <w:pPr>
              <w:pStyle w:val="SingleTxtG"/>
              <w:spacing w:before="60" w:after="60" w:line="220" w:lineRule="exact"/>
              <w:ind w:left="0" w:right="28"/>
              <w:jc w:val="right"/>
              <w:rPr>
                <w:sz w:val="18"/>
              </w:rPr>
            </w:pPr>
            <w:r w:rsidRPr="00FE689C">
              <w:rPr>
                <w:sz w:val="18"/>
              </w:rPr>
              <w:t>2 785</w:t>
            </w:r>
          </w:p>
        </w:tc>
        <w:tc>
          <w:tcPr>
            <w:tcW w:w="952" w:type="dxa"/>
            <w:shd w:val="clear" w:color="auto" w:fill="auto"/>
            <w:tcMar>
              <w:left w:w="72" w:type="dxa"/>
              <w:right w:w="72" w:type="dxa"/>
            </w:tcMar>
            <w:vAlign w:val="bottom"/>
          </w:tcPr>
          <w:p w14:paraId="5364C1AE" w14:textId="77777777" w:rsidR="009C2230" w:rsidRPr="00FE689C" w:rsidRDefault="009C2230" w:rsidP="00F845C5">
            <w:pPr>
              <w:pStyle w:val="SingleTxtG"/>
              <w:spacing w:before="60" w:after="60" w:line="220" w:lineRule="exact"/>
              <w:ind w:left="0" w:right="28"/>
              <w:jc w:val="right"/>
              <w:rPr>
                <w:sz w:val="18"/>
              </w:rPr>
            </w:pPr>
            <w:r w:rsidRPr="00FE689C">
              <w:rPr>
                <w:sz w:val="18"/>
              </w:rPr>
              <w:t>2 690</w:t>
            </w:r>
          </w:p>
        </w:tc>
        <w:tc>
          <w:tcPr>
            <w:tcW w:w="952" w:type="dxa"/>
            <w:shd w:val="clear" w:color="auto" w:fill="auto"/>
            <w:tcMar>
              <w:left w:w="72" w:type="dxa"/>
              <w:right w:w="72" w:type="dxa"/>
            </w:tcMar>
            <w:vAlign w:val="bottom"/>
          </w:tcPr>
          <w:p w14:paraId="5B66FFDC"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2 521</w:t>
            </w:r>
          </w:p>
        </w:tc>
        <w:tc>
          <w:tcPr>
            <w:tcW w:w="952" w:type="dxa"/>
            <w:shd w:val="clear" w:color="auto" w:fill="auto"/>
            <w:tcMar>
              <w:left w:w="72" w:type="dxa"/>
              <w:right w:w="72" w:type="dxa"/>
            </w:tcMar>
            <w:vAlign w:val="bottom"/>
          </w:tcPr>
          <w:p w14:paraId="197277FC"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2 641</w:t>
            </w:r>
          </w:p>
        </w:tc>
        <w:tc>
          <w:tcPr>
            <w:tcW w:w="1260" w:type="dxa"/>
            <w:shd w:val="clear" w:color="auto" w:fill="auto"/>
            <w:tcMar>
              <w:left w:w="72" w:type="dxa"/>
              <w:right w:w="72" w:type="dxa"/>
            </w:tcMar>
            <w:vAlign w:val="bottom"/>
          </w:tcPr>
          <w:p w14:paraId="5771C8F3"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1 469</w:t>
            </w:r>
          </w:p>
        </w:tc>
      </w:tr>
      <w:tr w:rsidR="009C2230" w14:paraId="7E461762" w14:textId="77777777" w:rsidTr="00F845C5">
        <w:tc>
          <w:tcPr>
            <w:tcW w:w="308" w:type="dxa"/>
            <w:shd w:val="clear" w:color="auto" w:fill="auto"/>
            <w:tcMar>
              <w:left w:w="29" w:type="dxa"/>
              <w:right w:w="72" w:type="dxa"/>
            </w:tcMar>
          </w:tcPr>
          <w:p w14:paraId="2F2C5421" w14:textId="77777777" w:rsidR="009C2230" w:rsidRPr="00FE689C" w:rsidRDefault="009C2230" w:rsidP="00F845C5">
            <w:pPr>
              <w:pStyle w:val="SingleTxtG"/>
              <w:spacing w:before="60" w:after="60" w:line="220" w:lineRule="exact"/>
              <w:ind w:left="0" w:right="28"/>
              <w:jc w:val="left"/>
              <w:rPr>
                <w:sz w:val="18"/>
              </w:rPr>
            </w:pPr>
            <w:r w:rsidRPr="00FE689C">
              <w:rPr>
                <w:sz w:val="18"/>
              </w:rPr>
              <w:t>4)</w:t>
            </w:r>
          </w:p>
        </w:tc>
        <w:tc>
          <w:tcPr>
            <w:tcW w:w="2002" w:type="dxa"/>
            <w:shd w:val="clear" w:color="auto" w:fill="auto"/>
            <w:tcMar>
              <w:left w:w="0" w:type="dxa"/>
              <w:right w:w="43" w:type="dxa"/>
            </w:tcMar>
            <w:vAlign w:val="bottom"/>
          </w:tcPr>
          <w:p w14:paraId="52A443C3" w14:textId="77777777" w:rsidR="009C2230" w:rsidRPr="003028E3" w:rsidRDefault="009C2230" w:rsidP="00F845C5">
            <w:pPr>
              <w:pStyle w:val="SingleTxtG"/>
              <w:spacing w:before="60" w:after="60" w:line="220" w:lineRule="exact"/>
              <w:ind w:left="0" w:right="28"/>
              <w:jc w:val="left"/>
              <w:rPr>
                <w:sz w:val="18"/>
              </w:rPr>
            </w:pPr>
            <w:r w:rsidRPr="00FE689C">
              <w:rPr>
                <w:sz w:val="18"/>
              </w:rPr>
              <w:t>В том числе число заявителей, получивших бесплатную юридическую помощь</w:t>
            </w:r>
          </w:p>
        </w:tc>
        <w:tc>
          <w:tcPr>
            <w:tcW w:w="951" w:type="dxa"/>
            <w:shd w:val="clear" w:color="auto" w:fill="auto"/>
            <w:tcMar>
              <w:left w:w="72" w:type="dxa"/>
              <w:right w:w="72" w:type="dxa"/>
            </w:tcMar>
            <w:vAlign w:val="bottom"/>
          </w:tcPr>
          <w:p w14:paraId="02C87E83" w14:textId="77777777" w:rsidR="009C2230" w:rsidRPr="00FE689C" w:rsidRDefault="009C2230" w:rsidP="00F845C5">
            <w:pPr>
              <w:pStyle w:val="SingleTxtG"/>
              <w:spacing w:before="60" w:after="60" w:line="220" w:lineRule="exact"/>
              <w:ind w:left="0" w:right="28"/>
              <w:jc w:val="right"/>
              <w:rPr>
                <w:sz w:val="18"/>
              </w:rPr>
            </w:pPr>
            <w:r w:rsidRPr="00FE689C">
              <w:rPr>
                <w:sz w:val="18"/>
              </w:rPr>
              <w:t>2 515</w:t>
            </w:r>
          </w:p>
        </w:tc>
        <w:tc>
          <w:tcPr>
            <w:tcW w:w="952" w:type="dxa"/>
            <w:shd w:val="clear" w:color="auto" w:fill="auto"/>
            <w:tcMar>
              <w:left w:w="72" w:type="dxa"/>
              <w:right w:w="72" w:type="dxa"/>
            </w:tcMar>
            <w:vAlign w:val="bottom"/>
          </w:tcPr>
          <w:p w14:paraId="60AA25EE" w14:textId="77777777" w:rsidR="009C2230" w:rsidRPr="00FE689C" w:rsidRDefault="009C2230" w:rsidP="00F845C5">
            <w:pPr>
              <w:pStyle w:val="SingleTxtG"/>
              <w:spacing w:before="60" w:after="60" w:line="220" w:lineRule="exact"/>
              <w:ind w:left="0" w:right="28"/>
              <w:jc w:val="right"/>
              <w:rPr>
                <w:sz w:val="18"/>
              </w:rPr>
            </w:pPr>
            <w:r w:rsidRPr="00FE689C">
              <w:rPr>
                <w:sz w:val="18"/>
              </w:rPr>
              <w:t>2 485</w:t>
            </w:r>
          </w:p>
        </w:tc>
        <w:tc>
          <w:tcPr>
            <w:tcW w:w="952" w:type="dxa"/>
            <w:shd w:val="clear" w:color="auto" w:fill="auto"/>
            <w:tcMar>
              <w:left w:w="72" w:type="dxa"/>
              <w:right w:w="72" w:type="dxa"/>
            </w:tcMar>
            <w:vAlign w:val="bottom"/>
          </w:tcPr>
          <w:p w14:paraId="7A7DFA18"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2 335</w:t>
            </w:r>
          </w:p>
        </w:tc>
        <w:tc>
          <w:tcPr>
            <w:tcW w:w="952" w:type="dxa"/>
            <w:shd w:val="clear" w:color="auto" w:fill="auto"/>
            <w:tcMar>
              <w:left w:w="72" w:type="dxa"/>
              <w:right w:w="72" w:type="dxa"/>
            </w:tcMar>
            <w:vAlign w:val="bottom"/>
          </w:tcPr>
          <w:p w14:paraId="4DF06B5F"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2 396</w:t>
            </w:r>
          </w:p>
        </w:tc>
        <w:tc>
          <w:tcPr>
            <w:tcW w:w="1260" w:type="dxa"/>
            <w:shd w:val="clear" w:color="auto" w:fill="auto"/>
            <w:tcMar>
              <w:left w:w="72" w:type="dxa"/>
              <w:right w:w="72" w:type="dxa"/>
            </w:tcMar>
            <w:vAlign w:val="bottom"/>
          </w:tcPr>
          <w:p w14:paraId="1B53F0B5"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1 311</w:t>
            </w:r>
          </w:p>
        </w:tc>
      </w:tr>
      <w:tr w:rsidR="009C2230" w14:paraId="4404AC3F" w14:textId="77777777" w:rsidTr="00F845C5">
        <w:tc>
          <w:tcPr>
            <w:tcW w:w="308" w:type="dxa"/>
            <w:shd w:val="clear" w:color="auto" w:fill="auto"/>
            <w:tcMar>
              <w:left w:w="29" w:type="dxa"/>
              <w:right w:w="72" w:type="dxa"/>
            </w:tcMar>
          </w:tcPr>
          <w:p w14:paraId="61FBFD51" w14:textId="77777777" w:rsidR="009C2230" w:rsidRPr="00FE689C" w:rsidRDefault="009C2230" w:rsidP="00F845C5">
            <w:pPr>
              <w:pStyle w:val="SingleTxtG"/>
              <w:spacing w:before="60" w:after="60" w:line="220" w:lineRule="exact"/>
              <w:ind w:left="0" w:right="28"/>
              <w:jc w:val="left"/>
              <w:rPr>
                <w:sz w:val="18"/>
              </w:rPr>
            </w:pPr>
          </w:p>
        </w:tc>
        <w:tc>
          <w:tcPr>
            <w:tcW w:w="2002" w:type="dxa"/>
            <w:shd w:val="clear" w:color="auto" w:fill="auto"/>
            <w:tcMar>
              <w:left w:w="0" w:type="dxa"/>
              <w:right w:w="43" w:type="dxa"/>
            </w:tcMar>
            <w:vAlign w:val="bottom"/>
          </w:tcPr>
          <w:p w14:paraId="1B31E9DD" w14:textId="77777777" w:rsidR="009C2230" w:rsidRPr="00FE689C" w:rsidRDefault="009C2230" w:rsidP="00F845C5">
            <w:pPr>
              <w:pStyle w:val="SingleTxtG"/>
              <w:spacing w:before="60" w:after="60" w:line="220" w:lineRule="exact"/>
              <w:ind w:left="0" w:right="28"/>
              <w:jc w:val="left"/>
              <w:rPr>
                <w:sz w:val="18"/>
              </w:rPr>
            </w:pPr>
            <w:r w:rsidRPr="00FE689C">
              <w:rPr>
                <w:sz w:val="18"/>
              </w:rPr>
              <w:t>((4) в % от (3))</w:t>
            </w:r>
          </w:p>
        </w:tc>
        <w:tc>
          <w:tcPr>
            <w:tcW w:w="951" w:type="dxa"/>
            <w:shd w:val="clear" w:color="auto" w:fill="auto"/>
            <w:tcMar>
              <w:left w:w="72" w:type="dxa"/>
              <w:right w:w="72" w:type="dxa"/>
            </w:tcMar>
            <w:vAlign w:val="bottom"/>
          </w:tcPr>
          <w:p w14:paraId="64E58A2A" w14:textId="77777777" w:rsidR="009C2230" w:rsidRPr="00FE689C" w:rsidRDefault="009C2230" w:rsidP="00F845C5">
            <w:pPr>
              <w:pStyle w:val="SingleTxtG"/>
              <w:spacing w:before="60" w:after="60" w:line="220" w:lineRule="exact"/>
              <w:ind w:left="0" w:right="28"/>
              <w:jc w:val="right"/>
              <w:rPr>
                <w:sz w:val="18"/>
              </w:rPr>
            </w:pPr>
            <w:r w:rsidRPr="00FE689C">
              <w:rPr>
                <w:sz w:val="18"/>
              </w:rPr>
              <w:t>(90,31%)</w:t>
            </w:r>
          </w:p>
        </w:tc>
        <w:tc>
          <w:tcPr>
            <w:tcW w:w="952" w:type="dxa"/>
            <w:shd w:val="clear" w:color="auto" w:fill="auto"/>
            <w:tcMar>
              <w:left w:w="72" w:type="dxa"/>
              <w:right w:w="72" w:type="dxa"/>
            </w:tcMar>
            <w:vAlign w:val="bottom"/>
          </w:tcPr>
          <w:p w14:paraId="54F26704" w14:textId="77777777" w:rsidR="009C2230" w:rsidRPr="00FE689C" w:rsidRDefault="009C2230" w:rsidP="00F845C5">
            <w:pPr>
              <w:pStyle w:val="SingleTxtG"/>
              <w:spacing w:before="60" w:after="60" w:line="220" w:lineRule="exact"/>
              <w:ind w:left="0" w:right="28"/>
              <w:jc w:val="right"/>
              <w:rPr>
                <w:sz w:val="18"/>
              </w:rPr>
            </w:pPr>
            <w:r w:rsidRPr="00FE689C">
              <w:rPr>
                <w:sz w:val="18"/>
              </w:rPr>
              <w:t xml:space="preserve">(92,38%) </w:t>
            </w:r>
          </w:p>
        </w:tc>
        <w:tc>
          <w:tcPr>
            <w:tcW w:w="952" w:type="dxa"/>
            <w:shd w:val="clear" w:color="auto" w:fill="auto"/>
            <w:tcMar>
              <w:left w:w="72" w:type="dxa"/>
              <w:right w:w="72" w:type="dxa"/>
            </w:tcMar>
            <w:vAlign w:val="bottom"/>
          </w:tcPr>
          <w:p w14:paraId="7266E4A9"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(92,62%)</w:t>
            </w:r>
          </w:p>
        </w:tc>
        <w:tc>
          <w:tcPr>
            <w:tcW w:w="952" w:type="dxa"/>
            <w:shd w:val="clear" w:color="auto" w:fill="auto"/>
            <w:tcMar>
              <w:left w:w="72" w:type="dxa"/>
              <w:right w:w="72" w:type="dxa"/>
            </w:tcMar>
            <w:vAlign w:val="bottom"/>
          </w:tcPr>
          <w:p w14:paraId="705F09EC"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(90,72%)</w:t>
            </w:r>
          </w:p>
        </w:tc>
        <w:tc>
          <w:tcPr>
            <w:tcW w:w="1260" w:type="dxa"/>
            <w:shd w:val="clear" w:color="auto" w:fill="auto"/>
            <w:tcMar>
              <w:left w:w="72" w:type="dxa"/>
              <w:right w:w="72" w:type="dxa"/>
            </w:tcMar>
            <w:vAlign w:val="bottom"/>
          </w:tcPr>
          <w:p w14:paraId="090C9D8C" w14:textId="77777777" w:rsidR="009C2230" w:rsidRPr="00FE689C" w:rsidRDefault="009C2230" w:rsidP="00F845C5">
            <w:pPr>
              <w:pStyle w:val="SingleTxtG"/>
              <w:spacing w:before="60" w:after="60" w:line="220" w:lineRule="exact"/>
              <w:ind w:left="0" w:right="28"/>
              <w:jc w:val="right"/>
              <w:rPr>
                <w:sz w:val="18"/>
              </w:rPr>
            </w:pPr>
            <w:r w:rsidRPr="00FE689C">
              <w:rPr>
                <w:rFonts w:hint="eastAsia"/>
                <w:sz w:val="18"/>
              </w:rPr>
              <w:t>(89,24%)</w:t>
            </w:r>
          </w:p>
        </w:tc>
      </w:tr>
    </w:tbl>
    <w:p w14:paraId="0250C30F" w14:textId="77777777" w:rsidR="009C2230" w:rsidRPr="007422D6" w:rsidRDefault="009C2230" w:rsidP="00F845C5">
      <w:pPr>
        <w:pStyle w:val="H23G"/>
        <w:pageBreakBefore/>
      </w:pPr>
      <w:r w:rsidRPr="007422D6">
        <w:rPr>
          <w:bCs/>
        </w:rPr>
        <w:tab/>
      </w:r>
      <w:r w:rsidRPr="007422D6">
        <w:rPr>
          <w:bCs/>
        </w:rPr>
        <w:tab/>
      </w:r>
      <w:bookmarkStart w:id="15" w:name="_Toc12351623"/>
      <w:r w:rsidRPr="007422D6">
        <w:rPr>
          <w:bCs/>
        </w:rPr>
        <w:t>Неправительственные организации</w:t>
      </w:r>
      <w:bookmarkEnd w:id="15"/>
    </w:p>
    <w:p w14:paraId="6F57C594" w14:textId="77777777" w:rsidR="009C2230" w:rsidRPr="003028E3" w:rsidRDefault="009C2230" w:rsidP="009C2230">
      <w:pPr>
        <w:pStyle w:val="SingleTxtG"/>
      </w:pPr>
      <w:r w:rsidRPr="007422D6">
        <w:t>34.</w:t>
      </w:r>
      <w:r w:rsidRPr="007422D6">
        <w:tab/>
        <w:t>Статья 27 Основного закона гарантирует жител</w:t>
      </w:r>
      <w:r w:rsidR="00E24F9D">
        <w:t>ям</w:t>
      </w:r>
      <w:r w:rsidRPr="007422D6">
        <w:t xml:space="preserve"> Гонконга свободу ассоциации, а также право и свободу создавать профсоюзы и вступать в них, а также проводить забастовки. Статья 18 Гонконгского Билля о правах (БП), которая соответствует статье 22 МПГПП, также гарантирует свободу ассоциации. В ОАРГ все организации, включая компании, общества, профсоюзы и кредитные союзы, должны быть зарегистрированы в соответствии с применимыми законами, такими как закон о компаниях (раздел 622 свода законов) или закон об объединениях (раздел 151 свода законов).</w:t>
      </w:r>
    </w:p>
    <w:p w14:paraId="1543A247" w14:textId="77777777" w:rsidR="009C2230" w:rsidRPr="003028E3" w:rsidRDefault="009C2230" w:rsidP="009C2230">
      <w:pPr>
        <w:pStyle w:val="H4G"/>
      </w:pPr>
      <w:r w:rsidRPr="007422D6">
        <w:rPr>
          <w:iCs/>
        </w:rPr>
        <w:tab/>
      </w:r>
      <w:r w:rsidRPr="007422D6">
        <w:rPr>
          <w:iCs/>
        </w:rPr>
        <w:tab/>
        <w:t>Освобождение от налогов</w:t>
      </w:r>
    </w:p>
    <w:p w14:paraId="5EB52A60" w14:textId="77777777" w:rsidR="009C2230" w:rsidRPr="003028E3" w:rsidRDefault="009C2230" w:rsidP="009C2230">
      <w:pPr>
        <w:pStyle w:val="SingleTxtG"/>
      </w:pPr>
      <w:r w:rsidRPr="007422D6">
        <w:t>35.</w:t>
      </w:r>
      <w:r w:rsidRPr="007422D6">
        <w:tab/>
        <w:t>В соответствии со статьей 88 закона о налогообложении (раздел 112 свода законов) благотворительные учреждения или фонды общественного характера освобождаются с некоторыми изъятиями от уплаты налогов. Благотворительные организации, желающие получить освобождение от уплаты налогов, могут обращаться в Налоговый департамент.</w:t>
      </w:r>
    </w:p>
    <w:p w14:paraId="672781A2" w14:textId="77777777" w:rsidR="009C2230" w:rsidRPr="003028E3" w:rsidRDefault="009C2230" w:rsidP="009C2230">
      <w:pPr>
        <w:pStyle w:val="SingleTxtG"/>
      </w:pPr>
      <w:r w:rsidRPr="007422D6">
        <w:t>36.</w:t>
      </w:r>
      <w:r w:rsidRPr="007422D6">
        <w:tab/>
        <w:t>Чтобы учреждению или фонду был присвоен статус благотворительного, они должны быть созданы исключительно для целей, относимых законодательством к числу благотворительными. Закон, определяющий правовые атрибуты благотворительности, основывается на прецедентном праве, сформировавшемся под влиянием судебных решений.</w:t>
      </w:r>
    </w:p>
    <w:p w14:paraId="71A51F1B" w14:textId="77777777" w:rsidR="009C2230" w:rsidRPr="003028E3" w:rsidRDefault="009C2230" w:rsidP="009C2230">
      <w:pPr>
        <w:pStyle w:val="SingleTxtG"/>
      </w:pPr>
      <w:r w:rsidRPr="007422D6">
        <w:t>37.</w:t>
      </w:r>
      <w:r w:rsidRPr="007422D6">
        <w:tab/>
        <w:t>В соответствии с прецедентным правом к числу благотворительных могут быть отнесены следующие цели:</w:t>
      </w:r>
    </w:p>
    <w:p w14:paraId="66A7474B" w14:textId="77777777" w:rsidR="009C2230" w:rsidRPr="003028E3" w:rsidRDefault="00F845C5" w:rsidP="009C2230">
      <w:pPr>
        <w:pStyle w:val="SingleTxtG"/>
      </w:pPr>
      <w:r>
        <w:tab/>
      </w:r>
      <w:r w:rsidR="009C2230">
        <w:tab/>
        <w:t>a)</w:t>
      </w:r>
      <w:r>
        <w:tab/>
      </w:r>
      <w:r w:rsidR="009C2230">
        <w:t>помощь нуждающимся;</w:t>
      </w:r>
    </w:p>
    <w:p w14:paraId="3A66E515" w14:textId="77777777" w:rsidR="009C2230" w:rsidRPr="003028E3" w:rsidRDefault="00F845C5" w:rsidP="009C2230">
      <w:pPr>
        <w:pStyle w:val="SingleTxtG"/>
      </w:pPr>
      <w:r>
        <w:tab/>
      </w:r>
      <w:r w:rsidR="009C2230">
        <w:tab/>
        <w:t>b)</w:t>
      </w:r>
      <w:r>
        <w:tab/>
      </w:r>
      <w:r w:rsidR="009C2230">
        <w:t>развитие образования;</w:t>
      </w:r>
    </w:p>
    <w:p w14:paraId="186F327E" w14:textId="77777777" w:rsidR="009C2230" w:rsidRPr="003028E3" w:rsidRDefault="00F845C5" w:rsidP="009C2230">
      <w:pPr>
        <w:pStyle w:val="SingleTxtG"/>
      </w:pPr>
      <w:r>
        <w:tab/>
      </w:r>
      <w:r w:rsidR="009C2230">
        <w:tab/>
        <w:t>c)</w:t>
      </w:r>
      <w:r>
        <w:tab/>
      </w:r>
      <w:r w:rsidR="009C2230">
        <w:t>религиозная проповедь; а также</w:t>
      </w:r>
    </w:p>
    <w:p w14:paraId="7CF0D9C5" w14:textId="77777777" w:rsidR="009C2230" w:rsidRPr="003028E3" w:rsidRDefault="009C2230" w:rsidP="009C2230">
      <w:pPr>
        <w:pStyle w:val="SingleTxtG"/>
      </w:pPr>
      <w:r>
        <w:tab/>
      </w:r>
      <w:r w:rsidR="00F845C5">
        <w:tab/>
      </w:r>
      <w:r>
        <w:t>d)</w:t>
      </w:r>
      <w:r w:rsidR="00F845C5">
        <w:tab/>
      </w:r>
      <w:r>
        <w:t>другие цели благотворительного характера, служащие благу общества, которые не относятся к перечисленному выше.</w:t>
      </w:r>
    </w:p>
    <w:p w14:paraId="3EDF5E24" w14:textId="77777777" w:rsidR="009C2230" w:rsidRPr="003028E3" w:rsidRDefault="009C2230" w:rsidP="009C2230">
      <w:pPr>
        <w:pStyle w:val="SingleTxtG"/>
      </w:pPr>
      <w:r w:rsidRPr="007422D6">
        <w:t>38.</w:t>
      </w:r>
      <w:r w:rsidRPr="007422D6">
        <w:tab/>
        <w:t>Если деятельность по достижению целей, перечисленных в первых трех подпунктах, может осуществляться в любом районе мира, то цели, относимые к подпункту d), считаются благотворительными только в случае, если они служат интересам гонконгского общества.</w:t>
      </w:r>
    </w:p>
    <w:p w14:paraId="1A2B636C" w14:textId="77777777" w:rsidR="009C2230" w:rsidRPr="003028E3" w:rsidRDefault="009C2230" w:rsidP="009C2230">
      <w:pPr>
        <w:pStyle w:val="H1G"/>
      </w:pPr>
      <w:r w:rsidRPr="007422D6">
        <w:rPr>
          <w:bCs/>
        </w:rPr>
        <w:tab/>
      </w:r>
      <w:r w:rsidRPr="007422D6">
        <w:rPr>
          <w:bCs/>
        </w:rPr>
        <w:tab/>
      </w:r>
      <w:bookmarkStart w:id="16" w:name="_Toc12351624"/>
      <w:r w:rsidRPr="007422D6">
        <w:rPr>
          <w:bCs/>
        </w:rPr>
        <w:t>Общая основа защиты и поощрения прав человека</w:t>
      </w:r>
      <w:bookmarkEnd w:id="16"/>
    </w:p>
    <w:p w14:paraId="0D91DFA2" w14:textId="77777777" w:rsidR="009C2230" w:rsidRPr="003028E3" w:rsidRDefault="009C2230" w:rsidP="009C2230">
      <w:pPr>
        <w:pStyle w:val="H23G"/>
      </w:pPr>
      <w:bookmarkStart w:id="17" w:name="_Toc73328513"/>
      <w:bookmarkStart w:id="18" w:name="_Toc73946164"/>
      <w:bookmarkStart w:id="19" w:name="_Toc133268781"/>
      <w:bookmarkStart w:id="20" w:name="_Toc72567229"/>
      <w:bookmarkStart w:id="21" w:name="_Toc72567489"/>
      <w:bookmarkStart w:id="22" w:name="_Toc72567227"/>
      <w:bookmarkStart w:id="23" w:name="_Toc72567487"/>
      <w:r w:rsidRPr="007422D6">
        <w:rPr>
          <w:bCs/>
        </w:rPr>
        <w:tab/>
      </w:r>
      <w:r w:rsidRPr="007422D6">
        <w:rPr>
          <w:bCs/>
        </w:rPr>
        <w:tab/>
      </w:r>
      <w:bookmarkStart w:id="24" w:name="_Toc12351625"/>
      <w:r w:rsidRPr="007422D6">
        <w:rPr>
          <w:bCs/>
        </w:rPr>
        <w:t>Применение международных договоров по правам человека в</w:t>
      </w:r>
      <w:r w:rsidR="00FC02E8">
        <w:rPr>
          <w:bCs/>
        </w:rPr>
        <w:t xml:space="preserve"> </w:t>
      </w:r>
      <w:bookmarkEnd w:id="17"/>
      <w:bookmarkEnd w:id="18"/>
      <w:bookmarkEnd w:id="19"/>
      <w:bookmarkEnd w:id="20"/>
      <w:bookmarkEnd w:id="21"/>
      <w:r w:rsidRPr="007422D6">
        <w:rPr>
          <w:bCs/>
        </w:rPr>
        <w:t>ОАРГ</w:t>
      </w:r>
      <w:bookmarkEnd w:id="24"/>
    </w:p>
    <w:p w14:paraId="303D0293" w14:textId="77777777" w:rsidR="009C2230" w:rsidRPr="003028E3" w:rsidRDefault="009C2230" w:rsidP="009C2230">
      <w:pPr>
        <w:pStyle w:val="SingleTxtG"/>
      </w:pPr>
      <w:bookmarkStart w:id="25" w:name="_Toc73328514"/>
      <w:bookmarkStart w:id="26" w:name="_Toc73946165"/>
      <w:bookmarkStart w:id="27" w:name="_Toc133268782"/>
      <w:r w:rsidRPr="007422D6">
        <w:t>39.</w:t>
      </w:r>
      <w:r w:rsidRPr="007422D6">
        <w:tab/>
        <w:t>Перечень действующих в ОАРГ международных договоров по правам человека и соответствующие сведения содержатся в приложении E.</w:t>
      </w:r>
    </w:p>
    <w:p w14:paraId="2F988823" w14:textId="77777777" w:rsidR="009C2230" w:rsidRPr="003028E3" w:rsidRDefault="009C2230" w:rsidP="009C2230">
      <w:pPr>
        <w:pStyle w:val="H1G"/>
      </w:pPr>
      <w:r w:rsidRPr="007422D6">
        <w:rPr>
          <w:bCs/>
        </w:rPr>
        <w:tab/>
      </w:r>
      <w:r w:rsidRPr="007422D6">
        <w:rPr>
          <w:bCs/>
        </w:rPr>
        <w:tab/>
      </w:r>
      <w:bookmarkStart w:id="28" w:name="_Toc12351626"/>
      <w:r w:rsidRPr="007422D6">
        <w:rPr>
          <w:bCs/>
        </w:rPr>
        <w:t>Правовые основы защиты прав человека</w:t>
      </w:r>
      <w:bookmarkEnd w:id="22"/>
      <w:bookmarkEnd w:id="23"/>
      <w:bookmarkEnd w:id="25"/>
      <w:bookmarkEnd w:id="26"/>
      <w:bookmarkEnd w:id="27"/>
      <w:bookmarkEnd w:id="28"/>
    </w:p>
    <w:p w14:paraId="09AB6C2D" w14:textId="77777777" w:rsidR="009C2230" w:rsidRPr="003028E3" w:rsidRDefault="009C2230" w:rsidP="009C2230">
      <w:pPr>
        <w:pStyle w:val="H23G"/>
      </w:pPr>
      <w:r w:rsidRPr="007422D6">
        <w:rPr>
          <w:bCs/>
        </w:rPr>
        <w:tab/>
      </w:r>
      <w:r w:rsidRPr="007422D6">
        <w:rPr>
          <w:bCs/>
        </w:rPr>
        <w:tab/>
      </w:r>
      <w:bookmarkStart w:id="29" w:name="_Toc12351627"/>
      <w:r w:rsidRPr="007422D6">
        <w:rPr>
          <w:bCs/>
        </w:rPr>
        <w:t>Верховенство права</w:t>
      </w:r>
      <w:bookmarkEnd w:id="29"/>
    </w:p>
    <w:p w14:paraId="1061BC70" w14:textId="77777777" w:rsidR="009C2230" w:rsidRPr="003028E3" w:rsidRDefault="009C2230" w:rsidP="009C2230">
      <w:pPr>
        <w:pStyle w:val="SingleTxtG"/>
      </w:pPr>
      <w:r w:rsidRPr="007422D6">
        <w:t>40.</w:t>
      </w:r>
      <w:r w:rsidRPr="007422D6">
        <w:tab/>
        <w:t>Защита прав человека зиждется на доктрине верховенства права, обеспечиваемого независимой судебной властью (см. пункты 26</w:t>
      </w:r>
      <w:r w:rsidR="00F845C5" w:rsidRPr="0017299B">
        <w:t>–</w:t>
      </w:r>
      <w:r w:rsidRPr="007422D6">
        <w:t>31 выше). В основе этой доктрины лежат следующие принципы:</w:t>
      </w:r>
    </w:p>
    <w:p w14:paraId="1086D01C" w14:textId="77777777" w:rsidR="009C2230" w:rsidRPr="003028E3" w:rsidRDefault="00F845C5" w:rsidP="009C2230">
      <w:pPr>
        <w:pStyle w:val="SingleTxtG"/>
      </w:pPr>
      <w:r>
        <w:tab/>
      </w:r>
      <w:r w:rsidR="009C2230">
        <w:tab/>
        <w:t>a)</w:t>
      </w:r>
      <w:r>
        <w:tab/>
      </w:r>
      <w:r w:rsidR="009C2230">
        <w:t>законность: никто не может быть подвергнут наказанию или на законном основании понести личный или финансовый ущерб иначе как за нарушение закона, установленное независимым судом. В том случае, когда в соответствии с законом должностное лицо или орган вправе принять решение по своему усмотрению, такое усмотрение должно осуществляться правомерно, справедливо и разумно. В противном случае указанное решение может быть оспорено в суде;</w:t>
      </w:r>
    </w:p>
    <w:p w14:paraId="1EEA7739" w14:textId="77777777" w:rsidR="009C2230" w:rsidRPr="003028E3" w:rsidRDefault="00F845C5" w:rsidP="009C2230">
      <w:pPr>
        <w:pStyle w:val="SingleTxtG"/>
      </w:pPr>
      <w:r>
        <w:tab/>
      </w:r>
      <w:r w:rsidR="009C2230">
        <w:tab/>
        <w:t>b)</w:t>
      </w:r>
      <w:r>
        <w:tab/>
      </w:r>
      <w:r w:rsidR="009C2230">
        <w:t xml:space="preserve">равенство перед законом: статья 25 Основного закона гласит, что все жители Гонконга равны перед законом. Согласно статье 64, правительство ОАРГ обязано соблюдать закон. В соответствии со статьей 22 все учреждения, создаваемые в ОАРГ министерствами и ведомствами Центрального народного правительства либо провинциями, автономными районами или муниципалитетами центрального подчинения, а также их сотрудники должны соблюдать законы ОАРГ. Статья 14 предусматривает, что личный состав гарнизона помимо законодательства Китая обязан соблюдать законы ОАРГ. Статья 35 устанавливает, что жители Гонконга имеют право обжаловать в суде действия органов исполнительной власти и их должностных лиц. Ни один орган государственной власти, ни одно должностное и ни одно частное лицо не стоит выше закона. Помимо этого, статья 10 БП гарантирует равенство всех людей перед судом, а статья 22 БП </w:t>
      </w:r>
      <w:r w:rsidR="00E24F9D" w:rsidRPr="00E24F9D">
        <w:t>–</w:t>
      </w:r>
      <w:r w:rsidR="009C2230">
        <w:t xml:space="preserve"> равенство всех людей перед законом и их право на равную защиту закона без какой-либо дискриминации.</w:t>
      </w:r>
    </w:p>
    <w:p w14:paraId="23EC9043" w14:textId="77777777" w:rsidR="009C2230" w:rsidRPr="003028E3" w:rsidRDefault="009C2230" w:rsidP="009C2230">
      <w:pPr>
        <w:pStyle w:val="H23G"/>
      </w:pPr>
      <w:r w:rsidRPr="007422D6">
        <w:rPr>
          <w:bCs/>
        </w:rPr>
        <w:tab/>
      </w:r>
      <w:r w:rsidRPr="007422D6">
        <w:rPr>
          <w:bCs/>
        </w:rPr>
        <w:tab/>
      </w:r>
      <w:bookmarkStart w:id="30" w:name="_Toc12351628"/>
      <w:r w:rsidRPr="007422D6">
        <w:rPr>
          <w:bCs/>
        </w:rPr>
        <w:t>Гарантии прав человека в Основном законе</w:t>
      </w:r>
      <w:bookmarkEnd w:id="30"/>
    </w:p>
    <w:p w14:paraId="456729EA" w14:textId="77777777" w:rsidR="009C2230" w:rsidRPr="003028E3" w:rsidRDefault="009C2230" w:rsidP="009C2230">
      <w:pPr>
        <w:pStyle w:val="SingleTxtG"/>
      </w:pPr>
      <w:r w:rsidRPr="007422D6">
        <w:t>41.</w:t>
      </w:r>
      <w:r w:rsidRPr="007422D6">
        <w:tab/>
        <w:t>Согласно статье 4 Основного закона, ОАРГ в соответствии с законом защищает права и свободы своих жителей и других лиц на территории ОАРГ. Глава III Основного закона гарантирует широкий круг прав и свобод, в том числе:</w:t>
      </w:r>
    </w:p>
    <w:p w14:paraId="21BFCC1A" w14:textId="77777777" w:rsidR="009C2230" w:rsidRPr="003028E3" w:rsidRDefault="00F845C5" w:rsidP="009C2230">
      <w:pPr>
        <w:pStyle w:val="SingleTxtG"/>
      </w:pPr>
      <w:r>
        <w:tab/>
      </w:r>
      <w:r w:rsidR="009C2230">
        <w:tab/>
        <w:t>а)</w:t>
      </w:r>
      <w:r>
        <w:tab/>
      </w:r>
      <w:r w:rsidR="009C2230">
        <w:t>равенство перед законом;</w:t>
      </w:r>
    </w:p>
    <w:p w14:paraId="5605CFF8" w14:textId="77777777" w:rsidR="009C2230" w:rsidRPr="003028E3" w:rsidRDefault="009C2230" w:rsidP="009C2230">
      <w:pPr>
        <w:pStyle w:val="SingleTxtG"/>
      </w:pPr>
      <w:r>
        <w:tab/>
      </w:r>
      <w:r w:rsidR="00F845C5">
        <w:tab/>
      </w:r>
      <w:r>
        <w:t>b)</w:t>
      </w:r>
      <w:r w:rsidR="00F845C5">
        <w:tab/>
      </w:r>
      <w:r>
        <w:t>свободу слова, печати и издательской деятельности; свободу ассоциации, собраний, шествий и демонстраций; а также право и свободу создавать профессиональные союзы и вступать в них и проводить забастовки;</w:t>
      </w:r>
    </w:p>
    <w:p w14:paraId="380844B8" w14:textId="77777777" w:rsidR="009C2230" w:rsidRPr="003028E3" w:rsidRDefault="00F845C5" w:rsidP="009C2230">
      <w:pPr>
        <w:pStyle w:val="SingleTxtG"/>
      </w:pPr>
      <w:r>
        <w:tab/>
      </w:r>
      <w:r w:rsidR="009C2230">
        <w:tab/>
        <w:t>c)</w:t>
      </w:r>
      <w:r>
        <w:tab/>
      </w:r>
      <w:r w:rsidR="009C2230">
        <w:t>свободу личности; свободу от пыток; свободу от произвольного или незаконного ареста, задержания или тюремного заключения; свободу от произвольного или незаконного личного обыска; а также право не подвергаться произвольному или незаконному лишению жизни;</w:t>
      </w:r>
    </w:p>
    <w:p w14:paraId="304128B4" w14:textId="77777777" w:rsidR="009C2230" w:rsidRPr="003028E3" w:rsidRDefault="00F845C5" w:rsidP="009C2230">
      <w:pPr>
        <w:pStyle w:val="SingleTxtG"/>
      </w:pPr>
      <w:r>
        <w:tab/>
      </w:r>
      <w:r w:rsidR="009C2230">
        <w:tab/>
        <w:t>d)</w:t>
      </w:r>
      <w:r>
        <w:tab/>
      </w:r>
      <w:r w:rsidR="009C2230">
        <w:t>свободу от произвольного или незаконного обыска жилища или других помещений и вторжения в них;</w:t>
      </w:r>
    </w:p>
    <w:p w14:paraId="4EC33D68" w14:textId="77777777" w:rsidR="009C2230" w:rsidRPr="003028E3" w:rsidRDefault="00F845C5" w:rsidP="009C2230">
      <w:pPr>
        <w:pStyle w:val="SingleTxtG"/>
      </w:pPr>
      <w:r>
        <w:tab/>
      </w:r>
      <w:r w:rsidR="009C2230">
        <w:tab/>
        <w:t>e)</w:t>
      </w:r>
      <w:r>
        <w:tab/>
      </w:r>
      <w:r w:rsidR="009C2230">
        <w:t>свободу и тайну переписки;</w:t>
      </w:r>
    </w:p>
    <w:p w14:paraId="3317AB94" w14:textId="77777777" w:rsidR="009C2230" w:rsidRPr="003028E3" w:rsidRDefault="00F845C5" w:rsidP="009C2230">
      <w:pPr>
        <w:pStyle w:val="SingleTxtG"/>
      </w:pPr>
      <w:r>
        <w:tab/>
      </w:r>
      <w:r w:rsidR="009C2230">
        <w:tab/>
        <w:t>f)</w:t>
      </w:r>
      <w:r>
        <w:tab/>
      </w:r>
      <w:r w:rsidR="009C2230">
        <w:t>свободу передвижения внутри ОАРГ, свободу эмиграции в другие страны и регионы, а также свободу поездок и въезда в ОАРГ и выезда из него;</w:t>
      </w:r>
    </w:p>
    <w:p w14:paraId="2E1E1CB7" w14:textId="77777777" w:rsidR="009C2230" w:rsidRPr="003028E3" w:rsidRDefault="00F845C5" w:rsidP="009C2230">
      <w:pPr>
        <w:pStyle w:val="SingleTxtG"/>
      </w:pPr>
      <w:r>
        <w:tab/>
      </w:r>
      <w:r w:rsidR="009C2230">
        <w:tab/>
        <w:t>g)</w:t>
      </w:r>
      <w:r>
        <w:tab/>
      </w:r>
      <w:r w:rsidR="009C2230">
        <w:t>свободу совести; свободу вероисповедания, а также свободу проповеди, проведения публичных религиозных мероприятий и участия в них;</w:t>
      </w:r>
    </w:p>
    <w:p w14:paraId="54406B0D" w14:textId="77777777" w:rsidR="009C2230" w:rsidRPr="003028E3" w:rsidRDefault="00F845C5" w:rsidP="009C2230">
      <w:pPr>
        <w:pStyle w:val="SingleTxtG"/>
      </w:pPr>
      <w:r>
        <w:tab/>
      </w:r>
      <w:r w:rsidR="009C2230">
        <w:tab/>
        <w:t>h)</w:t>
      </w:r>
      <w:r>
        <w:tab/>
      </w:r>
      <w:r w:rsidR="009C2230">
        <w:t>свободу выбора рода занятий;</w:t>
      </w:r>
    </w:p>
    <w:p w14:paraId="4657B201" w14:textId="77777777" w:rsidR="009C2230" w:rsidRPr="003028E3" w:rsidRDefault="00F845C5" w:rsidP="009C2230">
      <w:pPr>
        <w:pStyle w:val="SingleTxtG"/>
      </w:pPr>
      <w:r>
        <w:tab/>
      </w:r>
      <w:r w:rsidR="009C2230">
        <w:tab/>
        <w:t>i)</w:t>
      </w:r>
      <w:r>
        <w:tab/>
      </w:r>
      <w:r w:rsidR="009C2230">
        <w:t>свободу заниматься научными исследованиями, литературным и художественным творчеством и другой культурной деятельностью;</w:t>
      </w:r>
    </w:p>
    <w:p w14:paraId="2D54B9DD" w14:textId="77777777" w:rsidR="009C2230" w:rsidRPr="003028E3" w:rsidRDefault="00F845C5" w:rsidP="009C2230">
      <w:pPr>
        <w:pStyle w:val="SingleTxtG"/>
      </w:pPr>
      <w:r>
        <w:tab/>
      </w:r>
      <w:r w:rsidR="009C2230">
        <w:tab/>
        <w:t>j)</w:t>
      </w:r>
      <w:r>
        <w:tab/>
      </w:r>
      <w:r w:rsidR="009C2230">
        <w:t>право на конфиденциальную юридическую помощь, обращение в суд, приглашение адвокатов по своему выбору для своевременной защиты своих законных прав и интересов или для представительства в суде, а также на средства судебной защиты; право обжаловать в суде действия органов исполнительной власти и их сотрудников;</w:t>
      </w:r>
    </w:p>
    <w:p w14:paraId="266B2389" w14:textId="77777777" w:rsidR="009C2230" w:rsidRPr="003028E3" w:rsidRDefault="00F845C5" w:rsidP="009C2230">
      <w:pPr>
        <w:pStyle w:val="SingleTxtG"/>
      </w:pPr>
      <w:r>
        <w:tab/>
      </w:r>
      <w:r w:rsidR="009C2230">
        <w:tab/>
        <w:t>k)</w:t>
      </w:r>
      <w:r>
        <w:tab/>
      </w:r>
      <w:r w:rsidR="009C2230">
        <w:t>право на социальное обеспечение в соответствии с законом;</w:t>
      </w:r>
    </w:p>
    <w:p w14:paraId="773F06D9" w14:textId="77777777" w:rsidR="009C2230" w:rsidRPr="003028E3" w:rsidRDefault="00F845C5" w:rsidP="009C2230">
      <w:pPr>
        <w:pStyle w:val="SingleTxtG"/>
      </w:pPr>
      <w:r>
        <w:tab/>
      </w:r>
      <w:r w:rsidR="009C2230">
        <w:tab/>
        <w:t>l)</w:t>
      </w:r>
      <w:r>
        <w:tab/>
      </w:r>
      <w:r w:rsidR="009C2230">
        <w:t>право на свободное вступление в брак и создание семьи.</w:t>
      </w:r>
    </w:p>
    <w:p w14:paraId="47F6A8FE" w14:textId="77777777" w:rsidR="009C2230" w:rsidRPr="003028E3" w:rsidRDefault="009C2230" w:rsidP="009C2230">
      <w:pPr>
        <w:pStyle w:val="SingleTxtG"/>
      </w:pPr>
      <w:r w:rsidRPr="007422D6">
        <w:t>42.</w:t>
      </w:r>
      <w:r w:rsidRPr="007422D6">
        <w:tab/>
        <w:t>Лица, не являющиеся жителями Гонконга, в соответствии с законом пользуются в Гонконге правами и свободами жителей Гонконга, предусмотренными в главе III Основного закона. Помимо этого, в ОАРГ защищается право частной собственности в соответствии с законом. Учебные заведения всех видов обладают автономией и академической свободой. Постоянные жители ОАРГ пользуются правом избирать и быть избранными в соответствии с законом.</w:t>
      </w:r>
    </w:p>
    <w:p w14:paraId="5CBE0358" w14:textId="77777777" w:rsidR="009C2230" w:rsidRPr="003028E3" w:rsidRDefault="009C2230" w:rsidP="00F845C5">
      <w:pPr>
        <w:pStyle w:val="H23G"/>
        <w:pageBreakBefore/>
      </w:pPr>
      <w:r w:rsidRPr="007422D6">
        <w:rPr>
          <w:bCs/>
        </w:rPr>
        <w:tab/>
      </w:r>
      <w:r w:rsidRPr="007422D6">
        <w:rPr>
          <w:bCs/>
        </w:rPr>
        <w:tab/>
      </w:r>
      <w:bookmarkStart w:id="31" w:name="_Toc12351629"/>
      <w:r w:rsidRPr="007422D6">
        <w:rPr>
          <w:bCs/>
        </w:rPr>
        <w:t>Место других договоров о правах человека в законодательстве ОАРГ</w:t>
      </w:r>
      <w:bookmarkEnd w:id="31"/>
    </w:p>
    <w:p w14:paraId="00933677" w14:textId="77777777" w:rsidR="009C2230" w:rsidRPr="003028E3" w:rsidRDefault="009C2230" w:rsidP="009C2230">
      <w:pPr>
        <w:pStyle w:val="SingleTxtG"/>
      </w:pPr>
      <w:r w:rsidRPr="007422D6">
        <w:t>43.</w:t>
      </w:r>
      <w:r w:rsidRPr="007422D6">
        <w:tab/>
        <w:t>Согласно статье 39 Основного закона:</w:t>
      </w:r>
    </w:p>
    <w:p w14:paraId="2A9D317F" w14:textId="77777777" w:rsidR="009C2230" w:rsidRPr="003028E3" w:rsidRDefault="00FC02E8" w:rsidP="009C2230">
      <w:pPr>
        <w:pStyle w:val="SingleTxtG"/>
        <w:ind w:left="1701"/>
      </w:pPr>
      <w:r>
        <w:t>«</w:t>
      </w:r>
      <w:r w:rsidR="009C2230">
        <w:t>Положения МПГПП, МПЭСКП и международных конвенций в сфере трудовых отношений, действующие в Гонконге, остаются в силе и осуществляются путем осуществления законодательства ОАРГ.</w:t>
      </w:r>
    </w:p>
    <w:p w14:paraId="6B80ACCD" w14:textId="77777777" w:rsidR="009C2230" w:rsidRPr="003028E3" w:rsidRDefault="009C2230" w:rsidP="009C2230">
      <w:pPr>
        <w:pStyle w:val="SingleTxtG"/>
        <w:ind w:left="1701"/>
      </w:pPr>
      <w:r w:rsidRPr="007422D6">
        <w:t>Права и свободы жителей Гонконга могут быть ограничены лишь на основании закона. Такие ограничения не должны противоречить положениям предыдущего пункта настоящей статьи</w:t>
      </w:r>
      <w:r w:rsidR="00FC02E8">
        <w:t>»</w:t>
      </w:r>
      <w:r w:rsidRPr="007422D6">
        <w:t>.</w:t>
      </w:r>
    </w:p>
    <w:p w14:paraId="42722DBF" w14:textId="77777777" w:rsidR="009C2230" w:rsidRPr="003028E3" w:rsidRDefault="009C2230" w:rsidP="009C2230">
      <w:pPr>
        <w:pStyle w:val="SingleTxtG"/>
      </w:pPr>
      <w:r w:rsidRPr="007422D6">
        <w:t>44.</w:t>
      </w:r>
      <w:r w:rsidRPr="007422D6">
        <w:tab/>
        <w:t>Как и в других юрисдикциях общего права договоры, действующие в Гонконге</w:t>
      </w:r>
      <w:r w:rsidR="0017299B">
        <w:t xml:space="preserve"> </w:t>
      </w:r>
      <w:r w:rsidRPr="007422D6">
        <w:t>(включая договоры о правах человека), сами по себе не имеют силы закона во внутренней правовой системе Гонконга. На них нельзя прямо ссылаться в судах как на источник личных прав. При этом суды стремятся, по возможности, толковать законодательство таким образом, чтобы избегать коллизий между ним и международными договорами Гонконга. Для придания силы договорным обязательствам в местном праве (если для этого требуется внесение тех или иных поправок в ныне действующее законодательство или установившуюся практику), как правило, принимаются новые специальные нормативные акты</w:t>
      </w:r>
      <w:r>
        <w:rPr>
          <w:rStyle w:val="aa"/>
        </w:rPr>
        <w:footnoteReference w:id="4"/>
      </w:r>
      <w:r w:rsidR="00E24F9D">
        <w:t>.</w:t>
      </w:r>
      <w:r w:rsidRPr="007422D6">
        <w:t xml:space="preserve"> Если это приводит к появлению или закреплению конкретных юридических прав, которые отрицаются или нарушаются (или когда возникает такая угроза), потерпевший вправе истребовать восстановления своих прав в гражданских судах. Нарушение этих прав также может повлечь за собой уголовное наказание, предусмотренное в законодательстве.</w:t>
      </w:r>
    </w:p>
    <w:p w14:paraId="3151BE99" w14:textId="77777777" w:rsidR="009C2230" w:rsidRPr="003028E3" w:rsidRDefault="009C2230" w:rsidP="009C2230">
      <w:pPr>
        <w:pStyle w:val="H23G"/>
      </w:pPr>
      <w:r w:rsidRPr="007422D6">
        <w:rPr>
          <w:bCs/>
        </w:rPr>
        <w:tab/>
      </w:r>
      <w:r w:rsidRPr="007422D6">
        <w:rPr>
          <w:bCs/>
        </w:rPr>
        <w:tab/>
      </w:r>
      <w:bookmarkStart w:id="32" w:name="_Toc12351630"/>
      <w:r w:rsidRPr="007422D6">
        <w:rPr>
          <w:bCs/>
        </w:rPr>
        <w:t xml:space="preserve">Закон </w:t>
      </w:r>
      <w:r w:rsidR="00FC02E8">
        <w:rPr>
          <w:bCs/>
        </w:rPr>
        <w:t>«</w:t>
      </w:r>
      <w:r w:rsidRPr="007422D6">
        <w:rPr>
          <w:bCs/>
        </w:rPr>
        <w:t>О Билле о правах Гонконга</w:t>
      </w:r>
      <w:r w:rsidR="00FC02E8">
        <w:rPr>
          <w:bCs/>
        </w:rPr>
        <w:t>»</w:t>
      </w:r>
      <w:bookmarkEnd w:id="32"/>
    </w:p>
    <w:p w14:paraId="2809AEA1" w14:textId="77777777" w:rsidR="009C2230" w:rsidRPr="003028E3" w:rsidRDefault="009C2230" w:rsidP="009C2230">
      <w:pPr>
        <w:pStyle w:val="SingleTxtG"/>
      </w:pPr>
      <w:r w:rsidRPr="007422D6">
        <w:t>45.</w:t>
      </w:r>
      <w:r w:rsidRPr="007422D6">
        <w:tab/>
        <w:t xml:space="preserve">Закон </w:t>
      </w:r>
      <w:r w:rsidR="00FC02E8">
        <w:t>«</w:t>
      </w:r>
      <w:r w:rsidRPr="007422D6">
        <w:t>О Билле о правах Гонконга</w:t>
      </w:r>
      <w:r w:rsidR="00FC02E8">
        <w:t>»</w:t>
      </w:r>
      <w:r w:rsidRPr="007422D6">
        <w:t xml:space="preserve"> (ЗБПГ) (раздел 383 свода законов) был принят в июне 1991 года специально для того, чтобы придать во внутреннем праве юридическую силу применимым к Гонконгу положениям МПГПП. </w:t>
      </w:r>
      <w:r w:rsidR="0017299B">
        <w:t>В</w:t>
      </w:r>
      <w:r w:rsidRPr="007422D6">
        <w:t xml:space="preserve"> этой </w:t>
      </w:r>
      <w:r w:rsidR="0017299B">
        <w:t>связи</w:t>
      </w:r>
      <w:r w:rsidRPr="007422D6">
        <w:t xml:space="preserve"> был в части II Закона содержится развернутый Билль о правах (БП), положения которого практически полностью совпадают с положениями МПГПП.</w:t>
      </w:r>
    </w:p>
    <w:p w14:paraId="167D0F10" w14:textId="77777777" w:rsidR="009C2230" w:rsidRPr="003028E3" w:rsidRDefault="009C2230" w:rsidP="009C2230">
      <w:pPr>
        <w:pStyle w:val="H23G"/>
      </w:pPr>
      <w:r w:rsidRPr="007422D6">
        <w:rPr>
          <w:bCs/>
        </w:rPr>
        <w:tab/>
      </w:r>
      <w:r w:rsidRPr="007422D6">
        <w:rPr>
          <w:bCs/>
        </w:rPr>
        <w:tab/>
      </w:r>
      <w:bookmarkStart w:id="33" w:name="_Toc12351631"/>
      <w:r w:rsidRPr="007422D6">
        <w:rPr>
          <w:bCs/>
        </w:rPr>
        <w:t>Юридическая помощь</w:t>
      </w:r>
      <w:bookmarkEnd w:id="33"/>
    </w:p>
    <w:p w14:paraId="56B7919B" w14:textId="77777777" w:rsidR="009C2230" w:rsidRPr="003028E3" w:rsidRDefault="009C2230" w:rsidP="009C2230">
      <w:pPr>
        <w:pStyle w:val="SingleTxtG"/>
      </w:pPr>
      <w:r w:rsidRPr="007422D6">
        <w:t>46.</w:t>
      </w:r>
      <w:r w:rsidRPr="007422D6">
        <w:tab/>
        <w:t>Юридическая помощь в суде предоставляется всем имеющим на нее право заявителям в виде услуг адвоката, выступающего в суде низшей инстанции, и при необходимости адвоката высшей категории, чтобы ни один человек, имеющий разумные основания подать иск или защищаться в суде, не был лишен такой возможности из-за отсутствия средств. Оплачиваемая государством юридическая помощь предоставляется Бюро юридической помощи (БЮП) и Службой дежурных адвокатов (СДА).</w:t>
      </w:r>
    </w:p>
    <w:p w14:paraId="5B59DB5F" w14:textId="77777777" w:rsidR="009C2230" w:rsidRPr="003028E3" w:rsidRDefault="009C2230" w:rsidP="009C2230">
      <w:pPr>
        <w:pStyle w:val="H4G"/>
      </w:pPr>
      <w:r w:rsidRPr="007422D6">
        <w:rPr>
          <w:iCs/>
        </w:rPr>
        <w:tab/>
      </w:r>
      <w:r w:rsidRPr="007422D6">
        <w:rPr>
          <w:iCs/>
        </w:rPr>
        <w:tab/>
        <w:t>Бюро юридической помощи</w:t>
      </w:r>
    </w:p>
    <w:p w14:paraId="2141B337" w14:textId="77777777" w:rsidR="009C2230" w:rsidRPr="003028E3" w:rsidRDefault="009C2230" w:rsidP="009C2230">
      <w:pPr>
        <w:pStyle w:val="SingleTxtG"/>
      </w:pPr>
      <w:r w:rsidRPr="007422D6">
        <w:t>47.</w:t>
      </w:r>
      <w:r w:rsidRPr="007422D6">
        <w:tab/>
        <w:t>БЮП обеспечивает юридическое представительство имеющих право на юридическую помощь лиц как в гражданских, так и в уголовных делах, рассматриваемых в Высшем апелляционном суде, апелляционном суде, суде первой инстанции, окружном суде и магистратских судах (при принятии решения о возбуждении дела). Правовая помощь в гражданских делах предоставляется при рассмотрении вопросов, затрагивающих важнейшие сферы жизни общества,</w:t>
      </w:r>
      <w:r w:rsidR="00FD3144">
        <w:br/>
      </w:r>
      <w:r w:rsidRPr="007422D6">
        <w:t xml:space="preserve">от семейных споров до иммиграционных дел и </w:t>
      </w:r>
      <w:proofErr w:type="spellStart"/>
      <w:r w:rsidRPr="007422D6">
        <w:t>коронерских</w:t>
      </w:r>
      <w:proofErr w:type="spellEnd"/>
      <w:r w:rsidRPr="007422D6">
        <w:t xml:space="preserve"> расследований.</w:t>
      </w:r>
      <w:r w:rsidR="00FD3144">
        <w:br/>
      </w:r>
      <w:r w:rsidRPr="007422D6">
        <w:t>О предоставлении юридической помощи могут ходатайствовать также лица,</w:t>
      </w:r>
      <w:r w:rsidR="00E735CF">
        <w:br/>
      </w:r>
      <w:r w:rsidRPr="007422D6">
        <w:t>не являющиеся жителями Гонконга. В ходатайстве о предоставлении юридической помощи на имя директора Бюро юридической помощи должно быть под</w:t>
      </w:r>
      <w:r w:rsidR="00E735CF">
        <w:t>т</w:t>
      </w:r>
      <w:r w:rsidRPr="007422D6">
        <w:t>верждено соблюдение требований, касающихся материального положения (для проверки нуждаемости) и оснований для подачи судебного иска (для проверки по существу).</w:t>
      </w:r>
      <w:r w:rsidR="00FD3144">
        <w:br/>
      </w:r>
      <w:r w:rsidRPr="007422D6">
        <w:t>В гражданских делах директор БЮП может по своему усмотрению не требовать соблюдения требований нуждаемости в отношении заявителей ходатайств о предоставлении юридической помощи, удовлетворяющих другим требованиям, если речь идет о нарушении ЗБПГ или действующих в Гонконге норм МПГПП. Аналогичным правом усмотрения директор БЮП может воспользоваться и в уголовных делах, если он считает, что это отвечает интересам правосудия. По итогам проверки нуждаемости (если судья не сочтет ее излишней) юридическая помощь в обязательном порядке предоставляется заявителям, которые обвиняются в убийстве, государственной измене или пиратстве, соединенным с насилием. Применительно к другим правонарушениям, при условии удовлетворения заявителем ходатайства требования нуждаемости, судья может распорядиться о предоставление юридической помощи, даже если директор БЮП отклонил ходатайство по существу.</w:t>
      </w:r>
    </w:p>
    <w:p w14:paraId="70850770" w14:textId="77777777" w:rsidR="009C2230" w:rsidRPr="003028E3" w:rsidRDefault="009C2230" w:rsidP="009C2230">
      <w:pPr>
        <w:pStyle w:val="H4G"/>
      </w:pPr>
      <w:r w:rsidRPr="007422D6">
        <w:rPr>
          <w:iCs/>
        </w:rPr>
        <w:tab/>
      </w:r>
      <w:r w:rsidRPr="007422D6">
        <w:rPr>
          <w:iCs/>
        </w:rPr>
        <w:tab/>
        <w:t>Служба дежурных адвокатов</w:t>
      </w:r>
    </w:p>
    <w:p w14:paraId="3A7B5850" w14:textId="77777777" w:rsidR="009C2230" w:rsidRPr="003028E3" w:rsidRDefault="009C2230" w:rsidP="009C2230">
      <w:pPr>
        <w:pStyle w:val="SingleTxtG"/>
      </w:pPr>
      <w:r w:rsidRPr="007422D6">
        <w:t>48.</w:t>
      </w:r>
      <w:r w:rsidRPr="007422D6">
        <w:tab/>
        <w:t xml:space="preserve">СДА оказывает услуги юридической помощи в дополнение к услугам БЮП. Она предоставляет помощь по трем направлениям: юридическое представительство (программа услуг дежурных адвокатов), юридические консультации (программа бесплатных юридических консультаций) и юридическая информация (программа юридической помощи по телефону). В рамках программы услуг дежурных адвокатов СДА предлагает юридическое представительство в магистратских судах обвиняемым (как несовершеннолетним, так и взрослым), которые не имеют средств для привлечения частного адвоката. Она также обеспечивает юридическое представительство лиц, которые могут быть привлечены к уголовной ответственности в результате дачи инкриминирующих показаний в ходе коронерского расследования. Ходатайства о предоставлении помощи проверяются на предмет соблюдения требований нуждаемости и обоснованности по существу исходя из принципа </w:t>
      </w:r>
      <w:r w:rsidR="00FC02E8">
        <w:t>«</w:t>
      </w:r>
      <w:r w:rsidRPr="007422D6">
        <w:t>интересов правосудия</w:t>
      </w:r>
      <w:r w:rsidR="00FC02E8">
        <w:t>»</w:t>
      </w:r>
      <w:r w:rsidRPr="007422D6">
        <w:t xml:space="preserve"> в соответствии с положениями подпункта d) пункта 2</w:t>
      </w:r>
      <w:r w:rsidR="00FC02E8">
        <w:t xml:space="preserve"> </w:t>
      </w:r>
      <w:r w:rsidRPr="007422D6">
        <w:t>статьи</w:t>
      </w:r>
      <w:r w:rsidR="00E24F9D">
        <w:t> </w:t>
      </w:r>
      <w:r w:rsidRPr="007422D6">
        <w:t>11 БП. В рамках программы бесплатных юридических консультаций и программы правовой помощи по телефону населению предоставляются соответственно бесплатные юридические консультации в ходе личного приема и аудиозаписи информации по наиболее часто возникающим юридическим проблемам. Кроме того, в декабре 2009 года СДА начала на экспериментальной основе осуществление программы по Конвенции против пыток. Эта программа была расширена и стала финансируемой государством Системой юридической помощи для заявителей ходатайства о невыдворении, когда в марте 2014 года начал действовать Единый механизм проверки для принятия решения по ходатайствам о защите от выдворения.</w:t>
      </w:r>
    </w:p>
    <w:p w14:paraId="28F7BC05" w14:textId="77777777" w:rsidR="009C2230" w:rsidRPr="003028E3" w:rsidRDefault="009C2230" w:rsidP="009C2230">
      <w:pPr>
        <w:pStyle w:val="H4G"/>
      </w:pPr>
      <w:r w:rsidRPr="007422D6">
        <w:rPr>
          <w:iCs/>
        </w:rPr>
        <w:tab/>
      </w:r>
      <w:r w:rsidRPr="007422D6">
        <w:rPr>
          <w:iCs/>
        </w:rPr>
        <w:tab/>
        <w:t>Совет по юридической помощи</w:t>
      </w:r>
    </w:p>
    <w:p w14:paraId="42F4E62E" w14:textId="77777777" w:rsidR="009C2230" w:rsidRPr="003028E3" w:rsidRDefault="009C2230" w:rsidP="009C2230">
      <w:pPr>
        <w:pStyle w:val="SingleTxtG"/>
      </w:pPr>
      <w:r w:rsidRPr="007422D6">
        <w:t>49.</w:t>
      </w:r>
      <w:r w:rsidRPr="007422D6">
        <w:tab/>
        <w:t>Совет по юридической помощи представляет собой независимый орган, созданный в соответствии с законом о Совете по юридической помощи (разд. 489 свода законов). Его роль заключается в контроле за предоставлением юридической помощи СДА, которая подотчетна перед Советом в вопроса</w:t>
      </w:r>
      <w:r w:rsidR="00BF0053">
        <w:t>х</w:t>
      </w:r>
      <w:r w:rsidRPr="007422D6">
        <w:t xml:space="preserve"> предоставления такой помощи. Совет также консультирует глав</w:t>
      </w:r>
      <w:r w:rsidR="00BF0053">
        <w:t>у</w:t>
      </w:r>
      <w:r w:rsidRPr="007422D6">
        <w:t xml:space="preserve"> исполнительной власти по вопросам общих правил предоставления юридической помощи.</w:t>
      </w:r>
    </w:p>
    <w:p w14:paraId="482F4ECC" w14:textId="77777777" w:rsidR="009C2230" w:rsidRPr="003028E3" w:rsidRDefault="009C2230" w:rsidP="009C2230">
      <w:pPr>
        <w:pStyle w:val="H23G"/>
      </w:pPr>
      <w:r w:rsidRPr="007422D6">
        <w:rPr>
          <w:bCs/>
        </w:rPr>
        <w:tab/>
      </w:r>
      <w:r w:rsidRPr="007422D6">
        <w:rPr>
          <w:bCs/>
        </w:rPr>
        <w:tab/>
      </w:r>
      <w:bookmarkStart w:id="34" w:name="_Toc12351632"/>
      <w:r w:rsidRPr="007422D6">
        <w:rPr>
          <w:bCs/>
        </w:rPr>
        <w:t>Бюро омбудсмена</w:t>
      </w:r>
      <w:bookmarkEnd w:id="34"/>
    </w:p>
    <w:p w14:paraId="59EECB03" w14:textId="77777777" w:rsidR="009C2230" w:rsidRPr="003028E3" w:rsidRDefault="009C2230" w:rsidP="009C2230">
      <w:pPr>
        <w:pStyle w:val="SingleTxtG"/>
      </w:pPr>
      <w:r w:rsidRPr="007422D6">
        <w:t>50.</w:t>
      </w:r>
      <w:r w:rsidRPr="007422D6">
        <w:tab/>
        <w:t xml:space="preserve">Бюро омбудсмена представляет собой независимый орган, учрежденный в соответствии с Законом об омбудсмене (раздел 397 свода законов). Омбудсмен рассматривает жалобы на неправомерные действия административных органов </w:t>
      </w:r>
      <w:r w:rsidR="00BF0053">
        <w:t>–</w:t>
      </w:r>
      <w:r w:rsidRPr="007422D6">
        <w:t xml:space="preserve"> бюро и департаментов правительства ОАРГ и основных государственных органов, перечисленных в части 1 приложения 1 к Закону. Под </w:t>
      </w:r>
      <w:r w:rsidR="00FC02E8">
        <w:t>«</w:t>
      </w:r>
      <w:r w:rsidRPr="007422D6">
        <w:t>неправомерными действиями административных органов</w:t>
      </w:r>
      <w:r w:rsidR="00FC02E8">
        <w:t>»</w:t>
      </w:r>
      <w:r w:rsidRPr="007422D6">
        <w:t xml:space="preserve"> понимаются, в частности, неэффективные, нецелесообразные или ненадлежащие действия, недопустимое поведение (например, волокита, грубость и невнимательное отношение), злоупотребление властью или полномочиями, а также несправедливые, унизительные и дискриминационные процедуры. Омбудсмен может начать расследование по получении личной жалобы или по своей инициативе и вправе публиковать доклады расследований в общественных интересах. Кроме того, омбудсмен уполномочен расследовать жалобы на действия бюро и департаментов правительства и основных государственных органов в связи с несоблюдением Кодекса доступа к информации.</w:t>
      </w:r>
    </w:p>
    <w:p w14:paraId="38EF294D" w14:textId="77777777" w:rsidR="009C2230" w:rsidRPr="003028E3" w:rsidRDefault="009C2230" w:rsidP="009C2230">
      <w:pPr>
        <w:pStyle w:val="SingleTxtG"/>
      </w:pPr>
      <w:r w:rsidRPr="007422D6">
        <w:rPr>
          <w:rFonts w:hint="eastAsia"/>
        </w:rPr>
        <w:t>51.</w:t>
      </w:r>
      <w:r w:rsidRPr="007422D6">
        <w:rPr>
          <w:rFonts w:hint="eastAsia"/>
        </w:rPr>
        <w:tab/>
        <w:t>Омбудсмен, единоличное юридическое лицо, наделен самостоятельностью и законодательными полномочиями осуществлять свою административную и финансовую деятельность. В Законе также прямо указано, что омбудсмен не является ни государственным служащим, ни представителем правительства ОАРГ.</w:t>
      </w:r>
    </w:p>
    <w:p w14:paraId="4A104870" w14:textId="77777777" w:rsidR="009C2230" w:rsidRPr="003028E3" w:rsidRDefault="009C2230" w:rsidP="009C2230">
      <w:pPr>
        <w:pStyle w:val="SingleTxtG"/>
      </w:pPr>
      <w:r w:rsidRPr="007422D6">
        <w:rPr>
          <w:rFonts w:hint="eastAsia"/>
        </w:rPr>
        <w:t>52.</w:t>
      </w:r>
      <w:r w:rsidRPr="007422D6">
        <w:rPr>
          <w:rFonts w:hint="eastAsia"/>
        </w:rPr>
        <w:tab/>
        <w:t>В соответствии с Законом об омбудсмене омбудсмен вправе запросить у кого угодно любую информацию и любые документы, которые он сочтет необходимыми. Он имеет право вызывать любых лиц для получения информации, имеющей отношение к его расследованию, и входить в любые помещения организаций в пределах его юрисдикции для проведения расследований.</w:t>
      </w:r>
    </w:p>
    <w:p w14:paraId="6DB7C5E1" w14:textId="77777777" w:rsidR="009C2230" w:rsidRPr="003028E3" w:rsidRDefault="009C2230" w:rsidP="009C2230">
      <w:pPr>
        <w:pStyle w:val="SingleTxtG"/>
      </w:pPr>
      <w:r w:rsidRPr="007422D6">
        <w:rPr>
          <w:rFonts w:hint="eastAsia"/>
        </w:rPr>
        <w:t>53.</w:t>
      </w:r>
      <w:r w:rsidRPr="007422D6">
        <w:rPr>
          <w:rFonts w:hint="eastAsia"/>
        </w:rPr>
        <w:tab/>
        <w:t>После рассмотрения жалобы омбудсмен уполномочен представить главе соответствующей организации свое мотивированное заключение вместе с предлагаемыми мерами и рекомендациями по исправлению ситуации. В случае невыполнения рекомендаций в разумные сроки омбудсмен вправе сообщить об этом главе исполнительной власти. Он может обратиться к главе исполнительной власти и в том случае, если считает, что имеет место серьезное нарушение или серьезная несправедливость. Такие доклады должны в соответствии с законом представляться ЗС. Это помогает гарантировать, принятия к сведению и исполнения рекомендаций омбудсмена.</w:t>
      </w:r>
    </w:p>
    <w:p w14:paraId="3E2F36BC" w14:textId="77777777" w:rsidR="009C2230" w:rsidRPr="003028E3" w:rsidRDefault="009C2230" w:rsidP="009C2230">
      <w:pPr>
        <w:pStyle w:val="SingleTxtG"/>
      </w:pPr>
      <w:r w:rsidRPr="007422D6">
        <w:rPr>
          <w:rFonts w:hint="eastAsia"/>
        </w:rPr>
        <w:t>54.</w:t>
      </w:r>
      <w:r w:rsidRPr="007422D6">
        <w:rPr>
          <w:rFonts w:hint="eastAsia"/>
        </w:rPr>
        <w:tab/>
        <w:t>Хотя омбудсмен не вправе расследовать жалобы на неправомерные действия полицейских сил (полиции) Гонконга и Независимой комиссии против коррупции (НКПК), он вправе рассматривать жалобы на несоблюдение обоими органами Кодекса доступа к информации. Любые другие жалобы на оба органа рассматриваются отдельно специальным механизмом (см. пункты 57</w:t>
      </w:r>
      <w:r w:rsidR="00FD3144" w:rsidRPr="00FD3144">
        <w:rPr>
          <w:rFonts w:hint="eastAsia"/>
        </w:rPr>
        <w:t>–</w:t>
      </w:r>
      <w:r w:rsidRPr="007422D6">
        <w:rPr>
          <w:rFonts w:hint="eastAsia"/>
        </w:rPr>
        <w:t>58 ниже).</w:t>
      </w:r>
    </w:p>
    <w:p w14:paraId="345396A6" w14:textId="77777777" w:rsidR="009C2230" w:rsidRPr="003028E3" w:rsidRDefault="009C2230" w:rsidP="009C2230">
      <w:pPr>
        <w:pStyle w:val="H23G"/>
      </w:pPr>
      <w:r w:rsidRPr="007422D6">
        <w:rPr>
          <w:bCs/>
        </w:rPr>
        <w:tab/>
      </w:r>
      <w:r w:rsidRPr="007422D6">
        <w:rPr>
          <w:bCs/>
        </w:rPr>
        <w:tab/>
      </w:r>
      <w:bookmarkStart w:id="35" w:name="_Toc12351633"/>
      <w:r w:rsidRPr="007422D6">
        <w:rPr>
          <w:bCs/>
        </w:rPr>
        <w:t>Комиссия по равным возможностям</w:t>
      </w:r>
      <w:bookmarkEnd w:id="35"/>
    </w:p>
    <w:p w14:paraId="05C73BAB" w14:textId="77777777" w:rsidR="009C2230" w:rsidRPr="003028E3" w:rsidRDefault="009C2230" w:rsidP="009C2230">
      <w:pPr>
        <w:pStyle w:val="SingleTxtG"/>
      </w:pPr>
      <w:r w:rsidRPr="007422D6">
        <w:t>55.</w:t>
      </w:r>
      <w:r w:rsidRPr="007422D6">
        <w:tab/>
        <w:t>Комиссия по равным возможностям (КРВ) была учреждена в 1996 году Законом о дискриминации по признаку пола (ЗДП) (раздел 480 свода законов). Она</w:t>
      </w:r>
      <w:r w:rsidR="00FC02E8">
        <w:t xml:space="preserve"> </w:t>
      </w:r>
      <w:r w:rsidRPr="007422D6">
        <w:t>проводит официальные расследования, рассматривает жалобы, содействует примирению сторон спора и предоставляет помощь потерпевшим в соответствии с четырьмя законами о борьбе с дискриминацией. Она проводит исследовательскую и информационно-просветительскую работу, направленную на обеспечение равных возможностей в обществе. Помимо этого, в интересах содействия соблюдению законов о борьбе с дискриминацией в обществе Комиссия уполномочена издавать разъяснения, содержащие практические рекомендации.</w:t>
      </w:r>
    </w:p>
    <w:p w14:paraId="4748CF09" w14:textId="77777777" w:rsidR="009C2230" w:rsidRPr="003028E3" w:rsidRDefault="009C2230" w:rsidP="009C2230">
      <w:pPr>
        <w:pStyle w:val="SingleTxtG"/>
      </w:pPr>
      <w:r w:rsidRPr="007422D6">
        <w:t>56.</w:t>
      </w:r>
      <w:r w:rsidRPr="007422D6">
        <w:tab/>
        <w:t xml:space="preserve">Более подробная информация о законах о борьбе с дискриминацией и работе КРВ содержится в разделе </w:t>
      </w:r>
      <w:r w:rsidR="00FC02E8">
        <w:t>«</w:t>
      </w:r>
      <w:r w:rsidRPr="007422D6">
        <w:t>Информация о недискриминации и равенстве</w:t>
      </w:r>
      <w:r w:rsidR="00FC02E8">
        <w:t>»</w:t>
      </w:r>
      <w:r w:rsidRPr="007422D6">
        <w:t xml:space="preserve"> ниже.</w:t>
      </w:r>
    </w:p>
    <w:p w14:paraId="4F3B63C9" w14:textId="77777777" w:rsidR="009C2230" w:rsidRPr="003028E3" w:rsidRDefault="009C2230" w:rsidP="009C2230">
      <w:pPr>
        <w:pStyle w:val="H23G"/>
      </w:pPr>
      <w:r w:rsidRPr="007422D6">
        <w:rPr>
          <w:bCs/>
        </w:rPr>
        <w:tab/>
      </w:r>
      <w:r w:rsidRPr="007422D6">
        <w:rPr>
          <w:bCs/>
        </w:rPr>
        <w:tab/>
      </w:r>
      <w:bookmarkStart w:id="36" w:name="_Toc12351634"/>
      <w:r w:rsidRPr="007422D6">
        <w:rPr>
          <w:bCs/>
        </w:rPr>
        <w:t>Уполномоченный по защите конфиденциальности персональных данных</w:t>
      </w:r>
      <w:bookmarkEnd w:id="36"/>
    </w:p>
    <w:p w14:paraId="346FF5DB" w14:textId="77777777" w:rsidR="009C2230" w:rsidRPr="003028E3" w:rsidRDefault="009C2230" w:rsidP="009C2230">
      <w:pPr>
        <w:pStyle w:val="SingleTxtG"/>
      </w:pPr>
      <w:r w:rsidRPr="007422D6">
        <w:t>57.</w:t>
      </w:r>
      <w:r w:rsidRPr="007422D6">
        <w:tab/>
        <w:t>Закон о (конфиденциальности) персональных данных (раздел 486 свода законов) регламентирует сбор, хранение, обработку и использование персональных данных. Его положения основаны на международно признанных принципах защиты данных и применяются к персональным данным в любой форме, допускающей доступ к ними или их обработку. Для поощрения, контроля и надзора за соблюдением положений Закона им был создана должность независимого уполномоченного</w:t>
      </w:r>
      <w:r w:rsidR="0017299B">
        <w:br/>
      </w:r>
      <w:r w:rsidRPr="007422D6">
        <w:t>по защите конфиденциальности персональных данных. Помимо прочего,</w:t>
      </w:r>
      <w:r w:rsidR="0017299B">
        <w:br/>
      </w:r>
      <w:r w:rsidRPr="007422D6">
        <w:t>в функции уполномоченного входит проведение информационно-просветительских мероприятий, издание разъяснений с рекомендациями по соблюдению Закона, а также проведение расследований и проверок по вопросам, касающимся конфиденциальности персональных данных.</w:t>
      </w:r>
    </w:p>
    <w:p w14:paraId="4637923F" w14:textId="77777777" w:rsidR="009C2230" w:rsidRPr="003028E3" w:rsidRDefault="009C2230" w:rsidP="009C2230">
      <w:pPr>
        <w:pStyle w:val="H23G"/>
      </w:pPr>
      <w:r w:rsidRPr="007422D6">
        <w:rPr>
          <w:bCs/>
        </w:rPr>
        <w:tab/>
      </w:r>
      <w:r w:rsidRPr="007422D6">
        <w:rPr>
          <w:bCs/>
        </w:rPr>
        <w:tab/>
      </w:r>
      <w:bookmarkStart w:id="37" w:name="_Toc12351635"/>
      <w:r w:rsidRPr="007422D6">
        <w:rPr>
          <w:bCs/>
        </w:rPr>
        <w:t>Жалобы и расследования</w:t>
      </w:r>
      <w:bookmarkEnd w:id="37"/>
    </w:p>
    <w:p w14:paraId="5CF263DC" w14:textId="77777777" w:rsidR="009C2230" w:rsidRPr="003028E3" w:rsidRDefault="009C2230" w:rsidP="009C2230">
      <w:pPr>
        <w:pStyle w:val="H4G"/>
      </w:pPr>
      <w:r w:rsidRPr="007422D6">
        <w:rPr>
          <w:iCs/>
        </w:rPr>
        <w:tab/>
      </w:r>
      <w:r w:rsidRPr="007422D6">
        <w:rPr>
          <w:iCs/>
        </w:rPr>
        <w:tab/>
        <w:t>Полиция</w:t>
      </w:r>
    </w:p>
    <w:p w14:paraId="59EDDB1E" w14:textId="77777777" w:rsidR="009C2230" w:rsidRPr="003028E3" w:rsidRDefault="009C2230" w:rsidP="009C2230">
      <w:pPr>
        <w:pStyle w:val="SingleTxtG"/>
      </w:pPr>
      <w:r w:rsidRPr="007422D6">
        <w:t>58.</w:t>
      </w:r>
      <w:r w:rsidRPr="007422D6">
        <w:tab/>
        <w:t>В рамках двухуровневой системы рассмотрения жалоб создано Управление по рассмотрению жалоб на действия полиции, которое проводит рассмотрение и проверку по жалобам населения на действия сотрудников полиции. В интересах беспристрастного рассмотрения жалоб оно осуществляет свою деятельность независимо от подразделений полиции. Независимый совет по рассмотрению жалоб на действия полиции является независимым органом, специально созданным законом для контроля проверки работы Управления по рассмотрению жалоб на действия полиции по рассмотрению жалоб и проведению проверок по ним. Члены Независимого совета, назначенные главой исполнительной власти, являются гражданскими лицами, представляющими самые разные группы общества; государственные служащие (включая сотрудника полиции) не могут назначаться в его состав. Закон о Независимом совете по рассмотрению жалоб на действия полиции (раздел 604 свода законов), вступивший в силу 1 июня 2009 года, служит законодательной основой этой системы рассмотрения жалоб на действия полиции.</w:t>
      </w:r>
      <w:r w:rsidR="00FD3144">
        <w:br/>
      </w:r>
      <w:r w:rsidRPr="007422D6">
        <w:t>Он прямо устанавливает роль Независимого совета, его функции и полномочия в рамках системы рассмотрения жалоб на действия полиции, а также обязанность полиции соблюдать законные требования Независимого совета согласно Закону.</w:t>
      </w:r>
      <w:r w:rsidR="00FD3144">
        <w:br/>
      </w:r>
      <w:r w:rsidRPr="007422D6">
        <w:t>В целях обстоятельного, добросовестного и беспристрастного рассмотрения подаваемых УРЖДП жалоб создана действенная система сдержек и противовесов.</w:t>
      </w:r>
    </w:p>
    <w:p w14:paraId="14FBF2D4" w14:textId="77777777" w:rsidR="009C2230" w:rsidRPr="003028E3" w:rsidRDefault="009C2230" w:rsidP="009C2230">
      <w:pPr>
        <w:pStyle w:val="H4G"/>
      </w:pPr>
      <w:r w:rsidRPr="007422D6">
        <w:rPr>
          <w:iCs/>
        </w:rPr>
        <w:tab/>
      </w:r>
      <w:r w:rsidRPr="007422D6">
        <w:rPr>
          <w:iCs/>
        </w:rPr>
        <w:tab/>
        <w:t>Независимая комиссия по борьбе с коррупцией</w:t>
      </w:r>
    </w:p>
    <w:p w14:paraId="209F7C32" w14:textId="77777777" w:rsidR="009C2230" w:rsidRPr="003028E3" w:rsidRDefault="009C2230" w:rsidP="009C2230">
      <w:pPr>
        <w:pStyle w:val="SingleTxtG"/>
      </w:pPr>
      <w:r w:rsidRPr="007422D6">
        <w:t>59.</w:t>
      </w:r>
      <w:r w:rsidRPr="007422D6">
        <w:tab/>
        <w:t>В 1977 году был учрежден Комитет по рассмотрению жалоб на НКБК, который проверяет и контролирует рассмотрение НКБК жалоб неуголовного характера на действия НКБК и ее должностных лиц. В состав данного независимого комитета входят назначаемые главой исполнительной власти члены Исполнительного и Законодательного советов, представитель омбудсмена и видные представители общественности. Жалобы на действия НКБК и ее должностных лиц могут подаваться непосредственно в Комитет по рассмотрению жалоб на НКБК либо в любое из отделений НКБК. Проведением проверок по таким жалобам занимается специальное подразделение оперативного управления НКБК. После завершения им проверки по жалобе его выводы и рекомендации представляются Комитету по рассмотрению жалоб на НКБК.</w:t>
      </w:r>
    </w:p>
    <w:p w14:paraId="216C4117" w14:textId="77777777" w:rsidR="009C2230" w:rsidRPr="003028E3" w:rsidRDefault="009C2230" w:rsidP="009C2230">
      <w:pPr>
        <w:pStyle w:val="H4G"/>
      </w:pPr>
      <w:r w:rsidRPr="007422D6">
        <w:rPr>
          <w:iCs/>
        </w:rPr>
        <w:tab/>
      </w:r>
      <w:r w:rsidRPr="007422D6">
        <w:rPr>
          <w:iCs/>
        </w:rPr>
        <w:tab/>
        <w:t>Другие силовые структуры</w:t>
      </w:r>
    </w:p>
    <w:p w14:paraId="5109C84D" w14:textId="77777777" w:rsidR="009C2230" w:rsidRPr="003028E3" w:rsidRDefault="009C2230" w:rsidP="009C2230">
      <w:pPr>
        <w:pStyle w:val="SingleTxtG"/>
      </w:pPr>
      <w:r w:rsidRPr="007422D6">
        <w:t>60.</w:t>
      </w:r>
      <w:r w:rsidRPr="007422D6">
        <w:tab/>
        <w:t>Другие силовые структуры придерживаются четко сформулированных инструкций и процедур по рассмотрению жалоб. Так, в структуре Департамента исправительных служб (ДИС), в ведении которого находятся тюрьмы ОАРГ, имеется подразделение по рассмотрению жалоб, созданное директором Департамента для проведения рассмотрения и проверок по жалобам. В качестве сдержки и противовеса Комитет по жалобам на Департамент исправительных служб изучает результаты всех проверок, проведенных подразделением по рассмотрению жалоб. Для дальнейшей отладки механизма рассмотрения жалоб на уровне Департамента в 2016 году в ДИС была создана Апелляционная комиссия по рассмотрению жалоб на Департамент исправительных служб, в которую могут обращаться жалобщики, не удовлетворенные результатами проверки, проведенной подразделением по рассмотрению жалоб.</w:t>
      </w:r>
      <w:r w:rsidR="00FD3144">
        <w:br/>
      </w:r>
      <w:r w:rsidRPr="007422D6">
        <w:t xml:space="preserve">В настоящее время все десять неофициальных членов Апелляционного совета являются неофициальными мировыми судьями. Кроме того, жалобщики могут также направлять свои жалобы главе исполнительной власти, членам Законодательного совета, омбудсмену, проводящим инспекции мировым судьям и другим правоохранительным органам, таким как НКПК и полиция. При наличии оснований подозревать того или иного сотрудника ДИС в совершении уголовного преступления </w:t>
      </w:r>
      <w:proofErr w:type="spellStart"/>
      <w:r w:rsidRPr="007422D6">
        <w:t>ДИС</w:t>
      </w:r>
      <w:proofErr w:type="spellEnd"/>
      <w:r w:rsidRPr="007422D6">
        <w:t xml:space="preserve"> незамедлительно уведомляет об этом полицию на предмет проведения дальнейшего расследования. Дисциплинарные процедуры в отношении сотрудников ДИС также регламентируются положением о тюрьмах (подраздел А, раздел 234 свода законов). В соответствии с пунктом j)</w:t>
      </w:r>
      <w:r w:rsidR="00FC02E8">
        <w:t xml:space="preserve"> </w:t>
      </w:r>
      <w:r w:rsidRPr="007422D6">
        <w:t>статьи 239 положения о тюрьмах любой сотрудник ДИС, который без необходимости применяет силу в отношении заключенных или, когда применение силы необходимо, применяет чрезмерную силу, совершает дисциплинарное нарушение.</w:t>
      </w:r>
    </w:p>
    <w:p w14:paraId="7F560D9B" w14:textId="77777777" w:rsidR="009C2230" w:rsidRPr="003028E3" w:rsidRDefault="009C2230" w:rsidP="009C2230">
      <w:pPr>
        <w:pStyle w:val="SingleTxtG"/>
      </w:pPr>
      <w:r w:rsidRPr="007422D6">
        <w:t>61.</w:t>
      </w:r>
      <w:r w:rsidRPr="007422D6">
        <w:tab/>
        <w:t>Иммиграционный департамент рассматривает жалобы в соответствии с положениями регламента иммиграционной службы, утвержденного директором департамента на основании Закона об иммиграционной службе (раздел 331 свода законов). Жалобы на злоупотребления полномочиями или неправомерное обращение со стороны сотрудников службы могут подаваться директору Иммиграционного департамента и незамедлительно рассматриваются в порядке, установленном</w:t>
      </w:r>
      <w:r w:rsidR="00FC02E8">
        <w:t xml:space="preserve"> </w:t>
      </w:r>
      <w:r w:rsidRPr="007422D6">
        <w:t>в регламенте. Для обеспечения надлежащего рассмотрения всех жалоб была создана рабочая группа по контролю за рассмотрением жалоб, которая изучает результаты расследования, проводит проверки и в случае необходимости предлагает дальнейшие меры. Лица, которые считают, что в обращении с ними или в рассмотрении их дел были допущены нарушения, также могут обратиться к омбудсмену. При наличии оснований подозревать того или иного сотрудника иммиграционной службы в совершении уголовного правонарушения Иммиграционная служба незамедлительно уведомляет об этом полицию для проведения дальнейшего расследования. Дисциплинарные меры в отношении сотрудников Иммиграционной службы также регулируются Законом об иммиграционной службе и регламентом иммиграционной службы. В соответствии с положениями подпункта i) пункта 1 статьи 8 Закона причинение ущерба или вреда в результате злоупотребления властью или превышения должностных полномочий влечет за собой дисциплинарную ответственность.</w:t>
      </w:r>
    </w:p>
    <w:p w14:paraId="2354F922" w14:textId="77777777" w:rsidR="009C2230" w:rsidRPr="003028E3" w:rsidRDefault="009C2230" w:rsidP="00C97E6D">
      <w:pPr>
        <w:pStyle w:val="H1G"/>
      </w:pPr>
      <w:bookmarkStart w:id="38" w:name="_Toc72567228"/>
      <w:bookmarkStart w:id="39" w:name="_Toc72567488"/>
      <w:bookmarkStart w:id="40" w:name="_Toc73328515"/>
      <w:bookmarkStart w:id="41" w:name="_Toc73946166"/>
      <w:bookmarkStart w:id="42" w:name="_Toc133268783"/>
      <w:r w:rsidRPr="007422D6">
        <w:tab/>
      </w:r>
      <w:r w:rsidRPr="007422D6">
        <w:tab/>
      </w:r>
      <w:bookmarkStart w:id="43" w:name="_Toc12351636"/>
      <w:r w:rsidRPr="007422D6">
        <w:t>Основа поощрения прав человека</w:t>
      </w:r>
      <w:bookmarkEnd w:id="38"/>
      <w:bookmarkEnd w:id="39"/>
      <w:bookmarkEnd w:id="40"/>
      <w:bookmarkEnd w:id="41"/>
      <w:bookmarkEnd w:id="42"/>
      <w:bookmarkEnd w:id="43"/>
    </w:p>
    <w:p w14:paraId="0DE650B7" w14:textId="77777777" w:rsidR="009C2230" w:rsidRPr="003028E3" w:rsidRDefault="009C2230" w:rsidP="009C2230">
      <w:pPr>
        <w:pStyle w:val="H23G"/>
      </w:pPr>
      <w:r w:rsidRPr="007422D6">
        <w:rPr>
          <w:bCs/>
        </w:rPr>
        <w:tab/>
      </w:r>
      <w:r w:rsidRPr="007422D6">
        <w:rPr>
          <w:bCs/>
        </w:rPr>
        <w:tab/>
      </w:r>
      <w:bookmarkStart w:id="44" w:name="_Toc12351637"/>
      <w:r w:rsidRPr="007422D6">
        <w:rPr>
          <w:bCs/>
        </w:rPr>
        <w:t>Повышение осведомленности общественности о договорах о правах человека</w:t>
      </w:r>
      <w:bookmarkEnd w:id="44"/>
    </w:p>
    <w:p w14:paraId="57B33B45" w14:textId="77777777" w:rsidR="009C2230" w:rsidRPr="003028E3" w:rsidRDefault="009C2230" w:rsidP="009C2230">
      <w:pPr>
        <w:pStyle w:val="SingleTxtG"/>
      </w:pPr>
      <w:r w:rsidRPr="007422D6">
        <w:t>62.</w:t>
      </w:r>
      <w:r w:rsidRPr="007422D6">
        <w:tab/>
        <w:t>Бюро правительства ОАРГ по вопросам государственного устройства и отношений с материком отвечает за координацию и общее руководство проведением политики в вопросах прав человека и равенства возможностей, включая повышение осведомленности общественности о правах и обязанностях, закрепленных в договорах о правах человека, действующих в ОАРГ. В ведении Бюро труда и социального обеспечения (БТС) находятся договоры о правах человека женщин и инвалидов, действующие в ОАРГ.</w:t>
      </w:r>
    </w:p>
    <w:p w14:paraId="11F5A827" w14:textId="77777777" w:rsidR="009C2230" w:rsidRPr="003028E3" w:rsidRDefault="009C2230" w:rsidP="009C2230">
      <w:pPr>
        <w:pStyle w:val="H4G"/>
      </w:pPr>
      <w:r w:rsidRPr="007422D6">
        <w:rPr>
          <w:iCs/>
        </w:rPr>
        <w:tab/>
      </w:r>
      <w:r w:rsidRPr="007422D6">
        <w:rPr>
          <w:iCs/>
        </w:rPr>
        <w:tab/>
        <w:t>Популяризация договоров о правах человека в ОАРГ</w:t>
      </w:r>
    </w:p>
    <w:p w14:paraId="18408ABB" w14:textId="77777777" w:rsidR="009C2230" w:rsidRPr="003028E3" w:rsidRDefault="009C2230" w:rsidP="009C2230">
      <w:pPr>
        <w:pStyle w:val="SingleTxtG"/>
      </w:pPr>
      <w:r w:rsidRPr="007422D6">
        <w:t>63.</w:t>
      </w:r>
      <w:r w:rsidRPr="007422D6">
        <w:tab/>
        <w:t>Правительство ОАРГ неустанно занимается поощрением прав, закрепленных в действующих в ОАРГ договорах о правах человека. Данная работа ведется по разным каналам, в том числе через средства массовой информации в виде социальной рекламы (СР) по телевидению и радио. Например, в августе 2009 года БТС начало крупную информационную кампанию (включающую серию тематических документальных и художественно-документальных фильмов, социальную рекламу по телевидению и радио, а также рекламу в газетах и в общественном транспорте) для продвижения идей и ценностей, закрепленных в Конвенции Организации Объединенных Наций о правах инвалидов (КПИ). БТС на постоянной основе реализуется ряд информационных программ в форме передвижных выставок и бесед в школах, направленных на повышение осведомленности общественности о Конвенции о ликвидации всех форм дискриминации в отношении женщин (КЛДЖ).</w:t>
      </w:r>
    </w:p>
    <w:p w14:paraId="7F16E200" w14:textId="77777777" w:rsidR="009C2230" w:rsidRPr="003028E3" w:rsidRDefault="009C2230" w:rsidP="009C2230">
      <w:pPr>
        <w:pStyle w:val="SingleTxtG"/>
      </w:pPr>
      <w:r w:rsidRPr="007422D6">
        <w:t>64.</w:t>
      </w:r>
      <w:r w:rsidRPr="007422D6">
        <w:tab/>
        <w:t xml:space="preserve">Правительство ОАРГ также издает двуязычные буклеты с информацией о договорах о правах человека (на китайском и английском языках, официальных языках ОАРГ). Помимо этого, этим договорам посвящен ряд вышедших публикаций, в том числе двуязычные буклеты, информационные бюллетени и листовки, в которых основные положения договоров объясняются понятным языком с использованием иллюстраций. Цель публикаций заключается в популяризации этих договоров среди населения, в том числе среди родителей и детей. Они широко распространяются среди общественности, в том числе в школах, библиотеках, </w:t>
      </w:r>
      <w:r>
        <w:t>окружных</w:t>
      </w:r>
      <w:r w:rsidRPr="007422D6">
        <w:t xml:space="preserve"> учреждениях и неправительственных организациях (НПО), и размещаются на сайте правительства ОАРГ.</w:t>
      </w:r>
    </w:p>
    <w:p w14:paraId="2BE91170" w14:textId="77777777" w:rsidR="009C2230" w:rsidRPr="003028E3" w:rsidRDefault="009C2230" w:rsidP="009C2230">
      <w:pPr>
        <w:pStyle w:val="SingleTxtG"/>
      </w:pPr>
      <w:r w:rsidRPr="007422D6">
        <w:t>65.</w:t>
      </w:r>
      <w:r w:rsidRPr="007422D6">
        <w:tab/>
        <w:t>Проведение правительством ОАРГ консультаций с общественностью в ходе подготовк</w:t>
      </w:r>
      <w:r w:rsidR="0017299B">
        <w:t>и</w:t>
      </w:r>
      <w:r w:rsidRPr="007422D6">
        <w:t xml:space="preserve"> докладов для договорных органов Организации Объединенных Наций, публикация докладов, распространение заключительных замечаний договорных органов Организации Объединенных Наций и их обсуждение с заинтересованными сторонами также предоставляют возможность популяризации договоров о правах человека. Этим вопросам посвящен раздел </w:t>
      </w:r>
      <w:r w:rsidR="00FC02E8">
        <w:t>«</w:t>
      </w:r>
      <w:r w:rsidRPr="007422D6">
        <w:t>Процесс подготовки и представления докладов</w:t>
      </w:r>
      <w:r w:rsidR="00FC02E8">
        <w:t>»</w:t>
      </w:r>
      <w:r w:rsidRPr="007422D6">
        <w:t xml:space="preserve"> ниже.</w:t>
      </w:r>
    </w:p>
    <w:p w14:paraId="274EBDD8" w14:textId="77777777" w:rsidR="009C2230" w:rsidRPr="003028E3" w:rsidRDefault="009C2230" w:rsidP="009C2230">
      <w:pPr>
        <w:pStyle w:val="H4G"/>
      </w:pPr>
      <w:r w:rsidRPr="007422D6">
        <w:rPr>
          <w:iCs/>
        </w:rPr>
        <w:tab/>
      </w:r>
      <w:r w:rsidRPr="007422D6">
        <w:rPr>
          <w:iCs/>
        </w:rPr>
        <w:tab/>
        <w:t>Подготовка государственных должностных лиц и специалистов по правозащитной тематике</w:t>
      </w:r>
    </w:p>
    <w:p w14:paraId="12D5DE3D" w14:textId="77777777" w:rsidR="009C2230" w:rsidRPr="003028E3" w:rsidRDefault="009C2230" w:rsidP="009C2230">
      <w:pPr>
        <w:pStyle w:val="SingleTxtG"/>
      </w:pPr>
      <w:r w:rsidRPr="007422D6">
        <w:t>66.</w:t>
      </w:r>
      <w:r w:rsidRPr="007422D6">
        <w:tab/>
        <w:t>Правительство ОАРГ организует для государственных должностных лиц, в том числе для сотрудников по правовым вопросам и оперативного состава силовых структур, обучение и подготовку по Основному закону, а также по другим темам, связанным с правами человека, таким как применение договоров о правах человека в ОАРГ, ЗБПГ и равенство возможностей.</w:t>
      </w:r>
    </w:p>
    <w:p w14:paraId="31BB8AAD" w14:textId="77777777" w:rsidR="009C2230" w:rsidRPr="003028E3" w:rsidRDefault="009C2230" w:rsidP="009C2230">
      <w:pPr>
        <w:pStyle w:val="H56G"/>
      </w:pPr>
      <w:r w:rsidRPr="007422D6">
        <w:tab/>
      </w:r>
      <w:r w:rsidRPr="007422D6">
        <w:tab/>
        <w:t>Государственные должностные лица в целом</w:t>
      </w:r>
    </w:p>
    <w:p w14:paraId="02C3D163" w14:textId="77777777" w:rsidR="009C2230" w:rsidRPr="003028E3" w:rsidRDefault="009C2230" w:rsidP="009C2230">
      <w:pPr>
        <w:pStyle w:val="SingleTxtG"/>
      </w:pPr>
      <w:r w:rsidRPr="007422D6">
        <w:t>67.</w:t>
      </w:r>
      <w:r w:rsidRPr="007422D6">
        <w:tab/>
        <w:t>Бюро гражданской службы регулярно организует семинары для сотрудников государственных органов разных уровней. Они посвящены таким темам, как Основной закон и равенство возможностей, а также другим областям прав человека.</w:t>
      </w:r>
      <w:r w:rsidR="0017299B">
        <w:br/>
      </w:r>
      <w:r w:rsidRPr="007422D6">
        <w:t>На них выступают, в частности, представители Министерства юстиции, КРВ,</w:t>
      </w:r>
      <w:r w:rsidR="00FC02E8">
        <w:t xml:space="preserve"> </w:t>
      </w:r>
      <w:r w:rsidRPr="007422D6">
        <w:t>неправительственных организаций и т.</w:t>
      </w:r>
      <w:r w:rsidR="00FD3144">
        <w:rPr>
          <w:lang w:val="en-US"/>
        </w:rPr>
        <w:t> </w:t>
      </w:r>
      <w:r w:rsidRPr="007422D6">
        <w:t>п.</w:t>
      </w:r>
    </w:p>
    <w:p w14:paraId="2D4481D5" w14:textId="77777777" w:rsidR="009C2230" w:rsidRPr="003028E3" w:rsidRDefault="009C2230" w:rsidP="009C2230">
      <w:pPr>
        <w:pStyle w:val="SingleTxtG"/>
      </w:pPr>
      <w:r w:rsidRPr="007422D6">
        <w:t>68.</w:t>
      </w:r>
      <w:r w:rsidRPr="007422D6">
        <w:tab/>
        <w:t>Основные положения ЗБПГ и законов о борьбе с дискриминацией также были включены в программы семинаров и учебных курсов для новых сотрудников правительственного аппарата ОАРГ. Для сотрудников департаментов правительства, которые часто и активно взаимодействуют с населением, также организуются специальные курсы, помогающие им глубже изучить теорию и практику применения законов о борьбе с дискриминацией в повседневной работе.</w:t>
      </w:r>
    </w:p>
    <w:p w14:paraId="38358B11" w14:textId="77777777" w:rsidR="009C2230" w:rsidRPr="003028E3" w:rsidRDefault="009C2230" w:rsidP="009C2230">
      <w:pPr>
        <w:pStyle w:val="SingleTxtG"/>
      </w:pPr>
      <w:r w:rsidRPr="007422D6">
        <w:t>69.</w:t>
      </w:r>
      <w:r w:rsidRPr="007422D6">
        <w:tab/>
        <w:t>Кроме того, для государственных служащих ОАРГ разных категорий и уровней организуется подготовка, цель которой заключается в повышении знания и понимания ими гендерных проблем. В рамках такой подготовки проводятся семинары и практические занятия, посвященные КЛДЖ и другим правовым актам, направленным на защиту интересов женщин, а также их применению в ОАРГ. Помимо этого, БТС разработало веб-портал и учебный веб-курс по гендерной проблематике в качестве справочного инструмента для всех государственных должностных лиц.</w:t>
      </w:r>
    </w:p>
    <w:p w14:paraId="7924EEFA" w14:textId="77777777" w:rsidR="009C2230" w:rsidRPr="003028E3" w:rsidRDefault="009C2230" w:rsidP="009C2230">
      <w:pPr>
        <w:pStyle w:val="H56G"/>
      </w:pPr>
      <w:r w:rsidRPr="007422D6">
        <w:tab/>
      </w:r>
      <w:r w:rsidRPr="007422D6">
        <w:tab/>
        <w:t>Сотрудники по правовым вопросам</w:t>
      </w:r>
    </w:p>
    <w:p w14:paraId="18F0EAED" w14:textId="77777777" w:rsidR="009C2230" w:rsidRPr="003028E3" w:rsidRDefault="009C2230" w:rsidP="009C2230">
      <w:pPr>
        <w:pStyle w:val="SingleTxtG"/>
      </w:pPr>
      <w:r w:rsidRPr="007422D6">
        <w:t>70.</w:t>
      </w:r>
      <w:r w:rsidRPr="007422D6">
        <w:tab/>
        <w:t xml:space="preserve">Департамент юстиции проводит учебные мероприятия для сотрудников по правовым вопросам, работающих в правительстве ОАРГ. Некоторые из них посвящены вопросам международного права в области прав человека и защиты прав человека в соответствии с Основным законом, другие </w:t>
      </w:r>
      <w:r w:rsidR="00E24F9D">
        <w:t>–</w:t>
      </w:r>
      <w:r w:rsidRPr="007422D6">
        <w:t xml:space="preserve"> конкретным областям с учетом специфики работы различных подразделений Департамента. Например, Отдел уголовного преследования организует для прокуроров подготовку по правозащитным аспектам уголовного преследования, в то время как Отдел законотворчества проводит обучение по вопросам прав человека, возникающим в процессе разработки законодательства. Работающие в Департаменте сотрудники по правовым вопросам также посещают различные семинары, конференции и учебные мероприятия по правозащитной тематике, проводимые местными и зарубежными академическими учреждениями.</w:t>
      </w:r>
    </w:p>
    <w:p w14:paraId="6D71548C" w14:textId="77777777" w:rsidR="009C2230" w:rsidRPr="003028E3" w:rsidRDefault="009C2230" w:rsidP="009C2230">
      <w:pPr>
        <w:pStyle w:val="H56G"/>
      </w:pPr>
      <w:r w:rsidRPr="007422D6">
        <w:tab/>
      </w:r>
      <w:r w:rsidRPr="007422D6">
        <w:tab/>
        <w:t>Оперативный состав силовых структур</w:t>
      </w:r>
    </w:p>
    <w:p w14:paraId="2FC55F85" w14:textId="77777777" w:rsidR="009C2230" w:rsidRPr="003028E3" w:rsidRDefault="009C2230" w:rsidP="009C2230">
      <w:pPr>
        <w:pStyle w:val="SingleTxtG"/>
      </w:pPr>
      <w:r w:rsidRPr="007422D6">
        <w:t>71.</w:t>
      </w:r>
      <w:r w:rsidRPr="007422D6">
        <w:tab/>
        <w:t>Подготовка сотрудников силовых структур неразрывно связана с изучением прав человека. Правоохранительные органы включили в свои программы повышения квалификации и подготовки новых сотрудников лекции, посвященные соответствующим договорам о правах человека (например, Конвенции против пыток и других жестоких, бесчеловечных или унижающих достоинство видов обращения и наказания), Основному закону, ЗБПГ, равенству возможностей и гендерным проблемам. Права человека и принципы равенства изучаются в рамках вводного курса подготовки новых сотрудников полиции и уголовно-исполнительной инспекции.</w:t>
      </w:r>
      <w:r w:rsidR="00E735CF">
        <w:br/>
      </w:r>
      <w:r w:rsidRPr="007422D6">
        <w:t>Эти вопросы поднимаются и в рамках программ повышения квалификации штатных сотрудников.</w:t>
      </w:r>
    </w:p>
    <w:p w14:paraId="41EE3115" w14:textId="77777777" w:rsidR="009C2230" w:rsidRPr="003028E3" w:rsidRDefault="009C2230" w:rsidP="009C2230">
      <w:pPr>
        <w:pStyle w:val="SingleTxtG"/>
      </w:pPr>
      <w:r w:rsidRPr="007422D6">
        <w:t>72.</w:t>
      </w:r>
      <w:r w:rsidRPr="007422D6">
        <w:tab/>
        <w:t>НКБК организует подготовку и издает распоряжения для всех дознавателей, чтобы обеспечить соблюдение установленных законом требований, касающихся обращения с потерпевшими, свидетелями и подозреваемыми. Их обучают обращаться с подозреваемыми и свидетелями в соответствии с требованиями Основного закона и ЗБПГ. Помимо подготовки по вопросам законодательства, посвященного правам человека и смежным проблемам, НКБК организует для дознавателей курсы профессиональной подготовки, в ходе которых им разъясняется важность добровольного характера признаний и явок с повинной без принуждения, насилия и угроз.</w:t>
      </w:r>
    </w:p>
    <w:p w14:paraId="69DDBC35" w14:textId="77777777" w:rsidR="009C2230" w:rsidRPr="003028E3" w:rsidRDefault="009C2230" w:rsidP="009C2230">
      <w:pPr>
        <w:pStyle w:val="H4G"/>
      </w:pPr>
      <w:r w:rsidRPr="007422D6">
        <w:rPr>
          <w:iCs/>
        </w:rPr>
        <w:tab/>
      </w:r>
      <w:r w:rsidRPr="007422D6">
        <w:rPr>
          <w:iCs/>
        </w:rPr>
        <w:tab/>
        <w:t>Подготовка по правам человека для судей, судебных работников и вспомогательного персонала судебных органов</w:t>
      </w:r>
    </w:p>
    <w:p w14:paraId="7A8A2553" w14:textId="77777777" w:rsidR="009C2230" w:rsidRPr="003028E3" w:rsidRDefault="009C2230" w:rsidP="009C2230">
      <w:pPr>
        <w:pStyle w:val="SingleTxtG"/>
      </w:pPr>
      <w:r w:rsidRPr="007422D6">
        <w:t>73.</w:t>
      </w:r>
      <w:r w:rsidRPr="007422D6">
        <w:tab/>
        <w:t xml:space="preserve">Поскольку при вынесении решений суды ОАРГ могут ссылаться на прецеденты других юрисдикций системы общего права, они следят за изменениями во всех отраслях права, включая право прав человека, которые происходят в таких юрисдикциях. Судебный институт Гонконга организует программы повышения квалификации и профессиональной подготовки для судей и судебных работников. Право прав человека </w:t>
      </w:r>
      <w:r w:rsidR="00E24F9D">
        <w:t>–</w:t>
      </w:r>
      <w:r w:rsidRPr="007422D6">
        <w:t xml:space="preserve"> это одна из многих отраслей, которым уделяется повышенное внимание. Судебные работники принимают участие в ознакомительных поездках и семинарах по правам человека, проводимых как в ОАРГ, так и за рубежом.</w:t>
      </w:r>
      <w:r w:rsidR="00E24F9D">
        <w:br/>
      </w:r>
      <w:r w:rsidRPr="007422D6">
        <w:t>Для вспомогательного персонала судебных органов регулярно проводятся занятия по законодательству о борьбе с дискриминацией и семинары, посвященные Закону о (конфиденциальности) персональных данных, чтобы дать им возможность углубить и расширить свои познания в этой области и привлечь их внимание к важности прав человека, равенства возможностей и защиты персональных данных. Сотрудники также проходят подготовку по теме Основного закона, которую проводит Институт профессиональной подготовки и повышения квалификации государственных служащих.</w:t>
      </w:r>
    </w:p>
    <w:p w14:paraId="20C6ECD2" w14:textId="77777777" w:rsidR="009C2230" w:rsidRPr="003028E3" w:rsidRDefault="009C2230" w:rsidP="009C2230">
      <w:pPr>
        <w:pStyle w:val="H4G"/>
      </w:pPr>
      <w:r w:rsidRPr="007422D6">
        <w:rPr>
          <w:iCs/>
        </w:rPr>
        <w:tab/>
      </w:r>
      <w:r w:rsidRPr="007422D6">
        <w:rPr>
          <w:iCs/>
        </w:rPr>
        <w:tab/>
        <w:t>Поощрение прав человека в обществе</w:t>
      </w:r>
    </w:p>
    <w:p w14:paraId="0A77FDF2" w14:textId="77777777" w:rsidR="009C2230" w:rsidRPr="003028E3" w:rsidRDefault="009C2230" w:rsidP="009C2230">
      <w:pPr>
        <w:pStyle w:val="SingleTxtG"/>
      </w:pPr>
      <w:r w:rsidRPr="007422D6">
        <w:t>74.</w:t>
      </w:r>
      <w:r w:rsidRPr="007422D6">
        <w:tab/>
        <w:t xml:space="preserve">Комитет по развитию воспитания гражданственности </w:t>
      </w:r>
      <w:r w:rsidR="00E24F9D">
        <w:t>–</w:t>
      </w:r>
      <w:r w:rsidRPr="007422D6">
        <w:t xml:space="preserve"> консультативный орган в системе Бюро внутренних дел, занимающийся развитием воспитания</w:t>
      </w:r>
      <w:r w:rsidR="00FC02E8">
        <w:t xml:space="preserve"> </w:t>
      </w:r>
      <w:r w:rsidRPr="007422D6">
        <w:t>гражданственности вне школ и формированием гражданского самосознания у населения, в том числе пропагандой прав человека. Кроме того, в 1998 году для руководства осуществлением этой пропагандистской стратегии был создан Руководящий комитет по пропаганде Основного закона, действующий под председательством ГС.</w:t>
      </w:r>
    </w:p>
    <w:p w14:paraId="3855F598" w14:textId="7D8B0364" w:rsidR="009C2230" w:rsidRPr="003028E3" w:rsidRDefault="009C2230" w:rsidP="009C2230">
      <w:pPr>
        <w:pStyle w:val="SingleTxtG"/>
      </w:pPr>
      <w:r w:rsidRPr="007422D6">
        <w:t>75.</w:t>
      </w:r>
      <w:r w:rsidRPr="007422D6">
        <w:tab/>
        <w:t xml:space="preserve">Являясь независимым органом, учрежденным в соответствии с законом для контроля за осуществлением антидискриминационного законодательства, КРВ также наделена важной функцией поощрять равенство возможностей с целью ликвидации дискриминации по признаку пола, инвалидности, семейного положения и расы. КРВ также предпринимает шаги по ликвидации дискриминации на основании семейного положения и беременности. Более подробные сведения о деятельности КРВ представлены в разделе </w:t>
      </w:r>
      <w:r w:rsidR="00FC02E8">
        <w:t>«</w:t>
      </w:r>
      <w:r w:rsidRPr="007422D6">
        <w:t>Информация о гарантиях недискриминации и равенства</w:t>
      </w:r>
      <w:r w:rsidR="00FC02E8">
        <w:t>»</w:t>
      </w:r>
      <w:r w:rsidRPr="007422D6">
        <w:t xml:space="preserve"> ниже. Уполномоченный по защите конфиденциальности персональных данных также проводит информационно-просветительскую работу по вопросам защиты данных.</w:t>
      </w:r>
    </w:p>
    <w:p w14:paraId="54BBA966" w14:textId="77777777" w:rsidR="009C2230" w:rsidRPr="003028E3" w:rsidRDefault="009C2230" w:rsidP="009C2230">
      <w:pPr>
        <w:pStyle w:val="SingleTxtG"/>
      </w:pPr>
      <w:r w:rsidRPr="007422D6">
        <w:t>76.</w:t>
      </w:r>
      <w:r w:rsidRPr="007422D6">
        <w:tab/>
        <w:t>Правительство ОАРГ также занимается поощрением прав, предусмотренных в действующих на территории ОАРГ договорах о правах человека: например, совместно с НПО и во взаимодействии с ними оно проводит информационно-просветительскую работу среди населения, финансируя различные мероприятия и выступая с другими инициативами.</w:t>
      </w:r>
    </w:p>
    <w:p w14:paraId="3E5E9E73" w14:textId="77777777" w:rsidR="009C2230" w:rsidRPr="003028E3" w:rsidRDefault="009C2230" w:rsidP="009C2230">
      <w:pPr>
        <w:pStyle w:val="H4G"/>
      </w:pPr>
      <w:r w:rsidRPr="007422D6">
        <w:rPr>
          <w:iCs/>
        </w:rPr>
        <w:tab/>
      </w:r>
      <w:r w:rsidRPr="007422D6">
        <w:rPr>
          <w:iCs/>
        </w:rPr>
        <w:tab/>
        <w:t xml:space="preserve">Поощрение прав человека в школах </w:t>
      </w:r>
    </w:p>
    <w:p w14:paraId="4EF166F0" w14:textId="77777777" w:rsidR="009C2230" w:rsidRPr="003028E3" w:rsidRDefault="009C2230" w:rsidP="009C2230">
      <w:pPr>
        <w:pStyle w:val="SingleTxtG"/>
      </w:pPr>
      <w:r w:rsidRPr="007422D6">
        <w:t>77.</w:t>
      </w:r>
      <w:r w:rsidRPr="007422D6">
        <w:tab/>
        <w:t xml:space="preserve">Школьное образование </w:t>
      </w:r>
      <w:r w:rsidR="00E24F9D">
        <w:t>–</w:t>
      </w:r>
      <w:r w:rsidRPr="007422D6">
        <w:t xml:space="preserve"> важное направление поощрения прав ребенка и прав человека в обществе. Изучение прав человека составляет неотъемлемую часть школьной программы и ведется по широкому кругу предметов на разных ключевых этапах обучения. Современная школьная программа предоставляет учащимся широкие возможности усвоения концепций и ценностей, связанных с правами человека. Во время обучения в начальной и средней школе в ходе изучения различных предметов обсуждаются важные концепции и ценности, связанные с правами человека, такие как право на жизнь, основные свободы (например, свобода слова, свобода вероисповедания), защита от вмешательства в частную жизнь, уважение всех народов (например, разных национальностей, культур и образа жизни), равенство и недискриминация (например, гендерное равенство и расовое равенство). Усвоение этих понятий учащимися и углубление их понимания происходит постепенно:</w:t>
      </w:r>
      <w:r w:rsidR="00E24F9D">
        <w:br/>
      </w:r>
      <w:r w:rsidRPr="007422D6">
        <w:t>от общих представлений о правах и обязанностях они переходят к изучению более сложных понятий, связанных с правами человека. Кроме того, Бюро образования разработало для издателей учебников ясные и четкие руководящие принципы, призванные обеспечить соблюдение принципа недискриминации. В рамках действующей системы контроля учебных материалов Бюро вносит в перечень рекомендованных для школ учебников и электронных учебников лишь те, которые имеют надлежащее качество. Согласно утвержденным руководящим принципам учебником надлежащего качества считается:</w:t>
      </w:r>
    </w:p>
    <w:p w14:paraId="1E06D1C4" w14:textId="77777777" w:rsidR="009C2230" w:rsidRPr="003028E3" w:rsidRDefault="00FD3144" w:rsidP="009C2230">
      <w:pPr>
        <w:pStyle w:val="SingleTxtG"/>
      </w:pPr>
      <w:r>
        <w:tab/>
      </w:r>
      <w:r w:rsidR="009C2230">
        <w:tab/>
        <w:t>a)</w:t>
      </w:r>
      <w:r>
        <w:tab/>
      </w:r>
      <w:r w:rsidR="009C2230">
        <w:t>учебник, не содержащий искажений, например излишних обобщений и избитых штампов,</w:t>
      </w:r>
      <w:r w:rsidR="00FC02E8">
        <w:t xml:space="preserve"> </w:t>
      </w:r>
      <w:r w:rsidR="009C2230">
        <w:t>и</w:t>
      </w:r>
    </w:p>
    <w:p w14:paraId="06AA181C" w14:textId="77777777" w:rsidR="009C2230" w:rsidRPr="003028E3" w:rsidRDefault="00FD3144" w:rsidP="009C2230">
      <w:pPr>
        <w:pStyle w:val="SingleTxtG"/>
      </w:pPr>
      <w:r>
        <w:tab/>
      </w:r>
      <w:r w:rsidR="009C2230">
        <w:tab/>
        <w:t>b)</w:t>
      </w:r>
      <w:r>
        <w:tab/>
      </w:r>
      <w:r w:rsidR="009C2230">
        <w:t>учебник, содержание и иллюстрации которого не несут никаких оттенков дискриминации по признаку пола, возраста, расы, вероисповедания, культуры, инвалидности и другим признакам и не внушают идей отчуждения.</w:t>
      </w:r>
    </w:p>
    <w:p w14:paraId="466B9DB9" w14:textId="77777777" w:rsidR="009C2230" w:rsidRPr="003028E3" w:rsidRDefault="009C2230" w:rsidP="009C2230">
      <w:pPr>
        <w:pStyle w:val="SingleTxtG"/>
      </w:pPr>
      <w:r>
        <w:tab/>
        <w:t>Учебники, не соответствующие указанным выше и другим критериям, изложенным в руководящих принципах составления учебников надлежащего качества, не вносятся в перечень учебников и электронных учебников, рекомендованных для школ.</w:t>
      </w:r>
    </w:p>
    <w:p w14:paraId="298E9AD9" w14:textId="77777777" w:rsidR="009C2230" w:rsidRPr="003028E3" w:rsidRDefault="009C2230" w:rsidP="009C2230">
      <w:pPr>
        <w:pStyle w:val="SingleTxtG"/>
      </w:pPr>
      <w:r w:rsidRPr="007422D6">
        <w:t>78.</w:t>
      </w:r>
      <w:r w:rsidRPr="007422D6">
        <w:tab/>
        <w:t>Изучение Основного закона, воспитание гражданственности, вопросы прав человека и недопустимости дискриминации включены в широкий круг предметов школьной программы разных уровней, в том числе в общеобразовательную программу на уровне начальной школы, программу личностно-ориентированного, социального и гуманитарного образования на уровне средней школы, а также в основную программу гуманитарных дисциплин старших классов средней школы. Для оказания школам содействия в преподавании концепций и ценностей в рамках этих разделов учебной программы педагогам предлагаются программы повышения квалификации и необходимые ресурсы, благодаря которым они могут повысить качество преподавания этих предметов. Организуются соответствующие учебные мероприятия (программы обмена с материковым Китаем, образовательные проекты, посещения музеев, программы практического обучения с элементами общественно полезной деятельности и т.</w:t>
      </w:r>
      <w:r w:rsidR="0017299B">
        <w:t> </w:t>
      </w:r>
      <w:r w:rsidRPr="007422D6">
        <w:t>д.), цель которых заключается в том, чтобы учащиеся лучше понимали Основной закон и могли руководствоваться им в повседневной жизни.</w:t>
      </w:r>
    </w:p>
    <w:p w14:paraId="5ED74C19" w14:textId="77777777" w:rsidR="009C2230" w:rsidRPr="003028E3" w:rsidRDefault="009C2230" w:rsidP="009C2230">
      <w:pPr>
        <w:pStyle w:val="SingleTxtG"/>
      </w:pPr>
      <w:r w:rsidRPr="007422D6">
        <w:t>79.</w:t>
      </w:r>
      <w:r w:rsidRPr="007422D6">
        <w:tab/>
        <w:t xml:space="preserve">Работа над школьной программой в Гонконге вышла на новый этап </w:t>
      </w:r>
      <w:r w:rsidR="00FD3144" w:rsidRPr="00FD3144">
        <w:t>–</w:t>
      </w:r>
      <w:r w:rsidR="00FD3144">
        <w:br/>
      </w:r>
      <w:r w:rsidRPr="007422D6">
        <w:t xml:space="preserve">этап непрерывного обновления. Главный акцент, в частности, делается на </w:t>
      </w:r>
      <w:r w:rsidR="00FC02E8">
        <w:t>«</w:t>
      </w:r>
      <w:r w:rsidRPr="007422D6">
        <w:t>ценностных аспектах образования</w:t>
      </w:r>
      <w:r w:rsidR="00FC02E8">
        <w:t>»</w:t>
      </w:r>
      <w:r w:rsidRPr="007422D6">
        <w:t xml:space="preserve"> </w:t>
      </w:r>
      <w:r w:rsidR="0017299B">
        <w:t>–</w:t>
      </w:r>
      <w:r w:rsidRPr="007422D6">
        <w:t xml:space="preserve"> уважительном отношении к другим людям, ответственности, приверженности своим идеалам, заботе об окружающих и т.п. Одновременно с этим планируется активизировать преподавание Основного закона, чтобы более действенным образом прививать учащимся соответствующие ценности и установки, включая права человека, равенство, свободу, неравнодушие, ответственность и т.</w:t>
      </w:r>
      <w:r w:rsidR="00FD3144">
        <w:rPr>
          <w:lang w:val="en-US"/>
        </w:rPr>
        <w:t> </w:t>
      </w:r>
      <w:r w:rsidRPr="007422D6">
        <w:t>п.</w:t>
      </w:r>
    </w:p>
    <w:p w14:paraId="048F500D" w14:textId="77777777" w:rsidR="009C2230" w:rsidRPr="003028E3" w:rsidRDefault="009C2230" w:rsidP="00FD3144">
      <w:pPr>
        <w:pStyle w:val="H4G"/>
        <w:pageBreakBefore/>
      </w:pPr>
      <w:r w:rsidRPr="007422D6">
        <w:rPr>
          <w:iCs/>
        </w:rPr>
        <w:tab/>
      </w:r>
      <w:r w:rsidRPr="007422D6">
        <w:rPr>
          <w:iCs/>
        </w:rPr>
        <w:tab/>
        <w:t>Участие НПО в поощрении прав человека</w:t>
      </w:r>
    </w:p>
    <w:p w14:paraId="08FEA498" w14:textId="77777777" w:rsidR="009C2230" w:rsidRPr="003028E3" w:rsidRDefault="009C2230" w:rsidP="009C2230">
      <w:pPr>
        <w:pStyle w:val="SingleTxtG"/>
      </w:pPr>
      <w:r w:rsidRPr="007422D6">
        <w:t>80.</w:t>
      </w:r>
      <w:r w:rsidRPr="007422D6">
        <w:tab/>
        <w:t>В ОАРГ существует ряд организаций, занимающихся поощрением прав человека. Некоторые из них уделяют основное внимание правам конкретных групп, например этнических меньшинств, детей, инвалидов или женщин. Деятельность других носит более общий характер, охватывая все вопросы, затрагиваемые в договорах по правам человека, или большую их часть.</w:t>
      </w:r>
    </w:p>
    <w:p w14:paraId="2BFD1298" w14:textId="77777777" w:rsidR="009C2230" w:rsidRPr="003028E3" w:rsidRDefault="009C2230" w:rsidP="009C2230">
      <w:pPr>
        <w:pStyle w:val="SingleTxtG"/>
      </w:pPr>
      <w:r w:rsidRPr="007422D6">
        <w:t>81.</w:t>
      </w:r>
      <w:r w:rsidRPr="007422D6">
        <w:tab/>
        <w:t>Правительство ОАРГ все активнее взаимодействует или сотрудничает с НПО в вопросах, касающихся поощрения прав человека. Например, правительство консультируется с НПО в ходе подготовки докладов ОАРГ о соблюдении тех или иных договоров о правах человека и рассмотрения мер по выполнению рекомендаций, изложенных в заключительных замечаниях, интересуется их мнением по вопросам, связанным с политикой, и по другим вопросам, касающимся прав человека, а также сотрудничает с ними в сфере информационно-просветительской работы и оказания вспомогательных услуг.</w:t>
      </w:r>
    </w:p>
    <w:p w14:paraId="26BF0D9D" w14:textId="77777777" w:rsidR="009C2230" w:rsidRPr="003028E3" w:rsidRDefault="009C2230" w:rsidP="009C2230">
      <w:pPr>
        <w:pStyle w:val="SingleTxtG"/>
      </w:pPr>
      <w:r w:rsidRPr="007422D6">
        <w:t>82.</w:t>
      </w:r>
      <w:r w:rsidRPr="007422D6">
        <w:tab/>
        <w:t>Для укрепления связей с НПО создан ряд форумов, служащих платформой для обмена мнениями с НПО по различным вопросам, касающимся прав человека. В их числе:</w:t>
      </w:r>
    </w:p>
    <w:p w14:paraId="0A7A02F3" w14:textId="77777777" w:rsidR="009C2230" w:rsidRPr="003028E3" w:rsidRDefault="009C2230" w:rsidP="009C2230">
      <w:pPr>
        <w:pStyle w:val="H4G"/>
      </w:pPr>
      <w:r w:rsidRPr="007422D6">
        <w:rPr>
          <w:iCs/>
        </w:rPr>
        <w:tab/>
      </w:r>
      <w:r w:rsidRPr="007422D6">
        <w:rPr>
          <w:iCs/>
        </w:rPr>
        <w:tab/>
        <w:t>Форум по правам человека</w:t>
      </w:r>
    </w:p>
    <w:p w14:paraId="05CFDFA0" w14:textId="77777777" w:rsidR="009C2230" w:rsidRPr="003028E3" w:rsidRDefault="009C2230" w:rsidP="009C2230">
      <w:pPr>
        <w:pStyle w:val="SingleTxtG"/>
      </w:pPr>
      <w:r w:rsidRPr="007422D6">
        <w:t>83.</w:t>
      </w:r>
      <w:r w:rsidRPr="007422D6">
        <w:tab/>
        <w:t>Форум был впервые проведен в октябре 2003 года. Он служит платформой для регулярных встреч НПО с правительством ОАРГ, в ходе которых обсуждаются различные вопросы, связанные с правами человека, в том числе осуществление различных договоров о правах человека, а также другие представляющие интерес темы.</w:t>
      </w:r>
    </w:p>
    <w:p w14:paraId="12C2AB36" w14:textId="77777777" w:rsidR="009C2230" w:rsidRPr="003028E3" w:rsidRDefault="009C2230" w:rsidP="009C2230">
      <w:pPr>
        <w:pStyle w:val="H4G"/>
      </w:pPr>
      <w:r w:rsidRPr="007422D6">
        <w:rPr>
          <w:iCs/>
        </w:rPr>
        <w:tab/>
      </w:r>
      <w:r w:rsidRPr="007422D6">
        <w:rPr>
          <w:iCs/>
        </w:rPr>
        <w:tab/>
        <w:t>Форум по правам детей</w:t>
      </w:r>
    </w:p>
    <w:p w14:paraId="512EDEEE" w14:textId="77777777" w:rsidR="009C2230" w:rsidRPr="003028E3" w:rsidRDefault="009C2230" w:rsidP="009C2230">
      <w:pPr>
        <w:pStyle w:val="SingleTxtG"/>
      </w:pPr>
      <w:r w:rsidRPr="007422D6">
        <w:t>84.</w:t>
      </w:r>
      <w:r w:rsidRPr="007422D6">
        <w:tab/>
        <w:t>Форум по правам детей призван служить платформой для обмена мнениями по вопросам, касающимся прав детей, между правительством ОАРГ, представителями детей и НПО, занимающимися правами человека (в том числе правами детей).</w:t>
      </w:r>
    </w:p>
    <w:p w14:paraId="0E2B1FAA" w14:textId="77777777" w:rsidR="009C2230" w:rsidRPr="003028E3" w:rsidRDefault="009C2230" w:rsidP="009C2230">
      <w:pPr>
        <w:pStyle w:val="H4G"/>
      </w:pPr>
      <w:r w:rsidRPr="007422D6">
        <w:rPr>
          <w:iCs/>
        </w:rPr>
        <w:tab/>
      </w:r>
      <w:r w:rsidRPr="007422D6">
        <w:rPr>
          <w:iCs/>
        </w:rPr>
        <w:tab/>
        <w:t>Форум этнических меньшинств</w:t>
      </w:r>
    </w:p>
    <w:p w14:paraId="276A7003" w14:textId="77777777" w:rsidR="009C2230" w:rsidRPr="003028E3" w:rsidRDefault="009C2230" w:rsidP="009C2230">
      <w:pPr>
        <w:pStyle w:val="SingleTxtG"/>
      </w:pPr>
      <w:r w:rsidRPr="007422D6">
        <w:t>85.</w:t>
      </w:r>
      <w:r w:rsidRPr="007422D6">
        <w:tab/>
        <w:t xml:space="preserve"> Форум представляет собой канал связи между правительством ОАРГ, общинами этнических меньшинств Гонконга и организациями, отстаивающими их интересы. Он помогает выявлять проблемы и потребности общин этнических меньшинств и обсуждать возможные пути их решения и удовлетворения.</w:t>
      </w:r>
    </w:p>
    <w:p w14:paraId="3957DFDC" w14:textId="77777777" w:rsidR="009C2230" w:rsidRPr="003028E3" w:rsidRDefault="009C2230" w:rsidP="009C2230">
      <w:pPr>
        <w:pStyle w:val="SingleTxtG"/>
      </w:pPr>
      <w:r w:rsidRPr="007422D6">
        <w:rPr>
          <w:rFonts w:hint="eastAsia"/>
        </w:rPr>
        <w:t>86.</w:t>
      </w:r>
      <w:r w:rsidRPr="007422D6">
        <w:rPr>
          <w:rFonts w:hint="eastAsia"/>
        </w:rPr>
        <w:tab/>
        <w:t>Повестка дня и отчеты о заседаниях вышеуказанных форумов имеются в открытом доступе на сайте правительства ОАРГ.</w:t>
      </w:r>
    </w:p>
    <w:p w14:paraId="7B33BA4F" w14:textId="77777777" w:rsidR="009C2230" w:rsidRPr="003028E3" w:rsidRDefault="009C2230" w:rsidP="009C2230">
      <w:pPr>
        <w:pStyle w:val="H23G"/>
      </w:pPr>
      <w:bookmarkStart w:id="45" w:name="_Toc133268784"/>
      <w:r w:rsidRPr="007422D6">
        <w:rPr>
          <w:bCs/>
        </w:rPr>
        <w:tab/>
      </w:r>
      <w:r w:rsidRPr="007422D6">
        <w:rPr>
          <w:bCs/>
        </w:rPr>
        <w:tab/>
      </w:r>
      <w:bookmarkStart w:id="46" w:name="_Toc12351638"/>
      <w:r w:rsidRPr="007422D6">
        <w:rPr>
          <w:bCs/>
        </w:rPr>
        <w:t>Процесс подготовки и представления докладов</w:t>
      </w:r>
      <w:bookmarkEnd w:id="46"/>
      <w:bookmarkEnd w:id="45"/>
    </w:p>
    <w:p w14:paraId="0A7F5C2B" w14:textId="77777777" w:rsidR="009C2230" w:rsidRPr="003028E3" w:rsidRDefault="009C2230" w:rsidP="009C2230">
      <w:pPr>
        <w:pStyle w:val="SingleTxtG"/>
      </w:pPr>
      <w:r w:rsidRPr="007422D6">
        <w:rPr>
          <w:rFonts w:hint="eastAsia"/>
        </w:rPr>
        <w:t>87.</w:t>
      </w:r>
      <w:r w:rsidRPr="007422D6">
        <w:rPr>
          <w:rFonts w:hint="eastAsia"/>
        </w:rPr>
        <w:tab/>
        <w:t>Центральное народное правительство представляет доклады о положении в ОАРГ в связи с рядом договоров по правам человека, действующих на территории ОАРГ. В соответствии с установившейся практикой при подготовке каждого доклада правительство ОАРГ проводит консультации с общественностью. Правительство ОАРГ вначале составляет план доклада, намечая общие рубрики и отдельные темы, которые оно предполагает охватить в докладе. План доклада широко распространяется среди заинтересованных сторон, включая ЗС и участников соответствующих форумов, а также среди общественности по самым разным каналам, таким как веб-сайт правительства ОАРГ. Организуются обсуждения с участниками соответствующих форумов и НПО. Общественности также предоставляется возможность предложить дополнительные темы, которые следует осветить в докладе. План доклада также обсуждается в ЗС, который, как правило, приглашает представителей заинтересованных НПО, чтобы они могли высказать свое мнение.</w:t>
      </w:r>
    </w:p>
    <w:p w14:paraId="52FF8DA6" w14:textId="77777777" w:rsidR="009C2230" w:rsidRPr="003028E3" w:rsidRDefault="009C2230" w:rsidP="009C2230">
      <w:pPr>
        <w:pStyle w:val="SingleTxtG"/>
      </w:pPr>
      <w:r w:rsidRPr="007422D6">
        <w:rPr>
          <w:rFonts w:hint="eastAsia"/>
        </w:rPr>
        <w:t>88.</w:t>
      </w:r>
      <w:r w:rsidRPr="007422D6">
        <w:rPr>
          <w:rFonts w:hint="eastAsia"/>
        </w:rPr>
        <w:tab/>
        <w:t>Замечания и пожелания, высказанные в ходе обсуждения, рассматриваются правительством ОАРГ, которое при необходимости включает свои ответы в соответствующие разделы доклада.</w:t>
      </w:r>
    </w:p>
    <w:p w14:paraId="30EA03B4" w14:textId="77777777" w:rsidR="009C2230" w:rsidRPr="003028E3" w:rsidRDefault="009C2230" w:rsidP="009C2230">
      <w:pPr>
        <w:pStyle w:val="SingleTxtG"/>
      </w:pPr>
      <w:r w:rsidRPr="007422D6">
        <w:rPr>
          <w:rFonts w:hint="eastAsia"/>
        </w:rPr>
        <w:t>89.</w:t>
      </w:r>
      <w:r w:rsidR="00E24F9D">
        <w:tab/>
      </w:r>
      <w:r w:rsidRPr="007422D6">
        <w:rPr>
          <w:rFonts w:hint="eastAsia"/>
        </w:rPr>
        <w:t>Посвященный ОАРГ раздел доклада представляется на английском и китайском языках заинтересованным сторонам (включая ЗС и соответствующие НПО), и после представления доклада Организации Объединенных Наций и его опубликования он распространяется среди общественности через центры службы общественной информации Департамента внутренних дел, публичные библиотеки и веб-сайт правительства ОАРГ.</w:t>
      </w:r>
    </w:p>
    <w:p w14:paraId="1C9CE789" w14:textId="77777777" w:rsidR="009C2230" w:rsidRPr="003028E3" w:rsidRDefault="009C2230" w:rsidP="009C2230">
      <w:pPr>
        <w:pStyle w:val="H4G"/>
      </w:pPr>
      <w:bookmarkStart w:id="47" w:name="_Toc133268785"/>
      <w:r w:rsidRPr="007422D6">
        <w:rPr>
          <w:iCs/>
        </w:rPr>
        <w:tab/>
      </w:r>
      <w:r w:rsidRPr="007422D6">
        <w:rPr>
          <w:iCs/>
        </w:rPr>
        <w:tab/>
        <w:t>Последующие меры в связи с заключительными замечаниями договорных органов</w:t>
      </w:r>
      <w:r w:rsidR="0017299B">
        <w:rPr>
          <w:iCs/>
        </w:rPr>
        <w:br/>
      </w:r>
      <w:r w:rsidRPr="007422D6">
        <w:rPr>
          <w:iCs/>
        </w:rPr>
        <w:t>по правам человека</w:t>
      </w:r>
      <w:bookmarkEnd w:id="47"/>
    </w:p>
    <w:p w14:paraId="4A6B2FC3" w14:textId="10B85188" w:rsidR="009C2230" w:rsidRPr="003028E3" w:rsidRDefault="009C2230" w:rsidP="009C2230">
      <w:pPr>
        <w:pStyle w:val="SingleTxtG"/>
      </w:pPr>
      <w:r w:rsidRPr="007422D6">
        <w:t>90.</w:t>
      </w:r>
      <w:r w:rsidRPr="007422D6">
        <w:tab/>
        <w:t>В соответствии с установившейся практикой после опубликования заключительных замечаний договорных органов по правам человека они широко распространяются среди всех групп общества, а также передаются ЗС, соответствующим бюро и департаментам правительства и другим заинтересованным сторонам. Одновременно публику</w:t>
      </w:r>
      <w:r w:rsidR="0017299B">
        <w:t>ю</w:t>
      </w:r>
      <w:r w:rsidRPr="007422D6">
        <w:t xml:space="preserve">тся пресс-релиз о заключительных замечаниях и предварительный ответ правительства ОАРГ на них. Заключительные замечания также размещаются для сведения общественности на сайте правительства </w:t>
      </w:r>
      <w:r w:rsidR="00E24F9D" w:rsidRPr="007422D6">
        <w:t>ОРА</w:t>
      </w:r>
      <w:r w:rsidRPr="007422D6">
        <w:t xml:space="preserve">. Заключительные замечания и предварительный ответ правительства </w:t>
      </w:r>
      <w:r w:rsidR="00E24F9D" w:rsidRPr="007422D6">
        <w:t>онагр</w:t>
      </w:r>
      <w:r w:rsidRPr="007422D6">
        <w:t xml:space="preserve"> на них также обсуждаются в </w:t>
      </w:r>
      <w:proofErr w:type="spellStart"/>
      <w:r w:rsidR="00E24F9D" w:rsidRPr="007422D6">
        <w:t>З</w:t>
      </w:r>
      <w:r w:rsidR="0017299B">
        <w:t>С</w:t>
      </w:r>
      <w:proofErr w:type="spellEnd"/>
      <w:r w:rsidRPr="007422D6">
        <w:t xml:space="preserve"> и на соответствующих форумах.</w:t>
      </w:r>
    </w:p>
    <w:p w14:paraId="0D142023" w14:textId="77777777" w:rsidR="009C2230" w:rsidRPr="003028E3" w:rsidRDefault="009C2230" w:rsidP="009C2230">
      <w:pPr>
        <w:pStyle w:val="H23G"/>
      </w:pPr>
      <w:bookmarkStart w:id="48" w:name="_Toc133268787"/>
      <w:bookmarkStart w:id="49" w:name="_Toc72567232"/>
      <w:bookmarkStart w:id="50" w:name="_Toc72567492"/>
      <w:bookmarkStart w:id="51" w:name="_Toc73328518"/>
      <w:r w:rsidRPr="007422D6">
        <w:rPr>
          <w:bCs/>
        </w:rPr>
        <w:tab/>
      </w:r>
      <w:r w:rsidRPr="007422D6">
        <w:rPr>
          <w:bCs/>
        </w:rPr>
        <w:tab/>
      </w:r>
      <w:bookmarkStart w:id="52" w:name="_Toc12351639"/>
      <w:r w:rsidRPr="007422D6">
        <w:rPr>
          <w:bCs/>
        </w:rPr>
        <w:t>Информация о недискриминации и равенстве</w:t>
      </w:r>
      <w:bookmarkEnd w:id="48"/>
      <w:bookmarkEnd w:id="52"/>
      <w:bookmarkEnd w:id="49"/>
      <w:bookmarkEnd w:id="50"/>
      <w:bookmarkEnd w:id="51"/>
    </w:p>
    <w:p w14:paraId="58219F74" w14:textId="77777777" w:rsidR="009C2230" w:rsidRPr="003028E3" w:rsidRDefault="009C2230" w:rsidP="009C2230">
      <w:pPr>
        <w:pStyle w:val="SingleTxtG"/>
      </w:pPr>
      <w:r w:rsidRPr="007422D6">
        <w:rPr>
          <w:rFonts w:hint="eastAsia"/>
        </w:rPr>
        <w:t>91.</w:t>
      </w:r>
      <w:r w:rsidRPr="007422D6">
        <w:rPr>
          <w:rFonts w:hint="eastAsia"/>
        </w:rPr>
        <w:tab/>
        <w:t>Общая нормативно-правовая база, гарантирующая защиту от дискриминации и равенство перед законом, а также соответствующая институциональная основа были описаны выше в разделе о правовой основе защиты прав человека.</w:t>
      </w:r>
    </w:p>
    <w:p w14:paraId="1CEEFC96" w14:textId="77777777" w:rsidR="009C2230" w:rsidRPr="003028E3" w:rsidRDefault="009C2230" w:rsidP="009C2230">
      <w:pPr>
        <w:pStyle w:val="H23G"/>
      </w:pPr>
      <w:r w:rsidRPr="007422D6">
        <w:rPr>
          <w:bCs/>
        </w:rPr>
        <w:tab/>
      </w:r>
      <w:r w:rsidRPr="007422D6">
        <w:rPr>
          <w:bCs/>
        </w:rPr>
        <w:tab/>
      </w:r>
      <w:bookmarkStart w:id="53" w:name="_Toc12351640"/>
      <w:r w:rsidRPr="007422D6">
        <w:rPr>
          <w:bCs/>
        </w:rPr>
        <w:t>Комиссия по равным возможностям</w:t>
      </w:r>
      <w:bookmarkEnd w:id="53"/>
    </w:p>
    <w:p w14:paraId="175CB8FF" w14:textId="77777777" w:rsidR="009C2230" w:rsidRPr="003028E3" w:rsidRDefault="009C2230" w:rsidP="009C2230">
      <w:pPr>
        <w:pStyle w:val="SingleTxtG"/>
      </w:pPr>
      <w:r w:rsidRPr="007422D6">
        <w:rPr>
          <w:rFonts w:hint="eastAsia"/>
        </w:rPr>
        <w:t>92.</w:t>
      </w:r>
      <w:r w:rsidRPr="007422D6">
        <w:rPr>
          <w:rFonts w:hint="eastAsia"/>
        </w:rPr>
        <w:tab/>
        <w:t>Как отмечалось выше, КРВ отвечает за осуществление в ОАРГ четырех антидискриминационных законов и за поощрение равенства возможностей в соответствующих областях. Эти законы рассматриваются ниже.</w:t>
      </w:r>
    </w:p>
    <w:p w14:paraId="5B31D272" w14:textId="77777777" w:rsidR="009C2230" w:rsidRPr="003028E3" w:rsidRDefault="009C2230" w:rsidP="009C2230">
      <w:pPr>
        <w:pStyle w:val="H4G"/>
      </w:pPr>
      <w:r w:rsidRPr="007422D6">
        <w:rPr>
          <w:iCs/>
        </w:rPr>
        <w:tab/>
      </w:r>
      <w:r w:rsidRPr="007422D6">
        <w:rPr>
          <w:iCs/>
        </w:rPr>
        <w:tab/>
        <w:t>Антидискриминационные законы</w:t>
      </w:r>
    </w:p>
    <w:p w14:paraId="21634804" w14:textId="77777777" w:rsidR="009C2230" w:rsidRPr="003028E3" w:rsidRDefault="009C2230" w:rsidP="009C2230">
      <w:pPr>
        <w:pStyle w:val="SingleTxtG"/>
      </w:pPr>
      <w:r w:rsidRPr="007422D6">
        <w:rPr>
          <w:rFonts w:hint="eastAsia"/>
        </w:rPr>
        <w:t>93.</w:t>
      </w:r>
      <w:r w:rsidRPr="007422D6">
        <w:rPr>
          <w:rFonts w:hint="eastAsia"/>
        </w:rPr>
        <w:tab/>
        <w:t>В 1996 году полностью вступили в силу Закон о дискриминации по признаку пола (ЗДП) и Закон о дискриминации по признаку инвалидности (ЗДИ) (раздел 487 свода законов). В соответствии с ЗДП запрещается сексуальное домогательство или сексуальная дискриминация по признаку пола, семейного положения или беременности в указанных областях. Действие закона распространяется как на мужчин, так и на женщин. В соответствии с ЗДИ запрещается публично унижать инвалидов, а также дискриминировать или притеснять их по причине их инвалидности в конкретно указанных областях.</w:t>
      </w:r>
    </w:p>
    <w:p w14:paraId="78CE8ACE" w14:textId="77777777" w:rsidR="009C2230" w:rsidRPr="003028E3" w:rsidRDefault="009C2230" w:rsidP="009C2230">
      <w:pPr>
        <w:pStyle w:val="SingleTxtG"/>
      </w:pPr>
      <w:r w:rsidRPr="007422D6">
        <w:rPr>
          <w:rFonts w:hint="eastAsia"/>
        </w:rPr>
        <w:t>94.</w:t>
      </w:r>
      <w:r w:rsidRPr="007422D6">
        <w:rPr>
          <w:rFonts w:hint="eastAsia"/>
        </w:rPr>
        <w:tab/>
        <w:t>В 1997 году вступил в силу Закон о дискриминации по признаку семейного положения (раздел 527 свода законов). В соответствии с данным законом запрещается дискриминация на почве семейного положения, под которым понимается наличие обязанностей по уходу за членом семьи. Под членом семьи данного лица понимается лицо, связанное с последним отношениями кровного родства, брака, усыновления или свойства.</w:t>
      </w:r>
    </w:p>
    <w:p w14:paraId="26AFFA5F" w14:textId="77777777" w:rsidR="009C2230" w:rsidRPr="003028E3" w:rsidRDefault="009C2230" w:rsidP="009C2230">
      <w:pPr>
        <w:pStyle w:val="SingleTxtG"/>
      </w:pPr>
      <w:r w:rsidRPr="007422D6">
        <w:rPr>
          <w:rFonts w:hint="eastAsia"/>
        </w:rPr>
        <w:t>95.</w:t>
      </w:r>
      <w:r w:rsidRPr="007422D6">
        <w:rPr>
          <w:rFonts w:hint="eastAsia"/>
        </w:rPr>
        <w:tab/>
        <w:t xml:space="preserve">В июле 2009 года полностью вступил в силу Закон о расовой дискриминации (раздел 602 свода законов). В нем под расовой принадлежностью понимается раса, цвет кожи, а также национальное или этническое происхождение лица. В соответствии с данным законом запрещается публично унижать человека, а также дискриминировать или </w:t>
      </w:r>
      <w:r w:rsidR="00E24F9D" w:rsidRPr="007422D6">
        <w:t>притеснять</w:t>
      </w:r>
      <w:r w:rsidRPr="007422D6">
        <w:rPr>
          <w:rFonts w:hint="eastAsia"/>
        </w:rPr>
        <w:t xml:space="preserve"> его на основании его расовой принадлежности в конкретно указанных областях.</w:t>
      </w:r>
    </w:p>
    <w:p w14:paraId="4824D9F7" w14:textId="77777777" w:rsidR="009C2230" w:rsidRPr="003028E3" w:rsidRDefault="009C2230" w:rsidP="009C2230">
      <w:pPr>
        <w:pStyle w:val="SingleTxtG"/>
      </w:pPr>
      <w:r w:rsidRPr="007422D6">
        <w:rPr>
          <w:rFonts w:hint="eastAsia"/>
        </w:rPr>
        <w:t>96.</w:t>
      </w:r>
      <w:r w:rsidRPr="007422D6">
        <w:rPr>
          <w:rFonts w:hint="eastAsia"/>
        </w:rPr>
        <w:tab/>
        <w:t xml:space="preserve">Четыре упомянутых выше закона распространяются примерно на одни и те же области </w:t>
      </w:r>
      <w:r w:rsidR="00DD4CBA" w:rsidRPr="00DD4CBA">
        <w:rPr>
          <w:rFonts w:hint="eastAsia"/>
        </w:rPr>
        <w:t>–</w:t>
      </w:r>
      <w:r w:rsidRPr="007422D6">
        <w:rPr>
          <w:rFonts w:hint="eastAsia"/>
        </w:rPr>
        <w:t xml:space="preserve"> трудовые отношения, образование, реализацию товаров, работ, услуг, использование помещений и распоряжение ими, возможность избирать и быть избранным на государственные должности и участие в общественных объединениях.</w:t>
      </w:r>
    </w:p>
    <w:p w14:paraId="48CAAF33" w14:textId="77777777" w:rsidR="009C2230" w:rsidRPr="003028E3" w:rsidRDefault="009C2230" w:rsidP="009C2230">
      <w:pPr>
        <w:pStyle w:val="H4G"/>
      </w:pPr>
      <w:r w:rsidRPr="007422D6">
        <w:rPr>
          <w:iCs/>
        </w:rPr>
        <w:tab/>
      </w:r>
      <w:r w:rsidRPr="007422D6">
        <w:rPr>
          <w:iCs/>
        </w:rPr>
        <w:tab/>
        <w:t>Расследование и примирение</w:t>
      </w:r>
    </w:p>
    <w:p w14:paraId="22B00288" w14:textId="77777777" w:rsidR="009C2230" w:rsidRPr="003028E3" w:rsidRDefault="009C2230" w:rsidP="009C2230">
      <w:pPr>
        <w:pStyle w:val="SingleTxtG"/>
      </w:pPr>
      <w:r w:rsidRPr="007422D6">
        <w:rPr>
          <w:rFonts w:hint="eastAsia"/>
        </w:rPr>
        <w:t>97.</w:t>
      </w:r>
      <w:r w:rsidRPr="007422D6">
        <w:rPr>
          <w:rFonts w:hint="eastAsia"/>
        </w:rPr>
        <w:tab/>
        <w:t>КРВ расследует жалобы, подаваемые в соответствии с четырьмя указанными законами, и содействует примирению между сторонами спора. В случае невозможности примирения подавшая жалобу сторона может ходатайствовать перед КРВ о предоставлении других форм помощи, включая юридическую помощь.</w:t>
      </w:r>
      <w:r w:rsidR="00DD4CBA">
        <w:br/>
      </w:r>
      <w:r w:rsidRPr="007422D6">
        <w:rPr>
          <w:rFonts w:hint="eastAsia"/>
        </w:rPr>
        <w:t>При необходимости КРВ также проводит официальные расследования дискриминационной практики.</w:t>
      </w:r>
    </w:p>
    <w:p w14:paraId="555DEE6D" w14:textId="77777777" w:rsidR="009C2230" w:rsidRPr="003028E3" w:rsidRDefault="009C2230" w:rsidP="009C2230">
      <w:pPr>
        <w:pStyle w:val="H4G"/>
      </w:pPr>
      <w:r w:rsidRPr="007422D6">
        <w:rPr>
          <w:iCs/>
        </w:rPr>
        <w:tab/>
      </w:r>
      <w:r w:rsidRPr="007422D6">
        <w:rPr>
          <w:iCs/>
        </w:rPr>
        <w:tab/>
        <w:t>Образование и просвещение</w:t>
      </w:r>
    </w:p>
    <w:p w14:paraId="0F90AF55" w14:textId="77777777" w:rsidR="009C2230" w:rsidRPr="003028E3" w:rsidRDefault="009C2230" w:rsidP="009C2230">
      <w:pPr>
        <w:pStyle w:val="SingleTxtG"/>
      </w:pPr>
      <w:r w:rsidRPr="007422D6">
        <w:rPr>
          <w:rFonts w:hint="eastAsia"/>
        </w:rPr>
        <w:t>98.</w:t>
      </w:r>
      <w:r w:rsidRPr="007422D6">
        <w:rPr>
          <w:rFonts w:hint="eastAsia"/>
        </w:rPr>
        <w:tab/>
        <w:t xml:space="preserve">КРВ ставит своей целью популяризацию концепции равенства возможностей на основе образования и просвещения. КРВ налаживает партнерские связи с правительством ОАРГ и НПО, чтобы предпринимать совместные шаги по искоренению дискриминации. Для популяризации и углубления понимания концепции равенства возможностей проводится образовательная и просветительская работа </w:t>
      </w:r>
      <w:r w:rsidR="00C97E6D" w:rsidRPr="00C97E6D">
        <w:rPr>
          <w:rFonts w:hint="eastAsia"/>
        </w:rPr>
        <w:t>–</w:t>
      </w:r>
      <w:r w:rsidRPr="007422D6">
        <w:rPr>
          <w:rFonts w:hint="eastAsia"/>
        </w:rPr>
        <w:t xml:space="preserve"> организуются беседы, семинары и коллоквиумы для различных целевых групп, раз в полгода издается журнал, выпускаются информационные бюллетени, организуются передвижные выставки и экспозиции, составляются программы различных мероприятий, ставятся театрализованные постановки для учащихся,</w:t>
      </w:r>
      <w:r w:rsidR="00DD4CBA">
        <w:br/>
      </w:r>
      <w:r w:rsidRPr="007422D6">
        <w:rPr>
          <w:rFonts w:hint="eastAsia"/>
        </w:rPr>
        <w:t>а также готовятся теле- и радиосюжеты и программы. В своей просветительской работе КРВ активно использует не только традиционные средства массовой информации, но и новые информационные средства, например мобильные приложения и социальные сети. Для более активного вовлечения в эту работу общества была разработана программа общественного финансирования, помогающая местным общественным группам в организации деятельности по поощрению равенства возможностей. Достижению целей КРВ служит также осуществление партнерских проектов с участием всех групп общества. Кроме того, КРВ организует плановые и специальные учебные программы, стремясь обратить внимание сотрудников организаций и департаментов правительства на проблему дискриминации и притеснений и обучить их способам урегулирования таких проблем в случае их возникновения.</w:t>
      </w:r>
    </w:p>
    <w:p w14:paraId="3CA2FA4A" w14:textId="77777777" w:rsidR="009C2230" w:rsidRPr="003028E3" w:rsidRDefault="009C2230" w:rsidP="009C2230">
      <w:pPr>
        <w:pStyle w:val="H4G"/>
      </w:pPr>
      <w:r>
        <w:rPr>
          <w:iCs/>
        </w:rPr>
        <w:tab/>
      </w:r>
      <w:r>
        <w:rPr>
          <w:iCs/>
        </w:rPr>
        <w:tab/>
        <w:t>Исследования</w:t>
      </w:r>
    </w:p>
    <w:p w14:paraId="5368BB61" w14:textId="77777777" w:rsidR="009C2230" w:rsidRPr="003028E3" w:rsidRDefault="009C2230" w:rsidP="009C2230">
      <w:pPr>
        <w:pStyle w:val="SingleTxtG"/>
      </w:pPr>
      <w:r w:rsidRPr="007422D6">
        <w:rPr>
          <w:rFonts w:hint="eastAsia"/>
        </w:rPr>
        <w:t>99.</w:t>
      </w:r>
      <w:r w:rsidRPr="007422D6">
        <w:rPr>
          <w:rFonts w:hint="eastAsia"/>
        </w:rPr>
        <w:tab/>
        <w:t>Для изучения причин дискриминации, общих подходов и представлений о равенстве возможностей в обществе по заказу КРВ проводятся различные научные исследования и опросы. Результаты этих исследований помогают КРВ разрабатывать свою стратегию, отслеживать изменения в установках и задавать параметры будущих исследований.</w:t>
      </w:r>
    </w:p>
    <w:p w14:paraId="73E9518D" w14:textId="77777777" w:rsidR="009C2230" w:rsidRPr="003028E3" w:rsidRDefault="009C2230" w:rsidP="009C2230">
      <w:pPr>
        <w:pStyle w:val="H4G"/>
      </w:pPr>
      <w:r w:rsidRPr="007422D6">
        <w:rPr>
          <w:iCs/>
        </w:rPr>
        <w:tab/>
      </w:r>
      <w:r w:rsidRPr="007422D6">
        <w:rPr>
          <w:iCs/>
        </w:rPr>
        <w:tab/>
        <w:t>Анализ соответствующего законодательства и выпуск разъяснений и руководящих принципов</w:t>
      </w:r>
    </w:p>
    <w:p w14:paraId="58EA7BD7" w14:textId="77777777" w:rsidR="009C2230" w:rsidRPr="003028E3" w:rsidRDefault="009C2230" w:rsidP="009C2230">
      <w:pPr>
        <w:pStyle w:val="SingleTxtG"/>
      </w:pPr>
      <w:r w:rsidRPr="007422D6">
        <w:rPr>
          <w:rFonts w:hint="eastAsia"/>
        </w:rPr>
        <w:t>100.</w:t>
      </w:r>
      <w:r w:rsidRPr="007422D6">
        <w:rPr>
          <w:rFonts w:hint="eastAsia"/>
        </w:rPr>
        <w:tab/>
        <w:t>КРВ анализирует законы о борьбе с дискриминацией и представляет правительству ОАРГ предложения о внесении поправок, которые она сочтет необходимыми. Помимо этого, Комиссия издает разъяснения и другие руководящие принципы применения этого законодательства. Разъяснения о применении законодательства о трудовых отношениях издаются для того, чтобы помочь работодателям и работникам понять свои предусмотренные в законодательстве обязанности и рекомендовать использование таких практических процедур и методов управления, которые помогут предотвратить дискриминацию и другие нарушения на рабочем месте.</w:t>
      </w:r>
    </w:p>
    <w:p w14:paraId="369DDD6B" w14:textId="77777777" w:rsidR="009C2230" w:rsidRPr="003028E3" w:rsidRDefault="009C2230" w:rsidP="009C2230">
      <w:pPr>
        <w:pStyle w:val="SingleTxtG"/>
      </w:pPr>
      <w:r w:rsidRPr="007422D6">
        <w:rPr>
          <w:rFonts w:hint="eastAsia"/>
        </w:rPr>
        <w:t>101.</w:t>
      </w:r>
      <w:r w:rsidRPr="007422D6">
        <w:rPr>
          <w:rFonts w:hint="eastAsia"/>
        </w:rPr>
        <w:tab/>
        <w:t>Экземпляры разъяснений о применении четырех указанных законов, а также ряд других публикаций, в которых разъясняются положения этих законов, можно получить в бюро КРВ и найти на ее сайте. На сайте КРВ также размещается регулярно обновляемая информация по вопросам равенства возможностей в ОАРГ, а также о международных событиях и тенденциях.</w:t>
      </w:r>
    </w:p>
    <w:p w14:paraId="61442471" w14:textId="77777777" w:rsidR="009C2230" w:rsidRPr="003028E3" w:rsidRDefault="009C2230" w:rsidP="009C2230">
      <w:pPr>
        <w:pStyle w:val="H23G"/>
      </w:pPr>
      <w:r w:rsidRPr="007422D6">
        <w:rPr>
          <w:bCs/>
        </w:rPr>
        <w:tab/>
      </w:r>
      <w:r w:rsidRPr="007422D6">
        <w:rPr>
          <w:bCs/>
        </w:rPr>
        <w:tab/>
      </w:r>
      <w:bookmarkStart w:id="54" w:name="_Toc12351641"/>
      <w:r w:rsidRPr="007422D6">
        <w:rPr>
          <w:bCs/>
        </w:rPr>
        <w:t>Поощрение недискриминации и равенства</w:t>
      </w:r>
      <w:bookmarkEnd w:id="54"/>
    </w:p>
    <w:p w14:paraId="0E36E356" w14:textId="77777777" w:rsidR="009C2230" w:rsidRPr="003028E3" w:rsidRDefault="009C2230" w:rsidP="009C2230">
      <w:pPr>
        <w:pStyle w:val="H4G"/>
      </w:pPr>
      <w:r w:rsidRPr="007422D6">
        <w:rPr>
          <w:iCs/>
        </w:rPr>
        <w:tab/>
      </w:r>
      <w:r w:rsidRPr="007422D6">
        <w:rPr>
          <w:iCs/>
        </w:rPr>
        <w:tab/>
        <w:t>Женщины</w:t>
      </w:r>
    </w:p>
    <w:p w14:paraId="6ABC1D60" w14:textId="77777777" w:rsidR="009C2230" w:rsidRPr="003028E3" w:rsidRDefault="009C2230" w:rsidP="009C2230">
      <w:pPr>
        <w:pStyle w:val="SingleTxtG"/>
      </w:pPr>
      <w:r w:rsidRPr="007422D6">
        <w:rPr>
          <w:rFonts w:hint="eastAsia"/>
        </w:rPr>
        <w:t>102.</w:t>
      </w:r>
      <w:r w:rsidRPr="007422D6">
        <w:rPr>
          <w:rFonts w:hint="eastAsia"/>
        </w:rPr>
        <w:tab/>
        <w:t>Мы стремимся применять принципы КЛДЖ и пропагандировать их в обществе.</w:t>
      </w:r>
    </w:p>
    <w:p w14:paraId="4DBFE27C" w14:textId="77777777" w:rsidR="009C2230" w:rsidRPr="003028E3" w:rsidRDefault="009C2230" w:rsidP="009C2230">
      <w:pPr>
        <w:pStyle w:val="SingleTxtG"/>
      </w:pPr>
      <w:r w:rsidRPr="007422D6">
        <w:rPr>
          <w:rFonts w:hint="eastAsia"/>
        </w:rPr>
        <w:t>103.</w:t>
      </w:r>
      <w:r w:rsidRPr="007422D6">
        <w:rPr>
          <w:rFonts w:hint="eastAsia"/>
        </w:rPr>
        <w:tab/>
        <w:t>В 2001 году правительством ОАРГ была учреждена Комиссия по делам женщин (КДЖ) в качестве центрального органа высокого уровня, оказывающего правительству ОАРГ консультативную и иную помощь по проблемам женщин и отстаивающего их интересы. КДЖ поручено проводить стратегический анализ проблем женщин, разрабатывать долгосрочную концепцию и стратегию обеспечения развития и улучшения положения женщин, а также консультировать правительство ОАРГ по вопросам политики и инициативам, имеющим отношение к женщинам.</w:t>
      </w:r>
    </w:p>
    <w:p w14:paraId="55609D7D" w14:textId="77777777" w:rsidR="009C2230" w:rsidRPr="003028E3" w:rsidRDefault="009C2230" w:rsidP="009C2230">
      <w:pPr>
        <w:pStyle w:val="SingleTxtG"/>
      </w:pPr>
      <w:r w:rsidRPr="007422D6">
        <w:rPr>
          <w:rFonts w:hint="eastAsia"/>
        </w:rPr>
        <w:t>104.</w:t>
      </w:r>
      <w:r w:rsidRPr="007422D6">
        <w:rPr>
          <w:rFonts w:hint="eastAsia"/>
        </w:rPr>
        <w:tab/>
        <w:t xml:space="preserve">Для достижения поставленной перед ней цели </w:t>
      </w:r>
      <w:r w:rsidR="00DD4CBA" w:rsidRPr="00DD4CBA">
        <w:rPr>
          <w:rFonts w:hint="eastAsia"/>
        </w:rPr>
        <w:t>–</w:t>
      </w:r>
      <w:r w:rsidRPr="007422D6">
        <w:rPr>
          <w:rFonts w:hint="eastAsia"/>
        </w:rPr>
        <w:t xml:space="preserve"> создать условия для признания за женщинами по праву полагающегося им места в обществе и полноценного осуществления женщинами в ОАРГ своих законных прав и возможностей во всех сферах жизни </w:t>
      </w:r>
      <w:r w:rsidR="00E24F9D" w:rsidRPr="00E24F9D">
        <w:rPr>
          <w:rFonts w:hint="eastAsia"/>
        </w:rPr>
        <w:t>–</w:t>
      </w:r>
      <w:r w:rsidRPr="007422D6">
        <w:rPr>
          <w:rFonts w:hint="eastAsia"/>
        </w:rPr>
        <w:t xml:space="preserve"> КДЖ разработала стратегию, направленную на решение трех задач, а именно на создание благоприятных условий, на расширение прав и возможностей женщин благодаря укреплению их потенциала и проведению просветительской работы среди общественности, а также на защиту интересов и благополучия женщин. Помимо оказания правительству ОАРГ консультативной помощи по вопросам политики и инициативам, имеющим отношение к женщинам, КДЖ также заказывает проведение исследований и опросов, организует информационные и просветительские программы и поддерживает тесные связи с женскими группами и различными группами общества в целях продвижения интересов женщин в ОАРГ.</w:t>
      </w:r>
    </w:p>
    <w:p w14:paraId="7686BA92" w14:textId="77777777" w:rsidR="009C2230" w:rsidRPr="003028E3" w:rsidRDefault="009C2230" w:rsidP="009C2230">
      <w:pPr>
        <w:pStyle w:val="H4G"/>
      </w:pPr>
      <w:r w:rsidRPr="007422D6">
        <w:rPr>
          <w:iCs/>
        </w:rPr>
        <w:tab/>
      </w:r>
      <w:r w:rsidRPr="007422D6">
        <w:rPr>
          <w:iCs/>
        </w:rPr>
        <w:tab/>
        <w:t>Этнические меньшинства</w:t>
      </w:r>
    </w:p>
    <w:p w14:paraId="29B05E0A" w14:textId="77777777" w:rsidR="009C2230" w:rsidRPr="003028E3" w:rsidRDefault="009C2230" w:rsidP="009C2230">
      <w:pPr>
        <w:pStyle w:val="SingleTxtG"/>
      </w:pPr>
      <w:r w:rsidRPr="007422D6">
        <w:rPr>
          <w:rFonts w:hint="eastAsia"/>
        </w:rPr>
        <w:t>105.</w:t>
      </w:r>
      <w:r w:rsidRPr="007422D6">
        <w:rPr>
          <w:rFonts w:hint="eastAsia"/>
        </w:rPr>
        <w:tab/>
        <w:t>Что касается поощрения расового равенства, важную роль в углублении интеграции этнических меньшинств в общество помимо законодательства, по нашему мнению, играют службы помощи и просвещение общественности. В течение ряда лет в ОАРГ был осуществлен ряд инициатив, направленных на поощрение расовой гармонии и содействие интеграции этнических меньшинств в ОАРГ.</w:t>
      </w:r>
    </w:p>
    <w:p w14:paraId="6E1467CB" w14:textId="77777777" w:rsidR="009C2230" w:rsidRPr="003028E3" w:rsidRDefault="009C2230" w:rsidP="009C2230">
      <w:pPr>
        <w:pStyle w:val="SingleTxtG"/>
      </w:pPr>
      <w:r w:rsidRPr="007422D6">
        <w:rPr>
          <w:rFonts w:hint="eastAsia"/>
        </w:rPr>
        <w:t>106.</w:t>
      </w:r>
      <w:r w:rsidRPr="007422D6">
        <w:rPr>
          <w:rFonts w:hint="eastAsia"/>
        </w:rPr>
        <w:tab/>
        <w:t>Комитет по содействию расовой гармонии консультирует правительство ОАРГ по вопросам просвещения общественности и пропаганды в этой области. Группа по межрасовым отношениям Департамента внутренних дел выполняет функции секретариата Комитета и поддерживает связи с общинами этнических меньшинств.</w:t>
      </w:r>
    </w:p>
    <w:p w14:paraId="1FDEBF80" w14:textId="77777777" w:rsidR="009C2230" w:rsidRPr="003028E3" w:rsidRDefault="009C2230" w:rsidP="009C2230">
      <w:pPr>
        <w:pStyle w:val="SingleTxtG"/>
      </w:pPr>
      <w:r w:rsidRPr="007422D6">
        <w:rPr>
          <w:rFonts w:hint="eastAsia"/>
        </w:rPr>
        <w:t>107.</w:t>
      </w:r>
      <w:r w:rsidRPr="007422D6">
        <w:rPr>
          <w:rFonts w:hint="eastAsia"/>
        </w:rPr>
        <w:tab/>
        <w:t>Различные бюро/департаменты правительства ОАРГ, а также государственные органы предоставляют этническим меньшинствам государственные услуги для удовлетворения их потребностей в соответствии со своей сферой компетенции и направленностью своей деятельности, например в области образования, труда, жилья и социального обеспечения. Департамент внутренних дел осуществляет ряд программ, направленных на содействие интеграции этнических меньшинств в общество, либо самостоятельно, либо поддерживая работу НПО. С 2009 года в ОАРГ выделяется финансирование в общей сложности шести центров помощи этническим меньшинствам и двух отделений этих центров, созданных НПО. Они организуют курсы китайского и английского языков, осуществляют программы ориентации, предоставляют консультационные и справочные услуги, проводят занятия по интересам и оказывают другие услуги поддержки этническим меньшинствам. Один из центров также предлагает услуги перевода по телефону и с выездом на место для облегчения доступа этнических меньшинств к государственным услугам. Другие программы включают обучение языку, мероприятия по вовлечению в жизнь общества, радиовещание на языках этнических меньшинств и общинные группы для оказания помощи группам этнических меньшинств.</w:t>
      </w:r>
    </w:p>
    <w:p w14:paraId="3F654294" w14:textId="77777777" w:rsidR="009C2230" w:rsidRPr="003028E3" w:rsidRDefault="009C2230" w:rsidP="009C2230">
      <w:pPr>
        <w:pStyle w:val="SingleTxtG"/>
      </w:pPr>
      <w:r w:rsidRPr="007422D6">
        <w:rPr>
          <w:rFonts w:hint="eastAsia"/>
        </w:rPr>
        <w:t>108.</w:t>
      </w:r>
      <w:r w:rsidRPr="007422D6">
        <w:rPr>
          <w:rFonts w:hint="eastAsia"/>
        </w:rPr>
        <w:tab/>
        <w:t>В</w:t>
      </w:r>
      <w:r w:rsidR="00FC02E8">
        <w:rPr>
          <w:rFonts w:hint="eastAsia"/>
        </w:rPr>
        <w:t xml:space="preserve"> </w:t>
      </w:r>
      <w:r w:rsidRPr="007422D6">
        <w:rPr>
          <w:rFonts w:hint="eastAsia"/>
        </w:rPr>
        <w:t>2010 году правительство ОАРГ также выпустило для соответствующих бюро и департаментов правительства и государственных органов административные руководящие принципы поощрения расового равенства и обеспечения равного доступа этнических меньшинств к государственным услугам в ключевых областях, которые должны учитываться при разработке, осуществлении и оценке политических и иных мер. В 2010 году этими руководящими принципами пользовались 14 бюро и департаментов правительства и государственных органов; к 2015 году их число увеличилось до 23. Правительство ОАРГ будет впредь следить за тем, насколько широко и активно применяются эти руководящие принципы.</w:t>
      </w:r>
    </w:p>
    <w:p w14:paraId="2AB800A2" w14:textId="77777777" w:rsidR="009C2230" w:rsidRPr="003028E3" w:rsidRDefault="009C2230" w:rsidP="009C2230">
      <w:pPr>
        <w:pStyle w:val="H4G"/>
      </w:pPr>
      <w:r w:rsidRPr="007422D6">
        <w:rPr>
          <w:iCs/>
        </w:rPr>
        <w:tab/>
      </w:r>
      <w:r w:rsidRPr="007422D6">
        <w:rPr>
          <w:iCs/>
        </w:rPr>
        <w:tab/>
        <w:t>Права детей</w:t>
      </w:r>
    </w:p>
    <w:p w14:paraId="6FFD0AA9" w14:textId="77777777" w:rsidR="009C2230" w:rsidRPr="003028E3" w:rsidRDefault="009C2230" w:rsidP="009C2230">
      <w:pPr>
        <w:pStyle w:val="SingleTxtG"/>
      </w:pPr>
      <w:r w:rsidRPr="007422D6">
        <w:rPr>
          <w:rFonts w:hint="eastAsia"/>
        </w:rPr>
        <w:t>109.</w:t>
      </w:r>
      <w:r w:rsidRPr="007422D6">
        <w:rPr>
          <w:rFonts w:hint="eastAsia"/>
        </w:rPr>
        <w:tab/>
        <w:t>Вопросам, касающимся детей, в ОАРГ посвящен широкий круг политических программ. Ими ведают соответствующие политические бюро правительства ОАРГ. Наилучшие интересы детей неизменно учитываются при принятии любых соответствующих решений, в том числе законодательных и политических мер, а также принимаются во внимание в текущей работе. В случае необходимости для соблюдения этого требования у Департамента юстиции могут запрашиваться консультации по правам человека и международному праву.</w:t>
      </w:r>
    </w:p>
    <w:p w14:paraId="598EDDFE" w14:textId="77777777" w:rsidR="009C2230" w:rsidRPr="003028E3" w:rsidRDefault="009C2230" w:rsidP="009C2230">
      <w:pPr>
        <w:pStyle w:val="SingleTxtG"/>
      </w:pPr>
      <w:r w:rsidRPr="007422D6">
        <w:rPr>
          <w:rFonts w:hint="eastAsia"/>
        </w:rPr>
        <w:t>110.</w:t>
      </w:r>
      <w:r w:rsidRPr="007422D6">
        <w:rPr>
          <w:rFonts w:hint="eastAsia"/>
        </w:rPr>
        <w:tab/>
        <w:t>К некоторым политическим и иным мерам могут иметь отношение сразу несколько бюро или департаментов. В рамках правительства ОАРГ созданы механизмы, координирующие и организующие работу по реализации политических и иных мер с участием разных бюро и департаментов, призванную обеспечить уделение надлежащего внимания интересам детей.</w:t>
      </w:r>
    </w:p>
    <w:p w14:paraId="58E748FE" w14:textId="77777777" w:rsidR="009C2230" w:rsidRPr="003028E3" w:rsidRDefault="009C2230" w:rsidP="009C2230">
      <w:pPr>
        <w:pStyle w:val="SingleTxtG"/>
      </w:pPr>
      <w:r w:rsidRPr="007422D6">
        <w:rPr>
          <w:rFonts w:hint="eastAsia"/>
        </w:rPr>
        <w:t>111.</w:t>
      </w:r>
      <w:r w:rsidRPr="007422D6">
        <w:rPr>
          <w:rFonts w:hint="eastAsia"/>
        </w:rPr>
        <w:tab/>
        <w:t>Механизм финансирования просветительской работы по вопросам прав детей оказывает общественным организациям помощь в финансировании информационно-просветительских проектов, призванных привлечь внимание общественности к Конвенции о правах ребенка и закрепленным в ней правам детей, а также углубить их понимание. Заявки на финансирование принимаются ежегодно в рамках открытого конкурса.</w:t>
      </w:r>
    </w:p>
    <w:p w14:paraId="3BE80B72" w14:textId="77777777" w:rsidR="009C2230" w:rsidRPr="003028E3" w:rsidRDefault="009C2230" w:rsidP="009C2230">
      <w:pPr>
        <w:pStyle w:val="H4G"/>
      </w:pPr>
      <w:r w:rsidRPr="007422D6">
        <w:rPr>
          <w:iCs/>
        </w:rPr>
        <w:tab/>
      </w:r>
      <w:r w:rsidRPr="007422D6">
        <w:rPr>
          <w:iCs/>
        </w:rPr>
        <w:tab/>
        <w:t>Люди с иной сексуальной ориентацией и трансгендеры</w:t>
      </w:r>
    </w:p>
    <w:p w14:paraId="500BDFB7" w14:textId="77777777" w:rsidR="009C2230" w:rsidRPr="003028E3" w:rsidRDefault="009C2230" w:rsidP="009C2230">
      <w:pPr>
        <w:pStyle w:val="SingleTxtG"/>
      </w:pPr>
      <w:r w:rsidRPr="007422D6">
        <w:t>112.</w:t>
      </w:r>
      <w:r w:rsidRPr="007422D6">
        <w:tab/>
        <w:t>Правительство ОАРГ привержено делу поощрения культуры и ценностей всеохватности и взаимного уважения и поощрения равных возможностей для людей с иной сексуальной ориентацией и трансгендеров. Меры по пропаганде и просвещению включают, в частности, программу финансирования мероприятий по созданию равных возможностей (для лиц с иной сексуальной ориентацией), в рамках которой осуществляется финансовая поддержка перспективных общинных проектов, направленных на поощрение равенства возможностей вне зависимости от сексуальной ориентации или гендерной идентичности либо на оказание помощи сексуальным меньшинствам;</w:t>
      </w:r>
      <w:r w:rsidR="00FC02E8">
        <w:t xml:space="preserve"> </w:t>
      </w:r>
      <w:r w:rsidRPr="007422D6">
        <w:t>пропаганду Кодекса практики по борьбе с дискриминацией при приеме на работу по признаку сексуальной ориентации; организацию работы горячей линии для ответа на вопросы и приема жалоб, связанных с сексуальной ориентацией и гендерной идентичностью; а также</w:t>
      </w:r>
      <w:r w:rsidR="00FC02E8">
        <w:t xml:space="preserve"> </w:t>
      </w:r>
      <w:r w:rsidRPr="007422D6">
        <w:t xml:space="preserve">выпуск и трансляцию по телевидению и радио СР и проведении в различных средствах массовой информации рекламных кампаний, направленных на утверждение принципов </w:t>
      </w:r>
      <w:r w:rsidR="00FC02E8">
        <w:t>«</w:t>
      </w:r>
      <w:r w:rsidRPr="007422D6">
        <w:t>ликвидации дискриминации и включения в общество</w:t>
      </w:r>
      <w:r w:rsidR="00FC02E8">
        <w:t>»</w:t>
      </w:r>
      <w:r w:rsidRPr="007422D6">
        <w:t xml:space="preserve"> людей с иной сексуальной ориентацией и трансгендеров.</w:t>
      </w:r>
    </w:p>
    <w:p w14:paraId="72925E5F" w14:textId="77777777" w:rsidR="009C2230" w:rsidRPr="003028E3" w:rsidRDefault="009C2230" w:rsidP="009C2230">
      <w:pPr>
        <w:pStyle w:val="SingleTxtG"/>
      </w:pPr>
      <w:r w:rsidRPr="007422D6">
        <w:t>113.</w:t>
      </w:r>
      <w:r w:rsidRPr="007422D6">
        <w:tab/>
        <w:t>В июне 2013 года правительство ОАРГ создало консультативную группу по ликвидации дискриминации в отношении сексуальных меньшинств для предоставления консультаций по стратегиям и мерам пол ликвидации дискриминации. В период своей работы Консультативная группа подвела итоги основных событий, происшедших в Гонконге и связанным с сексуальными меньшинствами, провела качественное исследование дискриминации сексуальных меньшинств, провела исследование соответствующего опыта и законодательства в других юрисдикциях, провела встречи с заинтересованными группами и в декабре 2015 года рекомендовала правительству ОАРГ ряд стратегий и мер. Мы ведем активную работу по выполнению рекомендаций Консультативной группы.</w:t>
      </w:r>
    </w:p>
    <w:p w14:paraId="743B5C1E" w14:textId="77777777" w:rsidR="009C2230" w:rsidRPr="003028E3" w:rsidRDefault="009C2230" w:rsidP="009C2230">
      <w:pPr>
        <w:pStyle w:val="H4G"/>
      </w:pPr>
      <w:r w:rsidRPr="007422D6">
        <w:rPr>
          <w:iCs/>
        </w:rPr>
        <w:tab/>
      </w:r>
      <w:r w:rsidRPr="007422D6">
        <w:rPr>
          <w:iCs/>
        </w:rPr>
        <w:tab/>
        <w:t>Инвалиды</w:t>
      </w:r>
    </w:p>
    <w:p w14:paraId="2449E39C" w14:textId="77777777" w:rsidR="009C2230" w:rsidRPr="003028E3" w:rsidRDefault="009C2230" w:rsidP="009C2230">
      <w:pPr>
        <w:pStyle w:val="SingleTxtG"/>
      </w:pPr>
      <w:r w:rsidRPr="007422D6">
        <w:t>114.</w:t>
      </w:r>
      <w:r w:rsidRPr="007422D6">
        <w:tab/>
        <w:t>КПИ вступила в силу для Китайской Народной Республики, включая ОАРГ,</w:t>
      </w:r>
      <w:r w:rsidR="00DD4CBA">
        <w:br/>
      </w:r>
      <w:r w:rsidRPr="007422D6">
        <w:t>31 августа 2008 года. Государства</w:t>
      </w:r>
      <w:r w:rsidR="0017299B">
        <w:t>-</w:t>
      </w:r>
      <w:r w:rsidRPr="007422D6">
        <w:t xml:space="preserve">участники обязуются принимать все необходимые законодательные, административные и иные меры для обеспечения реализации прав инвалидов, закрепленных в Конвенции. В свете того что </w:t>
      </w:r>
      <w:proofErr w:type="spellStart"/>
      <w:r w:rsidRPr="007422D6">
        <w:t>ЗДИ</w:t>
      </w:r>
      <w:proofErr w:type="spellEnd"/>
      <w:r w:rsidRPr="007422D6">
        <w:t xml:space="preserve"> обеспечивает защиту от дискриминации по признаку инвалидности, а Закон о психическом здоровье</w:t>
      </w:r>
      <w:r w:rsidR="00DD4CBA">
        <w:br/>
      </w:r>
      <w:r w:rsidRPr="007422D6">
        <w:t xml:space="preserve">(раздел 136 </w:t>
      </w:r>
      <w:proofErr w:type="gramStart"/>
      <w:r w:rsidRPr="007422D6">
        <w:t>свода</w:t>
      </w:r>
      <w:proofErr w:type="gramEnd"/>
      <w:r w:rsidRPr="007422D6">
        <w:t xml:space="preserve"> законов) защищает права лиц с психическими расстройствами, в ОАРГ созданы все условия для достижения целей Конвенции.</w:t>
      </w:r>
    </w:p>
    <w:p w14:paraId="41ADA320" w14:textId="77777777" w:rsidR="009C2230" w:rsidRPr="003028E3" w:rsidRDefault="009C2230" w:rsidP="009C2230">
      <w:pPr>
        <w:pStyle w:val="SingleTxtG"/>
      </w:pPr>
      <w:r w:rsidRPr="007422D6">
        <w:t>115.</w:t>
      </w:r>
      <w:r w:rsidRPr="007422D6">
        <w:tab/>
        <w:t>Были приняты меры для обеспечения того, чтобы все бюро и департаменты в полной мере осознавали необходимость должного учета положений Конвенции при разработке политики и осуществлении программ. Правительство ОАРГ работает с Консультативным комитетом по реабилитации (главным консультативным органом правительства ОАРГ по вопросам благополучия инвалидов и разработки и реализации политики и услуг реабилитации в ОАРГ), с реабилитационным сектором и с широкой общественностью, добиваясь соблюдения требований Конвенции, помогая инвалидам принимать более активное участие в жизни общества и содействуя осуществлению ими своих прав, предусмотренных в Конвенции. Кроме того, правительство ОАРГ ведет активную работу по пропаганде духа и основных ценностей Конвенции в обществе.</w:t>
      </w:r>
    </w:p>
    <w:p w14:paraId="3D57D918" w14:textId="77777777" w:rsidR="00FC02E8" w:rsidRDefault="009C2230" w:rsidP="009C2230">
      <w:pPr>
        <w:pStyle w:val="SingleTxtG"/>
        <w:jc w:val="center"/>
        <w:rPr>
          <w:u w:val="single"/>
        </w:rPr>
      </w:pPr>
      <w:r>
        <w:rPr>
          <w:u w:val="single"/>
        </w:rPr>
        <w:tab/>
      </w:r>
      <w:r>
        <w:rPr>
          <w:u w:val="single"/>
        </w:rPr>
        <w:tab/>
      </w:r>
      <w:r>
        <w:rPr>
          <w:u w:val="single"/>
        </w:rPr>
        <w:tab/>
      </w:r>
      <w:r w:rsidR="00DD4CBA">
        <w:rPr>
          <w:u w:val="single"/>
        </w:rPr>
        <w:tab/>
      </w:r>
    </w:p>
    <w:sectPr w:rsidR="00FC02E8" w:rsidSect="009C223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33B6" w14:textId="77777777" w:rsidR="00303371" w:rsidRPr="00A312BC" w:rsidRDefault="00303371" w:rsidP="00A312BC"/>
  </w:endnote>
  <w:endnote w:type="continuationSeparator" w:id="0">
    <w:p w14:paraId="22C95E53" w14:textId="77777777" w:rsidR="00303371" w:rsidRPr="00A312BC" w:rsidRDefault="0030337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431B" w14:textId="77777777" w:rsidR="00303371" w:rsidRPr="009C2230" w:rsidRDefault="00303371">
    <w:pPr>
      <w:pStyle w:val="a8"/>
    </w:pPr>
    <w:r w:rsidRPr="009C2230">
      <w:rPr>
        <w:b/>
        <w:sz w:val="18"/>
      </w:rPr>
      <w:fldChar w:fldCharType="begin"/>
    </w:r>
    <w:r w:rsidRPr="009C2230">
      <w:rPr>
        <w:b/>
        <w:sz w:val="18"/>
      </w:rPr>
      <w:instrText xml:space="preserve"> PAGE  \* MERGEFORMAT </w:instrText>
    </w:r>
    <w:r w:rsidRPr="009C2230">
      <w:rPr>
        <w:b/>
        <w:sz w:val="18"/>
      </w:rPr>
      <w:fldChar w:fldCharType="separate"/>
    </w:r>
    <w:r w:rsidRPr="009C2230">
      <w:rPr>
        <w:b/>
        <w:noProof/>
        <w:sz w:val="18"/>
      </w:rPr>
      <w:t>2</w:t>
    </w:r>
    <w:r w:rsidRPr="009C2230">
      <w:rPr>
        <w:b/>
        <w:sz w:val="18"/>
      </w:rPr>
      <w:fldChar w:fldCharType="end"/>
    </w:r>
    <w:r>
      <w:rPr>
        <w:b/>
        <w:sz w:val="18"/>
      </w:rPr>
      <w:tab/>
    </w:r>
    <w:r>
      <w:t>GE.19-11005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D2ED" w14:textId="77777777" w:rsidR="00303371" w:rsidRPr="009C2230" w:rsidRDefault="00303371" w:rsidP="009C2230">
    <w:pPr>
      <w:pStyle w:val="a8"/>
      <w:tabs>
        <w:tab w:val="clear" w:pos="9639"/>
        <w:tab w:val="right" w:pos="9638"/>
      </w:tabs>
      <w:rPr>
        <w:b/>
        <w:sz w:val="18"/>
      </w:rPr>
    </w:pPr>
    <w:r>
      <w:t>GE.19-11005</w:t>
    </w:r>
    <w:r>
      <w:tab/>
    </w:r>
    <w:r w:rsidRPr="009C2230">
      <w:rPr>
        <w:b/>
        <w:sz w:val="18"/>
      </w:rPr>
      <w:fldChar w:fldCharType="begin"/>
    </w:r>
    <w:r w:rsidRPr="009C2230">
      <w:rPr>
        <w:b/>
        <w:sz w:val="18"/>
      </w:rPr>
      <w:instrText xml:space="preserve"> PAGE  \* MERGEFORMAT </w:instrText>
    </w:r>
    <w:r w:rsidRPr="009C2230">
      <w:rPr>
        <w:b/>
        <w:sz w:val="18"/>
      </w:rPr>
      <w:fldChar w:fldCharType="separate"/>
    </w:r>
    <w:r w:rsidRPr="009C2230">
      <w:rPr>
        <w:b/>
        <w:noProof/>
        <w:sz w:val="18"/>
      </w:rPr>
      <w:t>3</w:t>
    </w:r>
    <w:r w:rsidRPr="009C22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5A13" w14:textId="77777777" w:rsidR="00303371" w:rsidRPr="009C2230" w:rsidRDefault="00303371" w:rsidP="009C2230">
    <w:pPr>
      <w:spacing w:before="120" w:line="240" w:lineRule="auto"/>
    </w:pPr>
    <w:r>
      <w:t>GE.</w:t>
    </w:r>
    <w:r>
      <w:rPr>
        <w:b/>
        <w:noProof/>
        <w:lang w:val="fr-CH" w:eastAsia="fr-CH"/>
      </w:rPr>
      <w:drawing>
        <wp:anchor distT="0" distB="0" distL="114300" distR="114300" simplePos="0" relativeHeight="251658240" behindDoc="0" locked="0" layoutInCell="1" allowOverlap="1" wp14:anchorId="4B3E8BA3" wp14:editId="397FCAD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19-11005  (R)</w:t>
    </w:r>
    <w:r>
      <w:rPr>
        <w:lang w:val="en-US"/>
      </w:rPr>
      <w:t xml:space="preserve">  151019  171019</w:t>
    </w:r>
    <w:r>
      <w:br/>
    </w:r>
    <w:r w:rsidRPr="009C2230">
      <w:rPr>
        <w:rFonts w:ascii="C39T30Lfz" w:hAnsi="C39T30Lfz"/>
        <w:kern w:val="14"/>
        <w:sz w:val="56"/>
      </w:rPr>
      <w:t></w:t>
    </w:r>
    <w:r w:rsidRPr="009C2230">
      <w:rPr>
        <w:rFonts w:ascii="C39T30Lfz" w:hAnsi="C39T30Lfz"/>
        <w:kern w:val="14"/>
        <w:sz w:val="56"/>
      </w:rPr>
      <w:t></w:t>
    </w:r>
    <w:r w:rsidRPr="009C2230">
      <w:rPr>
        <w:rFonts w:ascii="C39T30Lfz" w:hAnsi="C39T30Lfz"/>
        <w:kern w:val="14"/>
        <w:sz w:val="56"/>
      </w:rPr>
      <w:t></w:t>
    </w:r>
    <w:r w:rsidRPr="009C2230">
      <w:rPr>
        <w:rFonts w:ascii="C39T30Lfz" w:hAnsi="C39T30Lfz"/>
        <w:kern w:val="14"/>
        <w:sz w:val="56"/>
      </w:rPr>
      <w:t></w:t>
    </w:r>
    <w:r w:rsidRPr="009C2230">
      <w:rPr>
        <w:rFonts w:ascii="C39T30Lfz" w:hAnsi="C39T30Lfz"/>
        <w:kern w:val="14"/>
        <w:sz w:val="56"/>
      </w:rPr>
      <w:t></w:t>
    </w:r>
    <w:r w:rsidRPr="009C2230">
      <w:rPr>
        <w:rFonts w:ascii="C39T30Lfz" w:hAnsi="C39T30Lfz"/>
        <w:kern w:val="14"/>
        <w:sz w:val="56"/>
      </w:rPr>
      <w:t></w:t>
    </w:r>
    <w:r w:rsidRPr="009C2230">
      <w:rPr>
        <w:rFonts w:ascii="C39T30Lfz" w:hAnsi="C39T30Lfz"/>
        <w:kern w:val="14"/>
        <w:sz w:val="56"/>
      </w:rPr>
      <w:t></w:t>
    </w:r>
    <w:r w:rsidRPr="009C2230">
      <w:rPr>
        <w:rFonts w:ascii="C39T30Lfz" w:hAnsi="C39T30Lfz"/>
        <w:kern w:val="14"/>
        <w:sz w:val="56"/>
      </w:rPr>
      <w:t></w:t>
    </w:r>
    <w:r w:rsidRPr="009C2230">
      <w:rPr>
        <w:rFonts w:ascii="C39T30Lfz" w:hAnsi="C39T30Lfz"/>
        <w:kern w:val="14"/>
        <w:sz w:val="56"/>
      </w:rPr>
      <w:t></w:t>
    </w:r>
    <w:r>
      <w:rPr>
        <w:noProof/>
      </w:rPr>
      <w:drawing>
        <wp:anchor distT="0" distB="0" distL="114300" distR="114300" simplePos="0" relativeHeight="251659264" behindDoc="0" locked="0" layoutInCell="1" allowOverlap="1" wp14:anchorId="7695D07A" wp14:editId="6C6BDCDE">
          <wp:simplePos x="0" y="0"/>
          <wp:positionH relativeFrom="margin">
            <wp:posOffset>5489575</wp:posOffset>
          </wp:positionH>
          <wp:positionV relativeFrom="margin">
            <wp:posOffset>8855710</wp:posOffset>
          </wp:positionV>
          <wp:extent cx="638175" cy="638175"/>
          <wp:effectExtent l="0" t="0" r="9525" b="9525"/>
          <wp:wrapNone/>
          <wp:docPr id="2" name="Рисунок 1" descr="https://undocs.org/m2/QRCode.ashx?DS=HRI/CORE/CHN-HKG/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HN-HKG/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E48F" w14:textId="77777777" w:rsidR="00303371" w:rsidRPr="001075E9" w:rsidRDefault="00303371" w:rsidP="001075E9">
      <w:pPr>
        <w:tabs>
          <w:tab w:val="right" w:pos="2155"/>
        </w:tabs>
        <w:spacing w:after="80" w:line="240" w:lineRule="auto"/>
        <w:ind w:left="680"/>
        <w:rPr>
          <w:u w:val="single"/>
        </w:rPr>
      </w:pPr>
      <w:r>
        <w:rPr>
          <w:u w:val="single"/>
        </w:rPr>
        <w:tab/>
      </w:r>
    </w:p>
  </w:footnote>
  <w:footnote w:type="continuationSeparator" w:id="0">
    <w:p w14:paraId="3995A7DE" w14:textId="77777777" w:rsidR="00303371" w:rsidRDefault="00303371" w:rsidP="00407B78">
      <w:pPr>
        <w:tabs>
          <w:tab w:val="right" w:pos="2155"/>
        </w:tabs>
        <w:spacing w:after="80"/>
        <w:ind w:left="680"/>
        <w:rPr>
          <w:u w:val="single"/>
        </w:rPr>
      </w:pPr>
      <w:r>
        <w:rPr>
          <w:u w:val="single"/>
        </w:rPr>
        <w:tab/>
      </w:r>
    </w:p>
  </w:footnote>
  <w:footnote w:id="1">
    <w:p w14:paraId="010516EE" w14:textId="77777777" w:rsidR="00303371" w:rsidRPr="003028E3" w:rsidRDefault="00303371" w:rsidP="009C2230">
      <w:pPr>
        <w:pStyle w:val="ad"/>
      </w:pPr>
      <w:r w:rsidRPr="00F81FAD">
        <w:tab/>
      </w:r>
      <w:r w:rsidRPr="009C2230">
        <w:rPr>
          <w:rStyle w:val="aa"/>
          <w:szCs w:val="18"/>
          <w:vertAlign w:val="baseline"/>
        </w:rPr>
        <w:t>*</w:t>
      </w:r>
      <w:r w:rsidRPr="00F81FAD">
        <w:rPr>
          <w:sz w:val="20"/>
        </w:rPr>
        <w:tab/>
      </w:r>
      <w:r w:rsidRPr="00F81FAD">
        <w:t>Настоящий документ выпускается без официального редактирования.</w:t>
      </w:r>
    </w:p>
  </w:footnote>
  <w:footnote w:id="2">
    <w:p w14:paraId="3B4D59B0" w14:textId="77777777" w:rsidR="00303371" w:rsidRPr="003028E3" w:rsidRDefault="00303371" w:rsidP="009C2230">
      <w:pPr>
        <w:pStyle w:val="ad"/>
        <w:spacing w:after="240"/>
      </w:pPr>
      <w:r w:rsidRPr="009C2230">
        <w:rPr>
          <w:rStyle w:val="aa"/>
          <w:szCs w:val="18"/>
          <w:vertAlign w:val="baseline"/>
        </w:rPr>
        <w:tab/>
        <w:t>**</w:t>
      </w:r>
      <w:r w:rsidRPr="00394967">
        <w:rPr>
          <w:rStyle w:val="aa"/>
          <w:sz w:val="20"/>
        </w:rPr>
        <w:tab/>
      </w:r>
      <w:r w:rsidRPr="00F81FAD">
        <w:t>Приложения хранятся в секретариате и доступны для ознакомления. С ними также можно ознакомиться на сайте Управления Верховного комиссара Организации Объединенных Наций по правам человека.</w:t>
      </w:r>
    </w:p>
  </w:footnote>
  <w:footnote w:id="3">
    <w:p w14:paraId="21769BBE" w14:textId="77777777" w:rsidR="00303371" w:rsidRPr="003028E3" w:rsidRDefault="00303371" w:rsidP="009C2230">
      <w:pPr>
        <w:pStyle w:val="ad"/>
        <w:rPr>
          <w:sz w:val="22"/>
          <w:szCs w:val="22"/>
          <w:lang w:eastAsia="zh-TW"/>
        </w:rPr>
      </w:pPr>
      <w:r w:rsidRPr="00AD1F6F">
        <w:rPr>
          <w:sz w:val="22"/>
          <w:szCs w:val="22"/>
        </w:rPr>
        <w:tab/>
      </w:r>
      <w:r w:rsidRPr="00532D80">
        <w:rPr>
          <w:rStyle w:val="aa"/>
        </w:rPr>
        <w:footnoteRef/>
      </w:r>
      <w:r w:rsidRPr="00AD1F6F">
        <w:rPr>
          <w:sz w:val="22"/>
          <w:szCs w:val="22"/>
        </w:rPr>
        <w:tab/>
      </w:r>
      <w:r w:rsidRPr="00AD1F6F">
        <w:rPr>
          <w:rStyle w:val="ae"/>
          <w:rFonts w:hint="eastAsia"/>
        </w:rPr>
        <w:t>Эта цифра включает 39 погибших в результате столкновения 1 октября 2012 года прогулочного теплохода с паромом у острова Ламма.</w:t>
      </w:r>
    </w:p>
  </w:footnote>
  <w:footnote w:id="4">
    <w:p w14:paraId="5E418F0E" w14:textId="77777777" w:rsidR="00303371" w:rsidRPr="003028E3" w:rsidRDefault="00303371" w:rsidP="009C2230">
      <w:pPr>
        <w:pStyle w:val="ad"/>
      </w:pPr>
      <w:r w:rsidRPr="00AD1F6F">
        <w:tab/>
      </w:r>
      <w:r w:rsidRPr="00532D80">
        <w:rPr>
          <w:rStyle w:val="aa"/>
        </w:rPr>
        <w:footnoteRef/>
      </w:r>
      <w:r w:rsidRPr="00AD1F6F">
        <w:tab/>
        <w:t xml:space="preserve">Пример </w:t>
      </w:r>
      <w:r w:rsidRPr="00FD3144">
        <w:t>–</w:t>
      </w:r>
      <w:r w:rsidRPr="00AD1F6F">
        <w:t xml:space="preserve"> закон о преступлениях (пытках) (раздел 427 свода законов), который был принят для введения в действие в Гонконге статей 4 и 5 Конвенции против пыток и других жестоких, бесчеловечных или унижающих достоинство видов обращения и наказания.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560D" w14:textId="5FF28BA2" w:rsidR="00303371" w:rsidRPr="009C2230" w:rsidRDefault="00303371">
    <w:pPr>
      <w:pStyle w:val="a5"/>
    </w:pPr>
    <w:r>
      <w:fldChar w:fldCharType="begin"/>
    </w:r>
    <w:r>
      <w:instrText xml:space="preserve"> TITLE  \* MERGEFORMAT </w:instrText>
    </w:r>
    <w:r>
      <w:fldChar w:fldCharType="separate"/>
    </w:r>
    <w:proofErr w:type="spellStart"/>
    <w:r w:rsidR="00C712F4">
      <w:t>HRI</w:t>
    </w:r>
    <w:proofErr w:type="spellEnd"/>
    <w:r w:rsidR="00C712F4">
      <w:t>/CORE/</w:t>
    </w:r>
    <w:proofErr w:type="spellStart"/>
    <w:r w:rsidR="00C712F4">
      <w:t>CHN-HKG</w:t>
    </w:r>
    <w:proofErr w:type="spellEnd"/>
    <w:r w:rsidR="00C712F4">
      <w:t>/2019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A7A7" w14:textId="171E67B5" w:rsidR="00303371" w:rsidRPr="009C2230" w:rsidRDefault="00303371" w:rsidP="009C2230">
    <w:pPr>
      <w:pStyle w:val="a5"/>
      <w:jc w:val="right"/>
    </w:pPr>
    <w:r>
      <w:fldChar w:fldCharType="begin"/>
    </w:r>
    <w:r>
      <w:instrText xml:space="preserve"> TITLE  \* MERGEFORMAT </w:instrText>
    </w:r>
    <w:r>
      <w:fldChar w:fldCharType="separate"/>
    </w:r>
    <w:proofErr w:type="spellStart"/>
    <w:r w:rsidR="00C712F4">
      <w:t>HRI</w:t>
    </w:r>
    <w:proofErr w:type="spellEnd"/>
    <w:r w:rsidR="00C712F4">
      <w:t>/CORE/</w:t>
    </w:r>
    <w:proofErr w:type="spellStart"/>
    <w:r w:rsidR="00C712F4">
      <w:t>CHN-HKG</w:t>
    </w:r>
    <w:proofErr w:type="spellEnd"/>
    <w:r w:rsidR="00C712F4">
      <w:t>/2019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1FC40142">
      <w:start w:val="1"/>
      <w:numFmt w:val="decimal"/>
      <w:lvlText w:val="%1."/>
      <w:lvlJc w:val="left"/>
      <w:pPr>
        <w:tabs>
          <w:tab w:val="num" w:pos="0"/>
        </w:tabs>
        <w:ind w:left="1134" w:firstLine="0"/>
      </w:pPr>
      <w:rPr>
        <w:rFonts w:ascii="Times New Roman" w:hAnsi="Times New Roman" w:hint="default"/>
        <w:b w:val="0"/>
        <w:i w:val="0"/>
        <w:sz w:val="20"/>
      </w:rPr>
    </w:lvl>
    <w:lvl w:ilvl="1" w:tplc="AECC6CD4" w:tentative="1">
      <w:start w:val="1"/>
      <w:numFmt w:val="lowerLetter"/>
      <w:lvlText w:val="%2."/>
      <w:lvlJc w:val="left"/>
      <w:pPr>
        <w:tabs>
          <w:tab w:val="num" w:pos="1440"/>
        </w:tabs>
        <w:ind w:left="1440" w:hanging="360"/>
      </w:pPr>
    </w:lvl>
    <w:lvl w:ilvl="2" w:tplc="6CE27CBA" w:tentative="1">
      <w:start w:val="1"/>
      <w:numFmt w:val="lowerRoman"/>
      <w:lvlText w:val="%3."/>
      <w:lvlJc w:val="right"/>
      <w:pPr>
        <w:tabs>
          <w:tab w:val="num" w:pos="2160"/>
        </w:tabs>
        <w:ind w:left="2160" w:hanging="180"/>
      </w:pPr>
    </w:lvl>
    <w:lvl w:ilvl="3" w:tplc="8648D6B4" w:tentative="1">
      <w:start w:val="1"/>
      <w:numFmt w:val="decimal"/>
      <w:lvlText w:val="%4."/>
      <w:lvlJc w:val="left"/>
      <w:pPr>
        <w:tabs>
          <w:tab w:val="num" w:pos="2880"/>
        </w:tabs>
        <w:ind w:left="2880" w:hanging="360"/>
      </w:pPr>
    </w:lvl>
    <w:lvl w:ilvl="4" w:tplc="40C06CBA" w:tentative="1">
      <w:start w:val="1"/>
      <w:numFmt w:val="lowerLetter"/>
      <w:lvlText w:val="%5."/>
      <w:lvlJc w:val="left"/>
      <w:pPr>
        <w:tabs>
          <w:tab w:val="num" w:pos="3600"/>
        </w:tabs>
        <w:ind w:left="3600" w:hanging="360"/>
      </w:pPr>
    </w:lvl>
    <w:lvl w:ilvl="5" w:tplc="A4A4A43A" w:tentative="1">
      <w:start w:val="1"/>
      <w:numFmt w:val="lowerRoman"/>
      <w:lvlText w:val="%6."/>
      <w:lvlJc w:val="right"/>
      <w:pPr>
        <w:tabs>
          <w:tab w:val="num" w:pos="4320"/>
        </w:tabs>
        <w:ind w:left="4320" w:hanging="180"/>
      </w:pPr>
    </w:lvl>
    <w:lvl w:ilvl="6" w:tplc="F46A4E30" w:tentative="1">
      <w:start w:val="1"/>
      <w:numFmt w:val="decimal"/>
      <w:lvlText w:val="%7."/>
      <w:lvlJc w:val="left"/>
      <w:pPr>
        <w:tabs>
          <w:tab w:val="num" w:pos="5040"/>
        </w:tabs>
        <w:ind w:left="5040" w:hanging="360"/>
      </w:pPr>
    </w:lvl>
    <w:lvl w:ilvl="7" w:tplc="099E383A" w:tentative="1">
      <w:start w:val="1"/>
      <w:numFmt w:val="lowerLetter"/>
      <w:lvlText w:val="%8."/>
      <w:lvlJc w:val="left"/>
      <w:pPr>
        <w:tabs>
          <w:tab w:val="num" w:pos="5760"/>
        </w:tabs>
        <w:ind w:left="5760" w:hanging="360"/>
      </w:pPr>
    </w:lvl>
    <w:lvl w:ilvl="8" w:tplc="66CE6956" w:tentative="1">
      <w:start w:val="1"/>
      <w:numFmt w:val="lowerRoman"/>
      <w:lvlText w:val="%9."/>
      <w:lvlJc w:val="right"/>
      <w:pPr>
        <w:tabs>
          <w:tab w:val="num" w:pos="6480"/>
        </w:tabs>
        <w:ind w:left="6480" w:hanging="180"/>
      </w:pPr>
    </w:lvl>
  </w:abstractNum>
  <w:abstractNum w:abstractNumId="11"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2"/>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6"/>
  </w:num>
  <w:num w:numId="19">
    <w:abstractNumId w:val="17"/>
  </w:num>
  <w:num w:numId="20">
    <w:abstractNumId w:val="15"/>
  </w:num>
  <w:num w:numId="21">
    <w:abstractNumId w:val="16"/>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2"/>
    <w:rsid w:val="00033EE1"/>
    <w:rsid w:val="00042B72"/>
    <w:rsid w:val="0005105F"/>
    <w:rsid w:val="000558BD"/>
    <w:rsid w:val="00081D9E"/>
    <w:rsid w:val="000B3881"/>
    <w:rsid w:val="000B57E7"/>
    <w:rsid w:val="000B6373"/>
    <w:rsid w:val="000F09DF"/>
    <w:rsid w:val="000F61B2"/>
    <w:rsid w:val="001075E9"/>
    <w:rsid w:val="0017299B"/>
    <w:rsid w:val="00180183"/>
    <w:rsid w:val="0018024D"/>
    <w:rsid w:val="00181061"/>
    <w:rsid w:val="0018649F"/>
    <w:rsid w:val="00196389"/>
    <w:rsid w:val="001B3EF6"/>
    <w:rsid w:val="001C7A89"/>
    <w:rsid w:val="001F4407"/>
    <w:rsid w:val="0020092A"/>
    <w:rsid w:val="00205D9D"/>
    <w:rsid w:val="002115B8"/>
    <w:rsid w:val="0021227D"/>
    <w:rsid w:val="00231B15"/>
    <w:rsid w:val="00291476"/>
    <w:rsid w:val="002A2EFC"/>
    <w:rsid w:val="002B1258"/>
    <w:rsid w:val="002C0E18"/>
    <w:rsid w:val="002C6A31"/>
    <w:rsid w:val="002D5AAC"/>
    <w:rsid w:val="002E5067"/>
    <w:rsid w:val="002F405F"/>
    <w:rsid w:val="002F7EEC"/>
    <w:rsid w:val="00301299"/>
    <w:rsid w:val="00303371"/>
    <w:rsid w:val="00307FB6"/>
    <w:rsid w:val="00317339"/>
    <w:rsid w:val="00322004"/>
    <w:rsid w:val="003402C2"/>
    <w:rsid w:val="00373BCE"/>
    <w:rsid w:val="00381C24"/>
    <w:rsid w:val="003958D0"/>
    <w:rsid w:val="003A3D90"/>
    <w:rsid w:val="003B00E5"/>
    <w:rsid w:val="003E45D7"/>
    <w:rsid w:val="00407B78"/>
    <w:rsid w:val="00424203"/>
    <w:rsid w:val="00452493"/>
    <w:rsid w:val="00454E07"/>
    <w:rsid w:val="00471B10"/>
    <w:rsid w:val="00472C5C"/>
    <w:rsid w:val="004D541E"/>
    <w:rsid w:val="0050108D"/>
    <w:rsid w:val="00513081"/>
    <w:rsid w:val="00517901"/>
    <w:rsid w:val="00526683"/>
    <w:rsid w:val="00565172"/>
    <w:rsid w:val="005709E0"/>
    <w:rsid w:val="00572E19"/>
    <w:rsid w:val="005961C8"/>
    <w:rsid w:val="005A34E9"/>
    <w:rsid w:val="005D7914"/>
    <w:rsid w:val="005E2B41"/>
    <w:rsid w:val="005F0B42"/>
    <w:rsid w:val="00647E5B"/>
    <w:rsid w:val="00681A10"/>
    <w:rsid w:val="006A1ED8"/>
    <w:rsid w:val="006C2031"/>
    <w:rsid w:val="006D461A"/>
    <w:rsid w:val="006F35EE"/>
    <w:rsid w:val="007021FF"/>
    <w:rsid w:val="00712895"/>
    <w:rsid w:val="00757357"/>
    <w:rsid w:val="007577EE"/>
    <w:rsid w:val="007B5263"/>
    <w:rsid w:val="007D1702"/>
    <w:rsid w:val="00825F8D"/>
    <w:rsid w:val="00830E31"/>
    <w:rsid w:val="00834B71"/>
    <w:rsid w:val="00834D27"/>
    <w:rsid w:val="0086445C"/>
    <w:rsid w:val="00886402"/>
    <w:rsid w:val="00894693"/>
    <w:rsid w:val="008A08D7"/>
    <w:rsid w:val="008B6909"/>
    <w:rsid w:val="009019CD"/>
    <w:rsid w:val="00906890"/>
    <w:rsid w:val="00911BE4"/>
    <w:rsid w:val="00943923"/>
    <w:rsid w:val="00946182"/>
    <w:rsid w:val="00951972"/>
    <w:rsid w:val="009608F3"/>
    <w:rsid w:val="009729BC"/>
    <w:rsid w:val="009A24AC"/>
    <w:rsid w:val="009C2230"/>
    <w:rsid w:val="009F7C3E"/>
    <w:rsid w:val="00A312BC"/>
    <w:rsid w:val="00A42BD3"/>
    <w:rsid w:val="00A658A6"/>
    <w:rsid w:val="00A84021"/>
    <w:rsid w:val="00A84D35"/>
    <w:rsid w:val="00A917B3"/>
    <w:rsid w:val="00AB4B51"/>
    <w:rsid w:val="00AD5305"/>
    <w:rsid w:val="00B10CC7"/>
    <w:rsid w:val="00B539E7"/>
    <w:rsid w:val="00B62458"/>
    <w:rsid w:val="00BC18B2"/>
    <w:rsid w:val="00BD33EE"/>
    <w:rsid w:val="00BF0053"/>
    <w:rsid w:val="00C106D6"/>
    <w:rsid w:val="00C60F0C"/>
    <w:rsid w:val="00C712F4"/>
    <w:rsid w:val="00C77D3E"/>
    <w:rsid w:val="00C805C9"/>
    <w:rsid w:val="00C92939"/>
    <w:rsid w:val="00C97E6D"/>
    <w:rsid w:val="00CA1679"/>
    <w:rsid w:val="00CB151C"/>
    <w:rsid w:val="00CE5A1A"/>
    <w:rsid w:val="00CE6069"/>
    <w:rsid w:val="00CF55F6"/>
    <w:rsid w:val="00D33D63"/>
    <w:rsid w:val="00D90028"/>
    <w:rsid w:val="00D90138"/>
    <w:rsid w:val="00D9133D"/>
    <w:rsid w:val="00DC7155"/>
    <w:rsid w:val="00DD4CBA"/>
    <w:rsid w:val="00DF71B9"/>
    <w:rsid w:val="00E24F9D"/>
    <w:rsid w:val="00E735CF"/>
    <w:rsid w:val="00E73F76"/>
    <w:rsid w:val="00EA2C9F"/>
    <w:rsid w:val="00ED0BDA"/>
    <w:rsid w:val="00ED4505"/>
    <w:rsid w:val="00EF1360"/>
    <w:rsid w:val="00EF3220"/>
    <w:rsid w:val="00F81780"/>
    <w:rsid w:val="00F845C5"/>
    <w:rsid w:val="00F94155"/>
    <w:rsid w:val="00F9783F"/>
    <w:rsid w:val="00FB6B82"/>
    <w:rsid w:val="00FC02E8"/>
    <w:rsid w:val="00FD2EF7"/>
    <w:rsid w:val="00FD314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E6A05"/>
  <w15:docId w15:val="{BF7884B9-9131-4880-A3A5-1ABEF2E1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CE6069"/>
    <w:pPr>
      <w:keepNext/>
      <w:outlineLvl w:val="1"/>
    </w:pPr>
    <w:rPr>
      <w:rFonts w:cs="Arial"/>
      <w:bCs/>
      <w:iCs/>
      <w:szCs w:val="28"/>
    </w:rPr>
  </w:style>
  <w:style w:type="paragraph" w:styleId="3">
    <w:name w:val="heading 3"/>
    <w:basedOn w:val="a"/>
    <w:next w:val="a"/>
    <w:semiHidden/>
    <w:rsid w:val="00CE6069"/>
    <w:pPr>
      <w:keepNext/>
      <w:spacing w:before="240" w:after="60"/>
      <w:outlineLvl w:val="2"/>
    </w:pPr>
    <w:rPr>
      <w:rFonts w:ascii="Arial" w:hAnsi="Arial" w:cs="Arial"/>
      <w:b/>
      <w:bCs/>
      <w:sz w:val="26"/>
      <w:szCs w:val="26"/>
    </w:rPr>
  </w:style>
  <w:style w:type="paragraph" w:styleId="4">
    <w:name w:val="heading 4"/>
    <w:basedOn w:val="a"/>
    <w:next w:val="a"/>
    <w:semiHidden/>
    <w:rsid w:val="00CE6069"/>
    <w:pPr>
      <w:keepNext/>
      <w:spacing w:before="240" w:after="60"/>
      <w:outlineLvl w:val="3"/>
    </w:pPr>
    <w:rPr>
      <w:b/>
      <w:bCs/>
      <w:sz w:val="28"/>
      <w:szCs w:val="28"/>
    </w:rPr>
  </w:style>
  <w:style w:type="paragraph" w:styleId="5">
    <w:name w:val="heading 5"/>
    <w:basedOn w:val="a"/>
    <w:next w:val="a"/>
    <w:semiHidden/>
    <w:rsid w:val="00CE6069"/>
    <w:pPr>
      <w:spacing w:before="240" w:after="60"/>
      <w:outlineLvl w:val="4"/>
    </w:pPr>
    <w:rPr>
      <w:b/>
      <w:bCs/>
      <w:i/>
      <w:iCs/>
      <w:sz w:val="26"/>
      <w:szCs w:val="26"/>
    </w:rPr>
  </w:style>
  <w:style w:type="paragraph" w:styleId="6">
    <w:name w:val="heading 6"/>
    <w:basedOn w:val="a"/>
    <w:next w:val="a"/>
    <w:semiHidden/>
    <w:rsid w:val="00CE6069"/>
    <w:pPr>
      <w:spacing w:before="240" w:after="60"/>
      <w:outlineLvl w:val="5"/>
    </w:pPr>
    <w:rPr>
      <w:b/>
      <w:bCs/>
      <w:sz w:val="22"/>
    </w:rPr>
  </w:style>
  <w:style w:type="paragraph" w:styleId="7">
    <w:name w:val="heading 7"/>
    <w:basedOn w:val="a"/>
    <w:next w:val="a"/>
    <w:semiHidden/>
    <w:rsid w:val="00CE6069"/>
    <w:pPr>
      <w:spacing w:before="240" w:after="60"/>
      <w:outlineLvl w:val="6"/>
    </w:pPr>
    <w:rPr>
      <w:sz w:val="24"/>
      <w:szCs w:val="24"/>
    </w:rPr>
  </w:style>
  <w:style w:type="paragraph" w:styleId="8">
    <w:name w:val="heading 8"/>
    <w:basedOn w:val="a"/>
    <w:next w:val="a"/>
    <w:semiHidden/>
    <w:rsid w:val="00CE6069"/>
    <w:pPr>
      <w:spacing w:before="240" w:after="60"/>
      <w:outlineLvl w:val="7"/>
    </w:pPr>
    <w:rPr>
      <w:i/>
      <w:iCs/>
      <w:sz w:val="24"/>
      <w:szCs w:val="24"/>
    </w:rPr>
  </w:style>
  <w:style w:type="paragraph" w:styleId="9">
    <w:name w:val="heading 9"/>
    <w:basedOn w:val="a"/>
    <w:next w:val="a"/>
    <w:semiHidden/>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565172"/>
    <w:rPr>
      <w:rFonts w:ascii="Tahoma" w:eastAsiaTheme="minorHAnsi" w:hAnsi="Tahoma" w:cs="Tahoma"/>
      <w:sz w:val="16"/>
      <w:szCs w:val="16"/>
      <w:lang w:val="ru-RU" w:eastAsia="en-US"/>
    </w:rPr>
  </w:style>
  <w:style w:type="paragraph" w:customStyle="1" w:styleId="HMG">
    <w:name w:val="_ H __M_G"/>
    <w:basedOn w:val="a"/>
    <w:next w:val="a"/>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2B1258"/>
    <w:pPr>
      <w:spacing w:after="120"/>
      <w:ind w:left="1134" w:right="1134"/>
      <w:jc w:val="both"/>
    </w:pPr>
    <w:rPr>
      <w:rFonts w:eastAsia="Times New Roman" w:cs="Times New Roman"/>
      <w:szCs w:val="20"/>
    </w:rPr>
  </w:style>
  <w:style w:type="paragraph" w:customStyle="1" w:styleId="SLG">
    <w:name w:val="__S_L_G"/>
    <w:basedOn w:val="a"/>
    <w:next w:val="a"/>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946182"/>
    <w:rPr>
      <w:b/>
      <w:sz w:val="18"/>
      <w:lang w:val="en-GB" w:eastAsia="ru-RU"/>
    </w:rPr>
  </w:style>
  <w:style w:type="character" w:styleId="a7">
    <w:name w:val="page number"/>
    <w:aliases w:val="7_G"/>
    <w:basedOn w:val="a0"/>
    <w:qFormat/>
    <w:rsid w:val="00946182"/>
    <w:rPr>
      <w:rFonts w:ascii="Times New Roman" w:hAnsi="Times New Roman"/>
      <w:b/>
      <w:sz w:val="18"/>
    </w:rPr>
  </w:style>
  <w:style w:type="paragraph" w:styleId="a8">
    <w:name w:val="footer"/>
    <w:aliases w:val="3_G"/>
    <w:basedOn w:val="a"/>
    <w:link w:val="a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946182"/>
    <w:rPr>
      <w:sz w:val="16"/>
      <w:lang w:val="en-GB" w:eastAsia="ru-RU"/>
    </w:rPr>
  </w:style>
  <w:style w:type="character" w:styleId="aa">
    <w:name w:val="footnote reference"/>
    <w:aliases w:val="4_G"/>
    <w:basedOn w:val="a0"/>
    <w:qFormat/>
    <w:rsid w:val="00946182"/>
    <w:rPr>
      <w:rFonts w:ascii="Times New Roman" w:hAnsi="Times New Roman"/>
      <w:dstrike w:val="0"/>
      <w:sz w:val="18"/>
      <w:vertAlign w:val="superscript"/>
    </w:rPr>
  </w:style>
  <w:style w:type="character" w:styleId="ab">
    <w:name w:val="endnote reference"/>
    <w:aliases w:val="1_G"/>
    <w:basedOn w:val="aa"/>
    <w:qFormat/>
    <w:rsid w:val="00946182"/>
    <w:rPr>
      <w:rFonts w:ascii="Times New Roman" w:hAnsi="Times New Roman"/>
      <w:dstrike w:val="0"/>
      <w:sz w:val="18"/>
      <w:vertAlign w:val="superscript"/>
    </w:rPr>
  </w:style>
  <w:style w:type="table" w:styleId="ac">
    <w:name w:val="Table Grid"/>
    <w:basedOn w:val="a1"/>
    <w:uiPriority w:val="5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946182"/>
    <w:rPr>
      <w:sz w:val="18"/>
      <w:lang w:val="ru-RU" w:eastAsia="ru-RU"/>
    </w:rPr>
  </w:style>
  <w:style w:type="paragraph" w:styleId="af">
    <w:name w:val="endnote text"/>
    <w:aliases w:val="2_G"/>
    <w:basedOn w:val="ad"/>
    <w:link w:val="af0"/>
    <w:qFormat/>
    <w:rsid w:val="00946182"/>
  </w:style>
  <w:style w:type="character" w:customStyle="1" w:styleId="af0">
    <w:name w:val="Текст концевой сноски Знак"/>
    <w:aliases w:val="2_G Знак"/>
    <w:basedOn w:val="a0"/>
    <w:link w:val="af"/>
    <w:rsid w:val="00946182"/>
    <w:rPr>
      <w:sz w:val="18"/>
      <w:lang w:val="ru-RU" w:eastAsia="ru-RU"/>
    </w:rPr>
  </w:style>
  <w:style w:type="character" w:customStyle="1" w:styleId="10">
    <w:name w:val="Заголовок 1 Знак"/>
    <w:aliases w:val="Table_G Знак"/>
    <w:basedOn w:val="a0"/>
    <w:link w:val="1"/>
    <w:rsid w:val="00946182"/>
    <w:rPr>
      <w:rFonts w:cs="Arial"/>
      <w:b/>
      <w:bCs/>
      <w:szCs w:val="32"/>
      <w:lang w:val="ru-RU" w:eastAsia="ru-RU"/>
    </w:rPr>
  </w:style>
  <w:style w:type="character" w:styleId="af1">
    <w:name w:val="Hyperlink"/>
    <w:basedOn w:val="a0"/>
    <w:rsid w:val="00946182"/>
    <w:rPr>
      <w:color w:val="0000FF" w:themeColor="hyperlink"/>
      <w:u w:val="none"/>
    </w:rPr>
  </w:style>
  <w:style w:type="character" w:styleId="af2">
    <w:name w:val="FollowedHyperlink"/>
    <w:basedOn w:val="a0"/>
    <w:rsid w:val="00946182"/>
    <w:rPr>
      <w:color w:val="800080" w:themeColor="followedHyperlink"/>
      <w:u w:val="none"/>
    </w:rPr>
  </w:style>
  <w:style w:type="character" w:customStyle="1" w:styleId="SingleTxtGChar">
    <w:name w:val="_ Single Txt_G Char"/>
    <w:link w:val="SingleTxtG"/>
    <w:rsid w:val="009C223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2</TotalTime>
  <Pages>26</Pages>
  <Words>9997</Words>
  <Characters>67500</Characters>
  <Application>Microsoft Office Word</Application>
  <DocSecurity>0</DocSecurity>
  <Lines>1343</Lines>
  <Paragraphs>432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HRI/CORE/CHN-HKG/2019</vt:lpstr>
      <vt:lpstr>A/</vt:lpstr>
      <vt:lpstr>A/</vt:lpstr>
    </vt:vector>
  </TitlesOfParts>
  <Company>DCM</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HRI/CORE/CHN-HKG/2019</dc:title>
  <dc:subject/>
  <dc:creator>Anna KISSELEVA</dc:creator>
  <cp:keywords/>
  <cp:lastModifiedBy>Anna Kisseleva</cp:lastModifiedBy>
  <cp:revision>3</cp:revision>
  <cp:lastPrinted>2019-10-17T09:47:00Z</cp:lastPrinted>
  <dcterms:created xsi:type="dcterms:W3CDTF">2019-10-17T09:47:00Z</dcterms:created>
  <dcterms:modified xsi:type="dcterms:W3CDTF">2019-10-17T09:49:00Z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