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Default="00652500">
            <w:pPr>
              <w:spacing w:line="240" w:lineRule="atLeast"/>
              <w:jc w:val="right"/>
              <w:rPr>
                <w:rFonts w:hint="eastAsia"/>
                <w:szCs w:val="21"/>
              </w:rPr>
            </w:pPr>
            <w:proofErr w:type="spellStart"/>
            <w:r>
              <w:rPr>
                <w:sz w:val="40"/>
                <w:szCs w:val="40"/>
              </w:rPr>
              <w:t>HRI</w:t>
            </w:r>
            <w:r w:rsidRPr="00CD4228">
              <w:rPr>
                <w:sz w:val="20"/>
              </w:rPr>
              <w:t>/CORE/</w:t>
            </w:r>
            <w:r w:rsidR="00D96605">
              <w:rPr>
                <w:rFonts w:hint="eastAsia"/>
                <w:sz w:val="20"/>
              </w:rPr>
              <w:t>CHN-HKG/2013</w:t>
            </w:r>
            <w:proofErr w:type="spellEnd"/>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652500" w:rsidP="00CD4228">
            <w:pPr>
              <w:spacing w:before="240" w:line="240" w:lineRule="atLeast"/>
              <w:rPr>
                <w:sz w:val="20"/>
              </w:rPr>
            </w:pPr>
            <w:r w:rsidRPr="00CD4228">
              <w:rPr>
                <w:sz w:val="20"/>
              </w:rPr>
              <w:t>Distr.: General</w:t>
            </w:r>
          </w:p>
          <w:p w:rsidR="00652500" w:rsidRPr="00CD4228" w:rsidRDefault="00D96605">
            <w:pPr>
              <w:spacing w:line="240" w:lineRule="atLeast"/>
              <w:rPr>
                <w:sz w:val="20"/>
              </w:rPr>
            </w:pPr>
            <w:r>
              <w:rPr>
                <w:rFonts w:hint="eastAsia"/>
                <w:sz w:val="20"/>
              </w:rPr>
              <w:t xml:space="preserve">11 </w:t>
            </w:r>
            <w:r w:rsidRPr="00D96605">
              <w:rPr>
                <w:sz w:val="20"/>
              </w:rPr>
              <w:t>December</w:t>
            </w:r>
            <w:r w:rsidR="00B10D87">
              <w:rPr>
                <w:sz w:val="20"/>
              </w:rPr>
              <w:t xml:space="preserve"> 20</w:t>
            </w:r>
            <w:r w:rsidR="002856F5">
              <w:rPr>
                <w:rFonts w:hint="eastAsia"/>
                <w:sz w:val="20"/>
              </w:rPr>
              <w:t>13</w:t>
            </w:r>
          </w:p>
          <w:p w:rsidR="00652500" w:rsidRPr="00CD4228" w:rsidRDefault="00652500">
            <w:pPr>
              <w:spacing w:line="240" w:lineRule="atLeast"/>
              <w:rPr>
                <w:sz w:val="20"/>
              </w:rPr>
            </w:pPr>
            <w:r w:rsidRPr="00CD4228">
              <w:rPr>
                <w:sz w:val="20"/>
              </w:rPr>
              <w:t xml:space="preserve">Chinese </w:t>
            </w:r>
          </w:p>
          <w:p w:rsidR="00652500" w:rsidRPr="00CD4228" w:rsidRDefault="00652500">
            <w:pPr>
              <w:spacing w:line="240" w:lineRule="atLeast"/>
              <w:rPr>
                <w:rFonts w:hint="eastAsia"/>
                <w:sz w:val="20"/>
              </w:rPr>
            </w:pPr>
            <w:r w:rsidRPr="00CD4228">
              <w:rPr>
                <w:sz w:val="20"/>
              </w:rPr>
              <w:t xml:space="preserve">Original: </w:t>
            </w:r>
            <w:r w:rsidR="00D96605">
              <w:rPr>
                <w:rFonts w:hint="eastAsia"/>
                <w:sz w:val="20"/>
              </w:rPr>
              <w:t>C</w:t>
            </w:r>
            <w:r w:rsidR="00D96605">
              <w:rPr>
                <w:sz w:val="20"/>
              </w:rPr>
              <w:t>hinese and</w:t>
            </w:r>
            <w:r w:rsidR="00D96605">
              <w:rPr>
                <w:rFonts w:hint="eastAsia"/>
                <w:sz w:val="20"/>
              </w:rPr>
              <w:t xml:space="preserve"> </w:t>
            </w:r>
            <w:r w:rsidRPr="00CD4228">
              <w:rPr>
                <w:sz w:val="20"/>
              </w:rPr>
              <w:t>English</w:t>
            </w:r>
          </w:p>
        </w:tc>
      </w:tr>
    </w:tbl>
    <w:p w:rsidR="00C908F7" w:rsidRDefault="00C908F7" w:rsidP="00C908F7">
      <w:pPr>
        <w:pStyle w:val="SingleTxtGC"/>
        <w:rPr>
          <w:rFonts w:hint="eastAsia"/>
        </w:rPr>
      </w:pPr>
    </w:p>
    <w:p w:rsidR="00652500" w:rsidRDefault="00652500" w:rsidP="002751D5">
      <w:pPr>
        <w:pStyle w:val="HMGC"/>
        <w:rPr>
          <w:rFonts w:hint="eastAsia"/>
        </w:rPr>
      </w:pPr>
      <w:r>
        <w:tab/>
      </w:r>
      <w:r>
        <w:tab/>
      </w:r>
      <w:r>
        <w:rPr>
          <w:rFonts w:hint="eastAsia"/>
        </w:rPr>
        <w:t>作为</w:t>
      </w:r>
      <w:r w:rsidR="00D13477">
        <w:rPr>
          <w:rFonts w:hint="eastAsia"/>
        </w:rPr>
        <w:t>缔约国</w:t>
      </w:r>
      <w:r>
        <w:rPr>
          <w:rFonts w:hint="eastAsia"/>
        </w:rPr>
        <w:t>报告组成部分的</w:t>
      </w:r>
      <w:r w:rsidR="00D13477">
        <w:rPr>
          <w:rFonts w:hint="eastAsia"/>
        </w:rPr>
        <w:t>共同</w:t>
      </w:r>
      <w:r>
        <w:rPr>
          <w:rFonts w:hint="eastAsia"/>
        </w:rPr>
        <w:t>核心文件</w:t>
      </w:r>
    </w:p>
    <w:p w:rsidR="00652500" w:rsidRDefault="00652500" w:rsidP="002751D5">
      <w:pPr>
        <w:pStyle w:val="HMGC"/>
        <w:rPr>
          <w:rFonts w:hint="eastAsia"/>
        </w:rPr>
      </w:pPr>
      <w:r>
        <w:tab/>
      </w:r>
      <w:r>
        <w:tab/>
      </w:r>
      <w:r w:rsidR="00D13477">
        <w:rPr>
          <w:rFonts w:hint="eastAsia"/>
        </w:rPr>
        <w:t>中国香港</w:t>
      </w:r>
      <w:r w:rsidR="00B723D0" w:rsidRPr="00D13477">
        <w:rPr>
          <w:rStyle w:val="FootnoteReference"/>
          <w:position w:val="6"/>
          <w:sz w:val="28"/>
          <w:szCs w:val="28"/>
          <w:vertAlign w:val="baseline"/>
        </w:rPr>
        <w:footnoteReference w:customMarkFollows="1" w:id="1"/>
        <w:t>*</w:t>
      </w:r>
    </w:p>
    <w:p w:rsidR="00652500" w:rsidRDefault="00652500" w:rsidP="000A25DA">
      <w:pPr>
        <w:wordWrap w:val="0"/>
        <w:jc w:val="right"/>
        <w:rPr>
          <w:rFonts w:hint="eastAsia"/>
        </w:rPr>
      </w:pPr>
      <w:r>
        <w:rPr>
          <w:rFonts w:hint="eastAsia"/>
        </w:rPr>
        <w:t>［</w:t>
      </w:r>
      <w:r w:rsidR="00B10D87">
        <w:rPr>
          <w:rFonts w:hint="eastAsia"/>
        </w:rPr>
        <w:t>20</w:t>
      </w:r>
      <w:r w:rsidR="00D13477">
        <w:rPr>
          <w:rFonts w:hint="eastAsia"/>
        </w:rPr>
        <w:t>13</w:t>
      </w:r>
      <w:r>
        <w:rPr>
          <w:rFonts w:hint="eastAsia"/>
        </w:rPr>
        <w:t>年</w:t>
      </w:r>
      <w:r w:rsidR="00D13477">
        <w:rPr>
          <w:rFonts w:hint="eastAsia"/>
        </w:rPr>
        <w:t>6</w:t>
      </w:r>
      <w:r>
        <w:rPr>
          <w:rFonts w:hint="eastAsia"/>
        </w:rPr>
        <w:t>月</w:t>
      </w:r>
      <w:r w:rsidR="00D13477">
        <w:rPr>
          <w:rFonts w:hint="eastAsia"/>
        </w:rPr>
        <w:t>20</w:t>
      </w:r>
      <w:r>
        <w:rPr>
          <w:rFonts w:hint="eastAsia"/>
        </w:rPr>
        <w:t>日］</w:t>
      </w:r>
    </w:p>
    <w:p w:rsidR="00DB48AD" w:rsidRDefault="00DB48AD" w:rsidP="0015578B">
      <w:pPr>
        <w:pStyle w:val="SingleTxtGC"/>
        <w:rPr>
          <w:rFonts w:hint="eastAsia"/>
        </w:rPr>
      </w:pPr>
    </w:p>
    <w:p w:rsidR="00D13477" w:rsidRDefault="00D13477" w:rsidP="00D13477">
      <w:pPr>
        <w:spacing w:before="240" w:after="120"/>
        <w:rPr>
          <w:sz w:val="28"/>
          <w:szCs w:val="28"/>
        </w:rPr>
      </w:pPr>
      <w:r>
        <w:br w:type="page"/>
      </w:r>
      <w:r>
        <w:rPr>
          <w:rFonts w:hint="eastAsia"/>
          <w:sz w:val="28"/>
          <w:szCs w:val="28"/>
        </w:rPr>
        <w:t>目录</w:t>
      </w:r>
    </w:p>
    <w:p w:rsidR="00D13477" w:rsidRDefault="00D13477" w:rsidP="001F4E70">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D13477" w:rsidRPr="00895C18" w:rsidRDefault="0057611E" w:rsidP="001F4E70">
      <w:pPr>
        <w:pStyle w:val="a1"/>
        <w:rPr>
          <w:rFonts w:hint="eastAsia"/>
          <w:lang w:val="en-GB"/>
        </w:rPr>
      </w:pPr>
      <w:r>
        <w:rPr>
          <w:rFonts w:hint="eastAsia"/>
        </w:rPr>
        <w:tab/>
      </w:r>
      <w:r>
        <w:rPr>
          <w:rFonts w:hint="eastAsia"/>
        </w:rPr>
        <w:tab/>
      </w:r>
      <w:r w:rsidR="00D13477" w:rsidRPr="00895C18">
        <w:rPr>
          <w:rFonts w:hint="eastAsia"/>
        </w:rPr>
        <w:t>全简称对照表</w:t>
      </w:r>
      <w:r>
        <w:rPr>
          <w:rFonts w:hint="eastAsia"/>
        </w:rPr>
        <w:tab/>
      </w:r>
      <w:r>
        <w:rPr>
          <w:rFonts w:hint="eastAsia"/>
        </w:rPr>
        <w:tab/>
      </w:r>
      <w:r w:rsidR="00D13477" w:rsidRPr="00895C18">
        <w:rPr>
          <w:rFonts w:hint="eastAsia"/>
          <w:lang w:val="en-GB"/>
        </w:rPr>
        <w:t>3</w:t>
      </w:r>
      <w:r w:rsidR="00AF6277">
        <w:rPr>
          <w:rFonts w:hint="eastAsia"/>
          <w:lang w:val="en-GB"/>
        </w:rPr>
        <w:tab/>
      </w:r>
      <w:r w:rsidR="007C5C16">
        <w:rPr>
          <w:rFonts w:hint="eastAsia"/>
          <w:lang w:val="en-GB"/>
        </w:rPr>
        <w:t>4</w:t>
      </w:r>
    </w:p>
    <w:p w:rsidR="00D13477" w:rsidRPr="00895C18" w:rsidRDefault="0057611E" w:rsidP="001F4E70">
      <w:pPr>
        <w:pStyle w:val="a1"/>
        <w:tabs>
          <w:tab w:val="clear" w:pos="1996"/>
        </w:tabs>
        <w:rPr>
          <w:rFonts w:hint="eastAsia"/>
          <w:lang w:val="en-GB"/>
        </w:rPr>
      </w:pPr>
      <w:r>
        <w:rPr>
          <w:rFonts w:hint="eastAsia"/>
        </w:rPr>
        <w:tab/>
      </w:r>
      <w:r w:rsidR="00D13477" w:rsidRPr="00895C18">
        <w:rPr>
          <w:rFonts w:hint="eastAsia"/>
        </w:rPr>
        <w:t>一</w:t>
      </w:r>
      <w:r>
        <w:rPr>
          <w:rFonts w:hint="eastAsia"/>
        </w:rPr>
        <w:t>.</w:t>
      </w:r>
      <w:r>
        <w:rPr>
          <w:rFonts w:hint="eastAsia"/>
        </w:rPr>
        <w:tab/>
      </w:r>
      <w:r w:rsidR="00D13477" w:rsidRPr="00895C18">
        <w:rPr>
          <w:rFonts w:hint="eastAsia"/>
          <w:lang w:val="en-GB"/>
        </w:rPr>
        <w:t>一般资料</w:t>
      </w:r>
      <w:r w:rsidR="00D13477" w:rsidRPr="00895C18">
        <w:tab/>
      </w:r>
      <w:r w:rsidR="00D13477" w:rsidRPr="00895C18">
        <w:tab/>
      </w:r>
      <w:r w:rsidR="00D13477" w:rsidRPr="00895C18">
        <w:rPr>
          <w:rFonts w:hint="eastAsia"/>
          <w:lang w:val="en-GB"/>
        </w:rPr>
        <w:t>1-37</w:t>
      </w:r>
      <w:r w:rsidR="00D13477" w:rsidRPr="00895C18">
        <w:rPr>
          <w:rFonts w:hint="eastAsia"/>
          <w:lang w:val="en-GB"/>
        </w:rPr>
        <w:tab/>
      </w:r>
      <w:r w:rsidR="007C5C16">
        <w:rPr>
          <w:rFonts w:hint="eastAsia"/>
          <w:lang w:val="en-GB"/>
        </w:rPr>
        <w:t>5</w:t>
      </w:r>
    </w:p>
    <w:p w:rsidR="00D13477" w:rsidRPr="00895C18" w:rsidRDefault="0057611E" w:rsidP="001F4E70">
      <w:pPr>
        <w:pStyle w:val="a1"/>
        <w:ind w:left="1985"/>
        <w:rPr>
          <w:rFonts w:hint="eastAsia"/>
          <w:lang w:val="en-GB"/>
        </w:rPr>
      </w:pPr>
      <w:r>
        <w:rPr>
          <w:rFonts w:hint="eastAsia"/>
          <w:lang w:val="en-GB"/>
        </w:rPr>
        <w:tab/>
      </w:r>
      <w:r w:rsidR="00D13477" w:rsidRPr="00895C18">
        <w:rPr>
          <w:lang w:val="en-GB"/>
        </w:rPr>
        <w:t>A.</w:t>
      </w:r>
      <w:r>
        <w:rPr>
          <w:rFonts w:hint="eastAsia"/>
          <w:lang w:val="en-GB"/>
        </w:rPr>
        <w:tab/>
      </w:r>
      <w:r w:rsidR="00D13477" w:rsidRPr="00895C18">
        <w:rPr>
          <w:rFonts w:hint="eastAsia"/>
          <w:lang w:val="en-GB"/>
        </w:rPr>
        <w:t>人口、经济、社会及文化特征</w:t>
      </w:r>
      <w:r w:rsidR="00D13477" w:rsidRPr="00895C18">
        <w:tab/>
      </w:r>
      <w:r w:rsidR="00D13477" w:rsidRPr="00895C18">
        <w:tab/>
      </w:r>
      <w:r w:rsidR="00D13477" w:rsidRPr="00895C18">
        <w:rPr>
          <w:lang w:val="en-GB"/>
        </w:rPr>
        <w:t>1</w:t>
      </w:r>
      <w:r w:rsidR="00D13477" w:rsidRPr="00895C18">
        <w:rPr>
          <w:rFonts w:hint="eastAsia"/>
          <w:lang w:val="en-GB"/>
        </w:rPr>
        <w:t>-7</w:t>
      </w:r>
      <w:r w:rsidR="00D13477" w:rsidRPr="00895C18">
        <w:rPr>
          <w:rFonts w:hint="eastAsia"/>
          <w:lang w:val="en-GB"/>
        </w:rPr>
        <w:tab/>
      </w:r>
      <w:r w:rsidR="007C5C16">
        <w:rPr>
          <w:rFonts w:hint="eastAsia"/>
          <w:lang w:val="en-GB"/>
        </w:rPr>
        <w:t>5</w:t>
      </w:r>
    </w:p>
    <w:p w:rsidR="00D13477" w:rsidRPr="00895C18" w:rsidRDefault="0057611E" w:rsidP="001F4E70">
      <w:pPr>
        <w:pStyle w:val="a1"/>
        <w:ind w:left="1985"/>
        <w:rPr>
          <w:rFonts w:hint="eastAsia"/>
          <w:lang w:val="en-GB"/>
        </w:rPr>
      </w:pPr>
      <w:r>
        <w:rPr>
          <w:rFonts w:hint="eastAsia"/>
          <w:lang w:val="en-GB"/>
        </w:rPr>
        <w:tab/>
      </w:r>
      <w:r w:rsidR="00D13477" w:rsidRPr="00895C18">
        <w:rPr>
          <w:lang w:val="en-GB"/>
        </w:rPr>
        <w:t>B.</w:t>
      </w:r>
      <w:r>
        <w:rPr>
          <w:rFonts w:hint="eastAsia"/>
          <w:lang w:val="en-GB"/>
        </w:rPr>
        <w:tab/>
      </w:r>
      <w:r w:rsidR="00D13477" w:rsidRPr="00895C18">
        <w:rPr>
          <w:rFonts w:hint="eastAsia"/>
          <w:lang w:val="en-GB"/>
        </w:rPr>
        <w:t>香港特区的宪制、政治及法律架构</w:t>
      </w:r>
      <w:r w:rsidR="00D13477" w:rsidRPr="00895C18">
        <w:tab/>
      </w:r>
      <w:r w:rsidR="00D13477" w:rsidRPr="00895C18">
        <w:tab/>
      </w:r>
      <w:r w:rsidR="00D13477" w:rsidRPr="00895C18">
        <w:rPr>
          <w:rFonts w:hint="eastAsia"/>
          <w:lang w:val="en-GB"/>
        </w:rPr>
        <w:t>8-37</w:t>
      </w:r>
      <w:r w:rsidR="00D13477" w:rsidRPr="00895C18">
        <w:rPr>
          <w:rFonts w:hint="eastAsia"/>
          <w:lang w:val="en-GB"/>
        </w:rPr>
        <w:tab/>
      </w:r>
      <w:r w:rsidR="007C5C16">
        <w:rPr>
          <w:rFonts w:hint="eastAsia"/>
          <w:lang w:val="en-GB"/>
        </w:rPr>
        <w:t>5</w:t>
      </w:r>
    </w:p>
    <w:p w:rsidR="00D13477" w:rsidRPr="00895C18" w:rsidRDefault="00D13477" w:rsidP="001F4E70">
      <w:pPr>
        <w:pStyle w:val="a1"/>
        <w:ind w:left="2268"/>
        <w:rPr>
          <w:rFonts w:hint="eastAsia"/>
          <w:lang w:val="en-GB"/>
        </w:rPr>
      </w:pPr>
      <w:r w:rsidRPr="00895C18">
        <w:rPr>
          <w:lang w:val="en-GB"/>
        </w:rPr>
        <w:tab/>
        <w:t>1.</w:t>
      </w:r>
      <w:r w:rsidR="0057611E">
        <w:rPr>
          <w:rFonts w:hint="eastAsia"/>
          <w:lang w:val="en-GB"/>
        </w:rPr>
        <w:tab/>
      </w:r>
      <w:r w:rsidRPr="00895C18">
        <w:rPr>
          <w:rFonts w:hint="eastAsia"/>
        </w:rPr>
        <w:t>宪制性文件</w:t>
      </w:r>
      <w:r w:rsidRPr="00895C18">
        <w:tab/>
      </w:r>
      <w:r w:rsidRPr="00895C18">
        <w:rPr>
          <w:lang w:val="en-GB"/>
        </w:rPr>
        <w:tab/>
        <w:t>8</w:t>
      </w:r>
      <w:r w:rsidRPr="00895C18">
        <w:rPr>
          <w:rFonts w:hint="eastAsia"/>
          <w:lang w:val="en-GB"/>
        </w:rPr>
        <w:t>-10</w:t>
      </w:r>
      <w:r w:rsidRPr="00895C18">
        <w:rPr>
          <w:rFonts w:hint="eastAsia"/>
          <w:lang w:val="en-GB"/>
        </w:rPr>
        <w:tab/>
      </w:r>
      <w:r w:rsidR="007C5C16">
        <w:rPr>
          <w:rFonts w:hint="eastAsia"/>
          <w:lang w:val="en-GB"/>
        </w:rPr>
        <w:t>5</w:t>
      </w:r>
    </w:p>
    <w:p w:rsidR="00D13477" w:rsidRPr="00895C18" w:rsidRDefault="00D13477" w:rsidP="001F4E70">
      <w:pPr>
        <w:pStyle w:val="a1"/>
        <w:ind w:left="2268"/>
        <w:rPr>
          <w:rFonts w:hint="eastAsia"/>
          <w:lang w:val="en-GB"/>
        </w:rPr>
      </w:pPr>
      <w:r w:rsidRPr="00895C18">
        <w:rPr>
          <w:lang w:val="en-GB"/>
        </w:rPr>
        <w:tab/>
        <w:t>2.</w:t>
      </w:r>
      <w:r w:rsidR="0057611E">
        <w:rPr>
          <w:rFonts w:hint="eastAsia"/>
          <w:lang w:val="en-GB"/>
        </w:rPr>
        <w:tab/>
      </w:r>
      <w:r w:rsidRPr="00895C18">
        <w:rPr>
          <w:rFonts w:hint="eastAsia"/>
          <w:lang w:val="en-GB"/>
        </w:rPr>
        <w:t>政</w:t>
      </w:r>
      <w:r w:rsidRPr="00895C18">
        <w:rPr>
          <w:rFonts w:hint="eastAsia"/>
        </w:rPr>
        <w:t>治</w:t>
      </w:r>
      <w:r w:rsidRPr="00895C18">
        <w:rPr>
          <w:rFonts w:hint="eastAsia"/>
          <w:lang w:val="en-GB"/>
        </w:rPr>
        <w:t>体制</w:t>
      </w:r>
      <w:r w:rsidRPr="00895C18">
        <w:tab/>
      </w:r>
      <w:r w:rsidRPr="00895C18">
        <w:tab/>
      </w:r>
      <w:r w:rsidRPr="00895C18">
        <w:rPr>
          <w:lang w:val="en-GB"/>
        </w:rPr>
        <w:t>11</w:t>
      </w:r>
      <w:r w:rsidRPr="00895C18">
        <w:rPr>
          <w:rFonts w:hint="eastAsia"/>
          <w:lang w:val="en-GB"/>
        </w:rPr>
        <w:t>-25</w:t>
      </w:r>
      <w:r w:rsidRPr="00895C18">
        <w:rPr>
          <w:rFonts w:hint="eastAsia"/>
          <w:lang w:val="en-GB"/>
        </w:rPr>
        <w:tab/>
      </w:r>
      <w:r w:rsidR="007C5C16">
        <w:rPr>
          <w:rFonts w:hint="eastAsia"/>
          <w:lang w:val="en-GB"/>
        </w:rPr>
        <w:t>7</w:t>
      </w:r>
    </w:p>
    <w:p w:rsidR="00D13477" w:rsidRPr="00895C18" w:rsidRDefault="00D13477" w:rsidP="001F4E70">
      <w:pPr>
        <w:pStyle w:val="a1"/>
        <w:ind w:left="2268"/>
        <w:rPr>
          <w:rFonts w:hint="eastAsia"/>
          <w:lang w:val="en-GB"/>
        </w:rPr>
      </w:pPr>
      <w:r w:rsidRPr="00895C18">
        <w:rPr>
          <w:lang w:val="en-GB"/>
        </w:rPr>
        <w:tab/>
        <w:t>3.</w:t>
      </w:r>
      <w:r w:rsidR="0057611E">
        <w:rPr>
          <w:rFonts w:hint="eastAsia"/>
          <w:lang w:val="en-GB"/>
        </w:rPr>
        <w:tab/>
      </w:r>
      <w:r w:rsidRPr="00895C18">
        <w:rPr>
          <w:rFonts w:hint="eastAsia"/>
          <w:bCs/>
          <w:lang w:val="en-GB"/>
        </w:rPr>
        <w:t>司法管理</w:t>
      </w:r>
      <w:r w:rsidRPr="00895C18">
        <w:rPr>
          <w:bCs/>
        </w:rPr>
        <w:tab/>
      </w:r>
      <w:r w:rsidRPr="00895C18">
        <w:tab/>
      </w:r>
      <w:r w:rsidRPr="00895C18">
        <w:rPr>
          <w:lang w:val="en-GB"/>
        </w:rPr>
        <w:t>26</w:t>
      </w:r>
      <w:r w:rsidRPr="00895C18">
        <w:rPr>
          <w:rFonts w:hint="eastAsia"/>
          <w:lang w:val="en-GB"/>
        </w:rPr>
        <w:t>-32</w:t>
      </w:r>
      <w:r w:rsidRPr="00895C18">
        <w:rPr>
          <w:rFonts w:hint="eastAsia"/>
          <w:lang w:val="en-GB"/>
        </w:rPr>
        <w:tab/>
      </w:r>
      <w:r w:rsidR="007C5C16">
        <w:rPr>
          <w:rFonts w:hint="eastAsia"/>
          <w:lang w:val="en-GB"/>
        </w:rPr>
        <w:t>9</w:t>
      </w:r>
    </w:p>
    <w:p w:rsidR="00D13477" w:rsidRPr="00895C18" w:rsidRDefault="00D13477" w:rsidP="001F4E70">
      <w:pPr>
        <w:pStyle w:val="a1"/>
        <w:ind w:left="2268"/>
        <w:rPr>
          <w:rFonts w:hint="eastAsia"/>
          <w:lang w:val="en-GB"/>
        </w:rPr>
      </w:pPr>
      <w:r w:rsidRPr="00895C18">
        <w:rPr>
          <w:lang w:val="en-GB"/>
        </w:rPr>
        <w:tab/>
        <w:t>4.</w:t>
      </w:r>
      <w:r w:rsidR="0057611E">
        <w:rPr>
          <w:rFonts w:hint="eastAsia"/>
          <w:lang w:val="en-GB"/>
        </w:rPr>
        <w:tab/>
      </w:r>
      <w:r w:rsidRPr="00895C18">
        <w:rPr>
          <w:rFonts w:hint="eastAsia"/>
          <w:bCs/>
          <w:lang w:val="en-GB"/>
        </w:rPr>
        <w:t>非政府机构</w:t>
      </w:r>
      <w:r w:rsidRPr="00895C18">
        <w:rPr>
          <w:bCs/>
        </w:rPr>
        <w:tab/>
      </w:r>
      <w:r w:rsidRPr="00895C18">
        <w:tab/>
      </w:r>
      <w:r w:rsidRPr="00895C18">
        <w:rPr>
          <w:lang w:val="en-GB"/>
        </w:rPr>
        <w:t>33</w:t>
      </w:r>
      <w:r w:rsidRPr="00895C18">
        <w:rPr>
          <w:rFonts w:hint="eastAsia"/>
          <w:lang w:val="en-GB"/>
        </w:rPr>
        <w:t>-37</w:t>
      </w:r>
      <w:r w:rsidRPr="00895C18">
        <w:rPr>
          <w:rFonts w:hint="eastAsia"/>
          <w:lang w:val="en-GB"/>
        </w:rPr>
        <w:tab/>
      </w:r>
      <w:r w:rsidR="007C5C16">
        <w:rPr>
          <w:rFonts w:hint="eastAsia"/>
          <w:lang w:val="en-GB"/>
        </w:rPr>
        <w:t>11</w:t>
      </w:r>
    </w:p>
    <w:p w:rsidR="00D13477" w:rsidRPr="00895C18" w:rsidRDefault="0057611E" w:rsidP="001F4E70">
      <w:pPr>
        <w:pStyle w:val="a1"/>
        <w:widowControl/>
        <w:rPr>
          <w:rFonts w:hint="eastAsia"/>
          <w:lang w:val="en-GB"/>
        </w:rPr>
      </w:pPr>
      <w:r>
        <w:rPr>
          <w:rFonts w:hint="eastAsia"/>
        </w:rPr>
        <w:tab/>
      </w:r>
      <w:r w:rsidR="00D13477" w:rsidRPr="00895C18">
        <w:rPr>
          <w:rFonts w:hint="eastAsia"/>
        </w:rPr>
        <w:t>二</w:t>
      </w:r>
      <w:r>
        <w:rPr>
          <w:rFonts w:hint="eastAsia"/>
        </w:rPr>
        <w:t>.</w:t>
      </w:r>
      <w:r>
        <w:rPr>
          <w:rFonts w:hint="eastAsia"/>
        </w:rPr>
        <w:tab/>
      </w:r>
      <w:r w:rsidR="00D13477" w:rsidRPr="00895C18">
        <w:rPr>
          <w:rFonts w:hint="eastAsia"/>
          <w:lang w:val="en-GB"/>
        </w:rPr>
        <w:t>保障和促进人权的概况</w:t>
      </w:r>
      <w:r w:rsidR="00D13477" w:rsidRPr="00895C18">
        <w:tab/>
      </w:r>
      <w:r w:rsidR="00D13477" w:rsidRPr="00895C18">
        <w:tab/>
      </w:r>
      <w:r w:rsidR="00D13477" w:rsidRPr="00895C18">
        <w:rPr>
          <w:rFonts w:hint="eastAsia"/>
          <w:lang w:val="en-GB"/>
        </w:rPr>
        <w:t>38-114</w:t>
      </w:r>
      <w:r w:rsidR="00D13477" w:rsidRPr="00895C18">
        <w:rPr>
          <w:rFonts w:hint="eastAsia"/>
          <w:lang w:val="en-GB"/>
        </w:rPr>
        <w:tab/>
      </w:r>
      <w:r w:rsidR="007C5C16">
        <w:rPr>
          <w:rFonts w:hint="eastAsia"/>
          <w:lang w:val="en-GB"/>
        </w:rPr>
        <w:t>12</w:t>
      </w:r>
    </w:p>
    <w:p w:rsidR="00D13477" w:rsidRPr="00895C18" w:rsidRDefault="0057611E" w:rsidP="001F4E70">
      <w:pPr>
        <w:pStyle w:val="a1"/>
        <w:ind w:left="1985"/>
        <w:rPr>
          <w:rFonts w:hint="eastAsia"/>
          <w:lang w:val="en-GB"/>
        </w:rPr>
      </w:pPr>
      <w:r>
        <w:rPr>
          <w:rFonts w:hint="eastAsia"/>
          <w:lang w:val="en-GB"/>
        </w:rPr>
        <w:tab/>
      </w:r>
      <w:r w:rsidR="00D13477" w:rsidRPr="00895C18">
        <w:rPr>
          <w:rFonts w:hint="eastAsia"/>
          <w:lang w:val="en-GB"/>
        </w:rPr>
        <w:t>A.</w:t>
      </w:r>
      <w:r>
        <w:rPr>
          <w:rFonts w:hint="eastAsia"/>
          <w:lang w:val="en-GB"/>
        </w:rPr>
        <w:tab/>
      </w:r>
      <w:r w:rsidR="00D13477" w:rsidRPr="00895C18">
        <w:rPr>
          <w:rFonts w:hint="eastAsia"/>
          <w:lang w:val="en-GB"/>
        </w:rPr>
        <w:t>国际人权条约适用于香港特区的情况</w:t>
      </w:r>
      <w:r w:rsidR="00D13477" w:rsidRPr="00895C18">
        <w:tab/>
      </w:r>
      <w:r w:rsidR="00D13477" w:rsidRPr="00895C18">
        <w:tab/>
      </w:r>
      <w:r w:rsidR="00D13477" w:rsidRPr="00895C18">
        <w:rPr>
          <w:lang w:val="en-GB"/>
        </w:rPr>
        <w:t>38</w:t>
      </w:r>
      <w:r w:rsidR="00D13477" w:rsidRPr="00895C18">
        <w:rPr>
          <w:rFonts w:hint="eastAsia"/>
          <w:lang w:val="en-GB"/>
        </w:rPr>
        <w:tab/>
      </w:r>
      <w:r w:rsidR="007C5C16">
        <w:rPr>
          <w:rFonts w:hint="eastAsia"/>
          <w:lang w:val="en-GB"/>
        </w:rPr>
        <w:t>12</w:t>
      </w:r>
    </w:p>
    <w:p w:rsidR="00D13477" w:rsidRPr="00895C18" w:rsidRDefault="0057611E" w:rsidP="001F4E70">
      <w:pPr>
        <w:pStyle w:val="a1"/>
        <w:ind w:left="1985"/>
        <w:rPr>
          <w:rFonts w:hint="eastAsia"/>
          <w:lang w:val="en-GB"/>
        </w:rPr>
      </w:pPr>
      <w:r>
        <w:rPr>
          <w:rFonts w:hint="eastAsia"/>
          <w:lang w:val="en-GB"/>
        </w:rPr>
        <w:tab/>
      </w:r>
      <w:r w:rsidR="00D13477" w:rsidRPr="00895C18">
        <w:rPr>
          <w:rFonts w:hint="eastAsia"/>
          <w:lang w:val="en-GB"/>
        </w:rPr>
        <w:t>B.</w:t>
      </w:r>
      <w:r>
        <w:rPr>
          <w:rFonts w:hint="eastAsia"/>
          <w:lang w:val="en-GB"/>
        </w:rPr>
        <w:tab/>
      </w:r>
      <w:r w:rsidR="00D13477" w:rsidRPr="00895C18">
        <w:rPr>
          <w:rFonts w:hint="eastAsia"/>
          <w:lang w:val="en-GB"/>
        </w:rPr>
        <w:t>保障人权的法律架构</w:t>
      </w:r>
      <w:r w:rsidR="00D13477" w:rsidRPr="00895C18">
        <w:tab/>
      </w:r>
      <w:r w:rsidR="00D13477" w:rsidRPr="00895C18">
        <w:tab/>
      </w:r>
      <w:r w:rsidR="00D13477" w:rsidRPr="00895C18">
        <w:rPr>
          <w:rFonts w:hint="eastAsia"/>
          <w:lang w:val="en-GB"/>
        </w:rPr>
        <w:t>39-60</w:t>
      </w:r>
      <w:r w:rsidR="00D13477" w:rsidRPr="00895C18">
        <w:rPr>
          <w:rFonts w:hint="eastAsia"/>
          <w:lang w:val="en-GB"/>
        </w:rPr>
        <w:tab/>
      </w:r>
      <w:r w:rsidR="007C5C16">
        <w:rPr>
          <w:rFonts w:hint="eastAsia"/>
          <w:lang w:val="en-GB"/>
        </w:rPr>
        <w:t>12</w:t>
      </w:r>
    </w:p>
    <w:p w:rsidR="00D13477" w:rsidRPr="00895C18" w:rsidRDefault="00D13477" w:rsidP="001F4E70">
      <w:pPr>
        <w:pStyle w:val="a1"/>
        <w:ind w:left="2268"/>
        <w:rPr>
          <w:rFonts w:hint="eastAsia"/>
          <w:lang w:val="en-GB"/>
        </w:rPr>
      </w:pPr>
      <w:r w:rsidRPr="00895C18">
        <w:rPr>
          <w:lang w:val="en-GB"/>
        </w:rPr>
        <w:tab/>
      </w:r>
      <w:r w:rsidRPr="00895C18">
        <w:rPr>
          <w:rFonts w:hint="eastAsia"/>
          <w:lang w:val="en-GB"/>
        </w:rPr>
        <w:t>1.</w:t>
      </w:r>
      <w:r w:rsidR="0057611E">
        <w:rPr>
          <w:rFonts w:hint="eastAsia"/>
          <w:lang w:val="en-GB"/>
        </w:rPr>
        <w:tab/>
      </w:r>
      <w:r w:rsidRPr="00895C18">
        <w:rPr>
          <w:rFonts w:hint="eastAsia"/>
          <w:bCs/>
          <w:lang w:val="en-GB"/>
        </w:rPr>
        <w:t>法治</w:t>
      </w:r>
      <w:r w:rsidRPr="00895C18">
        <w:rPr>
          <w:bCs/>
        </w:rPr>
        <w:tab/>
      </w:r>
      <w:r w:rsidRPr="00895C18">
        <w:tab/>
      </w:r>
      <w:r w:rsidRPr="00895C18">
        <w:rPr>
          <w:lang w:val="en-GB"/>
        </w:rPr>
        <w:t>39</w:t>
      </w:r>
      <w:r w:rsidRPr="00895C18">
        <w:rPr>
          <w:rFonts w:hint="eastAsia"/>
          <w:lang w:val="en-GB"/>
        </w:rPr>
        <w:tab/>
      </w:r>
      <w:r w:rsidR="007C5C16">
        <w:rPr>
          <w:rFonts w:hint="eastAsia"/>
          <w:lang w:val="en-GB"/>
        </w:rPr>
        <w:t>12</w:t>
      </w:r>
    </w:p>
    <w:p w:rsidR="00D13477" w:rsidRPr="00895C18" w:rsidRDefault="00D13477" w:rsidP="001F4E70">
      <w:pPr>
        <w:pStyle w:val="a1"/>
        <w:ind w:left="2268"/>
        <w:rPr>
          <w:rFonts w:hint="eastAsia"/>
          <w:lang w:val="en-GB"/>
        </w:rPr>
      </w:pPr>
      <w:r w:rsidRPr="00895C18">
        <w:rPr>
          <w:lang w:val="en-GB"/>
        </w:rPr>
        <w:tab/>
      </w:r>
      <w:r w:rsidRPr="00895C18">
        <w:rPr>
          <w:rFonts w:hint="eastAsia"/>
          <w:lang w:val="en-GB"/>
        </w:rPr>
        <w:t>2.</w:t>
      </w:r>
      <w:r w:rsidR="0057611E">
        <w:rPr>
          <w:rFonts w:hint="eastAsia"/>
          <w:lang w:val="en-GB"/>
        </w:rPr>
        <w:tab/>
      </w:r>
      <w:r w:rsidRPr="00895C18">
        <w:rPr>
          <w:rFonts w:hint="eastAsia"/>
        </w:rPr>
        <w:t>《基本法》对人权的保证</w:t>
      </w:r>
      <w:r w:rsidRPr="00895C18">
        <w:tab/>
      </w:r>
      <w:r w:rsidRPr="00895C18">
        <w:rPr>
          <w:lang w:val="en-GB"/>
        </w:rPr>
        <w:tab/>
        <w:t>40</w:t>
      </w:r>
      <w:r w:rsidRPr="00895C18">
        <w:rPr>
          <w:rFonts w:hint="eastAsia"/>
          <w:lang w:val="en-GB"/>
        </w:rPr>
        <w:t>-41</w:t>
      </w:r>
      <w:r w:rsidRPr="00895C18">
        <w:rPr>
          <w:rFonts w:hint="eastAsia"/>
          <w:lang w:val="en-GB"/>
        </w:rPr>
        <w:tab/>
      </w:r>
      <w:r w:rsidR="007C5C16">
        <w:rPr>
          <w:rFonts w:hint="eastAsia"/>
          <w:lang w:val="en-GB"/>
        </w:rPr>
        <w:t>12</w:t>
      </w:r>
    </w:p>
    <w:p w:rsidR="00D13477" w:rsidRPr="00895C18" w:rsidRDefault="00D13477" w:rsidP="001F4E70">
      <w:pPr>
        <w:pStyle w:val="a1"/>
        <w:ind w:left="2268"/>
        <w:rPr>
          <w:rFonts w:hint="eastAsia"/>
          <w:lang w:val="en-GB"/>
        </w:rPr>
      </w:pPr>
      <w:r w:rsidRPr="00895C18">
        <w:rPr>
          <w:lang w:val="en-GB"/>
        </w:rPr>
        <w:tab/>
      </w:r>
      <w:r w:rsidRPr="00895C18">
        <w:rPr>
          <w:rFonts w:hint="eastAsia"/>
          <w:lang w:val="en-GB"/>
        </w:rPr>
        <w:t>3.</w:t>
      </w:r>
      <w:r w:rsidR="0057611E">
        <w:rPr>
          <w:rFonts w:hint="eastAsia"/>
          <w:lang w:val="en-GB"/>
        </w:rPr>
        <w:tab/>
      </w:r>
      <w:r w:rsidRPr="00895C18">
        <w:rPr>
          <w:rFonts w:hint="eastAsia"/>
          <w:bCs/>
          <w:lang w:val="en-GB"/>
        </w:rPr>
        <w:t>其他人权条约在香港特区的法律效力</w:t>
      </w:r>
      <w:r w:rsidRPr="00895C18">
        <w:rPr>
          <w:bCs/>
        </w:rPr>
        <w:tab/>
      </w:r>
      <w:r w:rsidRPr="00895C18">
        <w:tab/>
      </w:r>
      <w:r w:rsidRPr="00895C18">
        <w:rPr>
          <w:lang w:val="en-GB"/>
        </w:rPr>
        <w:t>42</w:t>
      </w:r>
      <w:r w:rsidRPr="00895C18">
        <w:rPr>
          <w:rFonts w:hint="eastAsia"/>
          <w:lang w:val="en-GB"/>
        </w:rPr>
        <w:t>-43</w:t>
      </w:r>
      <w:r w:rsidRPr="00895C18">
        <w:rPr>
          <w:rFonts w:hint="eastAsia"/>
          <w:lang w:val="en-GB"/>
        </w:rPr>
        <w:tab/>
      </w:r>
      <w:r w:rsidR="007C5C16">
        <w:rPr>
          <w:rFonts w:hint="eastAsia"/>
          <w:lang w:val="en-GB"/>
        </w:rPr>
        <w:t>13</w:t>
      </w:r>
    </w:p>
    <w:p w:rsidR="00D13477" w:rsidRPr="00895C18" w:rsidRDefault="00D13477" w:rsidP="001F4E70">
      <w:pPr>
        <w:pStyle w:val="a1"/>
        <w:ind w:left="2268"/>
        <w:rPr>
          <w:rFonts w:hint="eastAsia"/>
          <w:lang w:val="en-GB"/>
        </w:rPr>
      </w:pPr>
      <w:r w:rsidRPr="00895C18">
        <w:rPr>
          <w:bCs/>
          <w:lang w:val="en-GB"/>
        </w:rPr>
        <w:tab/>
      </w:r>
      <w:r w:rsidRPr="00895C18">
        <w:rPr>
          <w:rFonts w:hint="eastAsia"/>
          <w:bCs/>
          <w:lang w:val="en-GB"/>
        </w:rPr>
        <w:t>4.</w:t>
      </w:r>
      <w:r w:rsidR="0057611E">
        <w:rPr>
          <w:rFonts w:hint="eastAsia"/>
          <w:bCs/>
          <w:lang w:val="en-GB"/>
        </w:rPr>
        <w:tab/>
      </w:r>
      <w:r w:rsidRPr="00895C18">
        <w:rPr>
          <w:rFonts w:hint="eastAsia"/>
          <w:bCs/>
          <w:lang w:val="en-GB"/>
        </w:rPr>
        <w:t>《香港人权法案条例》</w:t>
      </w:r>
      <w:r w:rsidRPr="00895C18">
        <w:rPr>
          <w:bCs/>
        </w:rPr>
        <w:tab/>
      </w:r>
      <w:r w:rsidRPr="00895C18">
        <w:rPr>
          <w:bCs/>
        </w:rPr>
        <w:tab/>
      </w:r>
      <w:r w:rsidRPr="00895C18">
        <w:rPr>
          <w:lang w:val="en-GB"/>
        </w:rPr>
        <w:t>44</w:t>
      </w:r>
      <w:r w:rsidRPr="00895C18">
        <w:rPr>
          <w:rFonts w:hint="eastAsia"/>
          <w:lang w:val="en-GB"/>
        </w:rPr>
        <w:tab/>
      </w:r>
      <w:r w:rsidR="007C5C16">
        <w:rPr>
          <w:rFonts w:hint="eastAsia"/>
          <w:lang w:val="en-GB"/>
        </w:rPr>
        <w:t>14</w:t>
      </w:r>
    </w:p>
    <w:p w:rsidR="00D13477" w:rsidRPr="00895C18" w:rsidRDefault="00D13477" w:rsidP="001F4E70">
      <w:pPr>
        <w:pStyle w:val="a1"/>
        <w:ind w:left="2268"/>
        <w:rPr>
          <w:rFonts w:hint="eastAsia"/>
          <w:lang w:val="en-GB"/>
        </w:rPr>
      </w:pPr>
      <w:r w:rsidRPr="00895C18">
        <w:rPr>
          <w:bCs/>
          <w:lang w:val="en-GB"/>
        </w:rPr>
        <w:tab/>
      </w:r>
      <w:r w:rsidRPr="00895C18">
        <w:rPr>
          <w:rFonts w:hint="eastAsia"/>
          <w:bCs/>
          <w:lang w:val="en-GB"/>
        </w:rPr>
        <w:t>5.</w:t>
      </w:r>
      <w:r w:rsidR="0057611E">
        <w:rPr>
          <w:rFonts w:hint="eastAsia"/>
          <w:bCs/>
          <w:lang w:val="en-GB"/>
        </w:rPr>
        <w:tab/>
      </w:r>
      <w:r w:rsidRPr="00895C18">
        <w:rPr>
          <w:rFonts w:hint="eastAsia"/>
          <w:bCs/>
          <w:lang w:val="en-GB"/>
        </w:rPr>
        <w:t>法律援助</w:t>
      </w:r>
      <w:r w:rsidRPr="00895C18">
        <w:rPr>
          <w:bCs/>
        </w:rPr>
        <w:tab/>
      </w:r>
      <w:r w:rsidRPr="00895C18">
        <w:rPr>
          <w:bCs/>
        </w:rPr>
        <w:tab/>
      </w:r>
      <w:r w:rsidRPr="00895C18">
        <w:rPr>
          <w:lang w:val="en-GB"/>
        </w:rPr>
        <w:t>45</w:t>
      </w:r>
      <w:r w:rsidRPr="00895C18">
        <w:rPr>
          <w:rFonts w:hint="eastAsia"/>
          <w:lang w:val="en-GB"/>
        </w:rPr>
        <w:t>-48</w:t>
      </w:r>
      <w:r w:rsidRPr="00895C18">
        <w:rPr>
          <w:rFonts w:hint="eastAsia"/>
          <w:lang w:val="en-GB"/>
        </w:rPr>
        <w:tab/>
      </w:r>
      <w:r w:rsidR="007C5C16">
        <w:rPr>
          <w:rFonts w:hint="eastAsia"/>
          <w:lang w:val="en-GB"/>
        </w:rPr>
        <w:t>14</w:t>
      </w:r>
    </w:p>
    <w:p w:rsidR="00D13477" w:rsidRPr="00895C18" w:rsidRDefault="00D13477" w:rsidP="001F4E70">
      <w:pPr>
        <w:pStyle w:val="a1"/>
        <w:ind w:left="2268"/>
        <w:rPr>
          <w:rFonts w:hint="eastAsia"/>
          <w:lang w:val="en-GB"/>
        </w:rPr>
      </w:pPr>
      <w:r w:rsidRPr="0057611E">
        <w:rPr>
          <w:lang w:val="en-GB"/>
        </w:rPr>
        <w:tab/>
      </w:r>
      <w:r w:rsidRPr="0057611E">
        <w:rPr>
          <w:rFonts w:hint="eastAsia"/>
          <w:lang w:val="en-GB"/>
        </w:rPr>
        <w:t>6.</w:t>
      </w:r>
      <w:r w:rsidR="0057611E">
        <w:rPr>
          <w:rFonts w:hint="eastAsia"/>
          <w:lang w:val="en-GB"/>
        </w:rPr>
        <w:tab/>
      </w:r>
      <w:r w:rsidRPr="0057611E">
        <w:rPr>
          <w:rFonts w:hint="eastAsia"/>
          <w:lang w:val="en-GB"/>
        </w:rPr>
        <w:t>申诉专员公署</w:t>
      </w:r>
      <w:r w:rsidRPr="0057611E">
        <w:rPr>
          <w:lang w:val="en-GB"/>
        </w:rPr>
        <w:tab/>
      </w:r>
      <w:r w:rsidRPr="0057611E">
        <w:rPr>
          <w:lang w:val="en-GB"/>
        </w:rPr>
        <w:tab/>
      </w:r>
      <w:r w:rsidRPr="00895C18">
        <w:rPr>
          <w:lang w:val="en-GB"/>
        </w:rPr>
        <w:t>49</w:t>
      </w:r>
      <w:r w:rsidRPr="00895C18">
        <w:rPr>
          <w:rFonts w:hint="eastAsia"/>
          <w:lang w:val="en-GB"/>
        </w:rPr>
        <w:t>-53</w:t>
      </w:r>
      <w:r w:rsidRPr="00895C18">
        <w:rPr>
          <w:rFonts w:hint="eastAsia"/>
          <w:lang w:val="en-GB"/>
        </w:rPr>
        <w:tab/>
      </w:r>
      <w:r w:rsidR="007C5C16">
        <w:rPr>
          <w:rFonts w:hint="eastAsia"/>
          <w:lang w:val="en-GB"/>
        </w:rPr>
        <w:t>15</w:t>
      </w:r>
    </w:p>
    <w:p w:rsidR="00D13477" w:rsidRPr="00895C18" w:rsidRDefault="00D13477" w:rsidP="001F4E70">
      <w:pPr>
        <w:pStyle w:val="a1"/>
        <w:ind w:left="2268"/>
        <w:rPr>
          <w:rFonts w:hint="eastAsia"/>
          <w:lang w:val="en-GB"/>
        </w:rPr>
      </w:pPr>
      <w:r w:rsidRPr="00895C18">
        <w:rPr>
          <w:bCs/>
          <w:lang w:val="en-GB"/>
        </w:rPr>
        <w:tab/>
      </w:r>
      <w:r w:rsidRPr="00895C18">
        <w:rPr>
          <w:rFonts w:hint="eastAsia"/>
          <w:bCs/>
          <w:lang w:val="en-GB"/>
        </w:rPr>
        <w:t>7.</w:t>
      </w:r>
      <w:r w:rsidR="0057611E">
        <w:rPr>
          <w:rFonts w:hint="eastAsia"/>
          <w:bCs/>
          <w:lang w:val="en-GB"/>
        </w:rPr>
        <w:tab/>
      </w:r>
      <w:r w:rsidRPr="00895C18">
        <w:rPr>
          <w:rFonts w:hint="eastAsia"/>
          <w:bCs/>
          <w:lang w:val="en-GB"/>
        </w:rPr>
        <w:t>平等机会委员会</w:t>
      </w:r>
      <w:r w:rsidRPr="00895C18">
        <w:rPr>
          <w:bCs/>
        </w:rPr>
        <w:tab/>
      </w:r>
      <w:r w:rsidRPr="00895C18">
        <w:rPr>
          <w:bCs/>
        </w:rPr>
        <w:tab/>
      </w:r>
      <w:r w:rsidRPr="00895C18">
        <w:rPr>
          <w:lang w:val="en-GB"/>
        </w:rPr>
        <w:t>54</w:t>
      </w:r>
      <w:r w:rsidRPr="00895C18">
        <w:rPr>
          <w:rFonts w:hint="eastAsia"/>
          <w:lang w:val="en-GB"/>
        </w:rPr>
        <w:t>-55</w:t>
      </w:r>
      <w:r w:rsidRPr="00895C18">
        <w:rPr>
          <w:rFonts w:hint="eastAsia"/>
          <w:lang w:val="en-GB"/>
        </w:rPr>
        <w:tab/>
      </w:r>
      <w:r w:rsidR="007C5C16">
        <w:rPr>
          <w:rFonts w:hint="eastAsia"/>
          <w:lang w:val="en-GB"/>
        </w:rPr>
        <w:t>15</w:t>
      </w:r>
    </w:p>
    <w:p w:rsidR="00D13477" w:rsidRPr="00895C18" w:rsidRDefault="00D13477" w:rsidP="001F4E70">
      <w:pPr>
        <w:pStyle w:val="a1"/>
        <w:ind w:left="2268"/>
        <w:rPr>
          <w:rFonts w:hint="eastAsia"/>
          <w:lang w:val="en-GB"/>
        </w:rPr>
      </w:pPr>
      <w:r w:rsidRPr="00895C18">
        <w:rPr>
          <w:bCs/>
          <w:lang w:val="en-GB"/>
        </w:rPr>
        <w:tab/>
      </w:r>
      <w:r w:rsidRPr="00895C18">
        <w:rPr>
          <w:rFonts w:hint="eastAsia"/>
          <w:bCs/>
          <w:lang w:val="en-GB"/>
        </w:rPr>
        <w:t>8.</w:t>
      </w:r>
      <w:r w:rsidR="0057611E">
        <w:rPr>
          <w:rFonts w:hint="eastAsia"/>
          <w:bCs/>
          <w:lang w:val="en-GB"/>
        </w:rPr>
        <w:tab/>
      </w:r>
      <w:r w:rsidRPr="00895C18">
        <w:rPr>
          <w:rFonts w:hint="eastAsia"/>
          <w:bCs/>
          <w:lang w:val="en-GB"/>
        </w:rPr>
        <w:t>个人资料私隐专员</w:t>
      </w:r>
      <w:r w:rsidRPr="00895C18">
        <w:rPr>
          <w:bCs/>
        </w:rPr>
        <w:tab/>
      </w:r>
      <w:r w:rsidRPr="00895C18">
        <w:rPr>
          <w:bCs/>
        </w:rPr>
        <w:tab/>
      </w:r>
      <w:r w:rsidRPr="00895C18">
        <w:rPr>
          <w:lang w:val="en-GB"/>
        </w:rPr>
        <w:t>56</w:t>
      </w:r>
      <w:r w:rsidRPr="00895C18">
        <w:rPr>
          <w:rFonts w:hint="eastAsia"/>
          <w:lang w:val="en-GB"/>
        </w:rPr>
        <w:tab/>
      </w:r>
      <w:r w:rsidR="007C5C16">
        <w:rPr>
          <w:rFonts w:hint="eastAsia"/>
          <w:lang w:val="en-GB"/>
        </w:rPr>
        <w:t>16</w:t>
      </w:r>
    </w:p>
    <w:p w:rsidR="00D13477" w:rsidRPr="00895C18" w:rsidRDefault="00D13477" w:rsidP="001F4E70">
      <w:pPr>
        <w:pStyle w:val="a1"/>
        <w:ind w:left="2268"/>
        <w:rPr>
          <w:rFonts w:hint="eastAsia"/>
          <w:lang w:val="en-GB"/>
        </w:rPr>
      </w:pPr>
      <w:r w:rsidRPr="0057611E">
        <w:rPr>
          <w:lang w:val="en-GB"/>
        </w:rPr>
        <w:tab/>
      </w:r>
      <w:r w:rsidRPr="0057611E">
        <w:rPr>
          <w:rFonts w:hint="eastAsia"/>
          <w:lang w:val="en-GB"/>
        </w:rPr>
        <w:t>9.</w:t>
      </w:r>
      <w:r w:rsidR="0057611E">
        <w:rPr>
          <w:rFonts w:hint="eastAsia"/>
          <w:lang w:val="en-GB"/>
        </w:rPr>
        <w:tab/>
      </w:r>
      <w:r w:rsidRPr="0057611E">
        <w:rPr>
          <w:rFonts w:hint="eastAsia"/>
          <w:lang w:val="en-GB"/>
        </w:rPr>
        <w:t>投诉及调查</w:t>
      </w:r>
      <w:r w:rsidRPr="0057611E">
        <w:rPr>
          <w:lang w:val="en-GB"/>
        </w:rPr>
        <w:tab/>
      </w:r>
      <w:r w:rsidRPr="0057611E">
        <w:rPr>
          <w:lang w:val="en-GB"/>
        </w:rPr>
        <w:tab/>
      </w:r>
      <w:r w:rsidRPr="00895C18">
        <w:rPr>
          <w:lang w:val="en-GB"/>
        </w:rPr>
        <w:t>57</w:t>
      </w:r>
      <w:r w:rsidRPr="00895C18">
        <w:rPr>
          <w:rFonts w:hint="eastAsia"/>
          <w:lang w:val="en-GB"/>
        </w:rPr>
        <w:t>-60</w:t>
      </w:r>
      <w:r w:rsidRPr="00895C18">
        <w:rPr>
          <w:rFonts w:hint="eastAsia"/>
          <w:lang w:val="en-GB"/>
        </w:rPr>
        <w:tab/>
      </w:r>
      <w:r w:rsidR="007C5C16">
        <w:rPr>
          <w:rFonts w:hint="eastAsia"/>
          <w:lang w:val="en-GB"/>
        </w:rPr>
        <w:t>16</w:t>
      </w:r>
    </w:p>
    <w:p w:rsidR="00D13477" w:rsidRPr="00895C18" w:rsidRDefault="0057611E" w:rsidP="001F4E70">
      <w:pPr>
        <w:pStyle w:val="a1"/>
        <w:ind w:left="1985"/>
        <w:rPr>
          <w:rFonts w:hint="eastAsia"/>
          <w:lang w:val="en-GB"/>
        </w:rPr>
      </w:pPr>
      <w:r>
        <w:rPr>
          <w:rFonts w:hint="eastAsia"/>
          <w:lang w:val="en-GB"/>
        </w:rPr>
        <w:tab/>
      </w:r>
      <w:r w:rsidR="00D13477" w:rsidRPr="00895C18">
        <w:rPr>
          <w:rFonts w:hint="eastAsia"/>
          <w:lang w:val="en-GB"/>
        </w:rPr>
        <w:t>C.</w:t>
      </w:r>
      <w:r>
        <w:rPr>
          <w:rFonts w:hint="eastAsia"/>
          <w:lang w:val="en-GB"/>
        </w:rPr>
        <w:tab/>
      </w:r>
      <w:r w:rsidR="00D13477" w:rsidRPr="00895C18">
        <w:rPr>
          <w:rFonts w:hint="eastAsia"/>
          <w:lang w:val="en-GB"/>
        </w:rPr>
        <w:t>促进人权的架构</w:t>
      </w:r>
      <w:r w:rsidR="00D13477" w:rsidRPr="00895C18">
        <w:tab/>
      </w:r>
      <w:r w:rsidR="00D13477" w:rsidRPr="00895C18">
        <w:tab/>
      </w:r>
      <w:r w:rsidR="00D13477" w:rsidRPr="00895C18">
        <w:rPr>
          <w:rFonts w:hint="eastAsia"/>
          <w:lang w:val="en-GB"/>
        </w:rPr>
        <w:t>61-114</w:t>
      </w:r>
      <w:r w:rsidR="00D13477" w:rsidRPr="00895C18">
        <w:rPr>
          <w:rFonts w:hint="eastAsia"/>
          <w:lang w:val="en-GB"/>
        </w:rPr>
        <w:tab/>
      </w:r>
      <w:r w:rsidR="007C5C16">
        <w:rPr>
          <w:rFonts w:hint="eastAsia"/>
          <w:lang w:val="en-GB"/>
        </w:rPr>
        <w:t>17</w:t>
      </w:r>
    </w:p>
    <w:p w:rsidR="00D13477" w:rsidRPr="00895C18" w:rsidRDefault="00D13477" w:rsidP="001F4E70">
      <w:pPr>
        <w:pStyle w:val="a1"/>
        <w:ind w:left="2268"/>
        <w:rPr>
          <w:rFonts w:hint="eastAsia"/>
          <w:lang w:val="en-GB"/>
        </w:rPr>
      </w:pPr>
      <w:r w:rsidRPr="00895C18">
        <w:rPr>
          <w:bCs/>
          <w:lang w:val="en-GB"/>
        </w:rPr>
        <w:tab/>
      </w:r>
      <w:r w:rsidRPr="00895C18">
        <w:rPr>
          <w:rFonts w:hint="eastAsia"/>
          <w:bCs/>
          <w:lang w:val="en-GB"/>
        </w:rPr>
        <w:t>1.</w:t>
      </w:r>
      <w:r w:rsidR="0057611E">
        <w:rPr>
          <w:rFonts w:hint="eastAsia"/>
          <w:bCs/>
          <w:lang w:val="en-GB"/>
        </w:rPr>
        <w:tab/>
      </w:r>
      <w:r w:rsidRPr="00895C18">
        <w:rPr>
          <w:rFonts w:hint="eastAsia"/>
          <w:bCs/>
          <w:lang w:val="en-GB"/>
        </w:rPr>
        <w:t>加深公众对人权条约的认识</w:t>
      </w:r>
      <w:r w:rsidRPr="00895C18">
        <w:rPr>
          <w:bCs/>
        </w:rPr>
        <w:tab/>
      </w:r>
      <w:r w:rsidRPr="00895C18">
        <w:rPr>
          <w:bCs/>
        </w:rPr>
        <w:tab/>
      </w:r>
      <w:r w:rsidRPr="00895C18">
        <w:rPr>
          <w:lang w:val="en-GB"/>
        </w:rPr>
        <w:t>61</w:t>
      </w:r>
      <w:r w:rsidRPr="00895C18">
        <w:rPr>
          <w:rFonts w:hint="eastAsia"/>
          <w:lang w:val="en-GB"/>
        </w:rPr>
        <w:t>-86</w:t>
      </w:r>
      <w:r w:rsidRPr="00895C18">
        <w:rPr>
          <w:rFonts w:hint="eastAsia"/>
          <w:lang w:val="en-GB"/>
        </w:rPr>
        <w:tab/>
      </w:r>
      <w:r w:rsidR="007C5C16">
        <w:rPr>
          <w:rFonts w:hint="eastAsia"/>
          <w:lang w:val="en-GB"/>
        </w:rPr>
        <w:t>17</w:t>
      </w:r>
    </w:p>
    <w:p w:rsidR="00D13477" w:rsidRPr="00895C18" w:rsidRDefault="00D13477" w:rsidP="001F4E70">
      <w:pPr>
        <w:pStyle w:val="a1"/>
        <w:ind w:left="2268"/>
        <w:rPr>
          <w:rFonts w:hint="eastAsia"/>
          <w:lang w:val="en-GB"/>
        </w:rPr>
      </w:pPr>
      <w:r w:rsidRPr="0057611E">
        <w:rPr>
          <w:lang w:val="en-GB"/>
        </w:rPr>
        <w:tab/>
      </w:r>
      <w:r w:rsidRPr="0057611E">
        <w:rPr>
          <w:rFonts w:hint="eastAsia"/>
          <w:lang w:val="en-GB"/>
        </w:rPr>
        <w:t>2.</w:t>
      </w:r>
      <w:r w:rsidR="0057611E">
        <w:rPr>
          <w:rFonts w:hint="eastAsia"/>
          <w:lang w:val="en-GB"/>
        </w:rPr>
        <w:tab/>
      </w:r>
      <w:r w:rsidRPr="0057611E">
        <w:rPr>
          <w:rFonts w:hint="eastAsia"/>
          <w:lang w:val="en-GB"/>
        </w:rPr>
        <w:t>报告程序</w:t>
      </w:r>
      <w:r w:rsidRPr="0057611E">
        <w:rPr>
          <w:lang w:val="en-GB"/>
        </w:rPr>
        <w:tab/>
      </w:r>
      <w:r w:rsidRPr="0057611E">
        <w:rPr>
          <w:lang w:val="en-GB"/>
        </w:rPr>
        <w:tab/>
      </w:r>
      <w:r w:rsidRPr="00895C18">
        <w:rPr>
          <w:lang w:val="en-GB"/>
        </w:rPr>
        <w:t>87</w:t>
      </w:r>
      <w:r w:rsidRPr="00895C18">
        <w:rPr>
          <w:rFonts w:hint="eastAsia"/>
          <w:lang w:val="en-GB"/>
        </w:rPr>
        <w:t>-90</w:t>
      </w:r>
      <w:r w:rsidRPr="00895C18">
        <w:rPr>
          <w:rFonts w:hint="eastAsia"/>
          <w:lang w:val="en-GB"/>
        </w:rPr>
        <w:tab/>
      </w:r>
      <w:r w:rsidR="007C5C16">
        <w:rPr>
          <w:rFonts w:hint="eastAsia"/>
          <w:lang w:val="en-GB"/>
        </w:rPr>
        <w:t>21</w:t>
      </w:r>
    </w:p>
    <w:p w:rsidR="00D13477" w:rsidRPr="00895C18" w:rsidRDefault="00D13477" w:rsidP="001F4E70">
      <w:pPr>
        <w:pStyle w:val="a1"/>
        <w:ind w:left="2268"/>
        <w:rPr>
          <w:rFonts w:hint="eastAsia"/>
          <w:lang w:val="en-GB"/>
        </w:rPr>
      </w:pPr>
      <w:r w:rsidRPr="00895C18">
        <w:rPr>
          <w:bCs/>
          <w:lang w:val="en-GB"/>
        </w:rPr>
        <w:tab/>
      </w:r>
      <w:r w:rsidRPr="00895C18">
        <w:rPr>
          <w:rFonts w:hint="eastAsia"/>
          <w:bCs/>
          <w:lang w:val="en-GB"/>
        </w:rPr>
        <w:t>3.</w:t>
      </w:r>
      <w:r w:rsidR="0057611E">
        <w:rPr>
          <w:rFonts w:hint="eastAsia"/>
          <w:bCs/>
          <w:lang w:val="en-GB"/>
        </w:rPr>
        <w:tab/>
      </w:r>
      <w:r w:rsidRPr="00895C18">
        <w:rPr>
          <w:rFonts w:hint="eastAsia"/>
          <w:bCs/>
          <w:lang w:val="en-GB"/>
        </w:rPr>
        <w:t>有关反歧视及促进平等的资料</w:t>
      </w:r>
      <w:r w:rsidRPr="00895C18">
        <w:rPr>
          <w:bCs/>
        </w:rPr>
        <w:tab/>
      </w:r>
      <w:r w:rsidRPr="00895C18">
        <w:rPr>
          <w:bCs/>
        </w:rPr>
        <w:tab/>
      </w:r>
      <w:r w:rsidRPr="00895C18">
        <w:rPr>
          <w:lang w:val="en-GB"/>
        </w:rPr>
        <w:t>91</w:t>
      </w:r>
      <w:r w:rsidRPr="00895C18">
        <w:rPr>
          <w:rFonts w:hint="eastAsia"/>
          <w:lang w:val="en-GB"/>
        </w:rPr>
        <w:t>-114</w:t>
      </w:r>
      <w:r w:rsidRPr="00895C18">
        <w:rPr>
          <w:rFonts w:hint="eastAsia"/>
          <w:lang w:val="en-GB"/>
        </w:rPr>
        <w:tab/>
      </w:r>
      <w:r w:rsidR="007C5C16">
        <w:rPr>
          <w:rFonts w:hint="eastAsia"/>
          <w:lang w:val="en-GB"/>
        </w:rPr>
        <w:t>22</w:t>
      </w:r>
    </w:p>
    <w:p w:rsidR="00D13477" w:rsidRPr="00002A77" w:rsidRDefault="001F4E70" w:rsidP="001F4E70">
      <w:pPr>
        <w:pStyle w:val="a2"/>
        <w:rPr>
          <w:rFonts w:hint="eastAsia"/>
        </w:rPr>
      </w:pPr>
      <w:r>
        <w:rPr>
          <w:lang w:val="en-GB"/>
        </w:rPr>
        <w:br w:type="page"/>
      </w:r>
      <w:r w:rsidR="004E2B59">
        <w:rPr>
          <w:rFonts w:hint="eastAsia"/>
          <w:lang w:val="en-GB"/>
        </w:rPr>
        <w:tab/>
      </w:r>
      <w:r w:rsidR="004E2B59">
        <w:rPr>
          <w:rFonts w:hint="eastAsia"/>
          <w:lang w:val="en-GB"/>
        </w:rPr>
        <w:tab/>
      </w:r>
      <w:r w:rsidR="00D13477" w:rsidRPr="00002A77">
        <w:rPr>
          <w:rFonts w:hint="eastAsia"/>
          <w:lang w:val="en-GB"/>
        </w:rPr>
        <w:t>附件</w:t>
      </w:r>
      <w:r w:rsidR="00AF6277" w:rsidRPr="00AF6277">
        <w:rPr>
          <w:rStyle w:val="FootnoteReference"/>
          <w:position w:val="2"/>
          <w:vertAlign w:val="baseline"/>
          <w:lang w:val="en-GB"/>
        </w:rPr>
        <w:footnoteReference w:customMarkFollows="1" w:id="2"/>
        <w:t>**</w:t>
      </w:r>
    </w:p>
    <w:p w:rsidR="00D13477" w:rsidRPr="00002A77" w:rsidRDefault="00AF6277" w:rsidP="001F4E70">
      <w:pPr>
        <w:pStyle w:val="a2"/>
        <w:ind w:left="2268"/>
        <w:rPr>
          <w:rFonts w:hint="eastAsia"/>
          <w:lang w:val="en-GB"/>
        </w:rPr>
      </w:pPr>
      <w:r>
        <w:rPr>
          <w:rFonts w:hint="eastAsia"/>
          <w:lang w:val="en-GB"/>
        </w:rPr>
        <w:tab/>
      </w:r>
      <w:r w:rsidR="00D13477">
        <w:rPr>
          <w:lang w:val="en-GB"/>
        </w:rPr>
        <w:t>A</w:t>
      </w:r>
      <w:r>
        <w:rPr>
          <w:rFonts w:hint="eastAsia"/>
          <w:lang w:val="en-GB"/>
        </w:rPr>
        <w:t>.</w:t>
      </w:r>
      <w:r>
        <w:rPr>
          <w:rFonts w:hint="eastAsia"/>
          <w:lang w:val="en-GB"/>
        </w:rPr>
        <w:tab/>
      </w:r>
      <w:r w:rsidR="00D13477" w:rsidRPr="00002A77">
        <w:rPr>
          <w:rFonts w:hint="eastAsia"/>
          <w:lang w:val="en-GB"/>
        </w:rPr>
        <w:t>人口指标和社会、经济及文化指标</w:t>
      </w:r>
      <w:r w:rsidR="00D13477" w:rsidRPr="00002A77">
        <w:rPr>
          <w:lang w:val="en-GB"/>
        </w:rPr>
        <w:tab/>
      </w:r>
    </w:p>
    <w:p w:rsidR="00D13477" w:rsidRPr="00002A77" w:rsidRDefault="00AF6277" w:rsidP="001F4E70">
      <w:pPr>
        <w:pStyle w:val="a2"/>
        <w:ind w:left="2268" w:right="2748"/>
        <w:rPr>
          <w:rFonts w:hint="eastAsia"/>
          <w:lang w:val="en-GB"/>
        </w:rPr>
      </w:pPr>
      <w:r>
        <w:rPr>
          <w:rFonts w:hint="eastAsia"/>
          <w:lang w:val="en-GB"/>
        </w:rPr>
        <w:tab/>
      </w:r>
      <w:r w:rsidR="00D13477">
        <w:rPr>
          <w:lang w:val="en-GB"/>
        </w:rPr>
        <w:t>B</w:t>
      </w:r>
      <w:r>
        <w:rPr>
          <w:rFonts w:hint="eastAsia"/>
          <w:lang w:val="en-GB"/>
        </w:rPr>
        <w:t>.</w:t>
      </w:r>
      <w:r w:rsidR="00D13477" w:rsidRPr="00002A77">
        <w:rPr>
          <w:rFonts w:hint="eastAsia"/>
          <w:lang w:val="en-GB"/>
        </w:rPr>
        <w:tab/>
      </w:r>
      <w:r w:rsidR="00D13477" w:rsidRPr="00002A77">
        <w:rPr>
          <w:rFonts w:hint="eastAsia"/>
        </w:rPr>
        <w:t>《基本法》附件三所列在香港特区实施的全国性法律</w:t>
      </w:r>
      <w:r w:rsidR="00C908F7">
        <w:rPr>
          <w:rFonts w:hint="eastAsia"/>
        </w:rPr>
        <w:tab/>
      </w:r>
    </w:p>
    <w:p w:rsidR="00D13477" w:rsidRPr="00002A77" w:rsidRDefault="00AF6277" w:rsidP="001F4E70">
      <w:pPr>
        <w:pStyle w:val="a2"/>
        <w:ind w:left="2268"/>
        <w:rPr>
          <w:rFonts w:hint="eastAsia"/>
          <w:lang w:val="en-GB"/>
        </w:rPr>
      </w:pPr>
      <w:r>
        <w:rPr>
          <w:rFonts w:hint="eastAsia"/>
          <w:lang w:val="en-GB"/>
        </w:rPr>
        <w:tab/>
      </w:r>
      <w:r w:rsidR="00D13477">
        <w:rPr>
          <w:lang w:val="en-GB"/>
        </w:rPr>
        <w:t>C</w:t>
      </w:r>
      <w:r>
        <w:rPr>
          <w:rFonts w:hint="eastAsia"/>
          <w:lang w:val="en-GB"/>
        </w:rPr>
        <w:t>.</w:t>
      </w:r>
      <w:r w:rsidR="00D13477" w:rsidRPr="00002A77">
        <w:rPr>
          <w:rFonts w:hint="eastAsia"/>
          <w:lang w:val="en-GB"/>
        </w:rPr>
        <w:tab/>
      </w:r>
      <w:r w:rsidR="00D13477" w:rsidRPr="00002A77">
        <w:rPr>
          <w:rFonts w:hint="eastAsia"/>
          <w:lang w:val="en-GB"/>
        </w:rPr>
        <w:t>有关政治制度的统计</w:t>
      </w:r>
      <w:r w:rsidR="00D13477" w:rsidRPr="00002A77">
        <w:rPr>
          <w:lang w:val="en-GB"/>
        </w:rPr>
        <w:tab/>
      </w:r>
    </w:p>
    <w:p w:rsidR="00D13477" w:rsidRPr="00002A77" w:rsidRDefault="00AF6277" w:rsidP="001F4E70">
      <w:pPr>
        <w:pStyle w:val="a2"/>
        <w:ind w:left="2268"/>
        <w:rPr>
          <w:rFonts w:hint="eastAsia"/>
          <w:lang w:val="en-GB"/>
        </w:rPr>
      </w:pPr>
      <w:r>
        <w:rPr>
          <w:rFonts w:hint="eastAsia"/>
          <w:lang w:val="en-GB"/>
        </w:rPr>
        <w:tab/>
      </w:r>
      <w:r w:rsidR="00D13477">
        <w:rPr>
          <w:lang w:val="en-GB"/>
        </w:rPr>
        <w:t>D</w:t>
      </w:r>
      <w:r>
        <w:rPr>
          <w:rFonts w:hint="eastAsia"/>
          <w:lang w:val="en-GB"/>
        </w:rPr>
        <w:t>.</w:t>
      </w:r>
      <w:r w:rsidR="00D13477" w:rsidRPr="00002A77">
        <w:rPr>
          <w:rFonts w:hint="eastAsia"/>
          <w:lang w:val="en-GB"/>
        </w:rPr>
        <w:tab/>
      </w:r>
      <w:r w:rsidR="00D13477" w:rsidRPr="00002A77">
        <w:rPr>
          <w:rFonts w:hint="eastAsia"/>
          <w:lang w:val="en-GB"/>
        </w:rPr>
        <w:t>有关犯罪和司法的统计</w:t>
      </w:r>
      <w:r w:rsidR="00D13477" w:rsidRPr="00002A77">
        <w:rPr>
          <w:lang w:val="en-GB"/>
        </w:rPr>
        <w:tab/>
      </w:r>
    </w:p>
    <w:p w:rsidR="00D13477" w:rsidRPr="00002A77" w:rsidRDefault="00AF6277" w:rsidP="001F4E70">
      <w:pPr>
        <w:pStyle w:val="a2"/>
        <w:ind w:left="2268"/>
        <w:rPr>
          <w:rFonts w:hint="eastAsia"/>
          <w:lang w:val="en-GB"/>
        </w:rPr>
      </w:pPr>
      <w:r>
        <w:rPr>
          <w:rFonts w:hint="eastAsia"/>
          <w:lang w:val="en-GB"/>
        </w:rPr>
        <w:tab/>
      </w:r>
      <w:r w:rsidR="00D13477">
        <w:rPr>
          <w:lang w:val="en-GB"/>
        </w:rPr>
        <w:t>E</w:t>
      </w:r>
      <w:r>
        <w:rPr>
          <w:rFonts w:hint="eastAsia"/>
          <w:lang w:val="en-GB"/>
        </w:rPr>
        <w:t>.</w:t>
      </w:r>
      <w:r w:rsidR="00D13477" w:rsidRPr="00002A77">
        <w:rPr>
          <w:rFonts w:hint="eastAsia"/>
          <w:lang w:val="en-GB"/>
        </w:rPr>
        <w:tab/>
      </w:r>
      <w:r w:rsidR="00D13477" w:rsidRPr="00002A77">
        <w:rPr>
          <w:rFonts w:hint="eastAsia"/>
          <w:lang w:val="en-GB"/>
        </w:rPr>
        <w:t>适用于香港特区的国际人权条约</w:t>
      </w:r>
      <w:r w:rsidR="00D13477" w:rsidRPr="00002A77">
        <w:rPr>
          <w:lang w:val="en-GB"/>
        </w:rPr>
        <w:tab/>
      </w:r>
    </w:p>
    <w:p w:rsidR="00D13477" w:rsidRPr="00002A77" w:rsidRDefault="00D13477" w:rsidP="00DE4731">
      <w:pPr>
        <w:pStyle w:val="HChGC"/>
        <w:rPr>
          <w:rFonts w:hint="eastAsia"/>
          <w:lang w:val="en-GB"/>
        </w:rPr>
      </w:pPr>
      <w:r w:rsidRPr="00002A77">
        <w:rPr>
          <w:b/>
          <w:iCs/>
          <w:lang w:val="en-GB"/>
        </w:rPr>
        <w:br w:type="page"/>
      </w:r>
      <w:r w:rsidR="00DE4731">
        <w:rPr>
          <w:rFonts w:hint="eastAsia"/>
          <w:b/>
          <w:iCs/>
          <w:lang w:val="en-GB"/>
        </w:rPr>
        <w:tab/>
      </w:r>
      <w:r w:rsidR="00DE4731">
        <w:rPr>
          <w:rFonts w:hint="eastAsia"/>
          <w:b/>
          <w:iCs/>
          <w:lang w:val="en-GB"/>
        </w:rPr>
        <w:tab/>
      </w:r>
      <w:r w:rsidRPr="00002A77">
        <w:rPr>
          <w:rFonts w:hint="eastAsia"/>
          <w:lang w:val="en-GB"/>
        </w:rPr>
        <w:t>全简称对照表</w:t>
      </w:r>
    </w:p>
    <w:tbl>
      <w:tblPr>
        <w:tblW w:w="7371" w:type="dxa"/>
        <w:jc w:val="center"/>
        <w:tblCellMar>
          <w:left w:w="0" w:type="dxa"/>
          <w:right w:w="0" w:type="dxa"/>
        </w:tblCellMar>
        <w:tblLook w:val="0000"/>
      </w:tblPr>
      <w:tblGrid>
        <w:gridCol w:w="1597"/>
        <w:gridCol w:w="5774"/>
      </w:tblGrid>
      <w:tr w:rsidR="00D13477" w:rsidRPr="00002A77" w:rsidTr="00DE4731">
        <w:trPr>
          <w:trHeight w:val="375"/>
          <w:jc w:val="center"/>
        </w:trPr>
        <w:tc>
          <w:tcPr>
            <w:tcW w:w="1597"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rFonts w:hint="eastAsia"/>
                <w:bCs/>
                <w:lang w:val="en-GB"/>
              </w:rPr>
            </w:pPr>
            <w:r w:rsidRPr="00002A77">
              <w:rPr>
                <w:rFonts w:hint="eastAsia"/>
                <w:lang w:val="en-GB"/>
              </w:rPr>
              <w:t>人大常委会</w:t>
            </w:r>
          </w:p>
        </w:tc>
        <w:tc>
          <w:tcPr>
            <w:tcW w:w="5774"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rFonts w:hint="eastAsia"/>
                <w:lang w:val="en-GB"/>
              </w:rPr>
            </w:pPr>
            <w:r w:rsidRPr="00002A77">
              <w:rPr>
                <w:rFonts w:hint="eastAsia"/>
                <w:lang w:val="en-GB"/>
              </w:rPr>
              <w:t>全国人民代表大会常务委员会</w:t>
            </w:r>
          </w:p>
        </w:tc>
      </w:tr>
      <w:tr w:rsidR="00D13477" w:rsidRPr="00002A77" w:rsidTr="00DE4731">
        <w:trPr>
          <w:trHeight w:val="375"/>
          <w:jc w:val="center"/>
        </w:trPr>
        <w:tc>
          <w:tcPr>
            <w:tcW w:w="1597"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rFonts w:hint="eastAsia"/>
                <w:bCs/>
                <w:lang w:val="en-GB"/>
              </w:rPr>
            </w:pPr>
            <w:r w:rsidRPr="00002A77">
              <w:rPr>
                <w:rFonts w:hint="eastAsia"/>
                <w:lang w:val="en-GB"/>
              </w:rPr>
              <w:t>平机会</w:t>
            </w:r>
          </w:p>
        </w:tc>
        <w:tc>
          <w:tcPr>
            <w:tcW w:w="5774"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rFonts w:hint="eastAsia"/>
                <w:bCs/>
                <w:lang w:val="en-GB"/>
              </w:rPr>
            </w:pPr>
            <w:r w:rsidRPr="00002A77">
              <w:rPr>
                <w:rFonts w:hint="eastAsia"/>
                <w:lang w:val="en-GB"/>
              </w:rPr>
              <w:t>平等机会委员会</w:t>
            </w:r>
          </w:p>
        </w:tc>
      </w:tr>
      <w:tr w:rsidR="00D13477" w:rsidRPr="00002A77" w:rsidTr="00DE4731">
        <w:trPr>
          <w:trHeight w:val="375"/>
          <w:jc w:val="center"/>
        </w:trPr>
        <w:tc>
          <w:tcPr>
            <w:tcW w:w="1597"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lang w:val="en-GB"/>
              </w:rPr>
            </w:pPr>
            <w:r w:rsidRPr="00002A77">
              <w:rPr>
                <w:rFonts w:hint="eastAsia"/>
                <w:lang w:val="en-GB"/>
              </w:rPr>
              <w:t>全国人大</w:t>
            </w:r>
          </w:p>
        </w:tc>
        <w:tc>
          <w:tcPr>
            <w:tcW w:w="5774"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lang w:val="en-GB"/>
              </w:rPr>
            </w:pPr>
            <w:r w:rsidRPr="00002A77">
              <w:rPr>
                <w:rFonts w:hint="eastAsia"/>
                <w:lang w:val="en-GB"/>
              </w:rPr>
              <w:t>全国人民代表大会</w:t>
            </w:r>
          </w:p>
        </w:tc>
      </w:tr>
      <w:tr w:rsidR="00D13477" w:rsidRPr="00002A77" w:rsidTr="00DE4731">
        <w:trPr>
          <w:trHeight w:val="375"/>
          <w:jc w:val="center"/>
        </w:trPr>
        <w:tc>
          <w:tcPr>
            <w:tcW w:w="1597"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lang w:val="en-GB"/>
              </w:rPr>
            </w:pPr>
            <w:r w:rsidRPr="00002A77">
              <w:rPr>
                <w:rFonts w:hint="eastAsia"/>
                <w:iCs/>
                <w:lang w:val="en-GB"/>
              </w:rPr>
              <w:t>香港特区</w:t>
            </w:r>
          </w:p>
        </w:tc>
        <w:tc>
          <w:tcPr>
            <w:tcW w:w="5774"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rFonts w:hint="eastAsia"/>
                <w:lang w:val="en-GB"/>
              </w:rPr>
            </w:pPr>
            <w:r w:rsidRPr="00002A77">
              <w:rPr>
                <w:rFonts w:hint="eastAsia"/>
                <w:iCs/>
                <w:lang w:val="en-GB"/>
              </w:rPr>
              <w:t>香港特别行政区</w:t>
            </w:r>
          </w:p>
        </w:tc>
      </w:tr>
      <w:tr w:rsidR="00D13477" w:rsidRPr="00002A77" w:rsidTr="00DE4731">
        <w:trPr>
          <w:trHeight w:val="375"/>
          <w:jc w:val="center"/>
        </w:trPr>
        <w:tc>
          <w:tcPr>
            <w:tcW w:w="1597"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rFonts w:hint="eastAsia"/>
                <w:lang w:val="en-GB"/>
              </w:rPr>
            </w:pPr>
            <w:r w:rsidRPr="00002A77">
              <w:rPr>
                <w:rFonts w:hint="eastAsia"/>
              </w:rPr>
              <w:t>《基本法》</w:t>
            </w:r>
          </w:p>
        </w:tc>
        <w:tc>
          <w:tcPr>
            <w:tcW w:w="5774"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rFonts w:hint="eastAsia"/>
                <w:lang w:val="en-GB"/>
              </w:rPr>
            </w:pPr>
            <w:r w:rsidRPr="00002A77">
              <w:rPr>
                <w:rFonts w:hint="eastAsia"/>
              </w:rPr>
              <w:t>《中华人民共和国香港特别行政区基本法》</w:t>
            </w:r>
          </w:p>
        </w:tc>
      </w:tr>
      <w:tr w:rsidR="00D13477" w:rsidRPr="00002A77" w:rsidTr="00DE4731">
        <w:trPr>
          <w:trHeight w:val="375"/>
          <w:jc w:val="center"/>
        </w:trPr>
        <w:tc>
          <w:tcPr>
            <w:tcW w:w="1597"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rFonts w:hint="eastAsia"/>
                <w:lang w:val="en-GB"/>
              </w:rPr>
            </w:pPr>
            <w:r w:rsidRPr="00002A77">
              <w:rPr>
                <w:rFonts w:hint="eastAsia"/>
                <w:lang w:val="en-GB"/>
              </w:rPr>
              <w:t>妇委会</w:t>
            </w:r>
          </w:p>
        </w:tc>
        <w:tc>
          <w:tcPr>
            <w:tcW w:w="5774"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rFonts w:hint="eastAsia"/>
                <w:lang w:val="en-GB"/>
              </w:rPr>
            </w:pPr>
            <w:r w:rsidRPr="00002A77">
              <w:rPr>
                <w:rFonts w:hint="eastAsia"/>
                <w:lang w:val="en-GB"/>
              </w:rPr>
              <w:t>妇女事务委员会</w:t>
            </w:r>
          </w:p>
        </w:tc>
      </w:tr>
      <w:tr w:rsidR="00D13477" w:rsidRPr="00002A77" w:rsidTr="00DE4731">
        <w:trPr>
          <w:trHeight w:val="375"/>
          <w:jc w:val="center"/>
        </w:trPr>
        <w:tc>
          <w:tcPr>
            <w:tcW w:w="1597"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rFonts w:hint="eastAsia"/>
                <w:bCs/>
                <w:lang w:val="en-GB"/>
              </w:rPr>
            </w:pPr>
            <w:r w:rsidRPr="00002A77">
              <w:rPr>
                <w:rFonts w:hint="eastAsia"/>
                <w:lang w:val="en-GB"/>
              </w:rPr>
              <w:t>监警会</w:t>
            </w:r>
          </w:p>
        </w:tc>
        <w:tc>
          <w:tcPr>
            <w:tcW w:w="5774" w:type="dxa"/>
            <w:tcBorders>
              <w:left w:val="nil"/>
              <w:right w:val="nil"/>
            </w:tcBorders>
            <w:shd w:val="clear" w:color="auto" w:fill="auto"/>
            <w:tcMar>
              <w:left w:w="0" w:type="dxa"/>
              <w:right w:w="0" w:type="dxa"/>
            </w:tcMar>
          </w:tcPr>
          <w:p w:rsidR="00D13477" w:rsidRPr="00002A77" w:rsidRDefault="00D13477" w:rsidP="00DE4731">
            <w:pPr>
              <w:pStyle w:val="SingleTxtGC"/>
              <w:spacing w:before="40"/>
              <w:ind w:left="0" w:right="0"/>
              <w:rPr>
                <w:rFonts w:hint="eastAsia"/>
                <w:bCs/>
                <w:lang w:val="en-GB"/>
              </w:rPr>
            </w:pPr>
            <w:r w:rsidRPr="00002A77">
              <w:rPr>
                <w:rFonts w:hint="eastAsia"/>
                <w:lang w:val="en-GB"/>
              </w:rPr>
              <w:t>独立监察警方处理投诉委员会</w:t>
            </w:r>
          </w:p>
        </w:tc>
      </w:tr>
    </w:tbl>
    <w:p w:rsidR="00D13477" w:rsidRPr="00002A77" w:rsidRDefault="00D13477" w:rsidP="00D13477">
      <w:pPr>
        <w:pStyle w:val="SingleTxtGC"/>
        <w:rPr>
          <w:b/>
          <w:u w:val="single"/>
          <w:lang w:val="en-GB"/>
        </w:rPr>
      </w:pPr>
    </w:p>
    <w:p w:rsidR="00D13477" w:rsidRPr="00822F18" w:rsidRDefault="00DE4731" w:rsidP="00822F18">
      <w:pPr>
        <w:pStyle w:val="HChGC"/>
        <w:rPr>
          <w:rFonts w:hint="eastAsia"/>
          <w:lang w:val="fr-CH"/>
        </w:rPr>
      </w:pPr>
      <w:r>
        <w:rPr>
          <w:lang w:val="en-GB"/>
        </w:rPr>
        <w:br w:type="page"/>
      </w:r>
      <w:r w:rsidR="00822F18">
        <w:rPr>
          <w:rFonts w:hint="eastAsia"/>
          <w:lang w:val="en-GB"/>
        </w:rPr>
        <w:tab/>
      </w:r>
      <w:r w:rsidR="00822F18">
        <w:rPr>
          <w:rFonts w:hint="eastAsia"/>
          <w:lang w:val="en-GB"/>
        </w:rPr>
        <w:t>一</w:t>
      </w:r>
      <w:r w:rsidR="00822F18">
        <w:rPr>
          <w:rFonts w:hint="eastAsia"/>
          <w:lang w:val="en-GB"/>
        </w:rPr>
        <w:t>.</w:t>
      </w:r>
      <w:r w:rsidR="00822F18">
        <w:rPr>
          <w:rFonts w:hint="eastAsia"/>
          <w:lang w:val="en-GB"/>
        </w:rPr>
        <w:tab/>
      </w:r>
      <w:r w:rsidR="00D13477" w:rsidRPr="00822F18">
        <w:rPr>
          <w:rFonts w:hint="eastAsia"/>
          <w:lang w:val="fr-CH"/>
        </w:rPr>
        <w:t>一般资料</w:t>
      </w:r>
    </w:p>
    <w:p w:rsidR="00D13477" w:rsidRPr="00822F18" w:rsidRDefault="00822F18" w:rsidP="00822F18">
      <w:pPr>
        <w:pStyle w:val="H1GC"/>
        <w:rPr>
          <w:rFonts w:hint="eastAsia"/>
          <w:lang w:val="fr-CH"/>
        </w:rPr>
      </w:pPr>
      <w:r>
        <w:rPr>
          <w:rFonts w:hint="eastAsia"/>
          <w:lang w:val="fr-CH"/>
        </w:rPr>
        <w:tab/>
        <w:t>A.</w:t>
      </w:r>
      <w:r>
        <w:rPr>
          <w:rFonts w:hint="eastAsia"/>
          <w:lang w:val="fr-CH"/>
        </w:rPr>
        <w:tab/>
      </w:r>
      <w:r w:rsidR="00D13477" w:rsidRPr="00822F18">
        <w:rPr>
          <w:rFonts w:hint="eastAsia"/>
          <w:lang w:val="fr-CH"/>
        </w:rPr>
        <w:t>人口、经济、社会及文化特征</w:t>
      </w:r>
    </w:p>
    <w:p w:rsidR="00D13477" w:rsidRPr="00002A77" w:rsidRDefault="00D13477" w:rsidP="00822F18">
      <w:pPr>
        <w:pStyle w:val="SingleTxtGC"/>
        <w:rPr>
          <w:rFonts w:hint="eastAsia"/>
          <w:lang w:val="en-GB"/>
        </w:rPr>
      </w:pPr>
      <w:r>
        <w:rPr>
          <w:rFonts w:hint="eastAsia"/>
          <w:bCs/>
          <w:lang w:val="en-GB"/>
        </w:rPr>
        <w:t>1</w:t>
      </w:r>
      <w:r w:rsidRPr="00002A77">
        <w:rPr>
          <w:rFonts w:hint="eastAsia"/>
          <w:bCs/>
          <w:lang w:val="en-GB"/>
        </w:rPr>
        <w:t>.</w:t>
      </w:r>
      <w:r w:rsidRPr="00002A77">
        <w:rPr>
          <w:lang w:val="en-GB"/>
        </w:rPr>
        <w:tab/>
      </w:r>
      <w:r w:rsidRPr="00002A77">
        <w:rPr>
          <w:rFonts w:hint="eastAsia"/>
          <w:lang w:val="en-GB"/>
        </w:rPr>
        <w:t>中华人民共和国香港特别行政区</w:t>
      </w:r>
      <w:r w:rsidRPr="00002A77">
        <w:rPr>
          <w:rFonts w:hint="eastAsia"/>
          <w:lang w:val="en-GB"/>
        </w:rPr>
        <w:t>(</w:t>
      </w:r>
      <w:r w:rsidRPr="00002A77">
        <w:rPr>
          <w:rFonts w:hint="eastAsia"/>
          <w:lang w:val="en-GB"/>
        </w:rPr>
        <w:t>香港特区</w:t>
      </w:r>
      <w:r w:rsidRPr="00002A77">
        <w:rPr>
          <w:rFonts w:hint="eastAsia"/>
          <w:lang w:val="en-GB"/>
        </w:rPr>
        <w:t>)</w:t>
      </w:r>
      <w:r w:rsidRPr="00002A77">
        <w:rPr>
          <w:rFonts w:hint="eastAsia"/>
          <w:lang w:val="en-GB"/>
        </w:rPr>
        <w:t>有关人口、社会、经济及文化方面的指标载于</w:t>
      </w:r>
      <w:r w:rsidRPr="00002A77">
        <w:rPr>
          <w:rFonts w:hint="eastAsia"/>
          <w:iCs/>
          <w:lang w:val="en-GB"/>
        </w:rPr>
        <w:t>附件</w:t>
      </w:r>
      <w:r>
        <w:rPr>
          <w:iCs/>
          <w:lang w:val="en-GB"/>
        </w:rPr>
        <w:t>A</w:t>
      </w:r>
      <w:r w:rsidRPr="00002A77">
        <w:rPr>
          <w:rFonts w:hint="eastAsia"/>
          <w:lang w:val="en-GB"/>
        </w:rPr>
        <w:t>。</w:t>
      </w:r>
    </w:p>
    <w:p w:rsidR="00D13477" w:rsidRPr="00002A77" w:rsidRDefault="00D13477" w:rsidP="00822F18">
      <w:pPr>
        <w:pStyle w:val="SingleTxtGC"/>
        <w:rPr>
          <w:rFonts w:hint="eastAsia"/>
          <w:lang w:val="en-GB"/>
        </w:rPr>
      </w:pPr>
      <w:r>
        <w:rPr>
          <w:lang w:val="en-GB"/>
        </w:rPr>
        <w:t>2</w:t>
      </w:r>
      <w:r w:rsidRPr="00002A77">
        <w:rPr>
          <w:lang w:val="en-GB"/>
        </w:rPr>
        <w:t>.</w:t>
      </w:r>
      <w:r w:rsidRPr="00002A77">
        <w:rPr>
          <w:lang w:val="en-GB"/>
        </w:rPr>
        <w:tab/>
      </w:r>
      <w:r w:rsidRPr="00002A77">
        <w:rPr>
          <w:rFonts w:hint="eastAsia"/>
          <w:lang w:val="en-GB"/>
        </w:rPr>
        <w:t>香港人口在</w:t>
      </w:r>
      <w:r>
        <w:rPr>
          <w:lang w:val="en-GB"/>
        </w:rPr>
        <w:t>2</w:t>
      </w:r>
      <w:r w:rsidRPr="00002A77">
        <w:rPr>
          <w:lang w:val="en-GB"/>
        </w:rPr>
        <w:t>00</w:t>
      </w:r>
      <w:r>
        <w:rPr>
          <w:lang w:val="en-GB"/>
        </w:rPr>
        <w:t>7</w:t>
      </w:r>
      <w:r w:rsidRPr="00002A77">
        <w:rPr>
          <w:rFonts w:hint="eastAsia"/>
          <w:lang w:val="en-GB"/>
        </w:rPr>
        <w:t>年年中为</w:t>
      </w:r>
      <w:r>
        <w:rPr>
          <w:lang w:val="en-GB"/>
        </w:rPr>
        <w:t>692</w:t>
      </w:r>
      <w:r w:rsidRPr="00002A77">
        <w:rPr>
          <w:rFonts w:hint="eastAsia"/>
          <w:lang w:val="en-GB"/>
        </w:rPr>
        <w:t>万。近年人口增长率每年约由</w:t>
      </w:r>
      <w:r w:rsidRPr="00002A77">
        <w:rPr>
          <w:lang w:val="en-GB"/>
        </w:rPr>
        <w:t>0.</w:t>
      </w:r>
      <w:r>
        <w:rPr>
          <w:lang w:val="en-GB"/>
        </w:rPr>
        <w:t>2</w:t>
      </w:r>
      <w:r w:rsidRPr="00002A77">
        <w:rPr>
          <w:lang w:val="en-GB"/>
        </w:rPr>
        <w:t>%</w:t>
      </w:r>
      <w:r w:rsidRPr="00002A77">
        <w:rPr>
          <w:rFonts w:hint="eastAsia"/>
          <w:lang w:val="en-GB"/>
        </w:rPr>
        <w:t>至</w:t>
      </w:r>
      <w:r w:rsidRPr="00002A77">
        <w:rPr>
          <w:lang w:val="en-GB"/>
        </w:rPr>
        <w:t>0.</w:t>
      </w:r>
      <w:r>
        <w:rPr>
          <w:lang w:val="en-GB"/>
        </w:rPr>
        <w:t>9</w:t>
      </w:r>
      <w:r w:rsidRPr="00002A77">
        <w:rPr>
          <w:lang w:val="en-GB"/>
        </w:rPr>
        <w:t>%</w:t>
      </w:r>
      <w:r w:rsidRPr="00002A77">
        <w:rPr>
          <w:rFonts w:hint="eastAsia"/>
          <w:lang w:val="en-GB"/>
        </w:rPr>
        <w:t>不等，香港人口在</w:t>
      </w:r>
      <w:r>
        <w:rPr>
          <w:lang w:val="en-GB"/>
        </w:rPr>
        <w:t>2</w:t>
      </w:r>
      <w:r w:rsidRPr="00002A77">
        <w:rPr>
          <w:lang w:val="en-GB"/>
        </w:rPr>
        <w:t>0</w:t>
      </w:r>
      <w:r>
        <w:rPr>
          <w:lang w:val="en-GB"/>
        </w:rPr>
        <w:t>11</w:t>
      </w:r>
      <w:r w:rsidRPr="00002A77">
        <w:rPr>
          <w:rFonts w:hint="eastAsia"/>
          <w:lang w:val="en-GB"/>
        </w:rPr>
        <w:t>年年中已超越</w:t>
      </w:r>
      <w:r>
        <w:rPr>
          <w:lang w:val="en-GB"/>
        </w:rPr>
        <w:t>7</w:t>
      </w:r>
      <w:r w:rsidRPr="00002A77">
        <w:rPr>
          <w:lang w:val="en-GB"/>
        </w:rPr>
        <w:t>00</w:t>
      </w:r>
      <w:r w:rsidRPr="00002A77">
        <w:rPr>
          <w:rFonts w:hint="eastAsia"/>
          <w:lang w:val="en-GB"/>
        </w:rPr>
        <w:t>万</w:t>
      </w:r>
      <w:r w:rsidRPr="00002A77">
        <w:rPr>
          <w:rFonts w:hint="eastAsia"/>
          <w:lang w:val="en-GB"/>
        </w:rPr>
        <w:t>(</w:t>
      </w:r>
      <w:r>
        <w:rPr>
          <w:lang w:val="en-GB"/>
        </w:rPr>
        <w:t>7</w:t>
      </w:r>
      <w:r w:rsidRPr="00002A77">
        <w:rPr>
          <w:lang w:val="en-GB"/>
        </w:rPr>
        <w:t>0</w:t>
      </w:r>
      <w:r>
        <w:rPr>
          <w:lang w:val="en-GB"/>
        </w:rPr>
        <w:t>7</w:t>
      </w:r>
      <w:r w:rsidRPr="00002A77">
        <w:rPr>
          <w:rFonts w:hint="eastAsia"/>
          <w:lang w:val="en-GB"/>
        </w:rPr>
        <w:t>万</w:t>
      </w:r>
      <w:r w:rsidRPr="00002A77">
        <w:rPr>
          <w:rFonts w:hint="eastAsia"/>
          <w:lang w:val="en-GB"/>
        </w:rPr>
        <w:t>)</w:t>
      </w:r>
      <w:r w:rsidRPr="00002A77">
        <w:rPr>
          <w:rFonts w:hint="eastAsia"/>
          <w:lang w:val="en-GB"/>
        </w:rPr>
        <w:t>。人口增长主要是因期内不断有持前往港澳通行证的中国内地人士来港和自然增长所致。</w:t>
      </w:r>
    </w:p>
    <w:p w:rsidR="00D13477" w:rsidRPr="00002A77" w:rsidRDefault="00D13477" w:rsidP="00822F18">
      <w:pPr>
        <w:pStyle w:val="SingleTxtGC"/>
        <w:rPr>
          <w:lang w:val="en-GB"/>
        </w:rPr>
      </w:pPr>
      <w:r>
        <w:rPr>
          <w:lang w:val="en-GB"/>
        </w:rPr>
        <w:t>3</w:t>
      </w:r>
      <w:r w:rsidRPr="00002A77">
        <w:rPr>
          <w:lang w:val="en-GB"/>
        </w:rPr>
        <w:t>.</w:t>
      </w:r>
      <w:r w:rsidRPr="00002A77">
        <w:rPr>
          <w:lang w:val="en-GB"/>
        </w:rPr>
        <w:tab/>
      </w:r>
      <w:r w:rsidRPr="00002A77">
        <w:rPr>
          <w:rFonts w:hint="eastAsia"/>
          <w:lang w:val="en-GB"/>
        </w:rPr>
        <w:t>香港的人口中，华裔人士占大多数</w:t>
      </w:r>
      <w:r w:rsidRPr="00002A77">
        <w:rPr>
          <w:rFonts w:hint="eastAsia"/>
          <w:lang w:val="en-GB"/>
        </w:rPr>
        <w:t>(</w:t>
      </w:r>
      <w:r>
        <w:rPr>
          <w:lang w:val="en-GB"/>
        </w:rPr>
        <w:t>94</w:t>
      </w:r>
      <w:r w:rsidRPr="00002A77">
        <w:rPr>
          <w:lang w:val="en-GB"/>
        </w:rPr>
        <w:t>%</w:t>
      </w:r>
      <w:r w:rsidRPr="00002A77">
        <w:rPr>
          <w:rFonts w:hint="eastAsia"/>
          <w:lang w:val="en-GB"/>
        </w:rPr>
        <w:t>)</w:t>
      </w:r>
      <w:r w:rsidRPr="00002A77">
        <w:rPr>
          <w:rFonts w:hint="eastAsia"/>
          <w:lang w:val="en-GB"/>
        </w:rPr>
        <w:t>。在</w:t>
      </w:r>
      <w:r>
        <w:rPr>
          <w:lang w:val="en-GB"/>
        </w:rPr>
        <w:t>2</w:t>
      </w:r>
      <w:r w:rsidRPr="00002A77">
        <w:rPr>
          <w:lang w:val="en-GB"/>
        </w:rPr>
        <w:t>0</w:t>
      </w:r>
      <w:r>
        <w:rPr>
          <w:lang w:val="en-GB"/>
        </w:rPr>
        <w:t>11</w:t>
      </w:r>
      <w:r w:rsidRPr="00002A77">
        <w:rPr>
          <w:rFonts w:hint="eastAsia"/>
          <w:lang w:val="en-GB"/>
        </w:rPr>
        <w:t>年，居住在香港的少数族裔人士数目为</w:t>
      </w:r>
      <w:r>
        <w:rPr>
          <w:lang w:val="en-GB"/>
        </w:rPr>
        <w:t>451</w:t>
      </w:r>
      <w:r w:rsidR="00822F18">
        <w:rPr>
          <w:rFonts w:hint="eastAsia"/>
          <w:lang w:val="en-GB"/>
        </w:rPr>
        <w:t>,</w:t>
      </w:r>
      <w:r>
        <w:rPr>
          <w:lang w:val="en-GB"/>
        </w:rPr>
        <w:t>183</w:t>
      </w:r>
      <w:r w:rsidRPr="00002A77">
        <w:rPr>
          <w:rFonts w:hint="eastAsia"/>
          <w:lang w:val="en-GB"/>
        </w:rPr>
        <w:t>(</w:t>
      </w:r>
      <w:r w:rsidRPr="00002A77">
        <w:rPr>
          <w:rFonts w:hint="eastAsia"/>
          <w:lang w:val="en-GB"/>
        </w:rPr>
        <w:t>约占人口的</w:t>
      </w:r>
      <w:r>
        <w:rPr>
          <w:lang w:val="en-GB"/>
        </w:rPr>
        <w:t>6</w:t>
      </w:r>
      <w:r w:rsidRPr="00002A77">
        <w:rPr>
          <w:lang w:val="en-GB"/>
        </w:rPr>
        <w:t>%</w:t>
      </w:r>
      <w:r w:rsidRPr="00002A77">
        <w:rPr>
          <w:rFonts w:hint="eastAsia"/>
          <w:lang w:val="en-GB"/>
        </w:rPr>
        <w:t>)</w:t>
      </w:r>
      <w:r w:rsidRPr="00002A77">
        <w:rPr>
          <w:rFonts w:hint="eastAsia"/>
          <w:lang w:val="en-GB"/>
        </w:rPr>
        <w:t>，较</w:t>
      </w:r>
      <w:r>
        <w:rPr>
          <w:lang w:val="en-GB"/>
        </w:rPr>
        <w:t>2</w:t>
      </w:r>
      <w:r w:rsidRPr="00002A77">
        <w:rPr>
          <w:lang w:val="en-GB"/>
        </w:rPr>
        <w:t>00</w:t>
      </w:r>
      <w:r>
        <w:rPr>
          <w:lang w:val="en-GB"/>
        </w:rPr>
        <w:t>6</w:t>
      </w:r>
      <w:r w:rsidRPr="00002A77">
        <w:rPr>
          <w:rFonts w:hint="eastAsia"/>
          <w:lang w:val="en-GB"/>
        </w:rPr>
        <w:t>年上升</w:t>
      </w:r>
      <w:r>
        <w:rPr>
          <w:lang w:val="en-GB"/>
        </w:rPr>
        <w:t>31</w:t>
      </w:r>
      <w:r w:rsidRPr="00002A77">
        <w:rPr>
          <w:lang w:val="en-GB"/>
        </w:rPr>
        <w:t>.</w:t>
      </w:r>
      <w:r>
        <w:rPr>
          <w:lang w:val="en-GB"/>
        </w:rPr>
        <w:t>8</w:t>
      </w:r>
      <w:r w:rsidRPr="00002A77">
        <w:rPr>
          <w:lang w:val="en-GB"/>
        </w:rPr>
        <w:t>%</w:t>
      </w:r>
      <w:r w:rsidRPr="00002A77">
        <w:rPr>
          <w:rFonts w:hint="eastAsia"/>
          <w:lang w:val="en-GB"/>
        </w:rPr>
        <w:t>。在全港少数族裔人士中，印尼人的数目由</w:t>
      </w:r>
      <w:r>
        <w:rPr>
          <w:lang w:val="en-GB"/>
        </w:rPr>
        <w:t>2</w:t>
      </w:r>
      <w:r w:rsidRPr="00002A77">
        <w:rPr>
          <w:lang w:val="en-GB"/>
        </w:rPr>
        <w:t>00</w:t>
      </w:r>
      <w:r>
        <w:rPr>
          <w:lang w:val="en-GB"/>
        </w:rPr>
        <w:t>6</w:t>
      </w:r>
      <w:r w:rsidRPr="00002A77">
        <w:rPr>
          <w:rFonts w:hint="eastAsia"/>
          <w:lang w:val="en-GB"/>
        </w:rPr>
        <w:t>年的</w:t>
      </w:r>
      <w:r>
        <w:rPr>
          <w:lang w:val="en-GB"/>
        </w:rPr>
        <w:t>87</w:t>
      </w:r>
      <w:r w:rsidR="00822F18">
        <w:rPr>
          <w:rFonts w:hint="eastAsia"/>
          <w:lang w:val="en-GB"/>
        </w:rPr>
        <w:t>,</w:t>
      </w:r>
      <w:r>
        <w:rPr>
          <w:lang w:val="en-GB"/>
        </w:rPr>
        <w:t>84</w:t>
      </w:r>
      <w:r w:rsidRPr="00002A77">
        <w:rPr>
          <w:lang w:val="en-GB"/>
        </w:rPr>
        <w:t>0</w:t>
      </w:r>
      <w:r w:rsidRPr="00002A77">
        <w:rPr>
          <w:rFonts w:hint="eastAsia"/>
          <w:lang w:val="en-GB"/>
        </w:rPr>
        <w:t>显著上升至</w:t>
      </w:r>
      <w:r>
        <w:rPr>
          <w:lang w:val="en-GB"/>
        </w:rPr>
        <w:t>2</w:t>
      </w:r>
      <w:r w:rsidRPr="00002A77">
        <w:rPr>
          <w:lang w:val="en-GB"/>
        </w:rPr>
        <w:t>0</w:t>
      </w:r>
      <w:r>
        <w:rPr>
          <w:lang w:val="en-GB"/>
        </w:rPr>
        <w:t>11</w:t>
      </w:r>
      <w:r w:rsidRPr="00002A77">
        <w:rPr>
          <w:rFonts w:hint="eastAsia"/>
          <w:lang w:val="en-GB"/>
        </w:rPr>
        <w:t>年的</w:t>
      </w:r>
      <w:r>
        <w:rPr>
          <w:lang w:val="en-GB"/>
        </w:rPr>
        <w:t>133</w:t>
      </w:r>
      <w:r w:rsidR="00822F18">
        <w:rPr>
          <w:rFonts w:hint="eastAsia"/>
          <w:lang w:val="en-GB"/>
        </w:rPr>
        <w:t>,</w:t>
      </w:r>
      <w:r>
        <w:rPr>
          <w:lang w:val="en-GB"/>
        </w:rPr>
        <w:t>377</w:t>
      </w:r>
      <w:r w:rsidRPr="00002A77">
        <w:rPr>
          <w:rFonts w:hint="eastAsia"/>
          <w:lang w:val="en-GB"/>
        </w:rPr>
        <w:t>，占全港少数族裔人士的比例由</w:t>
      </w:r>
      <w:r>
        <w:rPr>
          <w:lang w:val="en-GB"/>
        </w:rPr>
        <w:t>25</w:t>
      </w:r>
      <w:r w:rsidRPr="00002A77">
        <w:rPr>
          <w:lang w:val="en-GB"/>
        </w:rPr>
        <w:t>.</w:t>
      </w:r>
      <w:r>
        <w:rPr>
          <w:lang w:val="en-GB"/>
        </w:rPr>
        <w:t>7</w:t>
      </w:r>
      <w:r w:rsidRPr="00002A77">
        <w:rPr>
          <w:lang w:val="en-GB"/>
        </w:rPr>
        <w:t>%</w:t>
      </w:r>
      <w:r w:rsidRPr="00002A77">
        <w:rPr>
          <w:rFonts w:hint="eastAsia"/>
          <w:lang w:val="en-GB"/>
        </w:rPr>
        <w:t>上升至</w:t>
      </w:r>
      <w:r>
        <w:rPr>
          <w:lang w:val="en-GB"/>
        </w:rPr>
        <w:t>29</w:t>
      </w:r>
      <w:r w:rsidRPr="00002A77">
        <w:rPr>
          <w:lang w:val="en-GB"/>
        </w:rPr>
        <w:t>.</w:t>
      </w:r>
      <w:r>
        <w:rPr>
          <w:lang w:val="en-GB"/>
        </w:rPr>
        <w:t>6</w:t>
      </w:r>
      <w:r w:rsidRPr="00002A77">
        <w:rPr>
          <w:lang w:val="en-GB"/>
        </w:rPr>
        <w:t>%</w:t>
      </w:r>
      <w:r w:rsidRPr="00002A77">
        <w:rPr>
          <w:rFonts w:hint="eastAsia"/>
          <w:lang w:val="en-GB"/>
        </w:rPr>
        <w:t>。</w:t>
      </w:r>
    </w:p>
    <w:p w:rsidR="00D13477" w:rsidRPr="00002A77" w:rsidRDefault="00D13477" w:rsidP="00822F18">
      <w:pPr>
        <w:pStyle w:val="SingleTxtGC"/>
        <w:rPr>
          <w:rFonts w:hint="eastAsia"/>
          <w:lang w:val="en-GB"/>
        </w:rPr>
      </w:pPr>
      <w:r>
        <w:rPr>
          <w:lang w:val="en-GB"/>
        </w:rPr>
        <w:t>4</w:t>
      </w:r>
      <w:r w:rsidRPr="00002A77">
        <w:rPr>
          <w:lang w:val="en-GB"/>
        </w:rPr>
        <w:t>.</w:t>
      </w:r>
      <w:r w:rsidRPr="00002A77">
        <w:rPr>
          <w:lang w:val="en-GB"/>
        </w:rPr>
        <w:tab/>
      </w:r>
      <w:r w:rsidRPr="00002A77">
        <w:rPr>
          <w:rFonts w:hint="eastAsia"/>
          <w:lang w:val="en-GB"/>
        </w:rPr>
        <w:t>按常用语言分类，</w:t>
      </w:r>
      <w:r>
        <w:rPr>
          <w:lang w:val="en-GB"/>
        </w:rPr>
        <w:t>93</w:t>
      </w:r>
      <w:r w:rsidRPr="00002A77">
        <w:rPr>
          <w:lang w:val="en-GB"/>
        </w:rPr>
        <w:t>.</w:t>
      </w:r>
      <w:r>
        <w:rPr>
          <w:lang w:val="en-GB"/>
        </w:rPr>
        <w:t>5</w:t>
      </w:r>
      <w:r w:rsidRPr="00002A77">
        <w:rPr>
          <w:lang w:val="en-GB"/>
        </w:rPr>
        <w:t>%</w:t>
      </w:r>
      <w:r w:rsidRPr="00002A77">
        <w:rPr>
          <w:rFonts w:hint="eastAsia"/>
          <w:lang w:val="en-GB"/>
        </w:rPr>
        <w:t>的五岁及以上华裔人士在家中最常用广州话，其次是其他中国方言</w:t>
      </w:r>
      <w:r w:rsidRPr="00002A77">
        <w:rPr>
          <w:rFonts w:hint="eastAsia"/>
          <w:lang w:val="en-GB"/>
        </w:rPr>
        <w:t>(</w:t>
      </w:r>
      <w:r w:rsidRPr="00002A77">
        <w:rPr>
          <w:rFonts w:hint="eastAsia"/>
          <w:lang w:val="en-GB"/>
        </w:rPr>
        <w:t>非广州话及普通话</w:t>
      </w:r>
      <w:r w:rsidRPr="00002A77">
        <w:rPr>
          <w:rFonts w:hint="eastAsia"/>
          <w:lang w:val="en-GB"/>
        </w:rPr>
        <w:t>)(</w:t>
      </w:r>
      <w:r>
        <w:rPr>
          <w:lang w:val="en-GB"/>
        </w:rPr>
        <w:t>4</w:t>
      </w:r>
      <w:r w:rsidRPr="00002A77">
        <w:rPr>
          <w:lang w:val="en-GB"/>
        </w:rPr>
        <w:t>.</w:t>
      </w:r>
      <w:r>
        <w:rPr>
          <w:lang w:val="en-GB"/>
        </w:rPr>
        <w:t>3</w:t>
      </w:r>
      <w:r w:rsidRPr="00002A77">
        <w:rPr>
          <w:lang w:val="en-GB"/>
        </w:rPr>
        <w:t>%</w:t>
      </w:r>
      <w:r w:rsidRPr="00002A77">
        <w:rPr>
          <w:rFonts w:hint="eastAsia"/>
          <w:lang w:val="en-GB"/>
        </w:rPr>
        <w:t>)</w:t>
      </w:r>
      <w:r w:rsidRPr="00002A77">
        <w:rPr>
          <w:rFonts w:hint="eastAsia"/>
          <w:lang w:val="en-GB"/>
        </w:rPr>
        <w:t>。另一方面，在五岁及以上的少数族裔人士中，有</w:t>
      </w:r>
      <w:r>
        <w:rPr>
          <w:lang w:val="en-GB"/>
        </w:rPr>
        <w:t>44</w:t>
      </w:r>
      <w:r w:rsidRPr="00002A77">
        <w:rPr>
          <w:lang w:val="en-GB"/>
        </w:rPr>
        <w:t>.</w:t>
      </w:r>
      <w:r>
        <w:rPr>
          <w:lang w:val="en-GB"/>
        </w:rPr>
        <w:t>2</w:t>
      </w:r>
      <w:r w:rsidRPr="00002A77">
        <w:rPr>
          <w:lang w:val="en-GB"/>
        </w:rPr>
        <w:t>%</w:t>
      </w:r>
      <w:r w:rsidRPr="00002A77">
        <w:rPr>
          <w:rFonts w:hint="eastAsia"/>
          <w:lang w:val="en-GB"/>
        </w:rPr>
        <w:t>以英语为他们在家中最常用的语言，其次是广州话</w:t>
      </w:r>
      <w:r w:rsidRPr="00002A77">
        <w:rPr>
          <w:rFonts w:hint="eastAsia"/>
          <w:lang w:val="en-GB"/>
        </w:rPr>
        <w:t>(</w:t>
      </w:r>
      <w:r>
        <w:rPr>
          <w:lang w:val="en-GB"/>
        </w:rPr>
        <w:t>31</w:t>
      </w:r>
      <w:r w:rsidRPr="00002A77">
        <w:rPr>
          <w:lang w:val="en-GB"/>
        </w:rPr>
        <w:t>.</w:t>
      </w:r>
      <w:r>
        <w:rPr>
          <w:lang w:val="en-GB"/>
        </w:rPr>
        <w:t>7</w:t>
      </w:r>
      <w:r w:rsidRPr="00002A77">
        <w:rPr>
          <w:lang w:val="en-GB"/>
        </w:rPr>
        <w:t>%</w:t>
      </w:r>
      <w:r w:rsidRPr="00002A77">
        <w:rPr>
          <w:rFonts w:hint="eastAsia"/>
          <w:lang w:val="en-GB"/>
        </w:rPr>
        <w:t>)</w:t>
      </w:r>
      <w:r w:rsidRPr="00002A77">
        <w:rPr>
          <w:rFonts w:hint="eastAsia"/>
          <w:lang w:val="en-GB"/>
        </w:rPr>
        <w:t>。</w:t>
      </w:r>
    </w:p>
    <w:p w:rsidR="00D13477" w:rsidRPr="00002A77" w:rsidRDefault="00D13477" w:rsidP="00822F18">
      <w:pPr>
        <w:pStyle w:val="SingleTxtGC"/>
        <w:rPr>
          <w:rFonts w:hint="eastAsia"/>
          <w:lang w:val="en-GB"/>
        </w:rPr>
      </w:pPr>
      <w:r>
        <w:rPr>
          <w:lang w:val="en-GB"/>
        </w:rPr>
        <w:t>5</w:t>
      </w:r>
      <w:r w:rsidRPr="00002A77">
        <w:rPr>
          <w:lang w:val="en-GB"/>
        </w:rPr>
        <w:t>.</w:t>
      </w:r>
      <w:r w:rsidRPr="00002A77">
        <w:rPr>
          <w:lang w:val="en-GB"/>
        </w:rPr>
        <w:tab/>
      </w:r>
      <w:r w:rsidRPr="00002A77">
        <w:rPr>
          <w:rFonts w:hint="eastAsia"/>
          <w:lang w:val="en-GB"/>
        </w:rPr>
        <w:t>香港人口持续老化。</w:t>
      </w:r>
      <w:r>
        <w:rPr>
          <w:lang w:val="en-GB"/>
        </w:rPr>
        <w:t>15</w:t>
      </w:r>
      <w:r w:rsidRPr="00002A77">
        <w:rPr>
          <w:rFonts w:hint="eastAsia"/>
          <w:lang w:val="en-GB"/>
        </w:rPr>
        <w:t>岁以下人口的比率由</w:t>
      </w:r>
      <w:r>
        <w:rPr>
          <w:lang w:val="en-GB"/>
        </w:rPr>
        <w:t>2</w:t>
      </w:r>
      <w:r w:rsidRPr="00002A77">
        <w:rPr>
          <w:lang w:val="en-GB"/>
        </w:rPr>
        <w:t>00</w:t>
      </w:r>
      <w:r>
        <w:rPr>
          <w:lang w:val="en-GB"/>
        </w:rPr>
        <w:t>6</w:t>
      </w:r>
      <w:r w:rsidRPr="00002A77">
        <w:rPr>
          <w:rFonts w:hint="eastAsia"/>
          <w:lang w:val="en-GB"/>
        </w:rPr>
        <w:t>年的</w:t>
      </w:r>
      <w:r>
        <w:rPr>
          <w:lang w:val="en-GB"/>
        </w:rPr>
        <w:t>13</w:t>
      </w:r>
      <w:r w:rsidRPr="00002A77">
        <w:rPr>
          <w:lang w:val="en-GB"/>
        </w:rPr>
        <w:t>.</w:t>
      </w:r>
      <w:r>
        <w:rPr>
          <w:lang w:val="en-GB"/>
        </w:rPr>
        <w:t>7</w:t>
      </w:r>
      <w:r w:rsidRPr="00002A77">
        <w:rPr>
          <w:lang w:val="en-GB"/>
        </w:rPr>
        <w:t>%</w:t>
      </w:r>
      <w:r w:rsidRPr="00002A77">
        <w:rPr>
          <w:rFonts w:hint="eastAsia"/>
          <w:lang w:val="en-GB"/>
        </w:rPr>
        <w:t>跌至</w:t>
      </w:r>
      <w:r>
        <w:rPr>
          <w:lang w:val="en-GB"/>
        </w:rPr>
        <w:t>2</w:t>
      </w:r>
      <w:r w:rsidRPr="00002A77">
        <w:rPr>
          <w:lang w:val="en-GB"/>
        </w:rPr>
        <w:t>0</w:t>
      </w:r>
      <w:r>
        <w:rPr>
          <w:lang w:val="en-GB"/>
        </w:rPr>
        <w:t>11</w:t>
      </w:r>
      <w:r w:rsidRPr="00002A77">
        <w:rPr>
          <w:rFonts w:hint="eastAsia"/>
          <w:lang w:val="en-GB"/>
        </w:rPr>
        <w:t>年的</w:t>
      </w:r>
      <w:r>
        <w:rPr>
          <w:lang w:val="en-GB"/>
        </w:rPr>
        <w:t>11</w:t>
      </w:r>
      <w:r w:rsidRPr="00002A77">
        <w:rPr>
          <w:lang w:val="en-GB"/>
        </w:rPr>
        <w:t>.</w:t>
      </w:r>
      <w:r>
        <w:rPr>
          <w:lang w:val="en-GB"/>
        </w:rPr>
        <w:t>6</w:t>
      </w:r>
      <w:r w:rsidRPr="00002A77">
        <w:rPr>
          <w:lang w:val="en-GB"/>
        </w:rPr>
        <w:t>%</w:t>
      </w:r>
      <w:r w:rsidRPr="00002A77">
        <w:rPr>
          <w:rFonts w:hint="eastAsia"/>
          <w:lang w:val="en-GB"/>
        </w:rPr>
        <w:t>，而</w:t>
      </w:r>
      <w:r>
        <w:rPr>
          <w:lang w:val="en-GB"/>
        </w:rPr>
        <w:t>65</w:t>
      </w:r>
      <w:r w:rsidRPr="00002A77">
        <w:rPr>
          <w:rFonts w:hint="eastAsia"/>
          <w:lang w:val="en-GB"/>
        </w:rPr>
        <w:t>岁及以上人口的比率则由</w:t>
      </w:r>
      <w:r>
        <w:rPr>
          <w:lang w:val="en-GB"/>
        </w:rPr>
        <w:t>12</w:t>
      </w:r>
      <w:r w:rsidRPr="00002A77">
        <w:rPr>
          <w:lang w:val="en-GB"/>
        </w:rPr>
        <w:t>.</w:t>
      </w:r>
      <w:r>
        <w:rPr>
          <w:lang w:val="en-GB"/>
        </w:rPr>
        <w:t>4</w:t>
      </w:r>
      <w:r w:rsidRPr="00002A77">
        <w:rPr>
          <w:lang w:val="en-GB"/>
        </w:rPr>
        <w:t>%</w:t>
      </w:r>
      <w:r w:rsidRPr="00002A77">
        <w:rPr>
          <w:rFonts w:hint="eastAsia"/>
          <w:lang w:val="en-GB"/>
        </w:rPr>
        <w:t>升至</w:t>
      </w:r>
      <w:r>
        <w:rPr>
          <w:lang w:val="en-GB"/>
        </w:rPr>
        <w:t>13</w:t>
      </w:r>
      <w:r w:rsidRPr="00002A77">
        <w:rPr>
          <w:lang w:val="en-GB"/>
        </w:rPr>
        <w:t>.</w:t>
      </w:r>
      <w:r>
        <w:rPr>
          <w:lang w:val="en-GB"/>
        </w:rPr>
        <w:t>3</w:t>
      </w:r>
      <w:r w:rsidRPr="00002A77">
        <w:rPr>
          <w:lang w:val="en-GB"/>
        </w:rPr>
        <w:t>%</w:t>
      </w:r>
      <w:r w:rsidRPr="00002A77">
        <w:rPr>
          <w:rFonts w:hint="eastAsia"/>
          <w:lang w:val="en-GB"/>
        </w:rPr>
        <w:t>。</w:t>
      </w:r>
    </w:p>
    <w:p w:rsidR="00D13477" w:rsidRPr="00011FD7" w:rsidRDefault="00D13477" w:rsidP="00822F18">
      <w:pPr>
        <w:pStyle w:val="SingleTxtGC"/>
        <w:rPr>
          <w:rFonts w:hint="eastAsia"/>
          <w:lang w:val="en-GB"/>
        </w:rPr>
      </w:pPr>
      <w:r>
        <w:rPr>
          <w:lang w:val="en-GB"/>
        </w:rPr>
        <w:t>6</w:t>
      </w:r>
      <w:r w:rsidRPr="00002A77">
        <w:rPr>
          <w:lang w:val="en-GB"/>
        </w:rPr>
        <w:t>.</w:t>
      </w:r>
      <w:r w:rsidRPr="00002A77">
        <w:rPr>
          <w:lang w:val="en-GB"/>
        </w:rPr>
        <w:tab/>
      </w:r>
      <w:r w:rsidRPr="00002A77">
        <w:rPr>
          <w:rFonts w:hint="eastAsia"/>
          <w:lang w:val="en-GB"/>
        </w:rPr>
        <w:t>香港是一个细小和开放的经济体系。香港的人均生产总值在</w:t>
      </w:r>
      <w:r>
        <w:rPr>
          <w:lang w:val="en-GB"/>
        </w:rPr>
        <w:t>2</w:t>
      </w:r>
      <w:r w:rsidRPr="00002A77">
        <w:rPr>
          <w:lang w:val="en-GB"/>
        </w:rPr>
        <w:t>0</w:t>
      </w:r>
      <w:r>
        <w:rPr>
          <w:lang w:val="en-GB"/>
        </w:rPr>
        <w:t>1</w:t>
      </w:r>
      <w:r w:rsidRPr="00002A77">
        <w:rPr>
          <w:lang w:val="en-GB"/>
        </w:rPr>
        <w:t>0</w:t>
      </w:r>
      <w:r w:rsidRPr="00002A77">
        <w:rPr>
          <w:rFonts w:hint="eastAsia"/>
          <w:lang w:val="en-GB"/>
        </w:rPr>
        <w:t>年约为</w:t>
      </w:r>
      <w:r>
        <w:rPr>
          <w:lang w:val="en-GB"/>
        </w:rPr>
        <w:t>246</w:t>
      </w:r>
      <w:r w:rsidR="00822F18">
        <w:rPr>
          <w:rFonts w:hint="eastAsia"/>
          <w:lang w:val="en-GB"/>
        </w:rPr>
        <w:t>,</w:t>
      </w:r>
      <w:r>
        <w:rPr>
          <w:lang w:val="en-GB"/>
        </w:rPr>
        <w:t>7</w:t>
      </w:r>
      <w:r w:rsidRPr="00002A77">
        <w:rPr>
          <w:lang w:val="en-GB"/>
        </w:rPr>
        <w:t>00</w:t>
      </w:r>
      <w:r w:rsidRPr="00002A77">
        <w:rPr>
          <w:rFonts w:hint="eastAsia"/>
          <w:lang w:val="en-GB"/>
        </w:rPr>
        <w:t>元。香港经济在过去</w:t>
      </w:r>
      <w:r>
        <w:rPr>
          <w:lang w:val="en-GB"/>
        </w:rPr>
        <w:t>1</w:t>
      </w:r>
      <w:r w:rsidRPr="00002A77">
        <w:rPr>
          <w:lang w:val="en-GB"/>
        </w:rPr>
        <w:t>0</w:t>
      </w:r>
      <w:r w:rsidRPr="00002A77">
        <w:rPr>
          <w:rFonts w:hint="eastAsia"/>
          <w:lang w:val="en-GB"/>
        </w:rPr>
        <w:t>年日益朝着以服务业为主导的方向发展，这从服务业占香港本地生产总值的比率不断上升可见一斑，有关比率由</w:t>
      </w:r>
      <w:r>
        <w:rPr>
          <w:lang w:val="en-GB"/>
        </w:rPr>
        <w:t>2</w:t>
      </w:r>
      <w:r w:rsidRPr="00002A77">
        <w:rPr>
          <w:lang w:val="en-GB"/>
        </w:rPr>
        <w:t>000</w:t>
      </w:r>
      <w:r w:rsidRPr="00002A77">
        <w:rPr>
          <w:rFonts w:hint="eastAsia"/>
          <w:lang w:val="en-GB"/>
        </w:rPr>
        <w:t>年的</w:t>
      </w:r>
      <w:r>
        <w:rPr>
          <w:lang w:val="en-GB"/>
        </w:rPr>
        <w:t>87</w:t>
      </w:r>
      <w:r w:rsidRPr="00002A77">
        <w:rPr>
          <w:lang w:val="en-GB"/>
        </w:rPr>
        <w:t>%</w:t>
      </w:r>
      <w:r w:rsidRPr="00002A77">
        <w:rPr>
          <w:rFonts w:hint="eastAsia"/>
          <w:lang w:val="en-GB"/>
        </w:rPr>
        <w:t>升至</w:t>
      </w:r>
      <w:r>
        <w:rPr>
          <w:lang w:val="en-GB"/>
        </w:rPr>
        <w:t>2</w:t>
      </w:r>
      <w:r w:rsidRPr="00002A77">
        <w:rPr>
          <w:lang w:val="en-GB"/>
        </w:rPr>
        <w:t>0</w:t>
      </w:r>
      <w:r>
        <w:rPr>
          <w:lang w:val="en-GB"/>
        </w:rPr>
        <w:t>1</w:t>
      </w:r>
      <w:r w:rsidRPr="00002A77">
        <w:rPr>
          <w:lang w:val="en-GB"/>
        </w:rPr>
        <w:t>0</w:t>
      </w:r>
      <w:r w:rsidRPr="00002A77">
        <w:rPr>
          <w:rFonts w:hint="eastAsia"/>
          <w:lang w:val="en-GB"/>
        </w:rPr>
        <w:t>年的</w:t>
      </w:r>
      <w:r>
        <w:rPr>
          <w:lang w:val="en-GB"/>
        </w:rPr>
        <w:t>93</w:t>
      </w:r>
      <w:r w:rsidRPr="00002A77">
        <w:rPr>
          <w:lang w:val="en-GB"/>
        </w:rPr>
        <w:t>%</w:t>
      </w:r>
      <w:r w:rsidRPr="00002A77">
        <w:rPr>
          <w:rFonts w:hint="eastAsia"/>
          <w:lang w:val="en-GB"/>
        </w:rPr>
        <w:t>。</w:t>
      </w:r>
    </w:p>
    <w:p w:rsidR="00D13477" w:rsidRPr="00002A77" w:rsidRDefault="00D13477" w:rsidP="00822F18">
      <w:pPr>
        <w:pStyle w:val="SingleTxtGC"/>
        <w:rPr>
          <w:rFonts w:hint="eastAsia"/>
          <w:lang w:val="en-GB"/>
        </w:rPr>
      </w:pPr>
      <w:r>
        <w:rPr>
          <w:lang w:val="en-GB"/>
        </w:rPr>
        <w:t>7</w:t>
      </w:r>
      <w:r w:rsidRPr="00002A77">
        <w:rPr>
          <w:lang w:val="en-GB"/>
        </w:rPr>
        <w:t>.</w:t>
      </w:r>
      <w:r w:rsidRPr="00002A77">
        <w:rPr>
          <w:lang w:val="en-GB"/>
        </w:rPr>
        <w:tab/>
      </w:r>
      <w:r w:rsidRPr="00002A77">
        <w:rPr>
          <w:rFonts w:hint="eastAsia"/>
          <w:lang w:val="en-GB"/>
        </w:rPr>
        <w:t>香港经济将继续转型及迈向多元化，藉以扩阔经济基础。政府会尽力巩固四大传统支柱产业</w:t>
      </w:r>
      <w:r w:rsidRPr="00002A77">
        <w:rPr>
          <w:rFonts w:hint="eastAsia"/>
          <w:lang w:val="en-GB"/>
        </w:rPr>
        <w:t>(</w:t>
      </w:r>
      <w:r w:rsidRPr="00002A77">
        <w:rPr>
          <w:rFonts w:hint="eastAsia"/>
          <w:lang w:val="en-GB"/>
        </w:rPr>
        <w:t>即金融业、旅游业、贸易及物流业和工商及专业服务业</w:t>
      </w:r>
      <w:r w:rsidRPr="00002A77">
        <w:rPr>
          <w:rFonts w:hint="eastAsia"/>
          <w:lang w:val="en-GB"/>
        </w:rPr>
        <w:t>)</w:t>
      </w:r>
      <w:r w:rsidRPr="00002A77">
        <w:rPr>
          <w:rFonts w:hint="eastAsia"/>
          <w:lang w:val="en-GB"/>
        </w:rPr>
        <w:t>的优势。同时，政府会加强推动香港具有优势的产业</w:t>
      </w:r>
      <w:r w:rsidRPr="00002A77">
        <w:rPr>
          <w:rFonts w:hint="eastAsia"/>
          <w:lang w:val="en-GB"/>
        </w:rPr>
        <w:t>(</w:t>
      </w:r>
      <w:r w:rsidRPr="00002A77">
        <w:rPr>
          <w:rFonts w:hint="eastAsia"/>
          <w:lang w:val="en-GB"/>
        </w:rPr>
        <w:t>即教育服务、医疗服务、检测和认证服务、环保产业、创新科技和文化及创意产业</w:t>
      </w:r>
      <w:r w:rsidRPr="00002A77">
        <w:rPr>
          <w:rFonts w:hint="eastAsia"/>
          <w:lang w:val="en-GB"/>
        </w:rPr>
        <w:t>)</w:t>
      </w:r>
      <w:r w:rsidRPr="00002A77">
        <w:rPr>
          <w:rFonts w:hint="eastAsia"/>
          <w:lang w:val="en-GB"/>
        </w:rPr>
        <w:t>的发展。经济朝着知识型、高增值的方向迈进，增加了对较高技术及学历人员的人力需求。</w:t>
      </w:r>
    </w:p>
    <w:p w:rsidR="00D13477" w:rsidRPr="00002A77" w:rsidRDefault="00822F18" w:rsidP="00822F18">
      <w:pPr>
        <w:pStyle w:val="H1GC"/>
        <w:rPr>
          <w:lang w:val="en-GB"/>
        </w:rPr>
      </w:pPr>
      <w:r>
        <w:rPr>
          <w:rFonts w:hint="eastAsia"/>
          <w:lang w:val="en-GB"/>
        </w:rPr>
        <w:tab/>
        <w:t>A.</w:t>
      </w:r>
      <w:r>
        <w:rPr>
          <w:rFonts w:hint="eastAsia"/>
          <w:lang w:val="en-GB"/>
        </w:rPr>
        <w:tab/>
      </w:r>
      <w:r w:rsidR="00D13477" w:rsidRPr="00002A77">
        <w:rPr>
          <w:rFonts w:hint="eastAsia"/>
          <w:lang w:val="en-GB"/>
        </w:rPr>
        <w:t>香港特区的宪制、政治及法律架构</w:t>
      </w:r>
    </w:p>
    <w:p w:rsidR="00D13477" w:rsidRPr="00002A77" w:rsidRDefault="00822F18" w:rsidP="00822F18">
      <w:pPr>
        <w:pStyle w:val="H23GC"/>
        <w:rPr>
          <w:rFonts w:hint="eastAsia"/>
          <w:lang w:val="en-GB"/>
        </w:rPr>
      </w:pPr>
      <w:r>
        <w:rPr>
          <w:rFonts w:hint="eastAsia"/>
        </w:rPr>
        <w:tab/>
        <w:t>1.</w:t>
      </w:r>
      <w:r>
        <w:rPr>
          <w:rFonts w:hint="eastAsia"/>
        </w:rPr>
        <w:tab/>
      </w:r>
      <w:r w:rsidR="00D13477" w:rsidRPr="00002A77">
        <w:rPr>
          <w:rFonts w:hint="eastAsia"/>
        </w:rPr>
        <w:t>宪制性文件</w:t>
      </w:r>
    </w:p>
    <w:p w:rsidR="00D13477" w:rsidRPr="00002A77" w:rsidRDefault="00D13477" w:rsidP="00D13477">
      <w:pPr>
        <w:pStyle w:val="SingleTxtGC"/>
        <w:rPr>
          <w:lang w:val="en-GB"/>
        </w:rPr>
      </w:pPr>
      <w:r>
        <w:rPr>
          <w:lang w:val="en-GB"/>
        </w:rPr>
        <w:t>8</w:t>
      </w:r>
      <w:r w:rsidRPr="00002A77">
        <w:rPr>
          <w:lang w:val="en-GB"/>
        </w:rPr>
        <w:t>.</w:t>
      </w:r>
      <w:r w:rsidRPr="00002A77">
        <w:rPr>
          <w:lang w:val="en-GB"/>
        </w:rPr>
        <w:tab/>
      </w:r>
      <w:r w:rsidRPr="00002A77">
        <w:rPr>
          <w:rFonts w:hint="eastAsia"/>
        </w:rPr>
        <w:t>根据《中华人民共和国宪法》第三十一条和第六十二条第十三项的规定，以及</w:t>
      </w:r>
      <w:r>
        <w:t>199</w:t>
      </w:r>
      <w:r w:rsidRPr="00002A77">
        <w:t>0</w:t>
      </w:r>
      <w:r w:rsidRPr="00002A77">
        <w:rPr>
          <w:rFonts w:hint="eastAsia"/>
        </w:rPr>
        <w:t>年</w:t>
      </w:r>
      <w:r>
        <w:t>4</w:t>
      </w:r>
      <w:r w:rsidRPr="00002A77">
        <w:rPr>
          <w:rFonts w:hint="eastAsia"/>
        </w:rPr>
        <w:t>月</w:t>
      </w:r>
      <w:r>
        <w:t>4</w:t>
      </w:r>
      <w:r w:rsidRPr="00002A77">
        <w:rPr>
          <w:rFonts w:hint="eastAsia"/>
        </w:rPr>
        <w:t>日第七届全国人民代表大会</w:t>
      </w:r>
      <w:r w:rsidRPr="00002A77">
        <w:rPr>
          <w:rFonts w:hint="eastAsia"/>
        </w:rPr>
        <w:t>(</w:t>
      </w:r>
      <w:r w:rsidRPr="00002A77">
        <w:rPr>
          <w:rFonts w:hint="eastAsia"/>
        </w:rPr>
        <w:t>全国人大</w:t>
      </w:r>
      <w:r w:rsidRPr="00002A77">
        <w:rPr>
          <w:rFonts w:hint="eastAsia"/>
        </w:rPr>
        <w:t>)</w:t>
      </w:r>
      <w:r w:rsidRPr="00002A77">
        <w:rPr>
          <w:rFonts w:hint="eastAsia"/>
        </w:rPr>
        <w:t>第三次会议通过的有关决定，香港特区于</w:t>
      </w:r>
      <w:r>
        <w:t>1997</w:t>
      </w:r>
      <w:r w:rsidRPr="00002A77">
        <w:rPr>
          <w:rFonts w:hint="eastAsia"/>
        </w:rPr>
        <w:t>年</w:t>
      </w:r>
      <w:r>
        <w:t>7</w:t>
      </w:r>
      <w:r w:rsidRPr="00002A77">
        <w:rPr>
          <w:rFonts w:hint="eastAsia"/>
        </w:rPr>
        <w:t>月</w:t>
      </w:r>
      <w:r>
        <w:t>1</w:t>
      </w:r>
      <w:r w:rsidRPr="00002A77">
        <w:rPr>
          <w:rFonts w:hint="eastAsia"/>
        </w:rPr>
        <w:t>日成立，《中华人民共和国香港特别行政区基本法》</w:t>
      </w:r>
      <w:r w:rsidRPr="00002A77">
        <w:rPr>
          <w:rFonts w:hint="eastAsia"/>
        </w:rPr>
        <w:t>(</w:t>
      </w:r>
      <w:r w:rsidRPr="00002A77">
        <w:rPr>
          <w:rFonts w:hint="eastAsia"/>
        </w:rPr>
        <w:t>《基本法》</w:t>
      </w:r>
      <w:r w:rsidRPr="00002A77">
        <w:rPr>
          <w:rFonts w:hint="eastAsia"/>
        </w:rPr>
        <w:t>)</w:t>
      </w:r>
      <w:r w:rsidRPr="00002A77">
        <w:rPr>
          <w:rFonts w:hint="eastAsia"/>
        </w:rPr>
        <w:t>也由</w:t>
      </w:r>
      <w:r>
        <w:t>1997</w:t>
      </w:r>
      <w:r w:rsidRPr="00002A77">
        <w:rPr>
          <w:rFonts w:hint="eastAsia"/>
        </w:rPr>
        <w:t>年</w:t>
      </w:r>
      <w:r>
        <w:t>7</w:t>
      </w:r>
      <w:r w:rsidRPr="00002A77">
        <w:rPr>
          <w:rFonts w:hint="eastAsia"/>
        </w:rPr>
        <w:t>月</w:t>
      </w:r>
      <w:r>
        <w:t>1</w:t>
      </w:r>
      <w:r w:rsidRPr="00002A77">
        <w:rPr>
          <w:rFonts w:hint="eastAsia"/>
        </w:rPr>
        <w:t>日开始实施。</w:t>
      </w:r>
    </w:p>
    <w:p w:rsidR="00D13477" w:rsidRPr="00002A77" w:rsidRDefault="00D13477" w:rsidP="00D13477">
      <w:pPr>
        <w:pStyle w:val="SingleTxtGC"/>
        <w:rPr>
          <w:lang w:val="en-GB"/>
        </w:rPr>
      </w:pPr>
      <w:r>
        <w:rPr>
          <w:lang w:val="en-GB"/>
        </w:rPr>
        <w:t>9</w:t>
      </w:r>
      <w:r w:rsidRPr="00002A77">
        <w:rPr>
          <w:lang w:val="en-GB"/>
        </w:rPr>
        <w:t>.</w:t>
      </w:r>
      <w:r w:rsidRPr="00002A77">
        <w:rPr>
          <w:lang w:val="en-GB"/>
        </w:rPr>
        <w:tab/>
      </w:r>
      <w:r w:rsidRPr="00002A77">
        <w:rPr>
          <w:rFonts w:hint="eastAsia"/>
        </w:rPr>
        <w:t>《基本法》对中央和香港特区的关系、香港特区居民的基本义务、香港特区的社会制度、政治制度、文化制度等一系列事项作出规定，是香港特区实行高度自治最重要的法律依据。</w:t>
      </w:r>
    </w:p>
    <w:p w:rsidR="00D13477" w:rsidRPr="00002A77" w:rsidRDefault="00D13477" w:rsidP="00D13477">
      <w:pPr>
        <w:pStyle w:val="SingleTxtGC"/>
        <w:rPr>
          <w:rFonts w:hint="eastAsia"/>
        </w:rPr>
      </w:pPr>
      <w:r>
        <w:rPr>
          <w:lang w:val="en-GB"/>
        </w:rPr>
        <w:t>1</w:t>
      </w:r>
      <w:r w:rsidRPr="00002A77">
        <w:rPr>
          <w:lang w:val="en-GB"/>
        </w:rPr>
        <w:t>0.</w:t>
      </w:r>
      <w:r w:rsidR="00822F18">
        <w:rPr>
          <w:rFonts w:hint="eastAsia"/>
          <w:lang w:val="en-GB"/>
        </w:rPr>
        <w:t xml:space="preserve">  </w:t>
      </w:r>
      <w:r w:rsidRPr="00002A77">
        <w:rPr>
          <w:rFonts w:hint="eastAsia"/>
        </w:rPr>
        <w:t>《基本法》所涉及的事项很多，其中包括：</w:t>
      </w:r>
    </w:p>
    <w:p w:rsidR="00D13477" w:rsidRPr="00002A77" w:rsidRDefault="00D13477" w:rsidP="00822F18">
      <w:pPr>
        <w:pStyle w:val="SingleTxtGC"/>
        <w:numPr>
          <w:ilvl w:val="0"/>
          <w:numId w:val="21"/>
        </w:numPr>
        <w:rPr>
          <w:lang w:val="en-GB"/>
        </w:rPr>
      </w:pPr>
      <w:r w:rsidRPr="00002A77">
        <w:rPr>
          <w:rFonts w:hint="eastAsia"/>
          <w:lang w:val="en-GB"/>
        </w:rPr>
        <w:t>全国人大授权</w:t>
      </w:r>
      <w:r w:rsidRPr="00002A77">
        <w:rPr>
          <w:rFonts w:hint="eastAsia"/>
        </w:rPr>
        <w:t>香港特区实行高度自治，享有行政管理权、立法权、独立的司法权和终审权。香港特区的终审权属于香港特区终审法院；</w:t>
      </w:r>
    </w:p>
    <w:p w:rsidR="00D13477" w:rsidRPr="00002A77" w:rsidRDefault="00D13477" w:rsidP="00822F18">
      <w:pPr>
        <w:pStyle w:val="SingleTxtGC"/>
        <w:numPr>
          <w:ilvl w:val="0"/>
          <w:numId w:val="21"/>
        </w:numPr>
        <w:rPr>
          <w:lang w:val="en-GB"/>
        </w:rPr>
      </w:pPr>
      <w:r w:rsidRPr="00002A77">
        <w:rPr>
          <w:rFonts w:hint="eastAsia"/>
          <w:lang w:val="en-GB"/>
        </w:rPr>
        <w:t>香港特区的行政和立法机关成员由香港永久性居民组成；</w:t>
      </w:r>
    </w:p>
    <w:p w:rsidR="00D13477" w:rsidRPr="00002A77" w:rsidRDefault="00D13477" w:rsidP="00822F18">
      <w:pPr>
        <w:pStyle w:val="SingleTxtGC"/>
        <w:numPr>
          <w:ilvl w:val="0"/>
          <w:numId w:val="21"/>
        </w:numPr>
        <w:rPr>
          <w:rFonts w:hint="eastAsia"/>
          <w:lang w:val="en-GB"/>
        </w:rPr>
      </w:pPr>
      <w:r w:rsidRPr="00002A77">
        <w:rPr>
          <w:rFonts w:hint="eastAsia"/>
          <w:lang w:val="en-GB"/>
        </w:rPr>
        <w:t>按照</w:t>
      </w:r>
      <w:r>
        <w:rPr>
          <w:rFonts w:hint="eastAsia"/>
          <w:lang w:val="en-GB"/>
        </w:rPr>
        <w:t>“</w:t>
      </w:r>
      <w:r w:rsidRPr="00002A77">
        <w:rPr>
          <w:rFonts w:hint="eastAsia"/>
          <w:lang w:val="en-GB"/>
        </w:rPr>
        <w:t>一国两制</w:t>
      </w:r>
      <w:r>
        <w:rPr>
          <w:rFonts w:hint="eastAsia"/>
          <w:lang w:val="en-GB"/>
        </w:rPr>
        <w:t>”</w:t>
      </w:r>
      <w:r w:rsidRPr="00002A77">
        <w:rPr>
          <w:rFonts w:hint="eastAsia"/>
          <w:lang w:val="en-GB"/>
        </w:rPr>
        <w:t>的方针，香港特区不实行社会主义制度和政策，保持原有的资本主义制度和生活方式，五十年不变；</w:t>
      </w:r>
    </w:p>
    <w:p w:rsidR="00D13477" w:rsidRPr="00002A77" w:rsidRDefault="00D13477" w:rsidP="00822F18">
      <w:pPr>
        <w:pStyle w:val="SingleTxtGC"/>
        <w:numPr>
          <w:ilvl w:val="0"/>
          <w:numId w:val="21"/>
        </w:numPr>
        <w:rPr>
          <w:rFonts w:hint="eastAsia"/>
          <w:lang w:val="en-GB"/>
        </w:rPr>
      </w:pPr>
      <w:r w:rsidRPr="00002A77">
        <w:rPr>
          <w:rFonts w:hint="eastAsia"/>
          <w:lang w:val="en-GB"/>
        </w:rPr>
        <w:t>香港原有法律，即普通法、衡平法、条例、附属立法和习惯法，除同《基本法》相抵触或经香港特区的立法机关作出修改者外，予以保留；</w:t>
      </w:r>
    </w:p>
    <w:p w:rsidR="00D13477" w:rsidRPr="00002A77" w:rsidRDefault="00D13477" w:rsidP="00822F18">
      <w:pPr>
        <w:pStyle w:val="SingleTxtGC"/>
        <w:numPr>
          <w:ilvl w:val="0"/>
          <w:numId w:val="21"/>
        </w:numPr>
        <w:rPr>
          <w:lang w:val="en-GB"/>
        </w:rPr>
      </w:pPr>
      <w:r w:rsidRPr="00002A77">
        <w:rPr>
          <w:rFonts w:hint="eastAsia"/>
          <w:lang w:val="en-GB"/>
        </w:rPr>
        <w:t>全国性法律除《基本法》附件三所列者外</w:t>
      </w:r>
      <w:r w:rsidR="00977DAB">
        <w:rPr>
          <w:rStyle w:val="FootnoteReference"/>
          <w:lang w:val="en-GB"/>
        </w:rPr>
        <w:footnoteReference w:id="3"/>
      </w:r>
      <w:r w:rsidRPr="00002A77">
        <w:rPr>
          <w:rFonts w:hint="eastAsia"/>
          <w:lang w:val="en-GB"/>
        </w:rPr>
        <w:t>，不在香港特区实施。凡列于《基本法》附件三的法律，由香港特区在当地公布或立法实施。全国人大常务委员会</w:t>
      </w:r>
      <w:r w:rsidRPr="00002A77">
        <w:rPr>
          <w:rFonts w:hint="eastAsia"/>
          <w:lang w:val="en-GB"/>
        </w:rPr>
        <w:t>(</w:t>
      </w:r>
      <w:r w:rsidRPr="00002A77">
        <w:rPr>
          <w:rFonts w:hint="eastAsia"/>
          <w:lang w:val="en-GB"/>
        </w:rPr>
        <w:t>人大常委会</w:t>
      </w:r>
      <w:r w:rsidRPr="00002A77">
        <w:rPr>
          <w:rFonts w:hint="eastAsia"/>
          <w:lang w:val="en-GB"/>
        </w:rPr>
        <w:t>)</w:t>
      </w:r>
      <w:r w:rsidRPr="00002A77">
        <w:rPr>
          <w:rFonts w:hint="eastAsia"/>
          <w:lang w:val="en-GB"/>
        </w:rPr>
        <w:t>在征询香港特区基本法委员会和香港特区政府的意见后，可对列入《基本法》附件三的法律作出增减；</w:t>
      </w:r>
    </w:p>
    <w:p w:rsidR="00D13477" w:rsidRPr="00002A77" w:rsidRDefault="00D13477" w:rsidP="00822F18">
      <w:pPr>
        <w:pStyle w:val="SingleTxtGC"/>
        <w:numPr>
          <w:ilvl w:val="0"/>
          <w:numId w:val="21"/>
        </w:numPr>
        <w:rPr>
          <w:lang w:val="en-GB"/>
        </w:rPr>
      </w:pPr>
      <w:r w:rsidRPr="00002A77">
        <w:rPr>
          <w:rFonts w:hint="eastAsia"/>
          <w:lang w:val="en-GB"/>
        </w:rPr>
        <w:t>香港特区获授权依照《基本法》自行处理有关的对外事务，香港特区可在经济、贸易、金融、航运、通讯、旅游、文化、体育等领域，以</w:t>
      </w:r>
      <w:r>
        <w:rPr>
          <w:rFonts w:hint="eastAsia"/>
          <w:lang w:val="en-GB"/>
        </w:rPr>
        <w:t>“</w:t>
      </w:r>
      <w:r w:rsidRPr="00002A77">
        <w:rPr>
          <w:rFonts w:hint="eastAsia"/>
          <w:lang w:val="en-GB"/>
        </w:rPr>
        <w:t>中国香港</w:t>
      </w:r>
      <w:r>
        <w:rPr>
          <w:rFonts w:hint="eastAsia"/>
          <w:lang w:val="en-GB"/>
        </w:rPr>
        <w:t>”</w:t>
      </w:r>
      <w:r w:rsidRPr="00002A77">
        <w:rPr>
          <w:rFonts w:hint="eastAsia"/>
          <w:lang w:val="en-GB"/>
        </w:rPr>
        <w:t>的名义，自行与世界各国、各地区及有关国际组织保持和发展关系，签订和履行有关协议；</w:t>
      </w:r>
    </w:p>
    <w:p w:rsidR="00D13477" w:rsidRPr="00002A77" w:rsidRDefault="00D13477" w:rsidP="00822F18">
      <w:pPr>
        <w:pStyle w:val="SingleTxtGC"/>
        <w:numPr>
          <w:ilvl w:val="0"/>
          <w:numId w:val="21"/>
        </w:numPr>
        <w:rPr>
          <w:lang w:val="en-GB"/>
        </w:rPr>
      </w:pPr>
      <w:r w:rsidRPr="00002A77">
        <w:rPr>
          <w:rFonts w:hint="eastAsia"/>
          <w:lang w:val="en-GB"/>
        </w:rPr>
        <w:t>香港特区保持自由港、独立关税地区和国际金融中心的地位。香港特区政府自行制订货币金融政策，保障金融企业和金融市场的经营自由，并依法进行管理和监督。香港特区保障资金的流动和进出自由。香港特区负责发行和管理港币；</w:t>
      </w:r>
    </w:p>
    <w:p w:rsidR="00D13477" w:rsidRPr="00002A77" w:rsidRDefault="00D13477" w:rsidP="00822F18">
      <w:pPr>
        <w:pStyle w:val="SingleTxtGC"/>
        <w:numPr>
          <w:ilvl w:val="0"/>
          <w:numId w:val="21"/>
        </w:numPr>
        <w:rPr>
          <w:lang w:val="en-GB"/>
        </w:rPr>
      </w:pPr>
      <w:r w:rsidRPr="00002A77">
        <w:rPr>
          <w:rFonts w:hint="eastAsia"/>
          <w:lang w:val="en-GB"/>
        </w:rPr>
        <w:t>香港特区自行制订教育、科学、文化、体育、劳工和社会福利的发展政策，香港居民享有宗教信仰的自由；</w:t>
      </w:r>
    </w:p>
    <w:p w:rsidR="00D13477" w:rsidRPr="00002A77" w:rsidRDefault="00D13477" w:rsidP="00822F18">
      <w:pPr>
        <w:pStyle w:val="SingleTxtGC"/>
        <w:numPr>
          <w:ilvl w:val="0"/>
          <w:numId w:val="21"/>
        </w:numPr>
        <w:rPr>
          <w:lang w:val="en-GB"/>
        </w:rPr>
      </w:pPr>
      <w:r w:rsidRPr="00002A77">
        <w:rPr>
          <w:rFonts w:hint="eastAsia"/>
          <w:lang w:val="en-GB"/>
        </w:rPr>
        <w:t>香港居民享有多项自由和权利；以及</w:t>
      </w:r>
    </w:p>
    <w:p w:rsidR="00D13477" w:rsidRPr="00002A77" w:rsidRDefault="00D13477" w:rsidP="00822F18">
      <w:pPr>
        <w:pStyle w:val="SingleTxtGC"/>
        <w:numPr>
          <w:ilvl w:val="0"/>
          <w:numId w:val="21"/>
        </w:numPr>
        <w:rPr>
          <w:lang w:val="en-GB"/>
        </w:rPr>
      </w:pPr>
      <w:r w:rsidRPr="00002A77">
        <w:rPr>
          <w:rFonts w:hint="eastAsia"/>
          <w:lang w:val="en-GB"/>
        </w:rPr>
        <w:t>《公民权利和政治权利国际公约》、《经济、社会与文化权利的国际公约》和国际劳工公约适用于香港的有关规定将继续有效，通过香港特区的法律予以实施。</w:t>
      </w:r>
    </w:p>
    <w:p w:rsidR="00D13477" w:rsidRPr="00002A77" w:rsidRDefault="00977DAB" w:rsidP="00D13477">
      <w:pPr>
        <w:pStyle w:val="SingleTxtGC"/>
        <w:rPr>
          <w:rFonts w:hint="eastAsia"/>
          <w:lang w:val="en-GB"/>
        </w:rPr>
      </w:pPr>
      <w:r>
        <w:rPr>
          <w:rFonts w:hint="eastAsia"/>
        </w:rPr>
        <w:tab/>
      </w:r>
      <w:r w:rsidR="00D13477" w:rsidRPr="00002A77">
        <w:rPr>
          <w:rFonts w:hint="eastAsia"/>
        </w:rPr>
        <w:t>香港居民享有的自由和权利会在</w:t>
      </w:r>
      <w:r w:rsidR="00D13477">
        <w:rPr>
          <w:rFonts w:hint="eastAsia"/>
          <w:lang w:val="en-GB"/>
        </w:rPr>
        <w:t>“</w:t>
      </w:r>
      <w:r w:rsidR="00D13477" w:rsidRPr="00002A77">
        <w:rPr>
          <w:rFonts w:hint="eastAsia"/>
          <w:lang w:val="en-GB"/>
        </w:rPr>
        <w:t>保障和促进人权的概况</w:t>
      </w:r>
      <w:r w:rsidR="00D13477">
        <w:rPr>
          <w:rFonts w:hint="eastAsia"/>
          <w:lang w:val="en-GB"/>
        </w:rPr>
        <w:t>”</w:t>
      </w:r>
      <w:r w:rsidR="00D13477" w:rsidRPr="00002A77">
        <w:rPr>
          <w:rFonts w:hint="eastAsia"/>
          <w:lang w:val="en-GB"/>
        </w:rPr>
        <w:t>一节详述。</w:t>
      </w:r>
    </w:p>
    <w:p w:rsidR="00D13477" w:rsidRPr="00002A77" w:rsidRDefault="00977DAB" w:rsidP="00977DAB">
      <w:pPr>
        <w:pStyle w:val="H23GC"/>
      </w:pPr>
      <w:r>
        <w:br w:type="page"/>
      </w:r>
      <w:r>
        <w:rPr>
          <w:rFonts w:hint="eastAsia"/>
        </w:rPr>
        <w:tab/>
        <w:t>1.</w:t>
      </w:r>
      <w:r>
        <w:rPr>
          <w:rFonts w:hint="eastAsia"/>
        </w:rPr>
        <w:tab/>
      </w:r>
      <w:r w:rsidR="00D13477" w:rsidRPr="00002A77">
        <w:rPr>
          <w:rFonts w:hint="eastAsia"/>
        </w:rPr>
        <w:t>政治体制</w:t>
      </w:r>
    </w:p>
    <w:p w:rsidR="00D13477" w:rsidRPr="00002A77" w:rsidRDefault="00D13477" w:rsidP="00D13477">
      <w:pPr>
        <w:pStyle w:val="SingleTxtGC"/>
        <w:rPr>
          <w:lang w:val="en-GB"/>
        </w:rPr>
      </w:pPr>
      <w:r>
        <w:rPr>
          <w:lang w:val="en-GB"/>
        </w:rPr>
        <w:t>11</w:t>
      </w:r>
      <w:r w:rsidR="00977DAB">
        <w:rPr>
          <w:lang w:val="en-GB"/>
        </w:rPr>
        <w:t xml:space="preserve">.  </w:t>
      </w:r>
      <w:r w:rsidRPr="00002A77">
        <w:rPr>
          <w:rFonts w:hint="eastAsia"/>
        </w:rPr>
        <w:t>香港特区行政长官是香港特区的首长，依照《基本法》的规定对中央人民政府和香港特区负责，行政长官由行政会议协助决策。香港特区政府负责制定及执行政策、提出法案、执行法例及为市民提供服务。立法会是香港特区的立法机关。根据《基本法》第九十七及九十八条成立的区议会，接受香港特区政府就有关地区管理和其他事务的咨询。此外，香港特区有独立的司法机关。</w:t>
      </w:r>
    </w:p>
    <w:p w:rsidR="00D13477" w:rsidRPr="00002A77" w:rsidRDefault="00977DAB" w:rsidP="00977DAB">
      <w:pPr>
        <w:pStyle w:val="H4GC"/>
        <w:rPr>
          <w:rFonts w:hint="eastAsia"/>
          <w:lang w:val="en-GB"/>
        </w:rPr>
      </w:pPr>
      <w:r>
        <w:rPr>
          <w:rFonts w:hint="eastAsia"/>
          <w:lang w:val="en-GB"/>
        </w:rPr>
        <w:tab/>
      </w:r>
      <w:r w:rsidRPr="00977DAB">
        <w:rPr>
          <w:lang w:val="en-GB"/>
        </w:rPr>
        <w:t>(a)</w:t>
      </w:r>
      <w:r>
        <w:rPr>
          <w:rFonts w:hint="eastAsia"/>
          <w:lang w:val="en-GB"/>
        </w:rPr>
        <w:tab/>
      </w:r>
      <w:r w:rsidR="00D13477" w:rsidRPr="00002A77">
        <w:rPr>
          <w:rFonts w:hint="eastAsia"/>
          <w:lang w:val="en-GB"/>
        </w:rPr>
        <w:t>行政长官</w:t>
      </w:r>
    </w:p>
    <w:p w:rsidR="00D13477" w:rsidRPr="00002A77" w:rsidRDefault="00D13477" w:rsidP="00D13477">
      <w:pPr>
        <w:pStyle w:val="SingleTxtGC"/>
        <w:rPr>
          <w:rFonts w:hint="eastAsia"/>
        </w:rPr>
      </w:pPr>
      <w:r>
        <w:rPr>
          <w:lang w:val="en-GB"/>
        </w:rPr>
        <w:t>12</w:t>
      </w:r>
      <w:r w:rsidR="00977DAB">
        <w:rPr>
          <w:lang w:val="en-GB"/>
        </w:rPr>
        <w:t xml:space="preserve">.  </w:t>
      </w:r>
      <w:r w:rsidRPr="00002A77">
        <w:rPr>
          <w:rFonts w:hint="eastAsia"/>
          <w:lang w:val="en-GB"/>
        </w:rPr>
        <w:t>行政长官领导香港特区政府，决定政府政策，负责执行</w:t>
      </w:r>
      <w:r w:rsidRPr="00002A77">
        <w:rPr>
          <w:rFonts w:hint="eastAsia"/>
        </w:rPr>
        <w:t>《基本法》和依照《基本法》适用香港特区的其他法律。此外，行政长官签署立法会通过的法案和财政预算案，并向中央人民政府提名并报请任命主要官员，依照法定程序任免各级法院法官和公职人员。行政长官亦代表香港特区政府处理中央授权的对外事务和其他事务。</w:t>
      </w:r>
    </w:p>
    <w:p w:rsidR="00D13477" w:rsidRPr="00002A77" w:rsidRDefault="00D13477" w:rsidP="00D13477">
      <w:pPr>
        <w:pStyle w:val="SingleTxtGC"/>
        <w:rPr>
          <w:lang w:val="en-GB"/>
        </w:rPr>
      </w:pPr>
      <w:r>
        <w:t>13</w:t>
      </w:r>
      <w:r w:rsidR="00977DAB">
        <w:t xml:space="preserve">.  </w:t>
      </w:r>
      <w:r w:rsidRPr="00002A77">
        <w:rPr>
          <w:rFonts w:hint="eastAsia"/>
        </w:rPr>
        <w:t>《基本法》订明，香港特区行政长官在当地通过选举或协商产生，由中央人民政府任命。行政长官的产生办法根据香港特区的实际情况和循序渐进的原则而规定，最终达至由一个有广泛代表性的提名委员会按民主程序提名后普选产生的目标。</w:t>
      </w:r>
    </w:p>
    <w:p w:rsidR="00D13477" w:rsidRPr="00002A77" w:rsidRDefault="00977DAB" w:rsidP="00977DAB">
      <w:pPr>
        <w:pStyle w:val="H4GC"/>
        <w:rPr>
          <w:lang w:val="en-GB"/>
        </w:rPr>
      </w:pPr>
      <w:r>
        <w:rPr>
          <w:rFonts w:hint="eastAsia"/>
          <w:lang w:val="en-GB"/>
        </w:rPr>
        <w:tab/>
      </w:r>
      <w:r w:rsidRPr="00977DAB">
        <w:rPr>
          <w:lang w:val="en-GB"/>
        </w:rPr>
        <w:t>(b)</w:t>
      </w:r>
      <w:r>
        <w:rPr>
          <w:rFonts w:hint="eastAsia"/>
          <w:lang w:val="en-GB"/>
        </w:rPr>
        <w:tab/>
      </w:r>
      <w:r w:rsidR="00D13477" w:rsidRPr="00002A77">
        <w:rPr>
          <w:rFonts w:hint="eastAsia"/>
          <w:lang w:val="en-GB"/>
        </w:rPr>
        <w:t>行政会议</w:t>
      </w:r>
    </w:p>
    <w:p w:rsidR="00D13477" w:rsidRPr="00002A77" w:rsidRDefault="00D13477" w:rsidP="00D13477">
      <w:pPr>
        <w:pStyle w:val="SingleTxtGC"/>
      </w:pPr>
      <w:r>
        <w:rPr>
          <w:lang w:val="en-GB"/>
        </w:rPr>
        <w:t>14</w:t>
      </w:r>
      <w:r w:rsidR="00977DAB">
        <w:rPr>
          <w:lang w:val="en-GB"/>
        </w:rPr>
        <w:t xml:space="preserve">.  </w:t>
      </w:r>
      <w:r w:rsidRPr="00002A77">
        <w:rPr>
          <w:rFonts w:hint="eastAsia"/>
        </w:rPr>
        <w:t>行政会议是协助行政长官决策的机构。《基本法》第五十六条订明，行政长官在作出重要决策、向立法会提交法案、制定附属法规和解散立法会前，须征询行政会议的意见，但人事任免、纪律制裁和紧急情况下采取的措施除外。行政长官会同行政会议也对根据法例赋予的法定上诉权而提出的上诉、呈请或反对作出裁决。行政长官如不采纳行政会议多数成员的意见，应将具体理由记录在案。</w:t>
      </w:r>
    </w:p>
    <w:p w:rsidR="00D13477" w:rsidRPr="00002A77" w:rsidRDefault="00D13477" w:rsidP="00D13477">
      <w:pPr>
        <w:pStyle w:val="SingleTxtGC"/>
        <w:rPr>
          <w:lang w:val="en-GB"/>
        </w:rPr>
      </w:pPr>
      <w:r>
        <w:rPr>
          <w:lang w:val="en-GB"/>
        </w:rPr>
        <w:t>15</w:t>
      </w:r>
      <w:r w:rsidR="00977DAB">
        <w:rPr>
          <w:lang w:val="en-GB"/>
        </w:rPr>
        <w:t xml:space="preserve">.  </w:t>
      </w:r>
      <w:r w:rsidRPr="00002A77">
        <w:rPr>
          <w:rFonts w:hint="eastAsia"/>
        </w:rPr>
        <w:t>行政会议通常每周举行会议一次，由行政长官主持。《基本法》第五十五条规定，行政会议的成员由行政长官从行政机关的主要官员、立法会议员和社会人士中委任。行政会议成员的任期应不超过委任他们的行政长官的任期。</w:t>
      </w:r>
    </w:p>
    <w:p w:rsidR="00D13477" w:rsidRPr="00002A77" w:rsidRDefault="00D13477" w:rsidP="00D13477">
      <w:pPr>
        <w:pStyle w:val="SingleTxtGC"/>
        <w:rPr>
          <w:lang w:val="en-GB"/>
        </w:rPr>
      </w:pPr>
      <w:r>
        <w:rPr>
          <w:lang w:val="en-GB"/>
        </w:rPr>
        <w:t>16</w:t>
      </w:r>
      <w:r w:rsidR="00977DAB">
        <w:rPr>
          <w:lang w:val="en-GB"/>
        </w:rPr>
        <w:t xml:space="preserve">.  </w:t>
      </w:r>
      <w:r w:rsidRPr="00002A77">
        <w:rPr>
          <w:rFonts w:hint="eastAsia"/>
          <w:lang w:val="en-GB"/>
        </w:rPr>
        <w:t>现时行政会议的成员包括在政治委任制下委任的</w:t>
      </w:r>
      <w:r>
        <w:rPr>
          <w:lang w:val="en-GB"/>
        </w:rPr>
        <w:t>15</w:t>
      </w:r>
      <w:r w:rsidRPr="00002A77">
        <w:rPr>
          <w:rFonts w:hint="eastAsia"/>
          <w:lang w:val="en-GB"/>
        </w:rPr>
        <w:t>位主要官员，以及</w:t>
      </w:r>
      <w:r>
        <w:rPr>
          <w:lang w:val="en-GB"/>
        </w:rPr>
        <w:t>14</w:t>
      </w:r>
      <w:r w:rsidRPr="00002A77">
        <w:rPr>
          <w:rFonts w:hint="eastAsia"/>
          <w:lang w:val="en-GB"/>
        </w:rPr>
        <w:t>位非官守成员。</w:t>
      </w:r>
    </w:p>
    <w:p w:rsidR="00D13477" w:rsidRPr="00002A77" w:rsidRDefault="00977DAB" w:rsidP="00977DAB">
      <w:pPr>
        <w:pStyle w:val="H4GC"/>
        <w:rPr>
          <w:lang w:val="en-GB"/>
        </w:rPr>
      </w:pPr>
      <w:r>
        <w:rPr>
          <w:rFonts w:hint="eastAsia"/>
          <w:lang w:val="en-GB"/>
        </w:rPr>
        <w:tab/>
      </w:r>
      <w:r w:rsidRPr="00977DAB">
        <w:rPr>
          <w:lang w:val="en-GB"/>
        </w:rPr>
        <w:t>(c)</w:t>
      </w:r>
      <w:r>
        <w:rPr>
          <w:rFonts w:hint="eastAsia"/>
          <w:lang w:val="en-GB"/>
        </w:rPr>
        <w:tab/>
      </w:r>
      <w:r w:rsidR="00D13477" w:rsidRPr="00002A77">
        <w:rPr>
          <w:rFonts w:hint="eastAsia"/>
          <w:lang w:val="en-GB"/>
        </w:rPr>
        <w:t>行政架构</w:t>
      </w:r>
    </w:p>
    <w:p w:rsidR="00D13477" w:rsidRPr="00002A77" w:rsidRDefault="00D13477" w:rsidP="00D13477">
      <w:pPr>
        <w:pStyle w:val="SingleTxtGC"/>
        <w:rPr>
          <w:lang w:val="en-GB"/>
        </w:rPr>
      </w:pPr>
      <w:r>
        <w:rPr>
          <w:lang w:val="en-GB"/>
        </w:rPr>
        <w:t>17</w:t>
      </w:r>
      <w:r w:rsidR="00977DAB">
        <w:rPr>
          <w:lang w:val="en-GB"/>
        </w:rPr>
        <w:t xml:space="preserve">.  </w:t>
      </w:r>
      <w:r w:rsidRPr="00002A77">
        <w:rPr>
          <w:rFonts w:hint="eastAsia"/>
        </w:rPr>
        <w:t>香港特区政府的首长是行政长官。如行政长官短期不能履行职务，其职务会依次由三位司长</w:t>
      </w:r>
      <w:r w:rsidRPr="00002A77">
        <w:rPr>
          <w:rFonts w:hint="eastAsia"/>
        </w:rPr>
        <w:t>(</w:t>
      </w:r>
      <w:r w:rsidRPr="00002A77">
        <w:rPr>
          <w:rFonts w:hint="eastAsia"/>
        </w:rPr>
        <w:t>即政务司司长、财政司司长、律政司司长</w:t>
      </w:r>
      <w:r w:rsidRPr="00002A77">
        <w:rPr>
          <w:rFonts w:hint="eastAsia"/>
        </w:rPr>
        <w:t>)</w:t>
      </w:r>
      <w:r w:rsidRPr="00002A77">
        <w:rPr>
          <w:rFonts w:hint="eastAsia"/>
        </w:rPr>
        <w:t>临时代理。香港特区政府设政务司、财政司、律政司和各局、处、署。</w:t>
      </w:r>
    </w:p>
    <w:p w:rsidR="00D13477" w:rsidRPr="00002A77" w:rsidRDefault="00D13477" w:rsidP="00D13477">
      <w:pPr>
        <w:pStyle w:val="SingleTxtGC"/>
        <w:rPr>
          <w:lang w:val="en-GB"/>
        </w:rPr>
      </w:pPr>
      <w:r>
        <w:rPr>
          <w:lang w:val="en-GB"/>
        </w:rPr>
        <w:t>18</w:t>
      </w:r>
      <w:r w:rsidR="00977DAB">
        <w:rPr>
          <w:lang w:val="en-GB"/>
        </w:rPr>
        <w:t xml:space="preserve">.  </w:t>
      </w:r>
      <w:r w:rsidRPr="00002A77">
        <w:rPr>
          <w:rFonts w:hint="eastAsia"/>
          <w:lang w:val="en-GB"/>
        </w:rPr>
        <w:t>目前，政府总部辖下有</w:t>
      </w:r>
      <w:r>
        <w:rPr>
          <w:lang w:val="en-GB"/>
        </w:rPr>
        <w:t>12</w:t>
      </w:r>
      <w:r w:rsidRPr="00002A77">
        <w:rPr>
          <w:rFonts w:hint="eastAsia"/>
          <w:lang w:val="en-GB"/>
        </w:rPr>
        <w:t>个局，每个局由一名局长掌管。</w:t>
      </w:r>
      <w:r w:rsidRPr="00002A77">
        <w:rPr>
          <w:rFonts w:hint="eastAsia"/>
        </w:rPr>
        <w:t>除廉政专员、申诉专员和审计署署长外，所有部门首长均须向所属的司长及局长负责。廉政公署、申诉专员公署和审计署独立运作，直接向行政长官负责。</w:t>
      </w:r>
    </w:p>
    <w:p w:rsidR="00D13477" w:rsidRPr="00002A77" w:rsidRDefault="00D13477" w:rsidP="00D13477">
      <w:pPr>
        <w:pStyle w:val="SingleTxtGC"/>
        <w:rPr>
          <w:lang w:val="en-GB"/>
        </w:rPr>
      </w:pPr>
      <w:r>
        <w:rPr>
          <w:lang w:val="en-GB"/>
        </w:rPr>
        <w:t>19</w:t>
      </w:r>
      <w:r w:rsidR="00977DAB">
        <w:rPr>
          <w:lang w:val="en-GB"/>
        </w:rPr>
        <w:t xml:space="preserve">.  </w:t>
      </w:r>
      <w:r w:rsidRPr="00002A77">
        <w:rPr>
          <w:rFonts w:hint="eastAsia"/>
          <w:lang w:val="en-GB"/>
        </w:rPr>
        <w:t>政治委任制度在</w:t>
      </w:r>
      <w:r>
        <w:rPr>
          <w:lang w:val="en-GB"/>
        </w:rPr>
        <w:t>2</w:t>
      </w:r>
      <w:r w:rsidRPr="00002A77">
        <w:rPr>
          <w:lang w:val="en-GB"/>
        </w:rPr>
        <w:t>00</w:t>
      </w:r>
      <w:r>
        <w:rPr>
          <w:lang w:val="en-GB"/>
        </w:rPr>
        <w:t>2</w:t>
      </w:r>
      <w:r w:rsidRPr="00002A77">
        <w:rPr>
          <w:rFonts w:hint="eastAsia"/>
          <w:lang w:val="en-GB"/>
        </w:rPr>
        <w:t>年</w:t>
      </w:r>
      <w:r>
        <w:rPr>
          <w:lang w:val="en-GB"/>
        </w:rPr>
        <w:t>7</w:t>
      </w:r>
      <w:r w:rsidRPr="00002A77">
        <w:rPr>
          <w:rFonts w:hint="eastAsia"/>
          <w:lang w:val="en-GB"/>
        </w:rPr>
        <w:t>月</w:t>
      </w:r>
      <w:r>
        <w:rPr>
          <w:lang w:val="en-GB"/>
        </w:rPr>
        <w:t>1</w:t>
      </w:r>
      <w:r w:rsidRPr="00002A77">
        <w:rPr>
          <w:rFonts w:hint="eastAsia"/>
          <w:lang w:val="en-GB"/>
        </w:rPr>
        <w:t>日推行。在此制度下，政务司司长、财政司司长、律政司司长和</w:t>
      </w:r>
      <w:r>
        <w:rPr>
          <w:lang w:val="en-GB"/>
        </w:rPr>
        <w:t>12</w:t>
      </w:r>
      <w:r w:rsidRPr="00002A77">
        <w:rPr>
          <w:rFonts w:hint="eastAsia"/>
          <w:lang w:val="en-GB"/>
        </w:rPr>
        <w:t>位决策局局长是政治委任官员。他们负责指定的政策范畴，并向行政长官负责。他们同时获委任为行政会议成员，与非官守行政会议成员一起协助行政长官制订政策。在此制度下，公务员维持常任、专业和政治中立。</w:t>
      </w:r>
    </w:p>
    <w:p w:rsidR="00D13477" w:rsidRPr="00002A77" w:rsidRDefault="00977DAB" w:rsidP="00977DAB">
      <w:pPr>
        <w:pStyle w:val="H4GC"/>
        <w:rPr>
          <w:lang w:val="en-GB"/>
        </w:rPr>
      </w:pPr>
      <w:r>
        <w:rPr>
          <w:rFonts w:hint="eastAsia"/>
          <w:lang w:val="en-GB"/>
        </w:rPr>
        <w:tab/>
      </w:r>
      <w:r w:rsidRPr="00977DAB">
        <w:rPr>
          <w:lang w:val="en-GB"/>
        </w:rPr>
        <w:t>(d)</w:t>
      </w:r>
      <w:r>
        <w:rPr>
          <w:rFonts w:hint="eastAsia"/>
          <w:lang w:val="en-GB"/>
        </w:rPr>
        <w:tab/>
      </w:r>
      <w:r w:rsidR="00D13477" w:rsidRPr="00002A77">
        <w:rPr>
          <w:rFonts w:hint="eastAsia"/>
          <w:lang w:val="en-GB"/>
        </w:rPr>
        <w:t>立法会</w:t>
      </w:r>
    </w:p>
    <w:p w:rsidR="00D13477" w:rsidRPr="00002A77" w:rsidRDefault="00D13477" w:rsidP="00D13477">
      <w:pPr>
        <w:pStyle w:val="SingleTxtGC"/>
        <w:rPr>
          <w:lang w:val="en-GB"/>
        </w:rPr>
      </w:pPr>
      <w:r>
        <w:rPr>
          <w:lang w:val="en-GB"/>
        </w:rPr>
        <w:t>2</w:t>
      </w:r>
      <w:r w:rsidRPr="00002A77">
        <w:rPr>
          <w:lang w:val="en-GB"/>
        </w:rPr>
        <w:t>0</w:t>
      </w:r>
      <w:r w:rsidR="00977DAB">
        <w:rPr>
          <w:lang w:val="en-GB"/>
        </w:rPr>
        <w:t xml:space="preserve">.  </w:t>
      </w:r>
      <w:r w:rsidRPr="00002A77">
        <w:rPr>
          <w:rFonts w:hint="eastAsia"/>
        </w:rPr>
        <w:t>根据《基本法》第七十三条，立法会的职权包括：根据《基本法》规定并依照法定程序制定、修改和废除法律；根据政府的提案，审核、通过财政预算；批准税收和公共开支；听取行政长官的施政报告并进行辩论；对政府的工作提出质询；就任何有关公共利益问题进行辩论；同意终审法院法官和高等法院首席法官的任免；以及接受香港居民申诉并作出处理等。</w:t>
      </w:r>
    </w:p>
    <w:p w:rsidR="00D13477" w:rsidRPr="00002A77" w:rsidRDefault="00D13477" w:rsidP="003E0C14">
      <w:pPr>
        <w:pStyle w:val="SingleTxtGC"/>
        <w:spacing w:after="240"/>
        <w:rPr>
          <w:lang w:val="en-GB"/>
        </w:rPr>
      </w:pPr>
      <w:r>
        <w:rPr>
          <w:lang w:val="en-GB"/>
        </w:rPr>
        <w:t>21</w:t>
      </w:r>
      <w:r w:rsidR="00977DAB">
        <w:rPr>
          <w:lang w:val="en-GB"/>
        </w:rPr>
        <w:t xml:space="preserve">.  </w:t>
      </w:r>
      <w:r w:rsidRPr="00002A77">
        <w:rPr>
          <w:rFonts w:hint="eastAsia"/>
        </w:rPr>
        <w:t>《基本法》第六十八条订明，香港特区立法会须由选举产生，产生办法根据香港特区的实际情况和循序渐进的原则而规定，最终达至全部议员由普选产生的目标。根据《基本法》附件二以及</w:t>
      </w:r>
      <w:r>
        <w:t>199</w:t>
      </w:r>
      <w:r w:rsidRPr="00002A77">
        <w:t>0</w:t>
      </w:r>
      <w:r w:rsidRPr="00002A77">
        <w:rPr>
          <w:rFonts w:hint="eastAsia"/>
        </w:rPr>
        <w:t>年</w:t>
      </w:r>
      <w:r>
        <w:t>4</w:t>
      </w:r>
      <w:r w:rsidRPr="00002A77">
        <w:rPr>
          <w:rFonts w:hint="eastAsia"/>
        </w:rPr>
        <w:t>月</w:t>
      </w:r>
      <w:r>
        <w:t>4</w:t>
      </w:r>
      <w:r w:rsidRPr="00002A77">
        <w:rPr>
          <w:rFonts w:hint="eastAsia"/>
        </w:rPr>
        <w:t>日全国人大第三次会议通过的有关决定，首三届立法会的组成如下：</w:t>
      </w:r>
    </w:p>
    <w:tbl>
      <w:tblPr>
        <w:tblW w:w="7371" w:type="dxa"/>
        <w:jc w:val="center"/>
        <w:tblLayout w:type="fixed"/>
        <w:tblCellMar>
          <w:left w:w="28" w:type="dxa"/>
          <w:right w:w="28" w:type="dxa"/>
        </w:tblCellMar>
        <w:tblLook w:val="0000"/>
      </w:tblPr>
      <w:tblGrid>
        <w:gridCol w:w="2377"/>
        <w:gridCol w:w="1690"/>
        <w:gridCol w:w="1596"/>
        <w:gridCol w:w="1708"/>
      </w:tblGrid>
      <w:tr w:rsidR="00D13477" w:rsidRPr="00977DAB" w:rsidTr="00011FD7">
        <w:tblPrEx>
          <w:tblCellMar>
            <w:top w:w="0" w:type="dxa"/>
            <w:bottom w:w="0" w:type="dxa"/>
          </w:tblCellMar>
        </w:tblPrEx>
        <w:trPr>
          <w:jc w:val="center"/>
        </w:trPr>
        <w:tc>
          <w:tcPr>
            <w:tcW w:w="2377" w:type="dxa"/>
            <w:tcBorders>
              <w:top w:val="single" w:sz="4" w:space="0" w:color="auto"/>
              <w:bottom w:val="single" w:sz="12" w:space="0" w:color="auto"/>
            </w:tcBorders>
            <w:vAlign w:val="bottom"/>
          </w:tcPr>
          <w:p w:rsidR="00D13477" w:rsidRPr="00977DAB" w:rsidRDefault="00D13477" w:rsidP="00011FD7">
            <w:pPr>
              <w:pStyle w:val="SingleTxtGC"/>
              <w:spacing w:before="80" w:after="80" w:line="220" w:lineRule="exact"/>
              <w:ind w:left="0" w:right="227"/>
              <w:rPr>
                <w:rFonts w:eastAsia="KaiTi_GB2312"/>
                <w:sz w:val="18"/>
                <w:szCs w:val="18"/>
                <w:lang w:val="en-GB"/>
              </w:rPr>
            </w:pPr>
            <w:r w:rsidRPr="00977DAB">
              <w:rPr>
                <w:rFonts w:eastAsia="KaiTi_GB2312" w:hint="eastAsia"/>
                <w:sz w:val="18"/>
                <w:szCs w:val="18"/>
                <w:lang w:val="en-GB"/>
              </w:rPr>
              <w:t>成员</w:t>
            </w:r>
          </w:p>
        </w:tc>
        <w:tc>
          <w:tcPr>
            <w:tcW w:w="1690" w:type="dxa"/>
            <w:tcBorders>
              <w:top w:val="single" w:sz="4" w:space="0" w:color="auto"/>
              <w:bottom w:val="single" w:sz="12" w:space="0" w:color="auto"/>
            </w:tcBorders>
            <w:vAlign w:val="bottom"/>
          </w:tcPr>
          <w:p w:rsidR="00D13477" w:rsidRPr="00977DAB" w:rsidRDefault="00D13477" w:rsidP="00011FD7">
            <w:pPr>
              <w:pStyle w:val="SingleTxtGC"/>
              <w:spacing w:before="80" w:after="80" w:line="220" w:lineRule="exact"/>
              <w:ind w:left="284" w:right="0"/>
              <w:rPr>
                <w:rFonts w:eastAsia="KaiTi_GB2312" w:hint="eastAsia"/>
                <w:sz w:val="18"/>
                <w:szCs w:val="18"/>
                <w:lang w:val="en-GB"/>
              </w:rPr>
            </w:pPr>
            <w:r w:rsidRPr="00977DAB">
              <w:rPr>
                <w:rFonts w:eastAsia="KaiTi_GB2312" w:hint="eastAsia"/>
                <w:sz w:val="18"/>
                <w:szCs w:val="18"/>
                <w:lang w:val="en-GB"/>
              </w:rPr>
              <w:t>第一届</w:t>
            </w:r>
            <w:r w:rsidRPr="00977DAB">
              <w:rPr>
                <w:rFonts w:eastAsia="KaiTi_GB2312"/>
                <w:sz w:val="18"/>
                <w:szCs w:val="18"/>
                <w:lang w:val="en-GB"/>
              </w:rPr>
              <w:br/>
              <w:t>1998-2000</w:t>
            </w:r>
            <w:r w:rsidRPr="00977DAB">
              <w:rPr>
                <w:rFonts w:eastAsia="KaiTi_GB2312" w:hint="eastAsia"/>
                <w:sz w:val="18"/>
                <w:szCs w:val="18"/>
                <w:lang w:val="en-GB"/>
              </w:rPr>
              <w:t>年</w:t>
            </w:r>
            <w:r w:rsidRPr="00977DAB">
              <w:rPr>
                <w:rFonts w:eastAsia="KaiTi_GB2312"/>
                <w:sz w:val="18"/>
                <w:szCs w:val="18"/>
                <w:lang w:val="en-GB"/>
              </w:rPr>
              <w:br/>
            </w:r>
            <w:r w:rsidRPr="00977DAB">
              <w:rPr>
                <w:rFonts w:eastAsia="KaiTi_GB2312" w:hint="eastAsia"/>
                <w:sz w:val="18"/>
                <w:szCs w:val="18"/>
                <w:lang w:val="en-GB"/>
              </w:rPr>
              <w:t>(</w:t>
            </w:r>
            <w:r w:rsidRPr="00977DAB">
              <w:rPr>
                <w:rFonts w:eastAsia="KaiTi_GB2312" w:hint="eastAsia"/>
                <w:sz w:val="18"/>
                <w:szCs w:val="18"/>
                <w:lang w:val="en-GB"/>
              </w:rPr>
              <w:t>任期两年</w:t>
            </w:r>
            <w:r w:rsidRPr="00977DAB">
              <w:rPr>
                <w:rFonts w:eastAsia="KaiTi_GB2312" w:hint="eastAsia"/>
                <w:sz w:val="18"/>
                <w:szCs w:val="18"/>
                <w:lang w:val="en-GB"/>
              </w:rPr>
              <w:t>)</w:t>
            </w:r>
          </w:p>
        </w:tc>
        <w:tc>
          <w:tcPr>
            <w:tcW w:w="1596" w:type="dxa"/>
            <w:tcBorders>
              <w:top w:val="single" w:sz="4" w:space="0" w:color="auto"/>
              <w:bottom w:val="single" w:sz="12" w:space="0" w:color="auto"/>
            </w:tcBorders>
            <w:vAlign w:val="bottom"/>
          </w:tcPr>
          <w:p w:rsidR="00D13477" w:rsidRPr="00977DAB" w:rsidRDefault="00D13477" w:rsidP="00011FD7">
            <w:pPr>
              <w:pStyle w:val="SingleTxtGC"/>
              <w:spacing w:before="80" w:after="80" w:line="220" w:lineRule="exact"/>
              <w:ind w:left="340" w:right="0"/>
              <w:rPr>
                <w:rFonts w:eastAsia="KaiTi_GB2312" w:hint="eastAsia"/>
                <w:sz w:val="18"/>
                <w:szCs w:val="18"/>
                <w:lang w:val="en-GB"/>
              </w:rPr>
            </w:pPr>
            <w:r w:rsidRPr="00977DAB">
              <w:rPr>
                <w:rFonts w:eastAsia="KaiTi_GB2312" w:hint="eastAsia"/>
                <w:sz w:val="18"/>
                <w:szCs w:val="18"/>
                <w:lang w:val="en-GB"/>
              </w:rPr>
              <w:t>第二届</w:t>
            </w:r>
            <w:r w:rsidRPr="00977DAB">
              <w:rPr>
                <w:rFonts w:eastAsia="KaiTi_GB2312"/>
                <w:sz w:val="18"/>
                <w:szCs w:val="18"/>
                <w:lang w:val="en-GB"/>
              </w:rPr>
              <w:br/>
              <w:t>2000-2004</w:t>
            </w:r>
            <w:r w:rsidRPr="00977DAB">
              <w:rPr>
                <w:rFonts w:eastAsia="KaiTi_GB2312" w:hint="eastAsia"/>
                <w:sz w:val="18"/>
                <w:szCs w:val="18"/>
                <w:lang w:val="en-GB"/>
              </w:rPr>
              <w:t>年</w:t>
            </w:r>
            <w:r w:rsidRPr="00977DAB">
              <w:rPr>
                <w:rFonts w:eastAsia="KaiTi_GB2312"/>
                <w:sz w:val="18"/>
                <w:szCs w:val="18"/>
                <w:lang w:val="en-GB"/>
              </w:rPr>
              <w:br/>
            </w:r>
            <w:r w:rsidRPr="00977DAB">
              <w:rPr>
                <w:rFonts w:eastAsia="KaiTi_GB2312" w:hint="eastAsia"/>
                <w:sz w:val="18"/>
                <w:szCs w:val="18"/>
                <w:lang w:val="en-GB"/>
              </w:rPr>
              <w:t>(</w:t>
            </w:r>
            <w:r w:rsidRPr="00977DAB">
              <w:rPr>
                <w:rFonts w:eastAsia="KaiTi_GB2312" w:hint="eastAsia"/>
                <w:sz w:val="18"/>
                <w:szCs w:val="18"/>
                <w:lang w:val="en-GB"/>
              </w:rPr>
              <w:t>任期四年</w:t>
            </w:r>
            <w:r w:rsidRPr="00977DAB">
              <w:rPr>
                <w:rFonts w:eastAsia="KaiTi_GB2312" w:hint="eastAsia"/>
                <w:sz w:val="18"/>
                <w:szCs w:val="18"/>
                <w:lang w:val="en-GB"/>
              </w:rPr>
              <w:t>)</w:t>
            </w:r>
          </w:p>
        </w:tc>
        <w:tc>
          <w:tcPr>
            <w:tcW w:w="1708" w:type="dxa"/>
            <w:tcBorders>
              <w:top w:val="single" w:sz="4" w:space="0" w:color="auto"/>
              <w:bottom w:val="single" w:sz="12" w:space="0" w:color="auto"/>
            </w:tcBorders>
            <w:vAlign w:val="bottom"/>
          </w:tcPr>
          <w:p w:rsidR="00D13477" w:rsidRPr="00977DAB" w:rsidRDefault="00D13477" w:rsidP="00011FD7">
            <w:pPr>
              <w:pStyle w:val="SingleTxtGC"/>
              <w:spacing w:before="80" w:after="80" w:line="220" w:lineRule="exact"/>
              <w:ind w:left="397" w:right="0"/>
              <w:rPr>
                <w:rFonts w:eastAsia="KaiTi_GB2312" w:hint="eastAsia"/>
                <w:sz w:val="18"/>
                <w:szCs w:val="18"/>
                <w:lang w:val="en-GB"/>
              </w:rPr>
            </w:pPr>
            <w:r w:rsidRPr="00977DAB">
              <w:rPr>
                <w:rFonts w:eastAsia="KaiTi_GB2312" w:hint="eastAsia"/>
                <w:sz w:val="18"/>
                <w:szCs w:val="18"/>
                <w:lang w:val="en-GB"/>
              </w:rPr>
              <w:t>第三届</w:t>
            </w:r>
            <w:r w:rsidRPr="00977DAB">
              <w:rPr>
                <w:rFonts w:eastAsia="KaiTi_GB2312"/>
                <w:sz w:val="18"/>
                <w:szCs w:val="18"/>
                <w:lang w:val="en-GB"/>
              </w:rPr>
              <w:br/>
              <w:t>2004-2008</w:t>
            </w:r>
            <w:r w:rsidRPr="00977DAB">
              <w:rPr>
                <w:rFonts w:eastAsia="KaiTi_GB2312" w:hint="eastAsia"/>
                <w:sz w:val="18"/>
                <w:szCs w:val="18"/>
                <w:lang w:val="en-GB"/>
              </w:rPr>
              <w:t>年</w:t>
            </w:r>
            <w:r w:rsidRPr="00977DAB">
              <w:rPr>
                <w:rFonts w:eastAsia="KaiTi_GB2312"/>
                <w:sz w:val="18"/>
                <w:szCs w:val="18"/>
                <w:lang w:val="en-GB"/>
              </w:rPr>
              <w:br/>
            </w:r>
            <w:r w:rsidRPr="00977DAB">
              <w:rPr>
                <w:rFonts w:eastAsia="KaiTi_GB2312" w:hint="eastAsia"/>
                <w:sz w:val="18"/>
                <w:szCs w:val="18"/>
                <w:lang w:val="en-GB"/>
              </w:rPr>
              <w:t>(</w:t>
            </w:r>
            <w:r w:rsidRPr="00977DAB">
              <w:rPr>
                <w:rFonts w:eastAsia="KaiTi_GB2312" w:hint="eastAsia"/>
                <w:sz w:val="18"/>
                <w:szCs w:val="18"/>
                <w:lang w:val="en-GB"/>
              </w:rPr>
              <w:t>任期四年</w:t>
            </w:r>
            <w:r w:rsidRPr="00977DAB">
              <w:rPr>
                <w:rFonts w:eastAsia="KaiTi_GB2312" w:hint="eastAsia"/>
                <w:sz w:val="18"/>
                <w:szCs w:val="18"/>
                <w:lang w:val="en-GB"/>
              </w:rPr>
              <w:t>)</w:t>
            </w:r>
          </w:p>
        </w:tc>
      </w:tr>
      <w:tr w:rsidR="00D13477" w:rsidRPr="00002A77" w:rsidTr="003E0C14">
        <w:tblPrEx>
          <w:tblCellMar>
            <w:top w:w="0" w:type="dxa"/>
            <w:bottom w:w="0" w:type="dxa"/>
          </w:tblCellMar>
        </w:tblPrEx>
        <w:trPr>
          <w:jc w:val="center"/>
        </w:trPr>
        <w:tc>
          <w:tcPr>
            <w:tcW w:w="2377" w:type="dxa"/>
            <w:tcBorders>
              <w:top w:val="single" w:sz="12" w:space="0" w:color="auto"/>
            </w:tcBorders>
          </w:tcPr>
          <w:p w:rsidR="00D13477" w:rsidRPr="00002A77" w:rsidRDefault="00D13477" w:rsidP="003E0C14">
            <w:pPr>
              <w:pStyle w:val="SingleTxtGC"/>
              <w:spacing w:before="40" w:line="240" w:lineRule="exact"/>
              <w:ind w:left="431" w:right="227" w:hanging="431"/>
              <w:rPr>
                <w:lang w:val="en-GB"/>
              </w:rPr>
            </w:pPr>
            <w:r w:rsidRPr="00002A77">
              <w:rPr>
                <w:lang w:val="en-GB"/>
              </w:rPr>
              <w:t>(</w:t>
            </w:r>
            <w:r>
              <w:rPr>
                <w:lang w:val="en-GB"/>
              </w:rPr>
              <w:t>a</w:t>
            </w:r>
            <w:r w:rsidRPr="00002A77">
              <w:rPr>
                <w:lang w:val="en-GB"/>
              </w:rPr>
              <w:t>)</w:t>
            </w:r>
            <w:r w:rsidRPr="00002A77">
              <w:rPr>
                <w:lang w:val="en-GB"/>
              </w:rPr>
              <w:tab/>
            </w:r>
            <w:r w:rsidRPr="00002A77">
              <w:rPr>
                <w:rFonts w:hint="eastAsia"/>
              </w:rPr>
              <w:t>由地方选区直接选举产生</w:t>
            </w:r>
          </w:p>
        </w:tc>
        <w:tc>
          <w:tcPr>
            <w:tcW w:w="1690" w:type="dxa"/>
            <w:tcBorders>
              <w:top w:val="single" w:sz="12" w:space="0" w:color="auto"/>
            </w:tcBorders>
          </w:tcPr>
          <w:p w:rsidR="00D13477" w:rsidRPr="00002A77" w:rsidRDefault="00D13477" w:rsidP="003E0C14">
            <w:pPr>
              <w:pStyle w:val="SingleTxtGC"/>
              <w:spacing w:before="40" w:line="240" w:lineRule="exact"/>
              <w:ind w:left="284" w:right="0"/>
              <w:rPr>
                <w:lang w:val="en-GB"/>
              </w:rPr>
            </w:pPr>
            <w:r>
              <w:rPr>
                <w:lang w:val="en-GB"/>
              </w:rPr>
              <w:t>2</w:t>
            </w:r>
            <w:r w:rsidRPr="00002A77">
              <w:rPr>
                <w:lang w:val="en-GB"/>
              </w:rPr>
              <w:t>0</w:t>
            </w:r>
            <w:r w:rsidRPr="00002A77">
              <w:rPr>
                <w:rFonts w:hint="eastAsia"/>
                <w:lang w:val="en-GB"/>
              </w:rPr>
              <w:t>人</w:t>
            </w:r>
          </w:p>
        </w:tc>
        <w:tc>
          <w:tcPr>
            <w:tcW w:w="1596" w:type="dxa"/>
            <w:tcBorders>
              <w:top w:val="single" w:sz="12" w:space="0" w:color="auto"/>
            </w:tcBorders>
          </w:tcPr>
          <w:p w:rsidR="00D13477" w:rsidRPr="00002A77" w:rsidRDefault="00D13477" w:rsidP="003E0C14">
            <w:pPr>
              <w:pStyle w:val="SingleTxtGC"/>
              <w:spacing w:before="40" w:line="240" w:lineRule="exact"/>
              <w:ind w:left="340" w:right="0"/>
              <w:rPr>
                <w:lang w:val="en-GB"/>
              </w:rPr>
            </w:pPr>
            <w:r>
              <w:rPr>
                <w:lang w:val="en-GB"/>
              </w:rPr>
              <w:t>24</w:t>
            </w:r>
            <w:r w:rsidRPr="00002A77">
              <w:rPr>
                <w:rFonts w:hint="eastAsia"/>
                <w:lang w:val="en-GB"/>
              </w:rPr>
              <w:t>人</w:t>
            </w:r>
          </w:p>
        </w:tc>
        <w:tc>
          <w:tcPr>
            <w:tcW w:w="1708" w:type="dxa"/>
            <w:tcBorders>
              <w:top w:val="single" w:sz="12" w:space="0" w:color="auto"/>
            </w:tcBorders>
          </w:tcPr>
          <w:p w:rsidR="00D13477" w:rsidRPr="00002A77" w:rsidRDefault="00D13477" w:rsidP="003E0C14">
            <w:pPr>
              <w:pStyle w:val="SingleTxtGC"/>
              <w:spacing w:before="40" w:line="240" w:lineRule="exact"/>
              <w:ind w:left="397" w:right="0"/>
              <w:rPr>
                <w:lang w:val="en-GB"/>
              </w:rPr>
            </w:pPr>
            <w:r>
              <w:rPr>
                <w:lang w:val="en-GB"/>
              </w:rPr>
              <w:t>3</w:t>
            </w:r>
            <w:r w:rsidRPr="00002A77">
              <w:rPr>
                <w:lang w:val="en-GB"/>
              </w:rPr>
              <w:t>0</w:t>
            </w:r>
            <w:r w:rsidRPr="00002A77">
              <w:rPr>
                <w:rFonts w:hint="eastAsia"/>
                <w:lang w:val="en-GB"/>
              </w:rPr>
              <w:t>人</w:t>
            </w:r>
          </w:p>
        </w:tc>
      </w:tr>
      <w:tr w:rsidR="00D13477" w:rsidRPr="00002A77" w:rsidTr="003E0C14">
        <w:tblPrEx>
          <w:tblCellMar>
            <w:top w:w="0" w:type="dxa"/>
            <w:bottom w:w="0" w:type="dxa"/>
          </w:tblCellMar>
        </w:tblPrEx>
        <w:trPr>
          <w:jc w:val="center"/>
        </w:trPr>
        <w:tc>
          <w:tcPr>
            <w:tcW w:w="2377" w:type="dxa"/>
          </w:tcPr>
          <w:p w:rsidR="00D13477" w:rsidRPr="00002A77" w:rsidRDefault="00D13477" w:rsidP="003E0C14">
            <w:pPr>
              <w:pStyle w:val="SingleTxtGC"/>
              <w:spacing w:before="40" w:line="240" w:lineRule="exact"/>
              <w:ind w:left="431" w:right="227" w:hanging="431"/>
              <w:rPr>
                <w:lang w:val="en-GB"/>
              </w:rPr>
            </w:pPr>
            <w:r w:rsidRPr="00002A77">
              <w:rPr>
                <w:lang w:val="en-GB"/>
              </w:rPr>
              <w:t>(</w:t>
            </w:r>
            <w:r>
              <w:rPr>
                <w:lang w:val="en-GB"/>
              </w:rPr>
              <w:t>b</w:t>
            </w:r>
            <w:r w:rsidRPr="00002A77">
              <w:rPr>
                <w:lang w:val="en-GB"/>
              </w:rPr>
              <w:t>)</w:t>
            </w:r>
            <w:r w:rsidRPr="00002A77">
              <w:rPr>
                <w:lang w:val="en-GB"/>
              </w:rPr>
              <w:tab/>
            </w:r>
            <w:r w:rsidRPr="00002A77">
              <w:rPr>
                <w:rFonts w:hint="eastAsia"/>
              </w:rPr>
              <w:t>由功能界别选举产生</w:t>
            </w:r>
          </w:p>
        </w:tc>
        <w:tc>
          <w:tcPr>
            <w:tcW w:w="1690" w:type="dxa"/>
          </w:tcPr>
          <w:p w:rsidR="00D13477" w:rsidRPr="00002A77" w:rsidRDefault="00D13477" w:rsidP="003E0C14">
            <w:pPr>
              <w:pStyle w:val="SingleTxtGC"/>
              <w:spacing w:before="40" w:line="240" w:lineRule="exact"/>
              <w:ind w:left="284" w:right="0"/>
              <w:rPr>
                <w:lang w:val="en-GB"/>
              </w:rPr>
            </w:pPr>
            <w:r>
              <w:rPr>
                <w:lang w:val="en-GB"/>
              </w:rPr>
              <w:t>3</w:t>
            </w:r>
            <w:r w:rsidRPr="00002A77">
              <w:rPr>
                <w:lang w:val="en-GB"/>
              </w:rPr>
              <w:t>0</w:t>
            </w:r>
            <w:r w:rsidRPr="00002A77">
              <w:rPr>
                <w:rFonts w:hint="eastAsia"/>
                <w:lang w:val="en-GB"/>
              </w:rPr>
              <w:t>人</w:t>
            </w:r>
          </w:p>
        </w:tc>
        <w:tc>
          <w:tcPr>
            <w:tcW w:w="1596" w:type="dxa"/>
          </w:tcPr>
          <w:p w:rsidR="00D13477" w:rsidRPr="00002A77" w:rsidRDefault="00D13477" w:rsidP="003E0C14">
            <w:pPr>
              <w:pStyle w:val="SingleTxtGC"/>
              <w:spacing w:before="40" w:line="240" w:lineRule="exact"/>
              <w:ind w:left="340" w:right="0"/>
              <w:rPr>
                <w:lang w:val="en-GB"/>
              </w:rPr>
            </w:pPr>
            <w:r>
              <w:rPr>
                <w:lang w:val="en-GB"/>
              </w:rPr>
              <w:t>3</w:t>
            </w:r>
            <w:r w:rsidRPr="00002A77">
              <w:rPr>
                <w:lang w:val="en-GB"/>
              </w:rPr>
              <w:t>0</w:t>
            </w:r>
            <w:r w:rsidRPr="00002A77">
              <w:rPr>
                <w:rFonts w:hint="eastAsia"/>
                <w:lang w:val="en-GB"/>
              </w:rPr>
              <w:t>人</w:t>
            </w:r>
          </w:p>
        </w:tc>
        <w:tc>
          <w:tcPr>
            <w:tcW w:w="1708" w:type="dxa"/>
          </w:tcPr>
          <w:p w:rsidR="00D13477" w:rsidRPr="00002A77" w:rsidRDefault="00D13477" w:rsidP="003E0C14">
            <w:pPr>
              <w:pStyle w:val="SingleTxtGC"/>
              <w:spacing w:before="40" w:line="240" w:lineRule="exact"/>
              <w:ind w:left="397" w:right="0"/>
              <w:rPr>
                <w:lang w:val="en-GB"/>
              </w:rPr>
            </w:pPr>
            <w:r>
              <w:rPr>
                <w:lang w:val="en-GB"/>
              </w:rPr>
              <w:t>3</w:t>
            </w:r>
            <w:r w:rsidRPr="00002A77">
              <w:rPr>
                <w:lang w:val="en-GB"/>
              </w:rPr>
              <w:t>0</w:t>
            </w:r>
            <w:r w:rsidRPr="00002A77">
              <w:rPr>
                <w:rFonts w:hint="eastAsia"/>
                <w:lang w:val="en-GB"/>
              </w:rPr>
              <w:t>人</w:t>
            </w:r>
          </w:p>
        </w:tc>
      </w:tr>
      <w:tr w:rsidR="00D13477" w:rsidRPr="00002A77" w:rsidTr="003E0C14">
        <w:tblPrEx>
          <w:tblCellMar>
            <w:top w:w="0" w:type="dxa"/>
            <w:bottom w:w="0" w:type="dxa"/>
          </w:tblCellMar>
        </w:tblPrEx>
        <w:trPr>
          <w:jc w:val="center"/>
        </w:trPr>
        <w:tc>
          <w:tcPr>
            <w:tcW w:w="2377" w:type="dxa"/>
            <w:tcBorders>
              <w:bottom w:val="single" w:sz="6" w:space="0" w:color="auto"/>
            </w:tcBorders>
          </w:tcPr>
          <w:p w:rsidR="00D13477" w:rsidRPr="00002A77" w:rsidRDefault="00D13477" w:rsidP="003E0C14">
            <w:pPr>
              <w:pStyle w:val="SingleTxtGC"/>
              <w:spacing w:before="40" w:line="240" w:lineRule="exact"/>
              <w:ind w:left="431" w:right="227" w:hanging="431"/>
              <w:rPr>
                <w:lang w:val="en-GB"/>
              </w:rPr>
            </w:pPr>
            <w:r w:rsidRPr="00002A77">
              <w:rPr>
                <w:lang w:val="en-GB"/>
              </w:rPr>
              <w:t>(</w:t>
            </w:r>
            <w:r>
              <w:rPr>
                <w:lang w:val="en-GB"/>
              </w:rPr>
              <w:t>c</w:t>
            </w:r>
            <w:r w:rsidRPr="00002A77">
              <w:rPr>
                <w:lang w:val="en-GB"/>
              </w:rPr>
              <w:t>)</w:t>
            </w:r>
            <w:r w:rsidRPr="00002A77">
              <w:rPr>
                <w:lang w:val="en-GB"/>
              </w:rPr>
              <w:tab/>
            </w:r>
            <w:r w:rsidRPr="00002A77">
              <w:rPr>
                <w:rFonts w:hint="eastAsia"/>
              </w:rPr>
              <w:t>由选举委员会选举产生</w:t>
            </w:r>
          </w:p>
        </w:tc>
        <w:tc>
          <w:tcPr>
            <w:tcW w:w="1690" w:type="dxa"/>
            <w:tcBorders>
              <w:bottom w:val="single" w:sz="6" w:space="0" w:color="auto"/>
            </w:tcBorders>
          </w:tcPr>
          <w:p w:rsidR="00D13477" w:rsidRPr="00002A77" w:rsidRDefault="00D13477" w:rsidP="003E0C14">
            <w:pPr>
              <w:pStyle w:val="SingleTxtGC"/>
              <w:spacing w:before="40" w:line="240" w:lineRule="exact"/>
              <w:ind w:left="284" w:right="0"/>
              <w:rPr>
                <w:lang w:val="en-GB"/>
              </w:rPr>
            </w:pPr>
            <w:r>
              <w:rPr>
                <w:lang w:val="en-GB"/>
              </w:rPr>
              <w:t>1</w:t>
            </w:r>
            <w:r w:rsidRPr="00002A77">
              <w:rPr>
                <w:lang w:val="en-GB"/>
              </w:rPr>
              <w:t>0</w:t>
            </w:r>
            <w:r w:rsidRPr="00002A77">
              <w:rPr>
                <w:rFonts w:hint="eastAsia"/>
                <w:lang w:val="en-GB"/>
              </w:rPr>
              <w:t>人</w:t>
            </w:r>
          </w:p>
        </w:tc>
        <w:tc>
          <w:tcPr>
            <w:tcW w:w="1596" w:type="dxa"/>
            <w:tcBorders>
              <w:bottom w:val="single" w:sz="6" w:space="0" w:color="auto"/>
            </w:tcBorders>
          </w:tcPr>
          <w:p w:rsidR="00D13477" w:rsidRPr="00002A77" w:rsidRDefault="00D13477" w:rsidP="003E0C14">
            <w:pPr>
              <w:pStyle w:val="SingleTxtGC"/>
              <w:spacing w:before="40" w:line="240" w:lineRule="exact"/>
              <w:ind w:left="340" w:right="0"/>
              <w:rPr>
                <w:lang w:val="en-GB"/>
              </w:rPr>
            </w:pPr>
            <w:r>
              <w:rPr>
                <w:lang w:val="en-GB"/>
              </w:rPr>
              <w:t>6</w:t>
            </w:r>
            <w:r w:rsidRPr="00002A77">
              <w:rPr>
                <w:rFonts w:hint="eastAsia"/>
                <w:lang w:val="en-GB"/>
              </w:rPr>
              <w:t>人</w:t>
            </w:r>
          </w:p>
        </w:tc>
        <w:tc>
          <w:tcPr>
            <w:tcW w:w="1708" w:type="dxa"/>
            <w:tcBorders>
              <w:bottom w:val="single" w:sz="6" w:space="0" w:color="auto"/>
            </w:tcBorders>
          </w:tcPr>
          <w:p w:rsidR="00D13477" w:rsidRPr="00002A77" w:rsidRDefault="00D13477" w:rsidP="003E0C14">
            <w:pPr>
              <w:pStyle w:val="SingleTxtGC"/>
              <w:spacing w:before="40" w:line="240" w:lineRule="exact"/>
              <w:ind w:left="397" w:right="0"/>
              <w:rPr>
                <w:lang w:val="en-GB"/>
              </w:rPr>
            </w:pPr>
            <w:r w:rsidRPr="00002A77">
              <w:rPr>
                <w:lang w:val="en-GB"/>
              </w:rPr>
              <w:t>-</w:t>
            </w:r>
          </w:p>
        </w:tc>
      </w:tr>
      <w:tr w:rsidR="00D13477" w:rsidRPr="0088468E" w:rsidTr="003E0C14">
        <w:tblPrEx>
          <w:tblCellMar>
            <w:top w:w="0" w:type="dxa"/>
            <w:bottom w:w="0" w:type="dxa"/>
          </w:tblCellMar>
        </w:tblPrEx>
        <w:trPr>
          <w:jc w:val="center"/>
        </w:trPr>
        <w:tc>
          <w:tcPr>
            <w:tcW w:w="2377" w:type="dxa"/>
            <w:tcBorders>
              <w:top w:val="single" w:sz="6" w:space="0" w:color="auto"/>
              <w:bottom w:val="single" w:sz="12" w:space="0" w:color="auto"/>
            </w:tcBorders>
          </w:tcPr>
          <w:p w:rsidR="00D13477" w:rsidRPr="0088468E" w:rsidRDefault="00D13477" w:rsidP="003E0C14">
            <w:pPr>
              <w:pStyle w:val="SingleTxtGC"/>
              <w:spacing w:before="40" w:line="240" w:lineRule="exact"/>
              <w:ind w:left="0" w:right="227"/>
              <w:rPr>
                <w:rFonts w:eastAsia="SimHei"/>
                <w:lang w:val="en-GB"/>
              </w:rPr>
            </w:pPr>
            <w:r w:rsidRPr="0088468E">
              <w:rPr>
                <w:rFonts w:eastAsia="SimHei" w:hint="eastAsia"/>
                <w:lang w:val="en-GB"/>
              </w:rPr>
              <w:t>总数</w:t>
            </w:r>
          </w:p>
        </w:tc>
        <w:tc>
          <w:tcPr>
            <w:tcW w:w="1690" w:type="dxa"/>
            <w:tcBorders>
              <w:top w:val="single" w:sz="6" w:space="0" w:color="auto"/>
              <w:bottom w:val="single" w:sz="12" w:space="0" w:color="auto"/>
            </w:tcBorders>
          </w:tcPr>
          <w:p w:rsidR="00D13477" w:rsidRPr="0088468E" w:rsidRDefault="00D13477" w:rsidP="003E0C14">
            <w:pPr>
              <w:pStyle w:val="SingleTxtGC"/>
              <w:spacing w:before="40" w:line="240" w:lineRule="exact"/>
              <w:ind w:left="284" w:right="0"/>
              <w:rPr>
                <w:rFonts w:eastAsia="SimHei"/>
                <w:b/>
                <w:lang w:val="en-GB"/>
              </w:rPr>
            </w:pPr>
            <w:r w:rsidRPr="0088468E">
              <w:rPr>
                <w:rFonts w:eastAsia="SimHei"/>
                <w:b/>
                <w:lang w:val="en-GB"/>
              </w:rPr>
              <w:t>60</w:t>
            </w:r>
            <w:r w:rsidRPr="0088468E">
              <w:rPr>
                <w:rFonts w:eastAsia="SimHei" w:hint="eastAsia"/>
                <w:lang w:val="en-GB"/>
              </w:rPr>
              <w:t>人</w:t>
            </w:r>
          </w:p>
        </w:tc>
        <w:tc>
          <w:tcPr>
            <w:tcW w:w="1596" w:type="dxa"/>
            <w:tcBorders>
              <w:top w:val="single" w:sz="6" w:space="0" w:color="auto"/>
              <w:bottom w:val="single" w:sz="12" w:space="0" w:color="auto"/>
            </w:tcBorders>
          </w:tcPr>
          <w:p w:rsidR="00D13477" w:rsidRPr="0088468E" w:rsidRDefault="00D13477" w:rsidP="003E0C14">
            <w:pPr>
              <w:pStyle w:val="SingleTxtGC"/>
              <w:spacing w:before="40" w:line="240" w:lineRule="exact"/>
              <w:ind w:left="340" w:right="0"/>
              <w:rPr>
                <w:rFonts w:eastAsia="SimHei"/>
                <w:b/>
                <w:lang w:val="en-GB"/>
              </w:rPr>
            </w:pPr>
            <w:r w:rsidRPr="0088468E">
              <w:rPr>
                <w:rFonts w:eastAsia="SimHei"/>
                <w:b/>
                <w:lang w:val="en-GB"/>
              </w:rPr>
              <w:t>60</w:t>
            </w:r>
            <w:r w:rsidRPr="0088468E">
              <w:rPr>
                <w:rFonts w:eastAsia="SimHei" w:hint="eastAsia"/>
                <w:lang w:val="en-GB"/>
              </w:rPr>
              <w:t>人</w:t>
            </w:r>
          </w:p>
        </w:tc>
        <w:tc>
          <w:tcPr>
            <w:tcW w:w="1708" w:type="dxa"/>
            <w:tcBorders>
              <w:top w:val="single" w:sz="6" w:space="0" w:color="auto"/>
              <w:bottom w:val="single" w:sz="12" w:space="0" w:color="auto"/>
            </w:tcBorders>
          </w:tcPr>
          <w:p w:rsidR="00D13477" w:rsidRPr="0088468E" w:rsidRDefault="00D13477" w:rsidP="003E0C14">
            <w:pPr>
              <w:pStyle w:val="SingleTxtGC"/>
              <w:spacing w:before="40" w:line="240" w:lineRule="exact"/>
              <w:ind w:left="397" w:right="0"/>
              <w:rPr>
                <w:rFonts w:eastAsia="SimHei"/>
                <w:b/>
                <w:lang w:val="en-GB"/>
              </w:rPr>
            </w:pPr>
            <w:r w:rsidRPr="0088468E">
              <w:rPr>
                <w:rFonts w:eastAsia="SimHei"/>
                <w:b/>
                <w:lang w:val="en-GB"/>
              </w:rPr>
              <w:t>60</w:t>
            </w:r>
            <w:r w:rsidRPr="0088468E">
              <w:rPr>
                <w:rFonts w:eastAsia="SimHei" w:hint="eastAsia"/>
                <w:lang w:val="en-GB"/>
              </w:rPr>
              <w:t>人</w:t>
            </w:r>
          </w:p>
        </w:tc>
      </w:tr>
    </w:tbl>
    <w:p w:rsidR="00D13477" w:rsidRPr="00002A77" w:rsidRDefault="00D13477" w:rsidP="003E0C14">
      <w:pPr>
        <w:pStyle w:val="SingleTxtGC"/>
        <w:spacing w:before="240"/>
        <w:rPr>
          <w:lang w:val="en-GB"/>
        </w:rPr>
      </w:pPr>
      <w:r>
        <w:rPr>
          <w:lang w:val="en-GB"/>
        </w:rPr>
        <w:t>22</w:t>
      </w:r>
      <w:r w:rsidR="00977DAB">
        <w:rPr>
          <w:lang w:val="en-GB"/>
        </w:rPr>
        <w:t xml:space="preserve">.  </w:t>
      </w:r>
      <w:r w:rsidRPr="00002A77">
        <w:rPr>
          <w:rFonts w:hint="eastAsia"/>
        </w:rPr>
        <w:t>《基本法》附件二规定，</w:t>
      </w:r>
      <w:r>
        <w:t>2</w:t>
      </w:r>
      <w:r w:rsidRPr="00002A77">
        <w:t>00</w:t>
      </w:r>
      <w:r>
        <w:t>7</w:t>
      </w:r>
      <w:r w:rsidRPr="00002A77">
        <w:rPr>
          <w:rFonts w:hint="eastAsia"/>
        </w:rPr>
        <w:t>年以后立法会的产生办法如需修改，须经立法会全体议员三分之二多数通过，行政长官同意，并报人大常委会备案。人大常委会</w:t>
      </w:r>
      <w:r w:rsidRPr="00002A77">
        <w:rPr>
          <w:rFonts w:hint="eastAsia"/>
          <w:lang w:val="en-GB"/>
        </w:rPr>
        <w:t>于</w:t>
      </w:r>
      <w:r>
        <w:rPr>
          <w:lang w:val="en-GB"/>
        </w:rPr>
        <w:t>2</w:t>
      </w:r>
      <w:r w:rsidRPr="00002A77">
        <w:rPr>
          <w:lang w:val="en-GB"/>
        </w:rPr>
        <w:t>00</w:t>
      </w:r>
      <w:r>
        <w:rPr>
          <w:lang w:val="en-GB"/>
        </w:rPr>
        <w:t>7</w:t>
      </w:r>
      <w:r w:rsidRPr="00002A77">
        <w:rPr>
          <w:rFonts w:hint="eastAsia"/>
          <w:lang w:val="en-GB"/>
        </w:rPr>
        <w:t>年的《决定》，已明确订明</w:t>
      </w:r>
      <w:r>
        <w:rPr>
          <w:lang w:val="en-GB"/>
        </w:rPr>
        <w:t>2</w:t>
      </w:r>
      <w:r w:rsidRPr="00002A77">
        <w:rPr>
          <w:lang w:val="en-GB"/>
        </w:rPr>
        <w:t>0</w:t>
      </w:r>
      <w:r>
        <w:rPr>
          <w:lang w:val="en-GB"/>
        </w:rPr>
        <w:t>17</w:t>
      </w:r>
      <w:r w:rsidRPr="00002A77">
        <w:rPr>
          <w:rFonts w:hint="eastAsia"/>
          <w:lang w:val="en-GB"/>
        </w:rPr>
        <w:t>年香港特别行政区第五任行政长官的选举可以实行由普选产生的办法，在行政长官由普选产生以后，香港特别行政区立法会的选举可以实行全部议员由普选产生的办法。在</w:t>
      </w:r>
      <w:r>
        <w:rPr>
          <w:lang w:val="en-GB"/>
        </w:rPr>
        <w:t>2</w:t>
      </w:r>
      <w:r w:rsidRPr="00002A77">
        <w:rPr>
          <w:lang w:val="en-GB"/>
        </w:rPr>
        <w:t>0</w:t>
      </w:r>
      <w:r>
        <w:rPr>
          <w:lang w:val="en-GB"/>
        </w:rPr>
        <w:t>1</w:t>
      </w:r>
      <w:r w:rsidRPr="00002A77">
        <w:rPr>
          <w:lang w:val="en-GB"/>
        </w:rPr>
        <w:t>0</w:t>
      </w:r>
      <w:r w:rsidRPr="00002A77">
        <w:rPr>
          <w:rFonts w:hint="eastAsia"/>
          <w:lang w:val="en-GB"/>
        </w:rPr>
        <w:t>年，特区政府提出政改建议方案，以增加</w:t>
      </w:r>
      <w:r>
        <w:rPr>
          <w:lang w:val="en-GB"/>
        </w:rPr>
        <w:t>2</w:t>
      </w:r>
      <w:r w:rsidRPr="00002A77">
        <w:rPr>
          <w:lang w:val="en-GB"/>
        </w:rPr>
        <w:t>0</w:t>
      </w:r>
      <w:r>
        <w:rPr>
          <w:lang w:val="en-GB"/>
        </w:rPr>
        <w:t>12</w:t>
      </w:r>
      <w:r w:rsidRPr="00002A77">
        <w:rPr>
          <w:rFonts w:hint="eastAsia"/>
          <w:lang w:val="en-GB"/>
        </w:rPr>
        <w:t>年两个选举办法的民主成分。建议方案的议案于</w:t>
      </w:r>
      <w:r>
        <w:rPr>
          <w:lang w:val="en-GB"/>
        </w:rPr>
        <w:t>2</w:t>
      </w:r>
      <w:r w:rsidRPr="00002A77">
        <w:rPr>
          <w:lang w:val="en-GB"/>
        </w:rPr>
        <w:t>0</w:t>
      </w:r>
      <w:r>
        <w:rPr>
          <w:lang w:val="en-GB"/>
        </w:rPr>
        <w:t>1</w:t>
      </w:r>
      <w:r w:rsidRPr="00002A77">
        <w:rPr>
          <w:lang w:val="en-GB"/>
        </w:rPr>
        <w:t>0</w:t>
      </w:r>
      <w:r w:rsidRPr="00002A77">
        <w:rPr>
          <w:rFonts w:hint="eastAsia"/>
          <w:lang w:val="en-GB"/>
        </w:rPr>
        <w:t>年</w:t>
      </w:r>
      <w:r>
        <w:rPr>
          <w:lang w:val="en-GB"/>
        </w:rPr>
        <w:t>6</w:t>
      </w:r>
      <w:r w:rsidRPr="00002A77">
        <w:rPr>
          <w:rFonts w:hint="eastAsia"/>
          <w:lang w:val="en-GB"/>
        </w:rPr>
        <w:t>月获立法会三分之二多数通过并于</w:t>
      </w:r>
      <w:r>
        <w:rPr>
          <w:lang w:val="en-GB"/>
        </w:rPr>
        <w:t>2</w:t>
      </w:r>
      <w:r w:rsidRPr="00002A77">
        <w:rPr>
          <w:lang w:val="en-GB"/>
        </w:rPr>
        <w:t>0</w:t>
      </w:r>
      <w:r>
        <w:rPr>
          <w:lang w:val="en-GB"/>
        </w:rPr>
        <w:t>1</w:t>
      </w:r>
      <w:r w:rsidRPr="00002A77">
        <w:rPr>
          <w:lang w:val="en-GB"/>
        </w:rPr>
        <w:t>0</w:t>
      </w:r>
      <w:r w:rsidRPr="00002A77">
        <w:rPr>
          <w:rFonts w:hint="eastAsia"/>
          <w:lang w:val="en-GB"/>
        </w:rPr>
        <w:t>年</w:t>
      </w:r>
      <w:r>
        <w:rPr>
          <w:lang w:val="en-GB"/>
        </w:rPr>
        <w:t>8</w:t>
      </w:r>
      <w:r w:rsidRPr="00002A77">
        <w:rPr>
          <w:rFonts w:hint="eastAsia"/>
          <w:lang w:val="en-GB"/>
        </w:rPr>
        <w:t>月获</w:t>
      </w:r>
      <w:r w:rsidRPr="00002A77">
        <w:rPr>
          <w:rFonts w:hint="eastAsia"/>
        </w:rPr>
        <w:t>人大常委会确定通过。本地立法亦于</w:t>
      </w:r>
      <w:r>
        <w:t>2</w:t>
      </w:r>
      <w:r w:rsidRPr="00002A77">
        <w:t>0</w:t>
      </w:r>
      <w:r>
        <w:t>11</w:t>
      </w:r>
      <w:r w:rsidRPr="00002A77">
        <w:rPr>
          <w:rFonts w:hint="eastAsia"/>
        </w:rPr>
        <w:t>年</w:t>
      </w:r>
      <w:r>
        <w:t>3</w:t>
      </w:r>
      <w:r w:rsidRPr="00002A77">
        <w:rPr>
          <w:rFonts w:hint="eastAsia"/>
        </w:rPr>
        <w:t>月</w:t>
      </w:r>
      <w:r w:rsidRPr="00002A77">
        <w:rPr>
          <w:rFonts w:hint="eastAsia"/>
          <w:lang w:val="en-GB"/>
        </w:rPr>
        <w:t>通过。</w:t>
      </w:r>
    </w:p>
    <w:p w:rsidR="00D13477" w:rsidRPr="00002A77" w:rsidRDefault="00D13477" w:rsidP="00D13477">
      <w:pPr>
        <w:pStyle w:val="SingleTxtGC"/>
        <w:rPr>
          <w:rFonts w:hint="eastAsia"/>
          <w:lang w:val="en-GB"/>
        </w:rPr>
      </w:pPr>
      <w:r>
        <w:rPr>
          <w:lang w:val="en-GB"/>
        </w:rPr>
        <w:t>23</w:t>
      </w:r>
      <w:r w:rsidR="00977DAB">
        <w:rPr>
          <w:lang w:val="en-GB"/>
        </w:rPr>
        <w:t xml:space="preserve">.  </w:t>
      </w:r>
      <w:r>
        <w:rPr>
          <w:lang w:val="en-GB"/>
        </w:rPr>
        <w:t>2</w:t>
      </w:r>
      <w:r w:rsidRPr="00002A77">
        <w:rPr>
          <w:lang w:val="en-GB"/>
        </w:rPr>
        <w:t>0</w:t>
      </w:r>
      <w:r>
        <w:rPr>
          <w:lang w:val="en-GB"/>
        </w:rPr>
        <w:t>12</w:t>
      </w:r>
      <w:r w:rsidRPr="00002A77">
        <w:rPr>
          <w:rFonts w:hint="eastAsia"/>
          <w:lang w:val="en-GB"/>
        </w:rPr>
        <w:t>年两个选举办法的</w:t>
      </w:r>
      <w:r w:rsidRPr="00002A77">
        <w:rPr>
          <w:rFonts w:hint="eastAsia"/>
        </w:rPr>
        <w:t>本地立法</w:t>
      </w:r>
      <w:r w:rsidRPr="00002A77">
        <w:rPr>
          <w:rFonts w:hint="eastAsia"/>
          <w:lang w:val="en-GB"/>
        </w:rPr>
        <w:t>通过后，在第五届立法会</w:t>
      </w:r>
      <w:r w:rsidRPr="00002A77">
        <w:rPr>
          <w:rFonts w:hint="eastAsia"/>
          <w:lang w:val="en-GB"/>
        </w:rPr>
        <w:t>(</w:t>
      </w:r>
      <w:r>
        <w:rPr>
          <w:lang w:val="en-GB"/>
        </w:rPr>
        <w:t>2</w:t>
      </w:r>
      <w:r w:rsidRPr="00002A77">
        <w:rPr>
          <w:lang w:val="en-GB"/>
        </w:rPr>
        <w:t>0</w:t>
      </w:r>
      <w:r>
        <w:rPr>
          <w:lang w:val="en-GB"/>
        </w:rPr>
        <w:t>12</w:t>
      </w:r>
      <w:r w:rsidRPr="00002A77">
        <w:rPr>
          <w:rFonts w:hint="eastAsia"/>
          <w:lang w:val="en-GB"/>
        </w:rPr>
        <w:t>至</w:t>
      </w:r>
      <w:r>
        <w:rPr>
          <w:lang w:val="en-GB"/>
        </w:rPr>
        <w:t>2</w:t>
      </w:r>
      <w:r w:rsidRPr="00002A77">
        <w:rPr>
          <w:lang w:val="en-GB"/>
        </w:rPr>
        <w:t>0</w:t>
      </w:r>
      <w:r>
        <w:rPr>
          <w:lang w:val="en-GB"/>
        </w:rPr>
        <w:t>16</w:t>
      </w:r>
      <w:r w:rsidRPr="00002A77">
        <w:rPr>
          <w:rFonts w:hint="eastAsia"/>
          <w:lang w:val="en-GB"/>
        </w:rPr>
        <w:t>年</w:t>
      </w:r>
      <w:r w:rsidRPr="00002A77">
        <w:rPr>
          <w:rFonts w:hint="eastAsia"/>
          <w:lang w:val="en-GB"/>
        </w:rPr>
        <w:t>)</w:t>
      </w:r>
      <w:r w:rsidRPr="00002A77">
        <w:rPr>
          <w:rFonts w:hint="eastAsia"/>
          <w:lang w:val="en-GB"/>
        </w:rPr>
        <w:t>，香港特区划分为五个地方选区，每个选区有五至九个议席。</w:t>
      </w:r>
      <w:r>
        <w:rPr>
          <w:lang w:val="en-GB"/>
        </w:rPr>
        <w:t>35</w:t>
      </w:r>
      <w:r w:rsidRPr="00002A77">
        <w:rPr>
          <w:rFonts w:hint="eastAsia"/>
          <w:lang w:val="en-GB"/>
        </w:rPr>
        <w:t>个议席由地方选区直选产生，另外</w:t>
      </w:r>
      <w:r>
        <w:rPr>
          <w:lang w:val="en-GB"/>
        </w:rPr>
        <w:t>35</w:t>
      </w:r>
      <w:r w:rsidRPr="00002A77">
        <w:rPr>
          <w:rFonts w:hint="eastAsia"/>
          <w:lang w:val="en-GB"/>
        </w:rPr>
        <w:t>个由功能界别选举产生，包括新增的区议会</w:t>
      </w:r>
      <w:r w:rsidRPr="00002A77">
        <w:rPr>
          <w:rFonts w:hint="eastAsia"/>
          <w:lang w:val="en-GB"/>
        </w:rPr>
        <w:t>(</w:t>
      </w:r>
      <w:r w:rsidRPr="00002A77">
        <w:rPr>
          <w:rFonts w:hint="eastAsia"/>
          <w:lang w:val="en-GB"/>
        </w:rPr>
        <w:t>第二</w:t>
      </w:r>
      <w:r w:rsidRPr="00002A77">
        <w:rPr>
          <w:rFonts w:hint="eastAsia"/>
          <w:lang w:val="en-GB"/>
        </w:rPr>
        <w:t>)</w:t>
      </w:r>
      <w:r w:rsidRPr="00002A77">
        <w:rPr>
          <w:rFonts w:hint="eastAsia"/>
          <w:lang w:val="en-GB"/>
        </w:rPr>
        <w:t>功能界别。根据</w:t>
      </w:r>
      <w:r>
        <w:rPr>
          <w:rFonts w:hint="eastAsia"/>
          <w:lang w:val="en-GB"/>
        </w:rPr>
        <w:t>“</w:t>
      </w:r>
      <w:r w:rsidRPr="00002A77">
        <w:rPr>
          <w:rFonts w:hint="eastAsia"/>
          <w:lang w:val="en-GB"/>
        </w:rPr>
        <w:t>一人两票</w:t>
      </w:r>
      <w:r>
        <w:rPr>
          <w:rFonts w:hint="eastAsia"/>
          <w:lang w:val="en-GB"/>
        </w:rPr>
        <w:t>”</w:t>
      </w:r>
      <w:r w:rsidRPr="00002A77">
        <w:rPr>
          <w:rFonts w:hint="eastAsia"/>
          <w:lang w:val="en-GB"/>
        </w:rPr>
        <w:t>的安排，超过</w:t>
      </w:r>
      <w:r>
        <w:rPr>
          <w:lang w:val="en-GB"/>
        </w:rPr>
        <w:t>32</w:t>
      </w:r>
      <w:r w:rsidRPr="00002A77">
        <w:rPr>
          <w:lang w:val="en-GB"/>
        </w:rPr>
        <w:t>0</w:t>
      </w:r>
      <w:r w:rsidRPr="00002A77">
        <w:rPr>
          <w:rFonts w:hint="eastAsia"/>
          <w:lang w:val="en-GB"/>
        </w:rPr>
        <w:t>万名地方选区选民可以投两票，一票投给地方选区的候选人名单，一票投给区议会</w:t>
      </w:r>
      <w:r w:rsidRPr="00002A77">
        <w:rPr>
          <w:rFonts w:hint="eastAsia"/>
          <w:lang w:val="en-GB"/>
        </w:rPr>
        <w:t>(</w:t>
      </w:r>
      <w:r w:rsidRPr="00002A77">
        <w:rPr>
          <w:rFonts w:hint="eastAsia"/>
          <w:lang w:val="en-GB"/>
        </w:rPr>
        <w:t>第二</w:t>
      </w:r>
      <w:r w:rsidRPr="00002A77">
        <w:rPr>
          <w:rFonts w:hint="eastAsia"/>
          <w:lang w:val="en-GB"/>
        </w:rPr>
        <w:t>)</w:t>
      </w:r>
      <w:r w:rsidRPr="00002A77">
        <w:rPr>
          <w:rFonts w:hint="eastAsia"/>
          <w:lang w:val="en-GB"/>
        </w:rPr>
        <w:t>功能界别的另一张候选人名单。这个新增界别以全港为一个选区，候选人是民选区议员。</w:t>
      </w:r>
    </w:p>
    <w:p w:rsidR="00D13477" w:rsidRPr="00002A77" w:rsidRDefault="0088468E" w:rsidP="0088468E">
      <w:pPr>
        <w:pStyle w:val="H4GC"/>
        <w:rPr>
          <w:lang w:val="en-GB"/>
        </w:rPr>
      </w:pPr>
      <w:r>
        <w:rPr>
          <w:rFonts w:hint="eastAsia"/>
          <w:lang w:val="en-GB"/>
        </w:rPr>
        <w:tab/>
      </w:r>
      <w:r w:rsidRPr="0088468E">
        <w:rPr>
          <w:lang w:val="en-GB"/>
        </w:rPr>
        <w:t>(e)</w:t>
      </w:r>
      <w:r>
        <w:rPr>
          <w:rFonts w:hint="eastAsia"/>
          <w:lang w:val="en-GB"/>
        </w:rPr>
        <w:tab/>
      </w:r>
      <w:r w:rsidR="00D13477" w:rsidRPr="00002A77">
        <w:rPr>
          <w:rFonts w:hint="eastAsia"/>
          <w:lang w:val="en-GB"/>
        </w:rPr>
        <w:t>区议会</w:t>
      </w:r>
    </w:p>
    <w:p w:rsidR="00D13477" w:rsidRPr="00002A77" w:rsidRDefault="00D13477" w:rsidP="00D13477">
      <w:pPr>
        <w:pStyle w:val="SingleTxtGC"/>
        <w:rPr>
          <w:lang w:val="en-GB"/>
        </w:rPr>
      </w:pPr>
      <w:r>
        <w:rPr>
          <w:lang w:val="en-GB"/>
        </w:rPr>
        <w:t>24</w:t>
      </w:r>
      <w:r w:rsidR="00977DAB">
        <w:rPr>
          <w:lang w:val="en-GB"/>
        </w:rPr>
        <w:t xml:space="preserve">.  </w:t>
      </w:r>
      <w:r w:rsidRPr="00002A77">
        <w:rPr>
          <w:rFonts w:hint="eastAsia"/>
        </w:rPr>
        <w:t>香港特区成立了十八个区议会，负责就</w:t>
      </w:r>
      <w:r w:rsidRPr="00002A77">
        <w:rPr>
          <w:rFonts w:hint="eastAsia"/>
          <w:lang w:val="en-GB"/>
        </w:rPr>
        <w:t>影响地区人士的福祉的所有事宜向政府提出意见，透过推行社区参与计划</w:t>
      </w:r>
      <w:r w:rsidRPr="00002A77">
        <w:rPr>
          <w:rFonts w:hint="eastAsia"/>
          <w:lang w:val="en-GB"/>
        </w:rPr>
        <w:t>(</w:t>
      </w:r>
      <w:r w:rsidRPr="00002A77">
        <w:rPr>
          <w:rFonts w:hint="eastAsia"/>
          <w:lang w:val="en-GB"/>
        </w:rPr>
        <w:t>包括康乐文化活动</w:t>
      </w:r>
      <w:r w:rsidRPr="00002A77">
        <w:rPr>
          <w:rFonts w:hint="eastAsia"/>
          <w:lang w:val="en-GB"/>
        </w:rPr>
        <w:t>)</w:t>
      </w:r>
      <w:r w:rsidRPr="00002A77">
        <w:rPr>
          <w:rFonts w:hint="eastAsia"/>
          <w:lang w:val="en-GB"/>
        </w:rPr>
        <w:t>促进社区建设，以及在区内进行环境改善计划。</w:t>
      </w:r>
      <w:r w:rsidRPr="00002A77">
        <w:rPr>
          <w:rFonts w:hint="eastAsia"/>
        </w:rPr>
        <w:t>区议会由民选议员和委任议员组成；在新界区，乡事委员会主席是区议会当然议员。</w:t>
      </w:r>
      <w:r w:rsidRPr="00002A77">
        <w:rPr>
          <w:rFonts w:hint="eastAsia"/>
          <w:lang w:val="en-GB"/>
        </w:rPr>
        <w:t>就第四届区议会</w:t>
      </w:r>
      <w:r w:rsidRPr="00002A77">
        <w:rPr>
          <w:rFonts w:hint="eastAsia"/>
          <w:lang w:val="en-GB"/>
        </w:rPr>
        <w:t>(</w:t>
      </w:r>
      <w:r>
        <w:rPr>
          <w:lang w:val="en-GB"/>
        </w:rPr>
        <w:t>2</w:t>
      </w:r>
      <w:r w:rsidRPr="00002A77">
        <w:rPr>
          <w:lang w:val="en-GB"/>
        </w:rPr>
        <w:t>0</w:t>
      </w:r>
      <w:r>
        <w:rPr>
          <w:lang w:val="en-GB"/>
        </w:rPr>
        <w:t>12</w:t>
      </w:r>
      <w:r w:rsidRPr="00002A77">
        <w:rPr>
          <w:rFonts w:hint="eastAsia"/>
          <w:lang w:val="en-GB"/>
        </w:rPr>
        <w:t>至</w:t>
      </w:r>
      <w:r>
        <w:rPr>
          <w:lang w:val="en-GB"/>
        </w:rPr>
        <w:t>2</w:t>
      </w:r>
      <w:r w:rsidRPr="00002A77">
        <w:rPr>
          <w:lang w:val="en-GB"/>
        </w:rPr>
        <w:t>0</w:t>
      </w:r>
      <w:r>
        <w:rPr>
          <w:lang w:val="en-GB"/>
        </w:rPr>
        <w:t>15</w:t>
      </w:r>
      <w:r w:rsidRPr="00002A77">
        <w:rPr>
          <w:rFonts w:hint="eastAsia"/>
          <w:lang w:val="en-GB"/>
        </w:rPr>
        <w:t>年</w:t>
      </w:r>
      <w:r w:rsidRPr="00002A77">
        <w:rPr>
          <w:rFonts w:hint="eastAsia"/>
          <w:lang w:val="en-GB"/>
        </w:rPr>
        <w:t>)</w:t>
      </w:r>
      <w:r w:rsidRPr="00002A77">
        <w:rPr>
          <w:rFonts w:hint="eastAsia"/>
          <w:lang w:val="en-GB"/>
        </w:rPr>
        <w:t>而言，香港特区划分为</w:t>
      </w:r>
      <w:r>
        <w:rPr>
          <w:lang w:val="en-GB"/>
        </w:rPr>
        <w:t>412</w:t>
      </w:r>
      <w:r w:rsidRPr="00002A77">
        <w:rPr>
          <w:rFonts w:hint="eastAsia"/>
          <w:lang w:val="en-GB"/>
        </w:rPr>
        <w:t>个选区，每区选出一位民选议员。目前，区议会共有</w:t>
      </w:r>
      <w:r>
        <w:rPr>
          <w:lang w:val="en-GB"/>
        </w:rPr>
        <w:t>68</w:t>
      </w:r>
      <w:r w:rsidRPr="00002A77">
        <w:rPr>
          <w:rFonts w:hint="eastAsia"/>
          <w:lang w:val="en-GB"/>
        </w:rPr>
        <w:t>位委任议员和</w:t>
      </w:r>
      <w:r>
        <w:rPr>
          <w:lang w:val="en-GB"/>
        </w:rPr>
        <w:t>27</w:t>
      </w:r>
      <w:r w:rsidRPr="00002A77">
        <w:rPr>
          <w:rFonts w:hint="eastAsia"/>
          <w:lang w:val="en-GB"/>
        </w:rPr>
        <w:t>位当然议员。</w:t>
      </w:r>
    </w:p>
    <w:p w:rsidR="00D13477" w:rsidRPr="00002A77" w:rsidRDefault="0088468E" w:rsidP="0088468E">
      <w:pPr>
        <w:pStyle w:val="H4GC"/>
        <w:rPr>
          <w:rFonts w:hint="eastAsia"/>
          <w:lang w:val="en-GB"/>
        </w:rPr>
      </w:pPr>
      <w:r>
        <w:rPr>
          <w:rFonts w:hint="eastAsia"/>
          <w:lang w:val="en-GB"/>
        </w:rPr>
        <w:tab/>
      </w:r>
      <w:r w:rsidRPr="0088468E">
        <w:rPr>
          <w:lang w:val="en-GB"/>
        </w:rPr>
        <w:t>(f)</w:t>
      </w:r>
      <w:r>
        <w:rPr>
          <w:rFonts w:hint="eastAsia"/>
          <w:lang w:val="en-GB"/>
        </w:rPr>
        <w:tab/>
      </w:r>
      <w:r w:rsidR="00D13477" w:rsidRPr="00002A77">
        <w:rPr>
          <w:rFonts w:hint="eastAsia"/>
          <w:lang w:val="en-GB"/>
        </w:rPr>
        <w:t>相关统计</w:t>
      </w:r>
    </w:p>
    <w:p w:rsidR="00D13477" w:rsidRPr="00002A77" w:rsidRDefault="00D13477" w:rsidP="00D13477">
      <w:pPr>
        <w:pStyle w:val="SingleTxtGC"/>
        <w:rPr>
          <w:rFonts w:hint="eastAsia"/>
          <w:lang w:val="en-GB"/>
        </w:rPr>
      </w:pPr>
      <w:r>
        <w:rPr>
          <w:lang w:val="en-GB"/>
        </w:rPr>
        <w:t>25</w:t>
      </w:r>
      <w:r w:rsidR="00977DAB">
        <w:rPr>
          <w:lang w:val="en-GB"/>
        </w:rPr>
        <w:t xml:space="preserve">.  </w:t>
      </w:r>
      <w:r w:rsidRPr="00002A77">
        <w:rPr>
          <w:rFonts w:hint="eastAsia"/>
          <w:lang w:val="en-GB"/>
        </w:rPr>
        <w:t>与政治体制相关的统计</w:t>
      </w:r>
      <w:r w:rsidRPr="00002A77">
        <w:rPr>
          <w:rFonts w:hint="eastAsia"/>
          <w:lang w:val="en-GB"/>
        </w:rPr>
        <w:t>(</w:t>
      </w:r>
      <w:r w:rsidRPr="00002A77">
        <w:rPr>
          <w:rFonts w:hint="eastAsia"/>
          <w:lang w:val="en-GB"/>
        </w:rPr>
        <w:t>包括由公众人士对主要选举进行情况提出投诉的数目及投票人数</w:t>
      </w:r>
      <w:r w:rsidRPr="00002A77">
        <w:rPr>
          <w:rFonts w:hint="eastAsia"/>
          <w:lang w:val="en-GB"/>
        </w:rPr>
        <w:t>)</w:t>
      </w:r>
      <w:r w:rsidRPr="00002A77">
        <w:rPr>
          <w:rFonts w:hint="eastAsia"/>
          <w:lang w:val="en-GB"/>
        </w:rPr>
        <w:t>载于</w:t>
      </w:r>
      <w:r w:rsidRPr="00002A77">
        <w:rPr>
          <w:rFonts w:hint="eastAsia"/>
          <w:bCs/>
          <w:lang w:val="en-GB"/>
        </w:rPr>
        <w:t>附件</w:t>
      </w:r>
      <w:r>
        <w:rPr>
          <w:bCs/>
          <w:lang w:val="en-GB"/>
        </w:rPr>
        <w:t>C</w:t>
      </w:r>
      <w:r w:rsidRPr="00002A77">
        <w:rPr>
          <w:rFonts w:hint="eastAsia"/>
          <w:lang w:val="en-GB"/>
        </w:rPr>
        <w:t>。</w:t>
      </w:r>
    </w:p>
    <w:p w:rsidR="00D13477" w:rsidRPr="00002A77" w:rsidRDefault="0088468E" w:rsidP="0088468E">
      <w:pPr>
        <w:pStyle w:val="H23GC"/>
      </w:pPr>
      <w:r>
        <w:rPr>
          <w:rFonts w:hint="eastAsia"/>
        </w:rPr>
        <w:tab/>
        <w:t>3.</w:t>
      </w:r>
      <w:r>
        <w:rPr>
          <w:rFonts w:hint="eastAsia"/>
        </w:rPr>
        <w:tab/>
      </w:r>
      <w:r w:rsidR="00D13477" w:rsidRPr="00002A77">
        <w:rPr>
          <w:rFonts w:hint="eastAsia"/>
        </w:rPr>
        <w:t>司法管理</w:t>
      </w:r>
    </w:p>
    <w:p w:rsidR="00D13477" w:rsidRPr="00002A77" w:rsidRDefault="0088468E" w:rsidP="0088468E">
      <w:pPr>
        <w:pStyle w:val="H4GC"/>
        <w:rPr>
          <w:lang w:val="en-GB"/>
        </w:rPr>
      </w:pPr>
      <w:r>
        <w:rPr>
          <w:rFonts w:hint="eastAsia"/>
          <w:lang w:val="en-GB"/>
        </w:rPr>
        <w:tab/>
      </w:r>
      <w:r w:rsidRPr="0088468E">
        <w:rPr>
          <w:lang w:val="en-GB"/>
        </w:rPr>
        <w:t>(a)</w:t>
      </w:r>
      <w:r>
        <w:rPr>
          <w:rFonts w:hint="eastAsia"/>
          <w:lang w:val="en-GB"/>
        </w:rPr>
        <w:tab/>
      </w:r>
      <w:r w:rsidR="00D13477" w:rsidRPr="00002A77">
        <w:rPr>
          <w:rFonts w:hint="eastAsia"/>
          <w:lang w:val="en-GB"/>
        </w:rPr>
        <w:t>香港特区的司法体制</w:t>
      </w:r>
    </w:p>
    <w:p w:rsidR="00D13477" w:rsidRPr="00002A77" w:rsidRDefault="00D13477" w:rsidP="00D13477">
      <w:pPr>
        <w:pStyle w:val="SingleTxtGC"/>
      </w:pPr>
      <w:r>
        <w:rPr>
          <w:lang w:val="en-GB"/>
        </w:rPr>
        <w:t>26</w:t>
      </w:r>
      <w:r w:rsidR="00977DAB">
        <w:rPr>
          <w:lang w:val="en-GB"/>
        </w:rPr>
        <w:t xml:space="preserve">.  </w:t>
      </w:r>
      <w:r w:rsidRPr="00002A77">
        <w:rPr>
          <w:rFonts w:hint="eastAsia"/>
        </w:rPr>
        <w:t>香港特区的法律制度建基于法治、专业法律服务、优质的法律援助服务和司法独立。司法机关独立于行政机关和立法机关。</w:t>
      </w:r>
    </w:p>
    <w:p w:rsidR="00D13477" w:rsidRPr="00002A77" w:rsidRDefault="00D13477" w:rsidP="00D13477">
      <w:pPr>
        <w:pStyle w:val="SingleTxtGC"/>
        <w:rPr>
          <w:lang w:val="en-GB"/>
        </w:rPr>
      </w:pPr>
      <w:r>
        <w:rPr>
          <w:lang w:val="en-GB"/>
        </w:rPr>
        <w:t>27</w:t>
      </w:r>
      <w:r w:rsidR="00977DAB">
        <w:rPr>
          <w:lang w:val="en-GB"/>
        </w:rPr>
        <w:t xml:space="preserve">.  </w:t>
      </w:r>
      <w:r w:rsidRPr="00002A77">
        <w:rPr>
          <w:rFonts w:hint="eastAsia"/>
        </w:rPr>
        <w:t>《基本法》第十九条规定，香港特区享有独立的司法权和终审权。香港特区法院除继续保持香港原有法律制度和原则对法院审判权所作的限制外，对香港特区所有的案件均有审判权。香港特区法院对国防、外交等国家行为无管辖权。香港特区法院在审理案件中遇有涉及国防、外交等国家行为的事实问题，应取得行政长官就该等问题发出的证明文件，上述文件对法院有约束力。行政长官在发出证明文件前，须取得中央人民政府的证明书。</w:t>
      </w:r>
    </w:p>
    <w:p w:rsidR="00D13477" w:rsidRPr="00002A77" w:rsidRDefault="00D13477" w:rsidP="00D13477">
      <w:pPr>
        <w:pStyle w:val="SingleTxtGC"/>
        <w:rPr>
          <w:lang w:val="en-GB"/>
        </w:rPr>
      </w:pPr>
      <w:r>
        <w:rPr>
          <w:lang w:val="en-GB"/>
        </w:rPr>
        <w:t>28</w:t>
      </w:r>
      <w:r w:rsidR="00977DAB">
        <w:rPr>
          <w:lang w:val="en-GB"/>
        </w:rPr>
        <w:t xml:space="preserve">.  </w:t>
      </w:r>
      <w:r w:rsidRPr="00002A77">
        <w:rPr>
          <w:rFonts w:hint="eastAsia"/>
        </w:rPr>
        <w:t>香港特区设终审法院、高等法院</w:t>
      </w:r>
      <w:r w:rsidRPr="00002A77">
        <w:rPr>
          <w:rFonts w:hint="eastAsia"/>
        </w:rPr>
        <w:t>(</w:t>
      </w:r>
      <w:r w:rsidRPr="00002A77">
        <w:rPr>
          <w:rFonts w:hint="eastAsia"/>
        </w:rPr>
        <w:t>包括上诉法庭和原讼法庭</w:t>
      </w:r>
      <w:r w:rsidRPr="00002A77">
        <w:rPr>
          <w:rFonts w:hint="eastAsia"/>
        </w:rPr>
        <w:t>)</w:t>
      </w:r>
      <w:r w:rsidRPr="00002A77">
        <w:rPr>
          <w:rFonts w:hint="eastAsia"/>
        </w:rPr>
        <w:t>、区域法院、裁判署法庭、土地审裁处、劳资审裁处、小额钱债审裁处、淫亵物品审裁处及死因裁判法庭。上述法院审理所有刑事案件和民事纠纷，包括市民之间以及特区政府与市民之间的诉讼。</w:t>
      </w:r>
    </w:p>
    <w:p w:rsidR="00D13477" w:rsidRPr="00002A77" w:rsidRDefault="00D13477" w:rsidP="00D13477">
      <w:pPr>
        <w:pStyle w:val="SingleTxtGC"/>
        <w:rPr>
          <w:lang w:val="en-GB"/>
        </w:rPr>
      </w:pPr>
      <w:r>
        <w:rPr>
          <w:lang w:val="en-GB"/>
        </w:rPr>
        <w:t>29</w:t>
      </w:r>
      <w:r w:rsidR="00977DAB">
        <w:rPr>
          <w:lang w:val="en-GB"/>
        </w:rPr>
        <w:t xml:space="preserve">.  </w:t>
      </w:r>
      <w:r w:rsidRPr="00002A77">
        <w:rPr>
          <w:rFonts w:hint="eastAsia"/>
        </w:rPr>
        <w:t>《基本法》第八十二条订明，香港特区的终审权属于香港特区终审法院。终审法院可根据需要邀请其他普通法司法管辖区的法官参加审判。此外，第八十三条订明，香港特区各级法院的组织、职权及职能由法律规定。</w:t>
      </w:r>
    </w:p>
    <w:p w:rsidR="00D13477" w:rsidRPr="00002A77" w:rsidRDefault="00D13477" w:rsidP="00D13477">
      <w:pPr>
        <w:pStyle w:val="SingleTxtGC"/>
        <w:rPr>
          <w:rFonts w:hint="eastAsia"/>
        </w:rPr>
      </w:pPr>
      <w:r>
        <w:rPr>
          <w:lang w:val="en-GB"/>
        </w:rPr>
        <w:t>3</w:t>
      </w:r>
      <w:r w:rsidRPr="00002A77">
        <w:rPr>
          <w:lang w:val="en-GB"/>
        </w:rPr>
        <w:t>0</w:t>
      </w:r>
      <w:r w:rsidR="00977DAB">
        <w:rPr>
          <w:lang w:val="en-GB"/>
        </w:rPr>
        <w:t xml:space="preserve">.  </w:t>
      </w:r>
      <w:r w:rsidRPr="00002A77">
        <w:rPr>
          <w:rFonts w:hint="eastAsia"/>
        </w:rPr>
        <w:t>《基本法》第九十二条订明，香港特区的法官和其他司法人员，应根据其本人的司法和专业才能选用，并可从其他普通法适用地区聘用。此外，《基本法》第八十八条亦订明，香港特区法院的法官，根据当地法官和法律界及其他方面知名人士组成的独立委员会推荐，由行政长官任命。</w:t>
      </w:r>
    </w:p>
    <w:p w:rsidR="00D13477" w:rsidRPr="00002A77" w:rsidRDefault="00D13477" w:rsidP="00D13477">
      <w:pPr>
        <w:pStyle w:val="SingleTxtGC"/>
      </w:pPr>
      <w:r>
        <w:t>31</w:t>
      </w:r>
      <w:r w:rsidR="00977DAB">
        <w:t xml:space="preserve">.  </w:t>
      </w:r>
      <w:r w:rsidRPr="00002A77">
        <w:rPr>
          <w:rFonts w:hint="eastAsia"/>
        </w:rPr>
        <w:t>法官的任期受到保障。《基本法》第八十九条订明，香港特区法院的法官只有在无力履行职责或行为不检的情况下，行政长官才可根据终审法院首席法官任命的不少于三名当地法官组成的审议庭的建议，予以免职。香港特区终审法院的首席法官只有在无力履行职责或行为不检的情况下，行政长官才可任命不少于五名当地法官组成的审议庭进行审议，并可根据其建议，依照《基本法》规定的程序，予以免职。</w:t>
      </w:r>
    </w:p>
    <w:p w:rsidR="00D13477" w:rsidRPr="00002A77" w:rsidRDefault="0088468E" w:rsidP="0088468E">
      <w:pPr>
        <w:pStyle w:val="H4GC"/>
        <w:rPr>
          <w:lang w:val="en-GB"/>
        </w:rPr>
      </w:pPr>
      <w:r>
        <w:rPr>
          <w:rFonts w:hint="eastAsia"/>
          <w:lang w:val="en-GB"/>
        </w:rPr>
        <w:tab/>
      </w:r>
      <w:r w:rsidRPr="0088468E">
        <w:rPr>
          <w:lang w:val="en-GB"/>
        </w:rPr>
        <w:t>(b)</w:t>
      </w:r>
      <w:r>
        <w:rPr>
          <w:rFonts w:hint="eastAsia"/>
          <w:lang w:val="en-GB"/>
        </w:rPr>
        <w:tab/>
      </w:r>
      <w:r w:rsidR="00D13477" w:rsidRPr="00002A77">
        <w:rPr>
          <w:rFonts w:hint="eastAsia"/>
          <w:lang w:val="en-GB"/>
        </w:rPr>
        <w:t>相关统计</w:t>
      </w:r>
    </w:p>
    <w:p w:rsidR="00D13477" w:rsidRPr="00002A77" w:rsidRDefault="00D13477" w:rsidP="00D13477">
      <w:pPr>
        <w:pStyle w:val="SingleTxtGC"/>
        <w:rPr>
          <w:rFonts w:hint="eastAsia"/>
          <w:b/>
          <w:lang w:val="en-GB"/>
        </w:rPr>
      </w:pPr>
      <w:r>
        <w:rPr>
          <w:lang w:val="en-GB"/>
        </w:rPr>
        <w:t>32</w:t>
      </w:r>
      <w:r w:rsidR="00977DAB">
        <w:rPr>
          <w:lang w:val="en-GB"/>
        </w:rPr>
        <w:t xml:space="preserve">.  </w:t>
      </w:r>
      <w:r w:rsidRPr="00002A77">
        <w:rPr>
          <w:rFonts w:hint="eastAsia"/>
          <w:lang w:val="en-GB"/>
        </w:rPr>
        <w:t>在</w:t>
      </w:r>
      <w:r>
        <w:rPr>
          <w:lang w:val="en-GB"/>
        </w:rPr>
        <w:t>2</w:t>
      </w:r>
      <w:r w:rsidRPr="00002A77">
        <w:rPr>
          <w:lang w:val="en-GB"/>
        </w:rPr>
        <w:t>00</w:t>
      </w:r>
      <w:r>
        <w:rPr>
          <w:lang w:val="en-GB"/>
        </w:rPr>
        <w:t>7</w:t>
      </w:r>
      <w:r w:rsidRPr="00002A77">
        <w:rPr>
          <w:rFonts w:hint="eastAsia"/>
          <w:lang w:val="en-GB"/>
        </w:rPr>
        <w:t>至</w:t>
      </w:r>
      <w:r>
        <w:rPr>
          <w:lang w:val="en-GB"/>
        </w:rPr>
        <w:t>2</w:t>
      </w:r>
      <w:r w:rsidRPr="00002A77">
        <w:rPr>
          <w:lang w:val="en-GB"/>
        </w:rPr>
        <w:t>0</w:t>
      </w:r>
      <w:r>
        <w:rPr>
          <w:lang w:val="en-GB"/>
        </w:rPr>
        <w:t>11</w:t>
      </w:r>
      <w:r w:rsidRPr="00002A77">
        <w:rPr>
          <w:rFonts w:hint="eastAsia"/>
          <w:lang w:val="en-GB"/>
        </w:rPr>
        <w:t>年，香港特区有关司法管理的统计数字，列述如下。有关犯罪者判刑及在羁押期间死亡的统计，载于附件</w:t>
      </w:r>
      <w:r>
        <w:rPr>
          <w:lang w:val="en-GB"/>
        </w:rPr>
        <w:t>D</w:t>
      </w:r>
      <w:r w:rsidRPr="00002A77">
        <w:rPr>
          <w:rFonts w:hint="eastAsia"/>
          <w:lang w:val="en-GB"/>
        </w:rPr>
        <w:t>。</w:t>
      </w:r>
    </w:p>
    <w:p w:rsidR="00D13477" w:rsidRPr="00C3060A" w:rsidRDefault="00D13477" w:rsidP="00D13477">
      <w:pPr>
        <w:pStyle w:val="SingleTxtGC"/>
        <w:rPr>
          <w:rFonts w:eastAsia="SimHei" w:hint="eastAsia"/>
          <w:lang w:val="en-GB"/>
        </w:rPr>
      </w:pPr>
      <w:r w:rsidRPr="00C3060A">
        <w:rPr>
          <w:b/>
          <w:lang w:val="en-GB"/>
        </w:rPr>
        <w:t>(a)</w:t>
      </w:r>
      <w:r w:rsidRPr="00002A77">
        <w:rPr>
          <w:lang w:val="en-GB"/>
        </w:rPr>
        <w:tab/>
      </w:r>
      <w:r w:rsidRPr="00C3060A">
        <w:rPr>
          <w:rFonts w:eastAsia="SimHei" w:hint="eastAsia"/>
          <w:lang w:val="en-GB"/>
        </w:rPr>
        <w:t>涉及暴力致死及危及生命安全的罪行的呈报个案数目</w:t>
      </w:r>
    </w:p>
    <w:tbl>
      <w:tblPr>
        <w:tblW w:w="7371"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987"/>
        <w:gridCol w:w="1076"/>
        <w:gridCol w:w="1077"/>
        <w:gridCol w:w="1077"/>
        <w:gridCol w:w="1077"/>
        <w:gridCol w:w="1077"/>
      </w:tblGrid>
      <w:tr w:rsidR="00D13477" w:rsidRPr="0088468E" w:rsidTr="006C40CE">
        <w:trPr>
          <w:trHeight w:val="315"/>
          <w:jc w:val="center"/>
        </w:trPr>
        <w:tc>
          <w:tcPr>
            <w:tcW w:w="1987" w:type="dxa"/>
            <w:tcBorders>
              <w:bottom w:val="single" w:sz="12" w:space="0" w:color="auto"/>
            </w:tcBorders>
            <w:shd w:val="clear" w:color="auto" w:fill="auto"/>
            <w:noWrap/>
            <w:tcMar>
              <w:top w:w="15" w:type="dxa"/>
              <w:left w:w="15" w:type="dxa"/>
              <w:bottom w:w="0" w:type="dxa"/>
              <w:right w:w="15" w:type="dxa"/>
            </w:tcMar>
            <w:vAlign w:val="center"/>
          </w:tcPr>
          <w:p w:rsidR="00D13477" w:rsidRPr="0088468E" w:rsidRDefault="00D13477" w:rsidP="006C40CE">
            <w:pPr>
              <w:pStyle w:val="SingleTxtGC"/>
              <w:spacing w:before="60" w:after="60" w:line="220" w:lineRule="exact"/>
              <w:ind w:left="0" w:right="0"/>
              <w:rPr>
                <w:rFonts w:eastAsia="KaiTi_GB2312"/>
                <w:sz w:val="18"/>
                <w:szCs w:val="18"/>
                <w:lang w:val="en-GB"/>
              </w:rPr>
            </w:pPr>
            <w:r w:rsidRPr="0088468E">
              <w:rPr>
                <w:rFonts w:eastAsia="KaiTi_GB2312" w:hint="eastAsia"/>
                <w:sz w:val="18"/>
                <w:szCs w:val="18"/>
                <w:lang w:val="en-GB"/>
              </w:rPr>
              <w:t>罪行</w:t>
            </w:r>
          </w:p>
        </w:tc>
        <w:tc>
          <w:tcPr>
            <w:tcW w:w="1076" w:type="dxa"/>
            <w:tcBorders>
              <w:bottom w:val="single" w:sz="12" w:space="0" w:color="auto"/>
            </w:tcBorders>
            <w:shd w:val="clear" w:color="auto" w:fill="auto"/>
            <w:noWrap/>
            <w:tcMar>
              <w:top w:w="15" w:type="dxa"/>
              <w:left w:w="15" w:type="dxa"/>
              <w:bottom w:w="0" w:type="dxa"/>
              <w:right w:w="15" w:type="dxa"/>
            </w:tcMar>
            <w:vAlign w:val="center"/>
          </w:tcPr>
          <w:p w:rsidR="00D13477" w:rsidRPr="006C40CE" w:rsidRDefault="00D13477" w:rsidP="006C40CE">
            <w:pPr>
              <w:pStyle w:val="SingleTxtGC"/>
              <w:spacing w:before="60" w:after="60" w:line="220" w:lineRule="exact"/>
              <w:ind w:left="0" w:right="57"/>
              <w:jc w:val="right"/>
              <w:rPr>
                <w:rFonts w:eastAsia="KaiTi_GB2312"/>
                <w:b/>
                <w:sz w:val="18"/>
                <w:szCs w:val="18"/>
                <w:lang w:val="en-GB"/>
              </w:rPr>
            </w:pPr>
            <w:r w:rsidRPr="006C40CE">
              <w:rPr>
                <w:rFonts w:eastAsia="KaiTi_GB2312"/>
                <w:b/>
                <w:sz w:val="18"/>
                <w:szCs w:val="18"/>
                <w:lang w:val="en-GB"/>
              </w:rPr>
              <w:t>2007</w:t>
            </w:r>
          </w:p>
        </w:tc>
        <w:tc>
          <w:tcPr>
            <w:tcW w:w="1077" w:type="dxa"/>
            <w:tcBorders>
              <w:bottom w:val="single" w:sz="12" w:space="0" w:color="auto"/>
            </w:tcBorders>
            <w:shd w:val="clear" w:color="auto" w:fill="auto"/>
            <w:noWrap/>
            <w:tcMar>
              <w:top w:w="15" w:type="dxa"/>
              <w:left w:w="15" w:type="dxa"/>
              <w:bottom w:w="0" w:type="dxa"/>
              <w:right w:w="15" w:type="dxa"/>
            </w:tcMar>
            <w:vAlign w:val="center"/>
          </w:tcPr>
          <w:p w:rsidR="00D13477" w:rsidRPr="006C40CE" w:rsidRDefault="00D13477" w:rsidP="006C40CE">
            <w:pPr>
              <w:pStyle w:val="SingleTxtGC"/>
              <w:spacing w:before="60" w:after="60" w:line="220" w:lineRule="exact"/>
              <w:ind w:left="0" w:right="57"/>
              <w:jc w:val="right"/>
              <w:rPr>
                <w:rFonts w:eastAsia="KaiTi_GB2312"/>
                <w:b/>
                <w:sz w:val="18"/>
                <w:szCs w:val="18"/>
                <w:lang w:val="en-GB"/>
              </w:rPr>
            </w:pPr>
            <w:r w:rsidRPr="006C40CE">
              <w:rPr>
                <w:rFonts w:eastAsia="KaiTi_GB2312"/>
                <w:b/>
                <w:sz w:val="18"/>
                <w:szCs w:val="18"/>
                <w:lang w:val="en-GB"/>
              </w:rPr>
              <w:t>2008</w:t>
            </w:r>
          </w:p>
        </w:tc>
        <w:tc>
          <w:tcPr>
            <w:tcW w:w="1077" w:type="dxa"/>
            <w:tcBorders>
              <w:bottom w:val="single" w:sz="12" w:space="0" w:color="auto"/>
            </w:tcBorders>
            <w:shd w:val="clear" w:color="auto" w:fill="auto"/>
            <w:noWrap/>
            <w:tcMar>
              <w:top w:w="15" w:type="dxa"/>
              <w:left w:w="15" w:type="dxa"/>
              <w:bottom w:w="0" w:type="dxa"/>
              <w:right w:w="15" w:type="dxa"/>
            </w:tcMar>
            <w:vAlign w:val="center"/>
          </w:tcPr>
          <w:p w:rsidR="00D13477" w:rsidRPr="006C40CE" w:rsidRDefault="00D13477" w:rsidP="006C40CE">
            <w:pPr>
              <w:pStyle w:val="SingleTxtGC"/>
              <w:spacing w:before="60" w:after="60" w:line="220" w:lineRule="exact"/>
              <w:ind w:left="0" w:right="57"/>
              <w:jc w:val="right"/>
              <w:rPr>
                <w:rFonts w:eastAsia="KaiTi_GB2312"/>
                <w:b/>
                <w:sz w:val="18"/>
                <w:szCs w:val="18"/>
                <w:lang w:val="en-GB"/>
              </w:rPr>
            </w:pPr>
            <w:r w:rsidRPr="006C40CE">
              <w:rPr>
                <w:rFonts w:eastAsia="KaiTi_GB2312"/>
                <w:b/>
                <w:sz w:val="18"/>
                <w:szCs w:val="18"/>
                <w:lang w:val="en-GB"/>
              </w:rPr>
              <w:t>2009</w:t>
            </w:r>
          </w:p>
        </w:tc>
        <w:tc>
          <w:tcPr>
            <w:tcW w:w="1077" w:type="dxa"/>
            <w:tcBorders>
              <w:bottom w:val="single" w:sz="12" w:space="0" w:color="auto"/>
            </w:tcBorders>
            <w:shd w:val="clear" w:color="auto" w:fill="auto"/>
            <w:vAlign w:val="center"/>
          </w:tcPr>
          <w:p w:rsidR="00D13477" w:rsidRPr="006C40CE" w:rsidRDefault="00D13477" w:rsidP="006C40CE">
            <w:pPr>
              <w:pStyle w:val="SingleTxtGC"/>
              <w:spacing w:before="60" w:after="60" w:line="220" w:lineRule="exact"/>
              <w:ind w:left="0" w:right="57"/>
              <w:jc w:val="right"/>
              <w:rPr>
                <w:rFonts w:eastAsia="KaiTi_GB2312"/>
                <w:b/>
                <w:sz w:val="18"/>
                <w:szCs w:val="18"/>
                <w:lang w:val="en-GB"/>
              </w:rPr>
            </w:pPr>
            <w:r w:rsidRPr="006C40CE">
              <w:rPr>
                <w:rFonts w:eastAsia="KaiTi_GB2312"/>
                <w:b/>
                <w:sz w:val="18"/>
                <w:szCs w:val="18"/>
                <w:lang w:val="en-GB"/>
              </w:rPr>
              <w:t>2010</w:t>
            </w:r>
          </w:p>
        </w:tc>
        <w:tc>
          <w:tcPr>
            <w:tcW w:w="1077" w:type="dxa"/>
            <w:tcBorders>
              <w:bottom w:val="single" w:sz="12" w:space="0" w:color="auto"/>
            </w:tcBorders>
            <w:shd w:val="clear" w:color="auto" w:fill="auto"/>
            <w:vAlign w:val="center"/>
          </w:tcPr>
          <w:p w:rsidR="00D13477" w:rsidRPr="006C40CE" w:rsidRDefault="00D13477" w:rsidP="006C40CE">
            <w:pPr>
              <w:pStyle w:val="SingleTxtGC"/>
              <w:spacing w:before="60" w:after="60" w:line="220" w:lineRule="exact"/>
              <w:ind w:left="0" w:right="57"/>
              <w:jc w:val="right"/>
              <w:rPr>
                <w:rFonts w:eastAsia="KaiTi_GB2312"/>
                <w:b/>
                <w:sz w:val="18"/>
                <w:szCs w:val="18"/>
                <w:lang w:val="en-GB"/>
              </w:rPr>
            </w:pPr>
            <w:r w:rsidRPr="006C40CE">
              <w:rPr>
                <w:rFonts w:eastAsia="KaiTi_GB2312"/>
                <w:b/>
                <w:sz w:val="18"/>
                <w:szCs w:val="18"/>
                <w:lang w:val="en-GB"/>
              </w:rPr>
              <w:t>2011</w:t>
            </w:r>
          </w:p>
        </w:tc>
      </w:tr>
      <w:tr w:rsidR="00D13477" w:rsidRPr="00002A77" w:rsidTr="00FA5953">
        <w:trPr>
          <w:trHeight w:val="20"/>
          <w:jc w:val="center"/>
        </w:trPr>
        <w:tc>
          <w:tcPr>
            <w:tcW w:w="1987" w:type="dxa"/>
            <w:tcBorders>
              <w:top w:val="single" w:sz="12" w:space="0" w:color="auto"/>
              <w:bottom w:val="nil"/>
            </w:tcBorders>
            <w:shd w:val="clear" w:color="auto" w:fill="auto"/>
            <w:noWrap/>
            <w:tcMar>
              <w:top w:w="15" w:type="dxa"/>
              <w:left w:w="15" w:type="dxa"/>
              <w:bottom w:w="0" w:type="dxa"/>
              <w:right w:w="15" w:type="dxa"/>
            </w:tcMar>
            <w:vAlign w:val="center"/>
          </w:tcPr>
          <w:p w:rsidR="00D13477" w:rsidRPr="00002A77" w:rsidRDefault="00D13477" w:rsidP="00FA5953">
            <w:pPr>
              <w:pStyle w:val="SingleTxtGC"/>
              <w:spacing w:before="40" w:line="240" w:lineRule="exact"/>
              <w:ind w:left="0" w:right="0"/>
              <w:rPr>
                <w:lang w:val="en-GB"/>
              </w:rPr>
            </w:pPr>
            <w:r w:rsidRPr="00002A77">
              <w:rPr>
                <w:rFonts w:hint="eastAsia"/>
                <w:lang w:val="en-GB"/>
              </w:rPr>
              <w:t>谋杀及误杀</w:t>
            </w:r>
          </w:p>
        </w:tc>
        <w:tc>
          <w:tcPr>
            <w:tcW w:w="1076" w:type="dxa"/>
            <w:tcBorders>
              <w:top w:val="single" w:sz="12" w:space="0" w:color="auto"/>
              <w:bottom w:val="nil"/>
            </w:tcBorders>
            <w:shd w:val="clear" w:color="auto" w:fill="auto"/>
            <w:noWrap/>
            <w:tcMar>
              <w:top w:w="15" w:type="dxa"/>
              <w:left w:w="15" w:type="dxa"/>
              <w:bottom w:w="0" w:type="dxa"/>
              <w:right w:w="15" w:type="dxa"/>
            </w:tcMar>
            <w:vAlign w:val="center"/>
          </w:tcPr>
          <w:p w:rsidR="00D13477" w:rsidRPr="00002A77" w:rsidRDefault="00D13477" w:rsidP="00FA5953">
            <w:pPr>
              <w:pStyle w:val="SingleTxtGC"/>
              <w:spacing w:before="40" w:line="240" w:lineRule="exact"/>
              <w:ind w:left="0" w:right="57"/>
              <w:jc w:val="right"/>
              <w:rPr>
                <w:lang w:val="en-GB"/>
              </w:rPr>
            </w:pPr>
            <w:r>
              <w:rPr>
                <w:lang w:val="en-GB"/>
              </w:rPr>
              <w:t>18</w:t>
            </w:r>
          </w:p>
        </w:tc>
        <w:tc>
          <w:tcPr>
            <w:tcW w:w="1077" w:type="dxa"/>
            <w:tcBorders>
              <w:top w:val="single" w:sz="12" w:space="0" w:color="auto"/>
              <w:bottom w:val="nil"/>
            </w:tcBorders>
            <w:shd w:val="clear" w:color="auto" w:fill="auto"/>
            <w:noWrap/>
            <w:tcMar>
              <w:top w:w="15" w:type="dxa"/>
              <w:left w:w="15" w:type="dxa"/>
              <w:bottom w:w="0" w:type="dxa"/>
              <w:right w:w="15" w:type="dxa"/>
            </w:tcMar>
            <w:vAlign w:val="center"/>
          </w:tcPr>
          <w:p w:rsidR="00D13477" w:rsidRPr="00002A77" w:rsidRDefault="00D13477" w:rsidP="00FA5953">
            <w:pPr>
              <w:pStyle w:val="SingleTxtGC"/>
              <w:spacing w:before="40" w:line="240" w:lineRule="exact"/>
              <w:ind w:left="0" w:right="57"/>
              <w:jc w:val="right"/>
              <w:rPr>
                <w:lang w:val="en-GB"/>
              </w:rPr>
            </w:pPr>
            <w:r>
              <w:rPr>
                <w:lang w:val="en-GB"/>
              </w:rPr>
              <w:t>36</w:t>
            </w:r>
          </w:p>
        </w:tc>
        <w:tc>
          <w:tcPr>
            <w:tcW w:w="1077" w:type="dxa"/>
            <w:tcBorders>
              <w:top w:val="single" w:sz="12" w:space="0" w:color="auto"/>
              <w:bottom w:val="nil"/>
            </w:tcBorders>
            <w:shd w:val="clear" w:color="auto" w:fill="auto"/>
            <w:noWrap/>
            <w:tcMar>
              <w:top w:w="15" w:type="dxa"/>
              <w:left w:w="15" w:type="dxa"/>
              <w:bottom w:w="0" w:type="dxa"/>
              <w:right w:w="15" w:type="dxa"/>
            </w:tcMar>
            <w:vAlign w:val="center"/>
          </w:tcPr>
          <w:p w:rsidR="00D13477" w:rsidRPr="00002A77" w:rsidRDefault="00D13477" w:rsidP="00FA5953">
            <w:pPr>
              <w:pStyle w:val="SingleTxtGC"/>
              <w:spacing w:before="40" w:line="240" w:lineRule="exact"/>
              <w:ind w:left="0" w:right="57"/>
              <w:jc w:val="right"/>
              <w:rPr>
                <w:lang w:val="en-GB"/>
              </w:rPr>
            </w:pPr>
            <w:r>
              <w:rPr>
                <w:lang w:val="en-GB"/>
              </w:rPr>
              <w:t>47</w:t>
            </w:r>
          </w:p>
        </w:tc>
        <w:tc>
          <w:tcPr>
            <w:tcW w:w="1077" w:type="dxa"/>
            <w:tcBorders>
              <w:top w:val="single" w:sz="12" w:space="0" w:color="auto"/>
              <w:bottom w:val="nil"/>
            </w:tcBorders>
            <w:shd w:val="clear" w:color="auto" w:fill="auto"/>
          </w:tcPr>
          <w:p w:rsidR="00D13477" w:rsidRPr="00002A77" w:rsidRDefault="00D13477" w:rsidP="00FA5953">
            <w:pPr>
              <w:pStyle w:val="SingleTxtGC"/>
              <w:spacing w:before="40" w:line="240" w:lineRule="exact"/>
              <w:ind w:left="0" w:right="57"/>
              <w:jc w:val="right"/>
              <w:rPr>
                <w:lang w:val="en-GB"/>
              </w:rPr>
            </w:pPr>
            <w:r>
              <w:rPr>
                <w:lang w:val="en-GB"/>
              </w:rPr>
              <w:t>35</w:t>
            </w:r>
          </w:p>
        </w:tc>
        <w:tc>
          <w:tcPr>
            <w:tcW w:w="1077" w:type="dxa"/>
            <w:tcBorders>
              <w:top w:val="single" w:sz="12" w:space="0" w:color="auto"/>
              <w:bottom w:val="nil"/>
            </w:tcBorders>
            <w:shd w:val="clear" w:color="auto" w:fill="auto"/>
          </w:tcPr>
          <w:p w:rsidR="00D13477" w:rsidRPr="00002A77" w:rsidRDefault="00D13477" w:rsidP="00FA5953">
            <w:pPr>
              <w:pStyle w:val="SingleTxtGC"/>
              <w:spacing w:before="40" w:line="240" w:lineRule="exact"/>
              <w:ind w:left="0" w:right="57"/>
              <w:jc w:val="right"/>
              <w:rPr>
                <w:lang w:val="en-GB"/>
              </w:rPr>
            </w:pPr>
            <w:r>
              <w:rPr>
                <w:lang w:val="en-GB"/>
              </w:rPr>
              <w:t>17</w:t>
            </w:r>
          </w:p>
        </w:tc>
      </w:tr>
      <w:tr w:rsidR="00D13477" w:rsidRPr="00002A77" w:rsidTr="00FA5953">
        <w:trPr>
          <w:trHeight w:val="20"/>
          <w:jc w:val="center"/>
        </w:trPr>
        <w:tc>
          <w:tcPr>
            <w:tcW w:w="1987" w:type="dxa"/>
            <w:tcBorders>
              <w:top w:val="nil"/>
              <w:bottom w:val="single" w:sz="12" w:space="0" w:color="auto"/>
            </w:tcBorders>
            <w:shd w:val="clear" w:color="auto" w:fill="auto"/>
            <w:noWrap/>
            <w:tcMar>
              <w:top w:w="15" w:type="dxa"/>
              <w:left w:w="15" w:type="dxa"/>
              <w:bottom w:w="0" w:type="dxa"/>
              <w:right w:w="15" w:type="dxa"/>
            </w:tcMar>
            <w:vAlign w:val="center"/>
          </w:tcPr>
          <w:p w:rsidR="00D13477" w:rsidRPr="00002A77" w:rsidRDefault="00D13477" w:rsidP="00FA5953">
            <w:pPr>
              <w:pStyle w:val="SingleTxtGC"/>
              <w:spacing w:before="40" w:line="240" w:lineRule="exact"/>
              <w:ind w:left="0" w:right="0"/>
              <w:rPr>
                <w:lang w:val="en-GB"/>
              </w:rPr>
            </w:pPr>
            <w:r w:rsidRPr="00002A77">
              <w:rPr>
                <w:rFonts w:hint="eastAsia"/>
                <w:lang w:val="en-GB"/>
              </w:rPr>
              <w:t>意图谋杀</w:t>
            </w:r>
          </w:p>
        </w:tc>
        <w:tc>
          <w:tcPr>
            <w:tcW w:w="1076" w:type="dxa"/>
            <w:tcBorders>
              <w:top w:val="nil"/>
              <w:bottom w:val="single" w:sz="12" w:space="0" w:color="auto"/>
            </w:tcBorders>
            <w:shd w:val="clear" w:color="auto" w:fill="auto"/>
            <w:noWrap/>
            <w:tcMar>
              <w:top w:w="15" w:type="dxa"/>
              <w:left w:w="15" w:type="dxa"/>
              <w:bottom w:w="0" w:type="dxa"/>
              <w:right w:w="15" w:type="dxa"/>
            </w:tcMar>
            <w:vAlign w:val="center"/>
          </w:tcPr>
          <w:p w:rsidR="00D13477" w:rsidRPr="00002A77" w:rsidRDefault="00D13477" w:rsidP="00FA5953">
            <w:pPr>
              <w:pStyle w:val="SingleTxtGC"/>
              <w:spacing w:before="40" w:line="240" w:lineRule="exact"/>
              <w:ind w:left="0" w:right="57"/>
              <w:jc w:val="right"/>
              <w:rPr>
                <w:lang w:val="en-GB"/>
              </w:rPr>
            </w:pPr>
            <w:r>
              <w:rPr>
                <w:lang w:val="en-GB"/>
              </w:rPr>
              <w:t>7</w:t>
            </w:r>
          </w:p>
        </w:tc>
        <w:tc>
          <w:tcPr>
            <w:tcW w:w="1077" w:type="dxa"/>
            <w:tcBorders>
              <w:top w:val="nil"/>
              <w:bottom w:val="single" w:sz="12" w:space="0" w:color="auto"/>
            </w:tcBorders>
            <w:shd w:val="clear" w:color="auto" w:fill="auto"/>
            <w:noWrap/>
            <w:tcMar>
              <w:top w:w="15" w:type="dxa"/>
              <w:left w:w="15" w:type="dxa"/>
              <w:bottom w:w="0" w:type="dxa"/>
              <w:right w:w="15" w:type="dxa"/>
            </w:tcMar>
            <w:vAlign w:val="center"/>
          </w:tcPr>
          <w:p w:rsidR="00D13477" w:rsidRPr="00002A77" w:rsidRDefault="00D13477" w:rsidP="00FA5953">
            <w:pPr>
              <w:pStyle w:val="SingleTxtGC"/>
              <w:spacing w:before="40" w:line="240" w:lineRule="exact"/>
              <w:ind w:left="0" w:right="57"/>
              <w:jc w:val="right"/>
              <w:rPr>
                <w:lang w:val="en-GB"/>
              </w:rPr>
            </w:pPr>
            <w:r>
              <w:rPr>
                <w:lang w:val="en-GB"/>
              </w:rPr>
              <w:t>4</w:t>
            </w:r>
          </w:p>
        </w:tc>
        <w:tc>
          <w:tcPr>
            <w:tcW w:w="1077" w:type="dxa"/>
            <w:tcBorders>
              <w:top w:val="nil"/>
              <w:bottom w:val="single" w:sz="12" w:space="0" w:color="auto"/>
            </w:tcBorders>
            <w:shd w:val="clear" w:color="auto" w:fill="auto"/>
            <w:noWrap/>
            <w:tcMar>
              <w:top w:w="15" w:type="dxa"/>
              <w:left w:w="15" w:type="dxa"/>
              <w:bottom w:w="0" w:type="dxa"/>
              <w:right w:w="15" w:type="dxa"/>
            </w:tcMar>
            <w:vAlign w:val="center"/>
          </w:tcPr>
          <w:p w:rsidR="00D13477" w:rsidRPr="00002A77" w:rsidRDefault="00D13477" w:rsidP="00FA5953">
            <w:pPr>
              <w:pStyle w:val="SingleTxtGC"/>
              <w:spacing w:before="40" w:line="240" w:lineRule="exact"/>
              <w:ind w:left="0" w:right="57"/>
              <w:jc w:val="right"/>
              <w:rPr>
                <w:lang w:val="en-GB"/>
              </w:rPr>
            </w:pPr>
            <w:r>
              <w:rPr>
                <w:lang w:val="en-GB"/>
              </w:rPr>
              <w:t>4</w:t>
            </w:r>
          </w:p>
        </w:tc>
        <w:tc>
          <w:tcPr>
            <w:tcW w:w="1077" w:type="dxa"/>
            <w:tcBorders>
              <w:top w:val="nil"/>
              <w:bottom w:val="single" w:sz="12" w:space="0" w:color="auto"/>
            </w:tcBorders>
            <w:shd w:val="clear" w:color="auto" w:fill="auto"/>
          </w:tcPr>
          <w:p w:rsidR="00D13477" w:rsidRPr="00002A77" w:rsidRDefault="00D13477" w:rsidP="00FA5953">
            <w:pPr>
              <w:pStyle w:val="SingleTxtGC"/>
              <w:spacing w:before="40" w:line="240" w:lineRule="exact"/>
              <w:ind w:left="0" w:right="57"/>
              <w:jc w:val="right"/>
              <w:rPr>
                <w:lang w:val="en-GB"/>
              </w:rPr>
            </w:pPr>
            <w:r>
              <w:rPr>
                <w:lang w:val="en-GB"/>
              </w:rPr>
              <w:t>2</w:t>
            </w:r>
          </w:p>
        </w:tc>
        <w:tc>
          <w:tcPr>
            <w:tcW w:w="1077" w:type="dxa"/>
            <w:tcBorders>
              <w:top w:val="nil"/>
              <w:bottom w:val="single" w:sz="12" w:space="0" w:color="auto"/>
            </w:tcBorders>
            <w:shd w:val="clear" w:color="auto" w:fill="auto"/>
          </w:tcPr>
          <w:p w:rsidR="00D13477" w:rsidRPr="00002A77" w:rsidRDefault="00D13477" w:rsidP="00FA5953">
            <w:pPr>
              <w:pStyle w:val="SingleTxtGC"/>
              <w:spacing w:before="40" w:line="240" w:lineRule="exact"/>
              <w:ind w:left="0" w:right="57"/>
              <w:jc w:val="right"/>
              <w:rPr>
                <w:lang w:val="en-GB"/>
              </w:rPr>
            </w:pPr>
            <w:r>
              <w:rPr>
                <w:lang w:val="en-GB"/>
              </w:rPr>
              <w:t>4</w:t>
            </w:r>
          </w:p>
        </w:tc>
      </w:tr>
    </w:tbl>
    <w:p w:rsidR="00D13477" w:rsidRPr="00C3060A" w:rsidRDefault="00D13477" w:rsidP="00C3060A">
      <w:pPr>
        <w:pStyle w:val="SingleTxtGC"/>
        <w:spacing w:before="240"/>
        <w:rPr>
          <w:rFonts w:eastAsia="SimHei" w:hint="eastAsia"/>
          <w:lang w:val="en-GB"/>
        </w:rPr>
      </w:pPr>
      <w:r w:rsidRPr="00C3060A">
        <w:rPr>
          <w:b/>
          <w:lang w:val="en-GB"/>
        </w:rPr>
        <w:t>(b)</w:t>
      </w:r>
      <w:r w:rsidRPr="00002A77">
        <w:rPr>
          <w:lang w:val="en-GB"/>
        </w:rPr>
        <w:tab/>
      </w:r>
      <w:r w:rsidRPr="00C3060A">
        <w:rPr>
          <w:rFonts w:eastAsia="SimHei" w:hint="eastAsia"/>
          <w:lang w:val="en-GB"/>
        </w:rPr>
        <w:t>干犯暴力或其他严重罪行而被捕者的数目</w:t>
      </w:r>
    </w:p>
    <w:tbl>
      <w:tblPr>
        <w:tblW w:w="7371"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987"/>
        <w:gridCol w:w="1076"/>
        <w:gridCol w:w="1077"/>
        <w:gridCol w:w="1077"/>
        <w:gridCol w:w="1077"/>
        <w:gridCol w:w="1077"/>
      </w:tblGrid>
      <w:tr w:rsidR="00D13477" w:rsidRPr="00C3060A" w:rsidTr="006C40CE">
        <w:trPr>
          <w:trHeight w:val="315"/>
          <w:jc w:val="center"/>
        </w:trPr>
        <w:tc>
          <w:tcPr>
            <w:tcW w:w="1987" w:type="dxa"/>
            <w:tcBorders>
              <w:bottom w:val="single" w:sz="12" w:space="0" w:color="auto"/>
            </w:tcBorders>
            <w:noWrap/>
            <w:tcMar>
              <w:top w:w="15" w:type="dxa"/>
              <w:left w:w="15" w:type="dxa"/>
              <w:bottom w:w="0" w:type="dxa"/>
              <w:right w:w="15" w:type="dxa"/>
            </w:tcMar>
            <w:vAlign w:val="center"/>
          </w:tcPr>
          <w:p w:rsidR="00D13477" w:rsidRPr="00C3060A" w:rsidRDefault="00D13477" w:rsidP="008D6883">
            <w:pPr>
              <w:pStyle w:val="SingleTxtGC"/>
              <w:spacing w:before="60" w:after="60" w:line="220" w:lineRule="exact"/>
              <w:ind w:left="0" w:right="0"/>
              <w:rPr>
                <w:rFonts w:eastAsia="KaiTi_GB2312"/>
                <w:sz w:val="18"/>
                <w:szCs w:val="18"/>
                <w:lang w:val="en-GB"/>
              </w:rPr>
            </w:pPr>
            <w:r w:rsidRPr="00C3060A">
              <w:rPr>
                <w:rFonts w:eastAsia="KaiTi_GB2312" w:hint="eastAsia"/>
                <w:sz w:val="18"/>
                <w:szCs w:val="18"/>
                <w:lang w:val="en-GB"/>
              </w:rPr>
              <w:t>罪行</w:t>
            </w:r>
          </w:p>
        </w:tc>
        <w:tc>
          <w:tcPr>
            <w:tcW w:w="1076" w:type="dxa"/>
            <w:tcBorders>
              <w:bottom w:val="single" w:sz="12" w:space="0" w:color="auto"/>
            </w:tcBorders>
            <w:noWrap/>
            <w:tcMar>
              <w:top w:w="15" w:type="dxa"/>
              <w:left w:w="15" w:type="dxa"/>
              <w:bottom w:w="0" w:type="dxa"/>
              <w:right w:w="15" w:type="dxa"/>
            </w:tcMar>
            <w:vAlign w:val="center"/>
          </w:tcPr>
          <w:p w:rsidR="00D13477" w:rsidRPr="008D6883" w:rsidRDefault="00D13477" w:rsidP="008D6883">
            <w:pPr>
              <w:pStyle w:val="SingleTxtGC"/>
              <w:spacing w:before="60" w:after="60" w:line="220" w:lineRule="exact"/>
              <w:ind w:left="0" w:right="57"/>
              <w:jc w:val="right"/>
              <w:rPr>
                <w:rFonts w:eastAsia="KaiTi_GB2312"/>
                <w:b/>
                <w:sz w:val="18"/>
                <w:szCs w:val="18"/>
                <w:lang w:val="en-GB"/>
              </w:rPr>
            </w:pPr>
            <w:r w:rsidRPr="008D6883">
              <w:rPr>
                <w:rFonts w:eastAsia="KaiTi_GB2312"/>
                <w:b/>
                <w:sz w:val="18"/>
                <w:szCs w:val="18"/>
                <w:lang w:val="en-GB"/>
              </w:rPr>
              <w:t>2007</w:t>
            </w:r>
          </w:p>
        </w:tc>
        <w:tc>
          <w:tcPr>
            <w:tcW w:w="1077" w:type="dxa"/>
            <w:tcBorders>
              <w:bottom w:val="single" w:sz="12" w:space="0" w:color="auto"/>
            </w:tcBorders>
            <w:noWrap/>
            <w:tcMar>
              <w:top w:w="15" w:type="dxa"/>
              <w:left w:w="15" w:type="dxa"/>
              <w:bottom w:w="0" w:type="dxa"/>
              <w:right w:w="15" w:type="dxa"/>
            </w:tcMar>
            <w:vAlign w:val="center"/>
          </w:tcPr>
          <w:p w:rsidR="00D13477" w:rsidRPr="008D6883" w:rsidRDefault="00D13477" w:rsidP="008D6883">
            <w:pPr>
              <w:pStyle w:val="SingleTxtGC"/>
              <w:spacing w:before="60" w:after="60" w:line="220" w:lineRule="exact"/>
              <w:ind w:left="0" w:right="57"/>
              <w:jc w:val="right"/>
              <w:rPr>
                <w:rFonts w:eastAsia="KaiTi_GB2312"/>
                <w:b/>
                <w:sz w:val="18"/>
                <w:szCs w:val="18"/>
                <w:lang w:val="en-GB"/>
              </w:rPr>
            </w:pPr>
            <w:r w:rsidRPr="008D6883">
              <w:rPr>
                <w:rFonts w:eastAsia="KaiTi_GB2312"/>
                <w:b/>
                <w:sz w:val="18"/>
                <w:szCs w:val="18"/>
                <w:lang w:val="en-GB"/>
              </w:rPr>
              <w:t>2008</w:t>
            </w:r>
          </w:p>
        </w:tc>
        <w:tc>
          <w:tcPr>
            <w:tcW w:w="1077" w:type="dxa"/>
            <w:tcBorders>
              <w:bottom w:val="single" w:sz="12" w:space="0" w:color="auto"/>
            </w:tcBorders>
            <w:noWrap/>
            <w:tcMar>
              <w:top w:w="15" w:type="dxa"/>
              <w:left w:w="15" w:type="dxa"/>
              <w:bottom w:w="0" w:type="dxa"/>
              <w:right w:w="15" w:type="dxa"/>
            </w:tcMar>
            <w:vAlign w:val="center"/>
          </w:tcPr>
          <w:p w:rsidR="00D13477" w:rsidRPr="008D6883" w:rsidRDefault="00D13477" w:rsidP="008D6883">
            <w:pPr>
              <w:pStyle w:val="SingleTxtGC"/>
              <w:spacing w:before="60" w:after="60" w:line="220" w:lineRule="exact"/>
              <w:ind w:left="0" w:right="57"/>
              <w:jc w:val="right"/>
              <w:rPr>
                <w:rFonts w:eastAsia="KaiTi_GB2312"/>
                <w:b/>
                <w:sz w:val="18"/>
                <w:szCs w:val="18"/>
                <w:lang w:val="en-GB"/>
              </w:rPr>
            </w:pPr>
            <w:r w:rsidRPr="008D6883">
              <w:rPr>
                <w:rFonts w:eastAsia="KaiTi_GB2312"/>
                <w:b/>
                <w:sz w:val="18"/>
                <w:szCs w:val="18"/>
                <w:lang w:val="en-GB"/>
              </w:rPr>
              <w:t>2009</w:t>
            </w:r>
          </w:p>
        </w:tc>
        <w:tc>
          <w:tcPr>
            <w:tcW w:w="1077" w:type="dxa"/>
            <w:tcBorders>
              <w:bottom w:val="single" w:sz="12" w:space="0" w:color="auto"/>
            </w:tcBorders>
            <w:vAlign w:val="center"/>
          </w:tcPr>
          <w:p w:rsidR="00D13477" w:rsidRPr="008D6883" w:rsidRDefault="00D13477" w:rsidP="008D6883">
            <w:pPr>
              <w:pStyle w:val="SingleTxtGC"/>
              <w:spacing w:before="60" w:after="60" w:line="220" w:lineRule="exact"/>
              <w:ind w:left="0" w:right="57"/>
              <w:jc w:val="right"/>
              <w:rPr>
                <w:rFonts w:eastAsia="KaiTi_GB2312"/>
                <w:b/>
                <w:sz w:val="18"/>
                <w:szCs w:val="18"/>
                <w:lang w:val="en-GB"/>
              </w:rPr>
            </w:pPr>
            <w:r w:rsidRPr="008D6883">
              <w:rPr>
                <w:rFonts w:eastAsia="KaiTi_GB2312"/>
                <w:b/>
                <w:sz w:val="18"/>
                <w:szCs w:val="18"/>
                <w:lang w:val="en-GB"/>
              </w:rPr>
              <w:t>2010</w:t>
            </w:r>
          </w:p>
        </w:tc>
        <w:tc>
          <w:tcPr>
            <w:tcW w:w="1077" w:type="dxa"/>
            <w:tcBorders>
              <w:bottom w:val="single" w:sz="12" w:space="0" w:color="auto"/>
            </w:tcBorders>
            <w:vAlign w:val="center"/>
          </w:tcPr>
          <w:p w:rsidR="00D13477" w:rsidRPr="008D6883" w:rsidRDefault="00D13477" w:rsidP="008D6883">
            <w:pPr>
              <w:pStyle w:val="SingleTxtGC"/>
              <w:spacing w:before="60" w:after="60" w:line="220" w:lineRule="exact"/>
              <w:ind w:left="0" w:right="57"/>
              <w:jc w:val="right"/>
              <w:rPr>
                <w:rFonts w:eastAsia="KaiTi_GB2312"/>
                <w:b/>
                <w:sz w:val="18"/>
                <w:szCs w:val="18"/>
                <w:lang w:val="en-GB"/>
              </w:rPr>
            </w:pPr>
            <w:r w:rsidRPr="008D6883">
              <w:rPr>
                <w:rFonts w:eastAsia="KaiTi_GB2312"/>
                <w:b/>
                <w:sz w:val="18"/>
                <w:szCs w:val="18"/>
                <w:lang w:val="en-GB"/>
              </w:rPr>
              <w:t>2011</w:t>
            </w:r>
          </w:p>
        </w:tc>
      </w:tr>
      <w:tr w:rsidR="00D13477" w:rsidRPr="00002A77" w:rsidTr="00FA5953">
        <w:trPr>
          <w:trHeight w:val="227"/>
          <w:jc w:val="center"/>
        </w:trPr>
        <w:tc>
          <w:tcPr>
            <w:tcW w:w="1987" w:type="dxa"/>
            <w:tcBorders>
              <w:top w:val="single" w:sz="12" w:space="0" w:color="auto"/>
              <w:bottom w:val="nil"/>
            </w:tcBorders>
            <w:noWrap/>
            <w:tcMar>
              <w:top w:w="15" w:type="dxa"/>
              <w:left w:w="15" w:type="dxa"/>
              <w:bottom w:w="0" w:type="dxa"/>
              <w:right w:w="15" w:type="dxa"/>
            </w:tcMar>
            <w:vAlign w:val="center"/>
          </w:tcPr>
          <w:p w:rsidR="00D13477" w:rsidRPr="00002A77" w:rsidRDefault="00D13477" w:rsidP="00DE4731">
            <w:pPr>
              <w:pStyle w:val="SingleTxtGC"/>
              <w:spacing w:before="40" w:line="240" w:lineRule="exact"/>
              <w:ind w:left="0" w:right="0"/>
              <w:rPr>
                <w:lang w:val="en-GB"/>
              </w:rPr>
            </w:pPr>
            <w:r w:rsidRPr="00002A77">
              <w:rPr>
                <w:rFonts w:hint="eastAsia"/>
                <w:lang w:val="en-GB"/>
              </w:rPr>
              <w:t>谋杀及误杀</w:t>
            </w:r>
          </w:p>
        </w:tc>
        <w:tc>
          <w:tcPr>
            <w:tcW w:w="1076" w:type="dxa"/>
            <w:tcBorders>
              <w:top w:val="single" w:sz="12" w:space="0" w:color="auto"/>
              <w:bottom w:val="nil"/>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25</w:t>
            </w:r>
          </w:p>
        </w:tc>
        <w:tc>
          <w:tcPr>
            <w:tcW w:w="1077" w:type="dxa"/>
            <w:tcBorders>
              <w:top w:val="single" w:sz="12" w:space="0" w:color="auto"/>
              <w:bottom w:val="nil"/>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42</w:t>
            </w:r>
          </w:p>
        </w:tc>
        <w:tc>
          <w:tcPr>
            <w:tcW w:w="1077" w:type="dxa"/>
            <w:tcBorders>
              <w:top w:val="single" w:sz="12" w:space="0" w:color="auto"/>
              <w:bottom w:val="nil"/>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35</w:t>
            </w:r>
          </w:p>
        </w:tc>
        <w:tc>
          <w:tcPr>
            <w:tcW w:w="1077" w:type="dxa"/>
            <w:tcBorders>
              <w:top w:val="single" w:sz="12" w:space="0" w:color="auto"/>
              <w:bottom w:val="nil"/>
            </w:tcBorders>
          </w:tcPr>
          <w:p w:rsidR="00D13477" w:rsidRPr="00002A77" w:rsidRDefault="00D13477" w:rsidP="00C3060A">
            <w:pPr>
              <w:pStyle w:val="SingleTxtGC"/>
              <w:spacing w:before="40" w:line="240" w:lineRule="exact"/>
              <w:ind w:left="0" w:right="57"/>
              <w:jc w:val="right"/>
              <w:rPr>
                <w:lang w:val="en-GB"/>
              </w:rPr>
            </w:pPr>
            <w:r>
              <w:rPr>
                <w:lang w:val="en-GB"/>
              </w:rPr>
              <w:t>35</w:t>
            </w:r>
          </w:p>
        </w:tc>
        <w:tc>
          <w:tcPr>
            <w:tcW w:w="1077" w:type="dxa"/>
            <w:tcBorders>
              <w:top w:val="single" w:sz="12" w:space="0" w:color="auto"/>
              <w:bottom w:val="nil"/>
            </w:tcBorders>
          </w:tcPr>
          <w:p w:rsidR="00D13477" w:rsidRPr="00002A77" w:rsidRDefault="00D13477" w:rsidP="00C3060A">
            <w:pPr>
              <w:pStyle w:val="SingleTxtGC"/>
              <w:spacing w:before="40" w:line="240" w:lineRule="exact"/>
              <w:ind w:left="0" w:right="57"/>
              <w:jc w:val="right"/>
              <w:rPr>
                <w:lang w:val="en-GB"/>
              </w:rPr>
            </w:pPr>
            <w:r>
              <w:rPr>
                <w:lang w:val="en-GB"/>
              </w:rPr>
              <w:t>19</w:t>
            </w:r>
          </w:p>
        </w:tc>
      </w:tr>
      <w:tr w:rsidR="00D13477" w:rsidRPr="00002A77" w:rsidTr="00FA5953">
        <w:trPr>
          <w:trHeight w:val="227"/>
          <w:jc w:val="center"/>
        </w:trPr>
        <w:tc>
          <w:tcPr>
            <w:tcW w:w="1987" w:type="dxa"/>
            <w:tcBorders>
              <w:top w:val="nil"/>
              <w:bottom w:val="nil"/>
            </w:tcBorders>
            <w:noWrap/>
            <w:tcMar>
              <w:top w:w="15" w:type="dxa"/>
              <w:left w:w="15" w:type="dxa"/>
              <w:bottom w:w="0" w:type="dxa"/>
              <w:right w:w="15" w:type="dxa"/>
            </w:tcMar>
            <w:vAlign w:val="center"/>
          </w:tcPr>
          <w:p w:rsidR="00D13477" w:rsidRPr="00002A77" w:rsidRDefault="00D13477" w:rsidP="00DE4731">
            <w:pPr>
              <w:pStyle w:val="SingleTxtGC"/>
              <w:spacing w:before="40" w:line="240" w:lineRule="exact"/>
              <w:ind w:left="0" w:right="0"/>
              <w:rPr>
                <w:lang w:val="en-GB"/>
              </w:rPr>
            </w:pPr>
            <w:r w:rsidRPr="00002A77">
              <w:rPr>
                <w:rFonts w:hint="eastAsia"/>
                <w:lang w:val="en-GB"/>
              </w:rPr>
              <w:t>伤人及严重袭击</w:t>
            </w:r>
          </w:p>
        </w:tc>
        <w:tc>
          <w:tcPr>
            <w:tcW w:w="1076" w:type="dxa"/>
            <w:tcBorders>
              <w:top w:val="nil"/>
              <w:bottom w:val="nil"/>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6</w:t>
            </w:r>
            <w:r w:rsidR="00C3060A">
              <w:rPr>
                <w:rFonts w:hint="eastAsia"/>
                <w:lang w:val="en-GB"/>
              </w:rPr>
              <w:t>,</w:t>
            </w:r>
            <w:r>
              <w:rPr>
                <w:lang w:val="en-GB"/>
              </w:rPr>
              <w:t>498</w:t>
            </w:r>
          </w:p>
        </w:tc>
        <w:tc>
          <w:tcPr>
            <w:tcW w:w="1077" w:type="dxa"/>
            <w:tcBorders>
              <w:top w:val="nil"/>
              <w:bottom w:val="nil"/>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5</w:t>
            </w:r>
            <w:r w:rsidR="00C3060A">
              <w:rPr>
                <w:rFonts w:hint="eastAsia"/>
                <w:lang w:val="en-GB"/>
              </w:rPr>
              <w:t>,</w:t>
            </w:r>
            <w:r>
              <w:rPr>
                <w:lang w:val="en-GB"/>
              </w:rPr>
              <w:t>985</w:t>
            </w:r>
          </w:p>
        </w:tc>
        <w:tc>
          <w:tcPr>
            <w:tcW w:w="1077" w:type="dxa"/>
            <w:tcBorders>
              <w:top w:val="nil"/>
              <w:bottom w:val="nil"/>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5</w:t>
            </w:r>
            <w:r w:rsidR="00C3060A">
              <w:rPr>
                <w:rFonts w:hint="eastAsia"/>
                <w:lang w:val="en-GB"/>
              </w:rPr>
              <w:t>,</w:t>
            </w:r>
            <w:r>
              <w:rPr>
                <w:lang w:val="en-GB"/>
              </w:rPr>
              <w:t>878</w:t>
            </w:r>
          </w:p>
        </w:tc>
        <w:tc>
          <w:tcPr>
            <w:tcW w:w="1077" w:type="dxa"/>
            <w:tcBorders>
              <w:top w:val="nil"/>
              <w:bottom w:val="nil"/>
            </w:tcBorders>
          </w:tcPr>
          <w:p w:rsidR="00D13477" w:rsidRPr="00002A77" w:rsidRDefault="00D13477" w:rsidP="00C3060A">
            <w:pPr>
              <w:pStyle w:val="SingleTxtGC"/>
              <w:spacing w:before="40" w:line="240" w:lineRule="exact"/>
              <w:ind w:left="0" w:right="57"/>
              <w:jc w:val="right"/>
              <w:rPr>
                <w:lang w:val="en-GB"/>
              </w:rPr>
            </w:pPr>
            <w:r>
              <w:rPr>
                <w:lang w:val="en-GB"/>
              </w:rPr>
              <w:t>5</w:t>
            </w:r>
            <w:r w:rsidR="00C3060A">
              <w:rPr>
                <w:rFonts w:hint="eastAsia"/>
                <w:lang w:val="en-GB"/>
              </w:rPr>
              <w:t>,</w:t>
            </w:r>
            <w:r>
              <w:rPr>
                <w:lang w:val="en-GB"/>
              </w:rPr>
              <w:t>225</w:t>
            </w:r>
          </w:p>
        </w:tc>
        <w:tc>
          <w:tcPr>
            <w:tcW w:w="1077" w:type="dxa"/>
            <w:tcBorders>
              <w:top w:val="nil"/>
              <w:bottom w:val="nil"/>
            </w:tcBorders>
          </w:tcPr>
          <w:p w:rsidR="00D13477" w:rsidRPr="00002A77" w:rsidRDefault="00D13477" w:rsidP="00C3060A">
            <w:pPr>
              <w:pStyle w:val="SingleTxtGC"/>
              <w:spacing w:before="40" w:line="240" w:lineRule="exact"/>
              <w:ind w:left="0" w:right="57"/>
              <w:jc w:val="right"/>
              <w:rPr>
                <w:lang w:val="en-GB"/>
              </w:rPr>
            </w:pPr>
            <w:r>
              <w:rPr>
                <w:lang w:val="en-GB"/>
              </w:rPr>
              <w:t>5</w:t>
            </w:r>
            <w:r w:rsidR="00C3060A">
              <w:rPr>
                <w:rFonts w:hint="eastAsia"/>
                <w:lang w:val="en-GB"/>
              </w:rPr>
              <w:t>,</w:t>
            </w:r>
            <w:r>
              <w:rPr>
                <w:lang w:val="en-GB"/>
              </w:rPr>
              <w:t>289</w:t>
            </w:r>
          </w:p>
        </w:tc>
      </w:tr>
      <w:tr w:rsidR="00D13477" w:rsidRPr="00002A77" w:rsidTr="00FA5953">
        <w:trPr>
          <w:trHeight w:val="227"/>
          <w:jc w:val="center"/>
        </w:trPr>
        <w:tc>
          <w:tcPr>
            <w:tcW w:w="1987" w:type="dxa"/>
            <w:tcBorders>
              <w:top w:val="nil"/>
              <w:bottom w:val="nil"/>
            </w:tcBorders>
            <w:noWrap/>
            <w:tcMar>
              <w:top w:w="15" w:type="dxa"/>
              <w:left w:w="15" w:type="dxa"/>
              <w:bottom w:w="0" w:type="dxa"/>
              <w:right w:w="15" w:type="dxa"/>
            </w:tcMar>
            <w:vAlign w:val="center"/>
          </w:tcPr>
          <w:p w:rsidR="00D13477" w:rsidRPr="00002A77" w:rsidRDefault="00D13477" w:rsidP="00FA5953">
            <w:pPr>
              <w:pStyle w:val="SingleTxtGC"/>
              <w:spacing w:before="40" w:line="240" w:lineRule="exact"/>
              <w:ind w:left="0" w:right="0"/>
              <w:rPr>
                <w:lang w:val="en-GB"/>
              </w:rPr>
            </w:pPr>
            <w:r w:rsidRPr="00002A77">
              <w:rPr>
                <w:rFonts w:hint="eastAsia"/>
                <w:lang w:val="en-GB"/>
              </w:rPr>
              <w:t>行劫</w:t>
            </w:r>
          </w:p>
        </w:tc>
        <w:tc>
          <w:tcPr>
            <w:tcW w:w="1076" w:type="dxa"/>
            <w:tcBorders>
              <w:top w:val="nil"/>
              <w:bottom w:val="nil"/>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682</w:t>
            </w:r>
          </w:p>
        </w:tc>
        <w:tc>
          <w:tcPr>
            <w:tcW w:w="1077" w:type="dxa"/>
            <w:tcBorders>
              <w:top w:val="nil"/>
              <w:bottom w:val="nil"/>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611</w:t>
            </w:r>
          </w:p>
        </w:tc>
        <w:tc>
          <w:tcPr>
            <w:tcW w:w="1077" w:type="dxa"/>
            <w:tcBorders>
              <w:top w:val="nil"/>
              <w:bottom w:val="nil"/>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428</w:t>
            </w:r>
          </w:p>
        </w:tc>
        <w:tc>
          <w:tcPr>
            <w:tcW w:w="1077" w:type="dxa"/>
            <w:tcBorders>
              <w:top w:val="nil"/>
              <w:bottom w:val="nil"/>
            </w:tcBorders>
          </w:tcPr>
          <w:p w:rsidR="00D13477" w:rsidRPr="00002A77" w:rsidRDefault="00D13477" w:rsidP="00C3060A">
            <w:pPr>
              <w:pStyle w:val="SingleTxtGC"/>
              <w:spacing w:before="40" w:line="240" w:lineRule="exact"/>
              <w:ind w:left="0" w:right="57"/>
              <w:jc w:val="right"/>
              <w:rPr>
                <w:lang w:val="en-GB"/>
              </w:rPr>
            </w:pPr>
            <w:r>
              <w:rPr>
                <w:lang w:val="en-GB"/>
              </w:rPr>
              <w:t>376</w:t>
            </w:r>
          </w:p>
        </w:tc>
        <w:tc>
          <w:tcPr>
            <w:tcW w:w="1077" w:type="dxa"/>
            <w:tcBorders>
              <w:top w:val="nil"/>
              <w:bottom w:val="nil"/>
            </w:tcBorders>
          </w:tcPr>
          <w:p w:rsidR="00D13477" w:rsidRPr="00002A77" w:rsidRDefault="00D13477" w:rsidP="00C3060A">
            <w:pPr>
              <w:pStyle w:val="SingleTxtGC"/>
              <w:spacing w:before="40" w:line="240" w:lineRule="exact"/>
              <w:ind w:left="0" w:right="57"/>
              <w:jc w:val="right"/>
              <w:rPr>
                <w:lang w:val="en-GB"/>
              </w:rPr>
            </w:pPr>
            <w:r>
              <w:rPr>
                <w:lang w:val="en-GB"/>
              </w:rPr>
              <w:t>41</w:t>
            </w:r>
            <w:r w:rsidRPr="00002A77">
              <w:rPr>
                <w:lang w:val="en-GB"/>
              </w:rPr>
              <w:t>0</w:t>
            </w:r>
          </w:p>
        </w:tc>
      </w:tr>
      <w:tr w:rsidR="00D13477" w:rsidRPr="00002A77" w:rsidTr="00FA5953">
        <w:trPr>
          <w:trHeight w:val="227"/>
          <w:jc w:val="center"/>
        </w:trPr>
        <w:tc>
          <w:tcPr>
            <w:tcW w:w="1987" w:type="dxa"/>
            <w:tcBorders>
              <w:top w:val="nil"/>
              <w:bottom w:val="single" w:sz="12" w:space="0" w:color="auto"/>
            </w:tcBorders>
            <w:noWrap/>
            <w:tcMar>
              <w:top w:w="15" w:type="dxa"/>
              <w:left w:w="15" w:type="dxa"/>
              <w:bottom w:w="0" w:type="dxa"/>
              <w:right w:w="15" w:type="dxa"/>
            </w:tcMar>
            <w:vAlign w:val="center"/>
          </w:tcPr>
          <w:p w:rsidR="00D13477" w:rsidRPr="00002A77" w:rsidRDefault="00D13477" w:rsidP="00FA5953">
            <w:pPr>
              <w:pStyle w:val="SingleTxtGC"/>
              <w:spacing w:before="40" w:line="240" w:lineRule="exact"/>
              <w:ind w:left="0" w:right="0"/>
              <w:rPr>
                <w:lang w:val="en-GB"/>
              </w:rPr>
            </w:pPr>
            <w:r w:rsidRPr="00002A77">
              <w:rPr>
                <w:rFonts w:hint="eastAsia"/>
                <w:lang w:val="en-GB"/>
              </w:rPr>
              <w:t>贩毒</w:t>
            </w:r>
          </w:p>
        </w:tc>
        <w:tc>
          <w:tcPr>
            <w:tcW w:w="1076" w:type="dxa"/>
            <w:tcBorders>
              <w:top w:val="nil"/>
              <w:bottom w:val="single" w:sz="12" w:space="0" w:color="auto"/>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1</w:t>
            </w:r>
            <w:r w:rsidR="00C3060A">
              <w:rPr>
                <w:rFonts w:hint="eastAsia"/>
                <w:lang w:val="en-GB"/>
              </w:rPr>
              <w:t>,</w:t>
            </w:r>
            <w:r>
              <w:rPr>
                <w:lang w:val="en-GB"/>
              </w:rPr>
              <w:t>42</w:t>
            </w:r>
            <w:r w:rsidRPr="00002A77">
              <w:rPr>
                <w:lang w:val="en-GB"/>
              </w:rPr>
              <w:t>0</w:t>
            </w:r>
          </w:p>
        </w:tc>
        <w:tc>
          <w:tcPr>
            <w:tcW w:w="1077" w:type="dxa"/>
            <w:tcBorders>
              <w:top w:val="nil"/>
              <w:bottom w:val="single" w:sz="12" w:space="0" w:color="auto"/>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1</w:t>
            </w:r>
            <w:r w:rsidR="00C3060A">
              <w:rPr>
                <w:rFonts w:hint="eastAsia"/>
                <w:lang w:val="en-GB"/>
              </w:rPr>
              <w:t>,</w:t>
            </w:r>
            <w:r>
              <w:rPr>
                <w:lang w:val="en-GB"/>
              </w:rPr>
              <w:t>489</w:t>
            </w:r>
          </w:p>
        </w:tc>
        <w:tc>
          <w:tcPr>
            <w:tcW w:w="1077" w:type="dxa"/>
            <w:tcBorders>
              <w:top w:val="nil"/>
              <w:bottom w:val="single" w:sz="12" w:space="0" w:color="auto"/>
            </w:tcBorders>
            <w:noWrap/>
            <w:tcMar>
              <w:top w:w="15" w:type="dxa"/>
              <w:left w:w="15" w:type="dxa"/>
              <w:bottom w:w="0" w:type="dxa"/>
              <w:right w:w="15" w:type="dxa"/>
            </w:tcMar>
            <w:vAlign w:val="center"/>
          </w:tcPr>
          <w:p w:rsidR="00D13477" w:rsidRPr="00002A77" w:rsidRDefault="00D13477" w:rsidP="00C3060A">
            <w:pPr>
              <w:pStyle w:val="SingleTxtGC"/>
              <w:spacing w:before="40" w:line="240" w:lineRule="exact"/>
              <w:ind w:left="0" w:right="57"/>
              <w:jc w:val="right"/>
              <w:rPr>
                <w:lang w:val="en-GB"/>
              </w:rPr>
            </w:pPr>
            <w:r>
              <w:rPr>
                <w:lang w:val="en-GB"/>
              </w:rPr>
              <w:t>1</w:t>
            </w:r>
            <w:r w:rsidR="00C3060A">
              <w:rPr>
                <w:rFonts w:hint="eastAsia"/>
                <w:lang w:val="en-GB"/>
              </w:rPr>
              <w:t>,</w:t>
            </w:r>
            <w:r>
              <w:rPr>
                <w:lang w:val="en-GB"/>
              </w:rPr>
              <w:t>569</w:t>
            </w:r>
          </w:p>
        </w:tc>
        <w:tc>
          <w:tcPr>
            <w:tcW w:w="1077" w:type="dxa"/>
            <w:tcBorders>
              <w:top w:val="nil"/>
              <w:bottom w:val="single" w:sz="12" w:space="0" w:color="auto"/>
            </w:tcBorders>
          </w:tcPr>
          <w:p w:rsidR="00D13477" w:rsidRPr="00002A77" w:rsidRDefault="00D13477" w:rsidP="00C3060A">
            <w:pPr>
              <w:pStyle w:val="SingleTxtGC"/>
              <w:spacing w:before="40" w:line="240" w:lineRule="exact"/>
              <w:ind w:left="0" w:right="57"/>
              <w:jc w:val="right"/>
              <w:rPr>
                <w:lang w:val="en-GB"/>
              </w:rPr>
            </w:pPr>
            <w:r>
              <w:rPr>
                <w:lang w:val="en-GB"/>
              </w:rPr>
              <w:t>1</w:t>
            </w:r>
            <w:r w:rsidR="00C3060A">
              <w:rPr>
                <w:rFonts w:hint="eastAsia"/>
                <w:lang w:val="en-GB"/>
              </w:rPr>
              <w:t>,</w:t>
            </w:r>
            <w:r>
              <w:rPr>
                <w:lang w:val="en-GB"/>
              </w:rPr>
              <w:t>413</w:t>
            </w:r>
          </w:p>
        </w:tc>
        <w:tc>
          <w:tcPr>
            <w:tcW w:w="1077" w:type="dxa"/>
            <w:tcBorders>
              <w:top w:val="nil"/>
              <w:bottom w:val="single" w:sz="12" w:space="0" w:color="auto"/>
            </w:tcBorders>
          </w:tcPr>
          <w:p w:rsidR="00D13477" w:rsidRPr="00002A77" w:rsidRDefault="00D13477" w:rsidP="00C3060A">
            <w:pPr>
              <w:pStyle w:val="SingleTxtGC"/>
              <w:spacing w:before="40" w:line="240" w:lineRule="exact"/>
              <w:ind w:left="0" w:right="57"/>
              <w:jc w:val="right"/>
              <w:rPr>
                <w:lang w:val="en-GB"/>
              </w:rPr>
            </w:pPr>
            <w:r>
              <w:rPr>
                <w:lang w:val="en-GB"/>
              </w:rPr>
              <w:t>1</w:t>
            </w:r>
            <w:r w:rsidR="00C3060A">
              <w:rPr>
                <w:rFonts w:hint="eastAsia"/>
                <w:lang w:val="en-GB"/>
              </w:rPr>
              <w:t>,</w:t>
            </w:r>
            <w:r>
              <w:rPr>
                <w:lang w:val="en-GB"/>
              </w:rPr>
              <w:t>357</w:t>
            </w:r>
          </w:p>
        </w:tc>
      </w:tr>
    </w:tbl>
    <w:p w:rsidR="00D13477" w:rsidRPr="008D6883" w:rsidRDefault="00D13477" w:rsidP="008D6883">
      <w:pPr>
        <w:pStyle w:val="SingleTxtGC"/>
        <w:spacing w:before="240"/>
        <w:rPr>
          <w:rFonts w:eastAsia="SimHei"/>
          <w:lang w:val="en-GB"/>
        </w:rPr>
      </w:pPr>
      <w:r w:rsidRPr="008D6883">
        <w:rPr>
          <w:b/>
          <w:lang w:val="en-GB"/>
        </w:rPr>
        <w:t>(c)</w:t>
      </w:r>
      <w:r w:rsidRPr="00002A77">
        <w:rPr>
          <w:lang w:val="en-GB"/>
        </w:rPr>
        <w:tab/>
      </w:r>
      <w:r w:rsidRPr="008D6883">
        <w:rPr>
          <w:rFonts w:eastAsia="SimHei" w:hint="eastAsia"/>
          <w:lang w:val="en-GB"/>
        </w:rPr>
        <w:t>涉及性罪行的呈报个案数目</w:t>
      </w:r>
    </w:p>
    <w:tbl>
      <w:tblPr>
        <w:tblW w:w="7371"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987"/>
        <w:gridCol w:w="1374"/>
        <w:gridCol w:w="1004"/>
        <w:gridCol w:w="1004"/>
        <w:gridCol w:w="1001"/>
        <w:gridCol w:w="1001"/>
      </w:tblGrid>
      <w:tr w:rsidR="00D13477" w:rsidRPr="008D6883" w:rsidTr="006C40CE">
        <w:trPr>
          <w:trHeight w:val="315"/>
          <w:jc w:val="center"/>
        </w:trPr>
        <w:tc>
          <w:tcPr>
            <w:tcW w:w="1987" w:type="dxa"/>
            <w:tcBorders>
              <w:bottom w:val="single" w:sz="12" w:space="0" w:color="auto"/>
            </w:tcBorders>
            <w:noWrap/>
            <w:tcMar>
              <w:top w:w="15" w:type="dxa"/>
              <w:left w:w="15" w:type="dxa"/>
              <w:bottom w:w="0" w:type="dxa"/>
              <w:right w:w="15" w:type="dxa"/>
            </w:tcMar>
            <w:vAlign w:val="center"/>
          </w:tcPr>
          <w:p w:rsidR="00D13477" w:rsidRPr="008D6883" w:rsidRDefault="00D13477" w:rsidP="008D6883">
            <w:pPr>
              <w:pStyle w:val="SingleTxtGC"/>
              <w:spacing w:before="60" w:after="60" w:line="220" w:lineRule="exact"/>
              <w:ind w:left="0" w:right="0"/>
              <w:rPr>
                <w:rFonts w:eastAsia="KaiTi_GB2312"/>
                <w:sz w:val="18"/>
                <w:szCs w:val="18"/>
                <w:lang w:val="en-GB"/>
              </w:rPr>
            </w:pPr>
            <w:r w:rsidRPr="008D6883">
              <w:rPr>
                <w:rFonts w:eastAsia="KaiTi_GB2312" w:hint="eastAsia"/>
                <w:sz w:val="18"/>
                <w:szCs w:val="18"/>
                <w:lang w:val="en-GB"/>
              </w:rPr>
              <w:t>罪行</w:t>
            </w:r>
          </w:p>
        </w:tc>
        <w:tc>
          <w:tcPr>
            <w:tcW w:w="1374" w:type="dxa"/>
            <w:tcBorders>
              <w:bottom w:val="single" w:sz="12" w:space="0" w:color="auto"/>
            </w:tcBorders>
            <w:noWrap/>
            <w:tcMar>
              <w:top w:w="15" w:type="dxa"/>
              <w:left w:w="15" w:type="dxa"/>
              <w:bottom w:w="0" w:type="dxa"/>
              <w:right w:w="15" w:type="dxa"/>
            </w:tcMar>
            <w:vAlign w:val="center"/>
          </w:tcPr>
          <w:p w:rsidR="00D13477" w:rsidRPr="008D6883" w:rsidRDefault="00D13477" w:rsidP="006C40CE">
            <w:pPr>
              <w:pStyle w:val="SingleTxtGC"/>
              <w:spacing w:before="60" w:after="60" w:line="220" w:lineRule="exact"/>
              <w:ind w:left="0" w:right="57"/>
              <w:jc w:val="right"/>
              <w:rPr>
                <w:rFonts w:eastAsia="KaiTi_GB2312"/>
                <w:b/>
                <w:sz w:val="18"/>
                <w:szCs w:val="18"/>
                <w:lang w:val="en-GB"/>
              </w:rPr>
            </w:pPr>
            <w:r w:rsidRPr="008D6883">
              <w:rPr>
                <w:rFonts w:eastAsia="KaiTi_GB2312"/>
                <w:b/>
                <w:sz w:val="18"/>
                <w:szCs w:val="18"/>
                <w:lang w:val="en-GB"/>
              </w:rPr>
              <w:t>2007</w:t>
            </w:r>
          </w:p>
        </w:tc>
        <w:tc>
          <w:tcPr>
            <w:tcW w:w="1004" w:type="dxa"/>
            <w:tcBorders>
              <w:bottom w:val="single" w:sz="12" w:space="0" w:color="auto"/>
            </w:tcBorders>
            <w:noWrap/>
            <w:tcMar>
              <w:top w:w="15" w:type="dxa"/>
              <w:left w:w="15" w:type="dxa"/>
              <w:bottom w:w="0" w:type="dxa"/>
              <w:right w:w="15" w:type="dxa"/>
            </w:tcMar>
            <w:vAlign w:val="center"/>
          </w:tcPr>
          <w:p w:rsidR="00D13477" w:rsidRPr="008D6883" w:rsidRDefault="00D13477" w:rsidP="006C40CE">
            <w:pPr>
              <w:pStyle w:val="SingleTxtGC"/>
              <w:spacing w:before="60" w:after="60" w:line="220" w:lineRule="exact"/>
              <w:ind w:left="0" w:right="57"/>
              <w:jc w:val="right"/>
              <w:rPr>
                <w:rFonts w:eastAsia="KaiTi_GB2312"/>
                <w:b/>
                <w:sz w:val="18"/>
                <w:szCs w:val="18"/>
                <w:lang w:val="en-GB"/>
              </w:rPr>
            </w:pPr>
            <w:r w:rsidRPr="008D6883">
              <w:rPr>
                <w:rFonts w:eastAsia="KaiTi_GB2312"/>
                <w:b/>
                <w:sz w:val="18"/>
                <w:szCs w:val="18"/>
                <w:lang w:val="en-GB"/>
              </w:rPr>
              <w:t>2008</w:t>
            </w:r>
          </w:p>
        </w:tc>
        <w:tc>
          <w:tcPr>
            <w:tcW w:w="1004" w:type="dxa"/>
            <w:tcBorders>
              <w:bottom w:val="single" w:sz="12" w:space="0" w:color="auto"/>
            </w:tcBorders>
            <w:noWrap/>
            <w:tcMar>
              <w:top w:w="15" w:type="dxa"/>
              <w:left w:w="15" w:type="dxa"/>
              <w:bottom w:w="0" w:type="dxa"/>
              <w:right w:w="15" w:type="dxa"/>
            </w:tcMar>
            <w:vAlign w:val="center"/>
          </w:tcPr>
          <w:p w:rsidR="00D13477" w:rsidRPr="008D6883" w:rsidRDefault="00D13477" w:rsidP="006C40CE">
            <w:pPr>
              <w:pStyle w:val="SingleTxtGC"/>
              <w:spacing w:before="60" w:after="60" w:line="220" w:lineRule="exact"/>
              <w:ind w:left="0" w:right="57"/>
              <w:jc w:val="right"/>
              <w:rPr>
                <w:rFonts w:eastAsia="KaiTi_GB2312"/>
                <w:b/>
                <w:sz w:val="18"/>
                <w:szCs w:val="18"/>
                <w:lang w:val="en-GB"/>
              </w:rPr>
            </w:pPr>
            <w:r w:rsidRPr="008D6883">
              <w:rPr>
                <w:rFonts w:eastAsia="KaiTi_GB2312"/>
                <w:b/>
                <w:sz w:val="18"/>
                <w:szCs w:val="18"/>
                <w:lang w:val="en-GB"/>
              </w:rPr>
              <w:t>2009</w:t>
            </w:r>
          </w:p>
        </w:tc>
        <w:tc>
          <w:tcPr>
            <w:tcW w:w="1001" w:type="dxa"/>
            <w:tcBorders>
              <w:bottom w:val="single" w:sz="12" w:space="0" w:color="auto"/>
            </w:tcBorders>
            <w:vAlign w:val="center"/>
          </w:tcPr>
          <w:p w:rsidR="00D13477" w:rsidRPr="008D6883" w:rsidRDefault="00D13477" w:rsidP="006C40CE">
            <w:pPr>
              <w:pStyle w:val="SingleTxtGC"/>
              <w:spacing w:before="60" w:after="60" w:line="220" w:lineRule="exact"/>
              <w:ind w:left="0" w:right="57"/>
              <w:jc w:val="right"/>
              <w:rPr>
                <w:rFonts w:eastAsia="KaiTi_GB2312"/>
                <w:b/>
                <w:sz w:val="18"/>
                <w:szCs w:val="18"/>
                <w:lang w:val="en-GB"/>
              </w:rPr>
            </w:pPr>
            <w:r w:rsidRPr="008D6883">
              <w:rPr>
                <w:rFonts w:eastAsia="KaiTi_GB2312"/>
                <w:b/>
                <w:sz w:val="18"/>
                <w:szCs w:val="18"/>
                <w:lang w:val="en-GB"/>
              </w:rPr>
              <w:t>2010</w:t>
            </w:r>
          </w:p>
        </w:tc>
        <w:tc>
          <w:tcPr>
            <w:tcW w:w="1001" w:type="dxa"/>
            <w:tcBorders>
              <w:bottom w:val="single" w:sz="12" w:space="0" w:color="auto"/>
            </w:tcBorders>
            <w:vAlign w:val="center"/>
          </w:tcPr>
          <w:p w:rsidR="00D13477" w:rsidRPr="008D6883" w:rsidRDefault="00D13477" w:rsidP="006C40CE">
            <w:pPr>
              <w:pStyle w:val="SingleTxtGC"/>
              <w:spacing w:before="60" w:after="60" w:line="220" w:lineRule="exact"/>
              <w:ind w:left="0" w:right="57"/>
              <w:jc w:val="right"/>
              <w:rPr>
                <w:rFonts w:eastAsia="KaiTi_GB2312"/>
                <w:b/>
                <w:sz w:val="18"/>
                <w:szCs w:val="18"/>
                <w:lang w:val="en-GB"/>
              </w:rPr>
            </w:pPr>
            <w:r w:rsidRPr="008D6883">
              <w:rPr>
                <w:rFonts w:eastAsia="KaiTi_GB2312"/>
                <w:b/>
                <w:sz w:val="18"/>
                <w:szCs w:val="18"/>
                <w:lang w:val="en-GB"/>
              </w:rPr>
              <w:t>2011</w:t>
            </w:r>
          </w:p>
        </w:tc>
      </w:tr>
      <w:tr w:rsidR="00D13477" w:rsidRPr="00002A77" w:rsidTr="00FA5953">
        <w:trPr>
          <w:trHeight w:val="227"/>
          <w:jc w:val="center"/>
        </w:trPr>
        <w:tc>
          <w:tcPr>
            <w:tcW w:w="1987" w:type="dxa"/>
            <w:tcBorders>
              <w:top w:val="single" w:sz="12" w:space="0" w:color="auto"/>
              <w:bottom w:val="nil"/>
            </w:tcBorders>
            <w:noWrap/>
            <w:tcMar>
              <w:top w:w="15" w:type="dxa"/>
              <w:left w:w="15" w:type="dxa"/>
              <w:bottom w:w="0" w:type="dxa"/>
              <w:right w:w="15" w:type="dxa"/>
            </w:tcMar>
            <w:vAlign w:val="center"/>
          </w:tcPr>
          <w:p w:rsidR="00D13477" w:rsidRPr="00002A77" w:rsidRDefault="00D13477" w:rsidP="008D6883">
            <w:pPr>
              <w:pStyle w:val="SingleTxtGC"/>
              <w:spacing w:before="40" w:line="240" w:lineRule="exact"/>
              <w:ind w:left="0" w:right="0"/>
              <w:rPr>
                <w:lang w:val="en-GB"/>
              </w:rPr>
            </w:pPr>
            <w:r w:rsidRPr="00002A77">
              <w:rPr>
                <w:rFonts w:hint="eastAsia"/>
                <w:lang w:val="en-GB"/>
              </w:rPr>
              <w:t>强奸</w:t>
            </w:r>
          </w:p>
        </w:tc>
        <w:tc>
          <w:tcPr>
            <w:tcW w:w="1374" w:type="dxa"/>
            <w:tcBorders>
              <w:top w:val="single" w:sz="12" w:space="0" w:color="auto"/>
              <w:bottom w:val="nil"/>
            </w:tcBorders>
            <w:noWrap/>
            <w:tcMar>
              <w:top w:w="15" w:type="dxa"/>
              <w:left w:w="15" w:type="dxa"/>
              <w:bottom w:w="0" w:type="dxa"/>
              <w:right w:w="15" w:type="dxa"/>
            </w:tcMar>
            <w:vAlign w:val="center"/>
          </w:tcPr>
          <w:p w:rsidR="00D13477" w:rsidRPr="00002A77" w:rsidRDefault="00D13477" w:rsidP="006C40CE">
            <w:pPr>
              <w:pStyle w:val="SingleTxtGC"/>
              <w:spacing w:before="40" w:line="240" w:lineRule="exact"/>
              <w:ind w:left="0" w:right="57"/>
              <w:jc w:val="right"/>
              <w:rPr>
                <w:lang w:val="en-GB"/>
              </w:rPr>
            </w:pPr>
            <w:r>
              <w:rPr>
                <w:lang w:val="en-GB"/>
              </w:rPr>
              <w:t>1</w:t>
            </w:r>
            <w:r w:rsidRPr="00002A77">
              <w:rPr>
                <w:lang w:val="en-GB"/>
              </w:rPr>
              <w:t>0</w:t>
            </w:r>
            <w:r>
              <w:rPr>
                <w:lang w:val="en-GB"/>
              </w:rPr>
              <w:t>7</w:t>
            </w:r>
          </w:p>
        </w:tc>
        <w:tc>
          <w:tcPr>
            <w:tcW w:w="1004" w:type="dxa"/>
            <w:tcBorders>
              <w:top w:val="single" w:sz="12" w:space="0" w:color="auto"/>
              <w:bottom w:val="nil"/>
            </w:tcBorders>
            <w:noWrap/>
            <w:tcMar>
              <w:top w:w="15" w:type="dxa"/>
              <w:left w:w="15" w:type="dxa"/>
              <w:bottom w:w="0" w:type="dxa"/>
              <w:right w:w="15" w:type="dxa"/>
            </w:tcMar>
            <w:vAlign w:val="center"/>
          </w:tcPr>
          <w:p w:rsidR="00D13477" w:rsidRPr="00002A77" w:rsidRDefault="00D13477" w:rsidP="006C40CE">
            <w:pPr>
              <w:pStyle w:val="SingleTxtGC"/>
              <w:spacing w:before="40" w:line="240" w:lineRule="exact"/>
              <w:ind w:left="0" w:right="57"/>
              <w:jc w:val="right"/>
              <w:rPr>
                <w:lang w:val="en-GB"/>
              </w:rPr>
            </w:pPr>
            <w:r>
              <w:rPr>
                <w:lang w:val="en-GB"/>
              </w:rPr>
              <w:t>1</w:t>
            </w:r>
            <w:r w:rsidRPr="00002A77">
              <w:rPr>
                <w:lang w:val="en-GB"/>
              </w:rPr>
              <w:t>0</w:t>
            </w:r>
            <w:r>
              <w:rPr>
                <w:lang w:val="en-GB"/>
              </w:rPr>
              <w:t>5</w:t>
            </w:r>
          </w:p>
        </w:tc>
        <w:tc>
          <w:tcPr>
            <w:tcW w:w="1004" w:type="dxa"/>
            <w:tcBorders>
              <w:top w:val="single" w:sz="12" w:space="0" w:color="auto"/>
              <w:bottom w:val="nil"/>
            </w:tcBorders>
            <w:noWrap/>
            <w:tcMar>
              <w:top w:w="15" w:type="dxa"/>
              <w:left w:w="15" w:type="dxa"/>
              <w:bottom w:w="0" w:type="dxa"/>
              <w:right w:w="15" w:type="dxa"/>
            </w:tcMar>
            <w:vAlign w:val="center"/>
          </w:tcPr>
          <w:p w:rsidR="00D13477" w:rsidRPr="00002A77" w:rsidRDefault="00D13477" w:rsidP="006C40CE">
            <w:pPr>
              <w:pStyle w:val="SingleTxtGC"/>
              <w:spacing w:before="40" w:line="240" w:lineRule="exact"/>
              <w:ind w:left="0" w:right="57"/>
              <w:jc w:val="right"/>
              <w:rPr>
                <w:lang w:val="en-GB"/>
              </w:rPr>
            </w:pPr>
            <w:r>
              <w:rPr>
                <w:lang w:val="en-GB"/>
              </w:rPr>
              <w:t>136</w:t>
            </w:r>
          </w:p>
        </w:tc>
        <w:tc>
          <w:tcPr>
            <w:tcW w:w="1001" w:type="dxa"/>
            <w:tcBorders>
              <w:top w:val="single" w:sz="12" w:space="0" w:color="auto"/>
              <w:bottom w:val="nil"/>
            </w:tcBorders>
          </w:tcPr>
          <w:p w:rsidR="00D13477" w:rsidRPr="00002A77" w:rsidRDefault="00D13477" w:rsidP="006C40CE">
            <w:pPr>
              <w:pStyle w:val="SingleTxtGC"/>
              <w:spacing w:before="40" w:line="240" w:lineRule="exact"/>
              <w:ind w:left="0" w:right="57"/>
              <w:jc w:val="right"/>
              <w:rPr>
                <w:lang w:val="en-GB"/>
              </w:rPr>
            </w:pPr>
            <w:r>
              <w:rPr>
                <w:lang w:val="en-GB"/>
              </w:rPr>
              <w:t>112</w:t>
            </w:r>
          </w:p>
        </w:tc>
        <w:tc>
          <w:tcPr>
            <w:tcW w:w="1001" w:type="dxa"/>
            <w:tcBorders>
              <w:top w:val="single" w:sz="12" w:space="0" w:color="auto"/>
              <w:bottom w:val="nil"/>
            </w:tcBorders>
          </w:tcPr>
          <w:p w:rsidR="00D13477" w:rsidRPr="00002A77" w:rsidRDefault="00D13477" w:rsidP="006C40CE">
            <w:pPr>
              <w:pStyle w:val="SingleTxtGC"/>
              <w:spacing w:before="40" w:line="240" w:lineRule="exact"/>
              <w:ind w:left="0" w:right="57"/>
              <w:jc w:val="right"/>
              <w:rPr>
                <w:lang w:val="en-GB"/>
              </w:rPr>
            </w:pPr>
            <w:r>
              <w:rPr>
                <w:lang w:val="en-GB"/>
              </w:rPr>
              <w:t>91</w:t>
            </w:r>
          </w:p>
        </w:tc>
      </w:tr>
      <w:tr w:rsidR="00D13477" w:rsidRPr="00002A77" w:rsidTr="00FA5953">
        <w:trPr>
          <w:trHeight w:val="227"/>
          <w:jc w:val="center"/>
        </w:trPr>
        <w:tc>
          <w:tcPr>
            <w:tcW w:w="1987" w:type="dxa"/>
            <w:tcBorders>
              <w:top w:val="nil"/>
              <w:bottom w:val="single" w:sz="12" w:space="0" w:color="auto"/>
            </w:tcBorders>
            <w:noWrap/>
            <w:tcMar>
              <w:top w:w="15" w:type="dxa"/>
              <w:left w:w="15" w:type="dxa"/>
              <w:bottom w:w="0" w:type="dxa"/>
              <w:right w:w="15" w:type="dxa"/>
            </w:tcMar>
            <w:vAlign w:val="center"/>
          </w:tcPr>
          <w:p w:rsidR="00D13477" w:rsidRPr="00002A77" w:rsidRDefault="00D13477" w:rsidP="008D6883">
            <w:pPr>
              <w:pStyle w:val="SingleTxtGC"/>
              <w:spacing w:before="40" w:line="240" w:lineRule="exact"/>
              <w:ind w:left="0" w:right="0"/>
              <w:rPr>
                <w:lang w:val="en-GB"/>
              </w:rPr>
            </w:pPr>
            <w:r w:rsidRPr="00002A77">
              <w:rPr>
                <w:rFonts w:hint="eastAsia"/>
                <w:lang w:val="en-GB"/>
              </w:rPr>
              <w:t>非礼</w:t>
            </w:r>
          </w:p>
        </w:tc>
        <w:tc>
          <w:tcPr>
            <w:tcW w:w="1374" w:type="dxa"/>
            <w:tcBorders>
              <w:top w:val="nil"/>
              <w:bottom w:val="single" w:sz="12" w:space="0" w:color="auto"/>
            </w:tcBorders>
            <w:noWrap/>
            <w:tcMar>
              <w:top w:w="15" w:type="dxa"/>
              <w:left w:w="15" w:type="dxa"/>
              <w:bottom w:w="0" w:type="dxa"/>
              <w:right w:w="15" w:type="dxa"/>
            </w:tcMar>
            <w:vAlign w:val="center"/>
          </w:tcPr>
          <w:p w:rsidR="00D13477" w:rsidRPr="00002A77" w:rsidRDefault="00D13477" w:rsidP="006C40CE">
            <w:pPr>
              <w:pStyle w:val="SingleTxtGC"/>
              <w:spacing w:before="40" w:line="240" w:lineRule="exact"/>
              <w:ind w:left="0" w:right="57"/>
              <w:jc w:val="right"/>
              <w:rPr>
                <w:lang w:val="en-GB"/>
              </w:rPr>
            </w:pPr>
            <w:r>
              <w:rPr>
                <w:lang w:val="en-GB"/>
              </w:rPr>
              <w:t>1</w:t>
            </w:r>
            <w:r w:rsidR="008D6883">
              <w:rPr>
                <w:rFonts w:hint="eastAsia"/>
                <w:lang w:val="en-GB"/>
              </w:rPr>
              <w:t>,</w:t>
            </w:r>
            <w:r>
              <w:rPr>
                <w:lang w:val="en-GB"/>
              </w:rPr>
              <w:t>39</w:t>
            </w:r>
            <w:r w:rsidRPr="00002A77">
              <w:rPr>
                <w:lang w:val="en-GB"/>
              </w:rPr>
              <w:t>0</w:t>
            </w:r>
          </w:p>
        </w:tc>
        <w:tc>
          <w:tcPr>
            <w:tcW w:w="1004" w:type="dxa"/>
            <w:tcBorders>
              <w:top w:val="nil"/>
              <w:bottom w:val="single" w:sz="12" w:space="0" w:color="auto"/>
            </w:tcBorders>
            <w:noWrap/>
            <w:tcMar>
              <w:top w:w="15" w:type="dxa"/>
              <w:left w:w="15" w:type="dxa"/>
              <w:bottom w:w="0" w:type="dxa"/>
              <w:right w:w="15" w:type="dxa"/>
            </w:tcMar>
            <w:vAlign w:val="center"/>
          </w:tcPr>
          <w:p w:rsidR="00D13477" w:rsidRPr="00002A77" w:rsidRDefault="00D13477" w:rsidP="006C40CE">
            <w:pPr>
              <w:pStyle w:val="SingleTxtGC"/>
              <w:spacing w:before="40" w:line="240" w:lineRule="exact"/>
              <w:ind w:left="0" w:right="57"/>
              <w:jc w:val="right"/>
              <w:rPr>
                <w:lang w:val="en-GB"/>
              </w:rPr>
            </w:pPr>
            <w:r>
              <w:rPr>
                <w:lang w:val="en-GB"/>
              </w:rPr>
              <w:t>1</w:t>
            </w:r>
            <w:r w:rsidR="008D6883">
              <w:rPr>
                <w:rFonts w:hint="eastAsia"/>
                <w:lang w:val="en-GB"/>
              </w:rPr>
              <w:t>,</w:t>
            </w:r>
            <w:r>
              <w:rPr>
                <w:lang w:val="en-GB"/>
              </w:rPr>
              <w:t>381</w:t>
            </w:r>
          </w:p>
        </w:tc>
        <w:tc>
          <w:tcPr>
            <w:tcW w:w="1004" w:type="dxa"/>
            <w:tcBorders>
              <w:top w:val="nil"/>
              <w:bottom w:val="single" w:sz="12" w:space="0" w:color="auto"/>
            </w:tcBorders>
            <w:noWrap/>
            <w:tcMar>
              <w:top w:w="15" w:type="dxa"/>
              <w:left w:w="15" w:type="dxa"/>
              <w:bottom w:w="0" w:type="dxa"/>
              <w:right w:w="15" w:type="dxa"/>
            </w:tcMar>
            <w:vAlign w:val="center"/>
          </w:tcPr>
          <w:p w:rsidR="00D13477" w:rsidRPr="00002A77" w:rsidRDefault="00D13477" w:rsidP="006C40CE">
            <w:pPr>
              <w:pStyle w:val="SingleTxtGC"/>
              <w:spacing w:before="40" w:line="240" w:lineRule="exact"/>
              <w:ind w:left="0" w:right="57"/>
              <w:jc w:val="right"/>
              <w:rPr>
                <w:lang w:val="en-GB"/>
              </w:rPr>
            </w:pPr>
            <w:r>
              <w:rPr>
                <w:lang w:val="en-GB"/>
              </w:rPr>
              <w:t>1</w:t>
            </w:r>
            <w:r w:rsidR="008D6883">
              <w:rPr>
                <w:rFonts w:hint="eastAsia"/>
                <w:lang w:val="en-GB"/>
              </w:rPr>
              <w:t>,</w:t>
            </w:r>
            <w:r>
              <w:rPr>
                <w:lang w:val="en-GB"/>
              </w:rPr>
              <w:t>318</w:t>
            </w:r>
          </w:p>
        </w:tc>
        <w:tc>
          <w:tcPr>
            <w:tcW w:w="1001" w:type="dxa"/>
            <w:tcBorders>
              <w:top w:val="nil"/>
              <w:bottom w:val="single" w:sz="12" w:space="0" w:color="auto"/>
            </w:tcBorders>
          </w:tcPr>
          <w:p w:rsidR="00D13477" w:rsidRPr="00002A77" w:rsidRDefault="00D13477" w:rsidP="006C40CE">
            <w:pPr>
              <w:pStyle w:val="SingleTxtGC"/>
              <w:spacing w:before="40" w:line="240" w:lineRule="exact"/>
              <w:ind w:left="0" w:right="57"/>
              <w:jc w:val="right"/>
              <w:rPr>
                <w:lang w:val="en-GB"/>
              </w:rPr>
            </w:pPr>
            <w:r>
              <w:rPr>
                <w:lang w:val="en-GB"/>
              </w:rPr>
              <w:t>1</w:t>
            </w:r>
            <w:r w:rsidR="008D6883">
              <w:rPr>
                <w:rFonts w:hint="eastAsia"/>
                <w:lang w:val="en-GB"/>
              </w:rPr>
              <w:t>,</w:t>
            </w:r>
            <w:r>
              <w:rPr>
                <w:lang w:val="en-GB"/>
              </w:rPr>
              <w:t>448</w:t>
            </w:r>
          </w:p>
        </w:tc>
        <w:tc>
          <w:tcPr>
            <w:tcW w:w="1001" w:type="dxa"/>
            <w:tcBorders>
              <w:top w:val="nil"/>
              <w:bottom w:val="single" w:sz="12" w:space="0" w:color="auto"/>
            </w:tcBorders>
          </w:tcPr>
          <w:p w:rsidR="00D13477" w:rsidRPr="00002A77" w:rsidRDefault="00D13477" w:rsidP="006C40CE">
            <w:pPr>
              <w:pStyle w:val="SingleTxtGC"/>
              <w:spacing w:before="40" w:line="240" w:lineRule="exact"/>
              <w:ind w:left="0" w:right="57"/>
              <w:jc w:val="right"/>
              <w:rPr>
                <w:lang w:val="en-GB"/>
              </w:rPr>
            </w:pPr>
            <w:r>
              <w:rPr>
                <w:lang w:val="en-GB"/>
              </w:rPr>
              <w:t>1</w:t>
            </w:r>
            <w:r w:rsidR="008D6883">
              <w:rPr>
                <w:rFonts w:hint="eastAsia"/>
                <w:lang w:val="en-GB"/>
              </w:rPr>
              <w:t>,</w:t>
            </w:r>
            <w:r>
              <w:rPr>
                <w:lang w:val="en-GB"/>
              </w:rPr>
              <w:t>415</w:t>
            </w:r>
          </w:p>
        </w:tc>
      </w:tr>
    </w:tbl>
    <w:p w:rsidR="00D13477" w:rsidRPr="008D6883" w:rsidRDefault="00D13477" w:rsidP="008D6883">
      <w:pPr>
        <w:pStyle w:val="SingleTxtGC"/>
        <w:spacing w:before="240"/>
        <w:rPr>
          <w:rFonts w:eastAsia="SimHei"/>
          <w:lang w:val="en-GB"/>
        </w:rPr>
      </w:pPr>
      <w:r w:rsidRPr="008D6883">
        <w:rPr>
          <w:b/>
          <w:lang w:val="en-GB"/>
        </w:rPr>
        <w:t>(d)</w:t>
      </w:r>
      <w:r w:rsidRPr="00002A77">
        <w:rPr>
          <w:lang w:val="en-GB"/>
        </w:rPr>
        <w:tab/>
      </w:r>
      <w:r w:rsidRPr="008D6883">
        <w:rPr>
          <w:rFonts w:eastAsia="SimHei" w:hint="eastAsia"/>
          <w:lang w:val="en-GB"/>
        </w:rPr>
        <w:t>按每</w:t>
      </w:r>
      <w:r w:rsidRPr="008D6883">
        <w:rPr>
          <w:rFonts w:eastAsia="SimHei"/>
          <w:b/>
          <w:lang w:val="en-GB"/>
        </w:rPr>
        <w:t>100</w:t>
      </w:r>
      <w:r w:rsidR="008D6883">
        <w:rPr>
          <w:rFonts w:eastAsia="SimHei" w:hint="eastAsia"/>
          <w:b/>
          <w:lang w:val="en-GB"/>
        </w:rPr>
        <w:t>,</w:t>
      </w:r>
      <w:r w:rsidRPr="008D6883">
        <w:rPr>
          <w:rFonts w:eastAsia="SimHei"/>
          <w:b/>
          <w:lang w:val="en-GB"/>
        </w:rPr>
        <w:t>000</w:t>
      </w:r>
      <w:r w:rsidRPr="008D6883">
        <w:rPr>
          <w:rFonts w:eastAsia="SimHei" w:hint="eastAsia"/>
          <w:lang w:val="en-GB"/>
        </w:rPr>
        <w:t>人计的警务人员数目</w:t>
      </w:r>
    </w:p>
    <w:tbl>
      <w:tblPr>
        <w:tblW w:w="7371" w:type="dxa"/>
        <w:jc w:val="center"/>
        <w:tblLayout w:type="fixed"/>
        <w:tblCellMar>
          <w:left w:w="0" w:type="dxa"/>
          <w:right w:w="0" w:type="dxa"/>
        </w:tblCellMar>
        <w:tblLook w:val="0000"/>
      </w:tblPr>
      <w:tblGrid>
        <w:gridCol w:w="1987"/>
        <w:gridCol w:w="1076"/>
        <w:gridCol w:w="1077"/>
        <w:gridCol w:w="1077"/>
        <w:gridCol w:w="1077"/>
        <w:gridCol w:w="1077"/>
      </w:tblGrid>
      <w:tr w:rsidR="00D13477" w:rsidRPr="008D6883" w:rsidTr="006C40CE">
        <w:trPr>
          <w:trHeight w:val="315"/>
          <w:jc w:val="center"/>
        </w:trPr>
        <w:tc>
          <w:tcPr>
            <w:tcW w:w="1987" w:type="dxa"/>
            <w:tcBorders>
              <w:top w:val="single" w:sz="4" w:space="0" w:color="auto"/>
              <w:bottom w:val="single" w:sz="12" w:space="0" w:color="auto"/>
            </w:tcBorders>
            <w:noWrap/>
            <w:tcMar>
              <w:top w:w="15" w:type="dxa"/>
              <w:left w:w="15" w:type="dxa"/>
              <w:bottom w:w="0" w:type="dxa"/>
              <w:right w:w="15" w:type="dxa"/>
            </w:tcMar>
            <w:vAlign w:val="center"/>
          </w:tcPr>
          <w:p w:rsidR="00D13477" w:rsidRPr="008D6883" w:rsidRDefault="00D13477" w:rsidP="006C40CE">
            <w:pPr>
              <w:pStyle w:val="SingleTxtGC"/>
              <w:spacing w:before="60" w:after="60" w:line="220" w:lineRule="exact"/>
              <w:ind w:left="0" w:right="0"/>
              <w:rPr>
                <w:b/>
                <w:sz w:val="18"/>
                <w:szCs w:val="18"/>
                <w:lang w:val="en-GB"/>
              </w:rPr>
            </w:pPr>
          </w:p>
        </w:tc>
        <w:tc>
          <w:tcPr>
            <w:tcW w:w="1076" w:type="dxa"/>
            <w:tcBorders>
              <w:top w:val="single" w:sz="4" w:space="0" w:color="auto"/>
              <w:bottom w:val="single" w:sz="12" w:space="0" w:color="auto"/>
            </w:tcBorders>
            <w:noWrap/>
            <w:tcMar>
              <w:top w:w="15" w:type="dxa"/>
              <w:left w:w="15" w:type="dxa"/>
              <w:bottom w:w="0" w:type="dxa"/>
              <w:right w:w="15" w:type="dxa"/>
            </w:tcMar>
            <w:vAlign w:val="center"/>
          </w:tcPr>
          <w:p w:rsidR="00D13477" w:rsidRPr="008D6883" w:rsidRDefault="00D13477" w:rsidP="006C40CE">
            <w:pPr>
              <w:pStyle w:val="SingleTxtGC"/>
              <w:spacing w:before="60" w:after="60" w:line="220" w:lineRule="exact"/>
              <w:ind w:left="0" w:right="0"/>
              <w:jc w:val="right"/>
              <w:rPr>
                <w:b/>
                <w:sz w:val="18"/>
                <w:szCs w:val="18"/>
                <w:lang w:val="en-GB"/>
              </w:rPr>
            </w:pPr>
            <w:r w:rsidRPr="008D6883">
              <w:rPr>
                <w:b/>
                <w:sz w:val="18"/>
                <w:szCs w:val="18"/>
                <w:lang w:val="en-GB"/>
              </w:rPr>
              <w:t>2007</w:t>
            </w:r>
          </w:p>
        </w:tc>
        <w:tc>
          <w:tcPr>
            <w:tcW w:w="1077" w:type="dxa"/>
            <w:tcBorders>
              <w:top w:val="single" w:sz="4" w:space="0" w:color="auto"/>
              <w:bottom w:val="single" w:sz="12" w:space="0" w:color="auto"/>
            </w:tcBorders>
            <w:noWrap/>
            <w:tcMar>
              <w:top w:w="15" w:type="dxa"/>
              <w:left w:w="15" w:type="dxa"/>
              <w:bottom w:w="0" w:type="dxa"/>
              <w:right w:w="15" w:type="dxa"/>
            </w:tcMar>
            <w:vAlign w:val="center"/>
          </w:tcPr>
          <w:p w:rsidR="00D13477" w:rsidRPr="008D6883" w:rsidRDefault="00D13477" w:rsidP="006C40CE">
            <w:pPr>
              <w:pStyle w:val="SingleTxtGC"/>
              <w:spacing w:before="60" w:after="60" w:line="220" w:lineRule="exact"/>
              <w:ind w:left="0" w:right="0"/>
              <w:jc w:val="right"/>
              <w:rPr>
                <w:b/>
                <w:sz w:val="18"/>
                <w:szCs w:val="18"/>
                <w:lang w:val="en-GB"/>
              </w:rPr>
            </w:pPr>
            <w:r w:rsidRPr="008D6883">
              <w:rPr>
                <w:b/>
                <w:sz w:val="18"/>
                <w:szCs w:val="18"/>
                <w:lang w:val="en-GB"/>
              </w:rPr>
              <w:t>2008</w:t>
            </w:r>
          </w:p>
        </w:tc>
        <w:tc>
          <w:tcPr>
            <w:tcW w:w="1077" w:type="dxa"/>
            <w:tcBorders>
              <w:top w:val="single" w:sz="4" w:space="0" w:color="auto"/>
              <w:bottom w:val="single" w:sz="12" w:space="0" w:color="auto"/>
            </w:tcBorders>
            <w:noWrap/>
            <w:tcMar>
              <w:top w:w="15" w:type="dxa"/>
              <w:left w:w="15" w:type="dxa"/>
              <w:bottom w:w="0" w:type="dxa"/>
              <w:right w:w="15" w:type="dxa"/>
            </w:tcMar>
            <w:vAlign w:val="center"/>
          </w:tcPr>
          <w:p w:rsidR="00D13477" w:rsidRPr="008D6883" w:rsidRDefault="00D13477" w:rsidP="006C40CE">
            <w:pPr>
              <w:pStyle w:val="SingleTxtGC"/>
              <w:spacing w:before="60" w:after="60" w:line="220" w:lineRule="exact"/>
              <w:ind w:left="0" w:right="0"/>
              <w:jc w:val="right"/>
              <w:rPr>
                <w:b/>
                <w:sz w:val="18"/>
                <w:szCs w:val="18"/>
                <w:lang w:val="en-GB"/>
              </w:rPr>
            </w:pPr>
            <w:r w:rsidRPr="008D6883">
              <w:rPr>
                <w:b/>
                <w:sz w:val="18"/>
                <w:szCs w:val="18"/>
                <w:lang w:val="en-GB"/>
              </w:rPr>
              <w:t>2009</w:t>
            </w:r>
          </w:p>
        </w:tc>
        <w:tc>
          <w:tcPr>
            <w:tcW w:w="1077" w:type="dxa"/>
            <w:tcBorders>
              <w:top w:val="single" w:sz="4" w:space="0" w:color="auto"/>
              <w:bottom w:val="single" w:sz="12" w:space="0" w:color="auto"/>
            </w:tcBorders>
            <w:vAlign w:val="center"/>
          </w:tcPr>
          <w:p w:rsidR="00D13477" w:rsidRPr="008D6883" w:rsidRDefault="00D13477" w:rsidP="006C40CE">
            <w:pPr>
              <w:pStyle w:val="SingleTxtGC"/>
              <w:spacing w:before="60" w:after="60" w:line="220" w:lineRule="exact"/>
              <w:ind w:left="0" w:right="0"/>
              <w:jc w:val="right"/>
              <w:rPr>
                <w:b/>
                <w:sz w:val="18"/>
                <w:szCs w:val="18"/>
                <w:lang w:val="en-GB"/>
              </w:rPr>
            </w:pPr>
            <w:r w:rsidRPr="008D6883">
              <w:rPr>
                <w:b/>
                <w:sz w:val="18"/>
                <w:szCs w:val="18"/>
                <w:lang w:val="en-GB"/>
              </w:rPr>
              <w:t>2010</w:t>
            </w:r>
          </w:p>
        </w:tc>
        <w:tc>
          <w:tcPr>
            <w:tcW w:w="1077" w:type="dxa"/>
            <w:tcBorders>
              <w:top w:val="single" w:sz="4" w:space="0" w:color="auto"/>
              <w:bottom w:val="single" w:sz="12" w:space="0" w:color="auto"/>
            </w:tcBorders>
            <w:vAlign w:val="center"/>
          </w:tcPr>
          <w:p w:rsidR="00D13477" w:rsidRPr="008D6883" w:rsidRDefault="00D13477" w:rsidP="006C40CE">
            <w:pPr>
              <w:pStyle w:val="SingleTxtGC"/>
              <w:spacing w:before="60" w:after="60" w:line="220" w:lineRule="exact"/>
              <w:ind w:left="0" w:right="0"/>
              <w:jc w:val="right"/>
              <w:rPr>
                <w:b/>
                <w:sz w:val="18"/>
                <w:szCs w:val="18"/>
                <w:lang w:val="en-GB"/>
              </w:rPr>
            </w:pPr>
            <w:r w:rsidRPr="008D6883">
              <w:rPr>
                <w:b/>
                <w:sz w:val="18"/>
                <w:szCs w:val="18"/>
                <w:lang w:val="en-GB"/>
              </w:rPr>
              <w:t>2011</w:t>
            </w:r>
          </w:p>
        </w:tc>
      </w:tr>
      <w:tr w:rsidR="00D13477" w:rsidRPr="00002A77" w:rsidTr="006C40CE">
        <w:trPr>
          <w:trHeight w:val="315"/>
          <w:jc w:val="center"/>
        </w:trPr>
        <w:tc>
          <w:tcPr>
            <w:tcW w:w="1987" w:type="dxa"/>
            <w:tcBorders>
              <w:top w:val="single" w:sz="12" w:space="0" w:color="auto"/>
              <w:bottom w:val="single" w:sz="12" w:space="0" w:color="auto"/>
            </w:tcBorders>
            <w:noWrap/>
            <w:tcMar>
              <w:top w:w="15" w:type="dxa"/>
              <w:left w:w="15" w:type="dxa"/>
              <w:bottom w:w="0" w:type="dxa"/>
              <w:right w:w="15" w:type="dxa"/>
            </w:tcMar>
            <w:vAlign w:val="center"/>
          </w:tcPr>
          <w:p w:rsidR="00D13477" w:rsidRPr="00002A77" w:rsidRDefault="00D13477" w:rsidP="00DE4731">
            <w:pPr>
              <w:pStyle w:val="SingleTxtGC"/>
              <w:spacing w:before="40" w:line="240" w:lineRule="exact"/>
              <w:ind w:left="0" w:right="0"/>
              <w:rPr>
                <w:lang w:val="en-GB"/>
              </w:rPr>
            </w:pPr>
            <w:r w:rsidRPr="00002A77">
              <w:rPr>
                <w:rFonts w:hint="eastAsia"/>
                <w:lang w:val="en-GB"/>
              </w:rPr>
              <w:t>警务人员</w:t>
            </w:r>
          </w:p>
        </w:tc>
        <w:tc>
          <w:tcPr>
            <w:tcW w:w="1076" w:type="dxa"/>
            <w:tcBorders>
              <w:top w:val="single" w:sz="12" w:space="0" w:color="auto"/>
              <w:bottom w:val="single" w:sz="12" w:space="0" w:color="auto"/>
            </w:tcBorders>
            <w:noWrap/>
            <w:tcMar>
              <w:top w:w="15" w:type="dxa"/>
              <w:left w:w="15" w:type="dxa"/>
              <w:bottom w:w="0" w:type="dxa"/>
              <w:right w:w="15" w:type="dxa"/>
            </w:tcMar>
            <w:vAlign w:val="center"/>
          </w:tcPr>
          <w:p w:rsidR="00D13477" w:rsidRPr="00002A77" w:rsidRDefault="00D13477" w:rsidP="006C40CE">
            <w:pPr>
              <w:pStyle w:val="SingleTxtGC"/>
              <w:spacing w:before="40" w:line="240" w:lineRule="exact"/>
              <w:ind w:left="0" w:right="0"/>
              <w:jc w:val="right"/>
              <w:rPr>
                <w:lang w:val="en-GB"/>
              </w:rPr>
            </w:pPr>
            <w:r>
              <w:rPr>
                <w:lang w:val="en-GB"/>
              </w:rPr>
              <w:t>395</w:t>
            </w:r>
            <w:r w:rsidRPr="00002A77">
              <w:rPr>
                <w:lang w:val="en-GB"/>
              </w:rPr>
              <w:t>.</w:t>
            </w:r>
            <w:r>
              <w:rPr>
                <w:lang w:val="en-GB"/>
              </w:rPr>
              <w:t>3</w:t>
            </w:r>
          </w:p>
        </w:tc>
        <w:tc>
          <w:tcPr>
            <w:tcW w:w="1077" w:type="dxa"/>
            <w:tcBorders>
              <w:top w:val="single" w:sz="12" w:space="0" w:color="auto"/>
              <w:bottom w:val="single" w:sz="12" w:space="0" w:color="auto"/>
            </w:tcBorders>
            <w:noWrap/>
            <w:tcMar>
              <w:top w:w="15" w:type="dxa"/>
              <w:left w:w="15" w:type="dxa"/>
              <w:bottom w:w="0" w:type="dxa"/>
              <w:right w:w="15" w:type="dxa"/>
            </w:tcMar>
            <w:vAlign w:val="center"/>
          </w:tcPr>
          <w:p w:rsidR="00D13477" w:rsidRPr="00002A77" w:rsidRDefault="00D13477" w:rsidP="006C40CE">
            <w:pPr>
              <w:pStyle w:val="SingleTxtGC"/>
              <w:spacing w:before="40" w:line="240" w:lineRule="exact"/>
              <w:ind w:left="0" w:right="0"/>
              <w:jc w:val="right"/>
              <w:rPr>
                <w:lang w:val="en-GB"/>
              </w:rPr>
            </w:pPr>
            <w:r>
              <w:rPr>
                <w:lang w:val="en-GB"/>
              </w:rPr>
              <w:t>392</w:t>
            </w:r>
            <w:r w:rsidRPr="00002A77">
              <w:rPr>
                <w:lang w:val="en-GB"/>
              </w:rPr>
              <w:t>.</w:t>
            </w:r>
            <w:r>
              <w:rPr>
                <w:lang w:val="en-GB"/>
              </w:rPr>
              <w:t>9</w:t>
            </w:r>
          </w:p>
        </w:tc>
        <w:tc>
          <w:tcPr>
            <w:tcW w:w="1077" w:type="dxa"/>
            <w:tcBorders>
              <w:top w:val="single" w:sz="12" w:space="0" w:color="auto"/>
              <w:bottom w:val="single" w:sz="12" w:space="0" w:color="auto"/>
            </w:tcBorders>
            <w:noWrap/>
            <w:tcMar>
              <w:top w:w="15" w:type="dxa"/>
              <w:left w:w="15" w:type="dxa"/>
              <w:bottom w:w="0" w:type="dxa"/>
              <w:right w:w="15" w:type="dxa"/>
            </w:tcMar>
            <w:vAlign w:val="center"/>
          </w:tcPr>
          <w:p w:rsidR="00D13477" w:rsidRPr="00002A77" w:rsidRDefault="00D13477" w:rsidP="006C40CE">
            <w:pPr>
              <w:pStyle w:val="SingleTxtGC"/>
              <w:spacing w:before="40" w:line="240" w:lineRule="exact"/>
              <w:ind w:left="0" w:right="0"/>
              <w:jc w:val="right"/>
              <w:rPr>
                <w:lang w:val="en-GB"/>
              </w:rPr>
            </w:pPr>
            <w:r>
              <w:rPr>
                <w:lang w:val="en-GB"/>
              </w:rPr>
              <w:t>397</w:t>
            </w:r>
            <w:r w:rsidRPr="00002A77">
              <w:rPr>
                <w:lang w:val="en-GB"/>
              </w:rPr>
              <w:t>.</w:t>
            </w:r>
            <w:r>
              <w:rPr>
                <w:lang w:val="en-GB"/>
              </w:rPr>
              <w:t>9</w:t>
            </w:r>
          </w:p>
        </w:tc>
        <w:tc>
          <w:tcPr>
            <w:tcW w:w="1077" w:type="dxa"/>
            <w:tcBorders>
              <w:top w:val="single" w:sz="12" w:space="0" w:color="auto"/>
              <w:bottom w:val="single" w:sz="12" w:space="0" w:color="auto"/>
            </w:tcBorders>
          </w:tcPr>
          <w:p w:rsidR="00D13477" w:rsidRPr="00002A77" w:rsidRDefault="00D13477" w:rsidP="006C40CE">
            <w:pPr>
              <w:pStyle w:val="SingleTxtGC"/>
              <w:spacing w:before="40" w:line="240" w:lineRule="exact"/>
              <w:ind w:left="0" w:right="0"/>
              <w:jc w:val="right"/>
              <w:rPr>
                <w:lang w:val="en-GB"/>
              </w:rPr>
            </w:pPr>
            <w:r>
              <w:rPr>
                <w:lang w:val="en-GB"/>
              </w:rPr>
              <w:t>397</w:t>
            </w:r>
            <w:r w:rsidRPr="00002A77">
              <w:rPr>
                <w:lang w:val="en-GB"/>
              </w:rPr>
              <w:t>.</w:t>
            </w:r>
            <w:r>
              <w:rPr>
                <w:lang w:val="en-GB"/>
              </w:rPr>
              <w:t>4</w:t>
            </w:r>
          </w:p>
        </w:tc>
        <w:tc>
          <w:tcPr>
            <w:tcW w:w="1077" w:type="dxa"/>
            <w:tcBorders>
              <w:top w:val="single" w:sz="12" w:space="0" w:color="auto"/>
              <w:bottom w:val="single" w:sz="12" w:space="0" w:color="auto"/>
            </w:tcBorders>
          </w:tcPr>
          <w:p w:rsidR="00D13477" w:rsidRPr="00002A77" w:rsidRDefault="00D13477" w:rsidP="006C40CE">
            <w:pPr>
              <w:pStyle w:val="SingleTxtGC"/>
              <w:spacing w:before="40" w:line="240" w:lineRule="exact"/>
              <w:ind w:left="0" w:right="0"/>
              <w:jc w:val="right"/>
              <w:rPr>
                <w:lang w:val="en-GB"/>
              </w:rPr>
            </w:pPr>
            <w:r>
              <w:rPr>
                <w:lang w:val="en-GB"/>
              </w:rPr>
              <w:t>398</w:t>
            </w:r>
            <w:r w:rsidRPr="00002A77">
              <w:rPr>
                <w:lang w:val="en-GB"/>
              </w:rPr>
              <w:t>.</w:t>
            </w:r>
            <w:r>
              <w:rPr>
                <w:lang w:val="en-GB"/>
              </w:rPr>
              <w:t>6</w:t>
            </w:r>
          </w:p>
        </w:tc>
      </w:tr>
    </w:tbl>
    <w:p w:rsidR="00D13477" w:rsidRPr="006C40CE" w:rsidRDefault="00D13477" w:rsidP="006C40CE">
      <w:pPr>
        <w:pStyle w:val="SingleTxtGC"/>
        <w:spacing w:before="240"/>
        <w:rPr>
          <w:rFonts w:eastAsia="SimHei" w:hint="eastAsia"/>
          <w:lang w:val="en-GB"/>
        </w:rPr>
      </w:pPr>
      <w:r w:rsidRPr="006C40CE">
        <w:rPr>
          <w:b/>
          <w:lang w:val="en-GB"/>
        </w:rPr>
        <w:t>(e)</w:t>
      </w:r>
      <w:r w:rsidRPr="00002A77">
        <w:rPr>
          <w:lang w:val="en-GB"/>
        </w:rPr>
        <w:tab/>
      </w:r>
      <w:r w:rsidRPr="006C40CE">
        <w:rPr>
          <w:rFonts w:eastAsia="SimHei" w:hint="eastAsia"/>
          <w:lang w:val="en-GB"/>
        </w:rPr>
        <w:t>法官及司法人员数目</w:t>
      </w:r>
    </w:p>
    <w:tbl>
      <w:tblPr>
        <w:tblW w:w="7371" w:type="dxa"/>
        <w:jc w:val="center"/>
        <w:tblLayout w:type="fixed"/>
        <w:tblCellMar>
          <w:left w:w="0" w:type="dxa"/>
          <w:right w:w="0" w:type="dxa"/>
        </w:tblCellMar>
        <w:tblLook w:val="0000"/>
      </w:tblPr>
      <w:tblGrid>
        <w:gridCol w:w="1987"/>
        <w:gridCol w:w="1076"/>
        <w:gridCol w:w="1077"/>
        <w:gridCol w:w="1077"/>
        <w:gridCol w:w="1077"/>
        <w:gridCol w:w="1077"/>
      </w:tblGrid>
      <w:tr w:rsidR="00D13477" w:rsidRPr="006C40CE" w:rsidTr="006C40CE">
        <w:trPr>
          <w:trHeight w:val="315"/>
          <w:jc w:val="center"/>
        </w:trPr>
        <w:tc>
          <w:tcPr>
            <w:tcW w:w="1987" w:type="dxa"/>
            <w:tcBorders>
              <w:top w:val="single" w:sz="4" w:space="0" w:color="auto"/>
              <w:bottom w:val="single" w:sz="12" w:space="0" w:color="auto"/>
            </w:tcBorders>
            <w:noWrap/>
            <w:tcMar>
              <w:top w:w="15" w:type="dxa"/>
              <w:left w:w="15" w:type="dxa"/>
              <w:bottom w:w="0" w:type="dxa"/>
              <w:right w:w="15" w:type="dxa"/>
            </w:tcMar>
            <w:vAlign w:val="center"/>
          </w:tcPr>
          <w:p w:rsidR="00D13477" w:rsidRPr="006C40CE" w:rsidRDefault="00D13477" w:rsidP="006C40CE">
            <w:pPr>
              <w:pStyle w:val="SingleTxtGC"/>
              <w:spacing w:before="60" w:after="60" w:line="220" w:lineRule="exact"/>
              <w:ind w:left="0" w:right="0"/>
              <w:rPr>
                <w:b/>
                <w:sz w:val="18"/>
                <w:szCs w:val="18"/>
                <w:lang w:val="en-GB"/>
              </w:rPr>
            </w:pPr>
          </w:p>
        </w:tc>
        <w:tc>
          <w:tcPr>
            <w:tcW w:w="1076" w:type="dxa"/>
            <w:tcBorders>
              <w:top w:val="single" w:sz="4" w:space="0" w:color="auto"/>
              <w:bottom w:val="single" w:sz="12" w:space="0" w:color="auto"/>
            </w:tcBorders>
            <w:vAlign w:val="center"/>
          </w:tcPr>
          <w:p w:rsidR="00D13477" w:rsidRPr="006C40CE" w:rsidRDefault="00D13477" w:rsidP="006C40CE">
            <w:pPr>
              <w:pStyle w:val="SingleTxtGC"/>
              <w:spacing w:before="60" w:after="60" w:line="220" w:lineRule="exact"/>
              <w:ind w:left="0" w:right="57"/>
              <w:jc w:val="right"/>
              <w:rPr>
                <w:b/>
                <w:sz w:val="18"/>
                <w:szCs w:val="18"/>
                <w:lang w:val="en-GB"/>
              </w:rPr>
            </w:pPr>
            <w:r w:rsidRPr="006C40CE">
              <w:rPr>
                <w:b/>
                <w:sz w:val="18"/>
                <w:szCs w:val="18"/>
                <w:lang w:val="en-GB"/>
              </w:rPr>
              <w:t>2007</w:t>
            </w:r>
          </w:p>
        </w:tc>
        <w:tc>
          <w:tcPr>
            <w:tcW w:w="1077" w:type="dxa"/>
            <w:tcBorders>
              <w:top w:val="single" w:sz="4" w:space="0" w:color="auto"/>
              <w:bottom w:val="single" w:sz="12" w:space="0" w:color="auto"/>
            </w:tcBorders>
            <w:vAlign w:val="center"/>
          </w:tcPr>
          <w:p w:rsidR="00D13477" w:rsidRPr="006C40CE" w:rsidRDefault="00D13477" w:rsidP="00DD0A8D">
            <w:pPr>
              <w:pStyle w:val="SingleTxtGC"/>
              <w:spacing w:before="60" w:after="60" w:line="220" w:lineRule="exact"/>
              <w:ind w:left="0" w:right="57"/>
              <w:jc w:val="right"/>
              <w:rPr>
                <w:b/>
                <w:sz w:val="18"/>
                <w:szCs w:val="18"/>
                <w:lang w:val="en-GB"/>
              </w:rPr>
            </w:pPr>
            <w:r w:rsidRPr="006C40CE">
              <w:rPr>
                <w:b/>
                <w:sz w:val="18"/>
                <w:szCs w:val="18"/>
                <w:lang w:val="en-GB"/>
              </w:rPr>
              <w:t>2008</w:t>
            </w:r>
          </w:p>
        </w:tc>
        <w:tc>
          <w:tcPr>
            <w:tcW w:w="1077" w:type="dxa"/>
            <w:tcBorders>
              <w:top w:val="single" w:sz="4" w:space="0" w:color="auto"/>
              <w:bottom w:val="single" w:sz="12" w:space="0" w:color="auto"/>
            </w:tcBorders>
            <w:vAlign w:val="center"/>
          </w:tcPr>
          <w:p w:rsidR="00D13477" w:rsidRPr="006C40CE" w:rsidRDefault="00D13477" w:rsidP="006C40CE">
            <w:pPr>
              <w:pStyle w:val="SingleTxtGC"/>
              <w:spacing w:before="60" w:after="60" w:line="220" w:lineRule="exact"/>
              <w:ind w:left="0" w:right="57"/>
              <w:jc w:val="right"/>
              <w:rPr>
                <w:b/>
                <w:sz w:val="18"/>
                <w:szCs w:val="18"/>
                <w:lang w:val="en-GB"/>
              </w:rPr>
            </w:pPr>
            <w:r w:rsidRPr="006C40CE">
              <w:rPr>
                <w:b/>
                <w:sz w:val="18"/>
                <w:szCs w:val="18"/>
                <w:lang w:val="en-GB"/>
              </w:rPr>
              <w:t>2009</w:t>
            </w:r>
          </w:p>
        </w:tc>
        <w:tc>
          <w:tcPr>
            <w:tcW w:w="1077" w:type="dxa"/>
            <w:tcBorders>
              <w:top w:val="single" w:sz="4" w:space="0" w:color="auto"/>
              <w:bottom w:val="single" w:sz="12" w:space="0" w:color="auto"/>
            </w:tcBorders>
            <w:vAlign w:val="center"/>
          </w:tcPr>
          <w:p w:rsidR="00D13477" w:rsidRPr="006C40CE" w:rsidRDefault="00D13477" w:rsidP="006C40CE">
            <w:pPr>
              <w:pStyle w:val="SingleTxtGC"/>
              <w:spacing w:before="60" w:after="60" w:line="220" w:lineRule="exact"/>
              <w:ind w:left="0" w:right="57"/>
              <w:jc w:val="right"/>
              <w:rPr>
                <w:rFonts w:hint="eastAsia"/>
                <w:b/>
                <w:sz w:val="18"/>
                <w:szCs w:val="18"/>
                <w:lang w:val="en-GB"/>
              </w:rPr>
            </w:pPr>
            <w:r w:rsidRPr="006C40CE">
              <w:rPr>
                <w:b/>
                <w:sz w:val="18"/>
                <w:szCs w:val="18"/>
                <w:lang w:val="en-GB"/>
              </w:rPr>
              <w:t>2010</w:t>
            </w:r>
          </w:p>
        </w:tc>
        <w:tc>
          <w:tcPr>
            <w:tcW w:w="1077" w:type="dxa"/>
            <w:tcBorders>
              <w:top w:val="single" w:sz="4" w:space="0" w:color="auto"/>
              <w:bottom w:val="single" w:sz="12" w:space="0" w:color="auto"/>
            </w:tcBorders>
            <w:vAlign w:val="center"/>
          </w:tcPr>
          <w:p w:rsidR="00D13477" w:rsidRPr="006C40CE" w:rsidRDefault="00D13477" w:rsidP="006C40CE">
            <w:pPr>
              <w:pStyle w:val="SingleTxtGC"/>
              <w:spacing w:before="60" w:after="60" w:line="220" w:lineRule="exact"/>
              <w:ind w:left="0" w:right="57"/>
              <w:jc w:val="right"/>
              <w:rPr>
                <w:rFonts w:hint="eastAsia"/>
                <w:b/>
                <w:sz w:val="18"/>
                <w:szCs w:val="18"/>
                <w:lang w:val="en-GB"/>
              </w:rPr>
            </w:pPr>
            <w:r w:rsidRPr="006C40CE">
              <w:rPr>
                <w:b/>
                <w:sz w:val="18"/>
                <w:szCs w:val="18"/>
                <w:lang w:val="en-GB"/>
              </w:rPr>
              <w:t>2011</w:t>
            </w:r>
          </w:p>
        </w:tc>
      </w:tr>
      <w:tr w:rsidR="00D13477" w:rsidRPr="00002A77" w:rsidTr="006C40CE">
        <w:trPr>
          <w:trHeight w:val="315"/>
          <w:jc w:val="center"/>
        </w:trPr>
        <w:tc>
          <w:tcPr>
            <w:tcW w:w="1987" w:type="dxa"/>
            <w:tcBorders>
              <w:top w:val="single" w:sz="12" w:space="0" w:color="auto"/>
              <w:bottom w:val="single" w:sz="12" w:space="0" w:color="auto"/>
            </w:tcBorders>
            <w:noWrap/>
            <w:tcMar>
              <w:top w:w="15" w:type="dxa"/>
              <w:left w:w="15" w:type="dxa"/>
              <w:bottom w:w="0" w:type="dxa"/>
              <w:right w:w="15" w:type="dxa"/>
            </w:tcMar>
            <w:vAlign w:val="center"/>
          </w:tcPr>
          <w:p w:rsidR="00D13477" w:rsidRPr="00002A77" w:rsidRDefault="00D13477" w:rsidP="00DE4731">
            <w:pPr>
              <w:pStyle w:val="SingleTxtGC"/>
              <w:spacing w:before="40" w:line="240" w:lineRule="exact"/>
              <w:ind w:left="0" w:right="0"/>
              <w:rPr>
                <w:lang w:val="en-GB"/>
              </w:rPr>
            </w:pPr>
            <w:r w:rsidRPr="00002A77">
              <w:rPr>
                <w:rFonts w:hint="eastAsia"/>
                <w:lang w:val="en-GB"/>
              </w:rPr>
              <w:t>法官及司法人员</w:t>
            </w:r>
          </w:p>
        </w:tc>
        <w:tc>
          <w:tcPr>
            <w:tcW w:w="1076" w:type="dxa"/>
            <w:tcBorders>
              <w:top w:val="single" w:sz="12" w:space="0" w:color="auto"/>
              <w:bottom w:val="single" w:sz="12" w:space="0" w:color="auto"/>
            </w:tcBorders>
            <w:vAlign w:val="center"/>
          </w:tcPr>
          <w:p w:rsidR="00D13477" w:rsidRPr="00002A77" w:rsidRDefault="00D13477" w:rsidP="006C40CE">
            <w:pPr>
              <w:pStyle w:val="SingleTxtGC"/>
              <w:spacing w:before="40" w:line="240" w:lineRule="exact"/>
              <w:ind w:left="0" w:right="57"/>
              <w:jc w:val="right"/>
              <w:rPr>
                <w:rFonts w:hint="eastAsia"/>
                <w:lang w:val="en-GB"/>
              </w:rPr>
            </w:pPr>
            <w:r>
              <w:rPr>
                <w:lang w:val="en-GB"/>
              </w:rPr>
              <w:t>154</w:t>
            </w:r>
          </w:p>
        </w:tc>
        <w:tc>
          <w:tcPr>
            <w:tcW w:w="1077" w:type="dxa"/>
            <w:tcBorders>
              <w:top w:val="single" w:sz="12" w:space="0" w:color="auto"/>
              <w:bottom w:val="single" w:sz="12" w:space="0" w:color="auto"/>
            </w:tcBorders>
            <w:vAlign w:val="center"/>
          </w:tcPr>
          <w:p w:rsidR="00D13477" w:rsidRPr="00002A77" w:rsidRDefault="00D13477" w:rsidP="006C40CE">
            <w:pPr>
              <w:pStyle w:val="SingleTxtGC"/>
              <w:spacing w:before="40" w:line="240" w:lineRule="exact"/>
              <w:ind w:left="0" w:right="57"/>
              <w:jc w:val="right"/>
              <w:rPr>
                <w:rFonts w:hint="eastAsia"/>
                <w:lang w:val="en-GB"/>
              </w:rPr>
            </w:pPr>
            <w:r>
              <w:rPr>
                <w:lang w:val="en-GB"/>
              </w:rPr>
              <w:t>161</w:t>
            </w:r>
          </w:p>
        </w:tc>
        <w:tc>
          <w:tcPr>
            <w:tcW w:w="1077" w:type="dxa"/>
            <w:tcBorders>
              <w:top w:val="single" w:sz="12" w:space="0" w:color="auto"/>
              <w:bottom w:val="single" w:sz="12" w:space="0" w:color="auto"/>
            </w:tcBorders>
            <w:vAlign w:val="center"/>
          </w:tcPr>
          <w:p w:rsidR="00D13477" w:rsidRPr="00002A77" w:rsidRDefault="00D13477" w:rsidP="006C40CE">
            <w:pPr>
              <w:pStyle w:val="SingleTxtGC"/>
              <w:spacing w:before="40" w:line="240" w:lineRule="exact"/>
              <w:ind w:left="0" w:right="57"/>
              <w:jc w:val="right"/>
              <w:rPr>
                <w:rFonts w:hint="eastAsia"/>
                <w:lang w:val="en-GB"/>
              </w:rPr>
            </w:pPr>
            <w:r>
              <w:rPr>
                <w:lang w:val="en-GB"/>
              </w:rPr>
              <w:t>154</w:t>
            </w:r>
          </w:p>
        </w:tc>
        <w:tc>
          <w:tcPr>
            <w:tcW w:w="1077" w:type="dxa"/>
            <w:tcBorders>
              <w:top w:val="single" w:sz="12" w:space="0" w:color="auto"/>
              <w:bottom w:val="single" w:sz="12" w:space="0" w:color="auto"/>
            </w:tcBorders>
            <w:vAlign w:val="center"/>
          </w:tcPr>
          <w:p w:rsidR="00D13477" w:rsidRPr="00002A77" w:rsidRDefault="00D13477" w:rsidP="006C40CE">
            <w:pPr>
              <w:pStyle w:val="SingleTxtGC"/>
              <w:spacing w:before="40" w:line="240" w:lineRule="exact"/>
              <w:ind w:left="0" w:right="57"/>
              <w:jc w:val="right"/>
              <w:rPr>
                <w:rFonts w:hint="eastAsia"/>
                <w:lang w:val="en-GB"/>
              </w:rPr>
            </w:pPr>
            <w:r>
              <w:rPr>
                <w:lang w:val="en-GB"/>
              </w:rPr>
              <w:t>158</w:t>
            </w:r>
          </w:p>
        </w:tc>
        <w:tc>
          <w:tcPr>
            <w:tcW w:w="1077" w:type="dxa"/>
            <w:tcBorders>
              <w:top w:val="single" w:sz="12" w:space="0" w:color="auto"/>
              <w:bottom w:val="single" w:sz="12" w:space="0" w:color="auto"/>
            </w:tcBorders>
            <w:vAlign w:val="center"/>
          </w:tcPr>
          <w:p w:rsidR="00D13477" w:rsidRPr="00002A77" w:rsidRDefault="00D13477" w:rsidP="006C40CE">
            <w:pPr>
              <w:pStyle w:val="SingleTxtGC"/>
              <w:spacing w:before="40" w:line="240" w:lineRule="exact"/>
              <w:ind w:left="0" w:right="57"/>
              <w:jc w:val="right"/>
              <w:rPr>
                <w:rFonts w:hint="eastAsia"/>
                <w:lang w:val="en-GB"/>
              </w:rPr>
            </w:pPr>
            <w:r>
              <w:rPr>
                <w:lang w:val="en-GB"/>
              </w:rPr>
              <w:t>158</w:t>
            </w:r>
          </w:p>
        </w:tc>
      </w:tr>
    </w:tbl>
    <w:p w:rsidR="00D13477" w:rsidRPr="006C40CE" w:rsidRDefault="00D13477" w:rsidP="00D13477">
      <w:pPr>
        <w:pStyle w:val="SingleTxtGC"/>
        <w:rPr>
          <w:rFonts w:eastAsia="SimHei" w:hint="eastAsia"/>
          <w:lang w:val="en-GB"/>
        </w:rPr>
      </w:pPr>
      <w:r w:rsidRPr="006C40CE">
        <w:rPr>
          <w:b/>
          <w:lang w:val="en-GB"/>
        </w:rPr>
        <w:t>(f)</w:t>
      </w:r>
      <w:r w:rsidRPr="00002A77">
        <w:rPr>
          <w:lang w:val="en-GB"/>
        </w:rPr>
        <w:tab/>
      </w:r>
      <w:r w:rsidRPr="006C40CE">
        <w:rPr>
          <w:rFonts w:eastAsia="SimHei" w:hint="eastAsia"/>
          <w:lang w:val="en-GB"/>
        </w:rPr>
        <w:t>有关法律援助的统计</w:t>
      </w:r>
    </w:p>
    <w:tbl>
      <w:tblPr>
        <w:tblW w:w="8512" w:type="dxa"/>
        <w:jc w:val="right"/>
        <w:tblBorders>
          <w:top w:val="single" w:sz="4" w:space="0" w:color="000000"/>
          <w:bottom w:val="single" w:sz="4" w:space="0" w:color="000000"/>
          <w:insideH w:val="single" w:sz="4" w:space="0" w:color="000000"/>
        </w:tblBorders>
        <w:tblLayout w:type="fixed"/>
        <w:tblCellMar>
          <w:left w:w="0" w:type="dxa"/>
          <w:right w:w="0" w:type="dxa"/>
        </w:tblCellMar>
        <w:tblLook w:val="04A0"/>
      </w:tblPr>
      <w:tblGrid>
        <w:gridCol w:w="427"/>
        <w:gridCol w:w="2477"/>
        <w:gridCol w:w="1121"/>
        <w:gridCol w:w="1122"/>
        <w:gridCol w:w="1121"/>
        <w:gridCol w:w="1122"/>
        <w:gridCol w:w="1122"/>
      </w:tblGrid>
      <w:tr w:rsidR="00D13477" w:rsidRPr="006C40CE" w:rsidTr="007A7267">
        <w:trPr>
          <w:tblHeader/>
          <w:jc w:val="right"/>
        </w:trPr>
        <w:tc>
          <w:tcPr>
            <w:tcW w:w="427" w:type="dxa"/>
            <w:tcBorders>
              <w:bottom w:val="single" w:sz="12" w:space="0" w:color="auto"/>
            </w:tcBorders>
            <w:vAlign w:val="center"/>
          </w:tcPr>
          <w:p w:rsidR="00D13477" w:rsidRPr="006C40CE" w:rsidRDefault="00D13477" w:rsidP="00DD0A8D">
            <w:pPr>
              <w:pStyle w:val="SingleTxtGC"/>
              <w:spacing w:before="60" w:after="60" w:line="220" w:lineRule="exact"/>
              <w:ind w:left="0" w:right="0"/>
              <w:rPr>
                <w:b/>
                <w:sz w:val="18"/>
                <w:szCs w:val="18"/>
                <w:lang w:val="en-GB"/>
              </w:rPr>
            </w:pPr>
          </w:p>
        </w:tc>
        <w:tc>
          <w:tcPr>
            <w:tcW w:w="2477" w:type="dxa"/>
            <w:tcBorders>
              <w:bottom w:val="single" w:sz="12" w:space="0" w:color="auto"/>
            </w:tcBorders>
            <w:vAlign w:val="center"/>
          </w:tcPr>
          <w:p w:rsidR="00D13477" w:rsidRPr="00041F71" w:rsidRDefault="00D13477" w:rsidP="00DD0A8D">
            <w:pPr>
              <w:pStyle w:val="SingleTxtGC"/>
              <w:spacing w:before="60" w:after="60" w:line="220" w:lineRule="exact"/>
              <w:ind w:left="0" w:right="113"/>
              <w:rPr>
                <w:b/>
                <w:spacing w:val="-2"/>
                <w:sz w:val="18"/>
                <w:szCs w:val="18"/>
                <w:lang w:val="en-GB"/>
              </w:rPr>
            </w:pPr>
          </w:p>
        </w:tc>
        <w:tc>
          <w:tcPr>
            <w:tcW w:w="1121" w:type="dxa"/>
            <w:tcBorders>
              <w:bottom w:val="single" w:sz="12" w:space="0" w:color="auto"/>
            </w:tcBorders>
            <w:tcMar>
              <w:left w:w="29" w:type="dxa"/>
              <w:right w:w="29" w:type="dxa"/>
            </w:tcMar>
            <w:vAlign w:val="center"/>
          </w:tcPr>
          <w:p w:rsidR="00D13477" w:rsidRPr="006C40CE" w:rsidRDefault="00D13477" w:rsidP="00DD0A8D">
            <w:pPr>
              <w:pStyle w:val="SingleTxtGC"/>
              <w:spacing w:before="60" w:after="60" w:line="220" w:lineRule="exact"/>
              <w:ind w:left="0" w:right="57"/>
              <w:jc w:val="right"/>
              <w:rPr>
                <w:b/>
                <w:sz w:val="18"/>
                <w:szCs w:val="18"/>
                <w:lang w:val="en-GB"/>
              </w:rPr>
            </w:pPr>
            <w:r w:rsidRPr="006C40CE">
              <w:rPr>
                <w:b/>
                <w:sz w:val="18"/>
                <w:szCs w:val="18"/>
                <w:lang w:val="en-GB"/>
              </w:rPr>
              <w:t>2007</w:t>
            </w:r>
          </w:p>
        </w:tc>
        <w:tc>
          <w:tcPr>
            <w:tcW w:w="1122" w:type="dxa"/>
            <w:tcBorders>
              <w:bottom w:val="single" w:sz="12" w:space="0" w:color="auto"/>
            </w:tcBorders>
            <w:tcMar>
              <w:left w:w="29" w:type="dxa"/>
              <w:right w:w="29" w:type="dxa"/>
            </w:tcMar>
            <w:vAlign w:val="center"/>
          </w:tcPr>
          <w:p w:rsidR="00D13477" w:rsidRPr="006C40CE" w:rsidRDefault="00D13477" w:rsidP="00DD0A8D">
            <w:pPr>
              <w:pStyle w:val="SingleTxtGC"/>
              <w:spacing w:before="60" w:after="60" w:line="220" w:lineRule="exact"/>
              <w:ind w:left="0" w:right="57"/>
              <w:jc w:val="right"/>
              <w:rPr>
                <w:b/>
                <w:sz w:val="18"/>
                <w:szCs w:val="18"/>
                <w:lang w:val="en-GB"/>
              </w:rPr>
            </w:pPr>
            <w:r w:rsidRPr="006C40CE">
              <w:rPr>
                <w:b/>
                <w:sz w:val="18"/>
                <w:szCs w:val="18"/>
                <w:lang w:val="en-GB"/>
              </w:rPr>
              <w:t>2008</w:t>
            </w:r>
          </w:p>
        </w:tc>
        <w:tc>
          <w:tcPr>
            <w:tcW w:w="1121" w:type="dxa"/>
            <w:tcBorders>
              <w:bottom w:val="single" w:sz="12" w:space="0" w:color="auto"/>
            </w:tcBorders>
            <w:tcMar>
              <w:left w:w="29" w:type="dxa"/>
              <w:right w:w="29" w:type="dxa"/>
            </w:tcMar>
            <w:vAlign w:val="center"/>
          </w:tcPr>
          <w:p w:rsidR="00D13477" w:rsidRPr="006C40CE" w:rsidRDefault="00D13477" w:rsidP="00DD0A8D">
            <w:pPr>
              <w:pStyle w:val="SingleTxtGC"/>
              <w:spacing w:before="60" w:after="60" w:line="220" w:lineRule="exact"/>
              <w:ind w:left="0" w:right="57"/>
              <w:jc w:val="right"/>
              <w:rPr>
                <w:b/>
                <w:sz w:val="18"/>
                <w:szCs w:val="18"/>
                <w:lang w:val="en-GB"/>
              </w:rPr>
            </w:pPr>
            <w:r w:rsidRPr="006C40CE">
              <w:rPr>
                <w:b/>
                <w:sz w:val="18"/>
                <w:szCs w:val="18"/>
                <w:lang w:val="en-GB"/>
              </w:rPr>
              <w:t>2009</w:t>
            </w:r>
          </w:p>
        </w:tc>
        <w:tc>
          <w:tcPr>
            <w:tcW w:w="1122" w:type="dxa"/>
            <w:tcBorders>
              <w:bottom w:val="single" w:sz="12" w:space="0" w:color="auto"/>
            </w:tcBorders>
            <w:tcMar>
              <w:left w:w="29" w:type="dxa"/>
              <w:right w:w="29" w:type="dxa"/>
            </w:tcMar>
            <w:vAlign w:val="center"/>
          </w:tcPr>
          <w:p w:rsidR="00D13477" w:rsidRPr="006C40CE" w:rsidRDefault="00D13477" w:rsidP="00DD0A8D">
            <w:pPr>
              <w:pStyle w:val="SingleTxtGC"/>
              <w:spacing w:before="60" w:after="60" w:line="220" w:lineRule="exact"/>
              <w:ind w:left="0" w:right="57"/>
              <w:jc w:val="right"/>
              <w:rPr>
                <w:b/>
                <w:sz w:val="18"/>
                <w:szCs w:val="18"/>
                <w:lang w:val="en-GB"/>
              </w:rPr>
            </w:pPr>
            <w:r w:rsidRPr="006C40CE">
              <w:rPr>
                <w:b/>
                <w:sz w:val="18"/>
                <w:szCs w:val="18"/>
                <w:lang w:val="en-GB"/>
              </w:rPr>
              <w:t>2010</w:t>
            </w:r>
          </w:p>
        </w:tc>
        <w:tc>
          <w:tcPr>
            <w:tcW w:w="1122" w:type="dxa"/>
            <w:tcBorders>
              <w:bottom w:val="single" w:sz="12" w:space="0" w:color="auto"/>
            </w:tcBorders>
            <w:tcMar>
              <w:left w:w="29" w:type="dxa"/>
              <w:right w:w="29" w:type="dxa"/>
            </w:tcMar>
            <w:vAlign w:val="center"/>
          </w:tcPr>
          <w:p w:rsidR="00D13477" w:rsidRPr="006C40CE" w:rsidRDefault="00D13477" w:rsidP="00DD0A8D">
            <w:pPr>
              <w:pStyle w:val="SingleTxtGC"/>
              <w:spacing w:before="60" w:after="60" w:line="220" w:lineRule="exact"/>
              <w:ind w:left="0" w:right="57"/>
              <w:jc w:val="right"/>
              <w:rPr>
                <w:b/>
                <w:sz w:val="18"/>
                <w:szCs w:val="18"/>
                <w:lang w:val="en-GB"/>
              </w:rPr>
            </w:pPr>
            <w:r w:rsidRPr="006C40CE">
              <w:rPr>
                <w:b/>
                <w:sz w:val="18"/>
                <w:szCs w:val="18"/>
                <w:lang w:val="en-GB"/>
              </w:rPr>
              <w:t>2011</w:t>
            </w:r>
          </w:p>
        </w:tc>
      </w:tr>
      <w:tr w:rsidR="00D13477" w:rsidRPr="00002A77" w:rsidTr="007A7267">
        <w:trPr>
          <w:jc w:val="right"/>
        </w:trPr>
        <w:tc>
          <w:tcPr>
            <w:tcW w:w="427" w:type="dxa"/>
            <w:tcBorders>
              <w:top w:val="single" w:sz="12" w:space="0" w:color="auto"/>
              <w:bottom w:val="nil"/>
            </w:tcBorders>
          </w:tcPr>
          <w:p w:rsidR="00D13477" w:rsidRPr="00002A77" w:rsidRDefault="00D13477" w:rsidP="00041F71">
            <w:pPr>
              <w:pStyle w:val="SingleTxtGC"/>
              <w:spacing w:before="40" w:line="240" w:lineRule="exact"/>
              <w:ind w:left="0" w:right="0"/>
              <w:rPr>
                <w:lang w:val="en-GB"/>
              </w:rPr>
            </w:pPr>
            <w:r w:rsidRPr="00002A77">
              <w:rPr>
                <w:lang w:val="en-GB"/>
              </w:rPr>
              <w:t>(</w:t>
            </w:r>
            <w:r>
              <w:rPr>
                <w:lang w:val="en-GB"/>
              </w:rPr>
              <w:t>1</w:t>
            </w:r>
            <w:r w:rsidRPr="00002A77">
              <w:rPr>
                <w:lang w:val="en-GB"/>
              </w:rPr>
              <w:t>)</w:t>
            </w:r>
          </w:p>
        </w:tc>
        <w:tc>
          <w:tcPr>
            <w:tcW w:w="2477" w:type="dxa"/>
            <w:tcBorders>
              <w:top w:val="single" w:sz="12" w:space="0" w:color="auto"/>
              <w:bottom w:val="nil"/>
            </w:tcBorders>
          </w:tcPr>
          <w:p w:rsidR="00D13477" w:rsidRPr="00041F71" w:rsidRDefault="00D13477" w:rsidP="007A7267">
            <w:pPr>
              <w:pStyle w:val="SingleTxtGC"/>
              <w:spacing w:before="40" w:line="240" w:lineRule="exact"/>
              <w:ind w:left="0" w:right="113"/>
              <w:rPr>
                <w:rFonts w:hint="eastAsia"/>
                <w:spacing w:val="-2"/>
                <w:lang w:val="en-GB"/>
              </w:rPr>
            </w:pPr>
            <w:r w:rsidRPr="00041F71">
              <w:rPr>
                <w:rFonts w:hint="eastAsia"/>
                <w:spacing w:val="-2"/>
                <w:lang w:val="en-GB"/>
              </w:rPr>
              <w:t>申请法律援助宗数</w:t>
            </w:r>
          </w:p>
        </w:tc>
        <w:tc>
          <w:tcPr>
            <w:tcW w:w="1121" w:type="dxa"/>
            <w:tcBorders>
              <w:top w:val="single" w:sz="12" w:space="0" w:color="auto"/>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3</w:t>
            </w:r>
            <w:r w:rsidR="00041F71">
              <w:rPr>
                <w:rFonts w:hint="eastAsia"/>
                <w:lang w:val="en-GB"/>
              </w:rPr>
              <w:t>,</w:t>
            </w:r>
            <w:r>
              <w:rPr>
                <w:lang w:val="en-GB"/>
              </w:rPr>
              <w:t>765</w:t>
            </w:r>
          </w:p>
        </w:tc>
        <w:tc>
          <w:tcPr>
            <w:tcW w:w="1122" w:type="dxa"/>
            <w:tcBorders>
              <w:top w:val="single" w:sz="12" w:space="0" w:color="auto"/>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3</w:t>
            </w:r>
            <w:r w:rsidR="00041F71">
              <w:rPr>
                <w:rFonts w:hint="eastAsia"/>
                <w:lang w:val="en-GB"/>
              </w:rPr>
              <w:t>,</w:t>
            </w:r>
            <w:r>
              <w:rPr>
                <w:lang w:val="en-GB"/>
              </w:rPr>
              <w:t>413</w:t>
            </w:r>
          </w:p>
        </w:tc>
        <w:tc>
          <w:tcPr>
            <w:tcW w:w="1121" w:type="dxa"/>
            <w:tcBorders>
              <w:top w:val="single" w:sz="12" w:space="0" w:color="auto"/>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3</w:t>
            </w:r>
            <w:r w:rsidR="00041F71">
              <w:rPr>
                <w:rFonts w:hint="eastAsia"/>
                <w:lang w:val="en-GB"/>
              </w:rPr>
              <w:t>,</w:t>
            </w:r>
            <w:r>
              <w:rPr>
                <w:lang w:val="en-GB"/>
              </w:rPr>
              <w:t>816</w:t>
            </w:r>
          </w:p>
        </w:tc>
        <w:tc>
          <w:tcPr>
            <w:tcW w:w="1122" w:type="dxa"/>
            <w:tcBorders>
              <w:top w:val="single" w:sz="12" w:space="0" w:color="auto"/>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3</w:t>
            </w:r>
            <w:r w:rsidR="00041F71">
              <w:rPr>
                <w:rFonts w:hint="eastAsia"/>
                <w:lang w:val="en-GB"/>
              </w:rPr>
              <w:t>,</w:t>
            </w:r>
            <w:r>
              <w:rPr>
                <w:lang w:val="en-GB"/>
              </w:rPr>
              <w:t>9</w:t>
            </w:r>
            <w:r w:rsidRPr="00002A77">
              <w:rPr>
                <w:lang w:val="en-GB"/>
              </w:rPr>
              <w:t>0</w:t>
            </w:r>
            <w:r>
              <w:rPr>
                <w:lang w:val="en-GB"/>
              </w:rPr>
              <w:t>7</w:t>
            </w:r>
          </w:p>
        </w:tc>
        <w:tc>
          <w:tcPr>
            <w:tcW w:w="1122" w:type="dxa"/>
            <w:tcBorders>
              <w:top w:val="single" w:sz="12" w:space="0" w:color="auto"/>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3</w:t>
            </w:r>
            <w:r w:rsidR="00041F71">
              <w:rPr>
                <w:rFonts w:hint="eastAsia"/>
                <w:lang w:val="en-GB"/>
              </w:rPr>
              <w:t>,</w:t>
            </w:r>
            <w:r>
              <w:rPr>
                <w:lang w:val="en-GB"/>
              </w:rPr>
              <w:t>888</w:t>
            </w:r>
          </w:p>
        </w:tc>
      </w:tr>
      <w:tr w:rsidR="00D13477" w:rsidRPr="00002A77" w:rsidTr="007A7267">
        <w:trPr>
          <w:jc w:val="right"/>
        </w:trPr>
        <w:tc>
          <w:tcPr>
            <w:tcW w:w="427" w:type="dxa"/>
            <w:tcBorders>
              <w:top w:val="nil"/>
              <w:bottom w:val="nil"/>
            </w:tcBorders>
          </w:tcPr>
          <w:p w:rsidR="00D13477" w:rsidRPr="00002A77" w:rsidRDefault="00D13477" w:rsidP="00041F71">
            <w:pPr>
              <w:pStyle w:val="SingleTxtGC"/>
              <w:spacing w:before="40" w:line="240" w:lineRule="exact"/>
              <w:ind w:left="0" w:right="0"/>
              <w:rPr>
                <w:lang w:val="en-GB"/>
              </w:rPr>
            </w:pPr>
            <w:r w:rsidRPr="00002A77">
              <w:rPr>
                <w:lang w:val="en-GB"/>
              </w:rPr>
              <w:t>(</w:t>
            </w:r>
            <w:r>
              <w:rPr>
                <w:lang w:val="en-GB"/>
              </w:rPr>
              <w:t>2</w:t>
            </w:r>
            <w:r w:rsidRPr="00002A77">
              <w:rPr>
                <w:lang w:val="en-GB"/>
              </w:rPr>
              <w:t>)</w:t>
            </w:r>
          </w:p>
        </w:tc>
        <w:tc>
          <w:tcPr>
            <w:tcW w:w="2477" w:type="dxa"/>
            <w:tcBorders>
              <w:top w:val="nil"/>
              <w:bottom w:val="nil"/>
            </w:tcBorders>
          </w:tcPr>
          <w:p w:rsidR="00D13477" w:rsidRPr="00041F71" w:rsidRDefault="00D13477" w:rsidP="007A7267">
            <w:pPr>
              <w:pStyle w:val="SingleTxtGC"/>
              <w:spacing w:before="40" w:line="240" w:lineRule="exact"/>
              <w:ind w:left="0" w:right="113"/>
              <w:rPr>
                <w:rFonts w:hint="eastAsia"/>
                <w:spacing w:val="-2"/>
                <w:lang w:val="en-GB"/>
              </w:rPr>
            </w:pPr>
            <w:r w:rsidRPr="00041F71">
              <w:rPr>
                <w:rFonts w:hint="eastAsia"/>
                <w:spacing w:val="-2"/>
                <w:lang w:val="en-GB"/>
              </w:rPr>
              <w:t>基于案情而不获批的申请</w:t>
            </w:r>
          </w:p>
        </w:tc>
        <w:tc>
          <w:tcPr>
            <w:tcW w:w="1121"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1</w:t>
            </w:r>
            <w:r w:rsidR="00041F71">
              <w:rPr>
                <w:rFonts w:hint="eastAsia"/>
                <w:lang w:val="en-GB"/>
              </w:rPr>
              <w:t>,</w:t>
            </w:r>
            <w:r>
              <w:rPr>
                <w:lang w:val="en-GB"/>
              </w:rPr>
              <w:t>152</w:t>
            </w:r>
          </w:p>
        </w:tc>
        <w:tc>
          <w:tcPr>
            <w:tcW w:w="1122"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1</w:t>
            </w:r>
            <w:r w:rsidR="00041F71">
              <w:rPr>
                <w:rFonts w:hint="eastAsia"/>
                <w:lang w:val="en-GB"/>
              </w:rPr>
              <w:t>,</w:t>
            </w:r>
            <w:r w:rsidRPr="00002A77">
              <w:rPr>
                <w:lang w:val="en-GB"/>
              </w:rPr>
              <w:t>0</w:t>
            </w:r>
            <w:r>
              <w:rPr>
                <w:lang w:val="en-GB"/>
              </w:rPr>
              <w:t>12</w:t>
            </w:r>
          </w:p>
        </w:tc>
        <w:tc>
          <w:tcPr>
            <w:tcW w:w="1121"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899</w:t>
            </w:r>
          </w:p>
        </w:tc>
        <w:tc>
          <w:tcPr>
            <w:tcW w:w="1122"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957</w:t>
            </w:r>
          </w:p>
        </w:tc>
        <w:tc>
          <w:tcPr>
            <w:tcW w:w="1122"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949</w:t>
            </w:r>
          </w:p>
        </w:tc>
      </w:tr>
      <w:tr w:rsidR="00D13477" w:rsidRPr="00002A77" w:rsidTr="007A7267">
        <w:trPr>
          <w:jc w:val="right"/>
        </w:trPr>
        <w:tc>
          <w:tcPr>
            <w:tcW w:w="427" w:type="dxa"/>
            <w:tcBorders>
              <w:top w:val="nil"/>
              <w:bottom w:val="nil"/>
            </w:tcBorders>
          </w:tcPr>
          <w:p w:rsidR="00D13477" w:rsidRPr="00002A77" w:rsidRDefault="00D13477" w:rsidP="00041F71">
            <w:pPr>
              <w:pStyle w:val="SingleTxtGC"/>
              <w:spacing w:before="40" w:line="240" w:lineRule="exact"/>
              <w:ind w:left="0" w:right="0"/>
              <w:rPr>
                <w:lang w:val="en-GB"/>
              </w:rPr>
            </w:pPr>
            <w:r w:rsidRPr="00002A77">
              <w:rPr>
                <w:lang w:val="en-GB"/>
              </w:rPr>
              <w:t>(</w:t>
            </w:r>
            <w:r>
              <w:rPr>
                <w:lang w:val="en-GB"/>
              </w:rPr>
              <w:t>3</w:t>
            </w:r>
            <w:r w:rsidRPr="00002A77">
              <w:rPr>
                <w:lang w:val="en-GB"/>
              </w:rPr>
              <w:t>)</w:t>
            </w:r>
          </w:p>
        </w:tc>
        <w:tc>
          <w:tcPr>
            <w:tcW w:w="2477" w:type="dxa"/>
            <w:tcBorders>
              <w:top w:val="nil"/>
              <w:bottom w:val="nil"/>
            </w:tcBorders>
          </w:tcPr>
          <w:p w:rsidR="00D13477" w:rsidRPr="00041F71" w:rsidRDefault="00D13477" w:rsidP="007A7267">
            <w:pPr>
              <w:pStyle w:val="SingleTxtGC"/>
              <w:spacing w:before="40" w:line="240" w:lineRule="exact"/>
              <w:ind w:left="0" w:right="113"/>
              <w:rPr>
                <w:rFonts w:hint="eastAsia"/>
                <w:spacing w:val="-2"/>
                <w:lang w:val="en-GB"/>
              </w:rPr>
            </w:pPr>
            <w:r w:rsidRPr="00041F71">
              <w:rPr>
                <w:rFonts w:hint="eastAsia"/>
                <w:spacing w:val="-2"/>
                <w:lang w:val="en-GB"/>
              </w:rPr>
              <w:t>获批法律援助的申请</w:t>
            </w:r>
          </w:p>
        </w:tc>
        <w:tc>
          <w:tcPr>
            <w:tcW w:w="1121"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2</w:t>
            </w:r>
            <w:r w:rsidR="00041F71">
              <w:rPr>
                <w:rFonts w:hint="eastAsia"/>
                <w:lang w:val="en-GB"/>
              </w:rPr>
              <w:t>,</w:t>
            </w:r>
            <w:r>
              <w:rPr>
                <w:lang w:val="en-GB"/>
              </w:rPr>
              <w:t>5</w:t>
            </w:r>
            <w:r w:rsidRPr="00002A77">
              <w:rPr>
                <w:lang w:val="en-GB"/>
              </w:rPr>
              <w:t>0</w:t>
            </w:r>
            <w:r>
              <w:rPr>
                <w:lang w:val="en-GB"/>
              </w:rPr>
              <w:t>7</w:t>
            </w:r>
          </w:p>
        </w:tc>
        <w:tc>
          <w:tcPr>
            <w:tcW w:w="1122"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2</w:t>
            </w:r>
            <w:r w:rsidR="00041F71">
              <w:rPr>
                <w:rFonts w:hint="eastAsia"/>
                <w:lang w:val="en-GB"/>
              </w:rPr>
              <w:t>,</w:t>
            </w:r>
            <w:r>
              <w:rPr>
                <w:lang w:val="en-GB"/>
              </w:rPr>
              <w:t>235</w:t>
            </w:r>
          </w:p>
        </w:tc>
        <w:tc>
          <w:tcPr>
            <w:tcW w:w="1121"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2</w:t>
            </w:r>
            <w:r w:rsidR="00041F71">
              <w:rPr>
                <w:rFonts w:hint="eastAsia"/>
                <w:lang w:val="en-GB"/>
              </w:rPr>
              <w:t>,</w:t>
            </w:r>
            <w:r>
              <w:rPr>
                <w:lang w:val="en-GB"/>
              </w:rPr>
              <w:t>8</w:t>
            </w:r>
            <w:r w:rsidRPr="00002A77">
              <w:rPr>
                <w:lang w:val="en-GB"/>
              </w:rPr>
              <w:t>00</w:t>
            </w:r>
          </w:p>
        </w:tc>
        <w:tc>
          <w:tcPr>
            <w:tcW w:w="1122"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2</w:t>
            </w:r>
            <w:r w:rsidR="00041F71">
              <w:rPr>
                <w:rFonts w:hint="eastAsia"/>
                <w:lang w:val="en-GB"/>
              </w:rPr>
              <w:t>,</w:t>
            </w:r>
            <w:r>
              <w:rPr>
                <w:lang w:val="en-GB"/>
              </w:rPr>
              <w:t>74</w:t>
            </w:r>
            <w:r w:rsidRPr="00002A77">
              <w:rPr>
                <w:lang w:val="en-GB"/>
              </w:rPr>
              <w:t>0</w:t>
            </w:r>
          </w:p>
        </w:tc>
        <w:tc>
          <w:tcPr>
            <w:tcW w:w="1122"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2</w:t>
            </w:r>
            <w:r w:rsidR="00041F71">
              <w:rPr>
                <w:rFonts w:hint="eastAsia"/>
                <w:lang w:val="en-GB"/>
              </w:rPr>
              <w:t>,</w:t>
            </w:r>
            <w:r>
              <w:rPr>
                <w:lang w:val="en-GB"/>
              </w:rPr>
              <w:t>795</w:t>
            </w:r>
          </w:p>
        </w:tc>
      </w:tr>
      <w:tr w:rsidR="00D13477" w:rsidRPr="00002A77" w:rsidTr="007A7267">
        <w:trPr>
          <w:jc w:val="right"/>
        </w:trPr>
        <w:tc>
          <w:tcPr>
            <w:tcW w:w="427" w:type="dxa"/>
            <w:tcBorders>
              <w:top w:val="nil"/>
              <w:bottom w:val="nil"/>
            </w:tcBorders>
          </w:tcPr>
          <w:p w:rsidR="00D13477" w:rsidRPr="00002A77" w:rsidRDefault="00D13477" w:rsidP="00041F71">
            <w:pPr>
              <w:pStyle w:val="SingleTxtGC"/>
              <w:spacing w:before="40" w:line="240" w:lineRule="exact"/>
              <w:ind w:left="0" w:right="0"/>
              <w:rPr>
                <w:lang w:val="en-GB"/>
              </w:rPr>
            </w:pPr>
            <w:r w:rsidRPr="00002A77">
              <w:rPr>
                <w:lang w:val="en-GB"/>
              </w:rPr>
              <w:t>(</w:t>
            </w:r>
            <w:r>
              <w:rPr>
                <w:lang w:val="en-GB"/>
              </w:rPr>
              <w:t>4</w:t>
            </w:r>
            <w:r w:rsidRPr="00002A77">
              <w:rPr>
                <w:lang w:val="en-GB"/>
              </w:rPr>
              <w:t>)</w:t>
            </w:r>
          </w:p>
        </w:tc>
        <w:tc>
          <w:tcPr>
            <w:tcW w:w="2477" w:type="dxa"/>
            <w:tcBorders>
              <w:top w:val="nil"/>
              <w:bottom w:val="nil"/>
            </w:tcBorders>
          </w:tcPr>
          <w:p w:rsidR="00D13477" w:rsidRPr="00041F71" w:rsidRDefault="00D13477" w:rsidP="007A7267">
            <w:pPr>
              <w:pStyle w:val="SingleTxtGC"/>
              <w:spacing w:before="40" w:line="240" w:lineRule="exact"/>
              <w:ind w:left="0" w:right="113"/>
              <w:rPr>
                <w:rFonts w:hint="eastAsia"/>
                <w:spacing w:val="-2"/>
                <w:lang w:val="en-GB"/>
              </w:rPr>
            </w:pPr>
            <w:r w:rsidRPr="00041F71">
              <w:rPr>
                <w:rFonts w:hint="eastAsia"/>
                <w:spacing w:val="-2"/>
                <w:lang w:val="en-GB"/>
              </w:rPr>
              <w:t>在</w:t>
            </w:r>
            <w:r w:rsidRPr="00041F71">
              <w:rPr>
                <w:spacing w:val="-2"/>
                <w:lang w:val="en-GB"/>
              </w:rPr>
              <w:t>(3)</w:t>
            </w:r>
            <w:r w:rsidRPr="00041F71">
              <w:rPr>
                <w:rFonts w:hint="eastAsia"/>
                <w:spacing w:val="-2"/>
                <w:lang w:val="en-GB"/>
              </w:rPr>
              <w:t>当中，获法律援助无须负担分担费的申请</w:t>
            </w:r>
          </w:p>
        </w:tc>
        <w:tc>
          <w:tcPr>
            <w:tcW w:w="1121"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2</w:t>
            </w:r>
            <w:r w:rsidR="00041F71">
              <w:rPr>
                <w:rFonts w:hint="eastAsia"/>
                <w:lang w:val="en-GB"/>
              </w:rPr>
              <w:t>,</w:t>
            </w:r>
            <w:r>
              <w:rPr>
                <w:lang w:val="en-GB"/>
              </w:rPr>
              <w:t>3</w:t>
            </w:r>
            <w:r w:rsidRPr="00002A77">
              <w:rPr>
                <w:lang w:val="en-GB"/>
              </w:rPr>
              <w:t>0</w:t>
            </w:r>
            <w:r>
              <w:rPr>
                <w:lang w:val="en-GB"/>
              </w:rPr>
              <w:t>5</w:t>
            </w:r>
          </w:p>
        </w:tc>
        <w:tc>
          <w:tcPr>
            <w:tcW w:w="1122"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2</w:t>
            </w:r>
            <w:r w:rsidR="00041F71">
              <w:rPr>
                <w:rFonts w:hint="eastAsia"/>
                <w:lang w:val="en-GB"/>
              </w:rPr>
              <w:t>,</w:t>
            </w:r>
            <w:r w:rsidRPr="00002A77">
              <w:rPr>
                <w:lang w:val="en-GB"/>
              </w:rPr>
              <w:t>0</w:t>
            </w:r>
            <w:r>
              <w:rPr>
                <w:lang w:val="en-GB"/>
              </w:rPr>
              <w:t>46</w:t>
            </w:r>
          </w:p>
        </w:tc>
        <w:tc>
          <w:tcPr>
            <w:tcW w:w="1121"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2</w:t>
            </w:r>
            <w:r w:rsidR="00041F71">
              <w:rPr>
                <w:rFonts w:hint="eastAsia"/>
                <w:lang w:val="en-GB"/>
              </w:rPr>
              <w:t>,</w:t>
            </w:r>
            <w:r>
              <w:rPr>
                <w:lang w:val="en-GB"/>
              </w:rPr>
              <w:t>546</w:t>
            </w:r>
          </w:p>
        </w:tc>
        <w:tc>
          <w:tcPr>
            <w:tcW w:w="1122"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2</w:t>
            </w:r>
            <w:r w:rsidR="00041F71">
              <w:rPr>
                <w:rFonts w:hint="eastAsia"/>
                <w:lang w:val="en-GB"/>
              </w:rPr>
              <w:t>,</w:t>
            </w:r>
            <w:r>
              <w:rPr>
                <w:lang w:val="en-GB"/>
              </w:rPr>
              <w:t>472</w:t>
            </w:r>
          </w:p>
        </w:tc>
        <w:tc>
          <w:tcPr>
            <w:tcW w:w="1122" w:type="dxa"/>
            <w:tcBorders>
              <w:top w:val="nil"/>
              <w:bottom w:val="nil"/>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Pr>
                <w:lang w:val="en-GB"/>
              </w:rPr>
              <w:t>2</w:t>
            </w:r>
            <w:r w:rsidR="00041F71">
              <w:rPr>
                <w:rFonts w:hint="eastAsia"/>
                <w:lang w:val="en-GB"/>
              </w:rPr>
              <w:t>,</w:t>
            </w:r>
            <w:r>
              <w:rPr>
                <w:lang w:val="en-GB"/>
              </w:rPr>
              <w:t>547</w:t>
            </w:r>
          </w:p>
        </w:tc>
      </w:tr>
      <w:tr w:rsidR="00D13477" w:rsidRPr="00002A77" w:rsidTr="007A7267">
        <w:trPr>
          <w:jc w:val="right"/>
        </w:trPr>
        <w:tc>
          <w:tcPr>
            <w:tcW w:w="427" w:type="dxa"/>
            <w:tcBorders>
              <w:top w:val="nil"/>
              <w:bottom w:val="single" w:sz="12" w:space="0" w:color="auto"/>
            </w:tcBorders>
          </w:tcPr>
          <w:p w:rsidR="00D13477" w:rsidRPr="00002A77" w:rsidRDefault="00D13477" w:rsidP="00041F71">
            <w:pPr>
              <w:pStyle w:val="SingleTxtGC"/>
              <w:spacing w:before="40" w:line="240" w:lineRule="exact"/>
              <w:ind w:left="0" w:right="0"/>
              <w:rPr>
                <w:rFonts w:hint="eastAsia"/>
                <w:lang w:val="en-GB"/>
              </w:rPr>
            </w:pPr>
          </w:p>
        </w:tc>
        <w:tc>
          <w:tcPr>
            <w:tcW w:w="2477" w:type="dxa"/>
            <w:tcBorders>
              <w:top w:val="nil"/>
              <w:bottom w:val="single" w:sz="12" w:space="0" w:color="auto"/>
            </w:tcBorders>
          </w:tcPr>
          <w:p w:rsidR="00D13477" w:rsidRPr="00041F71" w:rsidRDefault="00D13477" w:rsidP="007A7267">
            <w:pPr>
              <w:pStyle w:val="SingleTxtGC"/>
              <w:spacing w:before="40" w:line="240" w:lineRule="exact"/>
              <w:ind w:left="0" w:right="113"/>
              <w:rPr>
                <w:spacing w:val="-2"/>
                <w:lang w:val="en-GB"/>
              </w:rPr>
            </w:pPr>
            <w:r w:rsidRPr="00041F71">
              <w:rPr>
                <w:spacing w:val="-2"/>
                <w:lang w:val="en-GB"/>
              </w:rPr>
              <w:t>((4)</w:t>
            </w:r>
            <w:r w:rsidRPr="00041F71">
              <w:rPr>
                <w:rFonts w:hint="eastAsia"/>
                <w:spacing w:val="-2"/>
                <w:lang w:val="en-GB"/>
              </w:rPr>
              <w:t>占</w:t>
            </w:r>
            <w:r w:rsidRPr="00041F71">
              <w:rPr>
                <w:spacing w:val="-2"/>
                <w:lang w:val="en-GB"/>
              </w:rPr>
              <w:t>(3)</w:t>
            </w:r>
            <w:r w:rsidRPr="00041F71">
              <w:rPr>
                <w:rFonts w:hint="eastAsia"/>
                <w:spacing w:val="-2"/>
                <w:lang w:val="en-GB"/>
              </w:rPr>
              <w:t>的百分比</w:t>
            </w:r>
            <w:r w:rsidRPr="00041F71">
              <w:rPr>
                <w:spacing w:val="-2"/>
                <w:lang w:val="en-GB"/>
              </w:rPr>
              <w:t>)</w:t>
            </w:r>
          </w:p>
        </w:tc>
        <w:tc>
          <w:tcPr>
            <w:tcW w:w="1121" w:type="dxa"/>
            <w:tcBorders>
              <w:top w:val="nil"/>
              <w:bottom w:val="single" w:sz="12" w:space="0" w:color="auto"/>
            </w:tcBorders>
            <w:tcMar>
              <w:left w:w="29" w:type="dxa"/>
              <w:right w:w="29" w:type="dxa"/>
            </w:tcMar>
          </w:tcPr>
          <w:p w:rsidR="00D13477" w:rsidRPr="00002A77" w:rsidRDefault="00D13477" w:rsidP="007A7267">
            <w:pPr>
              <w:pStyle w:val="SingleTxtGC"/>
              <w:spacing w:before="40" w:line="240" w:lineRule="exact"/>
              <w:ind w:left="0" w:right="57"/>
              <w:jc w:val="right"/>
              <w:rPr>
                <w:rFonts w:hint="eastAsia"/>
                <w:lang w:val="en-GB"/>
              </w:rPr>
            </w:pPr>
            <w:r w:rsidRPr="00002A77">
              <w:rPr>
                <w:lang w:val="en-GB"/>
              </w:rPr>
              <w:t>(</w:t>
            </w:r>
            <w:r>
              <w:rPr>
                <w:lang w:val="en-GB"/>
              </w:rPr>
              <w:t>91</w:t>
            </w:r>
            <w:r w:rsidRPr="00002A77">
              <w:rPr>
                <w:lang w:val="en-GB"/>
              </w:rPr>
              <w:t>.</w:t>
            </w:r>
            <w:r>
              <w:rPr>
                <w:lang w:val="en-GB"/>
              </w:rPr>
              <w:t>94</w:t>
            </w:r>
            <w:r w:rsidRPr="00002A77">
              <w:rPr>
                <w:lang w:val="en-GB"/>
              </w:rPr>
              <w:t>%)</w:t>
            </w:r>
          </w:p>
        </w:tc>
        <w:tc>
          <w:tcPr>
            <w:tcW w:w="1122" w:type="dxa"/>
            <w:tcBorders>
              <w:top w:val="nil"/>
              <w:bottom w:val="single" w:sz="12" w:space="0" w:color="auto"/>
            </w:tcBorders>
            <w:tcMar>
              <w:left w:w="29" w:type="dxa"/>
              <w:right w:w="29" w:type="dxa"/>
            </w:tcMar>
          </w:tcPr>
          <w:p w:rsidR="00D13477" w:rsidRPr="00002A77" w:rsidRDefault="00D13477" w:rsidP="007A7267">
            <w:pPr>
              <w:pStyle w:val="SingleTxtGC"/>
              <w:spacing w:before="40" w:line="240" w:lineRule="exact"/>
              <w:ind w:left="0" w:right="57"/>
              <w:jc w:val="right"/>
              <w:rPr>
                <w:rFonts w:hint="eastAsia"/>
                <w:lang w:val="en-GB"/>
              </w:rPr>
            </w:pPr>
            <w:r w:rsidRPr="00002A77">
              <w:rPr>
                <w:lang w:val="en-GB"/>
              </w:rPr>
              <w:t>(</w:t>
            </w:r>
            <w:r>
              <w:rPr>
                <w:lang w:val="en-GB"/>
              </w:rPr>
              <w:t>91</w:t>
            </w:r>
            <w:r w:rsidRPr="00002A77">
              <w:rPr>
                <w:lang w:val="en-GB"/>
              </w:rPr>
              <w:t>.</w:t>
            </w:r>
            <w:r>
              <w:rPr>
                <w:lang w:val="en-GB"/>
              </w:rPr>
              <w:t>54</w:t>
            </w:r>
            <w:r w:rsidRPr="00002A77">
              <w:rPr>
                <w:lang w:val="en-GB"/>
              </w:rPr>
              <w:t>%)</w:t>
            </w:r>
          </w:p>
        </w:tc>
        <w:tc>
          <w:tcPr>
            <w:tcW w:w="1121" w:type="dxa"/>
            <w:tcBorders>
              <w:top w:val="nil"/>
              <w:bottom w:val="single" w:sz="12" w:space="0" w:color="auto"/>
            </w:tcBorders>
            <w:tcMar>
              <w:left w:w="29" w:type="dxa"/>
              <w:right w:w="29" w:type="dxa"/>
            </w:tcMar>
          </w:tcPr>
          <w:p w:rsidR="00D13477" w:rsidRPr="00002A77" w:rsidRDefault="00D13477" w:rsidP="007A7267">
            <w:pPr>
              <w:pStyle w:val="SingleTxtGC"/>
              <w:spacing w:before="40" w:line="240" w:lineRule="exact"/>
              <w:ind w:left="0" w:right="57"/>
              <w:jc w:val="right"/>
              <w:rPr>
                <w:rFonts w:hint="eastAsia"/>
                <w:lang w:val="en-GB"/>
              </w:rPr>
            </w:pPr>
            <w:r w:rsidRPr="00002A77">
              <w:rPr>
                <w:lang w:val="en-GB"/>
              </w:rPr>
              <w:t>(</w:t>
            </w:r>
            <w:r>
              <w:rPr>
                <w:lang w:val="en-GB"/>
              </w:rPr>
              <w:t>9</w:t>
            </w:r>
            <w:r w:rsidRPr="00002A77">
              <w:rPr>
                <w:lang w:val="en-GB"/>
              </w:rPr>
              <w:t>0.</w:t>
            </w:r>
            <w:r>
              <w:rPr>
                <w:lang w:val="en-GB"/>
              </w:rPr>
              <w:t>93</w:t>
            </w:r>
            <w:r w:rsidRPr="00002A77">
              <w:rPr>
                <w:lang w:val="en-GB"/>
              </w:rPr>
              <w:t>%)</w:t>
            </w:r>
          </w:p>
        </w:tc>
        <w:tc>
          <w:tcPr>
            <w:tcW w:w="1122" w:type="dxa"/>
            <w:tcBorders>
              <w:top w:val="nil"/>
              <w:bottom w:val="single" w:sz="12" w:space="0" w:color="auto"/>
            </w:tcBorders>
            <w:tcMar>
              <w:left w:w="29" w:type="dxa"/>
              <w:right w:w="29" w:type="dxa"/>
            </w:tcMar>
          </w:tcPr>
          <w:p w:rsidR="00D13477" w:rsidRPr="00002A77" w:rsidRDefault="00D13477" w:rsidP="007A7267">
            <w:pPr>
              <w:pStyle w:val="SingleTxtGC"/>
              <w:spacing w:before="40" w:line="240" w:lineRule="exact"/>
              <w:ind w:left="0" w:right="57"/>
              <w:jc w:val="right"/>
              <w:rPr>
                <w:rFonts w:hint="eastAsia"/>
                <w:lang w:val="en-GB"/>
              </w:rPr>
            </w:pPr>
            <w:r w:rsidRPr="00002A77">
              <w:rPr>
                <w:lang w:val="en-GB"/>
              </w:rPr>
              <w:t>(</w:t>
            </w:r>
            <w:r>
              <w:rPr>
                <w:lang w:val="en-GB"/>
              </w:rPr>
              <w:t>9</w:t>
            </w:r>
            <w:r w:rsidRPr="00002A77">
              <w:rPr>
                <w:lang w:val="en-GB"/>
              </w:rPr>
              <w:t>0.</w:t>
            </w:r>
            <w:r>
              <w:rPr>
                <w:lang w:val="en-GB"/>
              </w:rPr>
              <w:t>22</w:t>
            </w:r>
            <w:r w:rsidRPr="00002A77">
              <w:rPr>
                <w:lang w:val="en-GB"/>
              </w:rPr>
              <w:t>%)</w:t>
            </w:r>
          </w:p>
        </w:tc>
        <w:tc>
          <w:tcPr>
            <w:tcW w:w="1122" w:type="dxa"/>
            <w:tcBorders>
              <w:top w:val="nil"/>
              <w:bottom w:val="single" w:sz="12" w:space="0" w:color="auto"/>
            </w:tcBorders>
            <w:tcMar>
              <w:left w:w="29" w:type="dxa"/>
              <w:right w:w="29" w:type="dxa"/>
            </w:tcMar>
          </w:tcPr>
          <w:p w:rsidR="00D13477" w:rsidRPr="00002A77" w:rsidRDefault="00D13477" w:rsidP="007A7267">
            <w:pPr>
              <w:pStyle w:val="SingleTxtGC"/>
              <w:spacing w:before="40" w:line="240" w:lineRule="exact"/>
              <w:ind w:left="0" w:right="57"/>
              <w:jc w:val="right"/>
              <w:rPr>
                <w:lang w:val="en-GB"/>
              </w:rPr>
            </w:pPr>
            <w:r w:rsidRPr="00002A77">
              <w:rPr>
                <w:lang w:val="en-GB"/>
              </w:rPr>
              <w:t>(</w:t>
            </w:r>
            <w:r>
              <w:rPr>
                <w:lang w:val="en-GB"/>
              </w:rPr>
              <w:t>91</w:t>
            </w:r>
            <w:r w:rsidRPr="00002A77">
              <w:rPr>
                <w:lang w:val="en-GB"/>
              </w:rPr>
              <w:t>.</w:t>
            </w:r>
            <w:r>
              <w:rPr>
                <w:lang w:val="en-GB"/>
              </w:rPr>
              <w:t>13</w:t>
            </w:r>
            <w:r w:rsidRPr="00002A77">
              <w:rPr>
                <w:lang w:val="en-GB"/>
              </w:rPr>
              <w:t>%)</w:t>
            </w:r>
          </w:p>
        </w:tc>
      </w:tr>
    </w:tbl>
    <w:p w:rsidR="00D13477" w:rsidRPr="00002A77" w:rsidRDefault="00041F71" w:rsidP="00041F71">
      <w:pPr>
        <w:pStyle w:val="H23GC"/>
        <w:rPr>
          <w:rFonts w:hint="eastAsia"/>
        </w:rPr>
      </w:pPr>
      <w:r>
        <w:rPr>
          <w:rFonts w:hint="eastAsia"/>
        </w:rPr>
        <w:tab/>
        <w:t>4.</w:t>
      </w:r>
      <w:r>
        <w:rPr>
          <w:rFonts w:hint="eastAsia"/>
        </w:rPr>
        <w:tab/>
      </w:r>
      <w:r w:rsidR="00D13477" w:rsidRPr="00002A77">
        <w:rPr>
          <w:rFonts w:hint="eastAsia"/>
        </w:rPr>
        <w:t>非政府机构</w:t>
      </w:r>
    </w:p>
    <w:p w:rsidR="00D13477" w:rsidRPr="00002A77" w:rsidRDefault="00D13477" w:rsidP="00D13477">
      <w:pPr>
        <w:pStyle w:val="SingleTxtGC"/>
        <w:rPr>
          <w:lang w:val="en-GB"/>
        </w:rPr>
      </w:pPr>
      <w:r>
        <w:rPr>
          <w:lang w:val="en-GB"/>
        </w:rPr>
        <w:t>33</w:t>
      </w:r>
      <w:r w:rsidR="00977DAB">
        <w:rPr>
          <w:lang w:val="en-GB"/>
        </w:rPr>
        <w:t xml:space="preserve">.  </w:t>
      </w:r>
      <w:r w:rsidRPr="00002A77">
        <w:rPr>
          <w:rFonts w:hint="eastAsia"/>
          <w:lang w:val="en-GB"/>
        </w:rPr>
        <w:t>《基本法》第二十七条保证香港居民享有结社自由，以及组织和参加工会、罢工的权利和自由。与《公民权利及政治权利国际公约》第二十二条相对应的《香港人权法案》第十八条亦保障结社的自由。在香港，所有组织包括公司、社团、职工会及储蓄互助社应按照适用法例</w:t>
      </w:r>
      <w:r w:rsidRPr="00002A77">
        <w:rPr>
          <w:rFonts w:hint="eastAsia"/>
          <w:lang w:val="en-GB"/>
        </w:rPr>
        <w:t>(</w:t>
      </w:r>
      <w:r w:rsidRPr="00002A77">
        <w:rPr>
          <w:rFonts w:hint="eastAsia"/>
          <w:lang w:val="en-GB"/>
        </w:rPr>
        <w:t>例如《公司条例》</w:t>
      </w:r>
      <w:r w:rsidRPr="00002A77">
        <w:rPr>
          <w:lang w:val="en-GB"/>
        </w:rPr>
        <w:t>(</w:t>
      </w:r>
      <w:r w:rsidRPr="00002A77">
        <w:rPr>
          <w:rFonts w:hint="eastAsia"/>
          <w:lang w:val="en-GB"/>
        </w:rPr>
        <w:t>第</w:t>
      </w:r>
      <w:r>
        <w:rPr>
          <w:lang w:val="en-GB"/>
        </w:rPr>
        <w:t>32</w:t>
      </w:r>
      <w:r w:rsidRPr="00002A77">
        <w:rPr>
          <w:rFonts w:hint="eastAsia"/>
          <w:lang w:val="en-GB"/>
        </w:rPr>
        <w:t>章</w:t>
      </w:r>
      <w:r w:rsidRPr="00002A77">
        <w:rPr>
          <w:lang w:val="en-GB"/>
        </w:rPr>
        <w:t>)</w:t>
      </w:r>
      <w:r w:rsidRPr="00002A77">
        <w:rPr>
          <w:rFonts w:hint="eastAsia"/>
          <w:lang w:val="en-GB"/>
        </w:rPr>
        <w:t>和《社团条例》</w:t>
      </w:r>
      <w:r w:rsidRPr="00002A77">
        <w:rPr>
          <w:lang w:val="en-GB"/>
        </w:rPr>
        <w:t>(</w:t>
      </w:r>
      <w:r w:rsidRPr="00002A77">
        <w:rPr>
          <w:rFonts w:hint="eastAsia"/>
          <w:lang w:val="en-GB"/>
        </w:rPr>
        <w:t>第</w:t>
      </w:r>
      <w:r>
        <w:rPr>
          <w:lang w:val="en-GB"/>
        </w:rPr>
        <w:t>151</w:t>
      </w:r>
      <w:r w:rsidRPr="00002A77">
        <w:rPr>
          <w:rFonts w:hint="eastAsia"/>
          <w:lang w:val="en-GB"/>
        </w:rPr>
        <w:t>章</w:t>
      </w:r>
      <w:r w:rsidRPr="00002A77">
        <w:rPr>
          <w:lang w:val="en-GB"/>
        </w:rPr>
        <w:t>)</w:t>
      </w:r>
      <w:r w:rsidRPr="00002A77">
        <w:rPr>
          <w:rFonts w:hint="eastAsia"/>
          <w:lang w:val="en-GB"/>
        </w:rPr>
        <w:t>)</w:t>
      </w:r>
      <w:r w:rsidRPr="00002A77">
        <w:rPr>
          <w:rFonts w:hint="eastAsia"/>
          <w:lang w:val="en-GB"/>
        </w:rPr>
        <w:t>的规定向有关当局登记或注册。</w:t>
      </w:r>
    </w:p>
    <w:p w:rsidR="00D13477" w:rsidRPr="00002A77" w:rsidRDefault="00C03F18" w:rsidP="00C03F18">
      <w:pPr>
        <w:pStyle w:val="H4GC"/>
        <w:rPr>
          <w:lang w:val="en-GB"/>
        </w:rPr>
      </w:pPr>
      <w:r>
        <w:rPr>
          <w:rFonts w:hint="eastAsia"/>
          <w:lang w:val="en-GB"/>
        </w:rPr>
        <w:tab/>
      </w:r>
      <w:r>
        <w:rPr>
          <w:rFonts w:hint="eastAsia"/>
          <w:lang w:val="en-GB"/>
        </w:rPr>
        <w:tab/>
      </w:r>
      <w:r w:rsidR="00D13477" w:rsidRPr="00002A77">
        <w:rPr>
          <w:rFonts w:hint="eastAsia"/>
          <w:lang w:val="en-GB"/>
        </w:rPr>
        <w:t>豁免缴税</w:t>
      </w:r>
    </w:p>
    <w:p w:rsidR="00D13477" w:rsidRPr="00002A77" w:rsidRDefault="00D13477" w:rsidP="00D13477">
      <w:pPr>
        <w:pStyle w:val="SingleTxtGC"/>
        <w:rPr>
          <w:lang w:val="en-GB"/>
        </w:rPr>
      </w:pPr>
      <w:r>
        <w:rPr>
          <w:lang w:val="en-GB"/>
        </w:rPr>
        <w:t>34</w:t>
      </w:r>
      <w:r w:rsidR="00977DAB">
        <w:rPr>
          <w:lang w:val="en-GB"/>
        </w:rPr>
        <w:t xml:space="preserve">.  </w:t>
      </w:r>
      <w:r w:rsidRPr="00002A77">
        <w:rPr>
          <w:rFonts w:hint="eastAsia"/>
          <w:lang w:val="en-GB"/>
        </w:rPr>
        <w:t>除受某些限制外，属公共性质的慈善机构或信托团体可根据《税务条例》</w:t>
      </w:r>
      <w:r w:rsidRPr="00002A77">
        <w:rPr>
          <w:rFonts w:hint="eastAsia"/>
          <w:lang w:val="en-GB"/>
        </w:rPr>
        <w:t>(</w:t>
      </w:r>
      <w:r w:rsidRPr="00002A77">
        <w:rPr>
          <w:rFonts w:hint="eastAsia"/>
          <w:lang w:val="en-GB"/>
        </w:rPr>
        <w:t>第</w:t>
      </w:r>
      <w:r>
        <w:rPr>
          <w:lang w:val="en-GB"/>
        </w:rPr>
        <w:t>112</w:t>
      </w:r>
      <w:r w:rsidRPr="00002A77">
        <w:rPr>
          <w:rFonts w:hint="eastAsia"/>
          <w:lang w:val="en-GB"/>
        </w:rPr>
        <w:t>章</w:t>
      </w:r>
      <w:r w:rsidRPr="00002A77">
        <w:rPr>
          <w:rFonts w:hint="eastAsia"/>
          <w:lang w:val="en-GB"/>
        </w:rPr>
        <w:t>)</w:t>
      </w:r>
      <w:r w:rsidRPr="00002A77">
        <w:rPr>
          <w:rFonts w:hint="eastAsia"/>
          <w:lang w:val="en-GB"/>
        </w:rPr>
        <w:t>第</w:t>
      </w:r>
      <w:r>
        <w:rPr>
          <w:lang w:val="en-GB"/>
        </w:rPr>
        <w:t>88</w:t>
      </w:r>
      <w:r w:rsidRPr="00002A77">
        <w:rPr>
          <w:rFonts w:hint="eastAsia"/>
          <w:lang w:val="en-GB"/>
        </w:rPr>
        <w:t>条获豁免缴税。有意申请豁免缴税的慈善团体可向税务局提出申请。</w:t>
      </w:r>
    </w:p>
    <w:p w:rsidR="00D13477" w:rsidRPr="00002A77" w:rsidRDefault="00D13477" w:rsidP="00D13477">
      <w:pPr>
        <w:pStyle w:val="SingleTxtGC"/>
        <w:rPr>
          <w:lang w:val="en-GB"/>
        </w:rPr>
      </w:pPr>
      <w:r>
        <w:rPr>
          <w:lang w:val="en-GB"/>
        </w:rPr>
        <w:t>35</w:t>
      </w:r>
      <w:r w:rsidR="00977DAB">
        <w:rPr>
          <w:lang w:val="en-GB"/>
        </w:rPr>
        <w:t xml:space="preserve">.  </w:t>
      </w:r>
      <w:r w:rsidRPr="00002A77">
        <w:rPr>
          <w:rFonts w:hint="eastAsia"/>
          <w:lang w:val="en-GB"/>
        </w:rPr>
        <w:t>任何机构或信托团体如要成为慈善团体，必须纯粹是为法理上承认的慈善用途而设立。有关界定慈善团体法律特质的法理依据，是参照过往法院的判决发展出来的。</w:t>
      </w:r>
    </w:p>
    <w:p w:rsidR="00D13477" w:rsidRPr="00002A77" w:rsidRDefault="00D13477" w:rsidP="00D13477">
      <w:pPr>
        <w:pStyle w:val="SingleTxtGC"/>
        <w:rPr>
          <w:lang w:val="en-GB"/>
        </w:rPr>
      </w:pPr>
      <w:r>
        <w:rPr>
          <w:lang w:val="en-GB"/>
        </w:rPr>
        <w:t>36</w:t>
      </w:r>
      <w:r w:rsidR="00977DAB">
        <w:rPr>
          <w:lang w:val="en-GB"/>
        </w:rPr>
        <w:t xml:space="preserve">.  </w:t>
      </w:r>
      <w:r w:rsidRPr="00002A77">
        <w:rPr>
          <w:rFonts w:hint="eastAsia"/>
          <w:lang w:val="en-GB"/>
        </w:rPr>
        <w:t>根据判决，可接受的慈善用途概述如下：</w:t>
      </w:r>
    </w:p>
    <w:p w:rsidR="00D13477" w:rsidRPr="00002A77" w:rsidRDefault="00D13477" w:rsidP="00C03F18">
      <w:pPr>
        <w:pStyle w:val="SingleTxtGC"/>
        <w:numPr>
          <w:ilvl w:val="0"/>
          <w:numId w:val="22"/>
        </w:numPr>
        <w:rPr>
          <w:lang w:val="en-GB"/>
        </w:rPr>
      </w:pPr>
      <w:r w:rsidRPr="00002A77">
        <w:rPr>
          <w:rFonts w:hint="eastAsia"/>
          <w:lang w:val="en-GB"/>
        </w:rPr>
        <w:t>救助贫困；</w:t>
      </w:r>
    </w:p>
    <w:p w:rsidR="00D13477" w:rsidRPr="00002A77" w:rsidRDefault="00D13477" w:rsidP="00C03F18">
      <w:pPr>
        <w:pStyle w:val="SingleTxtGC"/>
        <w:numPr>
          <w:ilvl w:val="0"/>
          <w:numId w:val="22"/>
        </w:numPr>
        <w:rPr>
          <w:lang w:val="en-GB"/>
        </w:rPr>
      </w:pPr>
      <w:r w:rsidRPr="00002A77">
        <w:rPr>
          <w:rFonts w:hint="eastAsia"/>
          <w:lang w:val="en-GB"/>
        </w:rPr>
        <w:t>促进教育；</w:t>
      </w:r>
    </w:p>
    <w:p w:rsidR="00D13477" w:rsidRPr="00002A77" w:rsidRDefault="00D13477" w:rsidP="00C03F18">
      <w:pPr>
        <w:pStyle w:val="SingleTxtGC"/>
        <w:numPr>
          <w:ilvl w:val="0"/>
          <w:numId w:val="22"/>
        </w:numPr>
        <w:rPr>
          <w:lang w:val="en-GB"/>
        </w:rPr>
      </w:pPr>
      <w:r w:rsidRPr="00002A77">
        <w:rPr>
          <w:rFonts w:hint="eastAsia"/>
          <w:lang w:val="en-GB"/>
        </w:rPr>
        <w:t>推广宗教；以及</w:t>
      </w:r>
    </w:p>
    <w:p w:rsidR="00D13477" w:rsidRPr="00002A77" w:rsidRDefault="00D13477" w:rsidP="00C03F18">
      <w:pPr>
        <w:pStyle w:val="SingleTxtGC"/>
        <w:numPr>
          <w:ilvl w:val="0"/>
          <w:numId w:val="22"/>
        </w:numPr>
      </w:pPr>
      <w:r w:rsidRPr="00002A77">
        <w:rPr>
          <w:rFonts w:hint="eastAsia"/>
        </w:rPr>
        <w:t>除上述之外，其他有益于社会而具慈善性质的宗旨。</w:t>
      </w:r>
    </w:p>
    <w:p w:rsidR="00D13477" w:rsidRPr="00002A77" w:rsidRDefault="00D13477" w:rsidP="00D13477">
      <w:pPr>
        <w:pStyle w:val="SingleTxtGC"/>
        <w:rPr>
          <w:rFonts w:hint="eastAsia"/>
        </w:rPr>
      </w:pPr>
      <w:r>
        <w:t>37</w:t>
      </w:r>
      <w:r w:rsidR="00977DAB">
        <w:t xml:space="preserve">.  </w:t>
      </w:r>
      <w:r w:rsidRPr="00002A77">
        <w:rPr>
          <w:rFonts w:hint="eastAsia"/>
        </w:rPr>
        <w:t>虽然首三项所列的用途，其有关之活动可以在世界上任何地方进行，但在</w:t>
      </w:r>
      <w:r w:rsidRPr="00002A77">
        <w:t>(</w:t>
      </w:r>
      <w:r>
        <w:t>d</w:t>
      </w:r>
      <w:r w:rsidRPr="00002A77">
        <w:t>)</w:t>
      </w:r>
      <w:r w:rsidRPr="00002A77">
        <w:rPr>
          <w:rFonts w:hint="eastAsia"/>
        </w:rPr>
        <w:t>项下的用途必须是有益于香港社会，才可被视为具慈善性质。</w:t>
      </w:r>
    </w:p>
    <w:p w:rsidR="00D13477" w:rsidRPr="00002A77" w:rsidRDefault="00C03F18" w:rsidP="00C03F18">
      <w:pPr>
        <w:pStyle w:val="HChGC"/>
        <w:keepNext w:val="0"/>
        <w:rPr>
          <w:lang w:val="en-GB"/>
        </w:rPr>
      </w:pPr>
      <w:r>
        <w:rPr>
          <w:lang w:val="en-GB"/>
        </w:rPr>
        <w:br w:type="page"/>
      </w:r>
      <w:r>
        <w:rPr>
          <w:rFonts w:hint="eastAsia"/>
          <w:lang w:val="en-GB"/>
        </w:rPr>
        <w:tab/>
      </w:r>
      <w:r>
        <w:rPr>
          <w:rFonts w:hint="eastAsia"/>
          <w:lang w:val="en-GB"/>
        </w:rPr>
        <w:t>二</w:t>
      </w:r>
      <w:r>
        <w:rPr>
          <w:rFonts w:hint="eastAsia"/>
          <w:lang w:val="en-GB"/>
        </w:rPr>
        <w:t>.</w:t>
      </w:r>
      <w:r>
        <w:rPr>
          <w:rFonts w:hint="eastAsia"/>
          <w:lang w:val="en-GB"/>
        </w:rPr>
        <w:tab/>
      </w:r>
      <w:r w:rsidR="00D13477" w:rsidRPr="00002A77">
        <w:rPr>
          <w:rFonts w:hint="eastAsia"/>
          <w:lang w:val="en-GB"/>
        </w:rPr>
        <w:t>保障和促进人权的概况</w:t>
      </w:r>
    </w:p>
    <w:p w:rsidR="00D13477" w:rsidRPr="00002A77" w:rsidRDefault="00C03F18" w:rsidP="00C03F18">
      <w:pPr>
        <w:pStyle w:val="H1GC"/>
        <w:keepNext w:val="0"/>
        <w:rPr>
          <w:lang w:val="en-GB"/>
        </w:rPr>
      </w:pPr>
      <w:r>
        <w:rPr>
          <w:rFonts w:hint="eastAsia"/>
          <w:lang w:val="en-GB"/>
        </w:rPr>
        <w:tab/>
        <w:t>A.</w:t>
      </w:r>
      <w:r>
        <w:rPr>
          <w:rFonts w:hint="eastAsia"/>
          <w:lang w:val="en-GB"/>
        </w:rPr>
        <w:tab/>
      </w:r>
      <w:r w:rsidR="00D13477" w:rsidRPr="00002A77">
        <w:rPr>
          <w:rFonts w:hint="eastAsia"/>
          <w:lang w:val="en-GB"/>
        </w:rPr>
        <w:t>国际人权条约适用于香港特区的情况</w:t>
      </w:r>
    </w:p>
    <w:p w:rsidR="00D13477" w:rsidRPr="00002A77" w:rsidRDefault="00D13477" w:rsidP="00D13477">
      <w:pPr>
        <w:pStyle w:val="SingleTxtGC"/>
        <w:rPr>
          <w:rFonts w:hint="eastAsia"/>
          <w:lang w:val="en-GB"/>
        </w:rPr>
      </w:pPr>
      <w:r>
        <w:rPr>
          <w:lang w:val="en-GB"/>
        </w:rPr>
        <w:t>38</w:t>
      </w:r>
      <w:r w:rsidR="00977DAB">
        <w:rPr>
          <w:lang w:val="en-GB"/>
        </w:rPr>
        <w:t xml:space="preserve">.  </w:t>
      </w:r>
      <w:r w:rsidRPr="00002A77">
        <w:rPr>
          <w:rFonts w:hint="eastAsia"/>
          <w:lang w:val="en-GB"/>
        </w:rPr>
        <w:t>适用于香港特区的国际条约及有关资料载于</w:t>
      </w:r>
      <w:r w:rsidRPr="00002A77">
        <w:rPr>
          <w:rFonts w:hint="eastAsia"/>
        </w:rPr>
        <w:t>附件</w:t>
      </w:r>
      <w:r>
        <w:t>E</w:t>
      </w:r>
      <w:r w:rsidRPr="00002A77">
        <w:rPr>
          <w:rFonts w:hint="eastAsia"/>
          <w:lang w:val="en-GB"/>
        </w:rPr>
        <w:t>。</w:t>
      </w:r>
    </w:p>
    <w:p w:rsidR="00D13477" w:rsidRPr="00002A77" w:rsidRDefault="00C03F18" w:rsidP="00C03F18">
      <w:pPr>
        <w:pStyle w:val="H1GC"/>
        <w:rPr>
          <w:lang w:val="en-GB"/>
        </w:rPr>
      </w:pPr>
      <w:r>
        <w:rPr>
          <w:rFonts w:hint="eastAsia"/>
          <w:lang w:val="en-GB"/>
        </w:rPr>
        <w:tab/>
        <w:t>B.</w:t>
      </w:r>
      <w:r>
        <w:rPr>
          <w:rFonts w:hint="eastAsia"/>
          <w:lang w:val="en-GB"/>
        </w:rPr>
        <w:tab/>
      </w:r>
      <w:r w:rsidR="00D13477" w:rsidRPr="00002A77">
        <w:rPr>
          <w:rFonts w:hint="eastAsia"/>
          <w:lang w:val="en-GB"/>
        </w:rPr>
        <w:t>保障人权的法律架构</w:t>
      </w:r>
    </w:p>
    <w:p w:rsidR="00D13477" w:rsidRPr="00002A77" w:rsidRDefault="00C03F18" w:rsidP="00C03F18">
      <w:pPr>
        <w:pStyle w:val="H23GC"/>
      </w:pPr>
      <w:r>
        <w:rPr>
          <w:rFonts w:hint="eastAsia"/>
        </w:rPr>
        <w:tab/>
        <w:t>1.</w:t>
      </w:r>
      <w:r>
        <w:rPr>
          <w:rFonts w:hint="eastAsia"/>
        </w:rPr>
        <w:tab/>
      </w:r>
      <w:r w:rsidR="00D13477" w:rsidRPr="00002A77">
        <w:rPr>
          <w:rFonts w:hint="eastAsia"/>
        </w:rPr>
        <w:t>法治</w:t>
      </w:r>
    </w:p>
    <w:p w:rsidR="00D13477" w:rsidRPr="00002A77" w:rsidRDefault="00D13477" w:rsidP="00D13477">
      <w:pPr>
        <w:pStyle w:val="SingleTxtGC"/>
        <w:rPr>
          <w:lang w:val="en-GB"/>
        </w:rPr>
      </w:pPr>
      <w:r>
        <w:rPr>
          <w:lang w:val="en-GB"/>
        </w:rPr>
        <w:t>39</w:t>
      </w:r>
      <w:r w:rsidR="00977DAB">
        <w:rPr>
          <w:lang w:val="en-GB"/>
        </w:rPr>
        <w:t xml:space="preserve">.  </w:t>
      </w:r>
      <w:r w:rsidRPr="00002A77">
        <w:rPr>
          <w:rFonts w:hint="eastAsia"/>
        </w:rPr>
        <w:t>以司法独立维持的法治是保障人权的重要基础</w:t>
      </w:r>
      <w:r w:rsidRPr="00002A77">
        <w:rPr>
          <w:rFonts w:hint="eastAsia"/>
        </w:rPr>
        <w:t>(</w:t>
      </w:r>
      <w:r w:rsidRPr="00002A77">
        <w:rPr>
          <w:rFonts w:hint="eastAsia"/>
        </w:rPr>
        <w:t>见上文第</w:t>
      </w:r>
      <w:r>
        <w:t>26</w:t>
      </w:r>
      <w:r w:rsidRPr="00002A77">
        <w:rPr>
          <w:rFonts w:hint="eastAsia"/>
        </w:rPr>
        <w:t>至</w:t>
      </w:r>
      <w:r>
        <w:t>31</w:t>
      </w:r>
      <w:r w:rsidRPr="00002A77">
        <w:rPr>
          <w:rFonts w:hint="eastAsia"/>
        </w:rPr>
        <w:t>段</w:t>
      </w:r>
      <w:r w:rsidRPr="00002A77">
        <w:rPr>
          <w:rFonts w:hint="eastAsia"/>
        </w:rPr>
        <w:t>)</w:t>
      </w:r>
      <w:r w:rsidRPr="00002A77">
        <w:rPr>
          <w:rFonts w:hint="eastAsia"/>
        </w:rPr>
        <w:t>。法治的原则包括：</w:t>
      </w:r>
    </w:p>
    <w:p w:rsidR="00D13477" w:rsidRPr="00002A77" w:rsidRDefault="00D13477" w:rsidP="00C03F18">
      <w:pPr>
        <w:pStyle w:val="SingleTxtGC"/>
        <w:numPr>
          <w:ilvl w:val="0"/>
          <w:numId w:val="24"/>
        </w:numPr>
        <w:rPr>
          <w:lang w:val="en-GB"/>
        </w:rPr>
      </w:pPr>
      <w:r w:rsidRPr="00C03F18">
        <w:rPr>
          <w:rFonts w:eastAsia="SimHei" w:hint="eastAsia"/>
        </w:rPr>
        <w:t>法律凌驾一切的地位</w:t>
      </w:r>
      <w:r w:rsidRPr="002B132C">
        <w:rPr>
          <w:rFonts w:hint="eastAsia"/>
        </w:rPr>
        <w:t>：</w:t>
      </w:r>
      <w:r w:rsidRPr="00002A77">
        <w:rPr>
          <w:rFonts w:hint="eastAsia"/>
          <w:lang w:val="en-GB"/>
        </w:rPr>
        <w:t>不论何人，除经独立的法院裁定违法，否则不可受到任何处罚，或在法律上在人身或金钱上受到损失。任何政府人员或主管当局如获法律赋予酌情决定权，必须以合法、公平、合理的方式运用这项权力，否则所作决定可在法院被质疑和推翻。此外，《基本法》也保证香港居民有权对行政部门及其人员的行为向法院提出诉讼；以及</w:t>
      </w:r>
    </w:p>
    <w:p w:rsidR="00D13477" w:rsidRPr="00002A77" w:rsidRDefault="00D13477" w:rsidP="00C03F18">
      <w:pPr>
        <w:pStyle w:val="SingleTxtGC"/>
        <w:numPr>
          <w:ilvl w:val="0"/>
          <w:numId w:val="24"/>
        </w:numPr>
        <w:rPr>
          <w:lang w:val="en-GB"/>
        </w:rPr>
      </w:pPr>
      <w:r w:rsidRPr="00C03F18">
        <w:rPr>
          <w:rFonts w:eastAsia="SimHei" w:hint="eastAsia"/>
        </w:rPr>
        <w:t>法律面前人人平等</w:t>
      </w:r>
      <w:r w:rsidRPr="002B132C">
        <w:rPr>
          <w:rFonts w:hint="eastAsia"/>
        </w:rPr>
        <w:t>：</w:t>
      </w:r>
      <w:r w:rsidRPr="00002A77">
        <w:rPr>
          <w:rFonts w:hint="eastAsia"/>
          <w:lang w:val="en-GB"/>
        </w:rPr>
        <w:t>《基本法》第二十五条订明，香港居民在法律面前一律平等。第二十二条订明，中央各部门、各省、自治区、直辖市在香港特区设立的一切机构及其人员均须遵守香港特区的法律。第十四条订明，驻军人员除须遵守全国性的法律外，还须遵守香港特区的法律。此外，第三十五条也订明，香港居民有权对行政部门及其人员的行为向法院提出诉讼。因此，香港特区任何政府当局、政府人员或个人都不能</w:t>
      </w:r>
      <w:r w:rsidRPr="00002A77">
        <w:rPr>
          <w:rFonts w:hint="eastAsia"/>
        </w:rPr>
        <w:t>凌</w:t>
      </w:r>
      <w:r w:rsidRPr="00002A77">
        <w:rPr>
          <w:rFonts w:hint="eastAsia"/>
          <w:lang w:val="en-GB"/>
        </w:rPr>
        <w:t>驾于法律之上。法律之前人人平等，无分种族、阶级、政见、宗教或性别，所有人均须遵守同一套法律。个人和香港特区政府都可以入禀法院，要求行使合法权利或就某宗诉讼作出申辩。</w:t>
      </w:r>
    </w:p>
    <w:p w:rsidR="00D13477" w:rsidRPr="00002A77" w:rsidRDefault="002B132C" w:rsidP="002B132C">
      <w:pPr>
        <w:pStyle w:val="H23GC"/>
      </w:pPr>
      <w:r>
        <w:rPr>
          <w:rFonts w:hint="eastAsia"/>
        </w:rPr>
        <w:tab/>
        <w:t>2.</w:t>
      </w:r>
      <w:r>
        <w:rPr>
          <w:rFonts w:hint="eastAsia"/>
        </w:rPr>
        <w:tab/>
      </w:r>
      <w:r w:rsidR="00D13477" w:rsidRPr="00002A77">
        <w:rPr>
          <w:rFonts w:hint="eastAsia"/>
        </w:rPr>
        <w:t>《基本法》对人权的保证</w:t>
      </w:r>
    </w:p>
    <w:p w:rsidR="00D13477" w:rsidRPr="00002A77" w:rsidRDefault="00D13477" w:rsidP="00D13477">
      <w:pPr>
        <w:pStyle w:val="SingleTxtGC"/>
        <w:rPr>
          <w:lang w:val="en-GB"/>
        </w:rPr>
      </w:pPr>
      <w:r>
        <w:rPr>
          <w:lang w:val="en-GB"/>
        </w:rPr>
        <w:t>4</w:t>
      </w:r>
      <w:r w:rsidRPr="00002A77">
        <w:rPr>
          <w:lang w:val="en-GB"/>
        </w:rPr>
        <w:t>0</w:t>
      </w:r>
      <w:r w:rsidR="00977DAB">
        <w:rPr>
          <w:lang w:val="en-GB"/>
        </w:rPr>
        <w:t xml:space="preserve">.  </w:t>
      </w:r>
      <w:r w:rsidRPr="00002A77">
        <w:rPr>
          <w:rFonts w:hint="eastAsia"/>
        </w:rPr>
        <w:t>《基本法》第四条规定，香港特区须依法保障香港特区居民和其他人的权利和自由。《基本法》所保证的各种自由和权利包括：</w:t>
      </w:r>
    </w:p>
    <w:p w:rsidR="00D13477" w:rsidRPr="00002A77" w:rsidRDefault="00D13477" w:rsidP="002B132C">
      <w:pPr>
        <w:pStyle w:val="SingleTxtGC"/>
        <w:numPr>
          <w:ilvl w:val="0"/>
          <w:numId w:val="26"/>
        </w:numPr>
        <w:rPr>
          <w:lang w:val="en-GB"/>
        </w:rPr>
      </w:pPr>
      <w:r w:rsidRPr="00002A77">
        <w:rPr>
          <w:rFonts w:hint="eastAsia"/>
          <w:lang w:val="en-GB"/>
        </w:rPr>
        <w:t>法律面前人人平等；</w:t>
      </w:r>
    </w:p>
    <w:p w:rsidR="00D13477" w:rsidRPr="00002A77" w:rsidRDefault="00D13477" w:rsidP="002B132C">
      <w:pPr>
        <w:pStyle w:val="SingleTxtGC"/>
        <w:numPr>
          <w:ilvl w:val="0"/>
          <w:numId w:val="26"/>
        </w:numPr>
        <w:rPr>
          <w:lang w:val="en-GB"/>
        </w:rPr>
      </w:pPr>
      <w:r w:rsidRPr="00002A77">
        <w:rPr>
          <w:rFonts w:hint="eastAsia"/>
          <w:lang w:val="en-GB"/>
        </w:rPr>
        <w:t>言论、新闻、出版的自由，结社、集会、游行、示威的自由，组织和参加工会、罢工的权利和自由；</w:t>
      </w:r>
    </w:p>
    <w:p w:rsidR="00D13477" w:rsidRPr="00002A77" w:rsidRDefault="00D13477" w:rsidP="002B132C">
      <w:pPr>
        <w:pStyle w:val="SingleTxtGC"/>
        <w:numPr>
          <w:ilvl w:val="0"/>
          <w:numId w:val="26"/>
        </w:numPr>
        <w:rPr>
          <w:lang w:val="en-GB"/>
        </w:rPr>
      </w:pPr>
      <w:r w:rsidRPr="00002A77">
        <w:rPr>
          <w:rFonts w:hint="eastAsia"/>
          <w:lang w:val="en-GB"/>
        </w:rPr>
        <w:t>人身自由、免遭酷刑的自由，不受任意或非法逮捕、拘留、监禁的自由，身体不受任意或非法搜查的自由，以及生命不受任意或非法剥夺的权利；</w:t>
      </w:r>
    </w:p>
    <w:p w:rsidR="00D13477" w:rsidRPr="00002A77" w:rsidRDefault="00D13477" w:rsidP="002B132C">
      <w:pPr>
        <w:pStyle w:val="SingleTxtGC"/>
        <w:numPr>
          <w:ilvl w:val="0"/>
          <w:numId w:val="26"/>
        </w:numPr>
        <w:rPr>
          <w:lang w:val="en-GB"/>
        </w:rPr>
      </w:pPr>
      <w:r w:rsidRPr="00002A77">
        <w:rPr>
          <w:rFonts w:hint="eastAsia"/>
          <w:lang w:val="en-GB"/>
        </w:rPr>
        <w:t>任何人的住宅和其他房屋不受任意或非法搜查、侵入的自由；</w:t>
      </w:r>
    </w:p>
    <w:p w:rsidR="00D13477" w:rsidRPr="00002A77" w:rsidRDefault="00D13477" w:rsidP="002B132C">
      <w:pPr>
        <w:pStyle w:val="SingleTxtGC"/>
        <w:numPr>
          <w:ilvl w:val="0"/>
          <w:numId w:val="26"/>
        </w:numPr>
        <w:rPr>
          <w:lang w:val="en-GB"/>
        </w:rPr>
      </w:pPr>
      <w:r w:rsidRPr="00002A77">
        <w:rPr>
          <w:rFonts w:hint="eastAsia"/>
          <w:lang w:val="en-GB"/>
        </w:rPr>
        <w:t>通讯自由和通讯私隐；</w:t>
      </w:r>
    </w:p>
    <w:p w:rsidR="00D13477" w:rsidRPr="00002A77" w:rsidRDefault="00D13477" w:rsidP="002B132C">
      <w:pPr>
        <w:pStyle w:val="SingleTxtGC"/>
        <w:numPr>
          <w:ilvl w:val="0"/>
          <w:numId w:val="26"/>
        </w:numPr>
        <w:rPr>
          <w:lang w:val="en-GB"/>
        </w:rPr>
      </w:pPr>
      <w:r w:rsidRPr="00002A77">
        <w:rPr>
          <w:rFonts w:hint="eastAsia"/>
          <w:lang w:val="en-GB"/>
        </w:rPr>
        <w:t>在香港特区境内迁徙的自由、移居其他国家和地区的自由，以及旅行和出入境的自由；</w:t>
      </w:r>
    </w:p>
    <w:p w:rsidR="00D13477" w:rsidRPr="00002A77" w:rsidRDefault="00D13477" w:rsidP="002B132C">
      <w:pPr>
        <w:pStyle w:val="SingleTxtGC"/>
        <w:numPr>
          <w:ilvl w:val="0"/>
          <w:numId w:val="26"/>
        </w:numPr>
        <w:rPr>
          <w:lang w:val="en-GB"/>
        </w:rPr>
      </w:pPr>
      <w:r w:rsidRPr="00002A77">
        <w:rPr>
          <w:rFonts w:hint="eastAsia"/>
          <w:lang w:val="en-GB"/>
        </w:rPr>
        <w:t>信仰自由、宗教信仰自由，以及公开传教和举行、参加宗教活动的自由；</w:t>
      </w:r>
    </w:p>
    <w:p w:rsidR="00D13477" w:rsidRPr="00002A77" w:rsidRDefault="00D13477" w:rsidP="002B132C">
      <w:pPr>
        <w:pStyle w:val="SingleTxtGC"/>
        <w:numPr>
          <w:ilvl w:val="0"/>
          <w:numId w:val="26"/>
        </w:numPr>
        <w:rPr>
          <w:rFonts w:hint="eastAsia"/>
          <w:lang w:val="en-GB"/>
        </w:rPr>
      </w:pPr>
      <w:r w:rsidRPr="00002A77">
        <w:rPr>
          <w:rFonts w:hint="eastAsia"/>
          <w:lang w:val="en-GB"/>
        </w:rPr>
        <w:t>选择职业的自由；</w:t>
      </w:r>
    </w:p>
    <w:p w:rsidR="00D13477" w:rsidRPr="00002A77" w:rsidRDefault="00D13477" w:rsidP="002B132C">
      <w:pPr>
        <w:pStyle w:val="SingleTxtGC"/>
        <w:numPr>
          <w:ilvl w:val="0"/>
          <w:numId w:val="26"/>
        </w:numPr>
        <w:rPr>
          <w:lang w:val="en-GB"/>
        </w:rPr>
      </w:pPr>
      <w:r w:rsidRPr="00002A77">
        <w:rPr>
          <w:rFonts w:hint="eastAsia"/>
          <w:lang w:val="en-GB"/>
        </w:rPr>
        <w:t>进行学术研究、文学艺术创作和其他文化活动的自由；</w:t>
      </w:r>
    </w:p>
    <w:p w:rsidR="00D13477" w:rsidRPr="00002A77" w:rsidRDefault="00D13477" w:rsidP="002B132C">
      <w:pPr>
        <w:pStyle w:val="SingleTxtGC"/>
        <w:numPr>
          <w:ilvl w:val="0"/>
          <w:numId w:val="26"/>
        </w:numPr>
        <w:rPr>
          <w:rFonts w:hint="eastAsia"/>
          <w:lang w:val="en-GB"/>
        </w:rPr>
      </w:pPr>
      <w:r w:rsidRPr="00002A77">
        <w:rPr>
          <w:rFonts w:hint="eastAsia"/>
          <w:lang w:val="en-GB"/>
        </w:rPr>
        <w:t>得到保密法律咨询、向法院提出诉讼、选择律师及时保护自己的合法权益或在法庭上为其代表、获得司法补救的权利，以及对行政部门及其人员的行为向法院提出诉讼的权利；</w:t>
      </w:r>
    </w:p>
    <w:p w:rsidR="00D13477" w:rsidRPr="00002A77" w:rsidRDefault="00D13477" w:rsidP="002B132C">
      <w:pPr>
        <w:pStyle w:val="SingleTxtGC"/>
        <w:numPr>
          <w:ilvl w:val="0"/>
          <w:numId w:val="26"/>
        </w:numPr>
        <w:rPr>
          <w:lang w:val="en-GB"/>
        </w:rPr>
      </w:pPr>
      <w:r w:rsidRPr="00002A77">
        <w:rPr>
          <w:rFonts w:hint="eastAsia"/>
          <w:lang w:val="en-GB"/>
        </w:rPr>
        <w:t>依法享受社会福利的权利；以及</w:t>
      </w:r>
    </w:p>
    <w:p w:rsidR="00D13477" w:rsidRPr="00002A77" w:rsidRDefault="00D13477" w:rsidP="002B132C">
      <w:pPr>
        <w:pStyle w:val="SingleTxtGC"/>
        <w:numPr>
          <w:ilvl w:val="0"/>
          <w:numId w:val="26"/>
        </w:numPr>
        <w:rPr>
          <w:lang w:val="en-GB"/>
        </w:rPr>
      </w:pPr>
      <w:r w:rsidRPr="00002A77">
        <w:rPr>
          <w:rFonts w:hint="eastAsia"/>
          <w:lang w:val="en-GB"/>
        </w:rPr>
        <w:t>婚姻自由和自愿生育的权利。</w:t>
      </w:r>
    </w:p>
    <w:p w:rsidR="00D13477" w:rsidRPr="00002A77" w:rsidRDefault="00D13477" w:rsidP="002B132C">
      <w:pPr>
        <w:pStyle w:val="SingleTxtGC"/>
        <w:rPr>
          <w:lang w:val="en-GB"/>
        </w:rPr>
      </w:pPr>
      <w:r>
        <w:rPr>
          <w:lang w:val="en-GB"/>
        </w:rPr>
        <w:t>41</w:t>
      </w:r>
      <w:r w:rsidR="00977DAB">
        <w:rPr>
          <w:lang w:val="en-GB"/>
        </w:rPr>
        <w:t xml:space="preserve">.  </w:t>
      </w:r>
      <w:r w:rsidRPr="00002A77">
        <w:rPr>
          <w:rFonts w:hint="eastAsia"/>
        </w:rPr>
        <w:t>在香港特区境内的香港居民以外的其他人，依法享有一如香港居民按《基本法》第三章规定可享有的各项权利和自由。此外，香港特区永久性居民依法享有选举权和被选举权。</w:t>
      </w:r>
    </w:p>
    <w:p w:rsidR="00D13477" w:rsidRPr="00002A77" w:rsidRDefault="002B132C" w:rsidP="002B132C">
      <w:pPr>
        <w:pStyle w:val="H23GC"/>
      </w:pPr>
      <w:r>
        <w:rPr>
          <w:rFonts w:hint="eastAsia"/>
        </w:rPr>
        <w:tab/>
        <w:t>3.</w:t>
      </w:r>
      <w:r>
        <w:rPr>
          <w:rFonts w:hint="eastAsia"/>
        </w:rPr>
        <w:tab/>
      </w:r>
      <w:r w:rsidR="00D13477" w:rsidRPr="00002A77">
        <w:rPr>
          <w:rFonts w:hint="eastAsia"/>
        </w:rPr>
        <w:t>其他人权条约在香港特区的法律效力</w:t>
      </w:r>
    </w:p>
    <w:p w:rsidR="00D13477" w:rsidRPr="00002A77" w:rsidRDefault="00D13477" w:rsidP="00D13477">
      <w:pPr>
        <w:pStyle w:val="SingleTxtGC"/>
        <w:rPr>
          <w:lang w:val="en-GB"/>
        </w:rPr>
      </w:pPr>
      <w:r>
        <w:rPr>
          <w:lang w:val="en-GB"/>
        </w:rPr>
        <w:t>42</w:t>
      </w:r>
      <w:r w:rsidR="00977DAB">
        <w:rPr>
          <w:lang w:val="en-GB"/>
        </w:rPr>
        <w:t xml:space="preserve">.  </w:t>
      </w:r>
      <w:r w:rsidRPr="00002A77">
        <w:rPr>
          <w:rFonts w:hint="eastAsia"/>
        </w:rPr>
        <w:t>《基本法》第三十九条订明：</w:t>
      </w:r>
    </w:p>
    <w:p w:rsidR="00D13477" w:rsidRPr="00002A77" w:rsidRDefault="002B132C" w:rsidP="002B132C">
      <w:pPr>
        <w:pStyle w:val="SingleTxtGC"/>
        <w:ind w:left="1565"/>
      </w:pPr>
      <w:r>
        <w:rPr>
          <w:rFonts w:hint="eastAsia"/>
        </w:rPr>
        <w:tab/>
      </w:r>
      <w:r w:rsidR="00D13477">
        <w:rPr>
          <w:rFonts w:hint="eastAsia"/>
        </w:rPr>
        <w:t>“</w:t>
      </w:r>
      <w:r w:rsidR="00D13477" w:rsidRPr="00002A77">
        <w:rPr>
          <w:rFonts w:hint="eastAsia"/>
        </w:rPr>
        <w:t>《公民权利和政治权利国际公约》、《经济、社会与文化权利的国际公约》和国际劳工公约适用于香港的有关规定继续有效，通过香港特别行政区的法律予以实施。</w:t>
      </w:r>
    </w:p>
    <w:p w:rsidR="00D13477" w:rsidRPr="00002A77" w:rsidRDefault="002B132C" w:rsidP="002B132C">
      <w:pPr>
        <w:pStyle w:val="SingleTxtGC"/>
        <w:ind w:left="1565"/>
        <w:rPr>
          <w:rFonts w:hint="eastAsia"/>
        </w:rPr>
      </w:pPr>
      <w:r>
        <w:rPr>
          <w:rFonts w:hint="eastAsia"/>
        </w:rPr>
        <w:tab/>
      </w:r>
      <w:r w:rsidR="00D13477">
        <w:rPr>
          <w:rFonts w:hint="eastAsia"/>
        </w:rPr>
        <w:t>“</w:t>
      </w:r>
      <w:r w:rsidR="00D13477" w:rsidRPr="00002A77">
        <w:rPr>
          <w:rFonts w:hint="eastAsia"/>
        </w:rPr>
        <w:t>香港居民享有的权利和自由，除依法规定外不得限制，此种限制不得与本条第一款规定抵触。</w:t>
      </w:r>
      <w:r w:rsidR="00D13477">
        <w:rPr>
          <w:rFonts w:hint="eastAsia"/>
        </w:rPr>
        <w:t>”</w:t>
      </w:r>
    </w:p>
    <w:p w:rsidR="00D13477" w:rsidRPr="00002A77" w:rsidRDefault="00D13477" w:rsidP="00D13477">
      <w:pPr>
        <w:pStyle w:val="SingleTxtGC"/>
        <w:rPr>
          <w:lang w:val="en-GB"/>
        </w:rPr>
      </w:pPr>
      <w:r>
        <w:rPr>
          <w:lang w:val="en-GB"/>
        </w:rPr>
        <w:t>43</w:t>
      </w:r>
      <w:r w:rsidR="00977DAB">
        <w:rPr>
          <w:lang w:val="en-GB"/>
        </w:rPr>
        <w:t xml:space="preserve">.  </w:t>
      </w:r>
      <w:r w:rsidRPr="00002A77">
        <w:rPr>
          <w:rFonts w:hint="eastAsia"/>
          <w:lang w:val="en-GB"/>
        </w:rPr>
        <w:t>一般来说，根据普通法制度的惯例，适用于香港的条约</w:t>
      </w:r>
      <w:r w:rsidRPr="00002A77">
        <w:rPr>
          <w:rFonts w:hint="eastAsia"/>
          <w:lang w:val="en-GB"/>
        </w:rPr>
        <w:t>(</w:t>
      </w:r>
      <w:r w:rsidRPr="00002A77">
        <w:rPr>
          <w:rFonts w:hint="eastAsia"/>
          <w:lang w:val="en-GB"/>
        </w:rPr>
        <w:t>包括有关人权的条约</w:t>
      </w:r>
      <w:r w:rsidRPr="00002A77">
        <w:rPr>
          <w:rFonts w:hint="eastAsia"/>
          <w:lang w:val="en-GB"/>
        </w:rPr>
        <w:t>)</w:t>
      </w:r>
      <w:r w:rsidRPr="00002A77">
        <w:rPr>
          <w:rFonts w:hint="eastAsia"/>
          <w:lang w:val="en-GB"/>
        </w:rPr>
        <w:t>，在香港的本地法律制度内，本身并无法律效力，不可在法院直接援引作为个人权利的依据。不过，特区法院在诠释本地法例时，会尽可能避免与适用于香港的国际条约有所抵触。为使条约所订明的各项义务在本地具有法律效力</w:t>
      </w:r>
      <w:r w:rsidRPr="00002A77">
        <w:rPr>
          <w:rFonts w:hint="eastAsia"/>
          <w:lang w:val="en-GB"/>
        </w:rPr>
        <w:t>(</w:t>
      </w:r>
      <w:r w:rsidRPr="00002A77">
        <w:rPr>
          <w:rFonts w:hint="eastAsia"/>
          <w:lang w:val="en-GB"/>
        </w:rPr>
        <w:t>遇有须修改现行法例或措施的情况时</w:t>
      </w:r>
      <w:r w:rsidRPr="00002A77">
        <w:rPr>
          <w:rFonts w:hint="eastAsia"/>
          <w:lang w:val="en-GB"/>
        </w:rPr>
        <w:t>)</w:t>
      </w:r>
      <w:r w:rsidRPr="00002A77">
        <w:rPr>
          <w:rFonts w:hint="eastAsia"/>
          <w:lang w:val="en-GB"/>
        </w:rPr>
        <w:t>，一般做法是制订具体的新法例</w:t>
      </w:r>
      <w:r w:rsidR="00BC61DC">
        <w:rPr>
          <w:rStyle w:val="FootnoteReference"/>
          <w:lang w:val="en-GB"/>
        </w:rPr>
        <w:footnoteReference w:id="4"/>
      </w:r>
      <w:r w:rsidR="00BC61DC">
        <w:rPr>
          <w:rFonts w:hint="eastAsia"/>
          <w:b/>
          <w:vertAlign w:val="superscript"/>
          <w:lang w:val="en-GB"/>
        </w:rPr>
        <w:t xml:space="preserve"> </w:t>
      </w:r>
      <w:r w:rsidRPr="00002A77">
        <w:rPr>
          <w:rFonts w:hint="eastAsia"/>
          <w:lang w:val="en-GB"/>
        </w:rPr>
        <w:t>。如新制订的法例导致具体的法律权利产生，或导致要为具体的法律权利作出界定，当该等权利受到剥夺或干预</w:t>
      </w:r>
      <w:r w:rsidRPr="00002A77">
        <w:rPr>
          <w:rFonts w:hint="eastAsia"/>
          <w:lang w:val="en-GB"/>
        </w:rPr>
        <w:t>(</w:t>
      </w:r>
      <w:r w:rsidRPr="00002A77">
        <w:rPr>
          <w:rFonts w:hint="eastAsia"/>
          <w:lang w:val="en-GB"/>
        </w:rPr>
        <w:t>或有可能受到剥夺或干预</w:t>
      </w:r>
      <w:r w:rsidRPr="00002A77">
        <w:rPr>
          <w:rFonts w:hint="eastAsia"/>
          <w:lang w:val="en-GB"/>
        </w:rPr>
        <w:t>)</w:t>
      </w:r>
      <w:r w:rsidRPr="00002A77">
        <w:rPr>
          <w:rFonts w:hint="eastAsia"/>
          <w:lang w:val="en-GB"/>
        </w:rPr>
        <w:t>时，当事人可循一般民事诉讼程序向法院寻求补救，或由法律订明刑事制裁办法。</w:t>
      </w:r>
    </w:p>
    <w:p w:rsidR="00D13477" w:rsidRPr="00002A77" w:rsidRDefault="00BC61DC" w:rsidP="00BC61DC">
      <w:pPr>
        <w:pStyle w:val="H23GC"/>
      </w:pPr>
      <w:r>
        <w:br w:type="page"/>
      </w:r>
      <w:r>
        <w:rPr>
          <w:rFonts w:hint="eastAsia"/>
        </w:rPr>
        <w:tab/>
        <w:t>4.</w:t>
      </w:r>
      <w:r>
        <w:rPr>
          <w:rFonts w:hint="eastAsia"/>
        </w:rPr>
        <w:tab/>
      </w:r>
      <w:r w:rsidR="00D13477" w:rsidRPr="00002A77">
        <w:rPr>
          <w:rFonts w:hint="eastAsia"/>
        </w:rPr>
        <w:t>《香港人权法案条例》</w:t>
      </w:r>
    </w:p>
    <w:p w:rsidR="00D13477" w:rsidRPr="00002A77" w:rsidRDefault="00D13477" w:rsidP="00BC61DC">
      <w:pPr>
        <w:pStyle w:val="SingleTxtGC"/>
        <w:rPr>
          <w:lang w:val="en-GB"/>
        </w:rPr>
      </w:pPr>
      <w:r>
        <w:rPr>
          <w:lang w:val="en-GB"/>
        </w:rPr>
        <w:t>44</w:t>
      </w:r>
      <w:r w:rsidR="00977DAB">
        <w:rPr>
          <w:lang w:val="en-GB"/>
        </w:rPr>
        <w:t xml:space="preserve">.  </w:t>
      </w:r>
      <w:r w:rsidRPr="00002A77">
        <w:rPr>
          <w:rFonts w:hint="eastAsia"/>
        </w:rPr>
        <w:t>在</w:t>
      </w:r>
      <w:r>
        <w:t>1991</w:t>
      </w:r>
      <w:r w:rsidRPr="00002A77">
        <w:rPr>
          <w:rFonts w:hint="eastAsia"/>
        </w:rPr>
        <w:t>年</w:t>
      </w:r>
      <w:r>
        <w:t>6</w:t>
      </w:r>
      <w:r w:rsidRPr="00002A77">
        <w:rPr>
          <w:rFonts w:hint="eastAsia"/>
        </w:rPr>
        <w:t>月制订的《香港人权法案条例》</w:t>
      </w:r>
      <w:r w:rsidRPr="00002A77">
        <w:rPr>
          <w:rFonts w:hint="eastAsia"/>
        </w:rPr>
        <w:t>(</w:t>
      </w:r>
      <w:r w:rsidRPr="00002A77">
        <w:rPr>
          <w:rFonts w:hint="eastAsia"/>
        </w:rPr>
        <w:t>第</w:t>
      </w:r>
      <w:r>
        <w:t>383</w:t>
      </w:r>
      <w:r w:rsidRPr="00002A77">
        <w:rPr>
          <w:rFonts w:hint="eastAsia"/>
        </w:rPr>
        <w:t>章</w:t>
      </w:r>
      <w:r w:rsidRPr="00002A77">
        <w:rPr>
          <w:rFonts w:hint="eastAsia"/>
        </w:rPr>
        <w:t>)</w:t>
      </w:r>
      <w:r w:rsidRPr="00002A77">
        <w:rPr>
          <w:rFonts w:hint="eastAsia"/>
        </w:rPr>
        <w:t>，旨在使《公民权利和政治权利国际公约》中适用于香港的条文在本地的法律中生效。为达到这个目的，《香港人权法案条例》详载了人权法案的内容，其条文与《公民权利和政治权利国际公约》的条文大致相同。</w:t>
      </w:r>
    </w:p>
    <w:p w:rsidR="00D13477" w:rsidRPr="00002A77" w:rsidRDefault="00BC61DC" w:rsidP="00BC61DC">
      <w:pPr>
        <w:pStyle w:val="H23GC"/>
      </w:pPr>
      <w:r>
        <w:rPr>
          <w:rFonts w:hint="eastAsia"/>
        </w:rPr>
        <w:tab/>
        <w:t>5.</w:t>
      </w:r>
      <w:r>
        <w:rPr>
          <w:rFonts w:hint="eastAsia"/>
        </w:rPr>
        <w:tab/>
      </w:r>
      <w:r w:rsidR="00D13477" w:rsidRPr="00002A77">
        <w:rPr>
          <w:rFonts w:hint="eastAsia"/>
        </w:rPr>
        <w:t>法律援助</w:t>
      </w:r>
    </w:p>
    <w:p w:rsidR="00D13477" w:rsidRPr="00002A77" w:rsidRDefault="00D13477" w:rsidP="00D13477">
      <w:pPr>
        <w:pStyle w:val="SingleTxtGC"/>
        <w:rPr>
          <w:rFonts w:hint="eastAsia"/>
          <w:lang w:val="en-GB"/>
        </w:rPr>
      </w:pPr>
      <w:r>
        <w:rPr>
          <w:lang w:val="en-GB"/>
        </w:rPr>
        <w:t>45</w:t>
      </w:r>
      <w:r w:rsidR="00977DAB">
        <w:rPr>
          <w:lang w:val="en-GB"/>
        </w:rPr>
        <w:t xml:space="preserve">.  </w:t>
      </w:r>
      <w:r w:rsidRPr="00002A77">
        <w:rPr>
          <w:rFonts w:hint="eastAsia"/>
        </w:rPr>
        <w:t>政府为符合资格的人士提供法律援助，为他们在诉讼中委聘代表律师或有需要时委聘大律师。这确保任何有充分理据提出诉讼或抗辩的人不会因为缺乏经济能力而不能采取法律行动。由公帑资助的法律援助是透过法律援助署和当值律师服务提供。</w:t>
      </w:r>
    </w:p>
    <w:p w:rsidR="00D13477" w:rsidRPr="00002A77" w:rsidRDefault="00BC61DC" w:rsidP="00BC61DC">
      <w:pPr>
        <w:pStyle w:val="H4GC"/>
        <w:rPr>
          <w:lang w:val="en-GB"/>
        </w:rPr>
      </w:pPr>
      <w:r>
        <w:rPr>
          <w:rFonts w:hint="eastAsia"/>
          <w:lang w:val="en-GB"/>
        </w:rPr>
        <w:tab/>
      </w:r>
      <w:r w:rsidRPr="00BC61DC">
        <w:rPr>
          <w:lang w:val="en-GB"/>
        </w:rPr>
        <w:t>(a)</w:t>
      </w:r>
      <w:r>
        <w:rPr>
          <w:rFonts w:hint="eastAsia"/>
          <w:lang w:val="en-GB"/>
        </w:rPr>
        <w:tab/>
      </w:r>
      <w:r w:rsidR="00D13477" w:rsidRPr="00002A77">
        <w:rPr>
          <w:rFonts w:hint="eastAsia"/>
          <w:lang w:val="en-GB"/>
        </w:rPr>
        <w:t>法律援助署</w:t>
      </w:r>
    </w:p>
    <w:p w:rsidR="00D13477" w:rsidRPr="00002A77" w:rsidRDefault="00D13477" w:rsidP="00D13477">
      <w:pPr>
        <w:pStyle w:val="SingleTxtGC"/>
        <w:rPr>
          <w:lang w:val="en-GB"/>
        </w:rPr>
      </w:pPr>
      <w:r>
        <w:rPr>
          <w:lang w:val="en-GB"/>
        </w:rPr>
        <w:t>46</w:t>
      </w:r>
      <w:r w:rsidR="00977DAB">
        <w:rPr>
          <w:lang w:val="en-GB"/>
        </w:rPr>
        <w:t xml:space="preserve">.  </w:t>
      </w:r>
      <w:r w:rsidRPr="00002A77">
        <w:rPr>
          <w:rFonts w:hint="eastAsia"/>
        </w:rPr>
        <w:t>法律援助署就终审法院、上诉法庭、原讼法庭、区域法院和裁判署法庭</w:t>
      </w:r>
      <w:r w:rsidRPr="00002A77">
        <w:rPr>
          <w:rFonts w:hint="eastAsia"/>
        </w:rPr>
        <w:t>(</w:t>
      </w:r>
      <w:r w:rsidRPr="00002A77">
        <w:rPr>
          <w:rFonts w:hint="eastAsia"/>
        </w:rPr>
        <w:t>交付审判程序</w:t>
      </w:r>
      <w:r w:rsidRPr="00002A77">
        <w:rPr>
          <w:rFonts w:hint="eastAsia"/>
        </w:rPr>
        <w:t>)</w:t>
      </w:r>
      <w:r w:rsidRPr="00002A77">
        <w:rPr>
          <w:rFonts w:hint="eastAsia"/>
        </w:rPr>
        <w:t>审理的民事和刑事案件，为合资格的人士委派法律代表。民事方面的法律援助，适用于家庭纠纷、入境事务以至死因研讯等涉及市民日常生活主要范畴的诉讼。香港居民以外的其他人也可申请法律援助。申请法律援助的人士，必须在财务资格</w:t>
      </w:r>
      <w:r w:rsidRPr="00002A77">
        <w:rPr>
          <w:rFonts w:hint="eastAsia"/>
        </w:rPr>
        <w:t>(</w:t>
      </w:r>
      <w:r w:rsidRPr="00002A77">
        <w:rPr>
          <w:rFonts w:hint="eastAsia"/>
        </w:rPr>
        <w:t>经济审查</w:t>
      </w:r>
      <w:r w:rsidRPr="00002A77">
        <w:rPr>
          <w:rFonts w:hint="eastAsia"/>
        </w:rPr>
        <w:t>)</w:t>
      </w:r>
      <w:r w:rsidRPr="00002A77">
        <w:rPr>
          <w:rFonts w:hint="eastAsia"/>
        </w:rPr>
        <w:t>和诉讼理据</w:t>
      </w:r>
      <w:r w:rsidRPr="00002A77">
        <w:rPr>
          <w:rFonts w:hint="eastAsia"/>
        </w:rPr>
        <w:t>(</w:t>
      </w:r>
      <w:r w:rsidRPr="00002A77">
        <w:rPr>
          <w:rFonts w:hint="eastAsia"/>
        </w:rPr>
        <w:t>案情审查</w:t>
      </w:r>
      <w:r w:rsidRPr="00002A77">
        <w:rPr>
          <w:rFonts w:hint="eastAsia"/>
        </w:rPr>
        <w:t>)</w:t>
      </w:r>
      <w:r w:rsidRPr="00002A77">
        <w:rPr>
          <w:rFonts w:hint="eastAsia"/>
        </w:rPr>
        <w:t>方面，符合法律援助署署长的要求。在民事案件方面，申请个案如涉及违反《香港人权法案条例》或违反适用于香港的《公民权利和政治权利国际公约》的规定，法律援助署署长可运用酌情权，豁免经济审查方面的上限。在刑事案件方面，如法律援助署署长认为提供法律援助有利于维护公义，则可行使同样的酌情权。被控谋杀、叛国或暴力海盗行为的人如提出申请并通过经济审查</w:t>
      </w:r>
      <w:r w:rsidRPr="00002A77">
        <w:rPr>
          <w:rFonts w:hint="eastAsia"/>
        </w:rPr>
        <w:t>(</w:t>
      </w:r>
      <w:r w:rsidRPr="00002A77">
        <w:rPr>
          <w:rFonts w:hint="eastAsia"/>
        </w:rPr>
        <w:t>除非法官豁免其经济审查</w:t>
      </w:r>
      <w:r w:rsidRPr="00002A77">
        <w:rPr>
          <w:rFonts w:hint="eastAsia"/>
        </w:rPr>
        <w:t>)</w:t>
      </w:r>
      <w:r w:rsidRPr="00002A77">
        <w:rPr>
          <w:rFonts w:hint="eastAsia"/>
        </w:rPr>
        <w:t>，法律援助署署长必须给予法律援助。至于其他刑事罪行，即使法律援助署署长因案件未能通过案情审查而拒绝给予法律援助，只要申请人通过经济审查，法官仍可给予申请人法律援助。</w:t>
      </w:r>
    </w:p>
    <w:p w:rsidR="00D13477" w:rsidRPr="00002A77" w:rsidRDefault="00BC61DC" w:rsidP="00BC61DC">
      <w:pPr>
        <w:pStyle w:val="H4GC"/>
        <w:rPr>
          <w:lang w:val="en-GB"/>
        </w:rPr>
      </w:pPr>
      <w:r>
        <w:rPr>
          <w:rFonts w:hint="eastAsia"/>
          <w:lang w:val="en-GB"/>
        </w:rPr>
        <w:tab/>
      </w:r>
      <w:r w:rsidRPr="00BC61DC">
        <w:rPr>
          <w:lang w:val="en-GB"/>
        </w:rPr>
        <w:t>(b)</w:t>
      </w:r>
      <w:r>
        <w:rPr>
          <w:rFonts w:hint="eastAsia"/>
          <w:lang w:val="en-GB"/>
        </w:rPr>
        <w:tab/>
      </w:r>
      <w:r w:rsidR="00D13477" w:rsidRPr="00002A77">
        <w:rPr>
          <w:rFonts w:hint="eastAsia"/>
          <w:lang w:val="en-GB"/>
        </w:rPr>
        <w:t>当值律师服务</w:t>
      </w:r>
    </w:p>
    <w:p w:rsidR="00D13477" w:rsidRPr="00002A77" w:rsidRDefault="00D13477" w:rsidP="00D13477">
      <w:pPr>
        <w:pStyle w:val="SingleTxtGC"/>
      </w:pPr>
      <w:r>
        <w:rPr>
          <w:lang w:val="en-GB"/>
        </w:rPr>
        <w:t>47</w:t>
      </w:r>
      <w:r w:rsidR="00977DAB">
        <w:rPr>
          <w:lang w:val="en-GB"/>
        </w:rPr>
        <w:t xml:space="preserve">.  </w:t>
      </w:r>
      <w:r w:rsidRPr="00002A77">
        <w:rPr>
          <w:rFonts w:hint="eastAsia"/>
        </w:rPr>
        <w:t>当值律师服务与法律援助署所提供的服务相辅相成。当值律师服务提供以下三方面的服务：代表律师</w:t>
      </w:r>
      <w:r w:rsidRPr="00002A77">
        <w:rPr>
          <w:rFonts w:hint="eastAsia"/>
        </w:rPr>
        <w:t>(</w:t>
      </w:r>
      <w:r w:rsidRPr="00002A77">
        <w:rPr>
          <w:rFonts w:hint="eastAsia"/>
        </w:rPr>
        <w:t>当值律师计划</w:t>
      </w:r>
      <w:r w:rsidRPr="00002A77">
        <w:rPr>
          <w:rFonts w:hint="eastAsia"/>
        </w:rPr>
        <w:t>)</w:t>
      </w:r>
      <w:r w:rsidRPr="00002A77">
        <w:rPr>
          <w:rFonts w:hint="eastAsia"/>
        </w:rPr>
        <w:t>、法律辅导</w:t>
      </w:r>
      <w:r w:rsidRPr="00002A77">
        <w:rPr>
          <w:rFonts w:hint="eastAsia"/>
        </w:rPr>
        <w:t>(</w:t>
      </w:r>
      <w:r w:rsidRPr="00002A77">
        <w:rPr>
          <w:rFonts w:hint="eastAsia"/>
        </w:rPr>
        <w:t>法律辅导计划</w:t>
      </w:r>
      <w:r w:rsidRPr="00002A77">
        <w:rPr>
          <w:rFonts w:hint="eastAsia"/>
        </w:rPr>
        <w:t>)</w:t>
      </w:r>
      <w:r w:rsidRPr="00002A77">
        <w:rPr>
          <w:rFonts w:hint="eastAsia"/>
        </w:rPr>
        <w:t>及法律资料</w:t>
      </w:r>
      <w:r w:rsidRPr="00002A77">
        <w:rPr>
          <w:rFonts w:hint="eastAsia"/>
        </w:rPr>
        <w:t>(</w:t>
      </w:r>
      <w:r w:rsidRPr="00002A77">
        <w:rPr>
          <w:rFonts w:hint="eastAsia"/>
        </w:rPr>
        <w:t>电话法律咨询计划</w:t>
      </w:r>
      <w:r w:rsidRPr="00002A77">
        <w:rPr>
          <w:rFonts w:hint="eastAsia"/>
        </w:rPr>
        <w:t>)</w:t>
      </w:r>
      <w:r w:rsidRPr="00002A77">
        <w:rPr>
          <w:rFonts w:hint="eastAsia"/>
        </w:rPr>
        <w:t>。此外，该服务自</w:t>
      </w:r>
      <w:r>
        <w:t>2</w:t>
      </w:r>
      <w:r w:rsidRPr="00002A77">
        <w:t>00</w:t>
      </w:r>
      <w:r>
        <w:t>9</w:t>
      </w:r>
      <w:r w:rsidRPr="00002A77">
        <w:rPr>
          <w:rFonts w:hint="eastAsia"/>
        </w:rPr>
        <w:t>年</w:t>
      </w:r>
      <w:r>
        <w:t>12</w:t>
      </w:r>
      <w:r w:rsidRPr="00002A77">
        <w:rPr>
          <w:rFonts w:hint="eastAsia"/>
        </w:rPr>
        <w:t>月起，以试验性质，推行酷刑声请计划。裁判署法庭聆讯案件的所有被告人</w:t>
      </w:r>
      <w:r w:rsidRPr="00002A77">
        <w:rPr>
          <w:rFonts w:hint="eastAsia"/>
        </w:rPr>
        <w:t>(</w:t>
      </w:r>
      <w:r w:rsidRPr="00002A77">
        <w:rPr>
          <w:rFonts w:hint="eastAsia"/>
        </w:rPr>
        <w:t>少年及成年</w:t>
      </w:r>
      <w:r w:rsidRPr="00002A77">
        <w:rPr>
          <w:rFonts w:hint="eastAsia"/>
        </w:rPr>
        <w:t>)</w:t>
      </w:r>
      <w:r w:rsidRPr="00002A77">
        <w:rPr>
          <w:rFonts w:hint="eastAsia"/>
        </w:rPr>
        <w:t>，如无力负担聘用私人代表律师的费用，可通过当值律师计划获委派律师代表辩护。该计划也可为因在死因研讯中作出导致入罪的证供而可能导致被刑事检控的人士，提供法律代表。申请者须通过经济审查和案情审查，而审查以《公民权利和政治权利国际公约》第十四条和《香港人权法案》第十一条所载的维持公平、公义原则为基础。法律辅导计划和电话法律咨询计划，分别通过个别预约为市民提供免费法律意见，以及通过电话录音方式提供有关日常法律问题的资料。酷刑声请计划为那些依据联合国《禁止酷刑和其他残忍、不人道或有辱人格的待遇或处罚公约》第</w:t>
      </w:r>
      <w:r>
        <w:t>3</w:t>
      </w:r>
      <w:r w:rsidRPr="00002A77">
        <w:rPr>
          <w:rFonts w:hint="eastAsia"/>
        </w:rPr>
        <w:t>条，向入境事务处作出声请的人士提供法律辅助。</w:t>
      </w:r>
    </w:p>
    <w:p w:rsidR="00D13477" w:rsidRPr="00002A77" w:rsidRDefault="00BC61DC" w:rsidP="00BC61DC">
      <w:pPr>
        <w:pStyle w:val="H4GC"/>
        <w:rPr>
          <w:lang w:val="en-GB"/>
        </w:rPr>
      </w:pPr>
      <w:r>
        <w:rPr>
          <w:rFonts w:hint="eastAsia"/>
          <w:lang w:val="en-GB"/>
        </w:rPr>
        <w:tab/>
      </w:r>
      <w:r w:rsidRPr="00BC61DC">
        <w:rPr>
          <w:lang w:val="en-GB"/>
        </w:rPr>
        <w:t>(c)</w:t>
      </w:r>
      <w:r>
        <w:rPr>
          <w:rFonts w:hint="eastAsia"/>
          <w:lang w:val="en-GB"/>
        </w:rPr>
        <w:tab/>
      </w:r>
      <w:r w:rsidR="00D13477" w:rsidRPr="00002A77">
        <w:rPr>
          <w:rFonts w:hint="eastAsia"/>
          <w:lang w:val="en-GB"/>
        </w:rPr>
        <w:t>法律援助服务局</w:t>
      </w:r>
    </w:p>
    <w:p w:rsidR="00D13477" w:rsidRPr="00002A77" w:rsidRDefault="00D13477" w:rsidP="00D13477">
      <w:pPr>
        <w:pStyle w:val="SingleTxtGC"/>
        <w:rPr>
          <w:lang w:val="en-GB"/>
        </w:rPr>
      </w:pPr>
      <w:r>
        <w:rPr>
          <w:lang w:val="en-GB"/>
        </w:rPr>
        <w:t>48</w:t>
      </w:r>
      <w:r w:rsidR="00977DAB">
        <w:rPr>
          <w:lang w:val="en-GB"/>
        </w:rPr>
        <w:t xml:space="preserve">.  </w:t>
      </w:r>
      <w:r w:rsidRPr="00002A77">
        <w:rPr>
          <w:rFonts w:hint="eastAsia"/>
        </w:rPr>
        <w:t>法律援助服务局于</w:t>
      </w:r>
      <w:r>
        <w:t>1996</w:t>
      </w:r>
      <w:r w:rsidRPr="00002A77">
        <w:rPr>
          <w:rFonts w:hint="eastAsia"/>
        </w:rPr>
        <w:t>年成立，是独立的法定组织。该局负责监督由法律援助署提供的法律援助服务的管理，并就法律援助政策向行政长官提出建议。</w:t>
      </w:r>
    </w:p>
    <w:p w:rsidR="00D13477" w:rsidRPr="00002A77" w:rsidRDefault="00BC61DC" w:rsidP="00BC61DC">
      <w:pPr>
        <w:pStyle w:val="H23GC"/>
      </w:pPr>
      <w:r>
        <w:rPr>
          <w:rFonts w:hint="eastAsia"/>
        </w:rPr>
        <w:tab/>
        <w:t>6.</w:t>
      </w:r>
      <w:r>
        <w:rPr>
          <w:rFonts w:hint="eastAsia"/>
        </w:rPr>
        <w:tab/>
      </w:r>
      <w:r w:rsidR="00D13477" w:rsidRPr="00002A77">
        <w:rPr>
          <w:rFonts w:hint="eastAsia"/>
        </w:rPr>
        <w:t>申诉专员公署</w:t>
      </w:r>
    </w:p>
    <w:p w:rsidR="00D13477" w:rsidRPr="00002A77" w:rsidRDefault="00D13477" w:rsidP="00D13477">
      <w:pPr>
        <w:pStyle w:val="SingleTxtGC"/>
        <w:rPr>
          <w:lang w:val="en-GB"/>
        </w:rPr>
      </w:pPr>
      <w:r>
        <w:rPr>
          <w:lang w:val="en-GB"/>
        </w:rPr>
        <w:t>49</w:t>
      </w:r>
      <w:r w:rsidR="00977DAB">
        <w:rPr>
          <w:lang w:val="en-GB"/>
        </w:rPr>
        <w:t xml:space="preserve">.  </w:t>
      </w:r>
      <w:r w:rsidRPr="00002A77">
        <w:rPr>
          <w:rFonts w:hint="eastAsia"/>
          <w:lang w:val="en-GB"/>
        </w:rPr>
        <w:t>申诉专员公署</w:t>
      </w:r>
      <w:r w:rsidRPr="00002A77">
        <w:rPr>
          <w:rFonts w:hint="eastAsia"/>
          <w:lang w:val="en-GB"/>
        </w:rPr>
        <w:t>(</w:t>
      </w:r>
      <w:r w:rsidRPr="00002A77">
        <w:rPr>
          <w:rFonts w:hint="eastAsia"/>
          <w:lang w:val="en-GB"/>
        </w:rPr>
        <w:t>前称行政事务申诉专员公署</w:t>
      </w:r>
      <w:r w:rsidRPr="00002A77">
        <w:rPr>
          <w:rFonts w:hint="eastAsia"/>
          <w:lang w:val="en-GB"/>
        </w:rPr>
        <w:t>)</w:t>
      </w:r>
      <w:r w:rsidRPr="00002A77">
        <w:rPr>
          <w:rFonts w:hint="eastAsia"/>
          <w:lang w:val="en-GB"/>
        </w:rPr>
        <w:t>是一个根据《申诉专员条例》</w:t>
      </w:r>
      <w:r w:rsidR="00BC61DC">
        <w:rPr>
          <w:rStyle w:val="FootnoteReference"/>
          <w:lang w:val="en-GB"/>
        </w:rPr>
        <w:footnoteReference w:id="5"/>
      </w:r>
      <w:r w:rsidRPr="00002A77">
        <w:rPr>
          <w:rFonts w:hint="eastAsia"/>
          <w:lang w:val="en-GB"/>
        </w:rPr>
        <w:t xml:space="preserve"> (</w:t>
      </w:r>
      <w:r w:rsidRPr="00002A77">
        <w:rPr>
          <w:rFonts w:hint="eastAsia"/>
          <w:lang w:val="en-GB"/>
        </w:rPr>
        <w:t>第</w:t>
      </w:r>
      <w:r>
        <w:rPr>
          <w:lang w:val="en-GB"/>
        </w:rPr>
        <w:t>397</w:t>
      </w:r>
      <w:r w:rsidRPr="00002A77">
        <w:rPr>
          <w:rFonts w:hint="eastAsia"/>
          <w:lang w:val="en-GB"/>
        </w:rPr>
        <w:t>章</w:t>
      </w:r>
      <w:r w:rsidRPr="00002A77">
        <w:rPr>
          <w:rFonts w:hint="eastAsia"/>
          <w:lang w:val="en-GB"/>
        </w:rPr>
        <w:t>)</w:t>
      </w:r>
      <w:r w:rsidRPr="00002A77">
        <w:rPr>
          <w:rFonts w:hint="eastAsia"/>
          <w:lang w:val="en-GB"/>
        </w:rPr>
        <w:t>成立的独立机构，负责就有关行政失当的投诉进行调查，并作出报告。</w:t>
      </w:r>
      <w:r>
        <w:rPr>
          <w:rFonts w:hint="eastAsia"/>
          <w:lang w:val="en-GB"/>
        </w:rPr>
        <w:t>“</w:t>
      </w:r>
      <w:r w:rsidRPr="00002A77">
        <w:rPr>
          <w:rFonts w:hint="eastAsia"/>
          <w:lang w:val="en-GB"/>
        </w:rPr>
        <w:t>行政失当</w:t>
      </w:r>
      <w:r>
        <w:rPr>
          <w:rFonts w:hint="eastAsia"/>
          <w:lang w:val="en-GB"/>
        </w:rPr>
        <w:t>”</w:t>
      </w:r>
      <w:r w:rsidRPr="00002A77">
        <w:rPr>
          <w:rFonts w:hint="eastAsia"/>
          <w:lang w:val="en-GB"/>
        </w:rPr>
        <w:t>包括欠缺效率、拙劣或不妥善的行政决定、不合理行为</w:t>
      </w:r>
      <w:r w:rsidRPr="00002A77">
        <w:rPr>
          <w:rFonts w:hint="eastAsia"/>
          <w:lang w:val="en-GB"/>
        </w:rPr>
        <w:t>(</w:t>
      </w:r>
      <w:r w:rsidRPr="00002A77">
        <w:rPr>
          <w:rFonts w:hint="eastAsia"/>
          <w:lang w:val="en-GB"/>
        </w:rPr>
        <w:t>包括拖延、无礼及不为受行动影响的人设想</w:t>
      </w:r>
      <w:r w:rsidRPr="00002A77">
        <w:rPr>
          <w:rFonts w:hint="eastAsia"/>
          <w:lang w:val="en-GB"/>
        </w:rPr>
        <w:t>)</w:t>
      </w:r>
      <w:r w:rsidRPr="00002A77">
        <w:rPr>
          <w:rFonts w:hint="eastAsia"/>
          <w:lang w:val="en-GB"/>
        </w:rPr>
        <w:t>、滥用权力或权能，以及不公平或不当地偏颇的程序。市民可直接向申诉专员提出申诉；而申诉专员亦有权主动展开调查，并可发表关乎公众利益事项的调查报告。此外，申诉专员也有权就涉嫌违反《公开资料守则》的投诉展开调查。</w:t>
      </w:r>
    </w:p>
    <w:p w:rsidR="00D13477" w:rsidRPr="00002A77" w:rsidRDefault="00D13477" w:rsidP="00D13477">
      <w:pPr>
        <w:pStyle w:val="SingleTxtGC"/>
        <w:rPr>
          <w:lang w:val="en-GB"/>
        </w:rPr>
      </w:pPr>
      <w:r>
        <w:rPr>
          <w:lang w:val="en-GB"/>
        </w:rPr>
        <w:t>5</w:t>
      </w:r>
      <w:r w:rsidRPr="00002A77">
        <w:rPr>
          <w:lang w:val="en-GB"/>
        </w:rPr>
        <w:t>0</w:t>
      </w:r>
      <w:r w:rsidR="00977DAB">
        <w:rPr>
          <w:lang w:val="en-GB"/>
        </w:rPr>
        <w:t xml:space="preserve">.  </w:t>
      </w:r>
      <w:r w:rsidRPr="00002A77">
        <w:rPr>
          <w:rFonts w:hint="eastAsia"/>
          <w:lang w:val="en-GB"/>
        </w:rPr>
        <w:t>自</w:t>
      </w:r>
      <w:r>
        <w:rPr>
          <w:lang w:val="en-GB"/>
        </w:rPr>
        <w:t>2</w:t>
      </w:r>
      <w:r w:rsidRPr="00002A77">
        <w:rPr>
          <w:lang w:val="en-GB"/>
        </w:rPr>
        <w:t>00</w:t>
      </w:r>
      <w:r>
        <w:rPr>
          <w:lang w:val="en-GB"/>
        </w:rPr>
        <w:t>1</w:t>
      </w:r>
      <w:r w:rsidRPr="00002A77">
        <w:rPr>
          <w:rFonts w:hint="eastAsia"/>
          <w:lang w:val="en-GB"/>
        </w:rPr>
        <w:t>年</w:t>
      </w:r>
      <w:r>
        <w:rPr>
          <w:lang w:val="en-GB"/>
        </w:rPr>
        <w:t>12</w:t>
      </w:r>
      <w:r w:rsidRPr="00002A77">
        <w:rPr>
          <w:rFonts w:hint="eastAsia"/>
          <w:lang w:val="en-GB"/>
        </w:rPr>
        <w:t>月，申诉专员和行政当局脱钩并成为独立的单一法团，具有独立自主和法定的权力处理本身的行政和财政事务。《申诉专员条例》清楚订明，申诉专员既不是政府雇员，也不是政府代理人。</w:t>
      </w:r>
    </w:p>
    <w:p w:rsidR="00D13477" w:rsidRPr="00002A77" w:rsidRDefault="00D13477" w:rsidP="00D13477">
      <w:pPr>
        <w:pStyle w:val="SingleTxtGC"/>
        <w:rPr>
          <w:lang w:val="en-GB"/>
        </w:rPr>
      </w:pPr>
      <w:r>
        <w:rPr>
          <w:lang w:val="en-GB"/>
        </w:rPr>
        <w:t>51</w:t>
      </w:r>
      <w:r w:rsidR="00977DAB">
        <w:rPr>
          <w:lang w:val="en-GB"/>
        </w:rPr>
        <w:t xml:space="preserve">.  </w:t>
      </w:r>
      <w:r w:rsidRPr="00002A77">
        <w:rPr>
          <w:rFonts w:hint="eastAsia"/>
          <w:lang w:val="en-GB"/>
        </w:rPr>
        <w:t>申诉专员可按照《申诉专员条例》的规定，向有关人士索取其认为是调查所需的资料和文件，并就调查事项传召任何人士作供。此外，申诉专员可进入在其权限以内的机构辖下任何地方进行调查，也有足够能力确保各有关方面听取其建议，并就其建议采取所需行动。</w:t>
      </w:r>
    </w:p>
    <w:p w:rsidR="00D13477" w:rsidRPr="00002A77" w:rsidRDefault="00D13477" w:rsidP="00D13477">
      <w:pPr>
        <w:pStyle w:val="SingleTxtGC"/>
        <w:rPr>
          <w:lang w:val="en-GB"/>
        </w:rPr>
      </w:pPr>
      <w:r>
        <w:rPr>
          <w:lang w:val="en-GB"/>
        </w:rPr>
        <w:t>52</w:t>
      </w:r>
      <w:r w:rsidR="00977DAB">
        <w:rPr>
          <w:lang w:val="en-GB"/>
        </w:rPr>
        <w:t xml:space="preserve">.  </w:t>
      </w:r>
      <w:r w:rsidRPr="00002A77">
        <w:rPr>
          <w:rFonts w:hint="eastAsia"/>
          <w:lang w:val="en-GB"/>
        </w:rPr>
        <w:t>在调查每宗投诉后，申诉专员有权向有关机构的主管提交其意见和理由，以及提出其认为需要采取的补救办法和建议。如有关机构未能于合理时间内就申诉专员的建议采取行动，又或申诉专员相信有严重不当或不公平的行为，他可向香港特区行政长官呈交报告。根据法例规定，该报告必须提交立法会省览。</w:t>
      </w:r>
    </w:p>
    <w:p w:rsidR="00D13477" w:rsidRPr="00002A77" w:rsidRDefault="00D13477" w:rsidP="00D13477">
      <w:pPr>
        <w:pStyle w:val="SingleTxtGC"/>
        <w:rPr>
          <w:lang w:val="en-GB"/>
        </w:rPr>
      </w:pPr>
      <w:r>
        <w:rPr>
          <w:lang w:val="en-GB"/>
        </w:rPr>
        <w:t>53</w:t>
      </w:r>
      <w:r w:rsidR="00977DAB">
        <w:rPr>
          <w:lang w:val="en-GB"/>
        </w:rPr>
        <w:t xml:space="preserve">.  </w:t>
      </w:r>
      <w:r w:rsidRPr="00002A77">
        <w:rPr>
          <w:rFonts w:hint="eastAsia"/>
          <w:lang w:val="en-GB"/>
        </w:rPr>
        <w:t>香港特区几乎所有政府部门和主要法定机构，都在申诉专员的职权范围以内。除了涉嫌违反《公开资料守则》的投诉之外，香港警务处和廉政公署并不在申诉专员可调查的范围。这两个部门另有独立机构专责处理投诉个案</w:t>
      </w:r>
      <w:r w:rsidRPr="00002A77">
        <w:rPr>
          <w:rFonts w:hint="eastAsia"/>
          <w:lang w:val="en-GB"/>
        </w:rPr>
        <w:t>(</w:t>
      </w:r>
      <w:r w:rsidRPr="00002A77">
        <w:rPr>
          <w:rFonts w:hint="eastAsia"/>
          <w:lang w:val="en-GB"/>
        </w:rPr>
        <w:t>请参阅下文第</w:t>
      </w:r>
      <w:r>
        <w:rPr>
          <w:lang w:val="en-GB"/>
        </w:rPr>
        <w:t>57</w:t>
      </w:r>
      <w:r w:rsidRPr="00002A77">
        <w:rPr>
          <w:rFonts w:hint="eastAsia"/>
          <w:lang w:val="en-GB"/>
        </w:rPr>
        <w:t>和第</w:t>
      </w:r>
      <w:r>
        <w:rPr>
          <w:lang w:val="en-GB"/>
        </w:rPr>
        <w:t>58</w:t>
      </w:r>
      <w:r w:rsidRPr="00002A77">
        <w:rPr>
          <w:rFonts w:hint="eastAsia"/>
          <w:lang w:val="en-GB"/>
        </w:rPr>
        <w:t>段</w:t>
      </w:r>
      <w:r w:rsidRPr="00002A77">
        <w:rPr>
          <w:rFonts w:hint="eastAsia"/>
          <w:lang w:val="en-GB"/>
        </w:rPr>
        <w:t>)</w:t>
      </w:r>
      <w:r w:rsidRPr="00002A77">
        <w:rPr>
          <w:rFonts w:hint="eastAsia"/>
          <w:lang w:val="en-GB"/>
        </w:rPr>
        <w:t>。</w:t>
      </w:r>
    </w:p>
    <w:p w:rsidR="00D13477" w:rsidRPr="00002A77" w:rsidRDefault="00A31620" w:rsidP="00A31620">
      <w:pPr>
        <w:pStyle w:val="H23GC"/>
      </w:pPr>
      <w:r>
        <w:rPr>
          <w:rFonts w:hint="eastAsia"/>
        </w:rPr>
        <w:tab/>
        <w:t>7.</w:t>
      </w:r>
      <w:r>
        <w:rPr>
          <w:rFonts w:hint="eastAsia"/>
        </w:rPr>
        <w:tab/>
      </w:r>
      <w:r w:rsidR="00D13477" w:rsidRPr="00002A77">
        <w:rPr>
          <w:rFonts w:hint="eastAsia"/>
        </w:rPr>
        <w:t>平等机会委员会</w:t>
      </w:r>
    </w:p>
    <w:p w:rsidR="00D13477" w:rsidRPr="00002A77" w:rsidRDefault="00D13477" w:rsidP="00D13477">
      <w:pPr>
        <w:pStyle w:val="SingleTxtGC"/>
        <w:rPr>
          <w:lang w:val="en-GB"/>
        </w:rPr>
      </w:pPr>
      <w:r>
        <w:rPr>
          <w:lang w:val="en-GB"/>
        </w:rPr>
        <w:t>54</w:t>
      </w:r>
      <w:r w:rsidR="00977DAB">
        <w:rPr>
          <w:lang w:val="en-GB"/>
        </w:rPr>
        <w:t xml:space="preserve">.  </w:t>
      </w:r>
      <w:r w:rsidRPr="00002A77">
        <w:rPr>
          <w:rFonts w:hint="eastAsia"/>
          <w:lang w:val="en-GB"/>
        </w:rPr>
        <w:t>平等机会委员会</w:t>
      </w:r>
      <w:r w:rsidRPr="00002A77">
        <w:rPr>
          <w:rFonts w:hint="eastAsia"/>
          <w:lang w:val="en-GB"/>
        </w:rPr>
        <w:t>(</w:t>
      </w:r>
      <w:r w:rsidRPr="00002A77">
        <w:rPr>
          <w:rFonts w:hint="eastAsia"/>
          <w:lang w:val="en-GB"/>
        </w:rPr>
        <w:t>平机会</w:t>
      </w:r>
      <w:r w:rsidRPr="00002A77">
        <w:rPr>
          <w:rFonts w:hint="eastAsia"/>
          <w:lang w:val="en-GB"/>
        </w:rPr>
        <w:t>)</w:t>
      </w:r>
      <w:r w:rsidRPr="00002A77">
        <w:rPr>
          <w:rFonts w:hint="eastAsia"/>
          <w:lang w:val="en-GB"/>
        </w:rPr>
        <w:t>于</w:t>
      </w:r>
      <w:r>
        <w:rPr>
          <w:lang w:val="en-GB"/>
        </w:rPr>
        <w:t>1996</w:t>
      </w:r>
      <w:r w:rsidRPr="00002A77">
        <w:rPr>
          <w:rFonts w:hint="eastAsia"/>
          <w:lang w:val="en-GB"/>
        </w:rPr>
        <w:t>年</w:t>
      </w:r>
      <w:r>
        <w:rPr>
          <w:lang w:val="en-GB"/>
        </w:rPr>
        <w:t>5</w:t>
      </w:r>
      <w:r w:rsidRPr="00002A77">
        <w:rPr>
          <w:rFonts w:hint="eastAsia"/>
          <w:lang w:val="en-GB"/>
        </w:rPr>
        <w:t>月根据《性别歧视条例》成立，并于同年</w:t>
      </w:r>
      <w:r>
        <w:rPr>
          <w:lang w:val="en-GB"/>
        </w:rPr>
        <w:t>9</w:t>
      </w:r>
      <w:r w:rsidRPr="00002A77">
        <w:rPr>
          <w:rFonts w:hint="eastAsia"/>
          <w:lang w:val="en-GB"/>
        </w:rPr>
        <w:t>月开始全面运作。平机会根据四条反歧视条例，负责进行正式的调查、处理投诉、</w:t>
      </w:r>
      <w:r w:rsidRPr="00002A77">
        <w:rPr>
          <w:rFonts w:hint="eastAsia"/>
        </w:rPr>
        <w:t>鼓</w:t>
      </w:r>
      <w:r w:rsidRPr="00002A77">
        <w:rPr>
          <w:rFonts w:hint="cs"/>
        </w:rPr>
        <w:t>励</w:t>
      </w:r>
      <w:r w:rsidRPr="00002A77">
        <w:rPr>
          <w:rFonts w:hint="eastAsia"/>
        </w:rPr>
        <w:t>涉及</w:t>
      </w:r>
      <w:r w:rsidRPr="00002A77">
        <w:rPr>
          <w:rFonts w:hint="cs"/>
        </w:rPr>
        <w:t>纠纷</w:t>
      </w:r>
      <w:r w:rsidRPr="00002A77">
        <w:rPr>
          <w:rFonts w:hint="eastAsia"/>
        </w:rPr>
        <w:t>的有</w:t>
      </w:r>
      <w:r w:rsidRPr="00002A77">
        <w:rPr>
          <w:rFonts w:hint="cs"/>
        </w:rPr>
        <w:t>关</w:t>
      </w:r>
      <w:r w:rsidRPr="00002A77">
        <w:rPr>
          <w:rFonts w:hint="eastAsia"/>
        </w:rPr>
        <w:t>各方</w:t>
      </w:r>
      <w:r w:rsidRPr="00002A77">
        <w:rPr>
          <w:rFonts w:hint="cs"/>
        </w:rPr>
        <w:t>进</w:t>
      </w:r>
      <w:r w:rsidRPr="00002A77">
        <w:rPr>
          <w:rFonts w:hint="eastAsia"/>
        </w:rPr>
        <w:t>行</w:t>
      </w:r>
      <w:r w:rsidRPr="00002A77">
        <w:rPr>
          <w:rFonts w:hint="cs"/>
        </w:rPr>
        <w:t>调</w:t>
      </w:r>
      <w:r w:rsidRPr="00002A77">
        <w:rPr>
          <w:rFonts w:hint="eastAsia"/>
        </w:rPr>
        <w:t>解</w:t>
      </w:r>
      <w:r w:rsidRPr="00002A77">
        <w:rPr>
          <w:rFonts w:hint="eastAsia"/>
          <w:lang w:val="en-GB"/>
        </w:rPr>
        <w:t>，以及向受屈人士提供协助。此外，平机会亦推行研究计划和公众教育，以促进平等机会。另外，该委员会获授权发出各类实务守则，为市民提供实际指引，协助他们遵守有关平等机会的法例。平机会已于</w:t>
      </w:r>
      <w:r>
        <w:rPr>
          <w:lang w:val="en-GB"/>
        </w:rPr>
        <w:t>1996</w:t>
      </w:r>
      <w:r w:rsidRPr="00002A77">
        <w:rPr>
          <w:rFonts w:hint="eastAsia"/>
          <w:lang w:val="en-GB"/>
        </w:rPr>
        <w:t>年</w:t>
      </w:r>
      <w:r>
        <w:rPr>
          <w:lang w:val="en-GB"/>
        </w:rPr>
        <w:t>12</w:t>
      </w:r>
      <w:r w:rsidRPr="00002A77">
        <w:rPr>
          <w:rFonts w:hint="eastAsia"/>
          <w:lang w:val="en-GB"/>
        </w:rPr>
        <w:t>月发出有关《性别歧视条例》和《残疾歧视条例》的雇佣实务守则，并于</w:t>
      </w:r>
      <w:r>
        <w:rPr>
          <w:lang w:val="en-GB"/>
        </w:rPr>
        <w:t>2</w:t>
      </w:r>
      <w:r w:rsidRPr="00002A77">
        <w:rPr>
          <w:lang w:val="en-GB"/>
        </w:rPr>
        <w:t>0</w:t>
      </w:r>
      <w:r>
        <w:rPr>
          <w:lang w:val="en-GB"/>
        </w:rPr>
        <w:t>11</w:t>
      </w:r>
      <w:r w:rsidRPr="00002A77">
        <w:rPr>
          <w:rFonts w:hint="eastAsia"/>
          <w:lang w:val="en-GB"/>
        </w:rPr>
        <w:t>年</w:t>
      </w:r>
      <w:r w:rsidRPr="00002A77">
        <w:rPr>
          <w:rFonts w:hint="eastAsia"/>
          <w:bCs/>
          <w:lang w:val="en-GB"/>
        </w:rPr>
        <w:t>修订后者</w:t>
      </w:r>
      <w:r w:rsidRPr="00002A77">
        <w:rPr>
          <w:rFonts w:hint="eastAsia"/>
          <w:lang w:val="en-GB"/>
        </w:rPr>
        <w:t>，以提供切合时宜的法律发展资料，确保守则能继续作为有用的参考工具。平机会亦分别于</w:t>
      </w:r>
      <w:r>
        <w:rPr>
          <w:lang w:val="en-GB"/>
        </w:rPr>
        <w:t>1998</w:t>
      </w:r>
      <w:r w:rsidRPr="00002A77">
        <w:rPr>
          <w:rFonts w:hint="eastAsia"/>
          <w:lang w:val="en-GB"/>
        </w:rPr>
        <w:t>年</w:t>
      </w:r>
      <w:r>
        <w:rPr>
          <w:lang w:val="en-GB"/>
        </w:rPr>
        <w:t>3</w:t>
      </w:r>
      <w:r w:rsidRPr="00002A77">
        <w:rPr>
          <w:rFonts w:hint="eastAsia"/>
          <w:lang w:val="en-GB"/>
        </w:rPr>
        <w:t>月及</w:t>
      </w:r>
      <w:r>
        <w:rPr>
          <w:lang w:val="en-GB"/>
        </w:rPr>
        <w:t>2</w:t>
      </w:r>
      <w:r w:rsidRPr="00002A77">
        <w:rPr>
          <w:lang w:val="en-GB"/>
        </w:rPr>
        <w:t>00</w:t>
      </w:r>
      <w:r>
        <w:rPr>
          <w:lang w:val="en-GB"/>
        </w:rPr>
        <w:t>9</w:t>
      </w:r>
      <w:r w:rsidRPr="00002A77">
        <w:rPr>
          <w:rFonts w:hint="eastAsia"/>
          <w:lang w:val="en-GB"/>
        </w:rPr>
        <w:t>年</w:t>
      </w:r>
      <w:r>
        <w:rPr>
          <w:lang w:val="en-GB"/>
        </w:rPr>
        <w:t>7</w:t>
      </w:r>
      <w:r w:rsidRPr="00002A77">
        <w:rPr>
          <w:rFonts w:hint="eastAsia"/>
          <w:lang w:val="en-GB"/>
        </w:rPr>
        <w:t>月发出有关《家庭岗位歧视条例》及《种族歧视条例》的雇佣实务守则。此外，平机会于</w:t>
      </w:r>
      <w:r>
        <w:rPr>
          <w:lang w:val="en-GB"/>
        </w:rPr>
        <w:t>2</w:t>
      </w:r>
      <w:r w:rsidRPr="00002A77">
        <w:rPr>
          <w:lang w:val="en-GB"/>
        </w:rPr>
        <w:t>00</w:t>
      </w:r>
      <w:r>
        <w:rPr>
          <w:lang w:val="en-GB"/>
        </w:rPr>
        <w:t>1</w:t>
      </w:r>
      <w:r w:rsidRPr="00002A77">
        <w:rPr>
          <w:rFonts w:hint="eastAsia"/>
          <w:lang w:val="en-GB"/>
        </w:rPr>
        <w:t>年</w:t>
      </w:r>
      <w:r>
        <w:rPr>
          <w:lang w:val="en-GB"/>
        </w:rPr>
        <w:t>7</w:t>
      </w:r>
      <w:r w:rsidRPr="00002A77">
        <w:rPr>
          <w:rFonts w:hint="eastAsia"/>
          <w:lang w:val="en-GB"/>
        </w:rPr>
        <w:t>月发出《残疾歧视条例教育实务守则》，以协助教育机构遵守《残疾歧视条例》的规定。</w:t>
      </w:r>
    </w:p>
    <w:p w:rsidR="00D13477" w:rsidRPr="00002A77" w:rsidRDefault="00D13477" w:rsidP="00D13477">
      <w:pPr>
        <w:pStyle w:val="SingleTxtGC"/>
        <w:rPr>
          <w:lang w:val="en-GB"/>
        </w:rPr>
      </w:pPr>
      <w:r>
        <w:rPr>
          <w:lang w:val="en-GB"/>
        </w:rPr>
        <w:t>55</w:t>
      </w:r>
      <w:r w:rsidR="00977DAB">
        <w:rPr>
          <w:lang w:val="en-GB"/>
        </w:rPr>
        <w:t xml:space="preserve">.  </w:t>
      </w:r>
      <w:r w:rsidRPr="00002A77">
        <w:rPr>
          <w:rFonts w:hint="eastAsia"/>
          <w:lang w:val="en-GB"/>
        </w:rPr>
        <w:t>有关反歧视条例及平机会的工作的进一步资料，在下文</w:t>
      </w:r>
      <w:r>
        <w:rPr>
          <w:rFonts w:hint="eastAsia"/>
          <w:lang w:val="en-GB"/>
        </w:rPr>
        <w:t>“</w:t>
      </w:r>
      <w:r w:rsidRPr="00002A77">
        <w:rPr>
          <w:rFonts w:hint="eastAsia"/>
          <w:lang w:val="en-GB"/>
        </w:rPr>
        <w:t>有关反歧视及促进平等的资料</w:t>
      </w:r>
      <w:r>
        <w:rPr>
          <w:rFonts w:hint="eastAsia"/>
          <w:lang w:val="en-GB"/>
        </w:rPr>
        <w:t>”</w:t>
      </w:r>
      <w:r w:rsidRPr="00002A77">
        <w:rPr>
          <w:rFonts w:hint="eastAsia"/>
          <w:lang w:val="en-GB"/>
        </w:rPr>
        <w:t>一节详述。</w:t>
      </w:r>
    </w:p>
    <w:p w:rsidR="00D13477" w:rsidRPr="00002A77" w:rsidRDefault="00A31620" w:rsidP="00A31620">
      <w:pPr>
        <w:pStyle w:val="H23GC"/>
      </w:pPr>
      <w:r>
        <w:rPr>
          <w:rFonts w:hint="eastAsia"/>
        </w:rPr>
        <w:tab/>
        <w:t>8.</w:t>
      </w:r>
      <w:r>
        <w:rPr>
          <w:rFonts w:hint="eastAsia"/>
        </w:rPr>
        <w:tab/>
      </w:r>
      <w:r w:rsidR="00D13477" w:rsidRPr="00002A77">
        <w:rPr>
          <w:rFonts w:hint="eastAsia"/>
        </w:rPr>
        <w:t>个人资料私隐专员</w:t>
      </w:r>
    </w:p>
    <w:p w:rsidR="00D13477" w:rsidRPr="00002A77" w:rsidRDefault="00D13477" w:rsidP="00D13477">
      <w:pPr>
        <w:pStyle w:val="SingleTxtGC"/>
        <w:rPr>
          <w:lang w:val="en-GB"/>
        </w:rPr>
      </w:pPr>
      <w:r>
        <w:rPr>
          <w:lang w:val="en-GB"/>
        </w:rPr>
        <w:t>56</w:t>
      </w:r>
      <w:r w:rsidR="00977DAB">
        <w:rPr>
          <w:lang w:val="en-GB"/>
        </w:rPr>
        <w:t xml:space="preserve">.  </w:t>
      </w:r>
      <w:r w:rsidRPr="00002A77">
        <w:rPr>
          <w:rFonts w:hint="eastAsia"/>
        </w:rPr>
        <w:t>《个人资料</w:t>
      </w:r>
      <w:r w:rsidRPr="00002A77">
        <w:rPr>
          <w:rFonts w:hint="eastAsia"/>
        </w:rPr>
        <w:t>(</w:t>
      </w:r>
      <w:r w:rsidRPr="00002A77">
        <w:rPr>
          <w:rFonts w:hint="eastAsia"/>
        </w:rPr>
        <w:t>私隐</w:t>
      </w:r>
      <w:r w:rsidRPr="00002A77">
        <w:rPr>
          <w:rFonts w:hint="eastAsia"/>
        </w:rPr>
        <w:t>)</w:t>
      </w:r>
      <w:r w:rsidRPr="00002A77">
        <w:rPr>
          <w:rFonts w:hint="eastAsia"/>
        </w:rPr>
        <w:t>条例》就公营和私营机构收集、持有、处理和使用个人资料的事宜作出规管，有关条文是根据国际认同的保障资料原则而制订的，并且适用于一切可供查阅或处理的个人资料，不论该资料是以电子、纸张档案或录像</w:t>
      </w:r>
      <w:r w:rsidRPr="00002A77">
        <w:rPr>
          <w:rFonts w:hint="eastAsia"/>
          <w:lang w:val="en-GB"/>
        </w:rPr>
        <w:t>／</w:t>
      </w:r>
      <w:r w:rsidRPr="00002A77">
        <w:rPr>
          <w:rFonts w:hint="eastAsia"/>
        </w:rPr>
        <w:t>录音的形式储存。该条例规定，由独立的法人</w:t>
      </w:r>
      <w:r w:rsidRPr="00002A77">
        <w:rPr>
          <w:rFonts w:hint="eastAsia"/>
        </w:rPr>
        <w:t>(</w:t>
      </w:r>
      <w:r w:rsidRPr="00002A77">
        <w:rPr>
          <w:rFonts w:hint="eastAsia"/>
        </w:rPr>
        <w:t>即个人资料私隐专员</w:t>
      </w:r>
      <w:r w:rsidRPr="00002A77">
        <w:rPr>
          <w:rFonts w:hint="eastAsia"/>
        </w:rPr>
        <w:t>)</w:t>
      </w:r>
      <w:r w:rsidRPr="00002A77">
        <w:rPr>
          <w:rFonts w:hint="eastAsia"/>
        </w:rPr>
        <w:t>推广、监察和执行该条例。私隐专员的职责包括：促进公众对该条例的认识和理解；就如何遵守条例的规定发出实务守则；审核可能对个人资料私隐有影响的建议法例，以及执行该条例。</w:t>
      </w:r>
    </w:p>
    <w:p w:rsidR="00D13477" w:rsidRPr="00002A77" w:rsidRDefault="00A31620" w:rsidP="00A31620">
      <w:pPr>
        <w:pStyle w:val="H23GC"/>
      </w:pPr>
      <w:r>
        <w:rPr>
          <w:rFonts w:hint="eastAsia"/>
        </w:rPr>
        <w:tab/>
        <w:t>9.</w:t>
      </w:r>
      <w:r>
        <w:rPr>
          <w:rFonts w:hint="eastAsia"/>
        </w:rPr>
        <w:tab/>
      </w:r>
      <w:r w:rsidR="00D13477" w:rsidRPr="00002A77">
        <w:rPr>
          <w:rFonts w:hint="eastAsia"/>
        </w:rPr>
        <w:t>投诉及调查</w:t>
      </w:r>
    </w:p>
    <w:p w:rsidR="00D13477" w:rsidRPr="00002A77" w:rsidRDefault="00A31620" w:rsidP="00A31620">
      <w:pPr>
        <w:pStyle w:val="H4GC"/>
        <w:rPr>
          <w:lang w:val="en-GB"/>
        </w:rPr>
      </w:pPr>
      <w:r>
        <w:rPr>
          <w:rFonts w:hint="eastAsia"/>
          <w:lang w:val="en-GB"/>
        </w:rPr>
        <w:tab/>
      </w:r>
      <w:r w:rsidRPr="00A31620">
        <w:rPr>
          <w:lang w:val="en-GB"/>
        </w:rPr>
        <w:t>(a)</w:t>
      </w:r>
      <w:r>
        <w:rPr>
          <w:rFonts w:hint="eastAsia"/>
          <w:lang w:val="en-GB"/>
        </w:rPr>
        <w:tab/>
      </w:r>
      <w:r w:rsidR="00D13477" w:rsidRPr="00002A77">
        <w:rPr>
          <w:rFonts w:hint="eastAsia"/>
          <w:lang w:val="en-GB"/>
        </w:rPr>
        <w:t>香港警务处</w:t>
      </w:r>
    </w:p>
    <w:p w:rsidR="00D13477" w:rsidRPr="00002A77" w:rsidRDefault="00D13477" w:rsidP="00D13477">
      <w:pPr>
        <w:pStyle w:val="SingleTxtGC"/>
        <w:rPr>
          <w:lang w:val="en-GB"/>
        </w:rPr>
      </w:pPr>
      <w:r>
        <w:rPr>
          <w:lang w:val="en-GB"/>
        </w:rPr>
        <w:t>57</w:t>
      </w:r>
      <w:r w:rsidR="00977DAB">
        <w:rPr>
          <w:lang w:val="en-GB"/>
        </w:rPr>
        <w:t xml:space="preserve">.  </w:t>
      </w:r>
      <w:r w:rsidRPr="00002A77">
        <w:rPr>
          <w:rFonts w:hint="eastAsia"/>
        </w:rPr>
        <w:t>投诉警察课负责调查涉及警务人员行为和态度的投诉。投诉警察课的调查工作，由根据</w:t>
      </w:r>
      <w:r>
        <w:rPr>
          <w:lang w:val="en-GB"/>
        </w:rPr>
        <w:t>2</w:t>
      </w:r>
      <w:r w:rsidRPr="00002A77">
        <w:rPr>
          <w:lang w:val="en-GB"/>
        </w:rPr>
        <w:t>00</w:t>
      </w:r>
      <w:r>
        <w:rPr>
          <w:lang w:val="en-GB"/>
        </w:rPr>
        <w:t>9</w:t>
      </w:r>
      <w:r w:rsidRPr="00002A77">
        <w:rPr>
          <w:rFonts w:hint="eastAsia"/>
          <w:lang w:val="en-GB"/>
        </w:rPr>
        <w:t>年</w:t>
      </w:r>
      <w:r>
        <w:t>6</w:t>
      </w:r>
      <w:r w:rsidRPr="00002A77">
        <w:rPr>
          <w:rFonts w:hint="eastAsia"/>
        </w:rPr>
        <w:t>月</w:t>
      </w:r>
      <w:r>
        <w:t>1</w:t>
      </w:r>
      <w:r w:rsidRPr="00002A77">
        <w:rPr>
          <w:rFonts w:hint="eastAsia"/>
        </w:rPr>
        <w:t>日生效的</w:t>
      </w:r>
      <w:r w:rsidRPr="00002A77">
        <w:rPr>
          <w:rFonts w:hint="eastAsia"/>
          <w:lang w:val="en-GB"/>
        </w:rPr>
        <w:t>《独立监察警方处理投诉委员会条例》所成立的独立监察警方处理投诉委员会</w:t>
      </w:r>
      <w:r w:rsidRPr="00002A77">
        <w:rPr>
          <w:rFonts w:hint="eastAsia"/>
          <w:lang w:val="en-GB"/>
        </w:rPr>
        <w:t>(</w:t>
      </w:r>
      <w:r w:rsidRPr="00002A77">
        <w:rPr>
          <w:rFonts w:hint="eastAsia"/>
          <w:lang w:val="en-GB"/>
        </w:rPr>
        <w:t>监警会</w:t>
      </w:r>
      <w:r w:rsidRPr="00002A77">
        <w:rPr>
          <w:rFonts w:hint="eastAsia"/>
          <w:lang w:val="en-GB"/>
        </w:rPr>
        <w:t>)</w:t>
      </w:r>
      <w:r w:rsidRPr="00002A77">
        <w:rPr>
          <w:rFonts w:hint="eastAsia"/>
        </w:rPr>
        <w:t>监察和复核。</w:t>
      </w:r>
      <w:r w:rsidRPr="00002A77">
        <w:rPr>
          <w:rFonts w:hint="eastAsia"/>
          <w:lang w:val="en-GB"/>
        </w:rPr>
        <w:t>该会的主要职能包括观察、监察和覆检</w:t>
      </w:r>
      <w:r w:rsidRPr="00002A77">
        <w:rPr>
          <w:rFonts w:hint="eastAsia"/>
        </w:rPr>
        <w:t>投诉警察课</w:t>
      </w:r>
      <w:r w:rsidRPr="00002A77">
        <w:rPr>
          <w:rFonts w:hint="eastAsia"/>
          <w:lang w:val="en-GB"/>
        </w:rPr>
        <w:t>对须汇报投诉的处理和调查，并就须汇报投诉的处理和调查提出建议，同时找出警队工作常规或程序中已经或可能会引致须汇报投诉的缺失或不足之处，并就该等常规或程序作出建议。</w:t>
      </w:r>
      <w:r w:rsidRPr="00002A77">
        <w:rPr>
          <w:rFonts w:hint="eastAsia"/>
        </w:rPr>
        <w:t>监警会成员由行政长官所委任的社会各界非官方人士组成。</w:t>
      </w:r>
    </w:p>
    <w:p w:rsidR="00D13477" w:rsidRPr="00002A77" w:rsidRDefault="00A31620" w:rsidP="00A31620">
      <w:pPr>
        <w:pStyle w:val="H4GC"/>
        <w:rPr>
          <w:lang w:val="en-GB"/>
        </w:rPr>
      </w:pPr>
      <w:r>
        <w:rPr>
          <w:rFonts w:hint="eastAsia"/>
          <w:lang w:val="en-GB"/>
        </w:rPr>
        <w:tab/>
      </w:r>
      <w:r w:rsidRPr="00A31620">
        <w:rPr>
          <w:lang w:val="en-GB"/>
        </w:rPr>
        <w:t>(b)</w:t>
      </w:r>
      <w:r>
        <w:rPr>
          <w:rFonts w:hint="eastAsia"/>
          <w:lang w:val="en-GB"/>
        </w:rPr>
        <w:tab/>
      </w:r>
      <w:r w:rsidR="00D13477" w:rsidRPr="00002A77">
        <w:rPr>
          <w:rFonts w:hint="eastAsia"/>
          <w:lang w:val="en-GB"/>
        </w:rPr>
        <w:t>廉政公署</w:t>
      </w:r>
    </w:p>
    <w:p w:rsidR="00D13477" w:rsidRPr="00002A77" w:rsidRDefault="00D13477" w:rsidP="00D13477">
      <w:pPr>
        <w:pStyle w:val="SingleTxtGC"/>
        <w:rPr>
          <w:i/>
          <w:lang w:val="en-GB"/>
        </w:rPr>
      </w:pPr>
      <w:r>
        <w:rPr>
          <w:lang w:val="en-GB"/>
        </w:rPr>
        <w:t>58</w:t>
      </w:r>
      <w:r w:rsidR="00977DAB">
        <w:rPr>
          <w:lang w:val="en-GB"/>
        </w:rPr>
        <w:t xml:space="preserve">.  </w:t>
      </w:r>
      <w:r w:rsidRPr="00002A77">
        <w:rPr>
          <w:rFonts w:hint="eastAsia"/>
          <w:lang w:val="en-GB"/>
        </w:rPr>
        <w:t>廉政公署事宜投诉委员会于</w:t>
      </w:r>
      <w:r>
        <w:rPr>
          <w:lang w:val="en-GB"/>
        </w:rPr>
        <w:t>1977</w:t>
      </w:r>
      <w:r w:rsidRPr="00002A77">
        <w:rPr>
          <w:rFonts w:hint="eastAsia"/>
          <w:lang w:val="en-GB"/>
        </w:rPr>
        <w:t>年成立，负责监察和检讨廉政公署处理对该署及其人员的非刑事投诉。该委员会是一个由行政长官委任的独立组织，成员主要包括行政会议成员及立法会议员，另加一名申诉专员的代表。任何人如欲投诉廉政公署或该署人员，均可直接向该委员会或廉政公署辖下办事处提出。这些投诉会由廉政公署执行处的一个特别小组负责调查。小组完成调查工作后，便会把调查结果和建议提交委员会审议。</w:t>
      </w:r>
    </w:p>
    <w:p w:rsidR="00D13477" w:rsidRPr="00002A77" w:rsidRDefault="00A31620" w:rsidP="00A31620">
      <w:pPr>
        <w:pStyle w:val="H4GC"/>
        <w:rPr>
          <w:lang w:val="en-GB"/>
        </w:rPr>
      </w:pPr>
      <w:r>
        <w:rPr>
          <w:lang w:val="en-GB"/>
        </w:rPr>
        <w:br w:type="page"/>
      </w:r>
      <w:r>
        <w:rPr>
          <w:rFonts w:hint="eastAsia"/>
          <w:lang w:val="en-GB"/>
        </w:rPr>
        <w:tab/>
      </w:r>
      <w:r w:rsidRPr="00A31620">
        <w:rPr>
          <w:lang w:val="en-GB"/>
        </w:rPr>
        <w:t>(c)</w:t>
      </w:r>
      <w:r>
        <w:rPr>
          <w:rFonts w:hint="eastAsia"/>
          <w:lang w:val="en-GB"/>
        </w:rPr>
        <w:tab/>
      </w:r>
      <w:r w:rsidR="00D13477" w:rsidRPr="00002A77">
        <w:rPr>
          <w:rFonts w:hint="eastAsia"/>
          <w:lang w:val="en-GB"/>
        </w:rPr>
        <w:t>其他纪律部队</w:t>
      </w:r>
    </w:p>
    <w:p w:rsidR="00D13477" w:rsidRPr="00002A77" w:rsidRDefault="00D13477" w:rsidP="00D13477">
      <w:pPr>
        <w:pStyle w:val="SingleTxtGC"/>
        <w:rPr>
          <w:lang w:val="en-GB"/>
        </w:rPr>
      </w:pPr>
      <w:r>
        <w:rPr>
          <w:lang w:val="en-GB"/>
        </w:rPr>
        <w:t>59</w:t>
      </w:r>
      <w:r w:rsidR="00977DAB">
        <w:rPr>
          <w:lang w:val="en-GB"/>
        </w:rPr>
        <w:t xml:space="preserve">.  </w:t>
      </w:r>
      <w:r w:rsidRPr="00002A77">
        <w:rPr>
          <w:rFonts w:hint="eastAsia"/>
        </w:rPr>
        <w:t>其他纪律部门在处理投诉方面也备有清晰的指引和程序。举例来说，负责管理香港特区各个监狱的惩教署设有投诉调查组，为该署职员、在囚人士和公众提供一个申诉机制。此外，投诉人士也可直接向行政长官、立法会议员、申诉专员、巡狱太平绅士及其他执法机构如廉政公署和警方申诉。从所处理投诉个案的数目和性质来看，现有的投诉途径可说是行之有效。</w:t>
      </w:r>
    </w:p>
    <w:p w:rsidR="00D13477" w:rsidRPr="00002A77" w:rsidRDefault="00D13477" w:rsidP="00D13477">
      <w:pPr>
        <w:pStyle w:val="SingleTxtGC"/>
        <w:rPr>
          <w:lang w:val="en-GB"/>
        </w:rPr>
      </w:pPr>
      <w:r>
        <w:rPr>
          <w:lang w:val="en-GB"/>
        </w:rPr>
        <w:t>6</w:t>
      </w:r>
      <w:r w:rsidRPr="00002A77">
        <w:rPr>
          <w:lang w:val="en-GB"/>
        </w:rPr>
        <w:t>0</w:t>
      </w:r>
      <w:r w:rsidR="00977DAB">
        <w:rPr>
          <w:lang w:val="en-GB"/>
        </w:rPr>
        <w:t xml:space="preserve">.  </w:t>
      </w:r>
      <w:r w:rsidRPr="00002A77">
        <w:rPr>
          <w:rFonts w:hint="eastAsia"/>
        </w:rPr>
        <w:t>入境事务处在处理投诉时所依循的程序，是由入境事务处处长根据《入境事务队条例》</w:t>
      </w:r>
      <w:r w:rsidRPr="00002A77">
        <w:rPr>
          <w:rFonts w:hint="eastAsia"/>
        </w:rPr>
        <w:t>(</w:t>
      </w:r>
      <w:r w:rsidRPr="00002A77">
        <w:rPr>
          <w:rFonts w:hint="eastAsia"/>
        </w:rPr>
        <w:t>第</w:t>
      </w:r>
      <w:r>
        <w:t>331</w:t>
      </w:r>
      <w:r w:rsidRPr="00002A77">
        <w:rPr>
          <w:rFonts w:hint="eastAsia"/>
        </w:rPr>
        <w:t>章</w:t>
      </w:r>
      <w:r w:rsidRPr="00002A77">
        <w:rPr>
          <w:rFonts w:hint="eastAsia"/>
        </w:rPr>
        <w:t>)</w:t>
      </w:r>
      <w:r w:rsidRPr="00002A77">
        <w:rPr>
          <w:rFonts w:hint="eastAsia"/>
        </w:rPr>
        <w:t>所赋予的权力而订立的，这些程序已于《入境事务队常规命令》中列明。市民如认为入境事务队人员滥用职权或处事不当，可向入境事务处处长投诉。该处接获投诉后，会按照常规命令所列明的程序，从速进行调查。为确保所有投诉均获妥善处理，一个投诉检讨工作小组会研究调查结果，进行检讨及按需要建议进一步行动。如有人认为自己受到不当待遇或其个案被不当处理，也可向申诉专员投诉。如有表面证据显示入境事务队人员触犯刑事罪行，入境事务处会立即把个案转介警方，以作进一步调查。《入境事务队条例》和《入境事务队常规命令》已订明入境事务队人员的纪律处分程序。《入境事务队条例》第</w:t>
      </w:r>
      <w:r>
        <w:t>8</w:t>
      </w:r>
      <w:r w:rsidRPr="00002A77">
        <w:rPr>
          <w:rFonts w:hint="eastAsia"/>
        </w:rPr>
        <w:t>条订明，入境事务队人员如非法或不必要地行使权力，以致他人蒙受损失或损害，均属违纪行为。</w:t>
      </w:r>
    </w:p>
    <w:p w:rsidR="00D13477" w:rsidRPr="00002A77" w:rsidRDefault="00A31620" w:rsidP="00A31620">
      <w:pPr>
        <w:pStyle w:val="H1GC"/>
        <w:rPr>
          <w:lang w:val="en-GB"/>
        </w:rPr>
      </w:pPr>
      <w:r>
        <w:rPr>
          <w:rFonts w:hint="eastAsia"/>
          <w:lang w:val="en-GB"/>
        </w:rPr>
        <w:tab/>
        <w:t>C.</w:t>
      </w:r>
      <w:r>
        <w:rPr>
          <w:rFonts w:hint="eastAsia"/>
          <w:lang w:val="en-GB"/>
        </w:rPr>
        <w:tab/>
      </w:r>
      <w:r w:rsidR="00D13477" w:rsidRPr="00002A77">
        <w:rPr>
          <w:rFonts w:hint="eastAsia"/>
          <w:lang w:val="en-GB"/>
        </w:rPr>
        <w:t>促进人权的架构</w:t>
      </w:r>
    </w:p>
    <w:p w:rsidR="00D13477" w:rsidRPr="00002A77" w:rsidRDefault="00A31620" w:rsidP="00A31620">
      <w:pPr>
        <w:pStyle w:val="H23GC"/>
      </w:pPr>
      <w:r>
        <w:rPr>
          <w:rFonts w:hint="eastAsia"/>
        </w:rPr>
        <w:tab/>
        <w:t>1.</w:t>
      </w:r>
      <w:r>
        <w:rPr>
          <w:rFonts w:hint="eastAsia"/>
        </w:rPr>
        <w:tab/>
      </w:r>
      <w:r w:rsidR="00D13477" w:rsidRPr="00002A77">
        <w:rPr>
          <w:rFonts w:hint="eastAsia"/>
        </w:rPr>
        <w:t>加深公众对人权条约的认识</w:t>
      </w:r>
    </w:p>
    <w:p w:rsidR="00D13477" w:rsidRPr="00002A77" w:rsidRDefault="00D13477" w:rsidP="00D13477">
      <w:pPr>
        <w:pStyle w:val="SingleTxtGC"/>
        <w:rPr>
          <w:lang w:val="en-GB"/>
        </w:rPr>
      </w:pPr>
      <w:r>
        <w:rPr>
          <w:lang w:val="en-GB"/>
        </w:rPr>
        <w:t>61</w:t>
      </w:r>
      <w:r w:rsidR="00977DAB">
        <w:rPr>
          <w:lang w:val="en-GB"/>
        </w:rPr>
        <w:t xml:space="preserve">.  </w:t>
      </w:r>
      <w:r w:rsidRPr="00002A77">
        <w:rPr>
          <w:rFonts w:hint="eastAsia"/>
          <w:lang w:val="en-GB"/>
        </w:rPr>
        <w:t>香港特区政府政制及内地事务局负责统筹和监察有关人权及平等机会的政策的施行，包括加深公众对适用于香港的人权条约所订权利及义务的认识。特区政府劳工及福利局则负责与妇女及残疾人士有关的事务及人权条约，包括适用于香港的有关人权条约。</w:t>
      </w:r>
    </w:p>
    <w:p w:rsidR="00D13477" w:rsidRPr="00002A77" w:rsidRDefault="00A31620" w:rsidP="00A31620">
      <w:pPr>
        <w:pStyle w:val="H4GC"/>
        <w:rPr>
          <w:lang w:val="en-GB"/>
        </w:rPr>
      </w:pPr>
      <w:r>
        <w:rPr>
          <w:rFonts w:hint="eastAsia"/>
          <w:lang w:val="en-GB"/>
        </w:rPr>
        <w:tab/>
      </w:r>
      <w:r w:rsidRPr="00A31620">
        <w:rPr>
          <w:lang w:val="en-GB"/>
        </w:rPr>
        <w:t>(a)</w:t>
      </w:r>
      <w:r>
        <w:rPr>
          <w:rFonts w:hint="eastAsia"/>
          <w:lang w:val="en-GB"/>
        </w:rPr>
        <w:tab/>
      </w:r>
      <w:r w:rsidR="00D13477" w:rsidRPr="00002A77">
        <w:rPr>
          <w:rFonts w:hint="eastAsia"/>
          <w:lang w:val="en-GB"/>
        </w:rPr>
        <w:t>在香港特区推广人权条约</w:t>
      </w:r>
    </w:p>
    <w:p w:rsidR="00D13477" w:rsidRPr="00002A77" w:rsidRDefault="00D13477" w:rsidP="00D13477">
      <w:pPr>
        <w:pStyle w:val="SingleTxtGC"/>
      </w:pPr>
      <w:r>
        <w:t>62</w:t>
      </w:r>
      <w:r w:rsidR="00977DAB">
        <w:t xml:space="preserve">.  </w:t>
      </w:r>
      <w:r w:rsidRPr="00002A77">
        <w:rPr>
          <w:rFonts w:hint="eastAsia"/>
        </w:rPr>
        <w:t>香港特区政府致力促进适用于香港的人权条约所订明的权利。推广工作以不同形式进行，包括传媒宣传运动，例如制作电视宣传短片及电台宣传声带。举例来说，</w:t>
      </w:r>
      <w:r w:rsidRPr="00002A77">
        <w:rPr>
          <w:rFonts w:hint="eastAsia"/>
          <w:lang w:val="en-GB"/>
        </w:rPr>
        <w:t>政制及内地事务局制作了一辑广告，以推广对《儿童权利公约》所保障的儿童权利</w:t>
      </w:r>
      <w:r w:rsidRPr="00002A77">
        <w:rPr>
          <w:rFonts w:hint="eastAsia"/>
          <w:lang w:val="en-GB"/>
        </w:rPr>
        <w:t>(</w:t>
      </w:r>
      <w:r w:rsidRPr="00002A77">
        <w:rPr>
          <w:rFonts w:hint="eastAsia"/>
          <w:lang w:val="en-GB"/>
        </w:rPr>
        <w:t>即生存、发展、受到保护和参与的权利</w:t>
      </w:r>
      <w:r w:rsidRPr="00002A77">
        <w:rPr>
          <w:rFonts w:hint="eastAsia"/>
          <w:lang w:val="en-GB"/>
        </w:rPr>
        <w:t>)</w:t>
      </w:r>
      <w:r w:rsidRPr="00002A77">
        <w:rPr>
          <w:rFonts w:hint="eastAsia"/>
          <w:lang w:val="en-GB"/>
        </w:rPr>
        <w:t>的尊重。这辑广告已于</w:t>
      </w:r>
      <w:r>
        <w:rPr>
          <w:lang w:val="en-GB"/>
        </w:rPr>
        <w:t>2</w:t>
      </w:r>
      <w:r w:rsidRPr="00002A77">
        <w:rPr>
          <w:lang w:val="en-GB"/>
        </w:rPr>
        <w:t>00</w:t>
      </w:r>
      <w:r>
        <w:rPr>
          <w:lang w:val="en-GB"/>
        </w:rPr>
        <w:t>9</w:t>
      </w:r>
      <w:r w:rsidRPr="00002A77">
        <w:rPr>
          <w:rFonts w:hint="eastAsia"/>
          <w:lang w:val="en-GB"/>
        </w:rPr>
        <w:t>年</w:t>
      </w:r>
      <w:r>
        <w:rPr>
          <w:lang w:val="en-GB"/>
        </w:rPr>
        <w:t>6</w:t>
      </w:r>
      <w:r w:rsidRPr="00002A77">
        <w:rPr>
          <w:rFonts w:hint="eastAsia"/>
          <w:lang w:val="en-GB"/>
        </w:rPr>
        <w:t>月推出。劳工及福利局自</w:t>
      </w:r>
      <w:r>
        <w:rPr>
          <w:lang w:val="en-GB"/>
        </w:rPr>
        <w:t>2</w:t>
      </w:r>
      <w:r w:rsidRPr="00002A77">
        <w:rPr>
          <w:lang w:val="en-GB"/>
        </w:rPr>
        <w:t>00</w:t>
      </w:r>
      <w:r>
        <w:rPr>
          <w:lang w:val="en-GB"/>
        </w:rPr>
        <w:t>9</w:t>
      </w:r>
      <w:r w:rsidRPr="00002A77">
        <w:rPr>
          <w:rFonts w:hint="eastAsia"/>
          <w:lang w:val="en-GB"/>
        </w:rPr>
        <w:t>年</w:t>
      </w:r>
      <w:r>
        <w:rPr>
          <w:lang w:val="en-GB"/>
        </w:rPr>
        <w:t>8</w:t>
      </w:r>
      <w:r w:rsidRPr="00002A77">
        <w:rPr>
          <w:rFonts w:hint="eastAsia"/>
          <w:lang w:val="en-GB"/>
        </w:rPr>
        <w:t>月推展一项大型宣传运动，包括一系列电视实况戏剧和纪录片、电视宣传短片及电台宣传声带，以及报刊和交通设施的广告，以推广联合国《残疾人权利公约》的精神及价值观。该局亦持续透过巡回展览、学校教育戏剧及地区活动形式推行宣传活动，提高公众对联合国《消除对妇女一切形式歧视公约》的认识。</w:t>
      </w:r>
    </w:p>
    <w:p w:rsidR="00D13477" w:rsidRPr="00002A77" w:rsidRDefault="00D13477" w:rsidP="00D13477">
      <w:pPr>
        <w:pStyle w:val="SingleTxtGC"/>
      </w:pPr>
      <w:r>
        <w:t>63</w:t>
      </w:r>
      <w:r w:rsidR="00977DAB">
        <w:t xml:space="preserve">.  </w:t>
      </w:r>
      <w:r w:rsidRPr="00002A77">
        <w:rPr>
          <w:rFonts w:hint="eastAsia"/>
        </w:rPr>
        <w:t>政府亦以中文和英文</w:t>
      </w:r>
      <w:r w:rsidRPr="00002A77">
        <w:rPr>
          <w:rFonts w:hint="eastAsia"/>
        </w:rPr>
        <w:t>(</w:t>
      </w:r>
      <w:r w:rsidRPr="00002A77">
        <w:rPr>
          <w:rFonts w:hint="eastAsia"/>
        </w:rPr>
        <w:t>香港特区的法定语文</w:t>
      </w:r>
      <w:r w:rsidRPr="00002A77">
        <w:rPr>
          <w:rFonts w:hint="eastAsia"/>
        </w:rPr>
        <w:t>)</w:t>
      </w:r>
      <w:r w:rsidRPr="00002A77">
        <w:rPr>
          <w:rFonts w:hint="eastAsia"/>
        </w:rPr>
        <w:t>出版有关人权条约的小册子。此外，</w:t>
      </w:r>
      <w:r w:rsidRPr="00002A77">
        <w:rPr>
          <w:rFonts w:hint="eastAsia"/>
          <w:lang w:val="en-GB"/>
        </w:rPr>
        <w:t>政府亦推出了双语小册子、通讯及单张等刊物，以彩图及容易理解的文字介绍条约的主要条文。这些刊物的目的是加强向市民，包括家长和儿童，推广这些条约。有关刊物已广泛派发予公众，包括分发给各中小学、图书馆、民政事务处及非政府机构，并已上载政府网站。</w:t>
      </w:r>
    </w:p>
    <w:p w:rsidR="00D13477" w:rsidRPr="00002A77" w:rsidRDefault="00D13477" w:rsidP="00D13477">
      <w:pPr>
        <w:pStyle w:val="SingleTxtGC"/>
        <w:rPr>
          <w:rFonts w:hint="eastAsia"/>
          <w:iCs/>
          <w:lang w:val="en-GB"/>
        </w:rPr>
      </w:pPr>
      <w:r>
        <w:rPr>
          <w:iCs/>
          <w:lang w:val="en-GB"/>
        </w:rPr>
        <w:t>64</w:t>
      </w:r>
      <w:r w:rsidR="00977DAB">
        <w:rPr>
          <w:iCs/>
          <w:lang w:val="en-GB"/>
        </w:rPr>
        <w:t xml:space="preserve">.  </w:t>
      </w:r>
      <w:r w:rsidRPr="00002A77">
        <w:rPr>
          <w:rFonts w:hint="eastAsia"/>
          <w:iCs/>
          <w:lang w:val="en-GB"/>
        </w:rPr>
        <w:t>香港特区政府为拟备提交予联合国各公约监察组织的报告而进行公众咨询，发表报告，向公众传播联合国各公约监察组织的审议结论，与持份者讨论审议结论等的过程，亦提供向公众推广人权条约的机会。有关情况在下文</w:t>
      </w:r>
      <w:r>
        <w:rPr>
          <w:rFonts w:hint="eastAsia"/>
          <w:iCs/>
          <w:lang w:val="en-GB"/>
        </w:rPr>
        <w:t>“</w:t>
      </w:r>
      <w:r w:rsidRPr="00002A77">
        <w:rPr>
          <w:rFonts w:hint="eastAsia"/>
          <w:iCs/>
          <w:lang w:val="en-GB"/>
        </w:rPr>
        <w:t>报告程序</w:t>
      </w:r>
      <w:r>
        <w:rPr>
          <w:rFonts w:hint="eastAsia"/>
          <w:iCs/>
          <w:lang w:val="en-GB"/>
        </w:rPr>
        <w:t>”</w:t>
      </w:r>
      <w:r w:rsidRPr="00002A77">
        <w:rPr>
          <w:rFonts w:hint="eastAsia"/>
          <w:iCs/>
          <w:lang w:val="en-GB"/>
        </w:rPr>
        <w:t>一节载述。</w:t>
      </w:r>
    </w:p>
    <w:p w:rsidR="00D13477" w:rsidRPr="00002A77" w:rsidRDefault="00A31620" w:rsidP="00A31620">
      <w:pPr>
        <w:pStyle w:val="H4GC"/>
        <w:rPr>
          <w:lang w:val="en-GB"/>
        </w:rPr>
      </w:pPr>
      <w:r>
        <w:rPr>
          <w:rFonts w:hint="eastAsia"/>
          <w:lang w:val="en-GB"/>
        </w:rPr>
        <w:tab/>
      </w:r>
      <w:r w:rsidRPr="00A31620">
        <w:rPr>
          <w:lang w:val="en-GB"/>
        </w:rPr>
        <w:t>(b)</w:t>
      </w:r>
      <w:r>
        <w:rPr>
          <w:rFonts w:hint="eastAsia"/>
          <w:lang w:val="en-GB"/>
        </w:rPr>
        <w:tab/>
      </w:r>
      <w:r w:rsidR="00D13477" w:rsidRPr="00002A77">
        <w:rPr>
          <w:rFonts w:hint="eastAsia"/>
          <w:lang w:val="en-GB"/>
        </w:rPr>
        <w:t>公职人员与专业人员的人权教育</w:t>
      </w:r>
    </w:p>
    <w:p w:rsidR="00D13477" w:rsidRPr="00002A77" w:rsidRDefault="00D13477" w:rsidP="00D13477">
      <w:pPr>
        <w:pStyle w:val="SingleTxtGC"/>
        <w:rPr>
          <w:lang w:val="en-GB"/>
        </w:rPr>
      </w:pPr>
      <w:r>
        <w:rPr>
          <w:lang w:val="en-GB"/>
        </w:rPr>
        <w:t>65</w:t>
      </w:r>
      <w:r w:rsidR="00977DAB">
        <w:rPr>
          <w:lang w:val="en-GB"/>
        </w:rPr>
        <w:t xml:space="preserve">.  </w:t>
      </w:r>
      <w:r w:rsidRPr="00002A77">
        <w:rPr>
          <w:rFonts w:hint="eastAsia"/>
          <w:lang w:val="en-GB"/>
        </w:rPr>
        <w:t>我们为政府人员，包括律政人员及纪律部队负责行动职务的人员提供培训及教育，让他们掌握在香港特区为人权提供宪制保障的《基本法》，以及其他人权课题，例如人权条约的应用、平等机会及《香港人权法案条例》。</w:t>
      </w:r>
    </w:p>
    <w:p w:rsidR="00D13477" w:rsidRPr="00A31620" w:rsidRDefault="00A31620" w:rsidP="00A31620">
      <w:pPr>
        <w:pStyle w:val="H56GC"/>
      </w:pPr>
      <w:r>
        <w:rPr>
          <w:rFonts w:hint="eastAsia"/>
        </w:rPr>
        <w:tab/>
        <w:t>(</w:t>
      </w:r>
      <w:r>
        <w:rPr>
          <w:rFonts w:hint="eastAsia"/>
        </w:rPr>
        <w:t>一</w:t>
      </w:r>
      <w:r>
        <w:rPr>
          <w:rFonts w:hint="eastAsia"/>
        </w:rPr>
        <w:t>)</w:t>
      </w:r>
      <w:r>
        <w:rPr>
          <w:rFonts w:hint="eastAsia"/>
        </w:rPr>
        <w:tab/>
      </w:r>
      <w:r w:rsidR="00D13477" w:rsidRPr="00A31620">
        <w:rPr>
          <w:rFonts w:hint="eastAsia"/>
        </w:rPr>
        <w:t>一般政府人员</w:t>
      </w:r>
    </w:p>
    <w:p w:rsidR="00D13477" w:rsidRPr="00002A77" w:rsidRDefault="00D13477" w:rsidP="00D13477">
      <w:pPr>
        <w:pStyle w:val="SingleTxtGC"/>
        <w:rPr>
          <w:rFonts w:hint="eastAsia"/>
          <w:lang w:val="en-GB"/>
        </w:rPr>
      </w:pPr>
      <w:r>
        <w:rPr>
          <w:lang w:val="en-GB"/>
        </w:rPr>
        <w:t>66</w:t>
      </w:r>
      <w:r w:rsidR="00977DAB">
        <w:rPr>
          <w:lang w:val="en-GB"/>
        </w:rPr>
        <w:t xml:space="preserve">.  </w:t>
      </w:r>
      <w:r w:rsidRPr="00002A77">
        <w:rPr>
          <w:rFonts w:hint="eastAsia"/>
          <w:lang w:val="en-GB"/>
        </w:rPr>
        <w:t>公务员事务局及公务员培训处为各级政府人员举办研讨会，包括有关《基本法》、平等机会</w:t>
      </w:r>
      <w:r w:rsidRPr="00002A77">
        <w:rPr>
          <w:rFonts w:hint="eastAsia"/>
          <w:lang w:val="en-GB"/>
        </w:rPr>
        <w:t>(</w:t>
      </w:r>
      <w:r w:rsidRPr="00002A77">
        <w:rPr>
          <w:rFonts w:hint="eastAsia"/>
          <w:lang w:val="en-GB"/>
        </w:rPr>
        <w:t>联同平机会及／或非政府机构举办</w:t>
      </w:r>
      <w:r w:rsidRPr="00002A77">
        <w:rPr>
          <w:rFonts w:hint="eastAsia"/>
          <w:lang w:val="en-GB"/>
        </w:rPr>
        <w:t>)</w:t>
      </w:r>
      <w:r w:rsidRPr="00002A77">
        <w:rPr>
          <w:rFonts w:hint="eastAsia"/>
          <w:lang w:val="en-GB"/>
        </w:rPr>
        <w:t>及其他人权范畴的研讨会。</w:t>
      </w:r>
    </w:p>
    <w:p w:rsidR="00D13477" w:rsidRPr="00002A77" w:rsidRDefault="00D13477" w:rsidP="00D13477">
      <w:pPr>
        <w:pStyle w:val="SingleTxtGC"/>
        <w:rPr>
          <w:rFonts w:hint="eastAsia"/>
          <w:lang w:val="en-GB"/>
        </w:rPr>
      </w:pPr>
      <w:r>
        <w:rPr>
          <w:lang w:val="en-GB"/>
        </w:rPr>
        <w:t>67</w:t>
      </w:r>
      <w:r w:rsidR="00977DAB">
        <w:rPr>
          <w:lang w:val="en-GB"/>
        </w:rPr>
        <w:t xml:space="preserve">.  </w:t>
      </w:r>
      <w:r w:rsidRPr="00002A77">
        <w:rPr>
          <w:rFonts w:hint="eastAsia"/>
          <w:lang w:val="en-GB"/>
        </w:rPr>
        <w:t>《残疾人权利公约》、《香港人权法案条例》及反歧视条例的主要部分已纳入为政府新入职人员特设的讲座及课程内。我们亦为与公众有频密及广泛接触的部门举办专设课程，以加强公务员在其日常工作中应用《残疾人权利公约》、反歧视条例及相关实务守则方面的知识。</w:t>
      </w:r>
    </w:p>
    <w:p w:rsidR="005061FF" w:rsidRDefault="00D13477" w:rsidP="005061FF">
      <w:pPr>
        <w:pStyle w:val="SingleTxtGC"/>
        <w:rPr>
          <w:rFonts w:hint="eastAsia"/>
          <w:lang w:val="en-GB"/>
        </w:rPr>
      </w:pPr>
      <w:r>
        <w:rPr>
          <w:lang w:val="en-GB"/>
        </w:rPr>
        <w:t>68</w:t>
      </w:r>
      <w:r w:rsidR="00977DAB">
        <w:rPr>
          <w:lang w:val="en-GB"/>
        </w:rPr>
        <w:t xml:space="preserve">.  </w:t>
      </w:r>
      <w:r w:rsidRPr="00002A77">
        <w:rPr>
          <w:rFonts w:hint="eastAsia"/>
          <w:lang w:val="en-GB"/>
        </w:rPr>
        <w:t>除此之外，当局亦为不同职系及职级的政府人员提供培训，以提升他们的性别意识，以及对性别有关事宜的了解。有关培训包括研讨会及工作坊，涵盖《消除对妇女一切形式歧视公约》及其他保障妇女权益的法律文书，以及它们在香港的应用。劳工及福利局亦制作了有关性别观点主流化的网站及网上课程，供政府人员参考。</w:t>
      </w:r>
    </w:p>
    <w:p w:rsidR="00D13477" w:rsidRPr="00002A77" w:rsidRDefault="005061FF" w:rsidP="005061FF">
      <w:pPr>
        <w:pStyle w:val="H56GC"/>
        <w:rPr>
          <w:lang w:val="en-GB"/>
        </w:rPr>
      </w:pPr>
      <w:r>
        <w:rPr>
          <w:rFonts w:hint="eastAsia"/>
        </w:rPr>
        <w:tab/>
        <w:t>(</w:t>
      </w:r>
      <w:r>
        <w:rPr>
          <w:rFonts w:hint="eastAsia"/>
        </w:rPr>
        <w:t>二</w:t>
      </w:r>
      <w:r>
        <w:rPr>
          <w:rFonts w:hint="eastAsia"/>
        </w:rPr>
        <w:t>)</w:t>
      </w:r>
      <w:r>
        <w:rPr>
          <w:rFonts w:hint="eastAsia"/>
        </w:rPr>
        <w:tab/>
      </w:r>
      <w:r w:rsidR="00D13477" w:rsidRPr="00002A77">
        <w:rPr>
          <w:rFonts w:hint="eastAsia"/>
          <w:lang w:val="en-GB"/>
        </w:rPr>
        <w:t>律政人员</w:t>
      </w:r>
    </w:p>
    <w:p w:rsidR="00D13477" w:rsidRPr="00002A77" w:rsidRDefault="00D13477" w:rsidP="00D13477">
      <w:pPr>
        <w:pStyle w:val="SingleTxtGC"/>
        <w:rPr>
          <w:lang w:val="en-GB"/>
        </w:rPr>
      </w:pPr>
      <w:r>
        <w:rPr>
          <w:lang w:val="en-GB"/>
        </w:rPr>
        <w:t>69</w:t>
      </w:r>
      <w:r w:rsidR="00977DAB">
        <w:rPr>
          <w:lang w:val="en-GB"/>
        </w:rPr>
        <w:t xml:space="preserve">.  </w:t>
      </w:r>
      <w:r w:rsidRPr="00002A77">
        <w:rPr>
          <w:rFonts w:hint="eastAsia"/>
          <w:lang w:val="en-GB"/>
        </w:rPr>
        <w:t>律政司为政府律政人员举办培训班，其中部分有关国际人权法律及《基本法》下的人权保障，而其他则是根据该部门各科的需要，就某些范畴作专门探讨。例如，律政司刑事检控科为检控人员举办刑事讼辩课程，让检控人员熟习《少年犯条例》</w:t>
      </w:r>
      <w:r w:rsidRPr="00002A77">
        <w:rPr>
          <w:rFonts w:hint="eastAsia"/>
          <w:lang w:val="en-GB"/>
        </w:rPr>
        <w:t>(</w:t>
      </w:r>
      <w:r w:rsidRPr="00002A77">
        <w:rPr>
          <w:rFonts w:hint="eastAsia"/>
          <w:lang w:val="en-GB"/>
        </w:rPr>
        <w:t>第</w:t>
      </w:r>
      <w:r>
        <w:rPr>
          <w:lang w:val="en-GB"/>
        </w:rPr>
        <w:t>226</w:t>
      </w:r>
      <w:r w:rsidRPr="00002A77">
        <w:rPr>
          <w:rFonts w:hint="eastAsia"/>
          <w:lang w:val="en-GB"/>
        </w:rPr>
        <w:t>章</w:t>
      </w:r>
      <w:r w:rsidRPr="00002A77">
        <w:rPr>
          <w:rFonts w:hint="eastAsia"/>
          <w:lang w:val="en-GB"/>
        </w:rPr>
        <w:t>)</w:t>
      </w:r>
      <w:r w:rsidRPr="00002A77">
        <w:rPr>
          <w:rFonts w:hint="eastAsia"/>
          <w:lang w:val="en-GB"/>
        </w:rPr>
        <w:t>、《保护儿童及少年条例》</w:t>
      </w:r>
      <w:r w:rsidRPr="00002A77">
        <w:rPr>
          <w:rFonts w:hint="eastAsia"/>
          <w:lang w:val="en-GB"/>
        </w:rPr>
        <w:t>(</w:t>
      </w:r>
      <w:r w:rsidRPr="00002A77">
        <w:rPr>
          <w:rFonts w:hint="eastAsia"/>
          <w:lang w:val="en-GB"/>
        </w:rPr>
        <w:t>第</w:t>
      </w:r>
      <w:r>
        <w:rPr>
          <w:lang w:val="en-GB"/>
        </w:rPr>
        <w:t>213</w:t>
      </w:r>
      <w:r w:rsidRPr="00002A77">
        <w:rPr>
          <w:rFonts w:hint="eastAsia"/>
          <w:lang w:val="en-GB"/>
        </w:rPr>
        <w:t>章</w:t>
      </w:r>
      <w:r w:rsidRPr="00002A77">
        <w:rPr>
          <w:rFonts w:hint="eastAsia"/>
          <w:lang w:val="en-GB"/>
        </w:rPr>
        <w:t>)</w:t>
      </w:r>
      <w:r w:rsidRPr="00002A77">
        <w:rPr>
          <w:rFonts w:hint="eastAsia"/>
          <w:lang w:val="en-GB"/>
        </w:rPr>
        <w:t>、有关的国际标准，以及少年司法制度的有关法庭程序。此外，律政司的律师亦有参加由各大学和学术机构所举办有关人权的研讨会和会议，以及前赴海外出席人权研讨会。</w:t>
      </w:r>
    </w:p>
    <w:p w:rsidR="00D13477" w:rsidRPr="00002A77" w:rsidRDefault="005061FF" w:rsidP="005061FF">
      <w:pPr>
        <w:pStyle w:val="H56GC"/>
        <w:rPr>
          <w:lang w:val="en-GB"/>
        </w:rPr>
      </w:pPr>
      <w:r>
        <w:rPr>
          <w:rFonts w:hint="eastAsia"/>
        </w:rPr>
        <w:tab/>
        <w:t>(</w:t>
      </w:r>
      <w:r>
        <w:rPr>
          <w:rFonts w:hint="eastAsia"/>
        </w:rPr>
        <w:t>三</w:t>
      </w:r>
      <w:r>
        <w:rPr>
          <w:rFonts w:hint="eastAsia"/>
        </w:rPr>
        <w:t>)</w:t>
      </w:r>
      <w:r>
        <w:rPr>
          <w:rFonts w:hint="eastAsia"/>
        </w:rPr>
        <w:tab/>
      </w:r>
      <w:r w:rsidR="00D13477" w:rsidRPr="00002A77">
        <w:rPr>
          <w:rFonts w:hint="eastAsia"/>
          <w:lang w:val="en-GB"/>
        </w:rPr>
        <w:t>纪律部队负责行动职务的人员</w:t>
      </w:r>
    </w:p>
    <w:p w:rsidR="00D13477" w:rsidRPr="00002A77" w:rsidRDefault="00D13477" w:rsidP="00D13477">
      <w:pPr>
        <w:pStyle w:val="SingleTxtGC"/>
        <w:rPr>
          <w:lang w:val="en-GB"/>
        </w:rPr>
      </w:pPr>
      <w:r>
        <w:rPr>
          <w:lang w:val="en-GB"/>
        </w:rPr>
        <w:t>7</w:t>
      </w:r>
      <w:r w:rsidRPr="00002A77">
        <w:rPr>
          <w:lang w:val="en-GB"/>
        </w:rPr>
        <w:t>0</w:t>
      </w:r>
      <w:r w:rsidR="00977DAB">
        <w:rPr>
          <w:lang w:val="en-GB"/>
        </w:rPr>
        <w:t xml:space="preserve">.  </w:t>
      </w:r>
      <w:r w:rsidRPr="00002A77">
        <w:rPr>
          <w:rFonts w:hint="eastAsia"/>
          <w:lang w:val="en-GB"/>
        </w:rPr>
        <w:t>纪律部队人员的培训课程一律加入了有关人权的课题。入境事务处、香港海关和惩教署把有关《香港人权法案条例》的讲座及有关性别的培训纳入一般在职培训及入职训练课程内。新入职警队人员和见习督察的基础课程已包含人权和平等原则的环节，而在职警务人员的进修训练课程也有涵盖这些课题。</w:t>
      </w:r>
    </w:p>
    <w:p w:rsidR="00D13477" w:rsidRPr="00002A77" w:rsidRDefault="00D13477" w:rsidP="00D13477">
      <w:pPr>
        <w:pStyle w:val="SingleTxtGC"/>
        <w:rPr>
          <w:lang w:val="en-GB"/>
        </w:rPr>
      </w:pPr>
      <w:r>
        <w:rPr>
          <w:lang w:val="en-GB"/>
        </w:rPr>
        <w:t>71</w:t>
      </w:r>
      <w:r w:rsidR="00977DAB">
        <w:rPr>
          <w:lang w:val="en-GB"/>
        </w:rPr>
        <w:t xml:space="preserve">.  </w:t>
      </w:r>
      <w:r w:rsidRPr="00002A77">
        <w:rPr>
          <w:rFonts w:hint="eastAsia"/>
          <w:lang w:val="en-GB"/>
        </w:rPr>
        <w:t>廉政公署会向其调查人员提供训练并发出指令﹐确保他们遵守有关</w:t>
      </w:r>
      <w:r w:rsidRPr="00002A77">
        <w:rPr>
          <w:rFonts w:hint="eastAsia"/>
        </w:rPr>
        <w:t>对待受害人、证人及嫌疑人</w:t>
      </w:r>
      <w:r w:rsidRPr="00002A77">
        <w:rPr>
          <w:rFonts w:hint="eastAsia"/>
          <w:lang w:val="en-GB"/>
        </w:rPr>
        <w:t>的法定要求。</w:t>
      </w:r>
      <w:r w:rsidRPr="00002A77">
        <w:rPr>
          <w:rFonts w:hint="eastAsia"/>
        </w:rPr>
        <w:t>廉政公署调查人员均有接受训练，会按照《基本法》和《香港人权法案条例》的规定对待所有嫌疑人和证人</w:t>
      </w:r>
      <w:r w:rsidRPr="00002A77">
        <w:rPr>
          <w:rFonts w:hint="eastAsia"/>
          <w:lang w:val="en-GB"/>
        </w:rPr>
        <w:t>。廉政公署亦向其调查人员</w:t>
      </w:r>
      <w:r w:rsidRPr="00002A77">
        <w:rPr>
          <w:rFonts w:hint="eastAsia"/>
        </w:rPr>
        <w:t>提供专业培训，确保疑犯是自愿承认、供认和没有遭欺压、暴力或恐吓对待。培训尤其着重《香港人权法案》第</w:t>
      </w:r>
      <w:r>
        <w:t>3</w:t>
      </w:r>
      <w:r w:rsidRPr="00002A77">
        <w:rPr>
          <w:rFonts w:hint="eastAsia"/>
        </w:rPr>
        <w:t>条</w:t>
      </w:r>
      <w:r w:rsidRPr="00002A77">
        <w:rPr>
          <w:rFonts w:hint="eastAsia"/>
        </w:rPr>
        <w:t>(</w:t>
      </w:r>
      <w:r w:rsidRPr="00002A77">
        <w:rPr>
          <w:rFonts w:hint="eastAsia"/>
        </w:rPr>
        <w:t>不得施以酷刑或不人道处遇</w:t>
      </w:r>
      <w:r w:rsidRPr="00002A77">
        <w:t>)</w:t>
      </w:r>
      <w:r w:rsidRPr="00002A77">
        <w:rPr>
          <w:rFonts w:hint="eastAsia"/>
        </w:rPr>
        <w:t>及第</w:t>
      </w:r>
      <w:r>
        <w:t>6</w:t>
      </w:r>
      <w:r w:rsidRPr="00002A77">
        <w:rPr>
          <w:rFonts w:hint="eastAsia"/>
        </w:rPr>
        <w:t>条</w:t>
      </w:r>
      <w:r w:rsidRPr="00002A77">
        <w:t>(</w:t>
      </w:r>
      <w:r w:rsidRPr="00002A77">
        <w:rPr>
          <w:rFonts w:hint="eastAsia"/>
        </w:rPr>
        <w:t>被剥夺自由的人的权利</w:t>
      </w:r>
      <w:r w:rsidRPr="00002A77">
        <w:t>)</w:t>
      </w:r>
      <w:r w:rsidRPr="00002A77">
        <w:rPr>
          <w:rFonts w:hint="eastAsia"/>
        </w:rPr>
        <w:t>。廉政公署亦受香港法例第</w:t>
      </w:r>
      <w:r>
        <w:t>2</w:t>
      </w:r>
      <w:r w:rsidRPr="00002A77">
        <w:t>0</w:t>
      </w:r>
      <w:r>
        <w:t>4A</w:t>
      </w:r>
      <w:r w:rsidRPr="00002A77">
        <w:rPr>
          <w:rFonts w:hint="eastAsia"/>
        </w:rPr>
        <w:t>章《廉政公署</w:t>
      </w:r>
      <w:r w:rsidRPr="00002A77">
        <w:rPr>
          <w:rFonts w:hint="eastAsia"/>
        </w:rPr>
        <w:t>(</w:t>
      </w:r>
      <w:r w:rsidRPr="00002A77">
        <w:rPr>
          <w:rFonts w:hint="eastAsia"/>
        </w:rPr>
        <w:t>被扣留者的处理</w:t>
      </w:r>
      <w:r w:rsidRPr="00002A77">
        <w:rPr>
          <w:rFonts w:hint="eastAsia"/>
        </w:rPr>
        <w:t>)</w:t>
      </w:r>
      <w:r w:rsidRPr="00002A77">
        <w:rPr>
          <w:rFonts w:hint="eastAsia"/>
        </w:rPr>
        <w:t>令》所约束。根据该法令，廉政公署有法定责任保障所有被该署逮捕及扣留</w:t>
      </w:r>
      <w:r w:rsidRPr="00002A77">
        <w:rPr>
          <w:rFonts w:hint="eastAsia"/>
          <w:lang w:val="en-GB"/>
        </w:rPr>
        <w:t>的人士的权利、待遇和福利。此外，廉政公署亦制订了《廉政公署常规》</w:t>
      </w:r>
      <w:r w:rsidRPr="00002A77">
        <w:rPr>
          <w:rFonts w:hint="eastAsia"/>
        </w:rPr>
        <w:t>，</w:t>
      </w:r>
      <w:r w:rsidRPr="00002A77">
        <w:rPr>
          <w:rFonts w:hint="eastAsia"/>
          <w:lang w:val="en-GB"/>
        </w:rPr>
        <w:t>严格规定该署调查人员应如何对待证人、受害人及嫌疑人。</w:t>
      </w:r>
    </w:p>
    <w:p w:rsidR="00D13477" w:rsidRPr="00002A77" w:rsidRDefault="005061FF" w:rsidP="005061FF">
      <w:pPr>
        <w:pStyle w:val="H4GC"/>
        <w:rPr>
          <w:lang w:val="en-GB"/>
        </w:rPr>
      </w:pPr>
      <w:r>
        <w:rPr>
          <w:rFonts w:hint="eastAsia"/>
          <w:lang w:val="en-GB"/>
        </w:rPr>
        <w:tab/>
      </w:r>
      <w:r w:rsidRPr="005061FF">
        <w:rPr>
          <w:lang w:val="en-GB"/>
        </w:rPr>
        <w:t>(c)</w:t>
      </w:r>
      <w:r>
        <w:rPr>
          <w:rFonts w:hint="eastAsia"/>
          <w:lang w:val="en-GB"/>
        </w:rPr>
        <w:tab/>
      </w:r>
      <w:r w:rsidR="00D13477" w:rsidRPr="00002A77">
        <w:rPr>
          <w:rFonts w:hint="eastAsia"/>
          <w:lang w:val="en-GB"/>
        </w:rPr>
        <w:t>为法官、司法人员及司法机构支援人员提供人权方面的培训</w:t>
      </w:r>
    </w:p>
    <w:p w:rsidR="00D13477" w:rsidRPr="00002A77" w:rsidRDefault="00D13477" w:rsidP="00D13477">
      <w:pPr>
        <w:pStyle w:val="SingleTxtGC"/>
        <w:rPr>
          <w:lang w:val="en-GB"/>
        </w:rPr>
      </w:pPr>
      <w:r>
        <w:rPr>
          <w:lang w:val="en-GB"/>
        </w:rPr>
        <w:t>72</w:t>
      </w:r>
      <w:r w:rsidR="00977DAB">
        <w:rPr>
          <w:lang w:val="en-GB"/>
        </w:rPr>
        <w:t xml:space="preserve">.  </w:t>
      </w:r>
      <w:r w:rsidRPr="00002A77">
        <w:rPr>
          <w:rFonts w:hint="eastAsia"/>
          <w:lang w:val="en-GB"/>
        </w:rPr>
        <w:t>香港的司法机构按国际普通法体系运作，并参照其他适用普通法地区在各法律范畴上</w:t>
      </w:r>
      <w:r w:rsidRPr="00002A77">
        <w:rPr>
          <w:rFonts w:hint="eastAsia"/>
          <w:lang w:val="en-GB"/>
        </w:rPr>
        <w:t>(</w:t>
      </w:r>
      <w:r w:rsidRPr="00002A77">
        <w:rPr>
          <w:rFonts w:hint="eastAsia"/>
          <w:lang w:val="en-GB"/>
        </w:rPr>
        <w:t>包括人权法</w:t>
      </w:r>
      <w:r w:rsidRPr="00002A77">
        <w:rPr>
          <w:rFonts w:hint="eastAsia"/>
          <w:lang w:val="en-GB"/>
        </w:rPr>
        <w:t>)</w:t>
      </w:r>
      <w:r w:rsidRPr="00002A77">
        <w:rPr>
          <w:rFonts w:hint="eastAsia"/>
          <w:lang w:val="en-GB"/>
        </w:rPr>
        <w:t>的发展。司法人员培训委员会为法官和司法人员提供持续的进修和培训课程。人权法例便是其中一个受到重视的范畴。他们也参加多个本地和海外的人权研讨会。司法机构亦有定期为其支援人员安排有关反歧视法例的讲座及</w:t>
      </w:r>
      <w:r w:rsidRPr="00002A77">
        <w:rPr>
          <w:rFonts w:hint="eastAsia"/>
        </w:rPr>
        <w:t>《个人资料</w:t>
      </w:r>
      <w:r w:rsidRPr="00002A77">
        <w:rPr>
          <w:rFonts w:hint="eastAsia"/>
        </w:rPr>
        <w:t>(</w:t>
      </w:r>
      <w:r w:rsidRPr="00002A77">
        <w:rPr>
          <w:rFonts w:hint="eastAsia"/>
        </w:rPr>
        <w:t>私隐</w:t>
      </w:r>
      <w:r w:rsidRPr="00002A77">
        <w:rPr>
          <w:rFonts w:hint="eastAsia"/>
        </w:rPr>
        <w:t>)</w:t>
      </w:r>
      <w:r w:rsidRPr="00002A77">
        <w:rPr>
          <w:rFonts w:hint="eastAsia"/>
        </w:rPr>
        <w:t>条例》的</w:t>
      </w:r>
      <w:r w:rsidRPr="00002A77">
        <w:rPr>
          <w:rFonts w:hint="eastAsia"/>
          <w:lang w:val="en-GB"/>
        </w:rPr>
        <w:t>研讨会，以加强他们对有关法例的了解及认识，提高他们对人权、平等机会及保障</w:t>
      </w:r>
      <w:r w:rsidRPr="00002A77">
        <w:rPr>
          <w:rFonts w:hint="eastAsia"/>
        </w:rPr>
        <w:t>私隐的意识</w:t>
      </w:r>
      <w:r w:rsidRPr="00002A77">
        <w:rPr>
          <w:rFonts w:hint="eastAsia"/>
          <w:lang w:val="en-GB"/>
        </w:rPr>
        <w:t>。有关人员亦有参加公务员培训处所举办有关《基本法》的研讨会。</w:t>
      </w:r>
    </w:p>
    <w:p w:rsidR="00D13477" w:rsidRPr="00002A77" w:rsidRDefault="005061FF" w:rsidP="005061FF">
      <w:pPr>
        <w:pStyle w:val="H4GC"/>
        <w:rPr>
          <w:lang w:val="en-GB"/>
        </w:rPr>
      </w:pPr>
      <w:r>
        <w:rPr>
          <w:rFonts w:hint="eastAsia"/>
          <w:lang w:val="en-GB"/>
        </w:rPr>
        <w:tab/>
      </w:r>
      <w:r w:rsidRPr="005061FF">
        <w:rPr>
          <w:lang w:val="en-GB"/>
        </w:rPr>
        <w:t>(d)</w:t>
      </w:r>
      <w:r>
        <w:rPr>
          <w:rFonts w:hint="eastAsia"/>
          <w:lang w:val="en-GB"/>
        </w:rPr>
        <w:tab/>
      </w:r>
      <w:r w:rsidR="00D13477" w:rsidRPr="00002A77">
        <w:rPr>
          <w:rFonts w:hint="eastAsia"/>
          <w:lang w:val="en-GB"/>
        </w:rPr>
        <w:t>在整体社会促进人权</w:t>
      </w:r>
    </w:p>
    <w:p w:rsidR="00D13477" w:rsidRPr="00002A77" w:rsidRDefault="00D13477" w:rsidP="00D13477">
      <w:pPr>
        <w:pStyle w:val="SingleTxtGC"/>
        <w:rPr>
          <w:lang w:val="en-GB"/>
        </w:rPr>
      </w:pPr>
      <w:r>
        <w:t>73</w:t>
      </w:r>
      <w:r w:rsidR="00977DAB">
        <w:rPr>
          <w:lang w:val="en-GB"/>
        </w:rPr>
        <w:t xml:space="preserve">.  </w:t>
      </w:r>
      <w:r w:rsidRPr="00002A77">
        <w:rPr>
          <w:rFonts w:hint="eastAsia"/>
          <w:lang w:val="en-GB"/>
        </w:rPr>
        <w:t>公民教育委员会是民政事务局辖下的咨询组织，负责在学校以外推广公民教育及提高公民意识。人权教育是公民教育不可或缺的一部分，因此公民教育委员会在推广公民教育时，继续推广公众对人权的了解及尊重。另外，在</w:t>
      </w:r>
      <w:r>
        <w:rPr>
          <w:lang w:val="en-GB"/>
        </w:rPr>
        <w:t>1998</w:t>
      </w:r>
      <w:r w:rsidRPr="00002A77">
        <w:rPr>
          <w:rFonts w:hint="eastAsia"/>
          <w:lang w:val="en-GB"/>
        </w:rPr>
        <w:t>年</w:t>
      </w:r>
      <w:r>
        <w:rPr>
          <w:lang w:val="en-GB"/>
        </w:rPr>
        <w:t>1</w:t>
      </w:r>
      <w:r w:rsidRPr="00002A77">
        <w:rPr>
          <w:rFonts w:hint="eastAsia"/>
          <w:lang w:val="en-GB"/>
        </w:rPr>
        <w:t>月成立、由政务司司长担任主席的基本法推广督导委员会就《基本法》的推广策略提供指引。</w:t>
      </w:r>
    </w:p>
    <w:p w:rsidR="00D13477" w:rsidRPr="00002A77" w:rsidRDefault="00D13477" w:rsidP="00D13477">
      <w:pPr>
        <w:pStyle w:val="SingleTxtGC"/>
        <w:rPr>
          <w:rFonts w:hint="eastAsia"/>
          <w:lang w:val="en-GB"/>
        </w:rPr>
      </w:pPr>
      <w:r>
        <w:rPr>
          <w:lang w:val="en-GB"/>
        </w:rPr>
        <w:t>74</w:t>
      </w:r>
      <w:r w:rsidR="00977DAB">
        <w:rPr>
          <w:lang w:val="en-GB"/>
        </w:rPr>
        <w:t xml:space="preserve">.  </w:t>
      </w:r>
      <w:r w:rsidRPr="00002A77">
        <w:rPr>
          <w:rFonts w:hint="eastAsia"/>
          <w:lang w:val="en-GB"/>
        </w:rPr>
        <w:t>平机会为负责推行反歧视条例的独立法定机构，其重要职能亦包括促进在性别、残疾、家庭岗位及种族范畴的平等机会。有关平机会的工作，请参阅下文</w:t>
      </w:r>
      <w:r>
        <w:rPr>
          <w:rFonts w:hint="eastAsia"/>
          <w:lang w:val="en-GB"/>
        </w:rPr>
        <w:t>“</w:t>
      </w:r>
      <w:r w:rsidRPr="00002A77">
        <w:rPr>
          <w:rFonts w:hint="eastAsia"/>
          <w:lang w:val="en-GB"/>
        </w:rPr>
        <w:t>有关反歧视及促进平等的资料</w:t>
      </w:r>
      <w:r>
        <w:rPr>
          <w:rFonts w:hint="eastAsia"/>
          <w:lang w:val="en-GB"/>
        </w:rPr>
        <w:t>”</w:t>
      </w:r>
      <w:r w:rsidRPr="00002A77">
        <w:rPr>
          <w:rFonts w:hint="eastAsia"/>
          <w:lang w:val="en-GB"/>
        </w:rPr>
        <w:t>。</w:t>
      </w:r>
    </w:p>
    <w:p w:rsidR="00D13477" w:rsidRPr="00002A77" w:rsidRDefault="00D13477" w:rsidP="00D13477">
      <w:pPr>
        <w:pStyle w:val="SingleTxtGC"/>
      </w:pPr>
      <w:r>
        <w:rPr>
          <w:lang w:val="en-GB"/>
        </w:rPr>
        <w:t>75</w:t>
      </w:r>
      <w:r w:rsidR="00977DAB">
        <w:rPr>
          <w:lang w:val="en-GB"/>
        </w:rPr>
        <w:t xml:space="preserve">.  </w:t>
      </w:r>
      <w:r w:rsidRPr="00002A77">
        <w:rPr>
          <w:rFonts w:hint="eastAsia"/>
          <w:lang w:val="en-GB"/>
        </w:rPr>
        <w:t>香港特区政府亦有采取其他措施，促进适用于香港特区的国际人权公约下的权利。这些措施包括透过资助计划及其他措施，为非政府机构提供资助并与其合作，以提高市民的人权意识和进行公众教育。</w:t>
      </w:r>
    </w:p>
    <w:p w:rsidR="00D13477" w:rsidRPr="00002A77" w:rsidRDefault="005061FF" w:rsidP="005061FF">
      <w:pPr>
        <w:pStyle w:val="H4GC"/>
        <w:rPr>
          <w:lang w:val="en-GB"/>
        </w:rPr>
      </w:pPr>
      <w:r>
        <w:rPr>
          <w:rFonts w:hint="eastAsia"/>
          <w:lang w:val="en-GB"/>
        </w:rPr>
        <w:tab/>
      </w:r>
      <w:r w:rsidRPr="005061FF">
        <w:rPr>
          <w:lang w:val="en-GB"/>
        </w:rPr>
        <w:t>(e)</w:t>
      </w:r>
      <w:r>
        <w:rPr>
          <w:rFonts w:hint="eastAsia"/>
          <w:lang w:val="en-GB"/>
        </w:rPr>
        <w:tab/>
      </w:r>
      <w:r w:rsidR="00D13477" w:rsidRPr="00002A77">
        <w:rPr>
          <w:rFonts w:hint="eastAsia"/>
          <w:lang w:val="en-GB"/>
        </w:rPr>
        <w:t>在学校推广人权</w:t>
      </w:r>
    </w:p>
    <w:p w:rsidR="00D13477" w:rsidRPr="00002A77" w:rsidRDefault="00D13477" w:rsidP="00D13477">
      <w:pPr>
        <w:pStyle w:val="SingleTxtGC"/>
        <w:rPr>
          <w:lang w:val="en-GB"/>
        </w:rPr>
      </w:pPr>
      <w:r>
        <w:rPr>
          <w:lang w:val="en-GB"/>
        </w:rPr>
        <w:t>76</w:t>
      </w:r>
      <w:r w:rsidR="00977DAB">
        <w:rPr>
          <w:lang w:val="en-GB"/>
        </w:rPr>
        <w:t xml:space="preserve">.  </w:t>
      </w:r>
      <w:r w:rsidRPr="00002A77">
        <w:rPr>
          <w:rFonts w:hint="eastAsia"/>
          <w:lang w:val="en-GB"/>
        </w:rPr>
        <w:t>学校教育是推广儿童权利及人权的重要一环。人权教育是学校课程中不可或缺的部分，在不同的学习阶段会处理与之有关的各个课题。在</w:t>
      </w:r>
      <w:r>
        <w:rPr>
          <w:lang w:val="en-GB"/>
        </w:rPr>
        <w:t>2</w:t>
      </w:r>
      <w:r w:rsidRPr="00002A77">
        <w:rPr>
          <w:lang w:val="en-GB"/>
        </w:rPr>
        <w:t>00</w:t>
      </w:r>
      <w:r>
        <w:rPr>
          <w:lang w:val="en-GB"/>
        </w:rPr>
        <w:t>9</w:t>
      </w:r>
      <w:r w:rsidRPr="00002A77">
        <w:rPr>
          <w:lang w:val="en-GB"/>
        </w:rPr>
        <w:t>-</w:t>
      </w:r>
      <w:r>
        <w:rPr>
          <w:lang w:val="en-GB"/>
        </w:rPr>
        <w:t>1</w:t>
      </w:r>
      <w:r w:rsidRPr="00002A77">
        <w:rPr>
          <w:lang w:val="en-GB"/>
        </w:rPr>
        <w:t>0</w:t>
      </w:r>
      <w:r w:rsidRPr="00002A77">
        <w:rPr>
          <w:rFonts w:hint="eastAsia"/>
          <w:lang w:val="en-GB"/>
        </w:rPr>
        <w:t>学年推行的新高中课程的核心科目通识教育科中，已加强这些课程范畴。在现行的学校课程中，学生有充分机会建立有关人权的概念及价值观。透过中、小学多个科目的学与教，学生可以讨论人权方面的重要概念及价值观，包括生存权利、自由</w:t>
      </w:r>
      <w:r w:rsidRPr="00002A77">
        <w:rPr>
          <w:rFonts w:hint="eastAsia"/>
          <w:lang w:val="en-GB"/>
        </w:rPr>
        <w:t>(</w:t>
      </w:r>
      <w:r w:rsidRPr="00002A77">
        <w:rPr>
          <w:rFonts w:hint="eastAsia"/>
          <w:lang w:val="en-GB"/>
        </w:rPr>
        <w:t>例如言论及宗教</w:t>
      </w:r>
      <w:r w:rsidRPr="00002A77">
        <w:rPr>
          <w:rFonts w:hint="eastAsia"/>
          <w:lang w:val="en-GB"/>
        </w:rPr>
        <w:t>)</w:t>
      </w:r>
      <w:r w:rsidRPr="00002A77">
        <w:rPr>
          <w:rFonts w:hint="eastAsia"/>
          <w:lang w:val="en-GB"/>
        </w:rPr>
        <w:t>、私隐、尊重所有人</w:t>
      </w:r>
      <w:r w:rsidRPr="00002A77">
        <w:rPr>
          <w:rFonts w:hint="eastAsia"/>
          <w:lang w:val="en-GB"/>
        </w:rPr>
        <w:t>(</w:t>
      </w:r>
      <w:r w:rsidRPr="00002A77">
        <w:rPr>
          <w:rFonts w:hint="eastAsia"/>
          <w:lang w:val="en-GB"/>
        </w:rPr>
        <w:t>例如不同国籍人士、其文化及生活方式</w:t>
      </w:r>
      <w:r w:rsidRPr="00002A77">
        <w:rPr>
          <w:rFonts w:hint="eastAsia"/>
          <w:lang w:val="en-GB"/>
        </w:rPr>
        <w:t>)</w:t>
      </w:r>
      <w:r w:rsidRPr="00002A77">
        <w:rPr>
          <w:rFonts w:hint="eastAsia"/>
          <w:lang w:val="en-GB"/>
        </w:rPr>
        <w:t>、平等</w:t>
      </w:r>
      <w:r w:rsidRPr="00002A77">
        <w:rPr>
          <w:rFonts w:hint="eastAsia"/>
          <w:lang w:val="en-GB"/>
        </w:rPr>
        <w:t>(</w:t>
      </w:r>
      <w:r w:rsidRPr="00002A77">
        <w:rPr>
          <w:rFonts w:hint="eastAsia"/>
          <w:lang w:val="en-GB"/>
        </w:rPr>
        <w:t>例如两性平等</w:t>
      </w:r>
      <w:r w:rsidRPr="00002A77">
        <w:rPr>
          <w:rFonts w:hint="eastAsia"/>
          <w:lang w:val="en-GB"/>
        </w:rPr>
        <w:t>)</w:t>
      </w:r>
      <w:r w:rsidRPr="00002A77">
        <w:rPr>
          <w:rFonts w:hint="eastAsia"/>
          <w:lang w:val="en-GB"/>
        </w:rPr>
        <w:t>、反歧视及性别意识</w:t>
      </w:r>
      <w:r w:rsidRPr="00002A77">
        <w:rPr>
          <w:rFonts w:hint="eastAsia"/>
          <w:lang w:val="en-GB"/>
        </w:rPr>
        <w:t>(</w:t>
      </w:r>
      <w:r w:rsidRPr="00002A77">
        <w:rPr>
          <w:rFonts w:hint="eastAsia"/>
          <w:lang w:val="en-GB"/>
        </w:rPr>
        <w:t>例如种族及性别事宜</w:t>
      </w:r>
      <w:r w:rsidRPr="00002A77">
        <w:rPr>
          <w:rFonts w:hint="eastAsia"/>
          <w:lang w:val="en-GB"/>
        </w:rPr>
        <w:t>)</w:t>
      </w:r>
      <w:r w:rsidRPr="00002A77">
        <w:rPr>
          <w:rFonts w:hint="eastAsia"/>
          <w:lang w:val="en-GB"/>
        </w:rPr>
        <w:t>等。学生对人权的概念和理解，由对权利与义务的基本认识开始，逐步加深至较复杂的人权概念。</w:t>
      </w:r>
    </w:p>
    <w:p w:rsidR="00D13477" w:rsidRPr="00002A77" w:rsidRDefault="00D13477" w:rsidP="00D13477">
      <w:pPr>
        <w:pStyle w:val="SingleTxtGC"/>
        <w:rPr>
          <w:lang w:val="en-GB"/>
        </w:rPr>
      </w:pPr>
      <w:r>
        <w:rPr>
          <w:lang w:val="en-GB"/>
        </w:rPr>
        <w:t>77</w:t>
      </w:r>
      <w:r w:rsidR="00977DAB">
        <w:rPr>
          <w:lang w:val="en-GB"/>
        </w:rPr>
        <w:t xml:space="preserve">.  </w:t>
      </w:r>
      <w:r w:rsidRPr="00002A77">
        <w:rPr>
          <w:rFonts w:hint="eastAsia"/>
          <w:lang w:val="en-GB"/>
        </w:rPr>
        <w:t>学生亦可透过各种校本学习活动，例如班主任课、周会、讲座，以及论坛、辩论、服务及探访等其他学习经历，认识人权的概念及价值观。</w:t>
      </w:r>
    </w:p>
    <w:p w:rsidR="00D13477" w:rsidRPr="00002A77" w:rsidRDefault="00D13477" w:rsidP="00D13477">
      <w:pPr>
        <w:pStyle w:val="SingleTxtGC"/>
        <w:rPr>
          <w:rFonts w:hint="eastAsia"/>
          <w:lang w:val="en-GB"/>
        </w:rPr>
      </w:pPr>
      <w:r>
        <w:rPr>
          <w:lang w:val="en-GB"/>
        </w:rPr>
        <w:t>78</w:t>
      </w:r>
      <w:r w:rsidR="00977DAB">
        <w:rPr>
          <w:lang w:val="en-GB"/>
        </w:rPr>
        <w:t xml:space="preserve">.  </w:t>
      </w:r>
      <w:r w:rsidRPr="00002A77">
        <w:rPr>
          <w:rFonts w:hint="eastAsia"/>
          <w:lang w:val="en-GB"/>
        </w:rPr>
        <w:t>公民教育、人权教育及反歧视教育是课程的重要部分，并纳入不同学习阶段内众多的科目中，例如小学的常识科，中学的个人、社会及人文教育学习领域内的科目，新高中课程的核心科目通识教育科，以及由课程发展议会辖下的德育及国民教育专责委员会建议发展并预计在中、小学推行的德育及国民教育科。教育局亦在现有课程的基础上，进一步加深学生对《基本法》的了解，为初中和高小编制《基本法》学习教材套，同时还建立了《基本法》试题库，加深学生对人权和法治的认识。为支援学校推广与这些课程范畴相关的概念及价值观，当局举办专业发展课程及提供资源，以增强教师在推行这些课程方面的专业能力。此外，当局亦为学生提供相关的学习活动，以深化他们对公民教育、人权教育及反歧视教育有关的概念及价值观的理解。</w:t>
      </w:r>
    </w:p>
    <w:p w:rsidR="00D13477" w:rsidRPr="00002A77" w:rsidRDefault="005061FF" w:rsidP="005061FF">
      <w:pPr>
        <w:pStyle w:val="H4GC"/>
        <w:rPr>
          <w:lang w:val="en-GB"/>
        </w:rPr>
      </w:pPr>
      <w:r>
        <w:rPr>
          <w:rFonts w:hint="eastAsia"/>
          <w:lang w:val="en-GB"/>
        </w:rPr>
        <w:tab/>
      </w:r>
      <w:r w:rsidRPr="005061FF">
        <w:rPr>
          <w:lang w:val="en-GB"/>
        </w:rPr>
        <w:t>(f)</w:t>
      </w:r>
      <w:r>
        <w:rPr>
          <w:rFonts w:hint="eastAsia"/>
          <w:lang w:val="en-GB"/>
        </w:rPr>
        <w:tab/>
      </w:r>
      <w:r w:rsidR="00D13477" w:rsidRPr="00002A77">
        <w:rPr>
          <w:rFonts w:hint="eastAsia"/>
          <w:lang w:val="en-GB"/>
        </w:rPr>
        <w:t>非政府机构参与推广人权工作</w:t>
      </w:r>
    </w:p>
    <w:p w:rsidR="00D13477" w:rsidRPr="00002A77" w:rsidRDefault="00D13477" w:rsidP="00D13477">
      <w:pPr>
        <w:pStyle w:val="SingleTxtGC"/>
        <w:rPr>
          <w:rFonts w:hint="eastAsia"/>
          <w:lang w:val="en-GB"/>
        </w:rPr>
      </w:pPr>
      <w:r>
        <w:rPr>
          <w:lang w:val="en-GB"/>
        </w:rPr>
        <w:t>79</w:t>
      </w:r>
      <w:r w:rsidR="00977DAB">
        <w:rPr>
          <w:lang w:val="en-GB"/>
        </w:rPr>
        <w:t xml:space="preserve">.  </w:t>
      </w:r>
      <w:r w:rsidRPr="00002A77">
        <w:rPr>
          <w:rFonts w:hint="eastAsia"/>
          <w:lang w:val="en-GB"/>
        </w:rPr>
        <w:t>在香港，有多间机构致力于推广人权的工作，有些专注于个别人权范畴，例如少数族裔人士、儿童、残疾人士或妇女的权利等，其他则有较广泛的关注范围，包括各条人权条约所涉及的所有或大部分事宜。</w:t>
      </w:r>
    </w:p>
    <w:p w:rsidR="00D13477" w:rsidRPr="00002A77" w:rsidRDefault="00D13477" w:rsidP="00D13477">
      <w:pPr>
        <w:pStyle w:val="SingleTxtGC"/>
        <w:rPr>
          <w:rFonts w:hint="eastAsia"/>
          <w:lang w:val="en-GB"/>
        </w:rPr>
      </w:pPr>
      <w:r>
        <w:rPr>
          <w:lang w:val="en-GB"/>
        </w:rPr>
        <w:t>8</w:t>
      </w:r>
      <w:r w:rsidRPr="00002A77">
        <w:rPr>
          <w:lang w:val="en-GB"/>
        </w:rPr>
        <w:t>0</w:t>
      </w:r>
      <w:r w:rsidR="00977DAB">
        <w:rPr>
          <w:lang w:val="en-GB"/>
        </w:rPr>
        <w:t xml:space="preserve">.  </w:t>
      </w:r>
      <w:r w:rsidRPr="00002A77">
        <w:rPr>
          <w:rFonts w:hint="eastAsia"/>
          <w:lang w:val="en-GB"/>
        </w:rPr>
        <w:t>香港特区政府不断加强非政府机构在有关促进人权的事宜上的参与，并在这方面加强与它们合作。这包括在根据联合国人权公约拟备香港特区的报告和研究如何跟进审议结论时，就有关人权的政策及其他事宜征询它们的意见，以及合作推行公众推广工作和提供支援服务。</w:t>
      </w:r>
    </w:p>
    <w:p w:rsidR="00D13477" w:rsidRPr="00002A77" w:rsidRDefault="00D13477" w:rsidP="00D13477">
      <w:pPr>
        <w:pStyle w:val="SingleTxtGC"/>
        <w:rPr>
          <w:rFonts w:hint="eastAsia"/>
          <w:lang w:val="en-GB"/>
        </w:rPr>
      </w:pPr>
      <w:r>
        <w:rPr>
          <w:lang w:val="en-GB"/>
        </w:rPr>
        <w:t>81</w:t>
      </w:r>
      <w:r w:rsidR="00977DAB">
        <w:rPr>
          <w:lang w:val="en-GB"/>
        </w:rPr>
        <w:t xml:space="preserve">.  </w:t>
      </w:r>
      <w:r w:rsidRPr="00002A77">
        <w:rPr>
          <w:rFonts w:hint="eastAsia"/>
          <w:lang w:val="en-GB"/>
        </w:rPr>
        <w:t>为加强与非政府机构的联系，政府设立了多个论坛，作为与非政府机构就各项人权事宜交换意见的平台。这些论坛包括︰</w:t>
      </w:r>
    </w:p>
    <w:p w:rsidR="00D13477" w:rsidRPr="00002A77" w:rsidRDefault="005061FF" w:rsidP="005061FF">
      <w:pPr>
        <w:pStyle w:val="H56GC"/>
        <w:rPr>
          <w:lang w:val="en-GB"/>
        </w:rPr>
      </w:pPr>
      <w:r>
        <w:rPr>
          <w:rFonts w:hint="eastAsia"/>
        </w:rPr>
        <w:tab/>
        <w:t>(</w:t>
      </w:r>
      <w:r>
        <w:rPr>
          <w:rFonts w:hint="eastAsia"/>
        </w:rPr>
        <w:t>一</w:t>
      </w:r>
      <w:r>
        <w:rPr>
          <w:rFonts w:hint="eastAsia"/>
        </w:rPr>
        <w:t>)</w:t>
      </w:r>
      <w:r>
        <w:rPr>
          <w:rFonts w:hint="eastAsia"/>
        </w:rPr>
        <w:tab/>
      </w:r>
      <w:r w:rsidR="00D13477" w:rsidRPr="00002A77">
        <w:rPr>
          <w:rFonts w:hint="eastAsia"/>
          <w:lang w:val="en-GB"/>
        </w:rPr>
        <w:t>人权论坛</w:t>
      </w:r>
    </w:p>
    <w:p w:rsidR="00D13477" w:rsidRPr="00002A77" w:rsidRDefault="00D13477" w:rsidP="00D13477">
      <w:pPr>
        <w:pStyle w:val="SingleTxtGC"/>
        <w:rPr>
          <w:lang w:val="en-GB"/>
        </w:rPr>
      </w:pPr>
      <w:r>
        <w:rPr>
          <w:lang w:val="en-GB"/>
        </w:rPr>
        <w:t>82</w:t>
      </w:r>
      <w:r w:rsidR="00977DAB">
        <w:rPr>
          <w:lang w:val="en-GB"/>
        </w:rPr>
        <w:t xml:space="preserve">.  </w:t>
      </w:r>
      <w:r w:rsidRPr="00002A77">
        <w:rPr>
          <w:rFonts w:hint="eastAsia"/>
          <w:lang w:val="en-GB"/>
        </w:rPr>
        <w:t>人权论坛的第一次会议在</w:t>
      </w:r>
      <w:r>
        <w:rPr>
          <w:lang w:val="en-GB"/>
        </w:rPr>
        <w:t>2</w:t>
      </w:r>
      <w:r w:rsidRPr="00002A77">
        <w:rPr>
          <w:lang w:val="en-GB"/>
        </w:rPr>
        <w:t>00</w:t>
      </w:r>
      <w:r>
        <w:rPr>
          <w:lang w:val="en-GB"/>
        </w:rPr>
        <w:t>3</w:t>
      </w:r>
      <w:r w:rsidRPr="00002A77">
        <w:rPr>
          <w:rFonts w:hint="eastAsia"/>
          <w:lang w:val="en-GB"/>
        </w:rPr>
        <w:t>年</w:t>
      </w:r>
      <w:r>
        <w:rPr>
          <w:lang w:val="en-GB"/>
        </w:rPr>
        <w:t>1</w:t>
      </w:r>
      <w:r w:rsidRPr="00002A77">
        <w:rPr>
          <w:lang w:val="en-GB"/>
        </w:rPr>
        <w:t>0</w:t>
      </w:r>
      <w:r w:rsidRPr="00002A77">
        <w:rPr>
          <w:rFonts w:hint="eastAsia"/>
          <w:lang w:val="en-GB"/>
        </w:rPr>
        <w:t>月举行。论坛提供沟通平台，让非政府机构与政府定期举行会议，商讨各项人权问题，包括各条人权条约的实施情况，以及</w:t>
      </w:r>
      <w:r w:rsidRPr="00002A77">
        <w:rPr>
          <w:rFonts w:hint="eastAsia"/>
          <w:bCs/>
          <w:lang w:val="en-GB"/>
        </w:rPr>
        <w:t>少数族裔人士及人权教育等其他备受关注的问题。</w:t>
      </w:r>
    </w:p>
    <w:p w:rsidR="00D13477" w:rsidRPr="00002A77" w:rsidRDefault="005061FF" w:rsidP="005061FF">
      <w:pPr>
        <w:pStyle w:val="H56GC"/>
        <w:rPr>
          <w:lang w:val="en-GB"/>
        </w:rPr>
      </w:pPr>
      <w:r>
        <w:rPr>
          <w:lang w:val="en-GB"/>
        </w:rPr>
        <w:br w:type="page"/>
      </w:r>
      <w:r>
        <w:rPr>
          <w:rFonts w:hint="eastAsia"/>
        </w:rPr>
        <w:tab/>
        <w:t>(</w:t>
      </w:r>
      <w:r>
        <w:rPr>
          <w:rFonts w:hint="eastAsia"/>
        </w:rPr>
        <w:t>二</w:t>
      </w:r>
      <w:r>
        <w:rPr>
          <w:rFonts w:hint="eastAsia"/>
        </w:rPr>
        <w:t>)</w:t>
      </w:r>
      <w:r>
        <w:rPr>
          <w:rFonts w:hint="eastAsia"/>
        </w:rPr>
        <w:tab/>
      </w:r>
      <w:r w:rsidR="00D13477" w:rsidRPr="00002A77">
        <w:rPr>
          <w:rFonts w:hint="eastAsia"/>
          <w:lang w:val="en-GB"/>
        </w:rPr>
        <w:t>儿童权利论坛</w:t>
      </w:r>
    </w:p>
    <w:p w:rsidR="00D13477" w:rsidRPr="00002A77" w:rsidRDefault="00D13477" w:rsidP="00D13477">
      <w:pPr>
        <w:pStyle w:val="SingleTxtGC"/>
        <w:rPr>
          <w:lang w:val="en-GB"/>
        </w:rPr>
      </w:pPr>
      <w:r>
        <w:rPr>
          <w:lang w:val="en-GB"/>
        </w:rPr>
        <w:t>83</w:t>
      </w:r>
      <w:r w:rsidR="00977DAB">
        <w:rPr>
          <w:lang w:val="en-GB"/>
        </w:rPr>
        <w:t xml:space="preserve">.  </w:t>
      </w:r>
      <w:r w:rsidRPr="00002A77">
        <w:rPr>
          <w:rFonts w:hint="eastAsia"/>
          <w:lang w:val="en-GB"/>
        </w:rPr>
        <w:t>成立儿童权利论坛的目的，是为政府、儿童代表和关注儿童权利及其他人权事宜的非政府机构提供平台，就有关儿童权利的事宜交换意见。论坛的第一次会议在</w:t>
      </w:r>
      <w:r>
        <w:rPr>
          <w:lang w:val="en-GB"/>
        </w:rPr>
        <w:t>2</w:t>
      </w:r>
      <w:r w:rsidRPr="00002A77">
        <w:rPr>
          <w:lang w:val="en-GB"/>
        </w:rPr>
        <w:t>00</w:t>
      </w:r>
      <w:r>
        <w:rPr>
          <w:lang w:val="en-GB"/>
        </w:rPr>
        <w:t>5</w:t>
      </w:r>
      <w:r w:rsidRPr="00002A77">
        <w:rPr>
          <w:rFonts w:hint="eastAsia"/>
          <w:lang w:val="en-GB"/>
        </w:rPr>
        <w:t>年</w:t>
      </w:r>
      <w:r>
        <w:rPr>
          <w:lang w:val="en-GB"/>
        </w:rPr>
        <w:t>12</w:t>
      </w:r>
      <w:r w:rsidRPr="00002A77">
        <w:rPr>
          <w:rFonts w:hint="eastAsia"/>
          <w:lang w:val="en-GB"/>
        </w:rPr>
        <w:t>月</w:t>
      </w:r>
      <w:r>
        <w:rPr>
          <w:lang w:val="en-GB"/>
        </w:rPr>
        <w:t>2</w:t>
      </w:r>
      <w:r w:rsidRPr="00002A77">
        <w:rPr>
          <w:rFonts w:hint="eastAsia"/>
          <w:lang w:val="en-GB"/>
        </w:rPr>
        <w:t>日举行。</w:t>
      </w:r>
    </w:p>
    <w:p w:rsidR="00D13477" w:rsidRPr="00002A77" w:rsidRDefault="005061FF" w:rsidP="005061FF">
      <w:pPr>
        <w:pStyle w:val="H56GC"/>
        <w:rPr>
          <w:lang w:val="en-GB"/>
        </w:rPr>
      </w:pPr>
      <w:r>
        <w:rPr>
          <w:rFonts w:hint="eastAsia"/>
        </w:rPr>
        <w:tab/>
        <w:t>(</w:t>
      </w:r>
      <w:r>
        <w:rPr>
          <w:rFonts w:hint="eastAsia"/>
        </w:rPr>
        <w:t>三</w:t>
      </w:r>
      <w:r>
        <w:rPr>
          <w:rFonts w:hint="eastAsia"/>
        </w:rPr>
        <w:t>)</w:t>
      </w:r>
      <w:r>
        <w:rPr>
          <w:rFonts w:hint="eastAsia"/>
        </w:rPr>
        <w:tab/>
      </w:r>
      <w:r w:rsidR="00D13477" w:rsidRPr="00002A77">
        <w:rPr>
          <w:rFonts w:hint="eastAsia"/>
          <w:lang w:val="en-GB"/>
        </w:rPr>
        <w:t>少数族裔人士论坛</w:t>
      </w:r>
    </w:p>
    <w:p w:rsidR="00D13477" w:rsidRPr="00002A77" w:rsidRDefault="00D13477" w:rsidP="00D13477">
      <w:pPr>
        <w:pStyle w:val="SingleTxtGC"/>
      </w:pPr>
      <w:r>
        <w:t>84</w:t>
      </w:r>
      <w:r w:rsidR="00977DAB">
        <w:t xml:space="preserve">.  </w:t>
      </w:r>
      <w:r w:rsidRPr="00002A77">
        <w:rPr>
          <w:rFonts w:hint="eastAsia"/>
        </w:rPr>
        <w:t>少数族裔人士论坛为政府与香港的少数族裔社群及服务少数族裔人士的机构提供沟通渠道。论坛有助我们了解少数族裔社群所关注的问题和他们的需要，并讨论如何回应有关问题和需要。论坛的第一次会议在</w:t>
      </w:r>
      <w:r>
        <w:t>2</w:t>
      </w:r>
      <w:r w:rsidRPr="00002A77">
        <w:t>00</w:t>
      </w:r>
      <w:r>
        <w:t>3</w:t>
      </w:r>
      <w:r w:rsidRPr="00002A77">
        <w:rPr>
          <w:rFonts w:hint="eastAsia"/>
        </w:rPr>
        <w:t>年</w:t>
      </w:r>
      <w:r>
        <w:t>7</w:t>
      </w:r>
      <w:r w:rsidRPr="00002A77">
        <w:rPr>
          <w:rFonts w:hint="eastAsia"/>
        </w:rPr>
        <w:t>月</w:t>
      </w:r>
      <w:r>
        <w:t>3</w:t>
      </w:r>
      <w:r w:rsidRPr="00002A77">
        <w:t>0</w:t>
      </w:r>
      <w:r w:rsidRPr="00002A77">
        <w:rPr>
          <w:rFonts w:hint="eastAsia"/>
        </w:rPr>
        <w:t>日举行。</w:t>
      </w:r>
    </w:p>
    <w:p w:rsidR="00D13477" w:rsidRPr="00002A77" w:rsidRDefault="005061FF" w:rsidP="005061FF">
      <w:pPr>
        <w:pStyle w:val="H56GC"/>
        <w:rPr>
          <w:lang w:val="en-GB"/>
        </w:rPr>
      </w:pPr>
      <w:r>
        <w:rPr>
          <w:rFonts w:hint="eastAsia"/>
        </w:rPr>
        <w:tab/>
        <w:t>(</w:t>
      </w:r>
      <w:r>
        <w:rPr>
          <w:rFonts w:hint="eastAsia"/>
        </w:rPr>
        <w:t>四</w:t>
      </w:r>
      <w:r>
        <w:rPr>
          <w:rFonts w:hint="eastAsia"/>
        </w:rPr>
        <w:t>)</w:t>
      </w:r>
      <w:r>
        <w:rPr>
          <w:rFonts w:hint="eastAsia"/>
        </w:rPr>
        <w:tab/>
      </w:r>
      <w:r w:rsidR="00D13477" w:rsidRPr="00002A77">
        <w:rPr>
          <w:rFonts w:hint="eastAsia"/>
          <w:lang w:val="en-GB"/>
        </w:rPr>
        <w:t>少数性倾向人士论坛</w:t>
      </w:r>
    </w:p>
    <w:p w:rsidR="00D13477" w:rsidRPr="00002A77" w:rsidRDefault="00D13477" w:rsidP="00D13477">
      <w:pPr>
        <w:pStyle w:val="SingleTxtGC"/>
        <w:rPr>
          <w:lang w:val="en-GB"/>
        </w:rPr>
      </w:pPr>
      <w:r>
        <w:rPr>
          <w:lang w:val="en-GB"/>
        </w:rPr>
        <w:t>85</w:t>
      </w:r>
      <w:r w:rsidR="00977DAB">
        <w:rPr>
          <w:lang w:val="en-GB"/>
        </w:rPr>
        <w:t xml:space="preserve">.  </w:t>
      </w:r>
      <w:r w:rsidRPr="00002A77">
        <w:rPr>
          <w:rFonts w:hint="eastAsia"/>
          <w:lang w:val="en-GB"/>
        </w:rPr>
        <w:t>少数性倾向人士论坛在</w:t>
      </w:r>
      <w:r>
        <w:rPr>
          <w:lang w:val="en-GB"/>
        </w:rPr>
        <w:t>2</w:t>
      </w:r>
      <w:r w:rsidRPr="00002A77">
        <w:rPr>
          <w:lang w:val="en-GB"/>
        </w:rPr>
        <w:t>00</w:t>
      </w:r>
      <w:r>
        <w:rPr>
          <w:lang w:val="en-GB"/>
        </w:rPr>
        <w:t>4</w:t>
      </w:r>
      <w:r w:rsidRPr="00002A77">
        <w:rPr>
          <w:rFonts w:hint="eastAsia"/>
          <w:lang w:val="en-GB"/>
        </w:rPr>
        <w:t>年成立，为政府、非政府机构及有关团体提供沟通平台，就关乎本港少数性倾向人士的事宜</w:t>
      </w:r>
      <w:r w:rsidRPr="00002A77">
        <w:rPr>
          <w:rFonts w:hint="eastAsia"/>
          <w:lang w:val="en-GB"/>
        </w:rPr>
        <w:t>(</w:t>
      </w:r>
      <w:r w:rsidRPr="00002A77">
        <w:rPr>
          <w:rFonts w:hint="eastAsia"/>
          <w:lang w:val="en-GB"/>
        </w:rPr>
        <w:t>包括如何促进不同性倾向人士与跨性别人士享有平等机会</w:t>
      </w:r>
      <w:r w:rsidRPr="00002A77">
        <w:rPr>
          <w:rFonts w:hint="eastAsia"/>
          <w:lang w:val="en-GB"/>
        </w:rPr>
        <w:t>)</w:t>
      </w:r>
      <w:r w:rsidRPr="00002A77">
        <w:rPr>
          <w:rFonts w:hint="eastAsia"/>
          <w:lang w:val="en-GB"/>
        </w:rPr>
        <w:t>交换意见。</w:t>
      </w:r>
    </w:p>
    <w:p w:rsidR="00D13477" w:rsidRPr="00002A77" w:rsidRDefault="00D13477" w:rsidP="00D13477">
      <w:pPr>
        <w:pStyle w:val="SingleTxtGC"/>
        <w:rPr>
          <w:lang w:val="en-GB"/>
        </w:rPr>
      </w:pPr>
      <w:r>
        <w:rPr>
          <w:lang w:val="en-GB"/>
        </w:rPr>
        <w:t>86</w:t>
      </w:r>
      <w:r w:rsidR="00977DAB">
        <w:rPr>
          <w:lang w:val="en-GB"/>
        </w:rPr>
        <w:t xml:space="preserve">.  </w:t>
      </w:r>
      <w:r w:rsidRPr="00002A77">
        <w:rPr>
          <w:rFonts w:hint="eastAsia"/>
          <w:lang w:val="en-GB"/>
        </w:rPr>
        <w:t>上述论坛的会议议程及会议记录全部上载政府网站，供公众参阅。</w:t>
      </w:r>
    </w:p>
    <w:p w:rsidR="00D13477" w:rsidRPr="00002A77" w:rsidRDefault="005061FF" w:rsidP="005061FF">
      <w:pPr>
        <w:pStyle w:val="H23GC"/>
      </w:pPr>
      <w:r>
        <w:rPr>
          <w:rFonts w:hint="eastAsia"/>
        </w:rPr>
        <w:tab/>
        <w:t>2.</w:t>
      </w:r>
      <w:r>
        <w:rPr>
          <w:rFonts w:hint="eastAsia"/>
        </w:rPr>
        <w:tab/>
      </w:r>
      <w:r w:rsidR="00D13477" w:rsidRPr="00002A77">
        <w:rPr>
          <w:rFonts w:hint="eastAsia"/>
        </w:rPr>
        <w:t>报告程序</w:t>
      </w:r>
    </w:p>
    <w:p w:rsidR="00D13477" w:rsidRPr="00002A77" w:rsidRDefault="00D13477" w:rsidP="00D13477">
      <w:pPr>
        <w:pStyle w:val="SingleTxtGC"/>
      </w:pPr>
      <w:r>
        <w:rPr>
          <w:lang w:val="en-GB"/>
        </w:rPr>
        <w:t>87</w:t>
      </w:r>
      <w:r w:rsidR="00977DAB">
        <w:rPr>
          <w:lang w:val="en-GB"/>
        </w:rPr>
        <w:t xml:space="preserve">.  </w:t>
      </w:r>
      <w:r w:rsidRPr="00002A77">
        <w:rPr>
          <w:rFonts w:hint="eastAsia"/>
        </w:rPr>
        <w:t>中央人民政府根据适用于香港特区的各条人权条约的规定，提交有关香港特区的报告。</w:t>
      </w:r>
      <w:r w:rsidRPr="00002A77">
        <w:rPr>
          <w:rFonts w:hint="eastAsia"/>
          <w:lang w:val="en-GB"/>
        </w:rPr>
        <w:t>按照既定做法，香港特区政府在草拟每份报告时，会征询公众意见。特区政府会先拟订报告的项目大纲，胪列预计将包括在报告内的主要标题和个别项目。有关大纲会广泛分发给各持份者，包括立法会及各有关论坛的成员，并会透过特区政府网站等不同途径，向公众发布。我们会安排与有关论坛成员及非政府机构代表进行讨论，并会邀请公众人士提出其认为应列入报告内的其他项目。项目大纲亦会提交立法会讨论，而立法会通常会邀请有关非政府机构的代表表达其意见。</w:t>
      </w:r>
    </w:p>
    <w:p w:rsidR="00D13477" w:rsidRPr="00002A77" w:rsidRDefault="00D13477" w:rsidP="00D13477">
      <w:pPr>
        <w:pStyle w:val="SingleTxtGC"/>
        <w:rPr>
          <w:lang w:val="en-GB"/>
        </w:rPr>
      </w:pPr>
      <w:r>
        <w:rPr>
          <w:lang w:val="en-GB"/>
        </w:rPr>
        <w:t>88</w:t>
      </w:r>
      <w:r w:rsidR="00977DAB">
        <w:rPr>
          <w:lang w:val="en-GB"/>
        </w:rPr>
        <w:t xml:space="preserve">.  </w:t>
      </w:r>
      <w:r w:rsidRPr="00002A77">
        <w:rPr>
          <w:rFonts w:hint="eastAsia"/>
          <w:lang w:val="en-GB"/>
        </w:rPr>
        <w:t>我们在拟备报告时，会考虑论者所提出的意见及建议。我们会把香港特区政府就有关意见所作的回应</w:t>
      </w:r>
      <w:r w:rsidRPr="00002A77">
        <w:rPr>
          <w:rFonts w:hint="eastAsia"/>
          <w:lang w:val="en-GB"/>
        </w:rPr>
        <w:t>(</w:t>
      </w:r>
      <w:r w:rsidRPr="00002A77">
        <w:rPr>
          <w:rFonts w:hint="eastAsia"/>
          <w:lang w:val="en-GB"/>
        </w:rPr>
        <w:t>如适用的话</w:t>
      </w:r>
      <w:r w:rsidRPr="00002A77">
        <w:rPr>
          <w:rFonts w:hint="eastAsia"/>
          <w:lang w:val="en-GB"/>
        </w:rPr>
        <w:t>)</w:t>
      </w:r>
      <w:r w:rsidRPr="00002A77">
        <w:rPr>
          <w:rFonts w:hint="eastAsia"/>
          <w:lang w:val="en-GB"/>
        </w:rPr>
        <w:t>，纳入报告的有关章节内。</w:t>
      </w:r>
    </w:p>
    <w:p w:rsidR="00D13477" w:rsidRPr="00002A77" w:rsidRDefault="00D13477" w:rsidP="00D13477">
      <w:pPr>
        <w:pStyle w:val="SingleTxtGC"/>
        <w:rPr>
          <w:rFonts w:hint="eastAsia"/>
          <w:lang w:val="en-GB"/>
        </w:rPr>
      </w:pPr>
      <w:r>
        <w:t>89</w:t>
      </w:r>
      <w:r w:rsidR="00977DAB">
        <w:t xml:space="preserve">.  </w:t>
      </w:r>
      <w:r w:rsidRPr="00002A77">
        <w:rPr>
          <w:rFonts w:hint="eastAsia"/>
          <w:lang w:val="en-GB"/>
        </w:rPr>
        <w:t>有关香港特区部分的报告在提交联合国</w:t>
      </w:r>
      <w:r w:rsidRPr="00002A77">
        <w:rPr>
          <w:rFonts w:hint="eastAsia"/>
        </w:rPr>
        <w:t>及经联合国发表</w:t>
      </w:r>
      <w:r w:rsidRPr="00002A77">
        <w:rPr>
          <w:rFonts w:hint="eastAsia"/>
          <w:lang w:val="en-GB"/>
        </w:rPr>
        <w:t>后，报告的中英文本便会发给各持份者</w:t>
      </w:r>
      <w:r w:rsidRPr="00002A77">
        <w:rPr>
          <w:rFonts w:hint="eastAsia"/>
          <w:lang w:val="en-GB"/>
        </w:rPr>
        <w:t>(</w:t>
      </w:r>
      <w:r w:rsidRPr="00002A77">
        <w:rPr>
          <w:rFonts w:hint="eastAsia"/>
          <w:lang w:val="en-GB"/>
        </w:rPr>
        <w:t>包括立法会及有关的非政府机构</w:t>
      </w:r>
      <w:r w:rsidRPr="00002A77">
        <w:rPr>
          <w:rFonts w:hint="eastAsia"/>
          <w:lang w:val="en-GB"/>
        </w:rPr>
        <w:t>)</w:t>
      </w:r>
      <w:r w:rsidRPr="00002A77">
        <w:rPr>
          <w:rFonts w:hint="eastAsia"/>
          <w:lang w:val="en-GB"/>
        </w:rPr>
        <w:t>参阅，并会在民政事务总署辖下各公众咨询服务中心及公共图书馆派发给市民，报告亦会上载政府网站。报告并会提交立法会讨论。</w:t>
      </w:r>
    </w:p>
    <w:p w:rsidR="00D13477" w:rsidRPr="00002A77" w:rsidRDefault="005061FF" w:rsidP="005061FF">
      <w:pPr>
        <w:pStyle w:val="H4GC"/>
        <w:rPr>
          <w:lang w:val="en-GB"/>
        </w:rPr>
      </w:pPr>
      <w:r>
        <w:rPr>
          <w:rFonts w:hint="eastAsia"/>
          <w:lang w:val="en-GB"/>
        </w:rPr>
        <w:tab/>
      </w:r>
      <w:r>
        <w:rPr>
          <w:rFonts w:hint="eastAsia"/>
          <w:lang w:val="en-GB"/>
        </w:rPr>
        <w:tab/>
      </w:r>
      <w:r w:rsidR="00D13477" w:rsidRPr="00002A77">
        <w:rPr>
          <w:rFonts w:hint="eastAsia"/>
          <w:lang w:val="en-GB"/>
        </w:rPr>
        <w:t>人权公约监察组织审议结论的跟进工作</w:t>
      </w:r>
    </w:p>
    <w:p w:rsidR="00D13477" w:rsidRPr="00002A77" w:rsidRDefault="00D13477" w:rsidP="00D13477">
      <w:pPr>
        <w:pStyle w:val="SingleTxtGC"/>
        <w:rPr>
          <w:rFonts w:hint="eastAsia"/>
          <w:lang w:val="en-GB"/>
        </w:rPr>
      </w:pPr>
      <w:r>
        <w:rPr>
          <w:lang w:val="en-GB"/>
        </w:rPr>
        <w:t>9</w:t>
      </w:r>
      <w:r w:rsidRPr="00002A77">
        <w:rPr>
          <w:lang w:val="en-GB"/>
        </w:rPr>
        <w:t>0</w:t>
      </w:r>
      <w:r w:rsidR="00977DAB">
        <w:rPr>
          <w:lang w:val="en-GB"/>
        </w:rPr>
        <w:t xml:space="preserve">.  </w:t>
      </w:r>
      <w:r w:rsidRPr="00002A77">
        <w:rPr>
          <w:rFonts w:hint="eastAsia"/>
          <w:lang w:val="en-GB"/>
        </w:rPr>
        <w:t>按照既定做法，在人权公约监察组织发表审议结论后，我们便会把审议结论广发给社会各界，包括立法会、相关政府政策局及部门、司法机构、非政府机构及其他有关团体。同时，我们会向传媒发出新闻稿，阐述审议结论及香港特区政府的初步回应。审议结论亦会上载政府网站，供公众参阅。我们会与立法会及有关论坛讨论审议结论及香港特区政府的初步回应。我们并会不时在立法会及各论坛</w:t>
      </w:r>
      <w:r w:rsidRPr="00002A77">
        <w:rPr>
          <w:rFonts w:hint="eastAsia"/>
          <w:lang w:val="en-GB"/>
        </w:rPr>
        <w:t>(</w:t>
      </w:r>
      <w:r w:rsidRPr="00002A77">
        <w:rPr>
          <w:rFonts w:hint="eastAsia"/>
          <w:lang w:val="en-GB"/>
        </w:rPr>
        <w:t>如合适的话</w:t>
      </w:r>
      <w:r w:rsidRPr="00002A77">
        <w:rPr>
          <w:rFonts w:hint="eastAsia"/>
          <w:lang w:val="en-GB"/>
        </w:rPr>
        <w:t>)</w:t>
      </w:r>
      <w:r w:rsidRPr="00002A77">
        <w:rPr>
          <w:rFonts w:hint="eastAsia"/>
          <w:lang w:val="en-GB"/>
        </w:rPr>
        <w:t>讨论审议结论的跟进工作。</w:t>
      </w:r>
    </w:p>
    <w:p w:rsidR="00D13477" w:rsidRPr="00002A77" w:rsidRDefault="005061FF" w:rsidP="0096535E">
      <w:pPr>
        <w:pStyle w:val="H23GC"/>
      </w:pPr>
      <w:r>
        <w:rPr>
          <w:rFonts w:hint="eastAsia"/>
        </w:rPr>
        <w:tab/>
        <w:t>3.</w:t>
      </w:r>
      <w:r>
        <w:rPr>
          <w:rFonts w:hint="eastAsia"/>
        </w:rPr>
        <w:tab/>
      </w:r>
      <w:r w:rsidR="00D13477" w:rsidRPr="00002A77">
        <w:rPr>
          <w:rFonts w:hint="eastAsia"/>
        </w:rPr>
        <w:t>有关反歧视及促进平等的资料</w:t>
      </w:r>
    </w:p>
    <w:p w:rsidR="00D13477" w:rsidRPr="00002A77" w:rsidRDefault="00D13477" w:rsidP="00D13477">
      <w:pPr>
        <w:pStyle w:val="SingleTxtGC"/>
        <w:rPr>
          <w:rFonts w:hint="eastAsia"/>
          <w:lang w:val="en-GB"/>
        </w:rPr>
      </w:pPr>
      <w:r>
        <w:rPr>
          <w:lang w:val="en-GB"/>
        </w:rPr>
        <w:t>91</w:t>
      </w:r>
      <w:r w:rsidR="00977DAB">
        <w:rPr>
          <w:lang w:val="en-GB"/>
        </w:rPr>
        <w:t xml:space="preserve">.  </w:t>
      </w:r>
      <w:r w:rsidRPr="00002A77">
        <w:rPr>
          <w:rFonts w:hint="eastAsia"/>
          <w:lang w:val="en-GB"/>
        </w:rPr>
        <w:t>保证在法律面前人人平等的宪制及法律架构，以及相关的组织架构，已在上文有关保障人权的架构的段落中阐述。</w:t>
      </w:r>
    </w:p>
    <w:p w:rsidR="00D13477" w:rsidRPr="00002A77" w:rsidRDefault="0096535E" w:rsidP="0096535E">
      <w:pPr>
        <w:pStyle w:val="H4GC"/>
        <w:rPr>
          <w:lang w:val="en-GB"/>
        </w:rPr>
      </w:pPr>
      <w:r>
        <w:rPr>
          <w:rFonts w:hint="eastAsia"/>
          <w:lang w:val="en-GB"/>
        </w:rPr>
        <w:tab/>
      </w:r>
      <w:r w:rsidRPr="0096535E">
        <w:rPr>
          <w:lang w:val="en-GB"/>
        </w:rPr>
        <w:t>(a)</w:t>
      </w:r>
      <w:r>
        <w:rPr>
          <w:rFonts w:hint="eastAsia"/>
          <w:lang w:val="en-GB"/>
        </w:rPr>
        <w:tab/>
      </w:r>
      <w:r w:rsidR="00D13477" w:rsidRPr="00002A77">
        <w:rPr>
          <w:rFonts w:hint="eastAsia"/>
          <w:lang w:val="en-GB"/>
        </w:rPr>
        <w:t>平等机会委员会</w:t>
      </w:r>
    </w:p>
    <w:p w:rsidR="00D13477" w:rsidRPr="00002A77" w:rsidRDefault="00D13477" w:rsidP="00D13477">
      <w:pPr>
        <w:pStyle w:val="SingleTxtGC"/>
        <w:rPr>
          <w:rFonts w:hint="eastAsia"/>
          <w:lang w:val="en-GB"/>
        </w:rPr>
      </w:pPr>
      <w:r>
        <w:rPr>
          <w:lang w:val="en-GB"/>
        </w:rPr>
        <w:t>92</w:t>
      </w:r>
      <w:r w:rsidR="00977DAB">
        <w:rPr>
          <w:lang w:val="en-GB"/>
        </w:rPr>
        <w:t xml:space="preserve">.  </w:t>
      </w:r>
      <w:r w:rsidRPr="00002A77">
        <w:rPr>
          <w:rFonts w:hint="eastAsia"/>
          <w:lang w:val="en-GB"/>
        </w:rPr>
        <w:t>正如上文所述，平机会负责在香港特区执行四条反歧视条例，以及在有关范畴促进平等机会。这些反歧视条例概述如下。</w:t>
      </w:r>
    </w:p>
    <w:p w:rsidR="00D13477" w:rsidRPr="00002A77" w:rsidRDefault="0096535E" w:rsidP="0096535E">
      <w:pPr>
        <w:pStyle w:val="H56GC"/>
        <w:rPr>
          <w:lang w:val="en-GB"/>
        </w:rPr>
      </w:pPr>
      <w:r>
        <w:rPr>
          <w:rFonts w:hint="eastAsia"/>
        </w:rPr>
        <w:tab/>
        <w:t>(</w:t>
      </w:r>
      <w:r>
        <w:rPr>
          <w:rFonts w:hint="eastAsia"/>
        </w:rPr>
        <w:t>一</w:t>
      </w:r>
      <w:r>
        <w:rPr>
          <w:rFonts w:hint="eastAsia"/>
        </w:rPr>
        <w:t>)</w:t>
      </w:r>
      <w:r>
        <w:rPr>
          <w:rFonts w:hint="eastAsia"/>
        </w:rPr>
        <w:tab/>
      </w:r>
      <w:r w:rsidR="00D13477" w:rsidRPr="00002A77">
        <w:rPr>
          <w:rFonts w:hint="eastAsia"/>
          <w:lang w:val="en-GB"/>
        </w:rPr>
        <w:t>反歧视条例</w:t>
      </w:r>
    </w:p>
    <w:p w:rsidR="00D13477" w:rsidRPr="00002A77" w:rsidRDefault="00D13477" w:rsidP="00D13477">
      <w:pPr>
        <w:pStyle w:val="SingleTxtGC"/>
        <w:rPr>
          <w:lang w:val="en-GB"/>
        </w:rPr>
      </w:pPr>
      <w:r>
        <w:rPr>
          <w:lang w:val="en-GB"/>
        </w:rPr>
        <w:t>93</w:t>
      </w:r>
      <w:r w:rsidR="00977DAB">
        <w:rPr>
          <w:lang w:val="en-GB"/>
        </w:rPr>
        <w:t xml:space="preserve">.  </w:t>
      </w:r>
      <w:r w:rsidRPr="00002A77">
        <w:rPr>
          <w:rFonts w:hint="eastAsia"/>
          <w:lang w:val="en-GB"/>
        </w:rPr>
        <w:t>《性别歧视条例》和《残疾歧视条例》在</w:t>
      </w:r>
      <w:r>
        <w:rPr>
          <w:lang w:val="en-GB"/>
        </w:rPr>
        <w:t>1996</w:t>
      </w:r>
      <w:r w:rsidRPr="00002A77">
        <w:rPr>
          <w:rFonts w:hint="eastAsia"/>
          <w:lang w:val="en-GB"/>
        </w:rPr>
        <w:t>年</w:t>
      </w:r>
      <w:r>
        <w:rPr>
          <w:lang w:val="en-GB"/>
        </w:rPr>
        <w:t>12</w:t>
      </w:r>
      <w:r w:rsidRPr="00002A77">
        <w:rPr>
          <w:rFonts w:hint="eastAsia"/>
          <w:lang w:val="en-GB"/>
        </w:rPr>
        <w:t>月全面实施。根据《性别歧视条例》，任何人在指明的活动范围内基于某人的性别、婚姻状况或怀孕而对该人作出歧视或骚扰行为，即属违法。这条例同时保障男性和女性。根据《残疾歧视条例》，任何人如公开中伤残疾人士，或在指明的活动范围内基于某人的残疾而对该人作出歧视或骚扰行为，即属违法。</w:t>
      </w:r>
    </w:p>
    <w:p w:rsidR="00D13477" w:rsidRPr="00002A77" w:rsidRDefault="00D13477" w:rsidP="00D13477">
      <w:pPr>
        <w:pStyle w:val="SingleTxtGC"/>
        <w:rPr>
          <w:lang w:val="en-GB"/>
        </w:rPr>
      </w:pPr>
      <w:r>
        <w:rPr>
          <w:lang w:val="en-GB"/>
        </w:rPr>
        <w:t>94</w:t>
      </w:r>
      <w:r w:rsidR="00977DAB">
        <w:rPr>
          <w:lang w:val="en-GB"/>
        </w:rPr>
        <w:t xml:space="preserve">.  </w:t>
      </w:r>
      <w:r w:rsidRPr="00002A77">
        <w:rPr>
          <w:rFonts w:hint="eastAsia"/>
          <w:lang w:val="en-GB"/>
        </w:rPr>
        <w:t>《家庭岗位歧视条例》在</w:t>
      </w:r>
      <w:r>
        <w:rPr>
          <w:lang w:val="en-GB"/>
        </w:rPr>
        <w:t>1997</w:t>
      </w:r>
      <w:r w:rsidRPr="00002A77">
        <w:rPr>
          <w:rFonts w:hint="eastAsia"/>
          <w:lang w:val="en-GB"/>
        </w:rPr>
        <w:t>年</w:t>
      </w:r>
      <w:r>
        <w:rPr>
          <w:lang w:val="en-GB"/>
        </w:rPr>
        <w:t>11</w:t>
      </w:r>
      <w:r w:rsidRPr="00002A77">
        <w:rPr>
          <w:rFonts w:hint="eastAsia"/>
          <w:lang w:val="en-GB"/>
        </w:rPr>
        <w:t>月生效。根据该条例，任何人基于某人的家庭岗位而对该人作出歧视行为，即属违法。家庭岗位指负有照顾直系家庭成员的责任。就任何人而言，直系家庭成员指因血缘、婚姻、领养或姻亲而与该人有关的任何人。</w:t>
      </w:r>
    </w:p>
    <w:p w:rsidR="00D13477" w:rsidRPr="00002A77" w:rsidRDefault="00D13477" w:rsidP="00D13477">
      <w:pPr>
        <w:pStyle w:val="SingleTxtGC"/>
        <w:rPr>
          <w:lang w:val="en-GB"/>
        </w:rPr>
      </w:pPr>
      <w:r>
        <w:rPr>
          <w:lang w:val="en-GB"/>
        </w:rPr>
        <w:t>95</w:t>
      </w:r>
      <w:r w:rsidR="00977DAB">
        <w:rPr>
          <w:lang w:val="en-GB"/>
        </w:rPr>
        <w:t xml:space="preserve">.  </w:t>
      </w:r>
      <w:r w:rsidRPr="00002A77">
        <w:rPr>
          <w:rFonts w:hint="eastAsia"/>
          <w:lang w:val="en-GB"/>
        </w:rPr>
        <w:t>《种族歧视条例》在</w:t>
      </w:r>
      <w:r>
        <w:rPr>
          <w:lang w:val="en-GB"/>
        </w:rPr>
        <w:t>2</w:t>
      </w:r>
      <w:r w:rsidRPr="00002A77">
        <w:rPr>
          <w:lang w:val="en-GB"/>
        </w:rPr>
        <w:t>00</w:t>
      </w:r>
      <w:r>
        <w:rPr>
          <w:lang w:val="en-GB"/>
        </w:rPr>
        <w:t>9</w:t>
      </w:r>
      <w:r w:rsidRPr="00002A77">
        <w:rPr>
          <w:rFonts w:hint="eastAsia"/>
          <w:lang w:val="en-GB"/>
        </w:rPr>
        <w:t>年</w:t>
      </w:r>
      <w:r>
        <w:rPr>
          <w:lang w:val="en-GB"/>
        </w:rPr>
        <w:t>7</w:t>
      </w:r>
      <w:r w:rsidRPr="00002A77">
        <w:rPr>
          <w:rFonts w:hint="eastAsia"/>
          <w:lang w:val="en-GB"/>
        </w:rPr>
        <w:t>月全面实施。种族是指个人的种族、肤色、世系、民族或人种。根据该条例，任何人如公开中伤某种族的人士，或在指明的活动范围内基于某人的种族而对该人作出歧视或骚扰行为，即属违法。</w:t>
      </w:r>
    </w:p>
    <w:p w:rsidR="00D13477" w:rsidRPr="00002A77" w:rsidRDefault="00D13477" w:rsidP="00D13477">
      <w:pPr>
        <w:pStyle w:val="SingleTxtGC"/>
        <w:rPr>
          <w:lang w:val="en-GB"/>
        </w:rPr>
      </w:pPr>
      <w:r>
        <w:rPr>
          <w:lang w:val="en-GB"/>
        </w:rPr>
        <w:t>96</w:t>
      </w:r>
      <w:r w:rsidR="00977DAB">
        <w:rPr>
          <w:lang w:val="en-GB"/>
        </w:rPr>
        <w:t xml:space="preserve">.  </w:t>
      </w:r>
      <w:r w:rsidRPr="00002A77">
        <w:rPr>
          <w:rFonts w:hint="eastAsia"/>
          <w:lang w:val="en-GB"/>
        </w:rPr>
        <w:t>上述四条条例保障的活动范围大致相同，包括雇佣；教育；货品、设施或服务的提供；处所的处置或管理；公共团体的参选和投票资格，以及会社的活动。</w:t>
      </w:r>
    </w:p>
    <w:p w:rsidR="00D13477" w:rsidRPr="00002A77" w:rsidRDefault="0096535E" w:rsidP="0096535E">
      <w:pPr>
        <w:pStyle w:val="H56GC"/>
        <w:rPr>
          <w:lang w:val="en-GB"/>
        </w:rPr>
      </w:pPr>
      <w:r>
        <w:rPr>
          <w:rFonts w:hint="eastAsia"/>
        </w:rPr>
        <w:tab/>
        <w:t>(</w:t>
      </w:r>
      <w:r>
        <w:rPr>
          <w:rFonts w:hint="eastAsia"/>
        </w:rPr>
        <w:t>二</w:t>
      </w:r>
      <w:r>
        <w:rPr>
          <w:rFonts w:hint="eastAsia"/>
        </w:rPr>
        <w:t>)</w:t>
      </w:r>
      <w:r>
        <w:rPr>
          <w:rFonts w:hint="eastAsia"/>
        </w:rPr>
        <w:tab/>
      </w:r>
      <w:r w:rsidR="00D13477" w:rsidRPr="00002A77">
        <w:rPr>
          <w:rFonts w:hint="eastAsia"/>
          <w:lang w:val="en-GB"/>
        </w:rPr>
        <w:t>调查及调解</w:t>
      </w:r>
    </w:p>
    <w:p w:rsidR="00D13477" w:rsidRPr="00002A77" w:rsidRDefault="00D13477" w:rsidP="00D13477">
      <w:pPr>
        <w:pStyle w:val="SingleTxtGC"/>
        <w:rPr>
          <w:lang w:val="en-GB"/>
        </w:rPr>
      </w:pPr>
      <w:r>
        <w:rPr>
          <w:lang w:val="en-GB"/>
        </w:rPr>
        <w:t>97</w:t>
      </w:r>
      <w:r w:rsidR="00977DAB">
        <w:rPr>
          <w:lang w:val="en-GB"/>
        </w:rPr>
        <w:t xml:space="preserve">.  </w:t>
      </w:r>
      <w:r w:rsidRPr="00002A77">
        <w:rPr>
          <w:rFonts w:hint="eastAsia"/>
          <w:lang w:val="en-GB"/>
        </w:rPr>
        <w:t>平机会会调查根据上述四条条例所作出的投诉，并</w:t>
      </w:r>
      <w:r w:rsidRPr="00002A77">
        <w:rPr>
          <w:rFonts w:hint="eastAsia"/>
        </w:rPr>
        <w:t>鼓</w:t>
      </w:r>
      <w:r w:rsidRPr="00002A77">
        <w:rPr>
          <w:rFonts w:hint="cs"/>
        </w:rPr>
        <w:t>励</w:t>
      </w:r>
      <w:r w:rsidRPr="00002A77">
        <w:rPr>
          <w:rFonts w:hint="eastAsia"/>
        </w:rPr>
        <w:t>涉及</w:t>
      </w:r>
      <w:r w:rsidRPr="00002A77">
        <w:rPr>
          <w:rFonts w:hint="cs"/>
        </w:rPr>
        <w:t>纠纷</w:t>
      </w:r>
      <w:r w:rsidRPr="00002A77">
        <w:rPr>
          <w:rFonts w:hint="eastAsia"/>
        </w:rPr>
        <w:t>的有</w:t>
      </w:r>
      <w:r w:rsidRPr="00002A77">
        <w:rPr>
          <w:rFonts w:hint="cs"/>
        </w:rPr>
        <w:t>关</w:t>
      </w:r>
      <w:r w:rsidRPr="00002A77">
        <w:rPr>
          <w:rFonts w:hint="eastAsia"/>
        </w:rPr>
        <w:t>各方</w:t>
      </w:r>
      <w:r w:rsidRPr="00002A77">
        <w:rPr>
          <w:rFonts w:hint="cs"/>
        </w:rPr>
        <w:t>进</w:t>
      </w:r>
      <w:r w:rsidRPr="00002A77">
        <w:rPr>
          <w:rFonts w:hint="eastAsia"/>
        </w:rPr>
        <w:t>行</w:t>
      </w:r>
      <w:r w:rsidRPr="00002A77">
        <w:rPr>
          <w:rFonts w:hint="cs"/>
        </w:rPr>
        <w:t>调</w:t>
      </w:r>
      <w:r w:rsidRPr="00002A77">
        <w:rPr>
          <w:rFonts w:hint="eastAsia"/>
        </w:rPr>
        <w:t>解</w:t>
      </w:r>
      <w:r w:rsidRPr="00002A77">
        <w:rPr>
          <w:rFonts w:hint="eastAsia"/>
          <w:lang w:val="en-GB"/>
        </w:rPr>
        <w:t>。在无法达成和解时，投诉人可以向平机会申请其他协助，包括法律协助。此外，平机会如认为适合，亦会就一些歧视性的做法进行正式调查。</w:t>
      </w:r>
    </w:p>
    <w:p w:rsidR="00D13477" w:rsidRPr="00002A77" w:rsidRDefault="002A1743" w:rsidP="0096535E">
      <w:pPr>
        <w:pStyle w:val="H56GC"/>
        <w:rPr>
          <w:lang w:val="en-GB"/>
        </w:rPr>
      </w:pPr>
      <w:r>
        <w:rPr>
          <w:rFonts w:hint="eastAsia"/>
        </w:rPr>
        <w:tab/>
        <w:t>(</w:t>
      </w:r>
      <w:r>
        <w:rPr>
          <w:rFonts w:hint="eastAsia"/>
        </w:rPr>
        <w:t>三</w:t>
      </w:r>
      <w:r>
        <w:rPr>
          <w:rFonts w:hint="eastAsia"/>
        </w:rPr>
        <w:t>)</w:t>
      </w:r>
      <w:r>
        <w:rPr>
          <w:rFonts w:hint="eastAsia"/>
        </w:rPr>
        <w:tab/>
      </w:r>
      <w:r w:rsidR="00D13477" w:rsidRPr="00002A77">
        <w:rPr>
          <w:rFonts w:hint="eastAsia"/>
          <w:lang w:val="en-GB"/>
        </w:rPr>
        <w:t>教育及推广</w:t>
      </w:r>
    </w:p>
    <w:p w:rsidR="00D13477" w:rsidRPr="00002A77" w:rsidRDefault="00D13477" w:rsidP="00D13477">
      <w:pPr>
        <w:pStyle w:val="SingleTxtGC"/>
        <w:rPr>
          <w:lang w:val="en-GB"/>
        </w:rPr>
      </w:pPr>
      <w:r>
        <w:rPr>
          <w:lang w:val="en-GB"/>
        </w:rPr>
        <w:t>98</w:t>
      </w:r>
      <w:r w:rsidR="00977DAB">
        <w:rPr>
          <w:lang w:val="en-GB"/>
        </w:rPr>
        <w:t xml:space="preserve">.  </w:t>
      </w:r>
      <w:r w:rsidRPr="00002A77">
        <w:rPr>
          <w:rFonts w:hint="eastAsia"/>
          <w:lang w:val="en-GB"/>
        </w:rPr>
        <w:t>平机会致力透过教育及推广活动，宣扬平等机会的讯息，并与政府及非政府机构建立伙伴关系，一起消除歧视。平机会举办多项宣传教育活动，包括为不同对象举办讲座、研讨会及工作坊；出版季刊；举办展览及社区活动；为学生制作教育资料套；以及制作电视、电台宣传短片／声带及节目，以提高公众意识，加强市民对平等机会概念的了解。此外，为鼓励社区参与，平机会透过</w:t>
      </w:r>
      <w:r>
        <w:rPr>
          <w:rFonts w:hint="eastAsia"/>
          <w:lang w:val="en-GB"/>
        </w:rPr>
        <w:t>“</w:t>
      </w:r>
      <w:r w:rsidRPr="00002A77">
        <w:rPr>
          <w:rFonts w:hint="eastAsia"/>
          <w:lang w:val="en-GB"/>
        </w:rPr>
        <w:t>平等机会社会参与资助计划</w:t>
      </w:r>
      <w:r>
        <w:rPr>
          <w:rFonts w:hint="eastAsia"/>
          <w:lang w:val="en-GB"/>
        </w:rPr>
        <w:t>”</w:t>
      </w:r>
      <w:r w:rsidRPr="00002A77">
        <w:rPr>
          <w:rFonts w:hint="eastAsia"/>
          <w:lang w:val="en-GB"/>
        </w:rPr>
        <w:t>，协助社区组织举办活动，推广平等机会的讯息。平机会并透过与社会各界进行合作项目，实现促进平等机会的抱负。此外，平机会亦举办定期培训课程，又为不同机构及政府部门设计课程，提高他们对内部歧视及骚扰问题的警觉性，并指导他们在问题发生时，处理问题的技巧。</w:t>
      </w:r>
    </w:p>
    <w:p w:rsidR="00D13477" w:rsidRPr="00002A77" w:rsidRDefault="002A1743" w:rsidP="002A1743">
      <w:pPr>
        <w:pStyle w:val="H56GC"/>
        <w:rPr>
          <w:lang w:val="en-GB"/>
        </w:rPr>
      </w:pPr>
      <w:r>
        <w:rPr>
          <w:rFonts w:hint="eastAsia"/>
        </w:rPr>
        <w:tab/>
        <w:t>(</w:t>
      </w:r>
      <w:r>
        <w:rPr>
          <w:rFonts w:hint="eastAsia"/>
        </w:rPr>
        <w:t>四</w:t>
      </w:r>
      <w:r>
        <w:rPr>
          <w:rFonts w:hint="eastAsia"/>
        </w:rPr>
        <w:t>)</w:t>
      </w:r>
      <w:r>
        <w:rPr>
          <w:rFonts w:hint="eastAsia"/>
        </w:rPr>
        <w:tab/>
      </w:r>
      <w:r w:rsidR="00D13477" w:rsidRPr="00002A77">
        <w:rPr>
          <w:rFonts w:hint="eastAsia"/>
          <w:lang w:val="en-GB"/>
        </w:rPr>
        <w:t>研究与政策倡议</w:t>
      </w:r>
    </w:p>
    <w:p w:rsidR="00D13477" w:rsidRPr="00002A77" w:rsidRDefault="00D13477" w:rsidP="00D13477">
      <w:pPr>
        <w:pStyle w:val="SingleTxtGC"/>
        <w:rPr>
          <w:lang w:val="en-GB"/>
        </w:rPr>
      </w:pPr>
      <w:r>
        <w:rPr>
          <w:lang w:val="en-GB"/>
        </w:rPr>
        <w:t>99</w:t>
      </w:r>
      <w:r w:rsidR="00977DAB">
        <w:rPr>
          <w:lang w:val="en-GB"/>
        </w:rPr>
        <w:t xml:space="preserve">.  </w:t>
      </w:r>
      <w:r w:rsidRPr="00002A77">
        <w:rPr>
          <w:rFonts w:hint="eastAsia"/>
          <w:lang w:val="en-GB"/>
        </w:rPr>
        <w:t>为了解出现歧视的原因，以及社会上对平等机会的整体态度及理解，平机会进行不同研究及基线调查。研究调查的结果有助平机会制订策略、监察公众态度的转变，以及为日后的研究工作订定标准。</w:t>
      </w:r>
      <w:r w:rsidRPr="00002A77">
        <w:rPr>
          <w:rFonts w:hint="eastAsia"/>
          <w:bCs/>
        </w:rPr>
        <w:t>另外</w:t>
      </w:r>
      <w:r w:rsidRPr="00002A77">
        <w:rPr>
          <w:rFonts w:hint="eastAsia"/>
          <w:lang w:val="en-GB"/>
        </w:rPr>
        <w:t>，平机会的</w:t>
      </w:r>
      <w:r w:rsidRPr="00002A77">
        <w:rPr>
          <w:rFonts w:hint="eastAsia"/>
          <w:bCs/>
        </w:rPr>
        <w:t>政策及研究专责小组亦会</w:t>
      </w:r>
      <w:r w:rsidRPr="00002A77">
        <w:rPr>
          <w:rFonts w:hint="eastAsia"/>
        </w:rPr>
        <w:t>就</w:t>
      </w:r>
      <w:r w:rsidRPr="00002A77">
        <w:rPr>
          <w:rFonts w:hint="eastAsia"/>
          <w:lang w:val="en-GB"/>
        </w:rPr>
        <w:t>平机会</w:t>
      </w:r>
      <w:r w:rsidRPr="00002A77">
        <w:rPr>
          <w:rFonts w:hint="eastAsia"/>
        </w:rPr>
        <w:t>进行政策倡议所采取的措施及相关跟进行动提供意见</w:t>
      </w:r>
      <w:r w:rsidRPr="00002A77">
        <w:rPr>
          <w:rFonts w:hint="eastAsia"/>
          <w:lang w:val="en-GB"/>
        </w:rPr>
        <w:t>。</w:t>
      </w:r>
    </w:p>
    <w:p w:rsidR="00D13477" w:rsidRPr="00002A77" w:rsidRDefault="002A1743" w:rsidP="002A1743">
      <w:pPr>
        <w:pStyle w:val="H56GC"/>
        <w:rPr>
          <w:lang w:val="en-GB"/>
        </w:rPr>
      </w:pPr>
      <w:r>
        <w:rPr>
          <w:rFonts w:hint="eastAsia"/>
        </w:rPr>
        <w:tab/>
        <w:t>(</w:t>
      </w:r>
      <w:r>
        <w:rPr>
          <w:rFonts w:hint="eastAsia"/>
        </w:rPr>
        <w:t>五</w:t>
      </w:r>
      <w:r>
        <w:rPr>
          <w:rFonts w:hint="eastAsia"/>
        </w:rPr>
        <w:t>)</w:t>
      </w:r>
      <w:r>
        <w:rPr>
          <w:rFonts w:hint="eastAsia"/>
        </w:rPr>
        <w:tab/>
      </w:r>
      <w:r w:rsidR="00D13477" w:rsidRPr="00002A77">
        <w:rPr>
          <w:rFonts w:hint="eastAsia"/>
          <w:lang w:val="en-GB"/>
        </w:rPr>
        <w:t>检讨有关法例和发出实务守则及指引</w:t>
      </w:r>
    </w:p>
    <w:p w:rsidR="00D13477" w:rsidRPr="00002A77" w:rsidRDefault="00D13477" w:rsidP="00D13477">
      <w:pPr>
        <w:pStyle w:val="SingleTxtGC"/>
        <w:rPr>
          <w:lang w:val="en-GB"/>
        </w:rPr>
      </w:pPr>
      <w:r>
        <w:rPr>
          <w:lang w:val="en-GB"/>
        </w:rPr>
        <w:t>1</w:t>
      </w:r>
      <w:r w:rsidRPr="00002A77">
        <w:rPr>
          <w:lang w:val="en-GB"/>
        </w:rPr>
        <w:t>00</w:t>
      </w:r>
      <w:r w:rsidR="00977DAB">
        <w:rPr>
          <w:lang w:val="en-GB"/>
        </w:rPr>
        <w:t xml:space="preserve">.  </w:t>
      </w:r>
      <w:r w:rsidRPr="00002A77">
        <w:rPr>
          <w:rFonts w:hint="eastAsia"/>
          <w:lang w:val="en-GB"/>
        </w:rPr>
        <w:t>平机会不时检讨反歧视条例，并在认为有需要时向政府提出修订建议。平机会亦根据条例发出实务守则及其他指引。已发出的雇佣实务守则协助雇主与雇员了解他们在条例中的责任，以及向管理层提供实务指引，指示他们在工作场所防止歧视及其他违法行为的程序及常规。</w:t>
      </w:r>
    </w:p>
    <w:p w:rsidR="00D13477" w:rsidRPr="00002A77" w:rsidRDefault="00D13477" w:rsidP="00D13477">
      <w:pPr>
        <w:pStyle w:val="SingleTxtGC"/>
        <w:rPr>
          <w:lang w:val="en-GB"/>
        </w:rPr>
      </w:pPr>
      <w:r>
        <w:rPr>
          <w:lang w:val="en-GB"/>
        </w:rPr>
        <w:t>1</w:t>
      </w:r>
      <w:r w:rsidRPr="00002A77">
        <w:rPr>
          <w:lang w:val="en-GB"/>
        </w:rPr>
        <w:t>0</w:t>
      </w:r>
      <w:r>
        <w:rPr>
          <w:lang w:val="en-GB"/>
        </w:rPr>
        <w:t>1</w:t>
      </w:r>
      <w:r w:rsidR="00977DAB">
        <w:rPr>
          <w:lang w:val="en-GB"/>
        </w:rPr>
        <w:t xml:space="preserve">.  </w:t>
      </w:r>
      <w:r w:rsidRPr="00002A77">
        <w:rPr>
          <w:rFonts w:hint="eastAsia"/>
          <w:lang w:val="en-GB"/>
        </w:rPr>
        <w:t>公众可以前往平机会办事处索取或到其网站浏览有关四条条例的实务守则，以及其他解释条例条文的各类刊物。平机会的网站亦提供香港以及世界各地有关平等机会的最新消息。</w:t>
      </w:r>
    </w:p>
    <w:p w:rsidR="00D13477" w:rsidRPr="00002A77" w:rsidRDefault="002A1743" w:rsidP="002A1743">
      <w:pPr>
        <w:pStyle w:val="H4GC"/>
        <w:rPr>
          <w:lang w:val="en-GB"/>
        </w:rPr>
      </w:pPr>
      <w:r>
        <w:rPr>
          <w:rFonts w:hint="eastAsia"/>
          <w:lang w:val="en-GB"/>
        </w:rPr>
        <w:tab/>
      </w:r>
      <w:r w:rsidRPr="002A1743">
        <w:rPr>
          <w:lang w:val="en-GB"/>
        </w:rPr>
        <w:t>(b)</w:t>
      </w:r>
      <w:r>
        <w:rPr>
          <w:rFonts w:hint="eastAsia"/>
          <w:lang w:val="en-GB"/>
        </w:rPr>
        <w:tab/>
      </w:r>
      <w:r w:rsidR="00D13477" w:rsidRPr="00002A77">
        <w:rPr>
          <w:rFonts w:hint="eastAsia"/>
          <w:lang w:val="en-GB"/>
        </w:rPr>
        <w:t>推广反歧视及促进平等的行政措施</w:t>
      </w:r>
    </w:p>
    <w:p w:rsidR="00D13477" w:rsidRPr="00002A77" w:rsidRDefault="002A1743" w:rsidP="002A1743">
      <w:pPr>
        <w:pStyle w:val="H56GC"/>
        <w:rPr>
          <w:lang w:val="en-GB"/>
        </w:rPr>
      </w:pPr>
      <w:r>
        <w:rPr>
          <w:rFonts w:hint="eastAsia"/>
        </w:rPr>
        <w:tab/>
        <w:t>(</w:t>
      </w:r>
      <w:r>
        <w:rPr>
          <w:rFonts w:hint="eastAsia"/>
        </w:rPr>
        <w:t>一</w:t>
      </w:r>
      <w:r>
        <w:rPr>
          <w:rFonts w:hint="eastAsia"/>
        </w:rPr>
        <w:t>)</w:t>
      </w:r>
      <w:r>
        <w:rPr>
          <w:rFonts w:hint="eastAsia"/>
        </w:rPr>
        <w:tab/>
      </w:r>
      <w:r w:rsidR="00D13477" w:rsidRPr="00002A77">
        <w:rPr>
          <w:rFonts w:hint="eastAsia"/>
          <w:lang w:val="en-GB"/>
        </w:rPr>
        <w:t>妇女</w:t>
      </w:r>
    </w:p>
    <w:p w:rsidR="00D13477" w:rsidRPr="00002A77" w:rsidRDefault="00D13477" w:rsidP="00D13477">
      <w:pPr>
        <w:pStyle w:val="SingleTxtGC"/>
        <w:rPr>
          <w:lang w:val="en-GB"/>
        </w:rPr>
      </w:pPr>
      <w:r>
        <w:t>1</w:t>
      </w:r>
      <w:r w:rsidRPr="00002A77">
        <w:t>0</w:t>
      </w:r>
      <w:r>
        <w:t>2</w:t>
      </w:r>
      <w:r w:rsidR="00977DAB">
        <w:t xml:space="preserve">.  </w:t>
      </w:r>
      <w:r w:rsidRPr="00002A77">
        <w:rPr>
          <w:rFonts w:hint="eastAsia"/>
          <w:lang w:val="en-GB"/>
        </w:rPr>
        <w:t>自《消除对妇女一切形式歧视公约》在</w:t>
      </w:r>
      <w:r>
        <w:rPr>
          <w:lang w:val="en-GB"/>
        </w:rPr>
        <w:t>1996</w:t>
      </w:r>
      <w:r w:rsidRPr="00002A77">
        <w:rPr>
          <w:rFonts w:hint="eastAsia"/>
          <w:lang w:val="en-GB"/>
        </w:rPr>
        <w:t>年</w:t>
      </w:r>
      <w:r>
        <w:rPr>
          <w:lang w:val="en-GB"/>
        </w:rPr>
        <w:t>1</w:t>
      </w:r>
      <w:r w:rsidRPr="00002A77">
        <w:rPr>
          <w:lang w:val="en-GB"/>
        </w:rPr>
        <w:t>0</w:t>
      </w:r>
      <w:r w:rsidRPr="00002A77">
        <w:rPr>
          <w:rFonts w:hint="eastAsia"/>
          <w:lang w:val="en-GB"/>
        </w:rPr>
        <w:t>月引伸至适用于香港，我们致力坚守公约的原则及增进公众对该公约的认识。</w:t>
      </w:r>
    </w:p>
    <w:p w:rsidR="00D13477" w:rsidRPr="00002A77" w:rsidRDefault="00D13477" w:rsidP="00D13477">
      <w:pPr>
        <w:pStyle w:val="SingleTxtGC"/>
        <w:rPr>
          <w:lang w:val="en-GB"/>
        </w:rPr>
      </w:pPr>
      <w:r>
        <w:rPr>
          <w:lang w:val="en-GB"/>
        </w:rPr>
        <w:t>1</w:t>
      </w:r>
      <w:r w:rsidRPr="00002A77">
        <w:rPr>
          <w:lang w:val="en-GB"/>
        </w:rPr>
        <w:t>0</w:t>
      </w:r>
      <w:r>
        <w:rPr>
          <w:lang w:val="en-GB"/>
        </w:rPr>
        <w:t>3</w:t>
      </w:r>
      <w:r w:rsidR="00977DAB">
        <w:rPr>
          <w:lang w:val="en-GB"/>
        </w:rPr>
        <w:t xml:space="preserve">.  </w:t>
      </w:r>
      <w:r w:rsidRPr="00002A77">
        <w:rPr>
          <w:rFonts w:hint="eastAsia"/>
          <w:lang w:val="en-GB"/>
        </w:rPr>
        <w:t>香港特区政府在</w:t>
      </w:r>
      <w:r>
        <w:rPr>
          <w:lang w:val="en-GB"/>
        </w:rPr>
        <w:t>2</w:t>
      </w:r>
      <w:r w:rsidRPr="00002A77">
        <w:rPr>
          <w:lang w:val="en-GB"/>
        </w:rPr>
        <w:t>00</w:t>
      </w:r>
      <w:r>
        <w:rPr>
          <w:lang w:val="en-GB"/>
        </w:rPr>
        <w:t>1</w:t>
      </w:r>
      <w:r w:rsidRPr="00002A77">
        <w:rPr>
          <w:rFonts w:hint="eastAsia"/>
          <w:lang w:val="en-GB"/>
        </w:rPr>
        <w:t>年成立妇女事务委员会</w:t>
      </w:r>
      <w:r w:rsidRPr="00002A77">
        <w:rPr>
          <w:rFonts w:hint="eastAsia"/>
          <w:lang w:val="en-GB"/>
        </w:rPr>
        <w:t>(</w:t>
      </w:r>
      <w:r w:rsidRPr="00002A77">
        <w:rPr>
          <w:rFonts w:hint="eastAsia"/>
          <w:lang w:val="en-GB"/>
        </w:rPr>
        <w:t>妇委会</w:t>
      </w:r>
      <w:r w:rsidRPr="00002A77">
        <w:rPr>
          <w:rFonts w:hint="eastAsia"/>
          <w:lang w:val="en-GB"/>
        </w:rPr>
        <w:t>)</w:t>
      </w:r>
      <w:r w:rsidRPr="00002A77">
        <w:rPr>
          <w:rFonts w:hint="eastAsia"/>
          <w:lang w:val="en-GB"/>
        </w:rPr>
        <w:t>，作为一个高层次的中央机制，就妇女事务向政府提供意见及协助，以及倡导妇女权益。妇委会专责就妇女事务向政府提出宏观策略建议；制订长远目标和策略，促进妇女发展；亦就妇女关注的政策和措施向政府提供意见。</w:t>
      </w:r>
    </w:p>
    <w:p w:rsidR="00D13477" w:rsidRPr="00002A77" w:rsidRDefault="00D13477" w:rsidP="00D13477">
      <w:pPr>
        <w:pStyle w:val="SingleTxtGC"/>
        <w:rPr>
          <w:rFonts w:hint="eastAsia"/>
          <w:lang w:val="en-GB"/>
        </w:rPr>
      </w:pPr>
      <w:r>
        <w:rPr>
          <w:lang w:val="en-GB"/>
        </w:rPr>
        <w:t>1</w:t>
      </w:r>
      <w:r w:rsidRPr="00002A77">
        <w:rPr>
          <w:lang w:val="en-GB"/>
        </w:rPr>
        <w:t>0</w:t>
      </w:r>
      <w:r>
        <w:rPr>
          <w:lang w:val="en-GB"/>
        </w:rPr>
        <w:t>4</w:t>
      </w:r>
      <w:r w:rsidR="00977DAB">
        <w:rPr>
          <w:lang w:val="en-GB"/>
        </w:rPr>
        <w:t xml:space="preserve">.  </w:t>
      </w:r>
      <w:r w:rsidRPr="00002A77">
        <w:rPr>
          <w:rFonts w:hint="eastAsia"/>
          <w:lang w:val="en-GB"/>
        </w:rPr>
        <w:t>为逹致其</w:t>
      </w:r>
      <w:r>
        <w:rPr>
          <w:rFonts w:hint="eastAsia"/>
          <w:lang w:val="en-GB"/>
        </w:rPr>
        <w:t>“</w:t>
      </w:r>
      <w:r w:rsidRPr="00002A77">
        <w:rPr>
          <w:rFonts w:hint="eastAsia"/>
          <w:lang w:val="en-GB"/>
        </w:rPr>
        <w:t>促使女性在生活各方面充分获得应有的地位、权利及机会</w:t>
      </w:r>
      <w:r>
        <w:rPr>
          <w:rFonts w:hint="eastAsia"/>
          <w:lang w:val="en-GB"/>
        </w:rPr>
        <w:t>”</w:t>
      </w:r>
      <w:r w:rsidRPr="00002A77">
        <w:rPr>
          <w:rFonts w:hint="eastAsia"/>
          <w:lang w:val="en-GB"/>
        </w:rPr>
        <w:t>的使命，妇委会采取三管齐下的策略，即缔造有利的环境、透过能力提升增强妇女能力及公众教育，促进女性的权益和福祉。除了向香港特区政府就与妇女有关的政策及措施提供意见外，妇委会亦委托进行研究和调查、举办宣传及公众教育项目，以及与妇女组织及社会不同界别保持紧密联络，以期推广香港妇女的权益。</w:t>
      </w:r>
    </w:p>
    <w:p w:rsidR="00D13477" w:rsidRPr="00002A77" w:rsidRDefault="002A1743" w:rsidP="002A1743">
      <w:pPr>
        <w:pStyle w:val="H56GC"/>
        <w:rPr>
          <w:rFonts w:hint="eastAsia"/>
          <w:lang w:val="en-GB"/>
        </w:rPr>
      </w:pPr>
      <w:r>
        <w:rPr>
          <w:lang w:val="en-GB"/>
        </w:rPr>
        <w:br w:type="page"/>
      </w:r>
      <w:r>
        <w:rPr>
          <w:rFonts w:hint="eastAsia"/>
        </w:rPr>
        <w:tab/>
        <w:t>(</w:t>
      </w:r>
      <w:r>
        <w:rPr>
          <w:rFonts w:hint="eastAsia"/>
        </w:rPr>
        <w:t>二</w:t>
      </w:r>
      <w:r>
        <w:rPr>
          <w:rFonts w:hint="eastAsia"/>
        </w:rPr>
        <w:t>)</w:t>
      </w:r>
      <w:r>
        <w:rPr>
          <w:rFonts w:hint="eastAsia"/>
        </w:rPr>
        <w:tab/>
      </w:r>
      <w:r w:rsidR="00D13477" w:rsidRPr="00002A77">
        <w:rPr>
          <w:rFonts w:hint="eastAsia"/>
          <w:lang w:val="en-GB"/>
        </w:rPr>
        <w:t>少数族裔人士</w:t>
      </w:r>
    </w:p>
    <w:p w:rsidR="00D13477" w:rsidRPr="00002A77" w:rsidRDefault="00D13477" w:rsidP="00D13477">
      <w:pPr>
        <w:pStyle w:val="SingleTxtGC"/>
        <w:rPr>
          <w:lang w:val="en-GB"/>
        </w:rPr>
      </w:pPr>
      <w:r>
        <w:rPr>
          <w:lang w:val="en-GB"/>
        </w:rPr>
        <w:t>1</w:t>
      </w:r>
      <w:r w:rsidRPr="00002A77">
        <w:rPr>
          <w:lang w:val="en-GB"/>
        </w:rPr>
        <w:t>0</w:t>
      </w:r>
      <w:r>
        <w:rPr>
          <w:lang w:val="en-GB"/>
        </w:rPr>
        <w:t>5</w:t>
      </w:r>
      <w:r w:rsidR="00977DAB">
        <w:rPr>
          <w:lang w:val="en-GB"/>
        </w:rPr>
        <w:t xml:space="preserve">.  </w:t>
      </w:r>
      <w:r w:rsidRPr="00002A77">
        <w:rPr>
          <w:rFonts w:hint="eastAsia"/>
          <w:lang w:val="en-GB"/>
        </w:rPr>
        <w:t>在推广种族平等方面，我们相信除立法外，公众教育及支援服务对促进少数族裔人士融入社区亦相当重要。这些年来，我们推行了各项措施，推广种族和谐，并协助少数族裔人士融入香港。</w:t>
      </w:r>
    </w:p>
    <w:p w:rsidR="00D13477" w:rsidRPr="00002A77" w:rsidRDefault="00D13477" w:rsidP="00D13477">
      <w:pPr>
        <w:pStyle w:val="SingleTxtGC"/>
      </w:pPr>
      <w:r>
        <w:t>1</w:t>
      </w:r>
      <w:r w:rsidRPr="00002A77">
        <w:t>0</w:t>
      </w:r>
      <w:r>
        <w:t>6</w:t>
      </w:r>
      <w:r w:rsidR="00977DAB">
        <w:t xml:space="preserve">.  </w:t>
      </w:r>
      <w:r w:rsidRPr="00002A77">
        <w:rPr>
          <w:rFonts w:hint="eastAsia"/>
          <w:lang w:val="en-GB"/>
        </w:rPr>
        <w:t>促进种族和谐委员会在</w:t>
      </w:r>
      <w:r>
        <w:rPr>
          <w:lang w:val="en-GB"/>
        </w:rPr>
        <w:t>2</w:t>
      </w:r>
      <w:r w:rsidRPr="00002A77">
        <w:rPr>
          <w:lang w:val="en-GB"/>
        </w:rPr>
        <w:t>00</w:t>
      </w:r>
      <w:r>
        <w:rPr>
          <w:lang w:val="en-GB"/>
        </w:rPr>
        <w:t>2</w:t>
      </w:r>
      <w:r w:rsidRPr="00002A77">
        <w:rPr>
          <w:rFonts w:hint="eastAsia"/>
          <w:lang w:val="en-GB"/>
        </w:rPr>
        <w:t>年成立，就这方面的公众教育和推广工作，向香港特区政府提出意见。同在</w:t>
      </w:r>
      <w:r>
        <w:rPr>
          <w:lang w:val="en-GB"/>
        </w:rPr>
        <w:t>2</w:t>
      </w:r>
      <w:r w:rsidRPr="00002A77">
        <w:rPr>
          <w:lang w:val="en-GB"/>
        </w:rPr>
        <w:t>00</w:t>
      </w:r>
      <w:r>
        <w:rPr>
          <w:lang w:val="en-GB"/>
        </w:rPr>
        <w:t>2</w:t>
      </w:r>
      <w:r w:rsidRPr="00002A77">
        <w:rPr>
          <w:rFonts w:hint="eastAsia"/>
          <w:lang w:val="en-GB"/>
        </w:rPr>
        <w:t>年由政府成立的种族关系组，为种族和谐委员会提供秘书处服务，并推行该会订定的项目和工作。</w:t>
      </w:r>
    </w:p>
    <w:p w:rsidR="00D13477" w:rsidRPr="00002A77" w:rsidRDefault="00D13477" w:rsidP="00D13477">
      <w:pPr>
        <w:pStyle w:val="SingleTxtGC"/>
        <w:rPr>
          <w:lang w:val="en-GB"/>
        </w:rPr>
      </w:pPr>
      <w:r>
        <w:t>1</w:t>
      </w:r>
      <w:r w:rsidRPr="00002A77">
        <w:t>0</w:t>
      </w:r>
      <w:r>
        <w:t>7</w:t>
      </w:r>
      <w:r w:rsidR="00977DAB">
        <w:t xml:space="preserve">.  </w:t>
      </w:r>
      <w:r w:rsidRPr="00002A77">
        <w:rPr>
          <w:rFonts w:hint="eastAsia"/>
          <w:lang w:val="en-GB"/>
        </w:rPr>
        <w:t>种族关系组直接或透过资助非政府机构推行一连串项目，推广种族平等和协助少数族裔人士融入社会。这些项目包括举办语文班和共融活动，以少数族裔人士语言制作电台节目，以及设立社区小组为少数族裔人士提供支援服务。由</w:t>
      </w:r>
      <w:r>
        <w:rPr>
          <w:lang w:val="en-GB"/>
        </w:rPr>
        <w:t>2</w:t>
      </w:r>
      <w:r w:rsidRPr="00002A77">
        <w:rPr>
          <w:lang w:val="en-GB"/>
        </w:rPr>
        <w:t>00</w:t>
      </w:r>
      <w:r>
        <w:rPr>
          <w:lang w:val="en-GB"/>
        </w:rPr>
        <w:t>9</w:t>
      </w:r>
      <w:r w:rsidRPr="00002A77">
        <w:rPr>
          <w:rFonts w:hint="eastAsia"/>
          <w:lang w:val="en-GB"/>
        </w:rPr>
        <w:t>年开始，我们拨款资助四间非政府机构在香港开设和营办四个支援服务中心，为少数族裔人士举办中英语课程及认识社会活动，以及提供辅导及转介服务、兴趣班和其他支援服务。其中一个中心更提供电话及即场传译服务，以协助少数族裔人士获得公共服务。</w:t>
      </w:r>
    </w:p>
    <w:p w:rsidR="00D13477" w:rsidRPr="00002A77" w:rsidRDefault="00D13477" w:rsidP="00D13477">
      <w:pPr>
        <w:pStyle w:val="SingleTxtGC"/>
        <w:rPr>
          <w:rFonts w:hint="eastAsia"/>
        </w:rPr>
      </w:pPr>
      <w:r>
        <w:t>1</w:t>
      </w:r>
      <w:r w:rsidRPr="00002A77">
        <w:t>0</w:t>
      </w:r>
      <w:r>
        <w:t>8</w:t>
      </w:r>
      <w:r w:rsidR="00977DAB">
        <w:t xml:space="preserve">.  </w:t>
      </w:r>
      <w:r w:rsidRPr="00002A77">
        <w:rPr>
          <w:rFonts w:hint="eastAsia"/>
        </w:rPr>
        <w:t>在</w:t>
      </w:r>
      <w:r>
        <w:t>2</w:t>
      </w:r>
      <w:r w:rsidRPr="00002A77">
        <w:t>0</w:t>
      </w:r>
      <w:r>
        <w:t>1</w:t>
      </w:r>
      <w:r w:rsidRPr="00002A77">
        <w:t>0</w:t>
      </w:r>
      <w:r w:rsidRPr="00002A77">
        <w:rPr>
          <w:rFonts w:hint="eastAsia"/>
        </w:rPr>
        <w:t>年，</w:t>
      </w:r>
      <w:r w:rsidRPr="00002A77">
        <w:rPr>
          <w:rFonts w:hint="eastAsia"/>
          <w:lang w:val="en-GB"/>
        </w:rPr>
        <w:t>香港特区</w:t>
      </w:r>
      <w:r w:rsidRPr="00002A77">
        <w:rPr>
          <w:rFonts w:hint="eastAsia"/>
        </w:rPr>
        <w:t>政府发出行政指引，为有关政策局、政府部门及公共主管当局提供指导，以使它们在主要范畴促进种族平等和确保少数族裔人士有平等机会获得公共服务，以及在制订、推行和检讨有关政策及措施时，作出这方面的考虑。</w:t>
      </w:r>
    </w:p>
    <w:p w:rsidR="00D13477" w:rsidRPr="00002A77" w:rsidRDefault="002A1743" w:rsidP="002A1743">
      <w:pPr>
        <w:pStyle w:val="H56GC"/>
        <w:rPr>
          <w:lang w:val="en-GB"/>
        </w:rPr>
      </w:pPr>
      <w:r>
        <w:rPr>
          <w:rFonts w:hint="eastAsia"/>
        </w:rPr>
        <w:tab/>
        <w:t>(</w:t>
      </w:r>
      <w:r>
        <w:rPr>
          <w:rFonts w:hint="eastAsia"/>
        </w:rPr>
        <w:t>三</w:t>
      </w:r>
      <w:r>
        <w:rPr>
          <w:rFonts w:hint="eastAsia"/>
        </w:rPr>
        <w:t>)</w:t>
      </w:r>
      <w:r>
        <w:rPr>
          <w:rFonts w:hint="eastAsia"/>
        </w:rPr>
        <w:tab/>
      </w:r>
      <w:r w:rsidR="00D13477" w:rsidRPr="00002A77">
        <w:rPr>
          <w:rFonts w:hint="eastAsia"/>
          <w:lang w:val="en-GB"/>
        </w:rPr>
        <w:t>儿童权利</w:t>
      </w:r>
    </w:p>
    <w:p w:rsidR="00D13477" w:rsidRPr="00002A77" w:rsidRDefault="00D13477" w:rsidP="00D13477">
      <w:pPr>
        <w:pStyle w:val="SingleTxtGC"/>
      </w:pPr>
      <w:r>
        <w:t>1</w:t>
      </w:r>
      <w:r w:rsidRPr="00002A77">
        <w:t>0</w:t>
      </w:r>
      <w:r>
        <w:t>9</w:t>
      </w:r>
      <w:r w:rsidR="00977DAB">
        <w:t xml:space="preserve">.  </w:t>
      </w:r>
      <w:r w:rsidRPr="00002A77">
        <w:rPr>
          <w:rFonts w:hint="eastAsia"/>
          <w:lang w:val="en-GB"/>
        </w:rPr>
        <w:t>在香港特区，有关儿童的事宜涉及多个政策范畴，由香港特区政府各有关政策局负责。就任何有关决策</w:t>
      </w:r>
      <w:r w:rsidRPr="00002A77">
        <w:rPr>
          <w:rFonts w:hint="eastAsia"/>
          <w:lang w:val="en-GB"/>
        </w:rPr>
        <w:t>(</w:t>
      </w:r>
      <w:r w:rsidRPr="00002A77">
        <w:rPr>
          <w:rFonts w:hint="eastAsia"/>
          <w:lang w:val="en-GB"/>
        </w:rPr>
        <w:t>包括立法建议和政策</w:t>
      </w:r>
      <w:r w:rsidRPr="00002A77">
        <w:rPr>
          <w:rFonts w:hint="eastAsia"/>
          <w:lang w:val="en-GB"/>
        </w:rPr>
        <w:t>)</w:t>
      </w:r>
      <w:r w:rsidRPr="00002A77">
        <w:rPr>
          <w:rFonts w:hint="eastAsia"/>
          <w:lang w:val="en-GB"/>
        </w:rPr>
        <w:t>而言，儿童的最大利益为必要的考虑因素，亦顺理成章地予以考虑。如有需要，我们会征询政府内部人权和国际法专家的意见，以确保遵行有关规定。</w:t>
      </w:r>
    </w:p>
    <w:p w:rsidR="00D13477" w:rsidRPr="00002A77" w:rsidRDefault="00D13477" w:rsidP="00D13477">
      <w:pPr>
        <w:pStyle w:val="SingleTxtGC"/>
      </w:pPr>
      <w:r>
        <w:t>11</w:t>
      </w:r>
      <w:r w:rsidRPr="00002A77">
        <w:t>0</w:t>
      </w:r>
      <w:r w:rsidR="00977DAB">
        <w:t xml:space="preserve">.  </w:t>
      </w:r>
      <w:r w:rsidRPr="00002A77">
        <w:rPr>
          <w:rFonts w:hint="eastAsia"/>
          <w:lang w:val="en-GB"/>
        </w:rPr>
        <w:t>某些与儿童有关的政策及措施所涉及的政策局或部门或多于一个。香港特区政府设有机制，协调和处理涉及不同政策局及部门的政策。政府内部的协调机制会继续因应需要，适当协调各决策局及部门之间的政策及措施，以确保儿童的利益获得充分考虑。</w:t>
      </w:r>
    </w:p>
    <w:p w:rsidR="00D13477" w:rsidRPr="00002A77" w:rsidRDefault="00D13477" w:rsidP="00D13477">
      <w:pPr>
        <w:pStyle w:val="SingleTxtGC"/>
      </w:pPr>
      <w:r>
        <w:t>111</w:t>
      </w:r>
      <w:r w:rsidR="00977DAB">
        <w:t xml:space="preserve">.  </w:t>
      </w:r>
      <w:r w:rsidRPr="00002A77">
        <w:rPr>
          <w:rFonts w:hint="eastAsia"/>
          <w:lang w:val="en-GB"/>
        </w:rPr>
        <w:t>在</w:t>
      </w:r>
      <w:r>
        <w:rPr>
          <w:lang w:val="en-GB"/>
        </w:rPr>
        <w:t>2</w:t>
      </w:r>
      <w:r w:rsidRPr="00002A77">
        <w:rPr>
          <w:lang w:val="en-GB"/>
        </w:rPr>
        <w:t>00</w:t>
      </w:r>
      <w:r>
        <w:rPr>
          <w:lang w:val="en-GB"/>
        </w:rPr>
        <w:t>6</w:t>
      </w:r>
      <w:r w:rsidRPr="00002A77">
        <w:rPr>
          <w:rFonts w:hint="eastAsia"/>
          <w:lang w:val="en-GB"/>
        </w:rPr>
        <w:t>年，香港特区政府成立儿童权利教育活动资助计划，资助社区团体举办教育活动计划，加深市民对《儿童权利公约》及其保障的儿童权利的认识和了解。此计划每年公开接受拨款申请。政府亦不时联同非政府机构推行有意义的计划，以推广儿童权利。</w:t>
      </w:r>
    </w:p>
    <w:p w:rsidR="00D13477" w:rsidRPr="00002A77" w:rsidRDefault="002A1743" w:rsidP="002A1743">
      <w:pPr>
        <w:pStyle w:val="H56GC"/>
        <w:rPr>
          <w:lang w:val="en-GB"/>
        </w:rPr>
      </w:pPr>
      <w:r>
        <w:rPr>
          <w:rFonts w:hint="eastAsia"/>
        </w:rPr>
        <w:tab/>
        <w:t>(</w:t>
      </w:r>
      <w:r>
        <w:rPr>
          <w:rFonts w:hint="eastAsia"/>
        </w:rPr>
        <w:t>四</w:t>
      </w:r>
      <w:r>
        <w:rPr>
          <w:rFonts w:hint="eastAsia"/>
        </w:rPr>
        <w:t>)</w:t>
      </w:r>
      <w:r>
        <w:rPr>
          <w:rFonts w:hint="eastAsia"/>
        </w:rPr>
        <w:tab/>
      </w:r>
      <w:r w:rsidR="00D13477" w:rsidRPr="00002A77">
        <w:rPr>
          <w:rFonts w:hint="eastAsia"/>
          <w:lang w:val="en-GB"/>
        </w:rPr>
        <w:t>不同性倾向人士及跨性别人士</w:t>
      </w:r>
    </w:p>
    <w:p w:rsidR="00D13477" w:rsidRPr="00002A77" w:rsidRDefault="00D13477" w:rsidP="00D13477">
      <w:pPr>
        <w:pStyle w:val="SingleTxtGC"/>
        <w:rPr>
          <w:lang w:val="en-GB"/>
        </w:rPr>
      </w:pPr>
      <w:r>
        <w:t>112</w:t>
      </w:r>
      <w:r w:rsidR="00977DAB">
        <w:t xml:space="preserve">.  </w:t>
      </w:r>
      <w:r w:rsidRPr="00002A77">
        <w:rPr>
          <w:rFonts w:hint="eastAsia"/>
          <w:lang w:val="en-GB"/>
        </w:rPr>
        <w:t>我们亦一直推行各项措施，促进不同性倾向人士及跨性别人士享有平等机会。除设立上述的少数性倾向人士论坛外，我们亦在</w:t>
      </w:r>
      <w:r>
        <w:rPr>
          <w:lang w:val="en-GB"/>
        </w:rPr>
        <w:t>2</w:t>
      </w:r>
      <w:r w:rsidRPr="00002A77">
        <w:rPr>
          <w:lang w:val="en-GB"/>
        </w:rPr>
        <w:t>00</w:t>
      </w:r>
      <w:r>
        <w:rPr>
          <w:lang w:val="en-GB"/>
        </w:rPr>
        <w:t>5</w:t>
      </w:r>
      <w:r w:rsidRPr="00002A77">
        <w:rPr>
          <w:rFonts w:hint="eastAsia"/>
          <w:lang w:val="en-GB"/>
        </w:rPr>
        <w:t>年成立了性别认同及性倾向小组，促进性小众的平等机会。由</w:t>
      </w:r>
      <w:r>
        <w:rPr>
          <w:lang w:val="en-GB"/>
        </w:rPr>
        <w:t>1998</w:t>
      </w:r>
      <w:r w:rsidRPr="00002A77">
        <w:rPr>
          <w:rFonts w:hint="eastAsia"/>
          <w:lang w:val="en-GB"/>
        </w:rPr>
        <w:t>年起，我们推行资助计划，资助有意义的社区活动，藉以促进不同性倾向人士或跨性别人士享有平等机会，或为性小众提供支援服务。政府当局会继续推行公众教育和宣传，例如海报宣传和播放电台宣传声带，以推广性小众的平等机会。</w:t>
      </w:r>
    </w:p>
    <w:p w:rsidR="00D13477" w:rsidRPr="00002A77" w:rsidRDefault="002A1743" w:rsidP="002A1743">
      <w:pPr>
        <w:pStyle w:val="H56GC"/>
        <w:rPr>
          <w:lang w:val="en-GB"/>
        </w:rPr>
      </w:pPr>
      <w:r>
        <w:rPr>
          <w:rFonts w:hint="eastAsia"/>
        </w:rPr>
        <w:tab/>
        <w:t>(</w:t>
      </w:r>
      <w:r>
        <w:rPr>
          <w:rFonts w:hint="eastAsia"/>
        </w:rPr>
        <w:t>五</w:t>
      </w:r>
      <w:r>
        <w:rPr>
          <w:rFonts w:hint="eastAsia"/>
        </w:rPr>
        <w:t>)</w:t>
      </w:r>
      <w:r>
        <w:rPr>
          <w:rFonts w:hint="eastAsia"/>
        </w:rPr>
        <w:tab/>
      </w:r>
      <w:r w:rsidR="00D13477" w:rsidRPr="00002A77">
        <w:rPr>
          <w:rFonts w:hint="eastAsia"/>
          <w:lang w:val="en-GB"/>
        </w:rPr>
        <w:t>残疾人士</w:t>
      </w:r>
    </w:p>
    <w:p w:rsidR="00D13477" w:rsidRPr="00002A77" w:rsidRDefault="00D13477" w:rsidP="00D13477">
      <w:pPr>
        <w:pStyle w:val="SingleTxtGC"/>
      </w:pPr>
      <w:r>
        <w:t>113</w:t>
      </w:r>
      <w:r w:rsidR="00977DAB">
        <w:t xml:space="preserve">.  </w:t>
      </w:r>
      <w:r w:rsidRPr="00002A77">
        <w:rPr>
          <w:rFonts w:hint="eastAsia"/>
          <w:lang w:val="en-GB"/>
        </w:rPr>
        <w:t>《残疾人权利公约》由</w:t>
      </w:r>
      <w:r>
        <w:rPr>
          <w:lang w:val="en-GB"/>
        </w:rPr>
        <w:t>2</w:t>
      </w:r>
      <w:r w:rsidRPr="00002A77">
        <w:rPr>
          <w:lang w:val="en-GB"/>
        </w:rPr>
        <w:t>00</w:t>
      </w:r>
      <w:r>
        <w:rPr>
          <w:lang w:val="en-GB"/>
        </w:rPr>
        <w:t>8</w:t>
      </w:r>
      <w:r w:rsidRPr="00002A77">
        <w:rPr>
          <w:rFonts w:hint="eastAsia"/>
          <w:lang w:val="en-GB"/>
        </w:rPr>
        <w:t>年</w:t>
      </w:r>
      <w:r>
        <w:rPr>
          <w:lang w:val="en-GB"/>
        </w:rPr>
        <w:t>8</w:t>
      </w:r>
      <w:r w:rsidRPr="00002A77">
        <w:rPr>
          <w:rFonts w:hint="eastAsia"/>
          <w:lang w:val="en-GB"/>
        </w:rPr>
        <w:t>月</w:t>
      </w:r>
      <w:r>
        <w:rPr>
          <w:lang w:val="en-GB"/>
        </w:rPr>
        <w:t>31</w:t>
      </w:r>
      <w:r w:rsidRPr="00002A77">
        <w:rPr>
          <w:rFonts w:hint="eastAsia"/>
          <w:lang w:val="en-GB"/>
        </w:rPr>
        <w:t>日起在中国实施，并适用于香港特区。该公约的缔约国承诺采取一切适当的立法、行政及其他措施，以实施公约确认的残疾人权利。由于我们已实施《残疾歧视条例》以保障个人不会基于残疾而受歧视，又实施了《精神健康条例》</w:t>
      </w:r>
      <w:r w:rsidRPr="00002A77">
        <w:rPr>
          <w:rFonts w:hint="eastAsia"/>
          <w:lang w:val="en-GB"/>
        </w:rPr>
        <w:t>(</w:t>
      </w:r>
      <w:r w:rsidRPr="00002A77">
        <w:rPr>
          <w:rFonts w:hint="eastAsia"/>
          <w:lang w:val="en-GB"/>
        </w:rPr>
        <w:t>第</w:t>
      </w:r>
      <w:r>
        <w:rPr>
          <w:lang w:val="en-GB"/>
        </w:rPr>
        <w:t>136</w:t>
      </w:r>
      <w:r w:rsidRPr="00002A77">
        <w:rPr>
          <w:rFonts w:hint="eastAsia"/>
          <w:lang w:val="en-GB"/>
        </w:rPr>
        <w:t>章</w:t>
      </w:r>
      <w:r w:rsidRPr="00002A77">
        <w:rPr>
          <w:rFonts w:hint="eastAsia"/>
          <w:lang w:val="en-GB"/>
        </w:rPr>
        <w:t>)</w:t>
      </w:r>
      <w:r w:rsidRPr="00002A77">
        <w:rPr>
          <w:rFonts w:hint="eastAsia"/>
          <w:lang w:val="en-GB"/>
        </w:rPr>
        <w:t>以保障精神病人的权益，香港特区具备履行该公约要求的条件。</w:t>
      </w:r>
    </w:p>
    <w:p w:rsidR="00D13477" w:rsidRPr="00002A77" w:rsidRDefault="00D13477" w:rsidP="00D13477">
      <w:pPr>
        <w:pStyle w:val="SingleTxtGC"/>
        <w:rPr>
          <w:rFonts w:hint="eastAsia"/>
          <w:lang w:val="en-GB"/>
        </w:rPr>
      </w:pPr>
      <w:r>
        <w:rPr>
          <w:lang w:val="en-GB"/>
        </w:rPr>
        <w:t>114</w:t>
      </w:r>
      <w:r w:rsidR="00977DAB">
        <w:rPr>
          <w:lang w:val="en-GB"/>
        </w:rPr>
        <w:t xml:space="preserve">.  </w:t>
      </w:r>
      <w:r w:rsidRPr="00002A77">
        <w:rPr>
          <w:rFonts w:hint="eastAsia"/>
          <w:lang w:val="en-GB"/>
        </w:rPr>
        <w:t>我们已采取措施，确保所有政策局及部门都了解到在制订政策和推行项目时，需要充分考虑这条公约的规定。此外，香港特区政府亦会继续与就涉及残疾人士福祉、复康政策及服务的发展和实施的事宜向香港特区政府提供意见的主要咨询组织</w:t>
      </w:r>
      <w:r w:rsidR="002A1743" w:rsidRPr="002A1743">
        <w:rPr>
          <w:rFonts w:hint="eastAsia"/>
          <w:spacing w:val="-50"/>
          <w:lang w:val="en-GB"/>
        </w:rPr>
        <w:t>―</w:t>
      </w:r>
      <w:r w:rsidR="002A1743" w:rsidRPr="002A1743">
        <w:rPr>
          <w:rFonts w:hint="eastAsia"/>
          <w:lang w:val="en-GB"/>
        </w:rPr>
        <w:t>―</w:t>
      </w:r>
      <w:r w:rsidRPr="00002A77">
        <w:rPr>
          <w:rFonts w:hint="eastAsia"/>
          <w:lang w:val="en-GB"/>
        </w:rPr>
        <w:t>康复咨询委员会、复康界别和公众人士合作，以确保遵行该公约的规定，为残疾人士参与社会事务提供支援，以及维护残疾人士在该公约下享有的权利。此外，香港特区政府亦致力向公众推广该公约的精神和核心价值。</w:t>
      </w:r>
    </w:p>
    <w:p w:rsidR="002A1743" w:rsidRPr="002D6A9C" w:rsidRDefault="002A174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52500" w:rsidRPr="00D13477" w:rsidRDefault="00652500" w:rsidP="0015578B">
      <w:pPr>
        <w:pStyle w:val="SingleTxtGC"/>
        <w:rPr>
          <w:rFonts w:hint="eastAsia"/>
        </w:rPr>
      </w:pPr>
    </w:p>
    <w:sectPr w:rsidR="00652500" w:rsidRPr="00D1347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24" w:rsidRPr="00E017BC" w:rsidRDefault="00416B24" w:rsidP="00E017BC">
      <w:pPr>
        <w:spacing w:after="240"/>
        <w:ind w:left="907"/>
        <w:rPr>
          <w:rFonts w:eastAsia="KaiTi_GB2312" w:hint="eastAsia"/>
          <w:szCs w:val="21"/>
        </w:rPr>
      </w:pPr>
      <w:r>
        <w:rPr>
          <w:rFonts w:eastAsia="KaiTi_GB2312" w:hint="eastAsia"/>
          <w:szCs w:val="21"/>
        </w:rPr>
        <w:t>注</w:t>
      </w:r>
    </w:p>
  </w:endnote>
  <w:endnote w:type="continuationSeparator" w:id="0">
    <w:p w:rsidR="00416B24" w:rsidRPr="00E017BC" w:rsidRDefault="00416B24" w:rsidP="00E017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華康細明體">
    <w:charset w:val="88"/>
    <w:family w:val="modern"/>
    <w:pitch w:val="fixed"/>
    <w:sig w:usb0="F1007BFF" w:usb1="29FFFFFF" w:usb2="00000037" w:usb3="00000000" w:csb0="003F00FF" w:csb1="00000000"/>
  </w:font>
  <w:font w:name="華康中黑體">
    <w:charset w:val="88"/>
    <w:family w:val="modern"/>
    <w:pitch w:val="fixed"/>
    <w:sig w:usb0="F1007BFF" w:usb1="29F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華康粗明體">
    <w:altName w:val="Arial Unicode MS"/>
    <w:charset w:val="88"/>
    <w:family w:val="modern"/>
    <w:pitch w:val="fixed"/>
    <w:sig w:usb0="00000000" w:usb1="3A6F9C38" w:usb2="00000016" w:usb3="00000000" w:csb0="00100001" w:csb1="00000000"/>
  </w:font>
  <w:font w:name="DFKai-SB">
    <w:panose1 w:val="03000509000000000000"/>
    <w:charset w:val="88"/>
    <w:family w:val="script"/>
    <w:pitch w:val="fixed"/>
    <w:sig w:usb0="00000003" w:usb1="080E0000" w:usb2="00000016" w:usb3="00000000" w:csb0="0010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24" w:rsidRPr="00D96605" w:rsidRDefault="00416B24" w:rsidP="00EB570D">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hint="eastAsia"/>
      </w:rPr>
      <w:tab/>
    </w:r>
    <w:r w:rsidRPr="00D96605">
      <w:rPr>
        <w:rStyle w:val="FooterChar"/>
      </w:rPr>
      <w:t>GE.13-49573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24" w:rsidRDefault="00416B24">
    <w:pPr>
      <w:tabs>
        <w:tab w:val="right" w:pos="9639"/>
      </w:tabs>
    </w:pPr>
    <w:r w:rsidRPr="00D96605">
      <w:rPr>
        <w:rStyle w:val="FooterChar"/>
      </w:rPr>
      <w:t>GE.13-49573</w:t>
    </w:r>
    <w:r>
      <w:tab/>
    </w:r>
    <w:r>
      <w:rPr>
        <w:rStyle w:val="PageNumber"/>
      </w:rPr>
      <w:fldChar w:fldCharType="begin"/>
    </w:r>
    <w:r>
      <w:rPr>
        <w:rStyle w:val="PageNumber"/>
      </w:rPr>
      <w:instrText xml:space="preserve"> PAGE </w:instrText>
    </w:r>
    <w:r>
      <w:rPr>
        <w:rStyle w:val="PageNumber"/>
      </w:rPr>
      <w:fldChar w:fldCharType="separate"/>
    </w:r>
    <w:r w:rsidR="00082F20">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24" w:rsidRDefault="00416B24" w:rsidP="006B07A0">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3&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49573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191213</w:t>
    </w:r>
    <w:r>
      <w:rPr>
        <w:rFonts w:eastAsia="SimSun"/>
        <w:sz w:val="20"/>
        <w:lang w:eastAsia="zh-CN"/>
      </w:rPr>
      <w:tab/>
    </w:r>
    <w:r>
      <w:rPr>
        <w:rFonts w:eastAsia="SimSun" w:hint="eastAsia"/>
        <w:sz w:val="20"/>
        <w:lang w:eastAsia="zh-CN"/>
      </w:rPr>
      <w:t>301213</w:t>
    </w:r>
  </w:p>
  <w:p w:rsidR="00416B24" w:rsidRPr="00E04D00" w:rsidRDefault="00416B24" w:rsidP="00B7405F">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D96605">
      <w:rPr>
        <w:rFonts w:ascii="C39T30Lfz" w:eastAsia="SimSun" w:hAnsi="C39T30Lfz"/>
        <w:sz w:val="56"/>
        <w:szCs w:val="56"/>
        <w:lang w:eastAsia="zh-CN"/>
      </w:rPr>
      <w:t></w:t>
    </w:r>
    <w:r w:rsidRPr="00D96605">
      <w:rPr>
        <w:rFonts w:ascii="C39T30Lfz" w:eastAsia="SimSun" w:hAnsi="C39T30Lfz"/>
        <w:sz w:val="56"/>
        <w:szCs w:val="56"/>
        <w:lang w:eastAsia="zh-CN"/>
      </w:rPr>
      <w:t></w:t>
    </w:r>
    <w:r w:rsidRPr="00D96605">
      <w:rPr>
        <w:rFonts w:ascii="C39T30Lfz" w:eastAsia="SimSun" w:hAnsi="C39T30Lfz"/>
        <w:sz w:val="56"/>
        <w:szCs w:val="56"/>
        <w:lang w:eastAsia="zh-CN"/>
      </w:rPr>
      <w:t></w:t>
    </w:r>
    <w:r w:rsidRPr="00D96605">
      <w:rPr>
        <w:rFonts w:ascii="C39T30Lfz" w:eastAsia="SimSun" w:hAnsi="C39T30Lfz"/>
        <w:sz w:val="56"/>
        <w:szCs w:val="56"/>
        <w:lang w:eastAsia="zh-CN"/>
      </w:rPr>
      <w:t></w:t>
    </w:r>
    <w:r w:rsidRPr="00D96605">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24" w:rsidRDefault="00416B24"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416B24" w:rsidRDefault="00416B24"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416B24" w:rsidRPr="00B723D0" w:rsidRDefault="00416B24" w:rsidP="006B07A0">
      <w:pPr>
        <w:pStyle w:val="EndnoteText"/>
        <w:rPr>
          <w:rFonts w:hint="eastAsia"/>
        </w:rPr>
      </w:pPr>
      <w:r>
        <w:rPr>
          <w:rFonts w:hint="eastAsia"/>
        </w:rPr>
        <w:tab/>
      </w:r>
      <w:r w:rsidRPr="00AF2A89">
        <w:rPr>
          <w:rStyle w:val="FootnoteReference"/>
          <w:vertAlign w:val="baseline"/>
        </w:rPr>
        <w:t>*</w:t>
      </w:r>
      <w:r>
        <w:rPr>
          <w:rFonts w:hint="eastAsia"/>
        </w:rPr>
        <w:tab/>
      </w:r>
      <w:r>
        <w:rPr>
          <w:rFonts w:hint="eastAsia"/>
        </w:rPr>
        <w:t>本文件印发时未经正式编辑。</w:t>
      </w:r>
    </w:p>
  </w:footnote>
  <w:footnote w:id="2">
    <w:p w:rsidR="00416B24" w:rsidRPr="00C908F7" w:rsidRDefault="00416B24" w:rsidP="00C908F7">
      <w:pPr>
        <w:pStyle w:val="FootnoteText"/>
        <w:rPr>
          <w:rStyle w:val="SingleTxtGCChar"/>
          <w:rFonts w:hint="eastAsia"/>
          <w:sz w:val="18"/>
          <w:szCs w:val="18"/>
        </w:rPr>
      </w:pPr>
      <w:r>
        <w:rPr>
          <w:rFonts w:hint="eastAsia"/>
        </w:rPr>
        <w:tab/>
      </w:r>
      <w:r w:rsidRPr="00AF6277">
        <w:rPr>
          <w:rStyle w:val="FootnoteReference"/>
          <w:vertAlign w:val="baseline"/>
        </w:rPr>
        <w:t>**</w:t>
      </w:r>
      <w:r w:rsidRPr="00AF6277">
        <w:rPr>
          <w:rFonts w:hint="eastAsia"/>
        </w:rPr>
        <w:tab/>
      </w:r>
      <w:r w:rsidRPr="00C908F7">
        <w:rPr>
          <w:rStyle w:val="SingleTxtGCChar"/>
          <w:rFonts w:hint="eastAsia"/>
          <w:sz w:val="18"/>
          <w:szCs w:val="18"/>
        </w:rPr>
        <w:t>附件可于秘书处文件档案中查阅。</w:t>
      </w:r>
    </w:p>
  </w:footnote>
  <w:footnote w:id="3">
    <w:p w:rsidR="00416B24" w:rsidRDefault="00416B24">
      <w:pPr>
        <w:pStyle w:val="FootnoteText"/>
        <w:rPr>
          <w:rFonts w:hint="eastAsia"/>
        </w:rPr>
      </w:pPr>
      <w:r>
        <w:tab/>
      </w:r>
      <w:r>
        <w:rPr>
          <w:rStyle w:val="FootnoteReference"/>
        </w:rPr>
        <w:footnoteRef/>
      </w:r>
      <w:r>
        <w:tab/>
      </w:r>
      <w:r w:rsidRPr="00977DAB">
        <w:rPr>
          <w:rFonts w:hint="eastAsia"/>
        </w:rPr>
        <w:t>《基本法》附件三所列的全国性法律，载于附件</w:t>
      </w:r>
      <w:r w:rsidRPr="00977DAB">
        <w:t>B</w:t>
      </w:r>
      <w:r w:rsidRPr="00977DAB">
        <w:rPr>
          <w:rFonts w:hint="eastAsia"/>
        </w:rPr>
        <w:t>。</w:t>
      </w:r>
    </w:p>
  </w:footnote>
  <w:footnote w:id="4">
    <w:p w:rsidR="00416B24" w:rsidRDefault="00416B24">
      <w:pPr>
        <w:pStyle w:val="FootnoteText"/>
        <w:rPr>
          <w:rFonts w:hint="eastAsia"/>
        </w:rPr>
      </w:pPr>
      <w:r>
        <w:tab/>
      </w:r>
      <w:r>
        <w:rPr>
          <w:rStyle w:val="FootnoteReference"/>
        </w:rPr>
        <w:footnoteRef/>
      </w:r>
      <w:r>
        <w:tab/>
      </w:r>
      <w:r w:rsidRPr="00BC61DC">
        <w:rPr>
          <w:rFonts w:hint="eastAsia"/>
        </w:rPr>
        <w:t>举例来说，当局早前制定《刑事罪行</w:t>
      </w:r>
      <w:r w:rsidRPr="00BC61DC">
        <w:t>(</w:t>
      </w:r>
      <w:r w:rsidRPr="00BC61DC">
        <w:rPr>
          <w:rFonts w:hint="eastAsia"/>
        </w:rPr>
        <w:t>酷刑</w:t>
      </w:r>
      <w:r w:rsidRPr="00BC61DC">
        <w:t>)</w:t>
      </w:r>
      <w:r w:rsidRPr="00BC61DC">
        <w:rPr>
          <w:rFonts w:hint="eastAsia"/>
        </w:rPr>
        <w:t>条例》</w:t>
      </w:r>
      <w:r w:rsidRPr="00BC61DC">
        <w:t>(</w:t>
      </w:r>
      <w:r w:rsidRPr="00BC61DC">
        <w:rPr>
          <w:rFonts w:hint="eastAsia"/>
        </w:rPr>
        <w:t>第</w:t>
      </w:r>
      <w:r w:rsidRPr="00BC61DC">
        <w:t>427</w:t>
      </w:r>
      <w:r w:rsidRPr="00BC61DC">
        <w:rPr>
          <w:rFonts w:hint="eastAsia"/>
        </w:rPr>
        <w:t>章</w:t>
      </w:r>
      <w:r w:rsidRPr="00BC61DC">
        <w:t>)</w:t>
      </w:r>
      <w:r w:rsidRPr="00BC61DC">
        <w:rPr>
          <w:rFonts w:hint="eastAsia"/>
        </w:rPr>
        <w:t>，正是为了使《禁止酷刑和其他残忍、不人道或有辱人格的待遇或处罚公约》在香港特区具备法律效力。</w:t>
      </w:r>
    </w:p>
  </w:footnote>
  <w:footnote w:id="5">
    <w:p w:rsidR="00416B24" w:rsidRDefault="00416B24" w:rsidP="00217D7A">
      <w:pPr>
        <w:pStyle w:val="FootnoteText"/>
        <w:rPr>
          <w:rFonts w:hint="eastAsia"/>
        </w:rPr>
      </w:pPr>
      <w:r>
        <w:tab/>
      </w:r>
      <w:r>
        <w:rPr>
          <w:rStyle w:val="FootnoteReference"/>
        </w:rPr>
        <w:footnoteRef/>
      </w:r>
      <w:r>
        <w:tab/>
      </w:r>
      <w:r w:rsidRPr="00BC61DC">
        <w:rPr>
          <w:rFonts w:hint="eastAsia"/>
        </w:rPr>
        <w:t>前称《行政事务申诉专员条例》。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24" w:rsidRPr="00D96605" w:rsidRDefault="00416B24">
    <w:pPr>
      <w:pStyle w:val="Header"/>
    </w:pPr>
    <w:r w:rsidRPr="00D96605">
      <w:t>HRI/CORE/CHN-HKG/2013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24" w:rsidRPr="00D96605" w:rsidRDefault="00416B24">
    <w:pPr>
      <w:pStyle w:val="Header"/>
      <w:jc w:val="right"/>
    </w:pPr>
    <w:r w:rsidRPr="00D96605">
      <w:t>HRI/CORE/CHN-HKG/2013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B0E576C"/>
    <w:multiLevelType w:val="hybridMultilevel"/>
    <w:tmpl w:val="445A8B72"/>
    <w:lvl w:ilvl="0" w:tplc="BE043B4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DA94882"/>
    <w:multiLevelType w:val="hybridMultilevel"/>
    <w:tmpl w:val="CDC8F17E"/>
    <w:lvl w:ilvl="0" w:tplc="BE043B4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DA689D"/>
    <w:multiLevelType w:val="hybridMultilevel"/>
    <w:tmpl w:val="3E301E1E"/>
    <w:lvl w:ilvl="0" w:tplc="F1EC7736">
      <w:start w:val="1"/>
      <w:numFmt w:val="lowerLetter"/>
      <w:lvlRestart w:val="0"/>
      <w:lvlText w:val="(%1)"/>
      <w:lvlJc w:val="right"/>
      <w:pPr>
        <w:tabs>
          <w:tab w:val="num" w:pos="2150"/>
        </w:tabs>
        <w:ind w:left="2150" w:hanging="170"/>
      </w:pPr>
      <w:rPr>
        <w:rFonts w:ascii="Times New Roman" w:hAnsi="Times New Roman" w:cs="Courier" w:hint="default"/>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427AD0"/>
    <w:multiLevelType w:val="hybridMultilevel"/>
    <w:tmpl w:val="B1268748"/>
    <w:lvl w:ilvl="0" w:tplc="F1EC7736">
      <w:start w:val="1"/>
      <w:numFmt w:val="lowerLetter"/>
      <w:lvlRestart w:val="0"/>
      <w:lvlText w:val="(%1)"/>
      <w:lvlJc w:val="right"/>
      <w:pPr>
        <w:tabs>
          <w:tab w:val="num" w:pos="2150"/>
        </w:tabs>
        <w:ind w:left="2150" w:hanging="170"/>
      </w:pPr>
      <w:rPr>
        <w:rFonts w:ascii="Times New Roman" w:hAnsi="Times New Roman" w:cs="Courier" w:hint="default"/>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C6651E"/>
    <w:multiLevelType w:val="hybridMultilevel"/>
    <w:tmpl w:val="B4EAFE66"/>
    <w:lvl w:ilvl="0" w:tplc="F120F82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1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421289"/>
    <w:multiLevelType w:val="hybridMultilevel"/>
    <w:tmpl w:val="D1D468F2"/>
    <w:lvl w:ilvl="0" w:tplc="E4FC3BDA">
      <w:start w:val="1"/>
      <w:numFmt w:val="ideographDigital"/>
      <w:lvlText w:val="%1、"/>
      <w:lvlJc w:val="left"/>
      <w:pPr>
        <w:tabs>
          <w:tab w:val="num" w:pos="720"/>
        </w:tabs>
        <w:ind w:left="720" w:hanging="360"/>
      </w:pPr>
      <w:rPr>
        <w:rFonts w:eastAsia="SimHei" w:hint="eastAsia"/>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183175"/>
    <w:multiLevelType w:val="hybridMultilevel"/>
    <w:tmpl w:val="06240248"/>
    <w:lvl w:ilvl="0" w:tplc="F1EC7736">
      <w:start w:val="1"/>
      <w:numFmt w:val="lowerLetter"/>
      <w:lvlRestart w:val="0"/>
      <w:lvlText w:val="(%1)"/>
      <w:lvlJc w:val="right"/>
      <w:pPr>
        <w:tabs>
          <w:tab w:val="num" w:pos="2150"/>
        </w:tabs>
        <w:ind w:left="2150" w:hanging="170"/>
      </w:pPr>
      <w:rPr>
        <w:rFonts w:ascii="Times New Roman" w:hAnsi="Times New Roman" w:cs="Courier" w:hint="default"/>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C27D6E"/>
    <w:multiLevelType w:val="hybridMultilevel"/>
    <w:tmpl w:val="7158AED6"/>
    <w:lvl w:ilvl="0" w:tplc="F1EC7736">
      <w:start w:val="1"/>
      <w:numFmt w:val="lowerLetter"/>
      <w:lvlRestart w:val="0"/>
      <w:lvlText w:val="(%1)"/>
      <w:lvlJc w:val="right"/>
      <w:pPr>
        <w:tabs>
          <w:tab w:val="num" w:pos="2150"/>
        </w:tabs>
        <w:ind w:left="2150" w:hanging="170"/>
      </w:pPr>
      <w:rPr>
        <w:rFonts w:ascii="Times New Roman" w:hAnsi="Times New Roman" w:cs="Courier" w:hint="default"/>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2436C0"/>
    <w:multiLevelType w:val="hybridMultilevel"/>
    <w:tmpl w:val="457AB0CC"/>
    <w:lvl w:ilvl="0" w:tplc="BE043B4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60D3468"/>
    <w:multiLevelType w:val="hybridMultilevel"/>
    <w:tmpl w:val="7F64BB66"/>
    <w:lvl w:ilvl="0" w:tplc="BE043B4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40C193C"/>
    <w:multiLevelType w:val="hybridMultilevel"/>
    <w:tmpl w:val="5268B99A"/>
    <w:lvl w:ilvl="0" w:tplc="C6205564">
      <w:start w:val="1"/>
      <w:numFmt w:val="decimal"/>
      <w:lvlText w:val="%1. "/>
      <w:lvlJc w:val="left"/>
      <w:pPr>
        <w:tabs>
          <w:tab w:val="num" w:pos="1800"/>
        </w:tabs>
        <w:ind w:left="1800" w:hanging="720"/>
      </w:pPr>
      <w:rPr>
        <w:rFonts w:ascii="Times New Roman Bold" w:hAnsi="Times New Roman Bold" w:hint="default"/>
        <w:b/>
        <w:i w:val="0"/>
        <w:sz w:val="21"/>
      </w:rPr>
    </w:lvl>
    <w:lvl w:ilvl="1" w:tplc="FAD0BFE6">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130812"/>
    <w:multiLevelType w:val="hybridMultilevel"/>
    <w:tmpl w:val="781C6EB6"/>
    <w:lvl w:ilvl="0" w:tplc="F1EC7736">
      <w:start w:val="1"/>
      <w:numFmt w:val="lowerLetter"/>
      <w:lvlRestart w:val="0"/>
      <w:lvlText w:val="(%1)"/>
      <w:lvlJc w:val="right"/>
      <w:pPr>
        <w:tabs>
          <w:tab w:val="num" w:pos="2150"/>
        </w:tabs>
        <w:ind w:left="2150" w:hanging="170"/>
      </w:pPr>
      <w:rPr>
        <w:rFonts w:ascii="Times New Roman" w:hAnsi="Times New Roman" w:cs="Courier" w:hint="default"/>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CA06B5"/>
    <w:multiLevelType w:val="hybridMultilevel"/>
    <w:tmpl w:val="0BA047C6"/>
    <w:lvl w:ilvl="0" w:tplc="E396A57A">
      <w:start w:val="1"/>
      <w:numFmt w:val="upperLetter"/>
      <w:lvlText w:val="%1. "/>
      <w:lvlJc w:val="left"/>
      <w:pPr>
        <w:tabs>
          <w:tab w:val="num" w:pos="490"/>
        </w:tabs>
        <w:ind w:left="490" w:hanging="360"/>
      </w:pPr>
      <w:rPr>
        <w:rFonts w:ascii="Times New Roman" w:eastAsia="SimHei" w:hAnsi="Times New Roman" w:hint="default"/>
        <w:sz w:val="24"/>
      </w:r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F66A26"/>
    <w:multiLevelType w:val="hybridMultilevel"/>
    <w:tmpl w:val="51EE72FE"/>
    <w:lvl w:ilvl="0" w:tplc="462C9DA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C403469"/>
    <w:multiLevelType w:val="hybridMultilevel"/>
    <w:tmpl w:val="9460A108"/>
    <w:lvl w:ilvl="0" w:tplc="C6205564">
      <w:start w:val="1"/>
      <w:numFmt w:val="decimal"/>
      <w:lvlText w:val="%1. "/>
      <w:lvlJc w:val="left"/>
      <w:pPr>
        <w:tabs>
          <w:tab w:val="num" w:pos="1800"/>
        </w:tabs>
        <w:ind w:left="1800" w:hanging="720"/>
      </w:pPr>
      <w:rPr>
        <w:rFonts w:ascii="Times New Roman Bold" w:hAnsi="Times New Roman Bold" w:hint="default"/>
        <w:b/>
        <w:i w:val="0"/>
        <w:sz w:val="21"/>
      </w:rPr>
    </w:lvl>
    <w:lvl w:ilvl="1" w:tplc="0409000F">
      <w:start w:val="1"/>
      <w:numFmt w:val="decimal"/>
      <w:lvlText w:val="%2."/>
      <w:lvlJc w:val="left"/>
      <w:pPr>
        <w:tabs>
          <w:tab w:val="num" w:pos="1440"/>
        </w:tabs>
        <w:ind w:left="1440" w:hanging="360"/>
      </w:pPr>
      <w:rPr>
        <w:rFonts w:hint="default"/>
        <w:b/>
        <w:i w:val="0"/>
        <w:sz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F2337D"/>
    <w:multiLevelType w:val="hybridMultilevel"/>
    <w:tmpl w:val="3814A9E4"/>
    <w:lvl w:ilvl="0" w:tplc="706A00C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DD51E3C"/>
    <w:multiLevelType w:val="hybridMultilevel"/>
    <w:tmpl w:val="56C40A52"/>
    <w:lvl w:ilvl="0" w:tplc="E396A57A">
      <w:start w:val="1"/>
      <w:numFmt w:val="upperLetter"/>
      <w:lvlText w:val="%1. "/>
      <w:lvlJc w:val="left"/>
      <w:pPr>
        <w:tabs>
          <w:tab w:val="num" w:pos="720"/>
        </w:tabs>
        <w:ind w:left="720" w:hanging="360"/>
      </w:pPr>
      <w:rPr>
        <w:rFonts w:ascii="Times New Roman" w:eastAsia="SimHei" w:hAnsi="Times New Roman" w:hint="default"/>
        <w:sz w:val="24"/>
      </w:rPr>
    </w:lvl>
    <w:lvl w:ilvl="1" w:tplc="C6205564">
      <w:start w:val="1"/>
      <w:numFmt w:val="decimal"/>
      <w:lvlText w:val="%2. "/>
      <w:lvlJc w:val="left"/>
      <w:pPr>
        <w:tabs>
          <w:tab w:val="num" w:pos="1800"/>
        </w:tabs>
        <w:ind w:left="1800" w:hanging="720"/>
      </w:pPr>
      <w:rPr>
        <w:rFonts w:ascii="Times New Roman Bold" w:hAnsi="Times New Roman Bold" w:hint="default"/>
        <w:b/>
        <w:i w:val="0"/>
        <w:sz w:val="21"/>
      </w:rPr>
    </w:lvl>
    <w:lvl w:ilvl="2" w:tplc="F1EC7736">
      <w:start w:val="1"/>
      <w:numFmt w:val="lowerLetter"/>
      <w:lvlRestart w:val="0"/>
      <w:lvlText w:val="(%3)"/>
      <w:lvlJc w:val="right"/>
      <w:pPr>
        <w:tabs>
          <w:tab w:val="num" w:pos="1990"/>
        </w:tabs>
        <w:ind w:left="1990" w:hanging="170"/>
      </w:pPr>
      <w:rPr>
        <w:rFonts w:ascii="Times New Roman" w:hAnsi="Times New Roman" w:cs="Courier" w:hint="default"/>
        <w:color w:val="auto"/>
        <w:sz w:val="21"/>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5"/>
  </w:num>
  <w:num w:numId="4">
    <w:abstractNumId w:val="12"/>
  </w:num>
  <w:num w:numId="5">
    <w:abstractNumId w:val="10"/>
  </w:num>
  <w:num w:numId="6">
    <w:abstractNumId w:val="0"/>
  </w:num>
  <w:num w:numId="7">
    <w:abstractNumId w:val="21"/>
  </w:num>
  <w:num w:numId="8">
    <w:abstractNumId w:val="6"/>
  </w:num>
  <w:num w:numId="9">
    <w:abstractNumId w:val="1"/>
  </w:num>
  <w:num w:numId="10">
    <w:abstractNumId w:val="11"/>
  </w:num>
  <w:num w:numId="11">
    <w:abstractNumId w:val="13"/>
  </w:num>
  <w:num w:numId="12">
    <w:abstractNumId w:val="26"/>
  </w:num>
  <w:num w:numId="13">
    <w:abstractNumId w:val="20"/>
  </w:num>
  <w:num w:numId="14">
    <w:abstractNumId w:val="24"/>
  </w:num>
  <w:num w:numId="15">
    <w:abstractNumId w:val="18"/>
  </w:num>
  <w:num w:numId="16">
    <w:abstractNumId w:val="15"/>
  </w:num>
  <w:num w:numId="17">
    <w:abstractNumId w:val="14"/>
  </w:num>
  <w:num w:numId="18">
    <w:abstractNumId w:val="8"/>
  </w:num>
  <w:num w:numId="19">
    <w:abstractNumId w:val="7"/>
  </w:num>
  <w:num w:numId="20">
    <w:abstractNumId w:val="19"/>
  </w:num>
  <w:num w:numId="21">
    <w:abstractNumId w:val="3"/>
  </w:num>
  <w:num w:numId="22">
    <w:abstractNumId w:val="17"/>
  </w:num>
  <w:num w:numId="23">
    <w:abstractNumId w:val="22"/>
  </w:num>
  <w:num w:numId="24">
    <w:abstractNumId w:val="2"/>
  </w:num>
  <w:num w:numId="25">
    <w:abstractNumId w:val="9"/>
  </w:num>
  <w:num w:numId="26">
    <w:abstractNumId w:val="16"/>
  </w:num>
  <w:num w:numId="27">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6605"/>
    <w:rsid w:val="0000592D"/>
    <w:rsid w:val="0000793F"/>
    <w:rsid w:val="00011FD7"/>
    <w:rsid w:val="00025ECC"/>
    <w:rsid w:val="00025F54"/>
    <w:rsid w:val="00041F71"/>
    <w:rsid w:val="0007689D"/>
    <w:rsid w:val="00082F20"/>
    <w:rsid w:val="000977B5"/>
    <w:rsid w:val="000A25DA"/>
    <w:rsid w:val="000A52A3"/>
    <w:rsid w:val="000A6D5F"/>
    <w:rsid w:val="000E1685"/>
    <w:rsid w:val="0015578B"/>
    <w:rsid w:val="00161CD4"/>
    <w:rsid w:val="00165069"/>
    <w:rsid w:val="00165E0A"/>
    <w:rsid w:val="001732E9"/>
    <w:rsid w:val="00175AD0"/>
    <w:rsid w:val="001B4496"/>
    <w:rsid w:val="001D24D2"/>
    <w:rsid w:val="001F4E70"/>
    <w:rsid w:val="00213ACB"/>
    <w:rsid w:val="00216AD2"/>
    <w:rsid w:val="00217D7A"/>
    <w:rsid w:val="002435BC"/>
    <w:rsid w:val="002751D5"/>
    <w:rsid w:val="002856F5"/>
    <w:rsid w:val="002A1743"/>
    <w:rsid w:val="002A701F"/>
    <w:rsid w:val="002B132C"/>
    <w:rsid w:val="002E2A2D"/>
    <w:rsid w:val="00337245"/>
    <w:rsid w:val="003605A6"/>
    <w:rsid w:val="00364AE6"/>
    <w:rsid w:val="003761BF"/>
    <w:rsid w:val="0039169B"/>
    <w:rsid w:val="00396EF2"/>
    <w:rsid w:val="003A7EA4"/>
    <w:rsid w:val="003B04F9"/>
    <w:rsid w:val="003B1317"/>
    <w:rsid w:val="003E0C14"/>
    <w:rsid w:val="003E1C2B"/>
    <w:rsid w:val="00416B24"/>
    <w:rsid w:val="00446865"/>
    <w:rsid w:val="004542AB"/>
    <w:rsid w:val="00475D4E"/>
    <w:rsid w:val="004A5CE5"/>
    <w:rsid w:val="004A70A2"/>
    <w:rsid w:val="004C104D"/>
    <w:rsid w:val="004D4168"/>
    <w:rsid w:val="004E2B59"/>
    <w:rsid w:val="005061FF"/>
    <w:rsid w:val="005252F8"/>
    <w:rsid w:val="00544648"/>
    <w:rsid w:val="00551BEE"/>
    <w:rsid w:val="0055326E"/>
    <w:rsid w:val="0057611E"/>
    <w:rsid w:val="00593A4D"/>
    <w:rsid w:val="00596C1F"/>
    <w:rsid w:val="005B39CE"/>
    <w:rsid w:val="005C5B4E"/>
    <w:rsid w:val="005F001F"/>
    <w:rsid w:val="00625E20"/>
    <w:rsid w:val="00640C35"/>
    <w:rsid w:val="00641D07"/>
    <w:rsid w:val="00652500"/>
    <w:rsid w:val="00652C15"/>
    <w:rsid w:val="00663215"/>
    <w:rsid w:val="00676D5E"/>
    <w:rsid w:val="006914F6"/>
    <w:rsid w:val="006B07A0"/>
    <w:rsid w:val="006C21EA"/>
    <w:rsid w:val="006C40CE"/>
    <w:rsid w:val="006D17E4"/>
    <w:rsid w:val="006D596A"/>
    <w:rsid w:val="006F30DE"/>
    <w:rsid w:val="00711DF9"/>
    <w:rsid w:val="007600AF"/>
    <w:rsid w:val="00791FD4"/>
    <w:rsid w:val="007A7267"/>
    <w:rsid w:val="007B1679"/>
    <w:rsid w:val="007B20A5"/>
    <w:rsid w:val="007C5C16"/>
    <w:rsid w:val="00822F18"/>
    <w:rsid w:val="008267B2"/>
    <w:rsid w:val="00830FEC"/>
    <w:rsid w:val="008350D2"/>
    <w:rsid w:val="0088468E"/>
    <w:rsid w:val="008910C5"/>
    <w:rsid w:val="00895E67"/>
    <w:rsid w:val="008A7C35"/>
    <w:rsid w:val="008D6883"/>
    <w:rsid w:val="008E17A4"/>
    <w:rsid w:val="0092101A"/>
    <w:rsid w:val="00930159"/>
    <w:rsid w:val="0095215A"/>
    <w:rsid w:val="00954FEE"/>
    <w:rsid w:val="0096535E"/>
    <w:rsid w:val="009678FE"/>
    <w:rsid w:val="00976F8F"/>
    <w:rsid w:val="00977DAB"/>
    <w:rsid w:val="00984213"/>
    <w:rsid w:val="009B5BC1"/>
    <w:rsid w:val="009C002A"/>
    <w:rsid w:val="009D1553"/>
    <w:rsid w:val="009E23BE"/>
    <w:rsid w:val="009F3C00"/>
    <w:rsid w:val="009F76EA"/>
    <w:rsid w:val="00A15E63"/>
    <w:rsid w:val="00A31620"/>
    <w:rsid w:val="00A7598C"/>
    <w:rsid w:val="00AA5442"/>
    <w:rsid w:val="00AB1AFD"/>
    <w:rsid w:val="00AB7390"/>
    <w:rsid w:val="00AD6461"/>
    <w:rsid w:val="00AF2A89"/>
    <w:rsid w:val="00AF4AF8"/>
    <w:rsid w:val="00AF6277"/>
    <w:rsid w:val="00B10D87"/>
    <w:rsid w:val="00B4146A"/>
    <w:rsid w:val="00B723D0"/>
    <w:rsid w:val="00B7405F"/>
    <w:rsid w:val="00B741C7"/>
    <w:rsid w:val="00B84AB8"/>
    <w:rsid w:val="00B94F4C"/>
    <w:rsid w:val="00BA5860"/>
    <w:rsid w:val="00BC111C"/>
    <w:rsid w:val="00BC5C60"/>
    <w:rsid w:val="00BC61DC"/>
    <w:rsid w:val="00C007DD"/>
    <w:rsid w:val="00C03F18"/>
    <w:rsid w:val="00C22F4A"/>
    <w:rsid w:val="00C3032D"/>
    <w:rsid w:val="00C3056D"/>
    <w:rsid w:val="00C3060A"/>
    <w:rsid w:val="00C908F7"/>
    <w:rsid w:val="00CC0C74"/>
    <w:rsid w:val="00CD4228"/>
    <w:rsid w:val="00CE0B7C"/>
    <w:rsid w:val="00CF7116"/>
    <w:rsid w:val="00D00077"/>
    <w:rsid w:val="00D13477"/>
    <w:rsid w:val="00D23450"/>
    <w:rsid w:val="00D446C7"/>
    <w:rsid w:val="00D44C12"/>
    <w:rsid w:val="00D5694B"/>
    <w:rsid w:val="00D63CB5"/>
    <w:rsid w:val="00D9162B"/>
    <w:rsid w:val="00D96605"/>
    <w:rsid w:val="00DA15F5"/>
    <w:rsid w:val="00DB48AD"/>
    <w:rsid w:val="00DD0A8D"/>
    <w:rsid w:val="00DE4731"/>
    <w:rsid w:val="00DE5956"/>
    <w:rsid w:val="00E017BC"/>
    <w:rsid w:val="00E25AD9"/>
    <w:rsid w:val="00E352D1"/>
    <w:rsid w:val="00E434C0"/>
    <w:rsid w:val="00E57279"/>
    <w:rsid w:val="00E573F0"/>
    <w:rsid w:val="00E5798D"/>
    <w:rsid w:val="00E71CC0"/>
    <w:rsid w:val="00E74239"/>
    <w:rsid w:val="00E84807"/>
    <w:rsid w:val="00EA428B"/>
    <w:rsid w:val="00EA65DE"/>
    <w:rsid w:val="00EB570D"/>
    <w:rsid w:val="00EF3199"/>
    <w:rsid w:val="00F16C1D"/>
    <w:rsid w:val="00F45E02"/>
    <w:rsid w:val="00F47EF8"/>
    <w:rsid w:val="00F57CC0"/>
    <w:rsid w:val="00F64BF7"/>
    <w:rsid w:val="00F67BDA"/>
    <w:rsid w:val="00F7177A"/>
    <w:rsid w:val="00FA59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
    <w:basedOn w:val="Normal"/>
    <w:link w:val="FooterChar"/>
    <w:rsid w:val="00C3032D"/>
    <w:pPr>
      <w:spacing w:line="240" w:lineRule="auto"/>
    </w:pPr>
    <w:rPr>
      <w:rFonts w:eastAsia="Times New Roman"/>
      <w:sz w:val="16"/>
      <w:lang w:val="en-GB" w:eastAsia="en-US"/>
    </w:rPr>
  </w:style>
  <w:style w:type="character" w:customStyle="1" w:styleId="FooterChar">
    <w:name w:val="Footer Char"/>
    <w:aliases w:val="3_G Char"/>
    <w:basedOn w:val="DefaultParagraphFont"/>
    <w:link w:val="Footer"/>
    <w:rsid w:val="00C3032D"/>
    <w:rPr>
      <w:snapToGrid w:val="0"/>
      <w:sz w:val="16"/>
      <w:lang w:val="en-GB" w:eastAsia="en-US" w:bidi="ar-SA"/>
    </w:rPr>
  </w:style>
  <w:style w:type="paragraph" w:customStyle="1" w:styleId="DashGC">
    <w:name w:val="_Dash_GC"/>
    <w:basedOn w:val="Normal"/>
    <w:rsid w:val="009D1553"/>
    <w:pPr>
      <w:numPr>
        <w:numId w:val="3"/>
      </w:numPr>
    </w:pPr>
    <w:rPr>
      <w:lang w:val="fr-CH"/>
    </w:rPr>
  </w:style>
  <w:style w:type="paragraph" w:styleId="FootnoteText">
    <w:name w:val="footnote text"/>
    <w:aliases w:val="5_G,註腳文字 字元 Char 字元"/>
    <w:basedOn w:val="Normal"/>
    <w:link w:val="FootnoteTextChar"/>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aliases w:val="2_G"/>
    <w:basedOn w:val="FootnoteText"/>
    <w:rsid w:val="009D1553"/>
    <w:pPr>
      <w:tabs>
        <w:tab w:val="right" w:pos="1021"/>
      </w:tabs>
    </w:pPr>
  </w:style>
  <w:style w:type="character" w:styleId="EndnoteReference">
    <w:name w:val="endnote reference"/>
    <w:aliases w:val="1_G"/>
    <w:basedOn w:val="FootnoteReference"/>
    <w:rsid w:val="00C007DD"/>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aliases w:val="7_G"/>
    <w:basedOn w:val="DefaultParagraphFont"/>
    <w:rsid w:val="00213ACB"/>
    <w:rPr>
      <w:rFonts w:ascii="Times New Roman" w:hAnsi="Times New Roman"/>
      <w:b/>
      <w:spacing w:val="0"/>
      <w:kern w:val="0"/>
      <w:sz w:val="18"/>
    </w:rPr>
  </w:style>
  <w:style w:type="paragraph" w:styleId="Header">
    <w:name w:val="header"/>
    <w:aliases w:val="6_G"/>
    <w:basedOn w:val="Normal"/>
    <w:link w:val="HeaderChar"/>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
      </w:numPr>
      <w:spacing w:after="120"/>
      <w:ind w:right="1134"/>
    </w:pPr>
  </w:style>
  <w:style w:type="paragraph" w:customStyle="1" w:styleId="Bullet2GC">
    <w:name w:val="_Bullet 2_GC"/>
    <w:basedOn w:val="Normal"/>
    <w:rsid w:val="009D1553"/>
    <w:pPr>
      <w:numPr>
        <w:numId w:val="2"/>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table" w:styleId="TableGrid">
    <w:name w:val="Table Grid"/>
    <w:basedOn w:val="TableNormal"/>
    <w:semiHidden/>
    <w:rsid w:val="00D13477"/>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D13477"/>
    <w:rPr>
      <w:rFonts w:eastAsia="SimSun"/>
      <w:snapToGrid w:val="0"/>
      <w:sz w:val="21"/>
      <w:lang w:val="en-US" w:eastAsia="zh-CN" w:bidi="ar-SA"/>
    </w:rPr>
  </w:style>
  <w:style w:type="paragraph" w:customStyle="1" w:styleId="a6">
    <w:name w:val="八"/>
    <w:rsid w:val="00D13477"/>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eastAsia="zh-CN"/>
    </w:rPr>
  </w:style>
  <w:style w:type="paragraph" w:styleId="ListNumber2">
    <w:name w:val="List Number 2"/>
    <w:basedOn w:val="Normal"/>
    <w:semiHidden/>
    <w:rsid w:val="00D13477"/>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customStyle="1" w:styleId="HMG">
    <w:name w:val="_ H __M_G"/>
    <w:basedOn w:val="Normal"/>
    <w:next w:val="Normal"/>
    <w:rsid w:val="00D13477"/>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D13477"/>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D13477"/>
    <w:pPr>
      <w:numPr>
        <w:numId w:val="6"/>
      </w:numPr>
      <w:tabs>
        <w:tab w:val="clear" w:pos="0"/>
        <w:tab w:val="num" w:pos="1996"/>
      </w:tabs>
      <w:ind w:left="1996" w:firstLine="646"/>
    </w:pPr>
  </w:style>
  <w:style w:type="paragraph" w:customStyle="1" w:styleId="SingleTxtG">
    <w:name w:val="_ Single Txt_G"/>
    <w:basedOn w:val="Normal"/>
    <w:link w:val="SingleTxtGChar"/>
    <w:rsid w:val="00D13477"/>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rsid w:val="00D13477"/>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rsid w:val="00D13477"/>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D13477"/>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D13477"/>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D13477"/>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D13477"/>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D13477"/>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D13477"/>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D13477"/>
    <w:pPr>
      <w:numPr>
        <w:numId w:val="4"/>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D13477"/>
    <w:rPr>
      <w:sz w:val="6"/>
    </w:rPr>
  </w:style>
  <w:style w:type="paragraph" w:styleId="CommentText">
    <w:name w:val="annotation text"/>
    <w:basedOn w:val="Normal"/>
    <w:semiHidden/>
    <w:rsid w:val="00D13477"/>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D13477"/>
    <w:rPr>
      <w:sz w:val="14"/>
    </w:rPr>
  </w:style>
  <w:style w:type="paragraph" w:customStyle="1" w:styleId="Bullet2G">
    <w:name w:val="_Bullet 2_G"/>
    <w:basedOn w:val="Normal"/>
    <w:rsid w:val="00D13477"/>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D13477"/>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D13477"/>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D13477"/>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D13477"/>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D13477"/>
    <w:pPr>
      <w:numPr>
        <w:numId w:val="7"/>
      </w:numPr>
    </w:pPr>
  </w:style>
  <w:style w:type="numbering" w:styleId="1ai">
    <w:name w:val="Outline List 1"/>
    <w:basedOn w:val="NoList"/>
    <w:semiHidden/>
    <w:rsid w:val="00D13477"/>
    <w:pPr>
      <w:numPr>
        <w:numId w:val="8"/>
      </w:numPr>
    </w:pPr>
  </w:style>
  <w:style w:type="numbering" w:styleId="ArticleSection">
    <w:name w:val="Outline List 3"/>
    <w:basedOn w:val="NoList"/>
    <w:semiHidden/>
    <w:rsid w:val="00D13477"/>
    <w:pPr>
      <w:numPr>
        <w:numId w:val="9"/>
      </w:numPr>
    </w:pPr>
  </w:style>
  <w:style w:type="paragraph" w:styleId="BodyText2">
    <w:name w:val="Body Text 2"/>
    <w:basedOn w:val="Normal"/>
    <w:semiHidden/>
    <w:rsid w:val="00D13477"/>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D13477"/>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D13477"/>
    <w:pPr>
      <w:spacing w:after="120"/>
      <w:ind w:firstLine="210"/>
    </w:pPr>
  </w:style>
  <w:style w:type="paragraph" w:styleId="BodyTextFirstIndent2">
    <w:name w:val="Body Text First Indent 2"/>
    <w:basedOn w:val="BodyTextIndent"/>
    <w:semiHidden/>
    <w:rsid w:val="00D13477"/>
    <w:pPr>
      <w:ind w:firstLine="210"/>
    </w:pPr>
  </w:style>
  <w:style w:type="paragraph" w:styleId="BodyTextIndent2">
    <w:name w:val="Body Text Indent 2"/>
    <w:basedOn w:val="Normal"/>
    <w:semiHidden/>
    <w:rsid w:val="00D13477"/>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link w:val="BodyTextIndent3Char"/>
    <w:rsid w:val="00D13477"/>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D13477"/>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D13477"/>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D13477"/>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D13477"/>
    <w:rPr>
      <w:i/>
      <w:iCs/>
    </w:rPr>
  </w:style>
  <w:style w:type="paragraph" w:styleId="EnvelopeReturn">
    <w:name w:val="envelope return"/>
    <w:basedOn w:val="Normal"/>
    <w:semiHidden/>
    <w:rsid w:val="00D13477"/>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D13477"/>
  </w:style>
  <w:style w:type="paragraph" w:styleId="HTMLAddress">
    <w:name w:val="HTML Address"/>
    <w:basedOn w:val="Normal"/>
    <w:semiHidden/>
    <w:rsid w:val="00D13477"/>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D13477"/>
    <w:rPr>
      <w:i/>
      <w:iCs/>
    </w:rPr>
  </w:style>
  <w:style w:type="character" w:styleId="HTMLCode">
    <w:name w:val="HTML Code"/>
    <w:semiHidden/>
    <w:rsid w:val="00D13477"/>
    <w:rPr>
      <w:rFonts w:ascii="Courier New" w:hAnsi="Courier New" w:cs="Courier New"/>
      <w:sz w:val="20"/>
      <w:szCs w:val="20"/>
    </w:rPr>
  </w:style>
  <w:style w:type="character" w:styleId="HTMLDefinition">
    <w:name w:val="HTML Definition"/>
    <w:semiHidden/>
    <w:rsid w:val="00D13477"/>
    <w:rPr>
      <w:i/>
      <w:iCs/>
    </w:rPr>
  </w:style>
  <w:style w:type="character" w:styleId="HTMLKeyboard">
    <w:name w:val="HTML Keyboard"/>
    <w:semiHidden/>
    <w:rsid w:val="00D13477"/>
    <w:rPr>
      <w:rFonts w:ascii="Courier New" w:hAnsi="Courier New" w:cs="Courier New"/>
      <w:sz w:val="20"/>
      <w:szCs w:val="20"/>
    </w:rPr>
  </w:style>
  <w:style w:type="paragraph" w:styleId="HTMLPreformatted">
    <w:name w:val="HTML Preformatted"/>
    <w:basedOn w:val="Normal"/>
    <w:semiHidden/>
    <w:rsid w:val="00D13477"/>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D13477"/>
    <w:rPr>
      <w:rFonts w:ascii="Courier New" w:hAnsi="Courier New" w:cs="Courier New"/>
    </w:rPr>
  </w:style>
  <w:style w:type="character" w:styleId="HTMLTypewriter">
    <w:name w:val="HTML Typewriter"/>
    <w:semiHidden/>
    <w:rsid w:val="00D13477"/>
    <w:rPr>
      <w:rFonts w:ascii="Courier New" w:hAnsi="Courier New" w:cs="Courier New"/>
      <w:sz w:val="20"/>
      <w:szCs w:val="20"/>
    </w:rPr>
  </w:style>
  <w:style w:type="character" w:styleId="HTMLVariable">
    <w:name w:val="HTML Variable"/>
    <w:semiHidden/>
    <w:rsid w:val="00D13477"/>
    <w:rPr>
      <w:i/>
      <w:iCs/>
    </w:rPr>
  </w:style>
  <w:style w:type="paragraph" w:styleId="List">
    <w:name w:val="List"/>
    <w:basedOn w:val="Normal"/>
    <w:semiHidden/>
    <w:rsid w:val="00D13477"/>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D13477"/>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D13477"/>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D13477"/>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D13477"/>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D13477"/>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D13477"/>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D13477"/>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D13477"/>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D13477"/>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D13477"/>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D13477"/>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D13477"/>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D13477"/>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D13477"/>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D13477"/>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3">
    <w:name w:val="List Number 3"/>
    <w:basedOn w:val="Normal"/>
    <w:semiHidden/>
    <w:rsid w:val="00D13477"/>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D13477"/>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D13477"/>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D13477"/>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rsid w:val="00D13477"/>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rsid w:val="00D13477"/>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D13477"/>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D13477"/>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D13477"/>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D13477"/>
    <w:rPr>
      <w:b/>
      <w:bCs/>
    </w:rPr>
  </w:style>
  <w:style w:type="paragraph" w:styleId="Subtitle">
    <w:name w:val="Subtitle"/>
    <w:basedOn w:val="Normal"/>
    <w:qFormat/>
    <w:rsid w:val="00D13477"/>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D134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34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34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34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34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34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34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34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34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34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34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34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34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34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34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34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34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134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34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34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34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34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34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34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34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34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34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34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34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34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34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34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34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34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34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34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34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34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34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34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134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34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34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D13477"/>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FootnoteTextChar">
    <w:name w:val="Footnote Text Char"/>
    <w:aliases w:val="5_G Char,註腳文字 字元 Char 字元 Char"/>
    <w:link w:val="FootnoteText"/>
    <w:rsid w:val="00D13477"/>
    <w:rPr>
      <w:rFonts w:eastAsia="SimSun"/>
      <w:snapToGrid w:val="0"/>
      <w:sz w:val="18"/>
      <w:lang w:val="en-US" w:eastAsia="zh-CN" w:bidi="ar-SA"/>
    </w:rPr>
  </w:style>
  <w:style w:type="character" w:customStyle="1" w:styleId="SingleTxtGChar">
    <w:name w:val="_ Single Txt_G Char"/>
    <w:link w:val="SingleTxtG"/>
    <w:rsid w:val="00D13477"/>
    <w:rPr>
      <w:rFonts w:eastAsia="SimSun"/>
      <w:lang w:val="en-GB" w:eastAsia="en-US" w:bidi="ar-SA"/>
    </w:rPr>
  </w:style>
  <w:style w:type="character" w:customStyle="1" w:styleId="Heading1Char">
    <w:name w:val="Heading 1 Char"/>
    <w:aliases w:val="Table_G Char"/>
    <w:basedOn w:val="SingleTxtGChar"/>
    <w:link w:val="Heading1"/>
    <w:rsid w:val="00D13477"/>
    <w:rPr>
      <w:b/>
      <w:kern w:val="32"/>
      <w:sz w:val="30"/>
      <w:lang w:val="en-US" w:eastAsia="zh-CN"/>
    </w:rPr>
  </w:style>
  <w:style w:type="character" w:customStyle="1" w:styleId="H23GChar">
    <w:name w:val="_ H_2/3_G Char"/>
    <w:link w:val="H23G"/>
    <w:rsid w:val="00D13477"/>
    <w:rPr>
      <w:rFonts w:eastAsia="SimSun"/>
      <w:b/>
      <w:lang w:val="en-GB" w:eastAsia="en-US" w:bidi="ar-SA"/>
    </w:rPr>
  </w:style>
  <w:style w:type="paragraph" w:styleId="BalloonText">
    <w:name w:val="Balloon Text"/>
    <w:basedOn w:val="Normal"/>
    <w:link w:val="BalloonTextChar"/>
    <w:semiHidden/>
    <w:rsid w:val="00D13477"/>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character" w:customStyle="1" w:styleId="Heading2Char">
    <w:name w:val="Heading 2 Char"/>
    <w:link w:val="Heading2"/>
    <w:rsid w:val="00D13477"/>
    <w:rPr>
      <w:rFonts w:eastAsia="SimSun"/>
      <w:snapToGrid w:val="0"/>
      <w:kern w:val="28"/>
      <w:sz w:val="28"/>
      <w:lang w:val="en-US" w:eastAsia="zh-CN" w:bidi="ar-SA"/>
    </w:rPr>
  </w:style>
  <w:style w:type="character" w:customStyle="1" w:styleId="Heading3Char">
    <w:name w:val="Heading 3 Char"/>
    <w:link w:val="Heading3"/>
    <w:rsid w:val="00D13477"/>
    <w:rPr>
      <w:rFonts w:eastAsia="SimSun"/>
      <w:snapToGrid w:val="0"/>
      <w:kern w:val="28"/>
      <w:sz w:val="21"/>
      <w:u w:val="single"/>
      <w:lang w:val="en-US" w:eastAsia="zh-CN" w:bidi="ar-SA"/>
    </w:rPr>
  </w:style>
  <w:style w:type="character" w:customStyle="1" w:styleId="Heading4Char">
    <w:name w:val="Heading 4 Char"/>
    <w:link w:val="Heading4"/>
    <w:rsid w:val="00D13477"/>
    <w:rPr>
      <w:rFonts w:eastAsia="SimSun"/>
      <w:snapToGrid w:val="0"/>
      <w:sz w:val="21"/>
      <w:u w:val="single"/>
      <w:lang w:val="en-US" w:eastAsia="zh-CN" w:bidi="ar-SA"/>
    </w:rPr>
  </w:style>
  <w:style w:type="paragraph" w:customStyle="1" w:styleId="Rom2">
    <w:name w:val="Rom2"/>
    <w:basedOn w:val="Normal"/>
    <w:rsid w:val="00D13477"/>
    <w:pPr>
      <w:numPr>
        <w:numId w:val="10"/>
      </w:numPr>
      <w:tabs>
        <w:tab w:val="clear" w:pos="431"/>
      </w:tabs>
      <w:overflowPunct/>
      <w:adjustRightInd/>
      <w:snapToGrid/>
      <w:spacing w:after="240" w:line="240" w:lineRule="auto"/>
      <w:jc w:val="left"/>
    </w:pPr>
    <w:rPr>
      <w:rFonts w:eastAsia="PMingLiU"/>
      <w:snapToGrid/>
      <w:sz w:val="24"/>
      <w:lang w:val="en-GB" w:eastAsia="en-US"/>
    </w:rPr>
  </w:style>
  <w:style w:type="character" w:customStyle="1" w:styleId="BodyTextChar">
    <w:name w:val="Body Text Char"/>
    <w:link w:val="BodyText"/>
    <w:rsid w:val="00D13477"/>
    <w:rPr>
      <w:rFonts w:eastAsia="SimSun"/>
      <w:lang w:val="en-GB" w:eastAsia="en-US" w:bidi="ar-SA"/>
    </w:rPr>
  </w:style>
  <w:style w:type="character" w:customStyle="1" w:styleId="BodyTextIndent3Char">
    <w:name w:val="Body Text Indent 3 Char"/>
    <w:link w:val="BodyTextIndent3"/>
    <w:rsid w:val="00D13477"/>
    <w:rPr>
      <w:rFonts w:eastAsia="SimSun"/>
      <w:sz w:val="16"/>
      <w:szCs w:val="16"/>
      <w:lang w:val="en-GB" w:eastAsia="en-US" w:bidi="ar-SA"/>
    </w:rPr>
  </w:style>
  <w:style w:type="paragraph" w:customStyle="1" w:styleId="Default">
    <w:name w:val="Default"/>
    <w:rsid w:val="00D13477"/>
    <w:pPr>
      <w:widowControl w:val="0"/>
      <w:autoSpaceDE w:val="0"/>
      <w:autoSpaceDN w:val="0"/>
      <w:adjustRightInd w:val="0"/>
    </w:pPr>
    <w:rPr>
      <w:rFonts w:eastAsia="PMingLiU"/>
      <w:color w:val="000000"/>
      <w:sz w:val="24"/>
      <w:szCs w:val="24"/>
      <w:lang w:eastAsia="zh-TW"/>
    </w:rPr>
  </w:style>
  <w:style w:type="character" w:customStyle="1" w:styleId="text">
    <w:name w:val="text"/>
    <w:basedOn w:val="DefaultParagraphFont"/>
    <w:rsid w:val="00D13477"/>
  </w:style>
  <w:style w:type="character" w:customStyle="1" w:styleId="HeaderChar">
    <w:name w:val="Header Char"/>
    <w:aliases w:val="6_G Char"/>
    <w:link w:val="Header"/>
    <w:rsid w:val="00D13477"/>
    <w:rPr>
      <w:rFonts w:eastAsia="SimSun"/>
      <w:b/>
      <w:snapToGrid w:val="0"/>
      <w:sz w:val="18"/>
      <w:lang w:val="en-GB" w:eastAsia="en-US" w:bidi="ar-SA"/>
    </w:rPr>
  </w:style>
  <w:style w:type="character" w:customStyle="1" w:styleId="3GCharChar">
    <w:name w:val="3_G Char Char"/>
    <w:rsid w:val="00D13477"/>
    <w:rPr>
      <w:snapToGrid w:val="0"/>
      <w:sz w:val="16"/>
      <w:lang w:val="en-GB" w:eastAsia="en-US" w:bidi="ar-SA"/>
    </w:rPr>
  </w:style>
  <w:style w:type="paragraph" w:customStyle="1" w:styleId="Text0">
    <w:name w:val="__Text"/>
    <w:rsid w:val="00D13477"/>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eastAsia="zh-TW"/>
    </w:rPr>
  </w:style>
  <w:style w:type="paragraph" w:customStyle="1" w:styleId="TextBold">
    <w:name w:val="__Text_Bold"/>
    <w:basedOn w:val="Text0"/>
    <w:next w:val="Text0"/>
    <w:rsid w:val="00D13477"/>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D13477"/>
    <w:pPr>
      <w:tabs>
        <w:tab w:val="clear" w:pos="431"/>
      </w:tabs>
      <w:overflowPunct/>
      <w:adjustRightInd/>
      <w:snapToGrid/>
      <w:spacing w:before="100" w:beforeAutospacing="1" w:line="338" w:lineRule="atLeast"/>
      <w:ind w:firstLine="300"/>
    </w:pPr>
    <w:rPr>
      <w:rFonts w:ascii="Verdana" w:eastAsia="PMingLiU" w:hAnsi="Verdana" w:cs="PMingLiU"/>
      <w:snapToGrid/>
      <w:color w:val="555555"/>
      <w:sz w:val="18"/>
      <w:szCs w:val="18"/>
      <w:lang w:eastAsia="zh-TW"/>
    </w:rPr>
  </w:style>
  <w:style w:type="paragraph" w:customStyle="1" w:styleId="CharChar1CharChar">
    <w:name w:val=" Char Char1 字元 字元 Char Char"/>
    <w:basedOn w:val="Normal"/>
    <w:rsid w:val="00D13477"/>
    <w:pPr>
      <w:tabs>
        <w:tab w:val="clear" w:pos="431"/>
      </w:tabs>
      <w:overflowPunct/>
      <w:adjustRightInd/>
      <w:snapToGrid/>
      <w:spacing w:after="160" w:line="240" w:lineRule="exact"/>
      <w:jc w:val="left"/>
    </w:pPr>
    <w:rPr>
      <w:rFonts w:ascii="Verdana" w:hAnsi="Verdana"/>
      <w:snapToGrid/>
      <w:sz w:val="20"/>
      <w:lang w:eastAsia="en-US"/>
    </w:rPr>
  </w:style>
  <w:style w:type="paragraph" w:customStyle="1" w:styleId="title0">
    <w:name w:val="title"/>
    <w:basedOn w:val="Heading1"/>
    <w:rsid w:val="00D13477"/>
    <w:pPr>
      <w:keepLines w:val="0"/>
      <w:tabs>
        <w:tab w:val="clear" w:pos="431"/>
      </w:tabs>
      <w:overflowPunct/>
      <w:snapToGrid/>
      <w:spacing w:after="0" w:line="280" w:lineRule="atLeast"/>
      <w:ind w:left="851" w:hanging="851"/>
      <w:jc w:val="left"/>
      <w:textAlignment w:val="baseline"/>
      <w:outlineLvl w:val="9"/>
    </w:pPr>
    <w:rPr>
      <w:rFonts w:eastAsia="華康粗明體"/>
      <w:kern w:val="52"/>
      <w:sz w:val="24"/>
      <w:lang w:eastAsia="zh-TW"/>
    </w:rPr>
  </w:style>
  <w:style w:type="paragraph" w:customStyle="1" w:styleId="a7">
    <w:name w:val="清單段落"/>
    <w:basedOn w:val="Normal"/>
    <w:qFormat/>
    <w:rsid w:val="00D13477"/>
    <w:pPr>
      <w:tabs>
        <w:tab w:val="clear" w:pos="431"/>
      </w:tabs>
      <w:overflowPunct/>
      <w:adjustRightInd/>
      <w:snapToGrid/>
      <w:spacing w:after="240" w:line="240" w:lineRule="auto"/>
      <w:ind w:leftChars="200" w:left="480"/>
      <w:jc w:val="left"/>
    </w:pPr>
    <w:rPr>
      <w:rFonts w:eastAsia="PMingLiU"/>
      <w:snapToGrid/>
      <w:sz w:val="24"/>
      <w:lang w:val="en-GB" w:eastAsia="en-US"/>
    </w:rPr>
  </w:style>
  <w:style w:type="paragraph" w:customStyle="1" w:styleId="11">
    <w:name w:val="內文 + 11 點"/>
    <w:aliases w:val="靠右,套用後:  0 pt,行距:  最小行高 20 pt"/>
    <w:basedOn w:val="Normal"/>
    <w:rsid w:val="00D13477"/>
    <w:pPr>
      <w:tabs>
        <w:tab w:val="clear" w:pos="431"/>
      </w:tabs>
      <w:overflowPunct/>
      <w:spacing w:line="400" w:lineRule="atLeast"/>
      <w:jc w:val="right"/>
    </w:pPr>
    <w:rPr>
      <w:rFonts w:eastAsia="PMingLiU"/>
      <w:snapToGrid/>
      <w:sz w:val="22"/>
      <w:szCs w:val="22"/>
      <w:lang w:val="en-GB" w:eastAsia="en-US"/>
    </w:rPr>
  </w:style>
  <w:style w:type="character" w:customStyle="1" w:styleId="14">
    <w:name w:val="樣式 (中文) 標楷體 14 點"/>
    <w:rsid w:val="00D13477"/>
    <w:rPr>
      <w:rFonts w:eastAsia="DFKai-SB"/>
      <w:sz w:val="28"/>
    </w:rPr>
  </w:style>
  <w:style w:type="character" w:customStyle="1" w:styleId="Heading5Char">
    <w:name w:val="Heading 5 Char"/>
    <w:link w:val="Heading5"/>
    <w:rsid w:val="00D13477"/>
    <w:rPr>
      <w:rFonts w:eastAsia="SimHei"/>
      <w:bCs/>
      <w:snapToGrid w:val="0"/>
      <w:sz w:val="21"/>
      <w:szCs w:val="36"/>
      <w:lang w:val="en-US" w:eastAsia="zh-CN" w:bidi="ar-SA"/>
    </w:rPr>
  </w:style>
  <w:style w:type="character" w:customStyle="1" w:styleId="text1">
    <w:name w:val="text1"/>
    <w:rsid w:val="00D13477"/>
    <w:rPr>
      <w:rFonts w:ascii="Arial" w:hAnsi="Arial" w:cs="Arial" w:hint="default"/>
    </w:rPr>
  </w:style>
  <w:style w:type="character" w:customStyle="1" w:styleId="TitleChar">
    <w:name w:val="Title Char"/>
    <w:link w:val="Title"/>
    <w:rsid w:val="00D13477"/>
    <w:rPr>
      <w:rFonts w:ascii="Arial" w:eastAsia="SimSun" w:hAnsi="Arial" w:cs="Arial"/>
      <w:b/>
      <w:bCs/>
      <w:snapToGrid w:val="0"/>
      <w:sz w:val="32"/>
      <w:szCs w:val="32"/>
      <w:lang w:val="en-US" w:eastAsia="zh-CN" w:bidi="ar-SA"/>
    </w:rPr>
  </w:style>
  <w:style w:type="character" w:customStyle="1" w:styleId="BalloonTextChar">
    <w:name w:val="Balloon Text Char"/>
    <w:link w:val="BalloonText"/>
    <w:semiHidden/>
    <w:rsid w:val="00D13477"/>
    <w:rPr>
      <w:rFonts w:ascii="Tahoma" w:eastAsia="SimSun" w:hAnsi="Tahoma" w:cs="Tahoma"/>
      <w:sz w:val="16"/>
      <w:szCs w:val="16"/>
      <w:lang w:val="en-GB" w:eastAsia="en-US" w:bidi="ar-SA"/>
    </w:rPr>
  </w:style>
  <w:style w:type="paragraph" w:customStyle="1" w:styleId="2CharCharCharChar">
    <w:name w:val=" 字元 字元2 字元 字元 字元 字元 字元 字元 Char 字元 字元 Char 字元 字元 Char 字元 字元 Char"/>
    <w:basedOn w:val="Normal"/>
    <w:rsid w:val="00D13477"/>
    <w:pPr>
      <w:tabs>
        <w:tab w:val="clear" w:pos="431"/>
      </w:tabs>
      <w:overflowPunct/>
      <w:adjustRightInd/>
      <w:spacing w:before="100" w:beforeAutospacing="1" w:afterLines="150" w:afterAutospacing="1" w:line="330" w:lineRule="atLeast"/>
      <w:ind w:left="360"/>
      <w:jc w:val="left"/>
    </w:pPr>
    <w:rPr>
      <w:rFonts w:ascii="ˎ̥" w:hAnsi="ˎ̥" w:cs="SimSun"/>
      <w:snapToGrid/>
      <w:color w:val="51585D"/>
      <w:szCs w:val="18"/>
      <w:lang w:val="en-GB"/>
    </w:rPr>
  </w:style>
  <w:style w:type="character" w:customStyle="1" w:styleId="tooltipstyle">
    <w:name w:val="tooltip_style"/>
    <w:rsid w:val="00D13477"/>
  </w:style>
  <w:style w:type="character" w:customStyle="1" w:styleId="CharChar10">
    <w:name w:val=" Char Char10"/>
    <w:rsid w:val="00D13477"/>
    <w:rPr>
      <w:rFonts w:ascii="Times New Roman" w:hAnsi="Times New Roman"/>
      <w:b/>
      <w:caps/>
      <w:sz w:val="24"/>
      <w:szCs w:val="24"/>
      <w:lang w:val="en-GB" w:eastAsia="en-US"/>
    </w:rPr>
  </w:style>
  <w:style w:type="character" w:customStyle="1" w:styleId="CharChar9">
    <w:name w:val=" Char Char9"/>
    <w:rsid w:val="00D13477"/>
    <w:rPr>
      <w:rFonts w:ascii="Times New Roman" w:eastAsia="PMingLiU" w:hAnsi="Times New Roman" w:cs="Times New Roman"/>
      <w:b/>
      <w:kern w:val="0"/>
      <w:szCs w:val="20"/>
      <w:lang w:val="en-GB" w:eastAsia="en-US"/>
    </w:rPr>
  </w:style>
  <w:style w:type="character" w:customStyle="1" w:styleId="CharChar8">
    <w:name w:val=" Char Char8"/>
    <w:rsid w:val="00D13477"/>
    <w:rPr>
      <w:rFonts w:ascii="Cambria" w:hAnsi="Cambria"/>
      <w:b/>
      <w:bCs/>
      <w:sz w:val="36"/>
      <w:szCs w:val="36"/>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25</Pages>
  <Words>3216</Words>
  <Characters>17306</Characters>
  <Application>Microsoft Office Outlook</Application>
  <DocSecurity>4</DocSecurity>
  <Lines>326</Lines>
  <Paragraphs>145</Paragraphs>
  <ScaleCrop>false</ScaleCrop>
  <Company>CSD</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2</cp:revision>
  <cp:lastPrinted>2013-12-30T14:21:00Z</cp:lastPrinted>
  <dcterms:created xsi:type="dcterms:W3CDTF">2013-12-30T14:53:00Z</dcterms:created>
  <dcterms:modified xsi:type="dcterms:W3CDTF">2013-12-30T14:53:00Z</dcterms:modified>
</cp:coreProperties>
</file>