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253DC" w14:paraId="074F7E7F" w14:textId="77777777" w:rsidTr="00C619FA">
        <w:trPr>
          <w:trHeight w:hRule="exact" w:val="851"/>
        </w:trPr>
        <w:tc>
          <w:tcPr>
            <w:tcW w:w="1280" w:type="dxa"/>
            <w:tcBorders>
              <w:bottom w:val="single" w:sz="4" w:space="0" w:color="auto"/>
            </w:tcBorders>
          </w:tcPr>
          <w:p w14:paraId="480B7E28" w14:textId="77777777" w:rsidR="002D5AAC" w:rsidRPr="008253DC" w:rsidRDefault="002D5AAC" w:rsidP="00C619FA">
            <w:pPr>
              <w:kinsoku w:val="0"/>
              <w:overflowPunct w:val="0"/>
              <w:autoSpaceDE w:val="0"/>
              <w:autoSpaceDN w:val="0"/>
              <w:adjustRightInd w:val="0"/>
              <w:snapToGrid w:val="0"/>
              <w:rPr>
                <w:sz w:val="18"/>
                <w:szCs w:val="18"/>
                <w:lang w:val="es-ES_tradnl"/>
              </w:rPr>
            </w:pPr>
          </w:p>
        </w:tc>
        <w:tc>
          <w:tcPr>
            <w:tcW w:w="2273" w:type="dxa"/>
            <w:tcBorders>
              <w:bottom w:val="single" w:sz="4" w:space="0" w:color="auto"/>
            </w:tcBorders>
            <w:vAlign w:val="bottom"/>
          </w:tcPr>
          <w:p w14:paraId="7BF3A2B7" w14:textId="77777777" w:rsidR="002D5AAC" w:rsidRPr="008253DC" w:rsidRDefault="00BD33EE" w:rsidP="00C057D5">
            <w:pPr>
              <w:spacing w:after="80" w:line="300" w:lineRule="exact"/>
              <w:rPr>
                <w:sz w:val="28"/>
                <w:lang w:val="es-ES_tradnl"/>
              </w:rPr>
            </w:pPr>
            <w:r w:rsidRPr="008253DC">
              <w:rPr>
                <w:sz w:val="28"/>
                <w:lang w:val="es-ES_tradnl"/>
              </w:rPr>
              <w:t>Naciones Unidas</w:t>
            </w:r>
          </w:p>
        </w:tc>
        <w:tc>
          <w:tcPr>
            <w:tcW w:w="6086" w:type="dxa"/>
            <w:gridSpan w:val="2"/>
            <w:tcBorders>
              <w:bottom w:val="single" w:sz="4" w:space="0" w:color="auto"/>
            </w:tcBorders>
            <w:vAlign w:val="bottom"/>
          </w:tcPr>
          <w:p w14:paraId="4CB643AF" w14:textId="6E38D05F" w:rsidR="002D5AAC" w:rsidRPr="008253DC" w:rsidRDefault="00C619FA" w:rsidP="00C619FA">
            <w:pPr>
              <w:jc w:val="right"/>
              <w:rPr>
                <w:lang w:val="es-ES_tradnl"/>
              </w:rPr>
            </w:pPr>
            <w:r w:rsidRPr="008253DC">
              <w:rPr>
                <w:sz w:val="40"/>
                <w:lang w:val="es-ES_tradnl"/>
              </w:rPr>
              <w:t>HRI</w:t>
            </w:r>
            <w:r w:rsidRPr="008253DC">
              <w:rPr>
                <w:lang w:val="es-ES_tradnl"/>
              </w:rPr>
              <w:t>/CORE/ISL/2021</w:t>
            </w:r>
          </w:p>
        </w:tc>
      </w:tr>
      <w:tr w:rsidR="002D5AAC" w:rsidRPr="008253DC" w14:paraId="6E9C4C20" w14:textId="77777777" w:rsidTr="00C619FA">
        <w:trPr>
          <w:trHeight w:hRule="exact" w:val="2835"/>
        </w:trPr>
        <w:tc>
          <w:tcPr>
            <w:tcW w:w="1280" w:type="dxa"/>
            <w:tcBorders>
              <w:top w:val="single" w:sz="4" w:space="0" w:color="auto"/>
              <w:bottom w:val="single" w:sz="12" w:space="0" w:color="auto"/>
            </w:tcBorders>
          </w:tcPr>
          <w:p w14:paraId="0FB49386" w14:textId="77777777" w:rsidR="002D5AAC" w:rsidRPr="008253DC" w:rsidRDefault="0095700F" w:rsidP="00C057D5">
            <w:pPr>
              <w:spacing w:before="120"/>
              <w:jc w:val="center"/>
              <w:rPr>
                <w:lang w:val="es-ES_tradnl"/>
              </w:rPr>
            </w:pPr>
            <w:r w:rsidRPr="008253DC">
              <w:rPr>
                <w:noProof/>
                <w:lang w:val="es-ES_tradnl"/>
              </w:rPr>
              <w:drawing>
                <wp:inline distT="0" distB="0" distL="0" distR="0" wp14:anchorId="03D5B625" wp14:editId="38B9654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D8C36CD" w14:textId="77777777" w:rsidR="002D5AAC" w:rsidRPr="008253DC" w:rsidRDefault="00DB6076" w:rsidP="00C057D5">
            <w:pPr>
              <w:spacing w:before="120" w:line="380" w:lineRule="exact"/>
              <w:rPr>
                <w:b/>
                <w:sz w:val="34"/>
                <w:szCs w:val="34"/>
                <w:lang w:val="es-ES_tradnl"/>
              </w:rPr>
            </w:pPr>
            <w:r w:rsidRPr="008253DC">
              <w:rPr>
                <w:b/>
                <w:sz w:val="34"/>
                <w:szCs w:val="34"/>
                <w:lang w:val="es-ES_tradnl"/>
              </w:rPr>
              <w:t>Instrumentos Internacionales</w:t>
            </w:r>
            <w:r w:rsidRPr="008253DC">
              <w:rPr>
                <w:b/>
                <w:sz w:val="34"/>
                <w:szCs w:val="34"/>
                <w:lang w:val="es-ES_tradnl"/>
              </w:rPr>
              <w:br/>
              <w:t>de Derechos Humanos</w:t>
            </w:r>
          </w:p>
        </w:tc>
        <w:tc>
          <w:tcPr>
            <w:tcW w:w="2819" w:type="dxa"/>
            <w:tcBorders>
              <w:top w:val="single" w:sz="4" w:space="0" w:color="auto"/>
              <w:bottom w:val="single" w:sz="12" w:space="0" w:color="auto"/>
            </w:tcBorders>
          </w:tcPr>
          <w:p w14:paraId="1140AECD" w14:textId="77777777" w:rsidR="002D5AAC" w:rsidRPr="008253DC" w:rsidRDefault="00C619FA" w:rsidP="00C057D5">
            <w:pPr>
              <w:spacing w:before="240"/>
              <w:rPr>
                <w:lang w:val="es-ES_tradnl"/>
              </w:rPr>
            </w:pPr>
            <w:r w:rsidRPr="008253DC">
              <w:rPr>
                <w:lang w:val="es-ES_tradnl"/>
              </w:rPr>
              <w:t>Distr. general</w:t>
            </w:r>
          </w:p>
          <w:p w14:paraId="17D93D7B" w14:textId="77777777" w:rsidR="00C619FA" w:rsidRPr="008253DC" w:rsidRDefault="00C619FA" w:rsidP="00C619FA">
            <w:pPr>
              <w:spacing w:line="240" w:lineRule="exact"/>
              <w:rPr>
                <w:lang w:val="es-ES_tradnl"/>
              </w:rPr>
            </w:pPr>
            <w:r w:rsidRPr="008253DC">
              <w:rPr>
                <w:lang w:val="es-ES_tradnl"/>
              </w:rPr>
              <w:t>29 de julio de 2021</w:t>
            </w:r>
          </w:p>
          <w:p w14:paraId="2790D886" w14:textId="77777777" w:rsidR="00C619FA" w:rsidRPr="008253DC" w:rsidRDefault="00C619FA" w:rsidP="00C619FA">
            <w:pPr>
              <w:spacing w:line="240" w:lineRule="exact"/>
              <w:rPr>
                <w:lang w:val="es-ES_tradnl"/>
              </w:rPr>
            </w:pPr>
            <w:r w:rsidRPr="008253DC">
              <w:rPr>
                <w:lang w:val="es-ES_tradnl"/>
              </w:rPr>
              <w:t>Español</w:t>
            </w:r>
          </w:p>
          <w:p w14:paraId="271F1604" w14:textId="01970E40" w:rsidR="00C619FA" w:rsidRPr="008253DC" w:rsidRDefault="00C619FA" w:rsidP="00C619FA">
            <w:pPr>
              <w:spacing w:line="240" w:lineRule="exact"/>
              <w:rPr>
                <w:lang w:val="es-ES_tradnl"/>
              </w:rPr>
            </w:pPr>
            <w:r w:rsidRPr="008253DC">
              <w:rPr>
                <w:lang w:val="es-ES_tradnl"/>
              </w:rPr>
              <w:t>Original: inglés</w:t>
            </w:r>
          </w:p>
        </w:tc>
      </w:tr>
    </w:tbl>
    <w:p w14:paraId="7B139622" w14:textId="65B484F8" w:rsidR="00C619FA" w:rsidRPr="008253DC" w:rsidRDefault="00C619FA" w:rsidP="00C619FA">
      <w:pPr>
        <w:pStyle w:val="HMG"/>
        <w:rPr>
          <w:lang w:val="es-ES_tradnl"/>
        </w:rPr>
      </w:pPr>
      <w:r w:rsidRPr="008253DC">
        <w:rPr>
          <w:lang w:val="es-ES_tradnl"/>
        </w:rPr>
        <w:tab/>
      </w:r>
      <w:r w:rsidRPr="008253DC">
        <w:rPr>
          <w:lang w:val="es-ES_tradnl"/>
        </w:rPr>
        <w:tab/>
        <w:t>Documento básico común que forma parte integrante de los informes de los Estados partes</w:t>
      </w:r>
    </w:p>
    <w:p w14:paraId="3973920F" w14:textId="604974BF" w:rsidR="00C619FA" w:rsidRPr="008253DC" w:rsidRDefault="00C619FA" w:rsidP="00C619FA">
      <w:pPr>
        <w:pStyle w:val="HMG"/>
        <w:rPr>
          <w:lang w:val="es-ES_tradnl"/>
        </w:rPr>
      </w:pPr>
      <w:r w:rsidRPr="008253DC">
        <w:rPr>
          <w:lang w:val="es-ES_tradnl"/>
        </w:rPr>
        <w:tab/>
      </w:r>
      <w:r w:rsidRPr="008253DC">
        <w:rPr>
          <w:lang w:val="es-ES_tradnl"/>
        </w:rPr>
        <w:tab/>
        <w:t>Islandia</w:t>
      </w:r>
      <w:r w:rsidRPr="008253DC">
        <w:rPr>
          <w:rStyle w:val="Refdenotaalpie"/>
          <w:b w:val="0"/>
          <w:bCs/>
          <w:sz w:val="20"/>
          <w:vertAlign w:val="baseline"/>
          <w:lang w:val="es-ES_tradnl"/>
        </w:rPr>
        <w:footnoteReference w:customMarkFollows="1" w:id="1"/>
        <w:t>*</w:t>
      </w:r>
    </w:p>
    <w:p w14:paraId="21B71F18" w14:textId="77777777" w:rsidR="00C619FA" w:rsidRPr="008253DC" w:rsidRDefault="00C619FA" w:rsidP="00C619FA">
      <w:pPr>
        <w:pStyle w:val="SingleTxtG"/>
        <w:jc w:val="right"/>
        <w:rPr>
          <w:lang w:val="es-ES_tradnl"/>
        </w:rPr>
      </w:pPr>
      <w:r w:rsidRPr="008253DC">
        <w:rPr>
          <w:lang w:val="es-ES_tradnl"/>
        </w:rPr>
        <w:t>[Fecha de recepción: 20 de abril de 2021]</w:t>
      </w:r>
    </w:p>
    <w:p w14:paraId="0930A6CD" w14:textId="77777777" w:rsidR="00C619FA" w:rsidRPr="008253DC" w:rsidRDefault="00C619FA" w:rsidP="00C619FA">
      <w:pPr>
        <w:pStyle w:val="SingleTxtG"/>
        <w:rPr>
          <w:b/>
          <w:lang w:val="es-ES_tradnl"/>
        </w:rPr>
      </w:pPr>
      <w:r w:rsidRPr="008253DC">
        <w:rPr>
          <w:lang w:val="es-ES_tradnl"/>
        </w:rPr>
        <w:br w:type="page"/>
      </w:r>
    </w:p>
    <w:p w14:paraId="2A7BBA1A" w14:textId="77777777" w:rsidR="00C619FA" w:rsidRPr="008253DC" w:rsidRDefault="00C619FA" w:rsidP="00C619FA">
      <w:pPr>
        <w:pStyle w:val="HChG"/>
        <w:rPr>
          <w:lang w:val="es-ES_tradnl"/>
        </w:rPr>
      </w:pPr>
      <w:r w:rsidRPr="008253DC">
        <w:rPr>
          <w:lang w:val="es-ES_tradnl"/>
        </w:rPr>
        <w:lastRenderedPageBreak/>
        <w:tab/>
        <w:t>I.</w:t>
      </w:r>
      <w:r w:rsidRPr="008253DC">
        <w:rPr>
          <w:lang w:val="es-ES_tradnl"/>
        </w:rPr>
        <w:tab/>
        <w:t>Información general</w:t>
      </w:r>
    </w:p>
    <w:p w14:paraId="679F30B0" w14:textId="2DCC8DF2" w:rsidR="00C619FA" w:rsidRPr="008253DC" w:rsidRDefault="00C619FA" w:rsidP="00C619FA">
      <w:pPr>
        <w:pStyle w:val="H1G"/>
        <w:rPr>
          <w:lang w:val="es-ES_tradnl"/>
        </w:rPr>
      </w:pPr>
      <w:r w:rsidRPr="008253DC">
        <w:rPr>
          <w:lang w:val="es-ES_tradnl"/>
        </w:rPr>
        <w:tab/>
        <w:t>A.</w:t>
      </w:r>
      <w:r w:rsidRPr="008253DC">
        <w:rPr>
          <w:lang w:val="es-ES_tradnl"/>
        </w:rPr>
        <w:tab/>
        <w:t>Características demográficas, económicas, sociales y culturales del Estado</w:t>
      </w:r>
    </w:p>
    <w:p w14:paraId="611BC772" w14:textId="77777777" w:rsidR="00C619FA" w:rsidRPr="008253DC" w:rsidRDefault="00C619FA" w:rsidP="00C619FA">
      <w:pPr>
        <w:pStyle w:val="H23G"/>
        <w:rPr>
          <w:lang w:val="es-ES_tradnl"/>
        </w:rPr>
      </w:pPr>
      <w:r w:rsidRPr="008253DC">
        <w:rPr>
          <w:lang w:val="es-ES_tradnl"/>
        </w:rPr>
        <w:tab/>
        <w:t>1.</w:t>
      </w:r>
      <w:r w:rsidRPr="008253DC">
        <w:rPr>
          <w:lang w:val="es-ES_tradnl"/>
        </w:rPr>
        <w:tab/>
        <w:t>Población</w:t>
      </w:r>
    </w:p>
    <w:p w14:paraId="01BF55C2" w14:textId="43F8FBB6" w:rsidR="00C619FA" w:rsidRPr="008253DC" w:rsidRDefault="00C619FA" w:rsidP="00C619FA">
      <w:pPr>
        <w:pStyle w:val="SingleTxtG"/>
        <w:rPr>
          <w:lang w:val="es-ES_tradnl"/>
        </w:rPr>
      </w:pPr>
      <w:r w:rsidRPr="008253DC">
        <w:rPr>
          <w:lang w:val="es-ES_tradnl"/>
        </w:rPr>
        <w:t>1.</w:t>
      </w:r>
      <w:r w:rsidRPr="008253DC">
        <w:rPr>
          <w:lang w:val="es-ES_tradnl"/>
        </w:rPr>
        <w:tab/>
        <w:t>Al 1 de enero de 2020, la población de Islandia tenía 364.134 habitantes. Reikiavik, la capital y la ciudad más grande, tenía 129.770 habitantes, y la población de la región metropolitana, 231.716 habitantes.</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208"/>
        <w:gridCol w:w="1861"/>
        <w:gridCol w:w="2289"/>
        <w:gridCol w:w="2012"/>
      </w:tblGrid>
      <w:tr w:rsidR="00C619FA" w:rsidRPr="008253DC" w14:paraId="0C658648" w14:textId="77777777" w:rsidTr="00C619FA">
        <w:trPr>
          <w:trHeight w:val="240"/>
          <w:tblHeader/>
        </w:trPr>
        <w:tc>
          <w:tcPr>
            <w:tcW w:w="1208" w:type="dxa"/>
            <w:tcBorders>
              <w:top w:val="single" w:sz="4" w:space="0" w:color="auto"/>
              <w:bottom w:val="single" w:sz="12" w:space="0" w:color="auto"/>
            </w:tcBorders>
            <w:shd w:val="clear" w:color="auto" w:fill="auto"/>
            <w:noWrap/>
            <w:vAlign w:val="bottom"/>
            <w:hideMark/>
          </w:tcPr>
          <w:p w14:paraId="244991D3" w14:textId="77777777" w:rsidR="00C619FA" w:rsidRPr="008253DC" w:rsidRDefault="00C619FA" w:rsidP="00C619FA">
            <w:pPr>
              <w:pStyle w:val="SingleTxtG"/>
              <w:tabs>
                <w:tab w:val="clear" w:pos="1701"/>
                <w:tab w:val="clear" w:pos="2268"/>
                <w:tab w:val="clear" w:pos="2835"/>
              </w:tabs>
              <w:spacing w:before="80" w:after="80" w:line="200" w:lineRule="exact"/>
              <w:ind w:left="0" w:right="0"/>
              <w:jc w:val="left"/>
              <w:rPr>
                <w:i/>
                <w:iCs/>
                <w:sz w:val="16"/>
                <w:lang w:val="es-ES_tradnl"/>
              </w:rPr>
            </w:pPr>
            <w:r w:rsidRPr="008253DC">
              <w:rPr>
                <w:i/>
                <w:iCs/>
                <w:sz w:val="16"/>
                <w:lang w:val="es-ES_tradnl"/>
              </w:rPr>
              <w:t>Año</w:t>
            </w:r>
          </w:p>
        </w:tc>
        <w:tc>
          <w:tcPr>
            <w:tcW w:w="1861" w:type="dxa"/>
            <w:tcBorders>
              <w:top w:val="single" w:sz="4" w:space="0" w:color="auto"/>
              <w:bottom w:val="single" w:sz="12" w:space="0" w:color="auto"/>
            </w:tcBorders>
            <w:shd w:val="clear" w:color="auto" w:fill="auto"/>
            <w:noWrap/>
            <w:vAlign w:val="bottom"/>
            <w:hideMark/>
          </w:tcPr>
          <w:p w14:paraId="356C14C9" w14:textId="77777777" w:rsidR="00C619FA" w:rsidRPr="008253DC" w:rsidRDefault="00C619FA" w:rsidP="00C619FA">
            <w:pPr>
              <w:pStyle w:val="SingleTxtG"/>
              <w:tabs>
                <w:tab w:val="clear" w:pos="1701"/>
                <w:tab w:val="clear" w:pos="2268"/>
                <w:tab w:val="clear" w:pos="2835"/>
              </w:tabs>
              <w:spacing w:before="80" w:after="80" w:line="200" w:lineRule="exact"/>
              <w:ind w:left="57" w:right="28"/>
              <w:jc w:val="right"/>
              <w:rPr>
                <w:i/>
                <w:iCs/>
                <w:sz w:val="16"/>
                <w:lang w:val="es-ES_tradnl"/>
              </w:rPr>
            </w:pPr>
            <w:r w:rsidRPr="008253DC">
              <w:rPr>
                <w:i/>
                <w:iCs/>
                <w:sz w:val="16"/>
                <w:lang w:val="es-ES_tradnl"/>
              </w:rPr>
              <w:t>Tamaño de la población</w:t>
            </w:r>
          </w:p>
        </w:tc>
        <w:tc>
          <w:tcPr>
            <w:tcW w:w="2289" w:type="dxa"/>
            <w:tcBorders>
              <w:top w:val="single" w:sz="4" w:space="0" w:color="auto"/>
              <w:bottom w:val="single" w:sz="12" w:space="0" w:color="auto"/>
            </w:tcBorders>
            <w:shd w:val="clear" w:color="auto" w:fill="auto"/>
            <w:noWrap/>
            <w:vAlign w:val="bottom"/>
            <w:hideMark/>
          </w:tcPr>
          <w:p w14:paraId="0E66384B" w14:textId="14D8CEC2" w:rsidR="00C619FA" w:rsidRPr="008253DC" w:rsidRDefault="00C619FA" w:rsidP="00C619FA">
            <w:pPr>
              <w:pStyle w:val="SingleTxtG"/>
              <w:tabs>
                <w:tab w:val="clear" w:pos="1701"/>
                <w:tab w:val="clear" w:pos="2268"/>
                <w:tab w:val="clear" w:pos="2835"/>
              </w:tabs>
              <w:spacing w:before="80" w:after="80" w:line="200" w:lineRule="exact"/>
              <w:ind w:left="57" w:right="28"/>
              <w:jc w:val="right"/>
              <w:rPr>
                <w:i/>
                <w:iCs/>
                <w:sz w:val="16"/>
                <w:lang w:val="es-ES_tradnl"/>
              </w:rPr>
            </w:pPr>
            <w:r w:rsidRPr="008253DC">
              <w:rPr>
                <w:i/>
                <w:iCs/>
                <w:sz w:val="16"/>
                <w:lang w:val="es-ES_tradnl"/>
              </w:rPr>
              <w:t>Tasa de crecimiento demográfico (</w:t>
            </w:r>
            <w:r w:rsidR="009656FE" w:rsidRPr="008253DC">
              <w:rPr>
                <w:i/>
                <w:iCs/>
                <w:sz w:val="16"/>
                <w:lang w:val="es-ES_tradnl"/>
              </w:rPr>
              <w:t>porcentaje</w:t>
            </w:r>
            <w:r w:rsidRPr="008253DC">
              <w:rPr>
                <w:i/>
                <w:iCs/>
                <w:sz w:val="16"/>
                <w:lang w:val="es-ES_tradnl"/>
              </w:rPr>
              <w:t>)</w:t>
            </w:r>
          </w:p>
        </w:tc>
        <w:tc>
          <w:tcPr>
            <w:tcW w:w="2012" w:type="dxa"/>
            <w:tcBorders>
              <w:top w:val="single" w:sz="4" w:space="0" w:color="auto"/>
              <w:bottom w:val="single" w:sz="12" w:space="0" w:color="auto"/>
            </w:tcBorders>
            <w:shd w:val="clear" w:color="auto" w:fill="auto"/>
            <w:noWrap/>
            <w:vAlign w:val="bottom"/>
            <w:hideMark/>
          </w:tcPr>
          <w:p w14:paraId="028A3D7D" w14:textId="77777777" w:rsidR="00C619FA" w:rsidRPr="008253DC" w:rsidRDefault="00C619FA" w:rsidP="00C619FA">
            <w:pPr>
              <w:pStyle w:val="SingleTxtG"/>
              <w:tabs>
                <w:tab w:val="clear" w:pos="1701"/>
                <w:tab w:val="clear" w:pos="2268"/>
                <w:tab w:val="clear" w:pos="2835"/>
              </w:tabs>
              <w:spacing w:before="80" w:after="80" w:line="200" w:lineRule="exact"/>
              <w:ind w:left="57" w:right="28"/>
              <w:jc w:val="right"/>
              <w:rPr>
                <w:i/>
                <w:iCs/>
                <w:sz w:val="16"/>
                <w:lang w:val="es-ES_tradnl"/>
              </w:rPr>
            </w:pPr>
            <w:r w:rsidRPr="008253DC">
              <w:rPr>
                <w:i/>
                <w:iCs/>
                <w:sz w:val="16"/>
                <w:lang w:val="es-ES_tradnl"/>
              </w:rPr>
              <w:t>Habitantes por km</w:t>
            </w:r>
            <w:r w:rsidRPr="008253DC">
              <w:rPr>
                <w:i/>
                <w:iCs/>
                <w:sz w:val="16"/>
                <w:vertAlign w:val="superscript"/>
                <w:lang w:val="es-ES_tradnl"/>
              </w:rPr>
              <w:t>2</w:t>
            </w:r>
          </w:p>
        </w:tc>
      </w:tr>
      <w:tr w:rsidR="00C619FA" w:rsidRPr="008253DC" w14:paraId="0E424C92" w14:textId="77777777" w:rsidTr="00C619FA">
        <w:trPr>
          <w:trHeight w:val="240"/>
        </w:trPr>
        <w:tc>
          <w:tcPr>
            <w:tcW w:w="1208" w:type="dxa"/>
            <w:tcBorders>
              <w:top w:val="single" w:sz="12" w:space="0" w:color="auto"/>
            </w:tcBorders>
            <w:shd w:val="clear" w:color="auto" w:fill="auto"/>
            <w:noWrap/>
            <w:hideMark/>
          </w:tcPr>
          <w:p w14:paraId="2DDD2F88"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2014</w:t>
            </w:r>
          </w:p>
        </w:tc>
        <w:tc>
          <w:tcPr>
            <w:tcW w:w="1861" w:type="dxa"/>
            <w:tcBorders>
              <w:top w:val="single" w:sz="12" w:space="0" w:color="auto"/>
            </w:tcBorders>
            <w:shd w:val="clear" w:color="auto" w:fill="auto"/>
            <w:noWrap/>
            <w:vAlign w:val="bottom"/>
            <w:hideMark/>
          </w:tcPr>
          <w:p w14:paraId="197547CB"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326 340</w:t>
            </w:r>
          </w:p>
        </w:tc>
        <w:tc>
          <w:tcPr>
            <w:tcW w:w="2289" w:type="dxa"/>
            <w:tcBorders>
              <w:top w:val="single" w:sz="12" w:space="0" w:color="auto"/>
            </w:tcBorders>
            <w:shd w:val="clear" w:color="auto" w:fill="auto"/>
            <w:noWrap/>
            <w:vAlign w:val="bottom"/>
            <w:hideMark/>
          </w:tcPr>
          <w:p w14:paraId="435007B5"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1,0</w:t>
            </w:r>
          </w:p>
        </w:tc>
        <w:tc>
          <w:tcPr>
            <w:tcW w:w="2012" w:type="dxa"/>
            <w:tcBorders>
              <w:top w:val="single" w:sz="12" w:space="0" w:color="auto"/>
            </w:tcBorders>
            <w:shd w:val="clear" w:color="auto" w:fill="auto"/>
            <w:noWrap/>
            <w:vAlign w:val="bottom"/>
            <w:hideMark/>
          </w:tcPr>
          <w:p w14:paraId="70447B7D"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w:t>
            </w:r>
          </w:p>
        </w:tc>
      </w:tr>
      <w:tr w:rsidR="00C619FA" w:rsidRPr="008253DC" w14:paraId="4FEFB58D" w14:textId="77777777" w:rsidTr="00C619FA">
        <w:trPr>
          <w:trHeight w:val="240"/>
        </w:trPr>
        <w:tc>
          <w:tcPr>
            <w:tcW w:w="1208" w:type="dxa"/>
            <w:shd w:val="clear" w:color="auto" w:fill="auto"/>
            <w:noWrap/>
            <w:hideMark/>
          </w:tcPr>
          <w:p w14:paraId="20802EB8"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2015</w:t>
            </w:r>
          </w:p>
        </w:tc>
        <w:tc>
          <w:tcPr>
            <w:tcW w:w="1861" w:type="dxa"/>
            <w:shd w:val="clear" w:color="auto" w:fill="auto"/>
            <w:noWrap/>
            <w:vAlign w:val="bottom"/>
            <w:hideMark/>
          </w:tcPr>
          <w:p w14:paraId="708D0CBA"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329 740</w:t>
            </w:r>
          </w:p>
        </w:tc>
        <w:tc>
          <w:tcPr>
            <w:tcW w:w="2289" w:type="dxa"/>
            <w:shd w:val="clear" w:color="auto" w:fill="auto"/>
            <w:noWrap/>
            <w:vAlign w:val="bottom"/>
            <w:hideMark/>
          </w:tcPr>
          <w:p w14:paraId="6E2E2B23"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1,0</w:t>
            </w:r>
          </w:p>
        </w:tc>
        <w:tc>
          <w:tcPr>
            <w:tcW w:w="2012" w:type="dxa"/>
            <w:shd w:val="clear" w:color="auto" w:fill="auto"/>
            <w:noWrap/>
            <w:vAlign w:val="bottom"/>
            <w:hideMark/>
          </w:tcPr>
          <w:p w14:paraId="7C39C962"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w:t>
            </w:r>
          </w:p>
        </w:tc>
      </w:tr>
      <w:tr w:rsidR="00C619FA" w:rsidRPr="008253DC" w14:paraId="73B11425" w14:textId="77777777" w:rsidTr="00C619FA">
        <w:trPr>
          <w:trHeight w:val="240"/>
        </w:trPr>
        <w:tc>
          <w:tcPr>
            <w:tcW w:w="1208" w:type="dxa"/>
            <w:shd w:val="clear" w:color="auto" w:fill="auto"/>
            <w:noWrap/>
            <w:hideMark/>
          </w:tcPr>
          <w:p w14:paraId="3A14D34A"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2016</w:t>
            </w:r>
          </w:p>
        </w:tc>
        <w:tc>
          <w:tcPr>
            <w:tcW w:w="1861" w:type="dxa"/>
            <w:shd w:val="clear" w:color="auto" w:fill="auto"/>
            <w:noWrap/>
            <w:vAlign w:val="bottom"/>
            <w:hideMark/>
          </w:tcPr>
          <w:p w14:paraId="4BFA9B65" w14:textId="20AAFF8D"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334 3</w:t>
            </w:r>
            <w:r w:rsidR="009656FE" w:rsidRPr="008253DC">
              <w:rPr>
                <w:sz w:val="18"/>
                <w:lang w:val="es-ES_tradnl"/>
              </w:rPr>
              <w:t>0</w:t>
            </w:r>
            <w:r w:rsidRPr="008253DC">
              <w:rPr>
                <w:sz w:val="18"/>
                <w:lang w:val="es-ES_tradnl"/>
              </w:rPr>
              <w:t>0</w:t>
            </w:r>
          </w:p>
        </w:tc>
        <w:tc>
          <w:tcPr>
            <w:tcW w:w="2289" w:type="dxa"/>
            <w:shd w:val="clear" w:color="auto" w:fill="auto"/>
            <w:noWrap/>
            <w:vAlign w:val="bottom"/>
            <w:hideMark/>
          </w:tcPr>
          <w:p w14:paraId="68283F8A"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1,8</w:t>
            </w:r>
          </w:p>
        </w:tc>
        <w:tc>
          <w:tcPr>
            <w:tcW w:w="2012" w:type="dxa"/>
            <w:shd w:val="clear" w:color="auto" w:fill="auto"/>
            <w:noWrap/>
            <w:vAlign w:val="bottom"/>
            <w:hideMark/>
          </w:tcPr>
          <w:p w14:paraId="6B1A86C5"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w:t>
            </w:r>
          </w:p>
        </w:tc>
      </w:tr>
      <w:tr w:rsidR="00C619FA" w:rsidRPr="008253DC" w14:paraId="6EF4D553" w14:textId="77777777" w:rsidTr="00C619FA">
        <w:trPr>
          <w:trHeight w:val="240"/>
        </w:trPr>
        <w:tc>
          <w:tcPr>
            <w:tcW w:w="1208" w:type="dxa"/>
            <w:shd w:val="clear" w:color="auto" w:fill="auto"/>
            <w:noWrap/>
            <w:hideMark/>
          </w:tcPr>
          <w:p w14:paraId="6B5ED4E3"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2017</w:t>
            </w:r>
          </w:p>
        </w:tc>
        <w:tc>
          <w:tcPr>
            <w:tcW w:w="1861" w:type="dxa"/>
            <w:shd w:val="clear" w:color="auto" w:fill="auto"/>
            <w:noWrap/>
            <w:vAlign w:val="bottom"/>
            <w:hideMark/>
          </w:tcPr>
          <w:p w14:paraId="3019F5A3"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340 110</w:t>
            </w:r>
          </w:p>
        </w:tc>
        <w:tc>
          <w:tcPr>
            <w:tcW w:w="2289" w:type="dxa"/>
            <w:shd w:val="clear" w:color="auto" w:fill="auto"/>
            <w:noWrap/>
            <w:vAlign w:val="bottom"/>
            <w:hideMark/>
          </w:tcPr>
          <w:p w14:paraId="6EF13AB7"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3,0</w:t>
            </w:r>
          </w:p>
        </w:tc>
        <w:tc>
          <w:tcPr>
            <w:tcW w:w="2012" w:type="dxa"/>
            <w:shd w:val="clear" w:color="auto" w:fill="auto"/>
            <w:noWrap/>
            <w:vAlign w:val="bottom"/>
            <w:hideMark/>
          </w:tcPr>
          <w:p w14:paraId="376669C7"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w:t>
            </w:r>
          </w:p>
        </w:tc>
      </w:tr>
      <w:tr w:rsidR="00C619FA" w:rsidRPr="008253DC" w14:paraId="03A9CCBA" w14:textId="77777777" w:rsidTr="00C619FA">
        <w:trPr>
          <w:trHeight w:val="240"/>
        </w:trPr>
        <w:tc>
          <w:tcPr>
            <w:tcW w:w="1208" w:type="dxa"/>
            <w:tcBorders>
              <w:bottom w:val="single" w:sz="12" w:space="0" w:color="auto"/>
            </w:tcBorders>
            <w:shd w:val="clear" w:color="auto" w:fill="auto"/>
            <w:noWrap/>
            <w:hideMark/>
          </w:tcPr>
          <w:p w14:paraId="41A8CFC8"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2018</w:t>
            </w:r>
          </w:p>
        </w:tc>
        <w:tc>
          <w:tcPr>
            <w:tcW w:w="1861" w:type="dxa"/>
            <w:tcBorders>
              <w:bottom w:val="single" w:sz="12" w:space="0" w:color="auto"/>
            </w:tcBorders>
            <w:shd w:val="clear" w:color="auto" w:fill="auto"/>
            <w:noWrap/>
            <w:vAlign w:val="bottom"/>
            <w:hideMark/>
          </w:tcPr>
          <w:p w14:paraId="0438049A"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350 710</w:t>
            </w:r>
          </w:p>
        </w:tc>
        <w:tc>
          <w:tcPr>
            <w:tcW w:w="2289" w:type="dxa"/>
            <w:tcBorders>
              <w:bottom w:val="single" w:sz="12" w:space="0" w:color="auto"/>
            </w:tcBorders>
            <w:shd w:val="clear" w:color="auto" w:fill="auto"/>
            <w:noWrap/>
            <w:vAlign w:val="bottom"/>
            <w:hideMark/>
          </w:tcPr>
          <w:p w14:paraId="74152C5C"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2,4</w:t>
            </w:r>
          </w:p>
        </w:tc>
        <w:tc>
          <w:tcPr>
            <w:tcW w:w="2012" w:type="dxa"/>
            <w:tcBorders>
              <w:bottom w:val="single" w:sz="12" w:space="0" w:color="auto"/>
            </w:tcBorders>
            <w:shd w:val="clear" w:color="auto" w:fill="auto"/>
            <w:noWrap/>
            <w:vAlign w:val="bottom"/>
            <w:hideMark/>
          </w:tcPr>
          <w:p w14:paraId="6B53A9E6"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w:t>
            </w:r>
          </w:p>
        </w:tc>
      </w:tr>
    </w:tbl>
    <w:p w14:paraId="241FABE7" w14:textId="77777777" w:rsidR="00C619FA" w:rsidRPr="008253DC" w:rsidRDefault="00C619FA" w:rsidP="00C619FA">
      <w:pPr>
        <w:pStyle w:val="SingleTxtG"/>
        <w:rPr>
          <w:lang w:val="es-ES_tradnl"/>
        </w:rPr>
      </w:pP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C619FA" w:rsidRPr="008253DC" w14:paraId="4EBF95DE" w14:textId="77777777" w:rsidTr="00C619FA">
        <w:trPr>
          <w:trHeight w:val="240"/>
          <w:tblHeader/>
        </w:trPr>
        <w:tc>
          <w:tcPr>
            <w:tcW w:w="2456" w:type="dxa"/>
            <w:tcBorders>
              <w:top w:val="single" w:sz="4" w:space="0" w:color="auto"/>
              <w:bottom w:val="single" w:sz="12" w:space="0" w:color="auto"/>
            </w:tcBorders>
            <w:shd w:val="clear" w:color="auto" w:fill="auto"/>
            <w:noWrap/>
            <w:vAlign w:val="bottom"/>
            <w:hideMark/>
          </w:tcPr>
          <w:p w14:paraId="6E127676" w14:textId="77777777" w:rsidR="00C619FA" w:rsidRPr="008253DC" w:rsidRDefault="00C619FA" w:rsidP="00C619FA">
            <w:pPr>
              <w:pStyle w:val="SingleTxtG"/>
              <w:tabs>
                <w:tab w:val="clear" w:pos="1701"/>
                <w:tab w:val="clear" w:pos="2268"/>
                <w:tab w:val="clear" w:pos="2835"/>
              </w:tabs>
              <w:spacing w:before="80" w:after="80" w:line="200" w:lineRule="exact"/>
              <w:ind w:left="0" w:right="0"/>
              <w:jc w:val="left"/>
              <w:rPr>
                <w:i/>
                <w:iCs/>
                <w:sz w:val="16"/>
                <w:lang w:val="es-ES_tradnl"/>
              </w:rPr>
            </w:pPr>
            <w:r w:rsidRPr="008253DC">
              <w:rPr>
                <w:i/>
                <w:iCs/>
                <w:sz w:val="16"/>
                <w:lang w:val="es-ES_tradnl"/>
              </w:rPr>
              <w:t>Año</w:t>
            </w:r>
          </w:p>
        </w:tc>
        <w:tc>
          <w:tcPr>
            <w:tcW w:w="2457" w:type="dxa"/>
            <w:tcBorders>
              <w:top w:val="single" w:sz="4" w:space="0" w:color="auto"/>
              <w:bottom w:val="single" w:sz="12" w:space="0" w:color="auto"/>
            </w:tcBorders>
            <w:shd w:val="clear" w:color="auto" w:fill="auto"/>
            <w:noWrap/>
            <w:vAlign w:val="bottom"/>
            <w:hideMark/>
          </w:tcPr>
          <w:p w14:paraId="555779E3" w14:textId="77777777" w:rsidR="00C619FA" w:rsidRPr="008253DC" w:rsidRDefault="00C619FA" w:rsidP="00C619FA">
            <w:pPr>
              <w:pStyle w:val="SingleTxtG"/>
              <w:tabs>
                <w:tab w:val="clear" w:pos="1701"/>
                <w:tab w:val="clear" w:pos="2268"/>
                <w:tab w:val="clear" w:pos="2835"/>
              </w:tabs>
              <w:spacing w:before="80" w:after="80" w:line="200" w:lineRule="exact"/>
              <w:ind w:left="57" w:right="28"/>
              <w:jc w:val="right"/>
              <w:rPr>
                <w:i/>
                <w:iCs/>
                <w:sz w:val="16"/>
                <w:lang w:val="es-ES_tradnl"/>
              </w:rPr>
            </w:pPr>
            <w:r w:rsidRPr="008253DC">
              <w:rPr>
                <w:i/>
                <w:iCs/>
                <w:sz w:val="16"/>
                <w:lang w:val="es-ES_tradnl"/>
              </w:rPr>
              <w:t>Población de las zonas rurales</w:t>
            </w:r>
          </w:p>
        </w:tc>
        <w:tc>
          <w:tcPr>
            <w:tcW w:w="2457" w:type="dxa"/>
            <w:tcBorders>
              <w:top w:val="single" w:sz="4" w:space="0" w:color="auto"/>
              <w:bottom w:val="single" w:sz="12" w:space="0" w:color="auto"/>
            </w:tcBorders>
            <w:shd w:val="clear" w:color="auto" w:fill="auto"/>
            <w:noWrap/>
            <w:vAlign w:val="bottom"/>
            <w:hideMark/>
          </w:tcPr>
          <w:p w14:paraId="17EBDE65" w14:textId="77777777" w:rsidR="00C619FA" w:rsidRPr="008253DC" w:rsidRDefault="00C619FA" w:rsidP="00C619FA">
            <w:pPr>
              <w:pStyle w:val="SingleTxtG"/>
              <w:tabs>
                <w:tab w:val="clear" w:pos="1701"/>
                <w:tab w:val="clear" w:pos="2268"/>
                <w:tab w:val="clear" w:pos="2835"/>
              </w:tabs>
              <w:spacing w:before="80" w:after="80" w:line="200" w:lineRule="exact"/>
              <w:ind w:left="57" w:right="28"/>
              <w:jc w:val="right"/>
              <w:rPr>
                <w:i/>
                <w:iCs/>
                <w:sz w:val="16"/>
                <w:lang w:val="es-ES_tradnl"/>
              </w:rPr>
            </w:pPr>
            <w:r w:rsidRPr="008253DC">
              <w:rPr>
                <w:i/>
                <w:iCs/>
                <w:sz w:val="16"/>
                <w:lang w:val="es-ES_tradnl"/>
              </w:rPr>
              <w:t>Población de las zonas urbanas</w:t>
            </w:r>
          </w:p>
        </w:tc>
      </w:tr>
      <w:tr w:rsidR="00C619FA" w:rsidRPr="008253DC" w14:paraId="79FE8A5E" w14:textId="77777777" w:rsidTr="00C619FA">
        <w:trPr>
          <w:trHeight w:val="240"/>
        </w:trPr>
        <w:tc>
          <w:tcPr>
            <w:tcW w:w="2456" w:type="dxa"/>
            <w:tcBorders>
              <w:top w:val="single" w:sz="12" w:space="0" w:color="auto"/>
            </w:tcBorders>
            <w:shd w:val="clear" w:color="auto" w:fill="auto"/>
            <w:noWrap/>
            <w:hideMark/>
          </w:tcPr>
          <w:p w14:paraId="26E542F0"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2014</w:t>
            </w:r>
          </w:p>
        </w:tc>
        <w:tc>
          <w:tcPr>
            <w:tcW w:w="2457" w:type="dxa"/>
            <w:tcBorders>
              <w:top w:val="single" w:sz="12" w:space="0" w:color="auto"/>
            </w:tcBorders>
            <w:shd w:val="clear" w:color="auto" w:fill="auto"/>
            <w:noWrap/>
            <w:vAlign w:val="bottom"/>
            <w:hideMark/>
          </w:tcPr>
          <w:p w14:paraId="4445AA22"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20 029</w:t>
            </w:r>
          </w:p>
        </w:tc>
        <w:tc>
          <w:tcPr>
            <w:tcW w:w="2457" w:type="dxa"/>
            <w:tcBorders>
              <w:top w:val="single" w:sz="12" w:space="0" w:color="auto"/>
            </w:tcBorders>
            <w:shd w:val="clear" w:color="auto" w:fill="auto"/>
            <w:noWrap/>
            <w:vAlign w:val="bottom"/>
            <w:hideMark/>
          </w:tcPr>
          <w:p w14:paraId="3F9CB5FD"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305 642</w:t>
            </w:r>
          </w:p>
        </w:tc>
      </w:tr>
      <w:tr w:rsidR="00C619FA" w:rsidRPr="008253DC" w14:paraId="77ED7203" w14:textId="77777777" w:rsidTr="00C619FA">
        <w:trPr>
          <w:trHeight w:val="240"/>
        </w:trPr>
        <w:tc>
          <w:tcPr>
            <w:tcW w:w="2456" w:type="dxa"/>
            <w:shd w:val="clear" w:color="auto" w:fill="auto"/>
            <w:noWrap/>
            <w:hideMark/>
          </w:tcPr>
          <w:p w14:paraId="350F21B9"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2015</w:t>
            </w:r>
          </w:p>
        </w:tc>
        <w:tc>
          <w:tcPr>
            <w:tcW w:w="2457" w:type="dxa"/>
            <w:shd w:val="clear" w:color="auto" w:fill="auto"/>
            <w:noWrap/>
            <w:vAlign w:val="bottom"/>
            <w:hideMark/>
          </w:tcPr>
          <w:p w14:paraId="208D8D80"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20 585</w:t>
            </w:r>
          </w:p>
        </w:tc>
        <w:tc>
          <w:tcPr>
            <w:tcW w:w="2457" w:type="dxa"/>
            <w:shd w:val="clear" w:color="auto" w:fill="auto"/>
            <w:noWrap/>
            <w:vAlign w:val="bottom"/>
            <w:hideMark/>
          </w:tcPr>
          <w:p w14:paraId="717A326D"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308 515</w:t>
            </w:r>
          </w:p>
        </w:tc>
      </w:tr>
      <w:tr w:rsidR="00C619FA" w:rsidRPr="008253DC" w14:paraId="5DBFEE34" w14:textId="77777777" w:rsidTr="00C619FA">
        <w:trPr>
          <w:trHeight w:val="240"/>
        </w:trPr>
        <w:tc>
          <w:tcPr>
            <w:tcW w:w="2456" w:type="dxa"/>
            <w:shd w:val="clear" w:color="auto" w:fill="auto"/>
            <w:noWrap/>
            <w:hideMark/>
          </w:tcPr>
          <w:p w14:paraId="6B3BC503"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2016</w:t>
            </w:r>
          </w:p>
        </w:tc>
        <w:tc>
          <w:tcPr>
            <w:tcW w:w="2457" w:type="dxa"/>
            <w:shd w:val="clear" w:color="auto" w:fill="auto"/>
            <w:noWrap/>
            <w:vAlign w:val="bottom"/>
            <w:hideMark/>
          </w:tcPr>
          <w:p w14:paraId="6F0201E4"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20 679</w:t>
            </w:r>
          </w:p>
        </w:tc>
        <w:tc>
          <w:tcPr>
            <w:tcW w:w="2457" w:type="dxa"/>
            <w:shd w:val="clear" w:color="auto" w:fill="auto"/>
            <w:noWrap/>
            <w:vAlign w:val="bottom"/>
            <w:hideMark/>
          </w:tcPr>
          <w:p w14:paraId="3B0F8722" w14:textId="5C80A70A"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311 85</w:t>
            </w:r>
            <w:r w:rsidR="009656FE" w:rsidRPr="008253DC">
              <w:rPr>
                <w:sz w:val="18"/>
                <w:lang w:val="es-ES_tradnl"/>
              </w:rPr>
              <w:t>0</w:t>
            </w:r>
          </w:p>
        </w:tc>
      </w:tr>
      <w:tr w:rsidR="00C619FA" w:rsidRPr="008253DC" w14:paraId="11E878E8" w14:textId="77777777" w:rsidTr="00C619FA">
        <w:trPr>
          <w:trHeight w:val="240"/>
        </w:trPr>
        <w:tc>
          <w:tcPr>
            <w:tcW w:w="2456" w:type="dxa"/>
            <w:shd w:val="clear" w:color="auto" w:fill="auto"/>
            <w:noWrap/>
            <w:hideMark/>
          </w:tcPr>
          <w:p w14:paraId="27222C57"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2017</w:t>
            </w:r>
          </w:p>
        </w:tc>
        <w:tc>
          <w:tcPr>
            <w:tcW w:w="2457" w:type="dxa"/>
            <w:shd w:val="clear" w:color="auto" w:fill="auto"/>
            <w:noWrap/>
            <w:vAlign w:val="bottom"/>
            <w:hideMark/>
          </w:tcPr>
          <w:p w14:paraId="650BCB36"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21 455</w:t>
            </w:r>
          </w:p>
        </w:tc>
        <w:tc>
          <w:tcPr>
            <w:tcW w:w="2457" w:type="dxa"/>
            <w:shd w:val="clear" w:color="auto" w:fill="auto"/>
            <w:noWrap/>
            <w:vAlign w:val="bottom"/>
            <w:hideMark/>
          </w:tcPr>
          <w:p w14:paraId="107FCD02"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316 904</w:t>
            </w:r>
          </w:p>
        </w:tc>
      </w:tr>
      <w:tr w:rsidR="00C619FA" w:rsidRPr="008253DC" w14:paraId="4DDFD0AD" w14:textId="77777777" w:rsidTr="00C619FA">
        <w:trPr>
          <w:trHeight w:val="240"/>
        </w:trPr>
        <w:tc>
          <w:tcPr>
            <w:tcW w:w="2456" w:type="dxa"/>
            <w:tcBorders>
              <w:bottom w:val="single" w:sz="12" w:space="0" w:color="auto"/>
            </w:tcBorders>
            <w:shd w:val="clear" w:color="auto" w:fill="auto"/>
            <w:noWrap/>
            <w:hideMark/>
          </w:tcPr>
          <w:p w14:paraId="1E731215"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2018</w:t>
            </w:r>
          </w:p>
        </w:tc>
        <w:tc>
          <w:tcPr>
            <w:tcW w:w="2457" w:type="dxa"/>
            <w:tcBorders>
              <w:bottom w:val="single" w:sz="12" w:space="0" w:color="auto"/>
            </w:tcBorders>
            <w:shd w:val="clear" w:color="auto" w:fill="auto"/>
            <w:noWrap/>
            <w:vAlign w:val="bottom"/>
            <w:hideMark/>
          </w:tcPr>
          <w:p w14:paraId="3F897324"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22 048</w:t>
            </w:r>
          </w:p>
        </w:tc>
        <w:tc>
          <w:tcPr>
            <w:tcW w:w="2457" w:type="dxa"/>
            <w:tcBorders>
              <w:bottom w:val="single" w:sz="12" w:space="0" w:color="auto"/>
            </w:tcBorders>
            <w:shd w:val="clear" w:color="auto" w:fill="auto"/>
            <w:noWrap/>
            <w:vAlign w:val="bottom"/>
            <w:hideMark/>
          </w:tcPr>
          <w:p w14:paraId="1712F8CF"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330 559</w:t>
            </w:r>
          </w:p>
        </w:tc>
      </w:tr>
    </w:tbl>
    <w:p w14:paraId="1E554E86" w14:textId="77777777" w:rsidR="00C619FA" w:rsidRPr="008253DC" w:rsidRDefault="00C619FA" w:rsidP="00C619FA">
      <w:pPr>
        <w:pStyle w:val="SingleTxtG"/>
        <w:spacing w:before="120" w:after="0"/>
        <w:ind w:firstLine="170"/>
        <w:jc w:val="left"/>
        <w:rPr>
          <w:i/>
          <w:iCs/>
          <w:sz w:val="18"/>
          <w:szCs w:val="18"/>
          <w:lang w:val="es-ES_tradnl"/>
        </w:rPr>
      </w:pPr>
      <w:r w:rsidRPr="008253DC">
        <w:rPr>
          <w:i/>
          <w:iCs/>
          <w:sz w:val="18"/>
          <w:szCs w:val="18"/>
          <w:lang w:val="es-ES_tradnl"/>
        </w:rPr>
        <w:t>Zonas urbanas: más de 200 habitantes.</w:t>
      </w:r>
    </w:p>
    <w:p w14:paraId="49B21DB5" w14:textId="77777777" w:rsidR="00C619FA" w:rsidRPr="008253DC" w:rsidRDefault="00C619FA" w:rsidP="00C619FA">
      <w:pPr>
        <w:pStyle w:val="SingleTxtG"/>
        <w:spacing w:after="240"/>
        <w:ind w:firstLine="170"/>
        <w:jc w:val="left"/>
        <w:rPr>
          <w:i/>
          <w:iCs/>
          <w:sz w:val="18"/>
          <w:szCs w:val="18"/>
          <w:lang w:val="es-ES_tradnl"/>
        </w:rPr>
      </w:pPr>
      <w:r w:rsidRPr="008253DC">
        <w:rPr>
          <w:i/>
          <w:iCs/>
          <w:sz w:val="18"/>
          <w:szCs w:val="18"/>
          <w:lang w:val="es-ES_tradnl"/>
        </w:rPr>
        <w:t>Zonas rurales: menos de 200 habitantes.</w:t>
      </w:r>
    </w:p>
    <w:p w14:paraId="512A76FA" w14:textId="228E7D64" w:rsidR="00C619FA" w:rsidRPr="008253DC" w:rsidRDefault="00C619FA" w:rsidP="00C619FA">
      <w:pPr>
        <w:pStyle w:val="SingleTxtG"/>
        <w:rPr>
          <w:i/>
          <w:lang w:val="es-ES_tradnl"/>
        </w:rPr>
      </w:pPr>
      <w:r w:rsidRPr="008253DC">
        <w:rPr>
          <w:i/>
          <w:iCs/>
          <w:lang w:val="es-ES_tradnl"/>
        </w:rPr>
        <w:t>El cuadro que figura a continuación muestra la distribución por edades de la población islandesa, correspondiente al período 2015-2019.</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410"/>
        <w:gridCol w:w="1559"/>
        <w:gridCol w:w="851"/>
        <w:gridCol w:w="850"/>
        <w:gridCol w:w="851"/>
        <w:gridCol w:w="849"/>
      </w:tblGrid>
      <w:tr w:rsidR="00C619FA" w:rsidRPr="008253DC" w14:paraId="523C18CB" w14:textId="77777777" w:rsidTr="00C619FA">
        <w:trPr>
          <w:trHeight w:val="240"/>
          <w:tblHeader/>
        </w:trPr>
        <w:tc>
          <w:tcPr>
            <w:tcW w:w="2410" w:type="dxa"/>
            <w:tcBorders>
              <w:top w:val="single" w:sz="4" w:space="0" w:color="auto"/>
              <w:bottom w:val="single" w:sz="12" w:space="0" w:color="auto"/>
            </w:tcBorders>
            <w:shd w:val="clear" w:color="auto" w:fill="auto"/>
            <w:noWrap/>
            <w:vAlign w:val="bottom"/>
            <w:hideMark/>
          </w:tcPr>
          <w:p w14:paraId="652346EF" w14:textId="77777777" w:rsidR="00C619FA" w:rsidRPr="008253DC" w:rsidRDefault="00C619FA" w:rsidP="00C619FA">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Total</w:t>
            </w:r>
          </w:p>
        </w:tc>
        <w:tc>
          <w:tcPr>
            <w:tcW w:w="1559" w:type="dxa"/>
            <w:tcBorders>
              <w:top w:val="single" w:sz="4" w:space="0" w:color="auto"/>
              <w:bottom w:val="single" w:sz="12" w:space="0" w:color="auto"/>
            </w:tcBorders>
            <w:shd w:val="clear" w:color="auto" w:fill="auto"/>
            <w:noWrap/>
            <w:vAlign w:val="bottom"/>
            <w:hideMark/>
          </w:tcPr>
          <w:p w14:paraId="1565312B" w14:textId="77777777" w:rsidR="00C619FA" w:rsidRPr="008253DC" w:rsidRDefault="00C619FA" w:rsidP="00C619FA">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2015</w:t>
            </w:r>
          </w:p>
        </w:tc>
        <w:tc>
          <w:tcPr>
            <w:tcW w:w="851" w:type="dxa"/>
            <w:tcBorders>
              <w:top w:val="single" w:sz="4" w:space="0" w:color="auto"/>
              <w:bottom w:val="single" w:sz="12" w:space="0" w:color="auto"/>
            </w:tcBorders>
            <w:shd w:val="clear" w:color="auto" w:fill="auto"/>
            <w:noWrap/>
            <w:vAlign w:val="bottom"/>
            <w:hideMark/>
          </w:tcPr>
          <w:p w14:paraId="661BF923" w14:textId="77777777" w:rsidR="00C619FA" w:rsidRPr="008253DC" w:rsidRDefault="00C619FA" w:rsidP="00C619FA">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2016</w:t>
            </w:r>
          </w:p>
        </w:tc>
        <w:tc>
          <w:tcPr>
            <w:tcW w:w="850" w:type="dxa"/>
            <w:tcBorders>
              <w:top w:val="single" w:sz="4" w:space="0" w:color="auto"/>
              <w:bottom w:val="single" w:sz="12" w:space="0" w:color="auto"/>
            </w:tcBorders>
            <w:shd w:val="clear" w:color="auto" w:fill="auto"/>
            <w:noWrap/>
            <w:vAlign w:val="bottom"/>
            <w:hideMark/>
          </w:tcPr>
          <w:p w14:paraId="5A31AE99" w14:textId="77777777" w:rsidR="00C619FA" w:rsidRPr="008253DC" w:rsidRDefault="00C619FA" w:rsidP="00C619FA">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2017</w:t>
            </w:r>
          </w:p>
        </w:tc>
        <w:tc>
          <w:tcPr>
            <w:tcW w:w="851" w:type="dxa"/>
            <w:tcBorders>
              <w:top w:val="single" w:sz="4" w:space="0" w:color="auto"/>
              <w:bottom w:val="single" w:sz="12" w:space="0" w:color="auto"/>
            </w:tcBorders>
            <w:shd w:val="clear" w:color="auto" w:fill="auto"/>
            <w:noWrap/>
            <w:vAlign w:val="bottom"/>
            <w:hideMark/>
          </w:tcPr>
          <w:p w14:paraId="3F03F93A" w14:textId="77777777" w:rsidR="00C619FA" w:rsidRPr="008253DC" w:rsidRDefault="00C619FA" w:rsidP="00C619FA">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2018</w:t>
            </w:r>
          </w:p>
        </w:tc>
        <w:tc>
          <w:tcPr>
            <w:tcW w:w="849" w:type="dxa"/>
            <w:tcBorders>
              <w:top w:val="single" w:sz="4" w:space="0" w:color="auto"/>
              <w:bottom w:val="single" w:sz="12" w:space="0" w:color="auto"/>
            </w:tcBorders>
            <w:shd w:val="clear" w:color="auto" w:fill="auto"/>
            <w:noWrap/>
            <w:vAlign w:val="bottom"/>
            <w:hideMark/>
          </w:tcPr>
          <w:p w14:paraId="167CF127" w14:textId="77777777" w:rsidR="00C619FA" w:rsidRPr="008253DC" w:rsidRDefault="00C619FA" w:rsidP="00C619FA">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2019</w:t>
            </w:r>
          </w:p>
        </w:tc>
      </w:tr>
      <w:tr w:rsidR="00C619FA" w:rsidRPr="008253DC" w14:paraId="685EE1AD" w14:textId="77777777" w:rsidTr="00C619FA">
        <w:trPr>
          <w:trHeight w:val="240"/>
        </w:trPr>
        <w:tc>
          <w:tcPr>
            <w:tcW w:w="2410" w:type="dxa"/>
            <w:tcBorders>
              <w:top w:val="single" w:sz="12" w:space="0" w:color="auto"/>
            </w:tcBorders>
            <w:shd w:val="clear" w:color="auto" w:fill="auto"/>
            <w:noWrap/>
            <w:hideMark/>
          </w:tcPr>
          <w:p w14:paraId="6690035A" w14:textId="6E6174CC"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De 0 a 9 años</w:t>
            </w:r>
          </w:p>
        </w:tc>
        <w:tc>
          <w:tcPr>
            <w:tcW w:w="1559" w:type="dxa"/>
            <w:tcBorders>
              <w:top w:val="single" w:sz="12" w:space="0" w:color="auto"/>
            </w:tcBorders>
            <w:shd w:val="clear" w:color="auto" w:fill="auto"/>
            <w:noWrap/>
            <w:vAlign w:val="bottom"/>
            <w:hideMark/>
          </w:tcPr>
          <w:p w14:paraId="3DDD8B35"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45 677</w:t>
            </w:r>
          </w:p>
        </w:tc>
        <w:tc>
          <w:tcPr>
            <w:tcW w:w="851" w:type="dxa"/>
            <w:tcBorders>
              <w:top w:val="single" w:sz="12" w:space="0" w:color="auto"/>
            </w:tcBorders>
            <w:shd w:val="clear" w:color="auto" w:fill="auto"/>
            <w:noWrap/>
            <w:vAlign w:val="bottom"/>
            <w:hideMark/>
          </w:tcPr>
          <w:p w14:paraId="77323F3A"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45 253</w:t>
            </w:r>
          </w:p>
        </w:tc>
        <w:tc>
          <w:tcPr>
            <w:tcW w:w="850" w:type="dxa"/>
            <w:tcBorders>
              <w:top w:val="single" w:sz="12" w:space="0" w:color="auto"/>
            </w:tcBorders>
            <w:shd w:val="clear" w:color="auto" w:fill="auto"/>
            <w:noWrap/>
            <w:vAlign w:val="bottom"/>
            <w:hideMark/>
          </w:tcPr>
          <w:p w14:paraId="5DB07F24"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45 103</w:t>
            </w:r>
          </w:p>
        </w:tc>
        <w:tc>
          <w:tcPr>
            <w:tcW w:w="851" w:type="dxa"/>
            <w:tcBorders>
              <w:top w:val="single" w:sz="12" w:space="0" w:color="auto"/>
            </w:tcBorders>
            <w:shd w:val="clear" w:color="auto" w:fill="auto"/>
            <w:noWrap/>
            <w:vAlign w:val="bottom"/>
            <w:hideMark/>
          </w:tcPr>
          <w:p w14:paraId="570A77A5"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45 107</w:t>
            </w:r>
          </w:p>
        </w:tc>
        <w:tc>
          <w:tcPr>
            <w:tcW w:w="849" w:type="dxa"/>
            <w:tcBorders>
              <w:top w:val="single" w:sz="12" w:space="0" w:color="auto"/>
            </w:tcBorders>
            <w:shd w:val="clear" w:color="auto" w:fill="auto"/>
            <w:noWrap/>
            <w:vAlign w:val="bottom"/>
            <w:hideMark/>
          </w:tcPr>
          <w:p w14:paraId="479CE08A"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44 848</w:t>
            </w:r>
          </w:p>
        </w:tc>
      </w:tr>
      <w:tr w:rsidR="00C619FA" w:rsidRPr="008253DC" w14:paraId="6FAA4E4A" w14:textId="77777777" w:rsidTr="00C619FA">
        <w:trPr>
          <w:trHeight w:val="240"/>
        </w:trPr>
        <w:tc>
          <w:tcPr>
            <w:tcW w:w="2410" w:type="dxa"/>
            <w:shd w:val="clear" w:color="auto" w:fill="auto"/>
            <w:noWrap/>
            <w:hideMark/>
          </w:tcPr>
          <w:p w14:paraId="1B0497FF" w14:textId="3B4915EE"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De 10 a 19 años</w:t>
            </w:r>
          </w:p>
        </w:tc>
        <w:tc>
          <w:tcPr>
            <w:tcW w:w="1559" w:type="dxa"/>
            <w:shd w:val="clear" w:color="auto" w:fill="auto"/>
            <w:noWrap/>
            <w:vAlign w:val="bottom"/>
            <w:hideMark/>
          </w:tcPr>
          <w:p w14:paraId="1A47C591"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43 435</w:t>
            </w:r>
          </w:p>
        </w:tc>
        <w:tc>
          <w:tcPr>
            <w:tcW w:w="851" w:type="dxa"/>
            <w:shd w:val="clear" w:color="auto" w:fill="auto"/>
            <w:noWrap/>
            <w:vAlign w:val="bottom"/>
            <w:hideMark/>
          </w:tcPr>
          <w:p w14:paraId="4E72FA6E"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43 408</w:t>
            </w:r>
          </w:p>
        </w:tc>
        <w:tc>
          <w:tcPr>
            <w:tcW w:w="850" w:type="dxa"/>
            <w:shd w:val="clear" w:color="auto" w:fill="auto"/>
            <w:noWrap/>
            <w:vAlign w:val="bottom"/>
            <w:hideMark/>
          </w:tcPr>
          <w:p w14:paraId="2BFE34FD"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43 656</w:t>
            </w:r>
          </w:p>
        </w:tc>
        <w:tc>
          <w:tcPr>
            <w:tcW w:w="851" w:type="dxa"/>
            <w:shd w:val="clear" w:color="auto" w:fill="auto"/>
            <w:noWrap/>
            <w:vAlign w:val="bottom"/>
            <w:hideMark/>
          </w:tcPr>
          <w:p w14:paraId="52439E62"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44 225</w:t>
            </w:r>
          </w:p>
        </w:tc>
        <w:tc>
          <w:tcPr>
            <w:tcW w:w="849" w:type="dxa"/>
            <w:shd w:val="clear" w:color="auto" w:fill="auto"/>
            <w:noWrap/>
            <w:vAlign w:val="bottom"/>
            <w:hideMark/>
          </w:tcPr>
          <w:p w14:paraId="071FF297"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44 914</w:t>
            </w:r>
          </w:p>
        </w:tc>
      </w:tr>
      <w:tr w:rsidR="00C619FA" w:rsidRPr="008253DC" w14:paraId="16B58047" w14:textId="77777777" w:rsidTr="00C619FA">
        <w:trPr>
          <w:trHeight w:val="240"/>
        </w:trPr>
        <w:tc>
          <w:tcPr>
            <w:tcW w:w="2410" w:type="dxa"/>
            <w:shd w:val="clear" w:color="auto" w:fill="auto"/>
            <w:noWrap/>
            <w:hideMark/>
          </w:tcPr>
          <w:p w14:paraId="738A5900" w14:textId="36EFE02E"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De 20 a 29 años</w:t>
            </w:r>
          </w:p>
        </w:tc>
        <w:tc>
          <w:tcPr>
            <w:tcW w:w="1559" w:type="dxa"/>
            <w:shd w:val="clear" w:color="auto" w:fill="auto"/>
            <w:noWrap/>
            <w:vAlign w:val="bottom"/>
            <w:hideMark/>
          </w:tcPr>
          <w:p w14:paraId="1D855967"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48 273</w:t>
            </w:r>
          </w:p>
        </w:tc>
        <w:tc>
          <w:tcPr>
            <w:tcW w:w="851" w:type="dxa"/>
            <w:shd w:val="clear" w:color="auto" w:fill="auto"/>
            <w:noWrap/>
            <w:vAlign w:val="bottom"/>
            <w:hideMark/>
          </w:tcPr>
          <w:p w14:paraId="1FC37666"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49 256</w:t>
            </w:r>
          </w:p>
        </w:tc>
        <w:tc>
          <w:tcPr>
            <w:tcW w:w="850" w:type="dxa"/>
            <w:shd w:val="clear" w:color="auto" w:fill="auto"/>
            <w:noWrap/>
            <w:vAlign w:val="bottom"/>
            <w:hideMark/>
          </w:tcPr>
          <w:p w14:paraId="28A1E074"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50 887</w:t>
            </w:r>
          </w:p>
        </w:tc>
        <w:tc>
          <w:tcPr>
            <w:tcW w:w="851" w:type="dxa"/>
            <w:shd w:val="clear" w:color="auto" w:fill="auto"/>
            <w:noWrap/>
            <w:vAlign w:val="bottom"/>
            <w:hideMark/>
          </w:tcPr>
          <w:p w14:paraId="652C7ADC"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53 652</w:t>
            </w:r>
          </w:p>
        </w:tc>
        <w:tc>
          <w:tcPr>
            <w:tcW w:w="849" w:type="dxa"/>
            <w:shd w:val="clear" w:color="auto" w:fill="auto"/>
            <w:noWrap/>
            <w:vAlign w:val="bottom"/>
            <w:hideMark/>
          </w:tcPr>
          <w:p w14:paraId="76723704"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55 484</w:t>
            </w:r>
          </w:p>
        </w:tc>
      </w:tr>
      <w:tr w:rsidR="00C619FA" w:rsidRPr="008253DC" w14:paraId="36223C42" w14:textId="77777777" w:rsidTr="00C619FA">
        <w:trPr>
          <w:trHeight w:val="240"/>
        </w:trPr>
        <w:tc>
          <w:tcPr>
            <w:tcW w:w="2410" w:type="dxa"/>
            <w:shd w:val="clear" w:color="auto" w:fill="auto"/>
            <w:noWrap/>
            <w:hideMark/>
          </w:tcPr>
          <w:p w14:paraId="4C06E5F4" w14:textId="10B6B1C0"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De 30 a 39 años</w:t>
            </w:r>
          </w:p>
        </w:tc>
        <w:tc>
          <w:tcPr>
            <w:tcW w:w="1559" w:type="dxa"/>
            <w:shd w:val="clear" w:color="auto" w:fill="auto"/>
            <w:noWrap/>
            <w:vAlign w:val="bottom"/>
            <w:hideMark/>
          </w:tcPr>
          <w:p w14:paraId="3FB0AA64"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45 150</w:t>
            </w:r>
          </w:p>
        </w:tc>
        <w:tc>
          <w:tcPr>
            <w:tcW w:w="851" w:type="dxa"/>
            <w:shd w:val="clear" w:color="auto" w:fill="auto"/>
            <w:noWrap/>
            <w:vAlign w:val="bottom"/>
            <w:hideMark/>
          </w:tcPr>
          <w:p w14:paraId="7785959E"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45 540</w:t>
            </w:r>
          </w:p>
        </w:tc>
        <w:tc>
          <w:tcPr>
            <w:tcW w:w="850" w:type="dxa"/>
            <w:shd w:val="clear" w:color="auto" w:fill="auto"/>
            <w:noWrap/>
            <w:vAlign w:val="bottom"/>
            <w:hideMark/>
          </w:tcPr>
          <w:p w14:paraId="5AC9BFB0"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46 519</w:t>
            </w:r>
          </w:p>
        </w:tc>
        <w:tc>
          <w:tcPr>
            <w:tcW w:w="851" w:type="dxa"/>
            <w:shd w:val="clear" w:color="auto" w:fill="auto"/>
            <w:noWrap/>
            <w:vAlign w:val="bottom"/>
            <w:hideMark/>
          </w:tcPr>
          <w:p w14:paraId="08CBB55B"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49 155</w:t>
            </w:r>
          </w:p>
        </w:tc>
        <w:tc>
          <w:tcPr>
            <w:tcW w:w="849" w:type="dxa"/>
            <w:shd w:val="clear" w:color="auto" w:fill="auto"/>
            <w:noWrap/>
            <w:vAlign w:val="bottom"/>
            <w:hideMark/>
          </w:tcPr>
          <w:p w14:paraId="09F9258D"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51 650</w:t>
            </w:r>
          </w:p>
        </w:tc>
      </w:tr>
      <w:tr w:rsidR="00C619FA" w:rsidRPr="008253DC" w14:paraId="710B05C7" w14:textId="77777777" w:rsidTr="00C619FA">
        <w:trPr>
          <w:trHeight w:val="240"/>
        </w:trPr>
        <w:tc>
          <w:tcPr>
            <w:tcW w:w="2410" w:type="dxa"/>
            <w:shd w:val="clear" w:color="auto" w:fill="auto"/>
            <w:noWrap/>
            <w:hideMark/>
          </w:tcPr>
          <w:p w14:paraId="5A6E85FE" w14:textId="4BCDCC85"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De 40 a 49 años</w:t>
            </w:r>
          </w:p>
        </w:tc>
        <w:tc>
          <w:tcPr>
            <w:tcW w:w="1559" w:type="dxa"/>
            <w:shd w:val="clear" w:color="auto" w:fill="auto"/>
            <w:noWrap/>
            <w:vAlign w:val="bottom"/>
            <w:hideMark/>
          </w:tcPr>
          <w:p w14:paraId="5D174F31"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42 200</w:t>
            </w:r>
          </w:p>
        </w:tc>
        <w:tc>
          <w:tcPr>
            <w:tcW w:w="851" w:type="dxa"/>
            <w:shd w:val="clear" w:color="auto" w:fill="auto"/>
            <w:noWrap/>
            <w:vAlign w:val="bottom"/>
            <w:hideMark/>
          </w:tcPr>
          <w:p w14:paraId="6245F68C"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42 288</w:t>
            </w:r>
          </w:p>
        </w:tc>
        <w:tc>
          <w:tcPr>
            <w:tcW w:w="850" w:type="dxa"/>
            <w:shd w:val="clear" w:color="auto" w:fill="auto"/>
            <w:noWrap/>
            <w:vAlign w:val="bottom"/>
            <w:hideMark/>
          </w:tcPr>
          <w:p w14:paraId="31103A58"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42 844</w:t>
            </w:r>
          </w:p>
        </w:tc>
        <w:tc>
          <w:tcPr>
            <w:tcW w:w="851" w:type="dxa"/>
            <w:shd w:val="clear" w:color="auto" w:fill="auto"/>
            <w:noWrap/>
            <w:vAlign w:val="bottom"/>
            <w:hideMark/>
          </w:tcPr>
          <w:p w14:paraId="569B0182"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44 224</w:t>
            </w:r>
          </w:p>
        </w:tc>
        <w:tc>
          <w:tcPr>
            <w:tcW w:w="849" w:type="dxa"/>
            <w:shd w:val="clear" w:color="auto" w:fill="auto"/>
            <w:noWrap/>
            <w:vAlign w:val="bottom"/>
            <w:hideMark/>
          </w:tcPr>
          <w:p w14:paraId="1395B344"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45 597</w:t>
            </w:r>
          </w:p>
        </w:tc>
      </w:tr>
      <w:tr w:rsidR="00C619FA" w:rsidRPr="008253DC" w14:paraId="528BB8DD" w14:textId="77777777" w:rsidTr="00C619FA">
        <w:trPr>
          <w:trHeight w:val="240"/>
        </w:trPr>
        <w:tc>
          <w:tcPr>
            <w:tcW w:w="2410" w:type="dxa"/>
            <w:shd w:val="clear" w:color="auto" w:fill="auto"/>
            <w:noWrap/>
            <w:hideMark/>
          </w:tcPr>
          <w:p w14:paraId="4EE98779" w14:textId="312BE5E1"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De 50 a 59 años</w:t>
            </w:r>
          </w:p>
        </w:tc>
        <w:tc>
          <w:tcPr>
            <w:tcW w:w="1559" w:type="dxa"/>
            <w:shd w:val="clear" w:color="auto" w:fill="auto"/>
            <w:noWrap/>
            <w:vAlign w:val="bottom"/>
            <w:hideMark/>
          </w:tcPr>
          <w:p w14:paraId="6FFF0140"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42 231</w:t>
            </w:r>
          </w:p>
        </w:tc>
        <w:tc>
          <w:tcPr>
            <w:tcW w:w="851" w:type="dxa"/>
            <w:shd w:val="clear" w:color="auto" w:fill="auto"/>
            <w:noWrap/>
            <w:vAlign w:val="bottom"/>
            <w:hideMark/>
          </w:tcPr>
          <w:p w14:paraId="24DFDB5A"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42 679</w:t>
            </w:r>
          </w:p>
        </w:tc>
        <w:tc>
          <w:tcPr>
            <w:tcW w:w="850" w:type="dxa"/>
            <w:shd w:val="clear" w:color="auto" w:fill="auto"/>
            <w:noWrap/>
            <w:vAlign w:val="bottom"/>
            <w:hideMark/>
          </w:tcPr>
          <w:p w14:paraId="3AEEE323"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43 242</w:t>
            </w:r>
          </w:p>
        </w:tc>
        <w:tc>
          <w:tcPr>
            <w:tcW w:w="851" w:type="dxa"/>
            <w:shd w:val="clear" w:color="auto" w:fill="auto"/>
            <w:noWrap/>
            <w:vAlign w:val="bottom"/>
            <w:hideMark/>
          </w:tcPr>
          <w:p w14:paraId="798C8E94"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43 753</w:t>
            </w:r>
          </w:p>
        </w:tc>
        <w:tc>
          <w:tcPr>
            <w:tcW w:w="849" w:type="dxa"/>
            <w:shd w:val="clear" w:color="auto" w:fill="auto"/>
            <w:noWrap/>
            <w:vAlign w:val="bottom"/>
            <w:hideMark/>
          </w:tcPr>
          <w:p w14:paraId="2046ADF1"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43 927</w:t>
            </w:r>
          </w:p>
        </w:tc>
      </w:tr>
      <w:tr w:rsidR="00C619FA" w:rsidRPr="008253DC" w14:paraId="697D07C1" w14:textId="77777777" w:rsidTr="00C619FA">
        <w:trPr>
          <w:trHeight w:val="240"/>
        </w:trPr>
        <w:tc>
          <w:tcPr>
            <w:tcW w:w="2410" w:type="dxa"/>
            <w:shd w:val="clear" w:color="auto" w:fill="auto"/>
            <w:noWrap/>
            <w:hideMark/>
          </w:tcPr>
          <w:p w14:paraId="553FC69B" w14:textId="7C1EC13A"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De 60 a 69 años</w:t>
            </w:r>
          </w:p>
        </w:tc>
        <w:tc>
          <w:tcPr>
            <w:tcW w:w="1559" w:type="dxa"/>
            <w:shd w:val="clear" w:color="auto" w:fill="auto"/>
            <w:noWrap/>
            <w:vAlign w:val="bottom"/>
            <w:hideMark/>
          </w:tcPr>
          <w:p w14:paraId="0AB31DBA"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32 080</w:t>
            </w:r>
          </w:p>
        </w:tc>
        <w:tc>
          <w:tcPr>
            <w:tcW w:w="851" w:type="dxa"/>
            <w:shd w:val="clear" w:color="auto" w:fill="auto"/>
            <w:noWrap/>
            <w:vAlign w:val="bottom"/>
            <w:hideMark/>
          </w:tcPr>
          <w:p w14:paraId="14880DE3"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33 077</w:t>
            </w:r>
          </w:p>
        </w:tc>
        <w:tc>
          <w:tcPr>
            <w:tcW w:w="850" w:type="dxa"/>
            <w:shd w:val="clear" w:color="auto" w:fill="auto"/>
            <w:noWrap/>
            <w:vAlign w:val="bottom"/>
            <w:hideMark/>
          </w:tcPr>
          <w:p w14:paraId="42898279"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34 224</w:t>
            </w:r>
          </w:p>
        </w:tc>
        <w:tc>
          <w:tcPr>
            <w:tcW w:w="851" w:type="dxa"/>
            <w:shd w:val="clear" w:color="auto" w:fill="auto"/>
            <w:noWrap/>
            <w:vAlign w:val="bottom"/>
            <w:hideMark/>
          </w:tcPr>
          <w:p w14:paraId="305F40F6"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35 378</w:t>
            </w:r>
          </w:p>
        </w:tc>
        <w:tc>
          <w:tcPr>
            <w:tcW w:w="849" w:type="dxa"/>
            <w:shd w:val="clear" w:color="auto" w:fill="auto"/>
            <w:noWrap/>
            <w:vAlign w:val="bottom"/>
            <w:hideMark/>
          </w:tcPr>
          <w:p w14:paraId="514BF183"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36 377</w:t>
            </w:r>
          </w:p>
        </w:tc>
      </w:tr>
      <w:tr w:rsidR="00C619FA" w:rsidRPr="008253DC" w14:paraId="483EBC1F" w14:textId="77777777" w:rsidTr="00C619FA">
        <w:trPr>
          <w:trHeight w:val="240"/>
        </w:trPr>
        <w:tc>
          <w:tcPr>
            <w:tcW w:w="2410" w:type="dxa"/>
            <w:shd w:val="clear" w:color="auto" w:fill="auto"/>
            <w:noWrap/>
            <w:hideMark/>
          </w:tcPr>
          <w:p w14:paraId="7C9F56CB" w14:textId="42E7BBC4"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De 70 a 79 años</w:t>
            </w:r>
          </w:p>
        </w:tc>
        <w:tc>
          <w:tcPr>
            <w:tcW w:w="1559" w:type="dxa"/>
            <w:shd w:val="clear" w:color="auto" w:fill="auto"/>
            <w:noWrap/>
            <w:vAlign w:val="bottom"/>
            <w:hideMark/>
          </w:tcPr>
          <w:p w14:paraId="07D1A83B"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18 002</w:t>
            </w:r>
          </w:p>
        </w:tc>
        <w:tc>
          <w:tcPr>
            <w:tcW w:w="851" w:type="dxa"/>
            <w:shd w:val="clear" w:color="auto" w:fill="auto"/>
            <w:noWrap/>
            <w:vAlign w:val="bottom"/>
            <w:hideMark/>
          </w:tcPr>
          <w:p w14:paraId="112F83ED"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18 869</w:t>
            </w:r>
          </w:p>
        </w:tc>
        <w:tc>
          <w:tcPr>
            <w:tcW w:w="850" w:type="dxa"/>
            <w:shd w:val="clear" w:color="auto" w:fill="auto"/>
            <w:noWrap/>
            <w:vAlign w:val="bottom"/>
            <w:hideMark/>
          </w:tcPr>
          <w:p w14:paraId="66E4E02E"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19 603</w:t>
            </w:r>
          </w:p>
        </w:tc>
        <w:tc>
          <w:tcPr>
            <w:tcW w:w="851" w:type="dxa"/>
            <w:shd w:val="clear" w:color="auto" w:fill="auto"/>
            <w:noWrap/>
            <w:vAlign w:val="bottom"/>
            <w:hideMark/>
          </w:tcPr>
          <w:p w14:paraId="757930AE"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20 575</w:t>
            </w:r>
          </w:p>
        </w:tc>
        <w:tc>
          <w:tcPr>
            <w:tcW w:w="849" w:type="dxa"/>
            <w:shd w:val="clear" w:color="auto" w:fill="auto"/>
            <w:noWrap/>
            <w:vAlign w:val="bottom"/>
            <w:hideMark/>
          </w:tcPr>
          <w:p w14:paraId="454D7999"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21 716</w:t>
            </w:r>
          </w:p>
        </w:tc>
      </w:tr>
      <w:tr w:rsidR="00C619FA" w:rsidRPr="008253DC" w14:paraId="78FC4292" w14:textId="77777777" w:rsidTr="00C619FA">
        <w:trPr>
          <w:trHeight w:val="240"/>
        </w:trPr>
        <w:tc>
          <w:tcPr>
            <w:tcW w:w="2410" w:type="dxa"/>
            <w:shd w:val="clear" w:color="auto" w:fill="auto"/>
            <w:noWrap/>
            <w:hideMark/>
          </w:tcPr>
          <w:p w14:paraId="29C3CD6D" w14:textId="4F1B250B"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De 80 a 89 años</w:t>
            </w:r>
          </w:p>
        </w:tc>
        <w:tc>
          <w:tcPr>
            <w:tcW w:w="1559" w:type="dxa"/>
            <w:shd w:val="clear" w:color="auto" w:fill="auto"/>
            <w:noWrap/>
            <w:vAlign w:val="bottom"/>
            <w:hideMark/>
          </w:tcPr>
          <w:p w14:paraId="57AC921B"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10 164</w:t>
            </w:r>
          </w:p>
        </w:tc>
        <w:tc>
          <w:tcPr>
            <w:tcW w:w="851" w:type="dxa"/>
            <w:shd w:val="clear" w:color="auto" w:fill="auto"/>
            <w:noWrap/>
            <w:vAlign w:val="bottom"/>
            <w:hideMark/>
          </w:tcPr>
          <w:p w14:paraId="126E08E7"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10 208</w:t>
            </w:r>
          </w:p>
        </w:tc>
        <w:tc>
          <w:tcPr>
            <w:tcW w:w="850" w:type="dxa"/>
            <w:shd w:val="clear" w:color="auto" w:fill="auto"/>
            <w:noWrap/>
            <w:vAlign w:val="bottom"/>
            <w:hideMark/>
          </w:tcPr>
          <w:p w14:paraId="22583965"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10 240</w:t>
            </w:r>
          </w:p>
        </w:tc>
        <w:tc>
          <w:tcPr>
            <w:tcW w:w="851" w:type="dxa"/>
            <w:shd w:val="clear" w:color="auto" w:fill="auto"/>
            <w:noWrap/>
            <w:vAlign w:val="bottom"/>
            <w:hideMark/>
          </w:tcPr>
          <w:p w14:paraId="2D9EA95D"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10 274</w:t>
            </w:r>
          </w:p>
        </w:tc>
        <w:tc>
          <w:tcPr>
            <w:tcW w:w="849" w:type="dxa"/>
            <w:shd w:val="clear" w:color="auto" w:fill="auto"/>
            <w:noWrap/>
            <w:vAlign w:val="bottom"/>
            <w:hideMark/>
          </w:tcPr>
          <w:p w14:paraId="3AD42E2D"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10 250</w:t>
            </w:r>
          </w:p>
        </w:tc>
      </w:tr>
      <w:tr w:rsidR="00C619FA" w:rsidRPr="008253DC" w14:paraId="7E608696" w14:textId="77777777" w:rsidTr="00C619FA">
        <w:trPr>
          <w:trHeight w:val="240"/>
        </w:trPr>
        <w:tc>
          <w:tcPr>
            <w:tcW w:w="2410" w:type="dxa"/>
            <w:tcBorders>
              <w:bottom w:val="single" w:sz="12" w:space="0" w:color="auto"/>
            </w:tcBorders>
            <w:shd w:val="clear" w:color="auto" w:fill="auto"/>
            <w:noWrap/>
            <w:hideMark/>
          </w:tcPr>
          <w:p w14:paraId="0092CD29" w14:textId="5F6904D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De 90 y más años de edad</w:t>
            </w:r>
          </w:p>
        </w:tc>
        <w:tc>
          <w:tcPr>
            <w:tcW w:w="1559" w:type="dxa"/>
            <w:tcBorders>
              <w:bottom w:val="single" w:sz="12" w:space="0" w:color="auto"/>
            </w:tcBorders>
            <w:shd w:val="clear" w:color="auto" w:fill="auto"/>
            <w:noWrap/>
            <w:vAlign w:val="bottom"/>
            <w:hideMark/>
          </w:tcPr>
          <w:p w14:paraId="1AD54396"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1 888</w:t>
            </w:r>
          </w:p>
        </w:tc>
        <w:tc>
          <w:tcPr>
            <w:tcW w:w="851" w:type="dxa"/>
            <w:tcBorders>
              <w:bottom w:val="single" w:sz="12" w:space="0" w:color="auto"/>
            </w:tcBorders>
            <w:shd w:val="clear" w:color="auto" w:fill="auto"/>
            <w:noWrap/>
            <w:vAlign w:val="bottom"/>
            <w:hideMark/>
          </w:tcPr>
          <w:p w14:paraId="028E92FC"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1 951</w:t>
            </w:r>
          </w:p>
        </w:tc>
        <w:tc>
          <w:tcPr>
            <w:tcW w:w="850" w:type="dxa"/>
            <w:tcBorders>
              <w:bottom w:val="single" w:sz="12" w:space="0" w:color="auto"/>
            </w:tcBorders>
            <w:shd w:val="clear" w:color="auto" w:fill="auto"/>
            <w:noWrap/>
            <w:vAlign w:val="bottom"/>
            <w:hideMark/>
          </w:tcPr>
          <w:p w14:paraId="32A98316"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2 031</w:t>
            </w:r>
          </w:p>
        </w:tc>
        <w:tc>
          <w:tcPr>
            <w:tcW w:w="851" w:type="dxa"/>
            <w:tcBorders>
              <w:bottom w:val="single" w:sz="12" w:space="0" w:color="auto"/>
            </w:tcBorders>
            <w:shd w:val="clear" w:color="auto" w:fill="auto"/>
            <w:noWrap/>
            <w:vAlign w:val="bottom"/>
            <w:hideMark/>
          </w:tcPr>
          <w:p w14:paraId="2C16A14D"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2 107</w:t>
            </w:r>
          </w:p>
        </w:tc>
        <w:tc>
          <w:tcPr>
            <w:tcW w:w="849" w:type="dxa"/>
            <w:tcBorders>
              <w:bottom w:val="single" w:sz="12" w:space="0" w:color="auto"/>
            </w:tcBorders>
            <w:shd w:val="clear" w:color="auto" w:fill="auto"/>
            <w:noWrap/>
            <w:vAlign w:val="bottom"/>
            <w:hideMark/>
          </w:tcPr>
          <w:p w14:paraId="7B36BF94"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2 228</w:t>
            </w:r>
          </w:p>
        </w:tc>
      </w:tr>
    </w:tbl>
    <w:p w14:paraId="58182DCA" w14:textId="095E9AF6" w:rsidR="00C619FA" w:rsidRPr="008253DC" w:rsidRDefault="00C619FA" w:rsidP="00C619FA">
      <w:pPr>
        <w:pStyle w:val="SingleTxtG"/>
        <w:spacing w:before="240"/>
        <w:rPr>
          <w:i/>
          <w:iCs/>
          <w:lang w:val="es-ES_tradnl"/>
        </w:rPr>
      </w:pPr>
      <w:r w:rsidRPr="008253DC">
        <w:rPr>
          <w:i/>
          <w:iCs/>
          <w:lang w:val="es-ES_tradnl"/>
        </w:rPr>
        <w:t>El cuadro que figura a continuación indica la tasa de dependencia (porcentaje de la población menor de 15 años y mayor de 65 años), por género.</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648"/>
        <w:gridCol w:w="1329"/>
        <w:gridCol w:w="992"/>
        <w:gridCol w:w="851"/>
        <w:gridCol w:w="850"/>
        <w:gridCol w:w="851"/>
        <w:gridCol w:w="849"/>
      </w:tblGrid>
      <w:tr w:rsidR="00C619FA" w:rsidRPr="008253DC" w14:paraId="35D21AEA" w14:textId="77777777" w:rsidTr="00C619FA">
        <w:trPr>
          <w:trHeight w:val="240"/>
          <w:tblHeader/>
        </w:trPr>
        <w:tc>
          <w:tcPr>
            <w:tcW w:w="1648" w:type="dxa"/>
            <w:tcBorders>
              <w:top w:val="single" w:sz="4" w:space="0" w:color="auto"/>
              <w:bottom w:val="single" w:sz="12" w:space="0" w:color="auto"/>
            </w:tcBorders>
            <w:shd w:val="clear" w:color="auto" w:fill="auto"/>
            <w:noWrap/>
            <w:vAlign w:val="bottom"/>
            <w:hideMark/>
          </w:tcPr>
          <w:p w14:paraId="32A17D9E" w14:textId="77777777" w:rsidR="00C619FA" w:rsidRPr="008253DC" w:rsidRDefault="00C619FA" w:rsidP="00C619FA">
            <w:pPr>
              <w:pStyle w:val="SingleTxtG"/>
              <w:tabs>
                <w:tab w:val="clear" w:pos="1701"/>
                <w:tab w:val="clear" w:pos="2268"/>
                <w:tab w:val="clear" w:pos="2835"/>
              </w:tabs>
              <w:spacing w:before="80" w:after="80" w:line="200" w:lineRule="exact"/>
              <w:ind w:left="0" w:right="0"/>
              <w:jc w:val="left"/>
              <w:rPr>
                <w:i/>
                <w:sz w:val="16"/>
                <w:lang w:val="es-ES_tradnl"/>
              </w:rPr>
            </w:pPr>
          </w:p>
        </w:tc>
        <w:tc>
          <w:tcPr>
            <w:tcW w:w="1329" w:type="dxa"/>
            <w:tcBorders>
              <w:top w:val="single" w:sz="4" w:space="0" w:color="auto"/>
              <w:bottom w:val="single" w:sz="12" w:space="0" w:color="auto"/>
            </w:tcBorders>
            <w:shd w:val="clear" w:color="auto" w:fill="auto"/>
            <w:noWrap/>
            <w:vAlign w:val="bottom"/>
            <w:hideMark/>
          </w:tcPr>
          <w:p w14:paraId="785CEB10" w14:textId="77777777" w:rsidR="00C619FA" w:rsidRPr="008253DC" w:rsidRDefault="00C619FA" w:rsidP="00C619FA">
            <w:pPr>
              <w:pStyle w:val="SingleTxtG"/>
              <w:tabs>
                <w:tab w:val="clear" w:pos="1701"/>
                <w:tab w:val="clear" w:pos="2268"/>
                <w:tab w:val="clear" w:pos="2835"/>
              </w:tabs>
              <w:spacing w:before="80" w:after="80" w:line="200" w:lineRule="exact"/>
              <w:ind w:left="113" w:right="0"/>
              <w:jc w:val="left"/>
              <w:rPr>
                <w:i/>
                <w:sz w:val="16"/>
                <w:lang w:val="es-ES_tradnl"/>
              </w:rPr>
            </w:pPr>
          </w:p>
        </w:tc>
        <w:tc>
          <w:tcPr>
            <w:tcW w:w="992" w:type="dxa"/>
            <w:tcBorders>
              <w:top w:val="single" w:sz="4" w:space="0" w:color="auto"/>
              <w:bottom w:val="single" w:sz="12" w:space="0" w:color="auto"/>
            </w:tcBorders>
            <w:shd w:val="clear" w:color="auto" w:fill="auto"/>
            <w:noWrap/>
            <w:vAlign w:val="bottom"/>
            <w:hideMark/>
          </w:tcPr>
          <w:p w14:paraId="1FB2CEC2" w14:textId="77777777" w:rsidR="00C619FA" w:rsidRPr="008253DC" w:rsidRDefault="00C619FA" w:rsidP="00C619FA">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2014</w:t>
            </w:r>
          </w:p>
        </w:tc>
        <w:tc>
          <w:tcPr>
            <w:tcW w:w="851" w:type="dxa"/>
            <w:tcBorders>
              <w:top w:val="single" w:sz="4" w:space="0" w:color="auto"/>
              <w:bottom w:val="single" w:sz="12" w:space="0" w:color="auto"/>
            </w:tcBorders>
            <w:shd w:val="clear" w:color="auto" w:fill="auto"/>
            <w:noWrap/>
            <w:vAlign w:val="bottom"/>
            <w:hideMark/>
          </w:tcPr>
          <w:p w14:paraId="29B2AB64" w14:textId="77777777" w:rsidR="00C619FA" w:rsidRPr="008253DC" w:rsidRDefault="00C619FA" w:rsidP="00C619FA">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2015</w:t>
            </w:r>
          </w:p>
        </w:tc>
        <w:tc>
          <w:tcPr>
            <w:tcW w:w="850" w:type="dxa"/>
            <w:tcBorders>
              <w:top w:val="single" w:sz="4" w:space="0" w:color="auto"/>
              <w:bottom w:val="single" w:sz="12" w:space="0" w:color="auto"/>
            </w:tcBorders>
            <w:shd w:val="clear" w:color="auto" w:fill="auto"/>
            <w:noWrap/>
            <w:vAlign w:val="bottom"/>
            <w:hideMark/>
          </w:tcPr>
          <w:p w14:paraId="4665D6AC" w14:textId="77777777" w:rsidR="00C619FA" w:rsidRPr="008253DC" w:rsidRDefault="00C619FA" w:rsidP="00C619FA">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2016</w:t>
            </w:r>
          </w:p>
        </w:tc>
        <w:tc>
          <w:tcPr>
            <w:tcW w:w="851" w:type="dxa"/>
            <w:tcBorders>
              <w:top w:val="single" w:sz="4" w:space="0" w:color="auto"/>
              <w:bottom w:val="single" w:sz="12" w:space="0" w:color="auto"/>
            </w:tcBorders>
            <w:shd w:val="clear" w:color="auto" w:fill="auto"/>
            <w:noWrap/>
            <w:vAlign w:val="bottom"/>
            <w:hideMark/>
          </w:tcPr>
          <w:p w14:paraId="4BE958EE" w14:textId="77777777" w:rsidR="00C619FA" w:rsidRPr="008253DC" w:rsidRDefault="00C619FA" w:rsidP="00C619FA">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2017</w:t>
            </w:r>
          </w:p>
        </w:tc>
        <w:tc>
          <w:tcPr>
            <w:tcW w:w="849" w:type="dxa"/>
            <w:tcBorders>
              <w:top w:val="single" w:sz="4" w:space="0" w:color="auto"/>
              <w:bottom w:val="single" w:sz="12" w:space="0" w:color="auto"/>
            </w:tcBorders>
            <w:shd w:val="clear" w:color="auto" w:fill="auto"/>
            <w:noWrap/>
            <w:vAlign w:val="bottom"/>
            <w:hideMark/>
          </w:tcPr>
          <w:p w14:paraId="52057123" w14:textId="77777777" w:rsidR="00C619FA" w:rsidRPr="008253DC" w:rsidRDefault="00C619FA" w:rsidP="00C619FA">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2018</w:t>
            </w:r>
          </w:p>
        </w:tc>
      </w:tr>
      <w:tr w:rsidR="00C619FA" w:rsidRPr="008253DC" w14:paraId="53BD9B4F" w14:textId="77777777" w:rsidTr="00C619FA">
        <w:trPr>
          <w:trHeight w:val="240"/>
        </w:trPr>
        <w:tc>
          <w:tcPr>
            <w:tcW w:w="1648" w:type="dxa"/>
            <w:tcBorders>
              <w:top w:val="single" w:sz="12" w:space="0" w:color="auto"/>
            </w:tcBorders>
            <w:shd w:val="clear" w:color="auto" w:fill="auto"/>
            <w:noWrap/>
            <w:hideMark/>
          </w:tcPr>
          <w:p w14:paraId="585F5C9F"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p>
        </w:tc>
        <w:tc>
          <w:tcPr>
            <w:tcW w:w="1329" w:type="dxa"/>
            <w:tcBorders>
              <w:top w:val="single" w:sz="12" w:space="0" w:color="auto"/>
            </w:tcBorders>
            <w:shd w:val="clear" w:color="auto" w:fill="auto"/>
            <w:noWrap/>
            <w:vAlign w:val="bottom"/>
            <w:hideMark/>
          </w:tcPr>
          <w:p w14:paraId="5D7122E4" w14:textId="77777777" w:rsidR="00C619FA" w:rsidRPr="008253DC" w:rsidRDefault="00C619FA" w:rsidP="00C619FA">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Hombres</w:t>
            </w:r>
          </w:p>
        </w:tc>
        <w:tc>
          <w:tcPr>
            <w:tcW w:w="992" w:type="dxa"/>
            <w:tcBorders>
              <w:top w:val="single" w:sz="12" w:space="0" w:color="auto"/>
            </w:tcBorders>
            <w:shd w:val="clear" w:color="auto" w:fill="auto"/>
            <w:noWrap/>
            <w:vAlign w:val="bottom"/>
            <w:hideMark/>
          </w:tcPr>
          <w:p w14:paraId="58546A94"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163 318</w:t>
            </w:r>
          </w:p>
        </w:tc>
        <w:tc>
          <w:tcPr>
            <w:tcW w:w="851" w:type="dxa"/>
            <w:tcBorders>
              <w:top w:val="single" w:sz="12" w:space="0" w:color="auto"/>
            </w:tcBorders>
            <w:shd w:val="clear" w:color="auto" w:fill="auto"/>
            <w:noWrap/>
            <w:vAlign w:val="bottom"/>
            <w:hideMark/>
          </w:tcPr>
          <w:p w14:paraId="3989A33B"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165 186</w:t>
            </w:r>
          </w:p>
        </w:tc>
        <w:tc>
          <w:tcPr>
            <w:tcW w:w="850" w:type="dxa"/>
            <w:tcBorders>
              <w:top w:val="single" w:sz="12" w:space="0" w:color="auto"/>
            </w:tcBorders>
            <w:shd w:val="clear" w:color="auto" w:fill="auto"/>
            <w:noWrap/>
            <w:vAlign w:val="bottom"/>
            <w:hideMark/>
          </w:tcPr>
          <w:p w14:paraId="7047E4C0"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167 27</w:t>
            </w:r>
          </w:p>
        </w:tc>
        <w:tc>
          <w:tcPr>
            <w:tcW w:w="851" w:type="dxa"/>
            <w:tcBorders>
              <w:top w:val="single" w:sz="12" w:space="0" w:color="auto"/>
            </w:tcBorders>
            <w:shd w:val="clear" w:color="auto" w:fill="auto"/>
            <w:noWrap/>
            <w:vAlign w:val="bottom"/>
            <w:hideMark/>
          </w:tcPr>
          <w:p w14:paraId="111F7D2F"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171 033</w:t>
            </w:r>
          </w:p>
        </w:tc>
        <w:tc>
          <w:tcPr>
            <w:tcW w:w="849" w:type="dxa"/>
            <w:tcBorders>
              <w:top w:val="single" w:sz="12" w:space="0" w:color="auto"/>
            </w:tcBorders>
            <w:shd w:val="clear" w:color="auto" w:fill="auto"/>
            <w:noWrap/>
            <w:vAlign w:val="bottom"/>
            <w:hideMark/>
          </w:tcPr>
          <w:p w14:paraId="0012290E"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177 6</w:t>
            </w:r>
          </w:p>
        </w:tc>
      </w:tr>
      <w:tr w:rsidR="00C619FA" w:rsidRPr="008253DC" w14:paraId="1A2B422E" w14:textId="77777777" w:rsidTr="00C619FA">
        <w:trPr>
          <w:trHeight w:val="240"/>
        </w:trPr>
        <w:tc>
          <w:tcPr>
            <w:tcW w:w="1648" w:type="dxa"/>
            <w:shd w:val="clear" w:color="auto" w:fill="auto"/>
            <w:noWrap/>
            <w:hideMark/>
          </w:tcPr>
          <w:p w14:paraId="2BFBF966" w14:textId="25C70C88"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Menos de 15 %</w:t>
            </w:r>
          </w:p>
        </w:tc>
        <w:tc>
          <w:tcPr>
            <w:tcW w:w="1329" w:type="dxa"/>
            <w:shd w:val="clear" w:color="auto" w:fill="auto"/>
            <w:noWrap/>
            <w:vAlign w:val="bottom"/>
            <w:hideMark/>
          </w:tcPr>
          <w:p w14:paraId="7C9B7B0B" w14:textId="77777777" w:rsidR="00C619FA" w:rsidRPr="008253DC" w:rsidRDefault="00C619FA" w:rsidP="00C619FA">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Hombres</w:t>
            </w:r>
          </w:p>
        </w:tc>
        <w:tc>
          <w:tcPr>
            <w:tcW w:w="992" w:type="dxa"/>
            <w:shd w:val="clear" w:color="auto" w:fill="auto"/>
            <w:noWrap/>
            <w:vAlign w:val="bottom"/>
            <w:hideMark/>
          </w:tcPr>
          <w:p w14:paraId="73CC4FA7"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20,8</w:t>
            </w:r>
          </w:p>
        </w:tc>
        <w:tc>
          <w:tcPr>
            <w:tcW w:w="851" w:type="dxa"/>
            <w:shd w:val="clear" w:color="auto" w:fill="auto"/>
            <w:noWrap/>
            <w:vAlign w:val="bottom"/>
            <w:hideMark/>
          </w:tcPr>
          <w:p w14:paraId="0018A0D9"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20,7</w:t>
            </w:r>
          </w:p>
        </w:tc>
        <w:tc>
          <w:tcPr>
            <w:tcW w:w="850" w:type="dxa"/>
            <w:shd w:val="clear" w:color="auto" w:fill="auto"/>
            <w:noWrap/>
            <w:vAlign w:val="bottom"/>
            <w:hideMark/>
          </w:tcPr>
          <w:p w14:paraId="4BDF5CF4"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20,3</w:t>
            </w:r>
          </w:p>
        </w:tc>
        <w:tc>
          <w:tcPr>
            <w:tcW w:w="851" w:type="dxa"/>
            <w:shd w:val="clear" w:color="auto" w:fill="auto"/>
            <w:noWrap/>
            <w:vAlign w:val="bottom"/>
            <w:hideMark/>
          </w:tcPr>
          <w:p w14:paraId="52FDD85A"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19,9</w:t>
            </w:r>
          </w:p>
        </w:tc>
        <w:tc>
          <w:tcPr>
            <w:tcW w:w="849" w:type="dxa"/>
            <w:shd w:val="clear" w:color="auto" w:fill="auto"/>
            <w:noWrap/>
            <w:vAlign w:val="bottom"/>
            <w:hideMark/>
          </w:tcPr>
          <w:p w14:paraId="6F61E8C2"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19,4</w:t>
            </w:r>
          </w:p>
        </w:tc>
      </w:tr>
      <w:tr w:rsidR="00C619FA" w:rsidRPr="008253DC" w14:paraId="5FEC7DDB" w14:textId="77777777" w:rsidTr="00C619FA">
        <w:trPr>
          <w:trHeight w:val="240"/>
        </w:trPr>
        <w:tc>
          <w:tcPr>
            <w:tcW w:w="1648" w:type="dxa"/>
            <w:shd w:val="clear" w:color="auto" w:fill="auto"/>
            <w:noWrap/>
            <w:hideMark/>
          </w:tcPr>
          <w:p w14:paraId="0896A12D" w14:textId="3CA434BE"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Más de 65 %</w:t>
            </w:r>
          </w:p>
        </w:tc>
        <w:tc>
          <w:tcPr>
            <w:tcW w:w="1329" w:type="dxa"/>
            <w:shd w:val="clear" w:color="auto" w:fill="auto"/>
            <w:noWrap/>
            <w:vAlign w:val="bottom"/>
            <w:hideMark/>
          </w:tcPr>
          <w:p w14:paraId="15B1F33F" w14:textId="77777777" w:rsidR="00C619FA" w:rsidRPr="008253DC" w:rsidRDefault="00C619FA" w:rsidP="00C619FA">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Hombres</w:t>
            </w:r>
          </w:p>
        </w:tc>
        <w:tc>
          <w:tcPr>
            <w:tcW w:w="992" w:type="dxa"/>
            <w:shd w:val="clear" w:color="auto" w:fill="auto"/>
            <w:noWrap/>
            <w:vAlign w:val="bottom"/>
            <w:hideMark/>
          </w:tcPr>
          <w:p w14:paraId="66CD7EB1"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11,3</w:t>
            </w:r>
          </w:p>
        </w:tc>
        <w:tc>
          <w:tcPr>
            <w:tcW w:w="851" w:type="dxa"/>
            <w:shd w:val="clear" w:color="auto" w:fill="auto"/>
            <w:noWrap/>
            <w:vAlign w:val="bottom"/>
            <w:hideMark/>
          </w:tcPr>
          <w:p w14:paraId="74823F17"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11,6</w:t>
            </w:r>
          </w:p>
        </w:tc>
        <w:tc>
          <w:tcPr>
            <w:tcW w:w="850" w:type="dxa"/>
            <w:shd w:val="clear" w:color="auto" w:fill="auto"/>
            <w:noWrap/>
            <w:vAlign w:val="bottom"/>
            <w:hideMark/>
          </w:tcPr>
          <w:p w14:paraId="43BB39AF"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11,9</w:t>
            </w:r>
          </w:p>
        </w:tc>
        <w:tc>
          <w:tcPr>
            <w:tcW w:w="851" w:type="dxa"/>
            <w:shd w:val="clear" w:color="auto" w:fill="auto"/>
            <w:noWrap/>
            <w:vAlign w:val="bottom"/>
            <w:hideMark/>
          </w:tcPr>
          <w:p w14:paraId="00A0D0CF"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12,1</w:t>
            </w:r>
          </w:p>
        </w:tc>
        <w:tc>
          <w:tcPr>
            <w:tcW w:w="849" w:type="dxa"/>
            <w:shd w:val="clear" w:color="auto" w:fill="auto"/>
            <w:noWrap/>
            <w:vAlign w:val="bottom"/>
            <w:hideMark/>
          </w:tcPr>
          <w:p w14:paraId="34774DB2"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12,1</w:t>
            </w:r>
          </w:p>
        </w:tc>
      </w:tr>
      <w:tr w:rsidR="00C619FA" w:rsidRPr="008253DC" w14:paraId="36820445" w14:textId="77777777" w:rsidTr="00C619FA">
        <w:trPr>
          <w:trHeight w:val="240"/>
        </w:trPr>
        <w:tc>
          <w:tcPr>
            <w:tcW w:w="1648" w:type="dxa"/>
            <w:shd w:val="clear" w:color="auto" w:fill="auto"/>
            <w:noWrap/>
            <w:hideMark/>
          </w:tcPr>
          <w:p w14:paraId="0EA517E3"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p>
        </w:tc>
        <w:tc>
          <w:tcPr>
            <w:tcW w:w="1329" w:type="dxa"/>
            <w:shd w:val="clear" w:color="auto" w:fill="auto"/>
            <w:noWrap/>
            <w:vAlign w:val="bottom"/>
            <w:hideMark/>
          </w:tcPr>
          <w:p w14:paraId="6E9208AC" w14:textId="77777777" w:rsidR="00C619FA" w:rsidRPr="008253DC" w:rsidRDefault="00C619FA" w:rsidP="00C619FA">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Mujeres</w:t>
            </w:r>
          </w:p>
        </w:tc>
        <w:tc>
          <w:tcPr>
            <w:tcW w:w="992" w:type="dxa"/>
            <w:shd w:val="clear" w:color="auto" w:fill="auto"/>
            <w:noWrap/>
            <w:vAlign w:val="bottom"/>
            <w:hideMark/>
          </w:tcPr>
          <w:p w14:paraId="7363AAF0"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162 353</w:t>
            </w:r>
          </w:p>
        </w:tc>
        <w:tc>
          <w:tcPr>
            <w:tcW w:w="851" w:type="dxa"/>
            <w:shd w:val="clear" w:color="auto" w:fill="auto"/>
            <w:noWrap/>
            <w:vAlign w:val="bottom"/>
            <w:hideMark/>
          </w:tcPr>
          <w:p w14:paraId="51A1AE26"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163 914</w:t>
            </w:r>
          </w:p>
        </w:tc>
        <w:tc>
          <w:tcPr>
            <w:tcW w:w="850" w:type="dxa"/>
            <w:shd w:val="clear" w:color="auto" w:fill="auto"/>
            <w:noWrap/>
            <w:vAlign w:val="bottom"/>
            <w:hideMark/>
          </w:tcPr>
          <w:p w14:paraId="42A2D679"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165 259</w:t>
            </w:r>
          </w:p>
        </w:tc>
        <w:tc>
          <w:tcPr>
            <w:tcW w:w="851" w:type="dxa"/>
            <w:shd w:val="clear" w:color="auto" w:fill="auto"/>
            <w:noWrap/>
            <w:vAlign w:val="bottom"/>
            <w:hideMark/>
          </w:tcPr>
          <w:p w14:paraId="7C0AC4A8"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167 316</w:t>
            </w:r>
          </w:p>
        </w:tc>
        <w:tc>
          <w:tcPr>
            <w:tcW w:w="849" w:type="dxa"/>
            <w:shd w:val="clear" w:color="auto" w:fill="auto"/>
            <w:noWrap/>
            <w:vAlign w:val="bottom"/>
            <w:hideMark/>
          </w:tcPr>
          <w:p w14:paraId="44276607"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170 85</w:t>
            </w:r>
          </w:p>
        </w:tc>
      </w:tr>
      <w:tr w:rsidR="00C619FA" w:rsidRPr="008253DC" w14:paraId="5CF87332" w14:textId="77777777" w:rsidTr="00C619FA">
        <w:trPr>
          <w:trHeight w:val="240"/>
        </w:trPr>
        <w:tc>
          <w:tcPr>
            <w:tcW w:w="1648" w:type="dxa"/>
            <w:shd w:val="clear" w:color="auto" w:fill="auto"/>
            <w:noWrap/>
            <w:hideMark/>
          </w:tcPr>
          <w:p w14:paraId="34EA89DB" w14:textId="1FFA57D2"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Menos de 15 %</w:t>
            </w:r>
          </w:p>
        </w:tc>
        <w:tc>
          <w:tcPr>
            <w:tcW w:w="1329" w:type="dxa"/>
            <w:shd w:val="clear" w:color="auto" w:fill="auto"/>
            <w:noWrap/>
            <w:vAlign w:val="bottom"/>
            <w:hideMark/>
          </w:tcPr>
          <w:p w14:paraId="24B778A4" w14:textId="77777777" w:rsidR="00C619FA" w:rsidRPr="008253DC" w:rsidRDefault="00C619FA" w:rsidP="00C619FA">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Mujeres</w:t>
            </w:r>
          </w:p>
        </w:tc>
        <w:tc>
          <w:tcPr>
            <w:tcW w:w="992" w:type="dxa"/>
            <w:shd w:val="clear" w:color="auto" w:fill="auto"/>
            <w:noWrap/>
            <w:vAlign w:val="bottom"/>
            <w:hideMark/>
          </w:tcPr>
          <w:p w14:paraId="2D9BFC81"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20,1</w:t>
            </w:r>
          </w:p>
        </w:tc>
        <w:tc>
          <w:tcPr>
            <w:tcW w:w="851" w:type="dxa"/>
            <w:shd w:val="clear" w:color="auto" w:fill="auto"/>
            <w:noWrap/>
            <w:vAlign w:val="bottom"/>
            <w:hideMark/>
          </w:tcPr>
          <w:p w14:paraId="54329AEF"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20</w:t>
            </w:r>
          </w:p>
        </w:tc>
        <w:tc>
          <w:tcPr>
            <w:tcW w:w="850" w:type="dxa"/>
            <w:shd w:val="clear" w:color="auto" w:fill="auto"/>
            <w:noWrap/>
            <w:vAlign w:val="bottom"/>
            <w:hideMark/>
          </w:tcPr>
          <w:p w14:paraId="346E93E6"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19,7</w:t>
            </w:r>
          </w:p>
        </w:tc>
        <w:tc>
          <w:tcPr>
            <w:tcW w:w="851" w:type="dxa"/>
            <w:shd w:val="clear" w:color="auto" w:fill="auto"/>
            <w:noWrap/>
            <w:vAlign w:val="bottom"/>
            <w:hideMark/>
          </w:tcPr>
          <w:p w14:paraId="112CA690"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19,5</w:t>
            </w:r>
          </w:p>
        </w:tc>
        <w:tc>
          <w:tcPr>
            <w:tcW w:w="849" w:type="dxa"/>
            <w:shd w:val="clear" w:color="auto" w:fill="auto"/>
            <w:noWrap/>
            <w:vAlign w:val="bottom"/>
            <w:hideMark/>
          </w:tcPr>
          <w:p w14:paraId="78FEAB24"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19,2</w:t>
            </w:r>
          </w:p>
        </w:tc>
      </w:tr>
      <w:tr w:rsidR="00C619FA" w:rsidRPr="008253DC" w14:paraId="634DB8CC" w14:textId="77777777" w:rsidTr="00C619FA">
        <w:trPr>
          <w:trHeight w:val="240"/>
        </w:trPr>
        <w:tc>
          <w:tcPr>
            <w:tcW w:w="1648" w:type="dxa"/>
            <w:tcBorders>
              <w:bottom w:val="single" w:sz="12" w:space="0" w:color="auto"/>
            </w:tcBorders>
            <w:shd w:val="clear" w:color="auto" w:fill="auto"/>
            <w:noWrap/>
            <w:hideMark/>
          </w:tcPr>
          <w:p w14:paraId="42682D64" w14:textId="6343C921"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Más de 65 %</w:t>
            </w:r>
          </w:p>
        </w:tc>
        <w:tc>
          <w:tcPr>
            <w:tcW w:w="1329" w:type="dxa"/>
            <w:tcBorders>
              <w:bottom w:val="single" w:sz="12" w:space="0" w:color="auto"/>
            </w:tcBorders>
            <w:shd w:val="clear" w:color="auto" w:fill="auto"/>
            <w:noWrap/>
            <w:vAlign w:val="bottom"/>
            <w:hideMark/>
          </w:tcPr>
          <w:p w14:paraId="31A22235" w14:textId="77777777" w:rsidR="00C619FA" w:rsidRPr="008253DC" w:rsidRDefault="00C619FA" w:rsidP="00C619FA">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Mujeres</w:t>
            </w:r>
          </w:p>
        </w:tc>
        <w:tc>
          <w:tcPr>
            <w:tcW w:w="992" w:type="dxa"/>
            <w:tcBorders>
              <w:bottom w:val="single" w:sz="12" w:space="0" w:color="auto"/>
            </w:tcBorders>
            <w:shd w:val="clear" w:color="auto" w:fill="auto"/>
            <w:noWrap/>
            <w:vAlign w:val="bottom"/>
            <w:hideMark/>
          </w:tcPr>
          <w:p w14:paraId="34070CAB"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13,1</w:t>
            </w:r>
          </w:p>
        </w:tc>
        <w:tc>
          <w:tcPr>
            <w:tcW w:w="851" w:type="dxa"/>
            <w:tcBorders>
              <w:bottom w:val="single" w:sz="12" w:space="0" w:color="auto"/>
            </w:tcBorders>
            <w:shd w:val="clear" w:color="auto" w:fill="auto"/>
            <w:noWrap/>
            <w:vAlign w:val="bottom"/>
            <w:hideMark/>
          </w:tcPr>
          <w:p w14:paraId="0D7DC58E"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13,4</w:t>
            </w:r>
          </w:p>
        </w:tc>
        <w:tc>
          <w:tcPr>
            <w:tcW w:w="850" w:type="dxa"/>
            <w:tcBorders>
              <w:bottom w:val="single" w:sz="12" w:space="0" w:color="auto"/>
            </w:tcBorders>
            <w:shd w:val="clear" w:color="auto" w:fill="auto"/>
            <w:noWrap/>
            <w:vAlign w:val="bottom"/>
            <w:hideMark/>
          </w:tcPr>
          <w:p w14:paraId="2D108C5D"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13,7</w:t>
            </w:r>
          </w:p>
        </w:tc>
        <w:tc>
          <w:tcPr>
            <w:tcW w:w="851" w:type="dxa"/>
            <w:tcBorders>
              <w:bottom w:val="single" w:sz="12" w:space="0" w:color="auto"/>
            </w:tcBorders>
            <w:shd w:val="clear" w:color="auto" w:fill="auto"/>
            <w:noWrap/>
            <w:vAlign w:val="bottom"/>
            <w:hideMark/>
          </w:tcPr>
          <w:p w14:paraId="6EE592F7"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13,9</w:t>
            </w:r>
          </w:p>
        </w:tc>
        <w:tc>
          <w:tcPr>
            <w:tcW w:w="849" w:type="dxa"/>
            <w:tcBorders>
              <w:bottom w:val="single" w:sz="12" w:space="0" w:color="auto"/>
            </w:tcBorders>
            <w:shd w:val="clear" w:color="auto" w:fill="auto"/>
            <w:noWrap/>
            <w:vAlign w:val="bottom"/>
            <w:hideMark/>
          </w:tcPr>
          <w:p w14:paraId="7843FCFF" w14:textId="77777777" w:rsidR="00C619FA" w:rsidRPr="008253DC" w:rsidRDefault="00C619FA" w:rsidP="00C619FA">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14</w:t>
            </w:r>
          </w:p>
        </w:tc>
      </w:tr>
    </w:tbl>
    <w:p w14:paraId="37B7552F" w14:textId="4E0DB4A2" w:rsidR="00C619FA" w:rsidRPr="008253DC" w:rsidRDefault="00C619FA" w:rsidP="00C619FA">
      <w:pPr>
        <w:pStyle w:val="SingleTxtG"/>
        <w:spacing w:before="240"/>
        <w:rPr>
          <w:b/>
          <w:i/>
          <w:lang w:val="es-ES_tradnl"/>
        </w:rPr>
      </w:pPr>
      <w:r w:rsidRPr="008253DC">
        <w:rPr>
          <w:i/>
          <w:iCs/>
          <w:lang w:val="es-ES_tradnl"/>
        </w:rPr>
        <w:t>El cuadro que figura a continuación muestra la tasa de natalidad y de mortalidad.</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44"/>
        <w:gridCol w:w="2963"/>
        <w:gridCol w:w="2963"/>
      </w:tblGrid>
      <w:tr w:rsidR="00C619FA" w:rsidRPr="008253DC" w14:paraId="0DAB0BF5" w14:textId="77777777" w:rsidTr="00C619FA">
        <w:trPr>
          <w:trHeight w:val="240"/>
          <w:tblHeader/>
        </w:trPr>
        <w:tc>
          <w:tcPr>
            <w:tcW w:w="2415" w:type="dxa"/>
            <w:tcBorders>
              <w:top w:val="single" w:sz="4" w:space="0" w:color="auto"/>
              <w:bottom w:val="single" w:sz="12" w:space="0" w:color="auto"/>
            </w:tcBorders>
            <w:shd w:val="clear" w:color="auto" w:fill="auto"/>
            <w:noWrap/>
            <w:vAlign w:val="bottom"/>
            <w:hideMark/>
          </w:tcPr>
          <w:p w14:paraId="0F4BB535" w14:textId="77777777" w:rsidR="00C619FA" w:rsidRPr="008253DC" w:rsidRDefault="00C619FA" w:rsidP="00C619FA">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Año</w:t>
            </w:r>
          </w:p>
        </w:tc>
        <w:tc>
          <w:tcPr>
            <w:tcW w:w="4972" w:type="dxa"/>
            <w:tcBorders>
              <w:top w:val="single" w:sz="4" w:space="0" w:color="auto"/>
              <w:bottom w:val="single" w:sz="12" w:space="0" w:color="auto"/>
            </w:tcBorders>
            <w:shd w:val="clear" w:color="auto" w:fill="auto"/>
            <w:noWrap/>
            <w:vAlign w:val="bottom"/>
            <w:hideMark/>
          </w:tcPr>
          <w:p w14:paraId="66737084" w14:textId="0A7DF339" w:rsidR="00C619FA" w:rsidRPr="008253DC" w:rsidRDefault="00C619FA" w:rsidP="00C619FA">
            <w:pPr>
              <w:pStyle w:val="SingleTxtG"/>
              <w:tabs>
                <w:tab w:val="clear" w:pos="1701"/>
                <w:tab w:val="clear" w:pos="2268"/>
                <w:tab w:val="clear" w:pos="2835"/>
              </w:tabs>
              <w:spacing w:before="80" w:after="80" w:line="200" w:lineRule="exact"/>
              <w:ind w:left="57" w:right="28"/>
              <w:jc w:val="right"/>
              <w:rPr>
                <w:i/>
                <w:iCs/>
                <w:sz w:val="16"/>
                <w:lang w:val="es-ES_tradnl"/>
              </w:rPr>
            </w:pPr>
            <w:r w:rsidRPr="008253DC">
              <w:rPr>
                <w:i/>
                <w:iCs/>
                <w:sz w:val="16"/>
                <w:lang w:val="es-ES_tradnl"/>
              </w:rPr>
              <w:t>Tasa de natalidad</w:t>
            </w:r>
            <w:r w:rsidRPr="008253DC">
              <w:rPr>
                <w:i/>
                <w:iCs/>
                <w:sz w:val="16"/>
                <w:lang w:val="es-ES_tradnl"/>
              </w:rPr>
              <w:br/>
              <w:t>(nacidos vivos por cada 1.000 habitantes)</w:t>
            </w:r>
          </w:p>
        </w:tc>
        <w:tc>
          <w:tcPr>
            <w:tcW w:w="4972" w:type="dxa"/>
            <w:tcBorders>
              <w:top w:val="single" w:sz="4" w:space="0" w:color="auto"/>
              <w:bottom w:val="single" w:sz="12" w:space="0" w:color="auto"/>
            </w:tcBorders>
            <w:shd w:val="clear" w:color="auto" w:fill="auto"/>
            <w:noWrap/>
            <w:vAlign w:val="bottom"/>
            <w:hideMark/>
          </w:tcPr>
          <w:p w14:paraId="75B075FB" w14:textId="1FC8A80F" w:rsidR="00C619FA" w:rsidRPr="008253DC" w:rsidRDefault="00C619FA" w:rsidP="00C619FA">
            <w:pPr>
              <w:pStyle w:val="SingleTxtG"/>
              <w:tabs>
                <w:tab w:val="clear" w:pos="1701"/>
                <w:tab w:val="clear" w:pos="2268"/>
                <w:tab w:val="clear" w:pos="2835"/>
              </w:tabs>
              <w:spacing w:before="80" w:after="80" w:line="200" w:lineRule="exact"/>
              <w:ind w:left="57" w:right="28"/>
              <w:jc w:val="right"/>
              <w:rPr>
                <w:i/>
                <w:iCs/>
                <w:sz w:val="16"/>
                <w:lang w:val="es-ES_tradnl"/>
              </w:rPr>
            </w:pPr>
            <w:r w:rsidRPr="008253DC">
              <w:rPr>
                <w:i/>
                <w:iCs/>
                <w:sz w:val="16"/>
                <w:lang w:val="es-ES_tradnl"/>
              </w:rPr>
              <w:t>Mortalidad</w:t>
            </w:r>
            <w:r w:rsidRPr="008253DC">
              <w:rPr>
                <w:i/>
                <w:iCs/>
                <w:sz w:val="16"/>
                <w:lang w:val="es-ES_tradnl"/>
              </w:rPr>
              <w:br/>
              <w:t>(muertes por cada 1.000 habitantes)</w:t>
            </w:r>
          </w:p>
        </w:tc>
      </w:tr>
      <w:tr w:rsidR="00C619FA" w:rsidRPr="008253DC" w14:paraId="0CDF4DF5" w14:textId="77777777" w:rsidTr="00C619FA">
        <w:trPr>
          <w:trHeight w:val="240"/>
        </w:trPr>
        <w:tc>
          <w:tcPr>
            <w:tcW w:w="2415" w:type="dxa"/>
            <w:tcBorders>
              <w:top w:val="single" w:sz="12" w:space="0" w:color="auto"/>
            </w:tcBorders>
            <w:shd w:val="clear" w:color="auto" w:fill="auto"/>
            <w:noWrap/>
            <w:hideMark/>
          </w:tcPr>
          <w:p w14:paraId="75F66D86"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2014</w:t>
            </w:r>
          </w:p>
        </w:tc>
        <w:tc>
          <w:tcPr>
            <w:tcW w:w="4972" w:type="dxa"/>
            <w:tcBorders>
              <w:top w:val="single" w:sz="12" w:space="0" w:color="auto"/>
            </w:tcBorders>
            <w:shd w:val="clear" w:color="auto" w:fill="auto"/>
            <w:noWrap/>
            <w:vAlign w:val="bottom"/>
            <w:hideMark/>
          </w:tcPr>
          <w:p w14:paraId="09D49E60"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13,4</w:t>
            </w:r>
          </w:p>
        </w:tc>
        <w:tc>
          <w:tcPr>
            <w:tcW w:w="4972" w:type="dxa"/>
            <w:tcBorders>
              <w:top w:val="single" w:sz="12" w:space="0" w:color="auto"/>
            </w:tcBorders>
            <w:shd w:val="clear" w:color="auto" w:fill="auto"/>
            <w:noWrap/>
            <w:vAlign w:val="bottom"/>
            <w:hideMark/>
          </w:tcPr>
          <w:p w14:paraId="3CCC838B"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6,3</w:t>
            </w:r>
          </w:p>
        </w:tc>
      </w:tr>
      <w:tr w:rsidR="00C619FA" w:rsidRPr="008253DC" w14:paraId="57824358" w14:textId="77777777" w:rsidTr="00C619FA">
        <w:trPr>
          <w:trHeight w:val="240"/>
        </w:trPr>
        <w:tc>
          <w:tcPr>
            <w:tcW w:w="2415" w:type="dxa"/>
            <w:shd w:val="clear" w:color="auto" w:fill="auto"/>
            <w:noWrap/>
            <w:hideMark/>
          </w:tcPr>
          <w:p w14:paraId="6DBE570A"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2015</w:t>
            </w:r>
          </w:p>
        </w:tc>
        <w:tc>
          <w:tcPr>
            <w:tcW w:w="4972" w:type="dxa"/>
            <w:shd w:val="clear" w:color="auto" w:fill="auto"/>
            <w:noWrap/>
            <w:vAlign w:val="bottom"/>
            <w:hideMark/>
          </w:tcPr>
          <w:p w14:paraId="3A1E0CD3"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12,5</w:t>
            </w:r>
          </w:p>
        </w:tc>
        <w:tc>
          <w:tcPr>
            <w:tcW w:w="4972" w:type="dxa"/>
            <w:shd w:val="clear" w:color="auto" w:fill="auto"/>
            <w:noWrap/>
            <w:vAlign w:val="bottom"/>
            <w:hideMark/>
          </w:tcPr>
          <w:p w14:paraId="2DDECD99"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6,6</w:t>
            </w:r>
          </w:p>
        </w:tc>
      </w:tr>
      <w:tr w:rsidR="00C619FA" w:rsidRPr="008253DC" w14:paraId="5F972A42" w14:textId="77777777" w:rsidTr="00C619FA">
        <w:trPr>
          <w:trHeight w:val="240"/>
        </w:trPr>
        <w:tc>
          <w:tcPr>
            <w:tcW w:w="2415" w:type="dxa"/>
            <w:shd w:val="clear" w:color="auto" w:fill="auto"/>
            <w:noWrap/>
            <w:hideMark/>
          </w:tcPr>
          <w:p w14:paraId="3B5E5BDD"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2016</w:t>
            </w:r>
          </w:p>
        </w:tc>
        <w:tc>
          <w:tcPr>
            <w:tcW w:w="4972" w:type="dxa"/>
            <w:shd w:val="clear" w:color="auto" w:fill="auto"/>
            <w:noWrap/>
            <w:vAlign w:val="bottom"/>
            <w:hideMark/>
          </w:tcPr>
          <w:p w14:paraId="2DF6FF68"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12</w:t>
            </w:r>
          </w:p>
        </w:tc>
        <w:tc>
          <w:tcPr>
            <w:tcW w:w="4972" w:type="dxa"/>
            <w:shd w:val="clear" w:color="auto" w:fill="auto"/>
            <w:noWrap/>
            <w:vAlign w:val="bottom"/>
            <w:hideMark/>
          </w:tcPr>
          <w:p w14:paraId="77B1159D"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6,9</w:t>
            </w:r>
          </w:p>
        </w:tc>
      </w:tr>
      <w:tr w:rsidR="00C619FA" w:rsidRPr="008253DC" w14:paraId="139C0ADF" w14:textId="77777777" w:rsidTr="00C619FA">
        <w:trPr>
          <w:trHeight w:val="240"/>
        </w:trPr>
        <w:tc>
          <w:tcPr>
            <w:tcW w:w="2415" w:type="dxa"/>
            <w:shd w:val="clear" w:color="auto" w:fill="auto"/>
            <w:noWrap/>
            <w:hideMark/>
          </w:tcPr>
          <w:p w14:paraId="453D1A7D"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2017</w:t>
            </w:r>
          </w:p>
        </w:tc>
        <w:tc>
          <w:tcPr>
            <w:tcW w:w="4972" w:type="dxa"/>
            <w:shd w:val="clear" w:color="auto" w:fill="auto"/>
            <w:noWrap/>
            <w:vAlign w:val="bottom"/>
            <w:hideMark/>
          </w:tcPr>
          <w:p w14:paraId="542E188F"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11,9</w:t>
            </w:r>
          </w:p>
        </w:tc>
        <w:tc>
          <w:tcPr>
            <w:tcW w:w="4972" w:type="dxa"/>
            <w:shd w:val="clear" w:color="auto" w:fill="auto"/>
            <w:noWrap/>
            <w:vAlign w:val="bottom"/>
            <w:hideMark/>
          </w:tcPr>
          <w:p w14:paraId="0770F60D"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6,5</w:t>
            </w:r>
          </w:p>
        </w:tc>
      </w:tr>
      <w:tr w:rsidR="00C619FA" w:rsidRPr="008253DC" w14:paraId="1E2F212D" w14:textId="77777777" w:rsidTr="00C619FA">
        <w:trPr>
          <w:trHeight w:val="240"/>
        </w:trPr>
        <w:tc>
          <w:tcPr>
            <w:tcW w:w="2415" w:type="dxa"/>
            <w:tcBorders>
              <w:bottom w:val="single" w:sz="12" w:space="0" w:color="auto"/>
            </w:tcBorders>
            <w:shd w:val="clear" w:color="auto" w:fill="auto"/>
            <w:noWrap/>
            <w:hideMark/>
          </w:tcPr>
          <w:p w14:paraId="6459BEB0"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2018</w:t>
            </w:r>
          </w:p>
        </w:tc>
        <w:tc>
          <w:tcPr>
            <w:tcW w:w="4972" w:type="dxa"/>
            <w:tcBorders>
              <w:bottom w:val="single" w:sz="12" w:space="0" w:color="auto"/>
            </w:tcBorders>
            <w:shd w:val="clear" w:color="auto" w:fill="auto"/>
            <w:noWrap/>
            <w:vAlign w:val="bottom"/>
            <w:hideMark/>
          </w:tcPr>
          <w:p w14:paraId="61F5502F"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12</w:t>
            </w:r>
          </w:p>
        </w:tc>
        <w:tc>
          <w:tcPr>
            <w:tcW w:w="4972" w:type="dxa"/>
            <w:tcBorders>
              <w:bottom w:val="single" w:sz="12" w:space="0" w:color="auto"/>
            </w:tcBorders>
            <w:shd w:val="clear" w:color="auto" w:fill="auto"/>
            <w:noWrap/>
            <w:vAlign w:val="bottom"/>
            <w:hideMark/>
          </w:tcPr>
          <w:p w14:paraId="1B120AA5"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6,4</w:t>
            </w:r>
          </w:p>
        </w:tc>
      </w:tr>
    </w:tbl>
    <w:p w14:paraId="11188EE5" w14:textId="77777777" w:rsidR="00C619FA" w:rsidRPr="008253DC" w:rsidRDefault="00C619FA" w:rsidP="00340CFB">
      <w:pPr>
        <w:pStyle w:val="SingleTxtG"/>
        <w:spacing w:before="240" w:after="130"/>
        <w:rPr>
          <w:bCs/>
          <w:lang w:val="es-ES_tradnl"/>
        </w:rPr>
      </w:pPr>
      <w:r w:rsidRPr="008253DC">
        <w:rPr>
          <w:lang w:val="es-ES_tradnl"/>
        </w:rPr>
        <w:t>2.</w:t>
      </w:r>
      <w:r w:rsidRPr="008253DC">
        <w:rPr>
          <w:lang w:val="es-ES_tradnl"/>
        </w:rPr>
        <w:tab/>
        <w:t xml:space="preserve">En Islandia, la </w:t>
      </w:r>
      <w:r w:rsidRPr="008253DC">
        <w:rPr>
          <w:i/>
          <w:iCs/>
          <w:lang w:val="es-ES_tradnl"/>
        </w:rPr>
        <w:t>esperanza de vida</w:t>
      </w:r>
      <w:r w:rsidRPr="008253DC">
        <w:rPr>
          <w:lang w:val="es-ES_tradnl"/>
        </w:rPr>
        <w:t xml:space="preserve"> se ha mantenido estable en los últimos años, con una esperanza media de vida de 81 años, en el caso de los hombres, y de 84 años, en el caso de las mujeres. </w:t>
      </w:r>
    </w:p>
    <w:p w14:paraId="762EAEF8" w14:textId="77777777" w:rsidR="00C619FA" w:rsidRPr="008253DC" w:rsidRDefault="00C619FA" w:rsidP="00340CFB">
      <w:pPr>
        <w:pStyle w:val="SingleTxtG"/>
        <w:spacing w:after="130"/>
        <w:rPr>
          <w:bCs/>
          <w:lang w:val="es-ES_tradnl"/>
        </w:rPr>
      </w:pPr>
      <w:r w:rsidRPr="008253DC">
        <w:rPr>
          <w:lang w:val="es-ES_tradnl"/>
        </w:rPr>
        <w:t>3.</w:t>
      </w:r>
      <w:r w:rsidRPr="008253DC">
        <w:rPr>
          <w:lang w:val="es-ES_tradnl"/>
        </w:rPr>
        <w:tab/>
        <w:t xml:space="preserve">En 2017, el </w:t>
      </w:r>
      <w:r w:rsidRPr="008253DC">
        <w:rPr>
          <w:i/>
          <w:iCs/>
          <w:lang w:val="es-ES_tradnl"/>
        </w:rPr>
        <w:t>tamaño medio de los hogares</w:t>
      </w:r>
      <w:r w:rsidRPr="008253DC">
        <w:rPr>
          <w:lang w:val="es-ES_tradnl"/>
        </w:rPr>
        <w:t xml:space="preserve"> (número de personas) era 2,6. El 32 % de todos los hogares eran unipersonales. El 9 % de los niños vivía con su madre o con su padre. El número de personas que vivía en hogares de madres solas era 28.124 y, en los hogares de padres solos, 2.732.</w:t>
      </w:r>
    </w:p>
    <w:p w14:paraId="77FB60BE" w14:textId="551C7C80" w:rsidR="00C619FA" w:rsidRPr="008253DC" w:rsidRDefault="00C619FA" w:rsidP="00340CFB">
      <w:pPr>
        <w:pStyle w:val="SingleTxtG"/>
        <w:spacing w:after="130"/>
        <w:rPr>
          <w:bCs/>
          <w:lang w:val="es-ES_tradnl"/>
        </w:rPr>
      </w:pPr>
      <w:r w:rsidRPr="008253DC">
        <w:rPr>
          <w:lang w:val="es-ES_tradnl"/>
        </w:rPr>
        <w:t>4.</w:t>
      </w:r>
      <w:r w:rsidRPr="008253DC">
        <w:rPr>
          <w:lang w:val="es-ES_tradnl"/>
        </w:rPr>
        <w:tab/>
        <w:t xml:space="preserve">En 2020, se inscribió en los registros de Islandia a 55.354 </w:t>
      </w:r>
      <w:r w:rsidRPr="008253DC">
        <w:rPr>
          <w:i/>
          <w:iCs/>
          <w:lang w:val="es-ES_tradnl"/>
        </w:rPr>
        <w:t>inmigrantes</w:t>
      </w:r>
      <w:r w:rsidRPr="008253DC">
        <w:rPr>
          <w:lang w:val="es-ES_tradnl"/>
        </w:rPr>
        <w:t>, esto es, el 15,2</w:t>
      </w:r>
      <w:r w:rsidR="0097697B" w:rsidRPr="008253DC">
        <w:rPr>
          <w:lang w:val="es-ES_tradnl"/>
        </w:rPr>
        <w:t> </w:t>
      </w:r>
      <w:r w:rsidRPr="008253DC">
        <w:rPr>
          <w:lang w:val="es-ES_tradnl"/>
        </w:rPr>
        <w:t xml:space="preserve">% de la población, y a otras 5.684 </w:t>
      </w:r>
      <w:r w:rsidRPr="008253DC">
        <w:rPr>
          <w:i/>
          <w:iCs/>
          <w:lang w:val="es-ES_tradnl"/>
        </w:rPr>
        <w:t>personas nacidas en Islandia de madre y padre inmigrantes</w:t>
      </w:r>
      <w:r w:rsidRPr="008253DC">
        <w:rPr>
          <w:lang w:val="es-ES_tradnl"/>
        </w:rPr>
        <w:t xml:space="preserve">, lo que representa un total del 16,8 % de la población islandesa. En el presente párrafo, por </w:t>
      </w:r>
      <w:r w:rsidR="00141A72" w:rsidRPr="008253DC">
        <w:rPr>
          <w:lang w:val="es-ES_tradnl"/>
        </w:rPr>
        <w:t>“</w:t>
      </w:r>
      <w:r w:rsidRPr="008253DC">
        <w:rPr>
          <w:lang w:val="es-ES_tradnl"/>
        </w:rPr>
        <w:t>inmigrante</w:t>
      </w:r>
      <w:r w:rsidR="00141A72" w:rsidRPr="008253DC">
        <w:rPr>
          <w:lang w:val="es-ES_tradnl"/>
        </w:rPr>
        <w:t>”</w:t>
      </w:r>
      <w:r w:rsidRPr="008253DC">
        <w:rPr>
          <w:lang w:val="es-ES_tradnl"/>
        </w:rPr>
        <w:t xml:space="preserve"> se entiende toda persona nacida en el exterior de dos progenitores nacidos en el extranjero, y no se tiene en cuenta a los solicitantes de asilo ni a los inmigrantes de segunda generación. La mayor proporción de inmigrantes eran polacos (20.477), que representaban el 37 % del total, seguidos de lituanos (5,9 %) y de filipinos (3,8 %).</w:t>
      </w:r>
    </w:p>
    <w:p w14:paraId="01BB5496" w14:textId="77777777" w:rsidR="00C619FA" w:rsidRPr="008253DC" w:rsidRDefault="00C619FA" w:rsidP="00340CFB">
      <w:pPr>
        <w:pStyle w:val="SingleTxtG"/>
        <w:spacing w:after="130"/>
        <w:rPr>
          <w:bCs/>
          <w:lang w:val="es-ES_tradnl"/>
        </w:rPr>
      </w:pPr>
      <w:r w:rsidRPr="008253DC">
        <w:rPr>
          <w:lang w:val="es-ES_tradnl"/>
        </w:rPr>
        <w:t>5.</w:t>
      </w:r>
      <w:r w:rsidRPr="008253DC">
        <w:rPr>
          <w:lang w:val="es-ES_tradnl"/>
        </w:rPr>
        <w:tab/>
        <w:t>En 2020, el 63 % de la población islandesa eran miembros de la Iglesia Evangélica Luterana de Islandia (en islandés, Þjóðkirkjan). Más del 7 % de la población no forma parte de una organización religiosa. A continuación se indica el número de miembros de otras comunidades religiosas y defensoras de una filosofía de vida.</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382"/>
        <w:gridCol w:w="1494"/>
        <w:gridCol w:w="1494"/>
      </w:tblGrid>
      <w:tr w:rsidR="00C619FA" w:rsidRPr="008253DC" w14:paraId="0B38C0B2" w14:textId="77777777" w:rsidTr="00C619FA">
        <w:trPr>
          <w:trHeight w:val="240"/>
          <w:tblHeader/>
        </w:trPr>
        <w:tc>
          <w:tcPr>
            <w:tcW w:w="4382" w:type="dxa"/>
            <w:tcBorders>
              <w:top w:val="single" w:sz="4" w:space="0" w:color="auto"/>
              <w:bottom w:val="single" w:sz="12" w:space="0" w:color="auto"/>
            </w:tcBorders>
            <w:shd w:val="clear" w:color="auto" w:fill="auto"/>
            <w:noWrap/>
            <w:vAlign w:val="bottom"/>
            <w:hideMark/>
          </w:tcPr>
          <w:p w14:paraId="0AA89FD7" w14:textId="77777777" w:rsidR="00C619FA" w:rsidRPr="008253DC" w:rsidRDefault="00C619FA" w:rsidP="00C619FA">
            <w:pPr>
              <w:pStyle w:val="SingleTxtG"/>
              <w:tabs>
                <w:tab w:val="clear" w:pos="1701"/>
                <w:tab w:val="clear" w:pos="2268"/>
                <w:tab w:val="clear" w:pos="2835"/>
              </w:tabs>
              <w:spacing w:before="80" w:after="80" w:line="200" w:lineRule="exact"/>
              <w:ind w:left="0" w:right="0"/>
              <w:jc w:val="left"/>
              <w:rPr>
                <w:i/>
                <w:iCs/>
                <w:sz w:val="16"/>
                <w:lang w:val="es-ES_tradnl"/>
              </w:rPr>
            </w:pPr>
            <w:r w:rsidRPr="008253DC">
              <w:rPr>
                <w:i/>
                <w:iCs/>
                <w:sz w:val="16"/>
                <w:lang w:val="es-ES_tradnl"/>
              </w:rPr>
              <w:t>Comunidades religiosas y defensoras de una filosofía de vida 2020</w:t>
            </w:r>
          </w:p>
        </w:tc>
        <w:tc>
          <w:tcPr>
            <w:tcW w:w="1494" w:type="dxa"/>
            <w:tcBorders>
              <w:top w:val="single" w:sz="4" w:space="0" w:color="auto"/>
              <w:bottom w:val="single" w:sz="12" w:space="0" w:color="auto"/>
            </w:tcBorders>
            <w:shd w:val="clear" w:color="auto" w:fill="auto"/>
            <w:noWrap/>
            <w:vAlign w:val="bottom"/>
            <w:hideMark/>
          </w:tcPr>
          <w:p w14:paraId="0208A812" w14:textId="77777777" w:rsidR="00C619FA" w:rsidRPr="008253DC" w:rsidRDefault="00C619FA" w:rsidP="00C619FA">
            <w:pPr>
              <w:pStyle w:val="SingleTxtG"/>
              <w:tabs>
                <w:tab w:val="clear" w:pos="1701"/>
                <w:tab w:val="clear" w:pos="2268"/>
                <w:tab w:val="clear" w:pos="2835"/>
              </w:tabs>
              <w:spacing w:before="80" w:after="80" w:line="200" w:lineRule="exact"/>
              <w:ind w:left="57" w:right="28"/>
              <w:jc w:val="right"/>
              <w:rPr>
                <w:i/>
                <w:iCs/>
                <w:sz w:val="16"/>
                <w:lang w:val="es-ES_tradnl"/>
              </w:rPr>
            </w:pPr>
            <w:r w:rsidRPr="008253DC">
              <w:rPr>
                <w:i/>
                <w:iCs/>
                <w:sz w:val="16"/>
                <w:lang w:val="es-ES_tradnl"/>
              </w:rPr>
              <w:t>Miembros</w:t>
            </w:r>
          </w:p>
        </w:tc>
        <w:tc>
          <w:tcPr>
            <w:tcW w:w="1494" w:type="dxa"/>
            <w:tcBorders>
              <w:top w:val="single" w:sz="4" w:space="0" w:color="auto"/>
              <w:bottom w:val="single" w:sz="12" w:space="0" w:color="auto"/>
            </w:tcBorders>
            <w:shd w:val="clear" w:color="auto" w:fill="auto"/>
            <w:noWrap/>
            <w:vAlign w:val="bottom"/>
            <w:hideMark/>
          </w:tcPr>
          <w:p w14:paraId="21245E0C" w14:textId="77777777" w:rsidR="00C619FA" w:rsidRPr="008253DC" w:rsidRDefault="00C619FA" w:rsidP="00C619FA">
            <w:pPr>
              <w:pStyle w:val="SingleTxtG"/>
              <w:tabs>
                <w:tab w:val="clear" w:pos="1701"/>
                <w:tab w:val="clear" w:pos="2268"/>
                <w:tab w:val="clear" w:pos="2835"/>
              </w:tabs>
              <w:spacing w:before="80" w:after="80" w:line="200" w:lineRule="exact"/>
              <w:ind w:left="57" w:right="28"/>
              <w:jc w:val="right"/>
              <w:rPr>
                <w:i/>
                <w:iCs/>
                <w:sz w:val="16"/>
                <w:lang w:val="es-ES_tradnl"/>
              </w:rPr>
            </w:pPr>
            <w:r w:rsidRPr="008253DC">
              <w:rPr>
                <w:i/>
                <w:iCs/>
                <w:sz w:val="16"/>
                <w:lang w:val="es-ES_tradnl"/>
              </w:rPr>
              <w:t>Porcentaje</w:t>
            </w:r>
          </w:p>
        </w:tc>
      </w:tr>
      <w:tr w:rsidR="00C619FA" w:rsidRPr="008253DC" w14:paraId="7664038B" w14:textId="77777777" w:rsidTr="00C619FA">
        <w:trPr>
          <w:trHeight w:val="240"/>
        </w:trPr>
        <w:tc>
          <w:tcPr>
            <w:tcW w:w="4382" w:type="dxa"/>
            <w:tcBorders>
              <w:top w:val="single" w:sz="12" w:space="0" w:color="auto"/>
            </w:tcBorders>
            <w:shd w:val="clear" w:color="auto" w:fill="auto"/>
            <w:noWrap/>
            <w:hideMark/>
          </w:tcPr>
          <w:p w14:paraId="1B451115"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Iglesia Luterana Libre de Reikiavik</w:t>
            </w:r>
          </w:p>
        </w:tc>
        <w:tc>
          <w:tcPr>
            <w:tcW w:w="1494" w:type="dxa"/>
            <w:tcBorders>
              <w:top w:val="single" w:sz="12" w:space="0" w:color="auto"/>
            </w:tcBorders>
            <w:shd w:val="clear" w:color="auto" w:fill="auto"/>
            <w:noWrap/>
            <w:vAlign w:val="bottom"/>
            <w:hideMark/>
          </w:tcPr>
          <w:p w14:paraId="43AD10BF"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10 003</w:t>
            </w:r>
          </w:p>
        </w:tc>
        <w:tc>
          <w:tcPr>
            <w:tcW w:w="1494" w:type="dxa"/>
            <w:tcBorders>
              <w:top w:val="single" w:sz="12" w:space="0" w:color="auto"/>
            </w:tcBorders>
            <w:shd w:val="clear" w:color="auto" w:fill="auto"/>
            <w:noWrap/>
            <w:vAlign w:val="bottom"/>
            <w:hideMark/>
          </w:tcPr>
          <w:p w14:paraId="6168391D"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2,7</w:t>
            </w:r>
          </w:p>
        </w:tc>
      </w:tr>
      <w:tr w:rsidR="00C619FA" w:rsidRPr="008253DC" w14:paraId="2EC7DA78" w14:textId="77777777" w:rsidTr="00C619FA">
        <w:trPr>
          <w:trHeight w:val="240"/>
        </w:trPr>
        <w:tc>
          <w:tcPr>
            <w:tcW w:w="4382" w:type="dxa"/>
            <w:shd w:val="clear" w:color="auto" w:fill="auto"/>
            <w:noWrap/>
            <w:hideMark/>
          </w:tcPr>
          <w:p w14:paraId="75E8EEEB"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 xml:space="preserve">Diócesis Católica Romana </w:t>
            </w:r>
          </w:p>
        </w:tc>
        <w:tc>
          <w:tcPr>
            <w:tcW w:w="1494" w:type="dxa"/>
            <w:shd w:val="clear" w:color="auto" w:fill="auto"/>
            <w:noWrap/>
            <w:vAlign w:val="bottom"/>
            <w:hideMark/>
          </w:tcPr>
          <w:p w14:paraId="04229E4B"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14 632</w:t>
            </w:r>
          </w:p>
        </w:tc>
        <w:tc>
          <w:tcPr>
            <w:tcW w:w="1494" w:type="dxa"/>
            <w:shd w:val="clear" w:color="auto" w:fill="auto"/>
            <w:noWrap/>
            <w:vAlign w:val="bottom"/>
            <w:hideMark/>
          </w:tcPr>
          <w:p w14:paraId="3F1F4C88"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w:t>
            </w:r>
          </w:p>
        </w:tc>
      </w:tr>
      <w:tr w:rsidR="00C619FA" w:rsidRPr="008253DC" w14:paraId="45798F13" w14:textId="77777777" w:rsidTr="00C619FA">
        <w:trPr>
          <w:trHeight w:val="240"/>
        </w:trPr>
        <w:tc>
          <w:tcPr>
            <w:tcW w:w="4382" w:type="dxa"/>
            <w:shd w:val="clear" w:color="auto" w:fill="auto"/>
            <w:noWrap/>
            <w:hideMark/>
          </w:tcPr>
          <w:p w14:paraId="4414F7FF"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Iglesia Luterana Libre de Hafnarfjörður</w:t>
            </w:r>
          </w:p>
        </w:tc>
        <w:tc>
          <w:tcPr>
            <w:tcW w:w="1494" w:type="dxa"/>
            <w:shd w:val="clear" w:color="auto" w:fill="auto"/>
            <w:noWrap/>
            <w:vAlign w:val="bottom"/>
            <w:hideMark/>
          </w:tcPr>
          <w:p w14:paraId="737AD9A2"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7 216</w:t>
            </w:r>
          </w:p>
        </w:tc>
        <w:tc>
          <w:tcPr>
            <w:tcW w:w="1494" w:type="dxa"/>
            <w:shd w:val="clear" w:color="auto" w:fill="auto"/>
            <w:noWrap/>
            <w:vAlign w:val="bottom"/>
            <w:hideMark/>
          </w:tcPr>
          <w:p w14:paraId="4AFC208D"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w:t>
            </w:r>
          </w:p>
        </w:tc>
      </w:tr>
      <w:tr w:rsidR="00C619FA" w:rsidRPr="008253DC" w14:paraId="0B78BBB9" w14:textId="77777777" w:rsidTr="00C619FA">
        <w:trPr>
          <w:trHeight w:val="240"/>
        </w:trPr>
        <w:tc>
          <w:tcPr>
            <w:tcW w:w="4382" w:type="dxa"/>
            <w:shd w:val="clear" w:color="auto" w:fill="auto"/>
            <w:noWrap/>
            <w:hideMark/>
          </w:tcPr>
          <w:p w14:paraId="63729B2D"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Congregación Independiente</w:t>
            </w:r>
          </w:p>
        </w:tc>
        <w:tc>
          <w:tcPr>
            <w:tcW w:w="1494" w:type="dxa"/>
            <w:shd w:val="clear" w:color="auto" w:fill="auto"/>
            <w:noWrap/>
            <w:vAlign w:val="bottom"/>
            <w:hideMark/>
          </w:tcPr>
          <w:p w14:paraId="3EB7EDEE"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3 241</w:t>
            </w:r>
          </w:p>
        </w:tc>
        <w:tc>
          <w:tcPr>
            <w:tcW w:w="1494" w:type="dxa"/>
            <w:shd w:val="clear" w:color="auto" w:fill="auto"/>
            <w:noWrap/>
            <w:vAlign w:val="bottom"/>
            <w:hideMark/>
          </w:tcPr>
          <w:p w14:paraId="312FA279"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0,9</w:t>
            </w:r>
          </w:p>
        </w:tc>
      </w:tr>
      <w:tr w:rsidR="00C619FA" w:rsidRPr="008253DC" w14:paraId="58DB29D5" w14:textId="77777777" w:rsidTr="00C619FA">
        <w:trPr>
          <w:trHeight w:val="240"/>
        </w:trPr>
        <w:tc>
          <w:tcPr>
            <w:tcW w:w="4382" w:type="dxa"/>
            <w:shd w:val="clear" w:color="auto" w:fill="auto"/>
            <w:noWrap/>
            <w:hideMark/>
          </w:tcPr>
          <w:p w14:paraId="31C671CA"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Asociación Ásatrú</w:t>
            </w:r>
          </w:p>
        </w:tc>
        <w:tc>
          <w:tcPr>
            <w:tcW w:w="1494" w:type="dxa"/>
            <w:shd w:val="clear" w:color="auto" w:fill="auto"/>
            <w:noWrap/>
            <w:vAlign w:val="bottom"/>
            <w:hideMark/>
          </w:tcPr>
          <w:p w14:paraId="25081419"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4 764</w:t>
            </w:r>
          </w:p>
        </w:tc>
        <w:tc>
          <w:tcPr>
            <w:tcW w:w="1494" w:type="dxa"/>
            <w:shd w:val="clear" w:color="auto" w:fill="auto"/>
            <w:noWrap/>
            <w:vAlign w:val="bottom"/>
            <w:hideMark/>
          </w:tcPr>
          <w:p w14:paraId="41F7C206"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1,3</w:t>
            </w:r>
          </w:p>
        </w:tc>
      </w:tr>
      <w:tr w:rsidR="00C619FA" w:rsidRPr="008253DC" w14:paraId="0313D7F4" w14:textId="77777777" w:rsidTr="00C619FA">
        <w:trPr>
          <w:trHeight w:val="240"/>
        </w:trPr>
        <w:tc>
          <w:tcPr>
            <w:tcW w:w="4382" w:type="dxa"/>
            <w:shd w:val="clear" w:color="auto" w:fill="auto"/>
            <w:noWrap/>
            <w:hideMark/>
          </w:tcPr>
          <w:p w14:paraId="6AE0BF6C"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Zuismo</w:t>
            </w:r>
          </w:p>
        </w:tc>
        <w:tc>
          <w:tcPr>
            <w:tcW w:w="1494" w:type="dxa"/>
            <w:shd w:val="clear" w:color="auto" w:fill="auto"/>
            <w:noWrap/>
            <w:vAlign w:val="bottom"/>
            <w:hideMark/>
          </w:tcPr>
          <w:p w14:paraId="4B1C736B"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1 213</w:t>
            </w:r>
          </w:p>
        </w:tc>
        <w:tc>
          <w:tcPr>
            <w:tcW w:w="1494" w:type="dxa"/>
            <w:shd w:val="clear" w:color="auto" w:fill="auto"/>
            <w:noWrap/>
            <w:vAlign w:val="bottom"/>
            <w:hideMark/>
          </w:tcPr>
          <w:p w14:paraId="1D8499FA"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0,3</w:t>
            </w:r>
          </w:p>
        </w:tc>
      </w:tr>
      <w:tr w:rsidR="00C619FA" w:rsidRPr="008253DC" w14:paraId="4D125071" w14:textId="77777777" w:rsidTr="00C619FA">
        <w:trPr>
          <w:trHeight w:val="240"/>
        </w:trPr>
        <w:tc>
          <w:tcPr>
            <w:tcW w:w="4382" w:type="dxa"/>
            <w:shd w:val="clear" w:color="auto" w:fill="auto"/>
            <w:noWrap/>
            <w:hideMark/>
          </w:tcPr>
          <w:p w14:paraId="2B504DBC"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Asociación Budista</w:t>
            </w:r>
          </w:p>
        </w:tc>
        <w:tc>
          <w:tcPr>
            <w:tcW w:w="1494" w:type="dxa"/>
            <w:shd w:val="clear" w:color="auto" w:fill="auto"/>
            <w:noWrap/>
            <w:vAlign w:val="bottom"/>
            <w:hideMark/>
          </w:tcPr>
          <w:p w14:paraId="42C2F194"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1 115</w:t>
            </w:r>
          </w:p>
        </w:tc>
        <w:tc>
          <w:tcPr>
            <w:tcW w:w="1494" w:type="dxa"/>
            <w:shd w:val="clear" w:color="auto" w:fill="auto"/>
            <w:noWrap/>
            <w:vAlign w:val="bottom"/>
            <w:hideMark/>
          </w:tcPr>
          <w:p w14:paraId="4BBA81CC"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0,3</w:t>
            </w:r>
          </w:p>
        </w:tc>
      </w:tr>
      <w:tr w:rsidR="00C619FA" w:rsidRPr="008253DC" w14:paraId="5E4FC2FC" w14:textId="77777777" w:rsidTr="00C619FA">
        <w:trPr>
          <w:trHeight w:val="240"/>
        </w:trPr>
        <w:tc>
          <w:tcPr>
            <w:tcW w:w="4382" w:type="dxa"/>
            <w:shd w:val="clear" w:color="auto" w:fill="auto"/>
            <w:noWrap/>
            <w:hideMark/>
          </w:tcPr>
          <w:p w14:paraId="52A4D704"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Asamblea Pentecostal</w:t>
            </w:r>
          </w:p>
        </w:tc>
        <w:tc>
          <w:tcPr>
            <w:tcW w:w="1494" w:type="dxa"/>
            <w:shd w:val="clear" w:color="auto" w:fill="auto"/>
            <w:noWrap/>
            <w:vAlign w:val="bottom"/>
            <w:hideMark/>
          </w:tcPr>
          <w:p w14:paraId="18D997BC"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2 099</w:t>
            </w:r>
          </w:p>
        </w:tc>
        <w:tc>
          <w:tcPr>
            <w:tcW w:w="1494" w:type="dxa"/>
            <w:shd w:val="clear" w:color="auto" w:fill="auto"/>
            <w:noWrap/>
            <w:vAlign w:val="bottom"/>
            <w:hideMark/>
          </w:tcPr>
          <w:p w14:paraId="6E9ED49F"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0,6</w:t>
            </w:r>
          </w:p>
        </w:tc>
      </w:tr>
      <w:tr w:rsidR="00C619FA" w:rsidRPr="008253DC" w14:paraId="2528C13C" w14:textId="77777777" w:rsidTr="00C619FA">
        <w:trPr>
          <w:trHeight w:val="240"/>
        </w:trPr>
        <w:tc>
          <w:tcPr>
            <w:tcW w:w="4382" w:type="dxa"/>
            <w:shd w:val="clear" w:color="auto" w:fill="auto"/>
            <w:noWrap/>
            <w:hideMark/>
          </w:tcPr>
          <w:p w14:paraId="34F814B1"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Siðmennt (Asociación Ética Humanista de Islandia)</w:t>
            </w:r>
          </w:p>
        </w:tc>
        <w:tc>
          <w:tcPr>
            <w:tcW w:w="1494" w:type="dxa"/>
            <w:shd w:val="clear" w:color="auto" w:fill="auto"/>
            <w:noWrap/>
            <w:vAlign w:val="bottom"/>
            <w:hideMark/>
          </w:tcPr>
          <w:p w14:paraId="2C3E874B"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3 507</w:t>
            </w:r>
          </w:p>
        </w:tc>
        <w:tc>
          <w:tcPr>
            <w:tcW w:w="1494" w:type="dxa"/>
            <w:shd w:val="clear" w:color="auto" w:fill="auto"/>
            <w:noWrap/>
            <w:vAlign w:val="bottom"/>
            <w:hideMark/>
          </w:tcPr>
          <w:p w14:paraId="75D91C8A"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w:t>
            </w:r>
          </w:p>
        </w:tc>
      </w:tr>
      <w:tr w:rsidR="00C619FA" w:rsidRPr="008253DC" w14:paraId="3FCD545F" w14:textId="77777777" w:rsidTr="00C619FA">
        <w:trPr>
          <w:trHeight w:val="240"/>
        </w:trPr>
        <w:tc>
          <w:tcPr>
            <w:tcW w:w="4382" w:type="dxa"/>
            <w:shd w:val="clear" w:color="auto" w:fill="auto"/>
            <w:noWrap/>
            <w:hideMark/>
          </w:tcPr>
          <w:p w14:paraId="2789F23D"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Otras asociaciones religiosas y no especificadas</w:t>
            </w:r>
          </w:p>
        </w:tc>
        <w:tc>
          <w:tcPr>
            <w:tcW w:w="1494" w:type="dxa"/>
            <w:shd w:val="clear" w:color="auto" w:fill="auto"/>
            <w:noWrap/>
            <w:vAlign w:val="bottom"/>
            <w:hideMark/>
          </w:tcPr>
          <w:p w14:paraId="721EE706"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59 118</w:t>
            </w:r>
          </w:p>
        </w:tc>
        <w:tc>
          <w:tcPr>
            <w:tcW w:w="1494" w:type="dxa"/>
            <w:shd w:val="clear" w:color="auto" w:fill="auto"/>
            <w:noWrap/>
            <w:vAlign w:val="bottom"/>
            <w:hideMark/>
          </w:tcPr>
          <w:p w14:paraId="2691BB5B"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16,3</w:t>
            </w:r>
          </w:p>
        </w:tc>
      </w:tr>
      <w:tr w:rsidR="00C619FA" w:rsidRPr="008253DC" w14:paraId="3BEAC59B" w14:textId="77777777" w:rsidTr="00C619FA">
        <w:trPr>
          <w:trHeight w:val="240"/>
        </w:trPr>
        <w:tc>
          <w:tcPr>
            <w:tcW w:w="4382" w:type="dxa"/>
            <w:tcBorders>
              <w:bottom w:val="single" w:sz="12" w:space="0" w:color="auto"/>
            </w:tcBorders>
            <w:shd w:val="clear" w:color="auto" w:fill="auto"/>
            <w:noWrap/>
            <w:hideMark/>
          </w:tcPr>
          <w:p w14:paraId="432A90D6"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No pertenecientes a organizaciones religiosas</w:t>
            </w:r>
          </w:p>
        </w:tc>
        <w:tc>
          <w:tcPr>
            <w:tcW w:w="1494" w:type="dxa"/>
            <w:tcBorders>
              <w:bottom w:val="single" w:sz="12" w:space="0" w:color="auto"/>
            </w:tcBorders>
            <w:shd w:val="clear" w:color="auto" w:fill="auto"/>
            <w:noWrap/>
            <w:vAlign w:val="bottom"/>
            <w:hideMark/>
          </w:tcPr>
          <w:p w14:paraId="530330CA"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26 114</w:t>
            </w:r>
          </w:p>
        </w:tc>
        <w:tc>
          <w:tcPr>
            <w:tcW w:w="1494" w:type="dxa"/>
            <w:tcBorders>
              <w:bottom w:val="single" w:sz="12" w:space="0" w:color="auto"/>
            </w:tcBorders>
            <w:shd w:val="clear" w:color="auto" w:fill="auto"/>
            <w:noWrap/>
            <w:vAlign w:val="bottom"/>
            <w:hideMark/>
          </w:tcPr>
          <w:p w14:paraId="3C73A76D"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7,1</w:t>
            </w:r>
          </w:p>
        </w:tc>
      </w:tr>
    </w:tbl>
    <w:p w14:paraId="38ABB050" w14:textId="77777777" w:rsidR="00C619FA" w:rsidRPr="008253DC" w:rsidRDefault="00C619FA" w:rsidP="00340CFB">
      <w:pPr>
        <w:pStyle w:val="H23G"/>
        <w:rPr>
          <w:lang w:val="es-ES_tradnl"/>
        </w:rPr>
      </w:pPr>
      <w:r w:rsidRPr="008253DC">
        <w:rPr>
          <w:lang w:val="es-ES_tradnl"/>
        </w:rPr>
        <w:lastRenderedPageBreak/>
        <w:tab/>
        <w:t>2.</w:t>
      </w:r>
      <w:r w:rsidRPr="008253DC">
        <w:rPr>
          <w:lang w:val="es-ES_tradnl"/>
        </w:rPr>
        <w:tab/>
        <w:t>Economía</w:t>
      </w:r>
    </w:p>
    <w:p w14:paraId="2D97C135" w14:textId="0F3DA93D" w:rsidR="00C619FA" w:rsidRPr="008253DC" w:rsidRDefault="00C619FA" w:rsidP="00340CFB">
      <w:pPr>
        <w:pStyle w:val="SingleTxtG"/>
        <w:keepNext/>
        <w:keepLines/>
        <w:rPr>
          <w:lang w:val="es-ES_tradnl"/>
        </w:rPr>
      </w:pPr>
      <w:r w:rsidRPr="008253DC">
        <w:rPr>
          <w:lang w:val="es-ES_tradnl"/>
        </w:rPr>
        <w:t>6.</w:t>
      </w:r>
      <w:r w:rsidRPr="008253DC">
        <w:rPr>
          <w:lang w:val="es-ES_tradnl"/>
        </w:rPr>
        <w:tab/>
        <w:t>La economía de Islandia es una economía abierta y desarrollada que se rige por el modelo nórdico, el cual combina economía de libre mercado y Estado de bienestar. Se trata de la economía más pequeña en la Organización para la Cooperación y el Desarrollo Económicos (OCDE), con un producto interno bruto (PIB) anual de 21.500 millones de dólares de los</w:t>
      </w:r>
      <w:r w:rsidR="0097697B" w:rsidRPr="008253DC">
        <w:rPr>
          <w:lang w:val="es-ES_tradnl"/>
        </w:rPr>
        <w:t xml:space="preserve"> Estados Unidos</w:t>
      </w:r>
      <w:r w:rsidRPr="008253DC">
        <w:rPr>
          <w:lang w:val="es-ES_tradnl"/>
        </w:rPr>
        <w:t xml:space="preserve"> (para el año 2019).</w:t>
      </w:r>
    </w:p>
    <w:p w14:paraId="31DBE76B" w14:textId="4B925417" w:rsidR="00C619FA" w:rsidRPr="008253DC" w:rsidRDefault="00C619FA" w:rsidP="00C619FA">
      <w:pPr>
        <w:pStyle w:val="SingleTxtG"/>
        <w:rPr>
          <w:lang w:val="es-ES_tradnl"/>
        </w:rPr>
      </w:pPr>
      <w:r w:rsidRPr="008253DC">
        <w:rPr>
          <w:lang w:val="es-ES_tradnl"/>
        </w:rPr>
        <w:t>7.</w:t>
      </w:r>
      <w:r w:rsidRPr="008253DC">
        <w:rPr>
          <w:lang w:val="es-ES_tradnl"/>
        </w:rPr>
        <w:tab/>
        <w:t>Islandia es un país rico en recursos naturales, que representan tanto los sectores tradicionales como los sectores en crecimiento de su economía. La isla está rodeada de algunos de los caladeros más ricos y prolíficos del Océano Atlántico Norte y, por mucho tiempo, la pesca ha sido el pilar de la economía islandesa.</w:t>
      </w:r>
    </w:p>
    <w:p w14:paraId="5C49D38E" w14:textId="08B85E26" w:rsidR="00C619FA" w:rsidRPr="008253DC" w:rsidRDefault="00C619FA" w:rsidP="00C619FA">
      <w:pPr>
        <w:pStyle w:val="SingleTxtG"/>
        <w:rPr>
          <w:lang w:val="es-ES_tradnl"/>
        </w:rPr>
      </w:pPr>
      <w:r w:rsidRPr="008253DC">
        <w:rPr>
          <w:lang w:val="es-ES_tradnl"/>
        </w:rPr>
        <w:t>8.</w:t>
      </w:r>
      <w:r w:rsidRPr="008253DC">
        <w:rPr>
          <w:lang w:val="es-ES_tradnl"/>
        </w:rPr>
        <w:tab/>
        <w:t>Los avances tecnológicos recientes se han traducido en un crecimiento constante de industrias y servicios basados en el conocimiento. En los últimos años, los cinco sectores industriales de más rápido crecimiento en Islandia han sido parte del sector de la tecnología de la información y las comunicaciones (TIC): tecnologías sanitarias (entre otros, productos farmacéuticos); la biotecnología; la genética; la ingeniería biomédica y la producción de equipos basados en la tecnología de la información para la elaboración de alimentos.</w:t>
      </w:r>
    </w:p>
    <w:p w14:paraId="1745C6B4" w14:textId="2400940D" w:rsidR="00C619FA" w:rsidRPr="008253DC" w:rsidRDefault="00C619FA" w:rsidP="00C619FA">
      <w:pPr>
        <w:pStyle w:val="SingleTxtG"/>
        <w:rPr>
          <w:lang w:val="es-ES_tradnl"/>
        </w:rPr>
      </w:pPr>
      <w:r w:rsidRPr="008253DC">
        <w:rPr>
          <w:lang w:val="es-ES_tradnl"/>
        </w:rPr>
        <w:t>9.</w:t>
      </w:r>
      <w:r w:rsidRPr="008253DC">
        <w:rPr>
          <w:lang w:val="es-ES_tradnl"/>
        </w:rPr>
        <w:tab/>
        <w:t>Desde 2010, en Islandia se ha experimentado un crecimiento sin precedentes en el sector del turismo y, en 2016, la participación de los ingresos del turismo en el PIB había superado la participación en el PIB de la pesca y de la elaboración de productos piscícolas. En los años sucesivos, el turismo ascendió a más del 8 % del PIB. No obstante, la pandemia de COVID-19 sin lugar a dudas cambió la situación en 2020 y en 2021.</w:t>
      </w:r>
    </w:p>
    <w:p w14:paraId="6AE4B23E" w14:textId="77777777" w:rsidR="00C619FA" w:rsidRPr="008253DC" w:rsidRDefault="00C619FA" w:rsidP="00C619FA">
      <w:pPr>
        <w:pStyle w:val="SingleTxtG"/>
        <w:rPr>
          <w:lang w:val="es-ES_tradnl"/>
        </w:rPr>
      </w:pPr>
      <w:r w:rsidRPr="008253DC">
        <w:rPr>
          <w:lang w:val="es-ES_tradnl"/>
        </w:rPr>
        <w:t>10.</w:t>
      </w:r>
      <w:r w:rsidRPr="008253DC">
        <w:rPr>
          <w:lang w:val="es-ES_tradnl"/>
        </w:rPr>
        <w:tab/>
        <w:t xml:space="preserve">En Islandia, la tasa de participación en el mercado de trabajo ha sido elevada, tanto para hombres como para mujeres. En 2019, se registró como personas ocupadas a un 74 % de mujeres frente al 80 % de hombres. Esto refleja que la participación de las mujeres en el mercado de trabajo es una de las más elevadas en el mundo. </w:t>
      </w:r>
    </w:p>
    <w:p w14:paraId="6296DFF8" w14:textId="77777777" w:rsidR="00C619FA" w:rsidRPr="008253DC" w:rsidRDefault="00C619FA" w:rsidP="00C619FA">
      <w:pPr>
        <w:pStyle w:val="H23G"/>
        <w:rPr>
          <w:lang w:val="es-ES_tradnl"/>
        </w:rPr>
      </w:pPr>
      <w:r w:rsidRPr="008253DC">
        <w:rPr>
          <w:lang w:val="es-ES_tradnl"/>
        </w:rPr>
        <w:tab/>
        <w:t>3.</w:t>
      </w:r>
      <w:r w:rsidRPr="008253DC">
        <w:rPr>
          <w:lang w:val="es-ES_tradnl"/>
        </w:rPr>
        <w:tab/>
        <w:t>Índice de precios al consumidor</w:t>
      </w:r>
    </w:p>
    <w:p w14:paraId="511B1937" w14:textId="71A4B744" w:rsidR="00C619FA" w:rsidRPr="008253DC" w:rsidRDefault="00C619FA" w:rsidP="00C619FA">
      <w:pPr>
        <w:pStyle w:val="SingleTxtG"/>
        <w:rPr>
          <w:lang w:val="es-ES_tradnl"/>
        </w:rPr>
      </w:pPr>
      <w:r w:rsidRPr="008253DC">
        <w:rPr>
          <w:lang w:val="es-ES_tradnl"/>
        </w:rPr>
        <w:t>11.</w:t>
      </w:r>
      <w:r w:rsidRPr="008253DC">
        <w:rPr>
          <w:lang w:val="es-ES_tradnl"/>
        </w:rPr>
        <w:tab/>
        <w:t>En Islandia, el índice de precios al consumidor (IPC) alcanzó en promedio 219</w:t>
      </w:r>
      <w:r w:rsidR="0097697B" w:rsidRPr="008253DC">
        <w:rPr>
          <w:lang w:val="es-ES_tradnl"/>
        </w:rPr>
        <w:t>,</w:t>
      </w:r>
      <w:r w:rsidRPr="008253DC">
        <w:rPr>
          <w:lang w:val="es-ES_tradnl"/>
        </w:rPr>
        <w:t>14 puntos, de 1979 a 2019, ascendiendo en diciembre de 2020 a 490</w:t>
      </w:r>
      <w:r w:rsidR="0097697B" w:rsidRPr="008253DC">
        <w:rPr>
          <w:lang w:val="es-ES_tradnl"/>
        </w:rPr>
        <w:t>,</w:t>
      </w:r>
      <w:r w:rsidRPr="008253DC">
        <w:rPr>
          <w:lang w:val="es-ES_tradnl"/>
        </w:rPr>
        <w:t>30 puntos. El gráfico que figura a continuación muestra las fluctuaciones en el IPC, de 1989 a 2017.</w:t>
      </w:r>
    </w:p>
    <w:p w14:paraId="17A330F1" w14:textId="77777777" w:rsidR="00C619FA" w:rsidRPr="008253DC" w:rsidRDefault="00C619FA" w:rsidP="00C619FA">
      <w:pPr>
        <w:pStyle w:val="SingleTxtG"/>
        <w:rPr>
          <w:b/>
          <w:lang w:val="es-ES_tradnl"/>
        </w:rPr>
      </w:pPr>
      <w:r w:rsidRPr="008253DC">
        <w:rPr>
          <w:noProof/>
          <w:lang w:val="es-ES_tradnl"/>
        </w:rPr>
        <w:drawing>
          <wp:inline distT="0" distB="0" distL="0" distR="0" wp14:anchorId="6202A00F" wp14:editId="6AE36B12">
            <wp:extent cx="4662152" cy="2762222"/>
            <wp:effectExtent l="0" t="0" r="571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991038" name=""/>
                    <pic:cNvPicPr/>
                  </pic:nvPicPr>
                  <pic:blipFill>
                    <a:blip r:embed="rId8"/>
                    <a:srcRect l="7385"/>
                    <a:stretch>
                      <a:fillRect/>
                    </a:stretch>
                  </pic:blipFill>
                  <pic:spPr bwMode="auto">
                    <a:xfrm>
                      <a:off x="0" y="0"/>
                      <a:ext cx="4755739" cy="2817670"/>
                    </a:xfrm>
                    <a:prstGeom prst="rect">
                      <a:avLst/>
                    </a:prstGeom>
                    <a:ln>
                      <a:noFill/>
                    </a:ln>
                    <a:extLst>
                      <a:ext uri="{53640926-AAD7-44D8-BBD7-CCE9431645EC}">
                        <a14:shadowObscured xmlns:a14="http://schemas.microsoft.com/office/drawing/2010/main"/>
                      </a:ext>
                    </a:extLst>
                  </pic:spPr>
                </pic:pic>
              </a:graphicData>
            </a:graphic>
          </wp:inline>
        </w:drawing>
      </w:r>
    </w:p>
    <w:p w14:paraId="6A995ED9" w14:textId="77777777" w:rsidR="00C619FA" w:rsidRPr="008253DC" w:rsidRDefault="00C619FA" w:rsidP="00C619FA">
      <w:pPr>
        <w:pStyle w:val="H23G"/>
        <w:rPr>
          <w:lang w:val="es-ES_tradnl"/>
        </w:rPr>
      </w:pPr>
      <w:r w:rsidRPr="008253DC">
        <w:rPr>
          <w:lang w:val="es-ES_tradnl"/>
        </w:rPr>
        <w:tab/>
        <w:t>4.</w:t>
      </w:r>
      <w:r w:rsidRPr="008253DC">
        <w:rPr>
          <w:lang w:val="es-ES_tradnl"/>
        </w:rPr>
        <w:tab/>
        <w:t>Gastos sociales</w:t>
      </w:r>
    </w:p>
    <w:p w14:paraId="18D887BF" w14:textId="77777777" w:rsidR="00C619FA" w:rsidRPr="008253DC" w:rsidRDefault="00C619FA" w:rsidP="00C619FA">
      <w:pPr>
        <w:pStyle w:val="SingleTxtG"/>
        <w:rPr>
          <w:bCs/>
          <w:lang w:val="es-ES_tradnl"/>
        </w:rPr>
      </w:pPr>
      <w:r w:rsidRPr="008253DC">
        <w:rPr>
          <w:lang w:val="es-ES_tradnl"/>
        </w:rPr>
        <w:t>12.</w:t>
      </w:r>
      <w:r w:rsidRPr="008253DC">
        <w:rPr>
          <w:lang w:val="es-ES_tradnl"/>
        </w:rPr>
        <w:tab/>
        <w:t xml:space="preserve">En el cuadro que figura a continuación se indican los </w:t>
      </w:r>
      <w:r w:rsidRPr="008253DC">
        <w:rPr>
          <w:i/>
          <w:iCs/>
          <w:lang w:val="es-ES_tradnl"/>
        </w:rPr>
        <w:t>gastos sociales</w:t>
      </w:r>
      <w:r w:rsidRPr="008253DC">
        <w:rPr>
          <w:lang w:val="es-ES_tradnl"/>
        </w:rPr>
        <w:t xml:space="preserve"> (en millones de coronas islandesas (ISK)) y como porcentaje del gasto público total.</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119"/>
        <w:gridCol w:w="1134"/>
        <w:gridCol w:w="992"/>
        <w:gridCol w:w="992"/>
        <w:gridCol w:w="1133"/>
      </w:tblGrid>
      <w:tr w:rsidR="00C619FA" w:rsidRPr="008253DC" w14:paraId="38728360" w14:textId="77777777" w:rsidTr="00243B75">
        <w:trPr>
          <w:trHeight w:val="240"/>
          <w:tblHeader/>
        </w:trPr>
        <w:tc>
          <w:tcPr>
            <w:tcW w:w="3119" w:type="dxa"/>
            <w:tcBorders>
              <w:top w:val="single" w:sz="4" w:space="0" w:color="auto"/>
              <w:bottom w:val="single" w:sz="12" w:space="0" w:color="auto"/>
            </w:tcBorders>
            <w:shd w:val="clear" w:color="auto" w:fill="auto"/>
            <w:noWrap/>
            <w:vAlign w:val="bottom"/>
            <w:hideMark/>
          </w:tcPr>
          <w:p w14:paraId="45DC66DB" w14:textId="77777777" w:rsidR="00C619FA" w:rsidRPr="008253DC" w:rsidRDefault="00C619FA" w:rsidP="00C619FA">
            <w:pPr>
              <w:pStyle w:val="SingleTxtG"/>
              <w:tabs>
                <w:tab w:val="clear" w:pos="1701"/>
                <w:tab w:val="clear" w:pos="2268"/>
                <w:tab w:val="clear" w:pos="2835"/>
              </w:tabs>
              <w:spacing w:before="80" w:after="80" w:line="200" w:lineRule="exact"/>
              <w:ind w:left="0" w:right="0"/>
              <w:jc w:val="left"/>
              <w:rPr>
                <w:i/>
                <w:sz w:val="16"/>
                <w:lang w:val="es-ES_tradnl"/>
              </w:rPr>
            </w:pPr>
          </w:p>
        </w:tc>
        <w:tc>
          <w:tcPr>
            <w:tcW w:w="1134" w:type="dxa"/>
            <w:tcBorders>
              <w:top w:val="single" w:sz="4" w:space="0" w:color="auto"/>
              <w:bottom w:val="single" w:sz="12" w:space="0" w:color="auto"/>
            </w:tcBorders>
            <w:shd w:val="clear" w:color="auto" w:fill="auto"/>
            <w:noWrap/>
            <w:vAlign w:val="bottom"/>
            <w:hideMark/>
          </w:tcPr>
          <w:p w14:paraId="3362A970" w14:textId="77777777" w:rsidR="00C619FA" w:rsidRPr="008253DC" w:rsidRDefault="00C619FA" w:rsidP="00C619FA">
            <w:pPr>
              <w:pStyle w:val="SingleTxtG"/>
              <w:tabs>
                <w:tab w:val="clear" w:pos="1701"/>
                <w:tab w:val="clear" w:pos="2268"/>
                <w:tab w:val="clear" w:pos="2835"/>
              </w:tabs>
              <w:spacing w:before="80" w:after="80" w:line="200" w:lineRule="exact"/>
              <w:ind w:left="57" w:right="28"/>
              <w:jc w:val="right"/>
              <w:rPr>
                <w:i/>
                <w:iCs/>
                <w:sz w:val="16"/>
                <w:lang w:val="es-ES_tradnl"/>
              </w:rPr>
            </w:pPr>
            <w:r w:rsidRPr="008253DC">
              <w:rPr>
                <w:i/>
                <w:iCs/>
                <w:sz w:val="16"/>
                <w:lang w:val="es-ES_tradnl"/>
              </w:rPr>
              <w:t>2013</w:t>
            </w:r>
          </w:p>
        </w:tc>
        <w:tc>
          <w:tcPr>
            <w:tcW w:w="992" w:type="dxa"/>
            <w:tcBorders>
              <w:top w:val="single" w:sz="4" w:space="0" w:color="auto"/>
              <w:bottom w:val="single" w:sz="12" w:space="0" w:color="auto"/>
            </w:tcBorders>
            <w:shd w:val="clear" w:color="auto" w:fill="auto"/>
            <w:noWrap/>
            <w:vAlign w:val="bottom"/>
            <w:hideMark/>
          </w:tcPr>
          <w:p w14:paraId="6B0B0B45" w14:textId="77777777" w:rsidR="00C619FA" w:rsidRPr="008253DC" w:rsidRDefault="00C619FA" w:rsidP="00C619FA">
            <w:pPr>
              <w:pStyle w:val="SingleTxtG"/>
              <w:tabs>
                <w:tab w:val="clear" w:pos="1701"/>
                <w:tab w:val="clear" w:pos="2268"/>
                <w:tab w:val="clear" w:pos="2835"/>
              </w:tabs>
              <w:spacing w:before="80" w:after="80" w:line="200" w:lineRule="exact"/>
              <w:ind w:left="57" w:right="28"/>
              <w:jc w:val="right"/>
              <w:rPr>
                <w:i/>
                <w:iCs/>
                <w:sz w:val="16"/>
                <w:lang w:val="es-ES_tradnl"/>
              </w:rPr>
            </w:pPr>
            <w:r w:rsidRPr="008253DC">
              <w:rPr>
                <w:i/>
                <w:iCs/>
                <w:sz w:val="16"/>
                <w:lang w:val="es-ES_tradnl"/>
              </w:rPr>
              <w:t>2014</w:t>
            </w:r>
          </w:p>
        </w:tc>
        <w:tc>
          <w:tcPr>
            <w:tcW w:w="992" w:type="dxa"/>
            <w:tcBorders>
              <w:top w:val="single" w:sz="4" w:space="0" w:color="auto"/>
              <w:bottom w:val="single" w:sz="12" w:space="0" w:color="auto"/>
            </w:tcBorders>
            <w:shd w:val="clear" w:color="auto" w:fill="auto"/>
            <w:noWrap/>
            <w:vAlign w:val="bottom"/>
            <w:hideMark/>
          </w:tcPr>
          <w:p w14:paraId="21BC5140" w14:textId="77777777" w:rsidR="00C619FA" w:rsidRPr="008253DC" w:rsidRDefault="00C619FA" w:rsidP="00C619FA">
            <w:pPr>
              <w:pStyle w:val="SingleTxtG"/>
              <w:tabs>
                <w:tab w:val="clear" w:pos="1701"/>
                <w:tab w:val="clear" w:pos="2268"/>
                <w:tab w:val="clear" w:pos="2835"/>
              </w:tabs>
              <w:spacing w:before="80" w:after="80" w:line="200" w:lineRule="exact"/>
              <w:ind w:left="57" w:right="28"/>
              <w:jc w:val="right"/>
              <w:rPr>
                <w:i/>
                <w:sz w:val="16"/>
                <w:lang w:val="es-ES_tradnl"/>
              </w:rPr>
            </w:pPr>
            <w:r w:rsidRPr="008253DC">
              <w:rPr>
                <w:i/>
                <w:iCs/>
                <w:sz w:val="16"/>
                <w:lang w:val="es-ES_tradnl"/>
              </w:rPr>
              <w:t>2015</w:t>
            </w:r>
          </w:p>
        </w:tc>
        <w:tc>
          <w:tcPr>
            <w:tcW w:w="1133" w:type="dxa"/>
            <w:tcBorders>
              <w:top w:val="single" w:sz="4" w:space="0" w:color="auto"/>
              <w:bottom w:val="single" w:sz="12" w:space="0" w:color="auto"/>
            </w:tcBorders>
            <w:shd w:val="clear" w:color="auto" w:fill="auto"/>
            <w:noWrap/>
            <w:vAlign w:val="bottom"/>
            <w:hideMark/>
          </w:tcPr>
          <w:p w14:paraId="5085CF67" w14:textId="77777777" w:rsidR="00C619FA" w:rsidRPr="008253DC" w:rsidRDefault="00C619FA" w:rsidP="00C619FA">
            <w:pPr>
              <w:pStyle w:val="SingleTxtG"/>
              <w:tabs>
                <w:tab w:val="clear" w:pos="1701"/>
                <w:tab w:val="clear" w:pos="2268"/>
                <w:tab w:val="clear" w:pos="2835"/>
              </w:tabs>
              <w:spacing w:before="80" w:after="80" w:line="200" w:lineRule="exact"/>
              <w:ind w:left="57" w:right="28"/>
              <w:jc w:val="right"/>
              <w:rPr>
                <w:i/>
                <w:sz w:val="16"/>
                <w:lang w:val="es-ES_tradnl"/>
              </w:rPr>
            </w:pPr>
            <w:r w:rsidRPr="008253DC">
              <w:rPr>
                <w:i/>
                <w:iCs/>
                <w:sz w:val="16"/>
                <w:lang w:val="es-ES_tradnl"/>
              </w:rPr>
              <w:t>2016</w:t>
            </w:r>
          </w:p>
        </w:tc>
      </w:tr>
      <w:tr w:rsidR="00C619FA" w:rsidRPr="008253DC" w14:paraId="06F4195E" w14:textId="77777777" w:rsidTr="00243B75">
        <w:trPr>
          <w:trHeight w:val="240"/>
        </w:trPr>
        <w:tc>
          <w:tcPr>
            <w:tcW w:w="3119" w:type="dxa"/>
            <w:tcBorders>
              <w:top w:val="single" w:sz="12" w:space="0" w:color="auto"/>
            </w:tcBorders>
            <w:shd w:val="clear" w:color="auto" w:fill="auto"/>
            <w:noWrap/>
            <w:hideMark/>
          </w:tcPr>
          <w:p w14:paraId="1C26D55D"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Vivienda</w:t>
            </w:r>
          </w:p>
        </w:tc>
        <w:tc>
          <w:tcPr>
            <w:tcW w:w="1134" w:type="dxa"/>
            <w:tcBorders>
              <w:top w:val="single" w:sz="12" w:space="0" w:color="auto"/>
            </w:tcBorders>
            <w:shd w:val="clear" w:color="auto" w:fill="auto"/>
            <w:noWrap/>
            <w:vAlign w:val="bottom"/>
            <w:hideMark/>
          </w:tcPr>
          <w:p w14:paraId="18D4224F"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13 414</w:t>
            </w:r>
          </w:p>
        </w:tc>
        <w:tc>
          <w:tcPr>
            <w:tcW w:w="992" w:type="dxa"/>
            <w:tcBorders>
              <w:top w:val="single" w:sz="12" w:space="0" w:color="auto"/>
            </w:tcBorders>
            <w:shd w:val="clear" w:color="auto" w:fill="auto"/>
            <w:noWrap/>
            <w:vAlign w:val="bottom"/>
            <w:hideMark/>
          </w:tcPr>
          <w:p w14:paraId="1D34FC28"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13 969</w:t>
            </w:r>
          </w:p>
        </w:tc>
        <w:tc>
          <w:tcPr>
            <w:tcW w:w="992" w:type="dxa"/>
            <w:tcBorders>
              <w:top w:val="single" w:sz="12" w:space="0" w:color="auto"/>
            </w:tcBorders>
            <w:shd w:val="clear" w:color="auto" w:fill="auto"/>
            <w:noWrap/>
            <w:vAlign w:val="bottom"/>
            <w:hideMark/>
          </w:tcPr>
          <w:p w14:paraId="14BA3AA3"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12 648</w:t>
            </w:r>
          </w:p>
        </w:tc>
        <w:tc>
          <w:tcPr>
            <w:tcW w:w="1133" w:type="dxa"/>
            <w:tcBorders>
              <w:top w:val="single" w:sz="12" w:space="0" w:color="auto"/>
            </w:tcBorders>
            <w:shd w:val="clear" w:color="auto" w:fill="auto"/>
            <w:noWrap/>
            <w:vAlign w:val="bottom"/>
            <w:hideMark/>
          </w:tcPr>
          <w:p w14:paraId="47684A38"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11 674</w:t>
            </w:r>
          </w:p>
        </w:tc>
      </w:tr>
      <w:tr w:rsidR="00C619FA" w:rsidRPr="008253DC" w14:paraId="1FDB0EC8" w14:textId="77777777" w:rsidTr="00243B75">
        <w:trPr>
          <w:trHeight w:val="240"/>
        </w:trPr>
        <w:tc>
          <w:tcPr>
            <w:tcW w:w="3119" w:type="dxa"/>
            <w:shd w:val="clear" w:color="auto" w:fill="auto"/>
            <w:noWrap/>
            <w:hideMark/>
          </w:tcPr>
          <w:p w14:paraId="5D7DE883"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Salud</w:t>
            </w:r>
          </w:p>
        </w:tc>
        <w:tc>
          <w:tcPr>
            <w:tcW w:w="1134" w:type="dxa"/>
            <w:shd w:val="clear" w:color="auto" w:fill="auto"/>
            <w:noWrap/>
            <w:vAlign w:val="bottom"/>
            <w:hideMark/>
          </w:tcPr>
          <w:p w14:paraId="424DE0BA"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132 779</w:t>
            </w:r>
          </w:p>
        </w:tc>
        <w:tc>
          <w:tcPr>
            <w:tcW w:w="992" w:type="dxa"/>
            <w:shd w:val="clear" w:color="auto" w:fill="auto"/>
            <w:noWrap/>
            <w:vAlign w:val="bottom"/>
            <w:hideMark/>
          </w:tcPr>
          <w:p w14:paraId="40B31211"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142 800</w:t>
            </w:r>
          </w:p>
        </w:tc>
        <w:tc>
          <w:tcPr>
            <w:tcW w:w="992" w:type="dxa"/>
            <w:shd w:val="clear" w:color="auto" w:fill="auto"/>
            <w:noWrap/>
            <w:vAlign w:val="bottom"/>
            <w:hideMark/>
          </w:tcPr>
          <w:p w14:paraId="30C8EF7E"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155 303</w:t>
            </w:r>
          </w:p>
        </w:tc>
        <w:tc>
          <w:tcPr>
            <w:tcW w:w="1133" w:type="dxa"/>
            <w:shd w:val="clear" w:color="auto" w:fill="auto"/>
            <w:noWrap/>
            <w:vAlign w:val="bottom"/>
            <w:hideMark/>
          </w:tcPr>
          <w:p w14:paraId="27987C08"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172 233</w:t>
            </w:r>
          </w:p>
        </w:tc>
      </w:tr>
      <w:tr w:rsidR="00C619FA" w:rsidRPr="008253DC" w14:paraId="6B7E9A91" w14:textId="77777777" w:rsidTr="00243B75">
        <w:trPr>
          <w:trHeight w:val="240"/>
        </w:trPr>
        <w:tc>
          <w:tcPr>
            <w:tcW w:w="3119" w:type="dxa"/>
            <w:shd w:val="clear" w:color="auto" w:fill="auto"/>
            <w:noWrap/>
            <w:hideMark/>
          </w:tcPr>
          <w:p w14:paraId="31D2DA43"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Desempleo</w:t>
            </w:r>
          </w:p>
        </w:tc>
        <w:tc>
          <w:tcPr>
            <w:tcW w:w="1134" w:type="dxa"/>
            <w:shd w:val="clear" w:color="auto" w:fill="auto"/>
            <w:noWrap/>
            <w:vAlign w:val="bottom"/>
            <w:hideMark/>
          </w:tcPr>
          <w:p w14:paraId="010BFA62"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17 874</w:t>
            </w:r>
          </w:p>
        </w:tc>
        <w:tc>
          <w:tcPr>
            <w:tcW w:w="992" w:type="dxa"/>
            <w:shd w:val="clear" w:color="auto" w:fill="auto"/>
            <w:noWrap/>
            <w:vAlign w:val="bottom"/>
            <w:hideMark/>
          </w:tcPr>
          <w:p w14:paraId="4391445D"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14 738</w:t>
            </w:r>
          </w:p>
        </w:tc>
        <w:tc>
          <w:tcPr>
            <w:tcW w:w="992" w:type="dxa"/>
            <w:shd w:val="clear" w:color="auto" w:fill="auto"/>
            <w:noWrap/>
            <w:vAlign w:val="bottom"/>
            <w:hideMark/>
          </w:tcPr>
          <w:p w14:paraId="36F8778F"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12 282</w:t>
            </w:r>
          </w:p>
        </w:tc>
        <w:tc>
          <w:tcPr>
            <w:tcW w:w="1133" w:type="dxa"/>
            <w:shd w:val="clear" w:color="auto" w:fill="auto"/>
            <w:noWrap/>
            <w:vAlign w:val="bottom"/>
            <w:hideMark/>
          </w:tcPr>
          <w:p w14:paraId="750F6ABC"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10 706</w:t>
            </w:r>
          </w:p>
        </w:tc>
      </w:tr>
      <w:tr w:rsidR="00C619FA" w:rsidRPr="008253DC" w14:paraId="303DD437" w14:textId="77777777" w:rsidTr="00243B75">
        <w:trPr>
          <w:trHeight w:val="240"/>
        </w:trPr>
        <w:tc>
          <w:tcPr>
            <w:tcW w:w="3119" w:type="dxa"/>
            <w:shd w:val="clear" w:color="auto" w:fill="auto"/>
            <w:noWrap/>
            <w:hideMark/>
          </w:tcPr>
          <w:p w14:paraId="72FC98A5"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Educación</w:t>
            </w:r>
          </w:p>
        </w:tc>
        <w:tc>
          <w:tcPr>
            <w:tcW w:w="1134" w:type="dxa"/>
            <w:shd w:val="clear" w:color="auto" w:fill="auto"/>
            <w:noWrap/>
            <w:vAlign w:val="bottom"/>
            <w:hideMark/>
          </w:tcPr>
          <w:p w14:paraId="5F78E867"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130 234</w:t>
            </w:r>
          </w:p>
        </w:tc>
        <w:tc>
          <w:tcPr>
            <w:tcW w:w="992" w:type="dxa"/>
            <w:shd w:val="clear" w:color="auto" w:fill="auto"/>
            <w:noWrap/>
            <w:vAlign w:val="bottom"/>
            <w:hideMark/>
          </w:tcPr>
          <w:p w14:paraId="3C789800"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140 544</w:t>
            </w:r>
          </w:p>
        </w:tc>
        <w:tc>
          <w:tcPr>
            <w:tcW w:w="992" w:type="dxa"/>
            <w:shd w:val="clear" w:color="auto" w:fill="auto"/>
            <w:noWrap/>
            <w:vAlign w:val="bottom"/>
            <w:hideMark/>
          </w:tcPr>
          <w:p w14:paraId="796C1702"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152 163</w:t>
            </w:r>
          </w:p>
        </w:tc>
        <w:tc>
          <w:tcPr>
            <w:tcW w:w="1133" w:type="dxa"/>
            <w:shd w:val="clear" w:color="auto" w:fill="auto"/>
            <w:noWrap/>
            <w:vAlign w:val="bottom"/>
            <w:hideMark/>
          </w:tcPr>
          <w:p w14:paraId="42BB8DDB"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160 905</w:t>
            </w:r>
          </w:p>
        </w:tc>
      </w:tr>
      <w:tr w:rsidR="00C619FA" w:rsidRPr="008253DC" w14:paraId="42ED14D8" w14:textId="77777777" w:rsidTr="00243B75">
        <w:trPr>
          <w:trHeight w:val="240"/>
        </w:trPr>
        <w:tc>
          <w:tcPr>
            <w:tcW w:w="3119" w:type="dxa"/>
            <w:tcBorders>
              <w:bottom w:val="single" w:sz="4" w:space="0" w:color="auto"/>
            </w:tcBorders>
            <w:shd w:val="clear" w:color="auto" w:fill="auto"/>
            <w:noWrap/>
            <w:hideMark/>
          </w:tcPr>
          <w:p w14:paraId="4F030AA9"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Otros servicios sociales</w:t>
            </w:r>
          </w:p>
        </w:tc>
        <w:tc>
          <w:tcPr>
            <w:tcW w:w="1134" w:type="dxa"/>
            <w:tcBorders>
              <w:bottom w:val="single" w:sz="4" w:space="0" w:color="auto"/>
            </w:tcBorders>
            <w:shd w:val="clear" w:color="auto" w:fill="auto"/>
            <w:noWrap/>
            <w:vAlign w:val="bottom"/>
            <w:hideMark/>
          </w:tcPr>
          <w:p w14:paraId="42BCD694"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161 009</w:t>
            </w:r>
          </w:p>
        </w:tc>
        <w:tc>
          <w:tcPr>
            <w:tcW w:w="992" w:type="dxa"/>
            <w:tcBorders>
              <w:bottom w:val="single" w:sz="4" w:space="0" w:color="auto"/>
            </w:tcBorders>
            <w:shd w:val="clear" w:color="auto" w:fill="auto"/>
            <w:noWrap/>
            <w:vAlign w:val="bottom"/>
            <w:hideMark/>
          </w:tcPr>
          <w:p w14:paraId="6180B5CB"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128 366</w:t>
            </w:r>
          </w:p>
        </w:tc>
        <w:tc>
          <w:tcPr>
            <w:tcW w:w="992" w:type="dxa"/>
            <w:tcBorders>
              <w:bottom w:val="single" w:sz="4" w:space="0" w:color="auto"/>
            </w:tcBorders>
            <w:shd w:val="clear" w:color="auto" w:fill="auto"/>
            <w:noWrap/>
            <w:vAlign w:val="bottom"/>
            <w:hideMark/>
          </w:tcPr>
          <w:p w14:paraId="21CB1845"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184 808</w:t>
            </w:r>
          </w:p>
        </w:tc>
        <w:tc>
          <w:tcPr>
            <w:tcW w:w="1133" w:type="dxa"/>
            <w:tcBorders>
              <w:bottom w:val="single" w:sz="4" w:space="0" w:color="auto"/>
            </w:tcBorders>
            <w:shd w:val="clear" w:color="auto" w:fill="auto"/>
            <w:noWrap/>
            <w:vAlign w:val="bottom"/>
            <w:hideMark/>
          </w:tcPr>
          <w:p w14:paraId="076EDBA6"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199 727</w:t>
            </w:r>
          </w:p>
        </w:tc>
      </w:tr>
      <w:tr w:rsidR="00C619FA" w:rsidRPr="008253DC" w14:paraId="6612510C" w14:textId="77777777" w:rsidTr="00243B75">
        <w:trPr>
          <w:trHeight w:val="240"/>
        </w:trPr>
        <w:tc>
          <w:tcPr>
            <w:tcW w:w="3119" w:type="dxa"/>
            <w:tcBorders>
              <w:top w:val="single" w:sz="4" w:space="0" w:color="auto"/>
              <w:bottom w:val="single" w:sz="4" w:space="0" w:color="auto"/>
            </w:tcBorders>
            <w:shd w:val="clear" w:color="auto" w:fill="auto"/>
            <w:noWrap/>
            <w:hideMark/>
          </w:tcPr>
          <w:p w14:paraId="1C457C63" w14:textId="77777777" w:rsidR="00C619FA" w:rsidRPr="008253DC" w:rsidRDefault="00C619FA" w:rsidP="00C619FA">
            <w:pPr>
              <w:pStyle w:val="SingleTxtG"/>
              <w:tabs>
                <w:tab w:val="clear" w:pos="1701"/>
                <w:tab w:val="clear" w:pos="2268"/>
                <w:tab w:val="clear" w:pos="2835"/>
              </w:tabs>
              <w:spacing w:before="80" w:after="80" w:line="220" w:lineRule="exact"/>
              <w:ind w:left="283" w:right="0"/>
              <w:jc w:val="left"/>
              <w:rPr>
                <w:b/>
                <w:sz w:val="18"/>
                <w:lang w:val="es-ES_tradnl"/>
              </w:rPr>
            </w:pPr>
            <w:r w:rsidRPr="008253DC">
              <w:rPr>
                <w:b/>
                <w:bCs/>
                <w:sz w:val="18"/>
                <w:lang w:val="es-ES_tradnl"/>
              </w:rPr>
              <w:t>Gasto social total</w:t>
            </w:r>
          </w:p>
        </w:tc>
        <w:tc>
          <w:tcPr>
            <w:tcW w:w="1134" w:type="dxa"/>
            <w:tcBorders>
              <w:top w:val="single" w:sz="4" w:space="0" w:color="auto"/>
              <w:bottom w:val="single" w:sz="4" w:space="0" w:color="auto"/>
            </w:tcBorders>
            <w:shd w:val="clear" w:color="auto" w:fill="auto"/>
            <w:noWrap/>
            <w:vAlign w:val="bottom"/>
            <w:hideMark/>
          </w:tcPr>
          <w:p w14:paraId="30C1943E" w14:textId="77777777" w:rsidR="00C619FA" w:rsidRPr="008253DC" w:rsidRDefault="00C619FA" w:rsidP="00C619FA">
            <w:pPr>
              <w:pStyle w:val="SingleTxtG"/>
              <w:tabs>
                <w:tab w:val="clear" w:pos="1701"/>
                <w:tab w:val="clear" w:pos="2268"/>
                <w:tab w:val="clear" w:pos="2835"/>
              </w:tabs>
              <w:spacing w:before="80" w:after="80" w:line="220" w:lineRule="exact"/>
              <w:ind w:left="57" w:right="28"/>
              <w:jc w:val="right"/>
              <w:rPr>
                <w:b/>
                <w:bCs/>
                <w:sz w:val="18"/>
                <w:lang w:val="es-ES_tradnl"/>
              </w:rPr>
            </w:pPr>
            <w:r w:rsidRPr="008253DC">
              <w:rPr>
                <w:b/>
                <w:bCs/>
                <w:sz w:val="18"/>
                <w:lang w:val="es-ES_tradnl"/>
              </w:rPr>
              <w:t>455 310</w:t>
            </w:r>
          </w:p>
        </w:tc>
        <w:tc>
          <w:tcPr>
            <w:tcW w:w="992" w:type="dxa"/>
            <w:tcBorders>
              <w:top w:val="single" w:sz="4" w:space="0" w:color="auto"/>
              <w:bottom w:val="single" w:sz="4" w:space="0" w:color="auto"/>
            </w:tcBorders>
            <w:shd w:val="clear" w:color="auto" w:fill="auto"/>
            <w:noWrap/>
            <w:vAlign w:val="bottom"/>
            <w:hideMark/>
          </w:tcPr>
          <w:p w14:paraId="0D60E3CC" w14:textId="77777777" w:rsidR="00C619FA" w:rsidRPr="008253DC" w:rsidRDefault="00C619FA" w:rsidP="00C619FA">
            <w:pPr>
              <w:pStyle w:val="SingleTxtG"/>
              <w:tabs>
                <w:tab w:val="clear" w:pos="1701"/>
                <w:tab w:val="clear" w:pos="2268"/>
                <w:tab w:val="clear" w:pos="2835"/>
              </w:tabs>
              <w:spacing w:before="80" w:after="80" w:line="220" w:lineRule="exact"/>
              <w:ind w:left="57" w:right="28"/>
              <w:jc w:val="right"/>
              <w:rPr>
                <w:b/>
                <w:bCs/>
                <w:sz w:val="18"/>
                <w:lang w:val="es-ES_tradnl"/>
              </w:rPr>
            </w:pPr>
            <w:r w:rsidRPr="008253DC">
              <w:rPr>
                <w:b/>
                <w:bCs/>
                <w:sz w:val="18"/>
                <w:lang w:val="es-ES_tradnl"/>
              </w:rPr>
              <w:t>440 417</w:t>
            </w:r>
          </w:p>
        </w:tc>
        <w:tc>
          <w:tcPr>
            <w:tcW w:w="992" w:type="dxa"/>
            <w:tcBorders>
              <w:top w:val="single" w:sz="4" w:space="0" w:color="auto"/>
              <w:bottom w:val="single" w:sz="4" w:space="0" w:color="auto"/>
            </w:tcBorders>
            <w:shd w:val="clear" w:color="auto" w:fill="auto"/>
            <w:noWrap/>
            <w:vAlign w:val="bottom"/>
            <w:hideMark/>
          </w:tcPr>
          <w:p w14:paraId="590FB158" w14:textId="77777777" w:rsidR="00C619FA" w:rsidRPr="008253DC" w:rsidRDefault="00C619FA" w:rsidP="00C619FA">
            <w:pPr>
              <w:pStyle w:val="SingleTxtG"/>
              <w:tabs>
                <w:tab w:val="clear" w:pos="1701"/>
                <w:tab w:val="clear" w:pos="2268"/>
                <w:tab w:val="clear" w:pos="2835"/>
              </w:tabs>
              <w:spacing w:before="80" w:after="80" w:line="220" w:lineRule="exact"/>
              <w:ind w:left="57" w:right="28"/>
              <w:jc w:val="right"/>
              <w:rPr>
                <w:b/>
                <w:bCs/>
                <w:sz w:val="18"/>
                <w:lang w:val="es-ES_tradnl"/>
              </w:rPr>
            </w:pPr>
            <w:r w:rsidRPr="008253DC">
              <w:rPr>
                <w:b/>
                <w:bCs/>
                <w:sz w:val="18"/>
                <w:lang w:val="es-ES_tradnl"/>
              </w:rPr>
              <w:t>517 204</w:t>
            </w:r>
          </w:p>
        </w:tc>
        <w:tc>
          <w:tcPr>
            <w:tcW w:w="1133" w:type="dxa"/>
            <w:tcBorders>
              <w:top w:val="single" w:sz="4" w:space="0" w:color="auto"/>
              <w:bottom w:val="single" w:sz="4" w:space="0" w:color="auto"/>
            </w:tcBorders>
            <w:shd w:val="clear" w:color="auto" w:fill="auto"/>
            <w:noWrap/>
            <w:vAlign w:val="bottom"/>
            <w:hideMark/>
          </w:tcPr>
          <w:p w14:paraId="4A136B90" w14:textId="77777777" w:rsidR="00C619FA" w:rsidRPr="008253DC" w:rsidRDefault="00C619FA" w:rsidP="00C619FA">
            <w:pPr>
              <w:pStyle w:val="SingleTxtG"/>
              <w:tabs>
                <w:tab w:val="clear" w:pos="1701"/>
                <w:tab w:val="clear" w:pos="2268"/>
                <w:tab w:val="clear" w:pos="2835"/>
              </w:tabs>
              <w:spacing w:before="80" w:after="80" w:line="220" w:lineRule="exact"/>
              <w:ind w:left="57" w:right="28"/>
              <w:jc w:val="right"/>
              <w:rPr>
                <w:b/>
                <w:bCs/>
                <w:sz w:val="18"/>
                <w:lang w:val="es-ES_tradnl"/>
              </w:rPr>
            </w:pPr>
            <w:r w:rsidRPr="008253DC">
              <w:rPr>
                <w:b/>
                <w:bCs/>
                <w:sz w:val="18"/>
                <w:lang w:val="es-ES_tradnl"/>
              </w:rPr>
              <w:t>555 245</w:t>
            </w:r>
          </w:p>
        </w:tc>
      </w:tr>
      <w:tr w:rsidR="00C619FA" w:rsidRPr="008253DC" w14:paraId="2BC64916" w14:textId="77777777" w:rsidTr="00243B75">
        <w:trPr>
          <w:trHeight w:val="240"/>
        </w:trPr>
        <w:tc>
          <w:tcPr>
            <w:tcW w:w="3119" w:type="dxa"/>
            <w:tcBorders>
              <w:top w:val="single" w:sz="4" w:space="0" w:color="auto"/>
            </w:tcBorders>
            <w:shd w:val="clear" w:color="auto" w:fill="auto"/>
            <w:noWrap/>
            <w:hideMark/>
          </w:tcPr>
          <w:p w14:paraId="67BC1C1D" w14:textId="77777777" w:rsidR="00C619FA" w:rsidRPr="008253DC" w:rsidRDefault="00C619FA" w:rsidP="00243B75">
            <w:pPr>
              <w:pStyle w:val="SingleTxtG"/>
              <w:keepNext/>
              <w:keepLines/>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PIB (en miles de millones de ISK)</w:t>
            </w:r>
          </w:p>
        </w:tc>
        <w:tc>
          <w:tcPr>
            <w:tcW w:w="1134" w:type="dxa"/>
            <w:tcBorders>
              <w:top w:val="single" w:sz="4" w:space="0" w:color="auto"/>
            </w:tcBorders>
            <w:shd w:val="clear" w:color="auto" w:fill="auto"/>
            <w:noWrap/>
            <w:vAlign w:val="bottom"/>
            <w:hideMark/>
          </w:tcPr>
          <w:p w14:paraId="368F6DCF" w14:textId="77777777" w:rsidR="00C619FA" w:rsidRPr="008253DC" w:rsidRDefault="00C619FA" w:rsidP="00243B75">
            <w:pPr>
              <w:pStyle w:val="SingleTxtG"/>
              <w:keepNext/>
              <w:keepLines/>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1 899 680</w:t>
            </w:r>
          </w:p>
        </w:tc>
        <w:tc>
          <w:tcPr>
            <w:tcW w:w="992" w:type="dxa"/>
            <w:tcBorders>
              <w:top w:val="single" w:sz="4" w:space="0" w:color="auto"/>
            </w:tcBorders>
            <w:shd w:val="clear" w:color="auto" w:fill="auto"/>
            <w:noWrap/>
            <w:vAlign w:val="bottom"/>
            <w:hideMark/>
          </w:tcPr>
          <w:p w14:paraId="37747FE8" w14:textId="77777777" w:rsidR="00C619FA" w:rsidRPr="008253DC" w:rsidRDefault="00C619FA" w:rsidP="00243B75">
            <w:pPr>
              <w:pStyle w:val="SingleTxtG"/>
              <w:keepNext/>
              <w:keepLines/>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2 020 546</w:t>
            </w:r>
          </w:p>
        </w:tc>
        <w:tc>
          <w:tcPr>
            <w:tcW w:w="992" w:type="dxa"/>
            <w:tcBorders>
              <w:top w:val="single" w:sz="4" w:space="0" w:color="auto"/>
            </w:tcBorders>
            <w:shd w:val="clear" w:color="auto" w:fill="auto"/>
            <w:noWrap/>
            <w:vAlign w:val="bottom"/>
            <w:hideMark/>
          </w:tcPr>
          <w:p w14:paraId="0B5BBBBB" w14:textId="77777777" w:rsidR="00C619FA" w:rsidRPr="008253DC" w:rsidRDefault="00C619FA" w:rsidP="00243B75">
            <w:pPr>
              <w:pStyle w:val="SingleTxtG"/>
              <w:keepNext/>
              <w:keepLines/>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2 234 999</w:t>
            </w:r>
          </w:p>
        </w:tc>
        <w:tc>
          <w:tcPr>
            <w:tcW w:w="1133" w:type="dxa"/>
            <w:tcBorders>
              <w:top w:val="single" w:sz="4" w:space="0" w:color="auto"/>
            </w:tcBorders>
            <w:shd w:val="clear" w:color="auto" w:fill="auto"/>
            <w:noWrap/>
            <w:vAlign w:val="bottom"/>
            <w:hideMark/>
          </w:tcPr>
          <w:p w14:paraId="593D9D3E" w14:textId="77777777" w:rsidR="00C619FA" w:rsidRPr="008253DC" w:rsidRDefault="00C619FA" w:rsidP="00243B75">
            <w:pPr>
              <w:pStyle w:val="SingleTxtG"/>
              <w:keepNext/>
              <w:keepLines/>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2 452 970</w:t>
            </w:r>
          </w:p>
        </w:tc>
      </w:tr>
      <w:tr w:rsidR="00C619FA" w:rsidRPr="008253DC" w14:paraId="0BA40FAF" w14:textId="77777777" w:rsidTr="00243B75">
        <w:trPr>
          <w:trHeight w:val="240"/>
        </w:trPr>
        <w:tc>
          <w:tcPr>
            <w:tcW w:w="3119" w:type="dxa"/>
            <w:tcBorders>
              <w:bottom w:val="single" w:sz="12" w:space="0" w:color="auto"/>
            </w:tcBorders>
            <w:shd w:val="clear" w:color="auto" w:fill="auto"/>
            <w:noWrap/>
            <w:hideMark/>
          </w:tcPr>
          <w:p w14:paraId="70EEAA9B" w14:textId="77777777" w:rsidR="00C619FA" w:rsidRPr="008253DC" w:rsidRDefault="00C619FA" w:rsidP="00C619FA">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Gastos sociales/PIB</w:t>
            </w:r>
          </w:p>
        </w:tc>
        <w:tc>
          <w:tcPr>
            <w:tcW w:w="1134" w:type="dxa"/>
            <w:tcBorders>
              <w:bottom w:val="single" w:sz="12" w:space="0" w:color="auto"/>
            </w:tcBorders>
            <w:shd w:val="clear" w:color="auto" w:fill="auto"/>
            <w:noWrap/>
            <w:vAlign w:val="bottom"/>
            <w:hideMark/>
          </w:tcPr>
          <w:p w14:paraId="0F13DF71"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0,2</w:t>
            </w:r>
          </w:p>
        </w:tc>
        <w:tc>
          <w:tcPr>
            <w:tcW w:w="992" w:type="dxa"/>
            <w:tcBorders>
              <w:bottom w:val="single" w:sz="12" w:space="0" w:color="auto"/>
            </w:tcBorders>
            <w:shd w:val="clear" w:color="auto" w:fill="auto"/>
            <w:noWrap/>
            <w:vAlign w:val="bottom"/>
            <w:hideMark/>
          </w:tcPr>
          <w:p w14:paraId="086FB185"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0,2</w:t>
            </w:r>
          </w:p>
        </w:tc>
        <w:tc>
          <w:tcPr>
            <w:tcW w:w="992" w:type="dxa"/>
            <w:tcBorders>
              <w:bottom w:val="single" w:sz="12" w:space="0" w:color="auto"/>
            </w:tcBorders>
            <w:shd w:val="clear" w:color="auto" w:fill="auto"/>
            <w:noWrap/>
            <w:vAlign w:val="bottom"/>
            <w:hideMark/>
          </w:tcPr>
          <w:p w14:paraId="3FF9E906"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0,2</w:t>
            </w:r>
          </w:p>
        </w:tc>
        <w:tc>
          <w:tcPr>
            <w:tcW w:w="1133" w:type="dxa"/>
            <w:tcBorders>
              <w:bottom w:val="single" w:sz="12" w:space="0" w:color="auto"/>
            </w:tcBorders>
            <w:shd w:val="clear" w:color="auto" w:fill="auto"/>
            <w:noWrap/>
            <w:vAlign w:val="bottom"/>
            <w:hideMark/>
          </w:tcPr>
          <w:p w14:paraId="716D5D60" w14:textId="77777777" w:rsidR="00C619FA" w:rsidRPr="008253DC" w:rsidRDefault="00C619FA" w:rsidP="00C619FA">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0,2</w:t>
            </w:r>
          </w:p>
        </w:tc>
      </w:tr>
    </w:tbl>
    <w:p w14:paraId="2FFA5DF4" w14:textId="77777777" w:rsidR="00C619FA" w:rsidRPr="008253DC" w:rsidRDefault="00C619FA" w:rsidP="00243B75">
      <w:pPr>
        <w:pStyle w:val="H23G"/>
        <w:rPr>
          <w:lang w:val="es-ES_tradnl"/>
        </w:rPr>
      </w:pPr>
      <w:r w:rsidRPr="008253DC">
        <w:rPr>
          <w:lang w:val="es-ES_tradnl"/>
        </w:rPr>
        <w:tab/>
        <w:t>5.</w:t>
      </w:r>
      <w:r w:rsidRPr="008253DC">
        <w:rPr>
          <w:lang w:val="es-ES_tradnl"/>
        </w:rPr>
        <w:tab/>
        <w:t>Salud</w:t>
      </w:r>
    </w:p>
    <w:p w14:paraId="32F32804" w14:textId="77777777" w:rsidR="00C619FA" w:rsidRPr="008253DC" w:rsidRDefault="00C619FA" w:rsidP="00C619FA">
      <w:pPr>
        <w:pStyle w:val="SingleTxtG"/>
        <w:rPr>
          <w:lang w:val="es-ES_tradnl"/>
        </w:rPr>
      </w:pPr>
      <w:r w:rsidRPr="008253DC">
        <w:rPr>
          <w:lang w:val="es-ES_tradnl"/>
        </w:rPr>
        <w:t>13.</w:t>
      </w:r>
      <w:r w:rsidRPr="008253DC">
        <w:rPr>
          <w:lang w:val="es-ES_tradnl"/>
        </w:rPr>
        <w:tab/>
        <w:t>En el cuadro que figura a continuación se indica la mortalidad de niños menores de un año (muertes ocurridas en el primer año de vida por cada 1.000 nacidos vivos) correspondiente al período 2014-2019.</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51"/>
        <w:gridCol w:w="4836"/>
      </w:tblGrid>
      <w:tr w:rsidR="00C619FA" w:rsidRPr="008253DC" w14:paraId="0EEA65FC" w14:textId="77777777" w:rsidTr="00243B75">
        <w:trPr>
          <w:trHeight w:val="240"/>
          <w:tblHeader/>
        </w:trPr>
        <w:tc>
          <w:tcPr>
            <w:tcW w:w="2835" w:type="dxa"/>
            <w:tcBorders>
              <w:top w:val="single" w:sz="4" w:space="0" w:color="auto"/>
              <w:bottom w:val="single" w:sz="12" w:space="0" w:color="auto"/>
            </w:tcBorders>
            <w:shd w:val="clear" w:color="auto" w:fill="auto"/>
            <w:noWrap/>
            <w:vAlign w:val="bottom"/>
            <w:hideMark/>
          </w:tcPr>
          <w:p w14:paraId="3552FB25" w14:textId="77777777" w:rsidR="00C619FA" w:rsidRPr="008253DC" w:rsidRDefault="00C619FA" w:rsidP="00243B75">
            <w:pPr>
              <w:pStyle w:val="SingleTxtG"/>
              <w:tabs>
                <w:tab w:val="clear" w:pos="1701"/>
                <w:tab w:val="clear" w:pos="2268"/>
                <w:tab w:val="clear" w:pos="2835"/>
              </w:tabs>
              <w:spacing w:before="80" w:after="80" w:line="200" w:lineRule="exact"/>
              <w:ind w:left="0" w:right="0"/>
              <w:jc w:val="left"/>
              <w:rPr>
                <w:i/>
                <w:iCs/>
                <w:sz w:val="16"/>
                <w:lang w:val="es-ES_tradnl"/>
              </w:rPr>
            </w:pPr>
            <w:r w:rsidRPr="008253DC">
              <w:rPr>
                <w:i/>
                <w:iCs/>
                <w:sz w:val="16"/>
                <w:lang w:val="es-ES_tradnl"/>
              </w:rPr>
              <w:t>Año</w:t>
            </w:r>
          </w:p>
        </w:tc>
        <w:tc>
          <w:tcPr>
            <w:tcW w:w="4820" w:type="dxa"/>
            <w:tcBorders>
              <w:top w:val="single" w:sz="4" w:space="0" w:color="auto"/>
              <w:bottom w:val="single" w:sz="12" w:space="0" w:color="auto"/>
            </w:tcBorders>
            <w:shd w:val="clear" w:color="auto" w:fill="auto"/>
            <w:noWrap/>
            <w:vAlign w:val="bottom"/>
            <w:hideMark/>
          </w:tcPr>
          <w:p w14:paraId="4B797E2D" w14:textId="77777777" w:rsidR="00C619FA" w:rsidRPr="008253DC" w:rsidRDefault="00C619FA" w:rsidP="00243B75">
            <w:pPr>
              <w:pStyle w:val="SingleTxtG"/>
              <w:tabs>
                <w:tab w:val="clear" w:pos="1701"/>
                <w:tab w:val="clear" w:pos="2268"/>
                <w:tab w:val="clear" w:pos="2835"/>
              </w:tabs>
              <w:spacing w:before="80" w:after="80" w:line="200" w:lineRule="exact"/>
              <w:ind w:left="57" w:right="28"/>
              <w:jc w:val="right"/>
              <w:rPr>
                <w:i/>
                <w:sz w:val="16"/>
                <w:lang w:val="es-ES_tradnl"/>
              </w:rPr>
            </w:pPr>
            <w:r w:rsidRPr="008253DC">
              <w:rPr>
                <w:i/>
                <w:iCs/>
                <w:sz w:val="16"/>
                <w:lang w:val="es-ES_tradnl"/>
              </w:rPr>
              <w:t>Muertes de niños menores de un año por cada 1.000 nacidos vivos</w:t>
            </w:r>
          </w:p>
        </w:tc>
      </w:tr>
      <w:tr w:rsidR="00C619FA" w:rsidRPr="008253DC" w14:paraId="72E7279F" w14:textId="77777777" w:rsidTr="00243B75">
        <w:trPr>
          <w:trHeight w:val="240"/>
        </w:trPr>
        <w:tc>
          <w:tcPr>
            <w:tcW w:w="2835" w:type="dxa"/>
            <w:tcBorders>
              <w:top w:val="single" w:sz="12" w:space="0" w:color="auto"/>
            </w:tcBorders>
            <w:shd w:val="clear" w:color="auto" w:fill="auto"/>
            <w:noWrap/>
            <w:hideMark/>
          </w:tcPr>
          <w:p w14:paraId="51571BA9"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2014</w:t>
            </w:r>
          </w:p>
        </w:tc>
        <w:tc>
          <w:tcPr>
            <w:tcW w:w="4820" w:type="dxa"/>
            <w:tcBorders>
              <w:top w:val="single" w:sz="12" w:space="0" w:color="auto"/>
            </w:tcBorders>
            <w:shd w:val="clear" w:color="auto" w:fill="auto"/>
            <w:noWrap/>
            <w:vAlign w:val="bottom"/>
            <w:hideMark/>
          </w:tcPr>
          <w:p w14:paraId="15CCF531" w14:textId="77777777" w:rsidR="00C619FA" w:rsidRPr="008253DC" w:rsidRDefault="00C619FA"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2,1</w:t>
            </w:r>
          </w:p>
        </w:tc>
      </w:tr>
      <w:tr w:rsidR="00C619FA" w:rsidRPr="008253DC" w14:paraId="3C9E2ADE" w14:textId="77777777" w:rsidTr="00243B75">
        <w:trPr>
          <w:trHeight w:val="240"/>
        </w:trPr>
        <w:tc>
          <w:tcPr>
            <w:tcW w:w="2835" w:type="dxa"/>
            <w:shd w:val="clear" w:color="auto" w:fill="auto"/>
            <w:noWrap/>
            <w:hideMark/>
          </w:tcPr>
          <w:p w14:paraId="28E80243"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2015</w:t>
            </w:r>
          </w:p>
        </w:tc>
        <w:tc>
          <w:tcPr>
            <w:tcW w:w="4820" w:type="dxa"/>
            <w:shd w:val="clear" w:color="auto" w:fill="auto"/>
            <w:noWrap/>
            <w:vAlign w:val="bottom"/>
            <w:hideMark/>
          </w:tcPr>
          <w:p w14:paraId="67AB95C9" w14:textId="77777777" w:rsidR="00C619FA" w:rsidRPr="008253DC" w:rsidRDefault="00C619FA"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2,1</w:t>
            </w:r>
          </w:p>
        </w:tc>
      </w:tr>
      <w:tr w:rsidR="00C619FA" w:rsidRPr="008253DC" w14:paraId="1676BAEE" w14:textId="77777777" w:rsidTr="00243B75">
        <w:trPr>
          <w:trHeight w:val="240"/>
        </w:trPr>
        <w:tc>
          <w:tcPr>
            <w:tcW w:w="2835" w:type="dxa"/>
            <w:shd w:val="clear" w:color="auto" w:fill="auto"/>
            <w:noWrap/>
            <w:hideMark/>
          </w:tcPr>
          <w:p w14:paraId="1ADF613D"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2016</w:t>
            </w:r>
          </w:p>
        </w:tc>
        <w:tc>
          <w:tcPr>
            <w:tcW w:w="4820" w:type="dxa"/>
            <w:shd w:val="clear" w:color="auto" w:fill="auto"/>
            <w:noWrap/>
            <w:vAlign w:val="bottom"/>
            <w:hideMark/>
          </w:tcPr>
          <w:p w14:paraId="06A22BCB" w14:textId="77777777" w:rsidR="00C619FA" w:rsidRPr="008253DC" w:rsidRDefault="00C619FA"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0,7</w:t>
            </w:r>
          </w:p>
        </w:tc>
      </w:tr>
      <w:tr w:rsidR="00C619FA" w:rsidRPr="008253DC" w14:paraId="6EF8B1CA" w14:textId="77777777" w:rsidTr="00243B75">
        <w:trPr>
          <w:trHeight w:val="240"/>
        </w:trPr>
        <w:tc>
          <w:tcPr>
            <w:tcW w:w="2835" w:type="dxa"/>
            <w:shd w:val="clear" w:color="auto" w:fill="auto"/>
            <w:noWrap/>
            <w:hideMark/>
          </w:tcPr>
          <w:p w14:paraId="63EDE811"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2017</w:t>
            </w:r>
          </w:p>
        </w:tc>
        <w:tc>
          <w:tcPr>
            <w:tcW w:w="4820" w:type="dxa"/>
            <w:shd w:val="clear" w:color="auto" w:fill="auto"/>
            <w:noWrap/>
            <w:vAlign w:val="bottom"/>
            <w:hideMark/>
          </w:tcPr>
          <w:p w14:paraId="38ECC970" w14:textId="77777777" w:rsidR="00C619FA" w:rsidRPr="008253DC" w:rsidRDefault="00C619FA"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2,7</w:t>
            </w:r>
          </w:p>
        </w:tc>
      </w:tr>
      <w:tr w:rsidR="00C619FA" w:rsidRPr="008253DC" w14:paraId="7008C4E2" w14:textId="77777777" w:rsidTr="00243B75">
        <w:trPr>
          <w:trHeight w:val="240"/>
        </w:trPr>
        <w:tc>
          <w:tcPr>
            <w:tcW w:w="2835" w:type="dxa"/>
            <w:shd w:val="clear" w:color="auto" w:fill="auto"/>
            <w:noWrap/>
            <w:hideMark/>
          </w:tcPr>
          <w:p w14:paraId="55C985FF"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2018</w:t>
            </w:r>
          </w:p>
        </w:tc>
        <w:tc>
          <w:tcPr>
            <w:tcW w:w="4820" w:type="dxa"/>
            <w:shd w:val="clear" w:color="auto" w:fill="auto"/>
            <w:noWrap/>
            <w:vAlign w:val="bottom"/>
            <w:hideMark/>
          </w:tcPr>
          <w:p w14:paraId="2F266BF8" w14:textId="77777777" w:rsidR="00C619FA" w:rsidRPr="008253DC" w:rsidRDefault="00C619FA"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1,7</w:t>
            </w:r>
          </w:p>
        </w:tc>
      </w:tr>
      <w:tr w:rsidR="00C619FA" w:rsidRPr="008253DC" w14:paraId="0C1AA0D5" w14:textId="77777777" w:rsidTr="00243B75">
        <w:trPr>
          <w:trHeight w:val="240"/>
        </w:trPr>
        <w:tc>
          <w:tcPr>
            <w:tcW w:w="2835" w:type="dxa"/>
            <w:tcBorders>
              <w:bottom w:val="single" w:sz="12" w:space="0" w:color="auto"/>
            </w:tcBorders>
            <w:shd w:val="clear" w:color="auto" w:fill="auto"/>
            <w:noWrap/>
            <w:hideMark/>
          </w:tcPr>
          <w:p w14:paraId="1B76105C"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 xml:space="preserve">2019 </w:t>
            </w:r>
          </w:p>
        </w:tc>
        <w:tc>
          <w:tcPr>
            <w:tcW w:w="4820" w:type="dxa"/>
            <w:tcBorders>
              <w:bottom w:val="single" w:sz="12" w:space="0" w:color="auto"/>
            </w:tcBorders>
            <w:shd w:val="clear" w:color="auto" w:fill="auto"/>
            <w:noWrap/>
            <w:vAlign w:val="bottom"/>
            <w:hideMark/>
          </w:tcPr>
          <w:p w14:paraId="1B5E4F73" w14:textId="77777777" w:rsidR="00C619FA" w:rsidRPr="008253DC" w:rsidRDefault="00C619FA"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1,1</w:t>
            </w:r>
          </w:p>
        </w:tc>
      </w:tr>
    </w:tbl>
    <w:p w14:paraId="7498CBBD" w14:textId="696453F6" w:rsidR="00C619FA" w:rsidRPr="008253DC" w:rsidRDefault="00C619FA" w:rsidP="00243B75">
      <w:pPr>
        <w:pStyle w:val="SingleTxtG"/>
        <w:spacing w:before="240"/>
        <w:rPr>
          <w:bCs/>
          <w:lang w:val="es-ES_tradnl"/>
        </w:rPr>
      </w:pPr>
      <w:r w:rsidRPr="008253DC">
        <w:rPr>
          <w:lang w:val="es-ES_tradnl"/>
        </w:rPr>
        <w:t>14.</w:t>
      </w:r>
      <w:r w:rsidRPr="008253DC">
        <w:rPr>
          <w:lang w:val="es-ES_tradnl"/>
        </w:rPr>
        <w:tab/>
        <w:t xml:space="preserve">En el período 2010-2019, se registró un caso de </w:t>
      </w:r>
      <w:r w:rsidRPr="008253DC">
        <w:rPr>
          <w:i/>
          <w:iCs/>
          <w:lang w:val="es-ES_tradnl"/>
        </w:rPr>
        <w:t xml:space="preserve">mortalidad materna </w:t>
      </w:r>
      <w:r w:rsidRPr="008253DC">
        <w:rPr>
          <w:lang w:val="es-ES_tradnl"/>
        </w:rPr>
        <w:t>(en 2011) y, en</w:t>
      </w:r>
      <w:r w:rsidR="0097697B" w:rsidRPr="008253DC">
        <w:rPr>
          <w:lang w:val="es-ES_tradnl"/>
        </w:rPr>
        <w:t> </w:t>
      </w:r>
      <w:r w:rsidRPr="008253DC">
        <w:rPr>
          <w:lang w:val="es-ES_tradnl"/>
        </w:rPr>
        <w:t>2017, la razón de mortalidad materna se estimó en 4 por cada 100.000 nacidos vivos en Islandia.</w:t>
      </w:r>
    </w:p>
    <w:p w14:paraId="24CD12FD" w14:textId="32768C63" w:rsidR="00C619FA" w:rsidRPr="008253DC" w:rsidRDefault="00C619FA" w:rsidP="00C619FA">
      <w:pPr>
        <w:pStyle w:val="SingleTxtG"/>
        <w:rPr>
          <w:b/>
          <w:i/>
          <w:lang w:val="es-ES_tradnl"/>
        </w:rPr>
      </w:pPr>
      <w:r w:rsidRPr="008253DC">
        <w:rPr>
          <w:i/>
          <w:iCs/>
          <w:lang w:val="es-ES_tradnl"/>
        </w:rPr>
        <w:t>En el cuadro que figura a continuación se indica el número de abortos provocados por edad, correspondiente al período 2011-2018</w:t>
      </w:r>
      <w:r w:rsidR="00243B75" w:rsidRPr="008253DC">
        <w:rPr>
          <w:i/>
          <w:iCs/>
          <w:lang w:val="es-ES_tradnl"/>
        </w:rPr>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850"/>
        <w:gridCol w:w="567"/>
        <w:gridCol w:w="567"/>
        <w:gridCol w:w="567"/>
        <w:gridCol w:w="567"/>
        <w:gridCol w:w="567"/>
        <w:gridCol w:w="567"/>
        <w:gridCol w:w="566"/>
      </w:tblGrid>
      <w:tr w:rsidR="00243B75" w:rsidRPr="008253DC" w14:paraId="4D470CE4" w14:textId="77777777" w:rsidTr="00243B75">
        <w:trPr>
          <w:trHeight w:val="240"/>
          <w:tblHeader/>
        </w:trPr>
        <w:tc>
          <w:tcPr>
            <w:tcW w:w="2552" w:type="dxa"/>
            <w:tcBorders>
              <w:top w:val="single" w:sz="4" w:space="0" w:color="auto"/>
              <w:bottom w:val="single" w:sz="12" w:space="0" w:color="auto"/>
            </w:tcBorders>
            <w:shd w:val="clear" w:color="auto" w:fill="auto"/>
            <w:vAlign w:val="bottom"/>
          </w:tcPr>
          <w:p w14:paraId="6A5E3B2A" w14:textId="77777777" w:rsidR="00C619FA" w:rsidRPr="008253DC" w:rsidRDefault="00C619FA" w:rsidP="00243B75">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Edad</w:t>
            </w:r>
          </w:p>
        </w:tc>
        <w:tc>
          <w:tcPr>
            <w:tcW w:w="850" w:type="dxa"/>
            <w:tcBorders>
              <w:top w:val="single" w:sz="4" w:space="0" w:color="auto"/>
              <w:bottom w:val="single" w:sz="12" w:space="0" w:color="auto"/>
            </w:tcBorders>
            <w:shd w:val="clear" w:color="auto" w:fill="auto"/>
            <w:vAlign w:val="bottom"/>
          </w:tcPr>
          <w:p w14:paraId="3C10B07F" w14:textId="77777777" w:rsidR="00C619FA" w:rsidRPr="008253DC" w:rsidRDefault="00C619FA" w:rsidP="00243B75">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2011</w:t>
            </w:r>
          </w:p>
        </w:tc>
        <w:tc>
          <w:tcPr>
            <w:tcW w:w="567" w:type="dxa"/>
            <w:tcBorders>
              <w:top w:val="single" w:sz="4" w:space="0" w:color="auto"/>
              <w:bottom w:val="single" w:sz="12" w:space="0" w:color="auto"/>
            </w:tcBorders>
            <w:shd w:val="clear" w:color="auto" w:fill="auto"/>
            <w:vAlign w:val="bottom"/>
          </w:tcPr>
          <w:p w14:paraId="674FC3BD" w14:textId="77777777" w:rsidR="00C619FA" w:rsidRPr="008253DC" w:rsidRDefault="00C619FA" w:rsidP="00243B75">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2012</w:t>
            </w:r>
          </w:p>
        </w:tc>
        <w:tc>
          <w:tcPr>
            <w:tcW w:w="567" w:type="dxa"/>
            <w:tcBorders>
              <w:top w:val="single" w:sz="4" w:space="0" w:color="auto"/>
              <w:bottom w:val="single" w:sz="12" w:space="0" w:color="auto"/>
            </w:tcBorders>
            <w:shd w:val="clear" w:color="auto" w:fill="auto"/>
            <w:vAlign w:val="bottom"/>
          </w:tcPr>
          <w:p w14:paraId="7A150E10" w14:textId="77777777" w:rsidR="00C619FA" w:rsidRPr="008253DC" w:rsidRDefault="00C619FA" w:rsidP="00243B75">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2013</w:t>
            </w:r>
          </w:p>
        </w:tc>
        <w:tc>
          <w:tcPr>
            <w:tcW w:w="567" w:type="dxa"/>
            <w:tcBorders>
              <w:top w:val="single" w:sz="4" w:space="0" w:color="auto"/>
              <w:bottom w:val="single" w:sz="12" w:space="0" w:color="auto"/>
            </w:tcBorders>
            <w:shd w:val="clear" w:color="auto" w:fill="auto"/>
            <w:vAlign w:val="bottom"/>
          </w:tcPr>
          <w:p w14:paraId="14C964F1" w14:textId="77777777" w:rsidR="00C619FA" w:rsidRPr="008253DC" w:rsidRDefault="00C619FA" w:rsidP="00243B75">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2014</w:t>
            </w:r>
          </w:p>
        </w:tc>
        <w:tc>
          <w:tcPr>
            <w:tcW w:w="567" w:type="dxa"/>
            <w:tcBorders>
              <w:top w:val="single" w:sz="4" w:space="0" w:color="auto"/>
              <w:bottom w:val="single" w:sz="12" w:space="0" w:color="auto"/>
            </w:tcBorders>
            <w:shd w:val="clear" w:color="auto" w:fill="auto"/>
            <w:vAlign w:val="bottom"/>
          </w:tcPr>
          <w:p w14:paraId="0D321F09" w14:textId="77777777" w:rsidR="00C619FA" w:rsidRPr="008253DC" w:rsidRDefault="00C619FA" w:rsidP="00243B75">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2015</w:t>
            </w:r>
          </w:p>
        </w:tc>
        <w:tc>
          <w:tcPr>
            <w:tcW w:w="567" w:type="dxa"/>
            <w:tcBorders>
              <w:top w:val="single" w:sz="4" w:space="0" w:color="auto"/>
              <w:bottom w:val="single" w:sz="12" w:space="0" w:color="auto"/>
            </w:tcBorders>
            <w:shd w:val="clear" w:color="auto" w:fill="auto"/>
            <w:vAlign w:val="bottom"/>
          </w:tcPr>
          <w:p w14:paraId="56DD598F" w14:textId="77777777" w:rsidR="00C619FA" w:rsidRPr="008253DC" w:rsidRDefault="00C619FA" w:rsidP="00243B75">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2016</w:t>
            </w:r>
          </w:p>
        </w:tc>
        <w:tc>
          <w:tcPr>
            <w:tcW w:w="567" w:type="dxa"/>
            <w:tcBorders>
              <w:top w:val="single" w:sz="4" w:space="0" w:color="auto"/>
              <w:bottom w:val="single" w:sz="12" w:space="0" w:color="auto"/>
            </w:tcBorders>
            <w:shd w:val="clear" w:color="auto" w:fill="auto"/>
            <w:vAlign w:val="bottom"/>
          </w:tcPr>
          <w:p w14:paraId="04C1B31F" w14:textId="77777777" w:rsidR="00C619FA" w:rsidRPr="008253DC" w:rsidRDefault="00C619FA" w:rsidP="00243B75">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2017</w:t>
            </w:r>
          </w:p>
        </w:tc>
        <w:tc>
          <w:tcPr>
            <w:tcW w:w="566" w:type="dxa"/>
            <w:tcBorders>
              <w:top w:val="single" w:sz="4" w:space="0" w:color="auto"/>
              <w:bottom w:val="single" w:sz="12" w:space="0" w:color="auto"/>
            </w:tcBorders>
            <w:shd w:val="clear" w:color="auto" w:fill="auto"/>
            <w:vAlign w:val="bottom"/>
          </w:tcPr>
          <w:p w14:paraId="16015C85" w14:textId="77777777" w:rsidR="00C619FA" w:rsidRPr="008253DC" w:rsidRDefault="00C619FA" w:rsidP="00243B75">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2018</w:t>
            </w:r>
          </w:p>
        </w:tc>
      </w:tr>
      <w:tr w:rsidR="00243B75" w:rsidRPr="008253DC" w14:paraId="77FF8F06" w14:textId="77777777" w:rsidTr="00243B75">
        <w:trPr>
          <w:trHeight w:val="240"/>
        </w:trPr>
        <w:tc>
          <w:tcPr>
            <w:tcW w:w="2552" w:type="dxa"/>
            <w:tcBorders>
              <w:top w:val="single" w:sz="12" w:space="0" w:color="auto"/>
            </w:tcBorders>
            <w:shd w:val="clear" w:color="auto" w:fill="auto"/>
          </w:tcPr>
          <w:p w14:paraId="39C677F8" w14:textId="4C605993"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Menores de 15 años</w:t>
            </w:r>
          </w:p>
        </w:tc>
        <w:tc>
          <w:tcPr>
            <w:tcW w:w="850" w:type="dxa"/>
            <w:tcBorders>
              <w:top w:val="single" w:sz="12" w:space="0" w:color="auto"/>
            </w:tcBorders>
            <w:shd w:val="clear" w:color="auto" w:fill="auto"/>
            <w:vAlign w:val="bottom"/>
          </w:tcPr>
          <w:p w14:paraId="0DF5499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w:t>
            </w:r>
          </w:p>
        </w:tc>
        <w:tc>
          <w:tcPr>
            <w:tcW w:w="567" w:type="dxa"/>
            <w:tcBorders>
              <w:top w:val="single" w:sz="12" w:space="0" w:color="auto"/>
            </w:tcBorders>
            <w:shd w:val="clear" w:color="auto" w:fill="auto"/>
            <w:vAlign w:val="bottom"/>
          </w:tcPr>
          <w:p w14:paraId="1614562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w:t>
            </w:r>
          </w:p>
        </w:tc>
        <w:tc>
          <w:tcPr>
            <w:tcW w:w="567" w:type="dxa"/>
            <w:tcBorders>
              <w:top w:val="single" w:sz="12" w:space="0" w:color="auto"/>
            </w:tcBorders>
            <w:shd w:val="clear" w:color="auto" w:fill="auto"/>
            <w:vAlign w:val="bottom"/>
          </w:tcPr>
          <w:p w14:paraId="2539260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w:t>
            </w:r>
          </w:p>
        </w:tc>
        <w:tc>
          <w:tcPr>
            <w:tcW w:w="567" w:type="dxa"/>
            <w:tcBorders>
              <w:top w:val="single" w:sz="12" w:space="0" w:color="auto"/>
            </w:tcBorders>
            <w:shd w:val="clear" w:color="auto" w:fill="auto"/>
            <w:vAlign w:val="bottom"/>
          </w:tcPr>
          <w:p w14:paraId="1C73AB1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w:t>
            </w:r>
          </w:p>
        </w:tc>
        <w:tc>
          <w:tcPr>
            <w:tcW w:w="567" w:type="dxa"/>
            <w:tcBorders>
              <w:top w:val="single" w:sz="12" w:space="0" w:color="auto"/>
            </w:tcBorders>
            <w:shd w:val="clear" w:color="auto" w:fill="auto"/>
            <w:vAlign w:val="bottom"/>
          </w:tcPr>
          <w:p w14:paraId="1C764F3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0</w:t>
            </w:r>
          </w:p>
        </w:tc>
        <w:tc>
          <w:tcPr>
            <w:tcW w:w="567" w:type="dxa"/>
            <w:tcBorders>
              <w:top w:val="single" w:sz="12" w:space="0" w:color="auto"/>
            </w:tcBorders>
            <w:shd w:val="clear" w:color="auto" w:fill="auto"/>
            <w:vAlign w:val="bottom"/>
          </w:tcPr>
          <w:p w14:paraId="01C9D8F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w:t>
            </w:r>
          </w:p>
        </w:tc>
        <w:tc>
          <w:tcPr>
            <w:tcW w:w="567" w:type="dxa"/>
            <w:tcBorders>
              <w:top w:val="single" w:sz="12" w:space="0" w:color="auto"/>
            </w:tcBorders>
            <w:shd w:val="clear" w:color="auto" w:fill="auto"/>
            <w:vAlign w:val="bottom"/>
          </w:tcPr>
          <w:p w14:paraId="3795F38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w:t>
            </w:r>
          </w:p>
        </w:tc>
        <w:tc>
          <w:tcPr>
            <w:tcW w:w="566" w:type="dxa"/>
            <w:tcBorders>
              <w:top w:val="single" w:sz="12" w:space="0" w:color="auto"/>
            </w:tcBorders>
            <w:shd w:val="clear" w:color="auto" w:fill="auto"/>
            <w:vAlign w:val="bottom"/>
          </w:tcPr>
          <w:p w14:paraId="0EAC031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w:t>
            </w:r>
          </w:p>
        </w:tc>
      </w:tr>
      <w:tr w:rsidR="00C619FA" w:rsidRPr="008253DC" w14:paraId="4FF19A9B" w14:textId="77777777" w:rsidTr="00243B75">
        <w:trPr>
          <w:trHeight w:val="240"/>
        </w:trPr>
        <w:tc>
          <w:tcPr>
            <w:tcW w:w="2552" w:type="dxa"/>
            <w:shd w:val="clear" w:color="auto" w:fill="auto"/>
          </w:tcPr>
          <w:p w14:paraId="221EDB2F" w14:textId="76C54FD3" w:rsidR="00C619FA" w:rsidRPr="008253DC" w:rsidRDefault="00243B75"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 xml:space="preserve">De </w:t>
            </w:r>
            <w:r w:rsidR="00C619FA" w:rsidRPr="008253DC">
              <w:rPr>
                <w:sz w:val="18"/>
                <w:lang w:val="es-ES_tradnl"/>
              </w:rPr>
              <w:t>15 a 19 años</w:t>
            </w:r>
          </w:p>
        </w:tc>
        <w:tc>
          <w:tcPr>
            <w:tcW w:w="850" w:type="dxa"/>
            <w:shd w:val="clear" w:color="auto" w:fill="auto"/>
            <w:vAlign w:val="bottom"/>
          </w:tcPr>
          <w:p w14:paraId="14CB533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174</w:t>
            </w:r>
          </w:p>
        </w:tc>
        <w:tc>
          <w:tcPr>
            <w:tcW w:w="567" w:type="dxa"/>
            <w:shd w:val="clear" w:color="auto" w:fill="auto"/>
            <w:vAlign w:val="bottom"/>
          </w:tcPr>
          <w:p w14:paraId="5745621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153</w:t>
            </w:r>
          </w:p>
        </w:tc>
        <w:tc>
          <w:tcPr>
            <w:tcW w:w="567" w:type="dxa"/>
            <w:shd w:val="clear" w:color="auto" w:fill="auto"/>
            <w:vAlign w:val="bottom"/>
          </w:tcPr>
          <w:p w14:paraId="1BCFF94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141</w:t>
            </w:r>
          </w:p>
        </w:tc>
        <w:tc>
          <w:tcPr>
            <w:tcW w:w="567" w:type="dxa"/>
            <w:shd w:val="clear" w:color="auto" w:fill="auto"/>
            <w:vAlign w:val="bottom"/>
          </w:tcPr>
          <w:p w14:paraId="149AB6C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135</w:t>
            </w:r>
          </w:p>
        </w:tc>
        <w:tc>
          <w:tcPr>
            <w:tcW w:w="567" w:type="dxa"/>
            <w:shd w:val="clear" w:color="auto" w:fill="auto"/>
            <w:vAlign w:val="bottom"/>
          </w:tcPr>
          <w:p w14:paraId="0E6249D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136</w:t>
            </w:r>
          </w:p>
        </w:tc>
        <w:tc>
          <w:tcPr>
            <w:tcW w:w="567" w:type="dxa"/>
            <w:shd w:val="clear" w:color="auto" w:fill="auto"/>
            <w:vAlign w:val="bottom"/>
          </w:tcPr>
          <w:p w14:paraId="6BB8296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135</w:t>
            </w:r>
          </w:p>
        </w:tc>
        <w:tc>
          <w:tcPr>
            <w:tcW w:w="567" w:type="dxa"/>
            <w:shd w:val="clear" w:color="auto" w:fill="auto"/>
            <w:vAlign w:val="bottom"/>
          </w:tcPr>
          <w:p w14:paraId="131A36C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134</w:t>
            </w:r>
          </w:p>
        </w:tc>
        <w:tc>
          <w:tcPr>
            <w:tcW w:w="566" w:type="dxa"/>
            <w:shd w:val="clear" w:color="auto" w:fill="auto"/>
            <w:vAlign w:val="bottom"/>
          </w:tcPr>
          <w:p w14:paraId="6FB3633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120</w:t>
            </w:r>
          </w:p>
        </w:tc>
      </w:tr>
      <w:tr w:rsidR="00C619FA" w:rsidRPr="008253DC" w14:paraId="6F76E3DC" w14:textId="77777777" w:rsidTr="00243B75">
        <w:trPr>
          <w:trHeight w:val="240"/>
        </w:trPr>
        <w:tc>
          <w:tcPr>
            <w:tcW w:w="2552" w:type="dxa"/>
            <w:shd w:val="clear" w:color="auto" w:fill="auto"/>
          </w:tcPr>
          <w:p w14:paraId="02C5088D" w14:textId="765D1894" w:rsidR="00C619FA" w:rsidRPr="008253DC" w:rsidRDefault="00243B75"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 xml:space="preserve">De </w:t>
            </w:r>
            <w:r w:rsidR="00C619FA" w:rsidRPr="008253DC">
              <w:rPr>
                <w:sz w:val="18"/>
                <w:lang w:val="es-ES_tradnl"/>
              </w:rPr>
              <w:t>20 a 24 años</w:t>
            </w:r>
          </w:p>
        </w:tc>
        <w:tc>
          <w:tcPr>
            <w:tcW w:w="850" w:type="dxa"/>
            <w:shd w:val="clear" w:color="auto" w:fill="auto"/>
            <w:vAlign w:val="bottom"/>
          </w:tcPr>
          <w:p w14:paraId="5BE5AD5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290</w:t>
            </w:r>
          </w:p>
        </w:tc>
        <w:tc>
          <w:tcPr>
            <w:tcW w:w="567" w:type="dxa"/>
            <w:shd w:val="clear" w:color="auto" w:fill="auto"/>
            <w:vAlign w:val="bottom"/>
          </w:tcPr>
          <w:p w14:paraId="1537AB3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306</w:t>
            </w:r>
          </w:p>
        </w:tc>
        <w:tc>
          <w:tcPr>
            <w:tcW w:w="567" w:type="dxa"/>
            <w:shd w:val="clear" w:color="auto" w:fill="auto"/>
            <w:vAlign w:val="bottom"/>
          </w:tcPr>
          <w:p w14:paraId="13B027D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294</w:t>
            </w:r>
          </w:p>
        </w:tc>
        <w:tc>
          <w:tcPr>
            <w:tcW w:w="567" w:type="dxa"/>
            <w:shd w:val="clear" w:color="auto" w:fill="auto"/>
            <w:vAlign w:val="bottom"/>
          </w:tcPr>
          <w:p w14:paraId="67F501D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300</w:t>
            </w:r>
          </w:p>
        </w:tc>
        <w:tc>
          <w:tcPr>
            <w:tcW w:w="567" w:type="dxa"/>
            <w:shd w:val="clear" w:color="auto" w:fill="auto"/>
            <w:vAlign w:val="bottom"/>
          </w:tcPr>
          <w:p w14:paraId="3D53E7A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228</w:t>
            </w:r>
          </w:p>
        </w:tc>
        <w:tc>
          <w:tcPr>
            <w:tcW w:w="567" w:type="dxa"/>
            <w:shd w:val="clear" w:color="auto" w:fill="auto"/>
            <w:vAlign w:val="bottom"/>
          </w:tcPr>
          <w:p w14:paraId="56E9B52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279</w:t>
            </w:r>
          </w:p>
        </w:tc>
        <w:tc>
          <w:tcPr>
            <w:tcW w:w="567" w:type="dxa"/>
            <w:shd w:val="clear" w:color="auto" w:fill="auto"/>
            <w:vAlign w:val="bottom"/>
          </w:tcPr>
          <w:p w14:paraId="5ED74C5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274</w:t>
            </w:r>
          </w:p>
        </w:tc>
        <w:tc>
          <w:tcPr>
            <w:tcW w:w="566" w:type="dxa"/>
            <w:shd w:val="clear" w:color="auto" w:fill="auto"/>
            <w:vAlign w:val="bottom"/>
          </w:tcPr>
          <w:p w14:paraId="0498A82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261</w:t>
            </w:r>
          </w:p>
        </w:tc>
      </w:tr>
      <w:tr w:rsidR="00C619FA" w:rsidRPr="008253DC" w14:paraId="6C685069" w14:textId="77777777" w:rsidTr="00243B75">
        <w:trPr>
          <w:trHeight w:val="240"/>
        </w:trPr>
        <w:tc>
          <w:tcPr>
            <w:tcW w:w="2552" w:type="dxa"/>
            <w:shd w:val="clear" w:color="auto" w:fill="auto"/>
          </w:tcPr>
          <w:p w14:paraId="3F106203" w14:textId="6C84E7B0" w:rsidR="00C619FA" w:rsidRPr="008253DC" w:rsidRDefault="00243B75"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 xml:space="preserve">De </w:t>
            </w:r>
            <w:r w:rsidR="00C619FA" w:rsidRPr="008253DC">
              <w:rPr>
                <w:sz w:val="18"/>
                <w:lang w:val="es-ES_tradnl"/>
              </w:rPr>
              <w:t>25 a 29 años</w:t>
            </w:r>
          </w:p>
        </w:tc>
        <w:tc>
          <w:tcPr>
            <w:tcW w:w="850" w:type="dxa"/>
            <w:shd w:val="clear" w:color="auto" w:fill="auto"/>
            <w:vAlign w:val="bottom"/>
          </w:tcPr>
          <w:p w14:paraId="728CE6E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187</w:t>
            </w:r>
          </w:p>
        </w:tc>
        <w:tc>
          <w:tcPr>
            <w:tcW w:w="567" w:type="dxa"/>
            <w:shd w:val="clear" w:color="auto" w:fill="auto"/>
            <w:vAlign w:val="bottom"/>
          </w:tcPr>
          <w:p w14:paraId="22840A2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216</w:t>
            </w:r>
          </w:p>
        </w:tc>
        <w:tc>
          <w:tcPr>
            <w:tcW w:w="567" w:type="dxa"/>
            <w:shd w:val="clear" w:color="auto" w:fill="auto"/>
            <w:vAlign w:val="bottom"/>
          </w:tcPr>
          <w:p w14:paraId="3E8593E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212</w:t>
            </w:r>
          </w:p>
        </w:tc>
        <w:tc>
          <w:tcPr>
            <w:tcW w:w="567" w:type="dxa"/>
            <w:shd w:val="clear" w:color="auto" w:fill="auto"/>
            <w:vAlign w:val="bottom"/>
          </w:tcPr>
          <w:p w14:paraId="25876DF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227</w:t>
            </w:r>
          </w:p>
        </w:tc>
        <w:tc>
          <w:tcPr>
            <w:tcW w:w="567" w:type="dxa"/>
            <w:shd w:val="clear" w:color="auto" w:fill="auto"/>
            <w:vAlign w:val="bottom"/>
          </w:tcPr>
          <w:p w14:paraId="57936CC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230</w:t>
            </w:r>
          </w:p>
        </w:tc>
        <w:tc>
          <w:tcPr>
            <w:tcW w:w="567" w:type="dxa"/>
            <w:shd w:val="clear" w:color="auto" w:fill="auto"/>
            <w:vAlign w:val="bottom"/>
          </w:tcPr>
          <w:p w14:paraId="4DC127B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249</w:t>
            </w:r>
          </w:p>
        </w:tc>
        <w:tc>
          <w:tcPr>
            <w:tcW w:w="567" w:type="dxa"/>
            <w:shd w:val="clear" w:color="auto" w:fill="auto"/>
            <w:vAlign w:val="bottom"/>
          </w:tcPr>
          <w:p w14:paraId="061EA43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278</w:t>
            </w:r>
          </w:p>
        </w:tc>
        <w:tc>
          <w:tcPr>
            <w:tcW w:w="566" w:type="dxa"/>
            <w:shd w:val="clear" w:color="auto" w:fill="auto"/>
            <w:vAlign w:val="bottom"/>
          </w:tcPr>
          <w:p w14:paraId="608F16B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288</w:t>
            </w:r>
          </w:p>
        </w:tc>
      </w:tr>
      <w:tr w:rsidR="00C619FA" w:rsidRPr="008253DC" w14:paraId="3641D35E" w14:textId="77777777" w:rsidTr="00243B75">
        <w:trPr>
          <w:trHeight w:val="240"/>
        </w:trPr>
        <w:tc>
          <w:tcPr>
            <w:tcW w:w="2552" w:type="dxa"/>
            <w:shd w:val="clear" w:color="auto" w:fill="auto"/>
          </w:tcPr>
          <w:p w14:paraId="78E1C0BB" w14:textId="41B949F1" w:rsidR="00C619FA" w:rsidRPr="008253DC" w:rsidRDefault="00243B75"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 xml:space="preserve">De </w:t>
            </w:r>
            <w:r w:rsidR="00C619FA" w:rsidRPr="008253DC">
              <w:rPr>
                <w:sz w:val="18"/>
                <w:lang w:val="es-ES_tradnl"/>
              </w:rPr>
              <w:t>30 a 34 años</w:t>
            </w:r>
          </w:p>
        </w:tc>
        <w:tc>
          <w:tcPr>
            <w:tcW w:w="850" w:type="dxa"/>
            <w:shd w:val="clear" w:color="auto" w:fill="auto"/>
            <w:vAlign w:val="bottom"/>
          </w:tcPr>
          <w:p w14:paraId="07ABB80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169</w:t>
            </w:r>
          </w:p>
        </w:tc>
        <w:tc>
          <w:tcPr>
            <w:tcW w:w="567" w:type="dxa"/>
            <w:shd w:val="clear" w:color="auto" w:fill="auto"/>
            <w:vAlign w:val="bottom"/>
          </w:tcPr>
          <w:p w14:paraId="61C096C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163</w:t>
            </w:r>
          </w:p>
        </w:tc>
        <w:tc>
          <w:tcPr>
            <w:tcW w:w="567" w:type="dxa"/>
            <w:shd w:val="clear" w:color="auto" w:fill="auto"/>
            <w:vAlign w:val="bottom"/>
          </w:tcPr>
          <w:p w14:paraId="346511C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155</w:t>
            </w:r>
          </w:p>
        </w:tc>
        <w:tc>
          <w:tcPr>
            <w:tcW w:w="567" w:type="dxa"/>
            <w:shd w:val="clear" w:color="auto" w:fill="auto"/>
            <w:vAlign w:val="bottom"/>
          </w:tcPr>
          <w:p w14:paraId="2467F60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149</w:t>
            </w:r>
          </w:p>
        </w:tc>
        <w:tc>
          <w:tcPr>
            <w:tcW w:w="567" w:type="dxa"/>
            <w:shd w:val="clear" w:color="auto" w:fill="auto"/>
            <w:vAlign w:val="bottom"/>
          </w:tcPr>
          <w:p w14:paraId="43574D1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161</w:t>
            </w:r>
          </w:p>
        </w:tc>
        <w:tc>
          <w:tcPr>
            <w:tcW w:w="567" w:type="dxa"/>
            <w:shd w:val="clear" w:color="auto" w:fill="auto"/>
            <w:vAlign w:val="bottom"/>
          </w:tcPr>
          <w:p w14:paraId="0735CC5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172</w:t>
            </w:r>
          </w:p>
        </w:tc>
        <w:tc>
          <w:tcPr>
            <w:tcW w:w="567" w:type="dxa"/>
            <w:shd w:val="clear" w:color="auto" w:fill="auto"/>
            <w:vAlign w:val="bottom"/>
          </w:tcPr>
          <w:p w14:paraId="35EDF78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163</w:t>
            </w:r>
          </w:p>
        </w:tc>
        <w:tc>
          <w:tcPr>
            <w:tcW w:w="566" w:type="dxa"/>
            <w:shd w:val="clear" w:color="auto" w:fill="auto"/>
            <w:vAlign w:val="bottom"/>
          </w:tcPr>
          <w:p w14:paraId="053DFDE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164</w:t>
            </w:r>
          </w:p>
        </w:tc>
      </w:tr>
      <w:tr w:rsidR="00C619FA" w:rsidRPr="008253DC" w14:paraId="540BC50E" w14:textId="77777777" w:rsidTr="00243B75">
        <w:trPr>
          <w:trHeight w:val="240"/>
        </w:trPr>
        <w:tc>
          <w:tcPr>
            <w:tcW w:w="2552" w:type="dxa"/>
            <w:shd w:val="clear" w:color="auto" w:fill="auto"/>
          </w:tcPr>
          <w:p w14:paraId="16569830" w14:textId="7C5677E4" w:rsidR="00C619FA" w:rsidRPr="008253DC" w:rsidRDefault="00243B75"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 xml:space="preserve">De </w:t>
            </w:r>
            <w:r w:rsidR="00C619FA" w:rsidRPr="008253DC">
              <w:rPr>
                <w:sz w:val="18"/>
                <w:lang w:val="es-ES_tradnl"/>
              </w:rPr>
              <w:t>35 a 39 años</w:t>
            </w:r>
          </w:p>
        </w:tc>
        <w:tc>
          <w:tcPr>
            <w:tcW w:w="850" w:type="dxa"/>
            <w:shd w:val="clear" w:color="auto" w:fill="auto"/>
            <w:vAlign w:val="bottom"/>
          </w:tcPr>
          <w:p w14:paraId="1319378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109</w:t>
            </w:r>
          </w:p>
        </w:tc>
        <w:tc>
          <w:tcPr>
            <w:tcW w:w="567" w:type="dxa"/>
            <w:shd w:val="clear" w:color="auto" w:fill="auto"/>
            <w:vAlign w:val="bottom"/>
          </w:tcPr>
          <w:p w14:paraId="497380C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97</w:t>
            </w:r>
          </w:p>
        </w:tc>
        <w:tc>
          <w:tcPr>
            <w:tcW w:w="567" w:type="dxa"/>
            <w:shd w:val="clear" w:color="auto" w:fill="auto"/>
            <w:vAlign w:val="bottom"/>
          </w:tcPr>
          <w:p w14:paraId="6F1FD9C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108</w:t>
            </w:r>
          </w:p>
        </w:tc>
        <w:tc>
          <w:tcPr>
            <w:tcW w:w="567" w:type="dxa"/>
            <w:shd w:val="clear" w:color="auto" w:fill="auto"/>
            <w:vAlign w:val="bottom"/>
          </w:tcPr>
          <w:p w14:paraId="33F2D42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112</w:t>
            </w:r>
          </w:p>
        </w:tc>
        <w:tc>
          <w:tcPr>
            <w:tcW w:w="567" w:type="dxa"/>
            <w:shd w:val="clear" w:color="auto" w:fill="auto"/>
            <w:vAlign w:val="bottom"/>
          </w:tcPr>
          <w:p w14:paraId="05C1B7C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112</w:t>
            </w:r>
          </w:p>
        </w:tc>
        <w:tc>
          <w:tcPr>
            <w:tcW w:w="567" w:type="dxa"/>
            <w:shd w:val="clear" w:color="auto" w:fill="auto"/>
            <w:vAlign w:val="bottom"/>
          </w:tcPr>
          <w:p w14:paraId="73B5394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125</w:t>
            </w:r>
          </w:p>
        </w:tc>
        <w:tc>
          <w:tcPr>
            <w:tcW w:w="567" w:type="dxa"/>
            <w:shd w:val="clear" w:color="auto" w:fill="auto"/>
            <w:vAlign w:val="bottom"/>
          </w:tcPr>
          <w:p w14:paraId="0A63DBD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122</w:t>
            </w:r>
          </w:p>
        </w:tc>
        <w:tc>
          <w:tcPr>
            <w:tcW w:w="566" w:type="dxa"/>
            <w:shd w:val="clear" w:color="auto" w:fill="auto"/>
            <w:vAlign w:val="bottom"/>
          </w:tcPr>
          <w:p w14:paraId="33F4DE9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160</w:t>
            </w:r>
          </w:p>
        </w:tc>
      </w:tr>
      <w:tr w:rsidR="00C619FA" w:rsidRPr="008253DC" w14:paraId="3A077355" w14:textId="77777777" w:rsidTr="00243B75">
        <w:trPr>
          <w:trHeight w:val="240"/>
        </w:trPr>
        <w:tc>
          <w:tcPr>
            <w:tcW w:w="2552" w:type="dxa"/>
            <w:shd w:val="clear" w:color="auto" w:fill="auto"/>
          </w:tcPr>
          <w:p w14:paraId="62939C80" w14:textId="1C4261C3" w:rsidR="00C619FA" w:rsidRPr="008253DC" w:rsidRDefault="00243B75"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 xml:space="preserve">De </w:t>
            </w:r>
            <w:r w:rsidR="00C619FA" w:rsidRPr="008253DC">
              <w:rPr>
                <w:sz w:val="18"/>
                <w:lang w:val="es-ES_tradnl"/>
              </w:rPr>
              <w:t>40 a 44 años</w:t>
            </w:r>
          </w:p>
        </w:tc>
        <w:tc>
          <w:tcPr>
            <w:tcW w:w="850" w:type="dxa"/>
            <w:shd w:val="clear" w:color="auto" w:fill="auto"/>
            <w:vAlign w:val="bottom"/>
          </w:tcPr>
          <w:p w14:paraId="53E7C25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35</w:t>
            </w:r>
          </w:p>
        </w:tc>
        <w:tc>
          <w:tcPr>
            <w:tcW w:w="567" w:type="dxa"/>
            <w:shd w:val="clear" w:color="auto" w:fill="auto"/>
            <w:vAlign w:val="bottom"/>
          </w:tcPr>
          <w:p w14:paraId="7D17C71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39</w:t>
            </w:r>
          </w:p>
        </w:tc>
        <w:tc>
          <w:tcPr>
            <w:tcW w:w="567" w:type="dxa"/>
            <w:shd w:val="clear" w:color="auto" w:fill="auto"/>
            <w:vAlign w:val="bottom"/>
          </w:tcPr>
          <w:p w14:paraId="143DB9B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50</w:t>
            </w:r>
          </w:p>
        </w:tc>
        <w:tc>
          <w:tcPr>
            <w:tcW w:w="567" w:type="dxa"/>
            <w:shd w:val="clear" w:color="auto" w:fill="auto"/>
            <w:vAlign w:val="bottom"/>
          </w:tcPr>
          <w:p w14:paraId="1F0B4F3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28</w:t>
            </w:r>
          </w:p>
        </w:tc>
        <w:tc>
          <w:tcPr>
            <w:tcW w:w="567" w:type="dxa"/>
            <w:shd w:val="clear" w:color="auto" w:fill="auto"/>
            <w:vAlign w:val="bottom"/>
          </w:tcPr>
          <w:p w14:paraId="0FEADCB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56</w:t>
            </w:r>
          </w:p>
        </w:tc>
        <w:tc>
          <w:tcPr>
            <w:tcW w:w="567" w:type="dxa"/>
            <w:shd w:val="clear" w:color="auto" w:fill="auto"/>
            <w:vAlign w:val="bottom"/>
          </w:tcPr>
          <w:p w14:paraId="4022AD0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55</w:t>
            </w:r>
          </w:p>
        </w:tc>
        <w:tc>
          <w:tcPr>
            <w:tcW w:w="567" w:type="dxa"/>
            <w:shd w:val="clear" w:color="auto" w:fill="auto"/>
            <w:vAlign w:val="bottom"/>
          </w:tcPr>
          <w:p w14:paraId="0D55B1A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65</w:t>
            </w:r>
          </w:p>
        </w:tc>
        <w:tc>
          <w:tcPr>
            <w:tcW w:w="566" w:type="dxa"/>
            <w:shd w:val="clear" w:color="auto" w:fill="auto"/>
            <w:vAlign w:val="bottom"/>
          </w:tcPr>
          <w:p w14:paraId="2B8C222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50</w:t>
            </w:r>
          </w:p>
        </w:tc>
      </w:tr>
      <w:tr w:rsidR="00243B75" w:rsidRPr="008253DC" w14:paraId="12BB50DF" w14:textId="77777777" w:rsidTr="00243B75">
        <w:trPr>
          <w:trHeight w:val="240"/>
        </w:trPr>
        <w:tc>
          <w:tcPr>
            <w:tcW w:w="2552" w:type="dxa"/>
            <w:tcBorders>
              <w:bottom w:val="single" w:sz="4" w:space="0" w:color="auto"/>
            </w:tcBorders>
            <w:shd w:val="clear" w:color="auto" w:fill="auto"/>
          </w:tcPr>
          <w:p w14:paraId="4AE0680F" w14:textId="39AD3A1A" w:rsidR="00C619FA" w:rsidRPr="008253DC" w:rsidRDefault="00243B75"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 xml:space="preserve">De </w:t>
            </w:r>
            <w:r w:rsidR="00C619FA" w:rsidRPr="008253DC">
              <w:rPr>
                <w:sz w:val="18"/>
                <w:lang w:val="es-ES_tradnl"/>
              </w:rPr>
              <w:t>45 y más años de edad</w:t>
            </w:r>
          </w:p>
        </w:tc>
        <w:tc>
          <w:tcPr>
            <w:tcW w:w="850" w:type="dxa"/>
            <w:tcBorders>
              <w:bottom w:val="single" w:sz="4" w:space="0" w:color="auto"/>
            </w:tcBorders>
            <w:shd w:val="clear" w:color="auto" w:fill="auto"/>
            <w:vAlign w:val="bottom"/>
          </w:tcPr>
          <w:p w14:paraId="1E04DBA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w:t>
            </w:r>
          </w:p>
        </w:tc>
        <w:tc>
          <w:tcPr>
            <w:tcW w:w="567" w:type="dxa"/>
            <w:tcBorders>
              <w:bottom w:val="single" w:sz="4" w:space="0" w:color="auto"/>
            </w:tcBorders>
            <w:shd w:val="clear" w:color="auto" w:fill="auto"/>
            <w:vAlign w:val="bottom"/>
          </w:tcPr>
          <w:p w14:paraId="3B6C0F4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w:t>
            </w:r>
          </w:p>
        </w:tc>
        <w:tc>
          <w:tcPr>
            <w:tcW w:w="567" w:type="dxa"/>
            <w:tcBorders>
              <w:bottom w:val="single" w:sz="4" w:space="0" w:color="auto"/>
            </w:tcBorders>
            <w:shd w:val="clear" w:color="auto" w:fill="auto"/>
            <w:vAlign w:val="bottom"/>
          </w:tcPr>
          <w:p w14:paraId="3B920C2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w:t>
            </w:r>
          </w:p>
        </w:tc>
        <w:tc>
          <w:tcPr>
            <w:tcW w:w="567" w:type="dxa"/>
            <w:tcBorders>
              <w:bottom w:val="single" w:sz="4" w:space="0" w:color="auto"/>
            </w:tcBorders>
            <w:shd w:val="clear" w:color="auto" w:fill="auto"/>
            <w:vAlign w:val="bottom"/>
          </w:tcPr>
          <w:p w14:paraId="6CE9F2D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w:t>
            </w:r>
          </w:p>
        </w:tc>
        <w:tc>
          <w:tcPr>
            <w:tcW w:w="567" w:type="dxa"/>
            <w:tcBorders>
              <w:bottom w:val="single" w:sz="4" w:space="0" w:color="auto"/>
            </w:tcBorders>
            <w:shd w:val="clear" w:color="auto" w:fill="auto"/>
            <w:vAlign w:val="bottom"/>
          </w:tcPr>
          <w:p w14:paraId="6615E96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w:t>
            </w:r>
          </w:p>
        </w:tc>
        <w:tc>
          <w:tcPr>
            <w:tcW w:w="567" w:type="dxa"/>
            <w:tcBorders>
              <w:bottom w:val="single" w:sz="4" w:space="0" w:color="auto"/>
            </w:tcBorders>
            <w:shd w:val="clear" w:color="auto" w:fill="auto"/>
            <w:vAlign w:val="bottom"/>
          </w:tcPr>
          <w:p w14:paraId="71A9448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w:t>
            </w:r>
          </w:p>
        </w:tc>
        <w:tc>
          <w:tcPr>
            <w:tcW w:w="567" w:type="dxa"/>
            <w:tcBorders>
              <w:bottom w:val="single" w:sz="4" w:space="0" w:color="auto"/>
            </w:tcBorders>
            <w:shd w:val="clear" w:color="auto" w:fill="auto"/>
            <w:vAlign w:val="bottom"/>
          </w:tcPr>
          <w:p w14:paraId="05B6DCE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w:t>
            </w:r>
          </w:p>
        </w:tc>
        <w:tc>
          <w:tcPr>
            <w:tcW w:w="566" w:type="dxa"/>
            <w:tcBorders>
              <w:bottom w:val="single" w:sz="4" w:space="0" w:color="auto"/>
            </w:tcBorders>
            <w:shd w:val="clear" w:color="auto" w:fill="auto"/>
            <w:vAlign w:val="bottom"/>
          </w:tcPr>
          <w:p w14:paraId="5344D56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w:t>
            </w:r>
          </w:p>
        </w:tc>
      </w:tr>
      <w:tr w:rsidR="00243B75" w:rsidRPr="008253DC" w14:paraId="7450ED82" w14:textId="77777777" w:rsidTr="00243B75">
        <w:trPr>
          <w:trHeight w:val="240"/>
        </w:trPr>
        <w:tc>
          <w:tcPr>
            <w:tcW w:w="2552" w:type="dxa"/>
            <w:tcBorders>
              <w:top w:val="single" w:sz="4" w:space="0" w:color="auto"/>
              <w:bottom w:val="single" w:sz="12" w:space="0" w:color="auto"/>
            </w:tcBorders>
            <w:shd w:val="clear" w:color="auto" w:fill="auto"/>
          </w:tcPr>
          <w:p w14:paraId="371A31EF" w14:textId="77777777" w:rsidR="00C619FA" w:rsidRPr="008253DC" w:rsidRDefault="00C619FA" w:rsidP="00243B75">
            <w:pPr>
              <w:pStyle w:val="SingleTxtG"/>
              <w:tabs>
                <w:tab w:val="clear" w:pos="1701"/>
                <w:tab w:val="clear" w:pos="2268"/>
                <w:tab w:val="clear" w:pos="2835"/>
              </w:tabs>
              <w:spacing w:before="80" w:after="80" w:line="220" w:lineRule="exact"/>
              <w:ind w:left="283" w:right="0"/>
              <w:jc w:val="left"/>
              <w:rPr>
                <w:b/>
                <w:sz w:val="18"/>
                <w:lang w:val="es-ES_tradnl"/>
              </w:rPr>
            </w:pPr>
            <w:r w:rsidRPr="008253DC">
              <w:rPr>
                <w:b/>
                <w:bCs/>
                <w:sz w:val="18"/>
                <w:lang w:val="es-ES_tradnl"/>
              </w:rPr>
              <w:t>Total</w:t>
            </w:r>
          </w:p>
        </w:tc>
        <w:tc>
          <w:tcPr>
            <w:tcW w:w="850" w:type="dxa"/>
            <w:tcBorders>
              <w:top w:val="single" w:sz="4" w:space="0" w:color="auto"/>
              <w:bottom w:val="single" w:sz="12" w:space="0" w:color="auto"/>
            </w:tcBorders>
            <w:shd w:val="clear" w:color="auto" w:fill="auto"/>
            <w:vAlign w:val="bottom"/>
          </w:tcPr>
          <w:p w14:paraId="02FA7D23" w14:textId="77777777" w:rsidR="00C619FA" w:rsidRPr="008253DC" w:rsidRDefault="00C619FA" w:rsidP="00243B75">
            <w:pPr>
              <w:pStyle w:val="SingleTxtG"/>
              <w:tabs>
                <w:tab w:val="clear" w:pos="1701"/>
                <w:tab w:val="clear" w:pos="2268"/>
                <w:tab w:val="clear" w:pos="2835"/>
              </w:tabs>
              <w:spacing w:before="80" w:after="80" w:line="220" w:lineRule="exact"/>
              <w:ind w:left="28" w:right="28"/>
              <w:jc w:val="right"/>
              <w:rPr>
                <w:b/>
                <w:sz w:val="18"/>
                <w:lang w:val="es-ES_tradnl"/>
              </w:rPr>
            </w:pPr>
            <w:r w:rsidRPr="008253DC">
              <w:rPr>
                <w:b/>
                <w:bCs/>
                <w:sz w:val="18"/>
                <w:lang w:val="es-ES_tradnl"/>
              </w:rPr>
              <w:t>970</w:t>
            </w:r>
          </w:p>
        </w:tc>
        <w:tc>
          <w:tcPr>
            <w:tcW w:w="567" w:type="dxa"/>
            <w:tcBorders>
              <w:top w:val="single" w:sz="4" w:space="0" w:color="auto"/>
              <w:bottom w:val="single" w:sz="12" w:space="0" w:color="auto"/>
            </w:tcBorders>
            <w:shd w:val="clear" w:color="auto" w:fill="auto"/>
            <w:vAlign w:val="bottom"/>
          </w:tcPr>
          <w:p w14:paraId="5E9F5CFD" w14:textId="77777777" w:rsidR="00C619FA" w:rsidRPr="008253DC" w:rsidRDefault="00C619FA" w:rsidP="00243B75">
            <w:pPr>
              <w:pStyle w:val="SingleTxtG"/>
              <w:tabs>
                <w:tab w:val="clear" w:pos="1701"/>
                <w:tab w:val="clear" w:pos="2268"/>
                <w:tab w:val="clear" w:pos="2835"/>
              </w:tabs>
              <w:spacing w:before="80" w:after="80" w:line="220" w:lineRule="exact"/>
              <w:ind w:left="28" w:right="28"/>
              <w:jc w:val="right"/>
              <w:rPr>
                <w:b/>
                <w:sz w:val="18"/>
                <w:lang w:val="es-ES_tradnl"/>
              </w:rPr>
            </w:pPr>
            <w:r w:rsidRPr="008253DC">
              <w:rPr>
                <w:b/>
                <w:bCs/>
                <w:sz w:val="18"/>
                <w:lang w:val="es-ES_tradnl"/>
              </w:rPr>
              <w:t>980</w:t>
            </w:r>
          </w:p>
        </w:tc>
        <w:tc>
          <w:tcPr>
            <w:tcW w:w="567" w:type="dxa"/>
            <w:tcBorders>
              <w:top w:val="single" w:sz="4" w:space="0" w:color="auto"/>
              <w:bottom w:val="single" w:sz="12" w:space="0" w:color="auto"/>
            </w:tcBorders>
            <w:shd w:val="clear" w:color="auto" w:fill="auto"/>
            <w:vAlign w:val="bottom"/>
          </w:tcPr>
          <w:p w14:paraId="22BF3560" w14:textId="77777777" w:rsidR="00C619FA" w:rsidRPr="008253DC" w:rsidRDefault="00C619FA" w:rsidP="00243B75">
            <w:pPr>
              <w:pStyle w:val="SingleTxtG"/>
              <w:tabs>
                <w:tab w:val="clear" w:pos="1701"/>
                <w:tab w:val="clear" w:pos="2268"/>
                <w:tab w:val="clear" w:pos="2835"/>
              </w:tabs>
              <w:spacing w:before="80" w:after="80" w:line="220" w:lineRule="exact"/>
              <w:ind w:left="28" w:right="28"/>
              <w:jc w:val="right"/>
              <w:rPr>
                <w:b/>
                <w:sz w:val="18"/>
                <w:lang w:val="es-ES_tradnl"/>
              </w:rPr>
            </w:pPr>
            <w:r w:rsidRPr="008253DC">
              <w:rPr>
                <w:b/>
                <w:bCs/>
                <w:sz w:val="18"/>
                <w:lang w:val="es-ES_tradnl"/>
              </w:rPr>
              <w:t>966</w:t>
            </w:r>
          </w:p>
        </w:tc>
        <w:tc>
          <w:tcPr>
            <w:tcW w:w="567" w:type="dxa"/>
            <w:tcBorders>
              <w:top w:val="single" w:sz="4" w:space="0" w:color="auto"/>
              <w:bottom w:val="single" w:sz="12" w:space="0" w:color="auto"/>
            </w:tcBorders>
            <w:shd w:val="clear" w:color="auto" w:fill="auto"/>
            <w:vAlign w:val="bottom"/>
          </w:tcPr>
          <w:p w14:paraId="1C6F57BA" w14:textId="77777777" w:rsidR="00C619FA" w:rsidRPr="008253DC" w:rsidRDefault="00C619FA" w:rsidP="00243B75">
            <w:pPr>
              <w:pStyle w:val="SingleTxtG"/>
              <w:tabs>
                <w:tab w:val="clear" w:pos="1701"/>
                <w:tab w:val="clear" w:pos="2268"/>
                <w:tab w:val="clear" w:pos="2835"/>
              </w:tabs>
              <w:spacing w:before="80" w:after="80" w:line="220" w:lineRule="exact"/>
              <w:ind w:left="28" w:right="28"/>
              <w:jc w:val="right"/>
              <w:rPr>
                <w:b/>
                <w:sz w:val="18"/>
                <w:lang w:val="es-ES_tradnl"/>
              </w:rPr>
            </w:pPr>
            <w:r w:rsidRPr="008253DC">
              <w:rPr>
                <w:b/>
                <w:bCs/>
                <w:sz w:val="18"/>
                <w:lang w:val="es-ES_tradnl"/>
              </w:rPr>
              <w:t>955</w:t>
            </w:r>
          </w:p>
        </w:tc>
        <w:tc>
          <w:tcPr>
            <w:tcW w:w="567" w:type="dxa"/>
            <w:tcBorders>
              <w:top w:val="single" w:sz="4" w:space="0" w:color="auto"/>
              <w:bottom w:val="single" w:sz="12" w:space="0" w:color="auto"/>
            </w:tcBorders>
            <w:shd w:val="clear" w:color="auto" w:fill="auto"/>
            <w:vAlign w:val="bottom"/>
          </w:tcPr>
          <w:p w14:paraId="768548B8" w14:textId="77777777" w:rsidR="00C619FA" w:rsidRPr="008253DC" w:rsidRDefault="00C619FA" w:rsidP="00243B75">
            <w:pPr>
              <w:pStyle w:val="SingleTxtG"/>
              <w:tabs>
                <w:tab w:val="clear" w:pos="1701"/>
                <w:tab w:val="clear" w:pos="2268"/>
                <w:tab w:val="clear" w:pos="2835"/>
              </w:tabs>
              <w:spacing w:before="80" w:after="80" w:line="220" w:lineRule="exact"/>
              <w:ind w:left="28" w:right="28"/>
              <w:jc w:val="right"/>
              <w:rPr>
                <w:b/>
                <w:sz w:val="18"/>
                <w:lang w:val="es-ES_tradnl"/>
              </w:rPr>
            </w:pPr>
            <w:r w:rsidRPr="008253DC">
              <w:rPr>
                <w:b/>
                <w:bCs/>
                <w:sz w:val="18"/>
                <w:lang w:val="es-ES_tradnl"/>
              </w:rPr>
              <w:t xml:space="preserve">927 </w:t>
            </w:r>
          </w:p>
        </w:tc>
        <w:tc>
          <w:tcPr>
            <w:tcW w:w="567" w:type="dxa"/>
            <w:tcBorders>
              <w:top w:val="single" w:sz="4" w:space="0" w:color="auto"/>
              <w:bottom w:val="single" w:sz="12" w:space="0" w:color="auto"/>
            </w:tcBorders>
            <w:shd w:val="clear" w:color="auto" w:fill="auto"/>
            <w:vAlign w:val="bottom"/>
          </w:tcPr>
          <w:p w14:paraId="7243A5FD" w14:textId="77777777" w:rsidR="00C619FA" w:rsidRPr="008253DC" w:rsidRDefault="00C619FA" w:rsidP="00243B75">
            <w:pPr>
              <w:pStyle w:val="SingleTxtG"/>
              <w:tabs>
                <w:tab w:val="clear" w:pos="1701"/>
                <w:tab w:val="clear" w:pos="2268"/>
                <w:tab w:val="clear" w:pos="2835"/>
              </w:tabs>
              <w:spacing w:before="80" w:after="80" w:line="220" w:lineRule="exact"/>
              <w:ind w:left="28" w:right="28"/>
              <w:jc w:val="right"/>
              <w:rPr>
                <w:b/>
                <w:sz w:val="18"/>
                <w:lang w:val="es-ES_tradnl"/>
              </w:rPr>
            </w:pPr>
            <w:r w:rsidRPr="008253DC">
              <w:rPr>
                <w:b/>
                <w:bCs/>
                <w:sz w:val="18"/>
                <w:lang w:val="es-ES_tradnl"/>
              </w:rPr>
              <w:t>1 021</w:t>
            </w:r>
          </w:p>
        </w:tc>
        <w:tc>
          <w:tcPr>
            <w:tcW w:w="567" w:type="dxa"/>
            <w:tcBorders>
              <w:top w:val="single" w:sz="4" w:space="0" w:color="auto"/>
              <w:bottom w:val="single" w:sz="12" w:space="0" w:color="auto"/>
            </w:tcBorders>
            <w:shd w:val="clear" w:color="auto" w:fill="auto"/>
            <w:vAlign w:val="bottom"/>
          </w:tcPr>
          <w:p w14:paraId="2843D186" w14:textId="77777777" w:rsidR="00C619FA" w:rsidRPr="008253DC" w:rsidRDefault="00C619FA" w:rsidP="00243B75">
            <w:pPr>
              <w:pStyle w:val="SingleTxtG"/>
              <w:tabs>
                <w:tab w:val="clear" w:pos="1701"/>
                <w:tab w:val="clear" w:pos="2268"/>
                <w:tab w:val="clear" w:pos="2835"/>
              </w:tabs>
              <w:spacing w:before="80" w:after="80" w:line="220" w:lineRule="exact"/>
              <w:ind w:left="28" w:right="28"/>
              <w:jc w:val="right"/>
              <w:rPr>
                <w:b/>
                <w:sz w:val="18"/>
                <w:lang w:val="es-ES_tradnl"/>
              </w:rPr>
            </w:pPr>
            <w:r w:rsidRPr="008253DC">
              <w:rPr>
                <w:b/>
                <w:bCs/>
                <w:sz w:val="18"/>
                <w:lang w:val="es-ES_tradnl"/>
              </w:rPr>
              <w:t>1 044</w:t>
            </w:r>
          </w:p>
        </w:tc>
        <w:tc>
          <w:tcPr>
            <w:tcW w:w="566" w:type="dxa"/>
            <w:tcBorders>
              <w:top w:val="single" w:sz="4" w:space="0" w:color="auto"/>
              <w:bottom w:val="single" w:sz="12" w:space="0" w:color="auto"/>
            </w:tcBorders>
            <w:shd w:val="clear" w:color="auto" w:fill="auto"/>
            <w:vAlign w:val="bottom"/>
          </w:tcPr>
          <w:p w14:paraId="4CC9C9D6" w14:textId="77777777" w:rsidR="00C619FA" w:rsidRPr="008253DC" w:rsidRDefault="00C619FA" w:rsidP="00243B75">
            <w:pPr>
              <w:pStyle w:val="SingleTxtG"/>
              <w:tabs>
                <w:tab w:val="clear" w:pos="1701"/>
                <w:tab w:val="clear" w:pos="2268"/>
                <w:tab w:val="clear" w:pos="2835"/>
              </w:tabs>
              <w:spacing w:before="80" w:after="80" w:line="220" w:lineRule="exact"/>
              <w:ind w:left="28" w:right="28"/>
              <w:jc w:val="right"/>
              <w:rPr>
                <w:b/>
                <w:sz w:val="18"/>
                <w:lang w:val="es-ES_tradnl"/>
              </w:rPr>
            </w:pPr>
            <w:r w:rsidRPr="008253DC">
              <w:rPr>
                <w:b/>
                <w:bCs/>
                <w:sz w:val="18"/>
                <w:lang w:val="es-ES_tradnl"/>
              </w:rPr>
              <w:t>1 049</w:t>
            </w:r>
          </w:p>
        </w:tc>
      </w:tr>
    </w:tbl>
    <w:p w14:paraId="5FB47B1A" w14:textId="77777777" w:rsidR="00C619FA" w:rsidRPr="008253DC" w:rsidRDefault="00C619FA" w:rsidP="00243B75">
      <w:pPr>
        <w:pStyle w:val="SingleTxtG"/>
        <w:spacing w:before="240"/>
        <w:rPr>
          <w:lang w:val="es-ES_tradnl"/>
        </w:rPr>
      </w:pPr>
      <w:r w:rsidRPr="008253DC">
        <w:rPr>
          <w:lang w:val="es-ES_tradnl"/>
        </w:rPr>
        <w:t>15.</w:t>
      </w:r>
      <w:r w:rsidRPr="008253DC">
        <w:rPr>
          <w:lang w:val="es-ES_tradnl"/>
        </w:rPr>
        <w:tab/>
        <w:t>Al 31 de diciembre de 2018, se había notificado en el país un total de 427 casos de infección por el VIH, desde que empezara a propagarse la enfermedad en 1983. De estos, se había diagnosticado a 74 pacientes con sida y 39 habían fallecido a consecuencia de la enfermedad. En el cuadro que figura a continuación se indica el número de nuevos casos del VIH, sida, sífilis y blenorragia por año, correspondiente al período 2014-2018.</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866"/>
        <w:gridCol w:w="1121"/>
        <w:gridCol w:w="985"/>
        <w:gridCol w:w="985"/>
        <w:gridCol w:w="985"/>
        <w:gridCol w:w="868"/>
      </w:tblGrid>
      <w:tr w:rsidR="00C619FA" w:rsidRPr="008253DC" w14:paraId="087F32DD" w14:textId="77777777" w:rsidTr="00243B75">
        <w:trPr>
          <w:trHeight w:val="240"/>
          <w:tblHeader/>
        </w:trPr>
        <w:tc>
          <w:tcPr>
            <w:tcW w:w="1560" w:type="dxa"/>
            <w:tcBorders>
              <w:top w:val="single" w:sz="4" w:space="0" w:color="auto"/>
              <w:bottom w:val="single" w:sz="12" w:space="0" w:color="auto"/>
            </w:tcBorders>
            <w:shd w:val="clear" w:color="auto" w:fill="auto"/>
            <w:vAlign w:val="bottom"/>
          </w:tcPr>
          <w:p w14:paraId="29E37D6C" w14:textId="77777777" w:rsidR="00C619FA" w:rsidRPr="008253DC" w:rsidRDefault="00C619FA" w:rsidP="00340CFB">
            <w:pPr>
              <w:pStyle w:val="SingleTxtG"/>
              <w:keepNext/>
              <w:keepLines/>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lastRenderedPageBreak/>
              <w:t>Enfermedad</w:t>
            </w:r>
          </w:p>
        </w:tc>
        <w:tc>
          <w:tcPr>
            <w:tcW w:w="866" w:type="dxa"/>
            <w:tcBorders>
              <w:top w:val="single" w:sz="4" w:space="0" w:color="auto"/>
              <w:bottom w:val="single" w:sz="12" w:space="0" w:color="auto"/>
            </w:tcBorders>
            <w:shd w:val="clear" w:color="auto" w:fill="auto"/>
            <w:vAlign w:val="bottom"/>
          </w:tcPr>
          <w:p w14:paraId="174F5E12" w14:textId="77777777" w:rsidR="00C619FA" w:rsidRPr="008253DC" w:rsidRDefault="00C619FA" w:rsidP="00340CFB">
            <w:pPr>
              <w:pStyle w:val="SingleTxtG"/>
              <w:keepNext/>
              <w:keepLines/>
              <w:tabs>
                <w:tab w:val="clear" w:pos="1701"/>
                <w:tab w:val="clear" w:pos="2268"/>
                <w:tab w:val="clear" w:pos="2835"/>
              </w:tabs>
              <w:spacing w:before="80" w:after="80" w:line="200" w:lineRule="exact"/>
              <w:ind w:left="113" w:right="0"/>
              <w:jc w:val="left"/>
              <w:rPr>
                <w:i/>
                <w:sz w:val="16"/>
                <w:lang w:val="es-ES_tradnl"/>
              </w:rPr>
            </w:pPr>
          </w:p>
        </w:tc>
        <w:tc>
          <w:tcPr>
            <w:tcW w:w="1121" w:type="dxa"/>
            <w:tcBorders>
              <w:top w:val="single" w:sz="4" w:space="0" w:color="auto"/>
              <w:bottom w:val="single" w:sz="12" w:space="0" w:color="auto"/>
            </w:tcBorders>
            <w:shd w:val="clear" w:color="auto" w:fill="auto"/>
            <w:vAlign w:val="bottom"/>
          </w:tcPr>
          <w:p w14:paraId="5AD8971A" w14:textId="77777777" w:rsidR="00C619FA" w:rsidRPr="008253DC" w:rsidRDefault="00C619FA" w:rsidP="00340CFB">
            <w:pPr>
              <w:pStyle w:val="SingleTxtG"/>
              <w:keepNext/>
              <w:keepLines/>
              <w:tabs>
                <w:tab w:val="clear" w:pos="1701"/>
                <w:tab w:val="clear" w:pos="2268"/>
                <w:tab w:val="clear" w:pos="2835"/>
              </w:tabs>
              <w:spacing w:before="80" w:after="80" w:line="200" w:lineRule="exact"/>
              <w:ind w:left="57" w:right="28"/>
              <w:jc w:val="right"/>
              <w:rPr>
                <w:i/>
                <w:sz w:val="16"/>
                <w:lang w:val="es-ES_tradnl"/>
              </w:rPr>
            </w:pPr>
            <w:r w:rsidRPr="008253DC">
              <w:rPr>
                <w:i/>
                <w:iCs/>
                <w:sz w:val="16"/>
                <w:lang w:val="es-ES_tradnl"/>
              </w:rPr>
              <w:t>2014</w:t>
            </w:r>
          </w:p>
        </w:tc>
        <w:tc>
          <w:tcPr>
            <w:tcW w:w="985" w:type="dxa"/>
            <w:tcBorders>
              <w:top w:val="single" w:sz="4" w:space="0" w:color="auto"/>
              <w:bottom w:val="single" w:sz="12" w:space="0" w:color="auto"/>
            </w:tcBorders>
            <w:shd w:val="clear" w:color="auto" w:fill="auto"/>
            <w:vAlign w:val="bottom"/>
          </w:tcPr>
          <w:p w14:paraId="4229B3FC" w14:textId="77777777" w:rsidR="00C619FA" w:rsidRPr="008253DC" w:rsidRDefault="00C619FA" w:rsidP="00340CFB">
            <w:pPr>
              <w:pStyle w:val="SingleTxtG"/>
              <w:keepNext/>
              <w:keepLines/>
              <w:tabs>
                <w:tab w:val="clear" w:pos="1701"/>
                <w:tab w:val="clear" w:pos="2268"/>
                <w:tab w:val="clear" w:pos="2835"/>
              </w:tabs>
              <w:spacing w:before="80" w:after="80" w:line="200" w:lineRule="exact"/>
              <w:ind w:left="57" w:right="28"/>
              <w:jc w:val="right"/>
              <w:rPr>
                <w:i/>
                <w:sz w:val="16"/>
                <w:lang w:val="es-ES_tradnl"/>
              </w:rPr>
            </w:pPr>
            <w:r w:rsidRPr="008253DC">
              <w:rPr>
                <w:i/>
                <w:iCs/>
                <w:sz w:val="16"/>
                <w:lang w:val="es-ES_tradnl"/>
              </w:rPr>
              <w:t>2015</w:t>
            </w:r>
          </w:p>
        </w:tc>
        <w:tc>
          <w:tcPr>
            <w:tcW w:w="985" w:type="dxa"/>
            <w:tcBorders>
              <w:top w:val="single" w:sz="4" w:space="0" w:color="auto"/>
              <w:bottom w:val="single" w:sz="12" w:space="0" w:color="auto"/>
            </w:tcBorders>
            <w:shd w:val="clear" w:color="auto" w:fill="auto"/>
            <w:vAlign w:val="bottom"/>
          </w:tcPr>
          <w:p w14:paraId="54EAA7D5" w14:textId="77777777" w:rsidR="00C619FA" w:rsidRPr="008253DC" w:rsidRDefault="00C619FA" w:rsidP="00340CFB">
            <w:pPr>
              <w:pStyle w:val="SingleTxtG"/>
              <w:keepNext/>
              <w:keepLines/>
              <w:tabs>
                <w:tab w:val="clear" w:pos="1701"/>
                <w:tab w:val="clear" w:pos="2268"/>
                <w:tab w:val="clear" w:pos="2835"/>
              </w:tabs>
              <w:spacing w:before="80" w:after="80" w:line="200" w:lineRule="exact"/>
              <w:ind w:left="57" w:right="28"/>
              <w:jc w:val="right"/>
              <w:rPr>
                <w:i/>
                <w:sz w:val="16"/>
                <w:lang w:val="es-ES_tradnl"/>
              </w:rPr>
            </w:pPr>
            <w:r w:rsidRPr="008253DC">
              <w:rPr>
                <w:i/>
                <w:iCs/>
                <w:sz w:val="16"/>
                <w:lang w:val="es-ES_tradnl"/>
              </w:rPr>
              <w:t>2016</w:t>
            </w:r>
          </w:p>
        </w:tc>
        <w:tc>
          <w:tcPr>
            <w:tcW w:w="985" w:type="dxa"/>
            <w:tcBorders>
              <w:top w:val="single" w:sz="4" w:space="0" w:color="auto"/>
              <w:bottom w:val="single" w:sz="12" w:space="0" w:color="auto"/>
            </w:tcBorders>
            <w:shd w:val="clear" w:color="auto" w:fill="auto"/>
            <w:vAlign w:val="bottom"/>
          </w:tcPr>
          <w:p w14:paraId="493575B0" w14:textId="77777777" w:rsidR="00C619FA" w:rsidRPr="008253DC" w:rsidRDefault="00C619FA" w:rsidP="00340CFB">
            <w:pPr>
              <w:pStyle w:val="SingleTxtG"/>
              <w:keepNext/>
              <w:keepLines/>
              <w:tabs>
                <w:tab w:val="clear" w:pos="1701"/>
                <w:tab w:val="clear" w:pos="2268"/>
                <w:tab w:val="clear" w:pos="2835"/>
              </w:tabs>
              <w:spacing w:before="80" w:after="80" w:line="200" w:lineRule="exact"/>
              <w:ind w:left="57" w:right="28"/>
              <w:jc w:val="right"/>
              <w:rPr>
                <w:i/>
                <w:sz w:val="16"/>
                <w:lang w:val="es-ES_tradnl"/>
              </w:rPr>
            </w:pPr>
            <w:r w:rsidRPr="008253DC">
              <w:rPr>
                <w:i/>
                <w:iCs/>
                <w:sz w:val="16"/>
                <w:lang w:val="es-ES_tradnl"/>
              </w:rPr>
              <w:t>2017</w:t>
            </w:r>
          </w:p>
        </w:tc>
        <w:tc>
          <w:tcPr>
            <w:tcW w:w="868" w:type="dxa"/>
            <w:tcBorders>
              <w:top w:val="single" w:sz="4" w:space="0" w:color="auto"/>
              <w:bottom w:val="single" w:sz="12" w:space="0" w:color="auto"/>
            </w:tcBorders>
            <w:shd w:val="clear" w:color="auto" w:fill="auto"/>
            <w:vAlign w:val="bottom"/>
          </w:tcPr>
          <w:p w14:paraId="22F0BC94" w14:textId="77777777" w:rsidR="00C619FA" w:rsidRPr="008253DC" w:rsidRDefault="00C619FA" w:rsidP="00340CFB">
            <w:pPr>
              <w:pStyle w:val="SingleTxtG"/>
              <w:keepNext/>
              <w:keepLines/>
              <w:tabs>
                <w:tab w:val="clear" w:pos="1701"/>
                <w:tab w:val="clear" w:pos="2268"/>
                <w:tab w:val="clear" w:pos="2835"/>
              </w:tabs>
              <w:spacing w:before="80" w:after="80" w:line="200" w:lineRule="exact"/>
              <w:ind w:left="57" w:right="28"/>
              <w:jc w:val="right"/>
              <w:rPr>
                <w:i/>
                <w:sz w:val="16"/>
                <w:lang w:val="es-ES_tradnl"/>
              </w:rPr>
            </w:pPr>
            <w:r w:rsidRPr="008253DC">
              <w:rPr>
                <w:i/>
                <w:iCs/>
                <w:sz w:val="16"/>
                <w:lang w:val="es-ES_tradnl"/>
              </w:rPr>
              <w:t>2018</w:t>
            </w:r>
          </w:p>
        </w:tc>
      </w:tr>
      <w:tr w:rsidR="00B56791" w:rsidRPr="008253DC" w14:paraId="73F7DB40" w14:textId="77777777" w:rsidTr="00B56791">
        <w:trPr>
          <w:trHeight w:val="240"/>
        </w:trPr>
        <w:tc>
          <w:tcPr>
            <w:tcW w:w="1560" w:type="dxa"/>
            <w:vMerge w:val="restart"/>
            <w:tcBorders>
              <w:top w:val="single" w:sz="12" w:space="0" w:color="auto"/>
            </w:tcBorders>
            <w:shd w:val="clear" w:color="auto" w:fill="auto"/>
            <w:vAlign w:val="center"/>
          </w:tcPr>
          <w:p w14:paraId="12CF0B80" w14:textId="77777777" w:rsidR="00B56791" w:rsidRPr="008253DC" w:rsidRDefault="00B56791" w:rsidP="00340CFB">
            <w:pPr>
              <w:pStyle w:val="SingleTxtG"/>
              <w:keepNext/>
              <w:keepLines/>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VIH</w:t>
            </w:r>
          </w:p>
        </w:tc>
        <w:tc>
          <w:tcPr>
            <w:tcW w:w="866" w:type="dxa"/>
            <w:tcBorders>
              <w:top w:val="single" w:sz="12" w:space="0" w:color="auto"/>
            </w:tcBorders>
            <w:shd w:val="clear" w:color="auto" w:fill="auto"/>
            <w:vAlign w:val="bottom"/>
          </w:tcPr>
          <w:p w14:paraId="2BF8DE5B" w14:textId="77777777" w:rsidR="00B56791" w:rsidRPr="008253DC" w:rsidRDefault="00B56791" w:rsidP="00340CFB">
            <w:pPr>
              <w:pStyle w:val="SingleTxtG"/>
              <w:keepNext/>
              <w:keepLines/>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Hombres</w:t>
            </w:r>
          </w:p>
        </w:tc>
        <w:tc>
          <w:tcPr>
            <w:tcW w:w="1121" w:type="dxa"/>
            <w:tcBorders>
              <w:top w:val="single" w:sz="12" w:space="0" w:color="auto"/>
            </w:tcBorders>
            <w:shd w:val="clear" w:color="auto" w:fill="auto"/>
            <w:vAlign w:val="bottom"/>
          </w:tcPr>
          <w:p w14:paraId="05770D06" w14:textId="77777777" w:rsidR="00B56791" w:rsidRPr="008253DC" w:rsidRDefault="00B56791" w:rsidP="00340CFB">
            <w:pPr>
              <w:pStyle w:val="SingleTxtG"/>
              <w:keepNext/>
              <w:keepLines/>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8</w:t>
            </w:r>
          </w:p>
        </w:tc>
        <w:tc>
          <w:tcPr>
            <w:tcW w:w="985" w:type="dxa"/>
            <w:tcBorders>
              <w:top w:val="single" w:sz="12" w:space="0" w:color="auto"/>
            </w:tcBorders>
            <w:shd w:val="clear" w:color="auto" w:fill="auto"/>
            <w:vAlign w:val="bottom"/>
          </w:tcPr>
          <w:p w14:paraId="433B48FD" w14:textId="77777777" w:rsidR="00B56791" w:rsidRPr="008253DC" w:rsidRDefault="00B56791" w:rsidP="00340CFB">
            <w:pPr>
              <w:pStyle w:val="SingleTxtG"/>
              <w:keepNext/>
              <w:keepLines/>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11</w:t>
            </w:r>
          </w:p>
        </w:tc>
        <w:tc>
          <w:tcPr>
            <w:tcW w:w="985" w:type="dxa"/>
            <w:tcBorders>
              <w:top w:val="single" w:sz="12" w:space="0" w:color="auto"/>
            </w:tcBorders>
            <w:shd w:val="clear" w:color="auto" w:fill="auto"/>
            <w:vAlign w:val="bottom"/>
          </w:tcPr>
          <w:p w14:paraId="546BF963" w14:textId="77777777" w:rsidR="00B56791" w:rsidRPr="008253DC" w:rsidRDefault="00B56791" w:rsidP="00340CFB">
            <w:pPr>
              <w:pStyle w:val="SingleTxtG"/>
              <w:keepNext/>
              <w:keepLines/>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20</w:t>
            </w:r>
          </w:p>
        </w:tc>
        <w:tc>
          <w:tcPr>
            <w:tcW w:w="985" w:type="dxa"/>
            <w:tcBorders>
              <w:top w:val="single" w:sz="12" w:space="0" w:color="auto"/>
            </w:tcBorders>
            <w:shd w:val="clear" w:color="auto" w:fill="auto"/>
            <w:vAlign w:val="bottom"/>
          </w:tcPr>
          <w:p w14:paraId="4D4B1EE2" w14:textId="77777777" w:rsidR="00B56791" w:rsidRPr="008253DC" w:rsidRDefault="00B56791" w:rsidP="00340CFB">
            <w:pPr>
              <w:pStyle w:val="SingleTxtG"/>
              <w:keepNext/>
              <w:keepLines/>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25</w:t>
            </w:r>
          </w:p>
        </w:tc>
        <w:tc>
          <w:tcPr>
            <w:tcW w:w="868" w:type="dxa"/>
            <w:tcBorders>
              <w:top w:val="single" w:sz="12" w:space="0" w:color="auto"/>
            </w:tcBorders>
            <w:shd w:val="clear" w:color="auto" w:fill="auto"/>
            <w:vAlign w:val="bottom"/>
          </w:tcPr>
          <w:p w14:paraId="55ECAEB9" w14:textId="77777777" w:rsidR="00B56791" w:rsidRPr="008253DC" w:rsidRDefault="00B56791" w:rsidP="00340CFB">
            <w:pPr>
              <w:pStyle w:val="SingleTxtG"/>
              <w:keepNext/>
              <w:keepLines/>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25</w:t>
            </w:r>
          </w:p>
        </w:tc>
      </w:tr>
      <w:tr w:rsidR="00B56791" w:rsidRPr="008253DC" w14:paraId="3F7E09C8" w14:textId="77777777" w:rsidTr="00B56791">
        <w:trPr>
          <w:trHeight w:val="240"/>
        </w:trPr>
        <w:tc>
          <w:tcPr>
            <w:tcW w:w="1560" w:type="dxa"/>
            <w:vMerge/>
            <w:shd w:val="clear" w:color="auto" w:fill="auto"/>
            <w:vAlign w:val="center"/>
          </w:tcPr>
          <w:p w14:paraId="06A3239C" w14:textId="77777777" w:rsidR="00B56791" w:rsidRPr="008253DC" w:rsidRDefault="00B56791" w:rsidP="00340CFB">
            <w:pPr>
              <w:pStyle w:val="SingleTxtG"/>
              <w:keepNext/>
              <w:keepLines/>
              <w:tabs>
                <w:tab w:val="clear" w:pos="1701"/>
                <w:tab w:val="clear" w:pos="2268"/>
                <w:tab w:val="clear" w:pos="2835"/>
              </w:tabs>
              <w:spacing w:before="40" w:after="40" w:line="220" w:lineRule="exact"/>
              <w:ind w:left="0" w:right="0"/>
              <w:jc w:val="left"/>
              <w:rPr>
                <w:sz w:val="18"/>
                <w:lang w:val="es-ES_tradnl"/>
              </w:rPr>
            </w:pPr>
          </w:p>
        </w:tc>
        <w:tc>
          <w:tcPr>
            <w:tcW w:w="866" w:type="dxa"/>
            <w:shd w:val="clear" w:color="auto" w:fill="auto"/>
            <w:vAlign w:val="bottom"/>
          </w:tcPr>
          <w:p w14:paraId="3B99C6CD" w14:textId="77777777" w:rsidR="00B56791" w:rsidRPr="008253DC" w:rsidRDefault="00B56791" w:rsidP="00340CFB">
            <w:pPr>
              <w:pStyle w:val="SingleTxtG"/>
              <w:keepNext/>
              <w:keepLines/>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Mujeres</w:t>
            </w:r>
          </w:p>
        </w:tc>
        <w:tc>
          <w:tcPr>
            <w:tcW w:w="1121" w:type="dxa"/>
            <w:shd w:val="clear" w:color="auto" w:fill="auto"/>
            <w:vAlign w:val="bottom"/>
          </w:tcPr>
          <w:p w14:paraId="156C89FB" w14:textId="77777777" w:rsidR="00B56791" w:rsidRPr="008253DC" w:rsidRDefault="00B56791" w:rsidP="00340CFB">
            <w:pPr>
              <w:pStyle w:val="SingleTxtG"/>
              <w:keepNext/>
              <w:keepLines/>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w:t>
            </w:r>
          </w:p>
        </w:tc>
        <w:tc>
          <w:tcPr>
            <w:tcW w:w="985" w:type="dxa"/>
            <w:shd w:val="clear" w:color="auto" w:fill="auto"/>
            <w:vAlign w:val="bottom"/>
          </w:tcPr>
          <w:p w14:paraId="7FF61E0C" w14:textId="77777777" w:rsidR="00B56791" w:rsidRPr="008253DC" w:rsidRDefault="00B56791" w:rsidP="00340CFB">
            <w:pPr>
              <w:pStyle w:val="SingleTxtG"/>
              <w:keepNext/>
              <w:keepLines/>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w:t>
            </w:r>
          </w:p>
        </w:tc>
        <w:tc>
          <w:tcPr>
            <w:tcW w:w="985" w:type="dxa"/>
            <w:shd w:val="clear" w:color="auto" w:fill="auto"/>
            <w:vAlign w:val="bottom"/>
          </w:tcPr>
          <w:p w14:paraId="1FEBB796" w14:textId="77777777" w:rsidR="00B56791" w:rsidRPr="008253DC" w:rsidRDefault="00B56791" w:rsidP="00340CFB">
            <w:pPr>
              <w:pStyle w:val="SingleTxtG"/>
              <w:keepNext/>
              <w:keepLines/>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7</w:t>
            </w:r>
          </w:p>
        </w:tc>
        <w:tc>
          <w:tcPr>
            <w:tcW w:w="985" w:type="dxa"/>
            <w:shd w:val="clear" w:color="auto" w:fill="auto"/>
            <w:vAlign w:val="bottom"/>
          </w:tcPr>
          <w:p w14:paraId="30EEA778" w14:textId="77777777" w:rsidR="00B56791" w:rsidRPr="008253DC" w:rsidRDefault="00B56791" w:rsidP="00340CFB">
            <w:pPr>
              <w:pStyle w:val="SingleTxtG"/>
              <w:keepNext/>
              <w:keepLines/>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w:t>
            </w:r>
          </w:p>
        </w:tc>
        <w:tc>
          <w:tcPr>
            <w:tcW w:w="868" w:type="dxa"/>
            <w:shd w:val="clear" w:color="auto" w:fill="auto"/>
            <w:vAlign w:val="bottom"/>
          </w:tcPr>
          <w:p w14:paraId="4E9B865A" w14:textId="77777777" w:rsidR="00B56791" w:rsidRPr="008253DC" w:rsidRDefault="00B56791" w:rsidP="00340CFB">
            <w:pPr>
              <w:pStyle w:val="SingleTxtG"/>
              <w:keepNext/>
              <w:keepLines/>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13</w:t>
            </w:r>
          </w:p>
        </w:tc>
      </w:tr>
      <w:tr w:rsidR="00B56791" w:rsidRPr="008253DC" w14:paraId="1168BB2C" w14:textId="77777777" w:rsidTr="00B56791">
        <w:trPr>
          <w:trHeight w:val="240"/>
        </w:trPr>
        <w:tc>
          <w:tcPr>
            <w:tcW w:w="1560" w:type="dxa"/>
            <w:vMerge w:val="restart"/>
            <w:shd w:val="clear" w:color="auto" w:fill="auto"/>
            <w:vAlign w:val="center"/>
          </w:tcPr>
          <w:p w14:paraId="614A0463" w14:textId="77777777" w:rsidR="00B56791" w:rsidRPr="008253DC" w:rsidRDefault="00B56791"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Sida</w:t>
            </w:r>
          </w:p>
        </w:tc>
        <w:tc>
          <w:tcPr>
            <w:tcW w:w="866" w:type="dxa"/>
            <w:shd w:val="clear" w:color="auto" w:fill="auto"/>
            <w:vAlign w:val="bottom"/>
          </w:tcPr>
          <w:p w14:paraId="6F9735C9" w14:textId="77777777" w:rsidR="00B56791" w:rsidRPr="008253DC" w:rsidRDefault="00B56791"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Hombres</w:t>
            </w:r>
          </w:p>
        </w:tc>
        <w:tc>
          <w:tcPr>
            <w:tcW w:w="1121" w:type="dxa"/>
            <w:shd w:val="clear" w:color="auto" w:fill="auto"/>
            <w:vAlign w:val="bottom"/>
          </w:tcPr>
          <w:p w14:paraId="16F74879"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0</w:t>
            </w:r>
          </w:p>
        </w:tc>
        <w:tc>
          <w:tcPr>
            <w:tcW w:w="985" w:type="dxa"/>
            <w:shd w:val="clear" w:color="auto" w:fill="auto"/>
            <w:vAlign w:val="bottom"/>
          </w:tcPr>
          <w:p w14:paraId="27A40587"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w:t>
            </w:r>
          </w:p>
        </w:tc>
        <w:tc>
          <w:tcPr>
            <w:tcW w:w="985" w:type="dxa"/>
            <w:shd w:val="clear" w:color="auto" w:fill="auto"/>
            <w:vAlign w:val="bottom"/>
          </w:tcPr>
          <w:p w14:paraId="5A74CF07"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w:t>
            </w:r>
          </w:p>
        </w:tc>
        <w:tc>
          <w:tcPr>
            <w:tcW w:w="985" w:type="dxa"/>
            <w:shd w:val="clear" w:color="auto" w:fill="auto"/>
            <w:vAlign w:val="bottom"/>
          </w:tcPr>
          <w:p w14:paraId="4E372838"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0</w:t>
            </w:r>
          </w:p>
        </w:tc>
        <w:tc>
          <w:tcPr>
            <w:tcW w:w="868" w:type="dxa"/>
            <w:shd w:val="clear" w:color="auto" w:fill="auto"/>
            <w:vAlign w:val="bottom"/>
          </w:tcPr>
          <w:p w14:paraId="350EBCAB"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0</w:t>
            </w:r>
          </w:p>
        </w:tc>
      </w:tr>
      <w:tr w:rsidR="00B56791" w:rsidRPr="008253DC" w14:paraId="78A1D427" w14:textId="77777777" w:rsidTr="00B56791">
        <w:trPr>
          <w:trHeight w:val="240"/>
        </w:trPr>
        <w:tc>
          <w:tcPr>
            <w:tcW w:w="1560" w:type="dxa"/>
            <w:vMerge/>
            <w:shd w:val="clear" w:color="auto" w:fill="auto"/>
            <w:vAlign w:val="center"/>
          </w:tcPr>
          <w:p w14:paraId="79E152A9" w14:textId="77777777" w:rsidR="00B56791" w:rsidRPr="008253DC" w:rsidRDefault="00B56791" w:rsidP="00243B75">
            <w:pPr>
              <w:pStyle w:val="SingleTxtG"/>
              <w:tabs>
                <w:tab w:val="clear" w:pos="1701"/>
                <w:tab w:val="clear" w:pos="2268"/>
                <w:tab w:val="clear" w:pos="2835"/>
              </w:tabs>
              <w:spacing w:before="40" w:after="40" w:line="220" w:lineRule="exact"/>
              <w:ind w:left="0" w:right="0"/>
              <w:jc w:val="left"/>
              <w:rPr>
                <w:sz w:val="18"/>
                <w:lang w:val="es-ES_tradnl"/>
              </w:rPr>
            </w:pPr>
          </w:p>
        </w:tc>
        <w:tc>
          <w:tcPr>
            <w:tcW w:w="866" w:type="dxa"/>
            <w:shd w:val="clear" w:color="auto" w:fill="auto"/>
            <w:vAlign w:val="bottom"/>
          </w:tcPr>
          <w:p w14:paraId="542D08C4" w14:textId="77777777" w:rsidR="00B56791" w:rsidRPr="008253DC" w:rsidRDefault="00B56791"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Mujeres</w:t>
            </w:r>
          </w:p>
        </w:tc>
        <w:tc>
          <w:tcPr>
            <w:tcW w:w="1121" w:type="dxa"/>
            <w:shd w:val="clear" w:color="auto" w:fill="auto"/>
            <w:vAlign w:val="bottom"/>
          </w:tcPr>
          <w:p w14:paraId="5EB62C48"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0</w:t>
            </w:r>
          </w:p>
        </w:tc>
        <w:tc>
          <w:tcPr>
            <w:tcW w:w="985" w:type="dxa"/>
            <w:shd w:val="clear" w:color="auto" w:fill="auto"/>
            <w:vAlign w:val="bottom"/>
          </w:tcPr>
          <w:p w14:paraId="0DCDA146"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0</w:t>
            </w:r>
          </w:p>
        </w:tc>
        <w:tc>
          <w:tcPr>
            <w:tcW w:w="985" w:type="dxa"/>
            <w:shd w:val="clear" w:color="auto" w:fill="auto"/>
            <w:vAlign w:val="bottom"/>
          </w:tcPr>
          <w:p w14:paraId="24B0A91D"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0</w:t>
            </w:r>
          </w:p>
        </w:tc>
        <w:tc>
          <w:tcPr>
            <w:tcW w:w="985" w:type="dxa"/>
            <w:shd w:val="clear" w:color="auto" w:fill="auto"/>
            <w:vAlign w:val="bottom"/>
          </w:tcPr>
          <w:p w14:paraId="2854773B"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0</w:t>
            </w:r>
          </w:p>
        </w:tc>
        <w:tc>
          <w:tcPr>
            <w:tcW w:w="868" w:type="dxa"/>
            <w:shd w:val="clear" w:color="auto" w:fill="auto"/>
            <w:vAlign w:val="bottom"/>
          </w:tcPr>
          <w:p w14:paraId="4B6EE707"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w:t>
            </w:r>
          </w:p>
        </w:tc>
      </w:tr>
      <w:tr w:rsidR="00B56791" w:rsidRPr="008253DC" w14:paraId="46745CA3" w14:textId="77777777" w:rsidTr="00B56791">
        <w:trPr>
          <w:trHeight w:val="240"/>
        </w:trPr>
        <w:tc>
          <w:tcPr>
            <w:tcW w:w="1560" w:type="dxa"/>
            <w:vMerge w:val="restart"/>
            <w:shd w:val="clear" w:color="auto" w:fill="auto"/>
            <w:vAlign w:val="center"/>
          </w:tcPr>
          <w:p w14:paraId="7354C97C" w14:textId="77777777" w:rsidR="00B56791" w:rsidRPr="008253DC" w:rsidRDefault="00B56791"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Sífilis</w:t>
            </w:r>
          </w:p>
        </w:tc>
        <w:tc>
          <w:tcPr>
            <w:tcW w:w="866" w:type="dxa"/>
            <w:shd w:val="clear" w:color="auto" w:fill="auto"/>
            <w:vAlign w:val="bottom"/>
          </w:tcPr>
          <w:p w14:paraId="16C29ADA" w14:textId="77777777" w:rsidR="00B56791" w:rsidRPr="008253DC" w:rsidRDefault="00B56791"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Hombres</w:t>
            </w:r>
          </w:p>
        </w:tc>
        <w:tc>
          <w:tcPr>
            <w:tcW w:w="1121" w:type="dxa"/>
            <w:shd w:val="clear" w:color="auto" w:fill="auto"/>
            <w:vAlign w:val="bottom"/>
          </w:tcPr>
          <w:p w14:paraId="42BB59F6"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18</w:t>
            </w:r>
          </w:p>
        </w:tc>
        <w:tc>
          <w:tcPr>
            <w:tcW w:w="985" w:type="dxa"/>
            <w:shd w:val="clear" w:color="auto" w:fill="auto"/>
            <w:vAlign w:val="bottom"/>
          </w:tcPr>
          <w:p w14:paraId="2877181F"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15</w:t>
            </w:r>
          </w:p>
        </w:tc>
        <w:tc>
          <w:tcPr>
            <w:tcW w:w="985" w:type="dxa"/>
            <w:shd w:val="clear" w:color="auto" w:fill="auto"/>
            <w:vAlign w:val="bottom"/>
          </w:tcPr>
          <w:p w14:paraId="7BE52A5C"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26</w:t>
            </w:r>
          </w:p>
        </w:tc>
        <w:tc>
          <w:tcPr>
            <w:tcW w:w="985" w:type="dxa"/>
            <w:shd w:val="clear" w:color="auto" w:fill="auto"/>
            <w:vAlign w:val="bottom"/>
          </w:tcPr>
          <w:p w14:paraId="2197081B"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w:t>
            </w:r>
          </w:p>
        </w:tc>
        <w:tc>
          <w:tcPr>
            <w:tcW w:w="868" w:type="dxa"/>
            <w:shd w:val="clear" w:color="auto" w:fill="auto"/>
            <w:vAlign w:val="bottom"/>
          </w:tcPr>
          <w:p w14:paraId="3A1EB0E0"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p>
        </w:tc>
      </w:tr>
      <w:tr w:rsidR="00B56791" w:rsidRPr="008253DC" w14:paraId="18329840" w14:textId="77777777" w:rsidTr="00B56791">
        <w:trPr>
          <w:trHeight w:val="240"/>
        </w:trPr>
        <w:tc>
          <w:tcPr>
            <w:tcW w:w="1560" w:type="dxa"/>
            <w:vMerge/>
            <w:shd w:val="clear" w:color="auto" w:fill="auto"/>
            <w:vAlign w:val="center"/>
          </w:tcPr>
          <w:p w14:paraId="7912BC31" w14:textId="77777777" w:rsidR="00B56791" w:rsidRPr="008253DC" w:rsidRDefault="00B56791" w:rsidP="00243B75">
            <w:pPr>
              <w:pStyle w:val="SingleTxtG"/>
              <w:tabs>
                <w:tab w:val="clear" w:pos="1701"/>
                <w:tab w:val="clear" w:pos="2268"/>
                <w:tab w:val="clear" w:pos="2835"/>
              </w:tabs>
              <w:spacing w:before="40" w:after="40" w:line="220" w:lineRule="exact"/>
              <w:ind w:left="0" w:right="0"/>
              <w:jc w:val="left"/>
              <w:rPr>
                <w:sz w:val="18"/>
                <w:lang w:val="es-ES_tradnl"/>
              </w:rPr>
            </w:pPr>
          </w:p>
        </w:tc>
        <w:tc>
          <w:tcPr>
            <w:tcW w:w="866" w:type="dxa"/>
            <w:shd w:val="clear" w:color="auto" w:fill="auto"/>
            <w:vAlign w:val="bottom"/>
          </w:tcPr>
          <w:p w14:paraId="5ECAA1FA" w14:textId="77777777" w:rsidR="00B56791" w:rsidRPr="008253DC" w:rsidRDefault="00B56791"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Mujeres</w:t>
            </w:r>
          </w:p>
        </w:tc>
        <w:tc>
          <w:tcPr>
            <w:tcW w:w="1121" w:type="dxa"/>
            <w:shd w:val="clear" w:color="auto" w:fill="auto"/>
            <w:vAlign w:val="bottom"/>
          </w:tcPr>
          <w:p w14:paraId="1EB4EF87"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w:t>
            </w:r>
          </w:p>
        </w:tc>
        <w:tc>
          <w:tcPr>
            <w:tcW w:w="985" w:type="dxa"/>
            <w:shd w:val="clear" w:color="auto" w:fill="auto"/>
            <w:vAlign w:val="bottom"/>
          </w:tcPr>
          <w:p w14:paraId="1E55E39D"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w:t>
            </w:r>
          </w:p>
        </w:tc>
        <w:tc>
          <w:tcPr>
            <w:tcW w:w="985" w:type="dxa"/>
            <w:shd w:val="clear" w:color="auto" w:fill="auto"/>
            <w:vAlign w:val="bottom"/>
          </w:tcPr>
          <w:p w14:paraId="6009C225"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w:t>
            </w:r>
          </w:p>
        </w:tc>
        <w:tc>
          <w:tcPr>
            <w:tcW w:w="985" w:type="dxa"/>
            <w:shd w:val="clear" w:color="auto" w:fill="auto"/>
            <w:vAlign w:val="bottom"/>
          </w:tcPr>
          <w:p w14:paraId="7169E38C"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w:t>
            </w:r>
          </w:p>
        </w:tc>
        <w:tc>
          <w:tcPr>
            <w:tcW w:w="868" w:type="dxa"/>
            <w:shd w:val="clear" w:color="auto" w:fill="auto"/>
            <w:vAlign w:val="bottom"/>
          </w:tcPr>
          <w:p w14:paraId="064B7776"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p>
        </w:tc>
      </w:tr>
      <w:tr w:rsidR="00B56791" w:rsidRPr="008253DC" w14:paraId="3D8FCE63" w14:textId="77777777" w:rsidTr="00B56791">
        <w:trPr>
          <w:trHeight w:val="240"/>
        </w:trPr>
        <w:tc>
          <w:tcPr>
            <w:tcW w:w="1560" w:type="dxa"/>
            <w:vMerge w:val="restart"/>
            <w:shd w:val="clear" w:color="auto" w:fill="auto"/>
            <w:vAlign w:val="center"/>
          </w:tcPr>
          <w:p w14:paraId="6807936F" w14:textId="77777777" w:rsidR="00B56791" w:rsidRPr="008253DC" w:rsidRDefault="00B56791"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Blenorragia</w:t>
            </w:r>
          </w:p>
        </w:tc>
        <w:tc>
          <w:tcPr>
            <w:tcW w:w="866" w:type="dxa"/>
            <w:shd w:val="clear" w:color="auto" w:fill="auto"/>
            <w:vAlign w:val="bottom"/>
          </w:tcPr>
          <w:p w14:paraId="05AFEE68" w14:textId="77777777" w:rsidR="00B56791" w:rsidRPr="008253DC" w:rsidRDefault="00B56791"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Hombres</w:t>
            </w:r>
          </w:p>
        </w:tc>
        <w:tc>
          <w:tcPr>
            <w:tcW w:w="1121" w:type="dxa"/>
            <w:shd w:val="clear" w:color="auto" w:fill="auto"/>
            <w:vAlign w:val="bottom"/>
          </w:tcPr>
          <w:p w14:paraId="4959C088"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23</w:t>
            </w:r>
          </w:p>
        </w:tc>
        <w:tc>
          <w:tcPr>
            <w:tcW w:w="985" w:type="dxa"/>
            <w:shd w:val="clear" w:color="auto" w:fill="auto"/>
            <w:vAlign w:val="bottom"/>
          </w:tcPr>
          <w:p w14:paraId="133BF674"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37</w:t>
            </w:r>
          </w:p>
        </w:tc>
        <w:tc>
          <w:tcPr>
            <w:tcW w:w="985" w:type="dxa"/>
            <w:shd w:val="clear" w:color="auto" w:fill="auto"/>
            <w:vAlign w:val="bottom"/>
          </w:tcPr>
          <w:p w14:paraId="7E6A79D5"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66</w:t>
            </w:r>
          </w:p>
        </w:tc>
        <w:tc>
          <w:tcPr>
            <w:tcW w:w="985" w:type="dxa"/>
            <w:shd w:val="clear" w:color="auto" w:fill="auto"/>
            <w:vAlign w:val="bottom"/>
          </w:tcPr>
          <w:p w14:paraId="55D0DB56"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w:t>
            </w:r>
          </w:p>
        </w:tc>
        <w:tc>
          <w:tcPr>
            <w:tcW w:w="868" w:type="dxa"/>
            <w:shd w:val="clear" w:color="auto" w:fill="auto"/>
            <w:vAlign w:val="bottom"/>
          </w:tcPr>
          <w:p w14:paraId="487B4EEE"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p>
        </w:tc>
      </w:tr>
      <w:tr w:rsidR="00B56791" w:rsidRPr="008253DC" w14:paraId="1BCC0CBD" w14:textId="77777777" w:rsidTr="00243B75">
        <w:trPr>
          <w:trHeight w:val="240"/>
        </w:trPr>
        <w:tc>
          <w:tcPr>
            <w:tcW w:w="1560" w:type="dxa"/>
            <w:vMerge/>
            <w:tcBorders>
              <w:bottom w:val="single" w:sz="12" w:space="0" w:color="auto"/>
            </w:tcBorders>
            <w:shd w:val="clear" w:color="auto" w:fill="auto"/>
          </w:tcPr>
          <w:p w14:paraId="50ED8235" w14:textId="77777777" w:rsidR="00B56791" w:rsidRPr="008253DC" w:rsidRDefault="00B56791" w:rsidP="00243B75">
            <w:pPr>
              <w:pStyle w:val="SingleTxtG"/>
              <w:tabs>
                <w:tab w:val="clear" w:pos="1701"/>
                <w:tab w:val="clear" w:pos="2268"/>
                <w:tab w:val="clear" w:pos="2835"/>
              </w:tabs>
              <w:spacing w:before="40" w:after="40" w:line="220" w:lineRule="exact"/>
              <w:ind w:left="0" w:right="0"/>
              <w:jc w:val="left"/>
              <w:rPr>
                <w:sz w:val="18"/>
                <w:lang w:val="es-ES_tradnl"/>
              </w:rPr>
            </w:pPr>
          </w:p>
        </w:tc>
        <w:tc>
          <w:tcPr>
            <w:tcW w:w="866" w:type="dxa"/>
            <w:tcBorders>
              <w:bottom w:val="single" w:sz="12" w:space="0" w:color="auto"/>
            </w:tcBorders>
            <w:shd w:val="clear" w:color="auto" w:fill="auto"/>
            <w:vAlign w:val="bottom"/>
          </w:tcPr>
          <w:p w14:paraId="42A907B7" w14:textId="77777777" w:rsidR="00B56791" w:rsidRPr="008253DC" w:rsidRDefault="00B56791"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Mujeres</w:t>
            </w:r>
          </w:p>
        </w:tc>
        <w:tc>
          <w:tcPr>
            <w:tcW w:w="1121" w:type="dxa"/>
            <w:tcBorders>
              <w:bottom w:val="single" w:sz="12" w:space="0" w:color="auto"/>
            </w:tcBorders>
            <w:shd w:val="clear" w:color="auto" w:fill="auto"/>
            <w:vAlign w:val="bottom"/>
          </w:tcPr>
          <w:p w14:paraId="6999D6DD"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12</w:t>
            </w:r>
          </w:p>
        </w:tc>
        <w:tc>
          <w:tcPr>
            <w:tcW w:w="985" w:type="dxa"/>
            <w:tcBorders>
              <w:bottom w:val="single" w:sz="12" w:space="0" w:color="auto"/>
            </w:tcBorders>
            <w:shd w:val="clear" w:color="auto" w:fill="auto"/>
            <w:vAlign w:val="bottom"/>
          </w:tcPr>
          <w:p w14:paraId="4DD4BEE4"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8</w:t>
            </w:r>
          </w:p>
        </w:tc>
        <w:tc>
          <w:tcPr>
            <w:tcW w:w="985" w:type="dxa"/>
            <w:tcBorders>
              <w:bottom w:val="single" w:sz="12" w:space="0" w:color="auto"/>
            </w:tcBorders>
            <w:shd w:val="clear" w:color="auto" w:fill="auto"/>
            <w:vAlign w:val="bottom"/>
          </w:tcPr>
          <w:p w14:paraId="75AC0C2A"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21</w:t>
            </w:r>
          </w:p>
        </w:tc>
        <w:tc>
          <w:tcPr>
            <w:tcW w:w="985" w:type="dxa"/>
            <w:tcBorders>
              <w:bottom w:val="single" w:sz="12" w:space="0" w:color="auto"/>
            </w:tcBorders>
            <w:shd w:val="clear" w:color="auto" w:fill="auto"/>
            <w:vAlign w:val="bottom"/>
          </w:tcPr>
          <w:p w14:paraId="645B9134"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w:t>
            </w:r>
          </w:p>
        </w:tc>
        <w:tc>
          <w:tcPr>
            <w:tcW w:w="868" w:type="dxa"/>
            <w:tcBorders>
              <w:bottom w:val="single" w:sz="12" w:space="0" w:color="auto"/>
            </w:tcBorders>
            <w:shd w:val="clear" w:color="auto" w:fill="auto"/>
            <w:vAlign w:val="bottom"/>
          </w:tcPr>
          <w:p w14:paraId="27DE721A" w14:textId="77777777" w:rsidR="00B56791" w:rsidRPr="008253DC" w:rsidRDefault="00B56791" w:rsidP="00243B75">
            <w:pPr>
              <w:pStyle w:val="SingleTxtG"/>
              <w:tabs>
                <w:tab w:val="clear" w:pos="1701"/>
                <w:tab w:val="clear" w:pos="2268"/>
                <w:tab w:val="clear" w:pos="2835"/>
              </w:tabs>
              <w:spacing w:before="40" w:after="40" w:line="220" w:lineRule="exact"/>
              <w:ind w:left="57" w:right="28"/>
              <w:jc w:val="right"/>
              <w:rPr>
                <w:sz w:val="18"/>
                <w:lang w:val="es-ES_tradnl"/>
              </w:rPr>
            </w:pPr>
          </w:p>
        </w:tc>
      </w:tr>
    </w:tbl>
    <w:p w14:paraId="7E117876" w14:textId="4046C57A" w:rsidR="00C619FA" w:rsidRPr="008253DC" w:rsidRDefault="00C619FA" w:rsidP="0097697B">
      <w:pPr>
        <w:pStyle w:val="SingleTxtG"/>
        <w:spacing w:before="240"/>
        <w:rPr>
          <w:b/>
          <w:i/>
          <w:lang w:val="es-ES_tradnl"/>
        </w:rPr>
      </w:pPr>
      <w:r w:rsidRPr="008253DC">
        <w:rPr>
          <w:i/>
          <w:iCs/>
          <w:lang w:val="es-ES_tradnl"/>
        </w:rPr>
        <w:t>En el cuadro que figura a continuación se indica el número total de nuevos casos de enfermedades transmisibles en Islandia, correspondiente al período 2013-2017</w:t>
      </w:r>
      <w:r w:rsidR="00243B75" w:rsidRPr="008253DC">
        <w:rPr>
          <w:i/>
          <w:iCs/>
          <w:lang w:val="es-ES_tradnl"/>
        </w:rPr>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709"/>
        <w:gridCol w:w="709"/>
        <w:gridCol w:w="709"/>
        <w:gridCol w:w="708"/>
        <w:gridCol w:w="566"/>
      </w:tblGrid>
      <w:tr w:rsidR="00C619FA" w:rsidRPr="008253DC" w14:paraId="255279EF" w14:textId="77777777" w:rsidTr="00243B75">
        <w:trPr>
          <w:trHeight w:val="240"/>
          <w:tblHeader/>
        </w:trPr>
        <w:tc>
          <w:tcPr>
            <w:tcW w:w="3969" w:type="dxa"/>
            <w:tcBorders>
              <w:top w:val="single" w:sz="4" w:space="0" w:color="auto"/>
              <w:bottom w:val="single" w:sz="12" w:space="0" w:color="auto"/>
            </w:tcBorders>
            <w:shd w:val="clear" w:color="auto" w:fill="auto"/>
            <w:vAlign w:val="bottom"/>
          </w:tcPr>
          <w:p w14:paraId="7F4743D8" w14:textId="77777777" w:rsidR="00C619FA" w:rsidRPr="008253DC" w:rsidRDefault="00C619FA" w:rsidP="00243B75">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Enfermedades transmisibles</w:t>
            </w:r>
          </w:p>
        </w:tc>
        <w:tc>
          <w:tcPr>
            <w:tcW w:w="709" w:type="dxa"/>
            <w:tcBorders>
              <w:top w:val="single" w:sz="4" w:space="0" w:color="auto"/>
              <w:bottom w:val="single" w:sz="12" w:space="0" w:color="auto"/>
            </w:tcBorders>
            <w:shd w:val="clear" w:color="auto" w:fill="auto"/>
            <w:vAlign w:val="bottom"/>
          </w:tcPr>
          <w:p w14:paraId="6C02B4C5" w14:textId="77777777" w:rsidR="00C619FA" w:rsidRPr="008253DC" w:rsidRDefault="00C619FA" w:rsidP="00243B75">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2014</w:t>
            </w:r>
          </w:p>
        </w:tc>
        <w:tc>
          <w:tcPr>
            <w:tcW w:w="709" w:type="dxa"/>
            <w:tcBorders>
              <w:top w:val="single" w:sz="4" w:space="0" w:color="auto"/>
              <w:bottom w:val="single" w:sz="12" w:space="0" w:color="auto"/>
            </w:tcBorders>
            <w:shd w:val="clear" w:color="auto" w:fill="auto"/>
            <w:vAlign w:val="bottom"/>
          </w:tcPr>
          <w:p w14:paraId="3EDDDAC9" w14:textId="77777777" w:rsidR="00C619FA" w:rsidRPr="008253DC" w:rsidRDefault="00C619FA" w:rsidP="00243B75">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2015</w:t>
            </w:r>
          </w:p>
        </w:tc>
        <w:tc>
          <w:tcPr>
            <w:tcW w:w="709" w:type="dxa"/>
            <w:tcBorders>
              <w:top w:val="single" w:sz="4" w:space="0" w:color="auto"/>
              <w:bottom w:val="single" w:sz="12" w:space="0" w:color="auto"/>
            </w:tcBorders>
            <w:shd w:val="clear" w:color="auto" w:fill="auto"/>
            <w:vAlign w:val="bottom"/>
          </w:tcPr>
          <w:p w14:paraId="601F162D" w14:textId="77777777" w:rsidR="00C619FA" w:rsidRPr="008253DC" w:rsidRDefault="00C619FA" w:rsidP="00243B75">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2016</w:t>
            </w:r>
          </w:p>
        </w:tc>
        <w:tc>
          <w:tcPr>
            <w:tcW w:w="708" w:type="dxa"/>
            <w:tcBorders>
              <w:top w:val="single" w:sz="4" w:space="0" w:color="auto"/>
              <w:bottom w:val="single" w:sz="12" w:space="0" w:color="auto"/>
            </w:tcBorders>
            <w:shd w:val="clear" w:color="auto" w:fill="auto"/>
            <w:vAlign w:val="bottom"/>
          </w:tcPr>
          <w:p w14:paraId="23A2AF4A" w14:textId="77777777" w:rsidR="00C619FA" w:rsidRPr="008253DC" w:rsidRDefault="00C619FA" w:rsidP="00243B75">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2017</w:t>
            </w:r>
          </w:p>
        </w:tc>
        <w:tc>
          <w:tcPr>
            <w:tcW w:w="566" w:type="dxa"/>
            <w:tcBorders>
              <w:top w:val="single" w:sz="4" w:space="0" w:color="auto"/>
              <w:bottom w:val="single" w:sz="12" w:space="0" w:color="auto"/>
            </w:tcBorders>
            <w:shd w:val="clear" w:color="auto" w:fill="auto"/>
            <w:vAlign w:val="bottom"/>
          </w:tcPr>
          <w:p w14:paraId="332B75C9" w14:textId="77777777" w:rsidR="00C619FA" w:rsidRPr="008253DC" w:rsidRDefault="00C619FA" w:rsidP="00243B75">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2018</w:t>
            </w:r>
          </w:p>
        </w:tc>
      </w:tr>
      <w:tr w:rsidR="00C619FA" w:rsidRPr="008253DC" w14:paraId="5FFF619D" w14:textId="77777777" w:rsidTr="00243B75">
        <w:trPr>
          <w:trHeight w:val="240"/>
        </w:trPr>
        <w:tc>
          <w:tcPr>
            <w:tcW w:w="3969" w:type="dxa"/>
            <w:shd w:val="clear" w:color="auto" w:fill="auto"/>
          </w:tcPr>
          <w:p w14:paraId="1799AD67"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Anisakiasis</w:t>
            </w:r>
          </w:p>
        </w:tc>
        <w:tc>
          <w:tcPr>
            <w:tcW w:w="709" w:type="dxa"/>
            <w:shd w:val="clear" w:color="auto" w:fill="auto"/>
            <w:vAlign w:val="bottom"/>
          </w:tcPr>
          <w:p w14:paraId="7D9DF53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2FD57D6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2C37947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6B480CE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4623A1B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1A58AD69" w14:textId="77777777" w:rsidTr="00243B75">
        <w:trPr>
          <w:trHeight w:val="240"/>
        </w:trPr>
        <w:tc>
          <w:tcPr>
            <w:tcW w:w="3969" w:type="dxa"/>
            <w:shd w:val="clear" w:color="auto" w:fill="auto"/>
          </w:tcPr>
          <w:p w14:paraId="63509B1A"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Cisticercosis</w:t>
            </w:r>
          </w:p>
        </w:tc>
        <w:tc>
          <w:tcPr>
            <w:tcW w:w="709" w:type="dxa"/>
            <w:shd w:val="clear" w:color="auto" w:fill="auto"/>
            <w:vAlign w:val="bottom"/>
          </w:tcPr>
          <w:p w14:paraId="265B10D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p>
        </w:tc>
        <w:tc>
          <w:tcPr>
            <w:tcW w:w="709" w:type="dxa"/>
            <w:shd w:val="clear" w:color="auto" w:fill="auto"/>
            <w:vAlign w:val="bottom"/>
          </w:tcPr>
          <w:p w14:paraId="0EA193C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67AFB97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5B6B31E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p>
        </w:tc>
        <w:tc>
          <w:tcPr>
            <w:tcW w:w="566" w:type="dxa"/>
            <w:shd w:val="clear" w:color="auto" w:fill="auto"/>
            <w:vAlign w:val="bottom"/>
          </w:tcPr>
          <w:p w14:paraId="3A66F1D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2E13436B" w14:textId="77777777" w:rsidTr="00243B75">
        <w:trPr>
          <w:trHeight w:val="240"/>
        </w:trPr>
        <w:tc>
          <w:tcPr>
            <w:tcW w:w="3969" w:type="dxa"/>
            <w:shd w:val="clear" w:color="auto" w:fill="auto"/>
          </w:tcPr>
          <w:p w14:paraId="570142A0"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Difteria</w:t>
            </w:r>
          </w:p>
        </w:tc>
        <w:tc>
          <w:tcPr>
            <w:tcW w:w="709" w:type="dxa"/>
            <w:shd w:val="clear" w:color="auto" w:fill="auto"/>
            <w:vAlign w:val="bottom"/>
          </w:tcPr>
          <w:p w14:paraId="6665D7C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6C13DD7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5123CE7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w:t>
            </w:r>
          </w:p>
        </w:tc>
        <w:tc>
          <w:tcPr>
            <w:tcW w:w="708" w:type="dxa"/>
            <w:shd w:val="clear" w:color="auto" w:fill="auto"/>
            <w:vAlign w:val="bottom"/>
          </w:tcPr>
          <w:p w14:paraId="65B543F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75FE0BB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704FE9F6" w14:textId="77777777" w:rsidTr="00243B75">
        <w:trPr>
          <w:trHeight w:val="240"/>
        </w:trPr>
        <w:tc>
          <w:tcPr>
            <w:tcW w:w="3969" w:type="dxa"/>
            <w:shd w:val="clear" w:color="auto" w:fill="auto"/>
          </w:tcPr>
          <w:p w14:paraId="340E29AD"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Tuberculosis</w:t>
            </w:r>
          </w:p>
        </w:tc>
        <w:tc>
          <w:tcPr>
            <w:tcW w:w="709" w:type="dxa"/>
            <w:shd w:val="clear" w:color="auto" w:fill="auto"/>
            <w:vAlign w:val="bottom"/>
          </w:tcPr>
          <w:p w14:paraId="1E61A87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9</w:t>
            </w:r>
          </w:p>
        </w:tc>
        <w:tc>
          <w:tcPr>
            <w:tcW w:w="709" w:type="dxa"/>
            <w:shd w:val="clear" w:color="auto" w:fill="auto"/>
            <w:vAlign w:val="bottom"/>
          </w:tcPr>
          <w:p w14:paraId="2388B62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8</w:t>
            </w:r>
          </w:p>
        </w:tc>
        <w:tc>
          <w:tcPr>
            <w:tcW w:w="709" w:type="dxa"/>
            <w:shd w:val="clear" w:color="auto" w:fill="auto"/>
            <w:vAlign w:val="bottom"/>
          </w:tcPr>
          <w:p w14:paraId="4EC180C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w:t>
            </w:r>
          </w:p>
        </w:tc>
        <w:tc>
          <w:tcPr>
            <w:tcW w:w="708" w:type="dxa"/>
            <w:shd w:val="clear" w:color="auto" w:fill="auto"/>
            <w:vAlign w:val="bottom"/>
          </w:tcPr>
          <w:p w14:paraId="70759D5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14</w:t>
            </w:r>
          </w:p>
        </w:tc>
        <w:tc>
          <w:tcPr>
            <w:tcW w:w="566" w:type="dxa"/>
            <w:shd w:val="clear" w:color="auto" w:fill="auto"/>
            <w:vAlign w:val="bottom"/>
          </w:tcPr>
          <w:p w14:paraId="6B211C8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8</w:t>
            </w:r>
          </w:p>
        </w:tc>
      </w:tr>
      <w:tr w:rsidR="00C619FA" w:rsidRPr="008253DC" w14:paraId="1BFEB235" w14:textId="77777777" w:rsidTr="00243B75">
        <w:trPr>
          <w:trHeight w:val="240"/>
        </w:trPr>
        <w:tc>
          <w:tcPr>
            <w:tcW w:w="3969" w:type="dxa"/>
            <w:shd w:val="clear" w:color="auto" w:fill="auto"/>
          </w:tcPr>
          <w:p w14:paraId="44CF85DE"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Fiebres hemorrágicas virales</w:t>
            </w:r>
          </w:p>
        </w:tc>
        <w:tc>
          <w:tcPr>
            <w:tcW w:w="709" w:type="dxa"/>
            <w:shd w:val="clear" w:color="auto" w:fill="auto"/>
            <w:vAlign w:val="bottom"/>
          </w:tcPr>
          <w:p w14:paraId="684F671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4932EE9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41F70B4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3D77FA5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3ECB656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w:t>
            </w:r>
          </w:p>
        </w:tc>
      </w:tr>
      <w:tr w:rsidR="00C619FA" w:rsidRPr="008253DC" w14:paraId="0C53610B" w14:textId="77777777" w:rsidTr="00243B75">
        <w:trPr>
          <w:trHeight w:val="240"/>
        </w:trPr>
        <w:tc>
          <w:tcPr>
            <w:tcW w:w="3969" w:type="dxa"/>
            <w:shd w:val="clear" w:color="auto" w:fill="auto"/>
          </w:tcPr>
          <w:p w14:paraId="15076A28"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Viruela</w:t>
            </w:r>
          </w:p>
        </w:tc>
        <w:tc>
          <w:tcPr>
            <w:tcW w:w="709" w:type="dxa"/>
            <w:shd w:val="clear" w:color="auto" w:fill="auto"/>
            <w:vAlign w:val="bottom"/>
          </w:tcPr>
          <w:p w14:paraId="58803E4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4AE1D0A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540F877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72CCBB6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333ED3E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64EB1764" w14:textId="77777777" w:rsidTr="00243B75">
        <w:trPr>
          <w:trHeight w:val="240"/>
        </w:trPr>
        <w:tc>
          <w:tcPr>
            <w:tcW w:w="3969" w:type="dxa"/>
            <w:shd w:val="clear" w:color="auto" w:fill="auto"/>
          </w:tcPr>
          <w:p w14:paraId="75BE9199"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Botulismo</w:t>
            </w:r>
          </w:p>
        </w:tc>
        <w:tc>
          <w:tcPr>
            <w:tcW w:w="709" w:type="dxa"/>
            <w:shd w:val="clear" w:color="auto" w:fill="auto"/>
            <w:vAlign w:val="bottom"/>
          </w:tcPr>
          <w:p w14:paraId="2AE49A0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1EF6241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63D236A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1287916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75E1724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37EC521C" w14:textId="77777777" w:rsidTr="00243B75">
        <w:trPr>
          <w:trHeight w:val="240"/>
        </w:trPr>
        <w:tc>
          <w:tcPr>
            <w:tcW w:w="3969" w:type="dxa"/>
            <w:shd w:val="clear" w:color="auto" w:fill="auto"/>
          </w:tcPr>
          <w:p w14:paraId="29ED3750"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Betalactamasa de espectro ampliado (BLEA)</w:t>
            </w:r>
          </w:p>
        </w:tc>
        <w:tc>
          <w:tcPr>
            <w:tcW w:w="709" w:type="dxa"/>
            <w:shd w:val="clear" w:color="auto" w:fill="auto"/>
            <w:vAlign w:val="bottom"/>
          </w:tcPr>
          <w:p w14:paraId="0C6FC5B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135</w:t>
            </w:r>
          </w:p>
        </w:tc>
        <w:tc>
          <w:tcPr>
            <w:tcW w:w="709" w:type="dxa"/>
            <w:shd w:val="clear" w:color="auto" w:fill="auto"/>
            <w:vAlign w:val="bottom"/>
          </w:tcPr>
          <w:p w14:paraId="36FFD1A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136</w:t>
            </w:r>
          </w:p>
        </w:tc>
        <w:tc>
          <w:tcPr>
            <w:tcW w:w="709" w:type="dxa"/>
            <w:shd w:val="clear" w:color="auto" w:fill="auto"/>
            <w:vAlign w:val="bottom"/>
          </w:tcPr>
          <w:p w14:paraId="0F1B7A1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208</w:t>
            </w:r>
          </w:p>
        </w:tc>
        <w:tc>
          <w:tcPr>
            <w:tcW w:w="708" w:type="dxa"/>
            <w:shd w:val="clear" w:color="auto" w:fill="auto"/>
            <w:vAlign w:val="bottom"/>
          </w:tcPr>
          <w:p w14:paraId="2C26BC1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301</w:t>
            </w:r>
          </w:p>
        </w:tc>
        <w:tc>
          <w:tcPr>
            <w:tcW w:w="566" w:type="dxa"/>
            <w:shd w:val="clear" w:color="auto" w:fill="auto"/>
            <w:vAlign w:val="bottom"/>
          </w:tcPr>
          <w:p w14:paraId="65097C2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389</w:t>
            </w:r>
          </w:p>
        </w:tc>
      </w:tr>
      <w:tr w:rsidR="00C619FA" w:rsidRPr="008253DC" w14:paraId="12E5114A" w14:textId="77777777" w:rsidTr="00243B75">
        <w:trPr>
          <w:trHeight w:val="240"/>
        </w:trPr>
        <w:tc>
          <w:tcPr>
            <w:tcW w:w="3969" w:type="dxa"/>
            <w:shd w:val="clear" w:color="auto" w:fill="auto"/>
          </w:tcPr>
          <w:p w14:paraId="0016DEA2"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SRAS</w:t>
            </w:r>
          </w:p>
        </w:tc>
        <w:tc>
          <w:tcPr>
            <w:tcW w:w="709" w:type="dxa"/>
            <w:shd w:val="clear" w:color="auto" w:fill="auto"/>
            <w:vAlign w:val="bottom"/>
          </w:tcPr>
          <w:p w14:paraId="086793E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08A15DA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3192D6A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6940DC0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78453A9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3B97D065" w14:textId="77777777" w:rsidTr="00243B75">
        <w:trPr>
          <w:trHeight w:val="240"/>
        </w:trPr>
        <w:tc>
          <w:tcPr>
            <w:tcW w:w="3969" w:type="dxa"/>
            <w:shd w:val="clear" w:color="auto" w:fill="auto"/>
          </w:tcPr>
          <w:p w14:paraId="78D50F55"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Nueva variante de la enfermedad de Creutzfeldt-Jakob (CJD)</w:t>
            </w:r>
          </w:p>
        </w:tc>
        <w:tc>
          <w:tcPr>
            <w:tcW w:w="709" w:type="dxa"/>
            <w:shd w:val="clear" w:color="auto" w:fill="auto"/>
            <w:vAlign w:val="bottom"/>
          </w:tcPr>
          <w:p w14:paraId="20BA2CB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21520D4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63D3F10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54D24EA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2320C7A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3B637AA7" w14:textId="77777777" w:rsidTr="00243B75">
        <w:trPr>
          <w:trHeight w:val="240"/>
        </w:trPr>
        <w:tc>
          <w:tcPr>
            <w:tcW w:w="3969" w:type="dxa"/>
            <w:shd w:val="clear" w:color="auto" w:fill="auto"/>
          </w:tcPr>
          <w:p w14:paraId="4A228929"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Infección por Escherichia coli (E. coli) enterohemorrágica</w:t>
            </w:r>
          </w:p>
        </w:tc>
        <w:tc>
          <w:tcPr>
            <w:tcW w:w="709" w:type="dxa"/>
            <w:shd w:val="clear" w:color="auto" w:fill="auto"/>
            <w:vAlign w:val="bottom"/>
          </w:tcPr>
          <w:p w14:paraId="29F4B4E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w:t>
            </w:r>
          </w:p>
        </w:tc>
        <w:tc>
          <w:tcPr>
            <w:tcW w:w="709" w:type="dxa"/>
            <w:shd w:val="clear" w:color="auto" w:fill="auto"/>
            <w:vAlign w:val="bottom"/>
          </w:tcPr>
          <w:p w14:paraId="2BCCAE9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w:t>
            </w:r>
          </w:p>
        </w:tc>
        <w:tc>
          <w:tcPr>
            <w:tcW w:w="709" w:type="dxa"/>
            <w:shd w:val="clear" w:color="auto" w:fill="auto"/>
            <w:vAlign w:val="bottom"/>
          </w:tcPr>
          <w:p w14:paraId="6652212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w:t>
            </w:r>
          </w:p>
        </w:tc>
        <w:tc>
          <w:tcPr>
            <w:tcW w:w="708" w:type="dxa"/>
            <w:shd w:val="clear" w:color="auto" w:fill="auto"/>
            <w:vAlign w:val="bottom"/>
          </w:tcPr>
          <w:p w14:paraId="77CDE61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w:t>
            </w:r>
          </w:p>
        </w:tc>
        <w:tc>
          <w:tcPr>
            <w:tcW w:w="566" w:type="dxa"/>
            <w:shd w:val="clear" w:color="auto" w:fill="auto"/>
            <w:vAlign w:val="bottom"/>
          </w:tcPr>
          <w:p w14:paraId="31022C1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w:t>
            </w:r>
          </w:p>
        </w:tc>
      </w:tr>
      <w:tr w:rsidR="00C619FA" w:rsidRPr="008253DC" w14:paraId="6759165E" w14:textId="77777777" w:rsidTr="00243B75">
        <w:trPr>
          <w:trHeight w:val="240"/>
        </w:trPr>
        <w:tc>
          <w:tcPr>
            <w:tcW w:w="3969" w:type="dxa"/>
            <w:shd w:val="clear" w:color="auto" w:fill="auto"/>
          </w:tcPr>
          <w:p w14:paraId="726526E4"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Giardosis</w:t>
            </w:r>
          </w:p>
        </w:tc>
        <w:tc>
          <w:tcPr>
            <w:tcW w:w="709" w:type="dxa"/>
            <w:shd w:val="clear" w:color="auto" w:fill="auto"/>
            <w:vAlign w:val="bottom"/>
          </w:tcPr>
          <w:p w14:paraId="2D91EAF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23</w:t>
            </w:r>
          </w:p>
        </w:tc>
        <w:tc>
          <w:tcPr>
            <w:tcW w:w="709" w:type="dxa"/>
            <w:shd w:val="clear" w:color="auto" w:fill="auto"/>
            <w:vAlign w:val="bottom"/>
          </w:tcPr>
          <w:p w14:paraId="51EF11F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25</w:t>
            </w:r>
          </w:p>
        </w:tc>
        <w:tc>
          <w:tcPr>
            <w:tcW w:w="709" w:type="dxa"/>
            <w:shd w:val="clear" w:color="auto" w:fill="auto"/>
            <w:vAlign w:val="bottom"/>
          </w:tcPr>
          <w:p w14:paraId="5B91189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19</w:t>
            </w:r>
          </w:p>
        </w:tc>
        <w:tc>
          <w:tcPr>
            <w:tcW w:w="708" w:type="dxa"/>
            <w:shd w:val="clear" w:color="auto" w:fill="auto"/>
            <w:vAlign w:val="bottom"/>
          </w:tcPr>
          <w:p w14:paraId="6868DC8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26</w:t>
            </w:r>
          </w:p>
        </w:tc>
        <w:tc>
          <w:tcPr>
            <w:tcW w:w="566" w:type="dxa"/>
            <w:shd w:val="clear" w:color="auto" w:fill="auto"/>
            <w:vAlign w:val="bottom"/>
          </w:tcPr>
          <w:p w14:paraId="19E0FD1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25</w:t>
            </w:r>
          </w:p>
        </w:tc>
      </w:tr>
      <w:tr w:rsidR="00C619FA" w:rsidRPr="008253DC" w14:paraId="5F5B3ADE" w14:textId="77777777" w:rsidTr="00243B75">
        <w:trPr>
          <w:trHeight w:val="240"/>
        </w:trPr>
        <w:tc>
          <w:tcPr>
            <w:tcW w:w="3969" w:type="dxa"/>
            <w:shd w:val="clear" w:color="auto" w:fill="auto"/>
          </w:tcPr>
          <w:p w14:paraId="5FBBFFE5"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Fiebre amarilla</w:t>
            </w:r>
          </w:p>
        </w:tc>
        <w:tc>
          <w:tcPr>
            <w:tcW w:w="709" w:type="dxa"/>
            <w:shd w:val="clear" w:color="auto" w:fill="auto"/>
            <w:vAlign w:val="bottom"/>
          </w:tcPr>
          <w:p w14:paraId="4A54D5A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33960D6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1E8C6A0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0BCB767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178B8AD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1B3B616E" w14:textId="77777777" w:rsidTr="00243B75">
        <w:trPr>
          <w:trHeight w:val="240"/>
        </w:trPr>
        <w:tc>
          <w:tcPr>
            <w:tcW w:w="3969" w:type="dxa"/>
            <w:shd w:val="clear" w:color="auto" w:fill="auto"/>
          </w:tcPr>
          <w:p w14:paraId="49EE36C8"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 xml:space="preserve">Infección por </w:t>
            </w:r>
            <w:r w:rsidRPr="008253DC">
              <w:rPr>
                <w:iCs/>
                <w:sz w:val="18"/>
                <w:lang w:val="es-ES_tradnl"/>
              </w:rPr>
              <w:t>haeomophilus influenzae</w:t>
            </w:r>
            <w:r w:rsidRPr="008253DC">
              <w:rPr>
                <w:sz w:val="18"/>
                <w:lang w:val="es-ES_tradnl"/>
              </w:rPr>
              <w:t xml:space="preserve"> de tipo B</w:t>
            </w:r>
          </w:p>
        </w:tc>
        <w:tc>
          <w:tcPr>
            <w:tcW w:w="709" w:type="dxa"/>
            <w:shd w:val="clear" w:color="auto" w:fill="auto"/>
            <w:vAlign w:val="bottom"/>
          </w:tcPr>
          <w:p w14:paraId="52B8723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0902A6D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45C7271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0432DAC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2DFE98D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77EF7781" w14:textId="77777777" w:rsidTr="00243B75">
        <w:trPr>
          <w:trHeight w:val="240"/>
        </w:trPr>
        <w:tc>
          <w:tcPr>
            <w:tcW w:w="3969" w:type="dxa"/>
            <w:shd w:val="clear" w:color="auto" w:fill="auto"/>
          </w:tcPr>
          <w:p w14:paraId="50157833"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Parotiditis</w:t>
            </w:r>
          </w:p>
        </w:tc>
        <w:tc>
          <w:tcPr>
            <w:tcW w:w="709" w:type="dxa"/>
            <w:shd w:val="clear" w:color="auto" w:fill="auto"/>
            <w:vAlign w:val="bottom"/>
          </w:tcPr>
          <w:p w14:paraId="62B1220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0</w:t>
            </w:r>
          </w:p>
        </w:tc>
        <w:tc>
          <w:tcPr>
            <w:tcW w:w="709" w:type="dxa"/>
            <w:shd w:val="clear" w:color="auto" w:fill="auto"/>
            <w:vAlign w:val="bottom"/>
          </w:tcPr>
          <w:p w14:paraId="407451A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77</w:t>
            </w:r>
          </w:p>
        </w:tc>
        <w:tc>
          <w:tcPr>
            <w:tcW w:w="709" w:type="dxa"/>
            <w:shd w:val="clear" w:color="auto" w:fill="auto"/>
            <w:vAlign w:val="bottom"/>
          </w:tcPr>
          <w:p w14:paraId="496D099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8</w:t>
            </w:r>
          </w:p>
        </w:tc>
        <w:tc>
          <w:tcPr>
            <w:tcW w:w="708" w:type="dxa"/>
            <w:shd w:val="clear" w:color="auto" w:fill="auto"/>
            <w:vAlign w:val="bottom"/>
          </w:tcPr>
          <w:p w14:paraId="7716FB1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8</w:t>
            </w:r>
          </w:p>
        </w:tc>
        <w:tc>
          <w:tcPr>
            <w:tcW w:w="566" w:type="dxa"/>
            <w:shd w:val="clear" w:color="auto" w:fill="auto"/>
            <w:vAlign w:val="bottom"/>
          </w:tcPr>
          <w:p w14:paraId="47AAA10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w:t>
            </w:r>
          </w:p>
        </w:tc>
      </w:tr>
      <w:tr w:rsidR="00C619FA" w:rsidRPr="008253DC" w14:paraId="1302AB41" w14:textId="77777777" w:rsidTr="00243B75">
        <w:trPr>
          <w:trHeight w:val="240"/>
        </w:trPr>
        <w:tc>
          <w:tcPr>
            <w:tcW w:w="3969" w:type="dxa"/>
            <w:shd w:val="clear" w:color="auto" w:fill="auto"/>
          </w:tcPr>
          <w:p w14:paraId="38C88F64"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Tularemia</w:t>
            </w:r>
          </w:p>
        </w:tc>
        <w:tc>
          <w:tcPr>
            <w:tcW w:w="709" w:type="dxa"/>
            <w:shd w:val="clear" w:color="auto" w:fill="auto"/>
            <w:vAlign w:val="bottom"/>
          </w:tcPr>
          <w:p w14:paraId="0131CF2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6EE53DF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6B8655E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1B99DD4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78CAB15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1899D1E8" w14:textId="77777777" w:rsidTr="00243B75">
        <w:trPr>
          <w:trHeight w:val="240"/>
        </w:trPr>
        <w:tc>
          <w:tcPr>
            <w:tcW w:w="3969" w:type="dxa"/>
            <w:shd w:val="clear" w:color="auto" w:fill="auto"/>
          </w:tcPr>
          <w:p w14:paraId="6870A345"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Infección por el VIH</w:t>
            </w:r>
          </w:p>
        </w:tc>
        <w:tc>
          <w:tcPr>
            <w:tcW w:w="709" w:type="dxa"/>
            <w:shd w:val="clear" w:color="auto" w:fill="auto"/>
            <w:vAlign w:val="bottom"/>
          </w:tcPr>
          <w:p w14:paraId="443472E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11</w:t>
            </w:r>
          </w:p>
        </w:tc>
        <w:tc>
          <w:tcPr>
            <w:tcW w:w="709" w:type="dxa"/>
            <w:shd w:val="clear" w:color="auto" w:fill="auto"/>
            <w:vAlign w:val="bottom"/>
          </w:tcPr>
          <w:p w14:paraId="2B298DF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12</w:t>
            </w:r>
          </w:p>
        </w:tc>
        <w:tc>
          <w:tcPr>
            <w:tcW w:w="709" w:type="dxa"/>
            <w:shd w:val="clear" w:color="auto" w:fill="auto"/>
            <w:vAlign w:val="bottom"/>
          </w:tcPr>
          <w:p w14:paraId="743737F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28</w:t>
            </w:r>
          </w:p>
        </w:tc>
        <w:tc>
          <w:tcPr>
            <w:tcW w:w="708" w:type="dxa"/>
            <w:shd w:val="clear" w:color="auto" w:fill="auto"/>
            <w:vAlign w:val="bottom"/>
          </w:tcPr>
          <w:p w14:paraId="056A90F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28</w:t>
            </w:r>
          </w:p>
        </w:tc>
        <w:tc>
          <w:tcPr>
            <w:tcW w:w="566" w:type="dxa"/>
            <w:shd w:val="clear" w:color="auto" w:fill="auto"/>
            <w:vAlign w:val="bottom"/>
          </w:tcPr>
          <w:p w14:paraId="6447266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38</w:t>
            </w:r>
          </w:p>
        </w:tc>
      </w:tr>
      <w:tr w:rsidR="00C619FA" w:rsidRPr="008253DC" w14:paraId="31341346" w14:textId="77777777" w:rsidTr="00243B75">
        <w:trPr>
          <w:trHeight w:val="240"/>
        </w:trPr>
        <w:tc>
          <w:tcPr>
            <w:tcW w:w="3969" w:type="dxa"/>
            <w:shd w:val="clear" w:color="auto" w:fill="auto"/>
          </w:tcPr>
          <w:p w14:paraId="60166E7F"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Lepra</w:t>
            </w:r>
          </w:p>
        </w:tc>
        <w:tc>
          <w:tcPr>
            <w:tcW w:w="709" w:type="dxa"/>
            <w:shd w:val="clear" w:color="auto" w:fill="auto"/>
            <w:vAlign w:val="bottom"/>
          </w:tcPr>
          <w:p w14:paraId="5799E75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464CA8F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05FB7DC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1C13FD0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45DFAE7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2589ECF0" w14:textId="77777777" w:rsidTr="00243B75">
        <w:trPr>
          <w:trHeight w:val="240"/>
        </w:trPr>
        <w:tc>
          <w:tcPr>
            <w:tcW w:w="3969" w:type="dxa"/>
            <w:shd w:val="clear" w:color="auto" w:fill="auto"/>
          </w:tcPr>
          <w:p w14:paraId="35D41F53"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Fiebre Q</w:t>
            </w:r>
          </w:p>
        </w:tc>
        <w:tc>
          <w:tcPr>
            <w:tcW w:w="709" w:type="dxa"/>
            <w:shd w:val="clear" w:color="auto" w:fill="auto"/>
            <w:vAlign w:val="bottom"/>
          </w:tcPr>
          <w:p w14:paraId="25C2842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32548D3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70B9F73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294D74A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1B8056A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77D892FF" w14:textId="77777777" w:rsidTr="00243B75">
        <w:trPr>
          <w:trHeight w:val="240"/>
        </w:trPr>
        <w:tc>
          <w:tcPr>
            <w:tcW w:w="3969" w:type="dxa"/>
            <w:shd w:val="clear" w:color="auto" w:fill="auto"/>
          </w:tcPr>
          <w:p w14:paraId="37536E9B"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Rabia</w:t>
            </w:r>
          </w:p>
        </w:tc>
        <w:tc>
          <w:tcPr>
            <w:tcW w:w="709" w:type="dxa"/>
            <w:shd w:val="clear" w:color="auto" w:fill="auto"/>
            <w:vAlign w:val="bottom"/>
          </w:tcPr>
          <w:p w14:paraId="16C70BB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6D1982C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06BA426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3292B2C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40E04C3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6AD3DBBF" w14:textId="77777777" w:rsidTr="00243B75">
        <w:trPr>
          <w:trHeight w:val="240"/>
        </w:trPr>
        <w:tc>
          <w:tcPr>
            <w:tcW w:w="3969" w:type="dxa"/>
            <w:shd w:val="clear" w:color="auto" w:fill="auto"/>
          </w:tcPr>
          <w:p w14:paraId="4A8C499B"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Gripe pandémica A (H1N1) (2009)</w:t>
            </w:r>
          </w:p>
        </w:tc>
        <w:tc>
          <w:tcPr>
            <w:tcW w:w="709" w:type="dxa"/>
            <w:shd w:val="clear" w:color="auto" w:fill="auto"/>
            <w:vAlign w:val="bottom"/>
          </w:tcPr>
          <w:p w14:paraId="02F09AA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112</w:t>
            </w:r>
          </w:p>
        </w:tc>
        <w:tc>
          <w:tcPr>
            <w:tcW w:w="709" w:type="dxa"/>
            <w:shd w:val="clear" w:color="auto" w:fill="auto"/>
            <w:vAlign w:val="bottom"/>
          </w:tcPr>
          <w:p w14:paraId="636995E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9</w:t>
            </w:r>
          </w:p>
        </w:tc>
        <w:tc>
          <w:tcPr>
            <w:tcW w:w="709" w:type="dxa"/>
            <w:shd w:val="clear" w:color="auto" w:fill="auto"/>
            <w:vAlign w:val="bottom"/>
          </w:tcPr>
          <w:p w14:paraId="64A81F8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195</w:t>
            </w:r>
          </w:p>
        </w:tc>
        <w:tc>
          <w:tcPr>
            <w:tcW w:w="708" w:type="dxa"/>
            <w:shd w:val="clear" w:color="auto" w:fill="auto"/>
            <w:vAlign w:val="bottom"/>
          </w:tcPr>
          <w:p w14:paraId="20CE446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w:t>
            </w:r>
          </w:p>
        </w:tc>
        <w:tc>
          <w:tcPr>
            <w:tcW w:w="566" w:type="dxa"/>
            <w:shd w:val="clear" w:color="auto" w:fill="auto"/>
            <w:vAlign w:val="bottom"/>
          </w:tcPr>
          <w:p w14:paraId="2422EC6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41</w:t>
            </w:r>
          </w:p>
        </w:tc>
      </w:tr>
      <w:tr w:rsidR="00C619FA" w:rsidRPr="008253DC" w14:paraId="4E07C26C" w14:textId="77777777" w:rsidTr="00243B75">
        <w:trPr>
          <w:trHeight w:val="240"/>
        </w:trPr>
        <w:tc>
          <w:tcPr>
            <w:tcW w:w="3969" w:type="dxa"/>
            <w:shd w:val="clear" w:color="auto" w:fill="auto"/>
          </w:tcPr>
          <w:p w14:paraId="5CA20E4B"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Gripe A(H3)</w:t>
            </w:r>
          </w:p>
        </w:tc>
        <w:tc>
          <w:tcPr>
            <w:tcW w:w="709" w:type="dxa"/>
            <w:shd w:val="clear" w:color="auto" w:fill="auto"/>
            <w:vAlign w:val="bottom"/>
          </w:tcPr>
          <w:p w14:paraId="500B404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17</w:t>
            </w:r>
          </w:p>
        </w:tc>
        <w:tc>
          <w:tcPr>
            <w:tcW w:w="709" w:type="dxa"/>
            <w:shd w:val="clear" w:color="auto" w:fill="auto"/>
            <w:vAlign w:val="bottom"/>
          </w:tcPr>
          <w:p w14:paraId="5AAD558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200</w:t>
            </w:r>
          </w:p>
        </w:tc>
        <w:tc>
          <w:tcPr>
            <w:tcW w:w="709" w:type="dxa"/>
            <w:shd w:val="clear" w:color="auto" w:fill="auto"/>
            <w:vAlign w:val="bottom"/>
          </w:tcPr>
          <w:p w14:paraId="46B8152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72</w:t>
            </w:r>
          </w:p>
        </w:tc>
        <w:tc>
          <w:tcPr>
            <w:tcW w:w="708" w:type="dxa"/>
            <w:shd w:val="clear" w:color="auto" w:fill="auto"/>
            <w:vAlign w:val="bottom"/>
          </w:tcPr>
          <w:p w14:paraId="1F1080F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588</w:t>
            </w:r>
          </w:p>
        </w:tc>
        <w:tc>
          <w:tcPr>
            <w:tcW w:w="566" w:type="dxa"/>
            <w:shd w:val="clear" w:color="auto" w:fill="auto"/>
            <w:vAlign w:val="bottom"/>
          </w:tcPr>
          <w:p w14:paraId="572F561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183</w:t>
            </w:r>
          </w:p>
        </w:tc>
      </w:tr>
      <w:tr w:rsidR="00C619FA" w:rsidRPr="008253DC" w14:paraId="2F92FC5C" w14:textId="77777777" w:rsidTr="00243B75">
        <w:trPr>
          <w:trHeight w:val="240"/>
        </w:trPr>
        <w:tc>
          <w:tcPr>
            <w:tcW w:w="3969" w:type="dxa"/>
            <w:shd w:val="clear" w:color="auto" w:fill="auto"/>
          </w:tcPr>
          <w:p w14:paraId="1ABA76F0"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 xml:space="preserve">Infecciones invasivas provocadas por la </w:t>
            </w:r>
            <w:r w:rsidRPr="008253DC">
              <w:rPr>
                <w:iCs/>
                <w:sz w:val="18"/>
                <w:lang w:val="es-ES_tradnl"/>
              </w:rPr>
              <w:t>Haemophilus influenzae</w:t>
            </w:r>
          </w:p>
        </w:tc>
        <w:tc>
          <w:tcPr>
            <w:tcW w:w="709" w:type="dxa"/>
            <w:shd w:val="clear" w:color="auto" w:fill="auto"/>
            <w:vAlign w:val="bottom"/>
          </w:tcPr>
          <w:p w14:paraId="7E71968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w:t>
            </w:r>
          </w:p>
        </w:tc>
        <w:tc>
          <w:tcPr>
            <w:tcW w:w="709" w:type="dxa"/>
            <w:shd w:val="clear" w:color="auto" w:fill="auto"/>
            <w:vAlign w:val="bottom"/>
          </w:tcPr>
          <w:p w14:paraId="66A87B8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w:t>
            </w:r>
          </w:p>
        </w:tc>
        <w:tc>
          <w:tcPr>
            <w:tcW w:w="709" w:type="dxa"/>
            <w:shd w:val="clear" w:color="auto" w:fill="auto"/>
            <w:vAlign w:val="bottom"/>
          </w:tcPr>
          <w:p w14:paraId="6896E23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12</w:t>
            </w:r>
          </w:p>
        </w:tc>
        <w:tc>
          <w:tcPr>
            <w:tcW w:w="708" w:type="dxa"/>
            <w:shd w:val="clear" w:color="auto" w:fill="auto"/>
            <w:vAlign w:val="bottom"/>
          </w:tcPr>
          <w:p w14:paraId="7F708C4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w:t>
            </w:r>
          </w:p>
        </w:tc>
        <w:tc>
          <w:tcPr>
            <w:tcW w:w="566" w:type="dxa"/>
            <w:shd w:val="clear" w:color="auto" w:fill="auto"/>
            <w:vAlign w:val="bottom"/>
          </w:tcPr>
          <w:p w14:paraId="1BC354A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w:t>
            </w:r>
          </w:p>
        </w:tc>
      </w:tr>
      <w:tr w:rsidR="00C619FA" w:rsidRPr="008253DC" w14:paraId="2F3508D9" w14:textId="77777777" w:rsidTr="00243B75">
        <w:trPr>
          <w:trHeight w:val="240"/>
        </w:trPr>
        <w:tc>
          <w:tcPr>
            <w:tcW w:w="3969" w:type="dxa"/>
            <w:shd w:val="clear" w:color="auto" w:fill="auto"/>
          </w:tcPr>
          <w:p w14:paraId="34E814AA"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Infecciones neumocócicas invasivas</w:t>
            </w:r>
          </w:p>
        </w:tc>
        <w:tc>
          <w:tcPr>
            <w:tcW w:w="709" w:type="dxa"/>
            <w:shd w:val="clear" w:color="auto" w:fill="auto"/>
            <w:vAlign w:val="bottom"/>
          </w:tcPr>
          <w:p w14:paraId="466D7CE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24</w:t>
            </w:r>
          </w:p>
        </w:tc>
        <w:tc>
          <w:tcPr>
            <w:tcW w:w="709" w:type="dxa"/>
            <w:shd w:val="clear" w:color="auto" w:fill="auto"/>
            <w:vAlign w:val="bottom"/>
          </w:tcPr>
          <w:p w14:paraId="715E484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25</w:t>
            </w:r>
          </w:p>
        </w:tc>
        <w:tc>
          <w:tcPr>
            <w:tcW w:w="709" w:type="dxa"/>
            <w:shd w:val="clear" w:color="auto" w:fill="auto"/>
            <w:vAlign w:val="bottom"/>
          </w:tcPr>
          <w:p w14:paraId="490847E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17</w:t>
            </w:r>
          </w:p>
        </w:tc>
        <w:tc>
          <w:tcPr>
            <w:tcW w:w="708" w:type="dxa"/>
            <w:shd w:val="clear" w:color="auto" w:fill="auto"/>
            <w:vAlign w:val="bottom"/>
          </w:tcPr>
          <w:p w14:paraId="5DBC317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17</w:t>
            </w:r>
          </w:p>
        </w:tc>
        <w:tc>
          <w:tcPr>
            <w:tcW w:w="566" w:type="dxa"/>
            <w:shd w:val="clear" w:color="auto" w:fill="auto"/>
            <w:vAlign w:val="bottom"/>
          </w:tcPr>
          <w:p w14:paraId="17C3021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31</w:t>
            </w:r>
          </w:p>
        </w:tc>
      </w:tr>
      <w:tr w:rsidR="00C619FA" w:rsidRPr="008253DC" w14:paraId="097DE024" w14:textId="77777777" w:rsidTr="00243B75">
        <w:trPr>
          <w:trHeight w:val="240"/>
        </w:trPr>
        <w:tc>
          <w:tcPr>
            <w:tcW w:w="3969" w:type="dxa"/>
            <w:shd w:val="clear" w:color="auto" w:fill="auto"/>
          </w:tcPr>
          <w:p w14:paraId="20A13F68"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iCs/>
                <w:sz w:val="18"/>
                <w:lang w:val="es-ES_tradnl"/>
              </w:rPr>
              <w:t>Yersinia enterocolitica</w:t>
            </w:r>
            <w:r w:rsidRPr="008253DC">
              <w:rPr>
                <w:sz w:val="18"/>
                <w:lang w:val="es-ES_tradnl"/>
              </w:rPr>
              <w:t xml:space="preserve">, </w:t>
            </w:r>
            <w:r w:rsidRPr="008253DC">
              <w:rPr>
                <w:iCs/>
                <w:sz w:val="18"/>
                <w:lang w:val="es-ES_tradnl"/>
              </w:rPr>
              <w:t>yersinia pseudotuberculosis</w:t>
            </w:r>
          </w:p>
        </w:tc>
        <w:tc>
          <w:tcPr>
            <w:tcW w:w="709" w:type="dxa"/>
            <w:shd w:val="clear" w:color="auto" w:fill="auto"/>
            <w:vAlign w:val="bottom"/>
          </w:tcPr>
          <w:p w14:paraId="650A32B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w:t>
            </w:r>
          </w:p>
        </w:tc>
        <w:tc>
          <w:tcPr>
            <w:tcW w:w="709" w:type="dxa"/>
            <w:shd w:val="clear" w:color="auto" w:fill="auto"/>
            <w:vAlign w:val="bottom"/>
          </w:tcPr>
          <w:p w14:paraId="5347E68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w:t>
            </w:r>
          </w:p>
        </w:tc>
        <w:tc>
          <w:tcPr>
            <w:tcW w:w="709" w:type="dxa"/>
            <w:shd w:val="clear" w:color="auto" w:fill="auto"/>
            <w:vAlign w:val="bottom"/>
          </w:tcPr>
          <w:p w14:paraId="0863994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w:t>
            </w:r>
          </w:p>
        </w:tc>
        <w:tc>
          <w:tcPr>
            <w:tcW w:w="708" w:type="dxa"/>
            <w:shd w:val="clear" w:color="auto" w:fill="auto"/>
            <w:vAlign w:val="bottom"/>
          </w:tcPr>
          <w:p w14:paraId="6FFC9A5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48B9585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w:t>
            </w:r>
          </w:p>
        </w:tc>
      </w:tr>
      <w:tr w:rsidR="00C619FA" w:rsidRPr="008253DC" w14:paraId="56B0CBAB" w14:textId="77777777" w:rsidTr="00243B75">
        <w:trPr>
          <w:trHeight w:val="240"/>
        </w:trPr>
        <w:tc>
          <w:tcPr>
            <w:tcW w:w="3969" w:type="dxa"/>
            <w:shd w:val="clear" w:color="auto" w:fill="auto"/>
          </w:tcPr>
          <w:p w14:paraId="3D0C67D8"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Campilobacteriosis</w:t>
            </w:r>
          </w:p>
        </w:tc>
        <w:tc>
          <w:tcPr>
            <w:tcW w:w="709" w:type="dxa"/>
            <w:shd w:val="clear" w:color="auto" w:fill="auto"/>
            <w:vAlign w:val="bottom"/>
          </w:tcPr>
          <w:p w14:paraId="1FF8AE1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143</w:t>
            </w:r>
          </w:p>
        </w:tc>
        <w:tc>
          <w:tcPr>
            <w:tcW w:w="709" w:type="dxa"/>
            <w:shd w:val="clear" w:color="auto" w:fill="auto"/>
            <w:vAlign w:val="bottom"/>
          </w:tcPr>
          <w:p w14:paraId="223BCCC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119</w:t>
            </w:r>
          </w:p>
        </w:tc>
        <w:tc>
          <w:tcPr>
            <w:tcW w:w="709" w:type="dxa"/>
            <w:shd w:val="clear" w:color="auto" w:fill="auto"/>
            <w:vAlign w:val="bottom"/>
          </w:tcPr>
          <w:p w14:paraId="6B2AA92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127</w:t>
            </w:r>
          </w:p>
        </w:tc>
        <w:tc>
          <w:tcPr>
            <w:tcW w:w="708" w:type="dxa"/>
            <w:shd w:val="clear" w:color="auto" w:fill="auto"/>
            <w:vAlign w:val="bottom"/>
          </w:tcPr>
          <w:p w14:paraId="5EA8415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119</w:t>
            </w:r>
          </w:p>
        </w:tc>
        <w:tc>
          <w:tcPr>
            <w:tcW w:w="566" w:type="dxa"/>
            <w:shd w:val="clear" w:color="auto" w:fill="auto"/>
            <w:vAlign w:val="bottom"/>
          </w:tcPr>
          <w:p w14:paraId="77DF905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145</w:t>
            </w:r>
          </w:p>
        </w:tc>
      </w:tr>
      <w:tr w:rsidR="00C619FA" w:rsidRPr="008253DC" w14:paraId="7EB48991" w14:textId="77777777" w:rsidTr="00243B75">
        <w:trPr>
          <w:trHeight w:val="240"/>
        </w:trPr>
        <w:tc>
          <w:tcPr>
            <w:tcW w:w="3969" w:type="dxa"/>
            <w:shd w:val="clear" w:color="auto" w:fill="auto"/>
          </w:tcPr>
          <w:p w14:paraId="5782415A"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Tos ferina</w:t>
            </w:r>
          </w:p>
        </w:tc>
        <w:tc>
          <w:tcPr>
            <w:tcW w:w="709" w:type="dxa"/>
            <w:shd w:val="clear" w:color="auto" w:fill="auto"/>
            <w:vAlign w:val="bottom"/>
          </w:tcPr>
          <w:p w14:paraId="3B11F88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w:t>
            </w:r>
          </w:p>
        </w:tc>
        <w:tc>
          <w:tcPr>
            <w:tcW w:w="709" w:type="dxa"/>
            <w:shd w:val="clear" w:color="auto" w:fill="auto"/>
            <w:vAlign w:val="bottom"/>
          </w:tcPr>
          <w:p w14:paraId="3B7937C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w:t>
            </w:r>
          </w:p>
        </w:tc>
        <w:tc>
          <w:tcPr>
            <w:tcW w:w="709" w:type="dxa"/>
            <w:shd w:val="clear" w:color="auto" w:fill="auto"/>
            <w:vAlign w:val="bottom"/>
          </w:tcPr>
          <w:p w14:paraId="345D9F1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14</w:t>
            </w:r>
          </w:p>
        </w:tc>
        <w:tc>
          <w:tcPr>
            <w:tcW w:w="708" w:type="dxa"/>
            <w:shd w:val="clear" w:color="auto" w:fill="auto"/>
            <w:vAlign w:val="bottom"/>
          </w:tcPr>
          <w:p w14:paraId="06AE02D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19</w:t>
            </w:r>
          </w:p>
        </w:tc>
        <w:tc>
          <w:tcPr>
            <w:tcW w:w="566" w:type="dxa"/>
            <w:shd w:val="clear" w:color="auto" w:fill="auto"/>
            <w:vAlign w:val="bottom"/>
          </w:tcPr>
          <w:p w14:paraId="5CB09E4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15</w:t>
            </w:r>
          </w:p>
        </w:tc>
      </w:tr>
      <w:tr w:rsidR="00C619FA" w:rsidRPr="008253DC" w14:paraId="6B0CC17E" w14:textId="77777777" w:rsidTr="00243B75">
        <w:trPr>
          <w:trHeight w:val="240"/>
        </w:trPr>
        <w:tc>
          <w:tcPr>
            <w:tcW w:w="3969" w:type="dxa"/>
            <w:shd w:val="clear" w:color="auto" w:fill="auto"/>
          </w:tcPr>
          <w:p w14:paraId="6F0E6AF8"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iCs/>
                <w:sz w:val="18"/>
                <w:lang w:val="es-ES_tradnl"/>
              </w:rPr>
              <w:t>Chlamydia trachomatis</w:t>
            </w:r>
          </w:p>
        </w:tc>
        <w:tc>
          <w:tcPr>
            <w:tcW w:w="709" w:type="dxa"/>
            <w:shd w:val="clear" w:color="auto" w:fill="auto"/>
            <w:vAlign w:val="bottom"/>
          </w:tcPr>
          <w:p w14:paraId="172AB07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1 723</w:t>
            </w:r>
          </w:p>
        </w:tc>
        <w:tc>
          <w:tcPr>
            <w:tcW w:w="709" w:type="dxa"/>
            <w:shd w:val="clear" w:color="auto" w:fill="auto"/>
            <w:vAlign w:val="bottom"/>
          </w:tcPr>
          <w:p w14:paraId="5BC1AA1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1 989</w:t>
            </w:r>
          </w:p>
        </w:tc>
        <w:tc>
          <w:tcPr>
            <w:tcW w:w="709" w:type="dxa"/>
            <w:shd w:val="clear" w:color="auto" w:fill="auto"/>
            <w:vAlign w:val="bottom"/>
          </w:tcPr>
          <w:p w14:paraId="2FA7FA4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1 965</w:t>
            </w:r>
          </w:p>
        </w:tc>
        <w:tc>
          <w:tcPr>
            <w:tcW w:w="708" w:type="dxa"/>
            <w:shd w:val="clear" w:color="auto" w:fill="auto"/>
            <w:vAlign w:val="bottom"/>
          </w:tcPr>
          <w:p w14:paraId="5A39EE5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2 204</w:t>
            </w:r>
          </w:p>
        </w:tc>
        <w:tc>
          <w:tcPr>
            <w:tcW w:w="566" w:type="dxa"/>
            <w:shd w:val="clear" w:color="auto" w:fill="auto"/>
            <w:vAlign w:val="bottom"/>
          </w:tcPr>
          <w:p w14:paraId="7B78F99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1 848</w:t>
            </w:r>
          </w:p>
        </w:tc>
      </w:tr>
      <w:tr w:rsidR="00C619FA" w:rsidRPr="008253DC" w14:paraId="6AD120C1" w14:textId="77777777" w:rsidTr="00243B75">
        <w:trPr>
          <w:trHeight w:val="240"/>
        </w:trPr>
        <w:tc>
          <w:tcPr>
            <w:tcW w:w="3969" w:type="dxa"/>
            <w:shd w:val="clear" w:color="auto" w:fill="auto"/>
          </w:tcPr>
          <w:p w14:paraId="6367E74C"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Cólera</w:t>
            </w:r>
          </w:p>
        </w:tc>
        <w:tc>
          <w:tcPr>
            <w:tcW w:w="709" w:type="dxa"/>
            <w:shd w:val="clear" w:color="auto" w:fill="auto"/>
            <w:vAlign w:val="bottom"/>
          </w:tcPr>
          <w:p w14:paraId="2421377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29587B9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4289F04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40D4866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3434DB6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4FF52291" w14:textId="77777777" w:rsidTr="00243B75">
        <w:trPr>
          <w:trHeight w:val="240"/>
        </w:trPr>
        <w:tc>
          <w:tcPr>
            <w:tcW w:w="3969" w:type="dxa"/>
            <w:shd w:val="clear" w:color="auto" w:fill="auto"/>
          </w:tcPr>
          <w:p w14:paraId="73E28A5D"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Criptosporidiosis</w:t>
            </w:r>
          </w:p>
        </w:tc>
        <w:tc>
          <w:tcPr>
            <w:tcW w:w="709" w:type="dxa"/>
            <w:shd w:val="clear" w:color="auto" w:fill="auto"/>
            <w:vAlign w:val="bottom"/>
          </w:tcPr>
          <w:p w14:paraId="54E3148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w:t>
            </w:r>
          </w:p>
        </w:tc>
        <w:tc>
          <w:tcPr>
            <w:tcW w:w="709" w:type="dxa"/>
            <w:shd w:val="clear" w:color="auto" w:fill="auto"/>
            <w:vAlign w:val="bottom"/>
          </w:tcPr>
          <w:p w14:paraId="2697A44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12</w:t>
            </w:r>
          </w:p>
        </w:tc>
        <w:tc>
          <w:tcPr>
            <w:tcW w:w="709" w:type="dxa"/>
            <w:shd w:val="clear" w:color="auto" w:fill="auto"/>
            <w:vAlign w:val="bottom"/>
          </w:tcPr>
          <w:p w14:paraId="228565A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w:t>
            </w:r>
          </w:p>
        </w:tc>
        <w:tc>
          <w:tcPr>
            <w:tcW w:w="708" w:type="dxa"/>
            <w:shd w:val="clear" w:color="auto" w:fill="auto"/>
            <w:vAlign w:val="bottom"/>
          </w:tcPr>
          <w:p w14:paraId="729A4E5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11</w:t>
            </w:r>
          </w:p>
        </w:tc>
        <w:tc>
          <w:tcPr>
            <w:tcW w:w="566" w:type="dxa"/>
            <w:shd w:val="clear" w:color="auto" w:fill="auto"/>
            <w:vAlign w:val="bottom"/>
          </w:tcPr>
          <w:p w14:paraId="24BBB40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18</w:t>
            </w:r>
          </w:p>
        </w:tc>
      </w:tr>
      <w:tr w:rsidR="00C619FA" w:rsidRPr="008253DC" w14:paraId="375F78C6" w14:textId="77777777" w:rsidTr="00243B75">
        <w:trPr>
          <w:trHeight w:val="240"/>
        </w:trPr>
        <w:tc>
          <w:tcPr>
            <w:tcW w:w="3969" w:type="dxa"/>
            <w:shd w:val="clear" w:color="auto" w:fill="auto"/>
          </w:tcPr>
          <w:p w14:paraId="0A3BE1DB"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Legionelosis</w:t>
            </w:r>
          </w:p>
        </w:tc>
        <w:tc>
          <w:tcPr>
            <w:tcW w:w="709" w:type="dxa"/>
            <w:shd w:val="clear" w:color="auto" w:fill="auto"/>
            <w:vAlign w:val="bottom"/>
          </w:tcPr>
          <w:p w14:paraId="3654457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w:t>
            </w:r>
          </w:p>
        </w:tc>
        <w:tc>
          <w:tcPr>
            <w:tcW w:w="709" w:type="dxa"/>
            <w:shd w:val="clear" w:color="auto" w:fill="auto"/>
            <w:vAlign w:val="bottom"/>
          </w:tcPr>
          <w:p w14:paraId="59FA5EF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w:t>
            </w:r>
          </w:p>
        </w:tc>
        <w:tc>
          <w:tcPr>
            <w:tcW w:w="709" w:type="dxa"/>
            <w:shd w:val="clear" w:color="auto" w:fill="auto"/>
            <w:vAlign w:val="bottom"/>
          </w:tcPr>
          <w:p w14:paraId="751B11E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w:t>
            </w:r>
          </w:p>
        </w:tc>
        <w:tc>
          <w:tcPr>
            <w:tcW w:w="708" w:type="dxa"/>
            <w:shd w:val="clear" w:color="auto" w:fill="auto"/>
            <w:vAlign w:val="bottom"/>
          </w:tcPr>
          <w:p w14:paraId="2A8AF71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w:t>
            </w:r>
          </w:p>
        </w:tc>
        <w:tc>
          <w:tcPr>
            <w:tcW w:w="566" w:type="dxa"/>
            <w:shd w:val="clear" w:color="auto" w:fill="auto"/>
            <w:vAlign w:val="bottom"/>
          </w:tcPr>
          <w:p w14:paraId="30368A2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w:t>
            </w:r>
          </w:p>
        </w:tc>
      </w:tr>
      <w:tr w:rsidR="00C619FA" w:rsidRPr="008253DC" w14:paraId="3ECA9179" w14:textId="77777777" w:rsidTr="00243B75">
        <w:trPr>
          <w:trHeight w:val="240"/>
        </w:trPr>
        <w:tc>
          <w:tcPr>
            <w:tcW w:w="3969" w:type="dxa"/>
            <w:shd w:val="clear" w:color="auto" w:fill="auto"/>
          </w:tcPr>
          <w:p w14:paraId="64A92602"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lastRenderedPageBreak/>
              <w:t>Blenorragia</w:t>
            </w:r>
          </w:p>
        </w:tc>
        <w:tc>
          <w:tcPr>
            <w:tcW w:w="709" w:type="dxa"/>
            <w:shd w:val="clear" w:color="auto" w:fill="auto"/>
            <w:vAlign w:val="bottom"/>
          </w:tcPr>
          <w:p w14:paraId="4824120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38</w:t>
            </w:r>
          </w:p>
        </w:tc>
        <w:tc>
          <w:tcPr>
            <w:tcW w:w="709" w:type="dxa"/>
            <w:shd w:val="clear" w:color="auto" w:fill="auto"/>
            <w:vAlign w:val="bottom"/>
          </w:tcPr>
          <w:p w14:paraId="2AD3DD8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46</w:t>
            </w:r>
          </w:p>
        </w:tc>
        <w:tc>
          <w:tcPr>
            <w:tcW w:w="709" w:type="dxa"/>
            <w:shd w:val="clear" w:color="auto" w:fill="auto"/>
            <w:vAlign w:val="bottom"/>
          </w:tcPr>
          <w:p w14:paraId="1CE62EC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89</w:t>
            </w:r>
          </w:p>
        </w:tc>
        <w:tc>
          <w:tcPr>
            <w:tcW w:w="708" w:type="dxa"/>
            <w:shd w:val="clear" w:color="auto" w:fill="auto"/>
            <w:vAlign w:val="bottom"/>
          </w:tcPr>
          <w:p w14:paraId="459C6A1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100</w:t>
            </w:r>
          </w:p>
        </w:tc>
        <w:tc>
          <w:tcPr>
            <w:tcW w:w="566" w:type="dxa"/>
            <w:shd w:val="clear" w:color="auto" w:fill="auto"/>
            <w:vAlign w:val="bottom"/>
          </w:tcPr>
          <w:p w14:paraId="1C9FF01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105</w:t>
            </w:r>
          </w:p>
        </w:tc>
      </w:tr>
      <w:tr w:rsidR="00C619FA" w:rsidRPr="008253DC" w14:paraId="63E47909" w14:textId="77777777" w:rsidTr="00243B75">
        <w:trPr>
          <w:trHeight w:val="240"/>
        </w:trPr>
        <w:tc>
          <w:tcPr>
            <w:tcW w:w="3969" w:type="dxa"/>
            <w:shd w:val="clear" w:color="auto" w:fill="auto"/>
          </w:tcPr>
          <w:p w14:paraId="7C3BB71B"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Leptospirosis</w:t>
            </w:r>
          </w:p>
        </w:tc>
        <w:tc>
          <w:tcPr>
            <w:tcW w:w="709" w:type="dxa"/>
            <w:shd w:val="clear" w:color="auto" w:fill="auto"/>
            <w:vAlign w:val="bottom"/>
          </w:tcPr>
          <w:p w14:paraId="19EC731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1F07B23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054D9E3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0DBA4A9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3ECD453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7747476F" w14:textId="77777777" w:rsidTr="00243B75">
        <w:trPr>
          <w:trHeight w:val="240"/>
        </w:trPr>
        <w:tc>
          <w:tcPr>
            <w:tcW w:w="3969" w:type="dxa"/>
            <w:shd w:val="clear" w:color="auto" w:fill="auto"/>
          </w:tcPr>
          <w:p w14:paraId="4F04415C"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Hepatitis A</w:t>
            </w:r>
          </w:p>
        </w:tc>
        <w:tc>
          <w:tcPr>
            <w:tcW w:w="709" w:type="dxa"/>
            <w:shd w:val="clear" w:color="auto" w:fill="auto"/>
            <w:vAlign w:val="bottom"/>
          </w:tcPr>
          <w:p w14:paraId="714C404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154A1C0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572178A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3A1D94A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w:t>
            </w:r>
          </w:p>
        </w:tc>
        <w:tc>
          <w:tcPr>
            <w:tcW w:w="566" w:type="dxa"/>
            <w:shd w:val="clear" w:color="auto" w:fill="auto"/>
            <w:vAlign w:val="bottom"/>
          </w:tcPr>
          <w:p w14:paraId="1BDC8E2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w:t>
            </w:r>
          </w:p>
        </w:tc>
      </w:tr>
      <w:tr w:rsidR="00C619FA" w:rsidRPr="008253DC" w14:paraId="68571739" w14:textId="77777777" w:rsidTr="00243B75">
        <w:trPr>
          <w:trHeight w:val="240"/>
        </w:trPr>
        <w:tc>
          <w:tcPr>
            <w:tcW w:w="3969" w:type="dxa"/>
            <w:shd w:val="clear" w:color="auto" w:fill="auto"/>
          </w:tcPr>
          <w:p w14:paraId="048C6D88"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Hepatitis B (aguda, crónica)</w:t>
            </w:r>
          </w:p>
        </w:tc>
        <w:tc>
          <w:tcPr>
            <w:tcW w:w="709" w:type="dxa"/>
            <w:shd w:val="clear" w:color="auto" w:fill="auto"/>
            <w:vAlign w:val="bottom"/>
          </w:tcPr>
          <w:p w14:paraId="1A52A5C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29</w:t>
            </w:r>
          </w:p>
        </w:tc>
        <w:tc>
          <w:tcPr>
            <w:tcW w:w="709" w:type="dxa"/>
            <w:shd w:val="clear" w:color="auto" w:fill="auto"/>
            <w:vAlign w:val="bottom"/>
          </w:tcPr>
          <w:p w14:paraId="6FAF16B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17</w:t>
            </w:r>
          </w:p>
        </w:tc>
        <w:tc>
          <w:tcPr>
            <w:tcW w:w="709" w:type="dxa"/>
            <w:shd w:val="clear" w:color="auto" w:fill="auto"/>
            <w:vAlign w:val="bottom"/>
          </w:tcPr>
          <w:p w14:paraId="2B08412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59</w:t>
            </w:r>
          </w:p>
        </w:tc>
        <w:tc>
          <w:tcPr>
            <w:tcW w:w="708" w:type="dxa"/>
            <w:shd w:val="clear" w:color="auto" w:fill="auto"/>
            <w:vAlign w:val="bottom"/>
          </w:tcPr>
          <w:p w14:paraId="76B75B3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68</w:t>
            </w:r>
          </w:p>
        </w:tc>
        <w:tc>
          <w:tcPr>
            <w:tcW w:w="566" w:type="dxa"/>
            <w:shd w:val="clear" w:color="auto" w:fill="auto"/>
            <w:vAlign w:val="bottom"/>
          </w:tcPr>
          <w:p w14:paraId="7332363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45</w:t>
            </w:r>
          </w:p>
        </w:tc>
      </w:tr>
      <w:tr w:rsidR="00C619FA" w:rsidRPr="008253DC" w14:paraId="46A64857" w14:textId="77777777" w:rsidTr="00243B75">
        <w:trPr>
          <w:trHeight w:val="240"/>
        </w:trPr>
        <w:tc>
          <w:tcPr>
            <w:tcW w:w="3969" w:type="dxa"/>
            <w:shd w:val="clear" w:color="auto" w:fill="auto"/>
          </w:tcPr>
          <w:p w14:paraId="7022E2E9"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Hepatitis C</w:t>
            </w:r>
          </w:p>
        </w:tc>
        <w:tc>
          <w:tcPr>
            <w:tcW w:w="709" w:type="dxa"/>
            <w:shd w:val="clear" w:color="auto" w:fill="auto"/>
            <w:vAlign w:val="bottom"/>
          </w:tcPr>
          <w:p w14:paraId="0567F27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37</w:t>
            </w:r>
          </w:p>
        </w:tc>
        <w:tc>
          <w:tcPr>
            <w:tcW w:w="709" w:type="dxa"/>
            <w:shd w:val="clear" w:color="auto" w:fill="auto"/>
            <w:vAlign w:val="bottom"/>
          </w:tcPr>
          <w:p w14:paraId="7FCE8A5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44</w:t>
            </w:r>
          </w:p>
        </w:tc>
        <w:tc>
          <w:tcPr>
            <w:tcW w:w="709" w:type="dxa"/>
            <w:shd w:val="clear" w:color="auto" w:fill="auto"/>
            <w:vAlign w:val="bottom"/>
          </w:tcPr>
          <w:p w14:paraId="319DF8C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91</w:t>
            </w:r>
          </w:p>
        </w:tc>
        <w:tc>
          <w:tcPr>
            <w:tcW w:w="708" w:type="dxa"/>
            <w:shd w:val="clear" w:color="auto" w:fill="auto"/>
            <w:vAlign w:val="bottom"/>
          </w:tcPr>
          <w:p w14:paraId="145DEE1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94</w:t>
            </w:r>
          </w:p>
        </w:tc>
        <w:tc>
          <w:tcPr>
            <w:tcW w:w="566" w:type="dxa"/>
            <w:shd w:val="clear" w:color="auto" w:fill="auto"/>
            <w:vAlign w:val="bottom"/>
          </w:tcPr>
          <w:p w14:paraId="7283D59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73</w:t>
            </w:r>
          </w:p>
        </w:tc>
      </w:tr>
      <w:tr w:rsidR="00C619FA" w:rsidRPr="008253DC" w14:paraId="513553A9" w14:textId="77777777" w:rsidTr="00243B75">
        <w:trPr>
          <w:trHeight w:val="240"/>
        </w:trPr>
        <w:tc>
          <w:tcPr>
            <w:tcW w:w="3969" w:type="dxa"/>
            <w:shd w:val="clear" w:color="auto" w:fill="auto"/>
          </w:tcPr>
          <w:p w14:paraId="743211E3"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Hepatitis E</w:t>
            </w:r>
          </w:p>
        </w:tc>
        <w:tc>
          <w:tcPr>
            <w:tcW w:w="709" w:type="dxa"/>
            <w:shd w:val="clear" w:color="auto" w:fill="auto"/>
            <w:vAlign w:val="bottom"/>
          </w:tcPr>
          <w:p w14:paraId="3FE51AF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534845F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16B1764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3112DE8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w:t>
            </w:r>
          </w:p>
        </w:tc>
        <w:tc>
          <w:tcPr>
            <w:tcW w:w="566" w:type="dxa"/>
            <w:shd w:val="clear" w:color="auto" w:fill="auto"/>
            <w:vAlign w:val="bottom"/>
          </w:tcPr>
          <w:p w14:paraId="3BEEBF8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729E20A8" w14:textId="77777777" w:rsidTr="00243B75">
        <w:trPr>
          <w:trHeight w:val="240"/>
        </w:trPr>
        <w:tc>
          <w:tcPr>
            <w:tcW w:w="3969" w:type="dxa"/>
            <w:shd w:val="clear" w:color="auto" w:fill="auto"/>
          </w:tcPr>
          <w:p w14:paraId="05D76326"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Hepatitis indiferenciada (ni A-ni E)</w:t>
            </w:r>
          </w:p>
        </w:tc>
        <w:tc>
          <w:tcPr>
            <w:tcW w:w="709" w:type="dxa"/>
            <w:shd w:val="clear" w:color="auto" w:fill="auto"/>
            <w:vAlign w:val="bottom"/>
          </w:tcPr>
          <w:p w14:paraId="330359B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22964C3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7AF7191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748BA21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2BD7031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5D40BA5D" w14:textId="77777777" w:rsidTr="00243B75">
        <w:trPr>
          <w:trHeight w:val="240"/>
        </w:trPr>
        <w:tc>
          <w:tcPr>
            <w:tcW w:w="3969" w:type="dxa"/>
            <w:shd w:val="clear" w:color="auto" w:fill="auto"/>
          </w:tcPr>
          <w:p w14:paraId="3757B9AE"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Listeriosis</w:t>
            </w:r>
          </w:p>
        </w:tc>
        <w:tc>
          <w:tcPr>
            <w:tcW w:w="709" w:type="dxa"/>
            <w:shd w:val="clear" w:color="auto" w:fill="auto"/>
            <w:vAlign w:val="bottom"/>
          </w:tcPr>
          <w:p w14:paraId="3B7B0A6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w:t>
            </w:r>
          </w:p>
        </w:tc>
        <w:tc>
          <w:tcPr>
            <w:tcW w:w="709" w:type="dxa"/>
            <w:shd w:val="clear" w:color="auto" w:fill="auto"/>
            <w:vAlign w:val="bottom"/>
          </w:tcPr>
          <w:p w14:paraId="7A49C74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7B6E2CA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4CB30DD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w:t>
            </w:r>
          </w:p>
        </w:tc>
        <w:tc>
          <w:tcPr>
            <w:tcW w:w="566" w:type="dxa"/>
            <w:shd w:val="clear" w:color="auto" w:fill="auto"/>
            <w:vAlign w:val="bottom"/>
          </w:tcPr>
          <w:p w14:paraId="0C275DA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w:t>
            </w:r>
          </w:p>
        </w:tc>
      </w:tr>
      <w:tr w:rsidR="00C619FA" w:rsidRPr="008253DC" w14:paraId="00542EC6" w14:textId="77777777" w:rsidTr="00243B75">
        <w:trPr>
          <w:trHeight w:val="240"/>
        </w:trPr>
        <w:tc>
          <w:tcPr>
            <w:tcW w:w="3969" w:type="dxa"/>
            <w:shd w:val="clear" w:color="auto" w:fill="auto"/>
          </w:tcPr>
          <w:p w14:paraId="173A74CE"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Poliomielitis</w:t>
            </w:r>
          </w:p>
        </w:tc>
        <w:tc>
          <w:tcPr>
            <w:tcW w:w="709" w:type="dxa"/>
            <w:shd w:val="clear" w:color="auto" w:fill="auto"/>
            <w:vAlign w:val="bottom"/>
          </w:tcPr>
          <w:p w14:paraId="389FAF5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611698C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3AEF49D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08F1284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26A418B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36016A64" w14:textId="77777777" w:rsidTr="00243B75">
        <w:trPr>
          <w:trHeight w:val="240"/>
        </w:trPr>
        <w:tc>
          <w:tcPr>
            <w:tcW w:w="3969" w:type="dxa"/>
            <w:shd w:val="clear" w:color="auto" w:fill="auto"/>
          </w:tcPr>
          <w:p w14:paraId="389307B2"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Paludismo</w:t>
            </w:r>
          </w:p>
        </w:tc>
        <w:tc>
          <w:tcPr>
            <w:tcW w:w="709" w:type="dxa"/>
            <w:shd w:val="clear" w:color="auto" w:fill="auto"/>
            <w:vAlign w:val="bottom"/>
          </w:tcPr>
          <w:p w14:paraId="7B9B001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w:t>
            </w:r>
          </w:p>
        </w:tc>
        <w:tc>
          <w:tcPr>
            <w:tcW w:w="709" w:type="dxa"/>
            <w:shd w:val="clear" w:color="auto" w:fill="auto"/>
            <w:vAlign w:val="bottom"/>
          </w:tcPr>
          <w:p w14:paraId="04607FE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w:t>
            </w:r>
          </w:p>
        </w:tc>
        <w:tc>
          <w:tcPr>
            <w:tcW w:w="709" w:type="dxa"/>
            <w:shd w:val="clear" w:color="auto" w:fill="auto"/>
            <w:vAlign w:val="bottom"/>
          </w:tcPr>
          <w:p w14:paraId="051878D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w:t>
            </w:r>
          </w:p>
        </w:tc>
        <w:tc>
          <w:tcPr>
            <w:tcW w:w="708" w:type="dxa"/>
            <w:shd w:val="clear" w:color="auto" w:fill="auto"/>
            <w:vAlign w:val="bottom"/>
          </w:tcPr>
          <w:p w14:paraId="16E0D6D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w:t>
            </w:r>
          </w:p>
        </w:tc>
        <w:tc>
          <w:tcPr>
            <w:tcW w:w="566" w:type="dxa"/>
            <w:shd w:val="clear" w:color="auto" w:fill="auto"/>
            <w:vAlign w:val="bottom"/>
          </w:tcPr>
          <w:p w14:paraId="4A9E4D1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w:t>
            </w:r>
          </w:p>
        </w:tc>
      </w:tr>
      <w:tr w:rsidR="00C619FA" w:rsidRPr="008253DC" w14:paraId="582C1F59" w14:textId="77777777" w:rsidTr="00243B75">
        <w:trPr>
          <w:trHeight w:val="240"/>
        </w:trPr>
        <w:tc>
          <w:tcPr>
            <w:tcW w:w="3969" w:type="dxa"/>
            <w:shd w:val="clear" w:color="auto" w:fill="auto"/>
          </w:tcPr>
          <w:p w14:paraId="6F5B46C8"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Enfermedad meningocócica</w:t>
            </w:r>
          </w:p>
        </w:tc>
        <w:tc>
          <w:tcPr>
            <w:tcW w:w="709" w:type="dxa"/>
            <w:shd w:val="clear" w:color="auto" w:fill="auto"/>
            <w:vAlign w:val="bottom"/>
          </w:tcPr>
          <w:p w14:paraId="1BB7594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w:t>
            </w:r>
          </w:p>
        </w:tc>
        <w:tc>
          <w:tcPr>
            <w:tcW w:w="709" w:type="dxa"/>
            <w:shd w:val="clear" w:color="auto" w:fill="auto"/>
            <w:vAlign w:val="bottom"/>
          </w:tcPr>
          <w:p w14:paraId="63E98F2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w:t>
            </w:r>
          </w:p>
        </w:tc>
        <w:tc>
          <w:tcPr>
            <w:tcW w:w="709" w:type="dxa"/>
            <w:shd w:val="clear" w:color="auto" w:fill="auto"/>
            <w:vAlign w:val="bottom"/>
          </w:tcPr>
          <w:p w14:paraId="12259D2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0</w:t>
            </w:r>
          </w:p>
        </w:tc>
        <w:tc>
          <w:tcPr>
            <w:tcW w:w="708" w:type="dxa"/>
            <w:shd w:val="clear" w:color="auto" w:fill="auto"/>
            <w:vAlign w:val="bottom"/>
          </w:tcPr>
          <w:p w14:paraId="480A3CF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w:t>
            </w:r>
          </w:p>
        </w:tc>
        <w:tc>
          <w:tcPr>
            <w:tcW w:w="566" w:type="dxa"/>
            <w:shd w:val="clear" w:color="auto" w:fill="auto"/>
            <w:vAlign w:val="bottom"/>
          </w:tcPr>
          <w:p w14:paraId="4BD226E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0</w:t>
            </w:r>
          </w:p>
        </w:tc>
      </w:tr>
      <w:tr w:rsidR="00C619FA" w:rsidRPr="008253DC" w14:paraId="5CDB1CC0" w14:textId="77777777" w:rsidTr="00243B75">
        <w:trPr>
          <w:trHeight w:val="240"/>
        </w:trPr>
        <w:tc>
          <w:tcPr>
            <w:tcW w:w="3969" w:type="dxa"/>
            <w:shd w:val="clear" w:color="auto" w:fill="auto"/>
          </w:tcPr>
          <w:p w14:paraId="2FBB7D96"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iCs/>
                <w:sz w:val="18"/>
                <w:lang w:val="es-ES_tradnl"/>
              </w:rPr>
              <w:t>Staphylococcus aureus</w:t>
            </w:r>
            <w:r w:rsidRPr="008253DC">
              <w:rPr>
                <w:sz w:val="18"/>
                <w:lang w:val="es-ES_tradnl"/>
              </w:rPr>
              <w:t xml:space="preserve"> resistente a la meticilina (SARM)</w:t>
            </w:r>
          </w:p>
        </w:tc>
        <w:tc>
          <w:tcPr>
            <w:tcW w:w="709" w:type="dxa"/>
            <w:shd w:val="clear" w:color="auto" w:fill="auto"/>
            <w:vAlign w:val="bottom"/>
          </w:tcPr>
          <w:p w14:paraId="46CDBEA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55</w:t>
            </w:r>
          </w:p>
        </w:tc>
        <w:tc>
          <w:tcPr>
            <w:tcW w:w="709" w:type="dxa"/>
            <w:shd w:val="clear" w:color="auto" w:fill="auto"/>
            <w:vAlign w:val="bottom"/>
          </w:tcPr>
          <w:p w14:paraId="5E18F53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64</w:t>
            </w:r>
          </w:p>
        </w:tc>
        <w:tc>
          <w:tcPr>
            <w:tcW w:w="709" w:type="dxa"/>
            <w:shd w:val="clear" w:color="auto" w:fill="auto"/>
            <w:vAlign w:val="bottom"/>
          </w:tcPr>
          <w:p w14:paraId="7E8467A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80</w:t>
            </w:r>
          </w:p>
        </w:tc>
        <w:tc>
          <w:tcPr>
            <w:tcW w:w="708" w:type="dxa"/>
            <w:shd w:val="clear" w:color="auto" w:fill="auto"/>
            <w:vAlign w:val="bottom"/>
          </w:tcPr>
          <w:p w14:paraId="3888F9E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69</w:t>
            </w:r>
          </w:p>
        </w:tc>
        <w:tc>
          <w:tcPr>
            <w:tcW w:w="566" w:type="dxa"/>
            <w:shd w:val="clear" w:color="auto" w:fill="auto"/>
            <w:vAlign w:val="bottom"/>
          </w:tcPr>
          <w:p w14:paraId="79E838E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80</w:t>
            </w:r>
          </w:p>
        </w:tc>
      </w:tr>
      <w:tr w:rsidR="00C619FA" w:rsidRPr="008253DC" w14:paraId="3CF5DD56" w14:textId="77777777" w:rsidTr="00243B75">
        <w:trPr>
          <w:trHeight w:val="240"/>
        </w:trPr>
        <w:tc>
          <w:tcPr>
            <w:tcW w:w="3969" w:type="dxa"/>
            <w:shd w:val="clear" w:color="auto" w:fill="auto"/>
          </w:tcPr>
          <w:p w14:paraId="5CEAEC42"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Carbunco</w:t>
            </w:r>
          </w:p>
        </w:tc>
        <w:tc>
          <w:tcPr>
            <w:tcW w:w="709" w:type="dxa"/>
            <w:shd w:val="clear" w:color="auto" w:fill="auto"/>
            <w:vAlign w:val="bottom"/>
          </w:tcPr>
          <w:p w14:paraId="3B76792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4B1239C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153EC5F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243D12D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5609470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16A05C11" w14:textId="77777777" w:rsidTr="00243B75">
        <w:trPr>
          <w:trHeight w:val="240"/>
        </w:trPr>
        <w:tc>
          <w:tcPr>
            <w:tcW w:w="3969" w:type="dxa"/>
            <w:shd w:val="clear" w:color="auto" w:fill="auto"/>
          </w:tcPr>
          <w:p w14:paraId="3F38FC44"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Sarampión</w:t>
            </w:r>
          </w:p>
        </w:tc>
        <w:tc>
          <w:tcPr>
            <w:tcW w:w="709" w:type="dxa"/>
            <w:shd w:val="clear" w:color="auto" w:fill="auto"/>
            <w:vAlign w:val="bottom"/>
          </w:tcPr>
          <w:p w14:paraId="0832963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w:t>
            </w:r>
          </w:p>
        </w:tc>
        <w:tc>
          <w:tcPr>
            <w:tcW w:w="709" w:type="dxa"/>
            <w:shd w:val="clear" w:color="auto" w:fill="auto"/>
            <w:vAlign w:val="bottom"/>
          </w:tcPr>
          <w:p w14:paraId="17BAA4B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6E4CB77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w:t>
            </w:r>
          </w:p>
        </w:tc>
        <w:tc>
          <w:tcPr>
            <w:tcW w:w="708" w:type="dxa"/>
            <w:shd w:val="clear" w:color="auto" w:fill="auto"/>
            <w:vAlign w:val="bottom"/>
          </w:tcPr>
          <w:p w14:paraId="1026838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w:t>
            </w:r>
          </w:p>
        </w:tc>
        <w:tc>
          <w:tcPr>
            <w:tcW w:w="566" w:type="dxa"/>
            <w:shd w:val="clear" w:color="auto" w:fill="auto"/>
            <w:vAlign w:val="bottom"/>
          </w:tcPr>
          <w:p w14:paraId="308FC5B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0</w:t>
            </w:r>
          </w:p>
        </w:tc>
      </w:tr>
      <w:tr w:rsidR="00C619FA" w:rsidRPr="008253DC" w14:paraId="522C0A92" w14:textId="77777777" w:rsidTr="00243B75">
        <w:trPr>
          <w:trHeight w:val="240"/>
        </w:trPr>
        <w:tc>
          <w:tcPr>
            <w:tcW w:w="3969" w:type="dxa"/>
            <w:shd w:val="clear" w:color="auto" w:fill="auto"/>
          </w:tcPr>
          <w:p w14:paraId="20F8AB34"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Rubéola</w:t>
            </w:r>
          </w:p>
        </w:tc>
        <w:tc>
          <w:tcPr>
            <w:tcW w:w="709" w:type="dxa"/>
            <w:shd w:val="clear" w:color="auto" w:fill="auto"/>
            <w:vAlign w:val="bottom"/>
          </w:tcPr>
          <w:p w14:paraId="7ECCB81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0EC022A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7BFE2CB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610676B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50045B3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1501568E" w14:textId="77777777" w:rsidTr="00243B75">
        <w:trPr>
          <w:trHeight w:val="240"/>
        </w:trPr>
        <w:tc>
          <w:tcPr>
            <w:tcW w:w="3969" w:type="dxa"/>
            <w:shd w:val="clear" w:color="auto" w:fill="auto"/>
          </w:tcPr>
          <w:p w14:paraId="7E9E68B7"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Salmonelosis</w:t>
            </w:r>
          </w:p>
        </w:tc>
        <w:tc>
          <w:tcPr>
            <w:tcW w:w="709" w:type="dxa"/>
            <w:shd w:val="clear" w:color="auto" w:fill="auto"/>
            <w:vAlign w:val="bottom"/>
          </w:tcPr>
          <w:p w14:paraId="1E2420F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42</w:t>
            </w:r>
          </w:p>
        </w:tc>
        <w:tc>
          <w:tcPr>
            <w:tcW w:w="709" w:type="dxa"/>
            <w:shd w:val="clear" w:color="auto" w:fill="auto"/>
            <w:vAlign w:val="bottom"/>
          </w:tcPr>
          <w:p w14:paraId="6B11F14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47</w:t>
            </w:r>
          </w:p>
        </w:tc>
        <w:tc>
          <w:tcPr>
            <w:tcW w:w="709" w:type="dxa"/>
            <w:shd w:val="clear" w:color="auto" w:fill="auto"/>
            <w:vAlign w:val="bottom"/>
          </w:tcPr>
          <w:p w14:paraId="2A61540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35</w:t>
            </w:r>
          </w:p>
        </w:tc>
        <w:tc>
          <w:tcPr>
            <w:tcW w:w="708" w:type="dxa"/>
            <w:shd w:val="clear" w:color="auto" w:fill="auto"/>
            <w:vAlign w:val="bottom"/>
          </w:tcPr>
          <w:p w14:paraId="72E195D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64</w:t>
            </w:r>
          </w:p>
        </w:tc>
        <w:tc>
          <w:tcPr>
            <w:tcW w:w="566" w:type="dxa"/>
            <w:shd w:val="clear" w:color="auto" w:fill="auto"/>
            <w:vAlign w:val="bottom"/>
          </w:tcPr>
          <w:p w14:paraId="533E384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63</w:t>
            </w:r>
          </w:p>
        </w:tc>
      </w:tr>
      <w:tr w:rsidR="00C619FA" w:rsidRPr="008253DC" w14:paraId="2782B7B2" w14:textId="77777777" w:rsidTr="00243B75">
        <w:trPr>
          <w:trHeight w:val="240"/>
        </w:trPr>
        <w:tc>
          <w:tcPr>
            <w:tcW w:w="3969" w:type="dxa"/>
            <w:shd w:val="clear" w:color="auto" w:fill="auto"/>
          </w:tcPr>
          <w:p w14:paraId="6F6254DC"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Sífilis</w:t>
            </w:r>
          </w:p>
        </w:tc>
        <w:tc>
          <w:tcPr>
            <w:tcW w:w="709" w:type="dxa"/>
            <w:shd w:val="clear" w:color="auto" w:fill="auto"/>
            <w:vAlign w:val="bottom"/>
          </w:tcPr>
          <w:p w14:paraId="2A5E5C8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23</w:t>
            </w:r>
          </w:p>
        </w:tc>
        <w:tc>
          <w:tcPr>
            <w:tcW w:w="709" w:type="dxa"/>
            <w:shd w:val="clear" w:color="auto" w:fill="auto"/>
            <w:vAlign w:val="bottom"/>
          </w:tcPr>
          <w:p w14:paraId="010F9FF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23</w:t>
            </w:r>
          </w:p>
        </w:tc>
        <w:tc>
          <w:tcPr>
            <w:tcW w:w="709" w:type="dxa"/>
            <w:shd w:val="clear" w:color="auto" w:fill="auto"/>
            <w:vAlign w:val="bottom"/>
          </w:tcPr>
          <w:p w14:paraId="4F77F40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33</w:t>
            </w:r>
          </w:p>
        </w:tc>
        <w:tc>
          <w:tcPr>
            <w:tcW w:w="708" w:type="dxa"/>
            <w:shd w:val="clear" w:color="auto" w:fill="auto"/>
            <w:vAlign w:val="bottom"/>
          </w:tcPr>
          <w:p w14:paraId="47D8DC8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52</w:t>
            </w:r>
          </w:p>
        </w:tc>
        <w:tc>
          <w:tcPr>
            <w:tcW w:w="566" w:type="dxa"/>
            <w:shd w:val="clear" w:color="auto" w:fill="auto"/>
            <w:vAlign w:val="bottom"/>
          </w:tcPr>
          <w:p w14:paraId="6591DAC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30</w:t>
            </w:r>
          </w:p>
        </w:tc>
      </w:tr>
      <w:tr w:rsidR="00C619FA" w:rsidRPr="008253DC" w14:paraId="6F5C326C" w14:textId="77777777" w:rsidTr="00243B75">
        <w:trPr>
          <w:trHeight w:val="240"/>
        </w:trPr>
        <w:tc>
          <w:tcPr>
            <w:tcW w:w="3969" w:type="dxa"/>
            <w:shd w:val="clear" w:color="auto" w:fill="auto"/>
          </w:tcPr>
          <w:p w14:paraId="5CCDF25E"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Shigelosis</w:t>
            </w:r>
          </w:p>
        </w:tc>
        <w:tc>
          <w:tcPr>
            <w:tcW w:w="709" w:type="dxa"/>
            <w:shd w:val="clear" w:color="auto" w:fill="auto"/>
            <w:vAlign w:val="bottom"/>
          </w:tcPr>
          <w:p w14:paraId="63D7DDA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w:t>
            </w:r>
          </w:p>
        </w:tc>
        <w:tc>
          <w:tcPr>
            <w:tcW w:w="709" w:type="dxa"/>
            <w:shd w:val="clear" w:color="auto" w:fill="auto"/>
            <w:vAlign w:val="bottom"/>
          </w:tcPr>
          <w:p w14:paraId="6B5F6A3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w:t>
            </w:r>
          </w:p>
        </w:tc>
        <w:tc>
          <w:tcPr>
            <w:tcW w:w="709" w:type="dxa"/>
            <w:shd w:val="clear" w:color="auto" w:fill="auto"/>
            <w:vAlign w:val="bottom"/>
          </w:tcPr>
          <w:p w14:paraId="467BC22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14D47FA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w:t>
            </w:r>
          </w:p>
        </w:tc>
        <w:tc>
          <w:tcPr>
            <w:tcW w:w="566" w:type="dxa"/>
            <w:shd w:val="clear" w:color="auto" w:fill="auto"/>
            <w:vAlign w:val="bottom"/>
          </w:tcPr>
          <w:p w14:paraId="37310A1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w:t>
            </w:r>
          </w:p>
        </w:tc>
      </w:tr>
      <w:tr w:rsidR="00C619FA" w:rsidRPr="008253DC" w14:paraId="6BE4CE19" w14:textId="77777777" w:rsidTr="00243B75">
        <w:trPr>
          <w:trHeight w:val="240"/>
        </w:trPr>
        <w:tc>
          <w:tcPr>
            <w:tcW w:w="3969" w:type="dxa"/>
            <w:shd w:val="clear" w:color="auto" w:fill="auto"/>
          </w:tcPr>
          <w:p w14:paraId="3F0749ED"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Tétanos</w:t>
            </w:r>
          </w:p>
        </w:tc>
        <w:tc>
          <w:tcPr>
            <w:tcW w:w="709" w:type="dxa"/>
            <w:shd w:val="clear" w:color="auto" w:fill="auto"/>
            <w:vAlign w:val="bottom"/>
          </w:tcPr>
          <w:p w14:paraId="15ABEA2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7F41D67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1BCCA0D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14423DD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4C4AC7E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1946210C" w14:textId="77777777" w:rsidTr="00243B75">
        <w:trPr>
          <w:trHeight w:val="240"/>
        </w:trPr>
        <w:tc>
          <w:tcPr>
            <w:tcW w:w="3969" w:type="dxa"/>
            <w:shd w:val="clear" w:color="auto" w:fill="auto"/>
          </w:tcPr>
          <w:p w14:paraId="43C390B7"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Equinococosis</w:t>
            </w:r>
          </w:p>
        </w:tc>
        <w:tc>
          <w:tcPr>
            <w:tcW w:w="709" w:type="dxa"/>
            <w:shd w:val="clear" w:color="auto" w:fill="auto"/>
            <w:vAlign w:val="bottom"/>
          </w:tcPr>
          <w:p w14:paraId="40938B3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77512C9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0028E57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3BF6DD4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089362E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3DEEB686" w14:textId="77777777" w:rsidTr="00243B75">
        <w:trPr>
          <w:trHeight w:val="240"/>
        </w:trPr>
        <w:tc>
          <w:tcPr>
            <w:tcW w:w="3969" w:type="dxa"/>
            <w:shd w:val="clear" w:color="auto" w:fill="auto"/>
          </w:tcPr>
          <w:p w14:paraId="326E76C4"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Peste</w:t>
            </w:r>
          </w:p>
        </w:tc>
        <w:tc>
          <w:tcPr>
            <w:tcW w:w="709" w:type="dxa"/>
            <w:shd w:val="clear" w:color="auto" w:fill="auto"/>
            <w:vAlign w:val="bottom"/>
          </w:tcPr>
          <w:p w14:paraId="52CF19E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6E210DC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05197B5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3D9E2E9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786E639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21DF1E86" w14:textId="77777777" w:rsidTr="00243B75">
        <w:trPr>
          <w:trHeight w:val="240"/>
        </w:trPr>
        <w:tc>
          <w:tcPr>
            <w:tcW w:w="3969" w:type="dxa"/>
            <w:shd w:val="clear" w:color="auto" w:fill="auto"/>
          </w:tcPr>
          <w:p w14:paraId="09DD0E78"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Toxoplasmosis</w:t>
            </w:r>
          </w:p>
        </w:tc>
        <w:tc>
          <w:tcPr>
            <w:tcW w:w="709" w:type="dxa"/>
            <w:shd w:val="clear" w:color="auto" w:fill="auto"/>
            <w:vAlign w:val="bottom"/>
          </w:tcPr>
          <w:p w14:paraId="0080D8A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6A03537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1CA5877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154AF55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77B2CFE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4C80AB84" w14:textId="77777777" w:rsidTr="00243B75">
        <w:trPr>
          <w:trHeight w:val="240"/>
        </w:trPr>
        <w:tc>
          <w:tcPr>
            <w:tcW w:w="3969" w:type="dxa"/>
            <w:shd w:val="clear" w:color="auto" w:fill="auto"/>
          </w:tcPr>
          <w:p w14:paraId="07A2BE58"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Fiebre tifoidea y paratifoidea</w:t>
            </w:r>
          </w:p>
        </w:tc>
        <w:tc>
          <w:tcPr>
            <w:tcW w:w="709" w:type="dxa"/>
            <w:shd w:val="clear" w:color="auto" w:fill="auto"/>
            <w:vAlign w:val="bottom"/>
          </w:tcPr>
          <w:p w14:paraId="096CEA4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32642AA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47C58E2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w:t>
            </w:r>
          </w:p>
        </w:tc>
        <w:tc>
          <w:tcPr>
            <w:tcW w:w="708" w:type="dxa"/>
            <w:shd w:val="clear" w:color="auto" w:fill="auto"/>
            <w:vAlign w:val="bottom"/>
          </w:tcPr>
          <w:p w14:paraId="00EC4D1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045503D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w:t>
            </w:r>
          </w:p>
        </w:tc>
      </w:tr>
      <w:tr w:rsidR="00C619FA" w:rsidRPr="008253DC" w14:paraId="38777E2A" w14:textId="77777777" w:rsidTr="00243B75">
        <w:trPr>
          <w:trHeight w:val="240"/>
        </w:trPr>
        <w:tc>
          <w:tcPr>
            <w:tcW w:w="3969" w:type="dxa"/>
            <w:shd w:val="clear" w:color="auto" w:fill="auto"/>
          </w:tcPr>
          <w:p w14:paraId="7F40C192"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Triquinosis/triquinelosis</w:t>
            </w:r>
          </w:p>
        </w:tc>
        <w:tc>
          <w:tcPr>
            <w:tcW w:w="709" w:type="dxa"/>
            <w:shd w:val="clear" w:color="auto" w:fill="auto"/>
            <w:vAlign w:val="bottom"/>
          </w:tcPr>
          <w:p w14:paraId="724EFE1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5B76A28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7145FDB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25234C2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562DDCA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468676AE" w14:textId="77777777" w:rsidTr="00243B75">
        <w:trPr>
          <w:trHeight w:val="240"/>
        </w:trPr>
        <w:tc>
          <w:tcPr>
            <w:tcW w:w="3969" w:type="dxa"/>
            <w:shd w:val="clear" w:color="auto" w:fill="auto"/>
          </w:tcPr>
          <w:p w14:paraId="5B2FD644"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Enterococos resistentes a la vancomicina (ERV)</w:t>
            </w:r>
          </w:p>
        </w:tc>
        <w:tc>
          <w:tcPr>
            <w:tcW w:w="709" w:type="dxa"/>
            <w:shd w:val="clear" w:color="auto" w:fill="auto"/>
            <w:vAlign w:val="bottom"/>
          </w:tcPr>
          <w:p w14:paraId="553BD3B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w:t>
            </w:r>
          </w:p>
        </w:tc>
        <w:tc>
          <w:tcPr>
            <w:tcW w:w="709" w:type="dxa"/>
            <w:shd w:val="clear" w:color="auto" w:fill="auto"/>
            <w:vAlign w:val="bottom"/>
          </w:tcPr>
          <w:p w14:paraId="73359AE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44</w:t>
            </w:r>
          </w:p>
        </w:tc>
        <w:tc>
          <w:tcPr>
            <w:tcW w:w="709" w:type="dxa"/>
            <w:shd w:val="clear" w:color="auto" w:fill="auto"/>
            <w:vAlign w:val="bottom"/>
          </w:tcPr>
          <w:p w14:paraId="6A8442B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w:t>
            </w:r>
          </w:p>
        </w:tc>
        <w:tc>
          <w:tcPr>
            <w:tcW w:w="708" w:type="dxa"/>
            <w:shd w:val="clear" w:color="auto" w:fill="auto"/>
            <w:vAlign w:val="bottom"/>
          </w:tcPr>
          <w:p w14:paraId="6F006CA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w:t>
            </w:r>
          </w:p>
        </w:tc>
        <w:tc>
          <w:tcPr>
            <w:tcW w:w="566" w:type="dxa"/>
            <w:shd w:val="clear" w:color="auto" w:fill="auto"/>
            <w:vAlign w:val="bottom"/>
          </w:tcPr>
          <w:p w14:paraId="7E560EE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9</w:t>
            </w:r>
          </w:p>
        </w:tc>
      </w:tr>
      <w:tr w:rsidR="00C619FA" w:rsidRPr="008253DC" w14:paraId="4B3DB070" w14:textId="77777777" w:rsidTr="00243B75">
        <w:trPr>
          <w:trHeight w:val="240"/>
        </w:trPr>
        <w:tc>
          <w:tcPr>
            <w:tcW w:w="3969" w:type="dxa"/>
            <w:shd w:val="clear" w:color="auto" w:fill="auto"/>
          </w:tcPr>
          <w:p w14:paraId="2F83C50F"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Infección por el virus del Nilo Occidental</w:t>
            </w:r>
          </w:p>
        </w:tc>
        <w:tc>
          <w:tcPr>
            <w:tcW w:w="709" w:type="dxa"/>
            <w:shd w:val="clear" w:color="auto" w:fill="auto"/>
            <w:vAlign w:val="bottom"/>
          </w:tcPr>
          <w:p w14:paraId="6D2B8DB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3AE97BD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shd w:val="clear" w:color="auto" w:fill="auto"/>
            <w:vAlign w:val="bottom"/>
          </w:tcPr>
          <w:p w14:paraId="2A404AB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shd w:val="clear" w:color="auto" w:fill="auto"/>
            <w:vAlign w:val="bottom"/>
          </w:tcPr>
          <w:p w14:paraId="7F7EE1A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shd w:val="clear" w:color="auto" w:fill="auto"/>
            <w:vAlign w:val="bottom"/>
          </w:tcPr>
          <w:p w14:paraId="41A3FD6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r w:rsidR="00C619FA" w:rsidRPr="008253DC" w14:paraId="5E952D53" w14:textId="77777777" w:rsidTr="00243B75">
        <w:trPr>
          <w:trHeight w:val="240"/>
        </w:trPr>
        <w:tc>
          <w:tcPr>
            <w:tcW w:w="3969" w:type="dxa"/>
            <w:tcBorders>
              <w:bottom w:val="single" w:sz="12" w:space="0" w:color="auto"/>
            </w:tcBorders>
            <w:shd w:val="clear" w:color="auto" w:fill="auto"/>
          </w:tcPr>
          <w:p w14:paraId="18A685DE"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Brucelosis</w:t>
            </w:r>
          </w:p>
        </w:tc>
        <w:tc>
          <w:tcPr>
            <w:tcW w:w="709" w:type="dxa"/>
            <w:tcBorders>
              <w:bottom w:val="single" w:sz="12" w:space="0" w:color="auto"/>
            </w:tcBorders>
            <w:shd w:val="clear" w:color="auto" w:fill="auto"/>
            <w:vAlign w:val="bottom"/>
          </w:tcPr>
          <w:p w14:paraId="476A4C9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tcBorders>
              <w:bottom w:val="single" w:sz="12" w:space="0" w:color="auto"/>
            </w:tcBorders>
            <w:shd w:val="clear" w:color="auto" w:fill="auto"/>
            <w:vAlign w:val="bottom"/>
          </w:tcPr>
          <w:p w14:paraId="54085C5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9" w:type="dxa"/>
            <w:tcBorders>
              <w:bottom w:val="single" w:sz="12" w:space="0" w:color="auto"/>
            </w:tcBorders>
            <w:shd w:val="clear" w:color="auto" w:fill="auto"/>
            <w:vAlign w:val="bottom"/>
          </w:tcPr>
          <w:p w14:paraId="5FCB9DF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708" w:type="dxa"/>
            <w:tcBorders>
              <w:bottom w:val="single" w:sz="12" w:space="0" w:color="auto"/>
            </w:tcBorders>
            <w:shd w:val="clear" w:color="auto" w:fill="auto"/>
            <w:vAlign w:val="bottom"/>
          </w:tcPr>
          <w:p w14:paraId="2178128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c>
          <w:tcPr>
            <w:tcW w:w="566" w:type="dxa"/>
            <w:tcBorders>
              <w:bottom w:val="single" w:sz="12" w:space="0" w:color="auto"/>
            </w:tcBorders>
            <w:shd w:val="clear" w:color="auto" w:fill="auto"/>
            <w:vAlign w:val="bottom"/>
          </w:tcPr>
          <w:p w14:paraId="166C94C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w:t>
            </w:r>
          </w:p>
        </w:tc>
      </w:tr>
    </w:tbl>
    <w:p w14:paraId="1BF8B37A" w14:textId="52B112C4" w:rsidR="00C619FA" w:rsidRPr="008253DC" w:rsidRDefault="00C619FA" w:rsidP="00243B75">
      <w:pPr>
        <w:pStyle w:val="SingleTxtG"/>
        <w:spacing w:before="240"/>
        <w:rPr>
          <w:b/>
          <w:i/>
          <w:lang w:val="es-ES_tradnl"/>
        </w:rPr>
      </w:pPr>
      <w:r w:rsidRPr="008253DC">
        <w:rPr>
          <w:i/>
          <w:iCs/>
          <w:lang w:val="es-ES_tradnl"/>
        </w:rPr>
        <w:t>En el cuadro que figura a continuación se señalan las diez principales causas de muerte en Islandia</w:t>
      </w:r>
      <w:r w:rsidR="00243B75" w:rsidRPr="008253DC">
        <w:rPr>
          <w:i/>
          <w:iCs/>
          <w:lang w:val="es-ES_tradnl"/>
        </w:rPr>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992"/>
        <w:gridCol w:w="709"/>
        <w:gridCol w:w="567"/>
        <w:gridCol w:w="709"/>
        <w:gridCol w:w="567"/>
        <w:gridCol w:w="709"/>
        <w:gridCol w:w="707"/>
      </w:tblGrid>
      <w:tr w:rsidR="00243B75" w:rsidRPr="008253DC" w14:paraId="159A734B" w14:textId="77777777" w:rsidTr="00243B75">
        <w:trPr>
          <w:trHeight w:val="240"/>
          <w:tblHeader/>
        </w:trPr>
        <w:tc>
          <w:tcPr>
            <w:tcW w:w="2410" w:type="dxa"/>
            <w:tcBorders>
              <w:top w:val="single" w:sz="4" w:space="0" w:color="auto"/>
              <w:bottom w:val="single" w:sz="12" w:space="0" w:color="auto"/>
            </w:tcBorders>
            <w:shd w:val="clear" w:color="auto" w:fill="auto"/>
            <w:vAlign w:val="bottom"/>
          </w:tcPr>
          <w:p w14:paraId="2F0A1F7F" w14:textId="77777777" w:rsidR="00C619FA" w:rsidRPr="008253DC" w:rsidRDefault="00C619FA" w:rsidP="00243B75">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Diez principales causas de muerte</w:t>
            </w:r>
          </w:p>
        </w:tc>
        <w:tc>
          <w:tcPr>
            <w:tcW w:w="992" w:type="dxa"/>
            <w:tcBorders>
              <w:top w:val="single" w:sz="4" w:space="0" w:color="auto"/>
              <w:bottom w:val="single" w:sz="12" w:space="0" w:color="auto"/>
            </w:tcBorders>
            <w:shd w:val="clear" w:color="auto" w:fill="auto"/>
            <w:vAlign w:val="bottom"/>
          </w:tcPr>
          <w:p w14:paraId="32670C40" w14:textId="77777777" w:rsidR="00C619FA" w:rsidRPr="008253DC" w:rsidRDefault="00C619FA" w:rsidP="00243B75">
            <w:pPr>
              <w:pStyle w:val="SingleTxtG"/>
              <w:tabs>
                <w:tab w:val="clear" w:pos="1701"/>
                <w:tab w:val="clear" w:pos="2268"/>
                <w:tab w:val="clear" w:pos="2835"/>
              </w:tabs>
              <w:spacing w:before="80" w:after="80" w:line="200" w:lineRule="exact"/>
              <w:ind w:left="113" w:right="0"/>
              <w:jc w:val="right"/>
              <w:rPr>
                <w:i/>
                <w:sz w:val="16"/>
                <w:lang w:val="es-ES_tradnl"/>
              </w:rPr>
            </w:pPr>
          </w:p>
        </w:tc>
        <w:tc>
          <w:tcPr>
            <w:tcW w:w="709" w:type="dxa"/>
            <w:tcBorders>
              <w:top w:val="single" w:sz="4" w:space="0" w:color="auto"/>
              <w:bottom w:val="single" w:sz="12" w:space="0" w:color="auto"/>
            </w:tcBorders>
            <w:shd w:val="clear" w:color="auto" w:fill="auto"/>
            <w:vAlign w:val="bottom"/>
          </w:tcPr>
          <w:p w14:paraId="364DC72C" w14:textId="77777777" w:rsidR="00C619FA" w:rsidRPr="008253DC" w:rsidRDefault="00C619FA" w:rsidP="00243B75">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2012</w:t>
            </w:r>
          </w:p>
        </w:tc>
        <w:tc>
          <w:tcPr>
            <w:tcW w:w="567" w:type="dxa"/>
            <w:tcBorders>
              <w:top w:val="single" w:sz="4" w:space="0" w:color="auto"/>
              <w:bottom w:val="single" w:sz="12" w:space="0" w:color="auto"/>
            </w:tcBorders>
            <w:shd w:val="clear" w:color="auto" w:fill="auto"/>
            <w:vAlign w:val="bottom"/>
          </w:tcPr>
          <w:p w14:paraId="60DEA73E" w14:textId="77777777" w:rsidR="00C619FA" w:rsidRPr="008253DC" w:rsidRDefault="00C619FA" w:rsidP="00243B75">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2013</w:t>
            </w:r>
          </w:p>
        </w:tc>
        <w:tc>
          <w:tcPr>
            <w:tcW w:w="709" w:type="dxa"/>
            <w:tcBorders>
              <w:top w:val="single" w:sz="4" w:space="0" w:color="auto"/>
              <w:bottom w:val="single" w:sz="12" w:space="0" w:color="auto"/>
            </w:tcBorders>
            <w:shd w:val="clear" w:color="auto" w:fill="auto"/>
            <w:vAlign w:val="bottom"/>
          </w:tcPr>
          <w:p w14:paraId="58C2E192" w14:textId="77777777" w:rsidR="00C619FA" w:rsidRPr="008253DC" w:rsidRDefault="00C619FA" w:rsidP="00243B75">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2014</w:t>
            </w:r>
          </w:p>
        </w:tc>
        <w:tc>
          <w:tcPr>
            <w:tcW w:w="567" w:type="dxa"/>
            <w:tcBorders>
              <w:top w:val="single" w:sz="4" w:space="0" w:color="auto"/>
              <w:bottom w:val="single" w:sz="12" w:space="0" w:color="auto"/>
            </w:tcBorders>
            <w:shd w:val="clear" w:color="auto" w:fill="auto"/>
            <w:vAlign w:val="bottom"/>
          </w:tcPr>
          <w:p w14:paraId="47547508" w14:textId="77777777" w:rsidR="00C619FA" w:rsidRPr="008253DC" w:rsidRDefault="00C619FA" w:rsidP="00243B75">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2015</w:t>
            </w:r>
          </w:p>
        </w:tc>
        <w:tc>
          <w:tcPr>
            <w:tcW w:w="709" w:type="dxa"/>
            <w:tcBorders>
              <w:top w:val="single" w:sz="4" w:space="0" w:color="auto"/>
              <w:bottom w:val="single" w:sz="12" w:space="0" w:color="auto"/>
            </w:tcBorders>
            <w:shd w:val="clear" w:color="auto" w:fill="auto"/>
            <w:vAlign w:val="bottom"/>
          </w:tcPr>
          <w:p w14:paraId="0E1A8954" w14:textId="77777777" w:rsidR="00C619FA" w:rsidRPr="008253DC" w:rsidRDefault="00C619FA" w:rsidP="00243B75">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2016</w:t>
            </w:r>
          </w:p>
        </w:tc>
        <w:tc>
          <w:tcPr>
            <w:tcW w:w="707" w:type="dxa"/>
            <w:tcBorders>
              <w:top w:val="single" w:sz="4" w:space="0" w:color="auto"/>
              <w:bottom w:val="single" w:sz="12" w:space="0" w:color="auto"/>
            </w:tcBorders>
            <w:shd w:val="clear" w:color="auto" w:fill="auto"/>
            <w:vAlign w:val="bottom"/>
          </w:tcPr>
          <w:p w14:paraId="2B1311B1" w14:textId="77777777" w:rsidR="00C619FA" w:rsidRPr="008253DC" w:rsidRDefault="00C619FA" w:rsidP="00243B75">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2017</w:t>
            </w:r>
          </w:p>
        </w:tc>
      </w:tr>
      <w:tr w:rsidR="00243B75" w:rsidRPr="008253DC" w14:paraId="1ABAEF2F" w14:textId="77777777" w:rsidTr="00243B75">
        <w:trPr>
          <w:trHeight w:val="240"/>
        </w:trPr>
        <w:tc>
          <w:tcPr>
            <w:tcW w:w="2410" w:type="dxa"/>
            <w:vMerge w:val="restart"/>
            <w:tcBorders>
              <w:top w:val="single" w:sz="12" w:space="0" w:color="auto"/>
            </w:tcBorders>
            <w:shd w:val="clear" w:color="auto" w:fill="auto"/>
          </w:tcPr>
          <w:p w14:paraId="6145BC5E"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Cardiopatía isquémica crónica</w:t>
            </w:r>
          </w:p>
        </w:tc>
        <w:tc>
          <w:tcPr>
            <w:tcW w:w="992" w:type="dxa"/>
            <w:tcBorders>
              <w:top w:val="single" w:sz="12" w:space="0" w:color="auto"/>
            </w:tcBorders>
            <w:shd w:val="clear" w:color="auto" w:fill="auto"/>
            <w:vAlign w:val="bottom"/>
          </w:tcPr>
          <w:p w14:paraId="4B583DDC"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p>
        </w:tc>
        <w:tc>
          <w:tcPr>
            <w:tcW w:w="709" w:type="dxa"/>
            <w:tcBorders>
              <w:top w:val="single" w:sz="12" w:space="0" w:color="auto"/>
            </w:tcBorders>
            <w:shd w:val="clear" w:color="auto" w:fill="auto"/>
            <w:vAlign w:val="bottom"/>
          </w:tcPr>
          <w:p w14:paraId="134A075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189</w:t>
            </w:r>
          </w:p>
        </w:tc>
        <w:tc>
          <w:tcPr>
            <w:tcW w:w="567" w:type="dxa"/>
            <w:tcBorders>
              <w:top w:val="single" w:sz="12" w:space="0" w:color="auto"/>
            </w:tcBorders>
            <w:shd w:val="clear" w:color="auto" w:fill="auto"/>
            <w:vAlign w:val="bottom"/>
          </w:tcPr>
          <w:p w14:paraId="1A08C6C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219</w:t>
            </w:r>
          </w:p>
        </w:tc>
        <w:tc>
          <w:tcPr>
            <w:tcW w:w="709" w:type="dxa"/>
            <w:tcBorders>
              <w:top w:val="single" w:sz="12" w:space="0" w:color="auto"/>
            </w:tcBorders>
            <w:shd w:val="clear" w:color="auto" w:fill="auto"/>
            <w:vAlign w:val="bottom"/>
          </w:tcPr>
          <w:p w14:paraId="5DBEE49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194</w:t>
            </w:r>
          </w:p>
        </w:tc>
        <w:tc>
          <w:tcPr>
            <w:tcW w:w="567" w:type="dxa"/>
            <w:tcBorders>
              <w:top w:val="single" w:sz="12" w:space="0" w:color="auto"/>
            </w:tcBorders>
            <w:shd w:val="clear" w:color="auto" w:fill="auto"/>
            <w:vAlign w:val="bottom"/>
          </w:tcPr>
          <w:p w14:paraId="7F551B7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192</w:t>
            </w:r>
          </w:p>
        </w:tc>
        <w:tc>
          <w:tcPr>
            <w:tcW w:w="709" w:type="dxa"/>
            <w:tcBorders>
              <w:top w:val="single" w:sz="12" w:space="0" w:color="auto"/>
            </w:tcBorders>
            <w:shd w:val="clear" w:color="auto" w:fill="auto"/>
            <w:vAlign w:val="bottom"/>
          </w:tcPr>
          <w:p w14:paraId="7F0BD2E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188</w:t>
            </w:r>
          </w:p>
        </w:tc>
        <w:tc>
          <w:tcPr>
            <w:tcW w:w="707" w:type="dxa"/>
            <w:tcBorders>
              <w:top w:val="single" w:sz="12" w:space="0" w:color="auto"/>
            </w:tcBorders>
            <w:shd w:val="clear" w:color="auto" w:fill="auto"/>
            <w:vAlign w:val="bottom"/>
          </w:tcPr>
          <w:p w14:paraId="03A637E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194</w:t>
            </w:r>
          </w:p>
        </w:tc>
      </w:tr>
      <w:tr w:rsidR="00243B75" w:rsidRPr="008253DC" w14:paraId="41EFFAA8" w14:textId="77777777" w:rsidTr="00243B75">
        <w:trPr>
          <w:trHeight w:val="240"/>
        </w:trPr>
        <w:tc>
          <w:tcPr>
            <w:tcW w:w="2410" w:type="dxa"/>
            <w:vMerge/>
            <w:shd w:val="clear" w:color="auto" w:fill="auto"/>
          </w:tcPr>
          <w:p w14:paraId="1076B13F"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p>
        </w:tc>
        <w:tc>
          <w:tcPr>
            <w:tcW w:w="992" w:type="dxa"/>
            <w:shd w:val="clear" w:color="auto" w:fill="auto"/>
            <w:vAlign w:val="bottom"/>
          </w:tcPr>
          <w:p w14:paraId="347A8931"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Hombres</w:t>
            </w:r>
          </w:p>
        </w:tc>
        <w:tc>
          <w:tcPr>
            <w:tcW w:w="709" w:type="dxa"/>
            <w:shd w:val="clear" w:color="auto" w:fill="auto"/>
            <w:vAlign w:val="bottom"/>
          </w:tcPr>
          <w:p w14:paraId="5BEDE55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117</w:t>
            </w:r>
          </w:p>
        </w:tc>
        <w:tc>
          <w:tcPr>
            <w:tcW w:w="567" w:type="dxa"/>
            <w:shd w:val="clear" w:color="auto" w:fill="auto"/>
            <w:vAlign w:val="bottom"/>
          </w:tcPr>
          <w:p w14:paraId="5083C12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129</w:t>
            </w:r>
          </w:p>
        </w:tc>
        <w:tc>
          <w:tcPr>
            <w:tcW w:w="709" w:type="dxa"/>
            <w:shd w:val="clear" w:color="auto" w:fill="auto"/>
            <w:vAlign w:val="bottom"/>
          </w:tcPr>
          <w:p w14:paraId="6994BAE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118</w:t>
            </w:r>
          </w:p>
        </w:tc>
        <w:tc>
          <w:tcPr>
            <w:tcW w:w="567" w:type="dxa"/>
            <w:shd w:val="clear" w:color="auto" w:fill="auto"/>
            <w:vAlign w:val="bottom"/>
          </w:tcPr>
          <w:p w14:paraId="09D2CDF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117</w:t>
            </w:r>
          </w:p>
        </w:tc>
        <w:tc>
          <w:tcPr>
            <w:tcW w:w="709" w:type="dxa"/>
            <w:shd w:val="clear" w:color="auto" w:fill="auto"/>
            <w:vAlign w:val="bottom"/>
          </w:tcPr>
          <w:p w14:paraId="7734505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120</w:t>
            </w:r>
          </w:p>
        </w:tc>
        <w:tc>
          <w:tcPr>
            <w:tcW w:w="707" w:type="dxa"/>
            <w:shd w:val="clear" w:color="auto" w:fill="auto"/>
            <w:vAlign w:val="bottom"/>
          </w:tcPr>
          <w:p w14:paraId="2CFB5B7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110</w:t>
            </w:r>
          </w:p>
        </w:tc>
      </w:tr>
      <w:tr w:rsidR="00243B75" w:rsidRPr="008253DC" w14:paraId="3C98BB98" w14:textId="77777777" w:rsidTr="00243B75">
        <w:trPr>
          <w:trHeight w:val="240"/>
        </w:trPr>
        <w:tc>
          <w:tcPr>
            <w:tcW w:w="2410" w:type="dxa"/>
            <w:vMerge/>
            <w:shd w:val="clear" w:color="auto" w:fill="auto"/>
          </w:tcPr>
          <w:p w14:paraId="2E6FDB7F"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p>
        </w:tc>
        <w:tc>
          <w:tcPr>
            <w:tcW w:w="992" w:type="dxa"/>
            <w:shd w:val="clear" w:color="auto" w:fill="auto"/>
            <w:vAlign w:val="bottom"/>
          </w:tcPr>
          <w:p w14:paraId="14445029"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Mujeres</w:t>
            </w:r>
          </w:p>
        </w:tc>
        <w:tc>
          <w:tcPr>
            <w:tcW w:w="709" w:type="dxa"/>
            <w:shd w:val="clear" w:color="auto" w:fill="auto"/>
            <w:vAlign w:val="bottom"/>
          </w:tcPr>
          <w:p w14:paraId="1BC3F12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72</w:t>
            </w:r>
          </w:p>
        </w:tc>
        <w:tc>
          <w:tcPr>
            <w:tcW w:w="567" w:type="dxa"/>
            <w:shd w:val="clear" w:color="auto" w:fill="auto"/>
            <w:vAlign w:val="bottom"/>
          </w:tcPr>
          <w:p w14:paraId="4706A70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90</w:t>
            </w:r>
          </w:p>
        </w:tc>
        <w:tc>
          <w:tcPr>
            <w:tcW w:w="709" w:type="dxa"/>
            <w:shd w:val="clear" w:color="auto" w:fill="auto"/>
            <w:vAlign w:val="bottom"/>
          </w:tcPr>
          <w:p w14:paraId="654387A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76</w:t>
            </w:r>
          </w:p>
        </w:tc>
        <w:tc>
          <w:tcPr>
            <w:tcW w:w="567" w:type="dxa"/>
            <w:shd w:val="clear" w:color="auto" w:fill="auto"/>
            <w:vAlign w:val="bottom"/>
          </w:tcPr>
          <w:p w14:paraId="6AB8A52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75</w:t>
            </w:r>
          </w:p>
        </w:tc>
        <w:tc>
          <w:tcPr>
            <w:tcW w:w="709" w:type="dxa"/>
            <w:shd w:val="clear" w:color="auto" w:fill="auto"/>
            <w:vAlign w:val="bottom"/>
          </w:tcPr>
          <w:p w14:paraId="48A5AB6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68</w:t>
            </w:r>
          </w:p>
        </w:tc>
        <w:tc>
          <w:tcPr>
            <w:tcW w:w="707" w:type="dxa"/>
            <w:shd w:val="clear" w:color="auto" w:fill="auto"/>
            <w:vAlign w:val="bottom"/>
          </w:tcPr>
          <w:p w14:paraId="16AE6D0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84</w:t>
            </w:r>
          </w:p>
        </w:tc>
      </w:tr>
      <w:tr w:rsidR="00243B75" w:rsidRPr="008253DC" w14:paraId="5A258F95" w14:textId="77777777" w:rsidTr="00243B75">
        <w:trPr>
          <w:trHeight w:val="240"/>
        </w:trPr>
        <w:tc>
          <w:tcPr>
            <w:tcW w:w="2410" w:type="dxa"/>
            <w:vMerge w:val="restart"/>
            <w:shd w:val="clear" w:color="auto" w:fill="auto"/>
          </w:tcPr>
          <w:p w14:paraId="4A619634"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Enfermedad de Alzheimer</w:t>
            </w:r>
          </w:p>
        </w:tc>
        <w:tc>
          <w:tcPr>
            <w:tcW w:w="992" w:type="dxa"/>
            <w:shd w:val="clear" w:color="auto" w:fill="auto"/>
            <w:vAlign w:val="bottom"/>
          </w:tcPr>
          <w:p w14:paraId="1CCC1685"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p>
        </w:tc>
        <w:tc>
          <w:tcPr>
            <w:tcW w:w="709" w:type="dxa"/>
            <w:shd w:val="clear" w:color="auto" w:fill="auto"/>
            <w:vAlign w:val="bottom"/>
          </w:tcPr>
          <w:p w14:paraId="5C88A6A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122</w:t>
            </w:r>
          </w:p>
        </w:tc>
        <w:tc>
          <w:tcPr>
            <w:tcW w:w="567" w:type="dxa"/>
            <w:shd w:val="clear" w:color="auto" w:fill="auto"/>
            <w:vAlign w:val="bottom"/>
          </w:tcPr>
          <w:p w14:paraId="016F748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124</w:t>
            </w:r>
          </w:p>
        </w:tc>
        <w:tc>
          <w:tcPr>
            <w:tcW w:w="709" w:type="dxa"/>
            <w:shd w:val="clear" w:color="auto" w:fill="auto"/>
            <w:vAlign w:val="bottom"/>
          </w:tcPr>
          <w:p w14:paraId="2BD5F03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128</w:t>
            </w:r>
          </w:p>
        </w:tc>
        <w:tc>
          <w:tcPr>
            <w:tcW w:w="567" w:type="dxa"/>
            <w:shd w:val="clear" w:color="auto" w:fill="auto"/>
            <w:vAlign w:val="bottom"/>
          </w:tcPr>
          <w:p w14:paraId="496CC53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142</w:t>
            </w:r>
          </w:p>
        </w:tc>
        <w:tc>
          <w:tcPr>
            <w:tcW w:w="709" w:type="dxa"/>
            <w:shd w:val="clear" w:color="auto" w:fill="auto"/>
            <w:vAlign w:val="bottom"/>
          </w:tcPr>
          <w:p w14:paraId="6CD6E1E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172</w:t>
            </w:r>
          </w:p>
        </w:tc>
        <w:tc>
          <w:tcPr>
            <w:tcW w:w="707" w:type="dxa"/>
            <w:shd w:val="clear" w:color="auto" w:fill="auto"/>
            <w:vAlign w:val="bottom"/>
          </w:tcPr>
          <w:p w14:paraId="0AA43F8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151</w:t>
            </w:r>
          </w:p>
        </w:tc>
      </w:tr>
      <w:tr w:rsidR="00243B75" w:rsidRPr="008253DC" w14:paraId="1FFC585C" w14:textId="77777777" w:rsidTr="00243B75">
        <w:trPr>
          <w:trHeight w:val="240"/>
        </w:trPr>
        <w:tc>
          <w:tcPr>
            <w:tcW w:w="2410" w:type="dxa"/>
            <w:vMerge/>
            <w:shd w:val="clear" w:color="auto" w:fill="auto"/>
          </w:tcPr>
          <w:p w14:paraId="6E021ECB"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p>
        </w:tc>
        <w:tc>
          <w:tcPr>
            <w:tcW w:w="992" w:type="dxa"/>
            <w:shd w:val="clear" w:color="auto" w:fill="auto"/>
            <w:vAlign w:val="bottom"/>
          </w:tcPr>
          <w:p w14:paraId="62643F84"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Hombres</w:t>
            </w:r>
          </w:p>
        </w:tc>
        <w:tc>
          <w:tcPr>
            <w:tcW w:w="709" w:type="dxa"/>
            <w:shd w:val="clear" w:color="auto" w:fill="auto"/>
            <w:vAlign w:val="bottom"/>
          </w:tcPr>
          <w:p w14:paraId="3AE588D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38</w:t>
            </w:r>
          </w:p>
        </w:tc>
        <w:tc>
          <w:tcPr>
            <w:tcW w:w="567" w:type="dxa"/>
            <w:shd w:val="clear" w:color="auto" w:fill="auto"/>
            <w:vAlign w:val="bottom"/>
          </w:tcPr>
          <w:p w14:paraId="12BF6A7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35</w:t>
            </w:r>
          </w:p>
        </w:tc>
        <w:tc>
          <w:tcPr>
            <w:tcW w:w="709" w:type="dxa"/>
            <w:shd w:val="clear" w:color="auto" w:fill="auto"/>
            <w:vAlign w:val="bottom"/>
          </w:tcPr>
          <w:p w14:paraId="5463055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53</w:t>
            </w:r>
          </w:p>
        </w:tc>
        <w:tc>
          <w:tcPr>
            <w:tcW w:w="567" w:type="dxa"/>
            <w:shd w:val="clear" w:color="auto" w:fill="auto"/>
            <w:vAlign w:val="bottom"/>
          </w:tcPr>
          <w:p w14:paraId="75D1568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46</w:t>
            </w:r>
          </w:p>
        </w:tc>
        <w:tc>
          <w:tcPr>
            <w:tcW w:w="709" w:type="dxa"/>
            <w:shd w:val="clear" w:color="auto" w:fill="auto"/>
            <w:vAlign w:val="bottom"/>
          </w:tcPr>
          <w:p w14:paraId="7AF0D35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62</w:t>
            </w:r>
          </w:p>
        </w:tc>
        <w:tc>
          <w:tcPr>
            <w:tcW w:w="707" w:type="dxa"/>
            <w:shd w:val="clear" w:color="auto" w:fill="auto"/>
            <w:vAlign w:val="bottom"/>
          </w:tcPr>
          <w:p w14:paraId="03E915F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47</w:t>
            </w:r>
          </w:p>
        </w:tc>
      </w:tr>
      <w:tr w:rsidR="00243B75" w:rsidRPr="008253DC" w14:paraId="3ED89DB9" w14:textId="77777777" w:rsidTr="00243B75">
        <w:trPr>
          <w:trHeight w:val="240"/>
        </w:trPr>
        <w:tc>
          <w:tcPr>
            <w:tcW w:w="2410" w:type="dxa"/>
            <w:vMerge/>
            <w:shd w:val="clear" w:color="auto" w:fill="auto"/>
          </w:tcPr>
          <w:p w14:paraId="2ED67AAB"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p>
        </w:tc>
        <w:tc>
          <w:tcPr>
            <w:tcW w:w="992" w:type="dxa"/>
            <w:shd w:val="clear" w:color="auto" w:fill="auto"/>
            <w:vAlign w:val="bottom"/>
          </w:tcPr>
          <w:p w14:paraId="752CC344"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Mujeres</w:t>
            </w:r>
          </w:p>
        </w:tc>
        <w:tc>
          <w:tcPr>
            <w:tcW w:w="709" w:type="dxa"/>
            <w:shd w:val="clear" w:color="auto" w:fill="auto"/>
            <w:vAlign w:val="bottom"/>
          </w:tcPr>
          <w:p w14:paraId="514BFD0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84</w:t>
            </w:r>
          </w:p>
        </w:tc>
        <w:tc>
          <w:tcPr>
            <w:tcW w:w="567" w:type="dxa"/>
            <w:shd w:val="clear" w:color="auto" w:fill="auto"/>
            <w:vAlign w:val="bottom"/>
          </w:tcPr>
          <w:p w14:paraId="6B3753D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89</w:t>
            </w:r>
          </w:p>
        </w:tc>
        <w:tc>
          <w:tcPr>
            <w:tcW w:w="709" w:type="dxa"/>
            <w:shd w:val="clear" w:color="auto" w:fill="auto"/>
            <w:vAlign w:val="bottom"/>
          </w:tcPr>
          <w:p w14:paraId="4498CFA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75</w:t>
            </w:r>
          </w:p>
        </w:tc>
        <w:tc>
          <w:tcPr>
            <w:tcW w:w="567" w:type="dxa"/>
            <w:shd w:val="clear" w:color="auto" w:fill="auto"/>
            <w:vAlign w:val="bottom"/>
          </w:tcPr>
          <w:p w14:paraId="356209A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96</w:t>
            </w:r>
          </w:p>
        </w:tc>
        <w:tc>
          <w:tcPr>
            <w:tcW w:w="709" w:type="dxa"/>
            <w:shd w:val="clear" w:color="auto" w:fill="auto"/>
            <w:vAlign w:val="bottom"/>
          </w:tcPr>
          <w:p w14:paraId="0D197EC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110</w:t>
            </w:r>
          </w:p>
        </w:tc>
        <w:tc>
          <w:tcPr>
            <w:tcW w:w="707" w:type="dxa"/>
            <w:shd w:val="clear" w:color="auto" w:fill="auto"/>
            <w:vAlign w:val="bottom"/>
          </w:tcPr>
          <w:p w14:paraId="262043E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104</w:t>
            </w:r>
          </w:p>
        </w:tc>
      </w:tr>
      <w:tr w:rsidR="00243B75" w:rsidRPr="008253DC" w14:paraId="774DC0C7" w14:textId="77777777" w:rsidTr="00243B75">
        <w:trPr>
          <w:trHeight w:val="240"/>
        </w:trPr>
        <w:tc>
          <w:tcPr>
            <w:tcW w:w="2410" w:type="dxa"/>
            <w:vMerge w:val="restart"/>
            <w:shd w:val="clear" w:color="auto" w:fill="auto"/>
          </w:tcPr>
          <w:p w14:paraId="1727A8A3"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Neoplasia maligna de bronquios y de pulmón</w:t>
            </w:r>
          </w:p>
        </w:tc>
        <w:tc>
          <w:tcPr>
            <w:tcW w:w="992" w:type="dxa"/>
            <w:shd w:val="clear" w:color="auto" w:fill="auto"/>
            <w:vAlign w:val="bottom"/>
          </w:tcPr>
          <w:p w14:paraId="677D344D"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p>
        </w:tc>
        <w:tc>
          <w:tcPr>
            <w:tcW w:w="709" w:type="dxa"/>
            <w:shd w:val="clear" w:color="auto" w:fill="auto"/>
            <w:vAlign w:val="bottom"/>
          </w:tcPr>
          <w:p w14:paraId="494C6BE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140</w:t>
            </w:r>
          </w:p>
        </w:tc>
        <w:tc>
          <w:tcPr>
            <w:tcW w:w="567" w:type="dxa"/>
            <w:shd w:val="clear" w:color="auto" w:fill="auto"/>
            <w:vAlign w:val="bottom"/>
          </w:tcPr>
          <w:p w14:paraId="13D549E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133</w:t>
            </w:r>
          </w:p>
        </w:tc>
        <w:tc>
          <w:tcPr>
            <w:tcW w:w="709" w:type="dxa"/>
            <w:shd w:val="clear" w:color="auto" w:fill="auto"/>
            <w:vAlign w:val="bottom"/>
          </w:tcPr>
          <w:p w14:paraId="7880DE7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133</w:t>
            </w:r>
          </w:p>
        </w:tc>
        <w:tc>
          <w:tcPr>
            <w:tcW w:w="567" w:type="dxa"/>
            <w:shd w:val="clear" w:color="auto" w:fill="auto"/>
            <w:vAlign w:val="bottom"/>
          </w:tcPr>
          <w:p w14:paraId="02E4246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117</w:t>
            </w:r>
          </w:p>
        </w:tc>
        <w:tc>
          <w:tcPr>
            <w:tcW w:w="709" w:type="dxa"/>
            <w:shd w:val="clear" w:color="auto" w:fill="auto"/>
            <w:vAlign w:val="bottom"/>
          </w:tcPr>
          <w:p w14:paraId="05551F8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156</w:t>
            </w:r>
          </w:p>
        </w:tc>
        <w:tc>
          <w:tcPr>
            <w:tcW w:w="707" w:type="dxa"/>
            <w:shd w:val="clear" w:color="auto" w:fill="auto"/>
            <w:vAlign w:val="bottom"/>
          </w:tcPr>
          <w:p w14:paraId="2DA6E93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124</w:t>
            </w:r>
          </w:p>
        </w:tc>
      </w:tr>
      <w:tr w:rsidR="00243B75" w:rsidRPr="008253DC" w14:paraId="6BF119F9" w14:textId="77777777" w:rsidTr="00243B75">
        <w:trPr>
          <w:trHeight w:val="240"/>
        </w:trPr>
        <w:tc>
          <w:tcPr>
            <w:tcW w:w="2410" w:type="dxa"/>
            <w:vMerge/>
            <w:shd w:val="clear" w:color="auto" w:fill="auto"/>
          </w:tcPr>
          <w:p w14:paraId="7CE99321"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p>
        </w:tc>
        <w:tc>
          <w:tcPr>
            <w:tcW w:w="992" w:type="dxa"/>
            <w:shd w:val="clear" w:color="auto" w:fill="auto"/>
            <w:vAlign w:val="bottom"/>
          </w:tcPr>
          <w:p w14:paraId="27BE52C0"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Hombres</w:t>
            </w:r>
          </w:p>
        </w:tc>
        <w:tc>
          <w:tcPr>
            <w:tcW w:w="709" w:type="dxa"/>
            <w:shd w:val="clear" w:color="auto" w:fill="auto"/>
            <w:vAlign w:val="bottom"/>
          </w:tcPr>
          <w:p w14:paraId="4B7949A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66</w:t>
            </w:r>
          </w:p>
        </w:tc>
        <w:tc>
          <w:tcPr>
            <w:tcW w:w="567" w:type="dxa"/>
            <w:shd w:val="clear" w:color="auto" w:fill="auto"/>
            <w:vAlign w:val="bottom"/>
          </w:tcPr>
          <w:p w14:paraId="070C0EA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66</w:t>
            </w:r>
          </w:p>
        </w:tc>
        <w:tc>
          <w:tcPr>
            <w:tcW w:w="709" w:type="dxa"/>
            <w:shd w:val="clear" w:color="auto" w:fill="auto"/>
            <w:vAlign w:val="bottom"/>
          </w:tcPr>
          <w:p w14:paraId="7499BA0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67</w:t>
            </w:r>
          </w:p>
        </w:tc>
        <w:tc>
          <w:tcPr>
            <w:tcW w:w="567" w:type="dxa"/>
            <w:shd w:val="clear" w:color="auto" w:fill="auto"/>
            <w:vAlign w:val="bottom"/>
          </w:tcPr>
          <w:p w14:paraId="4881CD2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48</w:t>
            </w:r>
          </w:p>
        </w:tc>
        <w:tc>
          <w:tcPr>
            <w:tcW w:w="709" w:type="dxa"/>
            <w:shd w:val="clear" w:color="auto" w:fill="auto"/>
            <w:vAlign w:val="bottom"/>
          </w:tcPr>
          <w:p w14:paraId="36A8E0E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74</w:t>
            </w:r>
          </w:p>
        </w:tc>
        <w:tc>
          <w:tcPr>
            <w:tcW w:w="707" w:type="dxa"/>
            <w:shd w:val="clear" w:color="auto" w:fill="auto"/>
            <w:vAlign w:val="bottom"/>
          </w:tcPr>
          <w:p w14:paraId="07CA036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64</w:t>
            </w:r>
          </w:p>
        </w:tc>
      </w:tr>
      <w:tr w:rsidR="00243B75" w:rsidRPr="008253DC" w14:paraId="456598BB" w14:textId="77777777" w:rsidTr="00243B75">
        <w:trPr>
          <w:trHeight w:val="240"/>
        </w:trPr>
        <w:tc>
          <w:tcPr>
            <w:tcW w:w="2410" w:type="dxa"/>
            <w:vMerge/>
            <w:shd w:val="clear" w:color="auto" w:fill="auto"/>
          </w:tcPr>
          <w:p w14:paraId="1B7E4EF5"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p>
        </w:tc>
        <w:tc>
          <w:tcPr>
            <w:tcW w:w="992" w:type="dxa"/>
            <w:shd w:val="clear" w:color="auto" w:fill="auto"/>
            <w:vAlign w:val="bottom"/>
          </w:tcPr>
          <w:p w14:paraId="57A7DD40"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Mujeres</w:t>
            </w:r>
          </w:p>
        </w:tc>
        <w:tc>
          <w:tcPr>
            <w:tcW w:w="709" w:type="dxa"/>
            <w:shd w:val="clear" w:color="auto" w:fill="auto"/>
            <w:vAlign w:val="bottom"/>
          </w:tcPr>
          <w:p w14:paraId="5DDFCEB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74</w:t>
            </w:r>
          </w:p>
        </w:tc>
        <w:tc>
          <w:tcPr>
            <w:tcW w:w="567" w:type="dxa"/>
            <w:shd w:val="clear" w:color="auto" w:fill="auto"/>
            <w:vAlign w:val="bottom"/>
          </w:tcPr>
          <w:p w14:paraId="6E09527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67</w:t>
            </w:r>
          </w:p>
        </w:tc>
        <w:tc>
          <w:tcPr>
            <w:tcW w:w="709" w:type="dxa"/>
            <w:shd w:val="clear" w:color="auto" w:fill="auto"/>
            <w:vAlign w:val="bottom"/>
          </w:tcPr>
          <w:p w14:paraId="76AD63D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66</w:t>
            </w:r>
          </w:p>
        </w:tc>
        <w:tc>
          <w:tcPr>
            <w:tcW w:w="567" w:type="dxa"/>
            <w:shd w:val="clear" w:color="auto" w:fill="auto"/>
            <w:vAlign w:val="bottom"/>
          </w:tcPr>
          <w:p w14:paraId="74DCFDC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69</w:t>
            </w:r>
          </w:p>
        </w:tc>
        <w:tc>
          <w:tcPr>
            <w:tcW w:w="709" w:type="dxa"/>
            <w:shd w:val="clear" w:color="auto" w:fill="auto"/>
            <w:vAlign w:val="bottom"/>
          </w:tcPr>
          <w:p w14:paraId="5D01D70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82</w:t>
            </w:r>
          </w:p>
        </w:tc>
        <w:tc>
          <w:tcPr>
            <w:tcW w:w="707" w:type="dxa"/>
            <w:shd w:val="clear" w:color="auto" w:fill="auto"/>
            <w:vAlign w:val="bottom"/>
          </w:tcPr>
          <w:p w14:paraId="2AA2DF8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60</w:t>
            </w:r>
          </w:p>
        </w:tc>
      </w:tr>
      <w:tr w:rsidR="00243B75" w:rsidRPr="008253DC" w14:paraId="05BBFE2B" w14:textId="77777777" w:rsidTr="00243B75">
        <w:trPr>
          <w:trHeight w:val="240"/>
        </w:trPr>
        <w:tc>
          <w:tcPr>
            <w:tcW w:w="2410" w:type="dxa"/>
            <w:vMerge w:val="restart"/>
            <w:shd w:val="clear" w:color="auto" w:fill="auto"/>
          </w:tcPr>
          <w:p w14:paraId="65A1063D"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Infarto agudo de miocardio</w:t>
            </w:r>
          </w:p>
        </w:tc>
        <w:tc>
          <w:tcPr>
            <w:tcW w:w="992" w:type="dxa"/>
            <w:shd w:val="clear" w:color="auto" w:fill="auto"/>
            <w:vAlign w:val="bottom"/>
          </w:tcPr>
          <w:p w14:paraId="6D7936DD"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p>
        </w:tc>
        <w:tc>
          <w:tcPr>
            <w:tcW w:w="709" w:type="dxa"/>
            <w:shd w:val="clear" w:color="auto" w:fill="auto"/>
            <w:vAlign w:val="bottom"/>
          </w:tcPr>
          <w:p w14:paraId="5E3A9AE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132</w:t>
            </w:r>
          </w:p>
        </w:tc>
        <w:tc>
          <w:tcPr>
            <w:tcW w:w="567" w:type="dxa"/>
            <w:shd w:val="clear" w:color="auto" w:fill="auto"/>
            <w:vAlign w:val="bottom"/>
          </w:tcPr>
          <w:p w14:paraId="0956131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124</w:t>
            </w:r>
          </w:p>
        </w:tc>
        <w:tc>
          <w:tcPr>
            <w:tcW w:w="709" w:type="dxa"/>
            <w:shd w:val="clear" w:color="auto" w:fill="auto"/>
            <w:vAlign w:val="bottom"/>
          </w:tcPr>
          <w:p w14:paraId="462764D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120</w:t>
            </w:r>
          </w:p>
        </w:tc>
        <w:tc>
          <w:tcPr>
            <w:tcW w:w="567" w:type="dxa"/>
            <w:shd w:val="clear" w:color="auto" w:fill="auto"/>
            <w:vAlign w:val="bottom"/>
          </w:tcPr>
          <w:p w14:paraId="7055A11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120</w:t>
            </w:r>
          </w:p>
        </w:tc>
        <w:tc>
          <w:tcPr>
            <w:tcW w:w="709" w:type="dxa"/>
            <w:shd w:val="clear" w:color="auto" w:fill="auto"/>
            <w:vAlign w:val="bottom"/>
          </w:tcPr>
          <w:p w14:paraId="2011E6A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118</w:t>
            </w:r>
          </w:p>
        </w:tc>
        <w:tc>
          <w:tcPr>
            <w:tcW w:w="707" w:type="dxa"/>
            <w:shd w:val="clear" w:color="auto" w:fill="auto"/>
            <w:vAlign w:val="bottom"/>
          </w:tcPr>
          <w:p w14:paraId="69CA020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117</w:t>
            </w:r>
          </w:p>
        </w:tc>
      </w:tr>
      <w:tr w:rsidR="00243B75" w:rsidRPr="008253DC" w14:paraId="3850AA44" w14:textId="77777777" w:rsidTr="00243B75">
        <w:trPr>
          <w:trHeight w:val="240"/>
        </w:trPr>
        <w:tc>
          <w:tcPr>
            <w:tcW w:w="2410" w:type="dxa"/>
            <w:vMerge/>
            <w:shd w:val="clear" w:color="auto" w:fill="auto"/>
          </w:tcPr>
          <w:p w14:paraId="18125944"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p>
        </w:tc>
        <w:tc>
          <w:tcPr>
            <w:tcW w:w="992" w:type="dxa"/>
            <w:shd w:val="clear" w:color="auto" w:fill="auto"/>
            <w:vAlign w:val="bottom"/>
          </w:tcPr>
          <w:p w14:paraId="12F74E89"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Hombres</w:t>
            </w:r>
          </w:p>
        </w:tc>
        <w:tc>
          <w:tcPr>
            <w:tcW w:w="709" w:type="dxa"/>
            <w:shd w:val="clear" w:color="auto" w:fill="auto"/>
            <w:vAlign w:val="bottom"/>
          </w:tcPr>
          <w:p w14:paraId="348CA68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70</w:t>
            </w:r>
          </w:p>
        </w:tc>
        <w:tc>
          <w:tcPr>
            <w:tcW w:w="567" w:type="dxa"/>
            <w:shd w:val="clear" w:color="auto" w:fill="auto"/>
            <w:vAlign w:val="bottom"/>
          </w:tcPr>
          <w:p w14:paraId="12DD4AD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77</w:t>
            </w:r>
          </w:p>
        </w:tc>
        <w:tc>
          <w:tcPr>
            <w:tcW w:w="709" w:type="dxa"/>
            <w:shd w:val="clear" w:color="auto" w:fill="auto"/>
            <w:vAlign w:val="bottom"/>
          </w:tcPr>
          <w:p w14:paraId="4E8C934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71</w:t>
            </w:r>
          </w:p>
        </w:tc>
        <w:tc>
          <w:tcPr>
            <w:tcW w:w="567" w:type="dxa"/>
            <w:shd w:val="clear" w:color="auto" w:fill="auto"/>
            <w:vAlign w:val="bottom"/>
          </w:tcPr>
          <w:p w14:paraId="01FB436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75</w:t>
            </w:r>
          </w:p>
        </w:tc>
        <w:tc>
          <w:tcPr>
            <w:tcW w:w="709" w:type="dxa"/>
            <w:shd w:val="clear" w:color="auto" w:fill="auto"/>
            <w:vAlign w:val="bottom"/>
          </w:tcPr>
          <w:p w14:paraId="1F5628E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76</w:t>
            </w:r>
          </w:p>
        </w:tc>
        <w:tc>
          <w:tcPr>
            <w:tcW w:w="707" w:type="dxa"/>
            <w:shd w:val="clear" w:color="auto" w:fill="auto"/>
            <w:vAlign w:val="bottom"/>
          </w:tcPr>
          <w:p w14:paraId="476CE9C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79</w:t>
            </w:r>
          </w:p>
        </w:tc>
      </w:tr>
      <w:tr w:rsidR="00243B75" w:rsidRPr="008253DC" w14:paraId="35479E72" w14:textId="77777777" w:rsidTr="00243B75">
        <w:trPr>
          <w:trHeight w:val="240"/>
        </w:trPr>
        <w:tc>
          <w:tcPr>
            <w:tcW w:w="2410" w:type="dxa"/>
            <w:vMerge/>
            <w:shd w:val="clear" w:color="auto" w:fill="auto"/>
          </w:tcPr>
          <w:p w14:paraId="09A0D709"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p>
        </w:tc>
        <w:tc>
          <w:tcPr>
            <w:tcW w:w="992" w:type="dxa"/>
            <w:shd w:val="clear" w:color="auto" w:fill="auto"/>
            <w:vAlign w:val="bottom"/>
          </w:tcPr>
          <w:p w14:paraId="7A66300F"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Mujeres</w:t>
            </w:r>
          </w:p>
        </w:tc>
        <w:tc>
          <w:tcPr>
            <w:tcW w:w="709" w:type="dxa"/>
            <w:shd w:val="clear" w:color="auto" w:fill="auto"/>
            <w:vAlign w:val="bottom"/>
          </w:tcPr>
          <w:p w14:paraId="3D4EADB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62</w:t>
            </w:r>
          </w:p>
        </w:tc>
        <w:tc>
          <w:tcPr>
            <w:tcW w:w="567" w:type="dxa"/>
            <w:shd w:val="clear" w:color="auto" w:fill="auto"/>
            <w:vAlign w:val="bottom"/>
          </w:tcPr>
          <w:p w14:paraId="0E6AAEC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47</w:t>
            </w:r>
          </w:p>
        </w:tc>
        <w:tc>
          <w:tcPr>
            <w:tcW w:w="709" w:type="dxa"/>
            <w:shd w:val="clear" w:color="auto" w:fill="auto"/>
            <w:vAlign w:val="bottom"/>
          </w:tcPr>
          <w:p w14:paraId="2DBFE0B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49</w:t>
            </w:r>
          </w:p>
        </w:tc>
        <w:tc>
          <w:tcPr>
            <w:tcW w:w="567" w:type="dxa"/>
            <w:shd w:val="clear" w:color="auto" w:fill="auto"/>
            <w:vAlign w:val="bottom"/>
          </w:tcPr>
          <w:p w14:paraId="351C667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45</w:t>
            </w:r>
          </w:p>
        </w:tc>
        <w:tc>
          <w:tcPr>
            <w:tcW w:w="709" w:type="dxa"/>
            <w:shd w:val="clear" w:color="auto" w:fill="auto"/>
            <w:vAlign w:val="bottom"/>
          </w:tcPr>
          <w:p w14:paraId="1D9457A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42</w:t>
            </w:r>
          </w:p>
        </w:tc>
        <w:tc>
          <w:tcPr>
            <w:tcW w:w="707" w:type="dxa"/>
            <w:shd w:val="clear" w:color="auto" w:fill="auto"/>
            <w:vAlign w:val="bottom"/>
          </w:tcPr>
          <w:p w14:paraId="5EF3426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38</w:t>
            </w:r>
          </w:p>
        </w:tc>
      </w:tr>
      <w:tr w:rsidR="00243B75" w:rsidRPr="008253DC" w14:paraId="497CAD62" w14:textId="77777777" w:rsidTr="00243B75">
        <w:trPr>
          <w:trHeight w:val="240"/>
        </w:trPr>
        <w:tc>
          <w:tcPr>
            <w:tcW w:w="2410" w:type="dxa"/>
            <w:vMerge w:val="restart"/>
            <w:shd w:val="clear" w:color="auto" w:fill="auto"/>
          </w:tcPr>
          <w:p w14:paraId="17964F43" w14:textId="77777777" w:rsidR="00C619FA" w:rsidRPr="008253DC" w:rsidRDefault="00C619FA" w:rsidP="00340CFB">
            <w:pPr>
              <w:pStyle w:val="SingleTxtG"/>
              <w:keepNext/>
              <w:keepLines/>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lastRenderedPageBreak/>
              <w:t>Enfermedad pulmonar obstructiva crónica</w:t>
            </w:r>
          </w:p>
        </w:tc>
        <w:tc>
          <w:tcPr>
            <w:tcW w:w="992" w:type="dxa"/>
            <w:shd w:val="clear" w:color="auto" w:fill="auto"/>
            <w:vAlign w:val="bottom"/>
          </w:tcPr>
          <w:p w14:paraId="7C6B7AA1" w14:textId="77777777" w:rsidR="00C619FA" w:rsidRPr="008253DC" w:rsidRDefault="00C619FA" w:rsidP="00340CFB">
            <w:pPr>
              <w:pStyle w:val="SingleTxtG"/>
              <w:keepNext/>
              <w:keepLines/>
              <w:tabs>
                <w:tab w:val="clear" w:pos="1701"/>
                <w:tab w:val="clear" w:pos="2268"/>
                <w:tab w:val="clear" w:pos="2835"/>
              </w:tabs>
              <w:spacing w:before="40" w:after="40" w:line="220" w:lineRule="exact"/>
              <w:ind w:left="113" w:right="0"/>
              <w:jc w:val="left"/>
              <w:rPr>
                <w:sz w:val="18"/>
                <w:lang w:val="es-ES_tradnl"/>
              </w:rPr>
            </w:pPr>
          </w:p>
        </w:tc>
        <w:tc>
          <w:tcPr>
            <w:tcW w:w="709" w:type="dxa"/>
            <w:shd w:val="clear" w:color="auto" w:fill="auto"/>
            <w:vAlign w:val="bottom"/>
          </w:tcPr>
          <w:p w14:paraId="424C62A8" w14:textId="77777777" w:rsidR="00C619FA" w:rsidRPr="008253DC" w:rsidRDefault="00C619FA" w:rsidP="00340CFB">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76</w:t>
            </w:r>
          </w:p>
        </w:tc>
        <w:tc>
          <w:tcPr>
            <w:tcW w:w="567" w:type="dxa"/>
            <w:shd w:val="clear" w:color="auto" w:fill="auto"/>
            <w:vAlign w:val="bottom"/>
          </w:tcPr>
          <w:p w14:paraId="07719DBA" w14:textId="77777777" w:rsidR="00C619FA" w:rsidRPr="008253DC" w:rsidRDefault="00C619FA" w:rsidP="00340CFB">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82</w:t>
            </w:r>
          </w:p>
        </w:tc>
        <w:tc>
          <w:tcPr>
            <w:tcW w:w="709" w:type="dxa"/>
            <w:shd w:val="clear" w:color="auto" w:fill="auto"/>
            <w:vAlign w:val="bottom"/>
          </w:tcPr>
          <w:p w14:paraId="2CBCA21E" w14:textId="77777777" w:rsidR="00C619FA" w:rsidRPr="008253DC" w:rsidRDefault="00C619FA" w:rsidP="00340CFB">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67</w:t>
            </w:r>
          </w:p>
        </w:tc>
        <w:tc>
          <w:tcPr>
            <w:tcW w:w="567" w:type="dxa"/>
            <w:shd w:val="clear" w:color="auto" w:fill="auto"/>
            <w:vAlign w:val="bottom"/>
          </w:tcPr>
          <w:p w14:paraId="5BA41F8E" w14:textId="77777777" w:rsidR="00C619FA" w:rsidRPr="008253DC" w:rsidRDefault="00C619FA" w:rsidP="00340CFB">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76</w:t>
            </w:r>
          </w:p>
        </w:tc>
        <w:tc>
          <w:tcPr>
            <w:tcW w:w="709" w:type="dxa"/>
            <w:shd w:val="clear" w:color="auto" w:fill="auto"/>
            <w:vAlign w:val="bottom"/>
          </w:tcPr>
          <w:p w14:paraId="425B6F71" w14:textId="77777777" w:rsidR="00C619FA" w:rsidRPr="008253DC" w:rsidRDefault="00C619FA" w:rsidP="00340CFB">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95</w:t>
            </w:r>
          </w:p>
        </w:tc>
        <w:tc>
          <w:tcPr>
            <w:tcW w:w="707" w:type="dxa"/>
            <w:shd w:val="clear" w:color="auto" w:fill="auto"/>
            <w:vAlign w:val="bottom"/>
          </w:tcPr>
          <w:p w14:paraId="48CF0842" w14:textId="77777777" w:rsidR="00C619FA" w:rsidRPr="008253DC" w:rsidRDefault="00C619FA" w:rsidP="00340CFB">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116</w:t>
            </w:r>
          </w:p>
        </w:tc>
      </w:tr>
      <w:tr w:rsidR="00243B75" w:rsidRPr="008253DC" w14:paraId="3DE20FBE" w14:textId="77777777" w:rsidTr="00243B75">
        <w:trPr>
          <w:trHeight w:val="240"/>
        </w:trPr>
        <w:tc>
          <w:tcPr>
            <w:tcW w:w="2410" w:type="dxa"/>
            <w:vMerge/>
            <w:shd w:val="clear" w:color="auto" w:fill="auto"/>
          </w:tcPr>
          <w:p w14:paraId="4F146789" w14:textId="77777777" w:rsidR="00C619FA" w:rsidRPr="008253DC" w:rsidRDefault="00C619FA" w:rsidP="00340CFB">
            <w:pPr>
              <w:pStyle w:val="SingleTxtG"/>
              <w:keepNext/>
              <w:keepLines/>
              <w:tabs>
                <w:tab w:val="clear" w:pos="1701"/>
                <w:tab w:val="clear" w:pos="2268"/>
                <w:tab w:val="clear" w:pos="2835"/>
              </w:tabs>
              <w:spacing w:before="40" w:after="40" w:line="220" w:lineRule="exact"/>
              <w:ind w:left="0" w:right="0"/>
              <w:jc w:val="left"/>
              <w:rPr>
                <w:sz w:val="18"/>
                <w:lang w:val="es-ES_tradnl"/>
              </w:rPr>
            </w:pPr>
          </w:p>
        </w:tc>
        <w:tc>
          <w:tcPr>
            <w:tcW w:w="992" w:type="dxa"/>
            <w:shd w:val="clear" w:color="auto" w:fill="auto"/>
            <w:vAlign w:val="bottom"/>
          </w:tcPr>
          <w:p w14:paraId="5CD4D1ED" w14:textId="77777777" w:rsidR="00C619FA" w:rsidRPr="008253DC" w:rsidRDefault="00C619FA" w:rsidP="00340CFB">
            <w:pPr>
              <w:pStyle w:val="SingleTxtG"/>
              <w:keepNext/>
              <w:keepLines/>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Hombres</w:t>
            </w:r>
          </w:p>
        </w:tc>
        <w:tc>
          <w:tcPr>
            <w:tcW w:w="709" w:type="dxa"/>
            <w:shd w:val="clear" w:color="auto" w:fill="auto"/>
            <w:vAlign w:val="bottom"/>
          </w:tcPr>
          <w:p w14:paraId="6B866529" w14:textId="77777777" w:rsidR="00C619FA" w:rsidRPr="008253DC" w:rsidRDefault="00C619FA" w:rsidP="00340CFB">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22</w:t>
            </w:r>
          </w:p>
        </w:tc>
        <w:tc>
          <w:tcPr>
            <w:tcW w:w="567" w:type="dxa"/>
            <w:shd w:val="clear" w:color="auto" w:fill="auto"/>
            <w:vAlign w:val="bottom"/>
          </w:tcPr>
          <w:p w14:paraId="1DE3BD99" w14:textId="77777777" w:rsidR="00C619FA" w:rsidRPr="008253DC" w:rsidRDefault="00C619FA" w:rsidP="00340CFB">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34</w:t>
            </w:r>
          </w:p>
        </w:tc>
        <w:tc>
          <w:tcPr>
            <w:tcW w:w="709" w:type="dxa"/>
            <w:shd w:val="clear" w:color="auto" w:fill="auto"/>
            <w:vAlign w:val="bottom"/>
          </w:tcPr>
          <w:p w14:paraId="44ED590B" w14:textId="77777777" w:rsidR="00C619FA" w:rsidRPr="008253DC" w:rsidRDefault="00C619FA" w:rsidP="00340CFB">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27</w:t>
            </w:r>
          </w:p>
        </w:tc>
        <w:tc>
          <w:tcPr>
            <w:tcW w:w="567" w:type="dxa"/>
            <w:shd w:val="clear" w:color="auto" w:fill="auto"/>
            <w:vAlign w:val="bottom"/>
          </w:tcPr>
          <w:p w14:paraId="607DD941" w14:textId="77777777" w:rsidR="00C619FA" w:rsidRPr="008253DC" w:rsidRDefault="00C619FA" w:rsidP="00340CFB">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27</w:t>
            </w:r>
          </w:p>
        </w:tc>
        <w:tc>
          <w:tcPr>
            <w:tcW w:w="709" w:type="dxa"/>
            <w:shd w:val="clear" w:color="auto" w:fill="auto"/>
            <w:vAlign w:val="bottom"/>
          </w:tcPr>
          <w:p w14:paraId="57047FC8" w14:textId="77777777" w:rsidR="00C619FA" w:rsidRPr="008253DC" w:rsidRDefault="00C619FA" w:rsidP="00340CFB">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42</w:t>
            </w:r>
          </w:p>
        </w:tc>
        <w:tc>
          <w:tcPr>
            <w:tcW w:w="707" w:type="dxa"/>
            <w:shd w:val="clear" w:color="auto" w:fill="auto"/>
            <w:vAlign w:val="bottom"/>
          </w:tcPr>
          <w:p w14:paraId="62A70E72" w14:textId="77777777" w:rsidR="00C619FA" w:rsidRPr="008253DC" w:rsidRDefault="00C619FA" w:rsidP="00340CFB">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50</w:t>
            </w:r>
          </w:p>
        </w:tc>
      </w:tr>
      <w:tr w:rsidR="00243B75" w:rsidRPr="008253DC" w14:paraId="58584FF8" w14:textId="77777777" w:rsidTr="00243B75">
        <w:trPr>
          <w:trHeight w:val="240"/>
        </w:trPr>
        <w:tc>
          <w:tcPr>
            <w:tcW w:w="2410" w:type="dxa"/>
            <w:vMerge/>
            <w:shd w:val="clear" w:color="auto" w:fill="auto"/>
          </w:tcPr>
          <w:p w14:paraId="2482CE2E"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p>
        </w:tc>
        <w:tc>
          <w:tcPr>
            <w:tcW w:w="992" w:type="dxa"/>
            <w:shd w:val="clear" w:color="auto" w:fill="auto"/>
            <w:vAlign w:val="bottom"/>
          </w:tcPr>
          <w:p w14:paraId="492C929A"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Mujeres</w:t>
            </w:r>
          </w:p>
        </w:tc>
        <w:tc>
          <w:tcPr>
            <w:tcW w:w="709" w:type="dxa"/>
            <w:shd w:val="clear" w:color="auto" w:fill="auto"/>
            <w:vAlign w:val="bottom"/>
          </w:tcPr>
          <w:p w14:paraId="4E00FA4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54</w:t>
            </w:r>
          </w:p>
        </w:tc>
        <w:tc>
          <w:tcPr>
            <w:tcW w:w="567" w:type="dxa"/>
            <w:shd w:val="clear" w:color="auto" w:fill="auto"/>
            <w:vAlign w:val="bottom"/>
          </w:tcPr>
          <w:p w14:paraId="168D876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48</w:t>
            </w:r>
          </w:p>
        </w:tc>
        <w:tc>
          <w:tcPr>
            <w:tcW w:w="709" w:type="dxa"/>
            <w:shd w:val="clear" w:color="auto" w:fill="auto"/>
            <w:vAlign w:val="bottom"/>
          </w:tcPr>
          <w:p w14:paraId="4E91251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40</w:t>
            </w:r>
          </w:p>
        </w:tc>
        <w:tc>
          <w:tcPr>
            <w:tcW w:w="567" w:type="dxa"/>
            <w:shd w:val="clear" w:color="auto" w:fill="auto"/>
            <w:vAlign w:val="bottom"/>
          </w:tcPr>
          <w:p w14:paraId="3148713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49</w:t>
            </w:r>
          </w:p>
        </w:tc>
        <w:tc>
          <w:tcPr>
            <w:tcW w:w="709" w:type="dxa"/>
            <w:shd w:val="clear" w:color="auto" w:fill="auto"/>
            <w:vAlign w:val="bottom"/>
          </w:tcPr>
          <w:p w14:paraId="432C3BF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53</w:t>
            </w:r>
          </w:p>
        </w:tc>
        <w:tc>
          <w:tcPr>
            <w:tcW w:w="707" w:type="dxa"/>
            <w:shd w:val="clear" w:color="auto" w:fill="auto"/>
            <w:vAlign w:val="bottom"/>
          </w:tcPr>
          <w:p w14:paraId="1305960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66</w:t>
            </w:r>
          </w:p>
        </w:tc>
      </w:tr>
      <w:tr w:rsidR="00243B75" w:rsidRPr="008253DC" w14:paraId="5F2545B8" w14:textId="77777777" w:rsidTr="00243B75">
        <w:trPr>
          <w:trHeight w:val="240"/>
        </w:trPr>
        <w:tc>
          <w:tcPr>
            <w:tcW w:w="2410" w:type="dxa"/>
            <w:vMerge w:val="restart"/>
            <w:shd w:val="clear" w:color="auto" w:fill="auto"/>
          </w:tcPr>
          <w:p w14:paraId="4F00D25B"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Insuficiencia cardíaca</w:t>
            </w:r>
          </w:p>
        </w:tc>
        <w:tc>
          <w:tcPr>
            <w:tcW w:w="992" w:type="dxa"/>
            <w:shd w:val="clear" w:color="auto" w:fill="auto"/>
            <w:vAlign w:val="bottom"/>
          </w:tcPr>
          <w:p w14:paraId="6D92D129"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p>
        </w:tc>
        <w:tc>
          <w:tcPr>
            <w:tcW w:w="709" w:type="dxa"/>
            <w:shd w:val="clear" w:color="auto" w:fill="auto"/>
            <w:vAlign w:val="bottom"/>
          </w:tcPr>
          <w:p w14:paraId="346F058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55</w:t>
            </w:r>
          </w:p>
        </w:tc>
        <w:tc>
          <w:tcPr>
            <w:tcW w:w="567" w:type="dxa"/>
            <w:shd w:val="clear" w:color="auto" w:fill="auto"/>
            <w:vAlign w:val="bottom"/>
          </w:tcPr>
          <w:p w14:paraId="2233308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71</w:t>
            </w:r>
          </w:p>
        </w:tc>
        <w:tc>
          <w:tcPr>
            <w:tcW w:w="709" w:type="dxa"/>
            <w:shd w:val="clear" w:color="auto" w:fill="auto"/>
            <w:vAlign w:val="bottom"/>
          </w:tcPr>
          <w:p w14:paraId="20DA99B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61</w:t>
            </w:r>
          </w:p>
        </w:tc>
        <w:tc>
          <w:tcPr>
            <w:tcW w:w="567" w:type="dxa"/>
            <w:shd w:val="clear" w:color="auto" w:fill="auto"/>
            <w:vAlign w:val="bottom"/>
          </w:tcPr>
          <w:p w14:paraId="7D48E5E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83</w:t>
            </w:r>
          </w:p>
        </w:tc>
        <w:tc>
          <w:tcPr>
            <w:tcW w:w="709" w:type="dxa"/>
            <w:shd w:val="clear" w:color="auto" w:fill="auto"/>
            <w:vAlign w:val="bottom"/>
          </w:tcPr>
          <w:p w14:paraId="70A91E5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80</w:t>
            </w:r>
          </w:p>
        </w:tc>
        <w:tc>
          <w:tcPr>
            <w:tcW w:w="707" w:type="dxa"/>
            <w:shd w:val="clear" w:color="auto" w:fill="auto"/>
            <w:vAlign w:val="bottom"/>
          </w:tcPr>
          <w:p w14:paraId="22FD013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83</w:t>
            </w:r>
          </w:p>
        </w:tc>
      </w:tr>
      <w:tr w:rsidR="00243B75" w:rsidRPr="008253DC" w14:paraId="328CECA9" w14:textId="77777777" w:rsidTr="00243B75">
        <w:trPr>
          <w:trHeight w:val="240"/>
        </w:trPr>
        <w:tc>
          <w:tcPr>
            <w:tcW w:w="2410" w:type="dxa"/>
            <w:vMerge/>
            <w:shd w:val="clear" w:color="auto" w:fill="auto"/>
          </w:tcPr>
          <w:p w14:paraId="33F08567"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p>
        </w:tc>
        <w:tc>
          <w:tcPr>
            <w:tcW w:w="992" w:type="dxa"/>
            <w:shd w:val="clear" w:color="auto" w:fill="auto"/>
            <w:vAlign w:val="bottom"/>
          </w:tcPr>
          <w:p w14:paraId="2D3A86ED"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Hombres</w:t>
            </w:r>
          </w:p>
        </w:tc>
        <w:tc>
          <w:tcPr>
            <w:tcW w:w="709" w:type="dxa"/>
            <w:shd w:val="clear" w:color="auto" w:fill="auto"/>
            <w:vAlign w:val="bottom"/>
          </w:tcPr>
          <w:p w14:paraId="3957090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18</w:t>
            </w:r>
          </w:p>
        </w:tc>
        <w:tc>
          <w:tcPr>
            <w:tcW w:w="567" w:type="dxa"/>
            <w:shd w:val="clear" w:color="auto" w:fill="auto"/>
            <w:vAlign w:val="bottom"/>
          </w:tcPr>
          <w:p w14:paraId="5B01ACE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30</w:t>
            </w:r>
          </w:p>
        </w:tc>
        <w:tc>
          <w:tcPr>
            <w:tcW w:w="709" w:type="dxa"/>
            <w:shd w:val="clear" w:color="auto" w:fill="auto"/>
            <w:vAlign w:val="bottom"/>
          </w:tcPr>
          <w:p w14:paraId="6A52FA9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32</w:t>
            </w:r>
          </w:p>
        </w:tc>
        <w:tc>
          <w:tcPr>
            <w:tcW w:w="567" w:type="dxa"/>
            <w:shd w:val="clear" w:color="auto" w:fill="auto"/>
            <w:vAlign w:val="bottom"/>
          </w:tcPr>
          <w:p w14:paraId="0C63BF6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38</w:t>
            </w:r>
          </w:p>
        </w:tc>
        <w:tc>
          <w:tcPr>
            <w:tcW w:w="709" w:type="dxa"/>
            <w:shd w:val="clear" w:color="auto" w:fill="auto"/>
            <w:vAlign w:val="bottom"/>
          </w:tcPr>
          <w:p w14:paraId="69B1CE3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50</w:t>
            </w:r>
          </w:p>
        </w:tc>
        <w:tc>
          <w:tcPr>
            <w:tcW w:w="707" w:type="dxa"/>
            <w:shd w:val="clear" w:color="auto" w:fill="auto"/>
            <w:vAlign w:val="bottom"/>
          </w:tcPr>
          <w:p w14:paraId="654210D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34</w:t>
            </w:r>
          </w:p>
        </w:tc>
      </w:tr>
      <w:tr w:rsidR="00243B75" w:rsidRPr="008253DC" w14:paraId="6023D2BA" w14:textId="77777777" w:rsidTr="00243B75">
        <w:trPr>
          <w:trHeight w:val="240"/>
        </w:trPr>
        <w:tc>
          <w:tcPr>
            <w:tcW w:w="2410" w:type="dxa"/>
            <w:vMerge/>
            <w:shd w:val="clear" w:color="auto" w:fill="auto"/>
          </w:tcPr>
          <w:p w14:paraId="635FE017"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p>
        </w:tc>
        <w:tc>
          <w:tcPr>
            <w:tcW w:w="992" w:type="dxa"/>
            <w:shd w:val="clear" w:color="auto" w:fill="auto"/>
            <w:vAlign w:val="bottom"/>
          </w:tcPr>
          <w:p w14:paraId="7024C43E"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Mujeres</w:t>
            </w:r>
          </w:p>
        </w:tc>
        <w:tc>
          <w:tcPr>
            <w:tcW w:w="709" w:type="dxa"/>
            <w:shd w:val="clear" w:color="auto" w:fill="auto"/>
            <w:vAlign w:val="bottom"/>
          </w:tcPr>
          <w:p w14:paraId="4D89825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37</w:t>
            </w:r>
          </w:p>
        </w:tc>
        <w:tc>
          <w:tcPr>
            <w:tcW w:w="567" w:type="dxa"/>
            <w:shd w:val="clear" w:color="auto" w:fill="auto"/>
            <w:vAlign w:val="bottom"/>
          </w:tcPr>
          <w:p w14:paraId="2F59711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41</w:t>
            </w:r>
          </w:p>
        </w:tc>
        <w:tc>
          <w:tcPr>
            <w:tcW w:w="709" w:type="dxa"/>
            <w:shd w:val="clear" w:color="auto" w:fill="auto"/>
            <w:vAlign w:val="bottom"/>
          </w:tcPr>
          <w:p w14:paraId="1555198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29</w:t>
            </w:r>
          </w:p>
        </w:tc>
        <w:tc>
          <w:tcPr>
            <w:tcW w:w="567" w:type="dxa"/>
            <w:shd w:val="clear" w:color="auto" w:fill="auto"/>
            <w:vAlign w:val="bottom"/>
          </w:tcPr>
          <w:p w14:paraId="7CC178D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45</w:t>
            </w:r>
          </w:p>
        </w:tc>
        <w:tc>
          <w:tcPr>
            <w:tcW w:w="709" w:type="dxa"/>
            <w:shd w:val="clear" w:color="auto" w:fill="auto"/>
            <w:vAlign w:val="bottom"/>
          </w:tcPr>
          <w:p w14:paraId="25464C7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30</w:t>
            </w:r>
          </w:p>
        </w:tc>
        <w:tc>
          <w:tcPr>
            <w:tcW w:w="707" w:type="dxa"/>
            <w:shd w:val="clear" w:color="auto" w:fill="auto"/>
            <w:vAlign w:val="bottom"/>
          </w:tcPr>
          <w:p w14:paraId="14F0421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49</w:t>
            </w:r>
          </w:p>
        </w:tc>
      </w:tr>
      <w:tr w:rsidR="00243B75" w:rsidRPr="008253DC" w14:paraId="1B15525B" w14:textId="77777777" w:rsidTr="00243B75">
        <w:trPr>
          <w:trHeight w:val="240"/>
        </w:trPr>
        <w:tc>
          <w:tcPr>
            <w:tcW w:w="2410" w:type="dxa"/>
            <w:vMerge w:val="restart"/>
            <w:shd w:val="clear" w:color="auto" w:fill="auto"/>
          </w:tcPr>
          <w:p w14:paraId="59582520"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Neoplasia maligna de próstata</w:t>
            </w:r>
          </w:p>
        </w:tc>
        <w:tc>
          <w:tcPr>
            <w:tcW w:w="992" w:type="dxa"/>
            <w:shd w:val="clear" w:color="auto" w:fill="auto"/>
            <w:vAlign w:val="bottom"/>
          </w:tcPr>
          <w:p w14:paraId="25952A9F"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p>
        </w:tc>
        <w:tc>
          <w:tcPr>
            <w:tcW w:w="709" w:type="dxa"/>
            <w:shd w:val="clear" w:color="auto" w:fill="auto"/>
            <w:vAlign w:val="bottom"/>
          </w:tcPr>
          <w:p w14:paraId="6690E21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43</w:t>
            </w:r>
          </w:p>
        </w:tc>
        <w:tc>
          <w:tcPr>
            <w:tcW w:w="567" w:type="dxa"/>
            <w:shd w:val="clear" w:color="auto" w:fill="auto"/>
            <w:vAlign w:val="bottom"/>
          </w:tcPr>
          <w:p w14:paraId="5F3F4FE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63</w:t>
            </w:r>
          </w:p>
        </w:tc>
        <w:tc>
          <w:tcPr>
            <w:tcW w:w="709" w:type="dxa"/>
            <w:shd w:val="clear" w:color="auto" w:fill="auto"/>
            <w:vAlign w:val="bottom"/>
          </w:tcPr>
          <w:p w14:paraId="1AE8EA7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53</w:t>
            </w:r>
          </w:p>
        </w:tc>
        <w:tc>
          <w:tcPr>
            <w:tcW w:w="567" w:type="dxa"/>
            <w:shd w:val="clear" w:color="auto" w:fill="auto"/>
            <w:vAlign w:val="bottom"/>
          </w:tcPr>
          <w:p w14:paraId="7477D51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56</w:t>
            </w:r>
          </w:p>
        </w:tc>
        <w:tc>
          <w:tcPr>
            <w:tcW w:w="709" w:type="dxa"/>
            <w:shd w:val="clear" w:color="auto" w:fill="auto"/>
            <w:vAlign w:val="bottom"/>
          </w:tcPr>
          <w:p w14:paraId="3437730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64</w:t>
            </w:r>
          </w:p>
        </w:tc>
        <w:tc>
          <w:tcPr>
            <w:tcW w:w="707" w:type="dxa"/>
            <w:shd w:val="clear" w:color="auto" w:fill="auto"/>
            <w:vAlign w:val="bottom"/>
          </w:tcPr>
          <w:p w14:paraId="4E43D37D"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50</w:t>
            </w:r>
          </w:p>
        </w:tc>
      </w:tr>
      <w:tr w:rsidR="00243B75" w:rsidRPr="008253DC" w14:paraId="5C4B6052" w14:textId="77777777" w:rsidTr="00243B75">
        <w:trPr>
          <w:trHeight w:val="240"/>
        </w:trPr>
        <w:tc>
          <w:tcPr>
            <w:tcW w:w="2410" w:type="dxa"/>
            <w:vMerge/>
            <w:shd w:val="clear" w:color="auto" w:fill="auto"/>
          </w:tcPr>
          <w:p w14:paraId="1C052EC6"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p>
        </w:tc>
        <w:tc>
          <w:tcPr>
            <w:tcW w:w="992" w:type="dxa"/>
            <w:shd w:val="clear" w:color="auto" w:fill="auto"/>
            <w:vAlign w:val="bottom"/>
          </w:tcPr>
          <w:p w14:paraId="0DE020DF"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Hombres</w:t>
            </w:r>
          </w:p>
        </w:tc>
        <w:tc>
          <w:tcPr>
            <w:tcW w:w="709" w:type="dxa"/>
            <w:shd w:val="clear" w:color="auto" w:fill="auto"/>
            <w:vAlign w:val="bottom"/>
          </w:tcPr>
          <w:p w14:paraId="6A59D4A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43</w:t>
            </w:r>
          </w:p>
        </w:tc>
        <w:tc>
          <w:tcPr>
            <w:tcW w:w="567" w:type="dxa"/>
            <w:shd w:val="clear" w:color="auto" w:fill="auto"/>
            <w:vAlign w:val="bottom"/>
          </w:tcPr>
          <w:p w14:paraId="13406CC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63</w:t>
            </w:r>
          </w:p>
        </w:tc>
        <w:tc>
          <w:tcPr>
            <w:tcW w:w="709" w:type="dxa"/>
            <w:shd w:val="clear" w:color="auto" w:fill="auto"/>
            <w:vAlign w:val="bottom"/>
          </w:tcPr>
          <w:p w14:paraId="299AD5A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53</w:t>
            </w:r>
          </w:p>
        </w:tc>
        <w:tc>
          <w:tcPr>
            <w:tcW w:w="567" w:type="dxa"/>
            <w:shd w:val="clear" w:color="auto" w:fill="auto"/>
            <w:vAlign w:val="bottom"/>
          </w:tcPr>
          <w:p w14:paraId="3403581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56</w:t>
            </w:r>
          </w:p>
        </w:tc>
        <w:tc>
          <w:tcPr>
            <w:tcW w:w="709" w:type="dxa"/>
            <w:shd w:val="clear" w:color="auto" w:fill="auto"/>
            <w:vAlign w:val="bottom"/>
          </w:tcPr>
          <w:p w14:paraId="7F5622F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54</w:t>
            </w:r>
          </w:p>
        </w:tc>
        <w:tc>
          <w:tcPr>
            <w:tcW w:w="707" w:type="dxa"/>
            <w:shd w:val="clear" w:color="auto" w:fill="auto"/>
            <w:vAlign w:val="bottom"/>
          </w:tcPr>
          <w:p w14:paraId="2688770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50</w:t>
            </w:r>
          </w:p>
        </w:tc>
      </w:tr>
      <w:tr w:rsidR="00243B75" w:rsidRPr="008253DC" w14:paraId="6DC53F20" w14:textId="77777777" w:rsidTr="00243B75">
        <w:trPr>
          <w:trHeight w:val="240"/>
        </w:trPr>
        <w:tc>
          <w:tcPr>
            <w:tcW w:w="2410" w:type="dxa"/>
            <w:vMerge w:val="restart"/>
            <w:shd w:val="clear" w:color="auto" w:fill="auto"/>
          </w:tcPr>
          <w:p w14:paraId="52BB11A4" w14:textId="0385CE51"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Accidentes cerebrovasculares, no</w:t>
            </w:r>
            <w:r w:rsidR="004E0E9B" w:rsidRPr="008253DC">
              <w:rPr>
                <w:sz w:val="18"/>
                <w:lang w:val="es-ES_tradnl"/>
              </w:rPr>
              <w:t> </w:t>
            </w:r>
            <w:r w:rsidRPr="008253DC">
              <w:rPr>
                <w:sz w:val="18"/>
                <w:lang w:val="es-ES_tradnl"/>
              </w:rPr>
              <w:t>especificados como hemorrágicos/infartos</w:t>
            </w:r>
          </w:p>
        </w:tc>
        <w:tc>
          <w:tcPr>
            <w:tcW w:w="992" w:type="dxa"/>
            <w:shd w:val="clear" w:color="auto" w:fill="auto"/>
            <w:vAlign w:val="bottom"/>
          </w:tcPr>
          <w:p w14:paraId="6DA090F9"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p>
        </w:tc>
        <w:tc>
          <w:tcPr>
            <w:tcW w:w="709" w:type="dxa"/>
            <w:shd w:val="clear" w:color="auto" w:fill="auto"/>
            <w:vAlign w:val="bottom"/>
          </w:tcPr>
          <w:p w14:paraId="43E69CD7"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50</w:t>
            </w:r>
          </w:p>
        </w:tc>
        <w:tc>
          <w:tcPr>
            <w:tcW w:w="567" w:type="dxa"/>
            <w:shd w:val="clear" w:color="auto" w:fill="auto"/>
            <w:vAlign w:val="bottom"/>
          </w:tcPr>
          <w:p w14:paraId="011BABAB"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63</w:t>
            </w:r>
          </w:p>
        </w:tc>
        <w:tc>
          <w:tcPr>
            <w:tcW w:w="709" w:type="dxa"/>
            <w:shd w:val="clear" w:color="auto" w:fill="auto"/>
            <w:vAlign w:val="bottom"/>
          </w:tcPr>
          <w:p w14:paraId="1D955E2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59</w:t>
            </w:r>
          </w:p>
        </w:tc>
        <w:tc>
          <w:tcPr>
            <w:tcW w:w="567" w:type="dxa"/>
            <w:shd w:val="clear" w:color="auto" w:fill="auto"/>
            <w:vAlign w:val="bottom"/>
          </w:tcPr>
          <w:p w14:paraId="06496C9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66</w:t>
            </w:r>
          </w:p>
        </w:tc>
        <w:tc>
          <w:tcPr>
            <w:tcW w:w="709" w:type="dxa"/>
            <w:shd w:val="clear" w:color="auto" w:fill="auto"/>
            <w:vAlign w:val="bottom"/>
          </w:tcPr>
          <w:p w14:paraId="49D69B5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52</w:t>
            </w:r>
          </w:p>
        </w:tc>
        <w:tc>
          <w:tcPr>
            <w:tcW w:w="707" w:type="dxa"/>
            <w:shd w:val="clear" w:color="auto" w:fill="auto"/>
            <w:vAlign w:val="bottom"/>
          </w:tcPr>
          <w:p w14:paraId="4912B56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48</w:t>
            </w:r>
          </w:p>
        </w:tc>
      </w:tr>
      <w:tr w:rsidR="00243B75" w:rsidRPr="008253DC" w14:paraId="2EF240E1" w14:textId="77777777" w:rsidTr="00243B75">
        <w:trPr>
          <w:trHeight w:val="240"/>
        </w:trPr>
        <w:tc>
          <w:tcPr>
            <w:tcW w:w="2410" w:type="dxa"/>
            <w:vMerge/>
            <w:shd w:val="clear" w:color="auto" w:fill="auto"/>
          </w:tcPr>
          <w:p w14:paraId="43139640"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p>
        </w:tc>
        <w:tc>
          <w:tcPr>
            <w:tcW w:w="992" w:type="dxa"/>
            <w:shd w:val="clear" w:color="auto" w:fill="auto"/>
            <w:vAlign w:val="bottom"/>
          </w:tcPr>
          <w:p w14:paraId="6177F72E"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Hombres</w:t>
            </w:r>
          </w:p>
        </w:tc>
        <w:tc>
          <w:tcPr>
            <w:tcW w:w="709" w:type="dxa"/>
            <w:shd w:val="clear" w:color="auto" w:fill="auto"/>
            <w:vAlign w:val="bottom"/>
          </w:tcPr>
          <w:p w14:paraId="5252890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21</w:t>
            </w:r>
          </w:p>
        </w:tc>
        <w:tc>
          <w:tcPr>
            <w:tcW w:w="567" w:type="dxa"/>
            <w:shd w:val="clear" w:color="auto" w:fill="auto"/>
            <w:vAlign w:val="bottom"/>
          </w:tcPr>
          <w:p w14:paraId="4360ED2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20</w:t>
            </w:r>
          </w:p>
        </w:tc>
        <w:tc>
          <w:tcPr>
            <w:tcW w:w="709" w:type="dxa"/>
            <w:shd w:val="clear" w:color="auto" w:fill="auto"/>
            <w:vAlign w:val="bottom"/>
          </w:tcPr>
          <w:p w14:paraId="7875B4F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24</w:t>
            </w:r>
          </w:p>
        </w:tc>
        <w:tc>
          <w:tcPr>
            <w:tcW w:w="567" w:type="dxa"/>
            <w:shd w:val="clear" w:color="auto" w:fill="auto"/>
            <w:vAlign w:val="bottom"/>
          </w:tcPr>
          <w:p w14:paraId="56AB9D5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23</w:t>
            </w:r>
          </w:p>
        </w:tc>
        <w:tc>
          <w:tcPr>
            <w:tcW w:w="709" w:type="dxa"/>
            <w:shd w:val="clear" w:color="auto" w:fill="auto"/>
            <w:vAlign w:val="bottom"/>
          </w:tcPr>
          <w:p w14:paraId="10BF6B4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23</w:t>
            </w:r>
          </w:p>
        </w:tc>
        <w:tc>
          <w:tcPr>
            <w:tcW w:w="707" w:type="dxa"/>
            <w:shd w:val="clear" w:color="auto" w:fill="auto"/>
            <w:vAlign w:val="bottom"/>
          </w:tcPr>
          <w:p w14:paraId="1A83020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22</w:t>
            </w:r>
          </w:p>
        </w:tc>
      </w:tr>
      <w:tr w:rsidR="00243B75" w:rsidRPr="008253DC" w14:paraId="086920C0" w14:textId="77777777" w:rsidTr="00243B75">
        <w:trPr>
          <w:trHeight w:val="240"/>
        </w:trPr>
        <w:tc>
          <w:tcPr>
            <w:tcW w:w="2410" w:type="dxa"/>
            <w:vMerge/>
            <w:shd w:val="clear" w:color="auto" w:fill="auto"/>
          </w:tcPr>
          <w:p w14:paraId="1EAFCC42"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p>
        </w:tc>
        <w:tc>
          <w:tcPr>
            <w:tcW w:w="992" w:type="dxa"/>
            <w:shd w:val="clear" w:color="auto" w:fill="auto"/>
            <w:vAlign w:val="bottom"/>
          </w:tcPr>
          <w:p w14:paraId="593BD59E"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Mujeres</w:t>
            </w:r>
          </w:p>
        </w:tc>
        <w:tc>
          <w:tcPr>
            <w:tcW w:w="709" w:type="dxa"/>
            <w:shd w:val="clear" w:color="auto" w:fill="auto"/>
            <w:vAlign w:val="bottom"/>
          </w:tcPr>
          <w:p w14:paraId="677EFFD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29</w:t>
            </w:r>
          </w:p>
        </w:tc>
        <w:tc>
          <w:tcPr>
            <w:tcW w:w="567" w:type="dxa"/>
            <w:shd w:val="clear" w:color="auto" w:fill="auto"/>
            <w:vAlign w:val="bottom"/>
          </w:tcPr>
          <w:p w14:paraId="0E29B51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43</w:t>
            </w:r>
          </w:p>
        </w:tc>
        <w:tc>
          <w:tcPr>
            <w:tcW w:w="709" w:type="dxa"/>
            <w:shd w:val="clear" w:color="auto" w:fill="auto"/>
            <w:vAlign w:val="bottom"/>
          </w:tcPr>
          <w:p w14:paraId="7115395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35</w:t>
            </w:r>
          </w:p>
        </w:tc>
        <w:tc>
          <w:tcPr>
            <w:tcW w:w="567" w:type="dxa"/>
            <w:shd w:val="clear" w:color="auto" w:fill="auto"/>
            <w:vAlign w:val="bottom"/>
          </w:tcPr>
          <w:p w14:paraId="56451CA9"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43</w:t>
            </w:r>
          </w:p>
        </w:tc>
        <w:tc>
          <w:tcPr>
            <w:tcW w:w="709" w:type="dxa"/>
            <w:shd w:val="clear" w:color="auto" w:fill="auto"/>
            <w:vAlign w:val="bottom"/>
          </w:tcPr>
          <w:p w14:paraId="346974C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29</w:t>
            </w:r>
          </w:p>
        </w:tc>
        <w:tc>
          <w:tcPr>
            <w:tcW w:w="707" w:type="dxa"/>
            <w:shd w:val="clear" w:color="auto" w:fill="auto"/>
            <w:vAlign w:val="bottom"/>
          </w:tcPr>
          <w:p w14:paraId="4CB2F4E0"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26</w:t>
            </w:r>
          </w:p>
        </w:tc>
      </w:tr>
      <w:tr w:rsidR="00243B75" w:rsidRPr="008253DC" w14:paraId="40F951DA" w14:textId="77777777" w:rsidTr="00243B75">
        <w:trPr>
          <w:trHeight w:val="240"/>
        </w:trPr>
        <w:tc>
          <w:tcPr>
            <w:tcW w:w="2410" w:type="dxa"/>
            <w:vMerge w:val="restart"/>
            <w:shd w:val="clear" w:color="auto" w:fill="auto"/>
          </w:tcPr>
          <w:p w14:paraId="441A2464" w14:textId="5AC48296"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Neumonía, microorganismo no espec</w:t>
            </w:r>
            <w:r w:rsidR="00216ABE" w:rsidRPr="008253DC">
              <w:rPr>
                <w:sz w:val="18"/>
                <w:lang w:val="es-ES_tradnl"/>
              </w:rPr>
              <w:t>i</w:t>
            </w:r>
            <w:r w:rsidRPr="008253DC">
              <w:rPr>
                <w:sz w:val="18"/>
                <w:lang w:val="es-ES_tradnl"/>
              </w:rPr>
              <w:t>ficado</w:t>
            </w:r>
          </w:p>
        </w:tc>
        <w:tc>
          <w:tcPr>
            <w:tcW w:w="992" w:type="dxa"/>
            <w:shd w:val="clear" w:color="auto" w:fill="auto"/>
            <w:vAlign w:val="bottom"/>
          </w:tcPr>
          <w:p w14:paraId="39F2E479"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p>
        </w:tc>
        <w:tc>
          <w:tcPr>
            <w:tcW w:w="709" w:type="dxa"/>
            <w:shd w:val="clear" w:color="auto" w:fill="auto"/>
            <w:vAlign w:val="bottom"/>
          </w:tcPr>
          <w:p w14:paraId="3633CF1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41</w:t>
            </w:r>
          </w:p>
        </w:tc>
        <w:tc>
          <w:tcPr>
            <w:tcW w:w="567" w:type="dxa"/>
            <w:shd w:val="clear" w:color="auto" w:fill="auto"/>
            <w:vAlign w:val="bottom"/>
          </w:tcPr>
          <w:p w14:paraId="7C9DB7F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63</w:t>
            </w:r>
          </w:p>
        </w:tc>
        <w:tc>
          <w:tcPr>
            <w:tcW w:w="709" w:type="dxa"/>
            <w:shd w:val="clear" w:color="auto" w:fill="auto"/>
            <w:vAlign w:val="bottom"/>
          </w:tcPr>
          <w:p w14:paraId="49A69708"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60</w:t>
            </w:r>
          </w:p>
        </w:tc>
        <w:tc>
          <w:tcPr>
            <w:tcW w:w="567" w:type="dxa"/>
            <w:shd w:val="clear" w:color="auto" w:fill="auto"/>
            <w:vAlign w:val="bottom"/>
          </w:tcPr>
          <w:p w14:paraId="16FCD8C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55</w:t>
            </w:r>
          </w:p>
        </w:tc>
        <w:tc>
          <w:tcPr>
            <w:tcW w:w="709" w:type="dxa"/>
            <w:shd w:val="clear" w:color="auto" w:fill="auto"/>
            <w:vAlign w:val="bottom"/>
          </w:tcPr>
          <w:p w14:paraId="7D1475EC"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61</w:t>
            </w:r>
          </w:p>
        </w:tc>
        <w:tc>
          <w:tcPr>
            <w:tcW w:w="707" w:type="dxa"/>
            <w:shd w:val="clear" w:color="auto" w:fill="auto"/>
            <w:vAlign w:val="bottom"/>
          </w:tcPr>
          <w:p w14:paraId="14FCCAB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82</w:t>
            </w:r>
          </w:p>
        </w:tc>
      </w:tr>
      <w:tr w:rsidR="00243B75" w:rsidRPr="008253DC" w14:paraId="3A2C7818" w14:textId="77777777" w:rsidTr="00243B75">
        <w:trPr>
          <w:trHeight w:val="240"/>
        </w:trPr>
        <w:tc>
          <w:tcPr>
            <w:tcW w:w="2410" w:type="dxa"/>
            <w:vMerge/>
            <w:shd w:val="clear" w:color="auto" w:fill="auto"/>
          </w:tcPr>
          <w:p w14:paraId="37C5F8B4"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p>
        </w:tc>
        <w:tc>
          <w:tcPr>
            <w:tcW w:w="992" w:type="dxa"/>
            <w:shd w:val="clear" w:color="auto" w:fill="auto"/>
            <w:vAlign w:val="bottom"/>
          </w:tcPr>
          <w:p w14:paraId="40E2E96E"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Hombres</w:t>
            </w:r>
          </w:p>
        </w:tc>
        <w:tc>
          <w:tcPr>
            <w:tcW w:w="709" w:type="dxa"/>
            <w:shd w:val="clear" w:color="auto" w:fill="auto"/>
            <w:vAlign w:val="bottom"/>
          </w:tcPr>
          <w:p w14:paraId="5C220B35"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13</w:t>
            </w:r>
          </w:p>
        </w:tc>
        <w:tc>
          <w:tcPr>
            <w:tcW w:w="567" w:type="dxa"/>
            <w:shd w:val="clear" w:color="auto" w:fill="auto"/>
            <w:vAlign w:val="bottom"/>
          </w:tcPr>
          <w:p w14:paraId="2114DFD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34</w:t>
            </w:r>
          </w:p>
        </w:tc>
        <w:tc>
          <w:tcPr>
            <w:tcW w:w="709" w:type="dxa"/>
            <w:shd w:val="clear" w:color="auto" w:fill="auto"/>
            <w:vAlign w:val="bottom"/>
          </w:tcPr>
          <w:p w14:paraId="38DB66E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23</w:t>
            </w:r>
          </w:p>
        </w:tc>
        <w:tc>
          <w:tcPr>
            <w:tcW w:w="567" w:type="dxa"/>
            <w:shd w:val="clear" w:color="auto" w:fill="auto"/>
            <w:vAlign w:val="bottom"/>
          </w:tcPr>
          <w:p w14:paraId="5406E602"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22</w:t>
            </w:r>
          </w:p>
        </w:tc>
        <w:tc>
          <w:tcPr>
            <w:tcW w:w="709" w:type="dxa"/>
            <w:shd w:val="clear" w:color="auto" w:fill="auto"/>
            <w:vAlign w:val="bottom"/>
          </w:tcPr>
          <w:p w14:paraId="27B2C8DF"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29</w:t>
            </w:r>
          </w:p>
        </w:tc>
        <w:tc>
          <w:tcPr>
            <w:tcW w:w="707" w:type="dxa"/>
            <w:shd w:val="clear" w:color="auto" w:fill="auto"/>
            <w:vAlign w:val="bottom"/>
          </w:tcPr>
          <w:p w14:paraId="10D0ED4E"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33</w:t>
            </w:r>
          </w:p>
        </w:tc>
      </w:tr>
      <w:tr w:rsidR="00243B75" w:rsidRPr="008253DC" w14:paraId="75CB7449" w14:textId="77777777" w:rsidTr="00243B75">
        <w:trPr>
          <w:trHeight w:val="240"/>
        </w:trPr>
        <w:tc>
          <w:tcPr>
            <w:tcW w:w="2410" w:type="dxa"/>
            <w:vMerge/>
            <w:tcBorders>
              <w:bottom w:val="single" w:sz="12" w:space="0" w:color="auto"/>
            </w:tcBorders>
            <w:shd w:val="clear" w:color="auto" w:fill="auto"/>
          </w:tcPr>
          <w:p w14:paraId="5707F161" w14:textId="77777777" w:rsidR="00C619FA" w:rsidRPr="008253DC" w:rsidRDefault="00C619FA" w:rsidP="00243B75">
            <w:pPr>
              <w:pStyle w:val="SingleTxtG"/>
              <w:tabs>
                <w:tab w:val="clear" w:pos="1701"/>
                <w:tab w:val="clear" w:pos="2268"/>
                <w:tab w:val="clear" w:pos="2835"/>
              </w:tabs>
              <w:spacing w:before="40" w:after="40" w:line="220" w:lineRule="exact"/>
              <w:ind w:left="0" w:right="0"/>
              <w:jc w:val="left"/>
              <w:rPr>
                <w:sz w:val="18"/>
                <w:lang w:val="es-ES_tradnl"/>
              </w:rPr>
            </w:pPr>
          </w:p>
        </w:tc>
        <w:tc>
          <w:tcPr>
            <w:tcW w:w="992" w:type="dxa"/>
            <w:tcBorders>
              <w:bottom w:val="single" w:sz="12" w:space="0" w:color="auto"/>
            </w:tcBorders>
            <w:shd w:val="clear" w:color="auto" w:fill="auto"/>
            <w:vAlign w:val="bottom"/>
          </w:tcPr>
          <w:p w14:paraId="66C40D13" w14:textId="77777777" w:rsidR="00C619FA" w:rsidRPr="008253DC" w:rsidRDefault="00C619FA" w:rsidP="00243B75">
            <w:pPr>
              <w:pStyle w:val="SingleTxtG"/>
              <w:tabs>
                <w:tab w:val="clear" w:pos="1701"/>
                <w:tab w:val="clear" w:pos="2268"/>
                <w:tab w:val="clear" w:pos="2835"/>
              </w:tabs>
              <w:spacing w:before="40" w:after="40" w:line="220" w:lineRule="exact"/>
              <w:ind w:left="113" w:right="0"/>
              <w:jc w:val="left"/>
              <w:rPr>
                <w:sz w:val="18"/>
                <w:lang w:val="es-ES_tradnl"/>
              </w:rPr>
            </w:pPr>
            <w:r w:rsidRPr="008253DC">
              <w:rPr>
                <w:sz w:val="18"/>
                <w:lang w:val="es-ES_tradnl"/>
              </w:rPr>
              <w:t>Mujeres</w:t>
            </w:r>
          </w:p>
        </w:tc>
        <w:tc>
          <w:tcPr>
            <w:tcW w:w="709" w:type="dxa"/>
            <w:tcBorders>
              <w:bottom w:val="single" w:sz="12" w:space="0" w:color="auto"/>
            </w:tcBorders>
            <w:shd w:val="clear" w:color="auto" w:fill="auto"/>
            <w:vAlign w:val="bottom"/>
          </w:tcPr>
          <w:p w14:paraId="0A366EE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28</w:t>
            </w:r>
          </w:p>
        </w:tc>
        <w:tc>
          <w:tcPr>
            <w:tcW w:w="567" w:type="dxa"/>
            <w:tcBorders>
              <w:bottom w:val="single" w:sz="12" w:space="0" w:color="auto"/>
            </w:tcBorders>
            <w:shd w:val="clear" w:color="auto" w:fill="auto"/>
            <w:vAlign w:val="bottom"/>
          </w:tcPr>
          <w:p w14:paraId="6548E443"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29</w:t>
            </w:r>
          </w:p>
        </w:tc>
        <w:tc>
          <w:tcPr>
            <w:tcW w:w="709" w:type="dxa"/>
            <w:tcBorders>
              <w:bottom w:val="single" w:sz="12" w:space="0" w:color="auto"/>
            </w:tcBorders>
            <w:shd w:val="clear" w:color="auto" w:fill="auto"/>
            <w:vAlign w:val="bottom"/>
          </w:tcPr>
          <w:p w14:paraId="3869CA76"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37</w:t>
            </w:r>
          </w:p>
        </w:tc>
        <w:tc>
          <w:tcPr>
            <w:tcW w:w="567" w:type="dxa"/>
            <w:tcBorders>
              <w:bottom w:val="single" w:sz="12" w:space="0" w:color="auto"/>
            </w:tcBorders>
            <w:shd w:val="clear" w:color="auto" w:fill="auto"/>
            <w:vAlign w:val="bottom"/>
          </w:tcPr>
          <w:p w14:paraId="4D88EED4"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33</w:t>
            </w:r>
          </w:p>
        </w:tc>
        <w:tc>
          <w:tcPr>
            <w:tcW w:w="709" w:type="dxa"/>
            <w:tcBorders>
              <w:bottom w:val="single" w:sz="12" w:space="0" w:color="auto"/>
            </w:tcBorders>
            <w:shd w:val="clear" w:color="auto" w:fill="auto"/>
            <w:vAlign w:val="bottom"/>
          </w:tcPr>
          <w:p w14:paraId="193F0C51"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32</w:t>
            </w:r>
          </w:p>
        </w:tc>
        <w:tc>
          <w:tcPr>
            <w:tcW w:w="707" w:type="dxa"/>
            <w:tcBorders>
              <w:bottom w:val="single" w:sz="12" w:space="0" w:color="auto"/>
            </w:tcBorders>
            <w:shd w:val="clear" w:color="auto" w:fill="auto"/>
            <w:vAlign w:val="bottom"/>
          </w:tcPr>
          <w:p w14:paraId="22C835FA" w14:textId="77777777" w:rsidR="00C619FA" w:rsidRPr="008253DC" w:rsidRDefault="00C619FA" w:rsidP="00243B75">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49</w:t>
            </w:r>
          </w:p>
        </w:tc>
      </w:tr>
    </w:tbl>
    <w:p w14:paraId="193904C4" w14:textId="77777777" w:rsidR="00C619FA" w:rsidRPr="008253DC" w:rsidRDefault="00C619FA" w:rsidP="00243B75">
      <w:pPr>
        <w:pStyle w:val="H23G"/>
        <w:rPr>
          <w:lang w:val="es-ES_tradnl"/>
        </w:rPr>
      </w:pPr>
      <w:r w:rsidRPr="008253DC">
        <w:rPr>
          <w:lang w:val="es-ES_tradnl"/>
        </w:rPr>
        <w:tab/>
        <w:t>6.</w:t>
      </w:r>
      <w:r w:rsidRPr="008253DC">
        <w:rPr>
          <w:lang w:val="es-ES_tradnl"/>
        </w:rPr>
        <w:tab/>
        <w:t>Educación y formación profesional</w:t>
      </w:r>
    </w:p>
    <w:p w14:paraId="3B788A93" w14:textId="2CC05221" w:rsidR="00C619FA" w:rsidRPr="008253DC" w:rsidRDefault="00C619FA" w:rsidP="00C619FA">
      <w:pPr>
        <w:pStyle w:val="SingleTxtG"/>
        <w:rPr>
          <w:b/>
          <w:i/>
          <w:iCs/>
          <w:lang w:val="es-ES_tradnl"/>
        </w:rPr>
      </w:pPr>
      <w:r w:rsidRPr="008253DC">
        <w:rPr>
          <w:i/>
          <w:iCs/>
          <w:lang w:val="es-ES_tradnl"/>
        </w:rPr>
        <w:t>En el gráfico que figura a continuación se presenta un panorama general de la estructura del sistema de educación de Islandia</w:t>
      </w:r>
      <w:r w:rsidR="00243B75" w:rsidRPr="008253DC">
        <w:rPr>
          <w:i/>
          <w:iCs/>
          <w:lang w:val="es-ES_tradnl"/>
        </w:rPr>
        <w:t>.</w:t>
      </w:r>
    </w:p>
    <w:p w14:paraId="1A690C29" w14:textId="77777777" w:rsidR="00C619FA" w:rsidRPr="008253DC" w:rsidRDefault="00C619FA" w:rsidP="00C619FA">
      <w:pPr>
        <w:pStyle w:val="SingleTxtG"/>
        <w:rPr>
          <w:b/>
          <w:lang w:val="es-ES_tradnl"/>
        </w:rPr>
      </w:pPr>
      <w:r w:rsidRPr="008253DC">
        <w:rPr>
          <w:b/>
          <w:noProof/>
          <w:lang w:val="es-ES_tradnl"/>
        </w:rPr>
        <w:drawing>
          <wp:inline distT="0" distB="0" distL="0" distR="0" wp14:anchorId="76C94061" wp14:editId="006F87F5">
            <wp:extent cx="5374783" cy="2510790"/>
            <wp:effectExtent l="0" t="0" r="0" b="381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097450" name="2016_diagram_IS - Copy (1).png"/>
                    <pic:cNvPicPr/>
                  </pic:nvPicPr>
                  <pic:blipFill>
                    <a:blip r:embed="rId9">
                      <a:extLst>
                        <a:ext uri="{28A0092B-C50C-407E-A947-70E740481C1C}">
                          <a14:useLocalDpi xmlns:a14="http://schemas.microsoft.com/office/drawing/2010/main" val="0"/>
                        </a:ext>
                      </a:extLst>
                    </a:blip>
                    <a:stretch>
                      <a:fillRect/>
                    </a:stretch>
                  </pic:blipFill>
                  <pic:spPr>
                    <a:xfrm>
                      <a:off x="0" y="0"/>
                      <a:ext cx="5504759" cy="2571508"/>
                    </a:xfrm>
                    <a:prstGeom prst="rect">
                      <a:avLst/>
                    </a:prstGeom>
                  </pic:spPr>
                </pic:pic>
              </a:graphicData>
            </a:graphic>
          </wp:inline>
        </w:drawing>
      </w:r>
    </w:p>
    <w:p w14:paraId="4B0443CE" w14:textId="2538DBBB" w:rsidR="00C619FA" w:rsidRPr="008253DC" w:rsidRDefault="00C619FA" w:rsidP="004E0E9B">
      <w:pPr>
        <w:pStyle w:val="SingleTxtG"/>
        <w:spacing w:before="240"/>
        <w:rPr>
          <w:lang w:val="es-ES_tradnl"/>
        </w:rPr>
      </w:pPr>
      <w:r w:rsidRPr="008253DC">
        <w:rPr>
          <w:lang w:val="es-ES_tradnl"/>
        </w:rPr>
        <w:t>16.</w:t>
      </w:r>
      <w:r w:rsidRPr="008253DC">
        <w:rPr>
          <w:lang w:val="es-ES_tradnl"/>
        </w:rPr>
        <w:tab/>
        <w:t xml:space="preserve">La educación obligatoria se organiza en un sistema educativo de estructura única, esto es, la educación primaria y la educación secundaria baja forman parte de un mismo nivel escolar y normalmente se imparten en la misma escuela. Tradicionalmente, la educación en Islandia se ha organizado en el sector público, y en los sistemas escolares hay pocas instituciones privadas. Todas las escuelas privadas se financian con fondos públicos. </w:t>
      </w:r>
      <w:bookmarkStart w:id="0" w:name="_Hlk81902718"/>
      <w:r w:rsidRPr="008253DC">
        <w:rPr>
          <w:lang w:val="es-ES_tradnl"/>
        </w:rPr>
        <w:t>En los últimos años ha aumentado el porcentaje de la población con educación terciaria y, en 2018, hubo un número sin precedentes de solicitudes de admisión universitaria.</w:t>
      </w:r>
      <w:bookmarkEnd w:id="0"/>
    </w:p>
    <w:p w14:paraId="7DAA178A" w14:textId="691B90A8" w:rsidR="00C619FA" w:rsidRPr="008253DC" w:rsidRDefault="00C619FA" w:rsidP="00C619FA">
      <w:pPr>
        <w:pStyle w:val="SingleTxtG"/>
        <w:rPr>
          <w:i/>
          <w:lang w:val="es-ES_tradnl"/>
        </w:rPr>
      </w:pPr>
      <w:r w:rsidRPr="008253DC">
        <w:rPr>
          <w:i/>
          <w:iCs/>
          <w:lang w:val="es-ES_tradnl"/>
        </w:rPr>
        <w:t>Nivel máximo de educación alcanzado en la población de 16 a 74 años de edad.</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253"/>
        <w:gridCol w:w="709"/>
        <w:gridCol w:w="708"/>
        <w:gridCol w:w="567"/>
        <w:gridCol w:w="567"/>
        <w:gridCol w:w="566"/>
      </w:tblGrid>
      <w:tr w:rsidR="009635BE" w:rsidRPr="008253DC" w14:paraId="48AD509C" w14:textId="77777777" w:rsidTr="00B56791">
        <w:trPr>
          <w:trHeight w:val="240"/>
          <w:tblHeader/>
        </w:trPr>
        <w:tc>
          <w:tcPr>
            <w:tcW w:w="4253" w:type="dxa"/>
            <w:tcBorders>
              <w:top w:val="single" w:sz="4" w:space="0" w:color="auto"/>
              <w:bottom w:val="single" w:sz="12" w:space="0" w:color="auto"/>
            </w:tcBorders>
            <w:shd w:val="clear" w:color="auto" w:fill="auto"/>
            <w:noWrap/>
            <w:vAlign w:val="bottom"/>
            <w:hideMark/>
          </w:tcPr>
          <w:p w14:paraId="5BE2034D" w14:textId="77777777" w:rsidR="009635BE" w:rsidRPr="008253DC" w:rsidRDefault="009635BE" w:rsidP="00243B75">
            <w:pPr>
              <w:pStyle w:val="SingleTxtG"/>
              <w:tabs>
                <w:tab w:val="clear" w:pos="1701"/>
                <w:tab w:val="clear" w:pos="2268"/>
                <w:tab w:val="clear" w:pos="2835"/>
              </w:tabs>
              <w:spacing w:before="80" w:after="80" w:line="200" w:lineRule="exact"/>
              <w:ind w:left="113" w:right="0"/>
              <w:jc w:val="right"/>
              <w:rPr>
                <w:i/>
                <w:sz w:val="16"/>
                <w:lang w:val="es-ES_tradnl"/>
              </w:rPr>
            </w:pPr>
          </w:p>
        </w:tc>
        <w:tc>
          <w:tcPr>
            <w:tcW w:w="709" w:type="dxa"/>
            <w:tcBorders>
              <w:top w:val="single" w:sz="4" w:space="0" w:color="auto"/>
              <w:bottom w:val="single" w:sz="12" w:space="0" w:color="auto"/>
            </w:tcBorders>
            <w:shd w:val="clear" w:color="auto" w:fill="auto"/>
            <w:noWrap/>
            <w:vAlign w:val="bottom"/>
            <w:hideMark/>
          </w:tcPr>
          <w:p w14:paraId="08A57725" w14:textId="77777777" w:rsidR="009635BE" w:rsidRPr="008253DC" w:rsidRDefault="009635BE" w:rsidP="000B1B3B">
            <w:pPr>
              <w:pStyle w:val="SingleTxtG"/>
              <w:tabs>
                <w:tab w:val="clear" w:pos="1701"/>
                <w:tab w:val="clear" w:pos="2268"/>
                <w:tab w:val="clear" w:pos="2835"/>
              </w:tabs>
              <w:spacing w:before="80" w:after="80" w:line="200" w:lineRule="exact"/>
              <w:ind w:left="28" w:right="28"/>
              <w:jc w:val="right"/>
              <w:rPr>
                <w:bCs/>
                <w:i/>
                <w:sz w:val="16"/>
                <w:lang w:val="es-ES_tradnl"/>
              </w:rPr>
            </w:pPr>
            <w:r w:rsidRPr="008253DC">
              <w:rPr>
                <w:bCs/>
                <w:i/>
                <w:iCs/>
                <w:sz w:val="16"/>
                <w:lang w:val="es-ES_tradnl"/>
              </w:rPr>
              <w:t>2013</w:t>
            </w:r>
          </w:p>
        </w:tc>
        <w:tc>
          <w:tcPr>
            <w:tcW w:w="708" w:type="dxa"/>
            <w:tcBorders>
              <w:top w:val="single" w:sz="4" w:space="0" w:color="auto"/>
              <w:bottom w:val="single" w:sz="12" w:space="0" w:color="auto"/>
            </w:tcBorders>
            <w:shd w:val="clear" w:color="auto" w:fill="auto"/>
            <w:noWrap/>
            <w:vAlign w:val="bottom"/>
            <w:hideMark/>
          </w:tcPr>
          <w:p w14:paraId="4ED88109" w14:textId="77777777" w:rsidR="009635BE" w:rsidRPr="008253DC" w:rsidRDefault="009635BE" w:rsidP="000B1B3B">
            <w:pPr>
              <w:pStyle w:val="SingleTxtG"/>
              <w:tabs>
                <w:tab w:val="clear" w:pos="1701"/>
                <w:tab w:val="clear" w:pos="2268"/>
                <w:tab w:val="clear" w:pos="2835"/>
              </w:tabs>
              <w:spacing w:before="80" w:after="80" w:line="200" w:lineRule="exact"/>
              <w:ind w:left="28" w:right="28"/>
              <w:jc w:val="right"/>
              <w:rPr>
                <w:bCs/>
                <w:i/>
                <w:sz w:val="16"/>
                <w:lang w:val="es-ES_tradnl"/>
              </w:rPr>
            </w:pPr>
            <w:r w:rsidRPr="008253DC">
              <w:rPr>
                <w:bCs/>
                <w:i/>
                <w:iCs/>
                <w:sz w:val="16"/>
                <w:lang w:val="es-ES_tradnl"/>
              </w:rPr>
              <w:t>2014</w:t>
            </w:r>
          </w:p>
        </w:tc>
        <w:tc>
          <w:tcPr>
            <w:tcW w:w="567" w:type="dxa"/>
            <w:tcBorders>
              <w:top w:val="single" w:sz="4" w:space="0" w:color="auto"/>
              <w:bottom w:val="single" w:sz="12" w:space="0" w:color="auto"/>
            </w:tcBorders>
            <w:shd w:val="clear" w:color="auto" w:fill="auto"/>
            <w:noWrap/>
            <w:vAlign w:val="bottom"/>
            <w:hideMark/>
          </w:tcPr>
          <w:p w14:paraId="62DB11C1" w14:textId="77777777" w:rsidR="009635BE" w:rsidRPr="008253DC" w:rsidRDefault="009635BE" w:rsidP="000B1B3B">
            <w:pPr>
              <w:pStyle w:val="SingleTxtG"/>
              <w:tabs>
                <w:tab w:val="clear" w:pos="1701"/>
                <w:tab w:val="clear" w:pos="2268"/>
                <w:tab w:val="clear" w:pos="2835"/>
              </w:tabs>
              <w:spacing w:before="80" w:after="80" w:line="200" w:lineRule="exact"/>
              <w:ind w:left="28" w:right="28"/>
              <w:jc w:val="right"/>
              <w:rPr>
                <w:bCs/>
                <w:i/>
                <w:sz w:val="16"/>
                <w:lang w:val="es-ES_tradnl"/>
              </w:rPr>
            </w:pPr>
            <w:r w:rsidRPr="008253DC">
              <w:rPr>
                <w:bCs/>
                <w:i/>
                <w:iCs/>
                <w:sz w:val="16"/>
                <w:lang w:val="es-ES_tradnl"/>
              </w:rPr>
              <w:t>2015</w:t>
            </w:r>
          </w:p>
        </w:tc>
        <w:tc>
          <w:tcPr>
            <w:tcW w:w="567" w:type="dxa"/>
            <w:tcBorders>
              <w:top w:val="single" w:sz="4" w:space="0" w:color="auto"/>
              <w:bottom w:val="single" w:sz="12" w:space="0" w:color="auto"/>
            </w:tcBorders>
            <w:shd w:val="clear" w:color="auto" w:fill="auto"/>
            <w:noWrap/>
            <w:vAlign w:val="bottom"/>
            <w:hideMark/>
          </w:tcPr>
          <w:p w14:paraId="09451101" w14:textId="77777777" w:rsidR="009635BE" w:rsidRPr="008253DC" w:rsidRDefault="009635BE" w:rsidP="000B1B3B">
            <w:pPr>
              <w:pStyle w:val="SingleTxtG"/>
              <w:tabs>
                <w:tab w:val="clear" w:pos="1701"/>
                <w:tab w:val="clear" w:pos="2268"/>
                <w:tab w:val="clear" w:pos="2835"/>
              </w:tabs>
              <w:spacing w:before="80" w:after="80" w:line="200" w:lineRule="exact"/>
              <w:ind w:left="28" w:right="28"/>
              <w:jc w:val="right"/>
              <w:rPr>
                <w:bCs/>
                <w:i/>
                <w:sz w:val="16"/>
                <w:lang w:val="es-ES_tradnl"/>
              </w:rPr>
            </w:pPr>
            <w:r w:rsidRPr="008253DC">
              <w:rPr>
                <w:bCs/>
                <w:i/>
                <w:iCs/>
                <w:sz w:val="16"/>
                <w:lang w:val="es-ES_tradnl"/>
              </w:rPr>
              <w:t>2016</w:t>
            </w:r>
          </w:p>
        </w:tc>
        <w:tc>
          <w:tcPr>
            <w:tcW w:w="566" w:type="dxa"/>
            <w:tcBorders>
              <w:top w:val="single" w:sz="4" w:space="0" w:color="auto"/>
              <w:bottom w:val="single" w:sz="12" w:space="0" w:color="auto"/>
            </w:tcBorders>
            <w:shd w:val="clear" w:color="auto" w:fill="auto"/>
            <w:noWrap/>
            <w:vAlign w:val="bottom"/>
            <w:hideMark/>
          </w:tcPr>
          <w:p w14:paraId="39A9F874" w14:textId="77777777" w:rsidR="009635BE" w:rsidRPr="008253DC" w:rsidRDefault="009635BE" w:rsidP="000B1B3B">
            <w:pPr>
              <w:pStyle w:val="SingleTxtG"/>
              <w:tabs>
                <w:tab w:val="clear" w:pos="1701"/>
                <w:tab w:val="clear" w:pos="2268"/>
                <w:tab w:val="clear" w:pos="2835"/>
              </w:tabs>
              <w:spacing w:before="80" w:after="80" w:line="200" w:lineRule="exact"/>
              <w:ind w:left="28" w:right="28"/>
              <w:jc w:val="right"/>
              <w:rPr>
                <w:bCs/>
                <w:i/>
                <w:sz w:val="16"/>
                <w:lang w:val="es-ES_tradnl"/>
              </w:rPr>
            </w:pPr>
            <w:r w:rsidRPr="008253DC">
              <w:rPr>
                <w:bCs/>
                <w:i/>
                <w:iCs/>
                <w:sz w:val="16"/>
                <w:lang w:val="es-ES_tradnl"/>
              </w:rPr>
              <w:t>2017</w:t>
            </w:r>
          </w:p>
        </w:tc>
      </w:tr>
      <w:tr w:rsidR="000B1B3B" w:rsidRPr="008253DC" w14:paraId="30D6F861" w14:textId="77777777" w:rsidTr="000B1B3B">
        <w:trPr>
          <w:trHeight w:val="240"/>
        </w:trPr>
        <w:tc>
          <w:tcPr>
            <w:tcW w:w="4253" w:type="dxa"/>
            <w:tcBorders>
              <w:top w:val="single" w:sz="12" w:space="0" w:color="auto"/>
            </w:tcBorders>
            <w:shd w:val="clear" w:color="auto" w:fill="auto"/>
            <w:noWrap/>
            <w:hideMark/>
          </w:tcPr>
          <w:p w14:paraId="09D02EDF" w14:textId="3E10DFDC" w:rsidR="000B1B3B" w:rsidRPr="008253DC" w:rsidRDefault="000B1B3B" w:rsidP="000B1B3B">
            <w:pPr>
              <w:pStyle w:val="SingleTxtG"/>
              <w:tabs>
                <w:tab w:val="clear" w:pos="1701"/>
                <w:tab w:val="clear" w:pos="2268"/>
                <w:tab w:val="clear" w:pos="2835"/>
              </w:tabs>
              <w:spacing w:before="40" w:after="40" w:line="220" w:lineRule="exact"/>
              <w:ind w:left="0" w:right="0"/>
              <w:jc w:val="left"/>
              <w:rPr>
                <w:b/>
                <w:sz w:val="18"/>
                <w:lang w:val="es-ES_tradnl"/>
              </w:rPr>
            </w:pPr>
            <w:r w:rsidRPr="008253DC">
              <w:rPr>
                <w:b/>
                <w:sz w:val="18"/>
                <w:lang w:val="es-ES_tradnl"/>
              </w:rPr>
              <w:t>Hombres</w:t>
            </w:r>
          </w:p>
        </w:tc>
        <w:tc>
          <w:tcPr>
            <w:tcW w:w="709" w:type="dxa"/>
            <w:tcBorders>
              <w:top w:val="single" w:sz="12" w:space="0" w:color="auto"/>
            </w:tcBorders>
            <w:shd w:val="clear" w:color="auto" w:fill="auto"/>
            <w:noWrap/>
            <w:vAlign w:val="bottom"/>
            <w:hideMark/>
          </w:tcPr>
          <w:p w14:paraId="12A2DE62"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p>
        </w:tc>
        <w:tc>
          <w:tcPr>
            <w:tcW w:w="708" w:type="dxa"/>
            <w:tcBorders>
              <w:top w:val="single" w:sz="12" w:space="0" w:color="auto"/>
            </w:tcBorders>
            <w:shd w:val="clear" w:color="auto" w:fill="auto"/>
            <w:noWrap/>
            <w:vAlign w:val="bottom"/>
            <w:hideMark/>
          </w:tcPr>
          <w:p w14:paraId="0D3A0004"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p>
        </w:tc>
        <w:tc>
          <w:tcPr>
            <w:tcW w:w="567" w:type="dxa"/>
            <w:tcBorders>
              <w:top w:val="single" w:sz="12" w:space="0" w:color="auto"/>
            </w:tcBorders>
            <w:shd w:val="clear" w:color="auto" w:fill="auto"/>
            <w:noWrap/>
            <w:vAlign w:val="bottom"/>
            <w:hideMark/>
          </w:tcPr>
          <w:p w14:paraId="051F4597"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p>
        </w:tc>
        <w:tc>
          <w:tcPr>
            <w:tcW w:w="567" w:type="dxa"/>
            <w:tcBorders>
              <w:top w:val="single" w:sz="12" w:space="0" w:color="auto"/>
            </w:tcBorders>
            <w:shd w:val="clear" w:color="auto" w:fill="auto"/>
            <w:noWrap/>
            <w:vAlign w:val="bottom"/>
            <w:hideMark/>
          </w:tcPr>
          <w:p w14:paraId="1BBD64CF"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p>
        </w:tc>
        <w:tc>
          <w:tcPr>
            <w:tcW w:w="566" w:type="dxa"/>
            <w:tcBorders>
              <w:top w:val="single" w:sz="12" w:space="0" w:color="auto"/>
            </w:tcBorders>
            <w:shd w:val="clear" w:color="auto" w:fill="auto"/>
            <w:noWrap/>
            <w:vAlign w:val="bottom"/>
            <w:hideMark/>
          </w:tcPr>
          <w:p w14:paraId="4BD12075"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p>
        </w:tc>
      </w:tr>
      <w:tr w:rsidR="000B1B3B" w:rsidRPr="008253DC" w14:paraId="5F921AA8" w14:textId="77777777" w:rsidTr="000B1B3B">
        <w:trPr>
          <w:trHeight w:val="240"/>
        </w:trPr>
        <w:tc>
          <w:tcPr>
            <w:tcW w:w="4253" w:type="dxa"/>
            <w:shd w:val="clear" w:color="auto" w:fill="auto"/>
            <w:noWrap/>
            <w:hideMark/>
          </w:tcPr>
          <w:p w14:paraId="18735883" w14:textId="1F8C270F" w:rsidR="000B1B3B" w:rsidRPr="008253DC" w:rsidRDefault="000B1B3B" w:rsidP="000B1B3B">
            <w:pPr>
              <w:pStyle w:val="SingleTxtG"/>
              <w:tabs>
                <w:tab w:val="clear" w:pos="1701"/>
                <w:tab w:val="clear" w:pos="2268"/>
                <w:tab w:val="clear" w:pos="2835"/>
              </w:tabs>
              <w:spacing w:before="40" w:after="40" w:line="220" w:lineRule="exact"/>
              <w:ind w:left="0" w:right="0"/>
              <w:jc w:val="left"/>
              <w:rPr>
                <w:bCs/>
                <w:sz w:val="18"/>
                <w:lang w:val="es-ES_tradnl"/>
              </w:rPr>
            </w:pPr>
            <w:r w:rsidRPr="008253DC">
              <w:rPr>
                <w:bCs/>
                <w:sz w:val="18"/>
                <w:lang w:val="es-ES_tradnl"/>
              </w:rPr>
              <w:t>Sistema educativo de estructura única – Clasificación Internacional Normalizada de la Educación (CINE) 1, 2</w:t>
            </w:r>
          </w:p>
        </w:tc>
        <w:tc>
          <w:tcPr>
            <w:tcW w:w="709" w:type="dxa"/>
            <w:shd w:val="clear" w:color="auto" w:fill="auto"/>
            <w:noWrap/>
            <w:vAlign w:val="bottom"/>
            <w:hideMark/>
          </w:tcPr>
          <w:p w14:paraId="1C175C5A"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34,4</w:t>
            </w:r>
          </w:p>
        </w:tc>
        <w:tc>
          <w:tcPr>
            <w:tcW w:w="708" w:type="dxa"/>
            <w:shd w:val="clear" w:color="auto" w:fill="auto"/>
            <w:noWrap/>
            <w:vAlign w:val="bottom"/>
            <w:hideMark/>
          </w:tcPr>
          <w:p w14:paraId="473EBC77"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34,3</w:t>
            </w:r>
          </w:p>
        </w:tc>
        <w:tc>
          <w:tcPr>
            <w:tcW w:w="567" w:type="dxa"/>
            <w:shd w:val="clear" w:color="auto" w:fill="auto"/>
            <w:noWrap/>
            <w:vAlign w:val="bottom"/>
            <w:hideMark/>
          </w:tcPr>
          <w:p w14:paraId="4CD0FDEB"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33,5</w:t>
            </w:r>
          </w:p>
        </w:tc>
        <w:tc>
          <w:tcPr>
            <w:tcW w:w="567" w:type="dxa"/>
            <w:shd w:val="clear" w:color="auto" w:fill="auto"/>
            <w:noWrap/>
            <w:vAlign w:val="bottom"/>
            <w:hideMark/>
          </w:tcPr>
          <w:p w14:paraId="08A9EE4D"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29,9</w:t>
            </w:r>
          </w:p>
        </w:tc>
        <w:tc>
          <w:tcPr>
            <w:tcW w:w="566" w:type="dxa"/>
            <w:shd w:val="clear" w:color="auto" w:fill="auto"/>
            <w:noWrap/>
            <w:vAlign w:val="bottom"/>
            <w:hideMark/>
          </w:tcPr>
          <w:p w14:paraId="7A27AFD9"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30,5</w:t>
            </w:r>
          </w:p>
        </w:tc>
      </w:tr>
      <w:tr w:rsidR="000B1B3B" w:rsidRPr="008253DC" w14:paraId="1D098524" w14:textId="77777777" w:rsidTr="000B1B3B">
        <w:trPr>
          <w:trHeight w:val="240"/>
        </w:trPr>
        <w:tc>
          <w:tcPr>
            <w:tcW w:w="4253" w:type="dxa"/>
            <w:shd w:val="clear" w:color="auto" w:fill="auto"/>
            <w:noWrap/>
            <w:hideMark/>
          </w:tcPr>
          <w:p w14:paraId="6AA54ADA" w14:textId="77777777" w:rsidR="000B1B3B" w:rsidRPr="008253DC" w:rsidRDefault="000B1B3B" w:rsidP="000B1B3B">
            <w:pPr>
              <w:pStyle w:val="SingleTxtG"/>
              <w:tabs>
                <w:tab w:val="clear" w:pos="1701"/>
                <w:tab w:val="clear" w:pos="2268"/>
                <w:tab w:val="clear" w:pos="2835"/>
              </w:tabs>
              <w:spacing w:before="40" w:after="40" w:line="220" w:lineRule="exact"/>
              <w:ind w:left="0" w:right="0"/>
              <w:jc w:val="left"/>
              <w:rPr>
                <w:bCs/>
                <w:sz w:val="18"/>
                <w:lang w:val="es-ES_tradnl"/>
              </w:rPr>
            </w:pPr>
            <w:r w:rsidRPr="008253DC">
              <w:rPr>
                <w:bCs/>
                <w:sz w:val="18"/>
                <w:lang w:val="es-ES_tradnl"/>
              </w:rPr>
              <w:t>Educación secundaria general – CINE 3, 4</w:t>
            </w:r>
          </w:p>
        </w:tc>
        <w:tc>
          <w:tcPr>
            <w:tcW w:w="709" w:type="dxa"/>
            <w:shd w:val="clear" w:color="auto" w:fill="auto"/>
            <w:noWrap/>
            <w:vAlign w:val="bottom"/>
            <w:hideMark/>
          </w:tcPr>
          <w:p w14:paraId="623586A8"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41,7</w:t>
            </w:r>
          </w:p>
        </w:tc>
        <w:tc>
          <w:tcPr>
            <w:tcW w:w="708" w:type="dxa"/>
            <w:shd w:val="clear" w:color="auto" w:fill="auto"/>
            <w:noWrap/>
            <w:vAlign w:val="bottom"/>
            <w:hideMark/>
          </w:tcPr>
          <w:p w14:paraId="3A7BB65F"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41,1</w:t>
            </w:r>
          </w:p>
        </w:tc>
        <w:tc>
          <w:tcPr>
            <w:tcW w:w="567" w:type="dxa"/>
            <w:shd w:val="clear" w:color="auto" w:fill="auto"/>
            <w:noWrap/>
            <w:vAlign w:val="bottom"/>
            <w:hideMark/>
          </w:tcPr>
          <w:p w14:paraId="37101E19"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41,6</w:t>
            </w:r>
          </w:p>
        </w:tc>
        <w:tc>
          <w:tcPr>
            <w:tcW w:w="567" w:type="dxa"/>
            <w:shd w:val="clear" w:color="auto" w:fill="auto"/>
            <w:noWrap/>
            <w:vAlign w:val="bottom"/>
            <w:hideMark/>
          </w:tcPr>
          <w:p w14:paraId="005F78C8"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43,8</w:t>
            </w:r>
          </w:p>
        </w:tc>
        <w:tc>
          <w:tcPr>
            <w:tcW w:w="566" w:type="dxa"/>
            <w:shd w:val="clear" w:color="auto" w:fill="auto"/>
            <w:noWrap/>
            <w:vAlign w:val="bottom"/>
            <w:hideMark/>
          </w:tcPr>
          <w:p w14:paraId="69A94002"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41,8</w:t>
            </w:r>
          </w:p>
        </w:tc>
      </w:tr>
      <w:tr w:rsidR="000B1B3B" w:rsidRPr="008253DC" w14:paraId="76B78C5D" w14:textId="77777777" w:rsidTr="000B1B3B">
        <w:trPr>
          <w:trHeight w:val="240"/>
        </w:trPr>
        <w:tc>
          <w:tcPr>
            <w:tcW w:w="4253" w:type="dxa"/>
            <w:shd w:val="clear" w:color="auto" w:fill="auto"/>
            <w:noWrap/>
            <w:hideMark/>
          </w:tcPr>
          <w:p w14:paraId="307ECC48" w14:textId="77777777" w:rsidR="000B1B3B" w:rsidRPr="008253DC" w:rsidRDefault="000B1B3B" w:rsidP="000B1B3B">
            <w:pPr>
              <w:pStyle w:val="SingleTxtG"/>
              <w:tabs>
                <w:tab w:val="clear" w:pos="1701"/>
                <w:tab w:val="clear" w:pos="2268"/>
                <w:tab w:val="clear" w:pos="2835"/>
              </w:tabs>
              <w:spacing w:before="40" w:after="40" w:line="220" w:lineRule="exact"/>
              <w:ind w:left="0" w:right="0"/>
              <w:jc w:val="left"/>
              <w:rPr>
                <w:bCs/>
                <w:sz w:val="18"/>
                <w:lang w:val="es-ES_tradnl"/>
              </w:rPr>
            </w:pPr>
            <w:r w:rsidRPr="008253DC">
              <w:rPr>
                <w:bCs/>
                <w:sz w:val="18"/>
                <w:lang w:val="es-ES_tradnl"/>
              </w:rPr>
              <w:t>Educación terciaria – CINE 5, 6, 7, 8</w:t>
            </w:r>
          </w:p>
        </w:tc>
        <w:tc>
          <w:tcPr>
            <w:tcW w:w="709" w:type="dxa"/>
            <w:shd w:val="clear" w:color="auto" w:fill="auto"/>
            <w:noWrap/>
            <w:vAlign w:val="bottom"/>
            <w:hideMark/>
          </w:tcPr>
          <w:p w14:paraId="0B6FC22C"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23,9</w:t>
            </w:r>
          </w:p>
        </w:tc>
        <w:tc>
          <w:tcPr>
            <w:tcW w:w="708" w:type="dxa"/>
            <w:shd w:val="clear" w:color="auto" w:fill="auto"/>
            <w:noWrap/>
            <w:vAlign w:val="bottom"/>
            <w:hideMark/>
          </w:tcPr>
          <w:p w14:paraId="5978C78F"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24,5</w:t>
            </w:r>
          </w:p>
        </w:tc>
        <w:tc>
          <w:tcPr>
            <w:tcW w:w="567" w:type="dxa"/>
            <w:shd w:val="clear" w:color="auto" w:fill="auto"/>
            <w:noWrap/>
            <w:vAlign w:val="bottom"/>
            <w:hideMark/>
          </w:tcPr>
          <w:p w14:paraId="098C8DEC"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24,8</w:t>
            </w:r>
          </w:p>
        </w:tc>
        <w:tc>
          <w:tcPr>
            <w:tcW w:w="567" w:type="dxa"/>
            <w:shd w:val="clear" w:color="auto" w:fill="auto"/>
            <w:noWrap/>
            <w:vAlign w:val="bottom"/>
            <w:hideMark/>
          </w:tcPr>
          <w:p w14:paraId="702D4975"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26,4</w:t>
            </w:r>
          </w:p>
        </w:tc>
        <w:tc>
          <w:tcPr>
            <w:tcW w:w="566" w:type="dxa"/>
            <w:shd w:val="clear" w:color="auto" w:fill="auto"/>
            <w:noWrap/>
            <w:vAlign w:val="bottom"/>
            <w:hideMark/>
          </w:tcPr>
          <w:p w14:paraId="14680C96"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27,7</w:t>
            </w:r>
          </w:p>
        </w:tc>
      </w:tr>
      <w:tr w:rsidR="000B1B3B" w:rsidRPr="008253DC" w14:paraId="3D464624" w14:textId="77777777" w:rsidTr="000B1B3B">
        <w:trPr>
          <w:trHeight w:val="240"/>
        </w:trPr>
        <w:tc>
          <w:tcPr>
            <w:tcW w:w="4253" w:type="dxa"/>
            <w:shd w:val="clear" w:color="auto" w:fill="auto"/>
            <w:noWrap/>
            <w:hideMark/>
          </w:tcPr>
          <w:p w14:paraId="1DA1353F" w14:textId="7DEECF26" w:rsidR="000B1B3B" w:rsidRPr="008253DC" w:rsidRDefault="000B1B3B" w:rsidP="00340CFB">
            <w:pPr>
              <w:pStyle w:val="SingleTxtG"/>
              <w:keepNext/>
              <w:keepLines/>
              <w:tabs>
                <w:tab w:val="clear" w:pos="1701"/>
                <w:tab w:val="clear" w:pos="2268"/>
                <w:tab w:val="clear" w:pos="2835"/>
              </w:tabs>
              <w:spacing w:before="40" w:after="40" w:line="220" w:lineRule="exact"/>
              <w:ind w:left="0" w:right="0"/>
              <w:jc w:val="left"/>
              <w:rPr>
                <w:b/>
                <w:sz w:val="18"/>
                <w:lang w:val="es-ES_tradnl"/>
              </w:rPr>
            </w:pPr>
            <w:r w:rsidRPr="008253DC">
              <w:rPr>
                <w:b/>
                <w:sz w:val="18"/>
                <w:lang w:val="es-ES_tradnl"/>
              </w:rPr>
              <w:lastRenderedPageBreak/>
              <w:t>Mujeres</w:t>
            </w:r>
          </w:p>
        </w:tc>
        <w:tc>
          <w:tcPr>
            <w:tcW w:w="709" w:type="dxa"/>
            <w:shd w:val="clear" w:color="auto" w:fill="auto"/>
            <w:noWrap/>
            <w:vAlign w:val="bottom"/>
            <w:hideMark/>
          </w:tcPr>
          <w:p w14:paraId="4C8473C0" w14:textId="77777777" w:rsidR="000B1B3B" w:rsidRPr="008253DC" w:rsidRDefault="000B1B3B" w:rsidP="00340CFB">
            <w:pPr>
              <w:pStyle w:val="SingleTxtG"/>
              <w:keepNext/>
              <w:keepLines/>
              <w:tabs>
                <w:tab w:val="clear" w:pos="1701"/>
                <w:tab w:val="clear" w:pos="2268"/>
                <w:tab w:val="clear" w:pos="2835"/>
              </w:tabs>
              <w:spacing w:before="40" w:after="40" w:line="220" w:lineRule="exact"/>
              <w:ind w:left="28" w:right="28"/>
              <w:jc w:val="right"/>
              <w:rPr>
                <w:sz w:val="18"/>
                <w:lang w:val="es-ES_tradnl"/>
              </w:rPr>
            </w:pPr>
          </w:p>
        </w:tc>
        <w:tc>
          <w:tcPr>
            <w:tcW w:w="708" w:type="dxa"/>
            <w:shd w:val="clear" w:color="auto" w:fill="auto"/>
            <w:noWrap/>
            <w:vAlign w:val="bottom"/>
            <w:hideMark/>
          </w:tcPr>
          <w:p w14:paraId="105959A1" w14:textId="77777777" w:rsidR="000B1B3B" w:rsidRPr="008253DC" w:rsidRDefault="000B1B3B" w:rsidP="00340CFB">
            <w:pPr>
              <w:pStyle w:val="SingleTxtG"/>
              <w:keepNext/>
              <w:keepLines/>
              <w:tabs>
                <w:tab w:val="clear" w:pos="1701"/>
                <w:tab w:val="clear" w:pos="2268"/>
                <w:tab w:val="clear" w:pos="2835"/>
              </w:tabs>
              <w:spacing w:before="40" w:after="40" w:line="220" w:lineRule="exact"/>
              <w:ind w:left="28" w:right="28"/>
              <w:jc w:val="right"/>
              <w:rPr>
                <w:sz w:val="18"/>
                <w:lang w:val="es-ES_tradnl"/>
              </w:rPr>
            </w:pPr>
          </w:p>
        </w:tc>
        <w:tc>
          <w:tcPr>
            <w:tcW w:w="567" w:type="dxa"/>
            <w:shd w:val="clear" w:color="auto" w:fill="auto"/>
            <w:noWrap/>
            <w:vAlign w:val="bottom"/>
            <w:hideMark/>
          </w:tcPr>
          <w:p w14:paraId="4ED036E6" w14:textId="77777777" w:rsidR="000B1B3B" w:rsidRPr="008253DC" w:rsidRDefault="000B1B3B" w:rsidP="00340CFB">
            <w:pPr>
              <w:pStyle w:val="SingleTxtG"/>
              <w:keepNext/>
              <w:keepLines/>
              <w:tabs>
                <w:tab w:val="clear" w:pos="1701"/>
                <w:tab w:val="clear" w:pos="2268"/>
                <w:tab w:val="clear" w:pos="2835"/>
              </w:tabs>
              <w:spacing w:before="40" w:after="40" w:line="220" w:lineRule="exact"/>
              <w:ind w:left="28" w:right="28"/>
              <w:jc w:val="right"/>
              <w:rPr>
                <w:sz w:val="18"/>
                <w:lang w:val="es-ES_tradnl"/>
              </w:rPr>
            </w:pPr>
          </w:p>
        </w:tc>
        <w:tc>
          <w:tcPr>
            <w:tcW w:w="567" w:type="dxa"/>
            <w:shd w:val="clear" w:color="auto" w:fill="auto"/>
            <w:noWrap/>
            <w:vAlign w:val="bottom"/>
            <w:hideMark/>
          </w:tcPr>
          <w:p w14:paraId="24D7055A" w14:textId="77777777" w:rsidR="000B1B3B" w:rsidRPr="008253DC" w:rsidRDefault="000B1B3B" w:rsidP="00340CFB">
            <w:pPr>
              <w:pStyle w:val="SingleTxtG"/>
              <w:keepNext/>
              <w:keepLines/>
              <w:tabs>
                <w:tab w:val="clear" w:pos="1701"/>
                <w:tab w:val="clear" w:pos="2268"/>
                <w:tab w:val="clear" w:pos="2835"/>
              </w:tabs>
              <w:spacing w:before="40" w:after="40" w:line="220" w:lineRule="exact"/>
              <w:ind w:left="28" w:right="28"/>
              <w:jc w:val="right"/>
              <w:rPr>
                <w:sz w:val="18"/>
                <w:lang w:val="es-ES_tradnl"/>
              </w:rPr>
            </w:pPr>
          </w:p>
        </w:tc>
        <w:tc>
          <w:tcPr>
            <w:tcW w:w="566" w:type="dxa"/>
            <w:shd w:val="clear" w:color="auto" w:fill="auto"/>
            <w:noWrap/>
            <w:vAlign w:val="bottom"/>
            <w:hideMark/>
          </w:tcPr>
          <w:p w14:paraId="67F50178" w14:textId="77777777" w:rsidR="000B1B3B" w:rsidRPr="008253DC" w:rsidRDefault="000B1B3B" w:rsidP="00340CFB">
            <w:pPr>
              <w:pStyle w:val="SingleTxtG"/>
              <w:keepNext/>
              <w:keepLines/>
              <w:tabs>
                <w:tab w:val="clear" w:pos="1701"/>
                <w:tab w:val="clear" w:pos="2268"/>
                <w:tab w:val="clear" w:pos="2835"/>
              </w:tabs>
              <w:spacing w:before="40" w:after="40" w:line="220" w:lineRule="exact"/>
              <w:ind w:left="28" w:right="28"/>
              <w:jc w:val="right"/>
              <w:rPr>
                <w:sz w:val="18"/>
                <w:lang w:val="es-ES_tradnl"/>
              </w:rPr>
            </w:pPr>
          </w:p>
        </w:tc>
      </w:tr>
      <w:tr w:rsidR="000B1B3B" w:rsidRPr="008253DC" w14:paraId="32C53910" w14:textId="77777777" w:rsidTr="000B1B3B">
        <w:trPr>
          <w:trHeight w:val="240"/>
        </w:trPr>
        <w:tc>
          <w:tcPr>
            <w:tcW w:w="4253" w:type="dxa"/>
            <w:shd w:val="clear" w:color="auto" w:fill="auto"/>
            <w:noWrap/>
            <w:hideMark/>
          </w:tcPr>
          <w:p w14:paraId="5B55E245" w14:textId="081F16E6" w:rsidR="000B1B3B" w:rsidRPr="008253DC" w:rsidRDefault="000B1B3B" w:rsidP="000B1B3B">
            <w:pPr>
              <w:pStyle w:val="SingleTxtG"/>
              <w:tabs>
                <w:tab w:val="clear" w:pos="1701"/>
                <w:tab w:val="clear" w:pos="2268"/>
                <w:tab w:val="clear" w:pos="2835"/>
              </w:tabs>
              <w:spacing w:before="40" w:after="40" w:line="220" w:lineRule="exact"/>
              <w:ind w:left="0" w:right="0"/>
              <w:jc w:val="left"/>
              <w:rPr>
                <w:bCs/>
                <w:sz w:val="18"/>
                <w:lang w:val="es-ES_tradnl"/>
              </w:rPr>
            </w:pPr>
            <w:r w:rsidRPr="008253DC">
              <w:rPr>
                <w:bCs/>
                <w:sz w:val="18"/>
                <w:lang w:val="es-ES_tradnl"/>
              </w:rPr>
              <w:t>Sistema educativo de estructura única – CINE 1, 2</w:t>
            </w:r>
          </w:p>
        </w:tc>
        <w:tc>
          <w:tcPr>
            <w:tcW w:w="709" w:type="dxa"/>
            <w:shd w:val="clear" w:color="auto" w:fill="auto"/>
            <w:noWrap/>
            <w:vAlign w:val="bottom"/>
            <w:hideMark/>
          </w:tcPr>
          <w:p w14:paraId="08D65519"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38,1</w:t>
            </w:r>
          </w:p>
        </w:tc>
        <w:tc>
          <w:tcPr>
            <w:tcW w:w="708" w:type="dxa"/>
            <w:shd w:val="clear" w:color="auto" w:fill="auto"/>
            <w:noWrap/>
            <w:vAlign w:val="bottom"/>
            <w:hideMark/>
          </w:tcPr>
          <w:p w14:paraId="218B665E"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36,3</w:t>
            </w:r>
          </w:p>
        </w:tc>
        <w:tc>
          <w:tcPr>
            <w:tcW w:w="567" w:type="dxa"/>
            <w:shd w:val="clear" w:color="auto" w:fill="auto"/>
            <w:noWrap/>
            <w:vAlign w:val="bottom"/>
            <w:hideMark/>
          </w:tcPr>
          <w:p w14:paraId="7BE2E628"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34,6</w:t>
            </w:r>
          </w:p>
        </w:tc>
        <w:tc>
          <w:tcPr>
            <w:tcW w:w="567" w:type="dxa"/>
            <w:shd w:val="clear" w:color="auto" w:fill="auto"/>
            <w:noWrap/>
            <w:vAlign w:val="bottom"/>
            <w:hideMark/>
          </w:tcPr>
          <w:p w14:paraId="4AA48DB5"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30,7</w:t>
            </w:r>
          </w:p>
        </w:tc>
        <w:tc>
          <w:tcPr>
            <w:tcW w:w="566" w:type="dxa"/>
            <w:shd w:val="clear" w:color="auto" w:fill="auto"/>
            <w:noWrap/>
            <w:vAlign w:val="bottom"/>
            <w:hideMark/>
          </w:tcPr>
          <w:p w14:paraId="25DD384A"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31,4</w:t>
            </w:r>
          </w:p>
        </w:tc>
      </w:tr>
      <w:tr w:rsidR="000B1B3B" w:rsidRPr="008253DC" w14:paraId="1CF2FD07" w14:textId="77777777" w:rsidTr="000B1B3B">
        <w:trPr>
          <w:trHeight w:val="240"/>
        </w:trPr>
        <w:tc>
          <w:tcPr>
            <w:tcW w:w="4253" w:type="dxa"/>
            <w:shd w:val="clear" w:color="auto" w:fill="auto"/>
            <w:noWrap/>
            <w:hideMark/>
          </w:tcPr>
          <w:p w14:paraId="30F5C7FB" w14:textId="77777777" w:rsidR="000B1B3B" w:rsidRPr="008253DC" w:rsidRDefault="000B1B3B" w:rsidP="000B1B3B">
            <w:pPr>
              <w:pStyle w:val="SingleTxtG"/>
              <w:tabs>
                <w:tab w:val="clear" w:pos="1701"/>
                <w:tab w:val="clear" w:pos="2268"/>
                <w:tab w:val="clear" w:pos="2835"/>
              </w:tabs>
              <w:spacing w:before="40" w:after="40" w:line="220" w:lineRule="exact"/>
              <w:ind w:left="0" w:right="0"/>
              <w:jc w:val="left"/>
              <w:rPr>
                <w:bCs/>
                <w:sz w:val="18"/>
                <w:lang w:val="es-ES_tradnl"/>
              </w:rPr>
            </w:pPr>
            <w:r w:rsidRPr="008253DC">
              <w:rPr>
                <w:bCs/>
                <w:sz w:val="18"/>
                <w:lang w:val="es-ES_tradnl"/>
              </w:rPr>
              <w:t>Educación secundaria general – CINE 3, 4</w:t>
            </w:r>
          </w:p>
        </w:tc>
        <w:tc>
          <w:tcPr>
            <w:tcW w:w="709" w:type="dxa"/>
            <w:shd w:val="clear" w:color="auto" w:fill="auto"/>
            <w:noWrap/>
            <w:vAlign w:val="bottom"/>
            <w:hideMark/>
          </w:tcPr>
          <w:p w14:paraId="6005B4D5"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29,2</w:t>
            </w:r>
          </w:p>
        </w:tc>
        <w:tc>
          <w:tcPr>
            <w:tcW w:w="708" w:type="dxa"/>
            <w:shd w:val="clear" w:color="auto" w:fill="auto"/>
            <w:noWrap/>
            <w:vAlign w:val="bottom"/>
            <w:hideMark/>
          </w:tcPr>
          <w:p w14:paraId="55F7489D"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30,2</w:t>
            </w:r>
          </w:p>
        </w:tc>
        <w:tc>
          <w:tcPr>
            <w:tcW w:w="567" w:type="dxa"/>
            <w:shd w:val="clear" w:color="auto" w:fill="auto"/>
            <w:noWrap/>
            <w:vAlign w:val="bottom"/>
            <w:hideMark/>
          </w:tcPr>
          <w:p w14:paraId="0AA984D5"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29,9</w:t>
            </w:r>
          </w:p>
        </w:tc>
        <w:tc>
          <w:tcPr>
            <w:tcW w:w="567" w:type="dxa"/>
            <w:shd w:val="clear" w:color="auto" w:fill="auto"/>
            <w:noWrap/>
            <w:vAlign w:val="bottom"/>
            <w:hideMark/>
          </w:tcPr>
          <w:p w14:paraId="24599208"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31,6</w:t>
            </w:r>
          </w:p>
        </w:tc>
        <w:tc>
          <w:tcPr>
            <w:tcW w:w="566" w:type="dxa"/>
            <w:shd w:val="clear" w:color="auto" w:fill="auto"/>
            <w:noWrap/>
            <w:vAlign w:val="bottom"/>
            <w:hideMark/>
          </w:tcPr>
          <w:p w14:paraId="1B440EA8"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28,9</w:t>
            </w:r>
          </w:p>
        </w:tc>
      </w:tr>
      <w:tr w:rsidR="000B1B3B" w:rsidRPr="008253DC" w14:paraId="5B999498" w14:textId="77777777" w:rsidTr="000B1B3B">
        <w:trPr>
          <w:trHeight w:val="240"/>
        </w:trPr>
        <w:tc>
          <w:tcPr>
            <w:tcW w:w="4253" w:type="dxa"/>
            <w:tcBorders>
              <w:bottom w:val="single" w:sz="12" w:space="0" w:color="auto"/>
            </w:tcBorders>
            <w:shd w:val="clear" w:color="auto" w:fill="auto"/>
            <w:noWrap/>
            <w:hideMark/>
          </w:tcPr>
          <w:p w14:paraId="5F820F6E" w14:textId="77777777" w:rsidR="000B1B3B" w:rsidRPr="008253DC" w:rsidRDefault="000B1B3B" w:rsidP="000B1B3B">
            <w:pPr>
              <w:pStyle w:val="SingleTxtG"/>
              <w:tabs>
                <w:tab w:val="clear" w:pos="1701"/>
                <w:tab w:val="clear" w:pos="2268"/>
                <w:tab w:val="clear" w:pos="2835"/>
              </w:tabs>
              <w:spacing w:before="40" w:after="40" w:line="220" w:lineRule="exact"/>
              <w:ind w:left="0" w:right="0"/>
              <w:jc w:val="left"/>
              <w:rPr>
                <w:bCs/>
                <w:sz w:val="18"/>
                <w:lang w:val="es-ES_tradnl"/>
              </w:rPr>
            </w:pPr>
            <w:r w:rsidRPr="008253DC">
              <w:rPr>
                <w:bCs/>
                <w:sz w:val="18"/>
                <w:lang w:val="es-ES_tradnl"/>
              </w:rPr>
              <w:t>Educación terciaria – CINE 5, 6, 7, 8</w:t>
            </w:r>
          </w:p>
        </w:tc>
        <w:tc>
          <w:tcPr>
            <w:tcW w:w="709" w:type="dxa"/>
            <w:tcBorders>
              <w:bottom w:val="single" w:sz="12" w:space="0" w:color="auto"/>
            </w:tcBorders>
            <w:shd w:val="clear" w:color="auto" w:fill="auto"/>
            <w:noWrap/>
            <w:vAlign w:val="bottom"/>
            <w:hideMark/>
          </w:tcPr>
          <w:p w14:paraId="1B96DDC8"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32,7</w:t>
            </w:r>
          </w:p>
        </w:tc>
        <w:tc>
          <w:tcPr>
            <w:tcW w:w="708" w:type="dxa"/>
            <w:tcBorders>
              <w:bottom w:val="single" w:sz="12" w:space="0" w:color="auto"/>
            </w:tcBorders>
            <w:shd w:val="clear" w:color="auto" w:fill="auto"/>
            <w:noWrap/>
            <w:vAlign w:val="bottom"/>
            <w:hideMark/>
          </w:tcPr>
          <w:p w14:paraId="05C70DF0"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33,5</w:t>
            </w:r>
          </w:p>
        </w:tc>
        <w:tc>
          <w:tcPr>
            <w:tcW w:w="567" w:type="dxa"/>
            <w:tcBorders>
              <w:bottom w:val="single" w:sz="12" w:space="0" w:color="auto"/>
            </w:tcBorders>
            <w:shd w:val="clear" w:color="auto" w:fill="auto"/>
            <w:noWrap/>
            <w:vAlign w:val="bottom"/>
            <w:hideMark/>
          </w:tcPr>
          <w:p w14:paraId="406E6038"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35,5</w:t>
            </w:r>
          </w:p>
        </w:tc>
        <w:tc>
          <w:tcPr>
            <w:tcW w:w="567" w:type="dxa"/>
            <w:tcBorders>
              <w:bottom w:val="single" w:sz="12" w:space="0" w:color="auto"/>
            </w:tcBorders>
            <w:shd w:val="clear" w:color="auto" w:fill="auto"/>
            <w:noWrap/>
            <w:vAlign w:val="bottom"/>
            <w:hideMark/>
          </w:tcPr>
          <w:p w14:paraId="656E0860"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37,6</w:t>
            </w:r>
          </w:p>
        </w:tc>
        <w:tc>
          <w:tcPr>
            <w:tcW w:w="566" w:type="dxa"/>
            <w:tcBorders>
              <w:bottom w:val="single" w:sz="12" w:space="0" w:color="auto"/>
            </w:tcBorders>
            <w:shd w:val="clear" w:color="auto" w:fill="auto"/>
            <w:noWrap/>
            <w:vAlign w:val="bottom"/>
            <w:hideMark/>
          </w:tcPr>
          <w:p w14:paraId="49444861" w14:textId="77777777" w:rsidR="000B1B3B" w:rsidRPr="008253DC" w:rsidRDefault="000B1B3B" w:rsidP="000B1B3B">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39,7</w:t>
            </w:r>
          </w:p>
        </w:tc>
      </w:tr>
    </w:tbl>
    <w:p w14:paraId="2DE65F84" w14:textId="30947714" w:rsidR="00C619FA" w:rsidRPr="008253DC" w:rsidRDefault="00DB672D" w:rsidP="00DB672D">
      <w:pPr>
        <w:pStyle w:val="H23G"/>
        <w:rPr>
          <w:lang w:val="es-ES_tradnl"/>
        </w:rPr>
      </w:pPr>
      <w:r w:rsidRPr="008253DC">
        <w:rPr>
          <w:lang w:val="es-ES_tradnl"/>
        </w:rPr>
        <w:tab/>
      </w:r>
      <w:r w:rsidR="00C619FA" w:rsidRPr="008253DC">
        <w:rPr>
          <w:lang w:val="es-ES_tradnl"/>
        </w:rPr>
        <w:tab/>
        <w:t>Educación preescolar</w:t>
      </w:r>
    </w:p>
    <w:p w14:paraId="79EB0BB0" w14:textId="77777777" w:rsidR="00C619FA" w:rsidRPr="008253DC" w:rsidRDefault="00C619FA" w:rsidP="00C619FA">
      <w:pPr>
        <w:pStyle w:val="SingleTxtG"/>
        <w:rPr>
          <w:bCs/>
          <w:lang w:val="es-ES_tradnl"/>
        </w:rPr>
      </w:pPr>
      <w:r w:rsidRPr="008253DC">
        <w:rPr>
          <w:lang w:val="es-ES_tradnl"/>
        </w:rPr>
        <w:t>17.</w:t>
      </w:r>
      <w:r w:rsidRPr="008253DC">
        <w:rPr>
          <w:lang w:val="es-ES_tradnl"/>
        </w:rPr>
        <w:tab/>
        <w:t>La educación preescolar se ha definido por ley como el primer nivel del sistema educativo destinado a la</w:t>
      </w:r>
      <w:r w:rsidRPr="008253DC">
        <w:rPr>
          <w:b/>
          <w:bCs/>
          <w:lang w:val="es-ES_tradnl"/>
        </w:rPr>
        <w:t xml:space="preserve"> </w:t>
      </w:r>
      <w:r w:rsidRPr="008253DC">
        <w:rPr>
          <w:lang w:val="es-ES_tradnl"/>
        </w:rPr>
        <w:t>educación y el cuidado de los niños que todavía no han cumplido seis años de edad, momento en el que empieza la educación obligatoria. La Ley de Enseñanza Preescolar, de 2008, establece que, a pedido de los progenitores, la enseñanza preescolar comprende la crianza, el cuidado y la educación de los niños en edad preescolar. El principal objetivo de todas las actividades preescolares es el interés superior y el bienestar de los niños. Todos los centros de enseñanza preescolar siguen un programa educativo, el Plan Nacional de Estudios, emitido por el Ministerio de Educación, Ciencia y Cultura en 2011. Los municipios locales son responsables del funcionamiento de los centros de enseñanza preescolar.</w:t>
      </w:r>
    </w:p>
    <w:p w14:paraId="492C5CBE" w14:textId="4AA8F828" w:rsidR="00C619FA" w:rsidRPr="008253DC" w:rsidRDefault="00C619FA" w:rsidP="00C619FA">
      <w:pPr>
        <w:pStyle w:val="SingleTxtG"/>
        <w:rPr>
          <w:i/>
          <w:lang w:val="es-ES_tradnl"/>
        </w:rPr>
      </w:pPr>
      <w:r w:rsidRPr="008253DC">
        <w:rPr>
          <w:i/>
          <w:iCs/>
          <w:lang w:val="es-ES_tradnl"/>
        </w:rPr>
        <w:t>Número de niños que asiste a los centros de enseñanza preescolar, por año y por edad.</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135"/>
        <w:gridCol w:w="1709"/>
        <w:gridCol w:w="1763"/>
        <w:gridCol w:w="1763"/>
      </w:tblGrid>
      <w:tr w:rsidR="00C619FA" w:rsidRPr="008253DC" w14:paraId="79A1D390" w14:textId="77777777" w:rsidTr="00DB672D">
        <w:trPr>
          <w:trHeight w:val="240"/>
          <w:tblHeader/>
        </w:trPr>
        <w:tc>
          <w:tcPr>
            <w:tcW w:w="2135" w:type="dxa"/>
            <w:tcBorders>
              <w:top w:val="single" w:sz="4" w:space="0" w:color="auto"/>
              <w:bottom w:val="single" w:sz="12" w:space="0" w:color="auto"/>
            </w:tcBorders>
            <w:shd w:val="clear" w:color="auto" w:fill="auto"/>
            <w:noWrap/>
            <w:vAlign w:val="bottom"/>
            <w:hideMark/>
          </w:tcPr>
          <w:p w14:paraId="45EEBDF7" w14:textId="77777777" w:rsidR="00C619FA" w:rsidRPr="008253DC" w:rsidRDefault="00C619FA" w:rsidP="00DB672D">
            <w:pPr>
              <w:pStyle w:val="SingleTxtG"/>
              <w:tabs>
                <w:tab w:val="clear" w:pos="1701"/>
                <w:tab w:val="clear" w:pos="2268"/>
                <w:tab w:val="clear" w:pos="2835"/>
              </w:tabs>
              <w:spacing w:before="80" w:after="80" w:line="200" w:lineRule="exact"/>
              <w:ind w:left="0" w:right="0"/>
              <w:jc w:val="left"/>
              <w:rPr>
                <w:bCs/>
                <w:i/>
                <w:sz w:val="16"/>
                <w:lang w:val="es-ES_tradnl"/>
              </w:rPr>
            </w:pPr>
            <w:r w:rsidRPr="008253DC">
              <w:rPr>
                <w:bCs/>
                <w:i/>
                <w:iCs/>
                <w:sz w:val="16"/>
                <w:lang w:val="es-ES_tradnl"/>
              </w:rPr>
              <w:t>Año</w:t>
            </w:r>
          </w:p>
        </w:tc>
        <w:tc>
          <w:tcPr>
            <w:tcW w:w="1709" w:type="dxa"/>
            <w:tcBorders>
              <w:top w:val="single" w:sz="4" w:space="0" w:color="auto"/>
              <w:bottom w:val="single" w:sz="12" w:space="0" w:color="auto"/>
            </w:tcBorders>
            <w:shd w:val="clear" w:color="auto" w:fill="auto"/>
            <w:noWrap/>
            <w:vAlign w:val="bottom"/>
            <w:hideMark/>
          </w:tcPr>
          <w:p w14:paraId="72FA7782" w14:textId="042CFFCD" w:rsidR="00C619FA" w:rsidRPr="008253DC" w:rsidRDefault="00DB672D" w:rsidP="00DB672D">
            <w:pPr>
              <w:pStyle w:val="SingleTxtG"/>
              <w:tabs>
                <w:tab w:val="clear" w:pos="1701"/>
                <w:tab w:val="clear" w:pos="2268"/>
                <w:tab w:val="clear" w:pos="2835"/>
              </w:tabs>
              <w:spacing w:before="80" w:after="80" w:line="200" w:lineRule="exact"/>
              <w:ind w:left="57" w:right="28"/>
              <w:jc w:val="right"/>
              <w:rPr>
                <w:bCs/>
                <w:i/>
                <w:sz w:val="16"/>
                <w:lang w:val="es-ES_tradnl"/>
              </w:rPr>
            </w:pPr>
            <w:r w:rsidRPr="008253DC">
              <w:rPr>
                <w:bCs/>
                <w:i/>
                <w:iCs/>
                <w:sz w:val="16"/>
                <w:lang w:val="es-ES_tradnl"/>
              </w:rPr>
              <w:t xml:space="preserve">De </w:t>
            </w:r>
            <w:r w:rsidR="00C619FA" w:rsidRPr="008253DC">
              <w:rPr>
                <w:bCs/>
                <w:i/>
                <w:iCs/>
                <w:sz w:val="16"/>
                <w:lang w:val="es-ES_tradnl"/>
              </w:rPr>
              <w:t>0 a 2 años de edad</w:t>
            </w:r>
          </w:p>
        </w:tc>
        <w:tc>
          <w:tcPr>
            <w:tcW w:w="1763" w:type="dxa"/>
            <w:tcBorders>
              <w:top w:val="single" w:sz="4" w:space="0" w:color="auto"/>
              <w:bottom w:val="single" w:sz="12" w:space="0" w:color="auto"/>
            </w:tcBorders>
            <w:shd w:val="clear" w:color="auto" w:fill="auto"/>
            <w:noWrap/>
            <w:vAlign w:val="bottom"/>
            <w:hideMark/>
          </w:tcPr>
          <w:p w14:paraId="0DC79AB5" w14:textId="1A7FD1B7" w:rsidR="00C619FA" w:rsidRPr="008253DC" w:rsidRDefault="00DB672D" w:rsidP="00DB672D">
            <w:pPr>
              <w:pStyle w:val="SingleTxtG"/>
              <w:tabs>
                <w:tab w:val="clear" w:pos="1701"/>
                <w:tab w:val="clear" w:pos="2268"/>
                <w:tab w:val="clear" w:pos="2835"/>
              </w:tabs>
              <w:spacing w:before="80" w:after="80" w:line="200" w:lineRule="exact"/>
              <w:ind w:left="57" w:right="28"/>
              <w:jc w:val="right"/>
              <w:rPr>
                <w:bCs/>
                <w:i/>
                <w:sz w:val="16"/>
                <w:lang w:val="es-ES_tradnl"/>
              </w:rPr>
            </w:pPr>
            <w:r w:rsidRPr="008253DC">
              <w:rPr>
                <w:bCs/>
                <w:i/>
                <w:iCs/>
                <w:sz w:val="16"/>
                <w:lang w:val="es-ES_tradnl"/>
              </w:rPr>
              <w:t xml:space="preserve">De </w:t>
            </w:r>
            <w:r w:rsidR="00C619FA" w:rsidRPr="008253DC">
              <w:rPr>
                <w:bCs/>
                <w:i/>
                <w:iCs/>
                <w:sz w:val="16"/>
                <w:lang w:val="es-ES_tradnl"/>
              </w:rPr>
              <w:t>3 a 5 años de edad</w:t>
            </w:r>
          </w:p>
        </w:tc>
        <w:tc>
          <w:tcPr>
            <w:tcW w:w="1763" w:type="dxa"/>
            <w:tcBorders>
              <w:top w:val="single" w:sz="4" w:space="0" w:color="auto"/>
              <w:bottom w:val="single" w:sz="12" w:space="0" w:color="auto"/>
            </w:tcBorders>
            <w:shd w:val="clear" w:color="auto" w:fill="auto"/>
            <w:noWrap/>
            <w:vAlign w:val="bottom"/>
            <w:hideMark/>
          </w:tcPr>
          <w:p w14:paraId="3D86DB8F" w14:textId="77777777" w:rsidR="00C619FA" w:rsidRPr="008253DC" w:rsidRDefault="00C619FA" w:rsidP="00DB672D">
            <w:pPr>
              <w:pStyle w:val="SingleTxtG"/>
              <w:tabs>
                <w:tab w:val="clear" w:pos="1701"/>
                <w:tab w:val="clear" w:pos="2268"/>
                <w:tab w:val="clear" w:pos="2835"/>
              </w:tabs>
              <w:spacing w:before="80" w:after="80" w:line="200" w:lineRule="exact"/>
              <w:ind w:left="57" w:right="28"/>
              <w:jc w:val="right"/>
              <w:rPr>
                <w:bCs/>
                <w:i/>
                <w:sz w:val="16"/>
                <w:lang w:val="es-ES_tradnl"/>
              </w:rPr>
            </w:pPr>
            <w:r w:rsidRPr="008253DC">
              <w:rPr>
                <w:bCs/>
                <w:i/>
                <w:iCs/>
                <w:sz w:val="16"/>
                <w:lang w:val="es-ES_tradnl"/>
              </w:rPr>
              <w:t>Total</w:t>
            </w:r>
          </w:p>
        </w:tc>
      </w:tr>
      <w:tr w:rsidR="00C619FA" w:rsidRPr="008253DC" w14:paraId="4908E4BC" w14:textId="77777777" w:rsidTr="00DB672D">
        <w:trPr>
          <w:trHeight w:val="240"/>
        </w:trPr>
        <w:tc>
          <w:tcPr>
            <w:tcW w:w="2135" w:type="dxa"/>
            <w:shd w:val="clear" w:color="auto" w:fill="auto"/>
            <w:noWrap/>
            <w:hideMark/>
          </w:tcPr>
          <w:p w14:paraId="50C8867B"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2011</w:t>
            </w:r>
          </w:p>
        </w:tc>
        <w:tc>
          <w:tcPr>
            <w:tcW w:w="1709" w:type="dxa"/>
            <w:shd w:val="clear" w:color="auto" w:fill="auto"/>
            <w:noWrap/>
            <w:vAlign w:val="bottom"/>
            <w:hideMark/>
          </w:tcPr>
          <w:p w14:paraId="37DBF9AC" w14:textId="42AEAD15"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w:t>
            </w:r>
            <w:r w:rsidR="00DB672D" w:rsidRPr="008253DC">
              <w:rPr>
                <w:sz w:val="18"/>
                <w:lang w:val="es-ES_tradnl"/>
              </w:rPr>
              <w:t xml:space="preserve"> </w:t>
            </w:r>
            <w:r w:rsidRPr="008253DC">
              <w:rPr>
                <w:sz w:val="18"/>
                <w:lang w:val="es-ES_tradnl"/>
              </w:rPr>
              <w:t>057</w:t>
            </w:r>
          </w:p>
        </w:tc>
        <w:tc>
          <w:tcPr>
            <w:tcW w:w="1763" w:type="dxa"/>
            <w:shd w:val="clear" w:color="auto" w:fill="auto"/>
            <w:noWrap/>
            <w:vAlign w:val="bottom"/>
            <w:hideMark/>
          </w:tcPr>
          <w:p w14:paraId="0D05FEEC" w14:textId="5E20279E"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13</w:t>
            </w:r>
            <w:r w:rsidR="00DB672D" w:rsidRPr="008253DC">
              <w:rPr>
                <w:sz w:val="18"/>
                <w:lang w:val="es-ES_tradnl"/>
              </w:rPr>
              <w:t xml:space="preserve"> </w:t>
            </w:r>
            <w:r w:rsidRPr="008253DC">
              <w:rPr>
                <w:sz w:val="18"/>
                <w:lang w:val="es-ES_tradnl"/>
              </w:rPr>
              <w:t>102</w:t>
            </w:r>
          </w:p>
        </w:tc>
        <w:tc>
          <w:tcPr>
            <w:tcW w:w="1763" w:type="dxa"/>
            <w:shd w:val="clear" w:color="auto" w:fill="auto"/>
            <w:noWrap/>
            <w:vAlign w:val="bottom"/>
            <w:hideMark/>
          </w:tcPr>
          <w:p w14:paraId="3A11697E" w14:textId="216014F9"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19</w:t>
            </w:r>
            <w:r w:rsidR="00DB672D" w:rsidRPr="008253DC">
              <w:rPr>
                <w:sz w:val="18"/>
                <w:lang w:val="es-ES_tradnl"/>
              </w:rPr>
              <w:t xml:space="preserve"> </w:t>
            </w:r>
            <w:r w:rsidRPr="008253DC">
              <w:rPr>
                <w:sz w:val="18"/>
                <w:lang w:val="es-ES_tradnl"/>
              </w:rPr>
              <w:t>159</w:t>
            </w:r>
          </w:p>
        </w:tc>
      </w:tr>
      <w:tr w:rsidR="00C619FA" w:rsidRPr="008253DC" w14:paraId="15359236" w14:textId="77777777" w:rsidTr="00DB672D">
        <w:trPr>
          <w:trHeight w:val="240"/>
        </w:trPr>
        <w:tc>
          <w:tcPr>
            <w:tcW w:w="2135" w:type="dxa"/>
            <w:shd w:val="clear" w:color="auto" w:fill="auto"/>
            <w:noWrap/>
            <w:hideMark/>
          </w:tcPr>
          <w:p w14:paraId="753BD197"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2012</w:t>
            </w:r>
          </w:p>
        </w:tc>
        <w:tc>
          <w:tcPr>
            <w:tcW w:w="1709" w:type="dxa"/>
            <w:shd w:val="clear" w:color="auto" w:fill="auto"/>
            <w:noWrap/>
            <w:vAlign w:val="bottom"/>
            <w:hideMark/>
          </w:tcPr>
          <w:p w14:paraId="12E49122" w14:textId="34EEF686"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w:t>
            </w:r>
            <w:r w:rsidR="00DB672D" w:rsidRPr="008253DC">
              <w:rPr>
                <w:sz w:val="18"/>
                <w:lang w:val="es-ES_tradnl"/>
              </w:rPr>
              <w:t xml:space="preserve"> </w:t>
            </w:r>
            <w:r w:rsidRPr="008253DC">
              <w:rPr>
                <w:sz w:val="18"/>
                <w:lang w:val="es-ES_tradnl"/>
              </w:rPr>
              <w:t>074</w:t>
            </w:r>
          </w:p>
        </w:tc>
        <w:tc>
          <w:tcPr>
            <w:tcW w:w="1763" w:type="dxa"/>
            <w:shd w:val="clear" w:color="auto" w:fill="auto"/>
            <w:noWrap/>
            <w:vAlign w:val="bottom"/>
            <w:hideMark/>
          </w:tcPr>
          <w:p w14:paraId="65A081D1" w14:textId="4CA05D30"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13</w:t>
            </w:r>
            <w:r w:rsidR="00DB672D" w:rsidRPr="008253DC">
              <w:rPr>
                <w:sz w:val="18"/>
                <w:lang w:val="es-ES_tradnl"/>
              </w:rPr>
              <w:t xml:space="preserve"> </w:t>
            </w:r>
            <w:r w:rsidRPr="008253DC">
              <w:rPr>
                <w:sz w:val="18"/>
                <w:lang w:val="es-ES_tradnl"/>
              </w:rPr>
              <w:t>541</w:t>
            </w:r>
          </w:p>
        </w:tc>
        <w:tc>
          <w:tcPr>
            <w:tcW w:w="1763" w:type="dxa"/>
            <w:shd w:val="clear" w:color="auto" w:fill="auto"/>
            <w:noWrap/>
            <w:vAlign w:val="bottom"/>
            <w:hideMark/>
          </w:tcPr>
          <w:p w14:paraId="59A11F2B" w14:textId="77CDAFD2"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19</w:t>
            </w:r>
            <w:r w:rsidR="00DB672D" w:rsidRPr="008253DC">
              <w:rPr>
                <w:sz w:val="18"/>
                <w:lang w:val="es-ES_tradnl"/>
              </w:rPr>
              <w:t xml:space="preserve"> </w:t>
            </w:r>
            <w:r w:rsidRPr="008253DC">
              <w:rPr>
                <w:sz w:val="18"/>
                <w:lang w:val="es-ES_tradnl"/>
              </w:rPr>
              <w:t>615</w:t>
            </w:r>
          </w:p>
        </w:tc>
      </w:tr>
      <w:tr w:rsidR="00C619FA" w:rsidRPr="008253DC" w14:paraId="42BC9192" w14:textId="77777777" w:rsidTr="00DB672D">
        <w:trPr>
          <w:trHeight w:val="240"/>
        </w:trPr>
        <w:tc>
          <w:tcPr>
            <w:tcW w:w="2135" w:type="dxa"/>
            <w:shd w:val="clear" w:color="auto" w:fill="auto"/>
            <w:noWrap/>
            <w:hideMark/>
          </w:tcPr>
          <w:p w14:paraId="4336D013"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2013</w:t>
            </w:r>
          </w:p>
        </w:tc>
        <w:tc>
          <w:tcPr>
            <w:tcW w:w="1709" w:type="dxa"/>
            <w:shd w:val="clear" w:color="auto" w:fill="auto"/>
            <w:noWrap/>
            <w:vAlign w:val="bottom"/>
            <w:hideMark/>
          </w:tcPr>
          <w:p w14:paraId="28D9340F" w14:textId="5D2CED0F"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5</w:t>
            </w:r>
            <w:r w:rsidR="00DB672D" w:rsidRPr="008253DC">
              <w:rPr>
                <w:sz w:val="18"/>
                <w:lang w:val="es-ES_tradnl"/>
              </w:rPr>
              <w:t xml:space="preserve"> </w:t>
            </w:r>
            <w:r w:rsidRPr="008253DC">
              <w:rPr>
                <w:sz w:val="18"/>
                <w:lang w:val="es-ES_tradnl"/>
              </w:rPr>
              <w:t>833</w:t>
            </w:r>
          </w:p>
        </w:tc>
        <w:tc>
          <w:tcPr>
            <w:tcW w:w="1763" w:type="dxa"/>
            <w:shd w:val="clear" w:color="auto" w:fill="auto"/>
            <w:noWrap/>
            <w:vAlign w:val="bottom"/>
            <w:hideMark/>
          </w:tcPr>
          <w:p w14:paraId="2FAEDE0B" w14:textId="4C701E23"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13</w:t>
            </w:r>
            <w:r w:rsidR="00DB672D" w:rsidRPr="008253DC">
              <w:rPr>
                <w:sz w:val="18"/>
                <w:lang w:val="es-ES_tradnl"/>
              </w:rPr>
              <w:t xml:space="preserve"> </w:t>
            </w:r>
            <w:r w:rsidRPr="008253DC">
              <w:rPr>
                <w:sz w:val="18"/>
                <w:lang w:val="es-ES_tradnl"/>
              </w:rPr>
              <w:t>880</w:t>
            </w:r>
          </w:p>
        </w:tc>
        <w:tc>
          <w:tcPr>
            <w:tcW w:w="1763" w:type="dxa"/>
            <w:shd w:val="clear" w:color="auto" w:fill="auto"/>
            <w:noWrap/>
            <w:vAlign w:val="bottom"/>
            <w:hideMark/>
          </w:tcPr>
          <w:p w14:paraId="6289277B" w14:textId="0F55B7B2"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19</w:t>
            </w:r>
            <w:r w:rsidR="00DB672D" w:rsidRPr="008253DC">
              <w:rPr>
                <w:sz w:val="18"/>
                <w:lang w:val="es-ES_tradnl"/>
              </w:rPr>
              <w:t xml:space="preserve"> </w:t>
            </w:r>
            <w:r w:rsidRPr="008253DC">
              <w:rPr>
                <w:sz w:val="18"/>
                <w:lang w:val="es-ES_tradnl"/>
              </w:rPr>
              <w:t>713</w:t>
            </w:r>
          </w:p>
        </w:tc>
      </w:tr>
      <w:tr w:rsidR="00C619FA" w:rsidRPr="008253DC" w14:paraId="7DEC1D8A" w14:textId="77777777" w:rsidTr="00DB672D">
        <w:trPr>
          <w:trHeight w:val="240"/>
        </w:trPr>
        <w:tc>
          <w:tcPr>
            <w:tcW w:w="2135" w:type="dxa"/>
            <w:shd w:val="clear" w:color="auto" w:fill="auto"/>
            <w:noWrap/>
            <w:hideMark/>
          </w:tcPr>
          <w:p w14:paraId="5729597E"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2014</w:t>
            </w:r>
          </w:p>
        </w:tc>
        <w:tc>
          <w:tcPr>
            <w:tcW w:w="1709" w:type="dxa"/>
            <w:shd w:val="clear" w:color="auto" w:fill="auto"/>
            <w:noWrap/>
            <w:vAlign w:val="bottom"/>
            <w:hideMark/>
          </w:tcPr>
          <w:p w14:paraId="685B0D3D" w14:textId="5480476F"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w:t>
            </w:r>
            <w:r w:rsidR="00DB672D" w:rsidRPr="008253DC">
              <w:rPr>
                <w:sz w:val="18"/>
                <w:lang w:val="es-ES_tradnl"/>
              </w:rPr>
              <w:t xml:space="preserve"> </w:t>
            </w:r>
            <w:r w:rsidRPr="008253DC">
              <w:rPr>
                <w:sz w:val="18"/>
                <w:lang w:val="es-ES_tradnl"/>
              </w:rPr>
              <w:t>184</w:t>
            </w:r>
          </w:p>
        </w:tc>
        <w:tc>
          <w:tcPr>
            <w:tcW w:w="1763" w:type="dxa"/>
            <w:shd w:val="clear" w:color="auto" w:fill="auto"/>
            <w:noWrap/>
            <w:vAlign w:val="bottom"/>
            <w:hideMark/>
          </w:tcPr>
          <w:p w14:paraId="0817CE88" w14:textId="19BEEAA6"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13</w:t>
            </w:r>
            <w:r w:rsidR="00DB672D" w:rsidRPr="008253DC">
              <w:rPr>
                <w:sz w:val="18"/>
                <w:lang w:val="es-ES_tradnl"/>
              </w:rPr>
              <w:t xml:space="preserve"> </w:t>
            </w:r>
            <w:r w:rsidRPr="008253DC">
              <w:rPr>
                <w:sz w:val="18"/>
                <w:lang w:val="es-ES_tradnl"/>
              </w:rPr>
              <w:t>754</w:t>
            </w:r>
          </w:p>
        </w:tc>
        <w:tc>
          <w:tcPr>
            <w:tcW w:w="1763" w:type="dxa"/>
            <w:shd w:val="clear" w:color="auto" w:fill="auto"/>
            <w:noWrap/>
            <w:vAlign w:val="bottom"/>
            <w:hideMark/>
          </w:tcPr>
          <w:p w14:paraId="145AE411" w14:textId="2EB6C6D8"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19</w:t>
            </w:r>
            <w:r w:rsidR="00DB672D" w:rsidRPr="008253DC">
              <w:rPr>
                <w:sz w:val="18"/>
                <w:lang w:val="es-ES_tradnl"/>
              </w:rPr>
              <w:t xml:space="preserve"> </w:t>
            </w:r>
            <w:r w:rsidRPr="008253DC">
              <w:rPr>
                <w:sz w:val="18"/>
                <w:lang w:val="es-ES_tradnl"/>
              </w:rPr>
              <w:t>938</w:t>
            </w:r>
          </w:p>
        </w:tc>
      </w:tr>
      <w:tr w:rsidR="00C619FA" w:rsidRPr="008253DC" w14:paraId="6D2DEABD" w14:textId="77777777" w:rsidTr="00DB672D">
        <w:trPr>
          <w:trHeight w:val="240"/>
        </w:trPr>
        <w:tc>
          <w:tcPr>
            <w:tcW w:w="2135" w:type="dxa"/>
            <w:shd w:val="clear" w:color="auto" w:fill="auto"/>
            <w:noWrap/>
            <w:hideMark/>
          </w:tcPr>
          <w:p w14:paraId="66362E44"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2015</w:t>
            </w:r>
          </w:p>
        </w:tc>
        <w:tc>
          <w:tcPr>
            <w:tcW w:w="1709" w:type="dxa"/>
            <w:shd w:val="clear" w:color="auto" w:fill="auto"/>
            <w:noWrap/>
            <w:vAlign w:val="bottom"/>
            <w:hideMark/>
          </w:tcPr>
          <w:p w14:paraId="4799DFB6" w14:textId="59E3F87B"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5</w:t>
            </w:r>
            <w:r w:rsidR="00DB672D" w:rsidRPr="008253DC">
              <w:rPr>
                <w:sz w:val="18"/>
                <w:lang w:val="es-ES_tradnl"/>
              </w:rPr>
              <w:t xml:space="preserve"> </w:t>
            </w:r>
            <w:r w:rsidRPr="008253DC">
              <w:rPr>
                <w:sz w:val="18"/>
                <w:lang w:val="es-ES_tradnl"/>
              </w:rPr>
              <w:t>992</w:t>
            </w:r>
          </w:p>
        </w:tc>
        <w:tc>
          <w:tcPr>
            <w:tcW w:w="1763" w:type="dxa"/>
            <w:shd w:val="clear" w:color="auto" w:fill="auto"/>
            <w:noWrap/>
            <w:vAlign w:val="bottom"/>
            <w:hideMark/>
          </w:tcPr>
          <w:p w14:paraId="7528305E" w14:textId="4D2AF1CF"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13</w:t>
            </w:r>
            <w:r w:rsidR="00DB672D" w:rsidRPr="008253DC">
              <w:rPr>
                <w:sz w:val="18"/>
                <w:lang w:val="es-ES_tradnl"/>
              </w:rPr>
              <w:t xml:space="preserve"> </w:t>
            </w:r>
            <w:r w:rsidRPr="008253DC">
              <w:rPr>
                <w:sz w:val="18"/>
                <w:lang w:val="es-ES_tradnl"/>
              </w:rPr>
              <w:t>370</w:t>
            </w:r>
          </w:p>
        </w:tc>
        <w:tc>
          <w:tcPr>
            <w:tcW w:w="1763" w:type="dxa"/>
            <w:shd w:val="clear" w:color="auto" w:fill="auto"/>
            <w:noWrap/>
            <w:vAlign w:val="bottom"/>
            <w:hideMark/>
          </w:tcPr>
          <w:p w14:paraId="21D46B87" w14:textId="049483C5"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19</w:t>
            </w:r>
            <w:r w:rsidR="00DB672D" w:rsidRPr="008253DC">
              <w:rPr>
                <w:sz w:val="18"/>
                <w:lang w:val="es-ES_tradnl"/>
              </w:rPr>
              <w:t xml:space="preserve"> </w:t>
            </w:r>
            <w:r w:rsidRPr="008253DC">
              <w:rPr>
                <w:sz w:val="18"/>
                <w:lang w:val="es-ES_tradnl"/>
              </w:rPr>
              <w:t>362</w:t>
            </w:r>
          </w:p>
        </w:tc>
      </w:tr>
      <w:tr w:rsidR="00C619FA" w:rsidRPr="008253DC" w14:paraId="54E0D2A5" w14:textId="77777777" w:rsidTr="00DB672D">
        <w:trPr>
          <w:trHeight w:val="240"/>
        </w:trPr>
        <w:tc>
          <w:tcPr>
            <w:tcW w:w="2135" w:type="dxa"/>
            <w:shd w:val="clear" w:color="auto" w:fill="auto"/>
            <w:noWrap/>
            <w:hideMark/>
          </w:tcPr>
          <w:p w14:paraId="1593468E"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2016</w:t>
            </w:r>
          </w:p>
        </w:tc>
        <w:tc>
          <w:tcPr>
            <w:tcW w:w="1709" w:type="dxa"/>
            <w:shd w:val="clear" w:color="auto" w:fill="auto"/>
            <w:noWrap/>
            <w:vAlign w:val="bottom"/>
            <w:hideMark/>
          </w:tcPr>
          <w:p w14:paraId="4E066CA8" w14:textId="08825578"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w:t>
            </w:r>
            <w:r w:rsidR="00DB672D" w:rsidRPr="008253DC">
              <w:rPr>
                <w:sz w:val="18"/>
                <w:lang w:val="es-ES_tradnl"/>
              </w:rPr>
              <w:t xml:space="preserve"> </w:t>
            </w:r>
            <w:r w:rsidRPr="008253DC">
              <w:rPr>
                <w:sz w:val="18"/>
                <w:lang w:val="es-ES_tradnl"/>
              </w:rPr>
              <w:t>067</w:t>
            </w:r>
          </w:p>
        </w:tc>
        <w:tc>
          <w:tcPr>
            <w:tcW w:w="1763" w:type="dxa"/>
            <w:shd w:val="clear" w:color="auto" w:fill="auto"/>
            <w:noWrap/>
            <w:vAlign w:val="bottom"/>
            <w:hideMark/>
          </w:tcPr>
          <w:p w14:paraId="67835646" w14:textId="62A6C754"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13</w:t>
            </w:r>
            <w:r w:rsidR="00DB672D" w:rsidRPr="008253DC">
              <w:rPr>
                <w:sz w:val="18"/>
                <w:lang w:val="es-ES_tradnl"/>
              </w:rPr>
              <w:t xml:space="preserve"> </w:t>
            </w:r>
            <w:r w:rsidRPr="008253DC">
              <w:rPr>
                <w:sz w:val="18"/>
                <w:lang w:val="es-ES_tradnl"/>
              </w:rPr>
              <w:t>023</w:t>
            </w:r>
          </w:p>
        </w:tc>
        <w:tc>
          <w:tcPr>
            <w:tcW w:w="1763" w:type="dxa"/>
            <w:shd w:val="clear" w:color="auto" w:fill="auto"/>
            <w:noWrap/>
            <w:vAlign w:val="bottom"/>
            <w:hideMark/>
          </w:tcPr>
          <w:p w14:paraId="3491B530" w14:textId="3669BBF9"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19</w:t>
            </w:r>
            <w:r w:rsidR="00DB672D" w:rsidRPr="008253DC">
              <w:rPr>
                <w:sz w:val="18"/>
                <w:lang w:val="es-ES_tradnl"/>
              </w:rPr>
              <w:t xml:space="preserve"> </w:t>
            </w:r>
            <w:r w:rsidRPr="008253DC">
              <w:rPr>
                <w:sz w:val="18"/>
                <w:lang w:val="es-ES_tradnl"/>
              </w:rPr>
              <w:t>090</w:t>
            </w:r>
          </w:p>
        </w:tc>
      </w:tr>
      <w:tr w:rsidR="00C619FA" w:rsidRPr="008253DC" w14:paraId="70B36DC8" w14:textId="77777777" w:rsidTr="00DB672D">
        <w:trPr>
          <w:trHeight w:val="240"/>
        </w:trPr>
        <w:tc>
          <w:tcPr>
            <w:tcW w:w="2135" w:type="dxa"/>
            <w:tcBorders>
              <w:bottom w:val="single" w:sz="12" w:space="0" w:color="auto"/>
            </w:tcBorders>
            <w:shd w:val="clear" w:color="auto" w:fill="auto"/>
            <w:noWrap/>
          </w:tcPr>
          <w:p w14:paraId="4FFDE679"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2017</w:t>
            </w:r>
          </w:p>
        </w:tc>
        <w:tc>
          <w:tcPr>
            <w:tcW w:w="1709" w:type="dxa"/>
            <w:tcBorders>
              <w:bottom w:val="single" w:sz="12" w:space="0" w:color="auto"/>
            </w:tcBorders>
            <w:shd w:val="clear" w:color="auto" w:fill="auto"/>
            <w:noWrap/>
            <w:vAlign w:val="bottom"/>
          </w:tcPr>
          <w:p w14:paraId="5A7F8453" w14:textId="57783ADD"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5</w:t>
            </w:r>
            <w:r w:rsidR="00DB672D" w:rsidRPr="008253DC">
              <w:rPr>
                <w:sz w:val="18"/>
                <w:lang w:val="es-ES_tradnl"/>
              </w:rPr>
              <w:t xml:space="preserve"> </w:t>
            </w:r>
            <w:r w:rsidRPr="008253DC">
              <w:rPr>
                <w:sz w:val="18"/>
                <w:lang w:val="es-ES_tradnl"/>
              </w:rPr>
              <w:t>972</w:t>
            </w:r>
          </w:p>
        </w:tc>
        <w:tc>
          <w:tcPr>
            <w:tcW w:w="1763" w:type="dxa"/>
            <w:tcBorders>
              <w:bottom w:val="single" w:sz="12" w:space="0" w:color="auto"/>
            </w:tcBorders>
            <w:shd w:val="clear" w:color="auto" w:fill="auto"/>
            <w:noWrap/>
            <w:vAlign w:val="bottom"/>
          </w:tcPr>
          <w:p w14:paraId="69045238" w14:textId="036A83B3"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13</w:t>
            </w:r>
            <w:r w:rsidR="00DB672D" w:rsidRPr="008253DC">
              <w:rPr>
                <w:sz w:val="18"/>
                <w:lang w:val="es-ES_tradnl"/>
              </w:rPr>
              <w:t xml:space="preserve"> </w:t>
            </w:r>
            <w:r w:rsidRPr="008253DC">
              <w:rPr>
                <w:sz w:val="18"/>
                <w:lang w:val="es-ES_tradnl"/>
              </w:rPr>
              <w:t>041</w:t>
            </w:r>
          </w:p>
        </w:tc>
        <w:tc>
          <w:tcPr>
            <w:tcW w:w="1763" w:type="dxa"/>
            <w:tcBorders>
              <w:bottom w:val="single" w:sz="12" w:space="0" w:color="auto"/>
            </w:tcBorders>
            <w:shd w:val="clear" w:color="auto" w:fill="auto"/>
            <w:noWrap/>
            <w:vAlign w:val="bottom"/>
          </w:tcPr>
          <w:p w14:paraId="65D32806" w14:textId="3AC8B3FB"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19</w:t>
            </w:r>
            <w:r w:rsidR="00DB672D" w:rsidRPr="008253DC">
              <w:rPr>
                <w:sz w:val="18"/>
                <w:lang w:val="es-ES_tradnl"/>
              </w:rPr>
              <w:t xml:space="preserve"> </w:t>
            </w:r>
            <w:r w:rsidRPr="008253DC">
              <w:rPr>
                <w:sz w:val="18"/>
                <w:lang w:val="es-ES_tradnl"/>
              </w:rPr>
              <w:t>013</w:t>
            </w:r>
          </w:p>
        </w:tc>
      </w:tr>
    </w:tbl>
    <w:p w14:paraId="2E87784F" w14:textId="40AD7FBF" w:rsidR="00C619FA" w:rsidRPr="008253DC" w:rsidRDefault="00DB672D" w:rsidP="00DB672D">
      <w:pPr>
        <w:pStyle w:val="H23G"/>
        <w:rPr>
          <w:lang w:val="es-ES_tradnl"/>
        </w:rPr>
      </w:pPr>
      <w:r w:rsidRPr="008253DC">
        <w:rPr>
          <w:lang w:val="es-ES_tradnl"/>
        </w:rPr>
        <w:tab/>
      </w:r>
      <w:r w:rsidR="00C619FA" w:rsidRPr="008253DC">
        <w:rPr>
          <w:lang w:val="es-ES_tradnl"/>
        </w:rPr>
        <w:tab/>
        <w:t>Educación primaria y educación secundaria baja</w:t>
      </w:r>
    </w:p>
    <w:p w14:paraId="1E1F42D9" w14:textId="59B440EB" w:rsidR="00C619FA" w:rsidRPr="008253DC" w:rsidRDefault="00C619FA" w:rsidP="00C619FA">
      <w:pPr>
        <w:pStyle w:val="SingleTxtG"/>
        <w:rPr>
          <w:lang w:val="es-ES_tradnl"/>
        </w:rPr>
      </w:pPr>
      <w:r w:rsidRPr="008253DC">
        <w:rPr>
          <w:lang w:val="es-ES_tradnl"/>
        </w:rPr>
        <w:t>18.</w:t>
      </w:r>
      <w:r w:rsidRPr="008253DC">
        <w:rPr>
          <w:lang w:val="es-ES_tradnl"/>
        </w:rPr>
        <w:tab/>
        <w:t>La educación obligatoria se ha organizado en un sistema educativo de estructura única, como se ha explicado anteriormente. El Ministerio de Educación, Ciencia y Cultura es responsable de la administración general de todos los asuntos que se rijan por la Ley de Enseñanza Obligatoria de 2008. El funcionamiento de las escuelas de educación obligatoria ordinaria y los gastos conexos es responsabilidad de todos los municipios. La duración de la educación obligatoria generalmente es de diez años: de 6 a 16 años de edad. El Plan Nacional de Estudios de la educación obligatoria para 2011-2013, en el que figuran las materias,</w:t>
      </w:r>
      <w:r w:rsidRPr="008253DC">
        <w:rPr>
          <w:b/>
          <w:bCs/>
          <w:lang w:val="es-ES_tradnl"/>
        </w:rPr>
        <w:t xml:space="preserve"> </w:t>
      </w:r>
      <w:r w:rsidRPr="008253DC">
        <w:rPr>
          <w:lang w:val="es-ES_tradnl"/>
        </w:rPr>
        <w:t>emitido</w:t>
      </w:r>
      <w:r w:rsidRPr="008253DC">
        <w:rPr>
          <w:b/>
          <w:bCs/>
          <w:lang w:val="es-ES_tradnl"/>
        </w:rPr>
        <w:t xml:space="preserve"> </w:t>
      </w:r>
      <w:r w:rsidRPr="008253DC">
        <w:rPr>
          <w:lang w:val="es-ES_tradnl"/>
        </w:rPr>
        <w:t>por el Ministerio de Educación, Ciencia y Cultura, contiene el marco y las condiciones de aprendizaje y enseñanza que se rigen por los principios de las leyes, las normas y los convenios internacionales vigentes.</w:t>
      </w:r>
    </w:p>
    <w:p w14:paraId="305431A2" w14:textId="5B0A9AE0" w:rsidR="00C619FA" w:rsidRPr="008253DC" w:rsidRDefault="00DB672D" w:rsidP="00DB672D">
      <w:pPr>
        <w:pStyle w:val="H23G"/>
        <w:rPr>
          <w:lang w:val="es-ES_tradnl"/>
        </w:rPr>
      </w:pPr>
      <w:r w:rsidRPr="008253DC">
        <w:rPr>
          <w:lang w:val="es-ES_tradnl"/>
        </w:rPr>
        <w:tab/>
      </w:r>
      <w:r w:rsidR="00C619FA" w:rsidRPr="008253DC">
        <w:rPr>
          <w:lang w:val="es-ES_tradnl"/>
        </w:rPr>
        <w:tab/>
        <w:t>Educación secundaria alta</w:t>
      </w:r>
    </w:p>
    <w:p w14:paraId="2900F389" w14:textId="77777777" w:rsidR="00C619FA" w:rsidRPr="008253DC" w:rsidRDefault="00C619FA" w:rsidP="00C619FA">
      <w:pPr>
        <w:pStyle w:val="SingleTxtG"/>
        <w:rPr>
          <w:lang w:val="es-ES_tradnl"/>
        </w:rPr>
      </w:pPr>
      <w:r w:rsidRPr="008253DC">
        <w:rPr>
          <w:lang w:val="es-ES_tradnl"/>
        </w:rPr>
        <w:t>19.</w:t>
      </w:r>
      <w:r w:rsidRPr="008253DC">
        <w:rPr>
          <w:lang w:val="es-ES_tradnl"/>
        </w:rPr>
        <w:tab/>
        <w:t>Los estudios de la educación secundaria alta se han organizado como la continuidad de la educación obligatoria. Los estudios concluyen con un examen final, como el Certificado de Estudios Secundarios, un examen de certificaciones profesionales, un examen de admisión o cualquier otra conclusión formal de estudios. Las escuelas públicas de la educación secundaria alta son instituciones estatales dependientes del Ministerio de Educación, Ciencia y Cultura. El Plan Nacional de Estudios de la educación secundaria alta de 2011, emitido por el Ministerio de Educación, Ciencia y Cultura, contiene el marco y las condiciones de aprendizaje y enseñanza que se rigen por los principios de las leyes, las normas y los convenios internacionales vigentes.</w:t>
      </w:r>
    </w:p>
    <w:p w14:paraId="248BA6E3" w14:textId="40E47112" w:rsidR="00C619FA" w:rsidRPr="008253DC" w:rsidRDefault="00DB672D" w:rsidP="00DB672D">
      <w:pPr>
        <w:pStyle w:val="H23G"/>
        <w:rPr>
          <w:lang w:val="es-ES_tradnl"/>
        </w:rPr>
      </w:pPr>
      <w:r w:rsidRPr="008253DC">
        <w:rPr>
          <w:lang w:val="es-ES_tradnl"/>
        </w:rPr>
        <w:lastRenderedPageBreak/>
        <w:tab/>
      </w:r>
      <w:r w:rsidR="00C619FA" w:rsidRPr="008253DC">
        <w:rPr>
          <w:lang w:val="es-ES_tradnl"/>
        </w:rPr>
        <w:tab/>
        <w:t>Educación superior</w:t>
      </w:r>
    </w:p>
    <w:p w14:paraId="1C8E1D52" w14:textId="77777777" w:rsidR="00C619FA" w:rsidRPr="008253DC" w:rsidRDefault="00C619FA" w:rsidP="00C619FA">
      <w:pPr>
        <w:pStyle w:val="SingleTxtG"/>
        <w:rPr>
          <w:bCs/>
          <w:lang w:val="es-ES_tradnl"/>
        </w:rPr>
      </w:pPr>
      <w:r w:rsidRPr="008253DC">
        <w:rPr>
          <w:lang w:val="es-ES_tradnl"/>
        </w:rPr>
        <w:t>20.</w:t>
      </w:r>
      <w:r w:rsidRPr="008253DC">
        <w:rPr>
          <w:lang w:val="es-ES_tradnl"/>
        </w:rPr>
        <w:tab/>
        <w:t>En Islandia, la Ley de Educación Superior, de 2006, es el marco jurídico para la enseñanza superior. El Ministro de Educación, Ciencia y Cultura otorga subvenciones a las instituciones de educación superior que cumplen los criterios que establece la legislación nacional, así como los criterios internacionalmente aceptados. En la actualidad, hay siete instituciones de educación superior en el país que dependen del Ministerio de Educación, Ciencia y Cultura. Las instituciones de educación superior pueden funcionar como entidades financiadas por el Gobierno o como organizaciones sin fines de lucro, o podrán adoptar cualquier otra forma corporativa reconocida. No obstante, no podrán funcionar con fines de lucro.</w:t>
      </w:r>
    </w:p>
    <w:p w14:paraId="130797E0" w14:textId="16D29662" w:rsidR="00C619FA" w:rsidRPr="008253DC" w:rsidRDefault="00DB672D" w:rsidP="00DB672D">
      <w:pPr>
        <w:pStyle w:val="H23G"/>
        <w:rPr>
          <w:lang w:val="es-ES_tradnl"/>
        </w:rPr>
      </w:pPr>
      <w:r w:rsidRPr="008253DC">
        <w:rPr>
          <w:lang w:val="es-ES_tradnl"/>
        </w:rPr>
        <w:tab/>
      </w:r>
      <w:r w:rsidR="00C619FA" w:rsidRPr="008253DC">
        <w:rPr>
          <w:lang w:val="es-ES_tradnl"/>
        </w:rPr>
        <w:tab/>
        <w:t>Alumnado de la educación superior en Islandia y en el extranjero</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552"/>
        <w:gridCol w:w="1276"/>
        <w:gridCol w:w="850"/>
        <w:gridCol w:w="851"/>
        <w:gridCol w:w="850"/>
        <w:gridCol w:w="991"/>
      </w:tblGrid>
      <w:tr w:rsidR="00C619FA" w:rsidRPr="008253DC" w14:paraId="05EDBDD9" w14:textId="77777777" w:rsidTr="00DB672D">
        <w:trPr>
          <w:trHeight w:val="240"/>
          <w:tblHeader/>
        </w:trPr>
        <w:tc>
          <w:tcPr>
            <w:tcW w:w="2552" w:type="dxa"/>
            <w:tcBorders>
              <w:top w:val="single" w:sz="4" w:space="0" w:color="auto"/>
              <w:bottom w:val="single" w:sz="12" w:space="0" w:color="auto"/>
            </w:tcBorders>
            <w:shd w:val="clear" w:color="auto" w:fill="auto"/>
            <w:noWrap/>
            <w:vAlign w:val="bottom"/>
            <w:hideMark/>
          </w:tcPr>
          <w:p w14:paraId="255A31FC" w14:textId="77777777" w:rsidR="00C619FA" w:rsidRPr="008253DC" w:rsidRDefault="00C619FA" w:rsidP="00DB672D">
            <w:pPr>
              <w:pStyle w:val="SingleTxtG"/>
              <w:tabs>
                <w:tab w:val="clear" w:pos="1701"/>
                <w:tab w:val="clear" w:pos="2268"/>
                <w:tab w:val="clear" w:pos="2835"/>
              </w:tabs>
              <w:spacing w:before="80" w:after="80" w:line="200" w:lineRule="exact"/>
              <w:ind w:left="0" w:right="0"/>
              <w:jc w:val="left"/>
              <w:rPr>
                <w:i/>
                <w:iCs/>
                <w:sz w:val="16"/>
                <w:lang w:val="es-ES_tradnl"/>
              </w:rPr>
            </w:pPr>
            <w:r w:rsidRPr="008253DC">
              <w:rPr>
                <w:i/>
                <w:iCs/>
                <w:sz w:val="16"/>
                <w:lang w:val="es-ES_tradnl"/>
              </w:rPr>
              <w:t>Alumnado de la educación superior</w:t>
            </w:r>
          </w:p>
        </w:tc>
        <w:tc>
          <w:tcPr>
            <w:tcW w:w="1276" w:type="dxa"/>
            <w:tcBorders>
              <w:top w:val="single" w:sz="4" w:space="0" w:color="auto"/>
              <w:bottom w:val="single" w:sz="12" w:space="0" w:color="auto"/>
            </w:tcBorders>
            <w:shd w:val="clear" w:color="auto" w:fill="auto"/>
            <w:noWrap/>
            <w:vAlign w:val="bottom"/>
            <w:hideMark/>
          </w:tcPr>
          <w:p w14:paraId="103C6093" w14:textId="77777777" w:rsidR="00C619FA" w:rsidRPr="008253DC" w:rsidRDefault="00C619FA" w:rsidP="00DB672D">
            <w:pPr>
              <w:pStyle w:val="SingleTxtG"/>
              <w:tabs>
                <w:tab w:val="clear" w:pos="1701"/>
                <w:tab w:val="clear" w:pos="2268"/>
                <w:tab w:val="clear" w:pos="2835"/>
              </w:tabs>
              <w:spacing w:before="80" w:after="80" w:line="200" w:lineRule="exact"/>
              <w:ind w:left="57" w:right="28"/>
              <w:jc w:val="right"/>
              <w:rPr>
                <w:i/>
                <w:iCs/>
                <w:sz w:val="16"/>
                <w:lang w:val="es-ES_tradnl"/>
              </w:rPr>
            </w:pPr>
            <w:r w:rsidRPr="008253DC">
              <w:rPr>
                <w:i/>
                <w:iCs/>
                <w:sz w:val="16"/>
                <w:lang w:val="es-ES_tradnl"/>
              </w:rPr>
              <w:t>2013</w:t>
            </w:r>
          </w:p>
        </w:tc>
        <w:tc>
          <w:tcPr>
            <w:tcW w:w="850" w:type="dxa"/>
            <w:tcBorders>
              <w:top w:val="single" w:sz="4" w:space="0" w:color="auto"/>
              <w:bottom w:val="single" w:sz="12" w:space="0" w:color="auto"/>
            </w:tcBorders>
            <w:shd w:val="clear" w:color="auto" w:fill="auto"/>
            <w:noWrap/>
            <w:vAlign w:val="bottom"/>
            <w:hideMark/>
          </w:tcPr>
          <w:p w14:paraId="77519A93" w14:textId="77777777" w:rsidR="00C619FA" w:rsidRPr="008253DC" w:rsidRDefault="00C619FA" w:rsidP="00DB672D">
            <w:pPr>
              <w:pStyle w:val="SingleTxtG"/>
              <w:tabs>
                <w:tab w:val="clear" w:pos="1701"/>
                <w:tab w:val="clear" w:pos="2268"/>
                <w:tab w:val="clear" w:pos="2835"/>
              </w:tabs>
              <w:spacing w:before="80" w:after="80" w:line="200" w:lineRule="exact"/>
              <w:ind w:left="57" w:right="28"/>
              <w:jc w:val="right"/>
              <w:rPr>
                <w:i/>
                <w:iCs/>
                <w:sz w:val="16"/>
                <w:lang w:val="es-ES_tradnl"/>
              </w:rPr>
            </w:pPr>
            <w:r w:rsidRPr="008253DC">
              <w:rPr>
                <w:i/>
                <w:iCs/>
                <w:sz w:val="16"/>
                <w:lang w:val="es-ES_tradnl"/>
              </w:rPr>
              <w:t>2014</w:t>
            </w:r>
          </w:p>
        </w:tc>
        <w:tc>
          <w:tcPr>
            <w:tcW w:w="851" w:type="dxa"/>
            <w:tcBorders>
              <w:top w:val="single" w:sz="4" w:space="0" w:color="auto"/>
              <w:bottom w:val="single" w:sz="12" w:space="0" w:color="auto"/>
            </w:tcBorders>
            <w:shd w:val="clear" w:color="auto" w:fill="auto"/>
            <w:noWrap/>
            <w:vAlign w:val="bottom"/>
            <w:hideMark/>
          </w:tcPr>
          <w:p w14:paraId="10A3FBEE" w14:textId="77777777" w:rsidR="00C619FA" w:rsidRPr="008253DC" w:rsidRDefault="00C619FA" w:rsidP="00DB672D">
            <w:pPr>
              <w:pStyle w:val="SingleTxtG"/>
              <w:tabs>
                <w:tab w:val="clear" w:pos="1701"/>
                <w:tab w:val="clear" w:pos="2268"/>
                <w:tab w:val="clear" w:pos="2835"/>
              </w:tabs>
              <w:spacing w:before="80" w:after="80" w:line="200" w:lineRule="exact"/>
              <w:ind w:left="57" w:right="28"/>
              <w:jc w:val="right"/>
              <w:rPr>
                <w:i/>
                <w:iCs/>
                <w:sz w:val="16"/>
                <w:lang w:val="es-ES_tradnl"/>
              </w:rPr>
            </w:pPr>
            <w:r w:rsidRPr="008253DC">
              <w:rPr>
                <w:i/>
                <w:iCs/>
                <w:sz w:val="16"/>
                <w:lang w:val="es-ES_tradnl"/>
              </w:rPr>
              <w:t>2015</w:t>
            </w:r>
          </w:p>
        </w:tc>
        <w:tc>
          <w:tcPr>
            <w:tcW w:w="850" w:type="dxa"/>
            <w:tcBorders>
              <w:top w:val="single" w:sz="4" w:space="0" w:color="auto"/>
              <w:bottom w:val="single" w:sz="12" w:space="0" w:color="auto"/>
            </w:tcBorders>
            <w:shd w:val="clear" w:color="auto" w:fill="auto"/>
            <w:noWrap/>
            <w:vAlign w:val="bottom"/>
            <w:hideMark/>
          </w:tcPr>
          <w:p w14:paraId="7E049D1E" w14:textId="77777777" w:rsidR="00C619FA" w:rsidRPr="008253DC" w:rsidRDefault="00C619FA" w:rsidP="00DB672D">
            <w:pPr>
              <w:pStyle w:val="SingleTxtG"/>
              <w:tabs>
                <w:tab w:val="clear" w:pos="1701"/>
                <w:tab w:val="clear" w:pos="2268"/>
                <w:tab w:val="clear" w:pos="2835"/>
              </w:tabs>
              <w:spacing w:before="80" w:after="80" w:line="200" w:lineRule="exact"/>
              <w:ind w:left="57" w:right="28"/>
              <w:jc w:val="right"/>
              <w:rPr>
                <w:i/>
                <w:iCs/>
                <w:sz w:val="16"/>
                <w:lang w:val="es-ES_tradnl"/>
              </w:rPr>
            </w:pPr>
            <w:r w:rsidRPr="008253DC">
              <w:rPr>
                <w:i/>
                <w:iCs/>
                <w:sz w:val="16"/>
                <w:lang w:val="es-ES_tradnl"/>
              </w:rPr>
              <w:t>2016</w:t>
            </w:r>
          </w:p>
        </w:tc>
        <w:tc>
          <w:tcPr>
            <w:tcW w:w="991" w:type="dxa"/>
            <w:tcBorders>
              <w:top w:val="single" w:sz="4" w:space="0" w:color="auto"/>
              <w:bottom w:val="single" w:sz="12" w:space="0" w:color="auto"/>
            </w:tcBorders>
            <w:shd w:val="clear" w:color="auto" w:fill="auto"/>
            <w:noWrap/>
            <w:vAlign w:val="bottom"/>
            <w:hideMark/>
          </w:tcPr>
          <w:p w14:paraId="120C88EE" w14:textId="77777777" w:rsidR="00C619FA" w:rsidRPr="008253DC" w:rsidRDefault="00C619FA" w:rsidP="00DB672D">
            <w:pPr>
              <w:pStyle w:val="SingleTxtG"/>
              <w:tabs>
                <w:tab w:val="clear" w:pos="1701"/>
                <w:tab w:val="clear" w:pos="2268"/>
                <w:tab w:val="clear" w:pos="2835"/>
              </w:tabs>
              <w:spacing w:before="80" w:after="80" w:line="200" w:lineRule="exact"/>
              <w:ind w:left="57" w:right="28"/>
              <w:jc w:val="right"/>
              <w:rPr>
                <w:i/>
                <w:iCs/>
                <w:sz w:val="16"/>
                <w:lang w:val="es-ES_tradnl"/>
              </w:rPr>
            </w:pPr>
            <w:r w:rsidRPr="008253DC">
              <w:rPr>
                <w:i/>
                <w:iCs/>
                <w:sz w:val="16"/>
                <w:lang w:val="es-ES_tradnl"/>
              </w:rPr>
              <w:t>2017</w:t>
            </w:r>
          </w:p>
        </w:tc>
      </w:tr>
      <w:tr w:rsidR="00C619FA" w:rsidRPr="008253DC" w14:paraId="73E98665" w14:textId="77777777" w:rsidTr="00DB672D">
        <w:trPr>
          <w:trHeight w:val="240"/>
        </w:trPr>
        <w:tc>
          <w:tcPr>
            <w:tcW w:w="2552" w:type="dxa"/>
            <w:tcBorders>
              <w:top w:val="single" w:sz="12" w:space="0" w:color="auto"/>
            </w:tcBorders>
            <w:shd w:val="clear" w:color="auto" w:fill="auto"/>
            <w:noWrap/>
            <w:hideMark/>
          </w:tcPr>
          <w:p w14:paraId="0C98E7D4"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Grados universitarios</w:t>
            </w:r>
          </w:p>
        </w:tc>
        <w:tc>
          <w:tcPr>
            <w:tcW w:w="1276" w:type="dxa"/>
            <w:tcBorders>
              <w:top w:val="single" w:sz="12" w:space="0" w:color="auto"/>
            </w:tcBorders>
            <w:shd w:val="clear" w:color="auto" w:fill="auto"/>
            <w:noWrap/>
            <w:vAlign w:val="bottom"/>
            <w:hideMark/>
          </w:tcPr>
          <w:p w14:paraId="61027A1E"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19 399</w:t>
            </w:r>
          </w:p>
        </w:tc>
        <w:tc>
          <w:tcPr>
            <w:tcW w:w="850" w:type="dxa"/>
            <w:tcBorders>
              <w:top w:val="single" w:sz="12" w:space="0" w:color="auto"/>
            </w:tcBorders>
            <w:shd w:val="clear" w:color="auto" w:fill="auto"/>
            <w:noWrap/>
            <w:vAlign w:val="bottom"/>
            <w:hideMark/>
          </w:tcPr>
          <w:p w14:paraId="3713C364"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18 410</w:t>
            </w:r>
          </w:p>
        </w:tc>
        <w:tc>
          <w:tcPr>
            <w:tcW w:w="851" w:type="dxa"/>
            <w:tcBorders>
              <w:top w:val="single" w:sz="12" w:space="0" w:color="auto"/>
            </w:tcBorders>
            <w:shd w:val="clear" w:color="auto" w:fill="auto"/>
            <w:noWrap/>
            <w:vAlign w:val="bottom"/>
            <w:hideMark/>
          </w:tcPr>
          <w:p w14:paraId="0C3B9BCA"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18 125</w:t>
            </w:r>
          </w:p>
        </w:tc>
        <w:tc>
          <w:tcPr>
            <w:tcW w:w="850" w:type="dxa"/>
            <w:tcBorders>
              <w:top w:val="single" w:sz="12" w:space="0" w:color="auto"/>
            </w:tcBorders>
            <w:shd w:val="clear" w:color="auto" w:fill="auto"/>
            <w:noWrap/>
            <w:vAlign w:val="bottom"/>
            <w:hideMark/>
          </w:tcPr>
          <w:p w14:paraId="65D43A4B"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17 571</w:t>
            </w:r>
          </w:p>
        </w:tc>
        <w:tc>
          <w:tcPr>
            <w:tcW w:w="991" w:type="dxa"/>
            <w:tcBorders>
              <w:top w:val="single" w:sz="12" w:space="0" w:color="auto"/>
            </w:tcBorders>
            <w:shd w:val="clear" w:color="auto" w:fill="auto"/>
            <w:noWrap/>
            <w:vAlign w:val="bottom"/>
            <w:hideMark/>
          </w:tcPr>
          <w:p w14:paraId="19CD4C01"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17 255</w:t>
            </w:r>
          </w:p>
        </w:tc>
      </w:tr>
      <w:tr w:rsidR="00C619FA" w:rsidRPr="008253DC" w14:paraId="56E2BBF4" w14:textId="77777777" w:rsidTr="00DB672D">
        <w:trPr>
          <w:trHeight w:val="240"/>
        </w:trPr>
        <w:tc>
          <w:tcPr>
            <w:tcW w:w="2552" w:type="dxa"/>
            <w:shd w:val="clear" w:color="auto" w:fill="auto"/>
            <w:noWrap/>
            <w:hideMark/>
          </w:tcPr>
          <w:p w14:paraId="60D5CE32"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Hombres</w:t>
            </w:r>
          </w:p>
        </w:tc>
        <w:tc>
          <w:tcPr>
            <w:tcW w:w="1276" w:type="dxa"/>
            <w:shd w:val="clear" w:color="auto" w:fill="auto"/>
            <w:noWrap/>
            <w:vAlign w:val="bottom"/>
            <w:hideMark/>
          </w:tcPr>
          <w:p w14:paraId="05543799"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7 291</w:t>
            </w:r>
          </w:p>
        </w:tc>
        <w:tc>
          <w:tcPr>
            <w:tcW w:w="850" w:type="dxa"/>
            <w:shd w:val="clear" w:color="auto" w:fill="auto"/>
            <w:noWrap/>
            <w:vAlign w:val="bottom"/>
            <w:hideMark/>
          </w:tcPr>
          <w:p w14:paraId="0AE59D7C"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6 828</w:t>
            </w:r>
          </w:p>
        </w:tc>
        <w:tc>
          <w:tcPr>
            <w:tcW w:w="851" w:type="dxa"/>
            <w:shd w:val="clear" w:color="auto" w:fill="auto"/>
            <w:noWrap/>
            <w:vAlign w:val="bottom"/>
            <w:hideMark/>
          </w:tcPr>
          <w:p w14:paraId="25D75AAA"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6 558</w:t>
            </w:r>
          </w:p>
        </w:tc>
        <w:tc>
          <w:tcPr>
            <w:tcW w:w="850" w:type="dxa"/>
            <w:shd w:val="clear" w:color="auto" w:fill="auto"/>
            <w:noWrap/>
            <w:vAlign w:val="bottom"/>
            <w:hideMark/>
          </w:tcPr>
          <w:p w14:paraId="51BE0393"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6 369</w:t>
            </w:r>
          </w:p>
        </w:tc>
        <w:tc>
          <w:tcPr>
            <w:tcW w:w="991" w:type="dxa"/>
            <w:shd w:val="clear" w:color="auto" w:fill="auto"/>
            <w:noWrap/>
            <w:vAlign w:val="bottom"/>
            <w:hideMark/>
          </w:tcPr>
          <w:p w14:paraId="019BF3C0"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6 264</w:t>
            </w:r>
          </w:p>
        </w:tc>
      </w:tr>
      <w:tr w:rsidR="00C619FA" w:rsidRPr="008253DC" w14:paraId="697C543B" w14:textId="77777777" w:rsidTr="00DB672D">
        <w:trPr>
          <w:trHeight w:val="240"/>
        </w:trPr>
        <w:tc>
          <w:tcPr>
            <w:tcW w:w="2552" w:type="dxa"/>
            <w:shd w:val="clear" w:color="auto" w:fill="auto"/>
            <w:noWrap/>
            <w:hideMark/>
          </w:tcPr>
          <w:p w14:paraId="53516A1D"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Mujeres</w:t>
            </w:r>
          </w:p>
        </w:tc>
        <w:tc>
          <w:tcPr>
            <w:tcW w:w="1276" w:type="dxa"/>
            <w:shd w:val="clear" w:color="auto" w:fill="auto"/>
            <w:noWrap/>
            <w:vAlign w:val="bottom"/>
            <w:hideMark/>
          </w:tcPr>
          <w:p w14:paraId="7560C41B"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12 108</w:t>
            </w:r>
          </w:p>
        </w:tc>
        <w:tc>
          <w:tcPr>
            <w:tcW w:w="850" w:type="dxa"/>
            <w:shd w:val="clear" w:color="auto" w:fill="auto"/>
            <w:noWrap/>
            <w:vAlign w:val="bottom"/>
            <w:hideMark/>
          </w:tcPr>
          <w:p w14:paraId="1C503D64"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11 582</w:t>
            </w:r>
          </w:p>
        </w:tc>
        <w:tc>
          <w:tcPr>
            <w:tcW w:w="851" w:type="dxa"/>
            <w:shd w:val="clear" w:color="auto" w:fill="auto"/>
            <w:noWrap/>
            <w:vAlign w:val="bottom"/>
            <w:hideMark/>
          </w:tcPr>
          <w:p w14:paraId="4D4FE94A"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10 991</w:t>
            </w:r>
          </w:p>
        </w:tc>
        <w:tc>
          <w:tcPr>
            <w:tcW w:w="850" w:type="dxa"/>
            <w:shd w:val="clear" w:color="auto" w:fill="auto"/>
            <w:noWrap/>
            <w:vAlign w:val="bottom"/>
            <w:hideMark/>
          </w:tcPr>
          <w:p w14:paraId="0DB58C0F"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11 567</w:t>
            </w:r>
          </w:p>
        </w:tc>
        <w:tc>
          <w:tcPr>
            <w:tcW w:w="991" w:type="dxa"/>
            <w:shd w:val="clear" w:color="auto" w:fill="auto"/>
            <w:noWrap/>
            <w:vAlign w:val="bottom"/>
            <w:hideMark/>
          </w:tcPr>
          <w:p w14:paraId="08CADC91"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11 202</w:t>
            </w:r>
          </w:p>
        </w:tc>
      </w:tr>
      <w:tr w:rsidR="00C619FA" w:rsidRPr="008253DC" w14:paraId="0CEB8EE3" w14:textId="77777777" w:rsidTr="00DB672D">
        <w:trPr>
          <w:trHeight w:val="240"/>
        </w:trPr>
        <w:tc>
          <w:tcPr>
            <w:tcW w:w="2552" w:type="dxa"/>
            <w:shd w:val="clear" w:color="auto" w:fill="auto"/>
            <w:noWrap/>
            <w:hideMark/>
          </w:tcPr>
          <w:p w14:paraId="61B8460E"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Doctorados</w:t>
            </w:r>
          </w:p>
        </w:tc>
        <w:tc>
          <w:tcPr>
            <w:tcW w:w="1276" w:type="dxa"/>
            <w:shd w:val="clear" w:color="auto" w:fill="auto"/>
            <w:noWrap/>
            <w:vAlign w:val="bottom"/>
            <w:hideMark/>
          </w:tcPr>
          <w:p w14:paraId="75647321"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491</w:t>
            </w:r>
          </w:p>
        </w:tc>
        <w:tc>
          <w:tcPr>
            <w:tcW w:w="850" w:type="dxa"/>
            <w:shd w:val="clear" w:color="auto" w:fill="auto"/>
            <w:noWrap/>
            <w:vAlign w:val="bottom"/>
            <w:hideMark/>
          </w:tcPr>
          <w:p w14:paraId="29A1B658"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519</w:t>
            </w:r>
          </w:p>
        </w:tc>
        <w:tc>
          <w:tcPr>
            <w:tcW w:w="851" w:type="dxa"/>
            <w:shd w:val="clear" w:color="auto" w:fill="auto"/>
            <w:noWrap/>
            <w:vAlign w:val="bottom"/>
            <w:hideMark/>
          </w:tcPr>
          <w:p w14:paraId="3BDD2376"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465</w:t>
            </w:r>
          </w:p>
        </w:tc>
        <w:tc>
          <w:tcPr>
            <w:tcW w:w="850" w:type="dxa"/>
            <w:shd w:val="clear" w:color="auto" w:fill="auto"/>
            <w:noWrap/>
            <w:vAlign w:val="bottom"/>
            <w:hideMark/>
          </w:tcPr>
          <w:p w14:paraId="2DA64960"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469</w:t>
            </w:r>
          </w:p>
        </w:tc>
        <w:tc>
          <w:tcPr>
            <w:tcW w:w="991" w:type="dxa"/>
            <w:shd w:val="clear" w:color="auto" w:fill="auto"/>
            <w:noWrap/>
            <w:vAlign w:val="bottom"/>
            <w:hideMark/>
          </w:tcPr>
          <w:p w14:paraId="5F59A3BE"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637</w:t>
            </w:r>
          </w:p>
        </w:tc>
      </w:tr>
      <w:tr w:rsidR="00C619FA" w:rsidRPr="008253DC" w14:paraId="6DF4C529" w14:textId="77777777" w:rsidTr="00DB672D">
        <w:trPr>
          <w:trHeight w:val="240"/>
        </w:trPr>
        <w:tc>
          <w:tcPr>
            <w:tcW w:w="2552" w:type="dxa"/>
            <w:shd w:val="clear" w:color="auto" w:fill="auto"/>
            <w:noWrap/>
            <w:hideMark/>
          </w:tcPr>
          <w:p w14:paraId="43D54C4B"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Hombres</w:t>
            </w:r>
          </w:p>
        </w:tc>
        <w:tc>
          <w:tcPr>
            <w:tcW w:w="1276" w:type="dxa"/>
            <w:shd w:val="clear" w:color="auto" w:fill="auto"/>
            <w:noWrap/>
            <w:vAlign w:val="bottom"/>
            <w:hideMark/>
          </w:tcPr>
          <w:p w14:paraId="68DCAB11"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186</w:t>
            </w:r>
          </w:p>
        </w:tc>
        <w:tc>
          <w:tcPr>
            <w:tcW w:w="850" w:type="dxa"/>
            <w:shd w:val="clear" w:color="auto" w:fill="auto"/>
            <w:noWrap/>
            <w:vAlign w:val="bottom"/>
            <w:hideMark/>
          </w:tcPr>
          <w:p w14:paraId="749B9280"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198</w:t>
            </w:r>
          </w:p>
        </w:tc>
        <w:tc>
          <w:tcPr>
            <w:tcW w:w="851" w:type="dxa"/>
            <w:shd w:val="clear" w:color="auto" w:fill="auto"/>
            <w:noWrap/>
            <w:vAlign w:val="bottom"/>
            <w:hideMark/>
          </w:tcPr>
          <w:p w14:paraId="0F5024DA"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182</w:t>
            </w:r>
          </w:p>
        </w:tc>
        <w:tc>
          <w:tcPr>
            <w:tcW w:w="850" w:type="dxa"/>
            <w:shd w:val="clear" w:color="auto" w:fill="auto"/>
            <w:noWrap/>
            <w:vAlign w:val="bottom"/>
            <w:hideMark/>
          </w:tcPr>
          <w:p w14:paraId="10A2657D"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185</w:t>
            </w:r>
          </w:p>
        </w:tc>
        <w:tc>
          <w:tcPr>
            <w:tcW w:w="991" w:type="dxa"/>
            <w:shd w:val="clear" w:color="auto" w:fill="auto"/>
            <w:noWrap/>
            <w:vAlign w:val="bottom"/>
            <w:hideMark/>
          </w:tcPr>
          <w:p w14:paraId="411C18EB"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262</w:t>
            </w:r>
          </w:p>
        </w:tc>
      </w:tr>
      <w:tr w:rsidR="00C619FA" w:rsidRPr="008253DC" w14:paraId="54CDDEFD" w14:textId="77777777" w:rsidTr="00DB672D">
        <w:trPr>
          <w:trHeight w:val="240"/>
        </w:trPr>
        <w:tc>
          <w:tcPr>
            <w:tcW w:w="2552" w:type="dxa"/>
            <w:tcBorders>
              <w:bottom w:val="single" w:sz="12" w:space="0" w:color="auto"/>
            </w:tcBorders>
            <w:shd w:val="clear" w:color="auto" w:fill="auto"/>
            <w:noWrap/>
            <w:hideMark/>
          </w:tcPr>
          <w:p w14:paraId="623CB545"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Mujeres</w:t>
            </w:r>
          </w:p>
        </w:tc>
        <w:tc>
          <w:tcPr>
            <w:tcW w:w="1276" w:type="dxa"/>
            <w:tcBorders>
              <w:bottom w:val="single" w:sz="12" w:space="0" w:color="auto"/>
            </w:tcBorders>
            <w:shd w:val="clear" w:color="auto" w:fill="auto"/>
            <w:noWrap/>
            <w:vAlign w:val="bottom"/>
            <w:hideMark/>
          </w:tcPr>
          <w:p w14:paraId="4E03102D"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305</w:t>
            </w:r>
          </w:p>
        </w:tc>
        <w:tc>
          <w:tcPr>
            <w:tcW w:w="850" w:type="dxa"/>
            <w:tcBorders>
              <w:bottom w:val="single" w:sz="12" w:space="0" w:color="auto"/>
            </w:tcBorders>
            <w:shd w:val="clear" w:color="auto" w:fill="auto"/>
            <w:noWrap/>
            <w:vAlign w:val="bottom"/>
            <w:hideMark/>
          </w:tcPr>
          <w:p w14:paraId="66906EB4"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321</w:t>
            </w:r>
          </w:p>
        </w:tc>
        <w:tc>
          <w:tcPr>
            <w:tcW w:w="851" w:type="dxa"/>
            <w:tcBorders>
              <w:bottom w:val="single" w:sz="12" w:space="0" w:color="auto"/>
            </w:tcBorders>
            <w:shd w:val="clear" w:color="auto" w:fill="auto"/>
            <w:noWrap/>
            <w:vAlign w:val="bottom"/>
            <w:hideMark/>
          </w:tcPr>
          <w:p w14:paraId="4DF3DFDC"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283</w:t>
            </w:r>
          </w:p>
        </w:tc>
        <w:tc>
          <w:tcPr>
            <w:tcW w:w="850" w:type="dxa"/>
            <w:tcBorders>
              <w:bottom w:val="single" w:sz="12" w:space="0" w:color="auto"/>
            </w:tcBorders>
            <w:shd w:val="clear" w:color="auto" w:fill="auto"/>
            <w:noWrap/>
            <w:vAlign w:val="bottom"/>
            <w:hideMark/>
          </w:tcPr>
          <w:p w14:paraId="1FDFC70D"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284</w:t>
            </w:r>
          </w:p>
        </w:tc>
        <w:tc>
          <w:tcPr>
            <w:tcW w:w="991" w:type="dxa"/>
            <w:tcBorders>
              <w:bottom w:val="single" w:sz="12" w:space="0" w:color="auto"/>
            </w:tcBorders>
            <w:shd w:val="clear" w:color="auto" w:fill="auto"/>
            <w:noWrap/>
            <w:vAlign w:val="bottom"/>
            <w:hideMark/>
          </w:tcPr>
          <w:p w14:paraId="66E4062D"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375</w:t>
            </w:r>
          </w:p>
        </w:tc>
      </w:tr>
    </w:tbl>
    <w:p w14:paraId="78F0664D" w14:textId="4BC196E8" w:rsidR="00C619FA" w:rsidRPr="008253DC" w:rsidRDefault="00C619FA" w:rsidP="00DB672D">
      <w:pPr>
        <w:pStyle w:val="SingleTxtG"/>
        <w:spacing w:before="240"/>
        <w:rPr>
          <w:i/>
          <w:lang w:val="es-ES_tradnl"/>
        </w:rPr>
      </w:pPr>
      <w:r w:rsidRPr="008253DC">
        <w:rPr>
          <w:i/>
          <w:iCs/>
          <w:lang w:val="es-ES_tradnl"/>
        </w:rPr>
        <w:t>Categorías de educación, según la Clasificación Internacional Normalizada de la Educación 1997 (CINE 1997).</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552"/>
        <w:gridCol w:w="1276"/>
        <w:gridCol w:w="850"/>
        <w:gridCol w:w="851"/>
        <w:gridCol w:w="850"/>
        <w:gridCol w:w="991"/>
      </w:tblGrid>
      <w:tr w:rsidR="00DB672D" w:rsidRPr="008253DC" w14:paraId="197A07C5" w14:textId="77777777" w:rsidTr="00DB672D">
        <w:trPr>
          <w:trHeight w:val="240"/>
          <w:tblHeader/>
        </w:trPr>
        <w:tc>
          <w:tcPr>
            <w:tcW w:w="2552" w:type="dxa"/>
            <w:tcBorders>
              <w:top w:val="single" w:sz="4" w:space="0" w:color="auto"/>
              <w:bottom w:val="single" w:sz="12" w:space="0" w:color="auto"/>
            </w:tcBorders>
            <w:shd w:val="clear" w:color="auto" w:fill="auto"/>
            <w:noWrap/>
            <w:vAlign w:val="bottom"/>
            <w:hideMark/>
          </w:tcPr>
          <w:p w14:paraId="3991825F" w14:textId="77777777" w:rsidR="00C619FA" w:rsidRPr="008253DC" w:rsidRDefault="00C619FA" w:rsidP="00DB672D">
            <w:pPr>
              <w:pStyle w:val="SingleTxtG"/>
              <w:tabs>
                <w:tab w:val="clear" w:pos="1701"/>
                <w:tab w:val="clear" w:pos="2268"/>
                <w:tab w:val="clear" w:pos="2835"/>
              </w:tabs>
              <w:spacing w:before="80" w:after="80" w:line="200" w:lineRule="exact"/>
              <w:ind w:left="0" w:right="0"/>
              <w:jc w:val="left"/>
              <w:rPr>
                <w:i/>
                <w:iCs/>
                <w:sz w:val="16"/>
                <w:lang w:val="es-ES_tradnl"/>
              </w:rPr>
            </w:pPr>
            <w:r w:rsidRPr="008253DC">
              <w:rPr>
                <w:i/>
                <w:iCs/>
                <w:sz w:val="16"/>
                <w:lang w:val="es-ES_tradnl"/>
              </w:rPr>
              <w:t>Estudiantes en el extranjero</w:t>
            </w:r>
          </w:p>
        </w:tc>
        <w:tc>
          <w:tcPr>
            <w:tcW w:w="1276" w:type="dxa"/>
            <w:tcBorders>
              <w:top w:val="single" w:sz="4" w:space="0" w:color="auto"/>
              <w:bottom w:val="single" w:sz="12" w:space="0" w:color="auto"/>
            </w:tcBorders>
            <w:shd w:val="clear" w:color="auto" w:fill="auto"/>
            <w:noWrap/>
            <w:vAlign w:val="bottom"/>
            <w:hideMark/>
          </w:tcPr>
          <w:p w14:paraId="1E434DA8" w14:textId="77777777" w:rsidR="00C619FA" w:rsidRPr="008253DC" w:rsidRDefault="00C619FA" w:rsidP="00DB672D">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2013</w:t>
            </w:r>
          </w:p>
        </w:tc>
        <w:tc>
          <w:tcPr>
            <w:tcW w:w="850" w:type="dxa"/>
            <w:tcBorders>
              <w:top w:val="single" w:sz="4" w:space="0" w:color="auto"/>
              <w:bottom w:val="single" w:sz="12" w:space="0" w:color="auto"/>
            </w:tcBorders>
            <w:shd w:val="clear" w:color="auto" w:fill="auto"/>
            <w:noWrap/>
            <w:vAlign w:val="bottom"/>
            <w:hideMark/>
          </w:tcPr>
          <w:p w14:paraId="1706E307" w14:textId="77777777" w:rsidR="00C619FA" w:rsidRPr="008253DC" w:rsidRDefault="00C619FA" w:rsidP="00DB672D">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2014</w:t>
            </w:r>
          </w:p>
        </w:tc>
        <w:tc>
          <w:tcPr>
            <w:tcW w:w="851" w:type="dxa"/>
            <w:tcBorders>
              <w:top w:val="single" w:sz="4" w:space="0" w:color="auto"/>
              <w:bottom w:val="single" w:sz="12" w:space="0" w:color="auto"/>
            </w:tcBorders>
            <w:shd w:val="clear" w:color="auto" w:fill="auto"/>
            <w:noWrap/>
            <w:vAlign w:val="bottom"/>
            <w:hideMark/>
          </w:tcPr>
          <w:p w14:paraId="7E403178" w14:textId="77777777" w:rsidR="00C619FA" w:rsidRPr="008253DC" w:rsidRDefault="00C619FA" w:rsidP="00DB672D">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2015</w:t>
            </w:r>
          </w:p>
        </w:tc>
        <w:tc>
          <w:tcPr>
            <w:tcW w:w="850" w:type="dxa"/>
            <w:tcBorders>
              <w:top w:val="single" w:sz="4" w:space="0" w:color="auto"/>
              <w:bottom w:val="single" w:sz="12" w:space="0" w:color="auto"/>
            </w:tcBorders>
            <w:shd w:val="clear" w:color="auto" w:fill="auto"/>
            <w:noWrap/>
            <w:vAlign w:val="bottom"/>
            <w:hideMark/>
          </w:tcPr>
          <w:p w14:paraId="7FB6D60E" w14:textId="77777777" w:rsidR="00C619FA" w:rsidRPr="008253DC" w:rsidRDefault="00C619FA" w:rsidP="00DB672D">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2016</w:t>
            </w:r>
          </w:p>
        </w:tc>
        <w:tc>
          <w:tcPr>
            <w:tcW w:w="991" w:type="dxa"/>
            <w:tcBorders>
              <w:top w:val="single" w:sz="4" w:space="0" w:color="auto"/>
              <w:bottom w:val="single" w:sz="12" w:space="0" w:color="auto"/>
            </w:tcBorders>
            <w:shd w:val="clear" w:color="auto" w:fill="auto"/>
            <w:noWrap/>
            <w:vAlign w:val="bottom"/>
            <w:hideMark/>
          </w:tcPr>
          <w:p w14:paraId="243ED4E4" w14:textId="77777777" w:rsidR="00C619FA" w:rsidRPr="008253DC" w:rsidRDefault="00C619FA" w:rsidP="00DB672D">
            <w:pPr>
              <w:pStyle w:val="SingleTxtG"/>
              <w:tabs>
                <w:tab w:val="clear" w:pos="1701"/>
                <w:tab w:val="clear" w:pos="2268"/>
                <w:tab w:val="clear" w:pos="2835"/>
              </w:tabs>
              <w:spacing w:before="80" w:after="80" w:line="200" w:lineRule="exact"/>
              <w:ind w:left="28" w:right="28"/>
              <w:jc w:val="right"/>
              <w:rPr>
                <w:i/>
                <w:sz w:val="16"/>
                <w:lang w:val="es-ES_tradnl"/>
              </w:rPr>
            </w:pPr>
            <w:r w:rsidRPr="008253DC">
              <w:rPr>
                <w:i/>
                <w:iCs/>
                <w:sz w:val="16"/>
                <w:lang w:val="es-ES_tradnl"/>
              </w:rPr>
              <w:t>2017</w:t>
            </w:r>
          </w:p>
        </w:tc>
      </w:tr>
      <w:tr w:rsidR="00C619FA" w:rsidRPr="008253DC" w14:paraId="540464B9" w14:textId="77777777" w:rsidTr="00DB672D">
        <w:trPr>
          <w:trHeight w:val="240"/>
        </w:trPr>
        <w:tc>
          <w:tcPr>
            <w:tcW w:w="2552" w:type="dxa"/>
            <w:tcBorders>
              <w:top w:val="single" w:sz="12" w:space="0" w:color="auto"/>
            </w:tcBorders>
            <w:shd w:val="clear" w:color="auto" w:fill="auto"/>
            <w:noWrap/>
            <w:hideMark/>
          </w:tcPr>
          <w:p w14:paraId="7988DB57"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Hombres</w:t>
            </w:r>
          </w:p>
        </w:tc>
        <w:tc>
          <w:tcPr>
            <w:tcW w:w="1276" w:type="dxa"/>
            <w:tcBorders>
              <w:top w:val="single" w:sz="12" w:space="0" w:color="auto"/>
            </w:tcBorders>
            <w:shd w:val="clear" w:color="auto" w:fill="auto"/>
            <w:noWrap/>
            <w:vAlign w:val="bottom"/>
            <w:hideMark/>
          </w:tcPr>
          <w:p w14:paraId="1253A373" w14:textId="77777777" w:rsidR="00C619FA" w:rsidRPr="008253DC" w:rsidRDefault="00C619FA" w:rsidP="00DB672D">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910</w:t>
            </w:r>
          </w:p>
        </w:tc>
        <w:tc>
          <w:tcPr>
            <w:tcW w:w="850" w:type="dxa"/>
            <w:tcBorders>
              <w:top w:val="single" w:sz="12" w:space="0" w:color="auto"/>
            </w:tcBorders>
            <w:shd w:val="clear" w:color="auto" w:fill="auto"/>
            <w:noWrap/>
            <w:vAlign w:val="bottom"/>
            <w:hideMark/>
          </w:tcPr>
          <w:p w14:paraId="2DB23C95" w14:textId="77777777" w:rsidR="00C619FA" w:rsidRPr="008253DC" w:rsidRDefault="00C619FA" w:rsidP="00DB672D">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853</w:t>
            </w:r>
          </w:p>
        </w:tc>
        <w:tc>
          <w:tcPr>
            <w:tcW w:w="851" w:type="dxa"/>
            <w:tcBorders>
              <w:top w:val="single" w:sz="12" w:space="0" w:color="auto"/>
            </w:tcBorders>
            <w:shd w:val="clear" w:color="auto" w:fill="auto"/>
            <w:noWrap/>
            <w:vAlign w:val="bottom"/>
            <w:hideMark/>
          </w:tcPr>
          <w:p w14:paraId="29CAF6BF" w14:textId="77777777" w:rsidR="00C619FA" w:rsidRPr="008253DC" w:rsidRDefault="00C619FA" w:rsidP="00DB672D">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796</w:t>
            </w:r>
          </w:p>
        </w:tc>
        <w:tc>
          <w:tcPr>
            <w:tcW w:w="850" w:type="dxa"/>
            <w:tcBorders>
              <w:top w:val="single" w:sz="12" w:space="0" w:color="auto"/>
            </w:tcBorders>
            <w:shd w:val="clear" w:color="auto" w:fill="auto"/>
            <w:noWrap/>
            <w:vAlign w:val="bottom"/>
            <w:hideMark/>
          </w:tcPr>
          <w:p w14:paraId="6A68D653" w14:textId="77777777" w:rsidR="00C619FA" w:rsidRPr="008253DC" w:rsidRDefault="00C619FA" w:rsidP="00DB672D">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685</w:t>
            </w:r>
          </w:p>
        </w:tc>
        <w:tc>
          <w:tcPr>
            <w:tcW w:w="991" w:type="dxa"/>
            <w:tcBorders>
              <w:top w:val="single" w:sz="12" w:space="0" w:color="auto"/>
            </w:tcBorders>
            <w:shd w:val="clear" w:color="auto" w:fill="auto"/>
            <w:noWrap/>
            <w:vAlign w:val="bottom"/>
            <w:hideMark/>
          </w:tcPr>
          <w:p w14:paraId="52F31F4B" w14:textId="77777777" w:rsidR="00C619FA" w:rsidRPr="008253DC" w:rsidRDefault="00C619FA" w:rsidP="00DB672D">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604</w:t>
            </w:r>
          </w:p>
        </w:tc>
      </w:tr>
      <w:tr w:rsidR="00DB672D" w:rsidRPr="008253DC" w14:paraId="3810C730" w14:textId="77777777" w:rsidTr="00DB672D">
        <w:trPr>
          <w:trHeight w:val="240"/>
        </w:trPr>
        <w:tc>
          <w:tcPr>
            <w:tcW w:w="2552" w:type="dxa"/>
            <w:tcBorders>
              <w:bottom w:val="single" w:sz="4" w:space="0" w:color="auto"/>
            </w:tcBorders>
            <w:shd w:val="clear" w:color="auto" w:fill="auto"/>
            <w:noWrap/>
            <w:hideMark/>
          </w:tcPr>
          <w:p w14:paraId="4798FD4D"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Mujeres</w:t>
            </w:r>
          </w:p>
        </w:tc>
        <w:tc>
          <w:tcPr>
            <w:tcW w:w="1276" w:type="dxa"/>
            <w:tcBorders>
              <w:bottom w:val="single" w:sz="4" w:space="0" w:color="auto"/>
            </w:tcBorders>
            <w:shd w:val="clear" w:color="auto" w:fill="auto"/>
            <w:noWrap/>
            <w:vAlign w:val="bottom"/>
            <w:hideMark/>
          </w:tcPr>
          <w:p w14:paraId="533A429F" w14:textId="77777777" w:rsidR="00C619FA" w:rsidRPr="008253DC" w:rsidRDefault="00C619FA" w:rsidP="00DB672D">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1 001</w:t>
            </w:r>
          </w:p>
        </w:tc>
        <w:tc>
          <w:tcPr>
            <w:tcW w:w="850" w:type="dxa"/>
            <w:tcBorders>
              <w:bottom w:val="single" w:sz="4" w:space="0" w:color="auto"/>
            </w:tcBorders>
            <w:shd w:val="clear" w:color="auto" w:fill="auto"/>
            <w:noWrap/>
            <w:vAlign w:val="bottom"/>
            <w:hideMark/>
          </w:tcPr>
          <w:p w14:paraId="7D1AAAD2" w14:textId="77777777" w:rsidR="00C619FA" w:rsidRPr="008253DC" w:rsidRDefault="00C619FA" w:rsidP="00DB672D">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927</w:t>
            </w:r>
          </w:p>
        </w:tc>
        <w:tc>
          <w:tcPr>
            <w:tcW w:w="851" w:type="dxa"/>
            <w:tcBorders>
              <w:bottom w:val="single" w:sz="4" w:space="0" w:color="auto"/>
            </w:tcBorders>
            <w:shd w:val="clear" w:color="auto" w:fill="auto"/>
            <w:noWrap/>
            <w:vAlign w:val="bottom"/>
            <w:hideMark/>
          </w:tcPr>
          <w:p w14:paraId="03182B0F" w14:textId="77777777" w:rsidR="00C619FA" w:rsidRPr="008253DC" w:rsidRDefault="00C619FA" w:rsidP="00DB672D">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817</w:t>
            </w:r>
          </w:p>
        </w:tc>
        <w:tc>
          <w:tcPr>
            <w:tcW w:w="850" w:type="dxa"/>
            <w:tcBorders>
              <w:bottom w:val="single" w:sz="4" w:space="0" w:color="auto"/>
            </w:tcBorders>
            <w:shd w:val="clear" w:color="auto" w:fill="auto"/>
            <w:noWrap/>
            <w:vAlign w:val="bottom"/>
            <w:hideMark/>
          </w:tcPr>
          <w:p w14:paraId="5138A029" w14:textId="77777777" w:rsidR="00C619FA" w:rsidRPr="008253DC" w:rsidRDefault="00C619FA" w:rsidP="00DB672D">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745</w:t>
            </w:r>
          </w:p>
        </w:tc>
        <w:tc>
          <w:tcPr>
            <w:tcW w:w="991" w:type="dxa"/>
            <w:tcBorders>
              <w:bottom w:val="single" w:sz="4" w:space="0" w:color="auto"/>
            </w:tcBorders>
            <w:shd w:val="clear" w:color="auto" w:fill="auto"/>
            <w:noWrap/>
            <w:vAlign w:val="bottom"/>
            <w:hideMark/>
          </w:tcPr>
          <w:p w14:paraId="04652A34" w14:textId="77777777" w:rsidR="00C619FA" w:rsidRPr="008253DC" w:rsidRDefault="00C619FA" w:rsidP="00DB672D">
            <w:pPr>
              <w:pStyle w:val="SingleTxtG"/>
              <w:tabs>
                <w:tab w:val="clear" w:pos="1701"/>
                <w:tab w:val="clear" w:pos="2268"/>
                <w:tab w:val="clear" w:pos="2835"/>
              </w:tabs>
              <w:spacing w:before="40" w:after="40" w:line="220" w:lineRule="exact"/>
              <w:ind w:left="28" w:right="28"/>
              <w:jc w:val="right"/>
              <w:rPr>
                <w:sz w:val="18"/>
                <w:lang w:val="es-ES_tradnl"/>
              </w:rPr>
            </w:pPr>
            <w:r w:rsidRPr="008253DC">
              <w:rPr>
                <w:sz w:val="18"/>
                <w:lang w:val="es-ES_tradnl"/>
              </w:rPr>
              <w:t>751</w:t>
            </w:r>
          </w:p>
        </w:tc>
      </w:tr>
      <w:tr w:rsidR="00DB672D" w:rsidRPr="008253DC" w14:paraId="0A3F6F1F" w14:textId="77777777" w:rsidTr="00DB672D">
        <w:trPr>
          <w:trHeight w:val="240"/>
        </w:trPr>
        <w:tc>
          <w:tcPr>
            <w:tcW w:w="2552" w:type="dxa"/>
            <w:tcBorders>
              <w:top w:val="single" w:sz="4" w:space="0" w:color="auto"/>
              <w:bottom w:val="single" w:sz="12" w:space="0" w:color="auto"/>
            </w:tcBorders>
            <w:shd w:val="clear" w:color="auto" w:fill="auto"/>
            <w:noWrap/>
            <w:hideMark/>
          </w:tcPr>
          <w:p w14:paraId="76B63C0C" w14:textId="77777777" w:rsidR="00C619FA" w:rsidRPr="008253DC" w:rsidRDefault="00C619FA" w:rsidP="00DB672D">
            <w:pPr>
              <w:pStyle w:val="SingleTxtG"/>
              <w:tabs>
                <w:tab w:val="clear" w:pos="1701"/>
                <w:tab w:val="clear" w:pos="2268"/>
                <w:tab w:val="clear" w:pos="2835"/>
              </w:tabs>
              <w:spacing w:before="80" w:after="80" w:line="220" w:lineRule="exact"/>
              <w:ind w:left="283" w:right="0"/>
              <w:jc w:val="left"/>
              <w:rPr>
                <w:b/>
                <w:sz w:val="18"/>
                <w:lang w:val="es-ES_tradnl"/>
              </w:rPr>
            </w:pPr>
            <w:r w:rsidRPr="008253DC">
              <w:rPr>
                <w:b/>
                <w:bCs/>
                <w:sz w:val="18"/>
                <w:lang w:val="es-ES_tradnl"/>
              </w:rPr>
              <w:t>Total</w:t>
            </w:r>
          </w:p>
        </w:tc>
        <w:tc>
          <w:tcPr>
            <w:tcW w:w="1276" w:type="dxa"/>
            <w:tcBorders>
              <w:top w:val="single" w:sz="4" w:space="0" w:color="auto"/>
              <w:bottom w:val="single" w:sz="12" w:space="0" w:color="auto"/>
            </w:tcBorders>
            <w:shd w:val="clear" w:color="auto" w:fill="auto"/>
            <w:noWrap/>
            <w:vAlign w:val="bottom"/>
            <w:hideMark/>
          </w:tcPr>
          <w:p w14:paraId="482AA0BB" w14:textId="77777777" w:rsidR="00C619FA" w:rsidRPr="008253DC" w:rsidRDefault="00C619FA" w:rsidP="00DB672D">
            <w:pPr>
              <w:pStyle w:val="SingleTxtG"/>
              <w:tabs>
                <w:tab w:val="clear" w:pos="1701"/>
                <w:tab w:val="clear" w:pos="2268"/>
                <w:tab w:val="clear" w:pos="2835"/>
              </w:tabs>
              <w:spacing w:before="80" w:after="80" w:line="220" w:lineRule="exact"/>
              <w:ind w:left="28" w:right="28"/>
              <w:jc w:val="right"/>
              <w:rPr>
                <w:b/>
                <w:sz w:val="18"/>
                <w:lang w:val="es-ES_tradnl"/>
              </w:rPr>
            </w:pPr>
            <w:r w:rsidRPr="008253DC">
              <w:rPr>
                <w:b/>
                <w:bCs/>
                <w:sz w:val="18"/>
                <w:lang w:val="es-ES_tradnl"/>
              </w:rPr>
              <w:t>1 911</w:t>
            </w:r>
          </w:p>
        </w:tc>
        <w:tc>
          <w:tcPr>
            <w:tcW w:w="850" w:type="dxa"/>
            <w:tcBorders>
              <w:top w:val="single" w:sz="4" w:space="0" w:color="auto"/>
              <w:bottom w:val="single" w:sz="12" w:space="0" w:color="auto"/>
            </w:tcBorders>
            <w:shd w:val="clear" w:color="auto" w:fill="auto"/>
            <w:noWrap/>
            <w:vAlign w:val="bottom"/>
            <w:hideMark/>
          </w:tcPr>
          <w:p w14:paraId="2664EFE4" w14:textId="77777777" w:rsidR="00C619FA" w:rsidRPr="008253DC" w:rsidRDefault="00C619FA" w:rsidP="00DB672D">
            <w:pPr>
              <w:pStyle w:val="SingleTxtG"/>
              <w:tabs>
                <w:tab w:val="clear" w:pos="1701"/>
                <w:tab w:val="clear" w:pos="2268"/>
                <w:tab w:val="clear" w:pos="2835"/>
              </w:tabs>
              <w:spacing w:before="80" w:after="80" w:line="220" w:lineRule="exact"/>
              <w:ind w:left="28" w:right="28"/>
              <w:jc w:val="right"/>
              <w:rPr>
                <w:b/>
                <w:sz w:val="18"/>
                <w:lang w:val="es-ES_tradnl"/>
              </w:rPr>
            </w:pPr>
            <w:r w:rsidRPr="008253DC">
              <w:rPr>
                <w:b/>
                <w:bCs/>
                <w:sz w:val="18"/>
                <w:lang w:val="es-ES_tradnl"/>
              </w:rPr>
              <w:t>1 780</w:t>
            </w:r>
          </w:p>
        </w:tc>
        <w:tc>
          <w:tcPr>
            <w:tcW w:w="851" w:type="dxa"/>
            <w:tcBorders>
              <w:top w:val="single" w:sz="4" w:space="0" w:color="auto"/>
              <w:bottom w:val="single" w:sz="12" w:space="0" w:color="auto"/>
            </w:tcBorders>
            <w:shd w:val="clear" w:color="auto" w:fill="auto"/>
            <w:noWrap/>
            <w:vAlign w:val="bottom"/>
            <w:hideMark/>
          </w:tcPr>
          <w:p w14:paraId="0953BC06" w14:textId="77777777" w:rsidR="00C619FA" w:rsidRPr="008253DC" w:rsidRDefault="00C619FA" w:rsidP="00DB672D">
            <w:pPr>
              <w:pStyle w:val="SingleTxtG"/>
              <w:tabs>
                <w:tab w:val="clear" w:pos="1701"/>
                <w:tab w:val="clear" w:pos="2268"/>
                <w:tab w:val="clear" w:pos="2835"/>
              </w:tabs>
              <w:spacing w:before="80" w:after="80" w:line="220" w:lineRule="exact"/>
              <w:ind w:left="28" w:right="28"/>
              <w:jc w:val="right"/>
              <w:rPr>
                <w:b/>
                <w:sz w:val="18"/>
                <w:lang w:val="es-ES_tradnl"/>
              </w:rPr>
            </w:pPr>
            <w:r w:rsidRPr="008253DC">
              <w:rPr>
                <w:b/>
                <w:bCs/>
                <w:sz w:val="18"/>
                <w:lang w:val="es-ES_tradnl"/>
              </w:rPr>
              <w:t>1 613</w:t>
            </w:r>
          </w:p>
        </w:tc>
        <w:tc>
          <w:tcPr>
            <w:tcW w:w="850" w:type="dxa"/>
            <w:tcBorders>
              <w:top w:val="single" w:sz="4" w:space="0" w:color="auto"/>
              <w:bottom w:val="single" w:sz="12" w:space="0" w:color="auto"/>
            </w:tcBorders>
            <w:shd w:val="clear" w:color="auto" w:fill="auto"/>
            <w:noWrap/>
            <w:vAlign w:val="bottom"/>
            <w:hideMark/>
          </w:tcPr>
          <w:p w14:paraId="6C60DC83" w14:textId="77777777" w:rsidR="00C619FA" w:rsidRPr="008253DC" w:rsidRDefault="00C619FA" w:rsidP="00DB672D">
            <w:pPr>
              <w:pStyle w:val="SingleTxtG"/>
              <w:tabs>
                <w:tab w:val="clear" w:pos="1701"/>
                <w:tab w:val="clear" w:pos="2268"/>
                <w:tab w:val="clear" w:pos="2835"/>
              </w:tabs>
              <w:spacing w:before="80" w:after="80" w:line="220" w:lineRule="exact"/>
              <w:ind w:left="28" w:right="28"/>
              <w:jc w:val="right"/>
              <w:rPr>
                <w:b/>
                <w:sz w:val="18"/>
                <w:lang w:val="es-ES_tradnl"/>
              </w:rPr>
            </w:pPr>
            <w:r w:rsidRPr="008253DC">
              <w:rPr>
                <w:b/>
                <w:bCs/>
                <w:sz w:val="18"/>
                <w:lang w:val="es-ES_tradnl"/>
              </w:rPr>
              <w:t>1 430</w:t>
            </w:r>
          </w:p>
        </w:tc>
        <w:tc>
          <w:tcPr>
            <w:tcW w:w="991" w:type="dxa"/>
            <w:tcBorders>
              <w:top w:val="single" w:sz="4" w:space="0" w:color="auto"/>
              <w:bottom w:val="single" w:sz="12" w:space="0" w:color="auto"/>
            </w:tcBorders>
            <w:shd w:val="clear" w:color="auto" w:fill="auto"/>
            <w:noWrap/>
            <w:vAlign w:val="bottom"/>
            <w:hideMark/>
          </w:tcPr>
          <w:p w14:paraId="5AF87F7B" w14:textId="77777777" w:rsidR="00C619FA" w:rsidRPr="008253DC" w:rsidRDefault="00C619FA" w:rsidP="00DB672D">
            <w:pPr>
              <w:pStyle w:val="SingleTxtG"/>
              <w:tabs>
                <w:tab w:val="clear" w:pos="1701"/>
                <w:tab w:val="clear" w:pos="2268"/>
                <w:tab w:val="clear" w:pos="2835"/>
              </w:tabs>
              <w:spacing w:before="80" w:after="80" w:line="220" w:lineRule="exact"/>
              <w:ind w:left="28" w:right="28"/>
              <w:jc w:val="right"/>
              <w:rPr>
                <w:b/>
                <w:sz w:val="18"/>
                <w:lang w:val="es-ES_tradnl"/>
              </w:rPr>
            </w:pPr>
            <w:r w:rsidRPr="008253DC">
              <w:rPr>
                <w:b/>
                <w:bCs/>
                <w:sz w:val="18"/>
                <w:lang w:val="es-ES_tradnl"/>
              </w:rPr>
              <w:t>1 355</w:t>
            </w:r>
          </w:p>
        </w:tc>
      </w:tr>
    </w:tbl>
    <w:p w14:paraId="3E96BF25" w14:textId="77777777" w:rsidR="00C619FA" w:rsidRPr="008253DC" w:rsidRDefault="00C619FA" w:rsidP="00DB672D">
      <w:pPr>
        <w:pStyle w:val="SingleTxtG"/>
        <w:spacing w:before="120" w:after="240"/>
        <w:ind w:firstLine="170"/>
        <w:jc w:val="left"/>
        <w:rPr>
          <w:i/>
          <w:iCs/>
          <w:sz w:val="18"/>
          <w:szCs w:val="18"/>
          <w:lang w:val="es-ES_tradnl"/>
        </w:rPr>
      </w:pPr>
      <w:r w:rsidRPr="008253DC">
        <w:rPr>
          <w:i/>
          <w:iCs/>
          <w:sz w:val="18"/>
          <w:szCs w:val="18"/>
          <w:lang w:val="es-ES_tradnl"/>
        </w:rPr>
        <w:t>El número de estudiantes en el extranjero se calcula sobre la base del número de estudiantes que solicita un préstamo al Fondo Islandés de Préstamos para Estudiantes. En esas cifras no se tienen en cuenta a otros estudiantes.</w:t>
      </w:r>
    </w:p>
    <w:p w14:paraId="382FC1D6" w14:textId="1248A377" w:rsidR="00C619FA" w:rsidRPr="008253DC" w:rsidRDefault="00DB672D" w:rsidP="00DB672D">
      <w:pPr>
        <w:pStyle w:val="H23G"/>
        <w:rPr>
          <w:lang w:val="es-ES_tradnl"/>
        </w:rPr>
      </w:pPr>
      <w:r w:rsidRPr="008253DC">
        <w:rPr>
          <w:lang w:val="es-ES_tradnl"/>
        </w:rPr>
        <w:tab/>
      </w:r>
      <w:r w:rsidR="00C619FA" w:rsidRPr="008253DC">
        <w:rPr>
          <w:lang w:val="es-ES_tradnl"/>
        </w:rPr>
        <w:tab/>
        <w:t>Educación de adultos</w:t>
      </w:r>
    </w:p>
    <w:p w14:paraId="1B2C0EF4" w14:textId="77777777" w:rsidR="00C619FA" w:rsidRPr="008253DC" w:rsidRDefault="00C619FA" w:rsidP="00C619FA">
      <w:pPr>
        <w:pStyle w:val="SingleTxtG"/>
        <w:rPr>
          <w:lang w:val="es-ES_tradnl"/>
        </w:rPr>
      </w:pPr>
      <w:r w:rsidRPr="008253DC">
        <w:rPr>
          <w:lang w:val="es-ES_tradnl"/>
        </w:rPr>
        <w:t>21.</w:t>
      </w:r>
      <w:r w:rsidRPr="008253DC">
        <w:rPr>
          <w:lang w:val="es-ES_tradnl"/>
        </w:rPr>
        <w:tab/>
        <w:t>La educación de adultos tiene por objeto ofrecer oportunidades educativas idóneas a los adultos con escasa educación formal, así como facilitar que retomen los estudios, de conformidad con lo dispuesto en la Ley núm. 27 de 2010. Los servicios de educación básica de adultos tienen tres componentes: en primer lugar, la orientación escolar y profesional, que es requisito previo para los otros dos componentes, esto es, la validación de conocimientos anteriores y la acreditación de programas de estudios. El objetivo de la educación de adultos es validar y reconocer las competencias profesionales y facilitar el ingreso a la educación secundaria, los programas de transición para estudios superiores o el mercado de trabajo.</w:t>
      </w:r>
    </w:p>
    <w:p w14:paraId="044662D0" w14:textId="5FDC1DF8" w:rsidR="00C619FA" w:rsidRPr="008253DC" w:rsidRDefault="00C619FA" w:rsidP="00C619FA">
      <w:pPr>
        <w:pStyle w:val="SingleTxtG"/>
        <w:rPr>
          <w:lang w:val="es-ES_tradnl"/>
        </w:rPr>
      </w:pPr>
      <w:r w:rsidRPr="008253DC">
        <w:rPr>
          <w:lang w:val="es-ES_tradnl"/>
        </w:rPr>
        <w:t>22.</w:t>
      </w:r>
      <w:r w:rsidRPr="008253DC">
        <w:rPr>
          <w:lang w:val="es-ES_tradnl"/>
        </w:rPr>
        <w:tab/>
        <w:t>El Centro de Servicios de Educación y Formación Profesional se encarga de la coordinación del desarrollo de la orientación profesional para el grupo beneficiario, en cooperación con los proveedores de la educación acreditados en todo el país. En el marco de esa cooperación, el Centro de Servicios de Educación y Formación Profesional organiza seminarios periódicos. El Centro ha concedido especial importancia a la calidad del aprendizaje mediante la elaboración de indicadores de la calidad para los proveedores de la educación y la impartición de cursos de formación para instructores. Los indicadores de la calidad que ha elaborado el Centro se basan en los sistemas nórdico y europeo</w:t>
      </w:r>
      <w:r w:rsidRPr="008253DC">
        <w:rPr>
          <w:b/>
          <w:bCs/>
          <w:lang w:val="es-ES_tradnl"/>
        </w:rPr>
        <w:t xml:space="preserve"> </w:t>
      </w:r>
      <w:r w:rsidRPr="008253DC">
        <w:rPr>
          <w:lang w:val="es-ES_tradnl"/>
        </w:rPr>
        <w:t>de garantía de la calidad.</w:t>
      </w:r>
    </w:p>
    <w:p w14:paraId="1B497392" w14:textId="07B3D9B6" w:rsidR="00C619FA" w:rsidRPr="008253DC" w:rsidRDefault="00DB672D" w:rsidP="00DB672D">
      <w:pPr>
        <w:pStyle w:val="H23G"/>
        <w:rPr>
          <w:lang w:val="es-ES_tradnl"/>
        </w:rPr>
      </w:pPr>
      <w:r w:rsidRPr="008253DC">
        <w:rPr>
          <w:lang w:val="es-ES_tradnl"/>
        </w:rPr>
        <w:lastRenderedPageBreak/>
        <w:tab/>
      </w:r>
      <w:r w:rsidR="00C619FA" w:rsidRPr="008253DC">
        <w:rPr>
          <w:lang w:val="es-ES_tradnl"/>
        </w:rPr>
        <w:tab/>
        <w:t>Dirección de Educación</w:t>
      </w:r>
    </w:p>
    <w:p w14:paraId="6BE36FBE" w14:textId="77777777" w:rsidR="00C619FA" w:rsidRPr="008253DC" w:rsidRDefault="00C619FA" w:rsidP="00C619FA">
      <w:pPr>
        <w:pStyle w:val="SingleTxtG"/>
        <w:rPr>
          <w:lang w:val="es-ES_tradnl"/>
        </w:rPr>
      </w:pPr>
      <w:r w:rsidRPr="008253DC">
        <w:rPr>
          <w:lang w:val="es-ES_tradnl"/>
        </w:rPr>
        <w:t>23.</w:t>
      </w:r>
      <w:r w:rsidRPr="008253DC">
        <w:rPr>
          <w:lang w:val="es-ES_tradnl"/>
        </w:rPr>
        <w:tab/>
        <w:t>La Dirección de Educación se creó el 1 de octubre de 2015, tras la aprobación de la Ley núm. 91/2015. La Dirección es una institución administrativa en el ámbito de la educación y su principal objetivo es mejorar la calidad de la educación y apoyar los progresos en esa esfera, conforme a la ley y a las políticas gubernamentales, las mejores pruebas disponibles y las normas internacionales. La Dirección de Educación ha asumido las responsabilidades del anterior Instituto de Servicios de Evaluación Educativa y el Centro Nacional de Materiales Didácticos. Asimismo, se ocupa de determinadas tareas administrativas del Ministerio de Educación, Ciencia y Cultura, así como de nuevos proyectos, entre ellos, la aplicación del Convenio Nacional de Alfabetización. Las principales tareas de la Dirección son:</w:t>
      </w:r>
    </w:p>
    <w:p w14:paraId="0F42C5B6" w14:textId="13109B2B" w:rsidR="00C619FA" w:rsidRPr="008253DC" w:rsidRDefault="00DB672D" w:rsidP="00DB672D">
      <w:pPr>
        <w:pStyle w:val="Bullet1G"/>
        <w:rPr>
          <w:lang w:val="es-ES_tradnl"/>
        </w:rPr>
      </w:pPr>
      <w:r w:rsidRPr="008253DC">
        <w:rPr>
          <w:lang w:val="es-ES_tradnl"/>
        </w:rPr>
        <w:t xml:space="preserve">Suministrar </w:t>
      </w:r>
      <w:r w:rsidR="00C619FA" w:rsidRPr="008253DC">
        <w:rPr>
          <w:lang w:val="es-ES_tradnl"/>
        </w:rPr>
        <w:t>material didáctico variado y de calidad a todos los escolares, de conformidad con el Plan Nacional de Estudios de Islandia</w:t>
      </w:r>
      <w:r w:rsidRPr="008253DC">
        <w:rPr>
          <w:lang w:val="es-ES_tradnl"/>
        </w:rPr>
        <w:t>.</w:t>
      </w:r>
    </w:p>
    <w:p w14:paraId="0FA789FF" w14:textId="2AC1B4D0" w:rsidR="00C619FA" w:rsidRPr="008253DC" w:rsidRDefault="00DB672D" w:rsidP="00DB672D">
      <w:pPr>
        <w:pStyle w:val="Bullet1G"/>
        <w:rPr>
          <w:lang w:val="es-ES_tradnl"/>
        </w:rPr>
      </w:pPr>
      <w:r w:rsidRPr="008253DC">
        <w:rPr>
          <w:lang w:val="es-ES_tradnl"/>
        </w:rPr>
        <w:t xml:space="preserve">Supervisar </w:t>
      </w:r>
      <w:r w:rsidR="00C619FA" w:rsidRPr="008253DC">
        <w:rPr>
          <w:lang w:val="es-ES_tradnl"/>
        </w:rPr>
        <w:t>y evaluar los progresos escolares; realizar exámenes coordinados a nivel nacional y estudios internacionales, como el Programa para la Evaluación Internacional de Alumnos (PISA)</w:t>
      </w:r>
      <w:r w:rsidRPr="008253DC">
        <w:rPr>
          <w:lang w:val="es-ES_tradnl"/>
        </w:rPr>
        <w:t>.</w:t>
      </w:r>
    </w:p>
    <w:p w14:paraId="2965BBED" w14:textId="08AAEC5C" w:rsidR="00C619FA" w:rsidRPr="008253DC" w:rsidRDefault="00DB672D" w:rsidP="00DB672D">
      <w:pPr>
        <w:pStyle w:val="Bullet1G"/>
        <w:rPr>
          <w:lang w:val="es-ES_tradnl"/>
        </w:rPr>
      </w:pPr>
      <w:r w:rsidRPr="008253DC">
        <w:rPr>
          <w:lang w:val="es-ES_tradnl"/>
        </w:rPr>
        <w:t>Reunir</w:t>
      </w:r>
      <w:r w:rsidR="00C619FA" w:rsidRPr="008253DC">
        <w:rPr>
          <w:lang w:val="es-ES_tradnl"/>
        </w:rPr>
        <w:t>, analizar y difundir información sobre la educación, y proporcionar información y orientación sobre cuestiones educativas a las autoridades educativas, los profesionales y el público en general</w:t>
      </w:r>
      <w:r w:rsidRPr="008253DC">
        <w:rPr>
          <w:lang w:val="es-ES_tradnl"/>
        </w:rPr>
        <w:t>.</w:t>
      </w:r>
    </w:p>
    <w:p w14:paraId="3EE74718" w14:textId="3AED1925" w:rsidR="00C619FA" w:rsidRPr="008253DC" w:rsidRDefault="00DB672D" w:rsidP="00DB672D">
      <w:pPr>
        <w:pStyle w:val="Bullet1G"/>
        <w:rPr>
          <w:lang w:val="es-ES_tradnl"/>
        </w:rPr>
      </w:pPr>
      <w:r w:rsidRPr="008253DC">
        <w:rPr>
          <w:lang w:val="es-ES_tradnl"/>
        </w:rPr>
        <w:t xml:space="preserve">Realizar </w:t>
      </w:r>
      <w:r w:rsidR="00C619FA" w:rsidRPr="008253DC">
        <w:rPr>
          <w:lang w:val="es-ES_tradnl"/>
        </w:rPr>
        <w:t>tareas administrativas relacionadas con la aplicación del plan nacional de estudios y la formación, la acreditación de las escuelas privadas, la concesión de licencias de magisterio y servicios para los estudiantes.</w:t>
      </w:r>
    </w:p>
    <w:p w14:paraId="499F2EF2" w14:textId="34EA6D9E" w:rsidR="00C619FA" w:rsidRPr="008253DC" w:rsidRDefault="00DB672D" w:rsidP="00DB672D">
      <w:pPr>
        <w:pStyle w:val="H23G"/>
        <w:rPr>
          <w:lang w:val="es-ES_tradnl"/>
        </w:rPr>
      </w:pPr>
      <w:r w:rsidRPr="008253DC">
        <w:rPr>
          <w:lang w:val="es-ES_tradnl"/>
        </w:rPr>
        <w:tab/>
      </w:r>
      <w:r w:rsidR="00C619FA" w:rsidRPr="008253DC">
        <w:rPr>
          <w:lang w:val="es-ES_tradnl"/>
        </w:rPr>
        <w:tab/>
        <w:t>Educación para Todos</w:t>
      </w:r>
    </w:p>
    <w:p w14:paraId="7AD8E1D6" w14:textId="336220F8" w:rsidR="00C619FA" w:rsidRPr="008253DC" w:rsidRDefault="00C619FA" w:rsidP="00C619FA">
      <w:pPr>
        <w:pStyle w:val="SingleTxtG"/>
        <w:rPr>
          <w:lang w:val="es-ES_tradnl"/>
        </w:rPr>
      </w:pPr>
      <w:r w:rsidRPr="008253DC">
        <w:rPr>
          <w:lang w:val="es-ES_tradnl"/>
        </w:rPr>
        <w:t>24.</w:t>
      </w:r>
      <w:r w:rsidRPr="008253DC">
        <w:rPr>
          <w:lang w:val="es-ES_tradnl"/>
        </w:rPr>
        <w:tab/>
        <w:t>En el otoño de 2018, el Ministro de Educación, Ciencia y Cultura puso en marcha el proceso de formulación de una nueva política educativa de Islandia, que estará en vigor hasta</w:t>
      </w:r>
      <w:r w:rsidR="00FA4F19" w:rsidRPr="008253DC">
        <w:rPr>
          <w:lang w:val="es-ES_tradnl"/>
        </w:rPr>
        <w:t> </w:t>
      </w:r>
      <w:r w:rsidRPr="008253DC">
        <w:rPr>
          <w:lang w:val="es-ES_tradnl"/>
        </w:rPr>
        <w:t>2030. En la política educativa se abordará y se dará prelación a los desafíos que enfrenta la sociedad islandesa en materia de educación y bienestar en relación con los Objetivos de Desarrollo Sostenible de las Naciones Unidas. La política abarca todos los niveles de educación, entre ellos, la formación de docentes. El objetivo es proporcionar acceso a una educación de calidad en todos los niveles, que de manera óptima satisfaga las necesidades de las personas, la sociedad y el sector empresarial, así como garantizar la excelencia del sistema de educación nacional, en el que los docentes desempeñan una función primordial. El Parlamento de Islandia aprobó la política integral en marzo de 2021.</w:t>
      </w:r>
    </w:p>
    <w:p w14:paraId="6D5CCC78" w14:textId="207C23B0" w:rsidR="00C619FA" w:rsidRPr="008253DC" w:rsidRDefault="00DB672D" w:rsidP="00DB672D">
      <w:pPr>
        <w:pStyle w:val="H23G"/>
        <w:rPr>
          <w:lang w:val="es-ES_tradnl"/>
        </w:rPr>
      </w:pPr>
      <w:r w:rsidRPr="008253DC">
        <w:rPr>
          <w:lang w:val="es-ES_tradnl"/>
        </w:rPr>
        <w:tab/>
      </w:r>
      <w:r w:rsidR="00C619FA" w:rsidRPr="008253DC">
        <w:rPr>
          <w:lang w:val="es-ES_tradnl"/>
        </w:rPr>
        <w:tab/>
        <w:t>Tasas de alfabetización</w:t>
      </w:r>
    </w:p>
    <w:p w14:paraId="1C1D1002" w14:textId="77777777" w:rsidR="00C619FA" w:rsidRPr="008253DC" w:rsidRDefault="00C619FA" w:rsidP="00C619FA">
      <w:pPr>
        <w:pStyle w:val="SingleTxtG"/>
        <w:rPr>
          <w:lang w:val="es-ES_tradnl"/>
        </w:rPr>
      </w:pPr>
      <w:r w:rsidRPr="008253DC">
        <w:rPr>
          <w:lang w:val="es-ES_tradnl"/>
        </w:rPr>
        <w:t>25.</w:t>
      </w:r>
      <w:r w:rsidRPr="008253DC">
        <w:rPr>
          <w:lang w:val="es-ES_tradnl"/>
        </w:rPr>
        <w:tab/>
        <w:t>Todos los niños de 6 a 16 años de edad residentes en Islandia tienen la obligación de asistir a la escuela y de aprender a hablar y a leer el islandés. Los estudiantes inmigrantes en las escuelas de enseñanza obligatoria y de secundaria superior tienen derecho a clases del idioma islandés. La alfabetización es primordial para otros estudios y es uno de los pilares fundamentales de la educación, de conformidad con el Plan Nacional de Estudios de 2011, en el que se hace especial hincapié en la escritura y en la lectura. En la prueba de lectura del PISA, de 2018, el 90 % de los alumnos de 15 años de edad obtuvo una calificación superior al nivel de competencia más bajo en lectura, comparado con una media del 93 % en los países de la OCDE.</w:t>
      </w:r>
    </w:p>
    <w:p w14:paraId="21FBCC4F" w14:textId="0EE3E2C1" w:rsidR="00C619FA" w:rsidRPr="008253DC" w:rsidRDefault="00C619FA" w:rsidP="00C619FA">
      <w:pPr>
        <w:pStyle w:val="SingleTxtG"/>
        <w:rPr>
          <w:lang w:val="es-ES_tradnl"/>
        </w:rPr>
      </w:pPr>
      <w:r w:rsidRPr="008253DC">
        <w:rPr>
          <w:lang w:val="es-ES_tradnl"/>
        </w:rPr>
        <w:t>26.</w:t>
      </w:r>
      <w:r w:rsidRPr="008253DC">
        <w:rPr>
          <w:lang w:val="es-ES_tradnl"/>
        </w:rPr>
        <w:tab/>
        <w:t>Al calificar la lectura, tema principal del PISA en 2018, en Islandia los alumnos de 15</w:t>
      </w:r>
      <w:r w:rsidR="00FA4F19" w:rsidRPr="008253DC">
        <w:rPr>
          <w:lang w:val="es-ES_tradnl"/>
        </w:rPr>
        <w:t> </w:t>
      </w:r>
      <w:r w:rsidRPr="008253DC">
        <w:rPr>
          <w:lang w:val="es-ES_tradnl"/>
        </w:rPr>
        <w:t>años de edad obtienen 474 puntos, comparado con una media de 487 puntos en los países de la OCDE. Las niñas obtienen mejores resultados que los niños, con una diferencia estadísticamente significativa de 41 puntos (la media de la OCDE es 30 puntos más alta en el caso de las niñas).</w:t>
      </w:r>
    </w:p>
    <w:p w14:paraId="53D9B349" w14:textId="351B3696" w:rsidR="00C619FA" w:rsidRPr="008253DC" w:rsidRDefault="00C619FA" w:rsidP="00C619FA">
      <w:pPr>
        <w:pStyle w:val="SingleTxtG"/>
        <w:rPr>
          <w:lang w:val="es-ES_tradnl"/>
        </w:rPr>
      </w:pPr>
      <w:r w:rsidRPr="008253DC">
        <w:rPr>
          <w:lang w:val="es-ES_tradnl"/>
        </w:rPr>
        <w:t>27.</w:t>
      </w:r>
      <w:r w:rsidRPr="008253DC">
        <w:rPr>
          <w:lang w:val="es-ES_tradnl"/>
        </w:rPr>
        <w:tab/>
        <w:t>En promedio, los alumnos de 15 años de edad obtienen 495 puntos en matemáticas, comparado con una media de 489 puntos en los países de la OCDE. Las niñas obtienen mejores resultados que los niños, con una diferencia estadísticamente significativa de 10</w:t>
      </w:r>
      <w:r w:rsidR="00FA4F19" w:rsidRPr="008253DC">
        <w:rPr>
          <w:lang w:val="es-ES_tradnl"/>
        </w:rPr>
        <w:t> </w:t>
      </w:r>
      <w:r w:rsidRPr="008253DC">
        <w:rPr>
          <w:lang w:val="es-ES_tradnl"/>
        </w:rPr>
        <w:t>puntos (la media de la OCDE es 5 puntos más alta en el caso de los niños).</w:t>
      </w:r>
    </w:p>
    <w:p w14:paraId="61BFE763" w14:textId="77777777" w:rsidR="00C619FA" w:rsidRPr="008253DC" w:rsidRDefault="00C619FA" w:rsidP="00C619FA">
      <w:pPr>
        <w:pStyle w:val="SingleTxtG"/>
        <w:rPr>
          <w:lang w:val="es-ES_tradnl"/>
        </w:rPr>
      </w:pPr>
      <w:r w:rsidRPr="008253DC">
        <w:rPr>
          <w:lang w:val="es-ES_tradnl"/>
        </w:rPr>
        <w:lastRenderedPageBreak/>
        <w:t>28.</w:t>
      </w:r>
      <w:r w:rsidRPr="008253DC">
        <w:rPr>
          <w:lang w:val="es-ES_tradnl"/>
        </w:rPr>
        <w:tab/>
        <w:t>En Islandia, el desempeño promedio en ciencias de los alumnos de 15 años de edad es 475 puntos, comparado con una media de 489 puntos en los países de la OCDE. Las niñas obtienen mejores resultados que los niños, con una diferencia estadísticamente significativa de 8 puntos (la media de la OCDE es 2 puntos más alta en el caso de las niñas).</w:t>
      </w:r>
    </w:p>
    <w:p w14:paraId="1A1CA213" w14:textId="5571CFE2" w:rsidR="00C619FA" w:rsidRPr="008253DC" w:rsidRDefault="00DB672D" w:rsidP="00DB672D">
      <w:pPr>
        <w:pStyle w:val="H23G"/>
        <w:rPr>
          <w:lang w:val="es-ES_tradnl"/>
        </w:rPr>
      </w:pPr>
      <w:r w:rsidRPr="008253DC">
        <w:rPr>
          <w:lang w:val="es-ES_tradnl"/>
        </w:rPr>
        <w:tab/>
      </w:r>
      <w:r w:rsidR="00C619FA" w:rsidRPr="008253DC">
        <w:rPr>
          <w:lang w:val="es-ES_tradnl"/>
        </w:rPr>
        <w:tab/>
        <w:t>Número de alumnos por docente en las escuelas financiadas con fondos públicos</w:t>
      </w:r>
    </w:p>
    <w:p w14:paraId="578275F6" w14:textId="77C6EE1E" w:rsidR="00C619FA" w:rsidRPr="008253DC" w:rsidRDefault="00C619FA" w:rsidP="00C619FA">
      <w:pPr>
        <w:pStyle w:val="SingleTxtG"/>
        <w:rPr>
          <w:lang w:val="es-ES_tradnl"/>
        </w:rPr>
      </w:pPr>
      <w:r w:rsidRPr="008253DC">
        <w:rPr>
          <w:lang w:val="es-ES_tradnl"/>
        </w:rPr>
        <w:t>29.</w:t>
      </w:r>
      <w:r w:rsidRPr="008253DC">
        <w:rPr>
          <w:lang w:val="es-ES_tradnl"/>
        </w:rPr>
        <w:tab/>
        <w:t>En 2017, el número de alumnos por docente en la educación preescolar en Islandia fue de 6:1 y, en la educación primaria, de 9:1.</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DB672D" w:rsidRPr="008253DC" w14:paraId="435D2701" w14:textId="77777777" w:rsidTr="00DB672D">
        <w:tc>
          <w:tcPr>
            <w:tcW w:w="7370" w:type="dxa"/>
            <w:gridSpan w:val="2"/>
            <w:tcBorders>
              <w:top w:val="single" w:sz="4" w:space="0" w:color="auto"/>
              <w:bottom w:val="single" w:sz="12" w:space="0" w:color="auto"/>
            </w:tcBorders>
            <w:shd w:val="clear" w:color="auto" w:fill="auto"/>
            <w:vAlign w:val="bottom"/>
          </w:tcPr>
          <w:p w14:paraId="34372A43" w14:textId="246A3B33" w:rsidR="00DB672D" w:rsidRPr="008253DC" w:rsidRDefault="00DB672D" w:rsidP="00DB672D">
            <w:pPr>
              <w:pStyle w:val="SingleTxtG"/>
              <w:spacing w:before="80" w:after="80" w:line="200" w:lineRule="exact"/>
              <w:ind w:left="0" w:right="0"/>
              <w:jc w:val="left"/>
              <w:rPr>
                <w:i/>
                <w:sz w:val="16"/>
                <w:lang w:val="es-ES_tradnl"/>
              </w:rPr>
            </w:pPr>
            <w:r w:rsidRPr="008253DC">
              <w:rPr>
                <w:i/>
                <w:sz w:val="16"/>
                <w:lang w:val="es-ES_tradnl"/>
              </w:rPr>
              <w:t>Número de alumnos por docente en las escuelas primarias</w:t>
            </w:r>
          </w:p>
        </w:tc>
      </w:tr>
      <w:tr w:rsidR="00DB672D" w:rsidRPr="008253DC" w14:paraId="31045CBB" w14:textId="77777777" w:rsidTr="00DB672D">
        <w:tc>
          <w:tcPr>
            <w:tcW w:w="3685" w:type="dxa"/>
            <w:tcBorders>
              <w:top w:val="single" w:sz="12" w:space="0" w:color="auto"/>
            </w:tcBorders>
            <w:shd w:val="clear" w:color="auto" w:fill="auto"/>
          </w:tcPr>
          <w:p w14:paraId="67AE22F5" w14:textId="47C5B493" w:rsidR="00DB672D" w:rsidRPr="008253DC" w:rsidRDefault="00DB672D" w:rsidP="00DB672D">
            <w:pPr>
              <w:pStyle w:val="SingleTxtG"/>
              <w:spacing w:before="40" w:after="40" w:line="220" w:lineRule="exact"/>
              <w:ind w:left="0" w:right="0"/>
              <w:jc w:val="left"/>
              <w:rPr>
                <w:sz w:val="18"/>
                <w:lang w:val="es-ES_tradnl"/>
              </w:rPr>
            </w:pPr>
            <w:r w:rsidRPr="008253DC">
              <w:rPr>
                <w:sz w:val="18"/>
                <w:lang w:val="es-ES_tradnl"/>
              </w:rPr>
              <w:t>2013</w:t>
            </w:r>
          </w:p>
        </w:tc>
        <w:tc>
          <w:tcPr>
            <w:tcW w:w="3685" w:type="dxa"/>
            <w:tcBorders>
              <w:top w:val="single" w:sz="12" w:space="0" w:color="auto"/>
            </w:tcBorders>
            <w:shd w:val="clear" w:color="auto" w:fill="auto"/>
          </w:tcPr>
          <w:p w14:paraId="1E8009CA" w14:textId="06AD3D14" w:rsidR="00DB672D" w:rsidRPr="008253DC" w:rsidRDefault="00DB672D" w:rsidP="00DB672D">
            <w:pPr>
              <w:pStyle w:val="SingleTxtG"/>
              <w:spacing w:before="40" w:after="40" w:line="220" w:lineRule="exact"/>
              <w:ind w:left="57" w:right="28"/>
              <w:jc w:val="right"/>
              <w:rPr>
                <w:sz w:val="18"/>
                <w:lang w:val="es-ES_tradnl"/>
              </w:rPr>
            </w:pPr>
            <w:r w:rsidRPr="008253DC">
              <w:rPr>
                <w:sz w:val="18"/>
                <w:lang w:val="es-ES_tradnl"/>
              </w:rPr>
              <w:t>10</w:t>
            </w:r>
          </w:p>
        </w:tc>
      </w:tr>
      <w:tr w:rsidR="00DB672D" w:rsidRPr="008253DC" w14:paraId="36BB6470" w14:textId="77777777" w:rsidTr="00DB672D">
        <w:tc>
          <w:tcPr>
            <w:tcW w:w="3685" w:type="dxa"/>
            <w:shd w:val="clear" w:color="auto" w:fill="auto"/>
          </w:tcPr>
          <w:p w14:paraId="0F663D51" w14:textId="3F0CDB4B" w:rsidR="00DB672D" w:rsidRPr="008253DC" w:rsidRDefault="00DB672D" w:rsidP="00DB672D">
            <w:pPr>
              <w:pStyle w:val="SingleTxtG"/>
              <w:spacing w:before="40" w:after="40" w:line="220" w:lineRule="exact"/>
              <w:ind w:left="0" w:right="0"/>
              <w:jc w:val="left"/>
              <w:rPr>
                <w:sz w:val="18"/>
                <w:lang w:val="es-ES_tradnl"/>
              </w:rPr>
            </w:pPr>
            <w:r w:rsidRPr="008253DC">
              <w:rPr>
                <w:sz w:val="18"/>
                <w:lang w:val="es-ES_tradnl"/>
              </w:rPr>
              <w:t>2014</w:t>
            </w:r>
          </w:p>
        </w:tc>
        <w:tc>
          <w:tcPr>
            <w:tcW w:w="3685" w:type="dxa"/>
            <w:shd w:val="clear" w:color="auto" w:fill="auto"/>
          </w:tcPr>
          <w:p w14:paraId="604AF58F" w14:textId="6B459A78" w:rsidR="00DB672D" w:rsidRPr="008253DC" w:rsidRDefault="00DB672D" w:rsidP="00DB672D">
            <w:pPr>
              <w:pStyle w:val="SingleTxtG"/>
              <w:spacing w:before="40" w:after="40" w:line="220" w:lineRule="exact"/>
              <w:ind w:left="57" w:right="28"/>
              <w:jc w:val="right"/>
              <w:rPr>
                <w:sz w:val="18"/>
                <w:lang w:val="es-ES_tradnl"/>
              </w:rPr>
            </w:pPr>
            <w:r w:rsidRPr="008253DC">
              <w:rPr>
                <w:sz w:val="18"/>
                <w:lang w:val="es-ES_tradnl"/>
              </w:rPr>
              <w:t>10</w:t>
            </w:r>
          </w:p>
        </w:tc>
      </w:tr>
      <w:tr w:rsidR="00DB672D" w:rsidRPr="008253DC" w14:paraId="7031125D" w14:textId="77777777" w:rsidTr="00DB672D">
        <w:tc>
          <w:tcPr>
            <w:tcW w:w="3685" w:type="dxa"/>
            <w:shd w:val="clear" w:color="auto" w:fill="auto"/>
          </w:tcPr>
          <w:p w14:paraId="4E08EF55" w14:textId="6843DFB5" w:rsidR="00DB672D" w:rsidRPr="008253DC" w:rsidRDefault="00DB672D" w:rsidP="00DB672D">
            <w:pPr>
              <w:pStyle w:val="SingleTxtG"/>
              <w:spacing w:before="40" w:after="40" w:line="220" w:lineRule="exact"/>
              <w:ind w:left="0" w:right="0"/>
              <w:jc w:val="left"/>
              <w:rPr>
                <w:sz w:val="18"/>
                <w:lang w:val="es-ES_tradnl"/>
              </w:rPr>
            </w:pPr>
            <w:r w:rsidRPr="008253DC">
              <w:rPr>
                <w:sz w:val="18"/>
                <w:lang w:val="es-ES_tradnl"/>
              </w:rPr>
              <w:t>2015</w:t>
            </w:r>
          </w:p>
        </w:tc>
        <w:tc>
          <w:tcPr>
            <w:tcW w:w="3685" w:type="dxa"/>
            <w:shd w:val="clear" w:color="auto" w:fill="auto"/>
          </w:tcPr>
          <w:p w14:paraId="47D27721" w14:textId="0EEA152C" w:rsidR="00DB672D" w:rsidRPr="008253DC" w:rsidRDefault="00DB672D" w:rsidP="00DB672D">
            <w:pPr>
              <w:pStyle w:val="SingleTxtG"/>
              <w:spacing w:before="40" w:after="40" w:line="220" w:lineRule="exact"/>
              <w:ind w:left="57" w:right="28"/>
              <w:jc w:val="right"/>
              <w:rPr>
                <w:sz w:val="18"/>
                <w:lang w:val="es-ES_tradnl"/>
              </w:rPr>
            </w:pPr>
            <w:r w:rsidRPr="008253DC">
              <w:rPr>
                <w:sz w:val="18"/>
                <w:lang w:val="es-ES_tradnl"/>
              </w:rPr>
              <w:t>10</w:t>
            </w:r>
          </w:p>
        </w:tc>
      </w:tr>
      <w:tr w:rsidR="00DB672D" w:rsidRPr="008253DC" w14:paraId="611C3CF7" w14:textId="77777777" w:rsidTr="00DB672D">
        <w:tc>
          <w:tcPr>
            <w:tcW w:w="3685" w:type="dxa"/>
            <w:shd w:val="clear" w:color="auto" w:fill="auto"/>
          </w:tcPr>
          <w:p w14:paraId="259A70C6" w14:textId="453AFA79" w:rsidR="00DB672D" w:rsidRPr="008253DC" w:rsidRDefault="00DB672D" w:rsidP="00DB672D">
            <w:pPr>
              <w:pStyle w:val="SingleTxtG"/>
              <w:spacing w:before="40" w:after="40" w:line="220" w:lineRule="exact"/>
              <w:ind w:left="0" w:right="0"/>
              <w:jc w:val="left"/>
              <w:rPr>
                <w:sz w:val="18"/>
                <w:lang w:val="es-ES_tradnl"/>
              </w:rPr>
            </w:pPr>
            <w:r w:rsidRPr="008253DC">
              <w:rPr>
                <w:sz w:val="18"/>
                <w:lang w:val="es-ES_tradnl"/>
              </w:rPr>
              <w:t>2016</w:t>
            </w:r>
          </w:p>
        </w:tc>
        <w:tc>
          <w:tcPr>
            <w:tcW w:w="3685" w:type="dxa"/>
            <w:shd w:val="clear" w:color="auto" w:fill="auto"/>
          </w:tcPr>
          <w:p w14:paraId="30E5207E" w14:textId="02A7C45C" w:rsidR="00DB672D" w:rsidRPr="008253DC" w:rsidRDefault="00DB672D" w:rsidP="00DB672D">
            <w:pPr>
              <w:pStyle w:val="SingleTxtG"/>
              <w:spacing w:before="40" w:after="40" w:line="220" w:lineRule="exact"/>
              <w:ind w:left="57" w:right="28"/>
              <w:jc w:val="right"/>
              <w:rPr>
                <w:sz w:val="18"/>
                <w:lang w:val="es-ES_tradnl"/>
              </w:rPr>
            </w:pPr>
            <w:r w:rsidRPr="008253DC">
              <w:rPr>
                <w:sz w:val="18"/>
                <w:lang w:val="es-ES_tradnl"/>
              </w:rPr>
              <w:t>10</w:t>
            </w:r>
          </w:p>
        </w:tc>
      </w:tr>
      <w:tr w:rsidR="00DB672D" w:rsidRPr="008253DC" w14:paraId="7CC88ABB" w14:textId="77777777" w:rsidTr="00DB672D">
        <w:tc>
          <w:tcPr>
            <w:tcW w:w="3685" w:type="dxa"/>
            <w:tcBorders>
              <w:bottom w:val="single" w:sz="12" w:space="0" w:color="auto"/>
            </w:tcBorders>
            <w:shd w:val="clear" w:color="auto" w:fill="auto"/>
          </w:tcPr>
          <w:p w14:paraId="135BBC9B" w14:textId="7924AD13" w:rsidR="00DB672D" w:rsidRPr="008253DC" w:rsidRDefault="00DB672D" w:rsidP="00DB672D">
            <w:pPr>
              <w:pStyle w:val="SingleTxtG"/>
              <w:spacing w:before="40" w:after="40" w:line="220" w:lineRule="exact"/>
              <w:ind w:left="0" w:right="0"/>
              <w:jc w:val="left"/>
              <w:rPr>
                <w:sz w:val="18"/>
                <w:lang w:val="es-ES_tradnl"/>
              </w:rPr>
            </w:pPr>
            <w:r w:rsidRPr="008253DC">
              <w:rPr>
                <w:sz w:val="18"/>
                <w:lang w:val="es-ES_tradnl"/>
              </w:rPr>
              <w:t>2017</w:t>
            </w:r>
          </w:p>
        </w:tc>
        <w:tc>
          <w:tcPr>
            <w:tcW w:w="3685" w:type="dxa"/>
            <w:tcBorders>
              <w:bottom w:val="single" w:sz="12" w:space="0" w:color="auto"/>
            </w:tcBorders>
            <w:shd w:val="clear" w:color="auto" w:fill="auto"/>
          </w:tcPr>
          <w:p w14:paraId="415F36DD" w14:textId="0F109FD4" w:rsidR="00DB672D" w:rsidRPr="008253DC" w:rsidRDefault="00DB672D" w:rsidP="00DB672D">
            <w:pPr>
              <w:pStyle w:val="SingleTxtG"/>
              <w:spacing w:before="40" w:after="40" w:line="220" w:lineRule="exact"/>
              <w:ind w:left="57" w:right="28"/>
              <w:jc w:val="right"/>
              <w:rPr>
                <w:sz w:val="18"/>
                <w:lang w:val="es-ES_tradnl"/>
              </w:rPr>
            </w:pPr>
            <w:r w:rsidRPr="008253DC">
              <w:rPr>
                <w:sz w:val="18"/>
                <w:lang w:val="es-ES_tradnl"/>
              </w:rPr>
              <w:t>9</w:t>
            </w:r>
          </w:p>
        </w:tc>
      </w:tr>
    </w:tbl>
    <w:p w14:paraId="28A7E6EF" w14:textId="0BD03E0B" w:rsidR="00C619FA" w:rsidRPr="008253DC" w:rsidRDefault="00DB672D" w:rsidP="00DB672D">
      <w:pPr>
        <w:pStyle w:val="H23G"/>
        <w:rPr>
          <w:lang w:val="es-ES_tradnl"/>
        </w:rPr>
      </w:pPr>
      <w:r w:rsidRPr="008253DC">
        <w:rPr>
          <w:lang w:val="es-ES_tradnl"/>
        </w:rPr>
        <w:tab/>
      </w:r>
      <w:r w:rsidR="00C619FA" w:rsidRPr="008253DC">
        <w:rPr>
          <w:lang w:val="es-ES_tradnl"/>
        </w:rPr>
        <w:tab/>
        <w:t>Magisterio y escasez de maestros</w:t>
      </w:r>
    </w:p>
    <w:p w14:paraId="4C53210F" w14:textId="77777777" w:rsidR="00C619FA" w:rsidRPr="008253DC" w:rsidRDefault="00C619FA" w:rsidP="00C619FA">
      <w:pPr>
        <w:pStyle w:val="SingleTxtG"/>
        <w:rPr>
          <w:lang w:val="es-ES_tradnl"/>
        </w:rPr>
      </w:pPr>
      <w:r w:rsidRPr="008253DC">
        <w:rPr>
          <w:lang w:val="es-ES_tradnl"/>
        </w:rPr>
        <w:t>30.</w:t>
      </w:r>
      <w:r w:rsidRPr="008253DC">
        <w:rPr>
          <w:lang w:val="es-ES_tradnl"/>
        </w:rPr>
        <w:tab/>
        <w:t>En Islandia, la escasez de docentes es previsible cada año en todos los niveles de educación, la cual se ha procurado subsanar por medio de una amplia cooperación entre el Estado, las autoridades locales, los sindicatos de docentes y las instituciones de formación de docentes. El Gobierno de Islandia ha hecho frente a la inminente escasez de maestros con medidas específicas destinadas a aumentar el número de alumnos en la formación de docentes, animando a los egresados a trabajar en el sistema educativo y promoviendo el apoyo a futuros profesionales en la docencia. El número de estudiantes universitarios que empezó la formación pedagógica de la educación preescolar y obligatoria disminuyó en un 40 %, en el período 2008-2018, y en 2018, solamente cerca del 28 % de los puestos de trabajo equivalentes a tiempo completo en los establecimientos de enseñanza preescolar en el país los ocupaban maestros de la enseñanza preescolar. El número de instructores (sin formación pedagógica) en las escuelas de enseñanza obligatoria también ha aumentado considerablemente en los últimos años. A consecuencia de las medidas adoptadas por el Gobierno, por ejemplo, a partir del otoño de 2019, se han ofrecido pasantías remuneradas y becas de estudios a los alumnos del último año del programa de maestría en formación pedagógica de educación preescolar y obligatoria. La Ley de Formación y Contratación de Docentes y Directores de Escuelas de la Educación Preescolar, Educación Obligatoria y Educación Secundaria Superior, de 2019, recalca, entre otras cosas, la competencia y flexibilidad en el trabajo de los docentes en todos los niveles escolares. En la actualidad, se está revisando el sistema de apoyo al perfeccionamiento profesional de los docentes en todos los niveles escolares.</w:t>
      </w:r>
    </w:p>
    <w:p w14:paraId="2C282C2B" w14:textId="77777777" w:rsidR="00C619FA" w:rsidRPr="008253DC" w:rsidRDefault="00C619FA" w:rsidP="00DB672D">
      <w:pPr>
        <w:pStyle w:val="H23G"/>
        <w:rPr>
          <w:lang w:val="es-ES_tradnl"/>
        </w:rPr>
      </w:pPr>
      <w:r w:rsidRPr="008253DC">
        <w:rPr>
          <w:lang w:val="es-ES_tradnl"/>
        </w:rPr>
        <w:tab/>
        <w:t>7.</w:t>
      </w:r>
      <w:r w:rsidRPr="008253DC">
        <w:rPr>
          <w:lang w:val="es-ES_tradnl"/>
        </w:rPr>
        <w:tab/>
        <w:t>Empleo</w:t>
      </w:r>
    </w:p>
    <w:p w14:paraId="1C3340CB" w14:textId="77777777" w:rsidR="00C619FA" w:rsidRPr="008253DC" w:rsidRDefault="00C619FA" w:rsidP="00C619FA">
      <w:pPr>
        <w:pStyle w:val="SingleTxtG"/>
        <w:rPr>
          <w:lang w:val="es-ES_tradnl"/>
        </w:rPr>
      </w:pPr>
      <w:r w:rsidRPr="008253DC">
        <w:rPr>
          <w:lang w:val="es-ES_tradnl"/>
        </w:rPr>
        <w:t>31.</w:t>
      </w:r>
      <w:r w:rsidRPr="008253DC">
        <w:rPr>
          <w:lang w:val="es-ES_tradnl"/>
        </w:rPr>
        <w:tab/>
        <w:t>Tras el colapso de los bancos islandeses durante la crisis económica de 2008, el PIB de Islandia disminuyó en aproximadamente un 10 % en 2009 y en 2010; la moneda nacional (corona) se depreció prácticamente un 50 % y la tasa de desempleo se cuadriplicó con creces y alcanzó su nivel máximo en 2009.</w:t>
      </w:r>
    </w:p>
    <w:p w14:paraId="7549770C" w14:textId="5755961D" w:rsidR="00C619FA" w:rsidRPr="008253DC" w:rsidRDefault="00C619FA" w:rsidP="00C619FA">
      <w:pPr>
        <w:pStyle w:val="SingleTxtG"/>
        <w:rPr>
          <w:lang w:val="es-ES_tradnl"/>
        </w:rPr>
      </w:pPr>
      <w:r w:rsidRPr="008253DC">
        <w:rPr>
          <w:lang w:val="es-ES_tradnl"/>
        </w:rPr>
        <w:t>32.</w:t>
      </w:r>
      <w:r w:rsidRPr="008253DC">
        <w:rPr>
          <w:lang w:val="es-ES_tradnl"/>
        </w:rPr>
        <w:tab/>
        <w:t>En el cuadro que figura a continuación se indican las tasas de desempleo mensuales en el mes de junio de todos los años para el período 2006-2018. El aumento temporal del desempleo registrado después de 2008 obedeció a la crisis financiera que sufrió Islandia ese año.</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2"/>
        <w:gridCol w:w="1842"/>
        <w:gridCol w:w="1843"/>
        <w:gridCol w:w="1843"/>
      </w:tblGrid>
      <w:tr w:rsidR="00C619FA" w:rsidRPr="008253DC" w14:paraId="74FC1505" w14:textId="77777777" w:rsidTr="00DB672D">
        <w:trPr>
          <w:trHeight w:val="240"/>
          <w:tblHeader/>
        </w:trPr>
        <w:tc>
          <w:tcPr>
            <w:tcW w:w="2336" w:type="dxa"/>
            <w:tcBorders>
              <w:top w:val="single" w:sz="4" w:space="0" w:color="auto"/>
              <w:bottom w:val="single" w:sz="12" w:space="0" w:color="auto"/>
            </w:tcBorders>
            <w:shd w:val="clear" w:color="auto" w:fill="auto"/>
            <w:vAlign w:val="bottom"/>
          </w:tcPr>
          <w:p w14:paraId="1E68F641" w14:textId="77777777" w:rsidR="00C619FA" w:rsidRPr="008253DC" w:rsidRDefault="00C619FA" w:rsidP="00DB672D">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Año</w:t>
            </w:r>
          </w:p>
        </w:tc>
        <w:tc>
          <w:tcPr>
            <w:tcW w:w="2336" w:type="dxa"/>
            <w:tcBorders>
              <w:top w:val="single" w:sz="4" w:space="0" w:color="auto"/>
              <w:bottom w:val="single" w:sz="12" w:space="0" w:color="auto"/>
            </w:tcBorders>
            <w:shd w:val="clear" w:color="auto" w:fill="auto"/>
            <w:vAlign w:val="bottom"/>
          </w:tcPr>
          <w:p w14:paraId="3BBBEEDC" w14:textId="77777777" w:rsidR="00C619FA" w:rsidRPr="008253DC" w:rsidRDefault="00C619FA" w:rsidP="00DB672D">
            <w:pPr>
              <w:pStyle w:val="SingleTxtG"/>
              <w:tabs>
                <w:tab w:val="clear" w:pos="1701"/>
                <w:tab w:val="clear" w:pos="2268"/>
                <w:tab w:val="clear" w:pos="2835"/>
              </w:tabs>
              <w:spacing w:before="80" w:after="80" w:line="200" w:lineRule="exact"/>
              <w:ind w:left="57" w:right="28"/>
              <w:jc w:val="right"/>
              <w:rPr>
                <w:i/>
                <w:sz w:val="16"/>
                <w:lang w:val="es-ES_tradnl"/>
              </w:rPr>
            </w:pPr>
            <w:r w:rsidRPr="008253DC">
              <w:rPr>
                <w:i/>
                <w:iCs/>
                <w:sz w:val="16"/>
                <w:lang w:val="es-ES_tradnl"/>
              </w:rPr>
              <w:t>Total</w:t>
            </w:r>
          </w:p>
        </w:tc>
        <w:tc>
          <w:tcPr>
            <w:tcW w:w="2337" w:type="dxa"/>
            <w:tcBorders>
              <w:top w:val="single" w:sz="4" w:space="0" w:color="auto"/>
              <w:bottom w:val="single" w:sz="12" w:space="0" w:color="auto"/>
            </w:tcBorders>
            <w:shd w:val="clear" w:color="auto" w:fill="auto"/>
            <w:vAlign w:val="bottom"/>
          </w:tcPr>
          <w:p w14:paraId="33C74032" w14:textId="77777777" w:rsidR="00C619FA" w:rsidRPr="008253DC" w:rsidRDefault="00C619FA" w:rsidP="00DB672D">
            <w:pPr>
              <w:pStyle w:val="SingleTxtG"/>
              <w:tabs>
                <w:tab w:val="clear" w:pos="1701"/>
                <w:tab w:val="clear" w:pos="2268"/>
                <w:tab w:val="clear" w:pos="2835"/>
              </w:tabs>
              <w:spacing w:before="80" w:after="80" w:line="200" w:lineRule="exact"/>
              <w:ind w:left="57" w:right="28"/>
              <w:jc w:val="right"/>
              <w:rPr>
                <w:i/>
                <w:sz w:val="16"/>
                <w:lang w:val="es-ES_tradnl"/>
              </w:rPr>
            </w:pPr>
            <w:r w:rsidRPr="008253DC">
              <w:rPr>
                <w:i/>
                <w:iCs/>
                <w:sz w:val="16"/>
                <w:lang w:val="es-ES_tradnl"/>
              </w:rPr>
              <w:t>Hombres</w:t>
            </w:r>
          </w:p>
        </w:tc>
        <w:tc>
          <w:tcPr>
            <w:tcW w:w="2337" w:type="dxa"/>
            <w:tcBorders>
              <w:top w:val="single" w:sz="4" w:space="0" w:color="auto"/>
              <w:bottom w:val="single" w:sz="12" w:space="0" w:color="auto"/>
            </w:tcBorders>
            <w:shd w:val="clear" w:color="auto" w:fill="auto"/>
            <w:vAlign w:val="bottom"/>
          </w:tcPr>
          <w:p w14:paraId="7DF68292" w14:textId="77777777" w:rsidR="00C619FA" w:rsidRPr="008253DC" w:rsidRDefault="00C619FA" w:rsidP="00DB672D">
            <w:pPr>
              <w:pStyle w:val="SingleTxtG"/>
              <w:tabs>
                <w:tab w:val="clear" w:pos="1701"/>
                <w:tab w:val="clear" w:pos="2268"/>
                <w:tab w:val="clear" w:pos="2835"/>
              </w:tabs>
              <w:spacing w:before="80" w:after="80" w:line="200" w:lineRule="exact"/>
              <w:ind w:left="57" w:right="28"/>
              <w:jc w:val="right"/>
              <w:rPr>
                <w:i/>
                <w:sz w:val="16"/>
                <w:lang w:val="es-ES_tradnl"/>
              </w:rPr>
            </w:pPr>
            <w:r w:rsidRPr="008253DC">
              <w:rPr>
                <w:i/>
                <w:iCs/>
                <w:sz w:val="16"/>
                <w:lang w:val="es-ES_tradnl"/>
              </w:rPr>
              <w:t>Mujeres</w:t>
            </w:r>
          </w:p>
        </w:tc>
      </w:tr>
      <w:tr w:rsidR="00C619FA" w:rsidRPr="008253DC" w14:paraId="1B0B5460" w14:textId="77777777" w:rsidTr="00DB672D">
        <w:trPr>
          <w:trHeight w:val="240"/>
        </w:trPr>
        <w:tc>
          <w:tcPr>
            <w:tcW w:w="2336" w:type="dxa"/>
            <w:tcBorders>
              <w:top w:val="single" w:sz="12" w:space="0" w:color="auto"/>
            </w:tcBorders>
            <w:shd w:val="clear" w:color="auto" w:fill="auto"/>
          </w:tcPr>
          <w:p w14:paraId="05BF55EF"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2006</w:t>
            </w:r>
          </w:p>
        </w:tc>
        <w:tc>
          <w:tcPr>
            <w:tcW w:w="2336" w:type="dxa"/>
            <w:tcBorders>
              <w:top w:val="single" w:sz="12" w:space="0" w:color="auto"/>
            </w:tcBorders>
            <w:shd w:val="clear" w:color="auto" w:fill="auto"/>
            <w:vAlign w:val="bottom"/>
          </w:tcPr>
          <w:p w14:paraId="185061B5"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2,9</w:t>
            </w:r>
          </w:p>
        </w:tc>
        <w:tc>
          <w:tcPr>
            <w:tcW w:w="2337" w:type="dxa"/>
            <w:tcBorders>
              <w:top w:val="single" w:sz="12" w:space="0" w:color="auto"/>
            </w:tcBorders>
            <w:shd w:val="clear" w:color="auto" w:fill="auto"/>
            <w:vAlign w:val="bottom"/>
          </w:tcPr>
          <w:p w14:paraId="5EC112DA"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2,3</w:t>
            </w:r>
          </w:p>
        </w:tc>
        <w:tc>
          <w:tcPr>
            <w:tcW w:w="2337" w:type="dxa"/>
            <w:tcBorders>
              <w:top w:val="single" w:sz="12" w:space="0" w:color="auto"/>
            </w:tcBorders>
            <w:shd w:val="clear" w:color="auto" w:fill="auto"/>
            <w:vAlign w:val="bottom"/>
          </w:tcPr>
          <w:p w14:paraId="2FFD1495"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3,5</w:t>
            </w:r>
          </w:p>
        </w:tc>
      </w:tr>
      <w:tr w:rsidR="00C619FA" w:rsidRPr="008253DC" w14:paraId="076D5B8F" w14:textId="77777777" w:rsidTr="00DB672D">
        <w:trPr>
          <w:trHeight w:val="240"/>
        </w:trPr>
        <w:tc>
          <w:tcPr>
            <w:tcW w:w="2336" w:type="dxa"/>
            <w:shd w:val="clear" w:color="auto" w:fill="auto"/>
          </w:tcPr>
          <w:p w14:paraId="1CB09BDA"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2007</w:t>
            </w:r>
          </w:p>
        </w:tc>
        <w:tc>
          <w:tcPr>
            <w:tcW w:w="2336" w:type="dxa"/>
            <w:shd w:val="clear" w:color="auto" w:fill="auto"/>
            <w:vAlign w:val="bottom"/>
          </w:tcPr>
          <w:p w14:paraId="3E57BDC8"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1,7</w:t>
            </w:r>
          </w:p>
        </w:tc>
        <w:tc>
          <w:tcPr>
            <w:tcW w:w="2337" w:type="dxa"/>
            <w:shd w:val="clear" w:color="auto" w:fill="auto"/>
            <w:vAlign w:val="bottom"/>
          </w:tcPr>
          <w:p w14:paraId="4718755A"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1,4</w:t>
            </w:r>
          </w:p>
        </w:tc>
        <w:tc>
          <w:tcPr>
            <w:tcW w:w="2337" w:type="dxa"/>
            <w:shd w:val="clear" w:color="auto" w:fill="auto"/>
            <w:vAlign w:val="bottom"/>
          </w:tcPr>
          <w:p w14:paraId="105AD36B"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2,0</w:t>
            </w:r>
          </w:p>
        </w:tc>
      </w:tr>
      <w:tr w:rsidR="00C619FA" w:rsidRPr="008253DC" w14:paraId="48891C21" w14:textId="77777777" w:rsidTr="00DB672D">
        <w:trPr>
          <w:trHeight w:val="240"/>
        </w:trPr>
        <w:tc>
          <w:tcPr>
            <w:tcW w:w="2336" w:type="dxa"/>
            <w:shd w:val="clear" w:color="auto" w:fill="auto"/>
          </w:tcPr>
          <w:p w14:paraId="095E2C75"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2008</w:t>
            </w:r>
          </w:p>
        </w:tc>
        <w:tc>
          <w:tcPr>
            <w:tcW w:w="2336" w:type="dxa"/>
            <w:shd w:val="clear" w:color="auto" w:fill="auto"/>
            <w:vAlign w:val="bottom"/>
          </w:tcPr>
          <w:p w14:paraId="7CDC3E1F"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2,2</w:t>
            </w:r>
          </w:p>
        </w:tc>
        <w:tc>
          <w:tcPr>
            <w:tcW w:w="2337" w:type="dxa"/>
            <w:shd w:val="clear" w:color="auto" w:fill="auto"/>
            <w:vAlign w:val="bottom"/>
          </w:tcPr>
          <w:p w14:paraId="28481F41"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1,8</w:t>
            </w:r>
          </w:p>
        </w:tc>
        <w:tc>
          <w:tcPr>
            <w:tcW w:w="2337" w:type="dxa"/>
            <w:shd w:val="clear" w:color="auto" w:fill="auto"/>
            <w:vAlign w:val="bottom"/>
          </w:tcPr>
          <w:p w14:paraId="71E3BAFB"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2,6</w:t>
            </w:r>
          </w:p>
        </w:tc>
      </w:tr>
      <w:tr w:rsidR="00C619FA" w:rsidRPr="008253DC" w14:paraId="7A0C0B70" w14:textId="77777777" w:rsidTr="00DB672D">
        <w:trPr>
          <w:trHeight w:val="240"/>
        </w:trPr>
        <w:tc>
          <w:tcPr>
            <w:tcW w:w="2336" w:type="dxa"/>
            <w:shd w:val="clear" w:color="auto" w:fill="auto"/>
          </w:tcPr>
          <w:p w14:paraId="4F08FC06"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2009</w:t>
            </w:r>
          </w:p>
        </w:tc>
        <w:tc>
          <w:tcPr>
            <w:tcW w:w="2336" w:type="dxa"/>
            <w:shd w:val="clear" w:color="auto" w:fill="auto"/>
            <w:vAlign w:val="bottom"/>
          </w:tcPr>
          <w:p w14:paraId="26B94A72"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7,5</w:t>
            </w:r>
          </w:p>
        </w:tc>
        <w:tc>
          <w:tcPr>
            <w:tcW w:w="2337" w:type="dxa"/>
            <w:shd w:val="clear" w:color="auto" w:fill="auto"/>
            <w:vAlign w:val="bottom"/>
          </w:tcPr>
          <w:p w14:paraId="2D69D035"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9,1</w:t>
            </w:r>
          </w:p>
        </w:tc>
        <w:tc>
          <w:tcPr>
            <w:tcW w:w="2337" w:type="dxa"/>
            <w:shd w:val="clear" w:color="auto" w:fill="auto"/>
            <w:vAlign w:val="bottom"/>
          </w:tcPr>
          <w:p w14:paraId="4F653E18"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5,7</w:t>
            </w:r>
          </w:p>
        </w:tc>
      </w:tr>
      <w:tr w:rsidR="00C619FA" w:rsidRPr="008253DC" w14:paraId="306E9239" w14:textId="77777777" w:rsidTr="00DB672D">
        <w:trPr>
          <w:trHeight w:val="240"/>
        </w:trPr>
        <w:tc>
          <w:tcPr>
            <w:tcW w:w="2336" w:type="dxa"/>
            <w:shd w:val="clear" w:color="auto" w:fill="auto"/>
          </w:tcPr>
          <w:p w14:paraId="3B1FB708"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lastRenderedPageBreak/>
              <w:t>2010</w:t>
            </w:r>
          </w:p>
        </w:tc>
        <w:tc>
          <w:tcPr>
            <w:tcW w:w="2336" w:type="dxa"/>
            <w:shd w:val="clear" w:color="auto" w:fill="auto"/>
            <w:vAlign w:val="bottom"/>
          </w:tcPr>
          <w:p w14:paraId="4ABD84BF"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6,0</w:t>
            </w:r>
          </w:p>
        </w:tc>
        <w:tc>
          <w:tcPr>
            <w:tcW w:w="2337" w:type="dxa"/>
            <w:shd w:val="clear" w:color="auto" w:fill="auto"/>
            <w:vAlign w:val="bottom"/>
          </w:tcPr>
          <w:p w14:paraId="639A813B"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7,0</w:t>
            </w:r>
          </w:p>
        </w:tc>
        <w:tc>
          <w:tcPr>
            <w:tcW w:w="2337" w:type="dxa"/>
            <w:shd w:val="clear" w:color="auto" w:fill="auto"/>
            <w:vAlign w:val="bottom"/>
          </w:tcPr>
          <w:p w14:paraId="395C9936"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5,0</w:t>
            </w:r>
          </w:p>
        </w:tc>
      </w:tr>
      <w:tr w:rsidR="00C619FA" w:rsidRPr="008253DC" w14:paraId="5DA963A1" w14:textId="77777777" w:rsidTr="00DB672D">
        <w:trPr>
          <w:trHeight w:val="240"/>
        </w:trPr>
        <w:tc>
          <w:tcPr>
            <w:tcW w:w="2336" w:type="dxa"/>
            <w:shd w:val="clear" w:color="auto" w:fill="auto"/>
          </w:tcPr>
          <w:p w14:paraId="1CEC53E0"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2011</w:t>
            </w:r>
          </w:p>
        </w:tc>
        <w:tc>
          <w:tcPr>
            <w:tcW w:w="2336" w:type="dxa"/>
            <w:shd w:val="clear" w:color="auto" w:fill="auto"/>
            <w:vAlign w:val="bottom"/>
          </w:tcPr>
          <w:p w14:paraId="315A7093"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4,7</w:t>
            </w:r>
          </w:p>
        </w:tc>
        <w:tc>
          <w:tcPr>
            <w:tcW w:w="2337" w:type="dxa"/>
            <w:shd w:val="clear" w:color="auto" w:fill="auto"/>
            <w:vAlign w:val="bottom"/>
          </w:tcPr>
          <w:p w14:paraId="759D73B7"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5,5</w:t>
            </w:r>
          </w:p>
        </w:tc>
        <w:tc>
          <w:tcPr>
            <w:tcW w:w="2337" w:type="dxa"/>
            <w:shd w:val="clear" w:color="auto" w:fill="auto"/>
            <w:vAlign w:val="bottom"/>
          </w:tcPr>
          <w:p w14:paraId="346D3C27"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3,8</w:t>
            </w:r>
          </w:p>
        </w:tc>
      </w:tr>
      <w:tr w:rsidR="00C619FA" w:rsidRPr="008253DC" w14:paraId="268F15DE" w14:textId="77777777" w:rsidTr="00DB672D">
        <w:trPr>
          <w:trHeight w:val="240"/>
        </w:trPr>
        <w:tc>
          <w:tcPr>
            <w:tcW w:w="2336" w:type="dxa"/>
            <w:shd w:val="clear" w:color="auto" w:fill="auto"/>
          </w:tcPr>
          <w:p w14:paraId="466011EC"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2012</w:t>
            </w:r>
          </w:p>
        </w:tc>
        <w:tc>
          <w:tcPr>
            <w:tcW w:w="2336" w:type="dxa"/>
            <w:shd w:val="clear" w:color="auto" w:fill="auto"/>
            <w:vAlign w:val="bottom"/>
          </w:tcPr>
          <w:p w14:paraId="6E9C5CEE"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5,2</w:t>
            </w:r>
          </w:p>
        </w:tc>
        <w:tc>
          <w:tcPr>
            <w:tcW w:w="2337" w:type="dxa"/>
            <w:shd w:val="clear" w:color="auto" w:fill="auto"/>
            <w:vAlign w:val="bottom"/>
          </w:tcPr>
          <w:p w14:paraId="7FA5FA43"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4,9</w:t>
            </w:r>
          </w:p>
        </w:tc>
        <w:tc>
          <w:tcPr>
            <w:tcW w:w="2337" w:type="dxa"/>
            <w:shd w:val="clear" w:color="auto" w:fill="auto"/>
            <w:vAlign w:val="bottom"/>
          </w:tcPr>
          <w:p w14:paraId="1D7EDA72"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5,6</w:t>
            </w:r>
          </w:p>
        </w:tc>
      </w:tr>
      <w:tr w:rsidR="00C619FA" w:rsidRPr="008253DC" w14:paraId="4ABFC067" w14:textId="77777777" w:rsidTr="00DB672D">
        <w:trPr>
          <w:trHeight w:val="240"/>
        </w:trPr>
        <w:tc>
          <w:tcPr>
            <w:tcW w:w="2336" w:type="dxa"/>
            <w:shd w:val="clear" w:color="auto" w:fill="auto"/>
          </w:tcPr>
          <w:p w14:paraId="5A469FF1"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2013</w:t>
            </w:r>
          </w:p>
        </w:tc>
        <w:tc>
          <w:tcPr>
            <w:tcW w:w="2336" w:type="dxa"/>
            <w:shd w:val="clear" w:color="auto" w:fill="auto"/>
            <w:vAlign w:val="bottom"/>
          </w:tcPr>
          <w:p w14:paraId="6272C687"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6,4</w:t>
            </w:r>
          </w:p>
        </w:tc>
        <w:tc>
          <w:tcPr>
            <w:tcW w:w="2337" w:type="dxa"/>
            <w:shd w:val="clear" w:color="auto" w:fill="auto"/>
            <w:vAlign w:val="bottom"/>
          </w:tcPr>
          <w:p w14:paraId="68370B0C"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6,7</w:t>
            </w:r>
          </w:p>
        </w:tc>
        <w:tc>
          <w:tcPr>
            <w:tcW w:w="2337" w:type="dxa"/>
            <w:shd w:val="clear" w:color="auto" w:fill="auto"/>
            <w:vAlign w:val="bottom"/>
          </w:tcPr>
          <w:p w14:paraId="22AFBBAE"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6,1</w:t>
            </w:r>
          </w:p>
        </w:tc>
      </w:tr>
      <w:tr w:rsidR="00C619FA" w:rsidRPr="008253DC" w14:paraId="7903C88F" w14:textId="77777777" w:rsidTr="00DB672D">
        <w:trPr>
          <w:trHeight w:val="240"/>
        </w:trPr>
        <w:tc>
          <w:tcPr>
            <w:tcW w:w="2336" w:type="dxa"/>
            <w:shd w:val="clear" w:color="auto" w:fill="auto"/>
          </w:tcPr>
          <w:p w14:paraId="3945001E"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2014</w:t>
            </w:r>
          </w:p>
        </w:tc>
        <w:tc>
          <w:tcPr>
            <w:tcW w:w="2336" w:type="dxa"/>
            <w:shd w:val="clear" w:color="auto" w:fill="auto"/>
            <w:vAlign w:val="bottom"/>
          </w:tcPr>
          <w:p w14:paraId="27224A6E"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4,6</w:t>
            </w:r>
          </w:p>
        </w:tc>
        <w:tc>
          <w:tcPr>
            <w:tcW w:w="2337" w:type="dxa"/>
            <w:shd w:val="clear" w:color="auto" w:fill="auto"/>
            <w:vAlign w:val="bottom"/>
          </w:tcPr>
          <w:p w14:paraId="698E1508"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4,5</w:t>
            </w:r>
          </w:p>
        </w:tc>
        <w:tc>
          <w:tcPr>
            <w:tcW w:w="2337" w:type="dxa"/>
            <w:shd w:val="clear" w:color="auto" w:fill="auto"/>
            <w:vAlign w:val="bottom"/>
          </w:tcPr>
          <w:p w14:paraId="0AC9C128"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4,7</w:t>
            </w:r>
          </w:p>
        </w:tc>
      </w:tr>
      <w:tr w:rsidR="00C619FA" w:rsidRPr="008253DC" w14:paraId="14E997E8" w14:textId="77777777" w:rsidTr="00DB672D">
        <w:trPr>
          <w:trHeight w:val="240"/>
        </w:trPr>
        <w:tc>
          <w:tcPr>
            <w:tcW w:w="2336" w:type="dxa"/>
            <w:shd w:val="clear" w:color="auto" w:fill="auto"/>
          </w:tcPr>
          <w:p w14:paraId="21321C86"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2015</w:t>
            </w:r>
          </w:p>
        </w:tc>
        <w:tc>
          <w:tcPr>
            <w:tcW w:w="2336" w:type="dxa"/>
            <w:shd w:val="clear" w:color="auto" w:fill="auto"/>
            <w:vAlign w:val="bottom"/>
          </w:tcPr>
          <w:p w14:paraId="1A7CFCDA"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2,9</w:t>
            </w:r>
          </w:p>
        </w:tc>
        <w:tc>
          <w:tcPr>
            <w:tcW w:w="2337" w:type="dxa"/>
            <w:shd w:val="clear" w:color="auto" w:fill="auto"/>
            <w:vAlign w:val="bottom"/>
          </w:tcPr>
          <w:p w14:paraId="47FCE533"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3,6</w:t>
            </w:r>
          </w:p>
        </w:tc>
        <w:tc>
          <w:tcPr>
            <w:tcW w:w="2337" w:type="dxa"/>
            <w:shd w:val="clear" w:color="auto" w:fill="auto"/>
            <w:vAlign w:val="bottom"/>
          </w:tcPr>
          <w:p w14:paraId="4BF1C399"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2,1</w:t>
            </w:r>
          </w:p>
        </w:tc>
      </w:tr>
      <w:tr w:rsidR="00C619FA" w:rsidRPr="008253DC" w14:paraId="48A23221" w14:textId="77777777" w:rsidTr="00DB672D">
        <w:trPr>
          <w:trHeight w:val="240"/>
        </w:trPr>
        <w:tc>
          <w:tcPr>
            <w:tcW w:w="2336" w:type="dxa"/>
            <w:shd w:val="clear" w:color="auto" w:fill="auto"/>
          </w:tcPr>
          <w:p w14:paraId="60755228"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2016</w:t>
            </w:r>
          </w:p>
        </w:tc>
        <w:tc>
          <w:tcPr>
            <w:tcW w:w="2336" w:type="dxa"/>
            <w:shd w:val="clear" w:color="auto" w:fill="auto"/>
            <w:vAlign w:val="bottom"/>
          </w:tcPr>
          <w:p w14:paraId="0FDDAF30"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2,2</w:t>
            </w:r>
          </w:p>
        </w:tc>
        <w:tc>
          <w:tcPr>
            <w:tcW w:w="2337" w:type="dxa"/>
            <w:shd w:val="clear" w:color="auto" w:fill="auto"/>
            <w:vAlign w:val="bottom"/>
          </w:tcPr>
          <w:p w14:paraId="46967212"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2,1</w:t>
            </w:r>
          </w:p>
        </w:tc>
        <w:tc>
          <w:tcPr>
            <w:tcW w:w="2337" w:type="dxa"/>
            <w:shd w:val="clear" w:color="auto" w:fill="auto"/>
            <w:vAlign w:val="bottom"/>
          </w:tcPr>
          <w:p w14:paraId="14A2E7C5"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2,3</w:t>
            </w:r>
          </w:p>
        </w:tc>
      </w:tr>
      <w:tr w:rsidR="00C619FA" w:rsidRPr="008253DC" w14:paraId="2382899A" w14:textId="77777777" w:rsidTr="00DB672D">
        <w:trPr>
          <w:trHeight w:val="240"/>
        </w:trPr>
        <w:tc>
          <w:tcPr>
            <w:tcW w:w="2336" w:type="dxa"/>
            <w:shd w:val="clear" w:color="auto" w:fill="auto"/>
          </w:tcPr>
          <w:p w14:paraId="1169F35C"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2017</w:t>
            </w:r>
          </w:p>
        </w:tc>
        <w:tc>
          <w:tcPr>
            <w:tcW w:w="2336" w:type="dxa"/>
            <w:shd w:val="clear" w:color="auto" w:fill="auto"/>
            <w:vAlign w:val="bottom"/>
          </w:tcPr>
          <w:p w14:paraId="28A9BBF5"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2,3</w:t>
            </w:r>
          </w:p>
        </w:tc>
        <w:tc>
          <w:tcPr>
            <w:tcW w:w="2337" w:type="dxa"/>
            <w:shd w:val="clear" w:color="auto" w:fill="auto"/>
            <w:vAlign w:val="bottom"/>
          </w:tcPr>
          <w:p w14:paraId="129C6DF0"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1,8</w:t>
            </w:r>
          </w:p>
        </w:tc>
        <w:tc>
          <w:tcPr>
            <w:tcW w:w="2337" w:type="dxa"/>
            <w:shd w:val="clear" w:color="auto" w:fill="auto"/>
            <w:vAlign w:val="bottom"/>
          </w:tcPr>
          <w:p w14:paraId="1632520D"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2,9</w:t>
            </w:r>
          </w:p>
        </w:tc>
      </w:tr>
      <w:tr w:rsidR="00C619FA" w:rsidRPr="008253DC" w14:paraId="1C97E181" w14:textId="77777777" w:rsidTr="00DB672D">
        <w:trPr>
          <w:trHeight w:val="240"/>
        </w:trPr>
        <w:tc>
          <w:tcPr>
            <w:tcW w:w="2336" w:type="dxa"/>
            <w:tcBorders>
              <w:bottom w:val="single" w:sz="12" w:space="0" w:color="auto"/>
            </w:tcBorders>
            <w:shd w:val="clear" w:color="auto" w:fill="auto"/>
          </w:tcPr>
          <w:p w14:paraId="61E59A5B" w14:textId="77777777" w:rsidR="00C619FA" w:rsidRPr="008253DC" w:rsidRDefault="00C619FA"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2018</w:t>
            </w:r>
          </w:p>
        </w:tc>
        <w:tc>
          <w:tcPr>
            <w:tcW w:w="2336" w:type="dxa"/>
            <w:tcBorders>
              <w:bottom w:val="single" w:sz="12" w:space="0" w:color="auto"/>
            </w:tcBorders>
            <w:shd w:val="clear" w:color="auto" w:fill="auto"/>
            <w:vAlign w:val="bottom"/>
          </w:tcPr>
          <w:p w14:paraId="405F84DA"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3,1</w:t>
            </w:r>
          </w:p>
        </w:tc>
        <w:tc>
          <w:tcPr>
            <w:tcW w:w="2337" w:type="dxa"/>
            <w:tcBorders>
              <w:bottom w:val="single" w:sz="12" w:space="0" w:color="auto"/>
            </w:tcBorders>
            <w:shd w:val="clear" w:color="auto" w:fill="auto"/>
            <w:vAlign w:val="bottom"/>
          </w:tcPr>
          <w:p w14:paraId="2B787956"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3,5</w:t>
            </w:r>
          </w:p>
        </w:tc>
        <w:tc>
          <w:tcPr>
            <w:tcW w:w="2337" w:type="dxa"/>
            <w:tcBorders>
              <w:bottom w:val="single" w:sz="12" w:space="0" w:color="auto"/>
            </w:tcBorders>
            <w:shd w:val="clear" w:color="auto" w:fill="auto"/>
            <w:vAlign w:val="bottom"/>
          </w:tcPr>
          <w:p w14:paraId="47D39F6D" w14:textId="77777777" w:rsidR="00C619FA" w:rsidRPr="008253DC" w:rsidRDefault="00C619FA"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2,6</w:t>
            </w:r>
          </w:p>
        </w:tc>
      </w:tr>
    </w:tbl>
    <w:p w14:paraId="09B2E197" w14:textId="2E013325" w:rsidR="00C619FA" w:rsidRPr="008253DC" w:rsidRDefault="00C619FA" w:rsidP="00DB672D">
      <w:pPr>
        <w:pStyle w:val="SingleTxtG"/>
        <w:spacing w:before="240"/>
        <w:rPr>
          <w:lang w:val="es-ES_tradnl"/>
        </w:rPr>
      </w:pPr>
      <w:r w:rsidRPr="008253DC">
        <w:rPr>
          <w:lang w:val="es-ES_tradnl"/>
        </w:rPr>
        <w:t>33.</w:t>
      </w:r>
      <w:r w:rsidRPr="008253DC">
        <w:rPr>
          <w:lang w:val="es-ES_tradnl"/>
        </w:rPr>
        <w:tab/>
        <w:t>En mayo de 2018, estaban desempleados 1.396 ciudadanos extranjeros, esto es, el 4,6</w:t>
      </w:r>
      <w:r w:rsidR="002375F0" w:rsidRPr="008253DC">
        <w:rPr>
          <w:lang w:val="es-ES_tradnl"/>
        </w:rPr>
        <w:t> </w:t>
      </w:r>
      <w:r w:rsidRPr="008253DC">
        <w:rPr>
          <w:lang w:val="es-ES_tradnl"/>
        </w:rPr>
        <w:t xml:space="preserve">% de todos los ciudadanos extranjeros en Islandia. Esto asciende al 31 % de todas las personas desempleadas en el país. </w:t>
      </w:r>
    </w:p>
    <w:p w14:paraId="2E851B86" w14:textId="7F13EA7B" w:rsidR="00C619FA" w:rsidRPr="008253DC" w:rsidRDefault="00C619FA" w:rsidP="00DB672D">
      <w:pPr>
        <w:pStyle w:val="H23G"/>
        <w:rPr>
          <w:lang w:val="es-ES_tradnl"/>
        </w:rPr>
      </w:pPr>
      <w:r w:rsidRPr="008253DC">
        <w:rPr>
          <w:lang w:val="es-ES_tradnl"/>
        </w:rPr>
        <w:tab/>
        <w:t>8.</w:t>
      </w:r>
      <w:r w:rsidRPr="008253DC">
        <w:rPr>
          <w:lang w:val="es-ES_tradnl"/>
        </w:rPr>
        <w:tab/>
        <w:t>Proporción de la asistencia internacional prestada en relación con el ingreso nacional</w:t>
      </w:r>
      <w:r w:rsidR="00DB672D" w:rsidRPr="008253DC">
        <w:rPr>
          <w:lang w:val="es-ES_tradnl"/>
        </w:rPr>
        <w:t> </w:t>
      </w:r>
      <w:r w:rsidRPr="008253DC">
        <w:rPr>
          <w:lang w:val="es-ES_tradnl"/>
        </w:rPr>
        <w:t>bruto</w:t>
      </w:r>
    </w:p>
    <w:p w14:paraId="437DA9F6" w14:textId="2A79E0FE" w:rsidR="00C619FA" w:rsidRPr="008253DC" w:rsidRDefault="00C619FA" w:rsidP="00C619FA">
      <w:pPr>
        <w:pStyle w:val="SingleTxtG"/>
        <w:rPr>
          <w:lang w:val="es-ES_tradnl"/>
        </w:rPr>
      </w:pPr>
      <w:r w:rsidRPr="008253DC">
        <w:rPr>
          <w:lang w:val="es-ES_tradnl"/>
        </w:rPr>
        <w:t>34.</w:t>
      </w:r>
      <w:r w:rsidRPr="008253DC">
        <w:rPr>
          <w:lang w:val="es-ES_tradnl"/>
        </w:rPr>
        <w:tab/>
        <w:t>La cooperación para el desarrollo, que se centra en la promoción de los derechos humanos, se financia con cargo a diversos capítulos del presupuesto. En el apartado 11) de la parte C, se proporciona más información sobre la cooperación para el desarrollo de Islandia.</w:t>
      </w:r>
    </w:p>
    <w:p w14:paraId="46EE2ABE" w14:textId="77777777" w:rsidR="00C619FA" w:rsidRPr="008253DC" w:rsidRDefault="00C619FA" w:rsidP="00DB672D">
      <w:pPr>
        <w:pStyle w:val="H1G"/>
        <w:rPr>
          <w:lang w:val="es-ES_tradnl"/>
        </w:rPr>
      </w:pPr>
      <w:r w:rsidRPr="008253DC">
        <w:rPr>
          <w:lang w:val="es-ES_tradnl"/>
        </w:rPr>
        <w:tab/>
        <w:t>B.</w:t>
      </w:r>
      <w:r w:rsidRPr="008253DC">
        <w:rPr>
          <w:lang w:val="es-ES_tradnl"/>
        </w:rPr>
        <w:tab/>
        <w:t>Estructura constitucional, política y jurídica del Estado</w:t>
      </w:r>
    </w:p>
    <w:p w14:paraId="39EA95D6" w14:textId="77777777" w:rsidR="00C619FA" w:rsidRPr="008253DC" w:rsidRDefault="00C619FA" w:rsidP="00DB672D">
      <w:pPr>
        <w:pStyle w:val="H23G"/>
        <w:rPr>
          <w:lang w:val="es-ES_tradnl"/>
        </w:rPr>
      </w:pPr>
      <w:r w:rsidRPr="008253DC">
        <w:rPr>
          <w:lang w:val="es-ES_tradnl"/>
        </w:rPr>
        <w:tab/>
        <w:t>1.</w:t>
      </w:r>
      <w:r w:rsidRPr="008253DC">
        <w:rPr>
          <w:lang w:val="es-ES_tradnl"/>
        </w:rPr>
        <w:tab/>
        <w:t>Forma de gobierno</w:t>
      </w:r>
    </w:p>
    <w:p w14:paraId="77831246" w14:textId="0A5DC3D5" w:rsidR="00C619FA" w:rsidRPr="008253DC" w:rsidRDefault="00C619FA" w:rsidP="00C619FA">
      <w:pPr>
        <w:pStyle w:val="SingleTxtG"/>
        <w:rPr>
          <w:lang w:val="es-ES_tradnl"/>
        </w:rPr>
      </w:pPr>
      <w:r w:rsidRPr="008253DC">
        <w:rPr>
          <w:lang w:val="es-ES_tradnl"/>
        </w:rPr>
        <w:t>35.</w:t>
      </w:r>
      <w:r w:rsidRPr="008253DC">
        <w:rPr>
          <w:lang w:val="es-ES_tradnl"/>
        </w:rPr>
        <w:tab/>
        <w:t>Islandia es una democracia representativa y una república parlamentaria. La Constitución de Islandia establece que los poderes del Estado se ejercen a través del Althingi (Parlamento islandés), el Presidente de Islandia, el Gobierno y el poder judicial. El Parlamento y el Presidente ejercen conjuntamente el poder legislativo, mientras que el Presidente y el Gobierno ejercen el poder ejecutivo. El poder judicial se ejerce a través de la judicatura.</w:t>
      </w:r>
    </w:p>
    <w:p w14:paraId="7A60F7F8" w14:textId="77777777" w:rsidR="00C619FA" w:rsidRPr="008253DC" w:rsidRDefault="00C619FA" w:rsidP="00DB672D">
      <w:pPr>
        <w:pStyle w:val="H23G"/>
        <w:rPr>
          <w:lang w:val="es-ES_tradnl"/>
        </w:rPr>
      </w:pPr>
      <w:r w:rsidRPr="008253DC">
        <w:rPr>
          <w:lang w:val="es-ES_tradnl"/>
        </w:rPr>
        <w:tab/>
        <w:t>2.</w:t>
      </w:r>
      <w:r w:rsidRPr="008253DC">
        <w:rPr>
          <w:lang w:val="es-ES_tradnl"/>
        </w:rPr>
        <w:tab/>
        <w:t>Democracia, partidos políticos y sistema electoral</w:t>
      </w:r>
    </w:p>
    <w:p w14:paraId="7515DEB3" w14:textId="3A175AEF" w:rsidR="00C619FA" w:rsidRPr="008253DC" w:rsidRDefault="00C619FA" w:rsidP="00C619FA">
      <w:pPr>
        <w:pStyle w:val="SingleTxtG"/>
        <w:rPr>
          <w:lang w:val="es-ES_tradnl"/>
        </w:rPr>
      </w:pPr>
      <w:r w:rsidRPr="008253DC">
        <w:rPr>
          <w:lang w:val="es-ES_tradnl"/>
        </w:rPr>
        <w:t>36.</w:t>
      </w:r>
      <w:r w:rsidRPr="008253DC">
        <w:rPr>
          <w:lang w:val="es-ES_tradnl"/>
        </w:rPr>
        <w:tab/>
        <w:t>La Asamblea Legislativa de Islandia es el Althingi. El Althingi está integrado por 63 miembros elegidos por un período de cuatro años que representan a seis circunscripciones. En las elecciones generales de octubre de 2017, se eligió a 24 mujeres y a 39 hombres para ocupar escaños en el Parlamento. El Presidente del Althingi tiene la responsabilidad primordial de garantizar el cumplimiento de las disposiciones constitucionales relativas al Althingi y su Reglamento.</w:t>
      </w:r>
    </w:p>
    <w:p w14:paraId="630D71BC" w14:textId="2D084C2E" w:rsidR="00C619FA" w:rsidRPr="008253DC" w:rsidRDefault="00C619FA" w:rsidP="00C619FA">
      <w:pPr>
        <w:pStyle w:val="SingleTxtG"/>
        <w:rPr>
          <w:lang w:val="es-ES_tradnl"/>
        </w:rPr>
      </w:pPr>
      <w:r w:rsidRPr="008253DC">
        <w:rPr>
          <w:lang w:val="es-ES_tradnl"/>
        </w:rPr>
        <w:t>37.</w:t>
      </w:r>
      <w:r w:rsidRPr="008253DC">
        <w:rPr>
          <w:lang w:val="es-ES_tradnl"/>
        </w:rPr>
        <w:tab/>
        <w:t>Se celebran elecciones al Althingi cada cuatro años. Actualmente, la edad mínima para votar es 18 años. Todos los ciudadanos islandeses que hayan cumplido 18 años tienen derecho de voto. Asimismo, tienen derecho a presentar su candidatura a elecciones, en caso de tener una reputación irreprochable. El sistema electoral de Islandia se rige por los principios de la elección directa y la representación proporcional en las circunscripciones plurinominales.</w:t>
      </w:r>
    </w:p>
    <w:p w14:paraId="15D12B1E" w14:textId="65CEDC14" w:rsidR="00C619FA" w:rsidRPr="008253DC" w:rsidRDefault="00C619FA" w:rsidP="00C619FA">
      <w:pPr>
        <w:pStyle w:val="SingleTxtG"/>
        <w:rPr>
          <w:lang w:val="es-ES_tradnl"/>
        </w:rPr>
      </w:pPr>
      <w:r w:rsidRPr="008253DC">
        <w:rPr>
          <w:lang w:val="es-ES_tradnl"/>
        </w:rPr>
        <w:t>38.</w:t>
      </w:r>
      <w:r w:rsidRPr="008253DC">
        <w:rPr>
          <w:lang w:val="es-ES_tradnl"/>
        </w:rPr>
        <w:tab/>
        <w:t xml:space="preserve">Desde octubre de 2017, en el Althingi están representados </w:t>
      </w:r>
      <w:r w:rsidR="00446976" w:rsidRPr="008253DC">
        <w:rPr>
          <w:lang w:val="es-ES_tradnl"/>
        </w:rPr>
        <w:t>8</w:t>
      </w:r>
      <w:r w:rsidRPr="008253DC">
        <w:rPr>
          <w:lang w:val="es-ES_tradnl"/>
        </w:rPr>
        <w:t xml:space="preserve"> partidos políticos: el Partido del Centro, con </w:t>
      </w:r>
      <w:r w:rsidR="00446976" w:rsidRPr="008253DC">
        <w:rPr>
          <w:lang w:val="es-ES_tradnl"/>
        </w:rPr>
        <w:t>7</w:t>
      </w:r>
      <w:r w:rsidRPr="008253DC">
        <w:rPr>
          <w:lang w:val="es-ES_tradnl"/>
        </w:rPr>
        <w:t xml:space="preserve"> miembros; el Partido de la Independencia, con 16 miembros; el Movimiento de Izquierda-Verde, con 11 miembros; el Partido del Pueblo, con </w:t>
      </w:r>
      <w:r w:rsidR="00446976" w:rsidRPr="008253DC">
        <w:rPr>
          <w:lang w:val="es-ES_tradnl"/>
        </w:rPr>
        <w:t>4</w:t>
      </w:r>
      <w:r w:rsidRPr="008253DC">
        <w:rPr>
          <w:lang w:val="es-ES_tradnl"/>
        </w:rPr>
        <w:t xml:space="preserve"> miembros; el Partido Pirata, con </w:t>
      </w:r>
      <w:r w:rsidR="00446976" w:rsidRPr="008253DC">
        <w:rPr>
          <w:lang w:val="es-ES_tradnl"/>
        </w:rPr>
        <w:t>6</w:t>
      </w:r>
      <w:r w:rsidRPr="008253DC">
        <w:rPr>
          <w:lang w:val="es-ES_tradnl"/>
        </w:rPr>
        <w:t xml:space="preserve"> miembros; el Partido Progresista, con </w:t>
      </w:r>
      <w:r w:rsidR="00446976" w:rsidRPr="008253DC">
        <w:rPr>
          <w:lang w:val="es-ES_tradnl"/>
        </w:rPr>
        <w:t>8</w:t>
      </w:r>
      <w:r w:rsidRPr="008253DC">
        <w:rPr>
          <w:lang w:val="es-ES_tradnl"/>
        </w:rPr>
        <w:t xml:space="preserve"> miembros; el Partido de Reforma, con </w:t>
      </w:r>
      <w:r w:rsidR="00446976" w:rsidRPr="008253DC">
        <w:rPr>
          <w:lang w:val="es-ES_tradnl"/>
        </w:rPr>
        <w:t>4</w:t>
      </w:r>
      <w:r w:rsidRPr="008253DC">
        <w:rPr>
          <w:lang w:val="es-ES_tradnl"/>
        </w:rPr>
        <w:t xml:space="preserve"> miembros y la Alianza Socialdemócrata, con </w:t>
      </w:r>
      <w:r w:rsidR="00446976" w:rsidRPr="008253DC">
        <w:rPr>
          <w:lang w:val="es-ES_tradnl"/>
        </w:rPr>
        <w:t>7</w:t>
      </w:r>
      <w:r w:rsidRPr="008253DC">
        <w:rPr>
          <w:lang w:val="es-ES_tradnl"/>
        </w:rPr>
        <w:t xml:space="preserve"> miembros. En el cuadro que figura a continuación se indica la distribución de los escaños en el Althingi por partido.</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5"/>
        <w:gridCol w:w="3685"/>
      </w:tblGrid>
      <w:tr w:rsidR="00DB672D" w:rsidRPr="008253DC" w14:paraId="1D7FCBB8" w14:textId="77777777" w:rsidTr="00DB672D">
        <w:trPr>
          <w:trHeight w:val="240"/>
          <w:tblHeader/>
        </w:trPr>
        <w:tc>
          <w:tcPr>
            <w:tcW w:w="3685" w:type="dxa"/>
            <w:tcBorders>
              <w:top w:val="single" w:sz="4" w:space="0" w:color="auto"/>
              <w:bottom w:val="single" w:sz="12" w:space="0" w:color="auto"/>
            </w:tcBorders>
            <w:shd w:val="clear" w:color="auto" w:fill="auto"/>
            <w:vAlign w:val="bottom"/>
          </w:tcPr>
          <w:p w14:paraId="18FAE9F9" w14:textId="5FD807BC" w:rsidR="00DB672D" w:rsidRPr="008253DC" w:rsidRDefault="00DB672D" w:rsidP="00DB672D">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lastRenderedPageBreak/>
              <w:t>Partido político</w:t>
            </w:r>
          </w:p>
        </w:tc>
        <w:tc>
          <w:tcPr>
            <w:tcW w:w="3685" w:type="dxa"/>
            <w:tcBorders>
              <w:top w:val="single" w:sz="4" w:space="0" w:color="auto"/>
              <w:bottom w:val="single" w:sz="12" w:space="0" w:color="auto"/>
            </w:tcBorders>
            <w:shd w:val="clear" w:color="auto" w:fill="auto"/>
            <w:vAlign w:val="bottom"/>
          </w:tcPr>
          <w:p w14:paraId="6CEEBAC3" w14:textId="7DAD9C72" w:rsidR="00DB672D" w:rsidRPr="008253DC" w:rsidRDefault="00DB672D" w:rsidP="00DB672D">
            <w:pPr>
              <w:pStyle w:val="SingleTxtG"/>
              <w:tabs>
                <w:tab w:val="clear" w:pos="1701"/>
                <w:tab w:val="clear" w:pos="2268"/>
                <w:tab w:val="clear" w:pos="2835"/>
              </w:tabs>
              <w:spacing w:before="80" w:after="80" w:line="200" w:lineRule="exact"/>
              <w:ind w:left="57" w:right="28"/>
              <w:jc w:val="right"/>
              <w:rPr>
                <w:i/>
                <w:sz w:val="16"/>
                <w:lang w:val="es-ES_tradnl"/>
              </w:rPr>
            </w:pPr>
            <w:r w:rsidRPr="008253DC">
              <w:rPr>
                <w:i/>
                <w:iCs/>
                <w:sz w:val="16"/>
                <w:lang w:val="es-ES_tradnl"/>
              </w:rPr>
              <w:t>Número de escaños</w:t>
            </w:r>
          </w:p>
        </w:tc>
      </w:tr>
      <w:tr w:rsidR="00DB672D" w:rsidRPr="008253DC" w14:paraId="3C0C9CA4" w14:textId="77777777" w:rsidTr="00DB672D">
        <w:trPr>
          <w:trHeight w:val="240"/>
        </w:trPr>
        <w:tc>
          <w:tcPr>
            <w:tcW w:w="3685" w:type="dxa"/>
            <w:tcBorders>
              <w:top w:val="single" w:sz="12" w:space="0" w:color="auto"/>
            </w:tcBorders>
            <w:shd w:val="clear" w:color="auto" w:fill="auto"/>
          </w:tcPr>
          <w:p w14:paraId="4AB71581" w14:textId="0857C9DD"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Partido del Pueblo</w:t>
            </w:r>
          </w:p>
        </w:tc>
        <w:tc>
          <w:tcPr>
            <w:tcW w:w="3685" w:type="dxa"/>
            <w:tcBorders>
              <w:top w:val="single" w:sz="12" w:space="0" w:color="auto"/>
            </w:tcBorders>
            <w:shd w:val="clear" w:color="auto" w:fill="auto"/>
            <w:vAlign w:val="bottom"/>
          </w:tcPr>
          <w:p w14:paraId="6CC0D086" w14:textId="2AE7CDEC"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w:t>
            </w:r>
          </w:p>
        </w:tc>
      </w:tr>
      <w:tr w:rsidR="00DB672D" w:rsidRPr="008253DC" w14:paraId="64FEF799" w14:textId="77777777" w:rsidTr="00DB672D">
        <w:trPr>
          <w:trHeight w:val="240"/>
        </w:trPr>
        <w:tc>
          <w:tcPr>
            <w:tcW w:w="3685" w:type="dxa"/>
            <w:shd w:val="clear" w:color="auto" w:fill="auto"/>
          </w:tcPr>
          <w:p w14:paraId="4AE21213" w14:textId="19D397C6"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Partido de la Independencia</w:t>
            </w:r>
          </w:p>
        </w:tc>
        <w:tc>
          <w:tcPr>
            <w:tcW w:w="3685" w:type="dxa"/>
            <w:shd w:val="clear" w:color="auto" w:fill="auto"/>
            <w:vAlign w:val="bottom"/>
          </w:tcPr>
          <w:p w14:paraId="5DDC3C37" w14:textId="657253E1"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16</w:t>
            </w:r>
          </w:p>
        </w:tc>
      </w:tr>
      <w:tr w:rsidR="00DB672D" w:rsidRPr="008253DC" w14:paraId="75EC743B" w14:textId="77777777" w:rsidTr="00DB672D">
        <w:trPr>
          <w:trHeight w:val="240"/>
        </w:trPr>
        <w:tc>
          <w:tcPr>
            <w:tcW w:w="3685" w:type="dxa"/>
            <w:shd w:val="clear" w:color="auto" w:fill="auto"/>
          </w:tcPr>
          <w:p w14:paraId="246D9ED2" w14:textId="6E08CD7B"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Partido Progresista</w:t>
            </w:r>
          </w:p>
        </w:tc>
        <w:tc>
          <w:tcPr>
            <w:tcW w:w="3685" w:type="dxa"/>
            <w:shd w:val="clear" w:color="auto" w:fill="auto"/>
            <w:vAlign w:val="bottom"/>
          </w:tcPr>
          <w:p w14:paraId="1C72A9E5" w14:textId="62BFD35B"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8</w:t>
            </w:r>
          </w:p>
        </w:tc>
      </w:tr>
      <w:tr w:rsidR="00DB672D" w:rsidRPr="008253DC" w14:paraId="4354F067" w14:textId="77777777" w:rsidTr="00DB672D">
        <w:trPr>
          <w:trHeight w:val="240"/>
        </w:trPr>
        <w:tc>
          <w:tcPr>
            <w:tcW w:w="3685" w:type="dxa"/>
            <w:shd w:val="clear" w:color="auto" w:fill="auto"/>
          </w:tcPr>
          <w:p w14:paraId="0B33E490" w14:textId="741C24A5"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Partido del Centro</w:t>
            </w:r>
          </w:p>
        </w:tc>
        <w:tc>
          <w:tcPr>
            <w:tcW w:w="3685" w:type="dxa"/>
            <w:shd w:val="clear" w:color="auto" w:fill="auto"/>
            <w:vAlign w:val="bottom"/>
          </w:tcPr>
          <w:p w14:paraId="60D415CB" w14:textId="76B6BEEE"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7</w:t>
            </w:r>
          </w:p>
        </w:tc>
      </w:tr>
      <w:tr w:rsidR="00DB672D" w:rsidRPr="008253DC" w14:paraId="40A9F718" w14:textId="77777777" w:rsidTr="00DB672D">
        <w:trPr>
          <w:trHeight w:val="240"/>
        </w:trPr>
        <w:tc>
          <w:tcPr>
            <w:tcW w:w="3685" w:type="dxa"/>
            <w:shd w:val="clear" w:color="auto" w:fill="auto"/>
          </w:tcPr>
          <w:p w14:paraId="2C976939" w14:textId="5BC7AD5D"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Partido de Reforma</w:t>
            </w:r>
          </w:p>
        </w:tc>
        <w:tc>
          <w:tcPr>
            <w:tcW w:w="3685" w:type="dxa"/>
            <w:shd w:val="clear" w:color="auto" w:fill="auto"/>
            <w:vAlign w:val="bottom"/>
          </w:tcPr>
          <w:p w14:paraId="47AC8653" w14:textId="1652C133"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w:t>
            </w:r>
          </w:p>
        </w:tc>
      </w:tr>
      <w:tr w:rsidR="00DB672D" w:rsidRPr="008253DC" w14:paraId="0A03C122" w14:textId="77777777" w:rsidTr="00DB672D">
        <w:trPr>
          <w:trHeight w:val="240"/>
        </w:trPr>
        <w:tc>
          <w:tcPr>
            <w:tcW w:w="3685" w:type="dxa"/>
            <w:shd w:val="clear" w:color="auto" w:fill="auto"/>
          </w:tcPr>
          <w:p w14:paraId="53791E7F" w14:textId="7FCA7107"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Partido Pirata</w:t>
            </w:r>
          </w:p>
        </w:tc>
        <w:tc>
          <w:tcPr>
            <w:tcW w:w="3685" w:type="dxa"/>
            <w:shd w:val="clear" w:color="auto" w:fill="auto"/>
            <w:vAlign w:val="bottom"/>
          </w:tcPr>
          <w:p w14:paraId="6893D29D" w14:textId="145F1FE4"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w:t>
            </w:r>
          </w:p>
        </w:tc>
      </w:tr>
      <w:tr w:rsidR="00DB672D" w:rsidRPr="008253DC" w14:paraId="0FE79E33" w14:textId="77777777" w:rsidTr="00DB672D">
        <w:trPr>
          <w:trHeight w:val="240"/>
        </w:trPr>
        <w:tc>
          <w:tcPr>
            <w:tcW w:w="3685" w:type="dxa"/>
            <w:shd w:val="clear" w:color="auto" w:fill="auto"/>
          </w:tcPr>
          <w:p w14:paraId="4D14DEA3" w14:textId="20573B88"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Alianza Socialdemócrata</w:t>
            </w:r>
          </w:p>
        </w:tc>
        <w:tc>
          <w:tcPr>
            <w:tcW w:w="3685" w:type="dxa"/>
            <w:shd w:val="clear" w:color="auto" w:fill="auto"/>
            <w:vAlign w:val="bottom"/>
          </w:tcPr>
          <w:p w14:paraId="34ADF047" w14:textId="4D9391BE"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7</w:t>
            </w:r>
          </w:p>
        </w:tc>
      </w:tr>
      <w:tr w:rsidR="00DB672D" w:rsidRPr="008253DC" w14:paraId="3277A5FF" w14:textId="77777777" w:rsidTr="00DB672D">
        <w:trPr>
          <w:trHeight w:val="240"/>
        </w:trPr>
        <w:tc>
          <w:tcPr>
            <w:tcW w:w="3685" w:type="dxa"/>
            <w:tcBorders>
              <w:bottom w:val="single" w:sz="12" w:space="0" w:color="auto"/>
            </w:tcBorders>
            <w:shd w:val="clear" w:color="auto" w:fill="auto"/>
          </w:tcPr>
          <w:p w14:paraId="43ACCC2A" w14:textId="314B0ED9"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Movimiento de Izquierda-Verde</w:t>
            </w:r>
          </w:p>
        </w:tc>
        <w:tc>
          <w:tcPr>
            <w:tcW w:w="3685" w:type="dxa"/>
            <w:tcBorders>
              <w:bottom w:val="single" w:sz="12" w:space="0" w:color="auto"/>
            </w:tcBorders>
            <w:shd w:val="clear" w:color="auto" w:fill="auto"/>
            <w:vAlign w:val="bottom"/>
          </w:tcPr>
          <w:p w14:paraId="57214597" w14:textId="27857918"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11</w:t>
            </w:r>
          </w:p>
        </w:tc>
      </w:tr>
    </w:tbl>
    <w:p w14:paraId="48A7465D" w14:textId="1579890E" w:rsidR="00C619FA" w:rsidRPr="008253DC" w:rsidRDefault="00C619FA" w:rsidP="00DB672D">
      <w:pPr>
        <w:pStyle w:val="SingleTxtG"/>
        <w:spacing w:before="240"/>
        <w:rPr>
          <w:i/>
          <w:iCs/>
          <w:lang w:val="es-ES_tradnl"/>
        </w:rPr>
      </w:pPr>
      <w:r w:rsidRPr="008253DC">
        <w:rPr>
          <w:i/>
          <w:iCs/>
          <w:lang w:val="es-ES_tradnl"/>
        </w:rPr>
        <w:t>En el cuadro que figura a continuación se indica el porcentaje de hombres y mujeres en el Althingi, así como diversos cargos de influencia</w:t>
      </w:r>
      <w:r w:rsidR="00DB672D" w:rsidRPr="008253DC">
        <w:rPr>
          <w:i/>
          <w:iCs/>
          <w:lang w:val="es-ES_tradnl"/>
        </w:rPr>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1275"/>
        <w:gridCol w:w="1133"/>
      </w:tblGrid>
      <w:tr w:rsidR="00DB672D" w:rsidRPr="008253DC" w14:paraId="1CA59427" w14:textId="77777777" w:rsidTr="00DB672D">
        <w:trPr>
          <w:trHeight w:val="240"/>
          <w:tblHeader/>
        </w:trPr>
        <w:tc>
          <w:tcPr>
            <w:tcW w:w="4962" w:type="dxa"/>
            <w:tcBorders>
              <w:top w:val="single" w:sz="4" w:space="0" w:color="auto"/>
              <w:bottom w:val="single" w:sz="12" w:space="0" w:color="auto"/>
            </w:tcBorders>
            <w:shd w:val="clear" w:color="auto" w:fill="auto"/>
            <w:vAlign w:val="bottom"/>
          </w:tcPr>
          <w:p w14:paraId="76580C76" w14:textId="7D73A9D6" w:rsidR="00DB672D" w:rsidRPr="008253DC" w:rsidRDefault="00DB672D" w:rsidP="00DB672D">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Institución/Cargo</w:t>
            </w:r>
          </w:p>
        </w:tc>
        <w:tc>
          <w:tcPr>
            <w:tcW w:w="1275" w:type="dxa"/>
            <w:tcBorders>
              <w:top w:val="single" w:sz="4" w:space="0" w:color="auto"/>
              <w:bottom w:val="single" w:sz="12" w:space="0" w:color="auto"/>
            </w:tcBorders>
            <w:shd w:val="clear" w:color="auto" w:fill="auto"/>
            <w:vAlign w:val="bottom"/>
          </w:tcPr>
          <w:p w14:paraId="2AE2FA70" w14:textId="594768C8" w:rsidR="00DB672D" w:rsidRPr="008253DC" w:rsidRDefault="00DB672D" w:rsidP="00DB672D">
            <w:pPr>
              <w:pStyle w:val="SingleTxtG"/>
              <w:tabs>
                <w:tab w:val="clear" w:pos="1701"/>
                <w:tab w:val="clear" w:pos="2268"/>
                <w:tab w:val="clear" w:pos="2835"/>
              </w:tabs>
              <w:spacing w:before="80" w:after="80" w:line="200" w:lineRule="exact"/>
              <w:ind w:left="57" w:right="28"/>
              <w:jc w:val="right"/>
              <w:rPr>
                <w:i/>
                <w:sz w:val="16"/>
                <w:lang w:val="es-ES_tradnl"/>
              </w:rPr>
            </w:pPr>
            <w:r w:rsidRPr="008253DC">
              <w:rPr>
                <w:i/>
                <w:sz w:val="16"/>
                <w:lang w:val="es-ES_tradnl"/>
              </w:rPr>
              <w:t>Mujeres</w:t>
            </w:r>
          </w:p>
        </w:tc>
        <w:tc>
          <w:tcPr>
            <w:tcW w:w="1133" w:type="dxa"/>
            <w:tcBorders>
              <w:top w:val="single" w:sz="4" w:space="0" w:color="auto"/>
              <w:bottom w:val="single" w:sz="12" w:space="0" w:color="auto"/>
            </w:tcBorders>
            <w:shd w:val="clear" w:color="auto" w:fill="auto"/>
            <w:vAlign w:val="bottom"/>
          </w:tcPr>
          <w:p w14:paraId="60AE5FFF" w14:textId="238BAC2E" w:rsidR="00DB672D" w:rsidRPr="008253DC" w:rsidRDefault="00DB672D" w:rsidP="00DB672D">
            <w:pPr>
              <w:pStyle w:val="SingleTxtG"/>
              <w:tabs>
                <w:tab w:val="clear" w:pos="1701"/>
                <w:tab w:val="clear" w:pos="2268"/>
                <w:tab w:val="clear" w:pos="2835"/>
              </w:tabs>
              <w:spacing w:before="80" w:after="80" w:line="200" w:lineRule="exact"/>
              <w:ind w:left="57" w:right="28"/>
              <w:jc w:val="right"/>
              <w:rPr>
                <w:i/>
                <w:sz w:val="16"/>
                <w:lang w:val="es-ES_tradnl"/>
              </w:rPr>
            </w:pPr>
            <w:r w:rsidRPr="008253DC">
              <w:rPr>
                <w:i/>
                <w:sz w:val="16"/>
                <w:lang w:val="es-ES_tradnl"/>
              </w:rPr>
              <w:t>Hombres</w:t>
            </w:r>
          </w:p>
        </w:tc>
      </w:tr>
      <w:tr w:rsidR="00DB672D" w:rsidRPr="008253DC" w14:paraId="79BF5D9E" w14:textId="77777777" w:rsidTr="00DB672D">
        <w:trPr>
          <w:trHeight w:val="240"/>
        </w:trPr>
        <w:tc>
          <w:tcPr>
            <w:tcW w:w="4962" w:type="dxa"/>
            <w:tcBorders>
              <w:top w:val="single" w:sz="12" w:space="0" w:color="auto"/>
            </w:tcBorders>
            <w:shd w:val="clear" w:color="auto" w:fill="auto"/>
          </w:tcPr>
          <w:p w14:paraId="17315FD5" w14:textId="40592D4A"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Althingi, candidatos (2017)</w:t>
            </w:r>
          </w:p>
        </w:tc>
        <w:tc>
          <w:tcPr>
            <w:tcW w:w="1275" w:type="dxa"/>
            <w:tcBorders>
              <w:top w:val="single" w:sz="12" w:space="0" w:color="auto"/>
            </w:tcBorders>
            <w:shd w:val="clear" w:color="auto" w:fill="auto"/>
            <w:vAlign w:val="bottom"/>
          </w:tcPr>
          <w:p w14:paraId="5C3622AD" w14:textId="382B3BC9"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44,6</w:t>
            </w:r>
          </w:p>
        </w:tc>
        <w:tc>
          <w:tcPr>
            <w:tcW w:w="1133" w:type="dxa"/>
            <w:tcBorders>
              <w:top w:val="single" w:sz="12" w:space="0" w:color="auto"/>
            </w:tcBorders>
            <w:shd w:val="clear" w:color="auto" w:fill="auto"/>
            <w:vAlign w:val="bottom"/>
          </w:tcPr>
          <w:p w14:paraId="23DD3ECF" w14:textId="6DA167EE"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55,4</w:t>
            </w:r>
          </w:p>
        </w:tc>
      </w:tr>
      <w:tr w:rsidR="00DB672D" w:rsidRPr="008253DC" w14:paraId="7B8FF238" w14:textId="77777777" w:rsidTr="00DB672D">
        <w:trPr>
          <w:trHeight w:val="240"/>
        </w:trPr>
        <w:tc>
          <w:tcPr>
            <w:tcW w:w="4962" w:type="dxa"/>
            <w:shd w:val="clear" w:color="auto" w:fill="auto"/>
          </w:tcPr>
          <w:p w14:paraId="3D776F1C" w14:textId="641D1476"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Althingi, representantes elegidos (2017)</w:t>
            </w:r>
          </w:p>
        </w:tc>
        <w:tc>
          <w:tcPr>
            <w:tcW w:w="1275" w:type="dxa"/>
            <w:shd w:val="clear" w:color="auto" w:fill="auto"/>
            <w:vAlign w:val="bottom"/>
          </w:tcPr>
          <w:p w14:paraId="29EE50A0" w14:textId="4AA6EE93"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38,1</w:t>
            </w:r>
          </w:p>
        </w:tc>
        <w:tc>
          <w:tcPr>
            <w:tcW w:w="1133" w:type="dxa"/>
            <w:shd w:val="clear" w:color="auto" w:fill="auto"/>
            <w:vAlign w:val="bottom"/>
          </w:tcPr>
          <w:p w14:paraId="3697E098" w14:textId="011B52FA"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61,9</w:t>
            </w:r>
          </w:p>
        </w:tc>
      </w:tr>
      <w:tr w:rsidR="00DB672D" w:rsidRPr="008253DC" w14:paraId="624BA208" w14:textId="77777777" w:rsidTr="00DB672D">
        <w:trPr>
          <w:trHeight w:val="240"/>
        </w:trPr>
        <w:tc>
          <w:tcPr>
            <w:tcW w:w="4962" w:type="dxa"/>
            <w:shd w:val="clear" w:color="auto" w:fill="auto"/>
          </w:tcPr>
          <w:p w14:paraId="5C4C47BA" w14:textId="104ADE92"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Ministros del Gobierno (2018)</w:t>
            </w:r>
          </w:p>
        </w:tc>
        <w:tc>
          <w:tcPr>
            <w:tcW w:w="1275" w:type="dxa"/>
            <w:shd w:val="clear" w:color="auto" w:fill="auto"/>
            <w:vAlign w:val="bottom"/>
          </w:tcPr>
          <w:p w14:paraId="75688E4C" w14:textId="23493ECA"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45,5</w:t>
            </w:r>
          </w:p>
        </w:tc>
        <w:tc>
          <w:tcPr>
            <w:tcW w:w="1133" w:type="dxa"/>
            <w:shd w:val="clear" w:color="auto" w:fill="auto"/>
            <w:vAlign w:val="bottom"/>
          </w:tcPr>
          <w:p w14:paraId="4727F0BF" w14:textId="4BFA8FC1"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54,5</w:t>
            </w:r>
          </w:p>
        </w:tc>
      </w:tr>
      <w:tr w:rsidR="00DB672D" w:rsidRPr="008253DC" w14:paraId="091F09A1" w14:textId="77777777" w:rsidTr="00DB672D">
        <w:trPr>
          <w:trHeight w:val="240"/>
        </w:trPr>
        <w:tc>
          <w:tcPr>
            <w:tcW w:w="4962" w:type="dxa"/>
            <w:shd w:val="clear" w:color="auto" w:fill="auto"/>
          </w:tcPr>
          <w:p w14:paraId="0A93F429" w14:textId="6669C26E"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Administraciones locales, candidatos (2018)</w:t>
            </w:r>
          </w:p>
        </w:tc>
        <w:tc>
          <w:tcPr>
            <w:tcW w:w="1275" w:type="dxa"/>
            <w:shd w:val="clear" w:color="auto" w:fill="auto"/>
            <w:vAlign w:val="bottom"/>
          </w:tcPr>
          <w:p w14:paraId="690A87E8" w14:textId="0254D9EB"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48,4</w:t>
            </w:r>
          </w:p>
        </w:tc>
        <w:tc>
          <w:tcPr>
            <w:tcW w:w="1133" w:type="dxa"/>
            <w:shd w:val="clear" w:color="auto" w:fill="auto"/>
            <w:vAlign w:val="bottom"/>
          </w:tcPr>
          <w:p w14:paraId="540CC644" w14:textId="0C38CBB0"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51,6</w:t>
            </w:r>
          </w:p>
        </w:tc>
      </w:tr>
      <w:tr w:rsidR="00DB672D" w:rsidRPr="008253DC" w14:paraId="4EBCF54F" w14:textId="77777777" w:rsidTr="00DB672D">
        <w:trPr>
          <w:trHeight w:val="240"/>
        </w:trPr>
        <w:tc>
          <w:tcPr>
            <w:tcW w:w="4962" w:type="dxa"/>
            <w:shd w:val="clear" w:color="auto" w:fill="auto"/>
          </w:tcPr>
          <w:p w14:paraId="06C120AF" w14:textId="79EAE512"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Administraciones locales, representantes elegidos (2018)</w:t>
            </w:r>
          </w:p>
        </w:tc>
        <w:tc>
          <w:tcPr>
            <w:tcW w:w="1275" w:type="dxa"/>
            <w:shd w:val="clear" w:color="auto" w:fill="auto"/>
            <w:vAlign w:val="bottom"/>
          </w:tcPr>
          <w:p w14:paraId="3A0FA015" w14:textId="4362D4F9"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47,0</w:t>
            </w:r>
          </w:p>
        </w:tc>
        <w:tc>
          <w:tcPr>
            <w:tcW w:w="1133" w:type="dxa"/>
            <w:shd w:val="clear" w:color="auto" w:fill="auto"/>
            <w:vAlign w:val="bottom"/>
          </w:tcPr>
          <w:p w14:paraId="047D1C8D" w14:textId="41911F50"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53,0</w:t>
            </w:r>
          </w:p>
        </w:tc>
      </w:tr>
      <w:tr w:rsidR="00DB672D" w:rsidRPr="008253DC" w14:paraId="3C4A05BF" w14:textId="77777777" w:rsidTr="00DB672D">
        <w:trPr>
          <w:trHeight w:val="240"/>
        </w:trPr>
        <w:tc>
          <w:tcPr>
            <w:tcW w:w="4962" w:type="dxa"/>
            <w:shd w:val="clear" w:color="auto" w:fill="auto"/>
          </w:tcPr>
          <w:p w14:paraId="421BB85B" w14:textId="776B0525"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Administradores municipales/alcaldes (2019)</w:t>
            </w:r>
          </w:p>
        </w:tc>
        <w:tc>
          <w:tcPr>
            <w:tcW w:w="1275" w:type="dxa"/>
            <w:shd w:val="clear" w:color="auto" w:fill="auto"/>
            <w:vAlign w:val="bottom"/>
          </w:tcPr>
          <w:p w14:paraId="3C7C6109" w14:textId="5FB14869"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36,0</w:t>
            </w:r>
          </w:p>
        </w:tc>
        <w:tc>
          <w:tcPr>
            <w:tcW w:w="1133" w:type="dxa"/>
            <w:shd w:val="clear" w:color="auto" w:fill="auto"/>
            <w:vAlign w:val="bottom"/>
          </w:tcPr>
          <w:p w14:paraId="0AA37848" w14:textId="2F33DA9C"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64,0</w:t>
            </w:r>
          </w:p>
        </w:tc>
      </w:tr>
      <w:tr w:rsidR="00DB672D" w:rsidRPr="008253DC" w14:paraId="5F94AB99" w14:textId="77777777" w:rsidTr="00DB672D">
        <w:trPr>
          <w:trHeight w:val="240"/>
        </w:trPr>
        <w:tc>
          <w:tcPr>
            <w:tcW w:w="4962" w:type="dxa"/>
            <w:shd w:val="clear" w:color="auto" w:fill="auto"/>
          </w:tcPr>
          <w:p w14:paraId="7ECB54F0" w14:textId="73564CD0"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Comités, consejos oficiales (2016)</w:t>
            </w:r>
          </w:p>
        </w:tc>
        <w:tc>
          <w:tcPr>
            <w:tcW w:w="1275" w:type="dxa"/>
            <w:shd w:val="clear" w:color="auto" w:fill="auto"/>
            <w:vAlign w:val="bottom"/>
          </w:tcPr>
          <w:p w14:paraId="5986723F" w14:textId="50CDC5F7"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46,0</w:t>
            </w:r>
          </w:p>
        </w:tc>
        <w:tc>
          <w:tcPr>
            <w:tcW w:w="1133" w:type="dxa"/>
            <w:shd w:val="clear" w:color="auto" w:fill="auto"/>
            <w:vAlign w:val="bottom"/>
          </w:tcPr>
          <w:p w14:paraId="15D9CCDB" w14:textId="01307F0F"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54,0</w:t>
            </w:r>
          </w:p>
        </w:tc>
      </w:tr>
      <w:tr w:rsidR="00DB672D" w:rsidRPr="008253DC" w14:paraId="19AD0514" w14:textId="77777777" w:rsidTr="00DB672D">
        <w:trPr>
          <w:trHeight w:val="240"/>
        </w:trPr>
        <w:tc>
          <w:tcPr>
            <w:tcW w:w="4962" w:type="dxa"/>
            <w:shd w:val="clear" w:color="auto" w:fill="auto"/>
          </w:tcPr>
          <w:p w14:paraId="6587F5B4" w14:textId="3C870C42"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Directores de instituciones estatales (2019)</w:t>
            </w:r>
          </w:p>
        </w:tc>
        <w:tc>
          <w:tcPr>
            <w:tcW w:w="1275" w:type="dxa"/>
            <w:shd w:val="clear" w:color="auto" w:fill="auto"/>
            <w:vAlign w:val="bottom"/>
          </w:tcPr>
          <w:p w14:paraId="2BE9F486" w14:textId="23EE2775"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42,0</w:t>
            </w:r>
          </w:p>
        </w:tc>
        <w:tc>
          <w:tcPr>
            <w:tcW w:w="1133" w:type="dxa"/>
            <w:shd w:val="clear" w:color="auto" w:fill="auto"/>
            <w:vAlign w:val="bottom"/>
          </w:tcPr>
          <w:p w14:paraId="4956955E" w14:textId="026C6C87"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58,0</w:t>
            </w:r>
          </w:p>
        </w:tc>
      </w:tr>
      <w:tr w:rsidR="00DB672D" w:rsidRPr="008253DC" w14:paraId="70AF3493" w14:textId="77777777" w:rsidTr="00DB672D">
        <w:trPr>
          <w:trHeight w:val="240"/>
        </w:trPr>
        <w:tc>
          <w:tcPr>
            <w:tcW w:w="4962" w:type="dxa"/>
            <w:shd w:val="clear" w:color="auto" w:fill="auto"/>
          </w:tcPr>
          <w:p w14:paraId="1DA88026" w14:textId="148C334A"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Embajadores (2020)</w:t>
            </w:r>
          </w:p>
        </w:tc>
        <w:tc>
          <w:tcPr>
            <w:tcW w:w="1275" w:type="dxa"/>
            <w:shd w:val="clear" w:color="auto" w:fill="auto"/>
            <w:vAlign w:val="bottom"/>
          </w:tcPr>
          <w:p w14:paraId="6448E7E7" w14:textId="619852DC"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33,4</w:t>
            </w:r>
          </w:p>
        </w:tc>
        <w:tc>
          <w:tcPr>
            <w:tcW w:w="1133" w:type="dxa"/>
            <w:shd w:val="clear" w:color="auto" w:fill="auto"/>
            <w:vAlign w:val="bottom"/>
          </w:tcPr>
          <w:p w14:paraId="5BF5684D" w14:textId="2BAF9C83"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66,6</w:t>
            </w:r>
          </w:p>
        </w:tc>
      </w:tr>
      <w:tr w:rsidR="00DB672D" w:rsidRPr="008253DC" w14:paraId="71C09B92" w14:textId="77777777" w:rsidTr="00DB672D">
        <w:trPr>
          <w:trHeight w:val="240"/>
        </w:trPr>
        <w:tc>
          <w:tcPr>
            <w:tcW w:w="4962" w:type="dxa"/>
            <w:shd w:val="clear" w:color="auto" w:fill="auto"/>
          </w:tcPr>
          <w:p w14:paraId="0C80ED1B" w14:textId="0B141839"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Jueces de tribunales de distrito (2017)</w:t>
            </w:r>
          </w:p>
        </w:tc>
        <w:tc>
          <w:tcPr>
            <w:tcW w:w="1275" w:type="dxa"/>
            <w:shd w:val="clear" w:color="auto" w:fill="auto"/>
            <w:vAlign w:val="bottom"/>
          </w:tcPr>
          <w:p w14:paraId="4914E878" w14:textId="1CF1F2E3"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42,9</w:t>
            </w:r>
          </w:p>
        </w:tc>
        <w:tc>
          <w:tcPr>
            <w:tcW w:w="1133" w:type="dxa"/>
            <w:shd w:val="clear" w:color="auto" w:fill="auto"/>
            <w:vAlign w:val="bottom"/>
          </w:tcPr>
          <w:p w14:paraId="42271E42" w14:textId="08FFC071"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57,1</w:t>
            </w:r>
          </w:p>
        </w:tc>
      </w:tr>
      <w:tr w:rsidR="00DB672D" w:rsidRPr="008253DC" w14:paraId="220698BD" w14:textId="77777777" w:rsidTr="00DB672D">
        <w:trPr>
          <w:trHeight w:val="240"/>
        </w:trPr>
        <w:tc>
          <w:tcPr>
            <w:tcW w:w="4962" w:type="dxa"/>
            <w:shd w:val="clear" w:color="auto" w:fill="auto"/>
          </w:tcPr>
          <w:p w14:paraId="051D28D4" w14:textId="56865796"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Jueces de tribunales de apelación (2021)</w:t>
            </w:r>
          </w:p>
        </w:tc>
        <w:tc>
          <w:tcPr>
            <w:tcW w:w="1275" w:type="dxa"/>
            <w:shd w:val="clear" w:color="auto" w:fill="auto"/>
            <w:vAlign w:val="bottom"/>
          </w:tcPr>
          <w:p w14:paraId="4AB3F900" w14:textId="7ADAF998"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40,0</w:t>
            </w:r>
          </w:p>
        </w:tc>
        <w:tc>
          <w:tcPr>
            <w:tcW w:w="1133" w:type="dxa"/>
            <w:shd w:val="clear" w:color="auto" w:fill="auto"/>
            <w:vAlign w:val="bottom"/>
          </w:tcPr>
          <w:p w14:paraId="75644060" w14:textId="3DA62FD5"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60,0</w:t>
            </w:r>
          </w:p>
        </w:tc>
      </w:tr>
      <w:tr w:rsidR="00DB672D" w:rsidRPr="008253DC" w14:paraId="5074B54E" w14:textId="77777777" w:rsidTr="00DB672D">
        <w:trPr>
          <w:trHeight w:val="240"/>
        </w:trPr>
        <w:tc>
          <w:tcPr>
            <w:tcW w:w="4962" w:type="dxa"/>
            <w:shd w:val="clear" w:color="auto" w:fill="auto"/>
          </w:tcPr>
          <w:p w14:paraId="721E59DB" w14:textId="2B85E2B6"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Jueces del Tribunal Supremo (2021)</w:t>
            </w:r>
          </w:p>
        </w:tc>
        <w:tc>
          <w:tcPr>
            <w:tcW w:w="1275" w:type="dxa"/>
            <w:shd w:val="clear" w:color="auto" w:fill="auto"/>
            <w:vAlign w:val="bottom"/>
          </w:tcPr>
          <w:p w14:paraId="116A268A" w14:textId="4A571BE9"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42,9</w:t>
            </w:r>
          </w:p>
        </w:tc>
        <w:tc>
          <w:tcPr>
            <w:tcW w:w="1133" w:type="dxa"/>
            <w:shd w:val="clear" w:color="auto" w:fill="auto"/>
            <w:vAlign w:val="bottom"/>
          </w:tcPr>
          <w:p w14:paraId="305538E7" w14:textId="0AD6918A"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57,1</w:t>
            </w:r>
          </w:p>
        </w:tc>
      </w:tr>
      <w:tr w:rsidR="00DB672D" w:rsidRPr="008253DC" w14:paraId="34C000E7" w14:textId="77777777" w:rsidTr="00DB672D">
        <w:trPr>
          <w:trHeight w:val="240"/>
        </w:trPr>
        <w:tc>
          <w:tcPr>
            <w:tcW w:w="4962" w:type="dxa"/>
            <w:shd w:val="clear" w:color="auto" w:fill="auto"/>
          </w:tcPr>
          <w:p w14:paraId="285C64CD" w14:textId="649A1114"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Directores de empresas activas (2017)</w:t>
            </w:r>
          </w:p>
        </w:tc>
        <w:tc>
          <w:tcPr>
            <w:tcW w:w="1275" w:type="dxa"/>
            <w:shd w:val="clear" w:color="auto" w:fill="auto"/>
            <w:vAlign w:val="bottom"/>
          </w:tcPr>
          <w:p w14:paraId="7B93E2C9" w14:textId="058E2414"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22,0</w:t>
            </w:r>
          </w:p>
        </w:tc>
        <w:tc>
          <w:tcPr>
            <w:tcW w:w="1133" w:type="dxa"/>
            <w:shd w:val="clear" w:color="auto" w:fill="auto"/>
            <w:vAlign w:val="bottom"/>
          </w:tcPr>
          <w:p w14:paraId="737042CF" w14:textId="390AD7C0"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78,0</w:t>
            </w:r>
          </w:p>
        </w:tc>
      </w:tr>
      <w:tr w:rsidR="00DB672D" w:rsidRPr="008253DC" w14:paraId="4113665F" w14:textId="77777777" w:rsidTr="00DB672D">
        <w:trPr>
          <w:trHeight w:val="240"/>
        </w:trPr>
        <w:tc>
          <w:tcPr>
            <w:tcW w:w="4962" w:type="dxa"/>
            <w:shd w:val="clear" w:color="auto" w:fill="auto"/>
          </w:tcPr>
          <w:p w14:paraId="44EF6194" w14:textId="7003BB56"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Presidentes de empresas activas (2017)</w:t>
            </w:r>
          </w:p>
        </w:tc>
        <w:tc>
          <w:tcPr>
            <w:tcW w:w="1275" w:type="dxa"/>
            <w:shd w:val="clear" w:color="auto" w:fill="auto"/>
            <w:vAlign w:val="bottom"/>
          </w:tcPr>
          <w:p w14:paraId="2E7F456E" w14:textId="5A36C33C"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24,0</w:t>
            </w:r>
          </w:p>
        </w:tc>
        <w:tc>
          <w:tcPr>
            <w:tcW w:w="1133" w:type="dxa"/>
            <w:shd w:val="clear" w:color="auto" w:fill="auto"/>
            <w:vAlign w:val="bottom"/>
          </w:tcPr>
          <w:p w14:paraId="63975E8E" w14:textId="01ECAB58"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76,0</w:t>
            </w:r>
          </w:p>
        </w:tc>
      </w:tr>
      <w:tr w:rsidR="00DB672D" w:rsidRPr="008253DC" w14:paraId="1069ED29" w14:textId="77777777" w:rsidTr="00DB672D">
        <w:trPr>
          <w:trHeight w:val="240"/>
        </w:trPr>
        <w:tc>
          <w:tcPr>
            <w:tcW w:w="4962" w:type="dxa"/>
            <w:shd w:val="clear" w:color="auto" w:fill="auto"/>
          </w:tcPr>
          <w:p w14:paraId="204B1CDC" w14:textId="6F75FA93"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Junta Directiva de empresas activas (2017)</w:t>
            </w:r>
          </w:p>
        </w:tc>
        <w:tc>
          <w:tcPr>
            <w:tcW w:w="1275" w:type="dxa"/>
            <w:shd w:val="clear" w:color="auto" w:fill="auto"/>
            <w:vAlign w:val="bottom"/>
          </w:tcPr>
          <w:p w14:paraId="7C9EEF4C" w14:textId="1C1ACEAC"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26,0</w:t>
            </w:r>
          </w:p>
        </w:tc>
        <w:tc>
          <w:tcPr>
            <w:tcW w:w="1133" w:type="dxa"/>
            <w:shd w:val="clear" w:color="auto" w:fill="auto"/>
            <w:vAlign w:val="bottom"/>
          </w:tcPr>
          <w:p w14:paraId="784F2C78" w14:textId="4B774ADD"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74,0</w:t>
            </w:r>
          </w:p>
        </w:tc>
      </w:tr>
      <w:tr w:rsidR="00DB672D" w:rsidRPr="008253DC" w14:paraId="7F1F8A0C" w14:textId="77777777" w:rsidTr="00DB672D">
        <w:trPr>
          <w:trHeight w:val="240"/>
        </w:trPr>
        <w:tc>
          <w:tcPr>
            <w:tcW w:w="4962" w:type="dxa"/>
            <w:tcBorders>
              <w:bottom w:val="single" w:sz="12" w:space="0" w:color="auto"/>
            </w:tcBorders>
            <w:shd w:val="clear" w:color="auto" w:fill="auto"/>
          </w:tcPr>
          <w:p w14:paraId="4ABBF138" w14:textId="3A7FEAD5" w:rsidR="00DB672D" w:rsidRPr="008253DC" w:rsidRDefault="00DB672D" w:rsidP="00DB672D">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Miembros de asociaciones de periodistas (2017)</w:t>
            </w:r>
          </w:p>
        </w:tc>
        <w:tc>
          <w:tcPr>
            <w:tcW w:w="1275" w:type="dxa"/>
            <w:tcBorders>
              <w:bottom w:val="single" w:sz="12" w:space="0" w:color="auto"/>
            </w:tcBorders>
            <w:shd w:val="clear" w:color="auto" w:fill="auto"/>
            <w:vAlign w:val="bottom"/>
          </w:tcPr>
          <w:p w14:paraId="2721DB72" w14:textId="5860D275"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38,3</w:t>
            </w:r>
          </w:p>
        </w:tc>
        <w:tc>
          <w:tcPr>
            <w:tcW w:w="1133" w:type="dxa"/>
            <w:tcBorders>
              <w:bottom w:val="single" w:sz="12" w:space="0" w:color="auto"/>
            </w:tcBorders>
            <w:shd w:val="clear" w:color="auto" w:fill="auto"/>
            <w:vAlign w:val="bottom"/>
          </w:tcPr>
          <w:p w14:paraId="58EC5FAE" w14:textId="1576AD9F" w:rsidR="00DB672D" w:rsidRPr="008253DC" w:rsidRDefault="00DB672D" w:rsidP="00DB672D">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61,7</w:t>
            </w:r>
          </w:p>
        </w:tc>
      </w:tr>
    </w:tbl>
    <w:p w14:paraId="59A312AA" w14:textId="608823EB" w:rsidR="00C619FA" w:rsidRPr="008253DC" w:rsidRDefault="00C619FA" w:rsidP="00DB672D">
      <w:pPr>
        <w:pStyle w:val="SingleTxtG"/>
        <w:spacing w:before="240"/>
        <w:rPr>
          <w:i/>
          <w:iCs/>
          <w:lang w:val="es-ES_tradnl"/>
        </w:rPr>
      </w:pPr>
      <w:r w:rsidRPr="008253DC">
        <w:rPr>
          <w:i/>
          <w:iCs/>
          <w:lang w:val="es-ES_tradnl"/>
        </w:rPr>
        <w:t>En el cuadro que figura a continuación se muestra la participación en las elecciones (porcentaje) (2014-2020)</w:t>
      </w:r>
      <w:r w:rsidR="00DB672D" w:rsidRPr="008253DC">
        <w:rPr>
          <w:i/>
          <w:iCs/>
          <w:lang w:val="es-ES_tradnl"/>
        </w:rPr>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CA57F3" w:rsidRPr="008253DC" w14:paraId="50C3D0F9" w14:textId="77777777" w:rsidTr="00CA57F3">
        <w:trPr>
          <w:trHeight w:val="240"/>
          <w:tblHeader/>
        </w:trPr>
        <w:tc>
          <w:tcPr>
            <w:tcW w:w="3685" w:type="dxa"/>
            <w:tcBorders>
              <w:top w:val="single" w:sz="4" w:space="0" w:color="auto"/>
              <w:bottom w:val="single" w:sz="12" w:space="0" w:color="auto"/>
            </w:tcBorders>
            <w:shd w:val="clear" w:color="auto" w:fill="auto"/>
            <w:vAlign w:val="bottom"/>
          </w:tcPr>
          <w:p w14:paraId="3FE79E6C" w14:textId="26E02995" w:rsidR="00CA57F3" w:rsidRPr="008253DC" w:rsidRDefault="00CA57F3" w:rsidP="00CA57F3">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Elecciones</w:t>
            </w:r>
          </w:p>
        </w:tc>
        <w:tc>
          <w:tcPr>
            <w:tcW w:w="3685" w:type="dxa"/>
            <w:tcBorders>
              <w:top w:val="single" w:sz="4" w:space="0" w:color="auto"/>
              <w:bottom w:val="single" w:sz="12" w:space="0" w:color="auto"/>
            </w:tcBorders>
            <w:shd w:val="clear" w:color="auto" w:fill="auto"/>
            <w:vAlign w:val="bottom"/>
          </w:tcPr>
          <w:p w14:paraId="33B563D6" w14:textId="44BAEB79" w:rsidR="00CA57F3" w:rsidRPr="008253DC" w:rsidRDefault="00CA57F3" w:rsidP="00CA57F3">
            <w:pPr>
              <w:pStyle w:val="SingleTxtG"/>
              <w:tabs>
                <w:tab w:val="clear" w:pos="1701"/>
                <w:tab w:val="clear" w:pos="2268"/>
                <w:tab w:val="clear" w:pos="2835"/>
              </w:tabs>
              <w:spacing w:before="80" w:after="80" w:line="200" w:lineRule="exact"/>
              <w:ind w:left="57" w:right="28"/>
              <w:jc w:val="right"/>
              <w:rPr>
                <w:i/>
                <w:sz w:val="16"/>
                <w:lang w:val="es-ES_tradnl"/>
              </w:rPr>
            </w:pPr>
            <w:r w:rsidRPr="008253DC">
              <w:rPr>
                <w:i/>
                <w:iCs/>
                <w:sz w:val="16"/>
                <w:lang w:val="es-ES_tradnl"/>
              </w:rPr>
              <w:t>Total</w:t>
            </w:r>
          </w:p>
        </w:tc>
      </w:tr>
      <w:tr w:rsidR="00CA57F3" w:rsidRPr="008253DC" w14:paraId="28C670DD" w14:textId="77777777" w:rsidTr="00CA57F3">
        <w:trPr>
          <w:trHeight w:val="240"/>
        </w:trPr>
        <w:tc>
          <w:tcPr>
            <w:tcW w:w="3685" w:type="dxa"/>
            <w:tcBorders>
              <w:top w:val="single" w:sz="12" w:space="0" w:color="auto"/>
            </w:tcBorders>
            <w:shd w:val="clear" w:color="auto" w:fill="auto"/>
          </w:tcPr>
          <w:p w14:paraId="0334BE32" w14:textId="45ED5F51" w:rsidR="00CA57F3" w:rsidRPr="008253DC" w:rsidRDefault="00CA57F3" w:rsidP="00CA57F3">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Elecciones municipales (2014)</w:t>
            </w:r>
          </w:p>
        </w:tc>
        <w:tc>
          <w:tcPr>
            <w:tcW w:w="3685" w:type="dxa"/>
            <w:tcBorders>
              <w:top w:val="single" w:sz="12" w:space="0" w:color="auto"/>
            </w:tcBorders>
            <w:shd w:val="clear" w:color="auto" w:fill="auto"/>
            <w:vAlign w:val="bottom"/>
          </w:tcPr>
          <w:p w14:paraId="1971408F" w14:textId="3E6E7840" w:rsidR="00CA57F3" w:rsidRPr="008253DC" w:rsidRDefault="00CA57F3" w:rsidP="00CA57F3">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66,5</w:t>
            </w:r>
          </w:p>
        </w:tc>
      </w:tr>
      <w:tr w:rsidR="00CA57F3" w:rsidRPr="008253DC" w14:paraId="6CDAD0EE" w14:textId="77777777" w:rsidTr="00CA57F3">
        <w:trPr>
          <w:trHeight w:val="240"/>
        </w:trPr>
        <w:tc>
          <w:tcPr>
            <w:tcW w:w="3685" w:type="dxa"/>
            <w:shd w:val="clear" w:color="auto" w:fill="auto"/>
          </w:tcPr>
          <w:p w14:paraId="5FE4A0A1" w14:textId="2F07FBAE" w:rsidR="00CA57F3" w:rsidRPr="008253DC" w:rsidRDefault="00CA57F3" w:rsidP="00CA57F3">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Elecciones presidenciales (2016)</w:t>
            </w:r>
          </w:p>
        </w:tc>
        <w:tc>
          <w:tcPr>
            <w:tcW w:w="3685" w:type="dxa"/>
            <w:shd w:val="clear" w:color="auto" w:fill="auto"/>
            <w:vAlign w:val="bottom"/>
          </w:tcPr>
          <w:p w14:paraId="60F3323A" w14:textId="604F002D" w:rsidR="00CA57F3" w:rsidRPr="008253DC" w:rsidRDefault="00CA57F3" w:rsidP="00CA57F3">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75,7</w:t>
            </w:r>
          </w:p>
        </w:tc>
      </w:tr>
      <w:tr w:rsidR="00CA57F3" w:rsidRPr="008253DC" w14:paraId="2D50F7FD" w14:textId="77777777" w:rsidTr="00CA57F3">
        <w:trPr>
          <w:trHeight w:val="240"/>
        </w:trPr>
        <w:tc>
          <w:tcPr>
            <w:tcW w:w="3685" w:type="dxa"/>
            <w:shd w:val="clear" w:color="auto" w:fill="auto"/>
          </w:tcPr>
          <w:p w14:paraId="218E2FF3" w14:textId="51C6A081" w:rsidR="00CA57F3" w:rsidRPr="008253DC" w:rsidRDefault="00CA57F3" w:rsidP="00CA57F3">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Elecciones presidenciales (2020)</w:t>
            </w:r>
          </w:p>
        </w:tc>
        <w:tc>
          <w:tcPr>
            <w:tcW w:w="3685" w:type="dxa"/>
            <w:shd w:val="clear" w:color="auto" w:fill="auto"/>
            <w:vAlign w:val="bottom"/>
          </w:tcPr>
          <w:p w14:paraId="66D24FEC" w14:textId="4C084CC1" w:rsidR="00CA57F3" w:rsidRPr="008253DC" w:rsidRDefault="00CA57F3" w:rsidP="00CA57F3">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66,9</w:t>
            </w:r>
          </w:p>
        </w:tc>
      </w:tr>
      <w:tr w:rsidR="00CA57F3" w:rsidRPr="008253DC" w14:paraId="7989BCC3" w14:textId="77777777" w:rsidTr="00CA57F3">
        <w:trPr>
          <w:trHeight w:val="240"/>
        </w:trPr>
        <w:tc>
          <w:tcPr>
            <w:tcW w:w="3685" w:type="dxa"/>
            <w:shd w:val="clear" w:color="auto" w:fill="auto"/>
          </w:tcPr>
          <w:p w14:paraId="164663ED" w14:textId="7575646C" w:rsidR="00CA57F3" w:rsidRPr="008253DC" w:rsidRDefault="00CA57F3" w:rsidP="00CA57F3">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Elecciones generales (2016)</w:t>
            </w:r>
          </w:p>
        </w:tc>
        <w:tc>
          <w:tcPr>
            <w:tcW w:w="3685" w:type="dxa"/>
            <w:shd w:val="clear" w:color="auto" w:fill="auto"/>
            <w:vAlign w:val="bottom"/>
          </w:tcPr>
          <w:p w14:paraId="25744BB9" w14:textId="339A7B0C" w:rsidR="00CA57F3" w:rsidRPr="008253DC" w:rsidRDefault="00CA57F3" w:rsidP="00CA57F3">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79,2</w:t>
            </w:r>
          </w:p>
        </w:tc>
      </w:tr>
      <w:tr w:rsidR="00CA57F3" w:rsidRPr="008253DC" w14:paraId="69387BFD" w14:textId="77777777" w:rsidTr="00CA57F3">
        <w:trPr>
          <w:trHeight w:val="240"/>
        </w:trPr>
        <w:tc>
          <w:tcPr>
            <w:tcW w:w="3685" w:type="dxa"/>
            <w:shd w:val="clear" w:color="auto" w:fill="auto"/>
          </w:tcPr>
          <w:p w14:paraId="341B8CC3" w14:textId="486F3FEB" w:rsidR="00CA57F3" w:rsidRPr="008253DC" w:rsidRDefault="00CA57F3" w:rsidP="00CA57F3">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Elecciones generales (2017)</w:t>
            </w:r>
          </w:p>
        </w:tc>
        <w:tc>
          <w:tcPr>
            <w:tcW w:w="3685" w:type="dxa"/>
            <w:shd w:val="clear" w:color="auto" w:fill="auto"/>
            <w:vAlign w:val="bottom"/>
          </w:tcPr>
          <w:p w14:paraId="1FF3DB80" w14:textId="6EF3FBED" w:rsidR="00CA57F3" w:rsidRPr="008253DC" w:rsidRDefault="00CA57F3" w:rsidP="00CA57F3">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81,2</w:t>
            </w:r>
          </w:p>
        </w:tc>
      </w:tr>
      <w:tr w:rsidR="00CA57F3" w:rsidRPr="008253DC" w14:paraId="376ACE4A" w14:textId="77777777" w:rsidTr="00CA57F3">
        <w:trPr>
          <w:trHeight w:val="240"/>
        </w:trPr>
        <w:tc>
          <w:tcPr>
            <w:tcW w:w="3685" w:type="dxa"/>
            <w:tcBorders>
              <w:bottom w:val="single" w:sz="12" w:space="0" w:color="auto"/>
            </w:tcBorders>
            <w:shd w:val="clear" w:color="auto" w:fill="auto"/>
          </w:tcPr>
          <w:p w14:paraId="36F9857B" w14:textId="21149FF8" w:rsidR="00CA57F3" w:rsidRPr="008253DC" w:rsidRDefault="00CA57F3" w:rsidP="00CA57F3">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Elecciones municipales (2018)</w:t>
            </w:r>
          </w:p>
        </w:tc>
        <w:tc>
          <w:tcPr>
            <w:tcW w:w="3685" w:type="dxa"/>
            <w:tcBorders>
              <w:bottom w:val="single" w:sz="12" w:space="0" w:color="auto"/>
            </w:tcBorders>
            <w:shd w:val="clear" w:color="auto" w:fill="auto"/>
            <w:vAlign w:val="bottom"/>
          </w:tcPr>
          <w:p w14:paraId="1D82A118" w14:textId="2F49C416" w:rsidR="00CA57F3" w:rsidRPr="008253DC" w:rsidRDefault="00CA57F3" w:rsidP="00CA57F3">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67,6</w:t>
            </w:r>
          </w:p>
        </w:tc>
      </w:tr>
    </w:tbl>
    <w:p w14:paraId="48024661" w14:textId="77777777" w:rsidR="00C619FA" w:rsidRPr="008253DC" w:rsidRDefault="00C619FA" w:rsidP="00CA57F3">
      <w:pPr>
        <w:pStyle w:val="H23G"/>
        <w:rPr>
          <w:lang w:val="es-ES_tradnl"/>
        </w:rPr>
      </w:pPr>
      <w:r w:rsidRPr="008253DC">
        <w:rPr>
          <w:lang w:val="es-ES_tradnl"/>
        </w:rPr>
        <w:tab/>
        <w:t>3.</w:t>
      </w:r>
      <w:r w:rsidRPr="008253DC">
        <w:rPr>
          <w:lang w:val="es-ES_tradnl"/>
        </w:rPr>
        <w:tab/>
        <w:t>Gobierno de Islandia</w:t>
      </w:r>
    </w:p>
    <w:p w14:paraId="1A52D008" w14:textId="576952E1" w:rsidR="00C619FA" w:rsidRPr="008253DC" w:rsidRDefault="00C619FA" w:rsidP="00C619FA">
      <w:pPr>
        <w:pStyle w:val="SingleTxtG"/>
        <w:rPr>
          <w:lang w:val="es-ES_tradnl"/>
        </w:rPr>
      </w:pPr>
      <w:r w:rsidRPr="008253DC">
        <w:rPr>
          <w:lang w:val="es-ES_tradnl"/>
        </w:rPr>
        <w:t>39.</w:t>
      </w:r>
      <w:r w:rsidRPr="008253DC">
        <w:rPr>
          <w:lang w:val="es-ES_tradnl"/>
        </w:rPr>
        <w:tab/>
        <w:t>El Gobierno está formado por el partido o los partidos con mayoría de escaños en el Althingi o por una minoría capaz de gobernar. Así pues, el electorado elige indirectamente al Gobierno, el cual está integrado por el Primer Ministro y varios ministros (en total, 11</w:t>
      </w:r>
      <w:r w:rsidR="00446976" w:rsidRPr="008253DC">
        <w:rPr>
          <w:lang w:val="es-ES_tradnl"/>
        </w:rPr>
        <w:t> </w:t>
      </w:r>
      <w:r w:rsidRPr="008253DC">
        <w:rPr>
          <w:lang w:val="es-ES_tradnl"/>
        </w:rPr>
        <w:t xml:space="preserve">ministros, desde el 30 de noviembre de 2017). La Oficina del Primer Ministro brinda ayuda al Primer Ministro para dirigir y coordinar la labor del Gobierno. Los ministerios se encargan de ejecutar las políticas acordadas por los ministros en los diversos sectores de la </w:t>
      </w:r>
      <w:r w:rsidRPr="008253DC">
        <w:rPr>
          <w:lang w:val="es-ES_tradnl"/>
        </w:rPr>
        <w:lastRenderedPageBreak/>
        <w:t>administración pública. Los ministros son responsables de todos los actos ejecutivos y su responsabilidad se establece por ley.</w:t>
      </w:r>
    </w:p>
    <w:p w14:paraId="76037FBF" w14:textId="77777777" w:rsidR="00C619FA" w:rsidRPr="008253DC" w:rsidRDefault="00C619FA" w:rsidP="00CA57F3">
      <w:pPr>
        <w:pStyle w:val="H23G"/>
        <w:rPr>
          <w:lang w:val="es-ES_tradnl"/>
        </w:rPr>
      </w:pPr>
      <w:r w:rsidRPr="008253DC">
        <w:rPr>
          <w:lang w:val="es-ES_tradnl"/>
        </w:rPr>
        <w:tab/>
        <w:t>4.</w:t>
      </w:r>
      <w:r w:rsidRPr="008253DC">
        <w:rPr>
          <w:lang w:val="es-ES_tradnl"/>
        </w:rPr>
        <w:tab/>
        <w:t>Municipios</w:t>
      </w:r>
    </w:p>
    <w:p w14:paraId="7F48AF1B" w14:textId="313C17D9" w:rsidR="00C619FA" w:rsidRPr="008253DC" w:rsidRDefault="00C619FA" w:rsidP="00340CFB">
      <w:pPr>
        <w:pStyle w:val="SingleTxtG"/>
        <w:spacing w:after="130"/>
        <w:rPr>
          <w:lang w:val="es-ES_tradnl"/>
        </w:rPr>
      </w:pPr>
      <w:r w:rsidRPr="008253DC">
        <w:rPr>
          <w:lang w:val="es-ES_tradnl"/>
        </w:rPr>
        <w:t>40.</w:t>
      </w:r>
      <w:r w:rsidRPr="008253DC">
        <w:rPr>
          <w:lang w:val="es-ES_tradnl"/>
        </w:rPr>
        <w:tab/>
        <w:t>Islandia está dividida en 72 municipios (2019). El Gobierno delega poderes autónomos en determinadas esferas de política a los consejos municipales, según lo establecido en la legislación. Gran parte de la administración pública también se lleva a cabo a ese nivel. Las autoridades locales son responsables de numerosos proyectos y servicios públicos, entre otras cosas, del funcionamiento de los centros de educación preescolar y obligatoria y las escuelas de música.</w:t>
      </w:r>
    </w:p>
    <w:p w14:paraId="22728E3B" w14:textId="77777777" w:rsidR="00C619FA" w:rsidRPr="008253DC" w:rsidRDefault="00C619FA" w:rsidP="00340CFB">
      <w:pPr>
        <w:pStyle w:val="SingleTxtG"/>
        <w:spacing w:after="130"/>
        <w:rPr>
          <w:lang w:val="es-ES_tradnl"/>
        </w:rPr>
      </w:pPr>
      <w:r w:rsidRPr="008253DC">
        <w:rPr>
          <w:lang w:val="es-ES_tradnl"/>
        </w:rPr>
        <w:t>41.</w:t>
      </w:r>
      <w:r w:rsidRPr="008253DC">
        <w:rPr>
          <w:lang w:val="es-ES_tradnl"/>
        </w:rPr>
        <w:tab/>
        <w:t>Antes de que se celebraran elecciones nacionales en Islandia, el 10 de mayo de 2003, se efectuaron cambios para dividir el país en seis circunscripciones: los distritos del noroeste y nordeste, sur y sudoeste, norte de Reikiavik y sur de Reikiavik. Antes, Islandia estaba dividida en ocho circunscripciones.</w:t>
      </w:r>
    </w:p>
    <w:p w14:paraId="1FC724CF" w14:textId="07B1394D" w:rsidR="00C619FA" w:rsidRPr="008253DC" w:rsidRDefault="00C619FA" w:rsidP="00340CFB">
      <w:pPr>
        <w:pStyle w:val="SingleTxtG"/>
        <w:spacing w:after="130"/>
        <w:rPr>
          <w:lang w:val="es-ES_tradnl"/>
        </w:rPr>
      </w:pPr>
      <w:r w:rsidRPr="008253DC">
        <w:rPr>
          <w:lang w:val="es-ES_tradnl"/>
        </w:rPr>
        <w:t>42.</w:t>
      </w:r>
      <w:r w:rsidRPr="008253DC">
        <w:rPr>
          <w:lang w:val="es-ES_tradnl"/>
        </w:rPr>
        <w:tab/>
        <w:t>Las elecciones a los consejos municipales se celebran cada cuatro años. La participación electoral en las últimas elecciones, celebradas en mayo de 2018, fue del 67,6</w:t>
      </w:r>
      <w:r w:rsidR="00446976" w:rsidRPr="008253DC">
        <w:rPr>
          <w:lang w:val="es-ES_tradnl"/>
        </w:rPr>
        <w:t> </w:t>
      </w:r>
      <w:r w:rsidRPr="008253DC">
        <w:rPr>
          <w:lang w:val="es-ES_tradnl"/>
        </w:rPr>
        <w:t>%.</w:t>
      </w:r>
    </w:p>
    <w:p w14:paraId="35DBD598" w14:textId="77777777" w:rsidR="00C619FA" w:rsidRPr="008253DC" w:rsidRDefault="00C619FA" w:rsidP="00CA57F3">
      <w:pPr>
        <w:pStyle w:val="H23G"/>
        <w:rPr>
          <w:lang w:val="es-ES_tradnl"/>
        </w:rPr>
      </w:pPr>
      <w:r w:rsidRPr="008253DC">
        <w:rPr>
          <w:lang w:val="es-ES_tradnl"/>
        </w:rPr>
        <w:tab/>
        <w:t>5.</w:t>
      </w:r>
      <w:r w:rsidRPr="008253DC">
        <w:rPr>
          <w:lang w:val="es-ES_tradnl"/>
        </w:rPr>
        <w:tab/>
        <w:t>Estructura jurídica</w:t>
      </w:r>
    </w:p>
    <w:p w14:paraId="4D9DEB21" w14:textId="77777777" w:rsidR="00C619FA" w:rsidRPr="008253DC" w:rsidRDefault="00C619FA" w:rsidP="00340CFB">
      <w:pPr>
        <w:pStyle w:val="SingleTxtG"/>
        <w:spacing w:after="130"/>
        <w:rPr>
          <w:lang w:val="es-ES_tradnl"/>
        </w:rPr>
      </w:pPr>
      <w:r w:rsidRPr="008253DC">
        <w:rPr>
          <w:lang w:val="es-ES_tradnl"/>
        </w:rPr>
        <w:t>43.</w:t>
      </w:r>
      <w:r w:rsidRPr="008253DC">
        <w:rPr>
          <w:lang w:val="es-ES_tradnl"/>
        </w:rPr>
        <w:tab/>
        <w:t>La administración de justicia está a cargo de los tribunales de justicia. El 1 de enero de 2018, se introdujo un nuevo nivel judicial en Islandia en reemplazo de los dos niveles anteriores, por un sistema de tres niveles. El nuevo tribunal es el Tribunal de Apelación, que es un tribunal de segunda instancia, entre el Tribunal de Distrito y el Tribunal Supremo, máxima instancia judicial. En Islandia, todas las acciones judiciales</w:t>
      </w:r>
      <w:r w:rsidRPr="008253DC">
        <w:rPr>
          <w:b/>
          <w:bCs/>
          <w:lang w:val="es-ES_tradnl"/>
        </w:rPr>
        <w:t xml:space="preserve"> </w:t>
      </w:r>
      <w:r w:rsidRPr="008253DC">
        <w:rPr>
          <w:lang w:val="es-ES_tradnl"/>
        </w:rPr>
        <w:t>se inician en los tribunales de distrito. Hay ocho tribunales de distrito por todo el país. La conclusión de un Tribunal de Distrito puede apelarse ante el Tribunal de Apelación, siempre y cuando se satisfagan las condiciones específicas del recurso. En la mayoría de los casos, la sentencia del Tribunal de Apelación será la resolución final en la causa, aunque en casos excepcionales, y una vez que el Tribunal Supremo lo autorice, se podrá remitir la conclusión del Tribunal de Apelación al Tribunal Supremo.</w:t>
      </w:r>
    </w:p>
    <w:p w14:paraId="3E5232B2" w14:textId="1B12E102" w:rsidR="00C619FA" w:rsidRPr="008253DC" w:rsidRDefault="00C619FA" w:rsidP="00340CFB">
      <w:pPr>
        <w:pStyle w:val="SingleTxtG"/>
        <w:spacing w:after="130"/>
        <w:rPr>
          <w:lang w:val="es-ES_tradnl"/>
        </w:rPr>
      </w:pPr>
      <w:r w:rsidRPr="008253DC">
        <w:rPr>
          <w:lang w:val="es-ES_tradnl"/>
        </w:rPr>
        <w:t>44.</w:t>
      </w:r>
      <w:r w:rsidRPr="008253DC">
        <w:rPr>
          <w:lang w:val="es-ES_tradnl"/>
        </w:rPr>
        <w:tab/>
        <w:t xml:space="preserve">Además de los tribunales de distrito y el Tribunal Supremo, en Islandia hay dos tribunales especiales: el Tribunal especial para juzgar a ministros y el Tribunal del Trabajo. El Tribunal especial se ocupa exclusivamente de los casos de presuntos delitos cometidos por ministros del Gobierno, según el dictamen del Parlamento de Islandia (Althingi). Tras la crisis económica de 2008, dicho </w:t>
      </w:r>
      <w:r w:rsidR="0060200B" w:rsidRPr="008253DC">
        <w:rPr>
          <w:lang w:val="es-ES_tradnl"/>
        </w:rPr>
        <w:t>t</w:t>
      </w:r>
      <w:r w:rsidRPr="008253DC">
        <w:rPr>
          <w:lang w:val="es-ES_tradnl"/>
        </w:rPr>
        <w:t>ribunal solo ha tramitado un caso. La función del Tribunal del Trabajo es dictar sentencia en los litigios entre los interlocutores sociales, con arreglo a la Ley de Sindicatos y Conflictos Laborales.</w:t>
      </w:r>
    </w:p>
    <w:p w14:paraId="726FAB1B" w14:textId="2647EA47" w:rsidR="00C619FA" w:rsidRPr="008253DC" w:rsidRDefault="00C619FA" w:rsidP="00340CFB">
      <w:pPr>
        <w:pStyle w:val="SingleTxtG"/>
        <w:spacing w:after="130"/>
        <w:rPr>
          <w:lang w:val="es-ES_tradnl"/>
        </w:rPr>
      </w:pPr>
      <w:r w:rsidRPr="008253DC">
        <w:rPr>
          <w:lang w:val="es-ES_tradnl"/>
        </w:rPr>
        <w:t>45.</w:t>
      </w:r>
      <w:r w:rsidRPr="008253DC">
        <w:rPr>
          <w:lang w:val="es-ES_tradnl"/>
        </w:rPr>
        <w:tab/>
        <w:t>La Administración Judicial, un nuevo organismo público, también comenzó su actividad el 1 de enero de 2018. El papel de la Administración Judicial consiste en velar por la labor administrativa de todos los tribunales y representar sus intereses ante el Gobierno, los medios de comunicación y otros partidos. La Administración Judicial es una institución independiente.</w:t>
      </w:r>
    </w:p>
    <w:p w14:paraId="41041FD9" w14:textId="77777777" w:rsidR="00C619FA" w:rsidRPr="008253DC" w:rsidRDefault="00C619FA" w:rsidP="00340CFB">
      <w:pPr>
        <w:pStyle w:val="SingleTxtG"/>
        <w:spacing w:after="130"/>
        <w:rPr>
          <w:lang w:val="es-ES_tradnl"/>
        </w:rPr>
      </w:pPr>
      <w:r w:rsidRPr="008253DC">
        <w:rPr>
          <w:lang w:val="es-ES_tradnl"/>
        </w:rPr>
        <w:t>46.</w:t>
      </w:r>
      <w:r w:rsidRPr="008253DC">
        <w:rPr>
          <w:lang w:val="es-ES_tradnl"/>
        </w:rPr>
        <w:tab/>
        <w:t>El Ombudsman Parlamentario supervisa los organismos de la administración pública. Asimismo, supervisa la administración del Estado y a las autoridades locales. Otra de sus funciones es proteger los derechos de los ciudadanos frente a las autoridades. Además, tramita las quejas relativas a las decisiones administrativas a nivel gubernamental y municipal, y también puede emprender la investigación de cualquier asunto.</w:t>
      </w:r>
    </w:p>
    <w:p w14:paraId="5646972E" w14:textId="77777777" w:rsidR="00C619FA" w:rsidRPr="008253DC" w:rsidRDefault="00C619FA" w:rsidP="00340CFB">
      <w:pPr>
        <w:pStyle w:val="SingleTxtG"/>
        <w:spacing w:after="130"/>
        <w:rPr>
          <w:lang w:val="es-ES_tradnl"/>
        </w:rPr>
      </w:pPr>
      <w:r w:rsidRPr="008253DC">
        <w:rPr>
          <w:lang w:val="es-ES_tradnl"/>
        </w:rPr>
        <w:t>47.</w:t>
      </w:r>
      <w:r w:rsidRPr="008253DC">
        <w:rPr>
          <w:lang w:val="es-ES_tradnl"/>
        </w:rPr>
        <w:tab/>
        <w:t>Islandia tiene un sistema jurídico de derecho civil y, por lo tanto, la legislación islandesa se caracteriza por el derecho escrito. Las principales fuentes del derecho en Islandia son la Constitución, el derecho legislado y los estatutos normativos. Otros recursos jurídicos son la jurisprudencia y el derecho consuetudinario.</w:t>
      </w:r>
    </w:p>
    <w:p w14:paraId="6D22A742" w14:textId="77777777" w:rsidR="00C619FA" w:rsidRPr="008253DC" w:rsidRDefault="00C619FA" w:rsidP="00340CFB">
      <w:pPr>
        <w:pStyle w:val="H23G"/>
        <w:rPr>
          <w:lang w:val="es-ES_tradnl"/>
        </w:rPr>
      </w:pPr>
      <w:r w:rsidRPr="008253DC">
        <w:rPr>
          <w:lang w:val="es-ES_tradnl"/>
        </w:rPr>
        <w:lastRenderedPageBreak/>
        <w:tab/>
        <w:t>6.</w:t>
      </w:r>
      <w:r w:rsidRPr="008253DC">
        <w:rPr>
          <w:lang w:val="es-ES_tradnl"/>
        </w:rPr>
        <w:tab/>
        <w:t>Minorías nacionales e inmigración</w:t>
      </w:r>
    </w:p>
    <w:p w14:paraId="6577903A" w14:textId="39E9BBEC" w:rsidR="00C619FA" w:rsidRPr="008253DC" w:rsidRDefault="00C619FA" w:rsidP="00340CFB">
      <w:pPr>
        <w:pStyle w:val="SingleTxtG"/>
        <w:keepNext/>
        <w:keepLines/>
        <w:rPr>
          <w:lang w:val="es-ES_tradnl"/>
        </w:rPr>
      </w:pPr>
      <w:r w:rsidRPr="008253DC">
        <w:rPr>
          <w:lang w:val="es-ES_tradnl"/>
        </w:rPr>
        <w:t>48.</w:t>
      </w:r>
      <w:r w:rsidRPr="008253DC">
        <w:rPr>
          <w:lang w:val="es-ES_tradnl"/>
        </w:rPr>
        <w:tab/>
        <w:t>Antes de la década de 1990, la inmigración en Islandia fue escasa, y el número reducido de inmigrantes procedía principalmente de los países escandinavos: en 1900, cerca del 1 % de la población islandesa era de ascendencia danesa. A mediados de los años noventa, el 95 % de los islandeses tenían padres de origen islandés, y el 2 % de los habitantes de Islandia eran inmigrantes de primera generación (nacidos en el extranjero de padres y abuelos nacidos en el extranjero).</w:t>
      </w:r>
    </w:p>
    <w:p w14:paraId="36E4E7A6" w14:textId="77777777" w:rsidR="00C619FA" w:rsidRPr="008253DC" w:rsidRDefault="00C619FA" w:rsidP="00C619FA">
      <w:pPr>
        <w:pStyle w:val="SingleTxtG"/>
        <w:rPr>
          <w:lang w:val="es-ES_tradnl"/>
        </w:rPr>
      </w:pPr>
      <w:r w:rsidRPr="008253DC">
        <w:rPr>
          <w:lang w:val="es-ES_tradnl"/>
        </w:rPr>
        <w:t>49.</w:t>
      </w:r>
      <w:r w:rsidRPr="008253DC">
        <w:rPr>
          <w:lang w:val="es-ES_tradnl"/>
        </w:rPr>
        <w:tab/>
        <w:t>A fines del siglo XX, la inmigración en Islandia aumentó rápidamente, motivada por la adhesión de Islandia al Espacio Económico Europeo en 1994, su entrada al Acuerdo de Schengen en 2001 y la expansión económica del país a principios del siglo XXI.</w:t>
      </w:r>
    </w:p>
    <w:p w14:paraId="06979856" w14:textId="56DB3050" w:rsidR="00C619FA" w:rsidRPr="008253DC" w:rsidRDefault="00C619FA" w:rsidP="00C619FA">
      <w:pPr>
        <w:pStyle w:val="SingleTxtG"/>
        <w:rPr>
          <w:bCs/>
          <w:lang w:val="es-ES_tradnl"/>
        </w:rPr>
      </w:pPr>
      <w:r w:rsidRPr="008253DC">
        <w:rPr>
          <w:lang w:val="es-ES_tradnl"/>
        </w:rPr>
        <w:t>50.</w:t>
      </w:r>
      <w:r w:rsidRPr="008253DC">
        <w:rPr>
          <w:lang w:val="es-ES_tradnl"/>
        </w:rPr>
        <w:tab/>
        <w:t>El Centro Multicultural proporciona información sobre los derechos y los servicios de los inmigrantes en ocho idiomas. El Centro Islandés de Derechos Humanos de Islandia presta asesoramiento jurídico gratuito a los inmigrantes, en virtud de un acuerdo con el Ministerio de Bienestar Social. Los municipios también proporcionan información sobre los centros y servicios locales. Se prestan servicios de interpretación gratuitos en diversos ámbitos, tales como en el sistema judicial, durante las investigaciones penales, a los solicitantes de asilo y, en cierta medida, en los sistemas de educación y de salud.</w:t>
      </w:r>
    </w:p>
    <w:p w14:paraId="00BBC43B" w14:textId="1FD795EE" w:rsidR="00C619FA" w:rsidRPr="008253DC" w:rsidRDefault="00C619FA" w:rsidP="00C619FA">
      <w:pPr>
        <w:pStyle w:val="SingleTxtG"/>
        <w:rPr>
          <w:bCs/>
          <w:lang w:val="es-ES_tradnl"/>
        </w:rPr>
      </w:pPr>
      <w:r w:rsidRPr="008253DC">
        <w:rPr>
          <w:lang w:val="es-ES_tradnl"/>
        </w:rPr>
        <w:t>51.</w:t>
      </w:r>
      <w:r w:rsidRPr="008253DC">
        <w:rPr>
          <w:lang w:val="es-ES_tradnl"/>
        </w:rPr>
        <w:tab/>
        <w:t>El Fondo Islandés para el Fomento de la Integración ha impulsado proyectos e investigaciones para luchar contra la discriminación étnica y el racismo, con el fin de fortalecer a las organizaciones no gubernamentales que se ocupan de los inmigrantes. Los actores no estatales han puesto en marcha varios proyectos, tales como la Asociación Nacional de Fútbol, el Foro de la Juventud y la Cruz Roja, con el propósito de eliminar los prejuicios.</w:t>
      </w:r>
    </w:p>
    <w:p w14:paraId="3E63CC9F" w14:textId="77777777" w:rsidR="00C619FA" w:rsidRPr="008253DC" w:rsidRDefault="00C619FA" w:rsidP="00CA57F3">
      <w:pPr>
        <w:pStyle w:val="H23G"/>
        <w:rPr>
          <w:lang w:val="es-ES_tradnl"/>
        </w:rPr>
      </w:pPr>
      <w:r w:rsidRPr="008253DC">
        <w:rPr>
          <w:lang w:val="es-ES_tradnl"/>
        </w:rPr>
        <w:tab/>
        <w:t>7.</w:t>
      </w:r>
      <w:r w:rsidRPr="008253DC">
        <w:rPr>
          <w:lang w:val="es-ES_tradnl"/>
        </w:rPr>
        <w:tab/>
        <w:t>Reconocimiento de organizaciones no gubernamentales</w:t>
      </w:r>
    </w:p>
    <w:p w14:paraId="15ADCAA7" w14:textId="77777777" w:rsidR="00C619FA" w:rsidRPr="008253DC" w:rsidRDefault="00C619FA" w:rsidP="00C619FA">
      <w:pPr>
        <w:pStyle w:val="SingleTxtG"/>
        <w:rPr>
          <w:lang w:val="es-ES_tradnl"/>
        </w:rPr>
      </w:pPr>
      <w:r w:rsidRPr="008253DC">
        <w:rPr>
          <w:lang w:val="es-ES_tradnl"/>
        </w:rPr>
        <w:t>52.</w:t>
      </w:r>
      <w:r w:rsidRPr="008253DC">
        <w:rPr>
          <w:lang w:val="es-ES_tradnl"/>
        </w:rPr>
        <w:tab/>
        <w:t>Las organizaciones sin fines de lucro pueden inscribirse en el Registro de Actividades Empresariales de Islandia. No obstante, la inscripción es enteramente facultativa. En 2017, se inscribieron 14.494 organizaciones en el Registro de Actividades Empresariales de Islandia.</w:t>
      </w:r>
    </w:p>
    <w:p w14:paraId="47443445" w14:textId="77777777" w:rsidR="00C619FA" w:rsidRPr="008253DC" w:rsidRDefault="00C619FA" w:rsidP="00CA57F3">
      <w:pPr>
        <w:pStyle w:val="H23G"/>
        <w:rPr>
          <w:lang w:val="es-ES_tradnl"/>
        </w:rPr>
      </w:pPr>
      <w:r w:rsidRPr="008253DC">
        <w:rPr>
          <w:lang w:val="es-ES_tradnl"/>
        </w:rPr>
        <w:tab/>
        <w:t>8.</w:t>
      </w:r>
      <w:r w:rsidRPr="008253DC">
        <w:rPr>
          <w:lang w:val="es-ES_tradnl"/>
        </w:rPr>
        <w:tab/>
        <w:t>Delito y justicia</w:t>
      </w:r>
    </w:p>
    <w:p w14:paraId="1E961F79" w14:textId="77777777" w:rsidR="00C619FA" w:rsidRPr="008253DC" w:rsidRDefault="00C619FA" w:rsidP="00C619FA">
      <w:pPr>
        <w:pStyle w:val="SingleTxtG"/>
        <w:rPr>
          <w:lang w:val="es-ES_tradnl"/>
        </w:rPr>
      </w:pPr>
      <w:r w:rsidRPr="008253DC">
        <w:rPr>
          <w:lang w:val="es-ES_tradnl"/>
        </w:rPr>
        <w:t>53.</w:t>
      </w:r>
      <w:r w:rsidRPr="008253DC">
        <w:rPr>
          <w:lang w:val="es-ES_tradnl"/>
        </w:rPr>
        <w:tab/>
        <w:t>En 2019, el número total de delitos ascendió a 93.764, de los cuales, 75.071 eran infracciones de tráfico. En los últimos años, el número de delitos fue similar, ascendiendo a cerca de 90.000 el número promedio de delitos entre 2016 y 2018.</w:t>
      </w:r>
    </w:p>
    <w:p w14:paraId="004227B9" w14:textId="03C2192A" w:rsidR="00C619FA" w:rsidRPr="008253DC" w:rsidRDefault="00C619FA" w:rsidP="00C619FA">
      <w:pPr>
        <w:pStyle w:val="SingleTxtG"/>
        <w:rPr>
          <w:lang w:val="es-ES_tradnl"/>
        </w:rPr>
      </w:pPr>
      <w:r w:rsidRPr="008253DC">
        <w:rPr>
          <w:lang w:val="es-ES_tradnl"/>
        </w:rPr>
        <w:t>54.</w:t>
      </w:r>
      <w:r w:rsidRPr="008253DC">
        <w:rPr>
          <w:lang w:val="es-ES_tradnl"/>
        </w:rPr>
        <w:tab/>
        <w:t xml:space="preserve">En 2019, había 664 efectivos policiales en Islandia. En 2020, había 42 jueces en los tribunales de distrito; 15, en el Tribunal de Apelación, y </w:t>
      </w:r>
      <w:r w:rsidR="00735465" w:rsidRPr="008253DC">
        <w:rPr>
          <w:lang w:val="es-ES_tradnl"/>
        </w:rPr>
        <w:t>7</w:t>
      </w:r>
      <w:r w:rsidRPr="008253DC">
        <w:rPr>
          <w:lang w:val="es-ES_tradnl"/>
        </w:rPr>
        <w:t xml:space="preserve"> en el Tribunal Supremo.</w:t>
      </w:r>
    </w:p>
    <w:p w14:paraId="04FA919E" w14:textId="77777777" w:rsidR="00C619FA" w:rsidRPr="008253DC" w:rsidRDefault="00C619FA" w:rsidP="00C619FA">
      <w:pPr>
        <w:pStyle w:val="SingleTxtG"/>
        <w:rPr>
          <w:lang w:val="es-ES_tradnl"/>
        </w:rPr>
      </w:pPr>
      <w:r w:rsidRPr="008253DC">
        <w:rPr>
          <w:lang w:val="es-ES_tradnl"/>
        </w:rPr>
        <w:t>55.</w:t>
      </w:r>
      <w:r w:rsidRPr="008253DC">
        <w:rPr>
          <w:lang w:val="es-ES_tradnl"/>
        </w:rPr>
        <w:tab/>
        <w:t>La pena de muerte se prohibió con arreglo al artículo 69 de la Constitución de Islandia, que establece que la pena de muerte nunca podrá estipularse por ley.</w:t>
      </w:r>
    </w:p>
    <w:p w14:paraId="1BB110BA" w14:textId="2B1C33C5" w:rsidR="00C619FA" w:rsidRPr="008253DC" w:rsidRDefault="00C619FA" w:rsidP="00C619FA">
      <w:pPr>
        <w:pStyle w:val="SingleTxtG"/>
        <w:rPr>
          <w:i/>
          <w:lang w:val="es-ES_tradnl"/>
        </w:rPr>
      </w:pPr>
      <w:r w:rsidRPr="008253DC">
        <w:rPr>
          <w:i/>
          <w:iCs/>
          <w:lang w:val="es-ES_tradnl"/>
        </w:rPr>
        <w:t>En el cuadro que figura a continuación se indica el número de delitos sexuales y delitos de agresión y violencia cometidos contra personas y registrados por la policía en el período</w:t>
      </w:r>
      <w:r w:rsidR="00735465" w:rsidRPr="008253DC">
        <w:rPr>
          <w:i/>
          <w:iCs/>
          <w:lang w:val="es-ES_tradnl"/>
        </w:rPr>
        <w:t> </w:t>
      </w:r>
      <w:r w:rsidRPr="008253DC">
        <w:rPr>
          <w:i/>
          <w:iCs/>
          <w:lang w:val="es-ES_tradnl"/>
        </w:rPr>
        <w:t>2014-2018</w:t>
      </w:r>
      <w:r w:rsidR="00CA57F3" w:rsidRPr="008253DC">
        <w:rPr>
          <w:i/>
          <w:iCs/>
          <w:lang w:val="es-ES_tradnl"/>
        </w:rPr>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46"/>
        <w:gridCol w:w="2421"/>
        <w:gridCol w:w="2603"/>
      </w:tblGrid>
      <w:tr w:rsidR="00C619FA" w:rsidRPr="008253DC" w14:paraId="5A109BCE" w14:textId="77777777" w:rsidTr="00CA57F3">
        <w:trPr>
          <w:trHeight w:val="240"/>
          <w:tblHeader/>
        </w:trPr>
        <w:tc>
          <w:tcPr>
            <w:tcW w:w="3115" w:type="dxa"/>
            <w:tcBorders>
              <w:top w:val="single" w:sz="4" w:space="0" w:color="auto"/>
              <w:bottom w:val="single" w:sz="12" w:space="0" w:color="auto"/>
            </w:tcBorders>
            <w:shd w:val="clear" w:color="auto" w:fill="auto"/>
            <w:vAlign w:val="bottom"/>
          </w:tcPr>
          <w:p w14:paraId="72DB6580" w14:textId="77777777" w:rsidR="00C619FA" w:rsidRPr="008253DC" w:rsidRDefault="00C619FA" w:rsidP="00CA57F3">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Año</w:t>
            </w:r>
          </w:p>
        </w:tc>
        <w:tc>
          <w:tcPr>
            <w:tcW w:w="3115" w:type="dxa"/>
            <w:tcBorders>
              <w:top w:val="single" w:sz="4" w:space="0" w:color="auto"/>
              <w:bottom w:val="single" w:sz="12" w:space="0" w:color="auto"/>
            </w:tcBorders>
            <w:shd w:val="clear" w:color="auto" w:fill="auto"/>
            <w:vAlign w:val="bottom"/>
          </w:tcPr>
          <w:p w14:paraId="65D1E6C8" w14:textId="77777777" w:rsidR="00C619FA" w:rsidRPr="008253DC" w:rsidRDefault="00C619FA" w:rsidP="00CA57F3">
            <w:pPr>
              <w:pStyle w:val="SingleTxtG"/>
              <w:tabs>
                <w:tab w:val="clear" w:pos="1701"/>
                <w:tab w:val="clear" w:pos="2268"/>
                <w:tab w:val="clear" w:pos="2835"/>
              </w:tabs>
              <w:spacing w:before="80" w:after="80" w:line="200" w:lineRule="exact"/>
              <w:ind w:left="57" w:right="28"/>
              <w:jc w:val="right"/>
              <w:rPr>
                <w:i/>
                <w:sz w:val="16"/>
                <w:lang w:val="es-ES_tradnl"/>
              </w:rPr>
            </w:pPr>
            <w:r w:rsidRPr="008253DC">
              <w:rPr>
                <w:i/>
                <w:iCs/>
                <w:sz w:val="16"/>
                <w:lang w:val="es-ES_tradnl"/>
              </w:rPr>
              <w:t>Delitos sexuales</w:t>
            </w:r>
          </w:p>
        </w:tc>
        <w:tc>
          <w:tcPr>
            <w:tcW w:w="3116" w:type="dxa"/>
            <w:tcBorders>
              <w:top w:val="single" w:sz="4" w:space="0" w:color="auto"/>
              <w:bottom w:val="single" w:sz="12" w:space="0" w:color="auto"/>
            </w:tcBorders>
            <w:shd w:val="clear" w:color="auto" w:fill="auto"/>
            <w:vAlign w:val="bottom"/>
          </w:tcPr>
          <w:p w14:paraId="408F71E1" w14:textId="77777777" w:rsidR="00C619FA" w:rsidRPr="008253DC" w:rsidRDefault="00C619FA" w:rsidP="00CA57F3">
            <w:pPr>
              <w:pStyle w:val="SingleTxtG"/>
              <w:tabs>
                <w:tab w:val="clear" w:pos="1701"/>
                <w:tab w:val="clear" w:pos="2268"/>
                <w:tab w:val="clear" w:pos="2835"/>
              </w:tabs>
              <w:spacing w:before="80" w:after="80" w:line="200" w:lineRule="exact"/>
              <w:ind w:left="57" w:right="28"/>
              <w:jc w:val="right"/>
              <w:rPr>
                <w:i/>
                <w:sz w:val="16"/>
                <w:lang w:val="es-ES_tradnl"/>
              </w:rPr>
            </w:pPr>
            <w:r w:rsidRPr="008253DC">
              <w:rPr>
                <w:i/>
                <w:iCs/>
                <w:sz w:val="16"/>
                <w:lang w:val="es-ES_tradnl"/>
              </w:rPr>
              <w:t>Actos de agresión/violencia cometidos contra una persona</w:t>
            </w:r>
          </w:p>
        </w:tc>
      </w:tr>
      <w:tr w:rsidR="00C619FA" w:rsidRPr="008253DC" w14:paraId="5EF430DF" w14:textId="77777777" w:rsidTr="00CA57F3">
        <w:trPr>
          <w:trHeight w:val="240"/>
        </w:trPr>
        <w:tc>
          <w:tcPr>
            <w:tcW w:w="3115" w:type="dxa"/>
            <w:tcBorders>
              <w:top w:val="single" w:sz="12" w:space="0" w:color="auto"/>
            </w:tcBorders>
            <w:shd w:val="clear" w:color="auto" w:fill="auto"/>
          </w:tcPr>
          <w:p w14:paraId="4A360A39" w14:textId="77777777" w:rsidR="00C619FA" w:rsidRPr="008253DC" w:rsidRDefault="00C619FA" w:rsidP="00CA57F3">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2014</w:t>
            </w:r>
          </w:p>
        </w:tc>
        <w:tc>
          <w:tcPr>
            <w:tcW w:w="3115" w:type="dxa"/>
            <w:tcBorders>
              <w:top w:val="single" w:sz="12" w:space="0" w:color="auto"/>
            </w:tcBorders>
            <w:shd w:val="clear" w:color="auto" w:fill="auto"/>
            <w:vAlign w:val="bottom"/>
          </w:tcPr>
          <w:p w14:paraId="16330520" w14:textId="77777777" w:rsidR="00C619FA" w:rsidRPr="008253DC" w:rsidRDefault="00C619FA" w:rsidP="00CA57F3">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419</w:t>
            </w:r>
          </w:p>
        </w:tc>
        <w:tc>
          <w:tcPr>
            <w:tcW w:w="3116" w:type="dxa"/>
            <w:tcBorders>
              <w:top w:val="single" w:sz="12" w:space="0" w:color="auto"/>
            </w:tcBorders>
            <w:shd w:val="clear" w:color="auto" w:fill="auto"/>
            <w:vAlign w:val="bottom"/>
          </w:tcPr>
          <w:p w14:paraId="3E585CFD" w14:textId="77777777" w:rsidR="00C619FA" w:rsidRPr="008253DC" w:rsidRDefault="00C619FA" w:rsidP="00CA57F3">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1 237</w:t>
            </w:r>
          </w:p>
        </w:tc>
      </w:tr>
      <w:tr w:rsidR="00C619FA" w:rsidRPr="008253DC" w14:paraId="205228FC" w14:textId="77777777" w:rsidTr="00CA57F3">
        <w:trPr>
          <w:trHeight w:val="240"/>
        </w:trPr>
        <w:tc>
          <w:tcPr>
            <w:tcW w:w="3115" w:type="dxa"/>
            <w:shd w:val="clear" w:color="auto" w:fill="auto"/>
          </w:tcPr>
          <w:p w14:paraId="5903C87B" w14:textId="77777777" w:rsidR="00C619FA" w:rsidRPr="008253DC" w:rsidRDefault="00C619FA" w:rsidP="00CA57F3">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2015</w:t>
            </w:r>
          </w:p>
        </w:tc>
        <w:tc>
          <w:tcPr>
            <w:tcW w:w="3115" w:type="dxa"/>
            <w:shd w:val="clear" w:color="auto" w:fill="auto"/>
            <w:vAlign w:val="bottom"/>
          </w:tcPr>
          <w:p w14:paraId="012EFEFD" w14:textId="77777777" w:rsidR="00C619FA" w:rsidRPr="008253DC" w:rsidRDefault="00C619FA" w:rsidP="00CA57F3">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442</w:t>
            </w:r>
          </w:p>
        </w:tc>
        <w:tc>
          <w:tcPr>
            <w:tcW w:w="3116" w:type="dxa"/>
            <w:shd w:val="clear" w:color="auto" w:fill="auto"/>
            <w:vAlign w:val="bottom"/>
          </w:tcPr>
          <w:p w14:paraId="02F8DD65" w14:textId="77777777" w:rsidR="00C619FA" w:rsidRPr="008253DC" w:rsidRDefault="00C619FA" w:rsidP="00CA57F3">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1 587</w:t>
            </w:r>
          </w:p>
        </w:tc>
      </w:tr>
      <w:tr w:rsidR="00C619FA" w:rsidRPr="008253DC" w14:paraId="70E95DCB" w14:textId="77777777" w:rsidTr="00CA57F3">
        <w:trPr>
          <w:trHeight w:val="240"/>
        </w:trPr>
        <w:tc>
          <w:tcPr>
            <w:tcW w:w="3115" w:type="dxa"/>
            <w:shd w:val="clear" w:color="auto" w:fill="auto"/>
          </w:tcPr>
          <w:p w14:paraId="0AFB20DB" w14:textId="77777777" w:rsidR="00C619FA" w:rsidRPr="008253DC" w:rsidRDefault="00C619FA" w:rsidP="00CA57F3">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2016</w:t>
            </w:r>
          </w:p>
        </w:tc>
        <w:tc>
          <w:tcPr>
            <w:tcW w:w="3115" w:type="dxa"/>
            <w:shd w:val="clear" w:color="auto" w:fill="auto"/>
            <w:vAlign w:val="bottom"/>
          </w:tcPr>
          <w:p w14:paraId="5F281975" w14:textId="77777777" w:rsidR="00C619FA" w:rsidRPr="008253DC" w:rsidRDefault="00C619FA" w:rsidP="00CA57F3">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498</w:t>
            </w:r>
          </w:p>
        </w:tc>
        <w:tc>
          <w:tcPr>
            <w:tcW w:w="3116" w:type="dxa"/>
            <w:shd w:val="clear" w:color="auto" w:fill="auto"/>
            <w:vAlign w:val="bottom"/>
          </w:tcPr>
          <w:p w14:paraId="20657FED" w14:textId="77777777" w:rsidR="00C619FA" w:rsidRPr="008253DC" w:rsidRDefault="00C619FA" w:rsidP="00CA57F3">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1 605</w:t>
            </w:r>
          </w:p>
        </w:tc>
      </w:tr>
      <w:tr w:rsidR="00C619FA" w:rsidRPr="008253DC" w14:paraId="2172FC78" w14:textId="77777777" w:rsidTr="00CA57F3">
        <w:trPr>
          <w:trHeight w:val="240"/>
        </w:trPr>
        <w:tc>
          <w:tcPr>
            <w:tcW w:w="3115" w:type="dxa"/>
            <w:shd w:val="clear" w:color="auto" w:fill="auto"/>
          </w:tcPr>
          <w:p w14:paraId="43C02583" w14:textId="77777777" w:rsidR="00C619FA" w:rsidRPr="008253DC" w:rsidRDefault="00C619FA" w:rsidP="00CA57F3">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2017</w:t>
            </w:r>
          </w:p>
        </w:tc>
        <w:tc>
          <w:tcPr>
            <w:tcW w:w="3115" w:type="dxa"/>
            <w:shd w:val="clear" w:color="auto" w:fill="auto"/>
            <w:vAlign w:val="bottom"/>
          </w:tcPr>
          <w:p w14:paraId="3D6BFAAA" w14:textId="77777777" w:rsidR="00C619FA" w:rsidRPr="008253DC" w:rsidRDefault="00C619FA" w:rsidP="00CA57F3">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476</w:t>
            </w:r>
          </w:p>
        </w:tc>
        <w:tc>
          <w:tcPr>
            <w:tcW w:w="3116" w:type="dxa"/>
            <w:shd w:val="clear" w:color="auto" w:fill="auto"/>
            <w:vAlign w:val="bottom"/>
          </w:tcPr>
          <w:p w14:paraId="727C310F" w14:textId="77777777" w:rsidR="00C619FA" w:rsidRPr="008253DC" w:rsidRDefault="00C619FA" w:rsidP="00CA57F3">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1 671</w:t>
            </w:r>
          </w:p>
        </w:tc>
      </w:tr>
      <w:tr w:rsidR="00C619FA" w:rsidRPr="008253DC" w14:paraId="354F6C8A" w14:textId="77777777" w:rsidTr="00CA57F3">
        <w:trPr>
          <w:trHeight w:val="240"/>
        </w:trPr>
        <w:tc>
          <w:tcPr>
            <w:tcW w:w="3115" w:type="dxa"/>
            <w:tcBorders>
              <w:bottom w:val="single" w:sz="12" w:space="0" w:color="auto"/>
            </w:tcBorders>
            <w:shd w:val="clear" w:color="auto" w:fill="auto"/>
          </w:tcPr>
          <w:p w14:paraId="534C5059" w14:textId="77777777" w:rsidR="00C619FA" w:rsidRPr="008253DC" w:rsidRDefault="00C619FA" w:rsidP="00CA57F3">
            <w:pPr>
              <w:pStyle w:val="SingleTxtG"/>
              <w:tabs>
                <w:tab w:val="clear" w:pos="1701"/>
                <w:tab w:val="clear" w:pos="2268"/>
                <w:tab w:val="clear" w:pos="2835"/>
              </w:tabs>
              <w:spacing w:before="40" w:after="40" w:line="220" w:lineRule="exact"/>
              <w:ind w:left="0" w:right="0"/>
              <w:jc w:val="left"/>
              <w:rPr>
                <w:sz w:val="18"/>
                <w:lang w:val="es-ES_tradnl"/>
              </w:rPr>
            </w:pPr>
            <w:r w:rsidRPr="008253DC">
              <w:rPr>
                <w:sz w:val="18"/>
                <w:lang w:val="es-ES_tradnl"/>
              </w:rPr>
              <w:t>2018</w:t>
            </w:r>
          </w:p>
        </w:tc>
        <w:tc>
          <w:tcPr>
            <w:tcW w:w="3115" w:type="dxa"/>
            <w:tcBorders>
              <w:bottom w:val="single" w:sz="12" w:space="0" w:color="auto"/>
            </w:tcBorders>
            <w:shd w:val="clear" w:color="auto" w:fill="auto"/>
            <w:vAlign w:val="bottom"/>
          </w:tcPr>
          <w:p w14:paraId="31B34E7C" w14:textId="77777777" w:rsidR="00C619FA" w:rsidRPr="008253DC" w:rsidRDefault="00C619FA" w:rsidP="00CA57F3">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551</w:t>
            </w:r>
          </w:p>
        </w:tc>
        <w:tc>
          <w:tcPr>
            <w:tcW w:w="3116" w:type="dxa"/>
            <w:tcBorders>
              <w:bottom w:val="single" w:sz="12" w:space="0" w:color="auto"/>
            </w:tcBorders>
            <w:shd w:val="clear" w:color="auto" w:fill="auto"/>
            <w:vAlign w:val="bottom"/>
          </w:tcPr>
          <w:p w14:paraId="46D6B0F4" w14:textId="77777777" w:rsidR="00C619FA" w:rsidRPr="008253DC" w:rsidRDefault="00C619FA" w:rsidP="00CA57F3">
            <w:pPr>
              <w:pStyle w:val="SingleTxtG"/>
              <w:tabs>
                <w:tab w:val="clear" w:pos="1701"/>
                <w:tab w:val="clear" w:pos="2268"/>
                <w:tab w:val="clear" w:pos="2835"/>
              </w:tabs>
              <w:spacing w:before="40" w:after="40" w:line="220" w:lineRule="exact"/>
              <w:ind w:left="57" w:right="28"/>
              <w:jc w:val="right"/>
              <w:rPr>
                <w:sz w:val="18"/>
                <w:lang w:val="es-ES_tradnl"/>
              </w:rPr>
            </w:pPr>
            <w:r w:rsidRPr="008253DC">
              <w:rPr>
                <w:sz w:val="18"/>
                <w:lang w:val="es-ES_tradnl"/>
              </w:rPr>
              <w:t>1 757</w:t>
            </w:r>
          </w:p>
        </w:tc>
      </w:tr>
    </w:tbl>
    <w:p w14:paraId="4303B330" w14:textId="77777777" w:rsidR="00C619FA" w:rsidRPr="008253DC" w:rsidRDefault="00C619FA" w:rsidP="00CA57F3">
      <w:pPr>
        <w:pStyle w:val="HChG"/>
        <w:rPr>
          <w:lang w:val="es-ES_tradnl"/>
        </w:rPr>
      </w:pPr>
      <w:r w:rsidRPr="008253DC">
        <w:rPr>
          <w:lang w:val="es-ES_tradnl"/>
        </w:rPr>
        <w:lastRenderedPageBreak/>
        <w:tab/>
        <w:t>II.</w:t>
      </w:r>
      <w:r w:rsidRPr="008253DC">
        <w:rPr>
          <w:lang w:val="es-ES_tradnl"/>
        </w:rPr>
        <w:tab/>
        <w:t>Marco general de protección y promoción de los derechos humanos</w:t>
      </w:r>
    </w:p>
    <w:p w14:paraId="7FFE1618" w14:textId="77777777" w:rsidR="00C619FA" w:rsidRPr="008253DC" w:rsidRDefault="00C619FA" w:rsidP="00CA57F3">
      <w:pPr>
        <w:pStyle w:val="H1G"/>
        <w:rPr>
          <w:lang w:val="es-ES_tradnl"/>
        </w:rPr>
      </w:pPr>
      <w:r w:rsidRPr="008253DC">
        <w:rPr>
          <w:lang w:val="es-ES_tradnl"/>
        </w:rPr>
        <w:tab/>
        <w:t>A.</w:t>
      </w:r>
      <w:r w:rsidRPr="008253DC">
        <w:rPr>
          <w:lang w:val="es-ES_tradnl"/>
        </w:rPr>
        <w:tab/>
        <w:t>Aceptación de las normas internacionales de derechos humanos</w:t>
      </w:r>
    </w:p>
    <w:p w14:paraId="51A298DE" w14:textId="77777777" w:rsidR="00C619FA" w:rsidRPr="008253DC" w:rsidRDefault="00C619FA" w:rsidP="00CA57F3">
      <w:pPr>
        <w:pStyle w:val="H23G"/>
        <w:rPr>
          <w:lang w:val="es-ES_tradnl"/>
        </w:rPr>
      </w:pPr>
      <w:r w:rsidRPr="008253DC">
        <w:rPr>
          <w:lang w:val="es-ES_tradnl"/>
        </w:rPr>
        <w:tab/>
        <w:t>1.</w:t>
      </w:r>
      <w:r w:rsidRPr="008253DC">
        <w:rPr>
          <w:lang w:val="es-ES_tradnl"/>
        </w:rPr>
        <w:tab/>
        <w:t>Principales convenciones y protocolos internacionales de derechos humanos</w:t>
      </w:r>
    </w:p>
    <w:p w14:paraId="65CF6A1E" w14:textId="77777777" w:rsidR="00C619FA" w:rsidRPr="008253DC" w:rsidRDefault="00C619FA" w:rsidP="00C619FA">
      <w:pPr>
        <w:pStyle w:val="SingleTxtG"/>
        <w:rPr>
          <w:lang w:val="es-ES_tradnl"/>
        </w:rPr>
      </w:pPr>
      <w:r w:rsidRPr="008253DC">
        <w:rPr>
          <w:lang w:val="es-ES_tradnl"/>
        </w:rPr>
        <w:t>56.</w:t>
      </w:r>
      <w:r w:rsidRPr="008253DC">
        <w:rPr>
          <w:lang w:val="es-ES_tradnl"/>
        </w:rPr>
        <w:tab/>
        <w:t>Islandia se ha adherido a las convenciones de las Naciones Unidas sobre derechos humanos siguientes:</w:t>
      </w:r>
    </w:p>
    <w:p w14:paraId="6126E932" w14:textId="16E50644" w:rsidR="00C619FA" w:rsidRPr="008253DC" w:rsidRDefault="00CA57F3" w:rsidP="00CA57F3">
      <w:pPr>
        <w:pStyle w:val="Bullet1G"/>
        <w:rPr>
          <w:lang w:val="es-ES_tradnl"/>
        </w:rPr>
      </w:pPr>
      <w:r w:rsidRPr="008253DC">
        <w:rPr>
          <w:lang w:val="es-ES_tradnl"/>
        </w:rPr>
        <w:t xml:space="preserve">El </w:t>
      </w:r>
      <w:r w:rsidR="00C619FA" w:rsidRPr="008253DC">
        <w:rPr>
          <w:lang w:val="es-ES_tradnl"/>
        </w:rPr>
        <w:t>Pacto Internacional de Derechos Civiles y Políticos (ICCPR)</w:t>
      </w:r>
    </w:p>
    <w:p w14:paraId="2CCD1D60" w14:textId="6B2E15EC" w:rsidR="00C619FA" w:rsidRPr="008253DC" w:rsidRDefault="00CA57F3" w:rsidP="00CA57F3">
      <w:pPr>
        <w:pStyle w:val="Bullet1G"/>
        <w:rPr>
          <w:lang w:val="es-ES_tradnl"/>
        </w:rPr>
      </w:pPr>
      <w:r w:rsidRPr="008253DC">
        <w:rPr>
          <w:lang w:val="es-ES_tradnl"/>
        </w:rPr>
        <w:t xml:space="preserve">El </w:t>
      </w:r>
      <w:r w:rsidR="00C619FA" w:rsidRPr="008253DC">
        <w:rPr>
          <w:lang w:val="es-ES_tradnl"/>
        </w:rPr>
        <w:t>Pacto Internacional de Derechos Económicos, Sociales y Culturales (ICESCR)</w:t>
      </w:r>
    </w:p>
    <w:p w14:paraId="53ECA92A" w14:textId="620BF9EA" w:rsidR="00C619FA" w:rsidRPr="008253DC" w:rsidRDefault="00CA57F3" w:rsidP="00CA57F3">
      <w:pPr>
        <w:pStyle w:val="Bullet1G"/>
        <w:rPr>
          <w:lang w:val="es-ES_tradnl"/>
        </w:rPr>
      </w:pPr>
      <w:r w:rsidRPr="008253DC">
        <w:rPr>
          <w:lang w:val="es-ES_tradnl"/>
        </w:rPr>
        <w:t xml:space="preserve">La </w:t>
      </w:r>
      <w:r w:rsidR="00C619FA" w:rsidRPr="008253DC">
        <w:rPr>
          <w:lang w:val="es-ES_tradnl"/>
        </w:rPr>
        <w:t>Convención Internacional sobre la Eliminación de Todas las Formas de Discriminación Racial (ICERD)</w:t>
      </w:r>
    </w:p>
    <w:p w14:paraId="3922A06D" w14:textId="007F7787" w:rsidR="00C619FA" w:rsidRPr="008253DC" w:rsidRDefault="00CA57F3" w:rsidP="00CA57F3">
      <w:pPr>
        <w:pStyle w:val="Bullet1G"/>
        <w:rPr>
          <w:lang w:val="es-ES_tradnl"/>
        </w:rPr>
      </w:pPr>
      <w:r w:rsidRPr="008253DC">
        <w:rPr>
          <w:lang w:val="es-ES_tradnl"/>
        </w:rPr>
        <w:t xml:space="preserve">La </w:t>
      </w:r>
      <w:r w:rsidR="00C619FA" w:rsidRPr="008253DC">
        <w:rPr>
          <w:lang w:val="es-ES_tradnl"/>
        </w:rPr>
        <w:t>Convención contra la Tortura y Otros Tratos o Penas Crueles, Inhumanos o Degradantes (CAT)</w:t>
      </w:r>
    </w:p>
    <w:p w14:paraId="00714C38" w14:textId="351930A3" w:rsidR="00C619FA" w:rsidRPr="008253DC" w:rsidRDefault="00CA57F3" w:rsidP="00CA57F3">
      <w:pPr>
        <w:pStyle w:val="Bullet1G"/>
        <w:rPr>
          <w:lang w:val="es-ES_tradnl"/>
        </w:rPr>
      </w:pPr>
      <w:r w:rsidRPr="008253DC">
        <w:rPr>
          <w:lang w:val="es-ES_tradnl"/>
        </w:rPr>
        <w:t xml:space="preserve">La </w:t>
      </w:r>
      <w:r w:rsidR="00C619FA" w:rsidRPr="008253DC">
        <w:rPr>
          <w:lang w:val="es-ES_tradnl"/>
        </w:rPr>
        <w:t>Convención sobre la Eliminación de Todas las Formas de Discriminación contra la Mujer (CEDAW)</w:t>
      </w:r>
    </w:p>
    <w:p w14:paraId="1585B2EC" w14:textId="37C4F29C" w:rsidR="00C619FA" w:rsidRPr="008253DC" w:rsidRDefault="00CA57F3" w:rsidP="00CA57F3">
      <w:pPr>
        <w:pStyle w:val="Bullet1G"/>
        <w:rPr>
          <w:bCs/>
          <w:lang w:val="es-ES_tradnl"/>
        </w:rPr>
      </w:pPr>
      <w:r w:rsidRPr="008253DC">
        <w:rPr>
          <w:lang w:val="es-ES_tradnl"/>
        </w:rPr>
        <w:t xml:space="preserve">La </w:t>
      </w:r>
      <w:r w:rsidR="00C619FA" w:rsidRPr="008253DC">
        <w:rPr>
          <w:lang w:val="es-ES_tradnl"/>
        </w:rPr>
        <w:t>Convención sobre los Derechos del Niño (CRC)</w:t>
      </w:r>
    </w:p>
    <w:p w14:paraId="452DD284" w14:textId="199C218E" w:rsidR="00C619FA" w:rsidRPr="008253DC" w:rsidRDefault="00CA57F3" w:rsidP="00CA57F3">
      <w:pPr>
        <w:pStyle w:val="Bullet1G"/>
        <w:rPr>
          <w:bCs/>
          <w:lang w:val="es-ES_tradnl"/>
        </w:rPr>
      </w:pPr>
      <w:r w:rsidRPr="008253DC">
        <w:rPr>
          <w:lang w:val="es-ES_tradnl"/>
        </w:rPr>
        <w:t xml:space="preserve">La </w:t>
      </w:r>
      <w:r w:rsidR="00C619FA" w:rsidRPr="008253DC">
        <w:rPr>
          <w:lang w:val="es-ES_tradnl"/>
        </w:rPr>
        <w:t>Convención sobre los Derechos de las Personas con Discapacidad (CRPD)</w:t>
      </w:r>
    </w:p>
    <w:p w14:paraId="09F1DB93" w14:textId="154FB535" w:rsidR="00C619FA" w:rsidRPr="008253DC" w:rsidRDefault="00C619FA" w:rsidP="00C619FA">
      <w:pPr>
        <w:pStyle w:val="SingleTxtG"/>
        <w:rPr>
          <w:i/>
          <w:lang w:val="es-ES_tradnl"/>
        </w:rPr>
      </w:pPr>
      <w:r w:rsidRPr="008253DC">
        <w:rPr>
          <w:i/>
          <w:iCs/>
          <w:lang w:val="es-ES_tradnl"/>
        </w:rPr>
        <w:t>En el cuadro que figura a continuación, se indica el estado de las ratificaciones</w:t>
      </w:r>
      <w:r w:rsidR="00CA57F3" w:rsidRPr="008253DC">
        <w:rPr>
          <w:i/>
          <w:iCs/>
          <w:lang w:val="es-ES_tradnl"/>
        </w:rPr>
        <w:t>.</w:t>
      </w:r>
    </w:p>
    <w:tbl>
      <w:tblPr>
        <w:tblStyle w:val="Tablaconcuadrcula"/>
        <w:tblW w:w="8505"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1C0" w:firstRow="0" w:lastRow="1" w:firstColumn="1" w:lastColumn="1" w:noHBand="0" w:noVBand="0"/>
        <w:tblDescription w:val="Add Inventory number, Item Description, Purchase Price, Quantity, and Location to create an inventory list"/>
      </w:tblPr>
      <w:tblGrid>
        <w:gridCol w:w="1970"/>
        <w:gridCol w:w="1291"/>
        <w:gridCol w:w="2525"/>
        <w:gridCol w:w="2719"/>
      </w:tblGrid>
      <w:tr w:rsidR="00C619FA" w:rsidRPr="008253DC" w14:paraId="534B2A61" w14:textId="77777777" w:rsidTr="00CA57F3">
        <w:trPr>
          <w:trHeight w:val="240"/>
          <w:tblHeader/>
        </w:trPr>
        <w:tc>
          <w:tcPr>
            <w:tcW w:w="1970" w:type="dxa"/>
            <w:tcBorders>
              <w:top w:val="single" w:sz="4" w:space="0" w:color="auto"/>
              <w:bottom w:val="single" w:sz="12" w:space="0" w:color="auto"/>
            </w:tcBorders>
            <w:shd w:val="clear" w:color="auto" w:fill="auto"/>
            <w:vAlign w:val="bottom"/>
          </w:tcPr>
          <w:p w14:paraId="1E814875" w14:textId="77777777" w:rsidR="00C619FA" w:rsidRPr="008253DC" w:rsidRDefault="00C619FA" w:rsidP="00CA57F3">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Convención/protocolo</w:t>
            </w:r>
          </w:p>
        </w:tc>
        <w:tc>
          <w:tcPr>
            <w:tcW w:w="1291" w:type="dxa"/>
            <w:tcBorders>
              <w:top w:val="single" w:sz="4" w:space="0" w:color="auto"/>
              <w:bottom w:val="single" w:sz="12" w:space="0" w:color="auto"/>
            </w:tcBorders>
            <w:shd w:val="clear" w:color="auto" w:fill="auto"/>
            <w:vAlign w:val="bottom"/>
          </w:tcPr>
          <w:p w14:paraId="60C570DE" w14:textId="77777777" w:rsidR="00C619FA" w:rsidRPr="008253DC" w:rsidRDefault="00C619FA" w:rsidP="00CA57F3">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Firma (F)</w:t>
            </w:r>
            <w:r w:rsidRPr="008253DC">
              <w:rPr>
                <w:i/>
                <w:sz w:val="16"/>
                <w:lang w:val="es-ES_tradnl"/>
              </w:rPr>
              <w:br/>
            </w:r>
            <w:r w:rsidRPr="008253DC">
              <w:rPr>
                <w:i/>
                <w:iCs/>
                <w:sz w:val="16"/>
                <w:lang w:val="es-ES_tradnl"/>
              </w:rPr>
              <w:t>Ratificación (R)</w:t>
            </w:r>
          </w:p>
        </w:tc>
        <w:tc>
          <w:tcPr>
            <w:tcW w:w="2525" w:type="dxa"/>
            <w:tcBorders>
              <w:top w:val="single" w:sz="4" w:space="0" w:color="auto"/>
              <w:bottom w:val="single" w:sz="12" w:space="0" w:color="auto"/>
            </w:tcBorders>
            <w:shd w:val="clear" w:color="auto" w:fill="auto"/>
            <w:vAlign w:val="bottom"/>
          </w:tcPr>
          <w:p w14:paraId="1187CF9D" w14:textId="77777777" w:rsidR="00C619FA" w:rsidRPr="008253DC" w:rsidRDefault="00C619FA" w:rsidP="00CA57F3">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Reservas</w:t>
            </w:r>
            <w:r w:rsidRPr="008253DC">
              <w:rPr>
                <w:i/>
                <w:iCs/>
                <w:sz w:val="16"/>
                <w:lang w:val="es-ES_tradnl"/>
              </w:rPr>
              <w:br/>
              <w:t>Declaraciones</w:t>
            </w:r>
          </w:p>
        </w:tc>
        <w:tc>
          <w:tcPr>
            <w:tcW w:w="2719" w:type="dxa"/>
            <w:tcBorders>
              <w:top w:val="single" w:sz="4" w:space="0" w:color="auto"/>
              <w:bottom w:val="single" w:sz="12" w:space="0" w:color="auto"/>
            </w:tcBorders>
            <w:shd w:val="clear" w:color="auto" w:fill="auto"/>
            <w:vAlign w:val="bottom"/>
          </w:tcPr>
          <w:p w14:paraId="22348125" w14:textId="77777777" w:rsidR="00C619FA" w:rsidRPr="008253DC" w:rsidRDefault="00C619FA" w:rsidP="00CA57F3">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Aceptación del procedimiento facultativo</w:t>
            </w:r>
          </w:p>
        </w:tc>
      </w:tr>
      <w:tr w:rsidR="00C619FA" w:rsidRPr="008253DC" w14:paraId="5C37D281" w14:textId="77777777" w:rsidTr="00CA57F3">
        <w:trPr>
          <w:trHeight w:hRule="exact" w:val="113"/>
          <w:tblHeader/>
        </w:trPr>
        <w:tc>
          <w:tcPr>
            <w:tcW w:w="1970" w:type="dxa"/>
            <w:tcBorders>
              <w:top w:val="single" w:sz="12" w:space="0" w:color="auto"/>
            </w:tcBorders>
            <w:shd w:val="clear" w:color="auto" w:fill="auto"/>
          </w:tcPr>
          <w:p w14:paraId="05A59F16"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p>
        </w:tc>
        <w:tc>
          <w:tcPr>
            <w:tcW w:w="1291" w:type="dxa"/>
            <w:tcBorders>
              <w:top w:val="single" w:sz="12" w:space="0" w:color="auto"/>
            </w:tcBorders>
            <w:shd w:val="clear" w:color="auto" w:fill="auto"/>
          </w:tcPr>
          <w:p w14:paraId="3DD4CC49"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p>
        </w:tc>
        <w:tc>
          <w:tcPr>
            <w:tcW w:w="2525" w:type="dxa"/>
            <w:tcBorders>
              <w:top w:val="single" w:sz="12" w:space="0" w:color="auto"/>
            </w:tcBorders>
            <w:shd w:val="clear" w:color="auto" w:fill="auto"/>
          </w:tcPr>
          <w:p w14:paraId="27ADD653"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p>
        </w:tc>
        <w:tc>
          <w:tcPr>
            <w:tcW w:w="2719" w:type="dxa"/>
            <w:tcBorders>
              <w:top w:val="single" w:sz="12" w:space="0" w:color="auto"/>
            </w:tcBorders>
            <w:shd w:val="clear" w:color="auto" w:fill="auto"/>
          </w:tcPr>
          <w:p w14:paraId="530404C5"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p>
        </w:tc>
      </w:tr>
      <w:tr w:rsidR="00C619FA" w:rsidRPr="008253DC" w14:paraId="702FE968" w14:textId="77777777" w:rsidTr="00CA57F3">
        <w:trPr>
          <w:trHeight w:val="240"/>
        </w:trPr>
        <w:tc>
          <w:tcPr>
            <w:tcW w:w="1970" w:type="dxa"/>
            <w:shd w:val="clear" w:color="auto" w:fill="auto"/>
          </w:tcPr>
          <w:p w14:paraId="64939001"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Pacto Internacional de Derechos Económicos, Sociales y Culturales (ICESCR), 1996</w:t>
            </w:r>
          </w:p>
        </w:tc>
        <w:tc>
          <w:tcPr>
            <w:tcW w:w="1291" w:type="dxa"/>
            <w:shd w:val="clear" w:color="auto" w:fill="auto"/>
          </w:tcPr>
          <w:p w14:paraId="0C085AD8"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22/08/1979</w:t>
            </w:r>
          </w:p>
        </w:tc>
        <w:tc>
          <w:tcPr>
            <w:tcW w:w="2525" w:type="dxa"/>
            <w:shd w:val="clear" w:color="auto" w:fill="auto"/>
          </w:tcPr>
          <w:p w14:paraId="3791DA33"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p>
        </w:tc>
        <w:tc>
          <w:tcPr>
            <w:tcW w:w="2719" w:type="dxa"/>
            <w:shd w:val="clear" w:color="auto" w:fill="auto"/>
          </w:tcPr>
          <w:p w14:paraId="716CA62C"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p>
        </w:tc>
      </w:tr>
      <w:tr w:rsidR="00C619FA" w:rsidRPr="008253DC" w14:paraId="769F203F" w14:textId="77777777" w:rsidTr="00CA57F3">
        <w:trPr>
          <w:trHeight w:val="240"/>
        </w:trPr>
        <w:tc>
          <w:tcPr>
            <w:tcW w:w="1970" w:type="dxa"/>
            <w:shd w:val="clear" w:color="auto" w:fill="auto"/>
          </w:tcPr>
          <w:p w14:paraId="791A2BB2"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Pacto Internacional de Derechos Civiles y Políticos (ICCPR), 1996</w:t>
            </w:r>
          </w:p>
        </w:tc>
        <w:tc>
          <w:tcPr>
            <w:tcW w:w="1291" w:type="dxa"/>
            <w:shd w:val="clear" w:color="auto" w:fill="auto"/>
          </w:tcPr>
          <w:p w14:paraId="7C0B41AC"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22/08/1979</w:t>
            </w:r>
          </w:p>
        </w:tc>
        <w:tc>
          <w:tcPr>
            <w:tcW w:w="2525" w:type="dxa"/>
            <w:shd w:val="clear" w:color="auto" w:fill="auto"/>
          </w:tcPr>
          <w:p w14:paraId="56E366FC" w14:textId="0F1264EA"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Reservas respecto a las disposiciones siguientes:</w:t>
            </w:r>
          </w:p>
          <w:p w14:paraId="6CF2A2FE"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Artículo 10, párrafo 2 b) y párrafo 3, segunda frase, con respecto a la separación de los menores de los adultos en las prisiones. La legislación islandesa prevé en principio tal separación, pero no se considera apropiado aceptar una obligación en los términos absolutos que exigen las disposiciones del Pacto. </w:t>
            </w:r>
          </w:p>
          <w:p w14:paraId="3363D51F"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Artículo 14, párrafo 7, con respecto a la reanudación de casos que ya han sido juzgados. El derecho procesal de Islandia contiene disposiciones detalladas sobre dicha cuestión, que no se considera oportuno revisar.</w:t>
            </w:r>
          </w:p>
          <w:p w14:paraId="17F3E101"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Artículo 20, párrafo 1, con referencia al hecho de que una prohibición de la </w:t>
            </w:r>
            <w:r w:rsidRPr="008253DC">
              <w:rPr>
                <w:lang w:val="es-ES_tradnl"/>
              </w:rPr>
              <w:lastRenderedPageBreak/>
              <w:t>propaganda en favor de la guerra podría limitar la libertad de expresión. Esta reserva es compatible con la posición adoptada por Islandia en la Asamblea General en su decimosexto período de sesiones.</w:t>
            </w:r>
          </w:p>
          <w:p w14:paraId="020B9592"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Las demás disposiciones del Pacto se observarán escrupulosamente.</w:t>
            </w:r>
          </w:p>
        </w:tc>
        <w:tc>
          <w:tcPr>
            <w:tcW w:w="2719" w:type="dxa"/>
            <w:shd w:val="clear" w:color="auto" w:fill="auto"/>
          </w:tcPr>
          <w:p w14:paraId="1175A9FB"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lastRenderedPageBreak/>
              <w:t>El Protocolo Facultativo fue ratificado por Islandia el 22 de agosto de 1979.</w:t>
            </w:r>
          </w:p>
          <w:p w14:paraId="6A06AE8B" w14:textId="1A236436"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Islandia se adhiere al Protocolo Facultativo </w:t>
            </w:r>
            <w:r w:rsidR="00141A72" w:rsidRPr="008253DC">
              <w:rPr>
                <w:lang w:val="es-ES_tradnl"/>
              </w:rPr>
              <w:t>“</w:t>
            </w:r>
            <w:r w:rsidRPr="008253DC">
              <w:rPr>
                <w:lang w:val="es-ES_tradnl"/>
              </w:rPr>
              <w:t>con sujeción a una reserva, por lo que respecta al párrafo 2 del artículo 5, en cuanto a la competencia del Comité de Derechos Humanos para examinar una comunicación de un particular si la cuestión está siendo examinada o ha sido examinada en virtud de otro procedimiento de investigación o arreglo internacional</w:t>
            </w:r>
            <w:r w:rsidR="00141A72" w:rsidRPr="008253DC">
              <w:rPr>
                <w:lang w:val="es-ES_tradnl"/>
              </w:rPr>
              <w:t>”</w:t>
            </w:r>
            <w:r w:rsidR="004B04A0" w:rsidRPr="008253DC">
              <w:rPr>
                <w:lang w:val="es-ES_tradnl"/>
              </w:rPr>
              <w:t>.</w:t>
            </w:r>
          </w:p>
          <w:p w14:paraId="1D62E95C"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El Segundo Protocolo Facultativo del Pacto Internacional de Derechos Civiles y Políticos, destinado a abolir la pena de muerte fue ratificado por Islandia el 2 de abril de 1991.</w:t>
            </w:r>
          </w:p>
        </w:tc>
      </w:tr>
      <w:tr w:rsidR="00C619FA" w:rsidRPr="008253DC" w14:paraId="431D7EFE" w14:textId="77777777" w:rsidTr="00CA57F3">
        <w:trPr>
          <w:trHeight w:val="240"/>
        </w:trPr>
        <w:tc>
          <w:tcPr>
            <w:tcW w:w="1970" w:type="dxa"/>
            <w:shd w:val="clear" w:color="auto" w:fill="auto"/>
          </w:tcPr>
          <w:p w14:paraId="51A50912"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Convención Internacional sobre la Eliminación de Todas las Formas de Discriminación Racial (ICERD), 1965</w:t>
            </w:r>
          </w:p>
        </w:tc>
        <w:tc>
          <w:tcPr>
            <w:tcW w:w="1291" w:type="dxa"/>
            <w:shd w:val="clear" w:color="auto" w:fill="auto"/>
          </w:tcPr>
          <w:p w14:paraId="4359DEDE"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13/03/1967</w:t>
            </w:r>
          </w:p>
        </w:tc>
        <w:tc>
          <w:tcPr>
            <w:tcW w:w="2525" w:type="dxa"/>
            <w:shd w:val="clear" w:color="auto" w:fill="auto"/>
          </w:tcPr>
          <w:p w14:paraId="69C7B0A1" w14:textId="527585ED" w:rsidR="00C619FA" w:rsidRPr="008253DC" w:rsidRDefault="00141A72" w:rsidP="00CA57F3">
            <w:pPr>
              <w:pStyle w:val="SingleTxtG"/>
              <w:tabs>
                <w:tab w:val="clear" w:pos="1701"/>
                <w:tab w:val="clear" w:pos="2268"/>
                <w:tab w:val="clear" w:pos="2835"/>
              </w:tabs>
              <w:spacing w:before="40"/>
              <w:ind w:left="0" w:right="0"/>
              <w:jc w:val="left"/>
              <w:rPr>
                <w:lang w:val="es-ES_tradnl"/>
              </w:rPr>
            </w:pPr>
            <w:r w:rsidRPr="008253DC">
              <w:rPr>
                <w:lang w:val="es-ES_tradnl"/>
              </w:rPr>
              <w:t>“</w:t>
            </w:r>
            <w:r w:rsidR="00247D16" w:rsidRPr="008253DC">
              <w:rPr>
                <w:lang w:val="es-ES_tradnl"/>
              </w:rPr>
              <w:t>...</w:t>
            </w:r>
            <w:r w:rsidR="00C619FA" w:rsidRPr="008253DC">
              <w:rPr>
                <w:lang w:val="es-ES_tradnl"/>
              </w:rPr>
              <w:t xml:space="preserve"> Islandia reconoce la competencia del Comité para la Eliminación de la Discriminación Racial para recibir y examinar comunicaciones de personas o grupos de personas comprendidas dentro de la jurisdicción de Islandia que se consideren víctimas de violaciones por parte de Islandia de cualquiera de los derechos estipulados en la Convención, con la reserva de que el Comité no examinará ninguna comunicación de una persona o grupo de personas si el Comité no tiene la certeza de que la misma cuestión no ha sido examinada, o está siendo examinada, con arreglo a otro procedimiento de investigación o arreglo internacional.</w:t>
            </w:r>
            <w:r w:rsidRPr="008253DC">
              <w:rPr>
                <w:lang w:val="es-ES_tradnl"/>
              </w:rPr>
              <w:t>”</w:t>
            </w:r>
          </w:p>
        </w:tc>
        <w:tc>
          <w:tcPr>
            <w:tcW w:w="2719" w:type="dxa"/>
            <w:shd w:val="clear" w:color="auto" w:fill="auto"/>
          </w:tcPr>
          <w:p w14:paraId="2CD0035B"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p>
        </w:tc>
      </w:tr>
      <w:tr w:rsidR="00C619FA" w:rsidRPr="008253DC" w14:paraId="3D3BDE0A" w14:textId="77777777" w:rsidTr="00CA57F3">
        <w:trPr>
          <w:trHeight w:val="240"/>
        </w:trPr>
        <w:tc>
          <w:tcPr>
            <w:tcW w:w="1970" w:type="dxa"/>
            <w:shd w:val="clear" w:color="auto" w:fill="auto"/>
          </w:tcPr>
          <w:p w14:paraId="5D9DB44F"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Convención sobre la Eliminación de Todas las Formas de Discriminación contra la Mujer (CEDAW), 1979</w:t>
            </w:r>
          </w:p>
        </w:tc>
        <w:tc>
          <w:tcPr>
            <w:tcW w:w="1291" w:type="dxa"/>
            <w:shd w:val="clear" w:color="auto" w:fill="auto"/>
          </w:tcPr>
          <w:p w14:paraId="061B12F8"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18/06/1985</w:t>
            </w:r>
          </w:p>
        </w:tc>
        <w:tc>
          <w:tcPr>
            <w:tcW w:w="2525" w:type="dxa"/>
            <w:shd w:val="clear" w:color="auto" w:fill="auto"/>
          </w:tcPr>
          <w:p w14:paraId="57B36685"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Enmienda al artículo 20, párrafo 1, de la Convención, 8 de mayo de 2002.</w:t>
            </w:r>
          </w:p>
        </w:tc>
        <w:tc>
          <w:tcPr>
            <w:tcW w:w="2719" w:type="dxa"/>
            <w:shd w:val="clear" w:color="auto" w:fill="auto"/>
          </w:tcPr>
          <w:p w14:paraId="1870DF86"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El Protocolo Facultativo fue ratificado por Islandia el 6 de marzo de 2001.</w:t>
            </w:r>
          </w:p>
        </w:tc>
      </w:tr>
      <w:tr w:rsidR="00C619FA" w:rsidRPr="008253DC" w14:paraId="78C24575" w14:textId="77777777" w:rsidTr="00CA57F3">
        <w:trPr>
          <w:trHeight w:val="240"/>
        </w:trPr>
        <w:tc>
          <w:tcPr>
            <w:tcW w:w="1970" w:type="dxa"/>
            <w:shd w:val="clear" w:color="auto" w:fill="auto"/>
          </w:tcPr>
          <w:p w14:paraId="3CC1EE9D"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Convención contra la Tortura y Otros Tratos o Penas Crueles, Inhumanos o Degradantes (CAT), 1984</w:t>
            </w:r>
          </w:p>
        </w:tc>
        <w:tc>
          <w:tcPr>
            <w:tcW w:w="1291" w:type="dxa"/>
            <w:shd w:val="clear" w:color="auto" w:fill="auto"/>
          </w:tcPr>
          <w:p w14:paraId="76EBD3B9"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23/10/1996</w:t>
            </w:r>
          </w:p>
        </w:tc>
        <w:tc>
          <w:tcPr>
            <w:tcW w:w="2525" w:type="dxa"/>
            <w:shd w:val="clear" w:color="auto" w:fill="auto"/>
          </w:tcPr>
          <w:p w14:paraId="5026667A" w14:textId="15AAB12A" w:rsidR="00C619FA" w:rsidRPr="008253DC" w:rsidRDefault="00141A72" w:rsidP="00CA57F3">
            <w:pPr>
              <w:pStyle w:val="SingleTxtG"/>
              <w:tabs>
                <w:tab w:val="clear" w:pos="1701"/>
                <w:tab w:val="clear" w:pos="2268"/>
                <w:tab w:val="clear" w:pos="2835"/>
              </w:tabs>
              <w:spacing w:before="40"/>
              <w:ind w:left="0" w:right="0"/>
              <w:jc w:val="left"/>
              <w:rPr>
                <w:lang w:val="es-ES_tradnl"/>
              </w:rPr>
            </w:pPr>
            <w:r w:rsidRPr="008253DC">
              <w:rPr>
                <w:lang w:val="es-ES_tradnl"/>
              </w:rPr>
              <w:t>“</w:t>
            </w:r>
            <w:r w:rsidR="009635BE" w:rsidRPr="008253DC">
              <w:rPr>
                <w:lang w:val="es-ES_tradnl"/>
              </w:rPr>
              <w:t>...</w:t>
            </w:r>
            <w:r w:rsidR="00C619FA" w:rsidRPr="008253DC">
              <w:rPr>
                <w:lang w:val="es-ES_tradnl"/>
              </w:rPr>
              <w:t xml:space="preserve"> Islandia reconoce la competencia del Comité contra la Tortura para recibir y examinar las comunicaciones en que un Estado Parte alegue que otro Estado Parte no cumple las obligaciones que le impone la Convención, y de conformidad con el párrafo 1 del artículo 22 de la Convención reconoce la </w:t>
            </w:r>
            <w:r w:rsidR="00C619FA" w:rsidRPr="008253DC">
              <w:rPr>
                <w:lang w:val="es-ES_tradnl"/>
              </w:rPr>
              <w:lastRenderedPageBreak/>
              <w:t>competencia del Comité contra la Tortura para recibir y examinar las comunicaciones enviadas por personas sometidas a su jurisdicción, o en su nombre, que aleguen ser víctimas de una violación por un Estado Parte de las disposiciones de la Convención.</w:t>
            </w:r>
            <w:r w:rsidRPr="008253DC">
              <w:rPr>
                <w:lang w:val="es-ES_tradnl"/>
              </w:rPr>
              <w:t>”</w:t>
            </w:r>
          </w:p>
        </w:tc>
        <w:tc>
          <w:tcPr>
            <w:tcW w:w="2719" w:type="dxa"/>
            <w:shd w:val="clear" w:color="auto" w:fill="auto"/>
          </w:tcPr>
          <w:p w14:paraId="6C364357"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lastRenderedPageBreak/>
              <w:t xml:space="preserve">El Protocolo Facultativo fue ratificado por Islandia el 20 de febrero de 2019. </w:t>
            </w:r>
          </w:p>
        </w:tc>
      </w:tr>
      <w:tr w:rsidR="00C619FA" w:rsidRPr="008253DC" w14:paraId="450E70BE" w14:textId="77777777" w:rsidTr="00CA57F3">
        <w:trPr>
          <w:trHeight w:val="240"/>
        </w:trPr>
        <w:tc>
          <w:tcPr>
            <w:tcW w:w="1970" w:type="dxa"/>
            <w:shd w:val="clear" w:color="auto" w:fill="auto"/>
          </w:tcPr>
          <w:p w14:paraId="4FEF8639"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Convención sobre los Derechos del Niño (CRC), 1989</w:t>
            </w:r>
          </w:p>
        </w:tc>
        <w:tc>
          <w:tcPr>
            <w:tcW w:w="1291" w:type="dxa"/>
            <w:shd w:val="clear" w:color="auto" w:fill="auto"/>
          </w:tcPr>
          <w:p w14:paraId="32FD2820"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28/10/1992</w:t>
            </w:r>
          </w:p>
        </w:tc>
        <w:tc>
          <w:tcPr>
            <w:tcW w:w="2525" w:type="dxa"/>
            <w:shd w:val="clear" w:color="auto" w:fill="auto"/>
          </w:tcPr>
          <w:p w14:paraId="34F93149"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El 20 de mayo de 2015, el Gobierno de Islandia informó al Secretario General de las Naciones Unidas de que había decidido retirar la declaración que había formulado al momento de la ratificación con respecto al artículo 37 de la Convención.</w:t>
            </w:r>
          </w:p>
          <w:p w14:paraId="56E4994E" w14:textId="2215F27C" w:rsidR="00C619FA" w:rsidRPr="008253DC" w:rsidRDefault="00141A72" w:rsidP="00CA57F3">
            <w:pPr>
              <w:pStyle w:val="SingleTxtG"/>
              <w:tabs>
                <w:tab w:val="clear" w:pos="1701"/>
                <w:tab w:val="clear" w:pos="2268"/>
                <w:tab w:val="clear" w:pos="2835"/>
              </w:tabs>
              <w:spacing w:before="40"/>
              <w:ind w:left="0" w:right="0"/>
              <w:jc w:val="left"/>
              <w:rPr>
                <w:lang w:val="es-ES_tradnl"/>
              </w:rPr>
            </w:pPr>
            <w:r w:rsidRPr="008253DC">
              <w:rPr>
                <w:lang w:val="es-ES_tradnl"/>
              </w:rPr>
              <w:t>“</w:t>
            </w:r>
            <w:r w:rsidR="00C619FA" w:rsidRPr="008253DC">
              <w:rPr>
                <w:lang w:val="es-ES_tradnl"/>
              </w:rPr>
              <w:t>Respecto del artículo 37, conforme al derecho de Islandia no es obligatorio separar a los delincuentes juveniles de los delincuentes adultos. Sin embargo, la ley relativa a los establecimientos penitenciarios y la reclusión dispone que cuando se determina el establecimiento penitenciario en el cual se purgará la pena de reclusión se tendrá en cuenta, entre otras cosas, la edad del recluso. Habida cuenta de las circunstancias imperantes en Islandia es de esperar que en las decisiones sobre la reclusión de delincuentes juveniles se tendrá siempre en cuenta el interés superior del delincuente juvenil.</w:t>
            </w:r>
            <w:r w:rsidRPr="008253DC">
              <w:rPr>
                <w:lang w:val="es-ES_tradnl"/>
              </w:rPr>
              <w:t>”</w:t>
            </w:r>
          </w:p>
        </w:tc>
        <w:tc>
          <w:tcPr>
            <w:tcW w:w="2719" w:type="dxa"/>
            <w:shd w:val="clear" w:color="auto" w:fill="auto"/>
          </w:tcPr>
          <w:p w14:paraId="1ADA32BC"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Aceptación de la enmienda al artículo 43, párrafo 2, por Islandia, el 14 de enero de 2000.</w:t>
            </w:r>
          </w:p>
          <w:p w14:paraId="3FD91144" w14:textId="68122752"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Protocolo Facultativo de la Convención sobre los Derechos del Niño relativo a la participación de niños en los conflictos armados, ratificado por Islandia el 1 de octubre de</w:t>
            </w:r>
            <w:r w:rsidR="00247D16" w:rsidRPr="008253DC">
              <w:rPr>
                <w:lang w:val="es-ES_tradnl"/>
              </w:rPr>
              <w:t> </w:t>
            </w:r>
            <w:r w:rsidRPr="008253DC">
              <w:rPr>
                <w:lang w:val="es-ES_tradnl"/>
              </w:rPr>
              <w:t xml:space="preserve">2001. </w:t>
            </w:r>
          </w:p>
          <w:p w14:paraId="057835AC" w14:textId="1B7B5F6A" w:rsidR="00C619FA" w:rsidRPr="008253DC" w:rsidRDefault="00141A72" w:rsidP="00CA57F3">
            <w:pPr>
              <w:pStyle w:val="SingleTxtG"/>
              <w:tabs>
                <w:tab w:val="clear" w:pos="1701"/>
                <w:tab w:val="clear" w:pos="2268"/>
                <w:tab w:val="clear" w:pos="2835"/>
              </w:tabs>
              <w:spacing w:before="40"/>
              <w:ind w:left="0" w:right="0"/>
              <w:jc w:val="left"/>
              <w:rPr>
                <w:lang w:val="es-ES_tradnl"/>
              </w:rPr>
            </w:pPr>
            <w:r w:rsidRPr="008253DC">
              <w:rPr>
                <w:lang w:val="es-ES_tradnl"/>
              </w:rPr>
              <w:t>“</w:t>
            </w:r>
            <w:r w:rsidR="00C619FA" w:rsidRPr="008253DC">
              <w:rPr>
                <w:lang w:val="es-ES_tradnl"/>
              </w:rPr>
              <w:t>Con respecto al párrafo 2 del artículo 3 del Protocolo Facultativo de la Convención sobre los Derechos del Niño relativo a la participación de niños en los conflictos armados, Islandia declara que no cuenta con fuerzas armadas nacionales, por lo que no se le aplican las disposiciones en materia de edad mínima para el reclutamiento.</w:t>
            </w:r>
            <w:r w:rsidRPr="008253DC">
              <w:rPr>
                <w:lang w:val="es-ES_tradnl"/>
              </w:rPr>
              <w:t>”</w:t>
            </w:r>
          </w:p>
          <w:p w14:paraId="6FAFC466"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Protocolo Facultativo de la Convención sobre los Derechos del Niño relativo a la venta de niños, la prostitución infantil y la utilización de niños en la pornografía, ratificado por Islandia el 9 de julio de 2001.</w:t>
            </w:r>
          </w:p>
        </w:tc>
      </w:tr>
      <w:tr w:rsidR="00C619FA" w:rsidRPr="008253DC" w14:paraId="19E8BDBC" w14:textId="77777777" w:rsidTr="00CA57F3">
        <w:trPr>
          <w:trHeight w:val="240"/>
        </w:trPr>
        <w:tc>
          <w:tcPr>
            <w:tcW w:w="1970" w:type="dxa"/>
            <w:shd w:val="clear" w:color="auto" w:fill="auto"/>
          </w:tcPr>
          <w:p w14:paraId="5608143F"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Convención sobre los Derechos de las Personas con Discapacidad (CRPD), 2006</w:t>
            </w:r>
          </w:p>
        </w:tc>
        <w:tc>
          <w:tcPr>
            <w:tcW w:w="1291" w:type="dxa"/>
            <w:shd w:val="clear" w:color="auto" w:fill="auto"/>
          </w:tcPr>
          <w:p w14:paraId="0EFD8BF5"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23/09/2016</w:t>
            </w:r>
          </w:p>
        </w:tc>
        <w:tc>
          <w:tcPr>
            <w:tcW w:w="2525" w:type="dxa"/>
            <w:shd w:val="clear" w:color="auto" w:fill="auto"/>
          </w:tcPr>
          <w:p w14:paraId="2FEEEC07"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p>
        </w:tc>
        <w:tc>
          <w:tcPr>
            <w:tcW w:w="2719" w:type="dxa"/>
            <w:shd w:val="clear" w:color="auto" w:fill="auto"/>
          </w:tcPr>
          <w:p w14:paraId="7BE1A0F4"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Islandia firmó el Protocolo Facultativo de la Convención sobre los Derechos de las Personas con Discapacidad el 30 de marzo de 2007.</w:t>
            </w:r>
          </w:p>
        </w:tc>
      </w:tr>
      <w:tr w:rsidR="00C619FA" w:rsidRPr="008253DC" w14:paraId="71CC183F" w14:textId="77777777" w:rsidTr="00CA57F3">
        <w:trPr>
          <w:trHeight w:val="240"/>
        </w:trPr>
        <w:tc>
          <w:tcPr>
            <w:tcW w:w="1970" w:type="dxa"/>
            <w:shd w:val="clear" w:color="auto" w:fill="auto"/>
          </w:tcPr>
          <w:p w14:paraId="10C389FA"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Convención Internacional para la Protección de Todas las Personas contra las Desapariciones Forzadas (ICPPED), 2006</w:t>
            </w:r>
          </w:p>
        </w:tc>
        <w:tc>
          <w:tcPr>
            <w:tcW w:w="1291" w:type="dxa"/>
            <w:shd w:val="clear" w:color="auto" w:fill="auto"/>
          </w:tcPr>
          <w:p w14:paraId="3890E388"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F 01/10/2008</w:t>
            </w:r>
          </w:p>
        </w:tc>
        <w:tc>
          <w:tcPr>
            <w:tcW w:w="2525" w:type="dxa"/>
            <w:shd w:val="clear" w:color="auto" w:fill="auto"/>
          </w:tcPr>
          <w:p w14:paraId="2975BC96"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p>
        </w:tc>
        <w:tc>
          <w:tcPr>
            <w:tcW w:w="2719" w:type="dxa"/>
            <w:shd w:val="clear" w:color="auto" w:fill="auto"/>
          </w:tcPr>
          <w:p w14:paraId="24D09AB7"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p>
        </w:tc>
      </w:tr>
      <w:tr w:rsidR="00C619FA" w:rsidRPr="008253DC" w14:paraId="4625155E" w14:textId="77777777" w:rsidTr="00CA57F3">
        <w:trPr>
          <w:trHeight w:val="240"/>
        </w:trPr>
        <w:tc>
          <w:tcPr>
            <w:tcW w:w="1970" w:type="dxa"/>
            <w:tcBorders>
              <w:bottom w:val="single" w:sz="12" w:space="0" w:color="auto"/>
            </w:tcBorders>
            <w:shd w:val="clear" w:color="auto" w:fill="auto"/>
          </w:tcPr>
          <w:p w14:paraId="3DCB2AD0"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lastRenderedPageBreak/>
              <w:t>Convención Internacional sobre la Protección de los Derechos de Todos los Trabajadores Migratorios y de Sus Familiares (ICRMW), 1990</w:t>
            </w:r>
          </w:p>
        </w:tc>
        <w:tc>
          <w:tcPr>
            <w:tcW w:w="1291" w:type="dxa"/>
            <w:tcBorders>
              <w:bottom w:val="single" w:sz="12" w:space="0" w:color="auto"/>
            </w:tcBorders>
            <w:shd w:val="clear" w:color="auto" w:fill="auto"/>
          </w:tcPr>
          <w:p w14:paraId="36364634"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Islandia no es parte en esta Convención. </w:t>
            </w:r>
          </w:p>
        </w:tc>
        <w:tc>
          <w:tcPr>
            <w:tcW w:w="2525" w:type="dxa"/>
            <w:tcBorders>
              <w:bottom w:val="single" w:sz="12" w:space="0" w:color="auto"/>
            </w:tcBorders>
            <w:shd w:val="clear" w:color="auto" w:fill="auto"/>
          </w:tcPr>
          <w:p w14:paraId="5B300E28"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Islandia ha ratificado los convenios fundamentales de la Organización Internacional del Trabajo (OIT) sobre los derechos de los trabajadores.</w:t>
            </w:r>
          </w:p>
        </w:tc>
        <w:tc>
          <w:tcPr>
            <w:tcW w:w="2719" w:type="dxa"/>
            <w:tcBorders>
              <w:bottom w:val="single" w:sz="12" w:space="0" w:color="auto"/>
            </w:tcBorders>
            <w:shd w:val="clear" w:color="auto" w:fill="auto"/>
          </w:tcPr>
          <w:p w14:paraId="5D9C097E"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p>
        </w:tc>
      </w:tr>
    </w:tbl>
    <w:p w14:paraId="17B194E3" w14:textId="416C19BF" w:rsidR="00C619FA" w:rsidRPr="008253DC" w:rsidRDefault="00C619FA" w:rsidP="00CA57F3">
      <w:pPr>
        <w:pStyle w:val="H23G"/>
        <w:rPr>
          <w:lang w:val="es-ES_tradnl"/>
        </w:rPr>
      </w:pPr>
      <w:r w:rsidRPr="008253DC">
        <w:rPr>
          <w:lang w:val="es-ES_tradnl"/>
        </w:rPr>
        <w:tab/>
        <w:t>2.</w:t>
      </w:r>
      <w:r w:rsidRPr="008253DC">
        <w:rPr>
          <w:lang w:val="es-ES_tradnl"/>
        </w:rPr>
        <w:tab/>
        <w:t>Otras convenciones de derechos humanos y convenciones conexas de las Naciones</w:t>
      </w:r>
      <w:r w:rsidR="00CA57F3" w:rsidRPr="008253DC">
        <w:rPr>
          <w:lang w:val="es-ES_tradnl"/>
        </w:rPr>
        <w:t> </w:t>
      </w:r>
      <w:r w:rsidRPr="008253DC">
        <w:rPr>
          <w:lang w:val="es-ES_tradnl"/>
        </w:rPr>
        <w:t>Unidas</w:t>
      </w:r>
    </w:p>
    <w:p w14:paraId="12A984DC" w14:textId="4C68884D" w:rsidR="00C619FA" w:rsidRPr="008253DC" w:rsidRDefault="00C619FA" w:rsidP="00C619FA">
      <w:pPr>
        <w:pStyle w:val="SingleTxtG"/>
        <w:rPr>
          <w:i/>
          <w:lang w:val="es-ES_tradnl"/>
        </w:rPr>
      </w:pPr>
      <w:r w:rsidRPr="008253DC">
        <w:rPr>
          <w:i/>
          <w:iCs/>
          <w:lang w:val="es-ES_tradnl"/>
        </w:rPr>
        <w:t>Islandia es parte en las convenciones que figuran en el cuadro que se presenta a continuación</w:t>
      </w:r>
      <w:r w:rsidR="00CA57F3" w:rsidRPr="008253DC">
        <w:rPr>
          <w:i/>
          <w:iCs/>
          <w:lang w:val="es-ES_tradnl"/>
        </w:rPr>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5954"/>
        <w:gridCol w:w="1416"/>
      </w:tblGrid>
      <w:tr w:rsidR="00C619FA" w:rsidRPr="008253DC" w14:paraId="186D3770" w14:textId="77777777" w:rsidTr="00CA57F3">
        <w:trPr>
          <w:trHeight w:val="240"/>
          <w:tblHeader/>
        </w:trPr>
        <w:tc>
          <w:tcPr>
            <w:tcW w:w="5954" w:type="dxa"/>
            <w:tcBorders>
              <w:top w:val="single" w:sz="4" w:space="0" w:color="auto"/>
              <w:bottom w:val="single" w:sz="12" w:space="0" w:color="auto"/>
            </w:tcBorders>
            <w:shd w:val="clear" w:color="auto" w:fill="auto"/>
            <w:vAlign w:val="bottom"/>
          </w:tcPr>
          <w:p w14:paraId="0C5AAED6" w14:textId="77777777" w:rsidR="00C619FA" w:rsidRPr="008253DC" w:rsidRDefault="00C619FA" w:rsidP="00CA57F3">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Convención/protocolo</w:t>
            </w:r>
          </w:p>
        </w:tc>
        <w:tc>
          <w:tcPr>
            <w:tcW w:w="1416" w:type="dxa"/>
            <w:tcBorders>
              <w:top w:val="single" w:sz="4" w:space="0" w:color="auto"/>
              <w:bottom w:val="single" w:sz="12" w:space="0" w:color="auto"/>
            </w:tcBorders>
            <w:shd w:val="clear" w:color="auto" w:fill="auto"/>
            <w:vAlign w:val="bottom"/>
          </w:tcPr>
          <w:p w14:paraId="0DF20317" w14:textId="77777777" w:rsidR="00C619FA" w:rsidRPr="008253DC" w:rsidRDefault="00C619FA" w:rsidP="00CA57F3">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Ratificación (R)</w:t>
            </w:r>
          </w:p>
        </w:tc>
      </w:tr>
      <w:tr w:rsidR="00CA57F3" w:rsidRPr="008253DC" w14:paraId="54C45A78" w14:textId="77777777" w:rsidTr="00CA57F3">
        <w:trPr>
          <w:trHeight w:hRule="exact" w:val="113"/>
          <w:tblHeader/>
        </w:trPr>
        <w:tc>
          <w:tcPr>
            <w:tcW w:w="5954" w:type="dxa"/>
            <w:tcBorders>
              <w:top w:val="single" w:sz="12" w:space="0" w:color="auto"/>
              <w:bottom w:val="nil"/>
            </w:tcBorders>
            <w:shd w:val="clear" w:color="auto" w:fill="auto"/>
            <w:vAlign w:val="bottom"/>
          </w:tcPr>
          <w:p w14:paraId="4887DBC2" w14:textId="77777777" w:rsidR="00CA57F3" w:rsidRPr="008253DC" w:rsidRDefault="00CA57F3" w:rsidP="00CA57F3">
            <w:pPr>
              <w:pStyle w:val="SingleTxtG"/>
              <w:tabs>
                <w:tab w:val="clear" w:pos="1701"/>
                <w:tab w:val="clear" w:pos="2268"/>
                <w:tab w:val="clear" w:pos="2835"/>
              </w:tabs>
              <w:spacing w:before="80" w:after="80" w:line="200" w:lineRule="exact"/>
              <w:ind w:left="0" w:right="0"/>
              <w:jc w:val="left"/>
              <w:rPr>
                <w:i/>
                <w:iCs/>
                <w:sz w:val="16"/>
                <w:lang w:val="es-ES_tradnl"/>
              </w:rPr>
            </w:pPr>
          </w:p>
        </w:tc>
        <w:tc>
          <w:tcPr>
            <w:tcW w:w="1416" w:type="dxa"/>
            <w:tcBorders>
              <w:top w:val="single" w:sz="12" w:space="0" w:color="auto"/>
              <w:bottom w:val="nil"/>
            </w:tcBorders>
            <w:shd w:val="clear" w:color="auto" w:fill="auto"/>
            <w:vAlign w:val="bottom"/>
          </w:tcPr>
          <w:p w14:paraId="1F066E5B" w14:textId="77777777" w:rsidR="00CA57F3" w:rsidRPr="008253DC" w:rsidRDefault="00CA57F3" w:rsidP="00CA57F3">
            <w:pPr>
              <w:pStyle w:val="SingleTxtG"/>
              <w:tabs>
                <w:tab w:val="clear" w:pos="1701"/>
                <w:tab w:val="clear" w:pos="2268"/>
                <w:tab w:val="clear" w:pos="2835"/>
              </w:tabs>
              <w:spacing w:before="80" w:after="80" w:line="200" w:lineRule="exact"/>
              <w:ind w:left="0" w:right="0"/>
              <w:jc w:val="left"/>
              <w:rPr>
                <w:i/>
                <w:iCs/>
                <w:sz w:val="16"/>
                <w:lang w:val="es-ES_tradnl"/>
              </w:rPr>
            </w:pPr>
          </w:p>
        </w:tc>
      </w:tr>
      <w:tr w:rsidR="00C619FA" w:rsidRPr="008253DC" w14:paraId="59EE4529" w14:textId="77777777" w:rsidTr="00CA57F3">
        <w:trPr>
          <w:trHeight w:val="240"/>
        </w:trPr>
        <w:tc>
          <w:tcPr>
            <w:tcW w:w="5954" w:type="dxa"/>
            <w:tcBorders>
              <w:top w:val="nil"/>
            </w:tcBorders>
            <w:shd w:val="clear" w:color="auto" w:fill="auto"/>
          </w:tcPr>
          <w:p w14:paraId="30F4925D"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Convención para la Prevención y la Sanción del Delito de Genocidio, 1948</w:t>
            </w:r>
          </w:p>
        </w:tc>
        <w:tc>
          <w:tcPr>
            <w:tcW w:w="1416" w:type="dxa"/>
            <w:tcBorders>
              <w:top w:val="nil"/>
            </w:tcBorders>
            <w:shd w:val="clear" w:color="auto" w:fill="auto"/>
          </w:tcPr>
          <w:p w14:paraId="319FC8FC"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29/08/1949</w:t>
            </w:r>
          </w:p>
        </w:tc>
      </w:tr>
      <w:tr w:rsidR="00C619FA" w:rsidRPr="008253DC" w14:paraId="08BDFDEE" w14:textId="77777777" w:rsidTr="00CA57F3">
        <w:trPr>
          <w:trHeight w:val="240"/>
        </w:trPr>
        <w:tc>
          <w:tcPr>
            <w:tcW w:w="5954" w:type="dxa"/>
            <w:shd w:val="clear" w:color="auto" w:fill="auto"/>
          </w:tcPr>
          <w:p w14:paraId="24E01907"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Convención sobre la Esclavitud, 1926, en su forma enmendada en 1955</w:t>
            </w:r>
          </w:p>
        </w:tc>
        <w:tc>
          <w:tcPr>
            <w:tcW w:w="1416" w:type="dxa"/>
            <w:shd w:val="clear" w:color="auto" w:fill="auto"/>
          </w:tcPr>
          <w:p w14:paraId="442CE0EF"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17/11/1965</w:t>
            </w:r>
          </w:p>
        </w:tc>
      </w:tr>
      <w:tr w:rsidR="00C619FA" w:rsidRPr="008253DC" w14:paraId="0BA8FE87" w14:textId="77777777" w:rsidTr="00CA57F3">
        <w:trPr>
          <w:trHeight w:val="240"/>
        </w:trPr>
        <w:tc>
          <w:tcPr>
            <w:tcW w:w="5954" w:type="dxa"/>
            <w:shd w:val="clear" w:color="auto" w:fill="auto"/>
          </w:tcPr>
          <w:p w14:paraId="7BC34369" w14:textId="27ABA541"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Convención sobre el Estatuto de los Refugiados, 1951, y su Protocolo de</w:t>
            </w:r>
            <w:r w:rsidR="00912E9A" w:rsidRPr="008253DC">
              <w:rPr>
                <w:lang w:val="es-ES_tradnl"/>
              </w:rPr>
              <w:t> </w:t>
            </w:r>
            <w:r w:rsidRPr="008253DC">
              <w:rPr>
                <w:lang w:val="es-ES_tradnl"/>
              </w:rPr>
              <w:t>1967</w:t>
            </w:r>
          </w:p>
        </w:tc>
        <w:tc>
          <w:tcPr>
            <w:tcW w:w="1416" w:type="dxa"/>
            <w:shd w:val="clear" w:color="auto" w:fill="auto"/>
          </w:tcPr>
          <w:p w14:paraId="0CFE1CF1"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26/04/1968</w:t>
            </w:r>
          </w:p>
        </w:tc>
      </w:tr>
      <w:tr w:rsidR="00C619FA" w:rsidRPr="008253DC" w14:paraId="38E2E8DE" w14:textId="77777777" w:rsidTr="00CA57F3">
        <w:trPr>
          <w:trHeight w:val="240"/>
        </w:trPr>
        <w:tc>
          <w:tcPr>
            <w:tcW w:w="5954" w:type="dxa"/>
            <w:shd w:val="clear" w:color="auto" w:fill="auto"/>
          </w:tcPr>
          <w:p w14:paraId="6D3944A0"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Convención sobre el Estatuto de los Apátridas, 1954</w:t>
            </w:r>
          </w:p>
        </w:tc>
        <w:tc>
          <w:tcPr>
            <w:tcW w:w="1416" w:type="dxa"/>
            <w:shd w:val="clear" w:color="auto" w:fill="auto"/>
          </w:tcPr>
          <w:p w14:paraId="490AA82F"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26/01/2021</w:t>
            </w:r>
          </w:p>
        </w:tc>
      </w:tr>
      <w:tr w:rsidR="00C619FA" w:rsidRPr="008253DC" w14:paraId="4677C14C" w14:textId="77777777" w:rsidTr="00CA57F3">
        <w:trPr>
          <w:trHeight w:val="240"/>
        </w:trPr>
        <w:tc>
          <w:tcPr>
            <w:tcW w:w="5954" w:type="dxa"/>
            <w:shd w:val="clear" w:color="auto" w:fill="auto"/>
          </w:tcPr>
          <w:p w14:paraId="740C65A9"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bCs/>
                <w:lang w:val="es-ES_tradnl"/>
              </w:rPr>
              <w:t>Convención para Reducir los Casos de Apatridia, 1961</w:t>
            </w:r>
          </w:p>
        </w:tc>
        <w:tc>
          <w:tcPr>
            <w:tcW w:w="1416" w:type="dxa"/>
            <w:shd w:val="clear" w:color="auto" w:fill="auto"/>
          </w:tcPr>
          <w:p w14:paraId="1AA4FC82"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26/01/2021</w:t>
            </w:r>
          </w:p>
        </w:tc>
      </w:tr>
      <w:tr w:rsidR="00C619FA" w:rsidRPr="008253DC" w14:paraId="34F81309" w14:textId="77777777" w:rsidTr="00CA57F3">
        <w:trPr>
          <w:trHeight w:val="240"/>
        </w:trPr>
        <w:tc>
          <w:tcPr>
            <w:tcW w:w="5954" w:type="dxa"/>
            <w:shd w:val="clear" w:color="auto" w:fill="auto"/>
          </w:tcPr>
          <w:p w14:paraId="7B3F51AE"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bCs/>
                <w:lang w:val="es-ES_tradnl"/>
              </w:rPr>
              <w:t>Estatuto de Roma de la Corte Penal Internacional, 1998</w:t>
            </w:r>
          </w:p>
        </w:tc>
        <w:tc>
          <w:tcPr>
            <w:tcW w:w="1416" w:type="dxa"/>
            <w:shd w:val="clear" w:color="auto" w:fill="auto"/>
          </w:tcPr>
          <w:p w14:paraId="472D6E95"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25/05/2000</w:t>
            </w:r>
          </w:p>
        </w:tc>
      </w:tr>
      <w:tr w:rsidR="00C619FA" w:rsidRPr="008253DC" w14:paraId="1728E19F" w14:textId="77777777" w:rsidTr="00CA57F3">
        <w:trPr>
          <w:trHeight w:val="240"/>
        </w:trPr>
        <w:tc>
          <w:tcPr>
            <w:tcW w:w="5954" w:type="dxa"/>
            <w:tcBorders>
              <w:bottom w:val="single" w:sz="12" w:space="0" w:color="auto"/>
            </w:tcBorders>
            <w:shd w:val="clear" w:color="auto" w:fill="auto"/>
          </w:tcPr>
          <w:p w14:paraId="2BFF0FFF"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Convención de las Naciones Unidas contra la Delincuencia Organizada Transnacional, 2000, y su Protocolo para Prevenir, Reprimir y Sancionar la Trata de Personas, Especialmente Mujeres y Niños</w:t>
            </w:r>
          </w:p>
        </w:tc>
        <w:tc>
          <w:tcPr>
            <w:tcW w:w="1416" w:type="dxa"/>
            <w:tcBorders>
              <w:bottom w:val="single" w:sz="12" w:space="0" w:color="auto"/>
            </w:tcBorders>
            <w:shd w:val="clear" w:color="auto" w:fill="auto"/>
          </w:tcPr>
          <w:p w14:paraId="7315674D"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16/04/2010</w:t>
            </w:r>
          </w:p>
        </w:tc>
      </w:tr>
    </w:tbl>
    <w:p w14:paraId="166452ED" w14:textId="77777777" w:rsidR="00C619FA" w:rsidRPr="008253DC" w:rsidRDefault="00C619FA" w:rsidP="00CA57F3">
      <w:pPr>
        <w:pStyle w:val="H23G"/>
        <w:rPr>
          <w:lang w:val="es-ES_tradnl"/>
        </w:rPr>
      </w:pPr>
      <w:r w:rsidRPr="008253DC">
        <w:rPr>
          <w:lang w:val="es-ES_tradnl"/>
        </w:rPr>
        <w:tab/>
        <w:t>3.</w:t>
      </w:r>
      <w:r w:rsidRPr="008253DC">
        <w:rPr>
          <w:lang w:val="es-ES_tradnl"/>
        </w:rPr>
        <w:tab/>
        <w:t>Convenios de la Organización Internacional del Trabajo</w:t>
      </w:r>
    </w:p>
    <w:p w14:paraId="21CE107C" w14:textId="6BF9EC7C" w:rsidR="00C619FA" w:rsidRPr="008253DC" w:rsidRDefault="00C619FA" w:rsidP="00C619FA">
      <w:pPr>
        <w:pStyle w:val="SingleTxtG"/>
        <w:rPr>
          <w:i/>
          <w:lang w:val="es-ES_tradnl"/>
        </w:rPr>
      </w:pPr>
      <w:r w:rsidRPr="008253DC">
        <w:rPr>
          <w:i/>
          <w:iCs/>
          <w:lang w:val="es-ES_tradnl"/>
        </w:rPr>
        <w:t>Islandia es parte en los convenios que figuran en el cuadro que se presenta a continuación</w:t>
      </w:r>
      <w:r w:rsidR="00CA57F3" w:rsidRPr="008253DC">
        <w:rPr>
          <w:i/>
          <w:iCs/>
          <w:lang w:val="es-ES_tradnl"/>
        </w:rPr>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6096"/>
        <w:gridCol w:w="1274"/>
      </w:tblGrid>
      <w:tr w:rsidR="00C619FA" w:rsidRPr="008253DC" w14:paraId="30E973D3" w14:textId="77777777" w:rsidTr="00CA57F3">
        <w:trPr>
          <w:trHeight w:val="240"/>
          <w:tblHeader/>
        </w:trPr>
        <w:tc>
          <w:tcPr>
            <w:tcW w:w="6096" w:type="dxa"/>
            <w:tcBorders>
              <w:top w:val="single" w:sz="4" w:space="0" w:color="auto"/>
              <w:bottom w:val="single" w:sz="12" w:space="0" w:color="auto"/>
            </w:tcBorders>
            <w:shd w:val="clear" w:color="auto" w:fill="auto"/>
            <w:vAlign w:val="bottom"/>
          </w:tcPr>
          <w:p w14:paraId="795B3C56" w14:textId="77777777" w:rsidR="00C619FA" w:rsidRPr="008253DC" w:rsidRDefault="00C619FA" w:rsidP="00CA57F3">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Convenio/protocolo</w:t>
            </w:r>
          </w:p>
        </w:tc>
        <w:tc>
          <w:tcPr>
            <w:tcW w:w="1274" w:type="dxa"/>
            <w:tcBorders>
              <w:top w:val="single" w:sz="4" w:space="0" w:color="auto"/>
              <w:bottom w:val="single" w:sz="12" w:space="0" w:color="auto"/>
            </w:tcBorders>
            <w:shd w:val="clear" w:color="auto" w:fill="auto"/>
            <w:vAlign w:val="bottom"/>
          </w:tcPr>
          <w:p w14:paraId="3C26A089" w14:textId="77777777" w:rsidR="00C619FA" w:rsidRPr="008253DC" w:rsidRDefault="00C619FA" w:rsidP="00CA57F3">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Ratificación (R)</w:t>
            </w:r>
          </w:p>
        </w:tc>
      </w:tr>
      <w:tr w:rsidR="00CA57F3" w:rsidRPr="008253DC" w14:paraId="67B6086F" w14:textId="77777777" w:rsidTr="00CA57F3">
        <w:trPr>
          <w:trHeight w:hRule="exact" w:val="113"/>
          <w:tblHeader/>
        </w:trPr>
        <w:tc>
          <w:tcPr>
            <w:tcW w:w="6096" w:type="dxa"/>
            <w:tcBorders>
              <w:top w:val="single" w:sz="12" w:space="0" w:color="auto"/>
              <w:bottom w:val="nil"/>
            </w:tcBorders>
            <w:shd w:val="clear" w:color="auto" w:fill="auto"/>
            <w:vAlign w:val="bottom"/>
          </w:tcPr>
          <w:p w14:paraId="402B07FE" w14:textId="77777777" w:rsidR="00CA57F3" w:rsidRPr="008253DC" w:rsidRDefault="00CA57F3" w:rsidP="00CA57F3">
            <w:pPr>
              <w:pStyle w:val="SingleTxtG"/>
              <w:tabs>
                <w:tab w:val="clear" w:pos="1701"/>
                <w:tab w:val="clear" w:pos="2268"/>
                <w:tab w:val="clear" w:pos="2835"/>
              </w:tabs>
              <w:spacing w:before="80" w:after="80" w:line="200" w:lineRule="exact"/>
              <w:ind w:left="0" w:right="0"/>
              <w:jc w:val="left"/>
              <w:rPr>
                <w:i/>
                <w:iCs/>
                <w:sz w:val="16"/>
                <w:lang w:val="es-ES_tradnl"/>
              </w:rPr>
            </w:pPr>
          </w:p>
        </w:tc>
        <w:tc>
          <w:tcPr>
            <w:tcW w:w="1274" w:type="dxa"/>
            <w:tcBorders>
              <w:top w:val="single" w:sz="12" w:space="0" w:color="auto"/>
              <w:bottom w:val="nil"/>
            </w:tcBorders>
            <w:shd w:val="clear" w:color="auto" w:fill="auto"/>
            <w:vAlign w:val="bottom"/>
          </w:tcPr>
          <w:p w14:paraId="4DDE642E" w14:textId="77777777" w:rsidR="00CA57F3" w:rsidRPr="008253DC" w:rsidRDefault="00CA57F3" w:rsidP="00CA57F3">
            <w:pPr>
              <w:pStyle w:val="SingleTxtG"/>
              <w:tabs>
                <w:tab w:val="clear" w:pos="1701"/>
                <w:tab w:val="clear" w:pos="2268"/>
                <w:tab w:val="clear" w:pos="2835"/>
              </w:tabs>
              <w:spacing w:before="80" w:after="80" w:line="200" w:lineRule="exact"/>
              <w:ind w:left="0" w:right="0"/>
              <w:jc w:val="left"/>
              <w:rPr>
                <w:i/>
                <w:iCs/>
                <w:sz w:val="16"/>
                <w:lang w:val="es-ES_tradnl"/>
              </w:rPr>
            </w:pPr>
          </w:p>
        </w:tc>
      </w:tr>
      <w:tr w:rsidR="00C619FA" w:rsidRPr="008253DC" w14:paraId="7CB8FE56" w14:textId="77777777" w:rsidTr="00CA57F3">
        <w:trPr>
          <w:trHeight w:val="240"/>
        </w:trPr>
        <w:tc>
          <w:tcPr>
            <w:tcW w:w="6096" w:type="dxa"/>
            <w:tcBorders>
              <w:top w:val="nil"/>
            </w:tcBorders>
            <w:shd w:val="clear" w:color="auto" w:fill="auto"/>
          </w:tcPr>
          <w:p w14:paraId="070D2725" w14:textId="6B23C546"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Convenio sobre el </w:t>
            </w:r>
            <w:r w:rsidR="009635BE" w:rsidRPr="008253DC">
              <w:rPr>
                <w:lang w:val="es-ES_tradnl"/>
              </w:rPr>
              <w:t>Trabajo Forzoso</w:t>
            </w:r>
            <w:r w:rsidRPr="008253DC">
              <w:rPr>
                <w:lang w:val="es-ES_tradnl"/>
              </w:rPr>
              <w:t>, 1930 (núm. 29)</w:t>
            </w:r>
          </w:p>
        </w:tc>
        <w:tc>
          <w:tcPr>
            <w:tcW w:w="1274" w:type="dxa"/>
            <w:tcBorders>
              <w:top w:val="nil"/>
            </w:tcBorders>
            <w:shd w:val="clear" w:color="auto" w:fill="auto"/>
          </w:tcPr>
          <w:p w14:paraId="1EA3607B"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17/02/1958</w:t>
            </w:r>
          </w:p>
        </w:tc>
      </w:tr>
      <w:tr w:rsidR="00C619FA" w:rsidRPr="008253DC" w14:paraId="5B1433EE" w14:textId="77777777" w:rsidTr="00CA57F3">
        <w:trPr>
          <w:trHeight w:val="240"/>
        </w:trPr>
        <w:tc>
          <w:tcPr>
            <w:tcW w:w="6096" w:type="dxa"/>
            <w:shd w:val="clear" w:color="auto" w:fill="auto"/>
          </w:tcPr>
          <w:p w14:paraId="60021729" w14:textId="09838DDE"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Convenio sobre la </w:t>
            </w:r>
            <w:r w:rsidR="009635BE" w:rsidRPr="008253DC">
              <w:rPr>
                <w:lang w:val="es-ES_tradnl"/>
              </w:rPr>
              <w:t xml:space="preserve">Libertad Sindical </w:t>
            </w:r>
            <w:r w:rsidRPr="008253DC">
              <w:rPr>
                <w:lang w:val="es-ES_tradnl"/>
              </w:rPr>
              <w:t xml:space="preserve">y la </w:t>
            </w:r>
            <w:r w:rsidR="009635BE" w:rsidRPr="008253DC">
              <w:rPr>
                <w:lang w:val="es-ES_tradnl"/>
              </w:rPr>
              <w:t xml:space="preserve">Protección </w:t>
            </w:r>
            <w:r w:rsidRPr="008253DC">
              <w:rPr>
                <w:lang w:val="es-ES_tradnl"/>
              </w:rPr>
              <w:t xml:space="preserve">del </w:t>
            </w:r>
            <w:r w:rsidR="009635BE" w:rsidRPr="008253DC">
              <w:rPr>
                <w:lang w:val="es-ES_tradnl"/>
              </w:rPr>
              <w:t xml:space="preserve">Derecho </w:t>
            </w:r>
            <w:r w:rsidRPr="008253DC">
              <w:rPr>
                <w:lang w:val="es-ES_tradnl"/>
              </w:rPr>
              <w:t xml:space="preserve">de </w:t>
            </w:r>
            <w:r w:rsidR="009635BE" w:rsidRPr="008253DC">
              <w:rPr>
                <w:lang w:val="es-ES_tradnl"/>
              </w:rPr>
              <w:t>Sindicación</w:t>
            </w:r>
            <w:r w:rsidRPr="008253DC">
              <w:rPr>
                <w:lang w:val="es-ES_tradnl"/>
              </w:rPr>
              <w:t>, 1948 (núm. 87)</w:t>
            </w:r>
          </w:p>
        </w:tc>
        <w:tc>
          <w:tcPr>
            <w:tcW w:w="1274" w:type="dxa"/>
            <w:shd w:val="clear" w:color="auto" w:fill="auto"/>
          </w:tcPr>
          <w:p w14:paraId="4B3F6BB7" w14:textId="00285F8D"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19/0</w:t>
            </w:r>
            <w:r w:rsidR="009635BE" w:rsidRPr="008253DC">
              <w:rPr>
                <w:lang w:val="es-ES_tradnl"/>
              </w:rPr>
              <w:t>6</w:t>
            </w:r>
            <w:r w:rsidRPr="008253DC">
              <w:rPr>
                <w:lang w:val="es-ES_tradnl"/>
              </w:rPr>
              <w:t>/1950</w:t>
            </w:r>
          </w:p>
        </w:tc>
      </w:tr>
      <w:tr w:rsidR="00C619FA" w:rsidRPr="008253DC" w14:paraId="78711DBD" w14:textId="77777777" w:rsidTr="00CA57F3">
        <w:trPr>
          <w:trHeight w:val="240"/>
        </w:trPr>
        <w:tc>
          <w:tcPr>
            <w:tcW w:w="6096" w:type="dxa"/>
            <w:shd w:val="clear" w:color="auto" w:fill="auto"/>
          </w:tcPr>
          <w:p w14:paraId="3119133E" w14:textId="179CBBCC"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Convenio sobre el </w:t>
            </w:r>
            <w:r w:rsidR="009635BE" w:rsidRPr="008253DC">
              <w:rPr>
                <w:lang w:val="es-ES_tradnl"/>
              </w:rPr>
              <w:t xml:space="preserve">Derecho </w:t>
            </w:r>
            <w:r w:rsidRPr="008253DC">
              <w:rPr>
                <w:lang w:val="es-ES_tradnl"/>
              </w:rPr>
              <w:t xml:space="preserve">de </w:t>
            </w:r>
            <w:r w:rsidR="009635BE" w:rsidRPr="008253DC">
              <w:rPr>
                <w:lang w:val="es-ES_tradnl"/>
              </w:rPr>
              <w:t xml:space="preserve">Sindicación </w:t>
            </w:r>
            <w:r w:rsidRPr="008253DC">
              <w:rPr>
                <w:lang w:val="es-ES_tradnl"/>
              </w:rPr>
              <w:t xml:space="preserve">y de </w:t>
            </w:r>
            <w:r w:rsidR="009635BE" w:rsidRPr="008253DC">
              <w:rPr>
                <w:lang w:val="es-ES_tradnl"/>
              </w:rPr>
              <w:t>Negociación Colectiva</w:t>
            </w:r>
            <w:r w:rsidRPr="008253DC">
              <w:rPr>
                <w:lang w:val="es-ES_tradnl"/>
              </w:rPr>
              <w:t>, 1949 (núm. 98)</w:t>
            </w:r>
          </w:p>
        </w:tc>
        <w:tc>
          <w:tcPr>
            <w:tcW w:w="1274" w:type="dxa"/>
            <w:shd w:val="clear" w:color="auto" w:fill="auto"/>
          </w:tcPr>
          <w:p w14:paraId="2A040CF0"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15/07/1952</w:t>
            </w:r>
          </w:p>
        </w:tc>
      </w:tr>
      <w:tr w:rsidR="00C619FA" w:rsidRPr="008253DC" w14:paraId="6B8B6B1D" w14:textId="77777777" w:rsidTr="00CA57F3">
        <w:trPr>
          <w:trHeight w:val="240"/>
        </w:trPr>
        <w:tc>
          <w:tcPr>
            <w:tcW w:w="6096" w:type="dxa"/>
            <w:shd w:val="clear" w:color="auto" w:fill="auto"/>
          </w:tcPr>
          <w:p w14:paraId="268ED199" w14:textId="692A534D"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Convenio sobre </w:t>
            </w:r>
            <w:r w:rsidR="009635BE" w:rsidRPr="008253DC">
              <w:rPr>
                <w:lang w:val="es-ES_tradnl"/>
              </w:rPr>
              <w:t xml:space="preserve">Igualdad </w:t>
            </w:r>
            <w:r w:rsidRPr="008253DC">
              <w:rPr>
                <w:lang w:val="es-ES_tradnl"/>
              </w:rPr>
              <w:t xml:space="preserve">de </w:t>
            </w:r>
            <w:r w:rsidR="009635BE" w:rsidRPr="008253DC">
              <w:rPr>
                <w:lang w:val="es-ES_tradnl"/>
              </w:rPr>
              <w:t>Remuneración</w:t>
            </w:r>
            <w:r w:rsidRPr="008253DC">
              <w:rPr>
                <w:lang w:val="es-ES_tradnl"/>
              </w:rPr>
              <w:t>, 1951 (núm. 100)</w:t>
            </w:r>
          </w:p>
        </w:tc>
        <w:tc>
          <w:tcPr>
            <w:tcW w:w="1274" w:type="dxa"/>
            <w:shd w:val="clear" w:color="auto" w:fill="auto"/>
          </w:tcPr>
          <w:p w14:paraId="500BB0D3"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17/02/1958</w:t>
            </w:r>
          </w:p>
        </w:tc>
      </w:tr>
      <w:tr w:rsidR="00C619FA" w:rsidRPr="008253DC" w14:paraId="54D48D07" w14:textId="77777777" w:rsidTr="00CA57F3">
        <w:trPr>
          <w:trHeight w:val="240"/>
        </w:trPr>
        <w:tc>
          <w:tcPr>
            <w:tcW w:w="6096" w:type="dxa"/>
            <w:shd w:val="clear" w:color="auto" w:fill="auto"/>
          </w:tcPr>
          <w:p w14:paraId="5E9916EB" w14:textId="0963B4FB"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Convenio sobre la </w:t>
            </w:r>
            <w:r w:rsidR="009635BE" w:rsidRPr="008253DC">
              <w:rPr>
                <w:lang w:val="es-ES_tradnl"/>
              </w:rPr>
              <w:t xml:space="preserve">Abolición </w:t>
            </w:r>
            <w:r w:rsidRPr="008253DC">
              <w:rPr>
                <w:lang w:val="es-ES_tradnl"/>
              </w:rPr>
              <w:t xml:space="preserve">del </w:t>
            </w:r>
            <w:r w:rsidR="009635BE" w:rsidRPr="008253DC">
              <w:rPr>
                <w:lang w:val="es-ES_tradnl"/>
              </w:rPr>
              <w:t>Trabajo Forzoso</w:t>
            </w:r>
            <w:r w:rsidRPr="008253DC">
              <w:rPr>
                <w:lang w:val="es-ES_tradnl"/>
              </w:rPr>
              <w:t>, 1957 (núm. 105)</w:t>
            </w:r>
          </w:p>
        </w:tc>
        <w:tc>
          <w:tcPr>
            <w:tcW w:w="1274" w:type="dxa"/>
            <w:shd w:val="clear" w:color="auto" w:fill="auto"/>
          </w:tcPr>
          <w:p w14:paraId="3211180E"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29/11/1960</w:t>
            </w:r>
          </w:p>
        </w:tc>
      </w:tr>
      <w:tr w:rsidR="00C619FA" w:rsidRPr="008253DC" w14:paraId="7D43B979" w14:textId="77777777" w:rsidTr="00CA57F3">
        <w:trPr>
          <w:trHeight w:val="240"/>
        </w:trPr>
        <w:tc>
          <w:tcPr>
            <w:tcW w:w="6096" w:type="dxa"/>
            <w:shd w:val="clear" w:color="auto" w:fill="auto"/>
          </w:tcPr>
          <w:p w14:paraId="79332B5E" w14:textId="3B5CCA5C"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Convenio sobre la </w:t>
            </w:r>
            <w:r w:rsidR="009635BE" w:rsidRPr="008253DC">
              <w:rPr>
                <w:lang w:val="es-ES_tradnl"/>
              </w:rPr>
              <w:t xml:space="preserve">Discriminación </w:t>
            </w:r>
            <w:r w:rsidRPr="008253DC">
              <w:rPr>
                <w:lang w:val="es-ES_tradnl"/>
              </w:rPr>
              <w:t>(</w:t>
            </w:r>
            <w:r w:rsidR="009635BE" w:rsidRPr="008253DC">
              <w:rPr>
                <w:lang w:val="es-ES_tradnl"/>
              </w:rPr>
              <w:t xml:space="preserve">Empleo </w:t>
            </w:r>
            <w:r w:rsidRPr="008253DC">
              <w:rPr>
                <w:lang w:val="es-ES_tradnl"/>
              </w:rPr>
              <w:t xml:space="preserve">y </w:t>
            </w:r>
            <w:r w:rsidR="009635BE" w:rsidRPr="008253DC">
              <w:rPr>
                <w:lang w:val="es-ES_tradnl"/>
              </w:rPr>
              <w:t>Ocupación</w:t>
            </w:r>
            <w:r w:rsidRPr="008253DC">
              <w:rPr>
                <w:lang w:val="es-ES_tradnl"/>
              </w:rPr>
              <w:t>), 1958 (núm.</w:t>
            </w:r>
            <w:r w:rsidR="009635BE" w:rsidRPr="008253DC">
              <w:rPr>
                <w:lang w:val="es-ES_tradnl"/>
              </w:rPr>
              <w:t> </w:t>
            </w:r>
            <w:r w:rsidRPr="008253DC">
              <w:rPr>
                <w:lang w:val="es-ES_tradnl"/>
              </w:rPr>
              <w:t>111)</w:t>
            </w:r>
          </w:p>
        </w:tc>
        <w:tc>
          <w:tcPr>
            <w:tcW w:w="1274" w:type="dxa"/>
            <w:shd w:val="clear" w:color="auto" w:fill="auto"/>
          </w:tcPr>
          <w:p w14:paraId="3B13AF95"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29/07/1963</w:t>
            </w:r>
          </w:p>
        </w:tc>
      </w:tr>
      <w:tr w:rsidR="00C619FA" w:rsidRPr="008253DC" w14:paraId="19E02BE9" w14:textId="77777777" w:rsidTr="00CA57F3">
        <w:trPr>
          <w:trHeight w:val="240"/>
        </w:trPr>
        <w:tc>
          <w:tcPr>
            <w:tcW w:w="6096" w:type="dxa"/>
            <w:shd w:val="clear" w:color="auto" w:fill="auto"/>
          </w:tcPr>
          <w:p w14:paraId="2A2F48B3" w14:textId="15BE571D"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Convenio sobre la </w:t>
            </w:r>
            <w:r w:rsidR="009635BE" w:rsidRPr="008253DC">
              <w:rPr>
                <w:lang w:val="es-ES_tradnl"/>
              </w:rPr>
              <w:t>Edad Mínima</w:t>
            </w:r>
            <w:r w:rsidRPr="008253DC">
              <w:rPr>
                <w:lang w:val="es-ES_tradnl"/>
              </w:rPr>
              <w:t xml:space="preserve">, 1973 (núm. 138) – Edad </w:t>
            </w:r>
            <w:r w:rsidR="009635BE" w:rsidRPr="008253DC">
              <w:rPr>
                <w:lang w:val="es-ES_tradnl"/>
              </w:rPr>
              <w:t>Mínima Fijada</w:t>
            </w:r>
            <w:r w:rsidRPr="008253DC">
              <w:rPr>
                <w:lang w:val="es-ES_tradnl"/>
              </w:rPr>
              <w:t xml:space="preserve">: 15 </w:t>
            </w:r>
            <w:r w:rsidR="009635BE" w:rsidRPr="008253DC">
              <w:rPr>
                <w:lang w:val="es-ES_tradnl"/>
              </w:rPr>
              <w:t>Años</w:t>
            </w:r>
            <w:r w:rsidRPr="008253DC">
              <w:rPr>
                <w:lang w:val="es-ES_tradnl"/>
              </w:rPr>
              <w:t>.</w:t>
            </w:r>
          </w:p>
        </w:tc>
        <w:tc>
          <w:tcPr>
            <w:tcW w:w="1274" w:type="dxa"/>
            <w:shd w:val="clear" w:color="auto" w:fill="auto"/>
          </w:tcPr>
          <w:p w14:paraId="7304CAAC"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06/12/1999</w:t>
            </w:r>
          </w:p>
        </w:tc>
      </w:tr>
      <w:tr w:rsidR="00C619FA" w:rsidRPr="008253DC" w14:paraId="2AC5D38A" w14:textId="77777777" w:rsidTr="00CA57F3">
        <w:trPr>
          <w:trHeight w:val="240"/>
        </w:trPr>
        <w:tc>
          <w:tcPr>
            <w:tcW w:w="6096" w:type="dxa"/>
            <w:shd w:val="clear" w:color="auto" w:fill="auto"/>
          </w:tcPr>
          <w:p w14:paraId="48015433" w14:textId="3EF9E3B1"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Convenio sobre las </w:t>
            </w:r>
            <w:r w:rsidR="009635BE" w:rsidRPr="008253DC">
              <w:rPr>
                <w:lang w:val="es-ES_tradnl"/>
              </w:rPr>
              <w:t xml:space="preserve">Peores Formas </w:t>
            </w:r>
            <w:r w:rsidRPr="008253DC">
              <w:rPr>
                <w:lang w:val="es-ES_tradnl"/>
              </w:rPr>
              <w:t xml:space="preserve">de </w:t>
            </w:r>
            <w:r w:rsidR="009635BE" w:rsidRPr="008253DC">
              <w:rPr>
                <w:lang w:val="es-ES_tradnl"/>
              </w:rPr>
              <w:t>Trabajo Infantil</w:t>
            </w:r>
            <w:r w:rsidRPr="008253DC">
              <w:rPr>
                <w:lang w:val="es-ES_tradnl"/>
              </w:rPr>
              <w:t>, 1999 (núm. 182)</w:t>
            </w:r>
          </w:p>
        </w:tc>
        <w:tc>
          <w:tcPr>
            <w:tcW w:w="1274" w:type="dxa"/>
            <w:shd w:val="clear" w:color="auto" w:fill="auto"/>
          </w:tcPr>
          <w:p w14:paraId="7607F819"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29/05/2000</w:t>
            </w:r>
          </w:p>
        </w:tc>
      </w:tr>
      <w:tr w:rsidR="00C619FA" w:rsidRPr="008253DC" w14:paraId="62C537C7" w14:textId="77777777" w:rsidTr="00CA57F3">
        <w:trPr>
          <w:trHeight w:val="240"/>
        </w:trPr>
        <w:tc>
          <w:tcPr>
            <w:tcW w:w="6096" w:type="dxa"/>
            <w:shd w:val="clear" w:color="auto" w:fill="auto"/>
          </w:tcPr>
          <w:p w14:paraId="025123BD" w14:textId="04FEF192"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lastRenderedPageBreak/>
              <w:t xml:space="preserve">Convenio sobre la </w:t>
            </w:r>
            <w:r w:rsidR="009635BE" w:rsidRPr="008253DC">
              <w:rPr>
                <w:lang w:val="es-ES_tradnl"/>
              </w:rPr>
              <w:t xml:space="preserve">Inspección </w:t>
            </w:r>
            <w:r w:rsidRPr="008253DC">
              <w:rPr>
                <w:lang w:val="es-ES_tradnl"/>
              </w:rPr>
              <w:t xml:space="preserve">del </w:t>
            </w:r>
            <w:r w:rsidR="009635BE" w:rsidRPr="008253DC">
              <w:rPr>
                <w:lang w:val="es-ES_tradnl"/>
              </w:rPr>
              <w:t>Trabajo</w:t>
            </w:r>
            <w:r w:rsidRPr="008253DC">
              <w:rPr>
                <w:lang w:val="es-ES_tradnl"/>
              </w:rPr>
              <w:t>, 1947 (núm. 81)</w:t>
            </w:r>
          </w:p>
        </w:tc>
        <w:tc>
          <w:tcPr>
            <w:tcW w:w="1274" w:type="dxa"/>
            <w:shd w:val="clear" w:color="auto" w:fill="auto"/>
          </w:tcPr>
          <w:p w14:paraId="7DD4AB86"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24/03/2009</w:t>
            </w:r>
          </w:p>
        </w:tc>
      </w:tr>
      <w:tr w:rsidR="00C619FA" w:rsidRPr="008253DC" w14:paraId="19C715FF" w14:textId="77777777" w:rsidTr="00CA57F3">
        <w:trPr>
          <w:trHeight w:val="240"/>
        </w:trPr>
        <w:tc>
          <w:tcPr>
            <w:tcW w:w="6096" w:type="dxa"/>
            <w:shd w:val="clear" w:color="auto" w:fill="auto"/>
          </w:tcPr>
          <w:p w14:paraId="42F9C70D" w14:textId="40C34FF4"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Convenio sobre la </w:t>
            </w:r>
            <w:r w:rsidR="009635BE" w:rsidRPr="008253DC">
              <w:rPr>
                <w:lang w:val="es-ES_tradnl"/>
              </w:rPr>
              <w:t xml:space="preserve">Política </w:t>
            </w:r>
            <w:r w:rsidRPr="008253DC">
              <w:rPr>
                <w:lang w:val="es-ES_tradnl"/>
              </w:rPr>
              <w:t xml:space="preserve">del </w:t>
            </w:r>
            <w:r w:rsidR="009635BE" w:rsidRPr="008253DC">
              <w:rPr>
                <w:lang w:val="es-ES_tradnl"/>
              </w:rPr>
              <w:t>Empleo</w:t>
            </w:r>
            <w:r w:rsidRPr="008253DC">
              <w:rPr>
                <w:lang w:val="es-ES_tradnl"/>
              </w:rPr>
              <w:t>, 1964 (núm. 122)</w:t>
            </w:r>
          </w:p>
        </w:tc>
        <w:tc>
          <w:tcPr>
            <w:tcW w:w="1274" w:type="dxa"/>
            <w:shd w:val="clear" w:color="auto" w:fill="auto"/>
          </w:tcPr>
          <w:p w14:paraId="03561DEF"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22/06/1990</w:t>
            </w:r>
          </w:p>
        </w:tc>
      </w:tr>
      <w:tr w:rsidR="00C619FA" w:rsidRPr="008253DC" w14:paraId="6A7FFD9F" w14:textId="77777777" w:rsidTr="00CA57F3">
        <w:trPr>
          <w:trHeight w:val="240"/>
        </w:trPr>
        <w:tc>
          <w:tcPr>
            <w:tcW w:w="6096" w:type="dxa"/>
            <w:shd w:val="clear" w:color="auto" w:fill="auto"/>
          </w:tcPr>
          <w:p w14:paraId="05A385A6" w14:textId="0807DA8E"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Convenio sobre la </w:t>
            </w:r>
            <w:r w:rsidR="009635BE" w:rsidRPr="008253DC">
              <w:rPr>
                <w:lang w:val="es-ES_tradnl"/>
              </w:rPr>
              <w:t xml:space="preserve">Inspección </w:t>
            </w:r>
            <w:r w:rsidRPr="008253DC">
              <w:rPr>
                <w:lang w:val="es-ES_tradnl"/>
              </w:rPr>
              <w:t xml:space="preserve">del </w:t>
            </w:r>
            <w:r w:rsidR="009635BE" w:rsidRPr="008253DC">
              <w:rPr>
                <w:lang w:val="es-ES_tradnl"/>
              </w:rPr>
              <w:t xml:space="preserve">Trabajo </w:t>
            </w:r>
            <w:r w:rsidRPr="008253DC">
              <w:rPr>
                <w:lang w:val="es-ES_tradnl"/>
              </w:rPr>
              <w:t>(</w:t>
            </w:r>
            <w:r w:rsidR="009635BE" w:rsidRPr="008253DC">
              <w:rPr>
                <w:lang w:val="es-ES_tradnl"/>
              </w:rPr>
              <w:t>Agricultura</w:t>
            </w:r>
            <w:r w:rsidRPr="008253DC">
              <w:rPr>
                <w:lang w:val="es-ES_tradnl"/>
              </w:rPr>
              <w:t>), 1969 (núm. 129)</w:t>
            </w:r>
          </w:p>
        </w:tc>
        <w:tc>
          <w:tcPr>
            <w:tcW w:w="1274" w:type="dxa"/>
            <w:shd w:val="clear" w:color="auto" w:fill="auto"/>
          </w:tcPr>
          <w:p w14:paraId="6D4AD2A5"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24/03/2009</w:t>
            </w:r>
          </w:p>
        </w:tc>
      </w:tr>
      <w:tr w:rsidR="00C619FA" w:rsidRPr="008253DC" w14:paraId="7579F6AE" w14:textId="77777777" w:rsidTr="00CA57F3">
        <w:trPr>
          <w:trHeight w:val="240"/>
        </w:trPr>
        <w:tc>
          <w:tcPr>
            <w:tcW w:w="6096" w:type="dxa"/>
            <w:shd w:val="clear" w:color="auto" w:fill="auto"/>
          </w:tcPr>
          <w:p w14:paraId="4B31BC5D" w14:textId="46763A09"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Convenio sobre la </w:t>
            </w:r>
            <w:r w:rsidR="009635BE" w:rsidRPr="008253DC">
              <w:rPr>
                <w:lang w:val="es-ES_tradnl"/>
              </w:rPr>
              <w:t xml:space="preserve">Consulta Tripartita </w:t>
            </w:r>
            <w:r w:rsidRPr="008253DC">
              <w:rPr>
                <w:lang w:val="es-ES_tradnl"/>
              </w:rPr>
              <w:t>(</w:t>
            </w:r>
            <w:r w:rsidR="009635BE" w:rsidRPr="008253DC">
              <w:rPr>
                <w:lang w:val="es-ES_tradnl"/>
              </w:rPr>
              <w:t xml:space="preserve">Normas Internacionales </w:t>
            </w:r>
            <w:r w:rsidRPr="008253DC">
              <w:rPr>
                <w:lang w:val="es-ES_tradnl"/>
              </w:rPr>
              <w:t xml:space="preserve">del </w:t>
            </w:r>
            <w:r w:rsidR="009635BE" w:rsidRPr="008253DC">
              <w:rPr>
                <w:lang w:val="es-ES_tradnl"/>
              </w:rPr>
              <w:t>Trabajo</w:t>
            </w:r>
            <w:r w:rsidRPr="008253DC">
              <w:rPr>
                <w:lang w:val="es-ES_tradnl"/>
              </w:rPr>
              <w:t>), 1976 (núm. 144)</w:t>
            </w:r>
          </w:p>
        </w:tc>
        <w:tc>
          <w:tcPr>
            <w:tcW w:w="1274" w:type="dxa"/>
            <w:shd w:val="clear" w:color="auto" w:fill="auto"/>
          </w:tcPr>
          <w:p w14:paraId="4E142270"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30/06/1981</w:t>
            </w:r>
          </w:p>
        </w:tc>
      </w:tr>
      <w:tr w:rsidR="00C619FA" w:rsidRPr="008253DC" w14:paraId="64DD326B" w14:textId="77777777" w:rsidTr="00CA57F3">
        <w:trPr>
          <w:trHeight w:val="240"/>
        </w:trPr>
        <w:tc>
          <w:tcPr>
            <w:tcW w:w="6096" w:type="dxa"/>
            <w:shd w:val="clear" w:color="auto" w:fill="auto"/>
          </w:tcPr>
          <w:p w14:paraId="62F962CD" w14:textId="76064CF8"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Convenio sobre el </w:t>
            </w:r>
            <w:r w:rsidR="009635BE" w:rsidRPr="008253DC">
              <w:rPr>
                <w:lang w:val="es-ES_tradnl"/>
              </w:rPr>
              <w:t>Desempleo</w:t>
            </w:r>
            <w:r w:rsidRPr="008253DC">
              <w:rPr>
                <w:lang w:val="es-ES_tradnl"/>
              </w:rPr>
              <w:t>, 1919 (núm. 2)</w:t>
            </w:r>
          </w:p>
        </w:tc>
        <w:tc>
          <w:tcPr>
            <w:tcW w:w="1274" w:type="dxa"/>
            <w:shd w:val="clear" w:color="auto" w:fill="auto"/>
          </w:tcPr>
          <w:p w14:paraId="14503A67"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17/02/1958</w:t>
            </w:r>
          </w:p>
        </w:tc>
      </w:tr>
      <w:tr w:rsidR="00C619FA" w:rsidRPr="008253DC" w14:paraId="07BAD563" w14:textId="77777777" w:rsidTr="00CA57F3">
        <w:trPr>
          <w:trHeight w:val="240"/>
        </w:trPr>
        <w:tc>
          <w:tcPr>
            <w:tcW w:w="6096" w:type="dxa"/>
            <w:shd w:val="clear" w:color="auto" w:fill="auto"/>
          </w:tcPr>
          <w:p w14:paraId="14E42B22" w14:textId="05CFA26C"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Convenio sobre el </w:t>
            </w:r>
            <w:r w:rsidR="009635BE" w:rsidRPr="008253DC">
              <w:rPr>
                <w:lang w:val="es-ES_tradnl"/>
              </w:rPr>
              <w:t xml:space="preserve">Derecho </w:t>
            </w:r>
            <w:r w:rsidRPr="008253DC">
              <w:rPr>
                <w:lang w:val="es-ES_tradnl"/>
              </w:rPr>
              <w:t xml:space="preserve">de </w:t>
            </w:r>
            <w:r w:rsidR="009635BE" w:rsidRPr="008253DC">
              <w:rPr>
                <w:lang w:val="es-ES_tradnl"/>
              </w:rPr>
              <w:t xml:space="preserve">Asociación </w:t>
            </w:r>
            <w:r w:rsidRPr="008253DC">
              <w:rPr>
                <w:lang w:val="es-ES_tradnl"/>
              </w:rPr>
              <w:t>(</w:t>
            </w:r>
            <w:r w:rsidR="009635BE" w:rsidRPr="008253DC">
              <w:rPr>
                <w:lang w:val="es-ES_tradnl"/>
              </w:rPr>
              <w:t>Agricultura</w:t>
            </w:r>
            <w:r w:rsidRPr="008253DC">
              <w:rPr>
                <w:lang w:val="es-ES_tradnl"/>
              </w:rPr>
              <w:t>), 1921 (núm. 11)</w:t>
            </w:r>
          </w:p>
        </w:tc>
        <w:tc>
          <w:tcPr>
            <w:tcW w:w="1274" w:type="dxa"/>
            <w:shd w:val="clear" w:color="auto" w:fill="auto"/>
          </w:tcPr>
          <w:p w14:paraId="10577F49"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21/08/1956</w:t>
            </w:r>
          </w:p>
        </w:tc>
      </w:tr>
      <w:tr w:rsidR="00C619FA" w:rsidRPr="008253DC" w14:paraId="59B37D83" w14:textId="77777777" w:rsidTr="00CA57F3">
        <w:trPr>
          <w:trHeight w:val="240"/>
        </w:trPr>
        <w:tc>
          <w:tcPr>
            <w:tcW w:w="6096" w:type="dxa"/>
            <w:shd w:val="clear" w:color="auto" w:fill="auto"/>
          </w:tcPr>
          <w:p w14:paraId="2598DD7B"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Convenio sobre el Trabajo Marítimo, 2006 (núm. 186)</w:t>
            </w:r>
          </w:p>
        </w:tc>
        <w:tc>
          <w:tcPr>
            <w:tcW w:w="1274" w:type="dxa"/>
            <w:shd w:val="clear" w:color="auto" w:fill="auto"/>
          </w:tcPr>
          <w:p w14:paraId="74757918"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04/04/2019</w:t>
            </w:r>
          </w:p>
        </w:tc>
      </w:tr>
      <w:tr w:rsidR="00C619FA" w:rsidRPr="008253DC" w14:paraId="14CAC4CE" w14:textId="77777777" w:rsidTr="00CA57F3">
        <w:trPr>
          <w:trHeight w:val="240"/>
        </w:trPr>
        <w:tc>
          <w:tcPr>
            <w:tcW w:w="6096" w:type="dxa"/>
            <w:shd w:val="clear" w:color="auto" w:fill="auto"/>
          </w:tcPr>
          <w:p w14:paraId="55E2E4BA" w14:textId="77CAD01C"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Convenio sobre la </w:t>
            </w:r>
            <w:r w:rsidR="009635BE" w:rsidRPr="008253DC">
              <w:rPr>
                <w:lang w:val="es-ES_tradnl"/>
              </w:rPr>
              <w:t xml:space="preserve">Seguridad Social </w:t>
            </w:r>
            <w:r w:rsidRPr="008253DC">
              <w:rPr>
                <w:lang w:val="es-ES_tradnl"/>
              </w:rPr>
              <w:t>(</w:t>
            </w:r>
            <w:r w:rsidR="009635BE" w:rsidRPr="008253DC">
              <w:rPr>
                <w:lang w:val="es-ES_tradnl"/>
              </w:rPr>
              <w:t>Norma Mínima</w:t>
            </w:r>
            <w:r w:rsidRPr="008253DC">
              <w:rPr>
                <w:lang w:val="es-ES_tradnl"/>
              </w:rPr>
              <w:t>), 1952 (núm. 102)</w:t>
            </w:r>
          </w:p>
        </w:tc>
        <w:tc>
          <w:tcPr>
            <w:tcW w:w="1274" w:type="dxa"/>
            <w:shd w:val="clear" w:color="auto" w:fill="auto"/>
          </w:tcPr>
          <w:p w14:paraId="7C6DA11D"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20/02/1961</w:t>
            </w:r>
          </w:p>
        </w:tc>
      </w:tr>
      <w:tr w:rsidR="00C619FA" w:rsidRPr="008253DC" w14:paraId="40CDAC5B" w14:textId="77777777" w:rsidTr="00CA57F3">
        <w:trPr>
          <w:trHeight w:val="240"/>
        </w:trPr>
        <w:tc>
          <w:tcPr>
            <w:tcW w:w="6096" w:type="dxa"/>
            <w:shd w:val="clear" w:color="auto" w:fill="auto"/>
          </w:tcPr>
          <w:p w14:paraId="41ECE2A3" w14:textId="71CC07A8" w:rsidR="00C619FA" w:rsidRPr="008253DC" w:rsidRDefault="00C619FA" w:rsidP="00CA57F3">
            <w:pPr>
              <w:pStyle w:val="SingleTxtG"/>
              <w:tabs>
                <w:tab w:val="clear" w:pos="1701"/>
                <w:tab w:val="clear" w:pos="2268"/>
                <w:tab w:val="clear" w:pos="2835"/>
              </w:tabs>
              <w:spacing w:before="40"/>
              <w:ind w:left="0" w:right="0"/>
              <w:jc w:val="left"/>
              <w:rPr>
                <w:i/>
                <w:lang w:val="es-ES_tradnl"/>
              </w:rPr>
            </w:pPr>
            <w:r w:rsidRPr="008253DC">
              <w:rPr>
                <w:i/>
                <w:lang w:val="es-ES_tradnl"/>
              </w:rPr>
              <w:t>Ha aceptado las partes V, VII y IX.</w:t>
            </w:r>
          </w:p>
        </w:tc>
        <w:tc>
          <w:tcPr>
            <w:tcW w:w="1274" w:type="dxa"/>
            <w:shd w:val="clear" w:color="auto" w:fill="auto"/>
          </w:tcPr>
          <w:p w14:paraId="37BF4BDA" w14:textId="77777777" w:rsidR="00C619FA" w:rsidRPr="008253DC" w:rsidRDefault="00C619FA" w:rsidP="00CA57F3">
            <w:pPr>
              <w:pStyle w:val="SingleTxtG"/>
              <w:tabs>
                <w:tab w:val="clear" w:pos="1701"/>
                <w:tab w:val="clear" w:pos="2268"/>
                <w:tab w:val="clear" w:pos="2835"/>
              </w:tabs>
              <w:spacing w:before="40"/>
              <w:ind w:left="0" w:right="0"/>
              <w:jc w:val="left"/>
              <w:rPr>
                <w:i/>
                <w:lang w:val="es-ES_tradnl"/>
              </w:rPr>
            </w:pPr>
          </w:p>
        </w:tc>
      </w:tr>
      <w:tr w:rsidR="00C619FA" w:rsidRPr="008253DC" w14:paraId="489117B4" w14:textId="77777777" w:rsidTr="00CA57F3">
        <w:trPr>
          <w:trHeight w:val="240"/>
        </w:trPr>
        <w:tc>
          <w:tcPr>
            <w:tcW w:w="6096" w:type="dxa"/>
            <w:shd w:val="clear" w:color="auto" w:fill="auto"/>
          </w:tcPr>
          <w:p w14:paraId="2D5A07CF"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Convenio sobre los Documentos de Identidad de la Gente de Mar, 1958 (núm. 108)</w:t>
            </w:r>
          </w:p>
        </w:tc>
        <w:tc>
          <w:tcPr>
            <w:tcW w:w="1274" w:type="dxa"/>
            <w:shd w:val="clear" w:color="auto" w:fill="auto"/>
          </w:tcPr>
          <w:p w14:paraId="71EA677D"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26/10/1970</w:t>
            </w:r>
          </w:p>
        </w:tc>
      </w:tr>
      <w:tr w:rsidR="00C619FA" w:rsidRPr="008253DC" w14:paraId="46424C51" w14:textId="77777777" w:rsidTr="00CA57F3">
        <w:trPr>
          <w:trHeight w:val="240"/>
        </w:trPr>
        <w:tc>
          <w:tcPr>
            <w:tcW w:w="6096" w:type="dxa"/>
            <w:shd w:val="clear" w:color="auto" w:fill="auto"/>
          </w:tcPr>
          <w:p w14:paraId="01472072" w14:textId="739EE71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Convenio sobre el </w:t>
            </w:r>
            <w:r w:rsidR="009635BE" w:rsidRPr="008253DC">
              <w:rPr>
                <w:lang w:val="es-ES_tradnl"/>
              </w:rPr>
              <w:t>Cáncer Profesional</w:t>
            </w:r>
            <w:r w:rsidRPr="008253DC">
              <w:rPr>
                <w:lang w:val="es-ES_tradnl"/>
              </w:rPr>
              <w:t>, 1974 (núm. 139)</w:t>
            </w:r>
          </w:p>
        </w:tc>
        <w:tc>
          <w:tcPr>
            <w:tcW w:w="1274" w:type="dxa"/>
            <w:shd w:val="clear" w:color="auto" w:fill="auto"/>
          </w:tcPr>
          <w:p w14:paraId="20B476E7"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21/06/1991</w:t>
            </w:r>
          </w:p>
        </w:tc>
      </w:tr>
      <w:tr w:rsidR="00C619FA" w:rsidRPr="008253DC" w14:paraId="4F060D45" w14:textId="77777777" w:rsidTr="00CA57F3">
        <w:trPr>
          <w:trHeight w:val="240"/>
        </w:trPr>
        <w:tc>
          <w:tcPr>
            <w:tcW w:w="6096" w:type="dxa"/>
            <w:shd w:val="clear" w:color="auto" w:fill="auto"/>
          </w:tcPr>
          <w:p w14:paraId="7876A0F1" w14:textId="04B0CDB2"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Convenio sobre la </w:t>
            </w:r>
            <w:r w:rsidR="009635BE" w:rsidRPr="008253DC">
              <w:rPr>
                <w:lang w:val="es-ES_tradnl"/>
              </w:rPr>
              <w:t xml:space="preserve">Marina Mercante </w:t>
            </w:r>
            <w:r w:rsidRPr="008253DC">
              <w:rPr>
                <w:lang w:val="es-ES_tradnl"/>
              </w:rPr>
              <w:t>(</w:t>
            </w:r>
            <w:r w:rsidR="009635BE" w:rsidRPr="008253DC">
              <w:rPr>
                <w:lang w:val="es-ES_tradnl"/>
              </w:rPr>
              <w:t>Normas Mínimas</w:t>
            </w:r>
            <w:r w:rsidRPr="008253DC">
              <w:rPr>
                <w:lang w:val="es-ES_tradnl"/>
              </w:rPr>
              <w:t>), 1976 (núm. 147)</w:t>
            </w:r>
          </w:p>
        </w:tc>
        <w:tc>
          <w:tcPr>
            <w:tcW w:w="1274" w:type="dxa"/>
            <w:shd w:val="clear" w:color="auto" w:fill="auto"/>
          </w:tcPr>
          <w:p w14:paraId="7A093A14"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11/05/1999</w:t>
            </w:r>
          </w:p>
        </w:tc>
      </w:tr>
      <w:tr w:rsidR="00C619FA" w:rsidRPr="008253DC" w14:paraId="5A6E317A" w14:textId="77777777" w:rsidTr="00CA57F3">
        <w:trPr>
          <w:trHeight w:val="240"/>
        </w:trPr>
        <w:tc>
          <w:tcPr>
            <w:tcW w:w="6096" w:type="dxa"/>
            <w:shd w:val="clear" w:color="auto" w:fill="auto"/>
          </w:tcPr>
          <w:p w14:paraId="36380195" w14:textId="158D02FA"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Convenio sobre </w:t>
            </w:r>
            <w:r w:rsidR="009635BE" w:rsidRPr="008253DC">
              <w:rPr>
                <w:lang w:val="es-ES_tradnl"/>
              </w:rPr>
              <w:t xml:space="preserve">Seguridad </w:t>
            </w:r>
            <w:r w:rsidRPr="008253DC">
              <w:rPr>
                <w:lang w:val="es-ES_tradnl"/>
              </w:rPr>
              <w:t xml:space="preserve">y </w:t>
            </w:r>
            <w:r w:rsidR="009635BE" w:rsidRPr="008253DC">
              <w:rPr>
                <w:lang w:val="es-ES_tradnl"/>
              </w:rPr>
              <w:t xml:space="preserve">Salud </w:t>
            </w:r>
            <w:r w:rsidRPr="008253DC">
              <w:rPr>
                <w:lang w:val="es-ES_tradnl"/>
              </w:rPr>
              <w:t xml:space="preserve">de los </w:t>
            </w:r>
            <w:r w:rsidR="009635BE" w:rsidRPr="008253DC">
              <w:rPr>
                <w:lang w:val="es-ES_tradnl"/>
              </w:rPr>
              <w:t>Trabajadores</w:t>
            </w:r>
            <w:r w:rsidRPr="008253DC">
              <w:rPr>
                <w:lang w:val="es-ES_tradnl"/>
              </w:rPr>
              <w:t>, 1981 (núm. 155)</w:t>
            </w:r>
          </w:p>
        </w:tc>
        <w:tc>
          <w:tcPr>
            <w:tcW w:w="1274" w:type="dxa"/>
            <w:shd w:val="clear" w:color="auto" w:fill="auto"/>
          </w:tcPr>
          <w:p w14:paraId="1DA19217"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21/06/1991</w:t>
            </w:r>
          </w:p>
        </w:tc>
      </w:tr>
      <w:tr w:rsidR="00C619FA" w:rsidRPr="008253DC" w14:paraId="60D07738" w14:textId="77777777" w:rsidTr="00CA57F3">
        <w:trPr>
          <w:trHeight w:val="240"/>
        </w:trPr>
        <w:tc>
          <w:tcPr>
            <w:tcW w:w="6096" w:type="dxa"/>
            <w:shd w:val="clear" w:color="auto" w:fill="auto"/>
          </w:tcPr>
          <w:p w14:paraId="506D0D34" w14:textId="7DEAD265"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Convenio sobre los </w:t>
            </w:r>
            <w:r w:rsidR="009635BE" w:rsidRPr="008253DC">
              <w:rPr>
                <w:lang w:val="es-ES_tradnl"/>
              </w:rPr>
              <w:t xml:space="preserve">Trabajadores </w:t>
            </w:r>
            <w:r w:rsidRPr="008253DC">
              <w:rPr>
                <w:lang w:val="es-ES_tradnl"/>
              </w:rPr>
              <w:t xml:space="preserve">con </w:t>
            </w:r>
            <w:r w:rsidR="009635BE" w:rsidRPr="008253DC">
              <w:rPr>
                <w:lang w:val="es-ES_tradnl"/>
              </w:rPr>
              <w:t>Responsabilidades Familiares</w:t>
            </w:r>
            <w:r w:rsidRPr="008253DC">
              <w:rPr>
                <w:lang w:val="es-ES_tradnl"/>
              </w:rPr>
              <w:t>, 1981 (núm. 156)</w:t>
            </w:r>
          </w:p>
        </w:tc>
        <w:tc>
          <w:tcPr>
            <w:tcW w:w="1274" w:type="dxa"/>
            <w:shd w:val="clear" w:color="auto" w:fill="auto"/>
          </w:tcPr>
          <w:p w14:paraId="02A075B6"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22/06/2000</w:t>
            </w:r>
          </w:p>
        </w:tc>
      </w:tr>
      <w:tr w:rsidR="00C619FA" w:rsidRPr="008253DC" w14:paraId="3456BFBE" w14:textId="77777777" w:rsidTr="009635BE">
        <w:trPr>
          <w:trHeight w:val="240"/>
        </w:trPr>
        <w:tc>
          <w:tcPr>
            <w:tcW w:w="6096" w:type="dxa"/>
            <w:tcBorders>
              <w:bottom w:val="nil"/>
            </w:tcBorders>
            <w:shd w:val="clear" w:color="auto" w:fill="auto"/>
          </w:tcPr>
          <w:p w14:paraId="387A90B7"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Convenio sobre la Readaptación Profesional y el Empleo (Personas Inválidas), 1983 (núm. 159)</w:t>
            </w:r>
          </w:p>
        </w:tc>
        <w:tc>
          <w:tcPr>
            <w:tcW w:w="1274" w:type="dxa"/>
            <w:tcBorders>
              <w:bottom w:val="nil"/>
            </w:tcBorders>
            <w:shd w:val="clear" w:color="auto" w:fill="auto"/>
          </w:tcPr>
          <w:p w14:paraId="510E8024"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22/06/1990</w:t>
            </w:r>
          </w:p>
        </w:tc>
      </w:tr>
      <w:tr w:rsidR="00C619FA" w:rsidRPr="008253DC" w14:paraId="24FF006C" w14:textId="77777777" w:rsidTr="009635BE">
        <w:trPr>
          <w:trHeight w:val="240"/>
        </w:trPr>
        <w:tc>
          <w:tcPr>
            <w:tcW w:w="6096" w:type="dxa"/>
            <w:tcBorders>
              <w:top w:val="nil"/>
              <w:bottom w:val="single" w:sz="12" w:space="0" w:color="auto"/>
            </w:tcBorders>
            <w:shd w:val="clear" w:color="auto" w:fill="auto"/>
          </w:tcPr>
          <w:p w14:paraId="7F06AD9E" w14:textId="4E3FD7FB"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Convenio sobre el </w:t>
            </w:r>
            <w:r w:rsidR="009635BE" w:rsidRPr="008253DC">
              <w:rPr>
                <w:lang w:val="es-ES_tradnl"/>
              </w:rPr>
              <w:t xml:space="preserve">Marco Promocional </w:t>
            </w:r>
            <w:r w:rsidRPr="008253DC">
              <w:rPr>
                <w:lang w:val="es-ES_tradnl"/>
              </w:rPr>
              <w:t xml:space="preserve">para la </w:t>
            </w:r>
            <w:r w:rsidR="009635BE" w:rsidRPr="008253DC">
              <w:rPr>
                <w:lang w:val="es-ES_tradnl"/>
              </w:rPr>
              <w:t xml:space="preserve">Seguridad </w:t>
            </w:r>
            <w:r w:rsidRPr="008253DC">
              <w:rPr>
                <w:lang w:val="es-ES_tradnl"/>
              </w:rPr>
              <w:t xml:space="preserve">y </w:t>
            </w:r>
            <w:r w:rsidR="009635BE" w:rsidRPr="008253DC">
              <w:rPr>
                <w:lang w:val="es-ES_tradnl"/>
              </w:rPr>
              <w:t xml:space="preserve">Salud </w:t>
            </w:r>
            <w:r w:rsidRPr="008253DC">
              <w:rPr>
                <w:lang w:val="es-ES_tradnl"/>
              </w:rPr>
              <w:t xml:space="preserve">en el </w:t>
            </w:r>
            <w:r w:rsidR="009635BE" w:rsidRPr="008253DC">
              <w:rPr>
                <w:lang w:val="es-ES_tradnl"/>
              </w:rPr>
              <w:t xml:space="preserve">Trabajo </w:t>
            </w:r>
            <w:r w:rsidRPr="008253DC">
              <w:rPr>
                <w:lang w:val="es-ES_tradnl"/>
              </w:rPr>
              <w:t>(núm. 187), 2006</w:t>
            </w:r>
            <w:r w:rsidR="009635BE" w:rsidRPr="008253DC">
              <w:rPr>
                <w:lang w:val="es-ES_tradnl"/>
              </w:rPr>
              <w:t xml:space="preserve">. </w:t>
            </w:r>
            <w:r w:rsidR="009635BE" w:rsidRPr="008253DC">
              <w:rPr>
                <w:i/>
                <w:lang w:val="es-ES_tradnl"/>
              </w:rPr>
              <w:t>Entrará en vigor el 1 de junio de 2019.</w:t>
            </w:r>
          </w:p>
        </w:tc>
        <w:tc>
          <w:tcPr>
            <w:tcW w:w="1274" w:type="dxa"/>
            <w:tcBorders>
              <w:top w:val="nil"/>
              <w:bottom w:val="single" w:sz="12" w:space="0" w:color="auto"/>
            </w:tcBorders>
            <w:shd w:val="clear" w:color="auto" w:fill="auto"/>
          </w:tcPr>
          <w:p w14:paraId="3E3F7F2F"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01/06/2018</w:t>
            </w:r>
          </w:p>
        </w:tc>
      </w:tr>
    </w:tbl>
    <w:p w14:paraId="3C24C9D6" w14:textId="77777777" w:rsidR="00C619FA" w:rsidRPr="008253DC" w:rsidRDefault="00C619FA" w:rsidP="00CA57F3">
      <w:pPr>
        <w:pStyle w:val="H23G"/>
        <w:rPr>
          <w:lang w:val="es-ES_tradnl"/>
        </w:rPr>
      </w:pPr>
      <w:r w:rsidRPr="008253DC">
        <w:rPr>
          <w:lang w:val="es-ES_tradnl"/>
        </w:rPr>
        <w:tab/>
        <w:t>4.</w:t>
      </w:r>
      <w:r w:rsidRPr="008253DC">
        <w:rPr>
          <w:lang w:val="es-ES_tradnl"/>
        </w:rPr>
        <w:tab/>
        <w:t>Convenios de la Conferencia de La Haya de Derecho Internacional Privado</w:t>
      </w:r>
    </w:p>
    <w:p w14:paraId="6A5FFDFE" w14:textId="443274FB" w:rsidR="00C619FA" w:rsidRPr="008253DC" w:rsidRDefault="00C619FA" w:rsidP="00C619FA">
      <w:pPr>
        <w:pStyle w:val="SingleTxtG"/>
        <w:rPr>
          <w:i/>
          <w:lang w:val="es-ES_tradnl"/>
        </w:rPr>
      </w:pPr>
      <w:r w:rsidRPr="008253DC">
        <w:rPr>
          <w:i/>
          <w:iCs/>
          <w:lang w:val="es-ES_tradnl"/>
        </w:rPr>
        <w:t>Islandia es parte en los convenios que figuran en el cuadro que se presenta a continuación</w:t>
      </w:r>
      <w:r w:rsidR="00CA57F3" w:rsidRPr="008253DC">
        <w:rPr>
          <w:i/>
          <w:iCs/>
          <w:lang w:val="es-ES_tradnl"/>
        </w:rPr>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5954"/>
        <w:gridCol w:w="1416"/>
      </w:tblGrid>
      <w:tr w:rsidR="00C619FA" w:rsidRPr="008253DC" w14:paraId="5B41B427" w14:textId="77777777" w:rsidTr="00CA57F3">
        <w:trPr>
          <w:trHeight w:val="240"/>
          <w:tblHeader/>
        </w:trPr>
        <w:tc>
          <w:tcPr>
            <w:tcW w:w="5954" w:type="dxa"/>
            <w:tcBorders>
              <w:top w:val="single" w:sz="4" w:space="0" w:color="auto"/>
              <w:bottom w:val="single" w:sz="12" w:space="0" w:color="auto"/>
            </w:tcBorders>
            <w:shd w:val="clear" w:color="auto" w:fill="auto"/>
            <w:vAlign w:val="bottom"/>
          </w:tcPr>
          <w:p w14:paraId="7F9FEA1D" w14:textId="77777777" w:rsidR="00C619FA" w:rsidRPr="008253DC" w:rsidRDefault="00C619FA" w:rsidP="00CA57F3">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Convenio/protocolo</w:t>
            </w:r>
          </w:p>
        </w:tc>
        <w:tc>
          <w:tcPr>
            <w:tcW w:w="1416" w:type="dxa"/>
            <w:tcBorders>
              <w:top w:val="single" w:sz="4" w:space="0" w:color="auto"/>
              <w:bottom w:val="single" w:sz="12" w:space="0" w:color="auto"/>
            </w:tcBorders>
            <w:shd w:val="clear" w:color="auto" w:fill="auto"/>
            <w:vAlign w:val="bottom"/>
          </w:tcPr>
          <w:p w14:paraId="34E54981" w14:textId="77777777" w:rsidR="00C619FA" w:rsidRPr="008253DC" w:rsidRDefault="00C619FA" w:rsidP="00CA57F3">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Adhesión (A)/</w:t>
            </w:r>
            <w:r w:rsidRPr="008253DC">
              <w:rPr>
                <w:i/>
                <w:iCs/>
                <w:sz w:val="16"/>
                <w:lang w:val="es-ES_tradnl"/>
              </w:rPr>
              <w:br/>
              <w:t xml:space="preserve">Ratificación (R) </w:t>
            </w:r>
          </w:p>
        </w:tc>
      </w:tr>
      <w:tr w:rsidR="00C619FA" w:rsidRPr="008253DC" w14:paraId="14003F56" w14:textId="77777777" w:rsidTr="00CA57F3">
        <w:trPr>
          <w:trHeight w:hRule="exact" w:val="113"/>
          <w:tblHeader/>
        </w:trPr>
        <w:tc>
          <w:tcPr>
            <w:tcW w:w="5954" w:type="dxa"/>
            <w:tcBorders>
              <w:top w:val="single" w:sz="12" w:space="0" w:color="auto"/>
            </w:tcBorders>
            <w:shd w:val="clear" w:color="auto" w:fill="auto"/>
          </w:tcPr>
          <w:p w14:paraId="02A9114A"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p>
        </w:tc>
        <w:tc>
          <w:tcPr>
            <w:tcW w:w="1416" w:type="dxa"/>
            <w:tcBorders>
              <w:top w:val="single" w:sz="12" w:space="0" w:color="auto"/>
            </w:tcBorders>
            <w:shd w:val="clear" w:color="auto" w:fill="auto"/>
          </w:tcPr>
          <w:p w14:paraId="2B09048C"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p>
        </w:tc>
      </w:tr>
      <w:tr w:rsidR="00C619FA" w:rsidRPr="008253DC" w14:paraId="64B1522F" w14:textId="77777777" w:rsidTr="00CA57F3">
        <w:trPr>
          <w:trHeight w:val="240"/>
        </w:trPr>
        <w:tc>
          <w:tcPr>
            <w:tcW w:w="5954" w:type="dxa"/>
            <w:shd w:val="clear" w:color="auto" w:fill="auto"/>
          </w:tcPr>
          <w:p w14:paraId="688A93DE"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 xml:space="preserve">Convenio sobre el Procedimiento Civil, 1954 </w:t>
            </w:r>
          </w:p>
        </w:tc>
        <w:tc>
          <w:tcPr>
            <w:tcW w:w="1416" w:type="dxa"/>
            <w:shd w:val="clear" w:color="auto" w:fill="auto"/>
          </w:tcPr>
          <w:p w14:paraId="27578C62"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A 21/10/2008</w:t>
            </w:r>
          </w:p>
        </w:tc>
      </w:tr>
      <w:tr w:rsidR="00C619FA" w:rsidRPr="008253DC" w14:paraId="7D6AFAB2" w14:textId="77777777" w:rsidTr="00CA57F3">
        <w:trPr>
          <w:trHeight w:val="240"/>
        </w:trPr>
        <w:tc>
          <w:tcPr>
            <w:tcW w:w="5954" w:type="dxa"/>
            <w:shd w:val="clear" w:color="auto" w:fill="auto"/>
          </w:tcPr>
          <w:p w14:paraId="01AAB2F7"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Convenio Suprimiendo la Exigencia de Legalización de los Documentos Públicos Extranjeros, 1961</w:t>
            </w:r>
          </w:p>
        </w:tc>
        <w:tc>
          <w:tcPr>
            <w:tcW w:w="1416" w:type="dxa"/>
            <w:shd w:val="clear" w:color="auto" w:fill="auto"/>
          </w:tcPr>
          <w:p w14:paraId="0CA051B3"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28/09/2004</w:t>
            </w:r>
          </w:p>
        </w:tc>
      </w:tr>
      <w:tr w:rsidR="00C619FA" w:rsidRPr="008253DC" w14:paraId="041BD3B5" w14:textId="77777777" w:rsidTr="00CA57F3">
        <w:trPr>
          <w:trHeight w:val="240"/>
        </w:trPr>
        <w:tc>
          <w:tcPr>
            <w:tcW w:w="5954" w:type="dxa"/>
            <w:shd w:val="clear" w:color="auto" w:fill="auto"/>
          </w:tcPr>
          <w:p w14:paraId="0C20781E" w14:textId="5EBE9BFF"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Convenio sobre la Notificación o Traslado en el Extranjero de Documentos Judiciales y Extrajudiciales en Materia Civil o Comercial, 1965</w:t>
            </w:r>
          </w:p>
        </w:tc>
        <w:tc>
          <w:tcPr>
            <w:tcW w:w="1416" w:type="dxa"/>
            <w:shd w:val="clear" w:color="auto" w:fill="auto"/>
          </w:tcPr>
          <w:p w14:paraId="54ACCC06"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A 21/10/2008</w:t>
            </w:r>
          </w:p>
        </w:tc>
      </w:tr>
      <w:tr w:rsidR="00C619FA" w:rsidRPr="008253DC" w14:paraId="54A4A931" w14:textId="77777777" w:rsidTr="00CA57F3">
        <w:trPr>
          <w:trHeight w:val="240"/>
        </w:trPr>
        <w:tc>
          <w:tcPr>
            <w:tcW w:w="5954" w:type="dxa"/>
            <w:shd w:val="clear" w:color="auto" w:fill="auto"/>
          </w:tcPr>
          <w:p w14:paraId="3A956BD8"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Convenio sobre la Obtención de Pruebas en el Extranjero en Materia Civil o Comercial, 1970</w:t>
            </w:r>
          </w:p>
        </w:tc>
        <w:tc>
          <w:tcPr>
            <w:tcW w:w="1416" w:type="dxa"/>
            <w:shd w:val="clear" w:color="auto" w:fill="auto"/>
          </w:tcPr>
          <w:p w14:paraId="115713F0"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A 21/10/2008</w:t>
            </w:r>
          </w:p>
        </w:tc>
      </w:tr>
      <w:tr w:rsidR="00C619FA" w:rsidRPr="008253DC" w14:paraId="21E94397" w14:textId="77777777" w:rsidTr="00CA57F3">
        <w:trPr>
          <w:trHeight w:val="240"/>
        </w:trPr>
        <w:tc>
          <w:tcPr>
            <w:tcW w:w="5954" w:type="dxa"/>
            <w:shd w:val="clear" w:color="auto" w:fill="auto"/>
          </w:tcPr>
          <w:p w14:paraId="4BFB8FD2" w14:textId="7401CC32"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Convenio sobre los Aspectos Civiles de la Sustracción Internacional de</w:t>
            </w:r>
            <w:r w:rsidR="009635BE" w:rsidRPr="008253DC">
              <w:rPr>
                <w:lang w:val="es-ES_tradnl"/>
              </w:rPr>
              <w:t> </w:t>
            </w:r>
            <w:r w:rsidRPr="008253DC">
              <w:rPr>
                <w:lang w:val="es-ES_tradnl"/>
              </w:rPr>
              <w:t>Menores, 1980</w:t>
            </w:r>
          </w:p>
        </w:tc>
        <w:tc>
          <w:tcPr>
            <w:tcW w:w="1416" w:type="dxa"/>
            <w:shd w:val="clear" w:color="auto" w:fill="auto"/>
          </w:tcPr>
          <w:p w14:paraId="0CC94F06"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A 14/08/1996</w:t>
            </w:r>
          </w:p>
        </w:tc>
      </w:tr>
      <w:tr w:rsidR="00C619FA" w:rsidRPr="008253DC" w14:paraId="43051259" w14:textId="77777777" w:rsidTr="00CA57F3">
        <w:trPr>
          <w:trHeight w:val="240"/>
        </w:trPr>
        <w:tc>
          <w:tcPr>
            <w:tcW w:w="5954" w:type="dxa"/>
            <w:tcBorders>
              <w:bottom w:val="single" w:sz="12" w:space="0" w:color="auto"/>
            </w:tcBorders>
            <w:shd w:val="clear" w:color="auto" w:fill="auto"/>
          </w:tcPr>
          <w:p w14:paraId="0CD2CA5B"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Convenio relativo a la Protección del Niño y a la Cooperación en materia de Adopción Internacional</w:t>
            </w:r>
          </w:p>
        </w:tc>
        <w:tc>
          <w:tcPr>
            <w:tcW w:w="1416" w:type="dxa"/>
            <w:tcBorders>
              <w:bottom w:val="single" w:sz="12" w:space="0" w:color="auto"/>
            </w:tcBorders>
            <w:shd w:val="clear" w:color="auto" w:fill="auto"/>
          </w:tcPr>
          <w:p w14:paraId="0DA9B803"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A 17/01/2000</w:t>
            </w:r>
          </w:p>
        </w:tc>
      </w:tr>
    </w:tbl>
    <w:p w14:paraId="349DB035" w14:textId="77777777" w:rsidR="00C619FA" w:rsidRPr="008253DC" w:rsidRDefault="00C619FA" w:rsidP="00CA57F3">
      <w:pPr>
        <w:pStyle w:val="H23G"/>
        <w:rPr>
          <w:lang w:val="es-ES_tradnl"/>
        </w:rPr>
      </w:pPr>
      <w:r w:rsidRPr="008253DC">
        <w:rPr>
          <w:lang w:val="es-ES_tradnl"/>
        </w:rPr>
        <w:lastRenderedPageBreak/>
        <w:tab/>
        <w:t>5.</w:t>
      </w:r>
      <w:r w:rsidRPr="008253DC">
        <w:rPr>
          <w:lang w:val="es-ES_tradnl"/>
        </w:rPr>
        <w:tab/>
        <w:t>Convenios de Ginebra y otros tratados de derecho internacional humanitario</w:t>
      </w:r>
    </w:p>
    <w:p w14:paraId="207DACDC" w14:textId="51D5055A" w:rsidR="00C619FA" w:rsidRPr="008253DC" w:rsidRDefault="00C619FA" w:rsidP="00C619FA">
      <w:pPr>
        <w:pStyle w:val="SingleTxtG"/>
        <w:rPr>
          <w:i/>
          <w:lang w:val="es-ES_tradnl"/>
        </w:rPr>
      </w:pPr>
      <w:r w:rsidRPr="008253DC">
        <w:rPr>
          <w:i/>
          <w:iCs/>
          <w:lang w:val="es-ES_tradnl"/>
        </w:rPr>
        <w:t>Islandia es parte en los convenios que figuran en el cuadro que se presenta a continuación</w:t>
      </w:r>
      <w:r w:rsidR="00CA57F3" w:rsidRPr="008253DC">
        <w:rPr>
          <w:i/>
          <w:iCs/>
          <w:lang w:val="es-ES_tradnl"/>
        </w:rPr>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5954"/>
        <w:gridCol w:w="1416"/>
      </w:tblGrid>
      <w:tr w:rsidR="00C619FA" w:rsidRPr="008253DC" w14:paraId="14F11C8C" w14:textId="77777777" w:rsidTr="00CA57F3">
        <w:trPr>
          <w:trHeight w:val="240"/>
          <w:tblHeader/>
        </w:trPr>
        <w:tc>
          <w:tcPr>
            <w:tcW w:w="5954" w:type="dxa"/>
            <w:tcBorders>
              <w:top w:val="single" w:sz="4" w:space="0" w:color="auto"/>
              <w:bottom w:val="single" w:sz="12" w:space="0" w:color="auto"/>
            </w:tcBorders>
            <w:shd w:val="clear" w:color="auto" w:fill="auto"/>
            <w:vAlign w:val="bottom"/>
          </w:tcPr>
          <w:p w14:paraId="105D31F7" w14:textId="77777777" w:rsidR="00C619FA" w:rsidRPr="008253DC" w:rsidRDefault="00C619FA" w:rsidP="00CA57F3">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Convenio/protocolo</w:t>
            </w:r>
          </w:p>
        </w:tc>
        <w:tc>
          <w:tcPr>
            <w:tcW w:w="1416" w:type="dxa"/>
            <w:tcBorders>
              <w:top w:val="single" w:sz="4" w:space="0" w:color="auto"/>
              <w:bottom w:val="single" w:sz="12" w:space="0" w:color="auto"/>
            </w:tcBorders>
            <w:shd w:val="clear" w:color="auto" w:fill="auto"/>
            <w:vAlign w:val="bottom"/>
          </w:tcPr>
          <w:p w14:paraId="6252937D" w14:textId="77777777" w:rsidR="00C619FA" w:rsidRPr="008253DC" w:rsidRDefault="00C619FA" w:rsidP="00CA57F3">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Adhesión (A)/</w:t>
            </w:r>
            <w:r w:rsidRPr="008253DC">
              <w:rPr>
                <w:i/>
                <w:iCs/>
                <w:sz w:val="16"/>
                <w:lang w:val="es-ES_tradnl"/>
              </w:rPr>
              <w:br/>
              <w:t xml:space="preserve">Ratificación (R) </w:t>
            </w:r>
          </w:p>
        </w:tc>
      </w:tr>
      <w:tr w:rsidR="00CA57F3" w:rsidRPr="008253DC" w14:paraId="20CB6876" w14:textId="77777777" w:rsidTr="00CA57F3">
        <w:trPr>
          <w:trHeight w:hRule="exact" w:val="113"/>
          <w:tblHeader/>
        </w:trPr>
        <w:tc>
          <w:tcPr>
            <w:tcW w:w="5954" w:type="dxa"/>
            <w:tcBorders>
              <w:top w:val="single" w:sz="12" w:space="0" w:color="auto"/>
              <w:bottom w:val="nil"/>
            </w:tcBorders>
            <w:shd w:val="clear" w:color="auto" w:fill="auto"/>
            <w:vAlign w:val="bottom"/>
          </w:tcPr>
          <w:p w14:paraId="5C90CDEA" w14:textId="77777777" w:rsidR="00CA57F3" w:rsidRPr="008253DC" w:rsidRDefault="00CA57F3" w:rsidP="00CA57F3">
            <w:pPr>
              <w:pStyle w:val="SingleTxtG"/>
              <w:tabs>
                <w:tab w:val="clear" w:pos="1701"/>
                <w:tab w:val="clear" w:pos="2268"/>
                <w:tab w:val="clear" w:pos="2835"/>
              </w:tabs>
              <w:spacing w:before="80" w:after="80" w:line="200" w:lineRule="exact"/>
              <w:ind w:left="0" w:right="0"/>
              <w:jc w:val="left"/>
              <w:rPr>
                <w:i/>
                <w:iCs/>
                <w:sz w:val="16"/>
                <w:lang w:val="es-ES_tradnl"/>
              </w:rPr>
            </w:pPr>
          </w:p>
        </w:tc>
        <w:tc>
          <w:tcPr>
            <w:tcW w:w="1416" w:type="dxa"/>
            <w:tcBorders>
              <w:top w:val="single" w:sz="12" w:space="0" w:color="auto"/>
              <w:bottom w:val="nil"/>
            </w:tcBorders>
            <w:shd w:val="clear" w:color="auto" w:fill="auto"/>
            <w:vAlign w:val="bottom"/>
          </w:tcPr>
          <w:p w14:paraId="3A3866C5" w14:textId="77777777" w:rsidR="00CA57F3" w:rsidRPr="008253DC" w:rsidRDefault="00CA57F3" w:rsidP="00CA57F3">
            <w:pPr>
              <w:pStyle w:val="SingleTxtG"/>
              <w:tabs>
                <w:tab w:val="clear" w:pos="1701"/>
                <w:tab w:val="clear" w:pos="2268"/>
                <w:tab w:val="clear" w:pos="2835"/>
              </w:tabs>
              <w:spacing w:before="80" w:after="80" w:line="200" w:lineRule="exact"/>
              <w:ind w:left="0" w:right="0"/>
              <w:jc w:val="left"/>
              <w:rPr>
                <w:i/>
                <w:iCs/>
                <w:sz w:val="16"/>
                <w:lang w:val="es-ES_tradnl"/>
              </w:rPr>
            </w:pPr>
          </w:p>
        </w:tc>
      </w:tr>
      <w:tr w:rsidR="00C619FA" w:rsidRPr="008253DC" w14:paraId="7A2F303E" w14:textId="77777777" w:rsidTr="00CA57F3">
        <w:trPr>
          <w:trHeight w:val="240"/>
        </w:trPr>
        <w:tc>
          <w:tcPr>
            <w:tcW w:w="5954" w:type="dxa"/>
            <w:tcBorders>
              <w:top w:val="nil"/>
            </w:tcBorders>
            <w:shd w:val="clear" w:color="auto" w:fill="auto"/>
          </w:tcPr>
          <w:p w14:paraId="00E0DD30"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Convenio de Ginebra para Aliviar la Suerte que Corren los Heridos, los Enfermos y los Náufragos de las Fuerzas Armadas en el Mar, 1949</w:t>
            </w:r>
          </w:p>
        </w:tc>
        <w:tc>
          <w:tcPr>
            <w:tcW w:w="1416" w:type="dxa"/>
            <w:tcBorders>
              <w:top w:val="nil"/>
            </w:tcBorders>
            <w:shd w:val="clear" w:color="auto" w:fill="auto"/>
          </w:tcPr>
          <w:p w14:paraId="4D922200"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10/08/1965</w:t>
            </w:r>
          </w:p>
        </w:tc>
      </w:tr>
      <w:tr w:rsidR="00C619FA" w:rsidRPr="008253DC" w14:paraId="31975649" w14:textId="77777777" w:rsidTr="00CA57F3">
        <w:trPr>
          <w:trHeight w:val="240"/>
        </w:trPr>
        <w:tc>
          <w:tcPr>
            <w:tcW w:w="5954" w:type="dxa"/>
            <w:shd w:val="clear" w:color="auto" w:fill="auto"/>
          </w:tcPr>
          <w:p w14:paraId="7F5AA272"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Protocolo Adicional a los Convenios de Ginebra del 12 de agosto de 1949 relativo a la Protección de las Víctimas de los Conflictos Armados Internacionales (Protocolo I)</w:t>
            </w:r>
          </w:p>
        </w:tc>
        <w:tc>
          <w:tcPr>
            <w:tcW w:w="1416" w:type="dxa"/>
            <w:shd w:val="clear" w:color="auto" w:fill="auto"/>
          </w:tcPr>
          <w:p w14:paraId="5316ED38"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10/04/1987</w:t>
            </w:r>
          </w:p>
        </w:tc>
      </w:tr>
      <w:tr w:rsidR="00C619FA" w:rsidRPr="008253DC" w14:paraId="7267E515" w14:textId="77777777" w:rsidTr="00CA57F3">
        <w:trPr>
          <w:trHeight w:val="240"/>
        </w:trPr>
        <w:tc>
          <w:tcPr>
            <w:tcW w:w="5954" w:type="dxa"/>
            <w:shd w:val="clear" w:color="auto" w:fill="auto"/>
          </w:tcPr>
          <w:p w14:paraId="15D5F94D" w14:textId="715C1E33"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Protocolo Adicional a los Convenios de Ginebra del 12 de agosto de</w:t>
            </w:r>
            <w:r w:rsidR="00575AF7" w:rsidRPr="008253DC">
              <w:rPr>
                <w:lang w:val="es-ES_tradnl"/>
              </w:rPr>
              <w:t> </w:t>
            </w:r>
            <w:r w:rsidRPr="008253DC">
              <w:rPr>
                <w:lang w:val="es-ES_tradnl"/>
              </w:rPr>
              <w:t>1949 relativo a la Protección de las Víctimas de los Conflictos Armados Sin Carácter Internacional (Protocolo II)</w:t>
            </w:r>
          </w:p>
        </w:tc>
        <w:tc>
          <w:tcPr>
            <w:tcW w:w="1416" w:type="dxa"/>
            <w:shd w:val="clear" w:color="auto" w:fill="auto"/>
          </w:tcPr>
          <w:p w14:paraId="4CC9BD16"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10/04/1987</w:t>
            </w:r>
          </w:p>
        </w:tc>
      </w:tr>
      <w:tr w:rsidR="00C619FA" w:rsidRPr="008253DC" w14:paraId="74E599DA" w14:textId="77777777" w:rsidTr="00CA57F3">
        <w:trPr>
          <w:trHeight w:val="240"/>
        </w:trPr>
        <w:tc>
          <w:tcPr>
            <w:tcW w:w="5954" w:type="dxa"/>
            <w:shd w:val="clear" w:color="auto" w:fill="auto"/>
          </w:tcPr>
          <w:p w14:paraId="16CC4CA5" w14:textId="65F30B44"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Protocolo adicional a los Convenios de Ginebra del 12 de agosto de</w:t>
            </w:r>
            <w:r w:rsidR="00575AF7" w:rsidRPr="008253DC">
              <w:rPr>
                <w:lang w:val="es-ES_tradnl"/>
              </w:rPr>
              <w:t> </w:t>
            </w:r>
            <w:r w:rsidRPr="008253DC">
              <w:rPr>
                <w:lang w:val="es-ES_tradnl"/>
              </w:rPr>
              <w:t>1949 relativo a la aprobación de un signo distintivo adicional (Protocolo III)</w:t>
            </w:r>
          </w:p>
        </w:tc>
        <w:tc>
          <w:tcPr>
            <w:tcW w:w="1416" w:type="dxa"/>
            <w:shd w:val="clear" w:color="auto" w:fill="auto"/>
          </w:tcPr>
          <w:p w14:paraId="36A50CB7"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12/07/2006</w:t>
            </w:r>
          </w:p>
        </w:tc>
      </w:tr>
      <w:tr w:rsidR="00C619FA" w:rsidRPr="008253DC" w14:paraId="3262F029" w14:textId="77777777" w:rsidTr="00CA57F3">
        <w:trPr>
          <w:trHeight w:val="240"/>
        </w:trPr>
        <w:tc>
          <w:tcPr>
            <w:tcW w:w="5954" w:type="dxa"/>
            <w:shd w:val="clear" w:color="auto" w:fill="auto"/>
          </w:tcPr>
          <w:p w14:paraId="274C2414" w14:textId="126CB771"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Convención para la Adaptación de los Principios de la Convención de</w:t>
            </w:r>
            <w:r w:rsidR="00575AF7" w:rsidRPr="008253DC">
              <w:rPr>
                <w:lang w:val="es-ES_tradnl"/>
              </w:rPr>
              <w:t> </w:t>
            </w:r>
            <w:r w:rsidRPr="008253DC">
              <w:rPr>
                <w:lang w:val="es-ES_tradnl"/>
              </w:rPr>
              <w:t>Ginebra a la Guerra Marítima</w:t>
            </w:r>
          </w:p>
        </w:tc>
        <w:tc>
          <w:tcPr>
            <w:tcW w:w="1416" w:type="dxa"/>
            <w:shd w:val="clear" w:color="auto" w:fill="auto"/>
          </w:tcPr>
          <w:p w14:paraId="2F10CBB0"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A 27/11/1909</w:t>
            </w:r>
          </w:p>
        </w:tc>
      </w:tr>
      <w:tr w:rsidR="00C619FA" w:rsidRPr="008253DC" w14:paraId="0934882C" w14:textId="77777777" w:rsidTr="00CA57F3">
        <w:trPr>
          <w:trHeight w:val="240"/>
        </w:trPr>
        <w:tc>
          <w:tcPr>
            <w:tcW w:w="5954" w:type="dxa"/>
            <w:shd w:val="clear" w:color="auto" w:fill="auto"/>
          </w:tcPr>
          <w:p w14:paraId="18A42AD7"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Protocolo relativo a la Prohibición del Empleo en la Guerra de Gases Asfixiantes, Tóxicos o Similares y de Medios Bacteriológicos</w:t>
            </w:r>
          </w:p>
        </w:tc>
        <w:tc>
          <w:tcPr>
            <w:tcW w:w="1416" w:type="dxa"/>
            <w:shd w:val="clear" w:color="auto" w:fill="auto"/>
          </w:tcPr>
          <w:p w14:paraId="6D0C3AB1"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19/12/1966</w:t>
            </w:r>
          </w:p>
        </w:tc>
      </w:tr>
      <w:tr w:rsidR="00C619FA" w:rsidRPr="008253DC" w14:paraId="78F61BCE" w14:textId="77777777" w:rsidTr="00CA57F3">
        <w:trPr>
          <w:trHeight w:val="240"/>
        </w:trPr>
        <w:tc>
          <w:tcPr>
            <w:tcW w:w="5954" w:type="dxa"/>
            <w:shd w:val="clear" w:color="auto" w:fill="auto"/>
          </w:tcPr>
          <w:p w14:paraId="3F58BACE"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Convenio de Ginebra relativo al Trato debido a los Prisioneros de Guerra</w:t>
            </w:r>
          </w:p>
        </w:tc>
        <w:tc>
          <w:tcPr>
            <w:tcW w:w="1416" w:type="dxa"/>
            <w:shd w:val="clear" w:color="auto" w:fill="auto"/>
          </w:tcPr>
          <w:p w14:paraId="4A033ADD"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10/08/1965</w:t>
            </w:r>
          </w:p>
        </w:tc>
      </w:tr>
      <w:tr w:rsidR="00C619FA" w:rsidRPr="008253DC" w14:paraId="4DA41DD2" w14:textId="77777777" w:rsidTr="00CA57F3">
        <w:trPr>
          <w:trHeight w:val="240"/>
        </w:trPr>
        <w:tc>
          <w:tcPr>
            <w:tcW w:w="5954" w:type="dxa"/>
            <w:shd w:val="clear" w:color="auto" w:fill="auto"/>
          </w:tcPr>
          <w:p w14:paraId="1495A0C7"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Convenio de Ginebra del 12 de agosto de 1949 para Aliviar la Suerte que Corren los Heridos y los Enfermos de las Fuerzas Armadas en Campaña</w:t>
            </w:r>
          </w:p>
        </w:tc>
        <w:tc>
          <w:tcPr>
            <w:tcW w:w="1416" w:type="dxa"/>
            <w:shd w:val="clear" w:color="auto" w:fill="auto"/>
          </w:tcPr>
          <w:p w14:paraId="4B45BE58"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10/08/1965</w:t>
            </w:r>
          </w:p>
        </w:tc>
      </w:tr>
      <w:tr w:rsidR="00C619FA" w:rsidRPr="008253DC" w14:paraId="2B16D890" w14:textId="77777777" w:rsidTr="00CA57F3">
        <w:trPr>
          <w:trHeight w:val="240"/>
        </w:trPr>
        <w:tc>
          <w:tcPr>
            <w:tcW w:w="5954" w:type="dxa"/>
            <w:tcBorders>
              <w:bottom w:val="single" w:sz="12" w:space="0" w:color="auto"/>
            </w:tcBorders>
            <w:shd w:val="clear" w:color="auto" w:fill="auto"/>
          </w:tcPr>
          <w:p w14:paraId="2C18D1B0"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Convenio de Ginebra relativo a la Protección debida a las Personas Civiles en Tiempo de Guerra</w:t>
            </w:r>
          </w:p>
        </w:tc>
        <w:tc>
          <w:tcPr>
            <w:tcW w:w="1416" w:type="dxa"/>
            <w:tcBorders>
              <w:bottom w:val="single" w:sz="12" w:space="0" w:color="auto"/>
            </w:tcBorders>
            <w:shd w:val="clear" w:color="auto" w:fill="auto"/>
          </w:tcPr>
          <w:p w14:paraId="4F3122F4"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10/08/1965</w:t>
            </w:r>
          </w:p>
        </w:tc>
      </w:tr>
    </w:tbl>
    <w:p w14:paraId="267ED1B3" w14:textId="77777777" w:rsidR="00C619FA" w:rsidRPr="008253DC" w:rsidRDefault="00C619FA" w:rsidP="00CA57F3">
      <w:pPr>
        <w:pStyle w:val="H23G"/>
        <w:rPr>
          <w:lang w:val="es-ES_tradnl"/>
        </w:rPr>
      </w:pPr>
      <w:r w:rsidRPr="008253DC">
        <w:rPr>
          <w:lang w:val="es-ES_tradnl"/>
        </w:rPr>
        <w:tab/>
        <w:t>6.</w:t>
      </w:r>
      <w:r w:rsidRPr="008253DC">
        <w:rPr>
          <w:lang w:val="es-ES_tradnl"/>
        </w:rPr>
        <w:tab/>
        <w:t>Convenios del Consejo de Europa</w:t>
      </w:r>
    </w:p>
    <w:p w14:paraId="6A3F7B25" w14:textId="1AAAF140" w:rsidR="00C619FA" w:rsidRPr="008253DC" w:rsidRDefault="00C619FA" w:rsidP="00C619FA">
      <w:pPr>
        <w:pStyle w:val="SingleTxtG"/>
        <w:rPr>
          <w:i/>
          <w:lang w:val="es-ES_tradnl"/>
        </w:rPr>
      </w:pPr>
      <w:r w:rsidRPr="008253DC">
        <w:rPr>
          <w:i/>
          <w:iCs/>
          <w:lang w:val="es-ES_tradnl"/>
        </w:rPr>
        <w:t>Islandia es parte en los convenios que figuran en el cuadro que se presenta a continuación</w:t>
      </w:r>
      <w:r w:rsidR="00CA57F3" w:rsidRPr="008253DC">
        <w:rPr>
          <w:i/>
          <w:iCs/>
          <w:lang w:val="es-ES_tradnl"/>
        </w:rPr>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5954"/>
        <w:gridCol w:w="1416"/>
      </w:tblGrid>
      <w:tr w:rsidR="00C619FA" w:rsidRPr="008253DC" w14:paraId="0B6239CE" w14:textId="77777777" w:rsidTr="00CA57F3">
        <w:trPr>
          <w:trHeight w:val="240"/>
          <w:tblHeader/>
        </w:trPr>
        <w:tc>
          <w:tcPr>
            <w:tcW w:w="5954" w:type="dxa"/>
            <w:tcBorders>
              <w:top w:val="single" w:sz="4" w:space="0" w:color="auto"/>
              <w:bottom w:val="single" w:sz="12" w:space="0" w:color="auto"/>
            </w:tcBorders>
            <w:shd w:val="clear" w:color="auto" w:fill="auto"/>
            <w:vAlign w:val="bottom"/>
          </w:tcPr>
          <w:p w14:paraId="20642059" w14:textId="77777777" w:rsidR="00C619FA" w:rsidRPr="008253DC" w:rsidRDefault="00C619FA" w:rsidP="00CA57F3">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Convenio/protocolo</w:t>
            </w:r>
          </w:p>
        </w:tc>
        <w:tc>
          <w:tcPr>
            <w:tcW w:w="1416" w:type="dxa"/>
            <w:tcBorders>
              <w:top w:val="single" w:sz="4" w:space="0" w:color="auto"/>
              <w:bottom w:val="single" w:sz="12" w:space="0" w:color="auto"/>
            </w:tcBorders>
            <w:shd w:val="clear" w:color="auto" w:fill="auto"/>
            <w:vAlign w:val="bottom"/>
          </w:tcPr>
          <w:p w14:paraId="3C39AB02" w14:textId="77777777" w:rsidR="00C619FA" w:rsidRPr="008253DC" w:rsidRDefault="00C619FA" w:rsidP="00CA57F3">
            <w:pPr>
              <w:pStyle w:val="SingleTxtG"/>
              <w:tabs>
                <w:tab w:val="clear" w:pos="1701"/>
                <w:tab w:val="clear" w:pos="2268"/>
                <w:tab w:val="clear" w:pos="2835"/>
              </w:tabs>
              <w:spacing w:before="80" w:after="80" w:line="200" w:lineRule="exact"/>
              <w:ind w:left="0" w:right="0"/>
              <w:jc w:val="left"/>
              <w:rPr>
                <w:i/>
                <w:sz w:val="16"/>
                <w:lang w:val="es-ES_tradnl"/>
              </w:rPr>
            </w:pPr>
            <w:r w:rsidRPr="008253DC">
              <w:rPr>
                <w:i/>
                <w:iCs/>
                <w:sz w:val="16"/>
                <w:lang w:val="es-ES_tradnl"/>
              </w:rPr>
              <w:t>Adhesión (A)/</w:t>
            </w:r>
            <w:r w:rsidRPr="008253DC">
              <w:rPr>
                <w:i/>
                <w:iCs/>
                <w:sz w:val="16"/>
                <w:lang w:val="es-ES_tradnl"/>
              </w:rPr>
              <w:br/>
              <w:t xml:space="preserve">Ratificación (R) </w:t>
            </w:r>
          </w:p>
        </w:tc>
      </w:tr>
      <w:tr w:rsidR="00C619FA" w:rsidRPr="008253DC" w14:paraId="7227AF98" w14:textId="77777777" w:rsidTr="00CA57F3">
        <w:trPr>
          <w:trHeight w:hRule="exact" w:val="113"/>
          <w:tblHeader/>
        </w:trPr>
        <w:tc>
          <w:tcPr>
            <w:tcW w:w="5954" w:type="dxa"/>
            <w:tcBorders>
              <w:top w:val="single" w:sz="12" w:space="0" w:color="auto"/>
            </w:tcBorders>
            <w:shd w:val="clear" w:color="auto" w:fill="auto"/>
          </w:tcPr>
          <w:p w14:paraId="525051A7"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p>
        </w:tc>
        <w:tc>
          <w:tcPr>
            <w:tcW w:w="1416" w:type="dxa"/>
            <w:tcBorders>
              <w:top w:val="single" w:sz="12" w:space="0" w:color="auto"/>
            </w:tcBorders>
            <w:shd w:val="clear" w:color="auto" w:fill="auto"/>
          </w:tcPr>
          <w:p w14:paraId="6E5947E3"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p>
        </w:tc>
      </w:tr>
      <w:tr w:rsidR="00C619FA" w:rsidRPr="008253DC" w14:paraId="43D614FE" w14:textId="77777777" w:rsidTr="00CA57F3">
        <w:trPr>
          <w:trHeight w:val="240"/>
        </w:trPr>
        <w:tc>
          <w:tcPr>
            <w:tcW w:w="5954" w:type="dxa"/>
            <w:shd w:val="clear" w:color="auto" w:fill="auto"/>
          </w:tcPr>
          <w:p w14:paraId="77885C37"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Convenio para la Protección de los Derechos Humanos y de las Libertades Fundamentales</w:t>
            </w:r>
          </w:p>
        </w:tc>
        <w:tc>
          <w:tcPr>
            <w:tcW w:w="1416" w:type="dxa"/>
            <w:shd w:val="clear" w:color="auto" w:fill="auto"/>
          </w:tcPr>
          <w:p w14:paraId="4546AFE1"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29/06/1953</w:t>
            </w:r>
          </w:p>
        </w:tc>
      </w:tr>
      <w:tr w:rsidR="00C619FA" w:rsidRPr="008253DC" w14:paraId="5DEA6850" w14:textId="77777777" w:rsidTr="00CA57F3">
        <w:trPr>
          <w:trHeight w:val="240"/>
        </w:trPr>
        <w:tc>
          <w:tcPr>
            <w:tcW w:w="5954" w:type="dxa"/>
            <w:shd w:val="clear" w:color="auto" w:fill="auto"/>
          </w:tcPr>
          <w:p w14:paraId="06F02E57"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Carta Social Europea</w:t>
            </w:r>
          </w:p>
        </w:tc>
        <w:tc>
          <w:tcPr>
            <w:tcW w:w="1416" w:type="dxa"/>
            <w:shd w:val="clear" w:color="auto" w:fill="auto"/>
          </w:tcPr>
          <w:p w14:paraId="472E7FD2"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15/01/1976</w:t>
            </w:r>
          </w:p>
        </w:tc>
      </w:tr>
      <w:tr w:rsidR="00C619FA" w:rsidRPr="008253DC" w14:paraId="397CBA93" w14:textId="77777777" w:rsidTr="00CA57F3">
        <w:trPr>
          <w:trHeight w:val="240"/>
        </w:trPr>
        <w:tc>
          <w:tcPr>
            <w:tcW w:w="5954" w:type="dxa"/>
            <w:shd w:val="clear" w:color="auto" w:fill="auto"/>
          </w:tcPr>
          <w:p w14:paraId="04B0BAC7"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Convenio del Consejo de Europa sobre Prevención y Lucha contra la Violencia contra las Mujeres y la Violencia Doméstica</w:t>
            </w:r>
          </w:p>
        </w:tc>
        <w:tc>
          <w:tcPr>
            <w:tcW w:w="1416" w:type="dxa"/>
            <w:shd w:val="clear" w:color="auto" w:fill="auto"/>
          </w:tcPr>
          <w:p w14:paraId="0AFA257C"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26/04/2018</w:t>
            </w:r>
          </w:p>
        </w:tc>
      </w:tr>
      <w:tr w:rsidR="00C619FA" w:rsidRPr="008253DC" w14:paraId="462BEE0F" w14:textId="77777777" w:rsidTr="00CA57F3">
        <w:trPr>
          <w:trHeight w:val="240"/>
        </w:trPr>
        <w:tc>
          <w:tcPr>
            <w:tcW w:w="5954" w:type="dxa"/>
            <w:shd w:val="clear" w:color="auto" w:fill="auto"/>
          </w:tcPr>
          <w:p w14:paraId="010E598C"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Convenio del Consejo de Europa para la Protección de los Niños contra la Explotación y el Abuso Sexual</w:t>
            </w:r>
          </w:p>
        </w:tc>
        <w:tc>
          <w:tcPr>
            <w:tcW w:w="1416" w:type="dxa"/>
            <w:shd w:val="clear" w:color="auto" w:fill="auto"/>
          </w:tcPr>
          <w:p w14:paraId="1E8DEF8E"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04/09/2012</w:t>
            </w:r>
          </w:p>
        </w:tc>
      </w:tr>
      <w:tr w:rsidR="00C619FA" w:rsidRPr="008253DC" w14:paraId="24B876A6" w14:textId="77777777" w:rsidTr="00CA57F3">
        <w:trPr>
          <w:trHeight w:val="240"/>
        </w:trPr>
        <w:tc>
          <w:tcPr>
            <w:tcW w:w="5954" w:type="dxa"/>
            <w:shd w:val="clear" w:color="auto" w:fill="auto"/>
          </w:tcPr>
          <w:p w14:paraId="1E5881C4"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Convenio del Consejo de Europa sobre la Lucha contra la Trata de Seres Humanos</w:t>
            </w:r>
          </w:p>
        </w:tc>
        <w:tc>
          <w:tcPr>
            <w:tcW w:w="1416" w:type="dxa"/>
            <w:shd w:val="clear" w:color="auto" w:fill="auto"/>
          </w:tcPr>
          <w:p w14:paraId="447702EF"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17/02/2012</w:t>
            </w:r>
          </w:p>
        </w:tc>
      </w:tr>
      <w:tr w:rsidR="00C619FA" w:rsidRPr="008253DC" w14:paraId="24153396" w14:textId="77777777" w:rsidTr="00CA57F3">
        <w:trPr>
          <w:trHeight w:val="240"/>
        </w:trPr>
        <w:tc>
          <w:tcPr>
            <w:tcW w:w="5954" w:type="dxa"/>
            <w:shd w:val="clear" w:color="auto" w:fill="auto"/>
          </w:tcPr>
          <w:p w14:paraId="53AC8064"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Convenio Europeo para la Prevención de la Tortura y de las Penas o Tratos Inhumanos o Degradantes</w:t>
            </w:r>
          </w:p>
        </w:tc>
        <w:tc>
          <w:tcPr>
            <w:tcW w:w="1416" w:type="dxa"/>
            <w:shd w:val="clear" w:color="auto" w:fill="auto"/>
          </w:tcPr>
          <w:p w14:paraId="1BC65E1D"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19/06/1990</w:t>
            </w:r>
          </w:p>
        </w:tc>
      </w:tr>
      <w:tr w:rsidR="00C619FA" w:rsidRPr="008253DC" w14:paraId="3B6521EB" w14:textId="77777777" w:rsidTr="00CA57F3">
        <w:trPr>
          <w:trHeight w:val="240"/>
        </w:trPr>
        <w:tc>
          <w:tcPr>
            <w:tcW w:w="5954" w:type="dxa"/>
            <w:shd w:val="clear" w:color="auto" w:fill="auto"/>
          </w:tcPr>
          <w:p w14:paraId="5C68CC0B"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Protocolo 1 del Convenio Europeo para la Prevención de la Tortura y de las Penas o Tratos Inhumanos o Degradantes</w:t>
            </w:r>
          </w:p>
        </w:tc>
        <w:tc>
          <w:tcPr>
            <w:tcW w:w="1416" w:type="dxa"/>
            <w:shd w:val="clear" w:color="auto" w:fill="auto"/>
          </w:tcPr>
          <w:p w14:paraId="3B68B7EF"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29/06/1995</w:t>
            </w:r>
          </w:p>
        </w:tc>
      </w:tr>
      <w:tr w:rsidR="00C619FA" w:rsidRPr="008253DC" w14:paraId="62CA1DC8" w14:textId="77777777" w:rsidTr="00CA57F3">
        <w:trPr>
          <w:trHeight w:val="240"/>
        </w:trPr>
        <w:tc>
          <w:tcPr>
            <w:tcW w:w="5954" w:type="dxa"/>
            <w:tcBorders>
              <w:bottom w:val="single" w:sz="12" w:space="0" w:color="auto"/>
            </w:tcBorders>
            <w:shd w:val="clear" w:color="auto" w:fill="auto"/>
          </w:tcPr>
          <w:p w14:paraId="31D302E6"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lastRenderedPageBreak/>
              <w:t>Protocolo 2 del Convenio Europeo para la Prevención de la Tortura y de las Penas o Tratos Inhumanos o Degradantes</w:t>
            </w:r>
          </w:p>
        </w:tc>
        <w:tc>
          <w:tcPr>
            <w:tcW w:w="1416" w:type="dxa"/>
            <w:tcBorders>
              <w:bottom w:val="single" w:sz="12" w:space="0" w:color="auto"/>
            </w:tcBorders>
            <w:shd w:val="clear" w:color="auto" w:fill="auto"/>
          </w:tcPr>
          <w:p w14:paraId="0722F2D2" w14:textId="77777777" w:rsidR="00C619FA" w:rsidRPr="008253DC" w:rsidRDefault="00C619FA" w:rsidP="00CA57F3">
            <w:pPr>
              <w:pStyle w:val="SingleTxtG"/>
              <w:tabs>
                <w:tab w:val="clear" w:pos="1701"/>
                <w:tab w:val="clear" w:pos="2268"/>
                <w:tab w:val="clear" w:pos="2835"/>
              </w:tabs>
              <w:spacing w:before="40"/>
              <w:ind w:left="0" w:right="0"/>
              <w:jc w:val="left"/>
              <w:rPr>
                <w:lang w:val="es-ES_tradnl"/>
              </w:rPr>
            </w:pPr>
            <w:r w:rsidRPr="008253DC">
              <w:rPr>
                <w:lang w:val="es-ES_tradnl"/>
              </w:rPr>
              <w:t>R 29/06/1995</w:t>
            </w:r>
          </w:p>
        </w:tc>
      </w:tr>
    </w:tbl>
    <w:p w14:paraId="7EE56409" w14:textId="38611E34" w:rsidR="00C619FA" w:rsidRPr="008253DC" w:rsidRDefault="00C619FA" w:rsidP="00CA57F3">
      <w:pPr>
        <w:pStyle w:val="H1G"/>
        <w:rPr>
          <w:lang w:val="es-ES_tradnl"/>
        </w:rPr>
      </w:pPr>
      <w:r w:rsidRPr="008253DC">
        <w:rPr>
          <w:lang w:val="es-ES_tradnl"/>
        </w:rPr>
        <w:tab/>
        <w:t>B.</w:t>
      </w:r>
      <w:r w:rsidRPr="008253DC">
        <w:rPr>
          <w:lang w:val="es-ES_tradnl"/>
        </w:rPr>
        <w:tab/>
        <w:t>Marco jurídico de protección de los derechos humanos a nivel</w:t>
      </w:r>
      <w:r w:rsidR="00CA57F3" w:rsidRPr="008253DC">
        <w:rPr>
          <w:lang w:val="es-ES_tradnl"/>
        </w:rPr>
        <w:br/>
      </w:r>
      <w:r w:rsidRPr="008253DC">
        <w:rPr>
          <w:lang w:val="es-ES_tradnl"/>
        </w:rPr>
        <w:t>nacional</w:t>
      </w:r>
    </w:p>
    <w:p w14:paraId="413B9A11" w14:textId="77777777" w:rsidR="00C619FA" w:rsidRPr="008253DC" w:rsidRDefault="00C619FA" w:rsidP="00CA57F3">
      <w:pPr>
        <w:pStyle w:val="H23G"/>
        <w:rPr>
          <w:lang w:val="es-ES_tradnl"/>
        </w:rPr>
      </w:pPr>
      <w:r w:rsidRPr="008253DC">
        <w:rPr>
          <w:lang w:val="es-ES_tradnl"/>
        </w:rPr>
        <w:tab/>
        <w:t>1.</w:t>
      </w:r>
      <w:r w:rsidRPr="008253DC">
        <w:rPr>
          <w:lang w:val="es-ES_tradnl"/>
        </w:rPr>
        <w:tab/>
        <w:t>Legislación</w:t>
      </w:r>
    </w:p>
    <w:p w14:paraId="26924E20" w14:textId="13040E5D" w:rsidR="00C619FA" w:rsidRPr="008253DC" w:rsidRDefault="00C619FA" w:rsidP="00C619FA">
      <w:pPr>
        <w:pStyle w:val="SingleTxtG"/>
        <w:rPr>
          <w:lang w:val="es-ES_tradnl"/>
        </w:rPr>
      </w:pPr>
      <w:r w:rsidRPr="008253DC">
        <w:rPr>
          <w:lang w:val="es-ES_tradnl"/>
        </w:rPr>
        <w:t>57.</w:t>
      </w:r>
      <w:r w:rsidRPr="008253DC">
        <w:rPr>
          <w:lang w:val="es-ES_tradnl"/>
        </w:rPr>
        <w:tab/>
        <w:t>Los derechos humanos están amparados por la Constitución y por leyes específicas en varios ámbitos.</w:t>
      </w:r>
    </w:p>
    <w:p w14:paraId="55CBF432" w14:textId="77777777" w:rsidR="00C619FA" w:rsidRPr="008253DC" w:rsidRDefault="00C619FA" w:rsidP="00C619FA">
      <w:pPr>
        <w:pStyle w:val="SingleTxtG"/>
        <w:rPr>
          <w:lang w:val="es-ES_tradnl"/>
        </w:rPr>
      </w:pPr>
      <w:r w:rsidRPr="008253DC">
        <w:rPr>
          <w:lang w:val="es-ES_tradnl"/>
        </w:rPr>
        <w:t>58.</w:t>
      </w:r>
      <w:r w:rsidRPr="008253DC">
        <w:rPr>
          <w:lang w:val="es-ES_tradnl"/>
        </w:rPr>
        <w:tab/>
        <w:t>Islandia se adhiere al principio de dualidad. Por lo tanto, los tratados internacionales ratificados no cobran fuerza de derecho interno, sino que son únicamente vinculantes en virtud del derecho internacional. Los tribunales han procurado interpretar la legislación islandesa en la mayor medida posible, conforme a las obligaciones internacionales contraídas por Islandia. Los tribunales se han referido en varias ocasiones a las obligaciones internacionales asumidas por Islandia y han interpretado, tanto la Constitución como otras leyes, en consonancia con esas obligaciones.</w:t>
      </w:r>
    </w:p>
    <w:p w14:paraId="0C640273" w14:textId="00D080FE" w:rsidR="00C619FA" w:rsidRPr="008253DC" w:rsidRDefault="00CA57F3" w:rsidP="00CA57F3">
      <w:pPr>
        <w:pStyle w:val="H23G"/>
        <w:rPr>
          <w:lang w:val="es-ES_tradnl"/>
        </w:rPr>
      </w:pPr>
      <w:r w:rsidRPr="008253DC">
        <w:rPr>
          <w:lang w:val="es-ES_tradnl"/>
        </w:rPr>
        <w:tab/>
      </w:r>
      <w:r w:rsidR="00C619FA" w:rsidRPr="008253DC">
        <w:rPr>
          <w:lang w:val="es-ES_tradnl"/>
        </w:rPr>
        <w:tab/>
        <w:t>La Constitución</w:t>
      </w:r>
    </w:p>
    <w:p w14:paraId="73BEB8E9" w14:textId="395ECBF8" w:rsidR="00C619FA" w:rsidRPr="008253DC" w:rsidRDefault="00C619FA" w:rsidP="00C619FA">
      <w:pPr>
        <w:pStyle w:val="SingleTxtG"/>
        <w:rPr>
          <w:bCs/>
          <w:lang w:val="es-ES_tradnl"/>
        </w:rPr>
      </w:pPr>
      <w:r w:rsidRPr="008253DC">
        <w:rPr>
          <w:lang w:val="es-ES_tradnl"/>
        </w:rPr>
        <w:t>59.</w:t>
      </w:r>
      <w:r w:rsidRPr="008253DC">
        <w:rPr>
          <w:lang w:val="es-ES_tradnl"/>
        </w:rPr>
        <w:tab/>
        <w:t>En la Ley Constitucional de 1995 se introdujeron modificaciones fundamentales en las disposiciones de la Constitución relativas a derechos humanos. En ella se agregaron numerosas disposiciones nuevas de derechos humanos en la Constitución y se reformularon y modernizaron algunas disposiciones más antiguas. En la actualidad, se garantizan los derechos humanos y las libertades fundamentales, como la libertad de religión, el derecho a la intimidad, la vida privada y familiar, y la libertad de reunión y de asociación.</w:t>
      </w:r>
    </w:p>
    <w:p w14:paraId="76C8B941" w14:textId="59F14A6B" w:rsidR="00C619FA" w:rsidRPr="008253DC" w:rsidRDefault="00CA57F3" w:rsidP="00CA57F3">
      <w:pPr>
        <w:pStyle w:val="H23G"/>
        <w:rPr>
          <w:lang w:val="es-ES_tradnl"/>
        </w:rPr>
      </w:pPr>
      <w:r w:rsidRPr="008253DC">
        <w:rPr>
          <w:lang w:val="es-ES_tradnl"/>
        </w:rPr>
        <w:tab/>
      </w:r>
      <w:r w:rsidR="00C619FA" w:rsidRPr="008253DC">
        <w:rPr>
          <w:lang w:val="es-ES_tradnl"/>
        </w:rPr>
        <w:tab/>
        <w:t>Otras leyes</w:t>
      </w:r>
    </w:p>
    <w:p w14:paraId="0D77E123" w14:textId="77777777" w:rsidR="00C619FA" w:rsidRPr="008253DC" w:rsidRDefault="00C619FA" w:rsidP="00C619FA">
      <w:pPr>
        <w:pStyle w:val="SingleTxtG"/>
        <w:rPr>
          <w:bCs/>
          <w:lang w:val="es-ES_tradnl"/>
        </w:rPr>
      </w:pPr>
      <w:r w:rsidRPr="008253DC">
        <w:rPr>
          <w:lang w:val="es-ES_tradnl"/>
        </w:rPr>
        <w:t>60.</w:t>
      </w:r>
      <w:r w:rsidRPr="008253DC">
        <w:rPr>
          <w:lang w:val="es-ES_tradnl"/>
        </w:rPr>
        <w:tab/>
        <w:t xml:space="preserve">En la legislación islandesa se han incorporado varios convenios internacionales: </w:t>
      </w:r>
    </w:p>
    <w:p w14:paraId="4B04AC31" w14:textId="6E7C14B5" w:rsidR="00C619FA" w:rsidRPr="008253DC" w:rsidRDefault="00CA57F3" w:rsidP="00CA57F3">
      <w:pPr>
        <w:pStyle w:val="Bullet1G"/>
        <w:rPr>
          <w:bCs/>
          <w:lang w:val="es-ES_tradnl"/>
        </w:rPr>
      </w:pPr>
      <w:r w:rsidRPr="008253DC">
        <w:rPr>
          <w:lang w:val="es-ES_tradnl"/>
        </w:rPr>
        <w:t xml:space="preserve">El </w:t>
      </w:r>
      <w:r w:rsidR="00C619FA" w:rsidRPr="008253DC">
        <w:rPr>
          <w:lang w:val="es-ES_tradnl"/>
        </w:rPr>
        <w:t xml:space="preserve">Convenio Europeo para la Protección de los Derechos Humanos y de las Libertades Fundamentales, con protocolos de enmienda posteriores y los </w:t>
      </w:r>
      <w:r w:rsidR="00951A17" w:rsidRPr="008253DC">
        <w:rPr>
          <w:lang w:val="es-ES_tradnl"/>
        </w:rPr>
        <w:t xml:space="preserve">Protocolos Adicionales </w:t>
      </w:r>
      <w:r w:rsidR="00C619FA" w:rsidRPr="008253DC">
        <w:rPr>
          <w:lang w:val="es-ES_tradnl"/>
        </w:rPr>
        <w:t>siguientes: núms. 1, 4, 6, 7 y 13</w:t>
      </w:r>
    </w:p>
    <w:p w14:paraId="0D4EC1A6" w14:textId="1CD331DE" w:rsidR="00C619FA" w:rsidRPr="008253DC" w:rsidRDefault="00CA57F3" w:rsidP="00CA57F3">
      <w:pPr>
        <w:pStyle w:val="Bullet1G"/>
        <w:rPr>
          <w:bCs/>
          <w:lang w:val="es-ES_tradnl"/>
        </w:rPr>
      </w:pPr>
      <w:r w:rsidRPr="008253DC">
        <w:rPr>
          <w:lang w:val="es-ES_tradnl"/>
        </w:rPr>
        <w:t xml:space="preserve">La </w:t>
      </w:r>
      <w:r w:rsidR="00C619FA" w:rsidRPr="008253DC">
        <w:rPr>
          <w:lang w:val="es-ES_tradnl"/>
        </w:rPr>
        <w:t xml:space="preserve">Convención sobre los Derechos del Niño, incluidos su Protocolo </w:t>
      </w:r>
      <w:r w:rsidR="00951A17" w:rsidRPr="008253DC">
        <w:rPr>
          <w:lang w:val="es-ES_tradnl"/>
        </w:rPr>
        <w:t xml:space="preserve">Facultativo </w:t>
      </w:r>
      <w:r w:rsidR="00C619FA" w:rsidRPr="008253DC">
        <w:rPr>
          <w:lang w:val="es-ES_tradnl"/>
        </w:rPr>
        <w:t xml:space="preserve">relativo a la participación de niños en los conflictos armados y su Protocolo </w:t>
      </w:r>
      <w:r w:rsidR="00951A17" w:rsidRPr="008253DC">
        <w:rPr>
          <w:lang w:val="es-ES_tradnl"/>
        </w:rPr>
        <w:t xml:space="preserve">Facultativo </w:t>
      </w:r>
      <w:r w:rsidR="00C619FA" w:rsidRPr="008253DC">
        <w:rPr>
          <w:lang w:val="es-ES_tradnl"/>
        </w:rPr>
        <w:t>relativo a la venta de niños, la prostitución infantil y la utilización de niños en la pornografía</w:t>
      </w:r>
    </w:p>
    <w:p w14:paraId="2167BBB9" w14:textId="14833576" w:rsidR="00C619FA" w:rsidRPr="008253DC" w:rsidRDefault="00C619FA" w:rsidP="00CA57F3">
      <w:pPr>
        <w:pStyle w:val="H23G"/>
        <w:rPr>
          <w:lang w:val="es-ES_tradnl"/>
        </w:rPr>
      </w:pPr>
      <w:r w:rsidRPr="008253DC">
        <w:rPr>
          <w:lang w:val="es-ES_tradnl"/>
        </w:rPr>
        <w:tab/>
        <w:t>2.</w:t>
      </w:r>
      <w:r w:rsidRPr="008253DC">
        <w:rPr>
          <w:lang w:val="es-ES_tradnl"/>
        </w:rPr>
        <w:tab/>
        <w:t>Competencias de las autoridades judiciales, administrativas y de otras autoridades</w:t>
      </w:r>
      <w:r w:rsidR="00CA57F3" w:rsidRPr="008253DC">
        <w:rPr>
          <w:lang w:val="es-ES_tradnl"/>
        </w:rPr>
        <w:t> </w:t>
      </w:r>
      <w:r w:rsidRPr="008253DC">
        <w:rPr>
          <w:lang w:val="es-ES_tradnl"/>
        </w:rPr>
        <w:t>públicas en materia de derechos humanos</w:t>
      </w:r>
    </w:p>
    <w:p w14:paraId="23996773" w14:textId="77777777" w:rsidR="00C619FA" w:rsidRPr="008253DC" w:rsidRDefault="00C619FA" w:rsidP="00C619FA">
      <w:pPr>
        <w:pStyle w:val="SingleTxtG"/>
        <w:rPr>
          <w:bCs/>
          <w:lang w:val="es-ES_tradnl"/>
        </w:rPr>
      </w:pPr>
      <w:r w:rsidRPr="008253DC">
        <w:rPr>
          <w:lang w:val="es-ES_tradnl"/>
        </w:rPr>
        <w:t>61.</w:t>
      </w:r>
      <w:r w:rsidRPr="008253DC">
        <w:rPr>
          <w:lang w:val="es-ES_tradnl"/>
        </w:rPr>
        <w:tab/>
        <w:t>Todas las autoridades públicas están obligadas a respetar y garantizar los derechos humanos enunciados en la Constitución y en los tratados de derechos humanos que son vinculantes para Islandia (véase el artículo 65 de la Constitución de Islandia). Algunas de esas autoridades tienen una responsabilidad más general; por ejemplo, el Ministro de Justicia es responsable de la aplicación de los convenios internacionales de derechos humanos y el Ombudsman Parlamentario tiene el deber de velar por que todas las autoridades públicas respeten y garanticen los derechos humanos.</w:t>
      </w:r>
    </w:p>
    <w:p w14:paraId="4F2265F1" w14:textId="77777777" w:rsidR="00C619FA" w:rsidRPr="008253DC" w:rsidRDefault="00C619FA" w:rsidP="00CA57F3">
      <w:pPr>
        <w:pStyle w:val="H23G"/>
        <w:rPr>
          <w:lang w:val="es-ES_tradnl"/>
        </w:rPr>
      </w:pPr>
      <w:r w:rsidRPr="008253DC">
        <w:rPr>
          <w:lang w:val="es-ES_tradnl"/>
        </w:rPr>
        <w:tab/>
        <w:t>3.</w:t>
      </w:r>
      <w:r w:rsidRPr="008253DC">
        <w:rPr>
          <w:lang w:val="es-ES_tradnl"/>
        </w:rPr>
        <w:tab/>
        <w:t>Vías de recurso</w:t>
      </w:r>
    </w:p>
    <w:p w14:paraId="75ADAD1B" w14:textId="6D2CDCE0" w:rsidR="00C619FA" w:rsidRPr="008253DC" w:rsidRDefault="00C619FA" w:rsidP="00C619FA">
      <w:pPr>
        <w:pStyle w:val="SingleTxtG"/>
        <w:rPr>
          <w:bCs/>
          <w:lang w:val="es-ES_tradnl"/>
        </w:rPr>
      </w:pPr>
      <w:r w:rsidRPr="008253DC">
        <w:rPr>
          <w:lang w:val="es-ES_tradnl"/>
        </w:rPr>
        <w:t>62.</w:t>
      </w:r>
      <w:r w:rsidRPr="008253DC">
        <w:rPr>
          <w:lang w:val="es-ES_tradnl"/>
        </w:rPr>
        <w:tab/>
        <w:t>Hay muchas maneras de plantear una cuestión de derechos humanos ante un tribunal o autoridad administrativa islandeses, por ejemplo, en relación con los procedimientos civiles o penales, tales como una demanda de indemnización, como motivo para declarar nula y sin valor una decisión administrativa o judicial, o como cuestión de procedimiento (por ejemplo, un juicio imparcial) en los procedimientos civiles o penales.</w:t>
      </w:r>
    </w:p>
    <w:p w14:paraId="22D6EDDB" w14:textId="53828D8D" w:rsidR="00C619FA" w:rsidRPr="008253DC" w:rsidRDefault="00C619FA" w:rsidP="00C619FA">
      <w:pPr>
        <w:pStyle w:val="SingleTxtG"/>
        <w:rPr>
          <w:lang w:val="es-ES_tradnl"/>
        </w:rPr>
      </w:pPr>
      <w:r w:rsidRPr="008253DC">
        <w:rPr>
          <w:lang w:val="es-ES_tradnl"/>
        </w:rPr>
        <w:lastRenderedPageBreak/>
        <w:t>63.</w:t>
      </w:r>
      <w:r w:rsidRPr="008253DC">
        <w:rPr>
          <w:lang w:val="es-ES_tradnl"/>
        </w:rPr>
        <w:tab/>
        <w:t>Varias autoridades públicas y mecanismos de denuncia se ocupan de cuestiones específicas de derechos humanos, tales como la igualdad de género y los derechos del niño. En un plano más general, toda persona tiene derecho a presentar una queja ante el Ombudsman Parlamentario en relación con una presunta injusticia, entre ellas, violaciones de derechos humanos cometidas por cualquier autoridad pública. El Ombudsman puede señalar que la decisión es claramente inadmisible o contraria a las buenas prácticas administrativas. En caso de hallar motivos suficientes, podrá recomendar que se otorgue una indemnización. El dictamen del Ombudsman no es jurídicamente vinculante, pero por lo general se aplica.</w:t>
      </w:r>
    </w:p>
    <w:p w14:paraId="2A6FA694" w14:textId="7F56104A" w:rsidR="00C619FA" w:rsidRPr="008253DC" w:rsidRDefault="00C619FA" w:rsidP="00CA57F3">
      <w:pPr>
        <w:pStyle w:val="H23G"/>
        <w:rPr>
          <w:lang w:val="es-ES_tradnl"/>
        </w:rPr>
      </w:pPr>
      <w:r w:rsidRPr="008253DC">
        <w:rPr>
          <w:lang w:val="es-ES_tradnl"/>
        </w:rPr>
        <w:tab/>
        <w:t>4.</w:t>
      </w:r>
      <w:r w:rsidRPr="008253DC">
        <w:rPr>
          <w:lang w:val="es-ES_tradnl"/>
        </w:rPr>
        <w:tab/>
        <w:t>Tribunal Europeo de Derechos Humanos y otros mecanismos de denuncia</w:t>
      </w:r>
      <w:r w:rsidR="00CA57F3" w:rsidRPr="008253DC">
        <w:rPr>
          <w:lang w:val="es-ES_tradnl"/>
        </w:rPr>
        <w:br/>
      </w:r>
      <w:r w:rsidRPr="008253DC">
        <w:rPr>
          <w:lang w:val="es-ES_tradnl"/>
        </w:rPr>
        <w:t>regionales</w:t>
      </w:r>
    </w:p>
    <w:p w14:paraId="18564233" w14:textId="77777777" w:rsidR="00C619FA" w:rsidRPr="008253DC" w:rsidRDefault="00C619FA" w:rsidP="00C619FA">
      <w:pPr>
        <w:pStyle w:val="SingleTxtG"/>
        <w:rPr>
          <w:bCs/>
          <w:lang w:val="es-ES_tradnl"/>
        </w:rPr>
      </w:pPr>
      <w:r w:rsidRPr="008253DC">
        <w:rPr>
          <w:lang w:val="es-ES_tradnl"/>
        </w:rPr>
        <w:t>64.</w:t>
      </w:r>
      <w:r w:rsidRPr="008253DC">
        <w:rPr>
          <w:lang w:val="es-ES_tradnl"/>
        </w:rPr>
        <w:tab/>
        <w:t>Por ser parte en el Convenio Europeo de Derechos Humanos, Islandia ha aceptado la jurisdicción del Tribunal Europeo de Derechos Humanos.</w:t>
      </w:r>
    </w:p>
    <w:p w14:paraId="40366E7A" w14:textId="77777777" w:rsidR="00C619FA" w:rsidRPr="008253DC" w:rsidRDefault="00C619FA" w:rsidP="00951A17">
      <w:pPr>
        <w:pStyle w:val="H1G"/>
        <w:rPr>
          <w:lang w:val="es-ES_tradnl"/>
        </w:rPr>
      </w:pPr>
      <w:r w:rsidRPr="008253DC">
        <w:rPr>
          <w:lang w:val="es-ES_tradnl"/>
        </w:rPr>
        <w:tab/>
        <w:t>C.</w:t>
      </w:r>
      <w:r w:rsidRPr="008253DC">
        <w:rPr>
          <w:lang w:val="es-ES_tradnl"/>
        </w:rPr>
        <w:tab/>
        <w:t>Marco de la promoción de los derechos humanos a nivel nacional</w:t>
      </w:r>
    </w:p>
    <w:p w14:paraId="033910E5" w14:textId="23BBD2DB" w:rsidR="00C619FA" w:rsidRPr="008253DC" w:rsidRDefault="00C619FA" w:rsidP="00CA57F3">
      <w:pPr>
        <w:pStyle w:val="H23G"/>
        <w:rPr>
          <w:lang w:val="es-ES_tradnl"/>
        </w:rPr>
      </w:pPr>
      <w:r w:rsidRPr="008253DC">
        <w:rPr>
          <w:lang w:val="es-ES_tradnl"/>
        </w:rPr>
        <w:tab/>
        <w:t>1.</w:t>
      </w:r>
      <w:r w:rsidRPr="008253DC">
        <w:rPr>
          <w:lang w:val="es-ES_tradnl"/>
        </w:rPr>
        <w:tab/>
        <w:t>Introducción</w:t>
      </w:r>
    </w:p>
    <w:p w14:paraId="3F49DB1D" w14:textId="28C0E549" w:rsidR="00C619FA" w:rsidRPr="008253DC" w:rsidRDefault="00C619FA" w:rsidP="00C619FA">
      <w:pPr>
        <w:pStyle w:val="SingleTxtG"/>
        <w:rPr>
          <w:bCs/>
          <w:lang w:val="es-ES_tradnl"/>
        </w:rPr>
      </w:pPr>
      <w:r w:rsidRPr="008253DC">
        <w:rPr>
          <w:lang w:val="es-ES_tradnl"/>
        </w:rPr>
        <w:t>65.</w:t>
      </w:r>
      <w:r w:rsidRPr="008253DC">
        <w:rPr>
          <w:lang w:val="es-ES_tradnl"/>
        </w:rPr>
        <w:tab/>
        <w:t>El principal objetivo de un gobierno constitucional es proteger a las personas contra el abuso de poder por parte de las autoridades públicas y garantizar la igualdad de trato, el bienestar y la democracia. Tanto el Gobierno como la administración pública a nivel nacional y local están sujetos a las obligaciones de derechos humanos de Islandia en el ejercicio de su autoridad. Lo mismo se aplica al Althingi y al poder judicial. La aplicación de instrumentos de derechos humanos en la legislación islandesa y su situación en el sistema jurídico se ha descrito anteriormente.</w:t>
      </w:r>
    </w:p>
    <w:p w14:paraId="0F67AAAD" w14:textId="77777777" w:rsidR="00C619FA" w:rsidRPr="008253DC" w:rsidRDefault="00C619FA" w:rsidP="00C619FA">
      <w:pPr>
        <w:pStyle w:val="SingleTxtG"/>
        <w:rPr>
          <w:bCs/>
          <w:lang w:val="es-ES_tradnl"/>
        </w:rPr>
      </w:pPr>
      <w:r w:rsidRPr="008253DC">
        <w:rPr>
          <w:lang w:val="es-ES_tradnl"/>
        </w:rPr>
        <w:t>66.</w:t>
      </w:r>
      <w:r w:rsidRPr="008253DC">
        <w:rPr>
          <w:lang w:val="es-ES_tradnl"/>
        </w:rPr>
        <w:tab/>
        <w:t>El poder judicial es independiente de los poderes ejecutivo y legislativo, y tiene el derecho y el deber de examinar la constitucionalidad de las leyes que aprueba el Althingi (véase el artículo 60 de la Constitución). También podrá revisar las decisiones administrativas. Las quejas relativas a las decisiones administrativas podrán presentarse al Ombudsman Parlamentario.</w:t>
      </w:r>
    </w:p>
    <w:p w14:paraId="170B6FBD" w14:textId="77777777" w:rsidR="00C619FA" w:rsidRPr="008253DC" w:rsidRDefault="00C619FA" w:rsidP="00C619FA">
      <w:pPr>
        <w:pStyle w:val="SingleTxtG"/>
        <w:rPr>
          <w:bCs/>
          <w:lang w:val="es-ES_tradnl"/>
        </w:rPr>
      </w:pPr>
      <w:r w:rsidRPr="008253DC">
        <w:rPr>
          <w:lang w:val="es-ES_tradnl"/>
        </w:rPr>
        <w:t>67.</w:t>
      </w:r>
      <w:r w:rsidRPr="008253DC">
        <w:rPr>
          <w:lang w:val="es-ES_tradnl"/>
        </w:rPr>
        <w:tab/>
        <w:t>La responsabilidad del cumplimiento de las obligaciones de derechos humanos en el plano nacional la asumen los ministerios, que son los encargados del seguimiento de las recomendaciones de los diversos órganos creados en virtud de tratados en sus sectores. Los derechos humanos están integrados e incorporados en todos los sectores del gobierno y la administración. Todos los ministerios y órganos administrativos tienen la obligación de tener en cuenta los derechos humanos al momento de redactar las leyes, formular las directrices para la práctica administrativa y adoptar decisiones.</w:t>
      </w:r>
    </w:p>
    <w:p w14:paraId="2CCA64AD" w14:textId="77777777" w:rsidR="00C619FA" w:rsidRPr="008253DC" w:rsidRDefault="00C619FA" w:rsidP="00C619FA">
      <w:pPr>
        <w:pStyle w:val="SingleTxtG"/>
        <w:rPr>
          <w:bCs/>
          <w:lang w:val="es-ES_tradnl"/>
        </w:rPr>
      </w:pPr>
      <w:r w:rsidRPr="008253DC">
        <w:rPr>
          <w:lang w:val="es-ES_tradnl"/>
        </w:rPr>
        <w:t>68.</w:t>
      </w:r>
      <w:r w:rsidRPr="008253DC">
        <w:rPr>
          <w:lang w:val="es-ES_tradnl"/>
        </w:rPr>
        <w:tab/>
        <w:t>No obstante, el Ministerio de Justicia tiene la responsabilidad especial de garantizar que la legislación islandesa y la práctica administrativa sean compatibles con las obligaciones de derechos humanos asumidas por Islandia.</w:t>
      </w:r>
    </w:p>
    <w:p w14:paraId="6B851178" w14:textId="35432719" w:rsidR="00C619FA" w:rsidRPr="008253DC" w:rsidRDefault="00C619FA" w:rsidP="00CA57F3">
      <w:pPr>
        <w:pStyle w:val="H23G"/>
        <w:rPr>
          <w:lang w:val="es-ES_tradnl"/>
        </w:rPr>
      </w:pPr>
      <w:r w:rsidRPr="008253DC">
        <w:rPr>
          <w:lang w:val="es-ES_tradnl"/>
        </w:rPr>
        <w:tab/>
        <w:t>2.</w:t>
      </w:r>
      <w:r w:rsidRPr="008253DC">
        <w:rPr>
          <w:lang w:val="es-ES_tradnl"/>
        </w:rPr>
        <w:tab/>
        <w:t>Parlamentos y asambleas nacionales y regionales</w:t>
      </w:r>
    </w:p>
    <w:p w14:paraId="6AFC1384" w14:textId="7794EBA7" w:rsidR="00C619FA" w:rsidRPr="008253DC" w:rsidRDefault="00CA57F3" w:rsidP="00CA57F3">
      <w:pPr>
        <w:pStyle w:val="H23G"/>
        <w:rPr>
          <w:lang w:val="es-ES_tradnl"/>
        </w:rPr>
      </w:pPr>
      <w:r w:rsidRPr="008253DC">
        <w:rPr>
          <w:lang w:val="es-ES_tradnl"/>
        </w:rPr>
        <w:tab/>
      </w:r>
      <w:r w:rsidR="00C619FA" w:rsidRPr="008253DC">
        <w:rPr>
          <w:lang w:val="es-ES_tradnl"/>
        </w:rPr>
        <w:tab/>
        <w:t>El Althingi (Parlamento islandés)</w:t>
      </w:r>
    </w:p>
    <w:p w14:paraId="63859095" w14:textId="77777777" w:rsidR="00C619FA" w:rsidRPr="008253DC" w:rsidRDefault="00C619FA" w:rsidP="00C619FA">
      <w:pPr>
        <w:pStyle w:val="SingleTxtG"/>
        <w:rPr>
          <w:lang w:val="es-ES_tradnl"/>
        </w:rPr>
      </w:pPr>
      <w:r w:rsidRPr="008253DC">
        <w:rPr>
          <w:lang w:val="es-ES_tradnl"/>
        </w:rPr>
        <w:t>69.</w:t>
      </w:r>
      <w:r w:rsidRPr="008253DC">
        <w:rPr>
          <w:lang w:val="es-ES_tradnl"/>
        </w:rPr>
        <w:tab/>
        <w:t>En el marco del sistema parlamentario de Islandia, el Gobierno rinde cuentas al Althingi, que ejerce un control continuo sobre las actividades del Gobierno, entre ellas, la protección y la promoción de los derechos humanos.</w:t>
      </w:r>
    </w:p>
    <w:p w14:paraId="1608980C" w14:textId="77777777" w:rsidR="00C619FA" w:rsidRPr="008253DC" w:rsidRDefault="00C619FA" w:rsidP="00C619FA">
      <w:pPr>
        <w:pStyle w:val="SingleTxtG"/>
        <w:rPr>
          <w:lang w:val="es-ES_tradnl"/>
        </w:rPr>
      </w:pPr>
      <w:r w:rsidRPr="008253DC">
        <w:rPr>
          <w:lang w:val="es-ES_tradnl"/>
        </w:rPr>
        <w:t>70.</w:t>
      </w:r>
      <w:r w:rsidRPr="008253DC">
        <w:rPr>
          <w:lang w:val="es-ES_tradnl"/>
        </w:rPr>
        <w:tab/>
        <w:t>En el Althingi, al igual que con todas las estructuras gubernamentales, cada comité y el Pleno integran</w:t>
      </w:r>
      <w:r w:rsidRPr="008253DC">
        <w:rPr>
          <w:b/>
          <w:bCs/>
          <w:lang w:val="es-ES_tradnl"/>
        </w:rPr>
        <w:t xml:space="preserve"> </w:t>
      </w:r>
      <w:r w:rsidRPr="008253DC">
        <w:rPr>
          <w:lang w:val="es-ES_tradnl"/>
        </w:rPr>
        <w:t>y tienen en cuenta los derechos humanos, al momento de aprobar las leyes y de adoptar decisiones. El Althingi no tiene un comité independiente que se centre exclusivamente en cuestiones de derechos humanos. No obstante, el Comité de Asuntos Judiciales y de Educación trata las cuestiones de derechos humanos en sus reuniones ordinarias.</w:t>
      </w:r>
    </w:p>
    <w:p w14:paraId="62BDB7C2" w14:textId="27216C8A" w:rsidR="00C619FA" w:rsidRPr="008253DC" w:rsidRDefault="00CA57F3" w:rsidP="00CA57F3">
      <w:pPr>
        <w:pStyle w:val="H23G"/>
        <w:rPr>
          <w:lang w:val="es-ES_tradnl"/>
        </w:rPr>
      </w:pPr>
      <w:r w:rsidRPr="008253DC">
        <w:rPr>
          <w:lang w:val="es-ES_tradnl"/>
        </w:rPr>
        <w:lastRenderedPageBreak/>
        <w:tab/>
      </w:r>
      <w:r w:rsidR="00C619FA" w:rsidRPr="008253DC">
        <w:rPr>
          <w:lang w:val="es-ES_tradnl"/>
        </w:rPr>
        <w:tab/>
        <w:t>Autoridades de condados y municipales</w:t>
      </w:r>
    </w:p>
    <w:p w14:paraId="233F7E8C" w14:textId="77777777" w:rsidR="00C619FA" w:rsidRPr="008253DC" w:rsidRDefault="00C619FA" w:rsidP="00C619FA">
      <w:pPr>
        <w:pStyle w:val="SingleTxtG"/>
        <w:rPr>
          <w:bCs/>
          <w:lang w:val="es-ES_tradnl"/>
        </w:rPr>
      </w:pPr>
      <w:r w:rsidRPr="008253DC">
        <w:rPr>
          <w:lang w:val="es-ES_tradnl"/>
        </w:rPr>
        <w:t>71.</w:t>
      </w:r>
      <w:r w:rsidRPr="008253DC">
        <w:rPr>
          <w:lang w:val="es-ES_tradnl"/>
        </w:rPr>
        <w:tab/>
        <w:t>Islandia tiene dos niveles administrativos de gobierno: el Estado y las autoridades locales. Las autoridades locales son una de las dos fuentes del poder ejecutivo del Gobierno. El estatuto especial de las autoridades locales dimana de su autoridad jurídica</w:t>
      </w:r>
      <w:r w:rsidRPr="008253DC">
        <w:rPr>
          <w:b/>
          <w:bCs/>
          <w:lang w:val="es-ES_tradnl"/>
        </w:rPr>
        <w:t xml:space="preserve"> </w:t>
      </w:r>
      <w:r w:rsidRPr="008253DC">
        <w:rPr>
          <w:lang w:val="es-ES_tradnl"/>
        </w:rPr>
        <w:t>de autogobierno de sus propios asuntos, de conformidad con la ley. Este derecho está amparado por el artículo 78 de la Constitución. Por consiguiente, las autoridades locales están sujetas al marco jurídico que establece el Althingi.</w:t>
      </w:r>
    </w:p>
    <w:p w14:paraId="55E67801" w14:textId="77777777" w:rsidR="00C619FA" w:rsidRPr="008253DC" w:rsidRDefault="00C619FA" w:rsidP="00C619FA">
      <w:pPr>
        <w:pStyle w:val="SingleTxtG"/>
        <w:rPr>
          <w:bCs/>
          <w:lang w:val="es-ES_tradnl"/>
        </w:rPr>
      </w:pPr>
      <w:r w:rsidRPr="008253DC">
        <w:rPr>
          <w:lang w:val="es-ES_tradnl"/>
        </w:rPr>
        <w:t>72.</w:t>
      </w:r>
      <w:r w:rsidRPr="008253DC">
        <w:rPr>
          <w:lang w:val="es-ES_tradnl"/>
        </w:rPr>
        <w:tab/>
        <w:t>A fin de garantizar los derechos de los ciudadanos y la legalidad de las decisiones adoptadas, las autoridades municipales están sujetas a la supervisión y el control del Estado. En virtud del artículo 102 de la Ley de Administración Local, el Ministerio de Asuntos Sociales supervisará el cumplimiento de las funciones de los consejos municipales. Los diversos asuntos que puedan suscitar dudas en la aplicación de las cuestiones relativas a las administraciones locales se someterán a la resolución judicial del Ministerio.</w:t>
      </w:r>
    </w:p>
    <w:p w14:paraId="0596B295" w14:textId="77777777" w:rsidR="00C619FA" w:rsidRPr="008253DC" w:rsidRDefault="00C619FA" w:rsidP="00C619FA">
      <w:pPr>
        <w:pStyle w:val="SingleTxtG"/>
        <w:rPr>
          <w:bCs/>
          <w:lang w:val="es-ES_tradnl"/>
        </w:rPr>
      </w:pPr>
      <w:r w:rsidRPr="008253DC">
        <w:rPr>
          <w:lang w:val="es-ES_tradnl"/>
        </w:rPr>
        <w:t>73.</w:t>
      </w:r>
      <w:r w:rsidRPr="008253DC">
        <w:rPr>
          <w:lang w:val="es-ES_tradnl"/>
        </w:rPr>
        <w:tab/>
        <w:t xml:space="preserve">Los municipios desempeñan una función importante en la aplicación de la democracia a nivel regional. Son las instancias gubernamentales más cercanas al público en general. Además de la función administrativa de las autoridades locales, velan por el cumplimiento y asumen la responsabilidad de un gran número de servicios esenciales, tales como la educación y los servicios sociales. </w:t>
      </w:r>
    </w:p>
    <w:p w14:paraId="014DA70B" w14:textId="77777777" w:rsidR="00C619FA" w:rsidRPr="008253DC" w:rsidRDefault="00C619FA" w:rsidP="00C619FA">
      <w:pPr>
        <w:pStyle w:val="SingleTxtG"/>
        <w:rPr>
          <w:bCs/>
          <w:lang w:val="es-ES_tradnl"/>
        </w:rPr>
      </w:pPr>
      <w:r w:rsidRPr="008253DC">
        <w:rPr>
          <w:lang w:val="es-ES_tradnl"/>
        </w:rPr>
        <w:t>74.</w:t>
      </w:r>
      <w:r w:rsidRPr="008253DC">
        <w:rPr>
          <w:lang w:val="es-ES_tradnl"/>
        </w:rPr>
        <w:tab/>
        <w:t>En 2007, se estableció en Reikiavik una oficina especial de derechos humanos que se encarga de la aplicación de las decisiones del Consejo de Derechos Humanos. La oficina también proporciona información a los ciudadanos sobre la política de derechos humanos de la ciudad y vela por la protección de los derechos de todos los ciudadanos.</w:t>
      </w:r>
    </w:p>
    <w:p w14:paraId="1B0E0B38" w14:textId="77777777" w:rsidR="00C619FA" w:rsidRPr="008253DC" w:rsidRDefault="00C619FA" w:rsidP="00C619FA">
      <w:pPr>
        <w:pStyle w:val="SingleTxtG"/>
        <w:rPr>
          <w:bCs/>
          <w:lang w:val="es-ES_tradnl"/>
        </w:rPr>
      </w:pPr>
      <w:r w:rsidRPr="008253DC">
        <w:rPr>
          <w:lang w:val="es-ES_tradnl"/>
        </w:rPr>
        <w:t>75.</w:t>
      </w:r>
      <w:r w:rsidRPr="008253DC">
        <w:rPr>
          <w:lang w:val="es-ES_tradnl"/>
        </w:rPr>
        <w:tab/>
        <w:t>En Reikiavik también hay un Defensor del Ciudadano que orienta a los ciudadanos y a las empresas en la comunicación con la administración municipal relativa a sus derechos, y presta asesoramiento sobre las vías de recurso para las quejas presentadas.</w:t>
      </w:r>
    </w:p>
    <w:p w14:paraId="04D11BFF" w14:textId="77777777" w:rsidR="00C619FA" w:rsidRPr="008253DC" w:rsidRDefault="00C619FA" w:rsidP="00CA57F3">
      <w:pPr>
        <w:pStyle w:val="H23G"/>
        <w:rPr>
          <w:lang w:val="es-ES_tradnl"/>
        </w:rPr>
      </w:pPr>
      <w:r w:rsidRPr="008253DC">
        <w:rPr>
          <w:lang w:val="es-ES_tradnl"/>
        </w:rPr>
        <w:tab/>
        <w:t>3.</w:t>
      </w:r>
      <w:r w:rsidRPr="008253DC">
        <w:rPr>
          <w:lang w:val="es-ES_tradnl"/>
        </w:rPr>
        <w:tab/>
        <w:t>Instituciones nacionales de derechos humanos</w:t>
      </w:r>
    </w:p>
    <w:p w14:paraId="652BAA89" w14:textId="3F4259C5" w:rsidR="00C619FA" w:rsidRPr="008253DC" w:rsidRDefault="00C619FA" w:rsidP="00C619FA">
      <w:pPr>
        <w:pStyle w:val="SingleTxtG"/>
        <w:rPr>
          <w:bCs/>
          <w:lang w:val="es-ES_tradnl"/>
        </w:rPr>
      </w:pPr>
      <w:r w:rsidRPr="008253DC">
        <w:rPr>
          <w:lang w:val="es-ES_tradnl"/>
        </w:rPr>
        <w:t>76.</w:t>
      </w:r>
      <w:r w:rsidRPr="008253DC">
        <w:rPr>
          <w:lang w:val="es-ES_tradnl"/>
        </w:rPr>
        <w:tab/>
        <w:t>Desde 2020, Islandia no tiene una institución nacional de derechos humanos independiente que cumpla los Principios de París relativos a las organizaciones de derechos humanos. El Centro Islandés de Derechos Humanos se ha desempeñado en parte como una organización nacional de derechos humanos independiente. No obstante, no cumple los Principios de París, ya que estos exigen una organización independiente establecida por ley. El Centro recibe financiación pública para realizar sus actividades, tales como el seguimiento de la aplicación de las convenciones de derechos humanos, la presentación de informes adicionales a los órganos internacionales de vigilancia y observaciones sobre los proyectos de ley, la publicación de material impreso sobre derechos humanos, la cooperación internacional, las respuestas a consultas sobre las cuestiones de derechos humanos y el apoyo a la aplicación de derechos humanos en Islandia.</w:t>
      </w:r>
    </w:p>
    <w:p w14:paraId="573A485C" w14:textId="484DC22C" w:rsidR="00C619FA" w:rsidRPr="008253DC" w:rsidRDefault="00CA57F3" w:rsidP="00CA57F3">
      <w:pPr>
        <w:pStyle w:val="H23G"/>
        <w:rPr>
          <w:lang w:val="es-ES_tradnl"/>
        </w:rPr>
      </w:pPr>
      <w:r w:rsidRPr="008253DC">
        <w:rPr>
          <w:lang w:val="es-ES_tradnl"/>
        </w:rPr>
        <w:tab/>
      </w:r>
      <w:r w:rsidR="00C619FA" w:rsidRPr="008253DC">
        <w:rPr>
          <w:lang w:val="es-ES_tradnl"/>
        </w:rPr>
        <w:tab/>
        <w:t>Ombudsman Parlamentario</w:t>
      </w:r>
    </w:p>
    <w:p w14:paraId="71F6D9DF" w14:textId="77777777" w:rsidR="00C619FA" w:rsidRPr="008253DC" w:rsidRDefault="00C619FA" w:rsidP="00C619FA">
      <w:pPr>
        <w:pStyle w:val="SingleTxtG"/>
        <w:rPr>
          <w:bCs/>
          <w:lang w:val="es-ES_tradnl"/>
        </w:rPr>
      </w:pPr>
      <w:r w:rsidRPr="008253DC">
        <w:rPr>
          <w:lang w:val="es-ES_tradnl"/>
        </w:rPr>
        <w:t>77.</w:t>
      </w:r>
      <w:r w:rsidRPr="008253DC">
        <w:rPr>
          <w:lang w:val="es-ES_tradnl"/>
        </w:rPr>
        <w:tab/>
        <w:t>El Althingi elige al Ombudsman Parlamentario por un mandato de cuatro años. El Ombudsman deberá cumplir con las condiciones previstas por la ley para su designación al Tribunal Supremo. El Ombudsman realiza su labor de forma independiente y no recibe órdenes del Althingi.</w:t>
      </w:r>
    </w:p>
    <w:p w14:paraId="261121CC" w14:textId="77777777" w:rsidR="00C619FA" w:rsidRPr="008253DC" w:rsidRDefault="00C619FA" w:rsidP="00C619FA">
      <w:pPr>
        <w:pStyle w:val="SingleTxtG"/>
        <w:rPr>
          <w:bCs/>
          <w:lang w:val="es-ES_tradnl"/>
        </w:rPr>
      </w:pPr>
      <w:r w:rsidRPr="008253DC">
        <w:rPr>
          <w:lang w:val="es-ES_tradnl"/>
        </w:rPr>
        <w:t>78.</w:t>
      </w:r>
      <w:r w:rsidRPr="008253DC">
        <w:rPr>
          <w:lang w:val="es-ES_tradnl"/>
        </w:rPr>
        <w:tab/>
        <w:t>La función del Ombudsman Parlamentario consiste en supervisar la administración del Estado y a las autoridades locales, así como proteger los derechos de los ciudadanos frente a las autoridades. El Ombudsman se empeñará en garantizar la observancia del principio de igualdad y, por lo demás, en que la administración se lleve a cabo de conformidad con la ley y con las buenas prácticas administrativas. El Ombudsman también tramita las quejas de los ciudadanos relativas a las injusticias cometidas por la administración pública en cualquiera de los niveles, esto es, gubernamental o municipal.</w:t>
      </w:r>
    </w:p>
    <w:p w14:paraId="7A4A443B" w14:textId="77777777" w:rsidR="00C619FA" w:rsidRPr="008253DC" w:rsidRDefault="00C619FA" w:rsidP="00C619FA">
      <w:pPr>
        <w:pStyle w:val="SingleTxtG"/>
        <w:rPr>
          <w:bCs/>
          <w:lang w:val="es-ES_tradnl"/>
        </w:rPr>
      </w:pPr>
      <w:r w:rsidRPr="008253DC">
        <w:rPr>
          <w:lang w:val="es-ES_tradnl"/>
        </w:rPr>
        <w:t>79.</w:t>
      </w:r>
      <w:r w:rsidRPr="008253DC">
        <w:rPr>
          <w:lang w:val="es-ES_tradnl"/>
        </w:rPr>
        <w:tab/>
        <w:t>En la Ley núm. 85/1997 se establecen las funciones del Ombudsman Parlamentario. El Althingi designa al Ombudsman, quien depende administrativamente del Parlamento, si bien actúa como órgano independiente en el ejercicio de sus funciones.</w:t>
      </w:r>
    </w:p>
    <w:p w14:paraId="0E288352" w14:textId="77777777" w:rsidR="00C619FA" w:rsidRPr="008253DC" w:rsidRDefault="00C619FA" w:rsidP="00C619FA">
      <w:pPr>
        <w:pStyle w:val="SingleTxtG"/>
        <w:rPr>
          <w:bCs/>
          <w:lang w:val="es-ES_tradnl"/>
        </w:rPr>
      </w:pPr>
      <w:r w:rsidRPr="008253DC">
        <w:rPr>
          <w:lang w:val="es-ES_tradnl"/>
        </w:rPr>
        <w:lastRenderedPageBreak/>
        <w:t>80.</w:t>
      </w:r>
      <w:r w:rsidRPr="008253DC">
        <w:rPr>
          <w:lang w:val="es-ES_tradnl"/>
        </w:rPr>
        <w:tab/>
        <w:t>Las conclusiones del Ombudsman Parlamentario en los casos presentados para su examen no son jurídicamente vinculantes para las autoridades, si bien suelen acatarse. En caso de que una autoridad pública haga caso omiso de la decisión del Ombudsman Parlamentario, este podrá recomendar que se preste a la parte interesada asistencia letrada en un proceso contra la autoridad en cuestión. El Ombudsman presenta informes anuales al Althingi sobre su labor, en los que detalla, entre otras cosas, cómo se han resuelto los casos y cualquier medida posterior que hayan adoptado las autoridades.</w:t>
      </w:r>
    </w:p>
    <w:p w14:paraId="4342AC3E" w14:textId="6A1EFC3B" w:rsidR="00C619FA" w:rsidRPr="008253DC" w:rsidRDefault="00CA57F3" w:rsidP="00CA57F3">
      <w:pPr>
        <w:pStyle w:val="H23G"/>
        <w:rPr>
          <w:lang w:val="es-ES_tradnl"/>
        </w:rPr>
      </w:pPr>
      <w:r w:rsidRPr="008253DC">
        <w:rPr>
          <w:lang w:val="es-ES_tradnl"/>
        </w:rPr>
        <w:tab/>
      </w:r>
      <w:r w:rsidR="00C619FA" w:rsidRPr="008253DC">
        <w:rPr>
          <w:lang w:val="es-ES_tradnl"/>
        </w:rPr>
        <w:tab/>
        <w:t>Defensor de los Niños</w:t>
      </w:r>
    </w:p>
    <w:p w14:paraId="6FD69CFD" w14:textId="77777777" w:rsidR="00C619FA" w:rsidRPr="008253DC" w:rsidRDefault="00C619FA" w:rsidP="00C619FA">
      <w:pPr>
        <w:pStyle w:val="SingleTxtG"/>
        <w:rPr>
          <w:bCs/>
          <w:lang w:val="es-ES_tradnl"/>
        </w:rPr>
      </w:pPr>
      <w:r w:rsidRPr="008253DC">
        <w:rPr>
          <w:lang w:val="es-ES_tradnl"/>
        </w:rPr>
        <w:t>81.</w:t>
      </w:r>
      <w:r w:rsidRPr="008253DC">
        <w:rPr>
          <w:lang w:val="es-ES_tradnl"/>
        </w:rPr>
        <w:tab/>
        <w:t>La Oficina del Defensor de los Niños se creó en 1994. El Primer Ministro designa al Defensor por un mandato de cinco años. El Defensor de los Niños realiza su labor de forma independiente y no está sujeto a las instrucciones de las autoridades. Además, puede plantear libremente cualquier cuestión y criticar la política del Gobierno.</w:t>
      </w:r>
    </w:p>
    <w:p w14:paraId="17518748" w14:textId="77777777" w:rsidR="00C619FA" w:rsidRPr="008253DC" w:rsidRDefault="00C619FA" w:rsidP="00C619FA">
      <w:pPr>
        <w:pStyle w:val="SingleTxtG"/>
        <w:rPr>
          <w:bCs/>
          <w:lang w:val="es-ES_tradnl"/>
        </w:rPr>
      </w:pPr>
      <w:r w:rsidRPr="008253DC">
        <w:rPr>
          <w:lang w:val="es-ES_tradnl"/>
        </w:rPr>
        <w:t>82.</w:t>
      </w:r>
      <w:r w:rsidRPr="008253DC">
        <w:rPr>
          <w:lang w:val="es-ES_tradnl"/>
        </w:rPr>
        <w:tab/>
        <w:t>El papel del Defensor de los Niños es</w:t>
      </w:r>
      <w:r w:rsidRPr="008253DC">
        <w:rPr>
          <w:b/>
          <w:bCs/>
          <w:lang w:val="es-ES_tradnl"/>
        </w:rPr>
        <w:t xml:space="preserve"> </w:t>
      </w:r>
      <w:r w:rsidRPr="008253DC">
        <w:rPr>
          <w:lang w:val="es-ES_tradnl"/>
        </w:rPr>
        <w:t>fomentar el bienestar de los niños y velar por sus intereses, derechos y necesidades en todos los ámbitos de la vida frente a las entidades públicas y privadas. Se espera de él que sea el defensor de todos los niños hasta los 18 años de edad.</w:t>
      </w:r>
    </w:p>
    <w:p w14:paraId="2DBF81E4" w14:textId="77777777" w:rsidR="00C619FA" w:rsidRPr="008253DC" w:rsidRDefault="00C619FA" w:rsidP="00C619FA">
      <w:pPr>
        <w:pStyle w:val="SingleTxtG"/>
        <w:rPr>
          <w:lang w:val="es-ES_tradnl"/>
        </w:rPr>
      </w:pPr>
      <w:r w:rsidRPr="008253DC">
        <w:rPr>
          <w:lang w:val="es-ES_tradnl"/>
        </w:rPr>
        <w:t>83.</w:t>
      </w:r>
      <w:r w:rsidRPr="008253DC">
        <w:rPr>
          <w:lang w:val="es-ES_tradnl"/>
        </w:rPr>
        <w:tab/>
        <w:t>Todos los asuntos relativos a niños pueden presentarse al Defensor de los Niños, excepto las controversias entre particulares. En los casos en los que el Defensor decida que un indicio exige someter una cuestión a mayor investigación, solicitará a las entidades mencionadas la información pertinente. El Defensor puede exigir a las autoridades toda la información que considere necesaria, tales como informes, documentos, expedientes y otros artículos.</w:t>
      </w:r>
    </w:p>
    <w:p w14:paraId="26E6CC2A" w14:textId="41BF5301" w:rsidR="00C619FA" w:rsidRPr="008253DC" w:rsidRDefault="00CA57F3" w:rsidP="00CA57F3">
      <w:pPr>
        <w:pStyle w:val="H23G"/>
        <w:rPr>
          <w:lang w:val="es-ES_tradnl"/>
        </w:rPr>
      </w:pPr>
      <w:r w:rsidRPr="008253DC">
        <w:rPr>
          <w:lang w:val="es-ES_tradnl"/>
        </w:rPr>
        <w:tab/>
      </w:r>
      <w:r w:rsidR="00C619FA" w:rsidRPr="008253DC">
        <w:rPr>
          <w:lang w:val="es-ES_tradnl"/>
        </w:rPr>
        <w:tab/>
        <w:t>Defensor del Pueblo municipal</w:t>
      </w:r>
    </w:p>
    <w:p w14:paraId="7F3333E8" w14:textId="2BD8123B" w:rsidR="00C619FA" w:rsidRPr="008253DC" w:rsidRDefault="00C619FA" w:rsidP="00C619FA">
      <w:pPr>
        <w:pStyle w:val="SingleTxtG"/>
        <w:rPr>
          <w:bCs/>
          <w:lang w:val="es-ES_tradnl"/>
        </w:rPr>
      </w:pPr>
      <w:r w:rsidRPr="008253DC">
        <w:rPr>
          <w:lang w:val="es-ES_tradnl"/>
        </w:rPr>
        <w:t>84.</w:t>
      </w:r>
      <w:r w:rsidRPr="008253DC">
        <w:rPr>
          <w:lang w:val="es-ES_tradnl"/>
        </w:rPr>
        <w:tab/>
        <w:t>En Reikiavik, hay un defensor del pueblo especial para los residentes de la ciudad, que presta asistencia en relación con los casos de violaciones cometidos por el municipio. Su papel es proteger los derechos de los residentes de Reikiavik y tratar varios casos de violaciones de derechos humanos.</w:t>
      </w:r>
    </w:p>
    <w:p w14:paraId="6A5B4483" w14:textId="77777777" w:rsidR="00C619FA" w:rsidRPr="008253DC" w:rsidRDefault="00C619FA" w:rsidP="00CA57F3">
      <w:pPr>
        <w:pStyle w:val="H23G"/>
        <w:rPr>
          <w:lang w:val="es-ES_tradnl"/>
        </w:rPr>
      </w:pPr>
      <w:r w:rsidRPr="008253DC">
        <w:rPr>
          <w:lang w:val="es-ES_tradnl"/>
        </w:rPr>
        <w:tab/>
        <w:t>4.</w:t>
      </w:r>
      <w:r w:rsidRPr="008253DC">
        <w:rPr>
          <w:lang w:val="es-ES_tradnl"/>
        </w:rPr>
        <w:tab/>
        <w:t>Difusión de los instrumentos de derechos humanos</w:t>
      </w:r>
    </w:p>
    <w:p w14:paraId="4A6051E5" w14:textId="77777777" w:rsidR="00C619FA" w:rsidRPr="008253DC" w:rsidRDefault="00C619FA" w:rsidP="00C619FA">
      <w:pPr>
        <w:pStyle w:val="SingleTxtG"/>
        <w:rPr>
          <w:lang w:val="es-ES_tradnl"/>
        </w:rPr>
      </w:pPr>
      <w:r w:rsidRPr="008253DC">
        <w:rPr>
          <w:lang w:val="es-ES_tradnl"/>
        </w:rPr>
        <w:t>85.</w:t>
      </w:r>
      <w:r w:rsidRPr="008253DC">
        <w:rPr>
          <w:lang w:val="es-ES_tradnl"/>
        </w:rPr>
        <w:tab/>
        <w:t>Los tratados internacionales fundamentales de derechos humanos ratificados por Islandia se han traducido al islandés. Todos los convenios internacionales que se han incorporado a la legislación islandesa pueden consultarse en el sitio web del Althingi y en el sitio web del Gobierno, en inglés y en islandés. La mayoría de los demás convenios internacionales también pueden consultarse en islandés en esos sitios web. Podrán obtenerse copias impresas de esas instituciones previa solicitud.</w:t>
      </w:r>
    </w:p>
    <w:p w14:paraId="6C32A524" w14:textId="1B40308F" w:rsidR="00C619FA" w:rsidRPr="008253DC" w:rsidRDefault="00C619FA" w:rsidP="00C619FA">
      <w:pPr>
        <w:pStyle w:val="SingleTxtG"/>
        <w:rPr>
          <w:lang w:val="es-ES_tradnl"/>
        </w:rPr>
      </w:pPr>
      <w:r w:rsidRPr="008253DC">
        <w:rPr>
          <w:lang w:val="es-ES_tradnl"/>
        </w:rPr>
        <w:t>86.</w:t>
      </w:r>
      <w:r w:rsidRPr="008253DC">
        <w:rPr>
          <w:lang w:val="es-ES_tradnl"/>
        </w:rPr>
        <w:tab/>
        <w:t>Algunos instrumentos fundamentales de derechos humanos también se han publicado en folletos y se han difundido ampliamente. Por ejemplo, la Convención sobre los Derechos del Niño tiene un sitio web específico que ofrece una gran diversidad de materiales didácticos, así como una versión resumida de la Convención. El Defensor de los Niños creó el sitio web, en colaboración con la Oficina del Fondo de las Naciones Unidas para la Infancia (UNICEF) de Islandia y Save the Children de Islandia. Las traducciones al islandés del Convenio Europeo de Derechos Humanos, la Carta Social Europea, la Convención sobre la Eliminación de Todas las Formas de Discriminación contra la Mujer y la Convención Internacional sobre la Eliminación de Todas las Formas de Discriminación Racial pueden consultarse en islandés en el sitio web del Althingi.</w:t>
      </w:r>
    </w:p>
    <w:p w14:paraId="6DF645F2" w14:textId="77777777" w:rsidR="00C619FA" w:rsidRPr="008253DC" w:rsidRDefault="00C619FA" w:rsidP="00C619FA">
      <w:pPr>
        <w:pStyle w:val="SingleTxtG"/>
        <w:rPr>
          <w:lang w:val="es-ES_tradnl"/>
        </w:rPr>
      </w:pPr>
      <w:r w:rsidRPr="008253DC">
        <w:rPr>
          <w:lang w:val="es-ES_tradnl"/>
        </w:rPr>
        <w:t>87.</w:t>
      </w:r>
      <w:r w:rsidRPr="008253DC">
        <w:rPr>
          <w:lang w:val="es-ES_tradnl"/>
        </w:rPr>
        <w:tab/>
        <w:t>Las sentencias pronunciadas por el Tribunal Europeo de Derechos Humanos relativas a causas en las que Islandia es parte se publican en islandés en el sitio web del Gobierno. Dichas sentencias también pueden consultarse en el sitio web del Centro de Derechos Humanos.</w:t>
      </w:r>
    </w:p>
    <w:p w14:paraId="1BE63619" w14:textId="26364B21" w:rsidR="00C619FA" w:rsidRPr="008253DC" w:rsidRDefault="00C619FA" w:rsidP="00CA57F3">
      <w:pPr>
        <w:pStyle w:val="H23G"/>
        <w:rPr>
          <w:lang w:val="es-ES_tradnl"/>
        </w:rPr>
      </w:pPr>
      <w:r w:rsidRPr="008253DC">
        <w:rPr>
          <w:lang w:val="es-ES_tradnl"/>
        </w:rPr>
        <w:lastRenderedPageBreak/>
        <w:tab/>
        <w:t>5.</w:t>
      </w:r>
      <w:r w:rsidRPr="008253DC">
        <w:rPr>
          <w:lang w:val="es-ES_tradnl"/>
        </w:rPr>
        <w:tab/>
        <w:t>Sensibilización de los funcionarios públicos y otros profesionales en materia de</w:t>
      </w:r>
      <w:r w:rsidR="00CA57F3" w:rsidRPr="008253DC">
        <w:rPr>
          <w:lang w:val="es-ES_tradnl"/>
        </w:rPr>
        <w:t> </w:t>
      </w:r>
      <w:r w:rsidRPr="008253DC">
        <w:rPr>
          <w:lang w:val="es-ES_tradnl"/>
        </w:rPr>
        <w:t>derechos humanos</w:t>
      </w:r>
    </w:p>
    <w:p w14:paraId="69B6272F" w14:textId="77777777" w:rsidR="00C619FA" w:rsidRPr="008253DC" w:rsidRDefault="00C619FA" w:rsidP="00B150B2">
      <w:pPr>
        <w:pStyle w:val="SingleTxtG"/>
        <w:spacing w:after="130"/>
        <w:rPr>
          <w:bCs/>
          <w:lang w:val="es-ES_tradnl"/>
        </w:rPr>
      </w:pPr>
      <w:r w:rsidRPr="008253DC">
        <w:rPr>
          <w:lang w:val="es-ES_tradnl"/>
        </w:rPr>
        <w:t>88.</w:t>
      </w:r>
      <w:r w:rsidRPr="008253DC">
        <w:rPr>
          <w:lang w:val="es-ES_tradnl"/>
        </w:rPr>
        <w:tab/>
        <w:t>En 2016, el Gobierno acordó en ejecutar el Programa de Formación para las Fuerzas del Orden contra los Delitos de Odio (TAHCLE) y el Programa de Formación para Fiscales sobre los Delitos de Odio (PAHCT) de la Oficina de Instituciones Democráticas y Derechos Humanos (OIDDH). En el marco de esos programas, se capacitó a agentes de policía y a fiscales.</w:t>
      </w:r>
    </w:p>
    <w:p w14:paraId="0C0A2891" w14:textId="77777777" w:rsidR="00C619FA" w:rsidRPr="008253DC" w:rsidRDefault="00C619FA" w:rsidP="00B150B2">
      <w:pPr>
        <w:pStyle w:val="SingleTxtG"/>
        <w:spacing w:after="130"/>
        <w:rPr>
          <w:bCs/>
          <w:lang w:val="es-ES_tradnl"/>
        </w:rPr>
      </w:pPr>
      <w:r w:rsidRPr="008253DC">
        <w:rPr>
          <w:lang w:val="es-ES_tradnl"/>
        </w:rPr>
        <w:t>89.</w:t>
      </w:r>
      <w:r w:rsidRPr="008253DC">
        <w:rPr>
          <w:lang w:val="es-ES_tradnl"/>
        </w:rPr>
        <w:tab/>
        <w:t>El artículo 12 de la Ley de Enseñanza Obligatoria establece que todas las escuelas deberán elaborar un plan sobre cómo organizar la formación continua de su personal para estar en consonancia óptima con las prioridades establecidas por las escuelas, los municipios y en el Plan Nacional de Estudios. Esto último incluye actividades de formación en materia de democracia, derechos humanos e igualdad.</w:t>
      </w:r>
    </w:p>
    <w:p w14:paraId="7CC30B21" w14:textId="042890E1" w:rsidR="00C619FA" w:rsidRPr="008253DC" w:rsidRDefault="00C619FA" w:rsidP="00CA57F3">
      <w:pPr>
        <w:pStyle w:val="H23G"/>
        <w:rPr>
          <w:lang w:val="es-ES_tradnl"/>
        </w:rPr>
      </w:pPr>
      <w:r w:rsidRPr="008253DC">
        <w:rPr>
          <w:lang w:val="es-ES_tradnl"/>
        </w:rPr>
        <w:tab/>
        <w:t>6.</w:t>
      </w:r>
      <w:r w:rsidRPr="008253DC">
        <w:rPr>
          <w:lang w:val="es-ES_tradnl"/>
        </w:rPr>
        <w:tab/>
        <w:t>Promoción del conocimiento de los derechos humanos mediante programas educativos</w:t>
      </w:r>
      <w:r w:rsidR="00CA57F3" w:rsidRPr="008253DC">
        <w:rPr>
          <w:lang w:val="es-ES_tradnl"/>
        </w:rPr>
        <w:t> </w:t>
      </w:r>
      <w:r w:rsidRPr="008253DC">
        <w:rPr>
          <w:lang w:val="es-ES_tradnl"/>
        </w:rPr>
        <w:t>e información pública patrocinada por el Gobierno</w:t>
      </w:r>
    </w:p>
    <w:p w14:paraId="618EE3A0" w14:textId="0893B099" w:rsidR="00C619FA" w:rsidRPr="008253DC" w:rsidRDefault="00C619FA" w:rsidP="00C619FA">
      <w:pPr>
        <w:pStyle w:val="SingleTxtG"/>
        <w:rPr>
          <w:bCs/>
          <w:lang w:val="es-ES_tradnl"/>
        </w:rPr>
      </w:pPr>
      <w:r w:rsidRPr="008253DC">
        <w:rPr>
          <w:lang w:val="es-ES_tradnl"/>
        </w:rPr>
        <w:t>90.</w:t>
      </w:r>
      <w:r w:rsidRPr="008253DC">
        <w:rPr>
          <w:lang w:val="es-ES_tradnl"/>
        </w:rPr>
        <w:tab/>
        <w:t>La integración de una perspectiva de derechos humanos en todos los aspectos de la sociedad islandesa es un compromiso de larga data. En Islandia, la educación en materia de derechos humanos es un componente integral y multidisciplinario de la cultura y los métodos de trabajo escolares, de conformidad con el Plan Nacional de Estudios. El Plan se basa en seis pilares fundamentales: la alfabetización, la sostenibilidad, la salud y el bienestar, la democracia y los derechos humanos, la igualdad y la creatividad. Cada uno de esos pilares fundamentales se basa en leyes de la educación preescolar, la educación obligatoria y la educación secundaria alta. En la política se tienen en cuenta los convenios internacionales en los que Islandia es parte, por ejemplo, la Convención sobre los Derechos del Niño y la política de las instituciones internacionales de las que Islandia es miembro.</w:t>
      </w:r>
    </w:p>
    <w:p w14:paraId="41BF6E08" w14:textId="234AB1DA" w:rsidR="00C619FA" w:rsidRPr="008253DC" w:rsidRDefault="00CA57F3" w:rsidP="00CA57F3">
      <w:pPr>
        <w:pStyle w:val="H23G"/>
        <w:rPr>
          <w:lang w:val="es-ES_tradnl"/>
        </w:rPr>
      </w:pPr>
      <w:r w:rsidRPr="008253DC">
        <w:rPr>
          <w:lang w:val="es-ES_tradnl"/>
        </w:rPr>
        <w:tab/>
      </w:r>
      <w:r w:rsidR="00C619FA" w:rsidRPr="008253DC">
        <w:rPr>
          <w:lang w:val="es-ES_tradnl"/>
        </w:rPr>
        <w:tab/>
        <w:t>Sistema preescolar</w:t>
      </w:r>
    </w:p>
    <w:p w14:paraId="67ECFAE0" w14:textId="77777777" w:rsidR="00C619FA" w:rsidRPr="008253DC" w:rsidRDefault="00C619FA" w:rsidP="00B150B2">
      <w:pPr>
        <w:pStyle w:val="SingleTxtG"/>
        <w:spacing w:after="130"/>
        <w:rPr>
          <w:lang w:val="es-ES_tradnl"/>
        </w:rPr>
      </w:pPr>
      <w:r w:rsidRPr="008253DC">
        <w:rPr>
          <w:lang w:val="es-ES_tradnl"/>
        </w:rPr>
        <w:t>91.</w:t>
      </w:r>
      <w:r w:rsidRPr="008253DC">
        <w:rPr>
          <w:lang w:val="es-ES_tradnl"/>
        </w:rPr>
        <w:tab/>
        <w:t>De conformidad con el artículo 2 de la Ley de Enseñanza Preescolar, el interés superior y el bienestar del niño es la principal misión de todas las actividades preescolares. Las prácticas y los métodos preescolares deberán caracterizarse por la tolerancia y el afecto, la igualdad, la cooperación democrática, la responsabilidad, el perdón, el respeto de los valores humanos y el legado cristiano de la cultura islandesa.</w:t>
      </w:r>
    </w:p>
    <w:p w14:paraId="096158A4" w14:textId="77777777" w:rsidR="00C619FA" w:rsidRPr="008253DC" w:rsidRDefault="00C619FA" w:rsidP="00B150B2">
      <w:pPr>
        <w:pStyle w:val="SingleTxtG"/>
        <w:spacing w:after="130"/>
        <w:rPr>
          <w:lang w:val="es-ES_tradnl"/>
        </w:rPr>
      </w:pPr>
      <w:r w:rsidRPr="008253DC">
        <w:rPr>
          <w:lang w:val="es-ES_tradnl"/>
        </w:rPr>
        <w:t>92.</w:t>
      </w:r>
      <w:r w:rsidRPr="008253DC">
        <w:rPr>
          <w:lang w:val="es-ES_tradnl"/>
        </w:rPr>
        <w:tab/>
        <w:t>El Plan Nacional de Estudios de los jardines de infancia, elaborado por el Ministerio de Educación, Ciencia y Cultura, preconiza objetivos similares. De conformidad con dicho Plan, las actividades de los jardines de infancia deberán regirse por un conjunto común de valores que se ajusten a los pilares fundamentales de la política de educación de Islandia, tales como alentar la amplitud de miras en los niños y reforzar sus valores morales, así como sentar las bases necesarias para que lleguen a ser participantes independientes, autónomos, activos y responsables en una sociedad democrática.</w:t>
      </w:r>
    </w:p>
    <w:p w14:paraId="76924951" w14:textId="0395AED2" w:rsidR="00C619FA" w:rsidRPr="008253DC" w:rsidRDefault="00CA57F3" w:rsidP="00CA57F3">
      <w:pPr>
        <w:pStyle w:val="H23G"/>
        <w:rPr>
          <w:lang w:val="es-ES_tradnl"/>
        </w:rPr>
      </w:pPr>
      <w:r w:rsidRPr="008253DC">
        <w:rPr>
          <w:lang w:val="es-ES_tradnl"/>
        </w:rPr>
        <w:tab/>
      </w:r>
      <w:r w:rsidR="00C619FA" w:rsidRPr="008253DC">
        <w:rPr>
          <w:lang w:val="es-ES_tradnl"/>
        </w:rPr>
        <w:tab/>
        <w:t>Educación primaria y secundaria</w:t>
      </w:r>
    </w:p>
    <w:p w14:paraId="65139C0A" w14:textId="41937EB2" w:rsidR="00C619FA" w:rsidRPr="008253DC" w:rsidRDefault="00C619FA" w:rsidP="00B150B2">
      <w:pPr>
        <w:pStyle w:val="SingleTxtG"/>
        <w:spacing w:after="130"/>
        <w:rPr>
          <w:bCs/>
          <w:lang w:val="es-ES_tradnl"/>
        </w:rPr>
      </w:pPr>
      <w:r w:rsidRPr="008253DC">
        <w:rPr>
          <w:lang w:val="es-ES_tradnl"/>
        </w:rPr>
        <w:t>93.</w:t>
      </w:r>
      <w:r w:rsidRPr="008253DC">
        <w:rPr>
          <w:lang w:val="es-ES_tradnl"/>
        </w:rPr>
        <w:tab/>
        <w:t>De conformidad con el artículo 2 de la Ley de Enseñanza Obligatoria, la modalidad de funcionamiento de la enseñanza obligatoria deberá caracterizarse por la tolerancia y la caridad, orientadas por el legado cristiano de la cultura islandesa y signadas por la igualdad, la cooperación democrática, la responsabilidad, la consideración, el perdón y el respeto por el valor humano.</w:t>
      </w:r>
    </w:p>
    <w:p w14:paraId="3C560FF6" w14:textId="77777777" w:rsidR="00C619FA" w:rsidRPr="008253DC" w:rsidRDefault="00C619FA" w:rsidP="00B150B2">
      <w:pPr>
        <w:pStyle w:val="SingleTxtG"/>
        <w:spacing w:after="130"/>
        <w:rPr>
          <w:bCs/>
          <w:lang w:val="es-ES_tradnl"/>
        </w:rPr>
      </w:pPr>
      <w:r w:rsidRPr="008253DC">
        <w:rPr>
          <w:lang w:val="es-ES_tradnl"/>
        </w:rPr>
        <w:t>94.</w:t>
      </w:r>
      <w:r w:rsidRPr="008253DC">
        <w:rPr>
          <w:lang w:val="es-ES_tradnl"/>
        </w:rPr>
        <w:tab/>
        <w:t>En el Plan Nacional de Estudios de la educación obligatoria se hace hincapié en objetivos similares, por ejemplo, en la importancia de que tanto los alumnos como los maestros tengan conocimiento sobre los derechos del niño, así como sobre los derechos humanos en general. Asimismo, se establece que en todos los métodos de trabajo, las escuelas deberán tener en cuenta que deben respetarse los derechos humanos de todas las personas.</w:t>
      </w:r>
    </w:p>
    <w:p w14:paraId="4CAF3286" w14:textId="77777777" w:rsidR="00C619FA" w:rsidRPr="008253DC" w:rsidRDefault="00C619FA" w:rsidP="0060200B">
      <w:pPr>
        <w:pStyle w:val="H23G"/>
        <w:rPr>
          <w:lang w:val="es-ES_tradnl"/>
        </w:rPr>
      </w:pPr>
      <w:r w:rsidRPr="008253DC">
        <w:rPr>
          <w:lang w:val="es-ES_tradnl"/>
        </w:rPr>
        <w:lastRenderedPageBreak/>
        <w:tab/>
        <w:t>7.</w:t>
      </w:r>
      <w:r w:rsidRPr="008253DC">
        <w:rPr>
          <w:lang w:val="es-ES_tradnl"/>
        </w:rPr>
        <w:tab/>
        <w:t>Integración de una perspectiva de derechos humanos</w:t>
      </w:r>
    </w:p>
    <w:p w14:paraId="78321691" w14:textId="24EA9E79" w:rsidR="00C619FA" w:rsidRPr="008253DC" w:rsidRDefault="00C619FA" w:rsidP="0060200B">
      <w:pPr>
        <w:pStyle w:val="SingleTxtG"/>
        <w:keepNext/>
        <w:keepLines/>
        <w:rPr>
          <w:lang w:val="es-ES_tradnl"/>
        </w:rPr>
      </w:pPr>
      <w:r w:rsidRPr="008253DC">
        <w:rPr>
          <w:lang w:val="es-ES_tradnl"/>
        </w:rPr>
        <w:t>95.</w:t>
      </w:r>
      <w:r w:rsidRPr="008253DC">
        <w:rPr>
          <w:lang w:val="es-ES_tradnl"/>
        </w:rPr>
        <w:tab/>
        <w:t>Islandia lleva mucho tiempo apoyando la integración de una perspectiva de derechos humanos. Más recientemente, en 2017, se estableció un Comité Directivo Interministerial para la integración de una perspectiva de derechos humanos. El Comité se creó antes del segundo examen periódico universal de Islandia en 2016. La cooperación establecida dio buenos resultados en la coordinación y promoción de la adopción de medidas sobre derechos humanos en el período previo al examen. El Comité Directivo se encarga de dar seguimiento a las recomendaciones formuladas en el examen, así como de preparar el tercer examen de Islandia en 2021. Asimismo, actúa como mecanismo nacional para la presentación de informes y el seguimiento de la colaboración con los mecanismos internacionales y regionales de derechos humanos de manera más general, entre ellos, órganos creados en virtud de tratados de derechos humanos y procedimientos especiales, además del examen periódico universal. El Comité también se propone facilitar una mejor cooperación entre los ministerios que comparten responsabilidades en materia de derechos humanos.</w:t>
      </w:r>
    </w:p>
    <w:p w14:paraId="3498BB5A" w14:textId="2EF7B254" w:rsidR="00C619FA" w:rsidRPr="008253DC" w:rsidRDefault="00C619FA" w:rsidP="00CA57F3">
      <w:pPr>
        <w:pStyle w:val="H23G"/>
        <w:rPr>
          <w:lang w:val="es-ES_tradnl"/>
        </w:rPr>
      </w:pPr>
      <w:r w:rsidRPr="008253DC">
        <w:rPr>
          <w:lang w:val="es-ES_tradnl"/>
        </w:rPr>
        <w:tab/>
        <w:t>8.</w:t>
      </w:r>
      <w:r w:rsidRPr="008253DC">
        <w:rPr>
          <w:lang w:val="es-ES_tradnl"/>
        </w:rPr>
        <w:tab/>
        <w:t>Promoción del conocimiento de los derechos humanos a través de los medios de</w:t>
      </w:r>
      <w:r w:rsidR="00CA57F3" w:rsidRPr="008253DC">
        <w:rPr>
          <w:lang w:val="es-ES_tradnl"/>
        </w:rPr>
        <w:t> </w:t>
      </w:r>
      <w:r w:rsidRPr="008253DC">
        <w:rPr>
          <w:lang w:val="es-ES_tradnl"/>
        </w:rPr>
        <w:t>comunicación</w:t>
      </w:r>
    </w:p>
    <w:p w14:paraId="62583D24" w14:textId="77777777" w:rsidR="00C619FA" w:rsidRPr="008253DC" w:rsidRDefault="00C619FA" w:rsidP="00C619FA">
      <w:pPr>
        <w:pStyle w:val="SingleTxtG"/>
        <w:rPr>
          <w:bCs/>
          <w:lang w:val="es-ES_tradnl"/>
        </w:rPr>
      </w:pPr>
      <w:r w:rsidRPr="008253DC">
        <w:rPr>
          <w:lang w:val="es-ES_tradnl"/>
        </w:rPr>
        <w:t>96.</w:t>
      </w:r>
      <w:r w:rsidRPr="008253DC">
        <w:rPr>
          <w:lang w:val="es-ES_tradnl"/>
        </w:rPr>
        <w:tab/>
        <w:t>La libertad de expresión y de prensa está garantizada en los instrumentos internacionales de derechos humanos y en la Constitución de Islandia. La prensa y otros medios de comunicación son esenciales para facilitar el debate sobre las cuestiones de derechos humanos. Asimismo, desempeñan un papel decisivo en resaltar las importantes cuestiones de derechos humanos en Islandia. Las organizaciones de la sociedad civil también se valen de los medios de comunicación para difundir al público las cuestiones de derechos humanos.</w:t>
      </w:r>
    </w:p>
    <w:p w14:paraId="6E2E78EC" w14:textId="77777777" w:rsidR="00C619FA" w:rsidRPr="008253DC" w:rsidRDefault="00C619FA" w:rsidP="00CA57F3">
      <w:pPr>
        <w:pStyle w:val="H23G"/>
        <w:rPr>
          <w:lang w:val="es-ES_tradnl"/>
        </w:rPr>
      </w:pPr>
      <w:r w:rsidRPr="008253DC">
        <w:rPr>
          <w:lang w:val="es-ES_tradnl"/>
        </w:rPr>
        <w:tab/>
        <w:t>9.</w:t>
      </w:r>
      <w:r w:rsidRPr="008253DC">
        <w:rPr>
          <w:lang w:val="es-ES_tradnl"/>
        </w:rPr>
        <w:tab/>
        <w:t>Papel de la sociedad civil, incluidas las organizaciones no gubernamentales</w:t>
      </w:r>
    </w:p>
    <w:p w14:paraId="07E1F6B1" w14:textId="77777777" w:rsidR="00C619FA" w:rsidRPr="008253DC" w:rsidRDefault="00C619FA" w:rsidP="00C619FA">
      <w:pPr>
        <w:pStyle w:val="SingleTxtG"/>
        <w:rPr>
          <w:bCs/>
          <w:lang w:val="es-ES_tradnl"/>
        </w:rPr>
      </w:pPr>
      <w:r w:rsidRPr="008253DC">
        <w:rPr>
          <w:lang w:val="es-ES_tradnl"/>
        </w:rPr>
        <w:t>97.</w:t>
      </w:r>
      <w:r w:rsidRPr="008253DC">
        <w:rPr>
          <w:lang w:val="es-ES_tradnl"/>
        </w:rPr>
        <w:tab/>
        <w:t>Los defensores de los derechos humanos, los sindicatos y las organizaciones industriales desempeñan un papel decisivo en la observancia de los derechos humanos en Islandia y han sentado gran parte de las bases para la democracia y el bienestar en la sociedad islandesa.</w:t>
      </w:r>
    </w:p>
    <w:p w14:paraId="02C188A5" w14:textId="77777777" w:rsidR="00C619FA" w:rsidRPr="008253DC" w:rsidRDefault="00C619FA" w:rsidP="00C619FA">
      <w:pPr>
        <w:pStyle w:val="SingleTxtG"/>
        <w:rPr>
          <w:bCs/>
          <w:lang w:val="es-ES_tradnl"/>
        </w:rPr>
      </w:pPr>
      <w:r w:rsidRPr="008253DC">
        <w:rPr>
          <w:lang w:val="es-ES_tradnl"/>
        </w:rPr>
        <w:t>98.</w:t>
      </w:r>
      <w:r w:rsidRPr="008253DC">
        <w:rPr>
          <w:lang w:val="es-ES_tradnl"/>
        </w:rPr>
        <w:tab/>
        <w:t>El Gobierno presta apoyo a las organizaciones de la sociedad civil y mantiene un diálogo constante con ellas sobre cuestiones de derechos humanos y sobre los desafíos que plantean, cuando procede. Esto incluye procesos de consulta de participación abierta sobre la legislación propuesta y la preparación de solicitudes a los órganos creados en virtud de tratados de derechos humanos.</w:t>
      </w:r>
    </w:p>
    <w:p w14:paraId="55A3D916" w14:textId="77777777" w:rsidR="00C619FA" w:rsidRPr="008253DC" w:rsidRDefault="00C619FA" w:rsidP="00C619FA">
      <w:pPr>
        <w:pStyle w:val="SingleTxtG"/>
        <w:rPr>
          <w:bCs/>
          <w:lang w:val="es-ES_tradnl"/>
        </w:rPr>
      </w:pPr>
      <w:r w:rsidRPr="008253DC">
        <w:rPr>
          <w:lang w:val="es-ES_tradnl"/>
        </w:rPr>
        <w:t>99.</w:t>
      </w:r>
      <w:r w:rsidRPr="008253DC">
        <w:rPr>
          <w:lang w:val="es-ES_tradnl"/>
        </w:rPr>
        <w:tab/>
        <w:t>Los sindicatos y las organizaciones industriales son esenciales para proteger los derechos de las personas en el mercado de trabajo, y para negociar en su nombre las condiciones salariales y laborales en los convenios colectivos salariales. También son fundamentales para proteger el derecho a la sindicación y desempeñan una función esencial en la vida activa de la población islandesa.</w:t>
      </w:r>
    </w:p>
    <w:p w14:paraId="09CC1536" w14:textId="77777777" w:rsidR="00C619FA" w:rsidRPr="008253DC" w:rsidRDefault="00C619FA" w:rsidP="00CA57F3">
      <w:pPr>
        <w:pStyle w:val="H23G"/>
        <w:rPr>
          <w:lang w:val="es-ES_tradnl"/>
        </w:rPr>
      </w:pPr>
      <w:r w:rsidRPr="008253DC">
        <w:rPr>
          <w:lang w:val="es-ES_tradnl"/>
        </w:rPr>
        <w:tab/>
        <w:t>10.</w:t>
      </w:r>
      <w:r w:rsidRPr="008253DC">
        <w:rPr>
          <w:lang w:val="es-ES_tradnl"/>
        </w:rPr>
        <w:tab/>
        <w:t>Asignaciones presupuestarias</w:t>
      </w:r>
    </w:p>
    <w:p w14:paraId="75567887" w14:textId="77777777" w:rsidR="00C619FA" w:rsidRPr="008253DC" w:rsidRDefault="00C619FA" w:rsidP="00C619FA">
      <w:pPr>
        <w:pStyle w:val="SingleTxtG"/>
        <w:rPr>
          <w:bCs/>
          <w:lang w:val="es-ES_tradnl"/>
        </w:rPr>
      </w:pPr>
      <w:r w:rsidRPr="008253DC">
        <w:rPr>
          <w:lang w:val="es-ES_tradnl"/>
        </w:rPr>
        <w:t>100.</w:t>
      </w:r>
      <w:r w:rsidRPr="008253DC">
        <w:rPr>
          <w:lang w:val="es-ES_tradnl"/>
        </w:rPr>
        <w:tab/>
        <w:t>Dado que en Islandia se han integrado los derechos humanos en todos los ámbitos de la administración pública, en el presupuesto nacional no hay una asignación específica de fondos para los derechos humanos, sino que aparecen en diversas partidas, tales como la educación, la salud y el bienestar social, los asuntos internacionales y la administración de los tribunales.</w:t>
      </w:r>
    </w:p>
    <w:p w14:paraId="115AD0ED" w14:textId="77777777" w:rsidR="00C619FA" w:rsidRPr="008253DC" w:rsidRDefault="00C619FA" w:rsidP="00CA57F3">
      <w:pPr>
        <w:pStyle w:val="H23G"/>
        <w:rPr>
          <w:lang w:val="es-ES_tradnl"/>
        </w:rPr>
      </w:pPr>
      <w:r w:rsidRPr="008253DC">
        <w:rPr>
          <w:lang w:val="es-ES_tradnl"/>
        </w:rPr>
        <w:tab/>
        <w:t>11.</w:t>
      </w:r>
      <w:r w:rsidRPr="008253DC">
        <w:rPr>
          <w:lang w:val="es-ES_tradnl"/>
        </w:rPr>
        <w:tab/>
        <w:t>Cooperación y asistencia para el desarrollo</w:t>
      </w:r>
    </w:p>
    <w:p w14:paraId="640DCD91" w14:textId="0D85933B" w:rsidR="00C619FA" w:rsidRPr="008253DC" w:rsidRDefault="00C619FA" w:rsidP="0060200B">
      <w:pPr>
        <w:pStyle w:val="SingleTxtG"/>
        <w:spacing w:after="130"/>
        <w:rPr>
          <w:lang w:val="es-ES_tradnl"/>
        </w:rPr>
      </w:pPr>
      <w:r w:rsidRPr="008253DC">
        <w:rPr>
          <w:lang w:val="es-ES_tradnl"/>
        </w:rPr>
        <w:t>101.</w:t>
      </w:r>
      <w:r w:rsidRPr="008253DC">
        <w:rPr>
          <w:lang w:val="es-ES_tradnl"/>
        </w:rPr>
        <w:tab/>
        <w:t xml:space="preserve">La cooperación internacional para el desarrollo es parte integral de la política exterior de Islandia. </w:t>
      </w:r>
      <w:hyperlink r:id="rId10" w:tgtFrame="_blank" w:history="1">
        <w:r w:rsidRPr="008253DC">
          <w:rPr>
            <w:rStyle w:val="Hipervnculo"/>
            <w:lang w:val="es-ES_tradnl"/>
          </w:rPr>
          <w:t xml:space="preserve">La política de cooperación internacional para el desarrollo para 2019-2023 </w:t>
        </w:r>
      </w:hyperlink>
      <w:r w:rsidRPr="008253DC">
        <w:rPr>
          <w:lang w:val="es-ES_tradnl"/>
        </w:rPr>
        <w:t xml:space="preserve">de Islandia establece las esferas prioritarias y los objetivos, las actividades de ejecución y la eficiencia y los resultados. La estrategia de cooperación internacional para el desarrollo se centra en la promoción de los derechos humanos y en la igualdad de género, la paz y la seguridad, así como en la lucha contra la pobreza, la injusticia social, la disparidad en las condiciones de vida y el hambre. Asimismo, se propone garantizar la coherencia interna en </w:t>
      </w:r>
      <w:r w:rsidRPr="008253DC">
        <w:rPr>
          <w:lang w:val="es-ES_tradnl"/>
        </w:rPr>
        <w:lastRenderedPageBreak/>
        <w:t>la política exterior de Islandia con respecto a las cuestiones económicas, medioambientales y de seguridad mundiales. La cooperación para el desarrollo en Islandia se centra en las esferas en las que pueden aplicarse los conocimientos especializados del país en la lucha contra la pobreza y el logro de los Objetivos de Desarrollo Sostenible (ODS).</w:t>
      </w:r>
    </w:p>
    <w:p w14:paraId="009419BB" w14:textId="6560339C" w:rsidR="00C619FA" w:rsidRPr="008253DC" w:rsidRDefault="00C619FA" w:rsidP="0060200B">
      <w:pPr>
        <w:pStyle w:val="SingleTxtG"/>
        <w:spacing w:after="130"/>
        <w:rPr>
          <w:lang w:val="es-ES_tradnl"/>
        </w:rPr>
      </w:pPr>
      <w:r w:rsidRPr="008253DC">
        <w:rPr>
          <w:lang w:val="es-ES_tradnl"/>
        </w:rPr>
        <w:t>102.</w:t>
      </w:r>
      <w:r w:rsidRPr="008253DC">
        <w:rPr>
          <w:lang w:val="es-ES_tradnl"/>
        </w:rPr>
        <w:tab/>
        <w:t xml:space="preserve">Los derechos humanos son una cuestión transversal de la cooperación para el desarrollo y en distintos mecanismos se ha integrado un enfoque basado en los derechos humanos de Islandia, a fin de abarcar la cooperación multilateral y bilateral, la asistencia humanitaria y la asociación estratégica, lo que implica una colaboración con la sociedad civil y con las </w:t>
      </w:r>
      <w:r w:rsidR="0060200B" w:rsidRPr="008253DC">
        <w:rPr>
          <w:lang w:val="es-ES_tradnl"/>
        </w:rPr>
        <w:t>organizaciones no gubernamentales</w:t>
      </w:r>
      <w:r w:rsidRPr="008253DC">
        <w:rPr>
          <w:lang w:val="es-ES_tradnl"/>
        </w:rPr>
        <w:t>, el sector privado y los círculos académicos. En 2020, el gasto total de la cooperación para el desarrollo de Islandia ascendió a 8.842 millones de</w:t>
      </w:r>
      <w:r w:rsidRPr="008253DC">
        <w:rPr>
          <w:b/>
          <w:bCs/>
          <w:lang w:val="es-ES_tradnl"/>
        </w:rPr>
        <w:t xml:space="preserve"> </w:t>
      </w:r>
      <w:r w:rsidRPr="008253DC">
        <w:rPr>
          <w:lang w:val="es-ES_tradnl"/>
        </w:rPr>
        <w:t>coronas islandesas.</w:t>
      </w:r>
    </w:p>
    <w:p w14:paraId="4CABDD8B" w14:textId="57FAA5B4" w:rsidR="00C619FA" w:rsidRPr="008253DC" w:rsidRDefault="00C619FA" w:rsidP="0060200B">
      <w:pPr>
        <w:pStyle w:val="SingleTxtG"/>
        <w:spacing w:after="130"/>
        <w:rPr>
          <w:lang w:val="es-ES_tradnl"/>
        </w:rPr>
      </w:pPr>
      <w:r w:rsidRPr="008253DC">
        <w:rPr>
          <w:lang w:val="es-ES_tradnl"/>
        </w:rPr>
        <w:t>103.</w:t>
      </w:r>
      <w:r w:rsidRPr="008253DC">
        <w:rPr>
          <w:lang w:val="es-ES_tradnl"/>
        </w:rPr>
        <w:tab/>
        <w:t xml:space="preserve">Cuatro organizaciones multilaterales son de especial importancia para las prioridades de la política de cooperación internacional para el desarrollo de Islandia: el </w:t>
      </w:r>
      <w:hyperlink r:id="rId11" w:history="1">
        <w:r w:rsidRPr="008253DC">
          <w:rPr>
            <w:rStyle w:val="Hipervnculo"/>
            <w:lang w:val="es-ES_tradnl"/>
          </w:rPr>
          <w:t>Banco Mundial</w:t>
        </w:r>
      </w:hyperlink>
      <w:r w:rsidRPr="008253DC">
        <w:rPr>
          <w:lang w:val="es-ES_tradnl"/>
        </w:rPr>
        <w:t xml:space="preserve">, el </w:t>
      </w:r>
      <w:hyperlink r:id="rId12" w:history="1">
        <w:r w:rsidRPr="008253DC">
          <w:rPr>
            <w:rStyle w:val="Hipervnculo"/>
            <w:lang w:val="es-ES_tradnl"/>
          </w:rPr>
          <w:t>Fondo de las Naciones Unidas para la Infancia</w:t>
        </w:r>
      </w:hyperlink>
      <w:r w:rsidRPr="008253DC">
        <w:rPr>
          <w:lang w:val="es-ES_tradnl"/>
        </w:rPr>
        <w:t xml:space="preserve"> (UNICEF)</w:t>
      </w:r>
      <w:hyperlink r:id="rId13" w:history="1">
        <w:r w:rsidRPr="008253DC">
          <w:rPr>
            <w:rStyle w:val="Hipervnculo"/>
            <w:lang w:val="es-ES_tradnl"/>
          </w:rPr>
          <w:t>, la Entidad de las Naciones Unidas para la Igualdad de Género y el Empoderamiento de las Mujeres (ONU-Mujeres)</w:t>
        </w:r>
      </w:hyperlink>
      <w:r w:rsidRPr="008253DC">
        <w:rPr>
          <w:lang w:val="es-ES_tradnl"/>
        </w:rPr>
        <w:t xml:space="preserve"> y el </w:t>
      </w:r>
      <w:hyperlink r:id="rId14" w:history="1">
        <w:r w:rsidRPr="008253DC">
          <w:rPr>
            <w:rStyle w:val="Hipervnculo"/>
            <w:lang w:val="es-ES_tradnl"/>
          </w:rPr>
          <w:t>Fondo de Población de las Naciones Unidas</w:t>
        </w:r>
      </w:hyperlink>
      <w:r w:rsidRPr="008253DC">
        <w:rPr>
          <w:lang w:val="es-ES_tradnl"/>
        </w:rPr>
        <w:t xml:space="preserve"> (UNFPA). El Gobierno de Islandia también se esfuerza por aliviar el sufrimiento de las personas más vulnerables, en asociación con los organismos especializados de las Naciones Unidas y con los fondos encargados de coordinar y de llevar adelante la acción humanitaria a nivel mundial (la Oficina de Coordinación de Asuntos Humanitarios (OCHA), el Fondo Central para la Acción en Casos de Emergencia (CERF), la Oficina del Alto Comisionado de las Naciones Unidas para los Refugiados (ACNUR) y el Programa Mundial de Alimentos (PMA). En el África Subsahariana, Islandia mantiene asociaciones bilaterales con dos países: Malawi y Uganda. La cooperación de Islandia con los países tiene por objeto mejorar la calidad de vida de las personas por medio del empoderamiento, el fomento de la capacidad y la transferencia de conocimientos. El objetivo a largo plazo es el desarrollo sostenible, el crecimiento económico, la igualdad, la independencia, la democracia y la defensa de los derechos humanos.</w:t>
      </w:r>
    </w:p>
    <w:p w14:paraId="785F09B1" w14:textId="77777777" w:rsidR="00C619FA" w:rsidRPr="008253DC" w:rsidRDefault="00C619FA" w:rsidP="00CA57F3">
      <w:pPr>
        <w:pStyle w:val="H1G"/>
        <w:rPr>
          <w:lang w:val="es-ES_tradnl"/>
        </w:rPr>
      </w:pPr>
      <w:bookmarkStart w:id="1" w:name="_Hlk519672263"/>
      <w:r w:rsidRPr="008253DC">
        <w:rPr>
          <w:lang w:val="es-ES_tradnl"/>
        </w:rPr>
        <w:tab/>
        <w:t>D.</w:t>
      </w:r>
      <w:r w:rsidRPr="008253DC">
        <w:rPr>
          <w:lang w:val="es-ES_tradnl"/>
        </w:rPr>
        <w:tab/>
        <w:t>Proceso de presentación de informes a escala nacional</w:t>
      </w:r>
    </w:p>
    <w:p w14:paraId="7103BBB1" w14:textId="77777777" w:rsidR="00C619FA" w:rsidRPr="008253DC" w:rsidRDefault="00C619FA" w:rsidP="0060200B">
      <w:pPr>
        <w:pStyle w:val="SingleTxtG"/>
        <w:spacing w:after="130"/>
        <w:rPr>
          <w:lang w:val="es-ES_tradnl"/>
        </w:rPr>
      </w:pPr>
      <w:r w:rsidRPr="008253DC">
        <w:rPr>
          <w:lang w:val="es-ES_tradnl"/>
        </w:rPr>
        <w:t>104.</w:t>
      </w:r>
      <w:r w:rsidRPr="008253DC">
        <w:rPr>
          <w:lang w:val="es-ES_tradnl"/>
        </w:rPr>
        <w:tab/>
        <w:t>La responsabilidad del cumplimiento de las obligaciones de derechos humanos en el plano nacional la asumen los distintos ministerios, a quienes incumbe la redacción de los informes y el seguimiento de las recomendaciones de los diversos órganos creados en virtud de tratados en sus respectivos sectores. Los derechos humanos se han integrado e incorporado en todos los sectores de gobierno y la administración. No obstante, el Ministerio de Justicia tiene la responsabilidad especial de garantizar que la legislación islandesa y la práctica administrativa sean compatibles con las obligaciones de derechos humanos contraídas por Islandia, y coordina y supervisa la redacción de los informes y el seguimiento de las recomendaciones de los órganos creados en virtud de tratados. El Grupo directivo sobre derechos humanos del Gobierno, integrado por representantes de todos los ministerios, se encarga de coordinar dicha labor.</w:t>
      </w:r>
    </w:p>
    <w:p w14:paraId="374460D3" w14:textId="050209E9" w:rsidR="00C619FA" w:rsidRPr="008253DC" w:rsidRDefault="00C619FA" w:rsidP="0060200B">
      <w:pPr>
        <w:pStyle w:val="SingleTxtG"/>
        <w:spacing w:after="130"/>
        <w:rPr>
          <w:lang w:val="es-ES_tradnl"/>
        </w:rPr>
      </w:pPr>
      <w:r w:rsidRPr="008253DC">
        <w:rPr>
          <w:lang w:val="es-ES_tradnl"/>
        </w:rPr>
        <w:t>105.</w:t>
      </w:r>
      <w:r w:rsidRPr="008253DC">
        <w:rPr>
          <w:lang w:val="es-ES_tradnl"/>
        </w:rPr>
        <w:tab/>
        <w:t>Los informes se basan en la información recabada de los ministerios, las instituciones gubernamentales, la Asociación de Autoridades Locales, las asociaciones representativas, las asociaciones de interés público, los círculos académicos y el público en general, según proceda. Se hace un esfuerzo especial para consultar a la sociedad civil que trabaja en el terreno y, en particular, al Centro Islandés de Derechos Humanos. Por último, los proyectos de informe se publican en el portal de consulta del Gobierno, ofreciendo con ello al público en general la posibilidad de expresar su opinión sobre el contenido.</w:t>
      </w:r>
    </w:p>
    <w:bookmarkEnd w:id="1"/>
    <w:p w14:paraId="55434B4E" w14:textId="54AD2D62" w:rsidR="00C619FA" w:rsidRPr="008253DC" w:rsidRDefault="00C619FA" w:rsidP="00CA57F3">
      <w:pPr>
        <w:pStyle w:val="HChG"/>
        <w:rPr>
          <w:lang w:val="es-ES_tradnl"/>
        </w:rPr>
      </w:pPr>
      <w:r w:rsidRPr="008253DC">
        <w:rPr>
          <w:lang w:val="es-ES_tradnl"/>
        </w:rPr>
        <w:lastRenderedPageBreak/>
        <w:tab/>
        <w:t>III.</w:t>
      </w:r>
      <w:r w:rsidRPr="008253DC">
        <w:rPr>
          <w:lang w:val="es-ES_tradnl"/>
        </w:rPr>
        <w:tab/>
        <w:t>Información sobre la no discriminación y la igualdad, y</w:t>
      </w:r>
      <w:r w:rsidR="00CA57F3" w:rsidRPr="008253DC">
        <w:rPr>
          <w:lang w:val="es-ES_tradnl"/>
        </w:rPr>
        <w:t> </w:t>
      </w:r>
      <w:r w:rsidRPr="008253DC">
        <w:rPr>
          <w:lang w:val="es-ES_tradnl"/>
        </w:rPr>
        <w:t>recursos eficaces</w:t>
      </w:r>
    </w:p>
    <w:p w14:paraId="11ACC236" w14:textId="77777777" w:rsidR="00C619FA" w:rsidRPr="008253DC" w:rsidRDefault="00C619FA" w:rsidP="00CA57F3">
      <w:pPr>
        <w:pStyle w:val="H1G"/>
        <w:rPr>
          <w:lang w:val="es-ES_tradnl"/>
        </w:rPr>
      </w:pPr>
      <w:r w:rsidRPr="008253DC">
        <w:rPr>
          <w:lang w:val="es-ES_tradnl"/>
        </w:rPr>
        <w:tab/>
        <w:t>A.</w:t>
      </w:r>
      <w:r w:rsidRPr="008253DC">
        <w:rPr>
          <w:lang w:val="es-ES_tradnl"/>
        </w:rPr>
        <w:tab/>
        <w:t>Marco jurídico</w:t>
      </w:r>
    </w:p>
    <w:p w14:paraId="2BA3410C" w14:textId="77777777" w:rsidR="00C619FA" w:rsidRPr="008253DC" w:rsidRDefault="00C619FA" w:rsidP="00CA57F3">
      <w:pPr>
        <w:pStyle w:val="H23G"/>
        <w:rPr>
          <w:lang w:val="es-ES_tradnl"/>
        </w:rPr>
      </w:pPr>
      <w:r w:rsidRPr="008253DC">
        <w:rPr>
          <w:lang w:val="es-ES_tradnl"/>
        </w:rPr>
        <w:tab/>
        <w:t>1.</w:t>
      </w:r>
      <w:r w:rsidRPr="008253DC">
        <w:rPr>
          <w:lang w:val="es-ES_tradnl"/>
        </w:rPr>
        <w:tab/>
        <w:t>La Constitución</w:t>
      </w:r>
    </w:p>
    <w:p w14:paraId="31034260" w14:textId="30ABA97B" w:rsidR="00C619FA" w:rsidRPr="008253DC" w:rsidRDefault="00C619FA" w:rsidP="00C619FA">
      <w:pPr>
        <w:pStyle w:val="SingleTxtG"/>
        <w:rPr>
          <w:lang w:val="es-ES_tradnl"/>
        </w:rPr>
      </w:pPr>
      <w:r w:rsidRPr="008253DC">
        <w:rPr>
          <w:lang w:val="es-ES_tradnl"/>
        </w:rPr>
        <w:t>106.</w:t>
      </w:r>
      <w:r w:rsidRPr="008253DC">
        <w:rPr>
          <w:lang w:val="es-ES_tradnl"/>
        </w:rPr>
        <w:tab/>
        <w:t>El principio de igualdad se prevé específicamente en una disposición de la Constitución de la República de Islandia (véase el artículo 65 de la Constitución, num.</w:t>
      </w:r>
      <w:r w:rsidR="00DA0B0C" w:rsidRPr="008253DC">
        <w:rPr>
          <w:lang w:val="es-ES_tradnl"/>
        </w:rPr>
        <w:t> </w:t>
      </w:r>
      <w:r w:rsidRPr="008253DC">
        <w:rPr>
          <w:lang w:val="es-ES_tradnl"/>
        </w:rPr>
        <w:t>33/1944, y la Ley de Derecho Constitucional, núm. 97/1995), en la que se establece que los hombres y las mujeres tienen los mismos derechos en todos los aspectos. En Islandia, existe también un estatuto especial desde 1976 para la protección de la igualdad entre mujeres y hombres y su igualdad jurídica en todos los ámbitos.</w:t>
      </w:r>
    </w:p>
    <w:p w14:paraId="65162E9F" w14:textId="77777777" w:rsidR="00C619FA" w:rsidRPr="008253DC" w:rsidRDefault="00C619FA" w:rsidP="00C619FA">
      <w:pPr>
        <w:pStyle w:val="SingleTxtG"/>
        <w:rPr>
          <w:lang w:val="es-ES_tradnl"/>
        </w:rPr>
      </w:pPr>
      <w:r w:rsidRPr="008253DC">
        <w:rPr>
          <w:lang w:val="es-ES_tradnl"/>
        </w:rPr>
        <w:t>107.</w:t>
      </w:r>
      <w:r w:rsidRPr="008253DC">
        <w:rPr>
          <w:lang w:val="es-ES_tradnl"/>
        </w:rPr>
        <w:tab/>
        <w:t>El artículo 65 de la Constitución también establece que todas las personas gozarán de los derechos humanos y serán iguales ante la ley, sin distinción de sexo, religión, opinión, origen nacional, raza, color, posición económica, nacimiento o cualquier otra condición.</w:t>
      </w:r>
    </w:p>
    <w:p w14:paraId="1F076A1F" w14:textId="77777777" w:rsidR="00C619FA" w:rsidRPr="008253DC" w:rsidRDefault="00C619FA" w:rsidP="00CA57F3">
      <w:pPr>
        <w:pStyle w:val="H23G"/>
        <w:rPr>
          <w:lang w:val="es-ES_tradnl"/>
        </w:rPr>
      </w:pPr>
      <w:r w:rsidRPr="008253DC">
        <w:rPr>
          <w:lang w:val="es-ES_tradnl"/>
        </w:rPr>
        <w:tab/>
        <w:t>2.</w:t>
      </w:r>
      <w:r w:rsidRPr="008253DC">
        <w:rPr>
          <w:lang w:val="es-ES_tradnl"/>
        </w:rPr>
        <w:tab/>
        <w:t>Incorporación</w:t>
      </w:r>
    </w:p>
    <w:p w14:paraId="7A7EF15D" w14:textId="77777777" w:rsidR="00C619FA" w:rsidRPr="008253DC" w:rsidRDefault="00C619FA" w:rsidP="00C619FA">
      <w:pPr>
        <w:pStyle w:val="SingleTxtG"/>
        <w:rPr>
          <w:bCs/>
          <w:lang w:val="es-ES_tradnl"/>
        </w:rPr>
      </w:pPr>
      <w:r w:rsidRPr="008253DC">
        <w:rPr>
          <w:lang w:val="es-ES_tradnl"/>
        </w:rPr>
        <w:t>108.</w:t>
      </w:r>
      <w:r w:rsidRPr="008253DC">
        <w:rPr>
          <w:lang w:val="es-ES_tradnl"/>
        </w:rPr>
        <w:tab/>
        <w:t xml:space="preserve">Antes de ratificar los tratados internacionales de derechos humanos, el Gobierno de Islandia se asegura, a través de medidas legislativas y de otra índole, de que la legislación islandesa se ajuste a las disposiciones del tratado en cuestión. En principio, el tratado en sí mismo no adquiere fuerza de ley tras su adopción. Esto también atañe a las referencias a los tratados que hacen los tribunales, que suelen referirse a leyes que podrían basarse en tratados, sin remitirse expresamente a las disposiciones de los mismos. </w:t>
      </w:r>
    </w:p>
    <w:p w14:paraId="72FE6F46" w14:textId="77777777" w:rsidR="00C619FA" w:rsidRPr="008253DC" w:rsidRDefault="00C619FA" w:rsidP="00CA57F3">
      <w:pPr>
        <w:pStyle w:val="H23G"/>
        <w:rPr>
          <w:lang w:val="es-ES_tradnl"/>
        </w:rPr>
      </w:pPr>
      <w:r w:rsidRPr="008253DC">
        <w:rPr>
          <w:lang w:val="es-ES_tradnl"/>
        </w:rPr>
        <w:tab/>
        <w:t>3.</w:t>
      </w:r>
      <w:r w:rsidRPr="008253DC">
        <w:rPr>
          <w:lang w:val="es-ES_tradnl"/>
        </w:rPr>
        <w:tab/>
        <w:t>Ley de Igualdad</w:t>
      </w:r>
    </w:p>
    <w:p w14:paraId="25FFBF40" w14:textId="77777777" w:rsidR="00C619FA" w:rsidRPr="008253DC" w:rsidRDefault="00C619FA" w:rsidP="00C619FA">
      <w:pPr>
        <w:pStyle w:val="SingleTxtG"/>
        <w:rPr>
          <w:bCs/>
          <w:lang w:val="es-ES_tradnl"/>
        </w:rPr>
      </w:pPr>
      <w:r w:rsidRPr="008253DC">
        <w:rPr>
          <w:lang w:val="es-ES_tradnl"/>
        </w:rPr>
        <w:t>109.</w:t>
      </w:r>
      <w:r w:rsidRPr="008253DC">
        <w:rPr>
          <w:lang w:val="es-ES_tradnl"/>
        </w:rPr>
        <w:tab/>
        <w:t>La Ley de Igualdad entre los Géneros, núm. 10/2008, contiene medidas para la aplicación y la supervisión de la política representada.</w:t>
      </w:r>
    </w:p>
    <w:p w14:paraId="5F58C69A" w14:textId="77777777" w:rsidR="00C619FA" w:rsidRPr="008253DC" w:rsidRDefault="00C619FA" w:rsidP="00C619FA">
      <w:pPr>
        <w:pStyle w:val="SingleTxtG"/>
        <w:rPr>
          <w:bCs/>
          <w:lang w:val="es-ES_tradnl"/>
        </w:rPr>
      </w:pPr>
      <w:r w:rsidRPr="008253DC">
        <w:rPr>
          <w:lang w:val="es-ES_tradnl"/>
        </w:rPr>
        <w:t>110.</w:t>
      </w:r>
      <w:r w:rsidRPr="008253DC">
        <w:rPr>
          <w:lang w:val="es-ES_tradnl"/>
        </w:rPr>
        <w:tab/>
        <w:t>En junio de 2014, se introdujo una enmienda a la Ley de Igualdad entre los Géneros, mediante la Ley núm. 62/2014 (sobre la ocupación, los puestos de trabajo, etc.). Entre otras cosas, la enmienda se introdujo en respuesta a las críticas de la Autoridad de Vigilancia de la Asociación Europea de Libre Comercio (AELC), ya que se consideró que las disposiciones anteriores de la Ley de Igualdad entre los Géneros no reflejaban adecuadamente el texto de algunas Directivas de la Unión Europea sobre igualdad de género respecto a la discriminación directa e indirecta, el hostigamiento por razón de género y el acoso sexual. Además, se agregó un nuevo párrafo al artículo 19 de la Ley (sobre igualdad salarial), por la que se autorizaba al Ministro a emitir normas sobre la aplicación del artículo, entre ellas, la introducción de una norma sobre igualdad salarial, por ejemplo, respecto a los requisitos de cualificación para la certificación y la aplicación de la igualdad salarial.</w:t>
      </w:r>
    </w:p>
    <w:p w14:paraId="6BC7DF4E" w14:textId="4491A881" w:rsidR="00C619FA" w:rsidRPr="008253DC" w:rsidRDefault="00C619FA" w:rsidP="00C619FA">
      <w:pPr>
        <w:pStyle w:val="SingleTxtG"/>
        <w:rPr>
          <w:bCs/>
          <w:lang w:val="es-ES_tradnl"/>
        </w:rPr>
      </w:pPr>
      <w:r w:rsidRPr="008253DC">
        <w:rPr>
          <w:lang w:val="es-ES_tradnl"/>
        </w:rPr>
        <w:t>111.</w:t>
      </w:r>
      <w:r w:rsidRPr="008253DC">
        <w:rPr>
          <w:lang w:val="es-ES_tradnl"/>
        </w:rPr>
        <w:tab/>
        <w:t>En 2015, se introdujo una enmienda a la Ley de Igualdad entre los Géneros, mediante la Ley núm. 79/2015, por la que se prohibía la discriminación en relación con la prestación de bienes y servicios. Esto último dio efectividad a la Directiva 2004/113/CE del Consejo de la Unión Europea por la que se aplica el principio de igualdad de trato entre hombres y mujeres al acceso a bienes y servicios y su suministro.</w:t>
      </w:r>
    </w:p>
    <w:p w14:paraId="6DCE999C" w14:textId="77777777" w:rsidR="00C619FA" w:rsidRPr="008253DC" w:rsidRDefault="00C619FA" w:rsidP="00C619FA">
      <w:pPr>
        <w:pStyle w:val="SingleTxtG"/>
        <w:rPr>
          <w:bCs/>
          <w:lang w:val="es-ES_tradnl"/>
        </w:rPr>
      </w:pPr>
      <w:r w:rsidRPr="008253DC">
        <w:rPr>
          <w:lang w:val="es-ES_tradnl"/>
        </w:rPr>
        <w:t>112.</w:t>
      </w:r>
      <w:r w:rsidRPr="008253DC">
        <w:rPr>
          <w:lang w:val="es-ES_tradnl"/>
        </w:rPr>
        <w:tab/>
        <w:t>La finalidad de la Ley de Igualdad entre los Géneros de Islandia es establecer y mantener la igualdad de derechos y oportunidades para mujeres y hombres, a fin de igualar su posición en todas las esferas de la sociedad y garantizar que todas las personas disfruten de las mismas oportunidades para beneficiarse de su propia actividad y para desarrollar sus competencias, sin distinción del género. La Ley impone obligaciones positivas a las autoridades gubernamentales en la esfera de la igualdad de género; asimismo, establece las medidas que deberán adoptarse específicamente para mejorar la situación de las mujeres mediante medidas progresistas y para aumentar sus oportunidades en la sociedad. Esos objetivos se basan en el artículo 3 de la Convención sobre la Eliminación de Todas las Formas de Discriminación contra la Mujer (CEDAW).</w:t>
      </w:r>
    </w:p>
    <w:p w14:paraId="29E7F3A1" w14:textId="77777777" w:rsidR="00C619FA" w:rsidRPr="008253DC" w:rsidRDefault="00C619FA" w:rsidP="00C619FA">
      <w:pPr>
        <w:pStyle w:val="SingleTxtG"/>
        <w:rPr>
          <w:bCs/>
          <w:lang w:val="es-ES_tradnl"/>
        </w:rPr>
      </w:pPr>
      <w:r w:rsidRPr="008253DC">
        <w:rPr>
          <w:lang w:val="es-ES_tradnl"/>
        </w:rPr>
        <w:lastRenderedPageBreak/>
        <w:t>113.</w:t>
      </w:r>
      <w:r w:rsidRPr="008253DC">
        <w:rPr>
          <w:lang w:val="es-ES_tradnl"/>
        </w:rPr>
        <w:tab/>
        <w:t>El Consejo para la Igualdad entre los Géneros, además de su función consultiva y en asociación con el Ministro de Asuntos Sociales e Igualdad, cada dos años organiza un Foro sobre Igualdad de Género, con la finalidad de animar un debate intenso en esa esfera entre los actores públicos y las partes interesadas pertinentes.</w:t>
      </w:r>
    </w:p>
    <w:p w14:paraId="427A2800" w14:textId="61CEDD30" w:rsidR="00C619FA" w:rsidRPr="008253DC" w:rsidRDefault="00C619FA" w:rsidP="00C619FA">
      <w:pPr>
        <w:pStyle w:val="SingleTxtG"/>
        <w:rPr>
          <w:bCs/>
          <w:lang w:val="es-ES_tradnl"/>
        </w:rPr>
      </w:pPr>
      <w:r w:rsidRPr="008253DC">
        <w:rPr>
          <w:lang w:val="es-ES_tradnl"/>
        </w:rPr>
        <w:t>114.</w:t>
      </w:r>
      <w:r w:rsidRPr="008253DC">
        <w:rPr>
          <w:lang w:val="es-ES_tradnl"/>
        </w:rPr>
        <w:tab/>
        <w:t>Un proyecto de ley (Enmienda a la Ley de Igualdad entre los Géneros, núm. 10/2008), presentado por el Ministro de Asuntos Sociales e Igualdad y aprobado con amplia mayoría por el Parlamento, el 1 de junio de 2017, entró en vigor el 1 de enero de 2018. En la actualidad, las empresas e instituciones que emplean anualmente a 25 o más trabajadores están obligadas a obtener una certificación de igualdad de remuneración de su sistema de igualdad salarial y de llevarla a efecto. La finalidad de esa certificación obligatoria es hacer efectiva la legislación vigente que prohíbe toda práctica discriminatoria por razón de género y exige que las mujeres y los hombres que trabajan para el mismo empleador reciban el mismo salario y disfruten de iguales condiciones de empleo para el mismo trabajo o por trabajo de igual valor. Las enmiendas aprobadas implicaron cambios al artículo 19 sobre la igualdad de remuneración.</w:t>
      </w:r>
    </w:p>
    <w:p w14:paraId="635D70E6" w14:textId="77777777" w:rsidR="00C619FA" w:rsidRPr="008253DC" w:rsidRDefault="00C619FA" w:rsidP="00CA57F3">
      <w:pPr>
        <w:pStyle w:val="H23G"/>
        <w:rPr>
          <w:lang w:val="es-ES_tradnl"/>
        </w:rPr>
      </w:pPr>
      <w:r w:rsidRPr="008253DC">
        <w:rPr>
          <w:lang w:val="es-ES_tradnl"/>
        </w:rPr>
        <w:tab/>
        <w:t>4.</w:t>
      </w:r>
      <w:r w:rsidRPr="008253DC">
        <w:rPr>
          <w:lang w:val="es-ES_tradnl"/>
        </w:rPr>
        <w:tab/>
        <w:t>Leyes contra la discriminación</w:t>
      </w:r>
    </w:p>
    <w:p w14:paraId="12C10CC9" w14:textId="77777777" w:rsidR="00C619FA" w:rsidRPr="008253DC" w:rsidRDefault="00C619FA" w:rsidP="00C619FA">
      <w:pPr>
        <w:pStyle w:val="SingleTxtG"/>
        <w:rPr>
          <w:bCs/>
          <w:lang w:val="es-ES_tradnl"/>
        </w:rPr>
      </w:pPr>
      <w:r w:rsidRPr="008253DC">
        <w:rPr>
          <w:lang w:val="es-ES_tradnl"/>
        </w:rPr>
        <w:t>115.</w:t>
      </w:r>
      <w:r w:rsidRPr="008253DC">
        <w:rPr>
          <w:lang w:val="es-ES_tradnl"/>
        </w:rPr>
        <w:tab/>
        <w:t>El 19 de marzo de 2018, el Ministro de Asuntos Sociales e Igualdad presentó al Parlamento dos proyectos de ley: uno sobre igualdad de trato en el mercado laboral y otro sobre igualdad de trato de las personas, independientemente de la raza u origen nacional. Ambos proyectos de ley se aprobaron y la nueva legislación entró en vigor el 1 de septiembre de 2018.</w:t>
      </w:r>
    </w:p>
    <w:p w14:paraId="13143DB5" w14:textId="6D0F51A1" w:rsidR="00C619FA" w:rsidRPr="008253DC" w:rsidRDefault="00C619FA" w:rsidP="00C619FA">
      <w:pPr>
        <w:pStyle w:val="SingleTxtG"/>
        <w:rPr>
          <w:bCs/>
          <w:lang w:val="es-ES_tradnl"/>
        </w:rPr>
      </w:pPr>
      <w:r w:rsidRPr="008253DC">
        <w:rPr>
          <w:lang w:val="es-ES_tradnl"/>
        </w:rPr>
        <w:t>116.</w:t>
      </w:r>
      <w:r w:rsidRPr="008253DC">
        <w:rPr>
          <w:lang w:val="es-ES_tradnl"/>
        </w:rPr>
        <w:tab/>
        <w:t xml:space="preserve">La nueva Ley de Igualdad de Trato en el Mercado Laboral contiene una prohibición de cualquier tipo de discriminación contra las personas en el mercado de trabajo, se trate de discriminación directa o indirecta por motivos de raza, origen nacional, religión, discapacidad, capacidad para trabajar reducida, edad u orientación sexual. La </w:t>
      </w:r>
      <w:r w:rsidR="00DA0B0C" w:rsidRPr="008253DC">
        <w:rPr>
          <w:lang w:val="es-ES_tradnl"/>
        </w:rPr>
        <w:t xml:space="preserve">Ley </w:t>
      </w:r>
      <w:r w:rsidRPr="008253DC">
        <w:rPr>
          <w:lang w:val="es-ES_tradnl"/>
        </w:rPr>
        <w:t>es importante para la promoción de la participación activa en el mercado de trabajo, considerado una de las mejores formas de prevenir la exclusión social y la pobreza. En el proceso legislativo, sirvió de referencia la Directiva 2000/78/CE del Consejo de la Unión Europea relativa al establecimiento de un marco general para la igualdad de trato en el empleo y la ocupación.</w:t>
      </w:r>
    </w:p>
    <w:p w14:paraId="0A90158F" w14:textId="6B5D0A19" w:rsidR="00C619FA" w:rsidRPr="008253DC" w:rsidRDefault="00C619FA" w:rsidP="00C619FA">
      <w:pPr>
        <w:pStyle w:val="SingleTxtG"/>
        <w:rPr>
          <w:bCs/>
          <w:lang w:val="es-ES_tradnl"/>
        </w:rPr>
      </w:pPr>
      <w:r w:rsidRPr="008253DC">
        <w:rPr>
          <w:lang w:val="es-ES_tradnl"/>
        </w:rPr>
        <w:t>117.</w:t>
      </w:r>
      <w:r w:rsidRPr="008253DC">
        <w:rPr>
          <w:lang w:val="es-ES_tradnl"/>
        </w:rPr>
        <w:tab/>
        <w:t>La nueva Ley de Igualdad de Trato de las Personas, con independencia de la raza o el origen nacional, tiene por objeto garantizar el mismo principio de igualdad de trato de las personas, aunque fuera del mercado de trabajo en todos los ámbitos de la sociedad islandesa. En el proceso legislativo, sirvió de referencia el contenido de la Directiva 2000/43/CE del Consejo de la Unión Europea relativa a la aplicación del principio de igualdad de trato de las personas independientemente de su origen racial o étnico.</w:t>
      </w:r>
    </w:p>
    <w:p w14:paraId="5497C964" w14:textId="77777777" w:rsidR="00C619FA" w:rsidRPr="008253DC" w:rsidRDefault="00C619FA" w:rsidP="00C619FA">
      <w:pPr>
        <w:pStyle w:val="SingleTxtG"/>
        <w:rPr>
          <w:bCs/>
          <w:lang w:val="es-ES_tradnl"/>
        </w:rPr>
      </w:pPr>
      <w:r w:rsidRPr="008253DC">
        <w:rPr>
          <w:lang w:val="es-ES_tradnl"/>
        </w:rPr>
        <w:t>118.</w:t>
      </w:r>
      <w:r w:rsidRPr="008253DC">
        <w:rPr>
          <w:lang w:val="es-ES_tradnl"/>
        </w:rPr>
        <w:tab/>
        <w:t>El propósito de una prohibición explícita de todo tipo de discriminación es alentar la participación activa de la mayor cantidad posible de personas en la sociedad islandesa, independientemente de la raza o el origen nacional, y prevenir la exclusión social de las personas por los mismos motivos.</w:t>
      </w:r>
    </w:p>
    <w:p w14:paraId="5E15F53E" w14:textId="77777777" w:rsidR="00C619FA" w:rsidRPr="008253DC" w:rsidRDefault="00C619FA" w:rsidP="00AF7A6A">
      <w:pPr>
        <w:pStyle w:val="H1G"/>
        <w:rPr>
          <w:lang w:val="es-ES_tradnl"/>
        </w:rPr>
      </w:pPr>
      <w:r w:rsidRPr="008253DC">
        <w:rPr>
          <w:lang w:val="es-ES_tradnl"/>
        </w:rPr>
        <w:tab/>
        <w:t>B.</w:t>
      </w:r>
      <w:r w:rsidRPr="008253DC">
        <w:rPr>
          <w:lang w:val="es-ES_tradnl"/>
        </w:rPr>
        <w:tab/>
        <w:t>Marco institucional y recursos efectivos</w:t>
      </w:r>
    </w:p>
    <w:p w14:paraId="0B6E254B" w14:textId="348911FF" w:rsidR="00C619FA" w:rsidRPr="008253DC" w:rsidRDefault="00C619FA" w:rsidP="00AF7A6A">
      <w:pPr>
        <w:pStyle w:val="H23G"/>
        <w:rPr>
          <w:lang w:val="es-ES_tradnl"/>
        </w:rPr>
      </w:pPr>
      <w:r w:rsidRPr="008253DC">
        <w:rPr>
          <w:lang w:val="es-ES_tradnl"/>
        </w:rPr>
        <w:tab/>
        <w:t>1.</w:t>
      </w:r>
      <w:r w:rsidRPr="008253DC">
        <w:rPr>
          <w:lang w:val="es-ES_tradnl"/>
        </w:rPr>
        <w:tab/>
        <w:t>Comité de Quejas encargado de los asuntos relacionados con la igualdad entre los</w:t>
      </w:r>
      <w:r w:rsidR="00AF7A6A" w:rsidRPr="008253DC">
        <w:rPr>
          <w:lang w:val="es-ES_tradnl"/>
        </w:rPr>
        <w:t> </w:t>
      </w:r>
      <w:r w:rsidRPr="008253DC">
        <w:rPr>
          <w:lang w:val="es-ES_tradnl"/>
        </w:rPr>
        <w:t xml:space="preserve">géneros </w:t>
      </w:r>
      <w:r w:rsidRPr="008253DC">
        <w:rPr>
          <w:i/>
          <w:iCs/>
          <w:lang w:val="es-ES_tradnl"/>
        </w:rPr>
        <w:t>(Kærunefnd jafnréttismála)</w:t>
      </w:r>
    </w:p>
    <w:p w14:paraId="1B995297" w14:textId="77777777" w:rsidR="00C619FA" w:rsidRPr="008253DC" w:rsidRDefault="00C619FA" w:rsidP="00C619FA">
      <w:pPr>
        <w:pStyle w:val="SingleTxtG"/>
        <w:rPr>
          <w:lang w:val="es-ES_tradnl"/>
        </w:rPr>
      </w:pPr>
      <w:r w:rsidRPr="008253DC">
        <w:rPr>
          <w:lang w:val="es-ES_tradnl"/>
        </w:rPr>
        <w:t>119.</w:t>
      </w:r>
      <w:r w:rsidRPr="008253DC">
        <w:rPr>
          <w:lang w:val="es-ES_tradnl"/>
        </w:rPr>
        <w:tab/>
        <w:t>La labor del Comité de Quejas encargado de los asuntos relacionados con la igualdad entre los géneros consiste en examinar los casos y dictar fallos por escrito sobre si se han vulnerado las disposiciones de la Ley núm. 10/2008. Los fallos del Comité no podrán remitirse a una instancia superior. Por lo que respecta a los casos que se espera orientarán la política sobre el mercado laboral en conjunto, el Comité recabará observaciones de las federaciones nacionales de trabajadores y empleadores, antes de pronunciar su sentencia. Los fallos del Comité de Quejas serán vinculantes para las partes pertinentes. Las partes podrán remitir los fallos del Comité a los tribunales.</w:t>
      </w:r>
    </w:p>
    <w:p w14:paraId="64022200" w14:textId="77777777" w:rsidR="00C619FA" w:rsidRPr="008253DC" w:rsidRDefault="00C619FA" w:rsidP="00AF7A6A">
      <w:pPr>
        <w:pStyle w:val="H23G"/>
        <w:rPr>
          <w:lang w:val="es-ES_tradnl"/>
        </w:rPr>
      </w:pPr>
      <w:r w:rsidRPr="008253DC">
        <w:rPr>
          <w:lang w:val="es-ES_tradnl"/>
        </w:rPr>
        <w:lastRenderedPageBreak/>
        <w:tab/>
        <w:t>2.</w:t>
      </w:r>
      <w:r w:rsidRPr="008253DC">
        <w:rPr>
          <w:lang w:val="es-ES_tradnl"/>
        </w:rPr>
        <w:tab/>
        <w:t xml:space="preserve">Centro para la Igualdad entre los Géneros </w:t>
      </w:r>
      <w:r w:rsidRPr="008253DC">
        <w:rPr>
          <w:i/>
          <w:iCs/>
          <w:lang w:val="es-ES_tradnl"/>
        </w:rPr>
        <w:t>(Jafnréttisstofa)</w:t>
      </w:r>
    </w:p>
    <w:p w14:paraId="40DF4E37" w14:textId="77777777" w:rsidR="00C619FA" w:rsidRPr="008253DC" w:rsidRDefault="00C619FA" w:rsidP="00C619FA">
      <w:pPr>
        <w:pStyle w:val="SingleTxtG"/>
        <w:rPr>
          <w:bCs/>
          <w:lang w:val="es-ES_tradnl"/>
        </w:rPr>
      </w:pPr>
      <w:r w:rsidRPr="008253DC">
        <w:rPr>
          <w:lang w:val="es-ES_tradnl"/>
        </w:rPr>
        <w:t>120.</w:t>
      </w:r>
      <w:r w:rsidRPr="008253DC">
        <w:rPr>
          <w:lang w:val="es-ES_tradnl"/>
        </w:rPr>
        <w:tab/>
        <w:t>El Centro para la Igualdad entre los Géneros se encarga de la administración de la normativa sobre igualdad de género y presta asesoramiento e imparte formación en esa esfera. Asimismo, presta apoyo para preparar las quejas para el Comité de Quejas, en caso de necesidad. No obstante, el Centro no es una institución independiente y trabaja bajo los auspicios del Ministerio de Asuntos Sociales e Igualdad.</w:t>
      </w:r>
    </w:p>
    <w:p w14:paraId="51C86341" w14:textId="77777777" w:rsidR="00C619FA" w:rsidRPr="008253DC" w:rsidRDefault="00C619FA" w:rsidP="00AF7A6A">
      <w:pPr>
        <w:pStyle w:val="H23G"/>
        <w:rPr>
          <w:lang w:val="es-ES_tradnl"/>
        </w:rPr>
      </w:pPr>
      <w:r w:rsidRPr="008253DC">
        <w:rPr>
          <w:lang w:val="es-ES_tradnl"/>
        </w:rPr>
        <w:tab/>
        <w:t>3.</w:t>
      </w:r>
      <w:r w:rsidRPr="008253DC">
        <w:rPr>
          <w:lang w:val="es-ES_tradnl"/>
        </w:rPr>
        <w:tab/>
        <w:t>Consejo para la Igualdad entre los Géneros</w:t>
      </w:r>
    </w:p>
    <w:p w14:paraId="0F949533" w14:textId="4DAA06E2" w:rsidR="00C619FA" w:rsidRPr="008253DC" w:rsidRDefault="00C619FA" w:rsidP="00C619FA">
      <w:pPr>
        <w:pStyle w:val="SingleTxtG"/>
        <w:rPr>
          <w:bCs/>
          <w:lang w:val="es-ES_tradnl"/>
        </w:rPr>
      </w:pPr>
      <w:r w:rsidRPr="008253DC">
        <w:rPr>
          <w:lang w:val="es-ES_tradnl"/>
        </w:rPr>
        <w:t>121.</w:t>
      </w:r>
      <w:r w:rsidRPr="008253DC">
        <w:rPr>
          <w:lang w:val="es-ES_tradnl"/>
        </w:rPr>
        <w:tab/>
        <w:t xml:space="preserve">Después de cada una de las elecciones parlamentarias, el Ministro de Asuntos Sociales e Igualdad designa un Consejo para la Igualdad entre los Géneros integrado por </w:t>
      </w:r>
      <w:r w:rsidR="00932A96" w:rsidRPr="008253DC">
        <w:rPr>
          <w:lang w:val="es-ES_tradnl"/>
        </w:rPr>
        <w:t>11 </w:t>
      </w:r>
      <w:r w:rsidRPr="008253DC">
        <w:rPr>
          <w:lang w:val="es-ES_tradnl"/>
        </w:rPr>
        <w:t>representantes. Las asociaciones de empleados y empleadores, diversas organizaciones de mujeres, organizaciones de la sociedad civil, instituciones académicas y la Asociación de Autoridades Locales de Islandia nombran a los representantes. El Consejo colabora estrechamente con el Centro para la Igualdad entre los Géneros y el Ministerio de Asuntos Sociales e Igualdad, y concede especial atención a la promoción de la igualdad de género en el mercado de trabajo y a la conciliación de la vida laboral y familiar.</w:t>
      </w:r>
    </w:p>
    <w:p w14:paraId="522C7E2C" w14:textId="77777777" w:rsidR="00C619FA" w:rsidRPr="008253DC" w:rsidRDefault="00C619FA" w:rsidP="00AF7A6A">
      <w:pPr>
        <w:pStyle w:val="H23G"/>
        <w:rPr>
          <w:lang w:val="es-ES_tradnl"/>
        </w:rPr>
      </w:pPr>
      <w:r w:rsidRPr="008253DC">
        <w:rPr>
          <w:lang w:val="es-ES_tradnl"/>
        </w:rPr>
        <w:tab/>
        <w:t>4.</w:t>
      </w:r>
      <w:r w:rsidRPr="008253DC">
        <w:rPr>
          <w:lang w:val="es-ES_tradnl"/>
        </w:rPr>
        <w:tab/>
        <w:t>Organización de la administración pública central</w:t>
      </w:r>
    </w:p>
    <w:p w14:paraId="0FF1441D" w14:textId="77777777" w:rsidR="00C619FA" w:rsidRPr="008253DC" w:rsidRDefault="00C619FA" w:rsidP="00C619FA">
      <w:pPr>
        <w:pStyle w:val="SingleTxtG"/>
        <w:rPr>
          <w:lang w:val="es-ES_tradnl"/>
        </w:rPr>
      </w:pPr>
      <w:r w:rsidRPr="008253DC">
        <w:rPr>
          <w:lang w:val="es-ES_tradnl"/>
        </w:rPr>
        <w:t>122.</w:t>
      </w:r>
      <w:r w:rsidRPr="008253DC">
        <w:rPr>
          <w:lang w:val="es-ES_tradnl"/>
        </w:rPr>
        <w:tab/>
        <w:t>El Ministerio de Asuntos Sociales e Igualdad desempeña un papel fundamental en los esfuerzos por promover una perspectiva de igualdad de derechos en todas las esferas de política y en todos los niveles administrativos. No obstante, cada ministerio es responsable de promover la igualdad de derechos y de prevenir la discriminación en su sector.</w:t>
      </w:r>
    </w:p>
    <w:p w14:paraId="35CED61E" w14:textId="258E8AF7" w:rsidR="00C619FA" w:rsidRPr="008253DC" w:rsidRDefault="00C619FA" w:rsidP="00C619FA">
      <w:pPr>
        <w:pStyle w:val="SingleTxtG"/>
        <w:rPr>
          <w:lang w:val="es-ES_tradnl"/>
        </w:rPr>
      </w:pPr>
      <w:r w:rsidRPr="008253DC">
        <w:rPr>
          <w:lang w:val="es-ES_tradnl"/>
        </w:rPr>
        <w:t>123.</w:t>
      </w:r>
      <w:r w:rsidRPr="008253DC">
        <w:rPr>
          <w:lang w:val="es-ES_tradnl"/>
        </w:rPr>
        <w:tab/>
        <w:t>Islandia no tiene un Defensor del Pueblo estatal de la lucha contra la discriminación, que ayude a las víctimas a llevar ante los tribunales los casos de discriminación. El Centro para la Igualdad entre los Géneros de Islandia solo trata los casos de discriminación relacionados con el género.</w:t>
      </w:r>
    </w:p>
    <w:p w14:paraId="5AF8FE9C" w14:textId="77777777" w:rsidR="00C619FA" w:rsidRPr="008253DC" w:rsidRDefault="00C619FA" w:rsidP="00AF7A6A">
      <w:pPr>
        <w:pStyle w:val="H1G"/>
        <w:rPr>
          <w:lang w:val="es-ES_tradnl"/>
        </w:rPr>
      </w:pPr>
      <w:r w:rsidRPr="008253DC">
        <w:rPr>
          <w:lang w:val="es-ES_tradnl"/>
        </w:rPr>
        <w:tab/>
        <w:t>C.</w:t>
      </w:r>
      <w:r w:rsidRPr="008253DC">
        <w:rPr>
          <w:lang w:val="es-ES_tradnl"/>
        </w:rPr>
        <w:tab/>
        <w:t>Igualdad de género y grupos vulnerables específicos</w:t>
      </w:r>
    </w:p>
    <w:p w14:paraId="1D4C8BFA" w14:textId="77777777" w:rsidR="00C619FA" w:rsidRPr="008253DC" w:rsidRDefault="00C619FA" w:rsidP="00AF7A6A">
      <w:pPr>
        <w:pStyle w:val="H23G"/>
        <w:rPr>
          <w:lang w:val="es-ES_tradnl"/>
        </w:rPr>
      </w:pPr>
      <w:r w:rsidRPr="008253DC">
        <w:rPr>
          <w:lang w:val="es-ES_tradnl"/>
        </w:rPr>
        <w:tab/>
        <w:t>1.</w:t>
      </w:r>
      <w:r w:rsidRPr="008253DC">
        <w:rPr>
          <w:lang w:val="es-ES_tradnl"/>
        </w:rPr>
        <w:tab/>
        <w:t>Discurso de odio</w:t>
      </w:r>
    </w:p>
    <w:p w14:paraId="1CA2BF7A" w14:textId="77777777" w:rsidR="00C619FA" w:rsidRPr="008253DC" w:rsidRDefault="00C619FA" w:rsidP="00C619FA">
      <w:pPr>
        <w:pStyle w:val="SingleTxtG"/>
        <w:rPr>
          <w:bCs/>
          <w:lang w:val="es-ES_tradnl"/>
        </w:rPr>
      </w:pPr>
      <w:r w:rsidRPr="008253DC">
        <w:rPr>
          <w:lang w:val="es-ES_tradnl"/>
        </w:rPr>
        <w:t>124.</w:t>
      </w:r>
      <w:r w:rsidRPr="008253DC">
        <w:rPr>
          <w:lang w:val="es-ES_tradnl"/>
        </w:rPr>
        <w:tab/>
        <w:t>El artículo 233 del Código Penal General de Islandia establece que toda persona que públicamente se burle, difame, denigre o amenace a una persona o grupo de personas con comentarios u otros medios de expresión, por ejemplo, mediante fotografías o símbolos, por motivos de su nacionalidad, color, raza, religión, orientación sexual o identidad de género, o que difunda ese tipo de material, será sancionada con una multa o la reclusión por un plazo de hasta dos años. El Código Penal también incluye los artículos 125, 180 y 234 que contienen disposiciones sobre alguna forma de discurso de odio o discriminación.</w:t>
      </w:r>
    </w:p>
    <w:p w14:paraId="2A987401" w14:textId="0ED6E3C5" w:rsidR="00C619FA" w:rsidRPr="008253DC" w:rsidRDefault="00C619FA" w:rsidP="00C619FA">
      <w:pPr>
        <w:pStyle w:val="SingleTxtG"/>
        <w:rPr>
          <w:bCs/>
          <w:lang w:val="es-ES_tradnl"/>
        </w:rPr>
      </w:pPr>
      <w:r w:rsidRPr="008253DC">
        <w:rPr>
          <w:lang w:val="es-ES_tradnl"/>
        </w:rPr>
        <w:t>125.</w:t>
      </w:r>
      <w:r w:rsidRPr="008253DC">
        <w:rPr>
          <w:lang w:val="es-ES_tradnl"/>
        </w:rPr>
        <w:tab/>
        <w:t>El artículo 65 de la Constitución establece el principio de igualdad, sin distinción de sexo, religión, opinión, origen nacional, raza, color, posición económica, nacimiento o cualquier otra condición.</w:t>
      </w:r>
    </w:p>
    <w:p w14:paraId="35A7052F" w14:textId="77777777" w:rsidR="00C619FA" w:rsidRPr="008253DC" w:rsidRDefault="00C619FA" w:rsidP="00C619FA">
      <w:pPr>
        <w:pStyle w:val="SingleTxtG"/>
        <w:rPr>
          <w:bCs/>
          <w:lang w:val="es-ES_tradnl"/>
        </w:rPr>
      </w:pPr>
      <w:r w:rsidRPr="008253DC">
        <w:rPr>
          <w:lang w:val="es-ES_tradnl"/>
        </w:rPr>
        <w:t>126.</w:t>
      </w:r>
      <w:r w:rsidRPr="008253DC">
        <w:rPr>
          <w:lang w:val="es-ES_tradnl"/>
        </w:rPr>
        <w:tab/>
        <w:t>El artículo 27 de la Ley de Medios de Comunicación establece que los reporteros no están autorizados a avivar deliberadamente el odio por motivos de raza, género, orientación sexual, religión, nacionalidad o la posición cultural, económica o social de una persona en la sociedad.</w:t>
      </w:r>
    </w:p>
    <w:p w14:paraId="637EA61A" w14:textId="77777777" w:rsidR="00C619FA" w:rsidRPr="008253DC" w:rsidRDefault="00C619FA" w:rsidP="00AF7A6A">
      <w:pPr>
        <w:pStyle w:val="H23G"/>
        <w:rPr>
          <w:lang w:val="es-ES_tradnl"/>
        </w:rPr>
      </w:pPr>
      <w:bookmarkStart w:id="2" w:name="_Hlk68606347"/>
      <w:r w:rsidRPr="008253DC">
        <w:rPr>
          <w:lang w:val="es-ES_tradnl"/>
        </w:rPr>
        <w:tab/>
        <w:t>2.</w:t>
      </w:r>
      <w:r w:rsidRPr="008253DC">
        <w:rPr>
          <w:lang w:val="es-ES_tradnl"/>
        </w:rPr>
        <w:tab/>
        <w:t>Igualdad de género</w:t>
      </w:r>
    </w:p>
    <w:p w14:paraId="0CB71EF9" w14:textId="77777777" w:rsidR="00C619FA" w:rsidRPr="008253DC" w:rsidRDefault="00C619FA" w:rsidP="00C619FA">
      <w:pPr>
        <w:pStyle w:val="SingleTxtG"/>
        <w:rPr>
          <w:lang w:val="es-ES_tradnl"/>
        </w:rPr>
      </w:pPr>
      <w:r w:rsidRPr="008253DC">
        <w:rPr>
          <w:lang w:val="es-ES_tradnl"/>
        </w:rPr>
        <w:t>127.</w:t>
      </w:r>
      <w:r w:rsidRPr="008253DC">
        <w:rPr>
          <w:lang w:val="es-ES_tradnl"/>
        </w:rPr>
        <w:tab/>
        <w:t>La Ley de Igualdad y la Ley contra la Discriminación prohíben la discriminación por motivos de género en todos los ámbitos de la sociedad.</w:t>
      </w:r>
    </w:p>
    <w:bookmarkEnd w:id="2"/>
    <w:p w14:paraId="682BDCAB" w14:textId="77777777" w:rsidR="00C619FA" w:rsidRPr="008253DC" w:rsidRDefault="00C619FA" w:rsidP="00C619FA">
      <w:pPr>
        <w:pStyle w:val="SingleTxtG"/>
        <w:rPr>
          <w:lang w:val="es-ES_tradnl"/>
        </w:rPr>
      </w:pPr>
      <w:r w:rsidRPr="008253DC">
        <w:rPr>
          <w:lang w:val="es-ES_tradnl"/>
        </w:rPr>
        <w:t>128.</w:t>
      </w:r>
      <w:r w:rsidRPr="008253DC">
        <w:rPr>
          <w:lang w:val="es-ES_tradnl"/>
        </w:rPr>
        <w:tab/>
        <w:t>El principio de igualdad se contempla específicamente en una disposición de la Constitución (véase el artículo 65). En ella se establece que los hombres y las mujeres tendrán los mismos derechos en todos los aspectos. En Islandia, existe también un estatuto especial desde 1976 por el cual se garantiza la igualdad entre el hombre y la mujer, así como la igualdad jurídica en todos los sentidos.</w:t>
      </w:r>
    </w:p>
    <w:p w14:paraId="75BD7E62" w14:textId="6875F6A7" w:rsidR="00C619FA" w:rsidRPr="008253DC" w:rsidRDefault="00C619FA" w:rsidP="00C619FA">
      <w:pPr>
        <w:pStyle w:val="SingleTxtG"/>
        <w:rPr>
          <w:lang w:val="es-ES_tradnl"/>
        </w:rPr>
      </w:pPr>
      <w:r w:rsidRPr="008253DC">
        <w:rPr>
          <w:lang w:val="es-ES_tradnl"/>
        </w:rPr>
        <w:lastRenderedPageBreak/>
        <w:t>129.</w:t>
      </w:r>
      <w:r w:rsidRPr="008253DC">
        <w:rPr>
          <w:lang w:val="es-ES_tradnl"/>
        </w:rPr>
        <w:tab/>
        <w:t>En los años cuarenta, cuando comenzó a ponerse en marcha el sistema de bienestar social en Islandia conforme al modelo nórdico, surgió una nueva imagen respecto de la posición del hombre y de la mujer en la sociedad, en que las mujeres fueron adquiriendo cada vez más derechos e igualdad de condiciones. Desde 1850, al adoptarse la primera medida hacia la igualdad de género mediante la introducción del principio de igualdad en el derecho de herencia para hijas e hijos, se han emprendido numerosas iniciativas con el fin de garantizar la igualdad de género en Islandia. Según el Foro Económico Mundial, en el sistema islandés se ha alcanzado una igualdad sustancial entre los sexos, lo que refleja el Índice mundial de disparidad entre los géneros. En una encuesta de 140 países, se clasificó a Islandia como líder mundial en materia de igualdad de género por el duodécimo año consecutivo. La situación de cada país se evalúa según cuatro categorías fundamentales, a saber, el acceso a la atención de la salud; el nivel de educación; la capacidad de acción política, y la participación y las oportunidades económicas. Cada una de esas categorías fundamentales se divide en subcategorías, entre ellas, la participación en el mercado de trabajo, la igualdad de remuneración, los ingresos procedentes del empleo y la proporción de mujeres en cargos directivos y especializados.</w:t>
      </w:r>
    </w:p>
    <w:p w14:paraId="01A675E2" w14:textId="3087EAE2" w:rsidR="00C619FA" w:rsidRPr="008253DC" w:rsidRDefault="00C619FA" w:rsidP="00AF7A6A">
      <w:pPr>
        <w:pStyle w:val="H23G"/>
        <w:rPr>
          <w:lang w:val="es-ES_tradnl"/>
        </w:rPr>
      </w:pPr>
      <w:r w:rsidRPr="008253DC">
        <w:rPr>
          <w:lang w:val="es-ES_tradnl"/>
        </w:rPr>
        <w:tab/>
        <w:t>3.</w:t>
      </w:r>
      <w:r w:rsidRPr="008253DC">
        <w:rPr>
          <w:lang w:val="es-ES_tradnl"/>
        </w:rPr>
        <w:tab/>
        <w:t>Igualdad de derechos para personas lesbianas, gais, bisexuales, transgénero e</w:t>
      </w:r>
      <w:r w:rsidR="00AF7A6A" w:rsidRPr="008253DC">
        <w:rPr>
          <w:lang w:val="es-ES_tradnl"/>
        </w:rPr>
        <w:t> </w:t>
      </w:r>
      <w:r w:rsidRPr="008253DC">
        <w:rPr>
          <w:lang w:val="es-ES_tradnl"/>
        </w:rPr>
        <w:t>intersexuales</w:t>
      </w:r>
    </w:p>
    <w:p w14:paraId="6A051160" w14:textId="77777777" w:rsidR="00C619FA" w:rsidRPr="008253DC" w:rsidRDefault="00C619FA" w:rsidP="0060200B">
      <w:pPr>
        <w:pStyle w:val="SingleTxtG"/>
        <w:spacing w:after="130"/>
        <w:rPr>
          <w:bCs/>
          <w:lang w:val="es-ES_tradnl"/>
        </w:rPr>
      </w:pPr>
      <w:r w:rsidRPr="008253DC">
        <w:rPr>
          <w:lang w:val="es-ES_tradnl"/>
        </w:rPr>
        <w:t>130.</w:t>
      </w:r>
      <w:r w:rsidRPr="008253DC">
        <w:rPr>
          <w:lang w:val="es-ES_tradnl"/>
        </w:rPr>
        <w:tab/>
        <w:t>Islandia apoya firmemente los derechos de las personas lesbianas, gais, bisexuales, transgénero e intersexuales (LGBTI), como lo demuestra su compromiso voluntario con el Consejo de Derechos Humanos de seguir fomentando y defendiendo los derechos de las personas lesbianas, gais, bisexuales, transgénero e intersexuales. Según un estudio de la Organización para la Cooperación y el Desarrollo Económicos (OCDE), de 2019, Islandia ocupa el primer puesto en el índice por lo que respecta a la aceptación social de las personas LGBTI.</w:t>
      </w:r>
    </w:p>
    <w:p w14:paraId="5F788B82" w14:textId="1084451B" w:rsidR="00C619FA" w:rsidRPr="008253DC" w:rsidRDefault="00C619FA" w:rsidP="0060200B">
      <w:pPr>
        <w:pStyle w:val="SingleTxtG"/>
        <w:spacing w:after="130"/>
        <w:rPr>
          <w:bCs/>
          <w:lang w:val="es-ES_tradnl"/>
        </w:rPr>
      </w:pPr>
      <w:r w:rsidRPr="008253DC">
        <w:rPr>
          <w:lang w:val="es-ES_tradnl"/>
        </w:rPr>
        <w:t>131.</w:t>
      </w:r>
      <w:r w:rsidRPr="008253DC">
        <w:rPr>
          <w:lang w:val="es-ES_tradnl"/>
        </w:rPr>
        <w:tab/>
        <w:t>En virtud del Código Penal General, desde 1996 se sanciona todo acto de discriminación por motivos de orientación sexual. Ese mismo año, se concedieron los mismos derechos a la unión registrada entre parejas del mismo sexo que a los matrimonios, salvo algunas excepciones relativas a adopciones. En 2010, se suprimió esa diferencia entre matrimonios y uniones registradas y, en la actualidad, la Ley del Matrimonio se aplica tanto a parejas heterosexuales como a parejas del mismo sexo. Por consiguiente, las personas LGBTI en uniones registradas o matrimonios pueden adoptar a niños. No obstante, puede ser un proceso engorroso, ya que las leyes relativas a la adopción en los países donde los islandeses buscan adoptar a niños con frecuencia no son las mismas por lo que respecta a los derechos de las personas LGBTI.</w:t>
      </w:r>
    </w:p>
    <w:p w14:paraId="2E8CD44B" w14:textId="3FD29B72" w:rsidR="00C619FA" w:rsidRPr="008253DC" w:rsidRDefault="00C619FA" w:rsidP="0060200B">
      <w:pPr>
        <w:pStyle w:val="SingleTxtG"/>
        <w:spacing w:after="130"/>
        <w:rPr>
          <w:lang w:val="es-ES_tradnl"/>
        </w:rPr>
      </w:pPr>
      <w:r w:rsidRPr="008253DC">
        <w:rPr>
          <w:lang w:val="es-ES_tradnl"/>
        </w:rPr>
        <w:t>132.</w:t>
      </w:r>
      <w:r w:rsidRPr="008253DC">
        <w:rPr>
          <w:lang w:val="es-ES_tradnl"/>
        </w:rPr>
        <w:tab/>
        <w:t>La Ley de Autonomía de Género (núm. 80/2019), de 2019, garantiza el derecho de toda persona de 15 o más años de edad a cambiar la designación del género en el Registro Nacional de Islandia. Al cambiar la designación del género en el registro, el solicitante también tiene derecho a cambiar su nombre. No podrán exigirse requisitos médicos para el cambio de la designación del género en los registros, tales como intervenciones quirúrgicas, medicamentos, tratamientos hormonales, terapia psiquiát</w:t>
      </w:r>
      <w:r w:rsidR="00216ABE" w:rsidRPr="008253DC">
        <w:rPr>
          <w:lang w:val="es-ES_tradnl"/>
        </w:rPr>
        <w:t>r</w:t>
      </w:r>
      <w:r w:rsidRPr="008253DC">
        <w:rPr>
          <w:lang w:val="es-ES_tradnl"/>
        </w:rPr>
        <w:t xml:space="preserve">ica o psicológica. También está autorizada la designación neutra del género en los registros. La Ley mejora los derechos de las personas </w:t>
      </w:r>
      <w:r w:rsidRPr="008253DC">
        <w:rPr>
          <w:i/>
          <w:iCs/>
          <w:lang w:val="es-ES_tradnl"/>
        </w:rPr>
        <w:t>queer</w:t>
      </w:r>
      <w:r w:rsidRPr="008253DC">
        <w:rPr>
          <w:lang w:val="es-ES_tradnl"/>
        </w:rPr>
        <w:t>, ya que, en la actualidad, en Islandia se reconoce plenamente la libre determinación para la designación del género en los registros, sin ninguna intervención médica o psiquiátrica.</w:t>
      </w:r>
    </w:p>
    <w:p w14:paraId="6BB90175" w14:textId="5D1ECE64" w:rsidR="00C619FA" w:rsidRPr="008253DC" w:rsidRDefault="00C619FA" w:rsidP="0060200B">
      <w:pPr>
        <w:pStyle w:val="SingleTxtG"/>
        <w:spacing w:after="130"/>
        <w:rPr>
          <w:lang w:val="es-ES_tradnl"/>
        </w:rPr>
      </w:pPr>
      <w:r w:rsidRPr="008253DC">
        <w:rPr>
          <w:lang w:val="es-ES_tradnl"/>
        </w:rPr>
        <w:t>133.</w:t>
      </w:r>
      <w:r w:rsidRPr="008253DC">
        <w:rPr>
          <w:lang w:val="es-ES_tradnl"/>
        </w:rPr>
        <w:tab/>
        <w:t xml:space="preserve">En 2020, en una enmienda a la Ley de Autonomía de Género se agregó una disposición relativa a las características de cambios de sexo de los niños nacidos con atributos sexuales atípicos. Actualmente, dicha </w:t>
      </w:r>
      <w:r w:rsidR="00CC790F" w:rsidRPr="008253DC">
        <w:rPr>
          <w:lang w:val="es-ES_tradnl"/>
        </w:rPr>
        <w:t xml:space="preserve">Ley </w:t>
      </w:r>
      <w:r w:rsidRPr="008253DC">
        <w:rPr>
          <w:lang w:val="es-ES_tradnl"/>
        </w:rPr>
        <w:t>prohíbe las intervenciones quirúrgicas innecesarias a menores nacidos con atributos sexuales atípicos hasta que el niño sea capaz de dar su consentimiento informado.</w:t>
      </w:r>
    </w:p>
    <w:p w14:paraId="3379D8E5" w14:textId="77777777" w:rsidR="00C619FA" w:rsidRPr="008253DC" w:rsidRDefault="00C619FA" w:rsidP="0060200B">
      <w:pPr>
        <w:pStyle w:val="SingleTxtG"/>
        <w:spacing w:after="130"/>
        <w:rPr>
          <w:lang w:val="es-ES_tradnl"/>
        </w:rPr>
      </w:pPr>
      <w:r w:rsidRPr="008253DC">
        <w:rPr>
          <w:lang w:val="es-ES_tradnl"/>
        </w:rPr>
        <w:t>134.</w:t>
      </w:r>
      <w:r w:rsidRPr="008253DC">
        <w:rPr>
          <w:lang w:val="es-ES_tradnl"/>
        </w:rPr>
        <w:tab/>
        <w:t>Una nueva Ley de Igualdad de Género, de diciembre de 2020, garantiza el derecho de las personas a la designación neutra del género en los registros, al igual que a hombres y mujeres.</w:t>
      </w:r>
    </w:p>
    <w:p w14:paraId="6482988A" w14:textId="77777777" w:rsidR="00C619FA" w:rsidRPr="008253DC" w:rsidRDefault="00C619FA" w:rsidP="0060200B">
      <w:pPr>
        <w:pStyle w:val="SingleTxtG"/>
        <w:keepNext/>
        <w:keepLines/>
        <w:rPr>
          <w:lang w:val="es-ES_tradnl"/>
        </w:rPr>
      </w:pPr>
      <w:r w:rsidRPr="008253DC">
        <w:rPr>
          <w:lang w:val="es-ES_tradnl"/>
        </w:rPr>
        <w:lastRenderedPageBreak/>
        <w:t>135.</w:t>
      </w:r>
      <w:r w:rsidRPr="008253DC">
        <w:rPr>
          <w:lang w:val="es-ES_tradnl"/>
        </w:rPr>
        <w:tab/>
        <w:t>La Ley de Igualdad de Trato en el Mercado de Trabajo (núm. 86/2018), de 2018, regula la igualdad de trato de las personas en el trabajo y prohíbe que se hagan diferencias por motivos de origen racial o étnico, religión, discapacidad, capacidad reducida para trabajar, edad, orientación sexual, identidad de género, características sexuales y expresión de género.</w:t>
      </w:r>
    </w:p>
    <w:p w14:paraId="0122CDB0" w14:textId="77777777" w:rsidR="00C619FA" w:rsidRPr="008253DC" w:rsidRDefault="00C619FA" w:rsidP="00AF7A6A">
      <w:pPr>
        <w:pStyle w:val="H23G"/>
        <w:rPr>
          <w:lang w:val="es-ES_tradnl"/>
        </w:rPr>
      </w:pPr>
      <w:r w:rsidRPr="008253DC">
        <w:rPr>
          <w:lang w:val="es-ES_tradnl"/>
        </w:rPr>
        <w:tab/>
        <w:t>4.</w:t>
      </w:r>
      <w:r w:rsidRPr="008253DC">
        <w:rPr>
          <w:lang w:val="es-ES_tradnl"/>
        </w:rPr>
        <w:tab/>
        <w:t>Igualdad de derechos de las personas con discapacidad</w:t>
      </w:r>
    </w:p>
    <w:p w14:paraId="2F398D77" w14:textId="1EC42330" w:rsidR="00C619FA" w:rsidRPr="008253DC" w:rsidRDefault="00C619FA" w:rsidP="00C619FA">
      <w:pPr>
        <w:pStyle w:val="SingleTxtG"/>
        <w:rPr>
          <w:lang w:val="es-ES_tradnl"/>
        </w:rPr>
      </w:pPr>
      <w:r w:rsidRPr="008253DC">
        <w:rPr>
          <w:lang w:val="es-ES_tradnl"/>
        </w:rPr>
        <w:t>136.</w:t>
      </w:r>
      <w:r w:rsidRPr="008253DC">
        <w:rPr>
          <w:lang w:val="es-ES_tradnl"/>
        </w:rPr>
        <w:tab/>
        <w:t xml:space="preserve">La Ley de Igualdad y las leyes que prohíben la discriminación no incluyen </w:t>
      </w:r>
      <w:r w:rsidR="004D1191" w:rsidRPr="008253DC">
        <w:rPr>
          <w:lang w:val="es-ES_tradnl"/>
        </w:rPr>
        <w:t>cláusulas</w:t>
      </w:r>
      <w:r w:rsidRPr="008253DC">
        <w:rPr>
          <w:lang w:val="es-ES_tradnl"/>
        </w:rPr>
        <w:t xml:space="preserve"> antidiscriminatorias contra las personas con discapacidad. No obstante, los derechos de las personas con discapacidad están amparados por la Constitución.</w:t>
      </w:r>
    </w:p>
    <w:p w14:paraId="4DF4CE5F" w14:textId="77777777" w:rsidR="00C619FA" w:rsidRPr="008253DC" w:rsidRDefault="00C619FA" w:rsidP="00C619FA">
      <w:pPr>
        <w:pStyle w:val="SingleTxtG"/>
        <w:rPr>
          <w:lang w:val="es-ES_tradnl"/>
        </w:rPr>
      </w:pPr>
      <w:r w:rsidRPr="008253DC">
        <w:rPr>
          <w:lang w:val="es-ES_tradnl"/>
        </w:rPr>
        <w:t>137.</w:t>
      </w:r>
      <w:r w:rsidRPr="008253DC">
        <w:rPr>
          <w:lang w:val="es-ES_tradnl"/>
        </w:rPr>
        <w:tab/>
        <w:t>Islandia ha ratificado la Convención sobre los Derechos de las Personas con Discapacidad.</w:t>
      </w:r>
    </w:p>
    <w:p w14:paraId="439DE412" w14:textId="77777777" w:rsidR="00C619FA" w:rsidRPr="008253DC" w:rsidRDefault="00C619FA" w:rsidP="00C619FA">
      <w:pPr>
        <w:pStyle w:val="SingleTxtG"/>
        <w:rPr>
          <w:lang w:val="es-ES_tradnl"/>
        </w:rPr>
      </w:pPr>
      <w:r w:rsidRPr="008253DC">
        <w:rPr>
          <w:lang w:val="es-ES_tradnl"/>
        </w:rPr>
        <w:t>138.</w:t>
      </w:r>
      <w:r w:rsidRPr="008253DC">
        <w:rPr>
          <w:lang w:val="es-ES_tradnl"/>
        </w:rPr>
        <w:tab/>
        <w:t>En la Ley de la Lengua Islandesa y la Lengua de Señas Islandesa (núm. 61/2011) se reconoce oficialmente la lengua de señas islandesa. El artículo 3 establece que toda persona que para comunicarse necesite la lengua de señas deberá estar en condiciones de aprender y utilizar la lengua de señas islandesa, tan pronto como empiece la adquisición de la lengua o a partir del momento en que empiece la sordera. Además, en abril de 2018, entraron en vigor las leyes de los centros de servicios y conocimientos para ciegos, personas con deficiencia visual y personas con deficiencia visual y auditiva.</w:t>
      </w:r>
    </w:p>
    <w:p w14:paraId="1B4368B3" w14:textId="4D1A8E10" w:rsidR="00C619FA" w:rsidRPr="008253DC" w:rsidRDefault="00C619FA" w:rsidP="00C619FA">
      <w:pPr>
        <w:pStyle w:val="SingleTxtG"/>
        <w:rPr>
          <w:lang w:val="es-ES_tradnl"/>
        </w:rPr>
      </w:pPr>
      <w:r w:rsidRPr="008253DC">
        <w:rPr>
          <w:lang w:val="es-ES_tradnl"/>
        </w:rPr>
        <w:t>139.</w:t>
      </w:r>
      <w:r w:rsidRPr="008253DC">
        <w:rPr>
          <w:lang w:val="es-ES_tradnl"/>
        </w:rPr>
        <w:tab/>
        <w:t xml:space="preserve">Numerosas personas con discapacidad se enfrentan a obstáculos en su vida diaria, debido a la falta de accesibilidad en su entorno físico. La accesibilidad es esencial para garantizar la plena participación en la sociedad. En mayo de 2018, el Parlamento aprobó una nueva Ley de Servicios para Personas con Necesidades a Largo Plazo. Dicha </w:t>
      </w:r>
      <w:r w:rsidR="004D1191" w:rsidRPr="008253DC">
        <w:rPr>
          <w:lang w:val="es-ES_tradnl"/>
        </w:rPr>
        <w:t xml:space="preserve">Ley </w:t>
      </w:r>
      <w:r w:rsidRPr="008253DC">
        <w:rPr>
          <w:lang w:val="es-ES_tradnl"/>
        </w:rPr>
        <w:t xml:space="preserve">contiene disposiciones sobre la asistencia personal para personas con discapacidad, que los propios usuarios de la asistencia controlan. La asistencia personal es una herramienta que permite llevar una vida independiente. En el artículo 19 de la Convención sobre los Derechos de las Personas con Discapacidad (CRPD) se establece el derecho a vivir de forma independiente y a ser incluido en la comunidad. Los Estados </w:t>
      </w:r>
      <w:r w:rsidR="004D1191" w:rsidRPr="008253DC">
        <w:rPr>
          <w:lang w:val="es-ES_tradnl"/>
        </w:rPr>
        <w:t>p</w:t>
      </w:r>
      <w:r w:rsidRPr="008253DC">
        <w:rPr>
          <w:lang w:val="es-ES_tradnl"/>
        </w:rPr>
        <w:t xml:space="preserve">artes en dicha Convención </w:t>
      </w:r>
      <w:r w:rsidR="00141A72" w:rsidRPr="008253DC">
        <w:rPr>
          <w:lang w:val="es-ES_tradnl"/>
        </w:rPr>
        <w:t>“</w:t>
      </w:r>
      <w:r w:rsidRPr="008253DC">
        <w:rPr>
          <w:lang w:val="es-ES_tradnl"/>
        </w:rPr>
        <w:t>deben adoptar medidas efectivas y pertinentes</w:t>
      </w:r>
      <w:r w:rsidR="00141A72" w:rsidRPr="008253DC">
        <w:rPr>
          <w:lang w:val="es-ES_tradnl"/>
        </w:rPr>
        <w:t>”</w:t>
      </w:r>
      <w:r w:rsidRPr="008253DC">
        <w:rPr>
          <w:lang w:val="es-ES_tradnl"/>
        </w:rPr>
        <w:t xml:space="preserve"> para facilitar el pleno disfrute de ese derecho. La nueva </w:t>
      </w:r>
      <w:r w:rsidR="004D1191" w:rsidRPr="008253DC">
        <w:rPr>
          <w:lang w:val="es-ES_tradnl"/>
        </w:rPr>
        <w:t xml:space="preserve">Ley </w:t>
      </w:r>
      <w:r w:rsidRPr="008253DC">
        <w:rPr>
          <w:lang w:val="es-ES_tradnl"/>
        </w:rPr>
        <w:t>es un paso hacia esa dirección.</w:t>
      </w:r>
    </w:p>
    <w:p w14:paraId="04144C8F" w14:textId="77777777" w:rsidR="00C619FA" w:rsidRPr="008253DC" w:rsidRDefault="00C619FA" w:rsidP="00AF7A6A">
      <w:pPr>
        <w:pStyle w:val="H23G"/>
        <w:rPr>
          <w:lang w:val="es-ES_tradnl"/>
        </w:rPr>
      </w:pPr>
      <w:r w:rsidRPr="008253DC">
        <w:rPr>
          <w:lang w:val="es-ES_tradnl"/>
        </w:rPr>
        <w:tab/>
        <w:t>5.</w:t>
      </w:r>
      <w:r w:rsidRPr="008253DC">
        <w:rPr>
          <w:lang w:val="es-ES_tradnl"/>
        </w:rPr>
        <w:tab/>
        <w:t>Igualdad de derechos de los inmigrantes, los solicitantes de asilo y los refugiados</w:t>
      </w:r>
    </w:p>
    <w:p w14:paraId="19C9BFE6" w14:textId="77777777" w:rsidR="00C619FA" w:rsidRPr="008253DC" w:rsidRDefault="00C619FA" w:rsidP="00C619FA">
      <w:pPr>
        <w:pStyle w:val="SingleTxtG"/>
        <w:rPr>
          <w:lang w:val="es-ES_tradnl"/>
        </w:rPr>
      </w:pPr>
      <w:r w:rsidRPr="008253DC">
        <w:rPr>
          <w:lang w:val="es-ES_tradnl"/>
        </w:rPr>
        <w:t>140.</w:t>
      </w:r>
      <w:r w:rsidRPr="008253DC">
        <w:rPr>
          <w:lang w:val="es-ES_tradnl"/>
        </w:rPr>
        <w:tab/>
        <w:t>De conformidad con la Ley de Extranjería, núm. 80/2016, que se ajusta a lo dispuesto en la Convención de las Naciones Unidas sobre el Estatuto de los Refugiados, un solicitante de asilo en Islandia tiene derecho a alojamiento mientras se tramita su solicitud, así como a un apoyo financiero y a la atención sanitaria. Los solicitantes de asilo también tienen derecho a un representante para ayudarlos con las cuestiones jurídicas pertinentes para su caso. Por último, durante el proceso de solicitud, un intérprete deberá estar a disposición de los solicitantes de asilo.</w:t>
      </w:r>
    </w:p>
    <w:p w14:paraId="6BD3AC00" w14:textId="0EC8CD7D" w:rsidR="00C619FA" w:rsidRPr="008253DC" w:rsidRDefault="00C619FA" w:rsidP="00C619FA">
      <w:pPr>
        <w:pStyle w:val="SingleTxtG"/>
        <w:rPr>
          <w:lang w:val="es-ES_tradnl"/>
        </w:rPr>
      </w:pPr>
      <w:r w:rsidRPr="008253DC">
        <w:rPr>
          <w:lang w:val="es-ES_tradnl"/>
        </w:rPr>
        <w:t>141.</w:t>
      </w:r>
      <w:r w:rsidRPr="008253DC">
        <w:rPr>
          <w:lang w:val="es-ES_tradnl"/>
        </w:rPr>
        <w:tab/>
        <w:t>De conformidad con las disposiciones de la Ley, las personas que son objeto de persecución en su país de origen o que corren el riesgo de ser condenados a la pena capital, o a la tortura u otros tratos o penas crueles, inhumanos o degradantes tienen derecho al asilo en calidad de refugiados en Islandia. Un solicitante de asilo, que no sea considerado un refugiado, podrá obtener un permiso de residencia por motivos humanitarios, siempre y cuando se expongan argumentos sólidos a su favor, tales como una enfermedad grave o circunstancias difíciles en el país de origen.</w:t>
      </w:r>
    </w:p>
    <w:p w14:paraId="327A66D9" w14:textId="77777777" w:rsidR="00C619FA" w:rsidRPr="008253DC" w:rsidRDefault="00C619FA" w:rsidP="00C619FA">
      <w:pPr>
        <w:pStyle w:val="SingleTxtG"/>
        <w:rPr>
          <w:lang w:val="es-ES_tradnl"/>
        </w:rPr>
      </w:pPr>
      <w:r w:rsidRPr="008253DC">
        <w:rPr>
          <w:lang w:val="es-ES_tradnl"/>
        </w:rPr>
        <w:t>142.</w:t>
      </w:r>
      <w:r w:rsidRPr="008253DC">
        <w:rPr>
          <w:lang w:val="es-ES_tradnl"/>
        </w:rPr>
        <w:tab/>
        <w:t>Islandia ha adoptado el Reglamento de Dublín del Consejo de la Unión Europea, según el cual corresponde al Estado miembro ante el que se haya presentado por primera vez la solicitud de asilo examinar dicha solicitud. Por consiguiente, en Islandia todas las solicitudes se examinan primero respecto de si otro Estado miembro tiene la obligación de tramitarlas y acoger nuevamente al solicitante.</w:t>
      </w:r>
    </w:p>
    <w:p w14:paraId="1CC86D93" w14:textId="487FE770" w:rsidR="00C619FA" w:rsidRPr="008253DC" w:rsidRDefault="00C619FA" w:rsidP="00C619FA">
      <w:pPr>
        <w:pStyle w:val="SingleTxtG"/>
        <w:rPr>
          <w:lang w:val="es-ES_tradnl"/>
        </w:rPr>
      </w:pPr>
      <w:r w:rsidRPr="008253DC">
        <w:rPr>
          <w:lang w:val="es-ES_tradnl"/>
        </w:rPr>
        <w:t>143.</w:t>
      </w:r>
      <w:r w:rsidRPr="008253DC">
        <w:rPr>
          <w:lang w:val="es-ES_tradnl"/>
        </w:rPr>
        <w:tab/>
        <w:t>En caso de que se deniegue la solicitud de asilo, se ofrecerá alojamiento al ciudadano extranjero, en espera de su salida de Islandia. Los solicitantes de asilo tienen derecho a la atención de la salud hasta el día de su deportación de Islandia.</w:t>
      </w:r>
    </w:p>
    <w:p w14:paraId="5020529B" w14:textId="77777777" w:rsidR="00C619FA" w:rsidRPr="008253DC" w:rsidRDefault="00C619FA" w:rsidP="00AF7A6A">
      <w:pPr>
        <w:pStyle w:val="H1G"/>
        <w:rPr>
          <w:lang w:val="es-ES_tradnl"/>
        </w:rPr>
      </w:pPr>
      <w:r w:rsidRPr="008253DC">
        <w:rPr>
          <w:lang w:val="es-ES_tradnl"/>
        </w:rPr>
        <w:lastRenderedPageBreak/>
        <w:tab/>
        <w:t>D.</w:t>
      </w:r>
      <w:r w:rsidRPr="008253DC">
        <w:rPr>
          <w:lang w:val="es-ES_tradnl"/>
        </w:rPr>
        <w:tab/>
        <w:t>Medidas generales adoptadas para reducir las disparidades económicas, sociales y geográficas</w:t>
      </w:r>
    </w:p>
    <w:p w14:paraId="030DD29D" w14:textId="77777777" w:rsidR="00C619FA" w:rsidRPr="008253DC" w:rsidRDefault="00C619FA" w:rsidP="00C619FA">
      <w:pPr>
        <w:pStyle w:val="SingleTxtG"/>
        <w:rPr>
          <w:bCs/>
          <w:lang w:val="es-ES_tradnl"/>
        </w:rPr>
      </w:pPr>
      <w:r w:rsidRPr="008253DC">
        <w:rPr>
          <w:lang w:val="es-ES_tradnl"/>
        </w:rPr>
        <w:t>144.</w:t>
      </w:r>
      <w:r w:rsidRPr="008253DC">
        <w:rPr>
          <w:lang w:val="es-ES_tradnl"/>
        </w:rPr>
        <w:tab/>
        <w:t>El modelo de bienestar social nórdico se caracteriza por una redistribución de la riqueza relativamente amplia mediante el sistema de impuestos sobre la renta, los sistemas de bienestar universal, un sistema educativo integral financiado con fondos públicos, una política activa del mercado de trabajo y un mercado de trabajo flexible. El sistema islandés es una combinación de una economía de libre mercado y un sistema de seguridad social sólido, que tiene por objeto garantizar la igualdad del derecho a la educación, la atención de la salud y, por consiguiente, a las mismas oportunidades para el progreso económico de todas las personas, independientemente de sus ingresos y condición social.</w:t>
      </w:r>
    </w:p>
    <w:p w14:paraId="44557D65" w14:textId="77777777" w:rsidR="00C619FA" w:rsidRPr="008253DC" w:rsidRDefault="00C619FA" w:rsidP="00AF7A6A">
      <w:pPr>
        <w:pStyle w:val="H23G"/>
        <w:rPr>
          <w:lang w:val="es-ES_tradnl"/>
        </w:rPr>
      </w:pPr>
      <w:r w:rsidRPr="008253DC">
        <w:rPr>
          <w:lang w:val="es-ES_tradnl"/>
        </w:rPr>
        <w:tab/>
        <w:t>1.</w:t>
      </w:r>
      <w:r w:rsidRPr="008253DC">
        <w:rPr>
          <w:lang w:val="es-ES_tradnl"/>
        </w:rPr>
        <w:tab/>
        <w:t>Educación y formación profesional</w:t>
      </w:r>
    </w:p>
    <w:p w14:paraId="1EB8538D" w14:textId="77777777" w:rsidR="00C619FA" w:rsidRPr="008253DC" w:rsidRDefault="00C619FA" w:rsidP="00C619FA">
      <w:pPr>
        <w:pStyle w:val="SingleTxtG"/>
        <w:rPr>
          <w:bCs/>
          <w:lang w:val="es-ES_tradnl"/>
        </w:rPr>
      </w:pPr>
      <w:r w:rsidRPr="008253DC">
        <w:rPr>
          <w:lang w:val="es-ES_tradnl"/>
        </w:rPr>
        <w:t>145.</w:t>
      </w:r>
      <w:r w:rsidRPr="008253DC">
        <w:rPr>
          <w:lang w:val="es-ES_tradnl"/>
        </w:rPr>
        <w:tab/>
        <w:t>La estructura del sistema educativo se ha diseñado para alcanzar y mantener la igualdad social en la sociedad islandesa. El sistema educativo concede igual acceso al aprendizaje, y lo adapta para todas las personas, lo que permite reducir la desigualdad social. El sistema islandés se rige por el principio de educación inclusiva, por el cual todos los niños tienen derecho a una educación que satisfaga sus necesidades. Se deberá gozar de igualdad de oportunidades, independientemente de la situación de cada niño o de su nacionalidad, raza, discapacidad, orientación sexual o cualquier otra característica.</w:t>
      </w:r>
    </w:p>
    <w:p w14:paraId="206A1A1F" w14:textId="77777777" w:rsidR="00C619FA" w:rsidRPr="008253DC" w:rsidRDefault="00C619FA" w:rsidP="00C619FA">
      <w:pPr>
        <w:pStyle w:val="SingleTxtG"/>
        <w:rPr>
          <w:bCs/>
          <w:lang w:val="es-ES_tradnl"/>
        </w:rPr>
      </w:pPr>
      <w:r w:rsidRPr="008253DC">
        <w:rPr>
          <w:lang w:val="es-ES_tradnl"/>
        </w:rPr>
        <w:t>146.</w:t>
      </w:r>
      <w:r w:rsidRPr="008253DC">
        <w:rPr>
          <w:lang w:val="es-ES_tradnl"/>
        </w:rPr>
        <w:tab/>
        <w:t>En el sistema educativo, los principales problemas afrontados en los últimos años han sido el aumento en la tasa de abandono escolar de los niños de la educación secundaria alta; tasas de alfabetización más bajas entre los alumnos que abandonan la educación obligatoria y la lentitud de los progresos en la educación secundaria alta. Además, el número de alumnos matriculados en los programas de formación profesional es relativamente bajo, y los que siguen los programas, junto con los alumnos matriculados en los programas preparatorios, tienen menos posibilidades de graduarse a tiempo.</w:t>
      </w:r>
    </w:p>
    <w:p w14:paraId="2178DF32" w14:textId="77777777" w:rsidR="00C619FA" w:rsidRPr="008253DC" w:rsidRDefault="00C619FA" w:rsidP="00C619FA">
      <w:pPr>
        <w:pStyle w:val="SingleTxtG"/>
        <w:rPr>
          <w:bCs/>
          <w:lang w:val="es-ES_tradnl"/>
        </w:rPr>
      </w:pPr>
      <w:r w:rsidRPr="008253DC">
        <w:rPr>
          <w:lang w:val="es-ES_tradnl"/>
        </w:rPr>
        <w:t>147.</w:t>
      </w:r>
      <w:r w:rsidRPr="008253DC">
        <w:rPr>
          <w:lang w:val="es-ES_tradnl"/>
        </w:rPr>
        <w:tab/>
        <w:t>En 2015, el Gobierno publicó un libro blanco sobre la reforma educativa, que expone los principales puntos fuertes del sistema educativo de Islandia. Cabe mencionar entre ellos las diferencias relativamente mínimas entre las escuelas; el hecho de que por lo general los alumnos se sienten felices en la escuela y un sistema escolar flexible, que no está excesivamente centralizado.</w:t>
      </w:r>
    </w:p>
    <w:p w14:paraId="35174307" w14:textId="77777777" w:rsidR="00C619FA" w:rsidRPr="008253DC" w:rsidRDefault="00C619FA" w:rsidP="00C619FA">
      <w:pPr>
        <w:pStyle w:val="SingleTxtG"/>
        <w:rPr>
          <w:bCs/>
          <w:lang w:val="es-ES_tradnl"/>
        </w:rPr>
      </w:pPr>
      <w:r w:rsidRPr="008253DC">
        <w:rPr>
          <w:lang w:val="es-ES_tradnl"/>
        </w:rPr>
        <w:t>148.</w:t>
      </w:r>
      <w:r w:rsidRPr="008253DC">
        <w:rPr>
          <w:lang w:val="es-ES_tradnl"/>
        </w:rPr>
        <w:tab/>
        <w:t>En el libro blanco se exponen asimismo las medidas que permiten abordar las cuestiones descritas anteriormente. Entre ellas, poner mayor énfasis en el idioma islandés en el Plan Nacional de Estudios; priorizar la lectura y la comprensión lectora; redefinir la duración de los programas mediante la reducción de la duración de los estudios de la escuela secundaria alta y reestructurar los programas de formación profesional.</w:t>
      </w:r>
    </w:p>
    <w:p w14:paraId="5873306B" w14:textId="77777777" w:rsidR="00C619FA" w:rsidRPr="008253DC" w:rsidRDefault="00C619FA" w:rsidP="00AF7A6A">
      <w:pPr>
        <w:pStyle w:val="H23G"/>
        <w:rPr>
          <w:lang w:val="es-ES_tradnl"/>
        </w:rPr>
      </w:pPr>
      <w:r w:rsidRPr="008253DC">
        <w:rPr>
          <w:lang w:val="es-ES_tradnl"/>
        </w:rPr>
        <w:tab/>
        <w:t>2.</w:t>
      </w:r>
      <w:r w:rsidRPr="008253DC">
        <w:rPr>
          <w:lang w:val="es-ES_tradnl"/>
        </w:rPr>
        <w:tab/>
        <w:t>Empleo</w:t>
      </w:r>
    </w:p>
    <w:p w14:paraId="561560A5" w14:textId="32B7E1A1" w:rsidR="00C619FA" w:rsidRPr="008253DC" w:rsidRDefault="00C619FA" w:rsidP="00C619FA">
      <w:pPr>
        <w:pStyle w:val="SingleTxtG"/>
        <w:rPr>
          <w:bCs/>
          <w:lang w:val="es-ES_tradnl"/>
        </w:rPr>
      </w:pPr>
      <w:r w:rsidRPr="008253DC">
        <w:rPr>
          <w:lang w:val="es-ES_tradnl"/>
        </w:rPr>
        <w:t>149.</w:t>
      </w:r>
      <w:r w:rsidRPr="008253DC">
        <w:rPr>
          <w:lang w:val="es-ES_tradnl"/>
        </w:rPr>
        <w:tab/>
        <w:t xml:space="preserve">Islandia aspira a alcanzar un nivel de empleo elevado, bajos niveles de desempleo y un mercado de trabajo inclusivo, que dé cabida a quien tenga capacidad y voluntad de trabajar. La Dirección del Trabajo se encarga de aplicar la política del mercado laboral y se ocupa de las operaciones diarias del Fondo de Seguro de Desempleo; la Caja para </w:t>
      </w:r>
      <w:r w:rsidR="009678B2" w:rsidRPr="008253DC">
        <w:rPr>
          <w:lang w:val="es-ES_tradnl"/>
        </w:rPr>
        <w:t xml:space="preserve">Licencias </w:t>
      </w:r>
      <w:r w:rsidRPr="008253DC">
        <w:rPr>
          <w:lang w:val="es-ES_tradnl"/>
        </w:rPr>
        <w:t xml:space="preserve">de </w:t>
      </w:r>
      <w:r w:rsidR="009678B2" w:rsidRPr="008253DC">
        <w:rPr>
          <w:lang w:val="es-ES_tradnl"/>
        </w:rPr>
        <w:t xml:space="preserve">Maternidad </w:t>
      </w:r>
      <w:r w:rsidRPr="008253DC">
        <w:rPr>
          <w:lang w:val="es-ES_tradnl"/>
        </w:rPr>
        <w:t xml:space="preserve">y </w:t>
      </w:r>
      <w:r w:rsidR="009678B2" w:rsidRPr="008253DC">
        <w:rPr>
          <w:lang w:val="es-ES_tradnl"/>
        </w:rPr>
        <w:t>Paternidad</w:t>
      </w:r>
      <w:r w:rsidRPr="008253DC">
        <w:rPr>
          <w:lang w:val="es-ES_tradnl"/>
        </w:rPr>
        <w:t>; el Fondo de Garantía Salarial y muchos otros proyectos relacionados con el mercado de trabajo. La Dirección del Trabajo también se encarga de la inscripción de los solicitantes de empleo y tiene su propia base de datos de los puestos de trabajo disponibles en todo momento.</w:t>
      </w:r>
    </w:p>
    <w:p w14:paraId="0D2989BD" w14:textId="77777777" w:rsidR="00C619FA" w:rsidRPr="008253DC" w:rsidRDefault="00C619FA" w:rsidP="00AF7A6A">
      <w:pPr>
        <w:pStyle w:val="H23G"/>
        <w:rPr>
          <w:lang w:val="es-ES_tradnl"/>
        </w:rPr>
      </w:pPr>
      <w:r w:rsidRPr="008253DC">
        <w:rPr>
          <w:lang w:val="es-ES_tradnl"/>
        </w:rPr>
        <w:tab/>
        <w:t>3.</w:t>
      </w:r>
      <w:r w:rsidRPr="008253DC">
        <w:rPr>
          <w:lang w:val="es-ES_tradnl"/>
        </w:rPr>
        <w:tab/>
        <w:t>Plan Nacional de Seguro</w:t>
      </w:r>
    </w:p>
    <w:p w14:paraId="0D95CB70" w14:textId="3A28178B" w:rsidR="00C619FA" w:rsidRPr="008253DC" w:rsidRDefault="00C619FA" w:rsidP="00C619FA">
      <w:pPr>
        <w:pStyle w:val="SingleTxtG"/>
        <w:rPr>
          <w:lang w:val="es-ES_tradnl"/>
        </w:rPr>
      </w:pPr>
      <w:r w:rsidRPr="008253DC">
        <w:rPr>
          <w:lang w:val="es-ES_tradnl"/>
        </w:rPr>
        <w:t>150.</w:t>
      </w:r>
      <w:r w:rsidRPr="008253DC">
        <w:rPr>
          <w:lang w:val="es-ES_tradnl"/>
        </w:rPr>
        <w:tab/>
        <w:t>Toda persona que haya residido legalmente en Islandia durante cierto tiempo se beneficia automáticamente del sistema de seguridad social de Islandia, independientemente de su nacionalidad, origen étnico, género, edad, etc. No obstante, se deberán cumplir algunas condiciones para tener derecho a las prestaciones, por ejemplo, por lo que respecta a la edad, la discapacidad y el tiempo de residencia. Los ingresos y las circunstancias familiares también podrán condicionar el derecho a una prestación.</w:t>
      </w:r>
    </w:p>
    <w:p w14:paraId="46AA4EDF" w14:textId="77777777" w:rsidR="00C619FA" w:rsidRPr="008253DC" w:rsidRDefault="00C619FA" w:rsidP="00C619FA">
      <w:pPr>
        <w:pStyle w:val="SingleTxtG"/>
        <w:rPr>
          <w:lang w:val="es-ES_tradnl"/>
        </w:rPr>
      </w:pPr>
      <w:r w:rsidRPr="008253DC">
        <w:rPr>
          <w:lang w:val="es-ES_tradnl"/>
        </w:rPr>
        <w:lastRenderedPageBreak/>
        <w:t>151.</w:t>
      </w:r>
      <w:r w:rsidRPr="008253DC">
        <w:rPr>
          <w:lang w:val="es-ES_tradnl"/>
        </w:rPr>
        <w:tab/>
        <w:t>La seguridad social en Islandia está financiada por el Tesoro Público con el pago de impuestos al Tesoro y los impuestos sobre las nóminas que pagan los empleadores y los profesionales independientes; sin embargo, no se paga ninguna otra prima específica al seguro social.</w:t>
      </w:r>
    </w:p>
    <w:p w14:paraId="0EA089EC" w14:textId="77777777" w:rsidR="00C619FA" w:rsidRPr="008253DC" w:rsidRDefault="00C619FA" w:rsidP="00AF7A6A">
      <w:pPr>
        <w:pStyle w:val="H23G"/>
        <w:rPr>
          <w:lang w:val="es-ES_tradnl"/>
        </w:rPr>
      </w:pPr>
      <w:r w:rsidRPr="008253DC">
        <w:rPr>
          <w:lang w:val="es-ES_tradnl"/>
        </w:rPr>
        <w:tab/>
        <w:t>4.</w:t>
      </w:r>
      <w:r w:rsidRPr="008253DC">
        <w:rPr>
          <w:lang w:val="es-ES_tradnl"/>
        </w:rPr>
        <w:tab/>
        <w:t>Servicios sociales</w:t>
      </w:r>
    </w:p>
    <w:p w14:paraId="3FD7CC18" w14:textId="77777777" w:rsidR="00C619FA" w:rsidRPr="008253DC" w:rsidRDefault="00C619FA" w:rsidP="00C619FA">
      <w:pPr>
        <w:pStyle w:val="SingleTxtG"/>
        <w:rPr>
          <w:lang w:val="es-ES_tradnl"/>
        </w:rPr>
      </w:pPr>
      <w:r w:rsidRPr="008253DC">
        <w:rPr>
          <w:lang w:val="es-ES_tradnl"/>
        </w:rPr>
        <w:t>152.</w:t>
      </w:r>
      <w:r w:rsidRPr="008253DC">
        <w:rPr>
          <w:lang w:val="es-ES_tradnl"/>
        </w:rPr>
        <w:tab/>
        <w:t>Los municipios se encargan de la prestación de servicios sociales en sus regiones. Las personas que no pueden mantenerse por sí mismas trabajando tienen derecho a recibir un apoyo financiero, con el propósito de llegar a ser económicamente independientes.</w:t>
      </w:r>
    </w:p>
    <w:p w14:paraId="54BD98BF" w14:textId="77777777" w:rsidR="00C619FA" w:rsidRPr="008253DC" w:rsidRDefault="00C619FA" w:rsidP="00AF7A6A">
      <w:pPr>
        <w:pStyle w:val="H23G"/>
        <w:rPr>
          <w:lang w:val="es-ES_tradnl"/>
        </w:rPr>
      </w:pPr>
      <w:r w:rsidRPr="008253DC">
        <w:rPr>
          <w:lang w:val="es-ES_tradnl"/>
        </w:rPr>
        <w:tab/>
        <w:t>5.</w:t>
      </w:r>
      <w:r w:rsidRPr="008253DC">
        <w:rPr>
          <w:lang w:val="es-ES_tradnl"/>
        </w:rPr>
        <w:tab/>
        <w:t>Otras medidas para promover la inclusión social y la reducción de la pobreza</w:t>
      </w:r>
    </w:p>
    <w:p w14:paraId="0899C409" w14:textId="785BF976" w:rsidR="00C619FA" w:rsidRPr="008253DC" w:rsidRDefault="00C619FA" w:rsidP="00C619FA">
      <w:pPr>
        <w:pStyle w:val="SingleTxtG"/>
        <w:rPr>
          <w:lang w:val="es-ES_tradnl"/>
        </w:rPr>
      </w:pPr>
      <w:r w:rsidRPr="008253DC">
        <w:rPr>
          <w:lang w:val="es-ES_tradnl"/>
        </w:rPr>
        <w:t>153.</w:t>
      </w:r>
      <w:r w:rsidRPr="008253DC">
        <w:rPr>
          <w:lang w:val="es-ES_tradnl"/>
        </w:rPr>
        <w:tab/>
        <w:t xml:space="preserve">Tras la crisis económica de 2008, se estableció un nuevo Comité Directivo para el seguimiento de las repercusiones sociales y económicas de la crisis de familias e individuos en el país y para hacer sugerencias sobre las medidas que podrían adoptarse en representación de los hogares. El Comité Directivo se denominó </w:t>
      </w:r>
      <w:r w:rsidR="00141A72" w:rsidRPr="008253DC">
        <w:rPr>
          <w:lang w:val="es-ES_tradnl"/>
        </w:rPr>
        <w:t>“</w:t>
      </w:r>
      <w:r w:rsidRPr="008253DC">
        <w:rPr>
          <w:lang w:val="es-ES_tradnl"/>
        </w:rPr>
        <w:t>Vigilancia del Bienestar Social</w:t>
      </w:r>
      <w:r w:rsidR="00141A72" w:rsidRPr="008253DC">
        <w:rPr>
          <w:lang w:val="es-ES_tradnl"/>
        </w:rPr>
        <w:t>”</w:t>
      </w:r>
      <w:r w:rsidRPr="008253DC">
        <w:rPr>
          <w:lang w:val="es-ES_tradnl"/>
        </w:rPr>
        <w:t xml:space="preserve"> (en islandés, Velferðarvaktin), y hoy en día sigue en funcionamiento. La Vigilancia del Bienestar Social centra su labor en el bienestar y en la situación financiera de las familias desfavorecidas con hijos, en particular de progenitores solos y de sus hijos, y recopila información sobre la situación de las personas que viven en situación de pobreza. Enseguida, el Comité mantiene actualizado periódicamente al Ministro de Bienestar Social por medio de informes sobre la situación, en los que se hacen sugerencias para introducir mejoras.</w:t>
      </w:r>
    </w:p>
    <w:p w14:paraId="0E024F49" w14:textId="77777777" w:rsidR="00C619FA" w:rsidRPr="008253DC" w:rsidRDefault="00C619FA" w:rsidP="00C619FA">
      <w:pPr>
        <w:pStyle w:val="SingleTxtG"/>
        <w:rPr>
          <w:lang w:val="es-ES_tradnl"/>
        </w:rPr>
      </w:pPr>
      <w:r w:rsidRPr="008253DC">
        <w:rPr>
          <w:lang w:val="es-ES_tradnl"/>
        </w:rPr>
        <w:t>154.</w:t>
      </w:r>
      <w:r w:rsidRPr="008253DC">
        <w:rPr>
          <w:lang w:val="es-ES_tradnl"/>
        </w:rPr>
        <w:tab/>
        <w:t>La Defensoría del Deudor presta asistencia gratuita a las personas que tienen serias dificultades para asumir sus obligaciones financieras, a fin de asegurar un equilibrio entre la capacidad financiera y las obligaciones financieras. En caso de que las personas no hablen islandés o inglés, el Defensor sufragará los gastos de contratación de un intérprete.</w:t>
      </w:r>
    </w:p>
    <w:p w14:paraId="09A857F9" w14:textId="77777777" w:rsidR="00C619FA" w:rsidRPr="008253DC" w:rsidRDefault="00C619FA" w:rsidP="00AF7A6A">
      <w:pPr>
        <w:pStyle w:val="H23G"/>
        <w:rPr>
          <w:lang w:val="es-ES_tradnl"/>
        </w:rPr>
      </w:pPr>
      <w:r w:rsidRPr="008253DC">
        <w:rPr>
          <w:lang w:val="es-ES_tradnl"/>
        </w:rPr>
        <w:tab/>
        <w:t>6.</w:t>
      </w:r>
      <w:r w:rsidRPr="008253DC">
        <w:rPr>
          <w:lang w:val="es-ES_tradnl"/>
        </w:rPr>
        <w:tab/>
        <w:t>Medidas para reducir las disparidades geográficas</w:t>
      </w:r>
    </w:p>
    <w:p w14:paraId="1A43A4A1" w14:textId="527052DF" w:rsidR="00C619FA" w:rsidRPr="008253DC" w:rsidRDefault="00C619FA" w:rsidP="00C619FA">
      <w:pPr>
        <w:pStyle w:val="SingleTxtG"/>
        <w:rPr>
          <w:lang w:val="es-ES_tradnl"/>
        </w:rPr>
      </w:pPr>
      <w:r w:rsidRPr="008253DC">
        <w:rPr>
          <w:lang w:val="es-ES_tradnl"/>
        </w:rPr>
        <w:t>155.</w:t>
      </w:r>
      <w:r w:rsidRPr="008253DC">
        <w:rPr>
          <w:lang w:val="es-ES_tradnl"/>
        </w:rPr>
        <w:tab/>
        <w:t>El Fondo de Nivelación de los Municipios (en islandés, Jöfnunarsjóður sveitarfélaga) es un fondo cuya gestión está a cargo del Ministerio del Transporte y la Administración Local. El papel del fondo es nivelar los diferentes costos y gastos fiscales de los municipios de Islandia, mediante aportaciones del fondo, con arreglo a las leyes, los reglamentos y las normas relativos funcionamiento del fondo. Además, el fondo aporta contribuciones a las diversas federaciones de los municipios, sus instituciones y demás entidades, en consonancia con la ley.</w:t>
      </w:r>
    </w:p>
    <w:p w14:paraId="300F7EAB" w14:textId="5E27BAD5" w:rsidR="00C619FA" w:rsidRPr="008253DC" w:rsidRDefault="00C619FA" w:rsidP="00C619FA">
      <w:pPr>
        <w:pStyle w:val="SingleTxtG"/>
        <w:rPr>
          <w:lang w:val="es-ES_tradnl"/>
        </w:rPr>
      </w:pPr>
      <w:r w:rsidRPr="008253DC">
        <w:rPr>
          <w:lang w:val="es-ES_tradnl"/>
        </w:rPr>
        <w:t>156.</w:t>
      </w:r>
      <w:r w:rsidRPr="008253DC">
        <w:rPr>
          <w:lang w:val="es-ES_tradnl"/>
        </w:rPr>
        <w:tab/>
        <w:t xml:space="preserve">La Asociación Islandesa de Autoridades Locales es el foro de cooperación entre las autoridades locales. En 1945, </w:t>
      </w:r>
      <w:r w:rsidR="00340CFB" w:rsidRPr="008253DC">
        <w:rPr>
          <w:lang w:val="es-ES_tradnl"/>
        </w:rPr>
        <w:t>52</w:t>
      </w:r>
      <w:r w:rsidRPr="008253DC">
        <w:rPr>
          <w:lang w:val="es-ES_tradnl"/>
        </w:rPr>
        <w:t xml:space="preserve"> autoridades locales establecieron la Asociación y, desde entonces, todas esas autoridades han sido miembros de ella. El papel de la Asociación es defender los intereses de los municipios, suministrar información sobre determinados aspectos de las autoridades locales, publicar material sobre dichas autoridades y aplicar las políticas de la Asociación. La Asociación también publica una revista sobre asuntos municipales.</w:t>
      </w:r>
    </w:p>
    <w:p w14:paraId="5D7B3937" w14:textId="77777777" w:rsidR="00C619FA" w:rsidRPr="00C619FA" w:rsidRDefault="00C619FA" w:rsidP="00C619FA">
      <w:pPr>
        <w:pStyle w:val="SingleTxtG"/>
      </w:pPr>
      <w:r w:rsidRPr="00C619FA">
        <w:br w:type="page"/>
      </w:r>
    </w:p>
    <w:p w14:paraId="57FBDC78" w14:textId="77777777" w:rsidR="00AF7A6A" w:rsidRDefault="00AF7A6A" w:rsidP="00AF7A6A">
      <w:pPr>
        <w:pStyle w:val="HChG"/>
      </w:pPr>
      <w:r>
        <w:lastRenderedPageBreak/>
        <w:tab/>
      </w:r>
      <w:r>
        <w:tab/>
      </w:r>
      <w:r w:rsidRPr="008D7E82">
        <w:t>Useful websites</w:t>
      </w:r>
    </w:p>
    <w:p w14:paraId="7445D403" w14:textId="77777777" w:rsidR="00AF7A6A" w:rsidRPr="00C05287" w:rsidRDefault="00AF7A6A" w:rsidP="00AF7A6A">
      <w:pPr>
        <w:pStyle w:val="SingleTxtG"/>
        <w:tabs>
          <w:tab w:val="clear" w:pos="1701"/>
          <w:tab w:val="clear" w:pos="2268"/>
          <w:tab w:val="left" w:pos="3969"/>
        </w:tabs>
        <w:jc w:val="right"/>
      </w:pPr>
      <w:r>
        <w:t>[English only]</w:t>
      </w:r>
    </w:p>
    <w:p w14:paraId="35E370ED" w14:textId="45B3CEB8" w:rsidR="00AF7A6A" w:rsidRPr="008D7E82" w:rsidRDefault="00AF7A6A" w:rsidP="00AF7A6A">
      <w:pPr>
        <w:pStyle w:val="SingleTxtG"/>
        <w:tabs>
          <w:tab w:val="clear" w:pos="1701"/>
          <w:tab w:val="clear" w:pos="2268"/>
          <w:tab w:val="left" w:pos="4536"/>
        </w:tabs>
        <w:ind w:left="5670" w:right="567" w:hanging="4536"/>
      </w:pPr>
      <w:proofErr w:type="spellStart"/>
      <w:r w:rsidRPr="008D7E82">
        <w:t>Althing</w:t>
      </w:r>
      <w:proofErr w:type="spellEnd"/>
      <w:r w:rsidRPr="008D7E82">
        <w:t xml:space="preserve"> Ombudsman</w:t>
      </w:r>
      <w:r>
        <w:tab/>
      </w:r>
      <w:r w:rsidRPr="008D7E82">
        <w:tab/>
      </w:r>
      <w:hyperlink r:id="rId15" w:history="1">
        <w:r w:rsidRPr="005432E7">
          <w:rPr>
            <w:rStyle w:val="Hipervnculo"/>
            <w:rFonts w:eastAsiaTheme="minorHAnsi"/>
            <w:color w:val="0000FF" w:themeColor="hyperlink"/>
            <w:lang w:val="sv-SE"/>
          </w:rPr>
          <w:t>https://www.umbodsmadur.is/en</w:t>
        </w:r>
      </w:hyperlink>
    </w:p>
    <w:p w14:paraId="716FF50F" w14:textId="1E0E4B01" w:rsidR="00AF7A6A" w:rsidRPr="005432E7" w:rsidRDefault="00AF7A6A" w:rsidP="00AF7A6A">
      <w:pPr>
        <w:pStyle w:val="SingleTxtG"/>
        <w:tabs>
          <w:tab w:val="clear" w:pos="1701"/>
          <w:tab w:val="clear" w:pos="2268"/>
          <w:tab w:val="left" w:pos="4536"/>
        </w:tabs>
        <w:ind w:left="5670" w:right="567" w:hanging="4536"/>
        <w:rPr>
          <w:rStyle w:val="Hipervnculo"/>
          <w:rFonts w:eastAsiaTheme="minorHAnsi"/>
          <w:color w:val="0000FF" w:themeColor="hyperlink"/>
          <w:lang w:val="sv-SE"/>
        </w:rPr>
      </w:pPr>
      <w:proofErr w:type="spellStart"/>
      <w:r w:rsidRPr="008D7E82">
        <w:t>Althingi</w:t>
      </w:r>
      <w:proofErr w:type="spellEnd"/>
      <w:r w:rsidRPr="008D7E82">
        <w:t xml:space="preserve">, </w:t>
      </w:r>
      <w:proofErr w:type="spellStart"/>
      <w:r w:rsidRPr="008D7E82">
        <w:t>the</w:t>
      </w:r>
      <w:proofErr w:type="spellEnd"/>
      <w:r w:rsidRPr="008D7E82">
        <w:t xml:space="preserve"> </w:t>
      </w:r>
      <w:proofErr w:type="spellStart"/>
      <w:r w:rsidRPr="008D7E82">
        <w:t>Icelandic</w:t>
      </w:r>
      <w:proofErr w:type="spellEnd"/>
      <w:r w:rsidRPr="008D7E82">
        <w:t xml:space="preserve"> </w:t>
      </w:r>
      <w:proofErr w:type="spellStart"/>
      <w:r w:rsidRPr="008D7E82">
        <w:t>Parliament</w:t>
      </w:r>
      <w:proofErr w:type="spellEnd"/>
      <w:r>
        <w:tab/>
      </w:r>
      <w:hyperlink r:id="rId16" w:history="1">
        <w:r w:rsidRPr="005432E7">
          <w:rPr>
            <w:rStyle w:val="Hipervnculo"/>
            <w:rFonts w:eastAsiaTheme="minorHAnsi"/>
            <w:color w:val="0000FF" w:themeColor="hyperlink"/>
            <w:lang w:val="sv-SE"/>
          </w:rPr>
          <w:t>https://www.althingi.is/english</w:t>
        </w:r>
      </w:hyperlink>
    </w:p>
    <w:p w14:paraId="6F192CCB" w14:textId="256016E5" w:rsidR="00AF7A6A" w:rsidRPr="00BD756C" w:rsidRDefault="00AF7A6A" w:rsidP="00AF7A6A">
      <w:pPr>
        <w:pStyle w:val="SingleTxtG"/>
        <w:tabs>
          <w:tab w:val="clear" w:pos="1701"/>
          <w:tab w:val="clear" w:pos="2268"/>
          <w:tab w:val="left" w:pos="4536"/>
        </w:tabs>
        <w:ind w:left="5670" w:right="567" w:hanging="4536"/>
        <w:rPr>
          <w:rStyle w:val="Hipervnculo"/>
          <w:rFonts w:eastAsiaTheme="minorHAnsi"/>
        </w:rPr>
      </w:pPr>
      <w:r w:rsidRPr="008D7E82">
        <w:t xml:space="preserve">Central Bank </w:t>
      </w:r>
      <w:proofErr w:type="spellStart"/>
      <w:r w:rsidRPr="008D7E82">
        <w:t>of</w:t>
      </w:r>
      <w:proofErr w:type="spellEnd"/>
      <w:r w:rsidRPr="008D7E82">
        <w:t xml:space="preserve"> </w:t>
      </w:r>
      <w:proofErr w:type="spellStart"/>
      <w:r w:rsidRPr="008D7E82">
        <w:t>Iceland</w:t>
      </w:r>
      <w:proofErr w:type="spellEnd"/>
      <w:r w:rsidRPr="008D7E82">
        <w:tab/>
      </w:r>
      <w:hyperlink r:id="rId17" w:history="1">
        <w:proofErr w:type="spellStart"/>
        <w:r w:rsidRPr="00BD756C">
          <w:rPr>
            <w:rStyle w:val="Hipervnculo"/>
            <w:rFonts w:eastAsiaTheme="minorHAnsi"/>
          </w:rPr>
          <w:t>www.cb.is</w:t>
        </w:r>
        <w:proofErr w:type="spellEnd"/>
      </w:hyperlink>
    </w:p>
    <w:p w14:paraId="33D85AC3" w14:textId="725B0523" w:rsidR="00AF7A6A" w:rsidRPr="00F15ED4" w:rsidRDefault="00AF7A6A" w:rsidP="00AF7A6A">
      <w:pPr>
        <w:pStyle w:val="SingleTxtG"/>
        <w:ind w:left="4536" w:hanging="3402"/>
        <w:rPr>
          <w:rStyle w:val="Hipervnculo"/>
          <w:rFonts w:eastAsiaTheme="minorHAnsi"/>
          <w:color w:val="0000FF" w:themeColor="hyperlink"/>
          <w:lang w:val="sv-SE"/>
        </w:rPr>
      </w:pPr>
      <w:proofErr w:type="spellStart"/>
      <w:r w:rsidRPr="008D7E82" w:rsidDel="00B26B87">
        <w:t>The</w:t>
      </w:r>
      <w:proofErr w:type="spellEnd"/>
      <w:r w:rsidRPr="008D7E82" w:rsidDel="00B26B87">
        <w:t xml:space="preserve"> </w:t>
      </w:r>
      <w:proofErr w:type="spellStart"/>
      <w:r w:rsidRPr="008D7E82">
        <w:t>Constitution</w:t>
      </w:r>
      <w:proofErr w:type="spellEnd"/>
      <w:r w:rsidRPr="008D7E82">
        <w:t xml:space="preserve"> </w:t>
      </w:r>
      <w:proofErr w:type="spellStart"/>
      <w:r w:rsidRPr="008D7E82">
        <w:t>of</w:t>
      </w:r>
      <w:proofErr w:type="spellEnd"/>
      <w:r w:rsidRPr="008D7E82">
        <w:t xml:space="preserve"> </w:t>
      </w:r>
      <w:proofErr w:type="spellStart"/>
      <w:r w:rsidRPr="00896876">
        <w:t>Iceland</w:t>
      </w:r>
      <w:proofErr w:type="spellEnd"/>
      <w:r w:rsidRPr="008D7E82" w:rsidDel="00B26B87">
        <w:t xml:space="preserve"> in English</w:t>
      </w:r>
      <w:r>
        <w:tab/>
      </w:r>
      <w:hyperlink r:id="rId18" w:history="1">
        <w:r w:rsidRPr="001853A9">
          <w:rPr>
            <w:rStyle w:val="Hipervnculo"/>
            <w:rFonts w:eastAsiaTheme="minorHAnsi"/>
            <w:lang w:val="sv-SE"/>
          </w:rPr>
          <w:t>https://www.government.is/topics/governance-and-national-symbols/constitution/</w:t>
        </w:r>
      </w:hyperlink>
    </w:p>
    <w:p w14:paraId="0E1EBDCA" w14:textId="28E10787" w:rsidR="00AF7A6A" w:rsidRPr="008D7E82" w:rsidRDefault="00AF7A6A" w:rsidP="00AF7A6A">
      <w:pPr>
        <w:pStyle w:val="SingleTxtG"/>
        <w:tabs>
          <w:tab w:val="clear" w:pos="1701"/>
          <w:tab w:val="clear" w:pos="2268"/>
          <w:tab w:val="left" w:pos="4536"/>
        </w:tabs>
        <w:ind w:left="5670" w:right="567" w:hanging="4536"/>
      </w:pPr>
      <w:proofErr w:type="spellStart"/>
      <w:r w:rsidRPr="008D7E82">
        <w:t>Directorate</w:t>
      </w:r>
      <w:proofErr w:type="spellEnd"/>
      <w:r w:rsidRPr="008D7E82">
        <w:t xml:space="preserve"> </w:t>
      </w:r>
      <w:proofErr w:type="spellStart"/>
      <w:r w:rsidRPr="008D7E82">
        <w:t>of</w:t>
      </w:r>
      <w:proofErr w:type="spellEnd"/>
      <w:r w:rsidRPr="008D7E82">
        <w:t xml:space="preserve"> </w:t>
      </w:r>
      <w:proofErr w:type="spellStart"/>
      <w:r w:rsidRPr="008D7E82">
        <w:t>Education</w:t>
      </w:r>
      <w:proofErr w:type="spellEnd"/>
      <w:r w:rsidRPr="008D7E82">
        <w:t xml:space="preserve"> </w:t>
      </w:r>
      <w:r w:rsidRPr="008D7E82">
        <w:tab/>
      </w:r>
      <w:hyperlink r:id="rId19" w:history="1">
        <w:r w:rsidRPr="005432E7">
          <w:rPr>
            <w:rStyle w:val="Hipervnculo"/>
            <w:rFonts w:eastAsiaTheme="minorHAnsi"/>
            <w:color w:val="0000FF" w:themeColor="hyperlink"/>
            <w:lang w:val="sv-SE"/>
          </w:rPr>
          <w:t>https://mms.is/directorate-education</w:t>
        </w:r>
      </w:hyperlink>
    </w:p>
    <w:p w14:paraId="4C63A4C8" w14:textId="5BEA8A9A" w:rsidR="00AF7A6A" w:rsidRPr="005432E7" w:rsidRDefault="00AF7A6A" w:rsidP="00AF7A6A">
      <w:pPr>
        <w:pStyle w:val="SingleTxtG"/>
        <w:tabs>
          <w:tab w:val="clear" w:pos="1701"/>
          <w:tab w:val="clear" w:pos="2268"/>
          <w:tab w:val="left" w:pos="4536"/>
        </w:tabs>
        <w:ind w:left="5670" w:right="567" w:hanging="4536"/>
        <w:rPr>
          <w:rStyle w:val="Hipervnculo"/>
          <w:rFonts w:eastAsiaTheme="minorHAnsi"/>
          <w:color w:val="0000FF" w:themeColor="hyperlink"/>
          <w:lang w:val="sv-SE"/>
        </w:rPr>
      </w:pPr>
      <w:proofErr w:type="spellStart"/>
      <w:r w:rsidRPr="008D7E82">
        <w:t>Directorate</w:t>
      </w:r>
      <w:proofErr w:type="spellEnd"/>
      <w:r w:rsidRPr="008D7E82">
        <w:t xml:space="preserve"> </w:t>
      </w:r>
      <w:proofErr w:type="spellStart"/>
      <w:r w:rsidRPr="008D7E82">
        <w:t>of</w:t>
      </w:r>
      <w:proofErr w:type="spellEnd"/>
      <w:r w:rsidRPr="008D7E82">
        <w:t xml:space="preserve"> </w:t>
      </w:r>
      <w:proofErr w:type="spellStart"/>
      <w:r w:rsidRPr="008D7E82">
        <w:t>Health</w:t>
      </w:r>
      <w:proofErr w:type="spellEnd"/>
      <w:r w:rsidRPr="008D7E82">
        <w:t xml:space="preserve"> </w:t>
      </w:r>
      <w:r w:rsidRPr="008D7E82">
        <w:tab/>
      </w:r>
      <w:hyperlink r:id="rId20" w:history="1">
        <w:r w:rsidRPr="005432E7">
          <w:rPr>
            <w:rStyle w:val="Hipervnculo"/>
            <w:rFonts w:eastAsiaTheme="minorHAnsi"/>
            <w:color w:val="0000FF" w:themeColor="hyperlink"/>
            <w:lang w:val="sv-SE"/>
          </w:rPr>
          <w:t>https://www.landlaeknir.is/english/</w:t>
        </w:r>
      </w:hyperlink>
    </w:p>
    <w:p w14:paraId="25B5618D" w14:textId="4FD41780" w:rsidR="00AF7A6A" w:rsidRPr="005432E7" w:rsidRDefault="00AF7A6A" w:rsidP="00AF7A6A">
      <w:pPr>
        <w:pStyle w:val="SingleTxtG"/>
        <w:tabs>
          <w:tab w:val="clear" w:pos="1701"/>
          <w:tab w:val="clear" w:pos="2268"/>
          <w:tab w:val="left" w:pos="4536"/>
        </w:tabs>
        <w:ind w:left="5670" w:right="567" w:hanging="4536"/>
        <w:rPr>
          <w:rStyle w:val="Hipervnculo"/>
          <w:rFonts w:eastAsiaTheme="minorHAnsi"/>
          <w:color w:val="0000FF" w:themeColor="hyperlink"/>
          <w:lang w:val="sv-SE"/>
        </w:rPr>
      </w:pPr>
      <w:proofErr w:type="spellStart"/>
      <w:r w:rsidRPr="008D7E82">
        <w:t>Directorate</w:t>
      </w:r>
      <w:proofErr w:type="spellEnd"/>
      <w:r w:rsidRPr="008D7E82">
        <w:t xml:space="preserve"> </w:t>
      </w:r>
      <w:proofErr w:type="spellStart"/>
      <w:r w:rsidRPr="008D7E82">
        <w:t>of</w:t>
      </w:r>
      <w:proofErr w:type="spellEnd"/>
      <w:r w:rsidRPr="008D7E82">
        <w:t xml:space="preserve"> </w:t>
      </w:r>
      <w:proofErr w:type="spellStart"/>
      <w:r w:rsidRPr="008D7E82">
        <w:t>Labour</w:t>
      </w:r>
      <w:proofErr w:type="spellEnd"/>
      <w:r w:rsidRPr="008D7E82">
        <w:tab/>
      </w:r>
      <w:hyperlink r:id="rId21" w:history="1">
        <w:r w:rsidRPr="005432E7">
          <w:rPr>
            <w:rStyle w:val="Hipervnculo"/>
            <w:rFonts w:eastAsiaTheme="minorHAnsi"/>
            <w:color w:val="0000FF" w:themeColor="hyperlink"/>
            <w:lang w:val="sv-SE"/>
          </w:rPr>
          <w:t>https://vinnumalastofnun.is/en</w:t>
        </w:r>
      </w:hyperlink>
    </w:p>
    <w:p w14:paraId="3A6C3058" w14:textId="16967660" w:rsidR="00AF7A6A" w:rsidRPr="005432E7" w:rsidRDefault="00AF7A6A" w:rsidP="00AF7A6A">
      <w:pPr>
        <w:pStyle w:val="SingleTxtG"/>
        <w:tabs>
          <w:tab w:val="clear" w:pos="1701"/>
          <w:tab w:val="clear" w:pos="2268"/>
          <w:tab w:val="left" w:pos="4536"/>
        </w:tabs>
        <w:ind w:left="5670" w:right="567" w:hanging="4536"/>
        <w:rPr>
          <w:rStyle w:val="Hipervnculo"/>
          <w:rFonts w:eastAsiaTheme="minorHAnsi"/>
          <w:color w:val="0000FF" w:themeColor="hyperlink"/>
          <w:lang w:val="sv-SE"/>
        </w:rPr>
      </w:pPr>
      <w:proofErr w:type="spellStart"/>
      <w:r w:rsidRPr="008D7E82">
        <w:t>Icelandic</w:t>
      </w:r>
      <w:proofErr w:type="spellEnd"/>
      <w:r w:rsidRPr="008D7E82">
        <w:t xml:space="preserve"> Human </w:t>
      </w:r>
      <w:proofErr w:type="spellStart"/>
      <w:r w:rsidRPr="008D7E82">
        <w:t>Rights</w:t>
      </w:r>
      <w:proofErr w:type="spellEnd"/>
      <w:r w:rsidRPr="008D7E82">
        <w:t xml:space="preserve"> Centre </w:t>
      </w:r>
      <w:r w:rsidRPr="008D7E82">
        <w:tab/>
      </w:r>
      <w:hyperlink r:id="rId22" w:history="1">
        <w:r w:rsidRPr="005432E7">
          <w:rPr>
            <w:rStyle w:val="Hipervnculo"/>
            <w:rFonts w:eastAsiaTheme="minorHAnsi"/>
            <w:color w:val="0000FF" w:themeColor="hyperlink"/>
            <w:lang w:val="sv-SE"/>
          </w:rPr>
          <w:t>http://www.humanrights.is/en</w:t>
        </w:r>
      </w:hyperlink>
    </w:p>
    <w:p w14:paraId="63877CCE" w14:textId="2547F16E" w:rsidR="00AF7A6A" w:rsidRPr="005432E7" w:rsidRDefault="00AF7A6A" w:rsidP="00AF7A6A">
      <w:pPr>
        <w:pStyle w:val="SingleTxtG"/>
        <w:tabs>
          <w:tab w:val="clear" w:pos="1701"/>
          <w:tab w:val="clear" w:pos="2268"/>
          <w:tab w:val="left" w:pos="4536"/>
        </w:tabs>
        <w:ind w:left="5670" w:right="567" w:hanging="4536"/>
        <w:rPr>
          <w:rStyle w:val="Hipervnculo"/>
          <w:rFonts w:eastAsiaTheme="minorHAnsi"/>
          <w:color w:val="0000FF" w:themeColor="hyperlink"/>
          <w:lang w:val="sv-SE"/>
        </w:rPr>
      </w:pPr>
      <w:r w:rsidRPr="00AE1960">
        <w:rPr>
          <w:lang w:val="sv-SE"/>
        </w:rPr>
        <w:t>Multicultural and Information Centre</w:t>
      </w:r>
      <w:r w:rsidRPr="00AE1960">
        <w:rPr>
          <w:lang w:val="sv-SE"/>
        </w:rPr>
        <w:tab/>
      </w:r>
      <w:hyperlink r:id="rId23" w:history="1">
        <w:r w:rsidRPr="005432E7">
          <w:rPr>
            <w:rStyle w:val="Hipervnculo"/>
            <w:rFonts w:eastAsiaTheme="minorHAnsi"/>
            <w:color w:val="0000FF" w:themeColor="hyperlink"/>
            <w:lang w:val="sv-SE"/>
          </w:rPr>
          <w:t>http://www.mcc.is</w:t>
        </w:r>
      </w:hyperlink>
    </w:p>
    <w:p w14:paraId="5FCBC6B2" w14:textId="77777777" w:rsidR="00AF7A6A" w:rsidRPr="005432E7" w:rsidRDefault="00AF7A6A" w:rsidP="00AF7A6A">
      <w:pPr>
        <w:pStyle w:val="SingleTxtG"/>
        <w:tabs>
          <w:tab w:val="clear" w:pos="1701"/>
          <w:tab w:val="clear" w:pos="2268"/>
          <w:tab w:val="left" w:pos="4536"/>
        </w:tabs>
        <w:ind w:left="5670" w:right="567" w:hanging="4536"/>
        <w:rPr>
          <w:rStyle w:val="Hipervnculo"/>
          <w:rFonts w:eastAsiaTheme="minorHAnsi"/>
          <w:color w:val="0000FF" w:themeColor="hyperlink"/>
          <w:lang w:val="sv-SE"/>
        </w:rPr>
      </w:pPr>
      <w:r w:rsidRPr="00AE1960">
        <w:rPr>
          <w:lang w:val="sv-SE"/>
        </w:rPr>
        <w:t>Ombudsman for Children</w:t>
      </w:r>
      <w:r w:rsidRPr="00AE1960">
        <w:rPr>
          <w:lang w:val="sv-SE"/>
        </w:rPr>
        <w:tab/>
      </w:r>
      <w:r w:rsidRPr="005432E7">
        <w:rPr>
          <w:rStyle w:val="Hipervnculo"/>
          <w:rFonts w:eastAsiaTheme="minorHAnsi"/>
          <w:color w:val="0000FF" w:themeColor="hyperlink"/>
          <w:lang w:val="sv-SE"/>
        </w:rPr>
        <w:t>https://www.barn.is/english/</w:t>
      </w:r>
    </w:p>
    <w:p w14:paraId="27928F08" w14:textId="5405D769" w:rsidR="00AF7A6A" w:rsidRPr="005432E7" w:rsidRDefault="00AF7A6A" w:rsidP="00AF7A6A">
      <w:pPr>
        <w:pStyle w:val="SingleTxtG"/>
        <w:tabs>
          <w:tab w:val="clear" w:pos="1701"/>
          <w:tab w:val="clear" w:pos="2268"/>
          <w:tab w:val="left" w:pos="4536"/>
        </w:tabs>
        <w:ind w:left="5670" w:right="567" w:hanging="4536"/>
        <w:rPr>
          <w:rStyle w:val="Hipervnculo"/>
          <w:rFonts w:eastAsiaTheme="minorHAnsi"/>
          <w:color w:val="0000FF" w:themeColor="hyperlink"/>
          <w:lang w:val="sv-SE"/>
        </w:rPr>
      </w:pPr>
      <w:r w:rsidRPr="00AE1960">
        <w:rPr>
          <w:lang w:val="sv-SE"/>
        </w:rPr>
        <w:t>Statistics Iceland</w:t>
      </w:r>
      <w:r w:rsidRPr="00AE1960" w:rsidDel="00B26B87">
        <w:rPr>
          <w:lang w:val="sv-SE"/>
        </w:rPr>
        <w:t xml:space="preserve"> </w:t>
      </w:r>
      <w:r>
        <w:rPr>
          <w:lang w:val="sv-SE"/>
        </w:rPr>
        <w:tab/>
      </w:r>
      <w:r w:rsidRPr="00AE1960">
        <w:rPr>
          <w:lang w:val="sv-SE"/>
        </w:rPr>
        <w:tab/>
      </w:r>
      <w:hyperlink r:id="rId24" w:history="1">
        <w:r w:rsidRPr="001853A9">
          <w:rPr>
            <w:rStyle w:val="Hipervnculo"/>
            <w:rFonts w:eastAsiaTheme="minorHAnsi"/>
            <w:lang w:val="sv-SE"/>
          </w:rPr>
          <w:t>https://statice.is/</w:t>
        </w:r>
      </w:hyperlink>
    </w:p>
    <w:p w14:paraId="3C85DCC1" w14:textId="7F25B7CC" w:rsidR="00AF7A6A" w:rsidRPr="005432E7" w:rsidRDefault="00AF7A6A" w:rsidP="00AF7A6A">
      <w:pPr>
        <w:pStyle w:val="SingleTxtG"/>
        <w:tabs>
          <w:tab w:val="clear" w:pos="1701"/>
          <w:tab w:val="clear" w:pos="2268"/>
          <w:tab w:val="left" w:pos="4536"/>
        </w:tabs>
        <w:ind w:left="5670" w:right="567" w:hanging="4536"/>
        <w:rPr>
          <w:rStyle w:val="Hipervnculo"/>
          <w:rFonts w:eastAsiaTheme="minorHAnsi"/>
          <w:color w:val="0000FF" w:themeColor="hyperlink"/>
          <w:lang w:val="sv-SE"/>
        </w:rPr>
      </w:pPr>
      <w:proofErr w:type="spellStart"/>
      <w:r w:rsidRPr="008D7E82">
        <w:t>The</w:t>
      </w:r>
      <w:proofErr w:type="spellEnd"/>
      <w:r w:rsidRPr="008D7E82">
        <w:t xml:space="preserve"> </w:t>
      </w:r>
      <w:proofErr w:type="spellStart"/>
      <w:r w:rsidRPr="008D7E82">
        <w:t>Government</w:t>
      </w:r>
      <w:proofErr w:type="spellEnd"/>
      <w:r w:rsidRPr="008D7E82">
        <w:t xml:space="preserve"> </w:t>
      </w:r>
      <w:proofErr w:type="spellStart"/>
      <w:r w:rsidRPr="008D7E82">
        <w:t>of</w:t>
      </w:r>
      <w:proofErr w:type="spellEnd"/>
      <w:r w:rsidRPr="008D7E82">
        <w:t xml:space="preserve"> </w:t>
      </w:r>
      <w:proofErr w:type="spellStart"/>
      <w:r w:rsidRPr="008D7E82">
        <w:t>Iceland</w:t>
      </w:r>
      <w:proofErr w:type="spellEnd"/>
      <w:r w:rsidRPr="008D7E82">
        <w:t xml:space="preserve"> </w:t>
      </w:r>
      <w:r w:rsidRPr="008D7E82">
        <w:tab/>
      </w:r>
      <w:hyperlink r:id="rId25" w:history="1">
        <w:r w:rsidRPr="005432E7">
          <w:rPr>
            <w:rStyle w:val="Hipervnculo"/>
            <w:rFonts w:eastAsiaTheme="minorHAnsi"/>
            <w:color w:val="0000FF" w:themeColor="hyperlink"/>
            <w:lang w:val="sv-SE"/>
          </w:rPr>
          <w:t>https://www.government.is/</w:t>
        </w:r>
      </w:hyperlink>
    </w:p>
    <w:p w14:paraId="7672B073" w14:textId="65091973" w:rsidR="00AF7A6A" w:rsidRDefault="00AF7A6A" w:rsidP="00AF7A6A">
      <w:pPr>
        <w:pStyle w:val="SingleTxtG"/>
        <w:tabs>
          <w:tab w:val="clear" w:pos="1701"/>
          <w:tab w:val="clear" w:pos="2268"/>
          <w:tab w:val="left" w:pos="4536"/>
        </w:tabs>
        <w:ind w:left="5670" w:right="567" w:hanging="4536"/>
        <w:rPr>
          <w:u w:val="single"/>
        </w:rPr>
      </w:pPr>
      <w:proofErr w:type="spellStart"/>
      <w:r w:rsidRPr="008D7E82">
        <w:t>The</w:t>
      </w:r>
      <w:proofErr w:type="spellEnd"/>
      <w:r w:rsidRPr="008D7E82">
        <w:t xml:space="preserve"> Judicial </w:t>
      </w:r>
      <w:proofErr w:type="spellStart"/>
      <w:r w:rsidRPr="008D7E82">
        <w:t>Administration</w:t>
      </w:r>
      <w:proofErr w:type="spellEnd"/>
      <w:r w:rsidRPr="008D7E82">
        <w:t xml:space="preserve"> </w:t>
      </w:r>
      <w:r w:rsidRPr="008D7E82">
        <w:tab/>
      </w:r>
      <w:hyperlink r:id="rId26" w:history="1">
        <w:r w:rsidRPr="005432E7">
          <w:rPr>
            <w:rStyle w:val="Hipervnculo"/>
            <w:rFonts w:eastAsiaTheme="minorHAnsi"/>
            <w:color w:val="0000FF" w:themeColor="hyperlink"/>
            <w:lang w:val="sv-SE"/>
          </w:rPr>
          <w:t>https://www.domstolasyslan.is/en/</w:t>
        </w:r>
      </w:hyperlink>
      <w:r w:rsidRPr="005432E7">
        <w:rPr>
          <w:rStyle w:val="Hipervnculo"/>
          <w:rFonts w:eastAsiaTheme="minorHAnsi"/>
          <w:color w:val="0000FF" w:themeColor="hyperlink"/>
          <w:lang w:val="sv-SE"/>
        </w:rPr>
        <w:t>?</w:t>
      </w:r>
    </w:p>
    <w:p w14:paraId="6AD7454E" w14:textId="4C247D39" w:rsidR="00C619FA" w:rsidRPr="0060200B" w:rsidRDefault="0060200B" w:rsidP="0060200B">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C619FA" w:rsidRPr="0060200B" w:rsidSect="00C619FA">
      <w:headerReference w:type="even" r:id="rId27"/>
      <w:headerReference w:type="default" r:id="rId28"/>
      <w:footerReference w:type="even" r:id="rId29"/>
      <w:footerReference w:type="default" r:id="rId30"/>
      <w:footerReference w:type="first" r:id="rId3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AD417" w14:textId="77777777" w:rsidR="00B56791" w:rsidRPr="00AC76E8" w:rsidRDefault="00B56791" w:rsidP="00AC76E8">
      <w:pPr>
        <w:pStyle w:val="Piedepgina"/>
      </w:pPr>
    </w:p>
  </w:endnote>
  <w:endnote w:type="continuationSeparator" w:id="0">
    <w:p w14:paraId="242CF913" w14:textId="77777777" w:rsidR="00B56791" w:rsidRPr="00AC76E8" w:rsidRDefault="00B56791"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B01E1" w14:textId="122318F9" w:rsidR="00B56791" w:rsidRPr="00C619FA" w:rsidRDefault="00B56791" w:rsidP="00C619FA">
    <w:pPr>
      <w:pStyle w:val="Piedepgina"/>
      <w:tabs>
        <w:tab w:val="right" w:pos="9638"/>
      </w:tabs>
    </w:pPr>
    <w:r w:rsidRPr="00C619FA">
      <w:rPr>
        <w:b/>
        <w:sz w:val="18"/>
      </w:rPr>
      <w:fldChar w:fldCharType="begin"/>
    </w:r>
    <w:r w:rsidRPr="00C619FA">
      <w:rPr>
        <w:b/>
        <w:sz w:val="18"/>
      </w:rPr>
      <w:instrText xml:space="preserve"> PAGE  \* MERGEFORMAT </w:instrText>
    </w:r>
    <w:r w:rsidRPr="00C619FA">
      <w:rPr>
        <w:b/>
        <w:sz w:val="18"/>
      </w:rPr>
      <w:fldChar w:fldCharType="separate"/>
    </w:r>
    <w:r w:rsidRPr="00C619FA">
      <w:rPr>
        <w:b/>
        <w:noProof/>
        <w:sz w:val="18"/>
      </w:rPr>
      <w:t>2</w:t>
    </w:r>
    <w:r w:rsidRPr="00C619FA">
      <w:rPr>
        <w:b/>
        <w:sz w:val="18"/>
      </w:rPr>
      <w:fldChar w:fldCharType="end"/>
    </w:r>
    <w:r>
      <w:rPr>
        <w:b/>
        <w:sz w:val="18"/>
      </w:rPr>
      <w:tab/>
    </w:r>
    <w:r>
      <w:t>GE.21-10479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6CE77" w14:textId="6D4A4824" w:rsidR="00B56791" w:rsidRPr="00C619FA" w:rsidRDefault="00B56791" w:rsidP="00C619FA">
    <w:pPr>
      <w:pStyle w:val="Piedepgina"/>
      <w:tabs>
        <w:tab w:val="right" w:pos="9638"/>
      </w:tabs>
      <w:rPr>
        <w:b/>
        <w:sz w:val="18"/>
      </w:rPr>
    </w:pPr>
    <w:r>
      <w:t>GE.21-10479</w:t>
    </w:r>
    <w:r>
      <w:tab/>
    </w:r>
    <w:r w:rsidRPr="00C619FA">
      <w:rPr>
        <w:b/>
        <w:sz w:val="18"/>
      </w:rPr>
      <w:fldChar w:fldCharType="begin"/>
    </w:r>
    <w:r w:rsidRPr="00C619FA">
      <w:rPr>
        <w:b/>
        <w:sz w:val="18"/>
      </w:rPr>
      <w:instrText xml:space="preserve"> PAGE  \* MERGEFORMAT </w:instrText>
    </w:r>
    <w:r w:rsidRPr="00C619FA">
      <w:rPr>
        <w:b/>
        <w:sz w:val="18"/>
      </w:rPr>
      <w:fldChar w:fldCharType="separate"/>
    </w:r>
    <w:r w:rsidRPr="00C619FA">
      <w:rPr>
        <w:b/>
        <w:noProof/>
        <w:sz w:val="18"/>
      </w:rPr>
      <w:t>3</w:t>
    </w:r>
    <w:r w:rsidRPr="00C619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7ECD2" w14:textId="7177882A" w:rsidR="00B56791" w:rsidRPr="00C619FA" w:rsidRDefault="00B56791" w:rsidP="00C619FA">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3462EAA4" wp14:editId="2E157E4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21-10479  (S)</w:t>
    </w:r>
    <w:r>
      <w:rPr>
        <w:noProof/>
        <w:sz w:val="20"/>
      </w:rPr>
      <w:drawing>
        <wp:anchor distT="0" distB="0" distL="114300" distR="114300" simplePos="0" relativeHeight="251658752" behindDoc="0" locked="0" layoutInCell="1" allowOverlap="1" wp14:anchorId="74774578" wp14:editId="11DC4B6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080921    290921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0668F" w14:textId="77777777" w:rsidR="00B56791" w:rsidRPr="001075E9" w:rsidRDefault="00B56791" w:rsidP="001075E9">
      <w:pPr>
        <w:tabs>
          <w:tab w:val="right" w:pos="2155"/>
        </w:tabs>
        <w:spacing w:after="80" w:line="240" w:lineRule="auto"/>
        <w:ind w:left="680"/>
        <w:rPr>
          <w:u w:val="single"/>
        </w:rPr>
      </w:pPr>
      <w:r>
        <w:rPr>
          <w:u w:val="single"/>
        </w:rPr>
        <w:tab/>
      </w:r>
    </w:p>
  </w:footnote>
  <w:footnote w:type="continuationSeparator" w:id="0">
    <w:p w14:paraId="4D77BAE6" w14:textId="77777777" w:rsidR="00B56791" w:rsidRDefault="00B56791" w:rsidP="00AC76E8">
      <w:pPr>
        <w:tabs>
          <w:tab w:val="right" w:pos="2155"/>
        </w:tabs>
        <w:spacing w:after="80" w:line="240" w:lineRule="auto"/>
        <w:ind w:left="680"/>
        <w:rPr>
          <w:u w:val="single"/>
        </w:rPr>
      </w:pPr>
      <w:r>
        <w:rPr>
          <w:u w:val="single"/>
        </w:rPr>
        <w:tab/>
      </w:r>
    </w:p>
  </w:footnote>
  <w:footnote w:id="1">
    <w:p w14:paraId="57425A2D" w14:textId="634448C6" w:rsidR="00B56791" w:rsidRPr="00C619FA" w:rsidRDefault="00B56791" w:rsidP="00C619FA">
      <w:pPr>
        <w:pStyle w:val="Textonotapie"/>
        <w:rPr>
          <w:sz w:val="20"/>
        </w:rPr>
      </w:pPr>
      <w:r>
        <w:tab/>
      </w:r>
      <w:r w:rsidRPr="00C619FA">
        <w:rPr>
          <w:rStyle w:val="Refdenotaalpie"/>
          <w:sz w:val="20"/>
          <w:vertAlign w:val="baseline"/>
        </w:rPr>
        <w:t>*</w:t>
      </w:r>
      <w:r w:rsidRPr="00C619FA">
        <w:rPr>
          <w:rStyle w:val="Refdenotaalpie"/>
          <w:vertAlign w:val="baseline"/>
        </w:rPr>
        <w:tab/>
      </w:r>
      <w:r w:rsidRPr="00C619FA">
        <w:rPr>
          <w:lang w:val="es-PE"/>
        </w:rPr>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4FBC5" w14:textId="72584F8F" w:rsidR="00B56791" w:rsidRPr="00C619FA" w:rsidRDefault="00B56791">
    <w:pPr>
      <w:pStyle w:val="Encabezado"/>
    </w:pPr>
    <w:r>
      <w:fldChar w:fldCharType="begin"/>
    </w:r>
    <w:r>
      <w:instrText xml:space="preserve"> TITLE  \* MERGEFORMAT </w:instrText>
    </w:r>
    <w:r>
      <w:fldChar w:fldCharType="separate"/>
    </w:r>
    <w:proofErr w:type="spellStart"/>
    <w:r w:rsidR="00030C5A">
      <w:t>HRI</w:t>
    </w:r>
    <w:proofErr w:type="spellEnd"/>
    <w:r w:rsidR="00030C5A">
      <w:t>/CORE/</w:t>
    </w:r>
    <w:proofErr w:type="spellStart"/>
    <w:r w:rsidR="00030C5A">
      <w:t>ISL</w:t>
    </w:r>
    <w:proofErr w:type="spellEnd"/>
    <w:r w:rsidR="00030C5A">
      <w:t>/2021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890C7" w14:textId="79E2D155" w:rsidR="00B56791" w:rsidRPr="00C619FA" w:rsidRDefault="00B56791" w:rsidP="00C619FA">
    <w:pPr>
      <w:pStyle w:val="Encabezado"/>
      <w:jc w:val="right"/>
    </w:pPr>
    <w:r>
      <w:fldChar w:fldCharType="begin"/>
    </w:r>
    <w:r>
      <w:instrText xml:space="preserve"> TITLE  \* MERGEFORMAT </w:instrText>
    </w:r>
    <w:r>
      <w:fldChar w:fldCharType="separate"/>
    </w:r>
    <w:proofErr w:type="spellStart"/>
    <w:r w:rsidR="00030C5A">
      <w:t>HRI</w:t>
    </w:r>
    <w:proofErr w:type="spellEnd"/>
    <w:r w:rsidR="00030C5A">
      <w:t>/CORE/</w:t>
    </w:r>
    <w:proofErr w:type="spellStart"/>
    <w:r w:rsidR="00030C5A">
      <w:t>ISL</w:t>
    </w:r>
    <w:proofErr w:type="spellEnd"/>
    <w:r w:rsidR="00030C5A">
      <w:t>/2021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3088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6AA2A36">
      <w:start w:val="1"/>
      <w:numFmt w:val="decimal"/>
      <w:lvlText w:val="%1."/>
      <w:lvlJc w:val="left"/>
      <w:pPr>
        <w:tabs>
          <w:tab w:val="num" w:pos="1494"/>
        </w:tabs>
        <w:ind w:left="1134" w:firstLine="0"/>
      </w:pPr>
      <w:rPr>
        <w:rFonts w:ascii="Times New Roman" w:hAnsi="Times New Roman" w:hint="default"/>
        <w:b w:val="0"/>
        <w:i w:val="0"/>
        <w:sz w:val="20"/>
      </w:rPr>
    </w:lvl>
    <w:lvl w:ilvl="1" w:tplc="A8E00A86" w:tentative="1">
      <w:start w:val="1"/>
      <w:numFmt w:val="lowerLetter"/>
      <w:lvlText w:val="%2."/>
      <w:lvlJc w:val="left"/>
      <w:pPr>
        <w:tabs>
          <w:tab w:val="num" w:pos="1440"/>
        </w:tabs>
        <w:ind w:left="1440" w:hanging="360"/>
      </w:pPr>
    </w:lvl>
    <w:lvl w:ilvl="2" w:tplc="1940EEFE" w:tentative="1">
      <w:start w:val="1"/>
      <w:numFmt w:val="lowerRoman"/>
      <w:lvlText w:val="%3."/>
      <w:lvlJc w:val="right"/>
      <w:pPr>
        <w:tabs>
          <w:tab w:val="num" w:pos="2160"/>
        </w:tabs>
        <w:ind w:left="2160" w:hanging="180"/>
      </w:pPr>
    </w:lvl>
    <w:lvl w:ilvl="3" w:tplc="3FCCC7AA" w:tentative="1">
      <w:start w:val="1"/>
      <w:numFmt w:val="decimal"/>
      <w:lvlText w:val="%4."/>
      <w:lvlJc w:val="left"/>
      <w:pPr>
        <w:tabs>
          <w:tab w:val="num" w:pos="2880"/>
        </w:tabs>
        <w:ind w:left="2880" w:hanging="360"/>
      </w:pPr>
    </w:lvl>
    <w:lvl w:ilvl="4" w:tplc="836439EE" w:tentative="1">
      <w:start w:val="1"/>
      <w:numFmt w:val="lowerLetter"/>
      <w:lvlText w:val="%5."/>
      <w:lvlJc w:val="left"/>
      <w:pPr>
        <w:tabs>
          <w:tab w:val="num" w:pos="3600"/>
        </w:tabs>
        <w:ind w:left="3600" w:hanging="360"/>
      </w:pPr>
    </w:lvl>
    <w:lvl w:ilvl="5" w:tplc="F29AC8A8" w:tentative="1">
      <w:start w:val="1"/>
      <w:numFmt w:val="lowerRoman"/>
      <w:lvlText w:val="%6."/>
      <w:lvlJc w:val="right"/>
      <w:pPr>
        <w:tabs>
          <w:tab w:val="num" w:pos="4320"/>
        </w:tabs>
        <w:ind w:left="4320" w:hanging="180"/>
      </w:pPr>
    </w:lvl>
    <w:lvl w:ilvl="6" w:tplc="92A67B0E" w:tentative="1">
      <w:start w:val="1"/>
      <w:numFmt w:val="decimal"/>
      <w:lvlText w:val="%7."/>
      <w:lvlJc w:val="left"/>
      <w:pPr>
        <w:tabs>
          <w:tab w:val="num" w:pos="5040"/>
        </w:tabs>
        <w:ind w:left="5040" w:hanging="360"/>
      </w:pPr>
    </w:lvl>
    <w:lvl w:ilvl="7" w:tplc="6E1A5E00" w:tentative="1">
      <w:start w:val="1"/>
      <w:numFmt w:val="lowerLetter"/>
      <w:lvlText w:val="%8."/>
      <w:lvlJc w:val="left"/>
      <w:pPr>
        <w:tabs>
          <w:tab w:val="num" w:pos="5760"/>
        </w:tabs>
        <w:ind w:left="5760" w:hanging="360"/>
      </w:pPr>
    </w:lvl>
    <w:lvl w:ilvl="8" w:tplc="96689D32"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53887"/>
    <w:multiLevelType w:val="hybridMultilevel"/>
    <w:tmpl w:val="497EC7CC"/>
    <w:lvl w:ilvl="0" w:tplc="DCF439C8">
      <w:start w:val="1"/>
      <w:numFmt w:val="bullet"/>
      <w:lvlText w:val="•"/>
      <w:lvlJc w:val="left"/>
      <w:pPr>
        <w:tabs>
          <w:tab w:val="num" w:pos="2268"/>
        </w:tabs>
        <w:ind w:left="2268" w:hanging="170"/>
      </w:pPr>
      <w:rPr>
        <w:rFonts w:ascii="Times New Roman" w:hAnsi="Times New Roman" w:cs="Times New Roman" w:hint="default"/>
      </w:rPr>
    </w:lvl>
    <w:lvl w:ilvl="1" w:tplc="15AAA058" w:tentative="1">
      <w:start w:val="1"/>
      <w:numFmt w:val="bullet"/>
      <w:lvlText w:val="o"/>
      <w:lvlJc w:val="left"/>
      <w:pPr>
        <w:tabs>
          <w:tab w:val="num" w:pos="1440"/>
        </w:tabs>
        <w:ind w:left="1440" w:hanging="360"/>
      </w:pPr>
      <w:rPr>
        <w:rFonts w:ascii="Courier New" w:hAnsi="Courier New" w:hint="default"/>
      </w:rPr>
    </w:lvl>
    <w:lvl w:ilvl="2" w:tplc="B936E74A" w:tentative="1">
      <w:start w:val="1"/>
      <w:numFmt w:val="bullet"/>
      <w:lvlText w:val=""/>
      <w:lvlJc w:val="left"/>
      <w:pPr>
        <w:tabs>
          <w:tab w:val="num" w:pos="2160"/>
        </w:tabs>
        <w:ind w:left="2160" w:hanging="360"/>
      </w:pPr>
      <w:rPr>
        <w:rFonts w:ascii="Wingdings" w:hAnsi="Wingdings" w:hint="default"/>
      </w:rPr>
    </w:lvl>
    <w:lvl w:ilvl="3" w:tplc="96BC0FDC" w:tentative="1">
      <w:start w:val="1"/>
      <w:numFmt w:val="bullet"/>
      <w:lvlText w:val=""/>
      <w:lvlJc w:val="left"/>
      <w:pPr>
        <w:tabs>
          <w:tab w:val="num" w:pos="2880"/>
        </w:tabs>
        <w:ind w:left="2880" w:hanging="360"/>
      </w:pPr>
      <w:rPr>
        <w:rFonts w:ascii="Symbol" w:hAnsi="Symbol" w:hint="default"/>
      </w:rPr>
    </w:lvl>
    <w:lvl w:ilvl="4" w:tplc="D4BE2854" w:tentative="1">
      <w:start w:val="1"/>
      <w:numFmt w:val="bullet"/>
      <w:lvlText w:val="o"/>
      <w:lvlJc w:val="left"/>
      <w:pPr>
        <w:tabs>
          <w:tab w:val="num" w:pos="3600"/>
        </w:tabs>
        <w:ind w:left="3600" w:hanging="360"/>
      </w:pPr>
      <w:rPr>
        <w:rFonts w:ascii="Courier New" w:hAnsi="Courier New" w:hint="default"/>
      </w:rPr>
    </w:lvl>
    <w:lvl w:ilvl="5" w:tplc="A246C5DA" w:tentative="1">
      <w:start w:val="1"/>
      <w:numFmt w:val="bullet"/>
      <w:lvlText w:val=""/>
      <w:lvlJc w:val="left"/>
      <w:pPr>
        <w:tabs>
          <w:tab w:val="num" w:pos="4320"/>
        </w:tabs>
        <w:ind w:left="4320" w:hanging="360"/>
      </w:pPr>
      <w:rPr>
        <w:rFonts w:ascii="Wingdings" w:hAnsi="Wingdings" w:hint="default"/>
      </w:rPr>
    </w:lvl>
    <w:lvl w:ilvl="6" w:tplc="B1C45436" w:tentative="1">
      <w:start w:val="1"/>
      <w:numFmt w:val="bullet"/>
      <w:lvlText w:val=""/>
      <w:lvlJc w:val="left"/>
      <w:pPr>
        <w:tabs>
          <w:tab w:val="num" w:pos="5040"/>
        </w:tabs>
        <w:ind w:left="5040" w:hanging="360"/>
      </w:pPr>
      <w:rPr>
        <w:rFonts w:ascii="Symbol" w:hAnsi="Symbol" w:hint="default"/>
      </w:rPr>
    </w:lvl>
    <w:lvl w:ilvl="7" w:tplc="069E1DDC" w:tentative="1">
      <w:start w:val="1"/>
      <w:numFmt w:val="bullet"/>
      <w:lvlText w:val="o"/>
      <w:lvlJc w:val="left"/>
      <w:pPr>
        <w:tabs>
          <w:tab w:val="num" w:pos="5760"/>
        </w:tabs>
        <w:ind w:left="5760" w:hanging="360"/>
      </w:pPr>
      <w:rPr>
        <w:rFonts w:ascii="Courier New" w:hAnsi="Courier New" w:hint="default"/>
      </w:rPr>
    </w:lvl>
    <w:lvl w:ilvl="8" w:tplc="03648C3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DACC81B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DF32FF1A" w:tentative="1">
      <w:start w:val="1"/>
      <w:numFmt w:val="bullet"/>
      <w:lvlText w:val="o"/>
      <w:lvlJc w:val="left"/>
      <w:pPr>
        <w:tabs>
          <w:tab w:val="num" w:pos="1440"/>
        </w:tabs>
        <w:ind w:left="1440" w:hanging="360"/>
      </w:pPr>
      <w:rPr>
        <w:rFonts w:ascii="Courier New" w:hAnsi="Courier New" w:hint="default"/>
      </w:rPr>
    </w:lvl>
    <w:lvl w:ilvl="2" w:tplc="2A30E624" w:tentative="1">
      <w:start w:val="1"/>
      <w:numFmt w:val="bullet"/>
      <w:lvlText w:val=""/>
      <w:lvlJc w:val="left"/>
      <w:pPr>
        <w:tabs>
          <w:tab w:val="num" w:pos="2160"/>
        </w:tabs>
        <w:ind w:left="2160" w:hanging="360"/>
      </w:pPr>
      <w:rPr>
        <w:rFonts w:ascii="Wingdings" w:hAnsi="Wingdings" w:hint="default"/>
      </w:rPr>
    </w:lvl>
    <w:lvl w:ilvl="3" w:tplc="9B349CDE" w:tentative="1">
      <w:start w:val="1"/>
      <w:numFmt w:val="bullet"/>
      <w:lvlText w:val=""/>
      <w:lvlJc w:val="left"/>
      <w:pPr>
        <w:tabs>
          <w:tab w:val="num" w:pos="2880"/>
        </w:tabs>
        <w:ind w:left="2880" w:hanging="360"/>
      </w:pPr>
      <w:rPr>
        <w:rFonts w:ascii="Symbol" w:hAnsi="Symbol" w:hint="default"/>
      </w:rPr>
    </w:lvl>
    <w:lvl w:ilvl="4" w:tplc="7BB42424" w:tentative="1">
      <w:start w:val="1"/>
      <w:numFmt w:val="bullet"/>
      <w:lvlText w:val="o"/>
      <w:lvlJc w:val="left"/>
      <w:pPr>
        <w:tabs>
          <w:tab w:val="num" w:pos="3600"/>
        </w:tabs>
        <w:ind w:left="3600" w:hanging="360"/>
      </w:pPr>
      <w:rPr>
        <w:rFonts w:ascii="Courier New" w:hAnsi="Courier New" w:hint="default"/>
      </w:rPr>
    </w:lvl>
    <w:lvl w:ilvl="5" w:tplc="BE5E8D8A" w:tentative="1">
      <w:start w:val="1"/>
      <w:numFmt w:val="bullet"/>
      <w:lvlText w:val=""/>
      <w:lvlJc w:val="left"/>
      <w:pPr>
        <w:tabs>
          <w:tab w:val="num" w:pos="4320"/>
        </w:tabs>
        <w:ind w:left="4320" w:hanging="360"/>
      </w:pPr>
      <w:rPr>
        <w:rFonts w:ascii="Wingdings" w:hAnsi="Wingdings" w:hint="default"/>
      </w:rPr>
    </w:lvl>
    <w:lvl w:ilvl="6" w:tplc="826E4C90" w:tentative="1">
      <w:start w:val="1"/>
      <w:numFmt w:val="bullet"/>
      <w:lvlText w:val=""/>
      <w:lvlJc w:val="left"/>
      <w:pPr>
        <w:tabs>
          <w:tab w:val="num" w:pos="5040"/>
        </w:tabs>
        <w:ind w:left="5040" w:hanging="360"/>
      </w:pPr>
      <w:rPr>
        <w:rFonts w:ascii="Symbol" w:hAnsi="Symbol" w:hint="default"/>
      </w:rPr>
    </w:lvl>
    <w:lvl w:ilvl="7" w:tplc="9FECA94C" w:tentative="1">
      <w:start w:val="1"/>
      <w:numFmt w:val="bullet"/>
      <w:lvlText w:val="o"/>
      <w:lvlJc w:val="left"/>
      <w:pPr>
        <w:tabs>
          <w:tab w:val="num" w:pos="5760"/>
        </w:tabs>
        <w:ind w:left="5760" w:hanging="360"/>
      </w:pPr>
      <w:rPr>
        <w:rFonts w:ascii="Courier New" w:hAnsi="Courier New" w:hint="default"/>
      </w:rPr>
    </w:lvl>
    <w:lvl w:ilvl="8" w:tplc="7804B48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3"/>
  </w:num>
  <w:num w:numId="18">
    <w:abstractNumId w:val="16"/>
  </w:num>
  <w:num w:numId="19">
    <w:abstractNumId w:val="12"/>
  </w:num>
  <w:num w:numId="20">
    <w:abstractNumId w:val="25"/>
  </w:num>
  <w:num w:numId="21">
    <w:abstractNumId w:val="24"/>
  </w:num>
  <w:num w:numId="22">
    <w:abstractNumId w:val="17"/>
  </w:num>
  <w:num w:numId="23">
    <w:abstractNumId w:val="17"/>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 w:numId="36">
    <w:abstractNumId w:val="14"/>
  </w:num>
  <w:num w:numId="37">
    <w:abstractNumId w:val="10"/>
  </w:num>
  <w:num w:numId="38">
    <w:abstractNumId w:val="19"/>
  </w:num>
  <w:num w:numId="39">
    <w:abstractNumId w:val="18"/>
  </w:num>
  <w:num w:numId="40">
    <w:abstractNumId w:val="21"/>
  </w:num>
  <w:num w:numId="41">
    <w:abstractNumId w:val="13"/>
  </w:num>
  <w:num w:numId="42">
    <w:abstractNumId w:val="22"/>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42"/>
    <w:rsid w:val="00000A64"/>
    <w:rsid w:val="00030C5A"/>
    <w:rsid w:val="00033EE1"/>
    <w:rsid w:val="000470DE"/>
    <w:rsid w:val="000B1B3B"/>
    <w:rsid w:val="000B57E7"/>
    <w:rsid w:val="000B70EF"/>
    <w:rsid w:val="000F09DF"/>
    <w:rsid w:val="000F61B2"/>
    <w:rsid w:val="001075E9"/>
    <w:rsid w:val="001256EA"/>
    <w:rsid w:val="00141A72"/>
    <w:rsid w:val="001560AB"/>
    <w:rsid w:val="001611AC"/>
    <w:rsid w:val="0017589D"/>
    <w:rsid w:val="00180183"/>
    <w:rsid w:val="00181AFB"/>
    <w:rsid w:val="0018649F"/>
    <w:rsid w:val="00196389"/>
    <w:rsid w:val="001A7DDF"/>
    <w:rsid w:val="001C7A89"/>
    <w:rsid w:val="00216ABE"/>
    <w:rsid w:val="002375F0"/>
    <w:rsid w:val="00243B75"/>
    <w:rsid w:val="00247D16"/>
    <w:rsid w:val="002728DC"/>
    <w:rsid w:val="0029403D"/>
    <w:rsid w:val="002A2EFC"/>
    <w:rsid w:val="002B0F41"/>
    <w:rsid w:val="002C0E18"/>
    <w:rsid w:val="002D5AAC"/>
    <w:rsid w:val="00301299"/>
    <w:rsid w:val="00302D2B"/>
    <w:rsid w:val="00322004"/>
    <w:rsid w:val="00326476"/>
    <w:rsid w:val="003402C2"/>
    <w:rsid w:val="00340CFB"/>
    <w:rsid w:val="0036600C"/>
    <w:rsid w:val="00381C24"/>
    <w:rsid w:val="003958D0"/>
    <w:rsid w:val="003B00E5"/>
    <w:rsid w:val="003F4A6B"/>
    <w:rsid w:val="00414A16"/>
    <w:rsid w:val="00427F10"/>
    <w:rsid w:val="00446976"/>
    <w:rsid w:val="00454E07"/>
    <w:rsid w:val="00465412"/>
    <w:rsid w:val="004705A5"/>
    <w:rsid w:val="004B04A0"/>
    <w:rsid w:val="004C662A"/>
    <w:rsid w:val="004D1191"/>
    <w:rsid w:val="004D3D0B"/>
    <w:rsid w:val="004D45DB"/>
    <w:rsid w:val="004E0E9B"/>
    <w:rsid w:val="0050108D"/>
    <w:rsid w:val="00501F38"/>
    <w:rsid w:val="00515B0A"/>
    <w:rsid w:val="00522544"/>
    <w:rsid w:val="005332CE"/>
    <w:rsid w:val="0053384A"/>
    <w:rsid w:val="00557AA7"/>
    <w:rsid w:val="00572E19"/>
    <w:rsid w:val="00575AF7"/>
    <w:rsid w:val="005A1AA8"/>
    <w:rsid w:val="005C43E4"/>
    <w:rsid w:val="005F0B42"/>
    <w:rsid w:val="0060200B"/>
    <w:rsid w:val="00634A83"/>
    <w:rsid w:val="00666938"/>
    <w:rsid w:val="0069426E"/>
    <w:rsid w:val="006C1EF8"/>
    <w:rsid w:val="006D44EA"/>
    <w:rsid w:val="006E102D"/>
    <w:rsid w:val="006E69AB"/>
    <w:rsid w:val="006F35EE"/>
    <w:rsid w:val="007021FF"/>
    <w:rsid w:val="00735465"/>
    <w:rsid w:val="007358B2"/>
    <w:rsid w:val="00757357"/>
    <w:rsid w:val="00764249"/>
    <w:rsid w:val="007972A8"/>
    <w:rsid w:val="007B715F"/>
    <w:rsid w:val="00810842"/>
    <w:rsid w:val="008253DC"/>
    <w:rsid w:val="0082699E"/>
    <w:rsid w:val="00834B71"/>
    <w:rsid w:val="008504FF"/>
    <w:rsid w:val="00853903"/>
    <w:rsid w:val="0086445C"/>
    <w:rsid w:val="008A08D7"/>
    <w:rsid w:val="008C1073"/>
    <w:rsid w:val="00901CD5"/>
    <w:rsid w:val="00906890"/>
    <w:rsid w:val="00912E9A"/>
    <w:rsid w:val="00932A96"/>
    <w:rsid w:val="00932CF7"/>
    <w:rsid w:val="00951972"/>
    <w:rsid w:val="00951A17"/>
    <w:rsid w:val="0095700F"/>
    <w:rsid w:val="0096216B"/>
    <w:rsid w:val="009635BE"/>
    <w:rsid w:val="009656FE"/>
    <w:rsid w:val="009678B2"/>
    <w:rsid w:val="0097697B"/>
    <w:rsid w:val="00996BF2"/>
    <w:rsid w:val="009D7750"/>
    <w:rsid w:val="00A917B3"/>
    <w:rsid w:val="00AB4B51"/>
    <w:rsid w:val="00AC76E8"/>
    <w:rsid w:val="00AF7A6A"/>
    <w:rsid w:val="00B10CC7"/>
    <w:rsid w:val="00B150B2"/>
    <w:rsid w:val="00B31513"/>
    <w:rsid w:val="00B43F85"/>
    <w:rsid w:val="00B460DE"/>
    <w:rsid w:val="00B56791"/>
    <w:rsid w:val="00B62458"/>
    <w:rsid w:val="00BA56B6"/>
    <w:rsid w:val="00BB6203"/>
    <w:rsid w:val="00BD33EE"/>
    <w:rsid w:val="00C057D5"/>
    <w:rsid w:val="00C57E42"/>
    <w:rsid w:val="00C60F0C"/>
    <w:rsid w:val="00C619FA"/>
    <w:rsid w:val="00C805C9"/>
    <w:rsid w:val="00CA1679"/>
    <w:rsid w:val="00CA57F3"/>
    <w:rsid w:val="00CA619A"/>
    <w:rsid w:val="00CC790F"/>
    <w:rsid w:val="00CF62FA"/>
    <w:rsid w:val="00D05606"/>
    <w:rsid w:val="00D17222"/>
    <w:rsid w:val="00D33D63"/>
    <w:rsid w:val="00D4001E"/>
    <w:rsid w:val="00D62670"/>
    <w:rsid w:val="00D63FBF"/>
    <w:rsid w:val="00D666CA"/>
    <w:rsid w:val="00D90138"/>
    <w:rsid w:val="00DA0B0C"/>
    <w:rsid w:val="00DB6076"/>
    <w:rsid w:val="00DB672D"/>
    <w:rsid w:val="00DC036C"/>
    <w:rsid w:val="00E17493"/>
    <w:rsid w:val="00E2391B"/>
    <w:rsid w:val="00E60314"/>
    <w:rsid w:val="00E64AD0"/>
    <w:rsid w:val="00E73F76"/>
    <w:rsid w:val="00EA4B2C"/>
    <w:rsid w:val="00EC2B77"/>
    <w:rsid w:val="00EF1360"/>
    <w:rsid w:val="00EF3220"/>
    <w:rsid w:val="00F2520F"/>
    <w:rsid w:val="00F80811"/>
    <w:rsid w:val="00F94155"/>
    <w:rsid w:val="00FA4F19"/>
    <w:rsid w:val="00FD2EF7"/>
    <w:rsid w:val="00FD36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615AA3"/>
  <w15:docId w15:val="{0ADDFA54-49B1-4B4D-8681-6B7A008B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000A64"/>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000A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000A64"/>
    <w:pPr>
      <w:keepNext/>
      <w:outlineLvl w:val="1"/>
    </w:pPr>
    <w:rPr>
      <w:rFonts w:cs="Arial"/>
      <w:bCs/>
      <w:iCs/>
      <w:szCs w:val="28"/>
    </w:rPr>
  </w:style>
  <w:style w:type="paragraph" w:styleId="Ttulo3">
    <w:name w:val="heading 3"/>
    <w:basedOn w:val="Normal"/>
    <w:next w:val="Normal"/>
    <w:link w:val="Ttulo3Car"/>
    <w:semiHidden/>
    <w:rsid w:val="00000A64"/>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000A64"/>
    <w:pPr>
      <w:keepNext/>
      <w:spacing w:before="240" w:after="60"/>
      <w:outlineLvl w:val="3"/>
    </w:pPr>
    <w:rPr>
      <w:b/>
      <w:bCs/>
      <w:sz w:val="28"/>
      <w:szCs w:val="28"/>
    </w:rPr>
  </w:style>
  <w:style w:type="paragraph" w:styleId="Ttulo5">
    <w:name w:val="heading 5"/>
    <w:basedOn w:val="Normal"/>
    <w:next w:val="Normal"/>
    <w:link w:val="Ttulo5Car"/>
    <w:semiHidden/>
    <w:rsid w:val="00000A64"/>
    <w:pPr>
      <w:spacing w:before="240" w:after="60"/>
      <w:outlineLvl w:val="4"/>
    </w:pPr>
    <w:rPr>
      <w:b/>
      <w:bCs/>
      <w:i/>
      <w:iCs/>
      <w:sz w:val="26"/>
      <w:szCs w:val="26"/>
    </w:rPr>
  </w:style>
  <w:style w:type="paragraph" w:styleId="Ttulo6">
    <w:name w:val="heading 6"/>
    <w:basedOn w:val="Normal"/>
    <w:next w:val="Normal"/>
    <w:link w:val="Ttulo6Car"/>
    <w:semiHidden/>
    <w:rsid w:val="00000A64"/>
    <w:pPr>
      <w:spacing w:before="240" w:after="60"/>
      <w:outlineLvl w:val="5"/>
    </w:pPr>
    <w:rPr>
      <w:b/>
      <w:bCs/>
      <w:sz w:val="22"/>
      <w:szCs w:val="22"/>
    </w:rPr>
  </w:style>
  <w:style w:type="paragraph" w:styleId="Ttulo7">
    <w:name w:val="heading 7"/>
    <w:basedOn w:val="Normal"/>
    <w:next w:val="Normal"/>
    <w:link w:val="Ttulo7Car"/>
    <w:semiHidden/>
    <w:rsid w:val="00000A64"/>
    <w:pPr>
      <w:spacing w:before="240" w:after="60"/>
      <w:outlineLvl w:val="6"/>
    </w:pPr>
    <w:rPr>
      <w:sz w:val="24"/>
      <w:szCs w:val="24"/>
    </w:rPr>
  </w:style>
  <w:style w:type="paragraph" w:styleId="Ttulo8">
    <w:name w:val="heading 8"/>
    <w:basedOn w:val="Normal"/>
    <w:next w:val="Normal"/>
    <w:link w:val="Ttulo8Car"/>
    <w:semiHidden/>
    <w:rsid w:val="00000A64"/>
    <w:pPr>
      <w:spacing w:before="240" w:after="60"/>
      <w:outlineLvl w:val="7"/>
    </w:pPr>
    <w:rPr>
      <w:i/>
      <w:iCs/>
      <w:sz w:val="24"/>
      <w:szCs w:val="24"/>
    </w:rPr>
  </w:style>
  <w:style w:type="paragraph" w:styleId="Ttulo9">
    <w:name w:val="heading 9"/>
    <w:basedOn w:val="Normal"/>
    <w:next w:val="Normal"/>
    <w:link w:val="Ttulo9Car"/>
    <w:semiHidden/>
    <w:rsid w:val="00000A6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000A64"/>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000A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000A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000A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000A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000A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000A64"/>
    <w:pPr>
      <w:pBdr>
        <w:bottom w:val="single" w:sz="4" w:space="4" w:color="auto"/>
      </w:pBdr>
      <w:spacing w:line="240" w:lineRule="auto"/>
    </w:pPr>
    <w:rPr>
      <w:b/>
      <w:sz w:val="18"/>
    </w:rPr>
  </w:style>
  <w:style w:type="paragraph" w:customStyle="1" w:styleId="SingleTxtG">
    <w:name w:val="_ Single Txt_G"/>
    <w:basedOn w:val="Normal"/>
    <w:link w:val="SingleTxtGChar"/>
    <w:qFormat/>
    <w:rsid w:val="00000A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000A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000A64"/>
    <w:pPr>
      <w:keepNext/>
      <w:keepLines/>
      <w:spacing w:before="240" w:after="240" w:line="580" w:lineRule="exact"/>
      <w:ind w:left="1134" w:right="1134"/>
    </w:pPr>
    <w:rPr>
      <w:b/>
      <w:sz w:val="56"/>
    </w:rPr>
  </w:style>
  <w:style w:type="paragraph" w:customStyle="1" w:styleId="SSG">
    <w:name w:val="__S_S_G"/>
    <w:basedOn w:val="Normal"/>
    <w:next w:val="Normal"/>
    <w:uiPriority w:val="5"/>
    <w:rsid w:val="00000A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000A64"/>
    <w:rPr>
      <w:sz w:val="16"/>
    </w:rPr>
  </w:style>
  <w:style w:type="paragraph" w:customStyle="1" w:styleId="XLargeG">
    <w:name w:val="__XLarge_G"/>
    <w:basedOn w:val="Normal"/>
    <w:next w:val="Normal"/>
    <w:uiPriority w:val="5"/>
    <w:rsid w:val="00000A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000A64"/>
    <w:pPr>
      <w:tabs>
        <w:tab w:val="right" w:pos="1021"/>
      </w:tabs>
      <w:spacing w:line="220" w:lineRule="exact"/>
      <w:ind w:left="1134" w:right="1134" w:hanging="1134"/>
    </w:pPr>
    <w:rPr>
      <w:sz w:val="18"/>
    </w:rPr>
  </w:style>
  <w:style w:type="table" w:styleId="Tablaconcuadrcula">
    <w:name w:val="Table Grid"/>
    <w:basedOn w:val="Tablanormal"/>
    <w:rsid w:val="00000A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000A64"/>
    <w:pPr>
      <w:numPr>
        <w:numId w:val="3"/>
      </w:numPr>
    </w:pPr>
  </w:style>
  <w:style w:type="numbering" w:styleId="1ai">
    <w:name w:val="Outline List 1"/>
    <w:basedOn w:val="Sinlista"/>
    <w:rsid w:val="00000A64"/>
    <w:pPr>
      <w:numPr>
        <w:numId w:val="4"/>
      </w:numPr>
    </w:pPr>
  </w:style>
  <w:style w:type="character" w:styleId="AcrnimoHTML">
    <w:name w:val="HTML Acronym"/>
    <w:basedOn w:val="Fuentedeprrafopredeter"/>
    <w:semiHidden/>
    <w:rsid w:val="00000A64"/>
  </w:style>
  <w:style w:type="numbering" w:styleId="ArtculoSeccin">
    <w:name w:val="Outline List 3"/>
    <w:basedOn w:val="Sinlista"/>
    <w:rsid w:val="00000A64"/>
    <w:pPr>
      <w:numPr>
        <w:numId w:val="5"/>
      </w:numPr>
    </w:pPr>
  </w:style>
  <w:style w:type="paragraph" w:styleId="Cierre">
    <w:name w:val="Closing"/>
    <w:basedOn w:val="Normal"/>
    <w:link w:val="CierreCar"/>
    <w:semiHidden/>
    <w:rsid w:val="00000A64"/>
    <w:pPr>
      <w:ind w:left="4252"/>
    </w:pPr>
  </w:style>
  <w:style w:type="character" w:styleId="CitaHTML">
    <w:name w:val="HTML Cite"/>
    <w:semiHidden/>
    <w:rsid w:val="00000A64"/>
    <w:rPr>
      <w:i/>
      <w:iCs/>
    </w:rPr>
  </w:style>
  <w:style w:type="character" w:styleId="CdigoHTML">
    <w:name w:val="HTML Code"/>
    <w:semiHidden/>
    <w:rsid w:val="00000A64"/>
    <w:rPr>
      <w:rFonts w:ascii="Courier New" w:hAnsi="Courier New" w:cs="Courier New"/>
      <w:sz w:val="20"/>
      <w:szCs w:val="20"/>
    </w:rPr>
  </w:style>
  <w:style w:type="paragraph" w:styleId="Continuarlista">
    <w:name w:val="List Continue"/>
    <w:basedOn w:val="Normal"/>
    <w:semiHidden/>
    <w:rsid w:val="00000A64"/>
    <w:pPr>
      <w:spacing w:after="120"/>
      <w:ind w:left="283"/>
    </w:pPr>
  </w:style>
  <w:style w:type="paragraph" w:styleId="Continuarlista2">
    <w:name w:val="List Continue 2"/>
    <w:basedOn w:val="Normal"/>
    <w:semiHidden/>
    <w:rsid w:val="00000A64"/>
    <w:pPr>
      <w:spacing w:after="120"/>
      <w:ind w:left="566"/>
    </w:pPr>
  </w:style>
  <w:style w:type="paragraph" w:styleId="Continuarlista3">
    <w:name w:val="List Continue 3"/>
    <w:basedOn w:val="Normal"/>
    <w:semiHidden/>
    <w:rsid w:val="00000A64"/>
    <w:pPr>
      <w:spacing w:after="120"/>
      <w:ind w:left="849"/>
    </w:pPr>
  </w:style>
  <w:style w:type="paragraph" w:styleId="Continuarlista4">
    <w:name w:val="List Continue 4"/>
    <w:basedOn w:val="Normal"/>
    <w:semiHidden/>
    <w:rsid w:val="00000A64"/>
    <w:pPr>
      <w:spacing w:after="120"/>
      <w:ind w:left="1132"/>
    </w:pPr>
  </w:style>
  <w:style w:type="paragraph" w:styleId="Continuarlista5">
    <w:name w:val="List Continue 5"/>
    <w:basedOn w:val="Normal"/>
    <w:semiHidden/>
    <w:rsid w:val="00000A64"/>
    <w:pPr>
      <w:spacing w:after="120"/>
      <w:ind w:left="1415"/>
    </w:pPr>
  </w:style>
  <w:style w:type="character" w:styleId="DefinicinHTML">
    <w:name w:val="HTML Definition"/>
    <w:semiHidden/>
    <w:rsid w:val="00000A64"/>
    <w:rPr>
      <w:i/>
      <w:iCs/>
    </w:rPr>
  </w:style>
  <w:style w:type="paragraph" w:styleId="DireccinHTML">
    <w:name w:val="HTML Address"/>
    <w:basedOn w:val="Normal"/>
    <w:link w:val="DireccinHTMLCar"/>
    <w:semiHidden/>
    <w:rsid w:val="00000A64"/>
    <w:rPr>
      <w:i/>
      <w:iCs/>
    </w:rPr>
  </w:style>
  <w:style w:type="paragraph" w:styleId="Direccinsobre">
    <w:name w:val="envelope address"/>
    <w:basedOn w:val="Normal"/>
    <w:semiHidden/>
    <w:rsid w:val="00000A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000A64"/>
    <w:rPr>
      <w:rFonts w:ascii="Courier New" w:hAnsi="Courier New" w:cs="Courier New"/>
    </w:rPr>
  </w:style>
  <w:style w:type="paragraph" w:styleId="Encabezadodemensaje">
    <w:name w:val="Message Header"/>
    <w:basedOn w:val="Normal"/>
    <w:link w:val="EncabezadodemensajeCar"/>
    <w:semiHidden/>
    <w:rsid w:val="00000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000A64"/>
  </w:style>
  <w:style w:type="character" w:styleId="nfasis">
    <w:name w:val="Emphasis"/>
    <w:rsid w:val="00000A64"/>
    <w:rPr>
      <w:i/>
      <w:iCs/>
    </w:rPr>
  </w:style>
  <w:style w:type="paragraph" w:styleId="Fecha">
    <w:name w:val="Date"/>
    <w:basedOn w:val="Normal"/>
    <w:next w:val="Normal"/>
    <w:link w:val="FechaCar"/>
    <w:semiHidden/>
    <w:rsid w:val="00000A64"/>
  </w:style>
  <w:style w:type="paragraph" w:styleId="Firma">
    <w:name w:val="Signature"/>
    <w:basedOn w:val="Normal"/>
    <w:link w:val="FirmaCar"/>
    <w:semiHidden/>
    <w:rsid w:val="00000A64"/>
    <w:pPr>
      <w:ind w:left="4252"/>
    </w:pPr>
  </w:style>
  <w:style w:type="paragraph" w:styleId="Firmadecorreoelectrnico">
    <w:name w:val="E-mail Signature"/>
    <w:basedOn w:val="Normal"/>
    <w:link w:val="FirmadecorreoelectrnicoCar"/>
    <w:semiHidden/>
    <w:rsid w:val="00000A64"/>
  </w:style>
  <w:style w:type="character" w:styleId="Hipervnculo">
    <w:name w:val="Hyperlink"/>
    <w:uiPriority w:val="99"/>
    <w:rsid w:val="00000A64"/>
    <w:rPr>
      <w:color w:val="0000FF"/>
      <w:u w:val="none"/>
    </w:rPr>
  </w:style>
  <w:style w:type="character" w:styleId="Hipervnculovisitado">
    <w:name w:val="FollowedHyperlink"/>
    <w:uiPriority w:val="4"/>
    <w:rsid w:val="00000A64"/>
    <w:rPr>
      <w:color w:val="0000FF"/>
      <w:u w:val="none"/>
    </w:rPr>
  </w:style>
  <w:style w:type="paragraph" w:styleId="HTMLconformatoprevio">
    <w:name w:val="HTML Preformatted"/>
    <w:basedOn w:val="Normal"/>
    <w:link w:val="HTMLconformatoprevioCar"/>
    <w:semiHidden/>
    <w:rsid w:val="00000A64"/>
    <w:rPr>
      <w:rFonts w:ascii="Courier New" w:hAnsi="Courier New" w:cs="Courier New"/>
    </w:rPr>
  </w:style>
  <w:style w:type="paragraph" w:styleId="Lista">
    <w:name w:val="List"/>
    <w:basedOn w:val="Normal"/>
    <w:semiHidden/>
    <w:rsid w:val="00000A64"/>
    <w:pPr>
      <w:ind w:left="283" w:hanging="283"/>
    </w:pPr>
  </w:style>
  <w:style w:type="paragraph" w:styleId="Lista2">
    <w:name w:val="List 2"/>
    <w:basedOn w:val="Normal"/>
    <w:semiHidden/>
    <w:rsid w:val="00000A64"/>
    <w:pPr>
      <w:ind w:left="566" w:hanging="283"/>
    </w:pPr>
  </w:style>
  <w:style w:type="paragraph" w:styleId="Lista3">
    <w:name w:val="List 3"/>
    <w:basedOn w:val="Normal"/>
    <w:semiHidden/>
    <w:rsid w:val="00000A64"/>
    <w:pPr>
      <w:ind w:left="849" w:hanging="283"/>
    </w:pPr>
  </w:style>
  <w:style w:type="paragraph" w:styleId="Lista4">
    <w:name w:val="List 4"/>
    <w:basedOn w:val="Normal"/>
    <w:semiHidden/>
    <w:rsid w:val="00000A64"/>
    <w:pPr>
      <w:ind w:left="1132" w:hanging="283"/>
    </w:pPr>
  </w:style>
  <w:style w:type="paragraph" w:styleId="Lista5">
    <w:name w:val="List 5"/>
    <w:basedOn w:val="Normal"/>
    <w:semiHidden/>
    <w:rsid w:val="00000A64"/>
    <w:pPr>
      <w:ind w:left="1415" w:hanging="283"/>
    </w:pPr>
  </w:style>
  <w:style w:type="paragraph" w:styleId="Listaconnmeros">
    <w:name w:val="List Number"/>
    <w:basedOn w:val="Normal"/>
    <w:semiHidden/>
    <w:rsid w:val="00000A64"/>
    <w:pPr>
      <w:numPr>
        <w:numId w:val="30"/>
      </w:numPr>
    </w:pPr>
  </w:style>
  <w:style w:type="paragraph" w:styleId="Listaconnmeros2">
    <w:name w:val="List Number 2"/>
    <w:basedOn w:val="Normal"/>
    <w:semiHidden/>
    <w:rsid w:val="00000A64"/>
    <w:pPr>
      <w:numPr>
        <w:numId w:val="31"/>
      </w:numPr>
    </w:pPr>
  </w:style>
  <w:style w:type="paragraph" w:styleId="Listaconnmeros3">
    <w:name w:val="List Number 3"/>
    <w:basedOn w:val="Normal"/>
    <w:semiHidden/>
    <w:rsid w:val="00000A64"/>
    <w:pPr>
      <w:numPr>
        <w:numId w:val="32"/>
      </w:numPr>
    </w:pPr>
  </w:style>
  <w:style w:type="paragraph" w:styleId="Listaconnmeros4">
    <w:name w:val="List Number 4"/>
    <w:basedOn w:val="Normal"/>
    <w:semiHidden/>
    <w:rsid w:val="00000A64"/>
    <w:pPr>
      <w:numPr>
        <w:numId w:val="33"/>
      </w:numPr>
    </w:pPr>
  </w:style>
  <w:style w:type="paragraph" w:styleId="Listaconnmeros5">
    <w:name w:val="List Number 5"/>
    <w:basedOn w:val="Normal"/>
    <w:semiHidden/>
    <w:rsid w:val="00000A64"/>
    <w:pPr>
      <w:numPr>
        <w:numId w:val="34"/>
      </w:numPr>
    </w:pPr>
  </w:style>
  <w:style w:type="paragraph" w:styleId="Listaconvietas">
    <w:name w:val="List Bullet"/>
    <w:basedOn w:val="Normal"/>
    <w:semiHidden/>
    <w:rsid w:val="00000A64"/>
    <w:pPr>
      <w:numPr>
        <w:numId w:val="25"/>
      </w:numPr>
    </w:pPr>
  </w:style>
  <w:style w:type="paragraph" w:styleId="Listaconvietas2">
    <w:name w:val="List Bullet 2"/>
    <w:basedOn w:val="Normal"/>
    <w:semiHidden/>
    <w:rsid w:val="00000A64"/>
    <w:pPr>
      <w:numPr>
        <w:numId w:val="26"/>
      </w:numPr>
    </w:pPr>
  </w:style>
  <w:style w:type="paragraph" w:styleId="Listaconvietas3">
    <w:name w:val="List Bullet 3"/>
    <w:basedOn w:val="Normal"/>
    <w:semiHidden/>
    <w:rsid w:val="00000A64"/>
    <w:pPr>
      <w:numPr>
        <w:numId w:val="27"/>
      </w:numPr>
    </w:pPr>
  </w:style>
  <w:style w:type="paragraph" w:styleId="Listaconvietas4">
    <w:name w:val="List Bullet 4"/>
    <w:basedOn w:val="Normal"/>
    <w:semiHidden/>
    <w:rsid w:val="00000A64"/>
    <w:pPr>
      <w:numPr>
        <w:numId w:val="28"/>
      </w:numPr>
    </w:pPr>
  </w:style>
  <w:style w:type="paragraph" w:styleId="Listaconvietas5">
    <w:name w:val="List Bullet 5"/>
    <w:basedOn w:val="Normal"/>
    <w:semiHidden/>
    <w:rsid w:val="00000A64"/>
    <w:pPr>
      <w:numPr>
        <w:numId w:val="29"/>
      </w:numPr>
    </w:pPr>
  </w:style>
  <w:style w:type="character" w:styleId="MquinadeescribirHTML">
    <w:name w:val="HTML Typewriter"/>
    <w:semiHidden/>
    <w:rsid w:val="00000A64"/>
    <w:rPr>
      <w:rFonts w:ascii="Courier New" w:hAnsi="Courier New" w:cs="Courier New"/>
      <w:sz w:val="20"/>
      <w:szCs w:val="20"/>
    </w:rPr>
  </w:style>
  <w:style w:type="paragraph" w:styleId="NormalWeb">
    <w:name w:val="Normal (Web)"/>
    <w:basedOn w:val="Normal"/>
    <w:semiHidden/>
    <w:rsid w:val="00000A64"/>
    <w:rPr>
      <w:sz w:val="24"/>
      <w:szCs w:val="24"/>
    </w:rPr>
  </w:style>
  <w:style w:type="character" w:styleId="Nmerodelnea">
    <w:name w:val="line number"/>
    <w:basedOn w:val="Fuentedeprrafopredeter"/>
    <w:semiHidden/>
    <w:rsid w:val="00000A64"/>
  </w:style>
  <w:style w:type="character" w:styleId="Nmerodepgina">
    <w:name w:val="page number"/>
    <w:aliases w:val="7_G"/>
    <w:uiPriority w:val="3"/>
    <w:qFormat/>
    <w:rsid w:val="00000A64"/>
    <w:rPr>
      <w:b/>
      <w:sz w:val="18"/>
    </w:rPr>
  </w:style>
  <w:style w:type="character" w:styleId="Refdenotaalfinal">
    <w:name w:val="endnote reference"/>
    <w:aliases w:val="1_G"/>
    <w:uiPriority w:val="3"/>
    <w:qFormat/>
    <w:rsid w:val="00000A64"/>
    <w:rPr>
      <w:rFonts w:ascii="Times New Roman" w:hAnsi="Times New Roman"/>
      <w:sz w:val="18"/>
      <w:vertAlign w:val="superscript"/>
    </w:rPr>
  </w:style>
  <w:style w:type="paragraph" w:styleId="Remitedesobre">
    <w:name w:val="envelope return"/>
    <w:basedOn w:val="Normal"/>
    <w:semiHidden/>
    <w:rsid w:val="00000A64"/>
    <w:rPr>
      <w:rFonts w:ascii="Arial" w:hAnsi="Arial" w:cs="Arial"/>
    </w:rPr>
  </w:style>
  <w:style w:type="paragraph" w:styleId="Saludo">
    <w:name w:val="Salutation"/>
    <w:basedOn w:val="Normal"/>
    <w:next w:val="Normal"/>
    <w:link w:val="SaludoCar"/>
    <w:semiHidden/>
    <w:rsid w:val="00000A64"/>
  </w:style>
  <w:style w:type="paragraph" w:styleId="Sangra2detindependiente">
    <w:name w:val="Body Text Indent 2"/>
    <w:basedOn w:val="Normal"/>
    <w:link w:val="Sangra2detindependienteCar"/>
    <w:semiHidden/>
    <w:rsid w:val="00000A64"/>
    <w:pPr>
      <w:spacing w:after="120" w:line="480" w:lineRule="auto"/>
      <w:ind w:left="283"/>
    </w:pPr>
  </w:style>
  <w:style w:type="paragraph" w:styleId="Sangra3detindependiente">
    <w:name w:val="Body Text Indent 3"/>
    <w:basedOn w:val="Normal"/>
    <w:link w:val="Sangra3detindependienteCar"/>
    <w:semiHidden/>
    <w:rsid w:val="00000A64"/>
    <w:pPr>
      <w:spacing w:after="120"/>
      <w:ind w:left="283"/>
    </w:pPr>
    <w:rPr>
      <w:sz w:val="16"/>
      <w:szCs w:val="16"/>
    </w:rPr>
  </w:style>
  <w:style w:type="paragraph" w:styleId="Sangradetextonormal">
    <w:name w:val="Body Text Indent"/>
    <w:basedOn w:val="Normal"/>
    <w:link w:val="SangradetextonormalCar"/>
    <w:semiHidden/>
    <w:rsid w:val="00000A64"/>
    <w:pPr>
      <w:spacing w:after="120"/>
      <w:ind w:left="283"/>
    </w:pPr>
  </w:style>
  <w:style w:type="paragraph" w:styleId="Sangranormal">
    <w:name w:val="Normal Indent"/>
    <w:basedOn w:val="Normal"/>
    <w:semiHidden/>
    <w:rsid w:val="00000A64"/>
    <w:pPr>
      <w:ind w:left="567"/>
    </w:pPr>
  </w:style>
  <w:style w:type="paragraph" w:styleId="Subttulo">
    <w:name w:val="Subtitle"/>
    <w:basedOn w:val="Normal"/>
    <w:link w:val="SubttuloCar"/>
    <w:rsid w:val="00000A64"/>
    <w:pPr>
      <w:spacing w:after="60"/>
      <w:jc w:val="center"/>
      <w:outlineLvl w:val="1"/>
    </w:pPr>
    <w:rPr>
      <w:rFonts w:ascii="Arial" w:hAnsi="Arial" w:cs="Arial"/>
      <w:sz w:val="24"/>
      <w:szCs w:val="24"/>
    </w:rPr>
  </w:style>
  <w:style w:type="table" w:styleId="Tablabsica1">
    <w:name w:val="Table Simple 1"/>
    <w:basedOn w:val="Tablanormal"/>
    <w:rsid w:val="00000A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000A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000A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000A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000A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000A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000A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000A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000A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000A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000A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000A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000A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000A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000A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000A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000A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000A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000A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000A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000A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000A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000A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000A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000A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000A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000A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000A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000A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000A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000A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000A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000A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000A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000A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000A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000A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000A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000A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000A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000A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000A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000A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000A64"/>
    <w:rPr>
      <w:rFonts w:ascii="Courier New" w:hAnsi="Courier New" w:cs="Courier New"/>
      <w:sz w:val="20"/>
      <w:szCs w:val="20"/>
    </w:rPr>
  </w:style>
  <w:style w:type="paragraph" w:styleId="Textodebloque">
    <w:name w:val="Block Text"/>
    <w:basedOn w:val="Normal"/>
    <w:semiHidden/>
    <w:rsid w:val="00000A64"/>
    <w:pPr>
      <w:spacing w:after="120"/>
      <w:ind w:left="1440" w:right="1440"/>
    </w:pPr>
  </w:style>
  <w:style w:type="character" w:styleId="Textoennegrita">
    <w:name w:val="Strong"/>
    <w:rsid w:val="00000A64"/>
    <w:rPr>
      <w:b/>
      <w:bCs/>
    </w:rPr>
  </w:style>
  <w:style w:type="paragraph" w:styleId="Textoindependiente">
    <w:name w:val="Body Text"/>
    <w:basedOn w:val="Normal"/>
    <w:link w:val="TextoindependienteCar"/>
    <w:semiHidden/>
    <w:rsid w:val="00000A64"/>
    <w:pPr>
      <w:spacing w:after="120"/>
    </w:pPr>
  </w:style>
  <w:style w:type="paragraph" w:styleId="Textoindependiente2">
    <w:name w:val="Body Text 2"/>
    <w:basedOn w:val="Normal"/>
    <w:link w:val="Textoindependiente2Car"/>
    <w:semiHidden/>
    <w:rsid w:val="00000A64"/>
    <w:pPr>
      <w:spacing w:after="120" w:line="480" w:lineRule="auto"/>
    </w:pPr>
  </w:style>
  <w:style w:type="paragraph" w:styleId="Textoindependiente3">
    <w:name w:val="Body Text 3"/>
    <w:basedOn w:val="Normal"/>
    <w:link w:val="Textoindependiente3Car"/>
    <w:semiHidden/>
    <w:rsid w:val="00000A64"/>
    <w:pPr>
      <w:spacing w:after="120"/>
    </w:pPr>
    <w:rPr>
      <w:sz w:val="16"/>
      <w:szCs w:val="16"/>
    </w:rPr>
  </w:style>
  <w:style w:type="paragraph" w:styleId="Textoindependienteprimerasangra">
    <w:name w:val="Body Text First Indent"/>
    <w:basedOn w:val="Textoindependiente"/>
    <w:link w:val="TextoindependienteprimerasangraCar"/>
    <w:semiHidden/>
    <w:rsid w:val="00000A64"/>
    <w:pPr>
      <w:ind w:firstLine="210"/>
    </w:pPr>
  </w:style>
  <w:style w:type="paragraph" w:styleId="Textoindependienteprimerasangra2">
    <w:name w:val="Body Text First Indent 2"/>
    <w:basedOn w:val="Sangradetextonormal"/>
    <w:link w:val="Textoindependienteprimerasangra2Car"/>
    <w:semiHidden/>
    <w:rsid w:val="00000A64"/>
    <w:pPr>
      <w:ind w:firstLine="210"/>
    </w:pPr>
  </w:style>
  <w:style w:type="paragraph" w:styleId="Textonotaalfinal">
    <w:name w:val="endnote text"/>
    <w:aliases w:val="2_G"/>
    <w:basedOn w:val="Textonotapie"/>
    <w:link w:val="TextonotaalfinalCar"/>
    <w:uiPriority w:val="3"/>
    <w:qFormat/>
    <w:rsid w:val="00000A64"/>
  </w:style>
  <w:style w:type="paragraph" w:styleId="Textosinformato">
    <w:name w:val="Plain Text"/>
    <w:basedOn w:val="Normal"/>
    <w:link w:val="TextosinformatoCar"/>
    <w:semiHidden/>
    <w:rsid w:val="00000A64"/>
    <w:rPr>
      <w:rFonts w:ascii="Courier New" w:hAnsi="Courier New" w:cs="Courier New"/>
    </w:rPr>
  </w:style>
  <w:style w:type="paragraph" w:styleId="Ttulo">
    <w:name w:val="Title"/>
    <w:basedOn w:val="Normal"/>
    <w:link w:val="TtuloCar"/>
    <w:rsid w:val="00000A64"/>
    <w:pPr>
      <w:spacing w:before="240" w:after="60"/>
      <w:jc w:val="center"/>
      <w:outlineLvl w:val="0"/>
    </w:pPr>
    <w:rPr>
      <w:rFonts w:ascii="Arial" w:hAnsi="Arial" w:cs="Arial"/>
      <w:b/>
      <w:bCs/>
      <w:kern w:val="28"/>
      <w:sz w:val="32"/>
      <w:szCs w:val="32"/>
    </w:rPr>
  </w:style>
  <w:style w:type="character" w:styleId="VariableHTML">
    <w:name w:val="HTML Variable"/>
    <w:semiHidden/>
    <w:rsid w:val="00000A64"/>
    <w:rPr>
      <w:i/>
      <w:iCs/>
    </w:rPr>
  </w:style>
  <w:style w:type="paragraph" w:customStyle="1" w:styleId="Bullet1G">
    <w:name w:val="_Bullet 1_G"/>
    <w:basedOn w:val="Normal"/>
    <w:uiPriority w:val="1"/>
    <w:qFormat/>
    <w:rsid w:val="00000A64"/>
    <w:pPr>
      <w:numPr>
        <w:numId w:val="17"/>
      </w:numPr>
      <w:spacing w:after="120"/>
      <w:ind w:right="1134"/>
      <w:jc w:val="both"/>
    </w:pPr>
    <w:rPr>
      <w:lang w:eastAsia="en-US"/>
    </w:rPr>
  </w:style>
  <w:style w:type="paragraph" w:customStyle="1" w:styleId="Bullet2G">
    <w:name w:val="_Bullet 2_G"/>
    <w:basedOn w:val="Normal"/>
    <w:uiPriority w:val="1"/>
    <w:qFormat/>
    <w:rsid w:val="00000A64"/>
    <w:pPr>
      <w:numPr>
        <w:numId w:val="18"/>
      </w:numPr>
      <w:spacing w:after="120"/>
      <w:ind w:right="1134"/>
      <w:jc w:val="both"/>
    </w:pPr>
  </w:style>
  <w:style w:type="paragraph" w:styleId="Textodeglobo">
    <w:name w:val="Balloon Text"/>
    <w:basedOn w:val="Normal"/>
    <w:link w:val="TextodegloboCar"/>
    <w:semiHidden/>
    <w:unhideWhenUsed/>
    <w:rsid w:val="00000A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000A64"/>
    <w:rPr>
      <w:rFonts w:ascii="Segoe UI" w:hAnsi="Segoe UI" w:cs="Segoe UI"/>
      <w:sz w:val="18"/>
      <w:szCs w:val="18"/>
      <w:lang w:val="es-ES" w:eastAsia="es-ES"/>
    </w:rPr>
  </w:style>
  <w:style w:type="paragraph" w:customStyle="1" w:styleId="ParNoG">
    <w:name w:val="_ParNo_G"/>
    <w:basedOn w:val="Normal"/>
    <w:uiPriority w:val="1"/>
    <w:qFormat/>
    <w:rsid w:val="00000A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000A64"/>
    <w:rPr>
      <w:lang w:val="es-ES" w:eastAsia="es-ES"/>
    </w:rPr>
  </w:style>
  <w:style w:type="paragraph" w:customStyle="1" w:styleId="1ParNoG">
    <w:name w:val="1 _ParNo_G"/>
    <w:basedOn w:val="Normal"/>
    <w:uiPriority w:val="1"/>
    <w:qFormat/>
    <w:rsid w:val="00000A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000A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000A64"/>
    <w:rPr>
      <w:lang w:val="es-ES" w:eastAsia="es-ES"/>
    </w:rPr>
  </w:style>
  <w:style w:type="character" w:customStyle="1" w:styleId="Textoindependiente2Car">
    <w:name w:val="Texto independiente 2 Car"/>
    <w:basedOn w:val="Fuentedeprrafopredeter"/>
    <w:link w:val="Textoindependiente2"/>
    <w:semiHidden/>
    <w:rsid w:val="00000A64"/>
    <w:rPr>
      <w:lang w:val="es-ES" w:eastAsia="es-ES"/>
    </w:rPr>
  </w:style>
  <w:style w:type="character" w:customStyle="1" w:styleId="Textoindependiente3Car">
    <w:name w:val="Texto independiente 3 Car"/>
    <w:basedOn w:val="Fuentedeprrafopredeter"/>
    <w:link w:val="Textoindependiente3"/>
    <w:semiHidden/>
    <w:rsid w:val="00000A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000A64"/>
    <w:rPr>
      <w:lang w:val="es-ES" w:eastAsia="es-ES"/>
    </w:rPr>
  </w:style>
  <w:style w:type="character" w:customStyle="1" w:styleId="SangradetextonormalCar">
    <w:name w:val="Sangría de texto normal Car"/>
    <w:basedOn w:val="Fuentedeprrafopredeter"/>
    <w:link w:val="Sangradetextonormal"/>
    <w:semiHidden/>
    <w:rsid w:val="00000A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000A64"/>
    <w:rPr>
      <w:lang w:val="es-ES" w:eastAsia="es-ES"/>
    </w:rPr>
  </w:style>
  <w:style w:type="character" w:customStyle="1" w:styleId="Sangra2detindependienteCar">
    <w:name w:val="Sangría 2 de t. independiente Car"/>
    <w:basedOn w:val="Fuentedeprrafopredeter"/>
    <w:link w:val="Sangra2detindependiente"/>
    <w:semiHidden/>
    <w:rsid w:val="00000A64"/>
    <w:rPr>
      <w:lang w:val="es-ES" w:eastAsia="es-ES"/>
    </w:rPr>
  </w:style>
  <w:style w:type="character" w:customStyle="1" w:styleId="Sangra3detindependienteCar">
    <w:name w:val="Sangría 3 de t. independiente Car"/>
    <w:basedOn w:val="Fuentedeprrafopredeter"/>
    <w:link w:val="Sangra3detindependiente"/>
    <w:semiHidden/>
    <w:rsid w:val="00000A64"/>
    <w:rPr>
      <w:sz w:val="16"/>
      <w:szCs w:val="16"/>
      <w:lang w:val="es-ES" w:eastAsia="es-ES"/>
    </w:rPr>
  </w:style>
  <w:style w:type="character" w:customStyle="1" w:styleId="CierreCar">
    <w:name w:val="Cierre Car"/>
    <w:basedOn w:val="Fuentedeprrafopredeter"/>
    <w:link w:val="Cierre"/>
    <w:semiHidden/>
    <w:rsid w:val="00000A64"/>
    <w:rPr>
      <w:lang w:val="es-ES" w:eastAsia="es-ES"/>
    </w:rPr>
  </w:style>
  <w:style w:type="character" w:customStyle="1" w:styleId="FechaCar">
    <w:name w:val="Fecha Car"/>
    <w:basedOn w:val="Fuentedeprrafopredeter"/>
    <w:link w:val="Fecha"/>
    <w:semiHidden/>
    <w:rsid w:val="00000A64"/>
    <w:rPr>
      <w:lang w:val="es-ES" w:eastAsia="es-ES"/>
    </w:rPr>
  </w:style>
  <w:style w:type="character" w:customStyle="1" w:styleId="FirmadecorreoelectrnicoCar">
    <w:name w:val="Firma de correo electrónico Car"/>
    <w:basedOn w:val="Fuentedeprrafopredeter"/>
    <w:link w:val="Firmadecorreoelectrnico"/>
    <w:semiHidden/>
    <w:rsid w:val="00000A64"/>
    <w:rPr>
      <w:lang w:val="es-ES" w:eastAsia="es-ES"/>
    </w:rPr>
  </w:style>
  <w:style w:type="character" w:customStyle="1" w:styleId="TextonotapieCar">
    <w:name w:val="Texto nota pie Car"/>
    <w:aliases w:val="5_G Car"/>
    <w:basedOn w:val="Fuentedeprrafopredeter"/>
    <w:link w:val="Textonotapie"/>
    <w:uiPriority w:val="3"/>
    <w:rsid w:val="00000A64"/>
    <w:rPr>
      <w:sz w:val="18"/>
      <w:lang w:val="es-ES" w:eastAsia="es-ES"/>
    </w:rPr>
  </w:style>
  <w:style w:type="character" w:customStyle="1" w:styleId="TextonotaalfinalCar">
    <w:name w:val="Texto nota al final Car"/>
    <w:aliases w:val="2_G Car"/>
    <w:basedOn w:val="Fuentedeprrafopredeter"/>
    <w:link w:val="Textonotaalfinal"/>
    <w:uiPriority w:val="3"/>
    <w:rsid w:val="00000A64"/>
    <w:rPr>
      <w:sz w:val="18"/>
      <w:lang w:val="es-ES" w:eastAsia="es-ES"/>
    </w:rPr>
  </w:style>
  <w:style w:type="character" w:customStyle="1" w:styleId="PiedepginaCar">
    <w:name w:val="Pie de página Car"/>
    <w:aliases w:val="3_G Car"/>
    <w:basedOn w:val="Fuentedeprrafopredeter"/>
    <w:link w:val="Piedepgina"/>
    <w:uiPriority w:val="3"/>
    <w:rsid w:val="00000A64"/>
    <w:rPr>
      <w:sz w:val="16"/>
      <w:lang w:val="es-ES" w:eastAsia="es-ES"/>
    </w:rPr>
  </w:style>
  <w:style w:type="character" w:customStyle="1" w:styleId="EncabezadoCar">
    <w:name w:val="Encabezado Car"/>
    <w:aliases w:val="6_G Car"/>
    <w:basedOn w:val="Fuentedeprrafopredeter"/>
    <w:link w:val="Encabezado"/>
    <w:uiPriority w:val="3"/>
    <w:rsid w:val="00000A64"/>
    <w:rPr>
      <w:b/>
      <w:sz w:val="18"/>
      <w:lang w:val="es-ES" w:eastAsia="es-ES"/>
    </w:rPr>
  </w:style>
  <w:style w:type="character" w:customStyle="1" w:styleId="Ttulo1Car">
    <w:name w:val="Título 1 Car"/>
    <w:aliases w:val="Cuadro_G Car,Table_G Car"/>
    <w:basedOn w:val="Fuentedeprrafopredeter"/>
    <w:link w:val="Ttulo1"/>
    <w:uiPriority w:val="9"/>
    <w:rsid w:val="00000A64"/>
    <w:rPr>
      <w:lang w:val="fr-CH" w:eastAsia="en-US"/>
    </w:rPr>
  </w:style>
  <w:style w:type="character" w:customStyle="1" w:styleId="DireccinHTMLCar">
    <w:name w:val="Dirección HTML Car"/>
    <w:basedOn w:val="Fuentedeprrafopredeter"/>
    <w:link w:val="DireccinHTML"/>
    <w:semiHidden/>
    <w:rsid w:val="00000A64"/>
    <w:rPr>
      <w:i/>
      <w:iCs/>
      <w:lang w:val="es-ES" w:eastAsia="es-ES"/>
    </w:rPr>
  </w:style>
  <w:style w:type="character" w:customStyle="1" w:styleId="HTMLconformatoprevioCar">
    <w:name w:val="HTML con formato previo Car"/>
    <w:basedOn w:val="Fuentedeprrafopredeter"/>
    <w:link w:val="HTMLconformatoprevio"/>
    <w:semiHidden/>
    <w:rsid w:val="00000A64"/>
    <w:rPr>
      <w:rFonts w:ascii="Courier New" w:hAnsi="Courier New" w:cs="Courier New"/>
      <w:lang w:val="es-ES" w:eastAsia="es-ES"/>
    </w:rPr>
  </w:style>
  <w:style w:type="character" w:styleId="nfasisintenso">
    <w:name w:val="Intense Emphasis"/>
    <w:uiPriority w:val="21"/>
    <w:rsid w:val="00000A64"/>
    <w:rPr>
      <w:b/>
      <w:bCs/>
      <w:i/>
      <w:iCs/>
      <w:color w:val="4F81BD"/>
    </w:rPr>
  </w:style>
  <w:style w:type="paragraph" w:styleId="Citadestacada">
    <w:name w:val="Intense Quote"/>
    <w:basedOn w:val="Normal"/>
    <w:next w:val="Normal"/>
    <w:link w:val="CitadestacadaCar"/>
    <w:uiPriority w:val="30"/>
    <w:rsid w:val="00000A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000A64"/>
    <w:rPr>
      <w:b/>
      <w:bCs/>
      <w:i/>
      <w:iCs/>
      <w:color w:val="4F81BD"/>
      <w:lang w:val="es-ES" w:eastAsia="es-ES"/>
    </w:rPr>
  </w:style>
  <w:style w:type="character" w:customStyle="1" w:styleId="EncabezadodemensajeCar">
    <w:name w:val="Encabezado de mensaje Car"/>
    <w:basedOn w:val="Fuentedeprrafopredeter"/>
    <w:link w:val="Encabezadodemensaje"/>
    <w:semiHidden/>
    <w:rsid w:val="00000A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000A64"/>
    <w:rPr>
      <w:lang w:val="es-ES" w:eastAsia="es-ES"/>
    </w:rPr>
  </w:style>
  <w:style w:type="character" w:customStyle="1" w:styleId="TextosinformatoCar">
    <w:name w:val="Texto sin formato Car"/>
    <w:basedOn w:val="Fuentedeprrafopredeter"/>
    <w:link w:val="Textosinformato"/>
    <w:semiHidden/>
    <w:rsid w:val="00000A64"/>
    <w:rPr>
      <w:rFonts w:ascii="Courier New" w:hAnsi="Courier New" w:cs="Courier New"/>
      <w:lang w:val="es-ES" w:eastAsia="es-ES"/>
    </w:rPr>
  </w:style>
  <w:style w:type="character" w:customStyle="1" w:styleId="SaludoCar">
    <w:name w:val="Saludo Car"/>
    <w:basedOn w:val="Fuentedeprrafopredeter"/>
    <w:link w:val="Saludo"/>
    <w:semiHidden/>
    <w:rsid w:val="00000A64"/>
    <w:rPr>
      <w:lang w:val="es-ES" w:eastAsia="es-ES"/>
    </w:rPr>
  </w:style>
  <w:style w:type="character" w:customStyle="1" w:styleId="FirmaCar">
    <w:name w:val="Firma Car"/>
    <w:basedOn w:val="Fuentedeprrafopredeter"/>
    <w:link w:val="Firma"/>
    <w:semiHidden/>
    <w:rsid w:val="00000A64"/>
    <w:rPr>
      <w:lang w:val="es-ES" w:eastAsia="es-ES"/>
    </w:rPr>
  </w:style>
  <w:style w:type="character" w:customStyle="1" w:styleId="SubttuloCar">
    <w:name w:val="Subtítulo Car"/>
    <w:basedOn w:val="Fuentedeprrafopredeter"/>
    <w:link w:val="Subttulo"/>
    <w:rsid w:val="00000A64"/>
    <w:rPr>
      <w:rFonts w:ascii="Arial" w:hAnsi="Arial" w:cs="Arial"/>
      <w:sz w:val="24"/>
      <w:szCs w:val="24"/>
      <w:lang w:val="es-ES" w:eastAsia="es-ES"/>
    </w:rPr>
  </w:style>
  <w:style w:type="paragraph" w:customStyle="1" w:styleId="Table1G">
    <w:name w:val="Table_1_G"/>
    <w:basedOn w:val="Normal"/>
    <w:next w:val="Normal"/>
    <w:uiPriority w:val="2"/>
    <w:qFormat/>
    <w:rsid w:val="00000A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000A64"/>
    <w:pPr>
      <w:spacing w:after="120"/>
    </w:pPr>
    <w:rPr>
      <w:b/>
    </w:rPr>
  </w:style>
  <w:style w:type="paragraph" w:customStyle="1" w:styleId="Table1Line3G">
    <w:name w:val="Table_1_Line3_G"/>
    <w:basedOn w:val="Table1line2G"/>
    <w:next w:val="Normal"/>
    <w:uiPriority w:val="2"/>
    <w:qFormat/>
    <w:rsid w:val="00000A64"/>
    <w:rPr>
      <w:b w:val="0"/>
      <w:sz w:val="16"/>
    </w:rPr>
  </w:style>
  <w:style w:type="paragraph" w:customStyle="1" w:styleId="TableH23G">
    <w:name w:val="Table_H2/3_G"/>
    <w:basedOn w:val="H23G"/>
    <w:uiPriority w:val="2"/>
    <w:qFormat/>
    <w:rsid w:val="00000A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000A64"/>
    <w:rPr>
      <w:rFonts w:ascii="Arial" w:hAnsi="Arial" w:cs="Arial"/>
      <w:b/>
      <w:bCs/>
      <w:kern w:val="28"/>
      <w:sz w:val="32"/>
      <w:szCs w:val="32"/>
      <w:lang w:val="es-ES" w:eastAsia="es-ES"/>
    </w:rPr>
  </w:style>
  <w:style w:type="paragraph" w:styleId="TDC1">
    <w:name w:val="toc 1"/>
    <w:basedOn w:val="Normal"/>
    <w:next w:val="Normal"/>
    <w:uiPriority w:val="5"/>
    <w:unhideWhenUsed/>
    <w:rsid w:val="00000A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000A64"/>
    <w:pPr>
      <w:tabs>
        <w:tab w:val="clear" w:pos="851"/>
      </w:tabs>
      <w:ind w:left="1559" w:hanging="425"/>
    </w:pPr>
  </w:style>
  <w:style w:type="paragraph" w:styleId="TDC3">
    <w:name w:val="toc 3"/>
    <w:basedOn w:val="TDC2"/>
    <w:next w:val="Normal"/>
    <w:uiPriority w:val="5"/>
    <w:unhideWhenUsed/>
    <w:rsid w:val="00000A64"/>
    <w:pPr>
      <w:tabs>
        <w:tab w:val="left" w:pos="1985"/>
      </w:tabs>
      <w:ind w:left="1984"/>
    </w:pPr>
  </w:style>
  <w:style w:type="paragraph" w:styleId="TDC4">
    <w:name w:val="toc 4"/>
    <w:basedOn w:val="TDC1"/>
    <w:next w:val="Normal"/>
    <w:uiPriority w:val="5"/>
    <w:unhideWhenUsed/>
    <w:rsid w:val="00000A64"/>
    <w:pPr>
      <w:tabs>
        <w:tab w:val="clear" w:pos="9072"/>
        <w:tab w:val="left" w:leader="dot" w:pos="7938"/>
        <w:tab w:val="right" w:pos="8930"/>
      </w:tabs>
      <w:ind w:right="1701"/>
    </w:pPr>
  </w:style>
  <w:style w:type="paragraph" w:styleId="TDC5">
    <w:name w:val="toc 5"/>
    <w:basedOn w:val="TDC4"/>
    <w:next w:val="Normal"/>
    <w:uiPriority w:val="5"/>
    <w:unhideWhenUsed/>
    <w:rsid w:val="00000A64"/>
    <w:pPr>
      <w:tabs>
        <w:tab w:val="clear" w:pos="851"/>
      </w:tabs>
      <w:ind w:left="1559" w:hanging="425"/>
    </w:pPr>
  </w:style>
  <w:style w:type="paragraph" w:styleId="TDC6">
    <w:name w:val="toc 6"/>
    <w:basedOn w:val="TDC5"/>
    <w:next w:val="Normal"/>
    <w:uiPriority w:val="5"/>
    <w:unhideWhenUsed/>
    <w:rsid w:val="00000A64"/>
    <w:pPr>
      <w:tabs>
        <w:tab w:val="left" w:pos="1985"/>
      </w:tabs>
      <w:ind w:left="1984"/>
    </w:pPr>
  </w:style>
  <w:style w:type="character" w:customStyle="1" w:styleId="Ttulo2Car">
    <w:name w:val="Título 2 Car"/>
    <w:basedOn w:val="Fuentedeprrafopredeter"/>
    <w:link w:val="Ttulo2"/>
    <w:semiHidden/>
    <w:rsid w:val="00C619FA"/>
    <w:rPr>
      <w:rFonts w:cs="Arial"/>
      <w:bCs/>
      <w:iCs/>
      <w:szCs w:val="28"/>
      <w:lang w:val="es-ES" w:eastAsia="es-ES"/>
    </w:rPr>
  </w:style>
  <w:style w:type="character" w:customStyle="1" w:styleId="Ttulo3Car">
    <w:name w:val="Título 3 Car"/>
    <w:basedOn w:val="Fuentedeprrafopredeter"/>
    <w:link w:val="Ttulo3"/>
    <w:semiHidden/>
    <w:rsid w:val="00C619FA"/>
    <w:rPr>
      <w:rFonts w:ascii="Arial" w:hAnsi="Arial" w:cs="Arial"/>
      <w:b/>
      <w:bCs/>
      <w:sz w:val="26"/>
      <w:szCs w:val="26"/>
      <w:lang w:val="es-ES" w:eastAsia="es-ES"/>
    </w:rPr>
  </w:style>
  <w:style w:type="character" w:customStyle="1" w:styleId="Ttulo4Car">
    <w:name w:val="Título 4 Car"/>
    <w:basedOn w:val="Fuentedeprrafopredeter"/>
    <w:link w:val="Ttulo4"/>
    <w:semiHidden/>
    <w:rsid w:val="00C619FA"/>
    <w:rPr>
      <w:b/>
      <w:bCs/>
      <w:sz w:val="28"/>
      <w:szCs w:val="28"/>
      <w:lang w:val="es-ES" w:eastAsia="es-ES"/>
    </w:rPr>
  </w:style>
  <w:style w:type="character" w:customStyle="1" w:styleId="Ttulo5Car">
    <w:name w:val="Título 5 Car"/>
    <w:basedOn w:val="Fuentedeprrafopredeter"/>
    <w:link w:val="Ttulo5"/>
    <w:semiHidden/>
    <w:rsid w:val="00C619FA"/>
    <w:rPr>
      <w:b/>
      <w:bCs/>
      <w:i/>
      <w:iCs/>
      <w:sz w:val="26"/>
      <w:szCs w:val="26"/>
      <w:lang w:val="es-ES" w:eastAsia="es-ES"/>
    </w:rPr>
  </w:style>
  <w:style w:type="character" w:customStyle="1" w:styleId="Ttulo6Car">
    <w:name w:val="Título 6 Car"/>
    <w:basedOn w:val="Fuentedeprrafopredeter"/>
    <w:link w:val="Ttulo6"/>
    <w:semiHidden/>
    <w:rsid w:val="00C619FA"/>
    <w:rPr>
      <w:b/>
      <w:bCs/>
      <w:sz w:val="22"/>
      <w:szCs w:val="22"/>
      <w:lang w:val="es-ES" w:eastAsia="es-ES"/>
    </w:rPr>
  </w:style>
  <w:style w:type="character" w:customStyle="1" w:styleId="Ttulo7Car">
    <w:name w:val="Título 7 Car"/>
    <w:basedOn w:val="Fuentedeprrafopredeter"/>
    <w:link w:val="Ttulo7"/>
    <w:semiHidden/>
    <w:rsid w:val="00C619FA"/>
    <w:rPr>
      <w:sz w:val="24"/>
      <w:szCs w:val="24"/>
      <w:lang w:val="es-ES" w:eastAsia="es-ES"/>
    </w:rPr>
  </w:style>
  <w:style w:type="character" w:customStyle="1" w:styleId="Ttulo8Car">
    <w:name w:val="Título 8 Car"/>
    <w:basedOn w:val="Fuentedeprrafopredeter"/>
    <w:link w:val="Ttulo8"/>
    <w:semiHidden/>
    <w:rsid w:val="00C619FA"/>
    <w:rPr>
      <w:i/>
      <w:iCs/>
      <w:sz w:val="24"/>
      <w:szCs w:val="24"/>
      <w:lang w:val="es-ES" w:eastAsia="es-ES"/>
    </w:rPr>
  </w:style>
  <w:style w:type="character" w:customStyle="1" w:styleId="Ttulo9Car">
    <w:name w:val="Título 9 Car"/>
    <w:basedOn w:val="Fuentedeprrafopredeter"/>
    <w:link w:val="Ttulo9"/>
    <w:semiHidden/>
    <w:rsid w:val="00C619FA"/>
    <w:rPr>
      <w:rFonts w:ascii="Arial" w:hAnsi="Arial" w:cs="Arial"/>
      <w:sz w:val="22"/>
      <w:szCs w:val="22"/>
      <w:lang w:val="es-ES" w:eastAsia="es-ES"/>
    </w:rPr>
  </w:style>
  <w:style w:type="character" w:styleId="Refdecomentario">
    <w:name w:val="annotation reference"/>
    <w:basedOn w:val="Fuentedeprrafopredeter"/>
    <w:uiPriority w:val="99"/>
    <w:semiHidden/>
    <w:rsid w:val="00C619FA"/>
    <w:rPr>
      <w:sz w:val="6"/>
    </w:rPr>
  </w:style>
  <w:style w:type="paragraph" w:styleId="Textocomentario">
    <w:name w:val="annotation text"/>
    <w:basedOn w:val="Normal"/>
    <w:link w:val="TextocomentarioCar"/>
    <w:uiPriority w:val="99"/>
    <w:semiHidden/>
    <w:rsid w:val="00C619FA"/>
    <w:pPr>
      <w:suppressAutoHyphens/>
    </w:pPr>
    <w:rPr>
      <w:lang w:val="en-GB" w:eastAsia="en-US"/>
    </w:rPr>
  </w:style>
  <w:style w:type="character" w:customStyle="1" w:styleId="TextocomentarioCar">
    <w:name w:val="Texto comentario Car"/>
    <w:basedOn w:val="Fuentedeprrafopredeter"/>
    <w:link w:val="Textocomentario"/>
    <w:uiPriority w:val="99"/>
    <w:semiHidden/>
    <w:rsid w:val="00C619FA"/>
    <w:rPr>
      <w:lang w:val="en-GB" w:eastAsia="en-US"/>
    </w:rPr>
  </w:style>
  <w:style w:type="paragraph" w:styleId="Asuntodelcomentario">
    <w:name w:val="annotation subject"/>
    <w:basedOn w:val="Textocomentario"/>
    <w:next w:val="Textocomentario"/>
    <w:link w:val="AsuntodelcomentarioCar"/>
    <w:uiPriority w:val="99"/>
    <w:semiHidden/>
    <w:unhideWhenUsed/>
    <w:rsid w:val="00C619FA"/>
    <w:pPr>
      <w:suppressAutoHyphens w:val="0"/>
      <w:spacing w:after="160" w:line="240" w:lineRule="auto"/>
    </w:pPr>
    <w:rPr>
      <w:rFonts w:asciiTheme="minorHAnsi" w:eastAsiaTheme="minorHAnsi" w:hAnsiTheme="minorHAnsi" w:cstheme="minorBidi"/>
      <w:b/>
      <w:bCs/>
      <w:lang w:eastAsia="zh-CN"/>
    </w:rPr>
  </w:style>
  <w:style w:type="character" w:customStyle="1" w:styleId="AsuntodelcomentarioCar">
    <w:name w:val="Asunto del comentario Car"/>
    <w:basedOn w:val="TextocomentarioCar"/>
    <w:link w:val="Asuntodelcomentario"/>
    <w:uiPriority w:val="99"/>
    <w:semiHidden/>
    <w:rsid w:val="00C619FA"/>
    <w:rPr>
      <w:rFonts w:asciiTheme="minorHAnsi" w:eastAsiaTheme="minorHAnsi" w:hAnsiTheme="minorHAnsi" w:cstheme="minorBidi"/>
      <w:b/>
      <w:bCs/>
      <w:lang w:val="en-GB" w:eastAsia="en-US"/>
    </w:rPr>
  </w:style>
  <w:style w:type="paragraph" w:styleId="Revisin">
    <w:name w:val="Revision"/>
    <w:hidden/>
    <w:uiPriority w:val="99"/>
    <w:semiHidden/>
    <w:rsid w:val="00C619FA"/>
    <w:rPr>
      <w:rFonts w:asciiTheme="minorHAnsi" w:eastAsiaTheme="minorHAnsi" w:hAnsiTheme="minorHAnsi" w:cstheme="minorBidi"/>
      <w:sz w:val="22"/>
      <w:szCs w:val="22"/>
      <w:lang w:val="en-GB" w:eastAsia="en-US"/>
    </w:rPr>
  </w:style>
  <w:style w:type="character" w:styleId="Mencinsinresolver">
    <w:name w:val="Unresolved Mention"/>
    <w:basedOn w:val="Fuentedeprrafopredeter"/>
    <w:uiPriority w:val="99"/>
    <w:unhideWhenUsed/>
    <w:rsid w:val="00C61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nwomen.org/es" TargetMode="External"/><Relationship Id="rId18" Type="http://schemas.openxmlformats.org/officeDocument/2006/relationships/hyperlink" Target="https://www.government.is/topics/governance-and-national-symbols/constitution/" TargetMode="External"/><Relationship Id="rId26" Type="http://schemas.openxmlformats.org/officeDocument/2006/relationships/hyperlink" Target="https://www.domstolasyslan.is/en/" TargetMode="External"/><Relationship Id="rId3" Type="http://schemas.openxmlformats.org/officeDocument/2006/relationships/settings" Target="settings.xml"/><Relationship Id="rId21" Type="http://schemas.openxmlformats.org/officeDocument/2006/relationships/hyperlink" Target="https://vinnumalastofnun.is/en" TargetMode="External"/><Relationship Id="rId7" Type="http://schemas.openxmlformats.org/officeDocument/2006/relationships/image" Target="media/image1.wmf"/><Relationship Id="rId12" Type="http://schemas.openxmlformats.org/officeDocument/2006/relationships/hyperlink" Target="https://www.unicef.org/es" TargetMode="External"/><Relationship Id="rId17" Type="http://schemas.openxmlformats.org/officeDocument/2006/relationships/hyperlink" Target="http://www.cb.is" TargetMode="External"/><Relationship Id="rId25" Type="http://schemas.openxmlformats.org/officeDocument/2006/relationships/hyperlink" Target="https://www.government.i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lthingi.is/english" TargetMode="External"/><Relationship Id="rId20" Type="http://schemas.openxmlformats.org/officeDocument/2006/relationships/hyperlink" Target="https://www.landlaeknir.is/englis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ncomundial.org/" TargetMode="External"/><Relationship Id="rId24" Type="http://schemas.openxmlformats.org/officeDocument/2006/relationships/hyperlink" Target="https://statice.i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mbodsmadur.is/en" TargetMode="External"/><Relationship Id="rId23" Type="http://schemas.openxmlformats.org/officeDocument/2006/relationships/hyperlink" Target="http://www.mcc.is" TargetMode="External"/><Relationship Id="rId28" Type="http://schemas.openxmlformats.org/officeDocument/2006/relationships/header" Target="header2.xml"/><Relationship Id="rId10" Type="http://schemas.openxmlformats.org/officeDocument/2006/relationships/hyperlink" Target="https://www.government.is/library/01-Ministries/Ministry-for-Foreign-Affairs/Iceida/Publications/Parliamentary%20Resolution%20on%20Iceland%e2%80%99s%20policy%20for%20international%20development%20cooperation.pdf" TargetMode="External"/><Relationship Id="rId19" Type="http://schemas.openxmlformats.org/officeDocument/2006/relationships/hyperlink" Target="https://mms.is/directorate-education"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unfpa.org/es" TargetMode="External"/><Relationship Id="rId22" Type="http://schemas.openxmlformats.org/officeDocument/2006/relationships/hyperlink" Target="http://www.humanrights.is/en" TargetMode="External"/><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3</TotalTime>
  <Pages>37</Pages>
  <Words>17369</Words>
  <Characters>89973</Characters>
  <Application>Microsoft Office Word</Application>
  <DocSecurity>0</DocSecurity>
  <Lines>2999</Lines>
  <Paragraphs>2064</Paragraphs>
  <ScaleCrop>false</ScaleCrop>
  <HeadingPairs>
    <vt:vector size="2" baseType="variant">
      <vt:variant>
        <vt:lpstr>Título</vt:lpstr>
      </vt:variant>
      <vt:variant>
        <vt:i4>1</vt:i4>
      </vt:variant>
    </vt:vector>
  </HeadingPairs>
  <TitlesOfParts>
    <vt:vector size="1" baseType="lpstr">
      <vt:lpstr>HRI/CORE/ISL/2021</vt:lpstr>
    </vt:vector>
  </TitlesOfParts>
  <Company/>
  <LinksUpToDate>false</LinksUpToDate>
  <CharactersWithSpaces>105278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HRI/CORE/ISL/2021</dc:title>
  <dc:subject/>
  <dc:creator>Angel ANGEL-MORENO-TORRES</dc:creator>
  <cp:keywords/>
  <cp:lastModifiedBy>Angel ANGEL-MORENO-TORRES</cp:lastModifiedBy>
  <cp:revision>3</cp:revision>
  <cp:lastPrinted>2021-09-29T13:45:00Z</cp:lastPrinted>
  <dcterms:created xsi:type="dcterms:W3CDTF">2021-09-29T13:45:00Z</dcterms:created>
  <dcterms:modified xsi:type="dcterms:W3CDTF">2021-09-29T13:45:00Z</dcterms:modified>
</cp:coreProperties>
</file>