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BD2C13" w14:paraId="4A4B7CD7" w14:textId="77777777" w:rsidTr="00702DC1">
        <w:trPr>
          <w:trHeight w:hRule="exact" w:val="851"/>
        </w:trPr>
        <w:tc>
          <w:tcPr>
            <w:tcW w:w="1276" w:type="dxa"/>
            <w:tcBorders>
              <w:bottom w:val="single" w:sz="4" w:space="0" w:color="auto"/>
            </w:tcBorders>
          </w:tcPr>
          <w:p w14:paraId="2F82DDD0" w14:textId="77777777" w:rsidR="009C3792" w:rsidRPr="00BD2C13" w:rsidRDefault="009C3792" w:rsidP="00FF3251"/>
        </w:tc>
        <w:tc>
          <w:tcPr>
            <w:tcW w:w="2268" w:type="dxa"/>
            <w:tcBorders>
              <w:bottom w:val="single" w:sz="4" w:space="0" w:color="auto"/>
            </w:tcBorders>
            <w:vAlign w:val="bottom"/>
          </w:tcPr>
          <w:p w14:paraId="4A845273" w14:textId="77777777" w:rsidR="009C3792" w:rsidRPr="00BD2C13" w:rsidRDefault="009C3792" w:rsidP="00702DC1">
            <w:pPr>
              <w:spacing w:after="80" w:line="300" w:lineRule="exact"/>
              <w:rPr>
                <w:sz w:val="28"/>
              </w:rPr>
            </w:pPr>
            <w:r w:rsidRPr="00BD2C13">
              <w:rPr>
                <w:sz w:val="28"/>
              </w:rPr>
              <w:t>Nations Unies</w:t>
            </w:r>
          </w:p>
        </w:tc>
        <w:tc>
          <w:tcPr>
            <w:tcW w:w="6095" w:type="dxa"/>
            <w:gridSpan w:val="2"/>
            <w:tcBorders>
              <w:bottom w:val="single" w:sz="4" w:space="0" w:color="auto"/>
            </w:tcBorders>
            <w:vAlign w:val="bottom"/>
          </w:tcPr>
          <w:p w14:paraId="515BD01B" w14:textId="77777777" w:rsidR="009C3792" w:rsidRPr="00BD2C13" w:rsidRDefault="00FF3251" w:rsidP="00FF3251">
            <w:pPr>
              <w:jc w:val="right"/>
            </w:pPr>
            <w:r w:rsidRPr="00BD2C13">
              <w:rPr>
                <w:sz w:val="40"/>
              </w:rPr>
              <w:t>HRI</w:t>
            </w:r>
            <w:r w:rsidRPr="00BD2C13">
              <w:t>/CORE/IRL/2019</w:t>
            </w:r>
          </w:p>
        </w:tc>
      </w:tr>
      <w:tr w:rsidR="009C3792" w:rsidRPr="00BD2C13" w14:paraId="4A4FE6A4" w14:textId="77777777" w:rsidTr="00702DC1">
        <w:trPr>
          <w:trHeight w:hRule="exact" w:val="2835"/>
        </w:trPr>
        <w:tc>
          <w:tcPr>
            <w:tcW w:w="1276" w:type="dxa"/>
            <w:tcBorders>
              <w:top w:val="single" w:sz="4" w:space="0" w:color="auto"/>
              <w:bottom w:val="single" w:sz="12" w:space="0" w:color="auto"/>
            </w:tcBorders>
          </w:tcPr>
          <w:p w14:paraId="4D012690" w14:textId="77777777" w:rsidR="009C3792" w:rsidRPr="00BD2C13" w:rsidRDefault="009C3792" w:rsidP="00702DC1">
            <w:pPr>
              <w:spacing w:before="120"/>
              <w:jc w:val="center"/>
            </w:pPr>
            <w:r w:rsidRPr="00BD2C13">
              <w:rPr>
                <w:noProof/>
                <w:lang w:eastAsia="fr-CH"/>
              </w:rPr>
              <w:drawing>
                <wp:inline distT="0" distB="0" distL="0" distR="0" wp14:anchorId="145E0E26" wp14:editId="775192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312FB7" w14:textId="77777777" w:rsidR="009C3792" w:rsidRPr="00BD2C13" w:rsidRDefault="009C3792" w:rsidP="00702DC1">
            <w:pPr>
              <w:spacing w:before="120" w:line="380" w:lineRule="exact"/>
              <w:rPr>
                <w:b/>
                <w:sz w:val="40"/>
                <w:szCs w:val="40"/>
              </w:rPr>
            </w:pPr>
            <w:r w:rsidRPr="00BD2C13">
              <w:rPr>
                <w:b/>
                <w:sz w:val="34"/>
                <w:szCs w:val="34"/>
              </w:rPr>
              <w:t>Instruments internationaux</w:t>
            </w:r>
            <w:r w:rsidRPr="00BD2C13">
              <w:rPr>
                <w:b/>
                <w:sz w:val="34"/>
                <w:szCs w:val="34"/>
              </w:rPr>
              <w:br/>
              <w:t>relatifs aux droits de l</w:t>
            </w:r>
            <w:r w:rsidR="00784444">
              <w:rPr>
                <w:b/>
                <w:sz w:val="34"/>
                <w:szCs w:val="34"/>
              </w:rPr>
              <w:t>’</w:t>
            </w:r>
            <w:r w:rsidRPr="00BD2C13">
              <w:rPr>
                <w:b/>
                <w:sz w:val="34"/>
                <w:szCs w:val="34"/>
              </w:rPr>
              <w:t>homme</w:t>
            </w:r>
          </w:p>
        </w:tc>
        <w:tc>
          <w:tcPr>
            <w:tcW w:w="2835" w:type="dxa"/>
            <w:tcBorders>
              <w:top w:val="single" w:sz="4" w:space="0" w:color="auto"/>
              <w:bottom w:val="single" w:sz="12" w:space="0" w:color="auto"/>
            </w:tcBorders>
          </w:tcPr>
          <w:p w14:paraId="3A004B4F" w14:textId="77777777" w:rsidR="009C3792" w:rsidRPr="00BD2C13" w:rsidRDefault="00FF3251" w:rsidP="00702DC1">
            <w:pPr>
              <w:spacing w:before="240"/>
            </w:pPr>
            <w:proofErr w:type="spellStart"/>
            <w:r w:rsidRPr="00BD2C13">
              <w:t>Distr</w:t>
            </w:r>
            <w:proofErr w:type="spellEnd"/>
            <w:r w:rsidRPr="00BD2C13">
              <w:t>. générale</w:t>
            </w:r>
          </w:p>
          <w:p w14:paraId="3855E8A5" w14:textId="77777777" w:rsidR="00FF3251" w:rsidRPr="00BD2C13" w:rsidRDefault="00FF3251" w:rsidP="00FF3251">
            <w:pPr>
              <w:spacing w:line="240" w:lineRule="exact"/>
            </w:pPr>
            <w:r w:rsidRPr="00BD2C13">
              <w:t>4 décembre 2019</w:t>
            </w:r>
          </w:p>
          <w:p w14:paraId="52CADEB4" w14:textId="77777777" w:rsidR="00FF3251" w:rsidRPr="00BD2C13" w:rsidRDefault="00FF3251" w:rsidP="00FF3251">
            <w:pPr>
              <w:spacing w:line="240" w:lineRule="exact"/>
            </w:pPr>
            <w:r w:rsidRPr="00BD2C13">
              <w:t>Français</w:t>
            </w:r>
          </w:p>
          <w:p w14:paraId="4BCE7449" w14:textId="77777777" w:rsidR="00FF3251" w:rsidRPr="00BD2C13" w:rsidRDefault="00FF3251" w:rsidP="00FF3251">
            <w:pPr>
              <w:spacing w:line="240" w:lineRule="exact"/>
            </w:pPr>
            <w:r w:rsidRPr="00BD2C13">
              <w:t>Original : anglais</w:t>
            </w:r>
          </w:p>
        </w:tc>
      </w:tr>
    </w:tbl>
    <w:p w14:paraId="764FFE69" w14:textId="77777777" w:rsidR="00FF3251" w:rsidRPr="00BD2C13" w:rsidRDefault="00FF3251" w:rsidP="00FF3251">
      <w:pPr>
        <w:pStyle w:val="HMG"/>
      </w:pPr>
      <w:r w:rsidRPr="00BD2C13">
        <w:tab/>
      </w:r>
      <w:r w:rsidRPr="00BD2C13">
        <w:tab/>
        <w:t>Document de base faisant partie intégrante des rapports présentés par les États parties</w:t>
      </w:r>
    </w:p>
    <w:p w14:paraId="75E0045E" w14:textId="77777777" w:rsidR="00FF3251" w:rsidRPr="00BD2C13" w:rsidRDefault="00FF3251" w:rsidP="00FF3251">
      <w:pPr>
        <w:pStyle w:val="HMG"/>
      </w:pPr>
      <w:r w:rsidRPr="00BD2C13">
        <w:tab/>
      </w:r>
      <w:r w:rsidRPr="00BD2C13">
        <w:tab/>
        <w:t>Irlande</w:t>
      </w:r>
      <w:r w:rsidRPr="00BD2C13">
        <w:rPr>
          <w:rStyle w:val="Appelnotedebasdep"/>
          <w:b w:val="0"/>
          <w:sz w:val="20"/>
          <w:vertAlign w:val="baseline"/>
        </w:rPr>
        <w:footnoteReference w:customMarkFollows="1" w:id="2"/>
        <w:t>*</w:t>
      </w:r>
    </w:p>
    <w:p w14:paraId="2E147EAA" w14:textId="77777777" w:rsidR="00FF3251" w:rsidRPr="00BD2C13" w:rsidRDefault="00FF3251" w:rsidP="00FF3251">
      <w:pPr>
        <w:pStyle w:val="SingleTxtG"/>
        <w:jc w:val="right"/>
      </w:pPr>
      <w:r w:rsidRPr="00BD2C13">
        <w:t>[Date de réception : 23 septembre 2019]</w:t>
      </w:r>
    </w:p>
    <w:p w14:paraId="634C049D" w14:textId="77777777" w:rsidR="00446FE5" w:rsidRPr="00BD2C13" w:rsidRDefault="00FF3251" w:rsidP="00FF3251">
      <w:pPr>
        <w:spacing w:after="120"/>
        <w:rPr>
          <w:sz w:val="28"/>
        </w:rPr>
      </w:pPr>
      <w:r w:rsidRPr="00BD2C13">
        <w:br w:type="page"/>
      </w:r>
      <w:r w:rsidRPr="00BD2C13">
        <w:rPr>
          <w:sz w:val="28"/>
        </w:rPr>
        <w:lastRenderedPageBreak/>
        <w:t>Table des matières</w:t>
      </w:r>
    </w:p>
    <w:p w14:paraId="7659F876" w14:textId="77777777" w:rsidR="00FF3251" w:rsidRPr="00BD2C13" w:rsidRDefault="00FF3251" w:rsidP="00FF3251">
      <w:pPr>
        <w:tabs>
          <w:tab w:val="right" w:pos="9638"/>
        </w:tabs>
        <w:spacing w:after="120"/>
        <w:ind w:left="283"/>
        <w:rPr>
          <w:i/>
          <w:sz w:val="18"/>
        </w:rPr>
      </w:pPr>
      <w:r w:rsidRPr="00BD2C13">
        <w:rPr>
          <w:i/>
          <w:sz w:val="18"/>
        </w:rPr>
        <w:tab/>
        <w:t>Page</w:t>
      </w:r>
    </w:p>
    <w:p w14:paraId="749DC99D" w14:textId="77777777" w:rsidR="00FF3251" w:rsidRDefault="00FF3251" w:rsidP="00FF3251">
      <w:pPr>
        <w:tabs>
          <w:tab w:val="right" w:pos="850"/>
          <w:tab w:val="right" w:leader="dot" w:pos="8787"/>
          <w:tab w:val="right" w:pos="9638"/>
        </w:tabs>
        <w:spacing w:after="120"/>
        <w:ind w:left="1134" w:hanging="1134"/>
      </w:pPr>
      <w:r w:rsidRPr="00BD2C13">
        <w:tab/>
        <w:t>I.</w:t>
      </w:r>
      <w:r w:rsidRPr="00BD2C13">
        <w:tab/>
      </w:r>
      <w:r w:rsidR="00DC1EDB" w:rsidRPr="00BD2C13">
        <w:t>Introduction</w:t>
      </w:r>
      <w:r w:rsidRPr="00BD2C13">
        <w:tab/>
      </w:r>
      <w:r w:rsidR="00DC1EDB">
        <w:tab/>
      </w:r>
      <w:r w:rsidR="005E7B7A">
        <w:t>5</w:t>
      </w:r>
    </w:p>
    <w:p w14:paraId="644C8AE3" w14:textId="77777777" w:rsidR="00DC1EDB" w:rsidRPr="00BD2C13" w:rsidRDefault="00DC1EDB" w:rsidP="00FF3251">
      <w:pPr>
        <w:tabs>
          <w:tab w:val="right" w:pos="850"/>
          <w:tab w:val="right" w:leader="dot" w:pos="8787"/>
          <w:tab w:val="right" w:pos="9638"/>
        </w:tabs>
        <w:spacing w:after="120"/>
        <w:ind w:left="1134" w:hanging="1134"/>
      </w:pPr>
      <w:r>
        <w:tab/>
        <w:t>II.</w:t>
      </w:r>
      <w:r>
        <w:tab/>
      </w:r>
      <w:r w:rsidRPr="00BD2C13">
        <w:t>Renseignements d</w:t>
      </w:r>
      <w:r w:rsidR="00784444">
        <w:t>’</w:t>
      </w:r>
      <w:r w:rsidRPr="00BD2C13">
        <w:t>ordre général</w:t>
      </w:r>
      <w:r>
        <w:tab/>
      </w:r>
      <w:r>
        <w:tab/>
      </w:r>
      <w:r w:rsidR="005E7B7A">
        <w:t>5</w:t>
      </w:r>
    </w:p>
    <w:p w14:paraId="6779143C" w14:textId="77777777" w:rsidR="00FF3251" w:rsidRPr="00BD2C13" w:rsidRDefault="00FF3251" w:rsidP="00FF3251">
      <w:pPr>
        <w:tabs>
          <w:tab w:val="right" w:leader="dot" w:pos="8787"/>
          <w:tab w:val="right" w:pos="9638"/>
        </w:tabs>
        <w:spacing w:after="120"/>
        <w:ind w:left="1559" w:hanging="425"/>
      </w:pPr>
      <w:r w:rsidRPr="00BD2C13">
        <w:t>A.</w:t>
      </w:r>
      <w:r w:rsidRPr="00BD2C13">
        <w:tab/>
      </w:r>
      <w:r w:rsidR="00DC1EDB" w:rsidRPr="00BD2C13">
        <w:t>Caractéristiques démographiques, économiques, sociales et culturelles</w:t>
      </w:r>
      <w:r w:rsidRPr="00BD2C13">
        <w:tab/>
      </w:r>
      <w:r w:rsidR="00DC1EDB">
        <w:tab/>
      </w:r>
      <w:r w:rsidR="005E7B7A">
        <w:t>5</w:t>
      </w:r>
    </w:p>
    <w:p w14:paraId="2B0A1F9C" w14:textId="77777777" w:rsidR="00FF3251" w:rsidRDefault="00FF3251" w:rsidP="00FF3251">
      <w:pPr>
        <w:tabs>
          <w:tab w:val="right" w:leader="dot" w:pos="8787"/>
          <w:tab w:val="right" w:pos="9638"/>
        </w:tabs>
        <w:spacing w:after="120"/>
        <w:ind w:left="1984" w:hanging="425"/>
      </w:pPr>
      <w:r w:rsidRPr="00BD2C13">
        <w:t>1.</w:t>
      </w:r>
      <w:r w:rsidRPr="00BD2C13">
        <w:tab/>
      </w:r>
      <w:r w:rsidR="00DC1EDB" w:rsidRPr="00BD2C13">
        <w:t>Économie</w:t>
      </w:r>
      <w:r w:rsidRPr="00BD2C13">
        <w:tab/>
      </w:r>
      <w:r w:rsidR="00DC1EDB">
        <w:tab/>
      </w:r>
      <w:r w:rsidR="005E7B7A">
        <w:t>6</w:t>
      </w:r>
    </w:p>
    <w:p w14:paraId="3E6B6708" w14:textId="77777777" w:rsidR="00DC1EDB" w:rsidRDefault="00DC1EDB" w:rsidP="00FF3251">
      <w:pPr>
        <w:tabs>
          <w:tab w:val="right" w:leader="dot" w:pos="8787"/>
          <w:tab w:val="right" w:pos="9638"/>
        </w:tabs>
        <w:spacing w:after="120"/>
        <w:ind w:left="1984" w:hanging="425"/>
      </w:pPr>
      <w:r>
        <w:t>2.</w:t>
      </w:r>
      <w:r>
        <w:tab/>
      </w:r>
      <w:r w:rsidRPr="00BD2C13">
        <w:t>Évolutions démographiques</w:t>
      </w:r>
      <w:r>
        <w:tab/>
      </w:r>
      <w:r>
        <w:tab/>
      </w:r>
      <w:r w:rsidR="005E7B7A">
        <w:t>6</w:t>
      </w:r>
    </w:p>
    <w:p w14:paraId="395C830F" w14:textId="77777777" w:rsidR="00DC1EDB" w:rsidRPr="00BD2C13" w:rsidRDefault="00DC1EDB" w:rsidP="00DC1EDB">
      <w:pPr>
        <w:tabs>
          <w:tab w:val="right" w:leader="dot" w:pos="8787"/>
          <w:tab w:val="right" w:pos="9638"/>
        </w:tabs>
        <w:spacing w:after="120"/>
        <w:ind w:left="1559" w:hanging="425"/>
      </w:pPr>
      <w:r>
        <w:t>B</w:t>
      </w:r>
      <w:r w:rsidRPr="00BD2C13">
        <w:t>.</w:t>
      </w:r>
      <w:r w:rsidRPr="00BD2C13">
        <w:tab/>
      </w:r>
      <w:r w:rsidR="00D06199" w:rsidRPr="00BD2C13">
        <w:t>Structure constitutionnelle, politique et juridique</w:t>
      </w:r>
      <w:r w:rsidRPr="00BD2C13">
        <w:tab/>
      </w:r>
      <w:r>
        <w:tab/>
      </w:r>
      <w:r w:rsidR="005E7B7A">
        <w:t>9</w:t>
      </w:r>
    </w:p>
    <w:p w14:paraId="2D1CB888" w14:textId="77777777" w:rsidR="00DC1EDB" w:rsidRDefault="00DC1EDB" w:rsidP="00DC1EDB">
      <w:pPr>
        <w:tabs>
          <w:tab w:val="right" w:leader="dot" w:pos="8787"/>
          <w:tab w:val="right" w:pos="9638"/>
        </w:tabs>
        <w:spacing w:after="120"/>
        <w:ind w:left="1984" w:hanging="425"/>
      </w:pPr>
      <w:r w:rsidRPr="00BD2C13">
        <w:t>1.</w:t>
      </w:r>
      <w:r w:rsidRPr="00BD2C13">
        <w:tab/>
      </w:r>
      <w:r w:rsidR="00D06199" w:rsidRPr="00BD2C13">
        <w:t>La Constitution de l</w:t>
      </w:r>
      <w:r w:rsidR="00784444">
        <w:t>’</w:t>
      </w:r>
      <w:r w:rsidR="00D06199" w:rsidRPr="00BD2C13">
        <w:t>Irlande (</w:t>
      </w:r>
      <w:proofErr w:type="spellStart"/>
      <w:r w:rsidR="00D06199" w:rsidRPr="00BD2C13">
        <w:t>Bunreacht</w:t>
      </w:r>
      <w:proofErr w:type="spellEnd"/>
      <w:r w:rsidR="00D06199" w:rsidRPr="00BD2C13">
        <w:t xml:space="preserve"> na </w:t>
      </w:r>
      <w:proofErr w:type="spellStart"/>
      <w:r w:rsidR="00D06199" w:rsidRPr="00BD2C13">
        <w:t>hÉireann</w:t>
      </w:r>
      <w:proofErr w:type="spellEnd"/>
      <w:r w:rsidR="00D06199" w:rsidRPr="00BD2C13">
        <w:t>)</w:t>
      </w:r>
      <w:r w:rsidRPr="00BD2C13">
        <w:tab/>
      </w:r>
      <w:r>
        <w:tab/>
      </w:r>
      <w:r w:rsidR="005E7B7A">
        <w:t>9</w:t>
      </w:r>
    </w:p>
    <w:p w14:paraId="41E00A54" w14:textId="77777777" w:rsidR="00DC1EDB" w:rsidRDefault="00DC1EDB" w:rsidP="00DC1EDB">
      <w:pPr>
        <w:tabs>
          <w:tab w:val="right" w:leader="dot" w:pos="8787"/>
          <w:tab w:val="right" w:pos="9638"/>
        </w:tabs>
        <w:spacing w:after="120"/>
        <w:ind w:left="1984" w:hanging="425"/>
      </w:pPr>
      <w:r>
        <w:t>2</w:t>
      </w:r>
      <w:r w:rsidRPr="00BD2C13">
        <w:t>.</w:t>
      </w:r>
      <w:r w:rsidRPr="00BD2C13">
        <w:tab/>
      </w:r>
      <w:r w:rsidR="00D06199" w:rsidRPr="00BD2C13">
        <w:t>Le Gouvernement irlandais</w:t>
      </w:r>
      <w:r w:rsidRPr="00BD2C13">
        <w:tab/>
      </w:r>
      <w:r>
        <w:tab/>
      </w:r>
      <w:r w:rsidR="005E7B7A">
        <w:t>9</w:t>
      </w:r>
    </w:p>
    <w:p w14:paraId="4AF918F3" w14:textId="77777777" w:rsidR="00DC1EDB" w:rsidRDefault="00DC1EDB" w:rsidP="00DC1EDB">
      <w:pPr>
        <w:tabs>
          <w:tab w:val="right" w:leader="dot" w:pos="8787"/>
          <w:tab w:val="right" w:pos="9638"/>
        </w:tabs>
        <w:spacing w:after="120"/>
        <w:ind w:left="1984" w:hanging="425"/>
      </w:pPr>
      <w:r>
        <w:t>3</w:t>
      </w:r>
      <w:r w:rsidRPr="00BD2C13">
        <w:t>.</w:t>
      </w:r>
      <w:r w:rsidRPr="00BD2C13">
        <w:tab/>
      </w:r>
      <w:r w:rsidR="00D06199" w:rsidRPr="00BD2C13">
        <w:t>Le système électoral</w:t>
      </w:r>
      <w:r w:rsidRPr="00BD2C13">
        <w:tab/>
      </w:r>
      <w:r>
        <w:tab/>
      </w:r>
      <w:r w:rsidR="005E7B7A">
        <w:t>10</w:t>
      </w:r>
    </w:p>
    <w:p w14:paraId="513EF359" w14:textId="77777777" w:rsidR="00DC1EDB" w:rsidRDefault="00DC1EDB" w:rsidP="00DC1EDB">
      <w:pPr>
        <w:tabs>
          <w:tab w:val="right" w:leader="dot" w:pos="8787"/>
          <w:tab w:val="right" w:pos="9638"/>
        </w:tabs>
        <w:spacing w:after="120"/>
        <w:ind w:left="1984" w:hanging="425"/>
      </w:pPr>
      <w:r>
        <w:t>4</w:t>
      </w:r>
      <w:r w:rsidRPr="00BD2C13">
        <w:t>.</w:t>
      </w:r>
      <w:r w:rsidRPr="00BD2C13">
        <w:tab/>
      </w:r>
      <w:r w:rsidR="00D06199" w:rsidRPr="00BD2C13">
        <w:t>La fonction publique</w:t>
      </w:r>
      <w:r w:rsidRPr="00BD2C13">
        <w:tab/>
      </w:r>
      <w:r>
        <w:tab/>
      </w:r>
      <w:r w:rsidR="00066A6F">
        <w:t>11</w:t>
      </w:r>
    </w:p>
    <w:p w14:paraId="770A8BB3" w14:textId="77777777" w:rsidR="00DC1EDB" w:rsidRDefault="00DC1EDB" w:rsidP="00DC1EDB">
      <w:pPr>
        <w:tabs>
          <w:tab w:val="right" w:leader="dot" w:pos="8787"/>
          <w:tab w:val="right" w:pos="9638"/>
        </w:tabs>
        <w:spacing w:after="120"/>
        <w:ind w:left="1984" w:hanging="425"/>
      </w:pPr>
      <w:r>
        <w:t>5</w:t>
      </w:r>
      <w:r w:rsidRPr="00BD2C13">
        <w:t>.</w:t>
      </w:r>
      <w:r w:rsidRPr="00BD2C13">
        <w:tab/>
      </w:r>
      <w:r w:rsidR="00D06199" w:rsidRPr="00BD2C13">
        <w:t>L</w:t>
      </w:r>
      <w:r w:rsidR="00784444">
        <w:t>’</w:t>
      </w:r>
      <w:r w:rsidR="00D06199" w:rsidRPr="00BD2C13">
        <w:t>administration locale</w:t>
      </w:r>
      <w:r w:rsidRPr="00BD2C13">
        <w:tab/>
      </w:r>
      <w:r>
        <w:tab/>
      </w:r>
      <w:r w:rsidR="00066A6F">
        <w:t>11</w:t>
      </w:r>
    </w:p>
    <w:p w14:paraId="6A9E4138" w14:textId="77777777" w:rsidR="00DC1EDB" w:rsidRDefault="00DC1EDB" w:rsidP="00DC1EDB">
      <w:pPr>
        <w:tabs>
          <w:tab w:val="right" w:leader="dot" w:pos="8787"/>
          <w:tab w:val="right" w:pos="9638"/>
        </w:tabs>
        <w:spacing w:after="120"/>
        <w:ind w:left="1984" w:hanging="425"/>
      </w:pPr>
      <w:r>
        <w:t>6</w:t>
      </w:r>
      <w:r w:rsidRPr="00BD2C13">
        <w:t>.</w:t>
      </w:r>
      <w:r w:rsidRPr="00BD2C13">
        <w:tab/>
      </w:r>
      <w:r w:rsidR="00D06199" w:rsidRPr="00BD2C13">
        <w:t>Administration de la justice</w:t>
      </w:r>
      <w:r w:rsidRPr="00BD2C13">
        <w:tab/>
      </w:r>
      <w:r>
        <w:tab/>
      </w:r>
      <w:r w:rsidR="00066A6F">
        <w:t>12</w:t>
      </w:r>
    </w:p>
    <w:p w14:paraId="5438F076" w14:textId="77777777" w:rsidR="00DC1EDB" w:rsidRDefault="00D06199" w:rsidP="00DC1EDB">
      <w:pPr>
        <w:tabs>
          <w:tab w:val="right" w:leader="dot" w:pos="8787"/>
          <w:tab w:val="right" w:pos="9638"/>
        </w:tabs>
        <w:spacing w:after="120"/>
        <w:ind w:left="2410" w:hanging="425"/>
      </w:pPr>
      <w:r w:rsidRPr="00BD2C13">
        <w:t xml:space="preserve">An </w:t>
      </w:r>
      <w:proofErr w:type="spellStart"/>
      <w:r w:rsidRPr="00BD2C13">
        <w:t>Gárda</w:t>
      </w:r>
      <w:proofErr w:type="spellEnd"/>
      <w:r w:rsidRPr="00BD2C13">
        <w:t xml:space="preserve"> </w:t>
      </w:r>
      <w:proofErr w:type="spellStart"/>
      <w:r w:rsidRPr="00BD2C13">
        <w:t>Síochána</w:t>
      </w:r>
      <w:proofErr w:type="spellEnd"/>
      <w:r>
        <w:t xml:space="preserve"> </w:t>
      </w:r>
      <w:r w:rsidRPr="00BD2C13">
        <w:t>(Police nationale)</w:t>
      </w:r>
      <w:r w:rsidR="00DC1EDB">
        <w:tab/>
      </w:r>
      <w:r w:rsidR="00DC1EDB">
        <w:tab/>
      </w:r>
      <w:r w:rsidR="00066A6F">
        <w:t>1</w:t>
      </w:r>
      <w:r w:rsidR="005420B9">
        <w:t>2</w:t>
      </w:r>
    </w:p>
    <w:p w14:paraId="276DC705" w14:textId="77777777" w:rsidR="00DC1EDB" w:rsidRDefault="00D06199" w:rsidP="00DC1EDB">
      <w:pPr>
        <w:tabs>
          <w:tab w:val="right" w:leader="dot" w:pos="8787"/>
          <w:tab w:val="right" w:pos="9638"/>
        </w:tabs>
        <w:spacing w:after="120"/>
        <w:ind w:left="2410" w:hanging="425"/>
      </w:pPr>
      <w:r w:rsidRPr="00BD2C13">
        <w:t>L</w:t>
      </w:r>
      <w:r w:rsidR="00784444">
        <w:t>’</w:t>
      </w:r>
      <w:r w:rsidRPr="00BD2C13">
        <w:t>autorité de police</w:t>
      </w:r>
      <w:r w:rsidR="00DC1EDB">
        <w:tab/>
      </w:r>
      <w:r w:rsidR="00DC1EDB">
        <w:tab/>
      </w:r>
      <w:r w:rsidR="00066A6F">
        <w:t>13</w:t>
      </w:r>
    </w:p>
    <w:p w14:paraId="3978D0BA" w14:textId="77777777" w:rsidR="00DC1EDB" w:rsidRDefault="00DC1EDB" w:rsidP="00DC1EDB">
      <w:pPr>
        <w:tabs>
          <w:tab w:val="right" w:leader="dot" w:pos="8787"/>
          <w:tab w:val="right" w:pos="9638"/>
        </w:tabs>
        <w:spacing w:after="120"/>
        <w:ind w:left="1984" w:hanging="425"/>
      </w:pPr>
      <w:r>
        <w:t>7</w:t>
      </w:r>
      <w:r w:rsidRPr="00BD2C13">
        <w:t>.</w:t>
      </w:r>
      <w:r w:rsidRPr="00BD2C13">
        <w:tab/>
      </w:r>
      <w:r w:rsidR="00D06199" w:rsidRPr="00BD2C13">
        <w:t>Le système juridique irlandais</w:t>
      </w:r>
      <w:r w:rsidRPr="00BD2C13">
        <w:tab/>
      </w:r>
      <w:r>
        <w:tab/>
      </w:r>
      <w:r w:rsidR="00066A6F">
        <w:t>14</w:t>
      </w:r>
    </w:p>
    <w:p w14:paraId="6AEC351A" w14:textId="77777777" w:rsidR="00DC1EDB" w:rsidRDefault="00D06199" w:rsidP="00DC1EDB">
      <w:pPr>
        <w:tabs>
          <w:tab w:val="right" w:leader="dot" w:pos="8787"/>
          <w:tab w:val="right" w:pos="9638"/>
        </w:tabs>
        <w:spacing w:after="120"/>
        <w:ind w:left="2410" w:hanging="425"/>
      </w:pPr>
      <w:r w:rsidRPr="00BD2C13">
        <w:t>Les tribunaux</w:t>
      </w:r>
      <w:r w:rsidR="00DC1EDB">
        <w:tab/>
      </w:r>
      <w:r w:rsidR="00DC1EDB">
        <w:tab/>
      </w:r>
      <w:r w:rsidR="00066A6F">
        <w:t>14</w:t>
      </w:r>
    </w:p>
    <w:p w14:paraId="02BE15DE" w14:textId="77777777" w:rsidR="00DC1EDB" w:rsidRDefault="00D06199" w:rsidP="00DC1EDB">
      <w:pPr>
        <w:tabs>
          <w:tab w:val="right" w:leader="dot" w:pos="8787"/>
          <w:tab w:val="right" w:pos="9638"/>
        </w:tabs>
        <w:spacing w:after="120"/>
        <w:ind w:left="2410" w:hanging="425"/>
      </w:pPr>
      <w:r w:rsidRPr="00BD2C13">
        <w:t>La magistrature</w:t>
      </w:r>
      <w:r w:rsidR="00DC1EDB">
        <w:tab/>
      </w:r>
      <w:r w:rsidR="00DC1EDB">
        <w:tab/>
      </w:r>
      <w:r w:rsidR="00066A6F">
        <w:t>15</w:t>
      </w:r>
    </w:p>
    <w:p w14:paraId="51599D05" w14:textId="77777777" w:rsidR="00DC1EDB" w:rsidRDefault="00D06199" w:rsidP="00DC1EDB">
      <w:pPr>
        <w:tabs>
          <w:tab w:val="right" w:leader="dot" w:pos="8787"/>
          <w:tab w:val="right" w:pos="9638"/>
        </w:tabs>
        <w:spacing w:after="120"/>
        <w:ind w:left="2410" w:hanging="425"/>
      </w:pPr>
      <w:r w:rsidRPr="00BD2C13">
        <w:t>Le Bureau du Directeur du ministère public</w:t>
      </w:r>
      <w:r w:rsidR="00DC1EDB">
        <w:tab/>
      </w:r>
      <w:r w:rsidR="00DC1EDB">
        <w:tab/>
      </w:r>
      <w:r w:rsidR="00066A6F">
        <w:t>16</w:t>
      </w:r>
    </w:p>
    <w:p w14:paraId="75E9AB92" w14:textId="77777777" w:rsidR="00DC1EDB" w:rsidRDefault="00D06199" w:rsidP="00DC1EDB">
      <w:pPr>
        <w:tabs>
          <w:tab w:val="right" w:leader="dot" w:pos="8787"/>
          <w:tab w:val="right" w:pos="9638"/>
        </w:tabs>
        <w:spacing w:after="120"/>
        <w:ind w:left="2410" w:hanging="425"/>
      </w:pPr>
      <w:r w:rsidRPr="00BD2C13">
        <w:t>Droit à l</w:t>
      </w:r>
      <w:r w:rsidR="00784444">
        <w:t>’</w:t>
      </w:r>
      <w:r w:rsidRPr="00BD2C13">
        <w:t>aide juridictionnelle</w:t>
      </w:r>
      <w:r w:rsidR="00DC1EDB">
        <w:tab/>
      </w:r>
      <w:r w:rsidR="00DC1EDB">
        <w:tab/>
      </w:r>
      <w:r w:rsidR="00066A6F">
        <w:t>17</w:t>
      </w:r>
    </w:p>
    <w:p w14:paraId="20680052" w14:textId="77777777" w:rsidR="00DC1EDB" w:rsidRPr="00BD2C13" w:rsidRDefault="00DC1EDB" w:rsidP="00DC1EDB">
      <w:pPr>
        <w:tabs>
          <w:tab w:val="right" w:pos="850"/>
          <w:tab w:val="right" w:leader="dot" w:pos="8787"/>
          <w:tab w:val="right" w:pos="9638"/>
        </w:tabs>
        <w:spacing w:after="120"/>
        <w:ind w:left="1134" w:hanging="1134"/>
      </w:pPr>
      <w:r>
        <w:tab/>
        <w:t>III.</w:t>
      </w:r>
      <w:r>
        <w:tab/>
      </w:r>
      <w:r w:rsidR="00D06199" w:rsidRPr="00BD2C13">
        <w:t>Cadre général de la promotion et de la protection des droits de l</w:t>
      </w:r>
      <w:r w:rsidR="00784444">
        <w:t>’</w:t>
      </w:r>
      <w:r w:rsidR="00D06199" w:rsidRPr="00BD2C13">
        <w:t>homme</w:t>
      </w:r>
      <w:r>
        <w:tab/>
      </w:r>
      <w:r>
        <w:tab/>
      </w:r>
      <w:r w:rsidR="00066A6F">
        <w:t>17</w:t>
      </w:r>
    </w:p>
    <w:p w14:paraId="50E0FC11" w14:textId="77777777" w:rsidR="00DC1EDB" w:rsidRPr="00BD2C13" w:rsidRDefault="00DC1EDB" w:rsidP="00DC1EDB">
      <w:pPr>
        <w:tabs>
          <w:tab w:val="right" w:leader="dot" w:pos="8787"/>
          <w:tab w:val="right" w:pos="9638"/>
        </w:tabs>
        <w:spacing w:after="120"/>
        <w:ind w:left="1559" w:hanging="425"/>
      </w:pPr>
      <w:r w:rsidRPr="00BD2C13">
        <w:t>A.</w:t>
      </w:r>
      <w:r w:rsidRPr="00BD2C13">
        <w:tab/>
      </w:r>
      <w:r w:rsidR="00D06199" w:rsidRPr="00BD2C13">
        <w:t>Acceptation des normes internationales relatives aux droits de l</w:t>
      </w:r>
      <w:r w:rsidR="00784444">
        <w:t>’</w:t>
      </w:r>
      <w:r w:rsidR="00D06199" w:rsidRPr="00BD2C13">
        <w:t>homme</w:t>
      </w:r>
      <w:r w:rsidRPr="00BD2C13">
        <w:tab/>
      </w:r>
      <w:r>
        <w:tab/>
      </w:r>
      <w:r w:rsidR="00066A6F">
        <w:t>17</w:t>
      </w:r>
    </w:p>
    <w:p w14:paraId="6232ED71" w14:textId="77777777" w:rsidR="00DC1EDB" w:rsidRPr="00BD2C13" w:rsidRDefault="00DC1EDB" w:rsidP="00DC1EDB">
      <w:pPr>
        <w:tabs>
          <w:tab w:val="right" w:leader="dot" w:pos="8787"/>
          <w:tab w:val="right" w:pos="9638"/>
        </w:tabs>
        <w:spacing w:after="120"/>
        <w:ind w:left="1559" w:hanging="425"/>
      </w:pPr>
      <w:r>
        <w:t>B</w:t>
      </w:r>
      <w:r w:rsidRPr="00BD2C13">
        <w:t>.</w:t>
      </w:r>
      <w:r w:rsidRPr="00BD2C13">
        <w:tab/>
      </w:r>
      <w:r w:rsidR="00D06199" w:rsidRPr="00BD2C13">
        <w:t>Cadre juridique de la protection des droits de l</w:t>
      </w:r>
      <w:r w:rsidR="00784444">
        <w:t>’</w:t>
      </w:r>
      <w:r w:rsidR="00D06199" w:rsidRPr="00BD2C13">
        <w:t>homme au niveau national</w:t>
      </w:r>
      <w:r w:rsidRPr="00BD2C13">
        <w:tab/>
      </w:r>
      <w:r>
        <w:tab/>
      </w:r>
      <w:r w:rsidR="00066A6F">
        <w:t>20</w:t>
      </w:r>
    </w:p>
    <w:p w14:paraId="56CBFD03" w14:textId="77777777" w:rsidR="00DC1EDB" w:rsidRDefault="00DC1EDB" w:rsidP="00DC1EDB">
      <w:pPr>
        <w:tabs>
          <w:tab w:val="right" w:leader="dot" w:pos="8787"/>
          <w:tab w:val="right" w:pos="9638"/>
        </w:tabs>
        <w:spacing w:after="120"/>
        <w:ind w:left="1984" w:hanging="425"/>
      </w:pPr>
      <w:r w:rsidRPr="00BD2C13">
        <w:t>1.</w:t>
      </w:r>
      <w:r w:rsidRPr="00BD2C13">
        <w:tab/>
      </w:r>
      <w:r w:rsidR="00D06199" w:rsidRPr="00BD2C13">
        <w:t xml:space="preserve">Protection constitutionnelle </w:t>
      </w:r>
      <w:r w:rsidR="00D06199">
        <w:t>−</w:t>
      </w:r>
      <w:r w:rsidR="00D06199" w:rsidRPr="00BD2C13">
        <w:t xml:space="preserve"> droits énoncés expressément</w:t>
      </w:r>
      <w:r w:rsidRPr="00BD2C13">
        <w:tab/>
      </w:r>
      <w:r>
        <w:tab/>
      </w:r>
      <w:r w:rsidR="00066A6F">
        <w:t>20</w:t>
      </w:r>
    </w:p>
    <w:p w14:paraId="6AB64AAF" w14:textId="77777777" w:rsidR="00DC1EDB" w:rsidRDefault="00DC1EDB" w:rsidP="00DC1EDB">
      <w:pPr>
        <w:tabs>
          <w:tab w:val="right" w:leader="dot" w:pos="8787"/>
          <w:tab w:val="right" w:pos="9638"/>
        </w:tabs>
        <w:spacing w:after="120"/>
        <w:ind w:left="1984" w:hanging="425"/>
      </w:pPr>
      <w:r>
        <w:t>2</w:t>
      </w:r>
      <w:r w:rsidRPr="00BD2C13">
        <w:t>.</w:t>
      </w:r>
      <w:r w:rsidRPr="00BD2C13">
        <w:tab/>
      </w:r>
      <w:r w:rsidR="00D06199" w:rsidRPr="00BD2C13">
        <w:t>Protection constitutionnelle − droits non expressément énoncés</w:t>
      </w:r>
      <w:r w:rsidRPr="00BD2C13">
        <w:tab/>
      </w:r>
      <w:r>
        <w:tab/>
      </w:r>
      <w:r w:rsidR="00066A6F">
        <w:t>20</w:t>
      </w:r>
    </w:p>
    <w:p w14:paraId="6E5BF94F" w14:textId="77777777" w:rsidR="00DC1EDB" w:rsidRDefault="00DC1EDB" w:rsidP="00DC1EDB">
      <w:pPr>
        <w:tabs>
          <w:tab w:val="right" w:leader="dot" w:pos="8787"/>
          <w:tab w:val="right" w:pos="9638"/>
        </w:tabs>
        <w:spacing w:after="120"/>
        <w:ind w:left="1984" w:hanging="425"/>
      </w:pPr>
      <w:r>
        <w:t>3</w:t>
      </w:r>
      <w:r w:rsidRPr="00BD2C13">
        <w:t>.</w:t>
      </w:r>
      <w:r w:rsidRPr="00BD2C13">
        <w:tab/>
      </w:r>
      <w:r w:rsidR="00D06199" w:rsidRPr="00BD2C13">
        <w:t>Constitution</w:t>
      </w:r>
      <w:r w:rsidR="00110426">
        <w:t>n</w:t>
      </w:r>
      <w:r w:rsidR="00D06199" w:rsidRPr="00BD2C13">
        <w:t>alité</w:t>
      </w:r>
      <w:r w:rsidRPr="00BD2C13">
        <w:tab/>
      </w:r>
      <w:r>
        <w:tab/>
      </w:r>
      <w:r w:rsidR="00066A6F">
        <w:t>21</w:t>
      </w:r>
    </w:p>
    <w:p w14:paraId="59782E74" w14:textId="77777777" w:rsidR="00DC1EDB" w:rsidRDefault="00DC1EDB" w:rsidP="00DC1EDB">
      <w:pPr>
        <w:tabs>
          <w:tab w:val="right" w:leader="dot" w:pos="8787"/>
          <w:tab w:val="right" w:pos="9638"/>
        </w:tabs>
        <w:spacing w:after="120"/>
        <w:ind w:left="1984" w:hanging="425"/>
      </w:pPr>
      <w:r>
        <w:t>4</w:t>
      </w:r>
      <w:r w:rsidRPr="00BD2C13">
        <w:t>.</w:t>
      </w:r>
      <w:r w:rsidRPr="00BD2C13">
        <w:tab/>
      </w:r>
      <w:r w:rsidR="00D06199" w:rsidRPr="00BD2C13">
        <w:t>Réforme constitutionnelle</w:t>
      </w:r>
      <w:r w:rsidRPr="00BD2C13">
        <w:tab/>
      </w:r>
      <w:r>
        <w:tab/>
      </w:r>
      <w:r w:rsidR="00066A6F">
        <w:t>21</w:t>
      </w:r>
    </w:p>
    <w:p w14:paraId="729B0190" w14:textId="77777777" w:rsidR="00DC1EDB" w:rsidRDefault="00DC1EDB" w:rsidP="00DC1EDB">
      <w:pPr>
        <w:tabs>
          <w:tab w:val="right" w:leader="dot" w:pos="8787"/>
          <w:tab w:val="right" w:pos="9638"/>
        </w:tabs>
        <w:spacing w:after="120"/>
        <w:ind w:left="1984" w:hanging="425"/>
      </w:pPr>
      <w:r>
        <w:t>5</w:t>
      </w:r>
      <w:r w:rsidRPr="00BD2C13">
        <w:t>.</w:t>
      </w:r>
      <w:r w:rsidRPr="00BD2C13">
        <w:tab/>
      </w:r>
      <w:r w:rsidR="00D06199" w:rsidRPr="00BD2C13">
        <w:t>Preuve</w:t>
      </w:r>
      <w:r w:rsidRPr="00BD2C13">
        <w:tab/>
      </w:r>
      <w:r>
        <w:tab/>
      </w:r>
      <w:r w:rsidR="00066A6F">
        <w:t>21</w:t>
      </w:r>
    </w:p>
    <w:p w14:paraId="3F97E0F5" w14:textId="77777777" w:rsidR="00DC1EDB" w:rsidRDefault="00DC1EDB" w:rsidP="00DC1EDB">
      <w:pPr>
        <w:tabs>
          <w:tab w:val="right" w:leader="dot" w:pos="8787"/>
          <w:tab w:val="right" w:pos="9638"/>
        </w:tabs>
        <w:spacing w:after="120"/>
        <w:ind w:left="1984" w:hanging="425"/>
      </w:pPr>
      <w:r>
        <w:t>6</w:t>
      </w:r>
      <w:r w:rsidRPr="00BD2C13">
        <w:t>.</w:t>
      </w:r>
      <w:r w:rsidRPr="00BD2C13">
        <w:tab/>
      </w:r>
      <w:r w:rsidR="00D06199" w:rsidRPr="00BD2C13">
        <w:t>Contrôle juridictionnel</w:t>
      </w:r>
      <w:r w:rsidRPr="00BD2C13">
        <w:tab/>
      </w:r>
      <w:r>
        <w:tab/>
      </w:r>
      <w:r w:rsidR="00066A6F">
        <w:t>21</w:t>
      </w:r>
    </w:p>
    <w:p w14:paraId="409DE35B" w14:textId="77777777" w:rsidR="00DC1EDB" w:rsidRDefault="00DC1EDB" w:rsidP="00DC1EDB">
      <w:pPr>
        <w:tabs>
          <w:tab w:val="right" w:leader="dot" w:pos="8787"/>
          <w:tab w:val="right" w:pos="9638"/>
        </w:tabs>
        <w:spacing w:after="120"/>
        <w:ind w:left="1984" w:hanging="425"/>
      </w:pPr>
      <w:r>
        <w:t>7.</w:t>
      </w:r>
      <w:r>
        <w:tab/>
      </w:r>
      <w:r w:rsidR="0053715B" w:rsidRPr="00BD2C13">
        <w:t>Législation, conventions et traités</w:t>
      </w:r>
      <w:r>
        <w:tab/>
      </w:r>
      <w:r>
        <w:tab/>
      </w:r>
      <w:r w:rsidR="00066A6F">
        <w:t>22</w:t>
      </w:r>
    </w:p>
    <w:p w14:paraId="0427F76C" w14:textId="77777777" w:rsidR="00DC1EDB" w:rsidRDefault="00DC1EDB" w:rsidP="00DC1EDB">
      <w:pPr>
        <w:tabs>
          <w:tab w:val="right" w:leader="dot" w:pos="8787"/>
          <w:tab w:val="right" w:pos="9638"/>
        </w:tabs>
        <w:spacing w:after="120"/>
        <w:ind w:left="1984" w:hanging="425"/>
      </w:pPr>
      <w:r>
        <w:t>8.</w:t>
      </w:r>
      <w:r>
        <w:tab/>
      </w:r>
      <w:r w:rsidR="0053715B" w:rsidRPr="00BD2C13">
        <w:t>Institutions et mécanismes nationaux</w:t>
      </w:r>
      <w:r>
        <w:tab/>
      </w:r>
      <w:r>
        <w:tab/>
      </w:r>
      <w:r w:rsidR="00066A6F">
        <w:t>22</w:t>
      </w:r>
    </w:p>
    <w:p w14:paraId="0C4BAA27" w14:textId="77777777" w:rsidR="00DC1EDB" w:rsidRDefault="0053715B" w:rsidP="00DC1EDB">
      <w:pPr>
        <w:tabs>
          <w:tab w:val="right" w:leader="dot" w:pos="8787"/>
          <w:tab w:val="right" w:pos="9638"/>
        </w:tabs>
        <w:spacing w:after="120"/>
        <w:ind w:left="2410" w:hanging="425"/>
      </w:pPr>
      <w:r w:rsidRPr="00BD2C13">
        <w:t>Commission irlandaise des droits de l</w:t>
      </w:r>
      <w:r w:rsidR="00784444">
        <w:t>’</w:t>
      </w:r>
      <w:r w:rsidRPr="00BD2C13">
        <w:t>homme et de l</w:t>
      </w:r>
      <w:r w:rsidR="00784444">
        <w:t>’</w:t>
      </w:r>
      <w:r w:rsidRPr="00BD2C13">
        <w:t>égalité</w:t>
      </w:r>
      <w:r w:rsidR="00DC1EDB">
        <w:tab/>
      </w:r>
      <w:r w:rsidR="00DC1EDB">
        <w:tab/>
      </w:r>
      <w:r w:rsidR="00066A6F">
        <w:t>22</w:t>
      </w:r>
    </w:p>
    <w:p w14:paraId="4DCB4B52" w14:textId="77777777" w:rsidR="00DC1EDB" w:rsidRDefault="0053715B" w:rsidP="00DC1EDB">
      <w:pPr>
        <w:tabs>
          <w:tab w:val="right" w:leader="dot" w:pos="8787"/>
          <w:tab w:val="right" w:pos="9638"/>
        </w:tabs>
        <w:spacing w:after="120"/>
        <w:ind w:left="2410" w:hanging="425"/>
      </w:pPr>
      <w:r w:rsidRPr="00BD2C13">
        <w:t>Commission des relations professionnelles</w:t>
      </w:r>
      <w:r w:rsidR="00DC1EDB">
        <w:tab/>
      </w:r>
      <w:r w:rsidR="00DC1EDB">
        <w:tab/>
      </w:r>
      <w:r w:rsidR="00066A6F">
        <w:t>23</w:t>
      </w:r>
    </w:p>
    <w:p w14:paraId="0B1568A0" w14:textId="77777777" w:rsidR="00C460DA" w:rsidRDefault="00C460DA" w:rsidP="00196CDC">
      <w:pPr>
        <w:tabs>
          <w:tab w:val="right" w:leader="dot" w:pos="8787"/>
          <w:tab w:val="right" w:pos="9638"/>
        </w:tabs>
        <w:spacing w:after="120"/>
        <w:ind w:left="1985"/>
      </w:pPr>
      <w:r w:rsidRPr="00BD2C13">
        <w:t>Direction des services de santé</w:t>
      </w:r>
      <w:r w:rsidR="00196CDC">
        <w:tab/>
      </w:r>
      <w:r w:rsidR="00196CDC">
        <w:tab/>
      </w:r>
      <w:r w:rsidR="00066A6F">
        <w:t>23</w:t>
      </w:r>
    </w:p>
    <w:p w14:paraId="4F5B81D0" w14:textId="77777777" w:rsidR="00106DE1" w:rsidRDefault="00106DE1" w:rsidP="00DC1EDB">
      <w:pPr>
        <w:tabs>
          <w:tab w:val="right" w:leader="dot" w:pos="8787"/>
          <w:tab w:val="right" w:pos="9638"/>
        </w:tabs>
        <w:spacing w:after="120"/>
        <w:ind w:left="2410" w:hanging="425"/>
      </w:pPr>
      <w:r w:rsidRPr="00BD2C13">
        <w:t>Agence pour l</w:t>
      </w:r>
      <w:r>
        <w:t>’</w:t>
      </w:r>
      <w:r w:rsidRPr="00BD2C13">
        <w:t>enfance et la famille</w:t>
      </w:r>
      <w:r>
        <w:tab/>
      </w:r>
      <w:r>
        <w:tab/>
      </w:r>
      <w:r w:rsidR="00066A6F">
        <w:t>2</w:t>
      </w:r>
      <w:r w:rsidR="00AA5114">
        <w:t>3</w:t>
      </w:r>
    </w:p>
    <w:p w14:paraId="048FF18A" w14:textId="77777777" w:rsidR="005420B9" w:rsidRDefault="005420B9" w:rsidP="005420B9">
      <w:pPr>
        <w:tabs>
          <w:tab w:val="right" w:leader="dot" w:pos="8787"/>
          <w:tab w:val="right" w:pos="9638"/>
        </w:tabs>
        <w:spacing w:after="120"/>
        <w:ind w:left="2410" w:hanging="425"/>
      </w:pPr>
      <w:r w:rsidRPr="00BD2C13">
        <w:t>Office de la santé et de la sécurité</w:t>
      </w:r>
      <w:r>
        <w:tab/>
      </w:r>
      <w:r>
        <w:tab/>
        <w:t>24</w:t>
      </w:r>
    </w:p>
    <w:p w14:paraId="213200F8" w14:textId="77777777" w:rsidR="00DC1EDB" w:rsidRDefault="00C460DA" w:rsidP="00DC1EDB">
      <w:pPr>
        <w:tabs>
          <w:tab w:val="right" w:leader="dot" w:pos="8787"/>
          <w:tab w:val="right" w:pos="9638"/>
        </w:tabs>
        <w:spacing w:after="120"/>
        <w:ind w:left="2410" w:hanging="425"/>
      </w:pPr>
      <w:r w:rsidRPr="00BD2C13">
        <w:t>Office national des personnes handicapées</w:t>
      </w:r>
      <w:r w:rsidR="00DC1EDB">
        <w:tab/>
      </w:r>
      <w:r w:rsidR="00DC1EDB">
        <w:tab/>
      </w:r>
      <w:r w:rsidR="00066A6F">
        <w:t>24</w:t>
      </w:r>
    </w:p>
    <w:p w14:paraId="165BE8A9" w14:textId="77777777" w:rsidR="00DC1EDB" w:rsidRDefault="00C460DA" w:rsidP="00DC1EDB">
      <w:pPr>
        <w:tabs>
          <w:tab w:val="right" w:leader="dot" w:pos="8787"/>
          <w:tab w:val="right" w:pos="9638"/>
        </w:tabs>
        <w:spacing w:after="120"/>
        <w:ind w:left="2410" w:hanging="425"/>
      </w:pPr>
      <w:r w:rsidRPr="00BD2C13">
        <w:t>Conseil de surveillance de la santé mentale (droit pénal)</w:t>
      </w:r>
      <w:r w:rsidR="00DC1EDB">
        <w:tab/>
      </w:r>
      <w:r w:rsidR="00DC1EDB">
        <w:tab/>
      </w:r>
      <w:r w:rsidR="00066A6F">
        <w:t>24</w:t>
      </w:r>
    </w:p>
    <w:p w14:paraId="5EF96892" w14:textId="77777777" w:rsidR="00DC1EDB" w:rsidRDefault="00C460DA" w:rsidP="00196CDC">
      <w:pPr>
        <w:tabs>
          <w:tab w:val="right" w:leader="dot" w:pos="8787"/>
          <w:tab w:val="right" w:pos="9638"/>
        </w:tabs>
        <w:spacing w:after="120"/>
        <w:ind w:left="1985"/>
      </w:pPr>
      <w:r w:rsidRPr="00BD2C13">
        <w:lastRenderedPageBreak/>
        <w:t>Médiateur, Commissaire à l</w:t>
      </w:r>
      <w:r w:rsidR="00784444">
        <w:t>’</w:t>
      </w:r>
      <w:r w:rsidRPr="00BD2C13">
        <w:t>information et Commissaire à l</w:t>
      </w:r>
      <w:r w:rsidR="00784444">
        <w:t>’</w:t>
      </w:r>
      <w:r w:rsidRPr="00BD2C13">
        <w:t>information</w:t>
      </w:r>
      <w:r w:rsidR="00196CDC">
        <w:br/>
      </w:r>
      <w:r w:rsidRPr="00BD2C13">
        <w:t>sur l</w:t>
      </w:r>
      <w:r w:rsidR="00784444">
        <w:t>’</w:t>
      </w:r>
      <w:r w:rsidRPr="00BD2C13">
        <w:t>environnement</w:t>
      </w:r>
      <w:r w:rsidR="00DC1EDB">
        <w:tab/>
      </w:r>
      <w:r w:rsidR="00DC1EDB">
        <w:tab/>
      </w:r>
      <w:r w:rsidR="00066A6F">
        <w:t>24</w:t>
      </w:r>
    </w:p>
    <w:p w14:paraId="212D8654" w14:textId="77777777" w:rsidR="00DC1EDB" w:rsidRDefault="00C460DA" w:rsidP="00DC1EDB">
      <w:pPr>
        <w:tabs>
          <w:tab w:val="right" w:leader="dot" w:pos="8787"/>
          <w:tab w:val="right" w:pos="9638"/>
        </w:tabs>
        <w:spacing w:after="120"/>
        <w:ind w:left="2410" w:hanging="425"/>
      </w:pPr>
      <w:r w:rsidRPr="00BD2C13">
        <w:t>Médiateur des forces de défense</w:t>
      </w:r>
      <w:r w:rsidR="00DC1EDB">
        <w:tab/>
      </w:r>
      <w:r w:rsidR="00DC1EDB">
        <w:tab/>
      </w:r>
      <w:r w:rsidR="00066A6F">
        <w:t>25</w:t>
      </w:r>
      <w:r w:rsidR="00DC1EDB">
        <w:tab/>
      </w:r>
    </w:p>
    <w:p w14:paraId="6A86FD75" w14:textId="77777777" w:rsidR="00DC1EDB" w:rsidRDefault="00C460DA" w:rsidP="00DC1EDB">
      <w:pPr>
        <w:tabs>
          <w:tab w:val="right" w:leader="dot" w:pos="8787"/>
          <w:tab w:val="right" w:pos="9638"/>
        </w:tabs>
        <w:spacing w:after="120"/>
        <w:ind w:left="2410" w:hanging="425"/>
      </w:pPr>
      <w:r w:rsidRPr="00BD2C13">
        <w:t xml:space="preserve">Commission du Médiateur de la Garda </w:t>
      </w:r>
      <w:proofErr w:type="spellStart"/>
      <w:r w:rsidRPr="00BD2C13">
        <w:t>Síochána</w:t>
      </w:r>
      <w:proofErr w:type="spellEnd"/>
      <w:r w:rsidR="00DC1EDB">
        <w:tab/>
      </w:r>
      <w:r w:rsidR="00DC1EDB">
        <w:tab/>
      </w:r>
      <w:r w:rsidR="00066A6F">
        <w:t>25</w:t>
      </w:r>
      <w:r w:rsidR="00DC1EDB">
        <w:tab/>
      </w:r>
    </w:p>
    <w:p w14:paraId="57B67381" w14:textId="77777777" w:rsidR="00DC1EDB" w:rsidRDefault="00C460DA" w:rsidP="00DC1EDB">
      <w:pPr>
        <w:tabs>
          <w:tab w:val="right" w:leader="dot" w:pos="8787"/>
          <w:tab w:val="right" w:pos="9638"/>
        </w:tabs>
        <w:spacing w:after="120"/>
        <w:ind w:left="2410" w:hanging="425"/>
      </w:pPr>
      <w:r w:rsidRPr="00BD2C13">
        <w:t>Médiateur des enfants</w:t>
      </w:r>
      <w:r w:rsidR="00DC1EDB">
        <w:tab/>
      </w:r>
      <w:r w:rsidR="00DC1EDB">
        <w:tab/>
      </w:r>
      <w:r w:rsidR="00066A6F">
        <w:t>25</w:t>
      </w:r>
      <w:r w:rsidR="00DC1EDB">
        <w:tab/>
      </w:r>
    </w:p>
    <w:p w14:paraId="0D79FB53" w14:textId="77777777" w:rsidR="00DC1EDB" w:rsidRDefault="00C460DA" w:rsidP="00DC1EDB">
      <w:pPr>
        <w:tabs>
          <w:tab w:val="right" w:leader="dot" w:pos="8787"/>
          <w:tab w:val="right" w:pos="9638"/>
        </w:tabs>
        <w:spacing w:after="120"/>
        <w:ind w:left="2410" w:hanging="425"/>
      </w:pPr>
      <w:r w:rsidRPr="00BD2C13">
        <w:t>Commissaire à la protection des données</w:t>
      </w:r>
      <w:r w:rsidR="00DC1EDB">
        <w:tab/>
      </w:r>
      <w:r w:rsidR="00DC1EDB">
        <w:tab/>
      </w:r>
      <w:r w:rsidR="00066A6F">
        <w:t>25</w:t>
      </w:r>
      <w:r w:rsidR="00DC1EDB">
        <w:tab/>
      </w:r>
    </w:p>
    <w:p w14:paraId="1BAB625E" w14:textId="77777777" w:rsidR="00DC1EDB" w:rsidRDefault="00C460DA" w:rsidP="00DC1EDB">
      <w:pPr>
        <w:tabs>
          <w:tab w:val="right" w:leader="dot" w:pos="8787"/>
          <w:tab w:val="right" w:pos="9638"/>
        </w:tabs>
        <w:spacing w:after="120"/>
        <w:ind w:left="2410" w:hanging="425"/>
      </w:pPr>
      <w:r w:rsidRPr="00BD2C13">
        <w:t>Médiateur de la presse et Conseil de la presse</w:t>
      </w:r>
      <w:r w:rsidR="00DC1EDB">
        <w:tab/>
      </w:r>
      <w:r w:rsidR="00DC1EDB">
        <w:tab/>
      </w:r>
      <w:r w:rsidR="00066A6F">
        <w:t>25</w:t>
      </w:r>
    </w:p>
    <w:p w14:paraId="18E96101" w14:textId="77777777" w:rsidR="00DC1EDB" w:rsidRDefault="00C460DA" w:rsidP="00196CDC">
      <w:pPr>
        <w:tabs>
          <w:tab w:val="right" w:leader="dot" w:pos="8787"/>
          <w:tab w:val="right" w:pos="9638"/>
        </w:tabs>
        <w:spacing w:after="120"/>
        <w:ind w:left="1985"/>
      </w:pPr>
      <w:r w:rsidRPr="00BD2C13">
        <w:t>Groupe de suivi de l</w:t>
      </w:r>
      <w:r w:rsidR="00784444">
        <w:t>’</w:t>
      </w:r>
      <w:r w:rsidRPr="00BD2C13">
        <w:t xml:space="preserve">exécution du </w:t>
      </w:r>
      <w:r w:rsidRPr="008D399C">
        <w:t>Plan d</w:t>
      </w:r>
      <w:r w:rsidR="00784444" w:rsidRPr="008D399C">
        <w:t>’</w:t>
      </w:r>
      <w:r w:rsidRPr="008D399C">
        <w:t>action</w:t>
      </w:r>
      <w:r w:rsidRPr="00BD2C13">
        <w:t xml:space="preserve"> </w:t>
      </w:r>
      <w:r w:rsidR="008D399C">
        <w:t xml:space="preserve">national </w:t>
      </w:r>
      <w:r w:rsidRPr="00BD2C13">
        <w:t>pour la mise en œuvre</w:t>
      </w:r>
      <w:r w:rsidRPr="00BD2C13">
        <w:br/>
        <w:t>de la résolution 1325 du Conseil de sécurité de l</w:t>
      </w:r>
      <w:r w:rsidR="00784444">
        <w:t>’</w:t>
      </w:r>
      <w:r w:rsidRPr="00BD2C13">
        <w:t>ONU</w:t>
      </w:r>
      <w:r w:rsidR="00DC1EDB">
        <w:tab/>
      </w:r>
      <w:r w:rsidR="00DC1EDB">
        <w:tab/>
      </w:r>
      <w:r w:rsidR="00066A6F">
        <w:t>26</w:t>
      </w:r>
      <w:r w:rsidR="00DC1EDB">
        <w:tab/>
      </w:r>
    </w:p>
    <w:p w14:paraId="4C3B2753" w14:textId="77777777" w:rsidR="00DC1EDB" w:rsidRDefault="00C460DA" w:rsidP="00DC1EDB">
      <w:pPr>
        <w:tabs>
          <w:tab w:val="right" w:leader="dot" w:pos="8787"/>
          <w:tab w:val="right" w:pos="9638"/>
        </w:tabs>
        <w:spacing w:after="120"/>
        <w:ind w:left="2410" w:hanging="425"/>
      </w:pPr>
      <w:r w:rsidRPr="00BD2C13">
        <w:t xml:space="preserve">An </w:t>
      </w:r>
      <w:proofErr w:type="spellStart"/>
      <w:r w:rsidRPr="00BD2C13">
        <w:t>Coimisinéir</w:t>
      </w:r>
      <w:proofErr w:type="spellEnd"/>
      <w:r w:rsidRPr="00BD2C13">
        <w:t xml:space="preserve"> </w:t>
      </w:r>
      <w:proofErr w:type="spellStart"/>
      <w:r w:rsidRPr="00BD2C13">
        <w:t>Teanga</w:t>
      </w:r>
      <w:proofErr w:type="spellEnd"/>
      <w:r w:rsidRPr="00BD2C13">
        <w:t xml:space="preserve"> (Commissaire aux langues officielles)</w:t>
      </w:r>
      <w:r w:rsidR="00DC1EDB">
        <w:tab/>
      </w:r>
      <w:r w:rsidR="00DC1EDB">
        <w:tab/>
      </w:r>
      <w:r w:rsidR="00066A6F">
        <w:t>26</w:t>
      </w:r>
    </w:p>
    <w:p w14:paraId="14606B54" w14:textId="77777777" w:rsidR="00DC1EDB" w:rsidRDefault="00C460DA" w:rsidP="00DC1EDB">
      <w:pPr>
        <w:tabs>
          <w:tab w:val="right" w:leader="dot" w:pos="8787"/>
          <w:tab w:val="right" w:pos="9638"/>
        </w:tabs>
        <w:spacing w:after="120"/>
        <w:ind w:left="2410" w:hanging="425"/>
      </w:pPr>
      <w:r w:rsidRPr="00BD2C13">
        <w:t>Inspecteur des prisons</w:t>
      </w:r>
      <w:r w:rsidR="00DC1EDB">
        <w:tab/>
      </w:r>
      <w:r w:rsidR="00DC1EDB">
        <w:tab/>
      </w:r>
      <w:r w:rsidR="00066A6F">
        <w:t>26</w:t>
      </w:r>
      <w:r w:rsidR="00DC1EDB">
        <w:tab/>
      </w:r>
    </w:p>
    <w:p w14:paraId="520236A1" w14:textId="77777777" w:rsidR="00DC1EDB" w:rsidRDefault="00C460DA" w:rsidP="00DC1EDB">
      <w:pPr>
        <w:tabs>
          <w:tab w:val="right" w:leader="dot" w:pos="8787"/>
          <w:tab w:val="right" w:pos="9638"/>
        </w:tabs>
        <w:spacing w:after="120"/>
        <w:ind w:left="2410" w:hanging="425"/>
      </w:pPr>
      <w:r w:rsidRPr="00BD2C13">
        <w:t>Office de l</w:t>
      </w:r>
      <w:r w:rsidR="00784444">
        <w:t>’</w:t>
      </w:r>
      <w:r w:rsidRPr="00BD2C13">
        <w:t>information sanitaire et de la qualité des services de santé</w:t>
      </w:r>
      <w:r w:rsidR="00DC1EDB">
        <w:tab/>
      </w:r>
      <w:r w:rsidR="00DC1EDB">
        <w:tab/>
      </w:r>
      <w:r w:rsidR="00066A6F">
        <w:t>26</w:t>
      </w:r>
      <w:r w:rsidR="00DC1EDB">
        <w:tab/>
      </w:r>
    </w:p>
    <w:p w14:paraId="39F69269" w14:textId="77777777" w:rsidR="00DC1EDB" w:rsidRDefault="00C460DA" w:rsidP="00DC1EDB">
      <w:pPr>
        <w:tabs>
          <w:tab w:val="right" w:leader="dot" w:pos="8787"/>
          <w:tab w:val="right" w:pos="9638"/>
        </w:tabs>
        <w:spacing w:after="120"/>
        <w:ind w:left="2410" w:hanging="425"/>
      </w:pPr>
      <w:r w:rsidRPr="00BD2C13">
        <w:t>Médiateur des services financiers</w:t>
      </w:r>
      <w:r w:rsidR="00DC1EDB">
        <w:tab/>
      </w:r>
      <w:r w:rsidR="00DC1EDB">
        <w:tab/>
      </w:r>
      <w:r w:rsidR="00066A6F">
        <w:t>26</w:t>
      </w:r>
      <w:r w:rsidR="00DC1EDB">
        <w:tab/>
      </w:r>
    </w:p>
    <w:p w14:paraId="435B8A68" w14:textId="77777777" w:rsidR="00DC1EDB" w:rsidRDefault="00C460DA" w:rsidP="00DC1EDB">
      <w:pPr>
        <w:tabs>
          <w:tab w:val="right" w:leader="dot" w:pos="8787"/>
          <w:tab w:val="right" w:pos="9638"/>
        </w:tabs>
        <w:spacing w:after="120"/>
        <w:ind w:left="2410" w:hanging="425"/>
      </w:pPr>
      <w:r w:rsidRPr="00BD2C13">
        <w:t>Commission de la santé mentale et Inspection des services de santé mentale</w:t>
      </w:r>
      <w:r w:rsidR="00DC1EDB">
        <w:tab/>
      </w:r>
      <w:r w:rsidR="00DC1EDB">
        <w:tab/>
      </w:r>
      <w:r w:rsidR="00066A6F">
        <w:t>26</w:t>
      </w:r>
      <w:r w:rsidR="00DC1EDB">
        <w:tab/>
      </w:r>
    </w:p>
    <w:p w14:paraId="29D97D77" w14:textId="77777777" w:rsidR="00DC1EDB" w:rsidRDefault="00C460DA" w:rsidP="00DC1EDB">
      <w:pPr>
        <w:tabs>
          <w:tab w:val="right" w:leader="dot" w:pos="8787"/>
          <w:tab w:val="right" w:pos="9638"/>
        </w:tabs>
        <w:spacing w:after="120"/>
        <w:ind w:left="2410" w:hanging="425"/>
      </w:pPr>
      <w:r w:rsidRPr="00BD2C13">
        <w:t>Commission d</w:t>
      </w:r>
      <w:r w:rsidR="00784444">
        <w:t>’</w:t>
      </w:r>
      <w:r w:rsidRPr="00BD2C13">
        <w:t>information des citoyens</w:t>
      </w:r>
      <w:r w:rsidR="00DC1EDB">
        <w:tab/>
      </w:r>
      <w:r w:rsidR="00DC1EDB">
        <w:tab/>
      </w:r>
      <w:r w:rsidR="00066A6F">
        <w:t>27</w:t>
      </w:r>
      <w:r w:rsidR="00DC1EDB">
        <w:tab/>
      </w:r>
    </w:p>
    <w:p w14:paraId="17AF153A" w14:textId="77777777" w:rsidR="00DC1EDB" w:rsidRDefault="00C460DA" w:rsidP="00196CDC">
      <w:pPr>
        <w:tabs>
          <w:tab w:val="right" w:leader="dot" w:pos="8787"/>
          <w:tab w:val="right" w:pos="9638"/>
        </w:tabs>
        <w:spacing w:after="120"/>
        <w:ind w:left="1985"/>
      </w:pPr>
      <w:r w:rsidRPr="00BD2C13">
        <w:t>Commission des locations de biens immobiliers à usage d</w:t>
      </w:r>
      <w:r w:rsidR="00784444">
        <w:t>’</w:t>
      </w:r>
      <w:r w:rsidRPr="00BD2C13">
        <w:t>habitation</w:t>
      </w:r>
      <w:r w:rsidRPr="00BD2C13">
        <w:br/>
        <w:t>et tribunal des baux et loyers</w:t>
      </w:r>
      <w:r w:rsidR="00DC1EDB">
        <w:tab/>
      </w:r>
      <w:r w:rsidR="00DC1EDB">
        <w:tab/>
      </w:r>
      <w:r w:rsidR="00066A6F">
        <w:t>27</w:t>
      </w:r>
      <w:r w:rsidR="00DC1EDB">
        <w:tab/>
      </w:r>
    </w:p>
    <w:p w14:paraId="32CE0120" w14:textId="77777777" w:rsidR="00DC1EDB" w:rsidRDefault="00C460DA" w:rsidP="00DC1EDB">
      <w:pPr>
        <w:tabs>
          <w:tab w:val="right" w:leader="dot" w:pos="8787"/>
          <w:tab w:val="right" w:pos="9638"/>
        </w:tabs>
        <w:spacing w:after="120"/>
        <w:ind w:left="2410" w:hanging="425"/>
      </w:pPr>
      <w:r w:rsidRPr="00BD2C13">
        <w:t>Autorité de réglementation des services juridiques</w:t>
      </w:r>
      <w:r w:rsidR="00DC1EDB">
        <w:tab/>
      </w:r>
      <w:r w:rsidR="00DC1EDB">
        <w:tab/>
      </w:r>
      <w:r w:rsidR="00066A6F">
        <w:t>28</w:t>
      </w:r>
      <w:r w:rsidR="00DC1EDB">
        <w:tab/>
      </w:r>
    </w:p>
    <w:p w14:paraId="240E052A" w14:textId="77777777" w:rsidR="00C460DA" w:rsidRDefault="00C460DA" w:rsidP="00DC1EDB">
      <w:pPr>
        <w:tabs>
          <w:tab w:val="right" w:leader="dot" w:pos="8787"/>
          <w:tab w:val="right" w:pos="9638"/>
        </w:tabs>
        <w:spacing w:after="120"/>
        <w:ind w:left="2410" w:hanging="425"/>
      </w:pPr>
      <w:r w:rsidRPr="00BD2C13">
        <w:t>Société civile</w:t>
      </w:r>
      <w:r>
        <w:tab/>
      </w:r>
      <w:r>
        <w:tab/>
      </w:r>
      <w:r w:rsidR="00066A6F">
        <w:t>28</w:t>
      </w:r>
    </w:p>
    <w:p w14:paraId="48E8DC3F" w14:textId="77777777" w:rsidR="00DC1EDB" w:rsidRPr="00BD2C13" w:rsidRDefault="00DC1EDB" w:rsidP="00DC1EDB">
      <w:pPr>
        <w:tabs>
          <w:tab w:val="right" w:leader="dot" w:pos="8787"/>
          <w:tab w:val="right" w:pos="9638"/>
        </w:tabs>
        <w:spacing w:after="120"/>
        <w:ind w:left="1559" w:hanging="425"/>
      </w:pPr>
      <w:r>
        <w:t>C</w:t>
      </w:r>
      <w:r w:rsidRPr="00BD2C13">
        <w:t>.</w:t>
      </w:r>
      <w:r w:rsidRPr="00BD2C13">
        <w:tab/>
      </w:r>
      <w:r w:rsidR="00C460DA" w:rsidRPr="00BD2C13">
        <w:t>Cadre de la promotion des droits de l</w:t>
      </w:r>
      <w:r w:rsidR="00784444">
        <w:t>’</w:t>
      </w:r>
      <w:r w:rsidR="00C460DA" w:rsidRPr="00BD2C13">
        <w:t>homme au niveau national</w:t>
      </w:r>
      <w:r w:rsidRPr="00BD2C13">
        <w:tab/>
      </w:r>
      <w:r>
        <w:tab/>
      </w:r>
      <w:r w:rsidR="00066A6F">
        <w:t>28</w:t>
      </w:r>
    </w:p>
    <w:p w14:paraId="28563B60" w14:textId="77777777" w:rsidR="00DC1EDB" w:rsidRDefault="00DC1EDB" w:rsidP="00DC1EDB">
      <w:pPr>
        <w:tabs>
          <w:tab w:val="right" w:leader="dot" w:pos="8787"/>
          <w:tab w:val="right" w:pos="9638"/>
        </w:tabs>
        <w:spacing w:after="120"/>
        <w:ind w:left="1984" w:hanging="425"/>
      </w:pPr>
      <w:r w:rsidRPr="00BD2C13">
        <w:t>1.</w:t>
      </w:r>
      <w:r w:rsidRPr="00BD2C13">
        <w:tab/>
      </w:r>
      <w:r w:rsidR="00C460DA" w:rsidRPr="00BD2C13">
        <w:t>Parlements et organes délibérants nationaux et régionaux</w:t>
      </w:r>
      <w:r w:rsidRPr="00BD2C13">
        <w:tab/>
      </w:r>
      <w:r>
        <w:tab/>
      </w:r>
      <w:r w:rsidR="00066A6F">
        <w:t>28</w:t>
      </w:r>
    </w:p>
    <w:p w14:paraId="0F30873A" w14:textId="77777777" w:rsidR="00DC1EDB" w:rsidRDefault="00DC1EDB" w:rsidP="00DC1EDB">
      <w:pPr>
        <w:tabs>
          <w:tab w:val="right" w:leader="dot" w:pos="8787"/>
          <w:tab w:val="right" w:pos="9638"/>
        </w:tabs>
        <w:spacing w:after="120"/>
        <w:ind w:left="1984" w:hanging="425"/>
      </w:pPr>
      <w:r>
        <w:t>2</w:t>
      </w:r>
      <w:r w:rsidRPr="00BD2C13">
        <w:t>.</w:t>
      </w:r>
      <w:r w:rsidRPr="00BD2C13">
        <w:tab/>
      </w:r>
      <w:r w:rsidR="00C460DA" w:rsidRPr="00BD2C13">
        <w:t>Diffusion des instruments relatifs aux droits de l</w:t>
      </w:r>
      <w:r w:rsidR="00784444">
        <w:t>’</w:t>
      </w:r>
      <w:r w:rsidR="00C460DA" w:rsidRPr="00BD2C13">
        <w:t>homme</w:t>
      </w:r>
      <w:r w:rsidRPr="00BD2C13">
        <w:tab/>
      </w:r>
      <w:r>
        <w:tab/>
      </w:r>
      <w:r w:rsidR="00066A6F">
        <w:t>29</w:t>
      </w:r>
    </w:p>
    <w:p w14:paraId="53C07C22" w14:textId="77777777" w:rsidR="00DC1EDB" w:rsidRDefault="00DC1EDB" w:rsidP="00DC1EDB">
      <w:pPr>
        <w:tabs>
          <w:tab w:val="right" w:leader="dot" w:pos="8787"/>
          <w:tab w:val="right" w:pos="9638"/>
        </w:tabs>
        <w:spacing w:after="120"/>
        <w:ind w:left="1984" w:hanging="425"/>
      </w:pPr>
      <w:r>
        <w:t>3</w:t>
      </w:r>
      <w:r w:rsidRPr="00BD2C13">
        <w:t>.</w:t>
      </w:r>
      <w:r w:rsidRPr="00BD2C13">
        <w:tab/>
      </w:r>
      <w:r w:rsidR="00C460DA" w:rsidRPr="00BD2C13">
        <w:t>Action de sensibilisation des agents publics aux droits de l</w:t>
      </w:r>
      <w:r w:rsidR="00784444">
        <w:t>’</w:t>
      </w:r>
      <w:r w:rsidR="00C460DA" w:rsidRPr="00BD2C13">
        <w:t>homme</w:t>
      </w:r>
      <w:r w:rsidRPr="00BD2C13">
        <w:tab/>
      </w:r>
      <w:r>
        <w:tab/>
      </w:r>
      <w:r w:rsidR="00066A6F">
        <w:t>29</w:t>
      </w:r>
    </w:p>
    <w:p w14:paraId="1A6709CF" w14:textId="77777777" w:rsidR="00DC1EDB" w:rsidRDefault="00DC1EDB" w:rsidP="00DC1EDB">
      <w:pPr>
        <w:tabs>
          <w:tab w:val="right" w:leader="dot" w:pos="8787"/>
          <w:tab w:val="right" w:pos="9638"/>
        </w:tabs>
        <w:spacing w:after="120"/>
        <w:ind w:left="1984" w:hanging="425"/>
      </w:pPr>
      <w:r>
        <w:t>4</w:t>
      </w:r>
      <w:r w:rsidRPr="00BD2C13">
        <w:t>.</w:t>
      </w:r>
      <w:r w:rsidRPr="00BD2C13">
        <w:tab/>
      </w:r>
      <w:r w:rsidR="00C460DA" w:rsidRPr="00BD2C13">
        <w:t>Actions de sensibilisation aux droits de l</w:t>
      </w:r>
      <w:r w:rsidR="00784444">
        <w:t>’</w:t>
      </w:r>
      <w:r w:rsidR="00C460DA" w:rsidRPr="00BD2C13">
        <w:t>homme au moyen de programmes éducatifs</w:t>
      </w:r>
      <w:r w:rsidR="00C460DA" w:rsidRPr="00BD2C13">
        <w:br/>
        <w:t>et par la diffusion d</w:t>
      </w:r>
      <w:r w:rsidR="00784444">
        <w:t>’</w:t>
      </w:r>
      <w:r w:rsidR="00C460DA" w:rsidRPr="00BD2C13">
        <w:t>informations avec le soutien des pouvoirs publics</w:t>
      </w:r>
      <w:r w:rsidRPr="00BD2C13">
        <w:tab/>
      </w:r>
      <w:r>
        <w:tab/>
      </w:r>
      <w:r w:rsidR="00066A6F">
        <w:t>30</w:t>
      </w:r>
    </w:p>
    <w:p w14:paraId="7DEFFB6C" w14:textId="77777777" w:rsidR="00DC1EDB" w:rsidRDefault="00C460DA" w:rsidP="00DC1EDB">
      <w:pPr>
        <w:tabs>
          <w:tab w:val="right" w:leader="dot" w:pos="8787"/>
          <w:tab w:val="right" w:pos="9638"/>
        </w:tabs>
        <w:spacing w:after="120"/>
        <w:ind w:left="2410" w:hanging="425"/>
      </w:pPr>
      <w:r w:rsidRPr="00BD2C13">
        <w:t>Niveau préscolaire</w:t>
      </w:r>
      <w:r w:rsidR="00DC1EDB">
        <w:tab/>
      </w:r>
      <w:r w:rsidR="00DC1EDB">
        <w:tab/>
      </w:r>
      <w:r w:rsidR="00066A6F">
        <w:t>30</w:t>
      </w:r>
    </w:p>
    <w:p w14:paraId="7A8D6B65" w14:textId="77777777" w:rsidR="00066A6F" w:rsidRDefault="00066A6F" w:rsidP="00DC1EDB">
      <w:pPr>
        <w:tabs>
          <w:tab w:val="right" w:leader="dot" w:pos="8787"/>
          <w:tab w:val="right" w:pos="9638"/>
        </w:tabs>
        <w:spacing w:after="120"/>
        <w:ind w:left="2410" w:hanging="425"/>
      </w:pPr>
      <w:r>
        <w:t>Niveau primaire</w:t>
      </w:r>
      <w:r>
        <w:tab/>
      </w:r>
      <w:r>
        <w:tab/>
        <w:t>31</w:t>
      </w:r>
    </w:p>
    <w:p w14:paraId="1E5E09FD" w14:textId="77777777" w:rsidR="00DC1EDB" w:rsidRDefault="00C460DA" w:rsidP="00DC1EDB">
      <w:pPr>
        <w:tabs>
          <w:tab w:val="right" w:leader="dot" w:pos="8787"/>
          <w:tab w:val="right" w:pos="9638"/>
        </w:tabs>
        <w:spacing w:after="120"/>
        <w:ind w:left="2410" w:hanging="425"/>
      </w:pPr>
      <w:r w:rsidRPr="00BD2C13">
        <w:t>Niveau secondaire</w:t>
      </w:r>
      <w:r w:rsidR="00DC1EDB">
        <w:tab/>
      </w:r>
      <w:r w:rsidR="00DC1EDB">
        <w:tab/>
      </w:r>
      <w:r w:rsidR="00066A6F">
        <w:t>31</w:t>
      </w:r>
    </w:p>
    <w:p w14:paraId="18B1F1F9" w14:textId="77777777" w:rsidR="00DC1EDB" w:rsidRDefault="00C460DA" w:rsidP="00DC1EDB">
      <w:pPr>
        <w:tabs>
          <w:tab w:val="right" w:leader="dot" w:pos="8787"/>
          <w:tab w:val="right" w:pos="9638"/>
        </w:tabs>
        <w:spacing w:after="120"/>
        <w:ind w:left="2410" w:hanging="425"/>
      </w:pPr>
      <w:r w:rsidRPr="00BD2C13">
        <w:t>Enseignement supérieur</w:t>
      </w:r>
      <w:r w:rsidR="00DC1EDB">
        <w:tab/>
      </w:r>
      <w:r w:rsidR="00DC1EDB">
        <w:tab/>
      </w:r>
      <w:r w:rsidR="00066A6F">
        <w:t>32</w:t>
      </w:r>
    </w:p>
    <w:p w14:paraId="7D9CA6BC" w14:textId="77777777" w:rsidR="00DC1EDB" w:rsidRDefault="00DC1EDB" w:rsidP="00DC1EDB">
      <w:pPr>
        <w:tabs>
          <w:tab w:val="right" w:leader="dot" w:pos="8787"/>
          <w:tab w:val="right" w:pos="9638"/>
        </w:tabs>
        <w:spacing w:after="120"/>
        <w:ind w:left="1984" w:hanging="425"/>
      </w:pPr>
      <w:r>
        <w:t>5</w:t>
      </w:r>
      <w:r w:rsidRPr="00BD2C13">
        <w:t>.</w:t>
      </w:r>
      <w:r w:rsidRPr="00BD2C13">
        <w:tab/>
      </w:r>
      <w:r w:rsidR="00C460DA" w:rsidRPr="00BD2C13">
        <w:t>Rôle de la société civile, dont les organisations non gouvernementales</w:t>
      </w:r>
      <w:r w:rsidRPr="00BD2C13">
        <w:tab/>
      </w:r>
      <w:r>
        <w:tab/>
      </w:r>
      <w:r w:rsidR="00066A6F">
        <w:t>34</w:t>
      </w:r>
    </w:p>
    <w:p w14:paraId="7DB56CDC" w14:textId="77777777" w:rsidR="00DC1EDB" w:rsidRDefault="00DC1EDB" w:rsidP="00DC1EDB">
      <w:pPr>
        <w:tabs>
          <w:tab w:val="right" w:leader="dot" w:pos="8787"/>
          <w:tab w:val="right" w:pos="9638"/>
        </w:tabs>
        <w:spacing w:after="120"/>
        <w:ind w:left="1984" w:hanging="425"/>
      </w:pPr>
      <w:r>
        <w:t>6</w:t>
      </w:r>
      <w:r w:rsidRPr="00BD2C13">
        <w:t>.</w:t>
      </w:r>
      <w:r w:rsidRPr="00BD2C13">
        <w:tab/>
      </w:r>
      <w:r w:rsidR="00C460DA" w:rsidRPr="00BD2C13">
        <w:t>Promotion des droits de l</w:t>
      </w:r>
      <w:r w:rsidR="00784444">
        <w:t>’</w:t>
      </w:r>
      <w:r w:rsidR="00C460DA" w:rsidRPr="00BD2C13">
        <w:t>homme à l</w:t>
      </w:r>
      <w:r w:rsidR="00784444">
        <w:t>’</w:t>
      </w:r>
      <w:r w:rsidR="00C460DA" w:rsidRPr="00BD2C13">
        <w:t xml:space="preserve">échelle internationale et dans le cadre </w:t>
      </w:r>
      <w:r w:rsidR="00C460DA" w:rsidRPr="00BD2C13">
        <w:br/>
        <w:t>de la coopération et de l</w:t>
      </w:r>
      <w:r w:rsidR="00784444">
        <w:t>’</w:t>
      </w:r>
      <w:r w:rsidR="00C460DA" w:rsidRPr="00BD2C13">
        <w:t>assistance dans le domaine du développement</w:t>
      </w:r>
      <w:r w:rsidRPr="00BD2C13">
        <w:tab/>
      </w:r>
      <w:r>
        <w:tab/>
      </w:r>
      <w:r w:rsidR="00066A6F">
        <w:t>34</w:t>
      </w:r>
    </w:p>
    <w:p w14:paraId="341E29C9" w14:textId="77777777" w:rsidR="00DC1EDB" w:rsidRPr="00BD2C13" w:rsidRDefault="00DC1EDB" w:rsidP="00DC1EDB">
      <w:pPr>
        <w:tabs>
          <w:tab w:val="right" w:leader="dot" w:pos="8787"/>
          <w:tab w:val="right" w:pos="9638"/>
        </w:tabs>
        <w:spacing w:after="120"/>
        <w:ind w:left="1559" w:hanging="425"/>
      </w:pPr>
      <w:r>
        <w:t>D</w:t>
      </w:r>
      <w:r w:rsidRPr="00BD2C13">
        <w:t>.</w:t>
      </w:r>
      <w:r w:rsidRPr="00BD2C13">
        <w:tab/>
      </w:r>
      <w:r w:rsidR="00C460DA" w:rsidRPr="00BD2C13">
        <w:t>Processus d</w:t>
      </w:r>
      <w:r w:rsidR="00784444">
        <w:t>’</w:t>
      </w:r>
      <w:r w:rsidR="00C460DA" w:rsidRPr="00BD2C13">
        <w:t>établissement des rapports</w:t>
      </w:r>
      <w:r w:rsidRPr="00BD2C13">
        <w:tab/>
      </w:r>
      <w:r>
        <w:tab/>
      </w:r>
      <w:r w:rsidR="00066A6F">
        <w:t>35</w:t>
      </w:r>
    </w:p>
    <w:p w14:paraId="0435D339" w14:textId="77777777" w:rsidR="00DC1EDB" w:rsidRPr="00BD2C13" w:rsidRDefault="00DC1EDB" w:rsidP="00DC1EDB">
      <w:pPr>
        <w:tabs>
          <w:tab w:val="right" w:leader="dot" w:pos="8787"/>
          <w:tab w:val="right" w:pos="9638"/>
        </w:tabs>
        <w:spacing w:after="120"/>
        <w:ind w:left="1559" w:hanging="425"/>
      </w:pPr>
      <w:r>
        <w:t>E</w:t>
      </w:r>
      <w:r w:rsidRPr="00BD2C13">
        <w:t>.</w:t>
      </w:r>
      <w:r w:rsidRPr="00BD2C13">
        <w:tab/>
      </w:r>
      <w:r w:rsidR="00C460DA" w:rsidRPr="00BD2C13">
        <w:t>Autres informations relatives aux droits de l</w:t>
      </w:r>
      <w:r w:rsidR="00784444">
        <w:t>’</w:t>
      </w:r>
      <w:r w:rsidR="00C460DA" w:rsidRPr="00BD2C13">
        <w:t>homme</w:t>
      </w:r>
      <w:r w:rsidRPr="00BD2C13">
        <w:tab/>
      </w:r>
      <w:r>
        <w:tab/>
      </w:r>
      <w:r w:rsidR="00066A6F">
        <w:t>35</w:t>
      </w:r>
    </w:p>
    <w:p w14:paraId="1FF4E4F6" w14:textId="77777777" w:rsidR="00DC1EDB" w:rsidRDefault="00DC1EDB" w:rsidP="00DC1EDB">
      <w:pPr>
        <w:tabs>
          <w:tab w:val="right" w:leader="dot" w:pos="8787"/>
          <w:tab w:val="right" w:pos="9638"/>
        </w:tabs>
        <w:spacing w:after="120"/>
        <w:ind w:left="1984" w:hanging="425"/>
      </w:pPr>
      <w:r w:rsidRPr="00BD2C13">
        <w:t>1.</w:t>
      </w:r>
      <w:r w:rsidRPr="00BD2C13">
        <w:tab/>
      </w:r>
      <w:r w:rsidR="00C460DA" w:rsidRPr="00BD2C13">
        <w:t>Informations concernant la non-discrimination et l</w:t>
      </w:r>
      <w:r w:rsidR="00784444">
        <w:t>’</w:t>
      </w:r>
      <w:r w:rsidR="00C460DA" w:rsidRPr="00BD2C13">
        <w:t>égalité et les recours utiles</w:t>
      </w:r>
      <w:r w:rsidRPr="00BD2C13">
        <w:tab/>
      </w:r>
      <w:r>
        <w:tab/>
      </w:r>
      <w:r w:rsidR="00066A6F">
        <w:t>36</w:t>
      </w:r>
    </w:p>
    <w:p w14:paraId="11006E23" w14:textId="77777777" w:rsidR="00DC1EDB" w:rsidRDefault="00C460DA" w:rsidP="00DC1EDB">
      <w:pPr>
        <w:tabs>
          <w:tab w:val="right" w:leader="dot" w:pos="8787"/>
          <w:tab w:val="right" w:pos="9638"/>
        </w:tabs>
        <w:spacing w:after="120"/>
        <w:ind w:left="2410" w:hanging="425"/>
      </w:pPr>
      <w:r w:rsidRPr="00BD2C13">
        <w:t>Non-discrimination et égalité</w:t>
      </w:r>
      <w:r w:rsidR="00DC1EDB">
        <w:tab/>
      </w:r>
      <w:r w:rsidR="00DC1EDB">
        <w:tab/>
      </w:r>
      <w:r w:rsidR="00066A6F">
        <w:t>36</w:t>
      </w:r>
    </w:p>
    <w:p w14:paraId="588DF41A" w14:textId="77777777" w:rsidR="00DC1EDB" w:rsidRDefault="00C460DA" w:rsidP="00DC1EDB">
      <w:pPr>
        <w:tabs>
          <w:tab w:val="right" w:leader="dot" w:pos="8787"/>
          <w:tab w:val="right" w:pos="9638"/>
        </w:tabs>
        <w:spacing w:after="120"/>
        <w:ind w:left="2410" w:hanging="425"/>
      </w:pPr>
      <w:r>
        <w:t>Législation</w:t>
      </w:r>
      <w:r w:rsidR="00DC1EDB">
        <w:tab/>
      </w:r>
      <w:r w:rsidR="00DC1EDB">
        <w:tab/>
      </w:r>
      <w:r w:rsidR="00066A6F">
        <w:t>36</w:t>
      </w:r>
    </w:p>
    <w:p w14:paraId="58DA7CE9" w14:textId="77777777" w:rsidR="00DC1EDB" w:rsidRDefault="00C460DA" w:rsidP="00DC1EDB">
      <w:pPr>
        <w:tabs>
          <w:tab w:val="right" w:leader="dot" w:pos="8787"/>
          <w:tab w:val="right" w:pos="9638"/>
        </w:tabs>
        <w:spacing w:after="120"/>
        <w:ind w:left="2410" w:hanging="425"/>
      </w:pPr>
      <w:r w:rsidRPr="00BD2C13">
        <w:t>Intégration de l</w:t>
      </w:r>
      <w:r w:rsidR="00784444">
        <w:t>’</w:t>
      </w:r>
      <w:r w:rsidRPr="00BD2C13">
        <w:t>égalité</w:t>
      </w:r>
      <w:r w:rsidR="00DC1EDB">
        <w:tab/>
      </w:r>
      <w:r w:rsidR="00DC1EDB">
        <w:tab/>
      </w:r>
      <w:r w:rsidR="00066A6F">
        <w:t>38</w:t>
      </w:r>
      <w:r w:rsidR="00DC1EDB">
        <w:tab/>
      </w:r>
    </w:p>
    <w:p w14:paraId="50F6CCF6" w14:textId="77777777" w:rsidR="00DC1EDB" w:rsidRDefault="00C460DA" w:rsidP="00DC1EDB">
      <w:pPr>
        <w:tabs>
          <w:tab w:val="right" w:leader="dot" w:pos="8787"/>
          <w:tab w:val="right" w:pos="9638"/>
        </w:tabs>
        <w:spacing w:after="120"/>
        <w:ind w:left="2410" w:hanging="425"/>
      </w:pPr>
      <w:r w:rsidRPr="00BD2C13">
        <w:t>Stratégie nationale en faveur des femmes et des filles</w:t>
      </w:r>
      <w:r w:rsidR="00DC1EDB">
        <w:tab/>
      </w:r>
      <w:r w:rsidR="00DC1EDB">
        <w:tab/>
      </w:r>
      <w:r w:rsidR="00066A6F">
        <w:t>39</w:t>
      </w:r>
      <w:r w:rsidR="00DC1EDB">
        <w:tab/>
      </w:r>
    </w:p>
    <w:p w14:paraId="2721DCCD" w14:textId="77777777" w:rsidR="00DC1EDB" w:rsidRDefault="00C460DA" w:rsidP="00DC1EDB">
      <w:pPr>
        <w:tabs>
          <w:tab w:val="right" w:leader="dot" w:pos="8787"/>
          <w:tab w:val="right" w:pos="9638"/>
        </w:tabs>
        <w:spacing w:after="120"/>
        <w:ind w:left="2410" w:hanging="425"/>
      </w:pPr>
      <w:r w:rsidRPr="00BD2C13">
        <w:t>Action positive sur le marché du travail et dans les collectivités</w:t>
      </w:r>
      <w:r w:rsidR="00DC1EDB">
        <w:tab/>
      </w:r>
      <w:r w:rsidR="00DC1EDB">
        <w:tab/>
      </w:r>
      <w:r w:rsidR="00066A6F">
        <w:t>40</w:t>
      </w:r>
      <w:r w:rsidR="00DC1EDB">
        <w:tab/>
      </w:r>
    </w:p>
    <w:p w14:paraId="5920595F" w14:textId="77777777" w:rsidR="00DC1EDB" w:rsidRDefault="00C460DA" w:rsidP="00DC1EDB">
      <w:pPr>
        <w:tabs>
          <w:tab w:val="right" w:leader="dot" w:pos="8787"/>
          <w:tab w:val="right" w:pos="9638"/>
        </w:tabs>
        <w:spacing w:after="120"/>
        <w:ind w:left="2410" w:hanging="425"/>
      </w:pPr>
      <w:r w:rsidRPr="00BD2C13">
        <w:t>Prévention de la violence intrafamiliale, sexuelle et fondée sur le genre</w:t>
      </w:r>
      <w:r w:rsidR="00DC1EDB">
        <w:tab/>
      </w:r>
      <w:r w:rsidR="00DC1EDB">
        <w:tab/>
      </w:r>
      <w:r w:rsidR="00066A6F">
        <w:t>40</w:t>
      </w:r>
    </w:p>
    <w:p w14:paraId="4911747E" w14:textId="77777777" w:rsidR="00DC1EDB" w:rsidRDefault="00C460DA" w:rsidP="00DC1EDB">
      <w:pPr>
        <w:tabs>
          <w:tab w:val="right" w:leader="dot" w:pos="8787"/>
          <w:tab w:val="right" w:pos="9638"/>
        </w:tabs>
        <w:spacing w:after="120"/>
        <w:ind w:left="2410" w:hanging="425"/>
      </w:pPr>
      <w:r w:rsidRPr="00BD2C13">
        <w:lastRenderedPageBreak/>
        <w:t>Soutien apporté au Conseil national des femmes d</w:t>
      </w:r>
      <w:r w:rsidR="00784444">
        <w:t>’</w:t>
      </w:r>
      <w:r w:rsidRPr="00BD2C13">
        <w:t>Irlande</w:t>
      </w:r>
      <w:r w:rsidR="00DC1EDB">
        <w:tab/>
      </w:r>
      <w:r w:rsidR="00DC1EDB">
        <w:tab/>
      </w:r>
      <w:r w:rsidR="00066A6F">
        <w:t>40</w:t>
      </w:r>
    </w:p>
    <w:p w14:paraId="3DAEDD97" w14:textId="77777777" w:rsidR="00DC1EDB" w:rsidRDefault="00C460DA" w:rsidP="00DC1EDB">
      <w:pPr>
        <w:tabs>
          <w:tab w:val="right" w:leader="dot" w:pos="8787"/>
          <w:tab w:val="right" w:pos="9638"/>
        </w:tabs>
        <w:spacing w:after="120"/>
        <w:ind w:left="2410" w:hanging="425"/>
      </w:pPr>
      <w:r w:rsidRPr="00BD2C13">
        <w:t>Représentation des femmes dans les organes publics</w:t>
      </w:r>
      <w:r w:rsidR="00DC1EDB">
        <w:tab/>
      </w:r>
      <w:r w:rsidR="00DC1EDB">
        <w:tab/>
      </w:r>
      <w:r w:rsidR="00066A6F">
        <w:t>41</w:t>
      </w:r>
      <w:r w:rsidR="00DC1EDB">
        <w:tab/>
      </w:r>
    </w:p>
    <w:p w14:paraId="7877BF32" w14:textId="77777777" w:rsidR="00DC1EDB" w:rsidRDefault="00DC1EDB" w:rsidP="00DC1EDB">
      <w:pPr>
        <w:tabs>
          <w:tab w:val="right" w:leader="dot" w:pos="8787"/>
          <w:tab w:val="right" w:pos="9638"/>
        </w:tabs>
        <w:spacing w:after="120"/>
        <w:ind w:left="1984" w:hanging="425"/>
      </w:pPr>
      <w:r>
        <w:t>2</w:t>
      </w:r>
      <w:r w:rsidRPr="00BD2C13">
        <w:t>.</w:t>
      </w:r>
      <w:r w:rsidRPr="00BD2C13">
        <w:tab/>
      </w:r>
      <w:r w:rsidR="00C460DA" w:rsidRPr="00BD2C13">
        <w:t>Promotion de l</w:t>
      </w:r>
      <w:r w:rsidR="00784444">
        <w:t>’</w:t>
      </w:r>
      <w:r w:rsidR="00C460DA" w:rsidRPr="00BD2C13">
        <w:t>intégration des migrants</w:t>
      </w:r>
      <w:r w:rsidRPr="00BD2C13">
        <w:tab/>
      </w:r>
      <w:r>
        <w:tab/>
      </w:r>
      <w:r w:rsidR="00066A6F">
        <w:t>41</w:t>
      </w:r>
    </w:p>
    <w:p w14:paraId="24EEDD19" w14:textId="77777777" w:rsidR="00DC1EDB" w:rsidRDefault="00C460DA" w:rsidP="00DC1EDB">
      <w:pPr>
        <w:tabs>
          <w:tab w:val="right" w:leader="dot" w:pos="8787"/>
          <w:tab w:val="right" w:pos="9638"/>
        </w:tabs>
        <w:spacing w:after="120"/>
        <w:ind w:left="2410" w:hanging="425"/>
      </w:pPr>
      <w:r w:rsidRPr="00BD2C13">
        <w:t>Offre d</w:t>
      </w:r>
      <w:r w:rsidR="00784444">
        <w:t>’</w:t>
      </w:r>
      <w:r w:rsidRPr="00BD2C13">
        <w:t>éducation pour les enfants migrants</w:t>
      </w:r>
      <w:r w:rsidR="00DC1EDB">
        <w:tab/>
      </w:r>
      <w:r w:rsidR="00DC1EDB">
        <w:tab/>
      </w:r>
      <w:r w:rsidR="00066A6F">
        <w:t>42</w:t>
      </w:r>
    </w:p>
    <w:p w14:paraId="7AA4CC57" w14:textId="77777777" w:rsidR="00DC1EDB" w:rsidRDefault="00C460DA" w:rsidP="00DC1EDB">
      <w:pPr>
        <w:tabs>
          <w:tab w:val="right" w:leader="dot" w:pos="8787"/>
          <w:tab w:val="right" w:pos="9638"/>
        </w:tabs>
        <w:spacing w:after="120"/>
        <w:ind w:left="2410" w:hanging="425"/>
      </w:pPr>
      <w:r w:rsidRPr="00BD2C13">
        <w:t>Stratégie interculturelle de santé</w:t>
      </w:r>
      <w:r w:rsidR="00DC1EDB">
        <w:tab/>
      </w:r>
      <w:r w:rsidR="00DC1EDB">
        <w:tab/>
      </w:r>
      <w:r w:rsidR="00066A6F">
        <w:t>43</w:t>
      </w:r>
      <w:r w:rsidR="00DC1EDB">
        <w:tab/>
      </w:r>
    </w:p>
    <w:p w14:paraId="1F4011A8" w14:textId="77777777" w:rsidR="00DC1EDB" w:rsidRDefault="00DC1EDB" w:rsidP="00DC1EDB">
      <w:pPr>
        <w:tabs>
          <w:tab w:val="right" w:leader="dot" w:pos="8787"/>
          <w:tab w:val="right" w:pos="9638"/>
        </w:tabs>
        <w:spacing w:after="120"/>
        <w:ind w:left="1984" w:hanging="425"/>
      </w:pPr>
      <w:r>
        <w:t>3</w:t>
      </w:r>
      <w:r w:rsidRPr="00BD2C13">
        <w:t>.</w:t>
      </w:r>
      <w:r w:rsidRPr="00BD2C13">
        <w:tab/>
      </w:r>
      <w:r w:rsidR="00C460DA" w:rsidRPr="00BD2C13">
        <w:t xml:space="preserve">Informations générales concernant la situation des droits </w:t>
      </w:r>
      <w:r w:rsidR="00C460DA" w:rsidRPr="00BD2C13">
        <w:rPr>
          <w:spacing w:val="2"/>
        </w:rPr>
        <w:t>fondamentaux</w:t>
      </w:r>
      <w:r w:rsidR="00C460DA" w:rsidRPr="00BD2C13">
        <w:t xml:space="preserve"> </w:t>
      </w:r>
      <w:r w:rsidR="00C460DA">
        <w:br/>
      </w:r>
      <w:r w:rsidR="00C460DA" w:rsidRPr="00BD2C13">
        <w:rPr>
          <w:spacing w:val="-2"/>
        </w:rPr>
        <w:t>des personnes appartenant à différents groupes vulnérables de la population</w:t>
      </w:r>
      <w:r w:rsidRPr="00BD2C13">
        <w:tab/>
      </w:r>
      <w:r>
        <w:tab/>
      </w:r>
      <w:r w:rsidR="00066A6F">
        <w:t>43</w:t>
      </w:r>
    </w:p>
    <w:p w14:paraId="77F20ACE" w14:textId="77777777" w:rsidR="00DC1EDB" w:rsidRDefault="00C460DA" w:rsidP="00DC1EDB">
      <w:pPr>
        <w:tabs>
          <w:tab w:val="right" w:leader="dot" w:pos="8787"/>
          <w:tab w:val="right" w:pos="9638"/>
        </w:tabs>
        <w:spacing w:after="120"/>
        <w:ind w:left="2410" w:hanging="425"/>
      </w:pPr>
      <w:r w:rsidRPr="00BD2C13">
        <w:t>Personnes handicapées</w:t>
      </w:r>
      <w:r w:rsidR="00DC1EDB">
        <w:tab/>
      </w:r>
      <w:r w:rsidR="00DC1EDB">
        <w:tab/>
      </w:r>
      <w:r w:rsidR="00066A6F">
        <w:t>43</w:t>
      </w:r>
      <w:r w:rsidR="00DC1EDB">
        <w:tab/>
      </w:r>
    </w:p>
    <w:p w14:paraId="1B958A8F" w14:textId="77777777" w:rsidR="00DC1EDB" w:rsidRDefault="00C460DA" w:rsidP="00DC1EDB">
      <w:pPr>
        <w:tabs>
          <w:tab w:val="right" w:leader="dot" w:pos="8787"/>
          <w:tab w:val="right" w:pos="9638"/>
        </w:tabs>
        <w:spacing w:after="120"/>
        <w:ind w:left="2410" w:hanging="425"/>
      </w:pPr>
      <w:r w:rsidRPr="00BD2C13">
        <w:t>Membres de la communauté des gens du voyage</w:t>
      </w:r>
      <w:r w:rsidR="00DC1EDB">
        <w:tab/>
      </w:r>
      <w:r w:rsidR="00DC1EDB">
        <w:tab/>
      </w:r>
      <w:r w:rsidR="00066A6F">
        <w:t>45</w:t>
      </w:r>
      <w:r w:rsidR="00DC1EDB">
        <w:tab/>
      </w:r>
    </w:p>
    <w:p w14:paraId="52F13E07" w14:textId="77777777" w:rsidR="00DC1EDB" w:rsidRDefault="00C460DA" w:rsidP="00DC1EDB">
      <w:pPr>
        <w:tabs>
          <w:tab w:val="right" w:leader="dot" w:pos="8787"/>
          <w:tab w:val="right" w:pos="9638"/>
        </w:tabs>
        <w:spacing w:after="120"/>
        <w:ind w:left="2410" w:hanging="425"/>
      </w:pPr>
      <w:r w:rsidRPr="00BD2C13">
        <w:t>Système de protection internationale</w:t>
      </w:r>
      <w:r w:rsidR="00DC1EDB">
        <w:tab/>
      </w:r>
      <w:r w:rsidR="00DC1EDB">
        <w:tab/>
      </w:r>
      <w:r w:rsidR="00066A6F">
        <w:t>48</w:t>
      </w:r>
      <w:r w:rsidR="00DC1EDB">
        <w:tab/>
      </w:r>
    </w:p>
    <w:p w14:paraId="0BE58796" w14:textId="77777777" w:rsidR="00060BC9" w:rsidRDefault="00060BC9" w:rsidP="00C460DA">
      <w:pPr>
        <w:tabs>
          <w:tab w:val="right" w:leader="dot" w:pos="8787"/>
          <w:tab w:val="right" w:pos="9638"/>
        </w:tabs>
        <w:spacing w:before="240" w:after="120"/>
        <w:ind w:left="1984" w:hanging="425"/>
      </w:pPr>
      <w:r>
        <w:t>Annexes</w:t>
      </w:r>
      <w:r w:rsidRPr="00BD2C13">
        <w:tab/>
      </w:r>
      <w:r>
        <w:tab/>
      </w:r>
      <w:r w:rsidR="00066A6F">
        <w:t>52</w:t>
      </w:r>
    </w:p>
    <w:p w14:paraId="7F8F2E53" w14:textId="77777777" w:rsidR="00FF3251" w:rsidRPr="00BD2C13" w:rsidRDefault="00FF3251" w:rsidP="00AE1C6F">
      <w:pPr>
        <w:pStyle w:val="HChG"/>
        <w:spacing w:before="0"/>
      </w:pPr>
      <w:r w:rsidRPr="00BD2C13">
        <w:br w:type="page"/>
      </w:r>
      <w:r w:rsidRPr="00BD2C13">
        <w:lastRenderedPageBreak/>
        <w:tab/>
      </w:r>
      <w:r w:rsidR="00DC1EDB">
        <w:t>I.</w:t>
      </w:r>
      <w:r w:rsidRPr="00BD2C13">
        <w:tab/>
        <w:t>Introduction</w:t>
      </w:r>
    </w:p>
    <w:p w14:paraId="32F12622" w14:textId="77777777" w:rsidR="00FF3251" w:rsidRPr="00BD2C13" w:rsidRDefault="00FF3251" w:rsidP="00FF3251">
      <w:pPr>
        <w:pStyle w:val="SingleTxtG"/>
      </w:pPr>
      <w:r w:rsidRPr="00BD2C13">
        <w:t>1.</w:t>
      </w:r>
      <w:r w:rsidRPr="00BD2C13">
        <w:tab/>
        <w:t>Le Gouvernement irlandais a le plaisir de soumettre le présent document de base qui fait partie intégrante de ses rapports au titre du Pacte international relatif aux droits civils et politiques, du Pacte international relatif aux droits économiques, sociaux et culturels, de la Convention relative aux droits de l</w:t>
      </w:r>
      <w:r w:rsidR="00784444">
        <w:t>’</w:t>
      </w:r>
      <w:r w:rsidRPr="00BD2C13">
        <w:t>enfant, de la Convention internationale sur l</w:t>
      </w:r>
      <w:r w:rsidR="00784444">
        <w:t>’</w:t>
      </w:r>
      <w:r w:rsidRPr="00BD2C13">
        <w:t>élimination de toutes les formes de discrimination raciale, de la Convention sur l</w:t>
      </w:r>
      <w:r w:rsidR="00784444">
        <w:t>’</w:t>
      </w:r>
      <w:r w:rsidRPr="00BD2C13">
        <w:t>élimination de toutes les formes de discrimination à l</w:t>
      </w:r>
      <w:r w:rsidR="00784444">
        <w:t>’</w:t>
      </w:r>
      <w:r w:rsidRPr="00BD2C13">
        <w:t>égard des femmes, de la Convention contre la torture et autres peines ou traitements cruels, inhumains ou dégradants et de la Convention relative aux droits des personnes handicapées.</w:t>
      </w:r>
    </w:p>
    <w:p w14:paraId="6850A31E" w14:textId="77777777" w:rsidR="00FF3251" w:rsidRPr="00BD2C13" w:rsidRDefault="00FF3251" w:rsidP="00FF3251">
      <w:pPr>
        <w:pStyle w:val="SingleTxtG"/>
      </w:pPr>
      <w:r w:rsidRPr="00BD2C13">
        <w:t>2.</w:t>
      </w:r>
      <w:r w:rsidRPr="00BD2C13">
        <w:tab/>
        <w:t>Lors de l</w:t>
      </w:r>
      <w:r w:rsidR="00784444">
        <w:t>’</w:t>
      </w:r>
      <w:r w:rsidRPr="00BD2C13">
        <w:t>élaboration du présent document, l</w:t>
      </w:r>
      <w:r w:rsidR="00784444">
        <w:t>’</w:t>
      </w:r>
      <w:r w:rsidRPr="00BD2C13">
        <w:t>Irlande a suivi les directives harmonisées publiées</w:t>
      </w:r>
      <w:r w:rsidR="008A2DF2">
        <w:t xml:space="preserve"> </w:t>
      </w:r>
      <w:r w:rsidRPr="00BD2C13">
        <w:t>par le Haut-Commissariat des Nations Unies aux droits de l</w:t>
      </w:r>
      <w:r w:rsidR="00784444">
        <w:t>’</w:t>
      </w:r>
      <w:r w:rsidRPr="00BD2C13">
        <w:t>homme, révisées en juin</w:t>
      </w:r>
      <w:r w:rsidR="008A2DF2">
        <w:t xml:space="preserve"> </w:t>
      </w:r>
      <w:r w:rsidRPr="00BD2C13">
        <w:t xml:space="preserve">2009 </w:t>
      </w:r>
      <w:r w:rsidRPr="00BD2C13" w:rsidDel="004C7EAD">
        <w:t>(HRI/GEN/2/Rev</w:t>
      </w:r>
      <w:r w:rsidR="008A2DF2">
        <w:t>.</w:t>
      </w:r>
      <w:r w:rsidRPr="00BD2C13" w:rsidDel="004C7EAD">
        <w:t xml:space="preserve">6). </w:t>
      </w:r>
      <w:r w:rsidRPr="00BD2C13">
        <w:t>L</w:t>
      </w:r>
      <w:r w:rsidR="00784444">
        <w:t>’</w:t>
      </w:r>
      <w:r w:rsidRPr="00BD2C13">
        <w:t xml:space="preserve">Irlande a soumis son dernier document de base en </w:t>
      </w:r>
      <w:r w:rsidRPr="00BD2C13" w:rsidDel="004C7EAD">
        <w:t xml:space="preserve">2014. </w:t>
      </w:r>
      <w:r w:rsidRPr="00BD2C13">
        <w:t>Les informations que contient le présent document étaient exactes au moment de son élaboration, qui s</w:t>
      </w:r>
      <w:r w:rsidR="00784444">
        <w:t>’</w:t>
      </w:r>
      <w:r w:rsidRPr="00BD2C13">
        <w:t>est échelonnée sur plusieurs mois en 2018 et 2019. Par conséquent,</w:t>
      </w:r>
      <w:r w:rsidR="001A0118">
        <w:t xml:space="preserve"> </w:t>
      </w:r>
      <w:r w:rsidRPr="00BD2C13">
        <w:t>les données présentées ici donnent un aperçu de la situation en Irlande et non un compte</w:t>
      </w:r>
      <w:r w:rsidR="00D06199">
        <w:t xml:space="preserve"> </w:t>
      </w:r>
      <w:r w:rsidRPr="00BD2C13">
        <w:t>rendu complet et parfaitement à jour.</w:t>
      </w:r>
    </w:p>
    <w:p w14:paraId="788E9BA6" w14:textId="77777777" w:rsidR="00FF3251" w:rsidRPr="00A17F3C" w:rsidRDefault="00FF3251" w:rsidP="00FF3251">
      <w:pPr>
        <w:pStyle w:val="SingleTxtG"/>
        <w:rPr>
          <w:spacing w:val="-1"/>
        </w:rPr>
      </w:pPr>
      <w:r w:rsidRPr="00A17F3C">
        <w:rPr>
          <w:spacing w:val="-1"/>
        </w:rPr>
        <w:t>3.</w:t>
      </w:r>
      <w:r w:rsidRPr="00A17F3C">
        <w:rPr>
          <w:spacing w:val="-1"/>
        </w:rPr>
        <w:tab/>
        <w:t>Le présent document a été établi par le Ministère des affaires étrangères et du commerce, qui est responsable de la coordination des rapports soumis par l</w:t>
      </w:r>
      <w:r w:rsidR="00784444">
        <w:rPr>
          <w:spacing w:val="-1"/>
        </w:rPr>
        <w:t>’</w:t>
      </w:r>
      <w:r w:rsidRPr="00A17F3C">
        <w:rPr>
          <w:spacing w:val="-1"/>
        </w:rPr>
        <w:t>Irlande au titre du Pacte international relatif aux droits civils et politiques et du Pacte international relatif aux droits économiques, sociaux et culturels. Le Ministère de la justice et de l</w:t>
      </w:r>
      <w:r w:rsidR="00784444">
        <w:rPr>
          <w:spacing w:val="-1"/>
        </w:rPr>
        <w:t>’</w:t>
      </w:r>
      <w:r w:rsidRPr="00A17F3C">
        <w:rPr>
          <w:spacing w:val="-1"/>
        </w:rPr>
        <w:t>égalité, chargé de l</w:t>
      </w:r>
      <w:r w:rsidR="00784444">
        <w:rPr>
          <w:spacing w:val="-1"/>
        </w:rPr>
        <w:t>’</w:t>
      </w:r>
      <w:r w:rsidRPr="00A17F3C">
        <w:rPr>
          <w:spacing w:val="-1"/>
        </w:rPr>
        <w:t>élaboration des rapports de l</w:t>
      </w:r>
      <w:r w:rsidR="00784444">
        <w:rPr>
          <w:spacing w:val="-1"/>
        </w:rPr>
        <w:t>’</w:t>
      </w:r>
      <w:r w:rsidRPr="00A17F3C">
        <w:rPr>
          <w:spacing w:val="-1"/>
        </w:rPr>
        <w:t>Irlande au titre de la Convention sur l</w:t>
      </w:r>
      <w:r w:rsidR="00784444">
        <w:rPr>
          <w:spacing w:val="-1"/>
        </w:rPr>
        <w:t>’</w:t>
      </w:r>
      <w:r w:rsidRPr="00A17F3C">
        <w:rPr>
          <w:spacing w:val="-1"/>
        </w:rPr>
        <w:t>élimination de toutes les formes de discrimination à l</w:t>
      </w:r>
      <w:r w:rsidR="00784444">
        <w:rPr>
          <w:spacing w:val="-1"/>
        </w:rPr>
        <w:t>’</w:t>
      </w:r>
      <w:r w:rsidRPr="00A17F3C">
        <w:rPr>
          <w:spacing w:val="-1"/>
        </w:rPr>
        <w:t>égard des femmes et de la Convention internationale sur l</w:t>
      </w:r>
      <w:r w:rsidR="00784444">
        <w:rPr>
          <w:spacing w:val="-1"/>
        </w:rPr>
        <w:t>’</w:t>
      </w:r>
      <w:r w:rsidRPr="00A17F3C">
        <w:rPr>
          <w:spacing w:val="-1"/>
        </w:rPr>
        <w:t>élimination de toutes les formes de discrimination raciale, et le Ministère de l</w:t>
      </w:r>
      <w:r w:rsidR="00784444">
        <w:rPr>
          <w:spacing w:val="-1"/>
        </w:rPr>
        <w:t>’</w:t>
      </w:r>
      <w:r w:rsidRPr="00A17F3C">
        <w:rPr>
          <w:spacing w:val="-1"/>
        </w:rPr>
        <w:t>enfance et de la jeunesse, responsable de l</w:t>
      </w:r>
      <w:r w:rsidR="00784444">
        <w:rPr>
          <w:spacing w:val="-1"/>
        </w:rPr>
        <w:t>’</w:t>
      </w:r>
      <w:r w:rsidRPr="00A17F3C">
        <w:rPr>
          <w:spacing w:val="-1"/>
        </w:rPr>
        <w:t>établissement des rapports au titre de la Convention relative aux droits de l</w:t>
      </w:r>
      <w:r w:rsidR="00784444">
        <w:rPr>
          <w:spacing w:val="-1"/>
        </w:rPr>
        <w:t>’</w:t>
      </w:r>
      <w:r w:rsidRPr="00A17F3C">
        <w:rPr>
          <w:spacing w:val="-1"/>
        </w:rPr>
        <w:t>enfant, y ont apporté leur contribution. Le Ministère de l</w:t>
      </w:r>
      <w:r w:rsidR="00784444">
        <w:rPr>
          <w:spacing w:val="-1"/>
        </w:rPr>
        <w:t>’</w:t>
      </w:r>
      <w:r w:rsidRPr="00A17F3C">
        <w:rPr>
          <w:spacing w:val="-1"/>
        </w:rPr>
        <w:t>éducation et de la formation, le Ministère des finances, le Ministère des dépenses publiques et des réformes, le Ministère de la défense, le Ministère du logement, de l</w:t>
      </w:r>
      <w:r w:rsidR="00784444">
        <w:rPr>
          <w:spacing w:val="-1"/>
        </w:rPr>
        <w:t>’</w:t>
      </w:r>
      <w:r w:rsidRPr="00A17F3C">
        <w:rPr>
          <w:spacing w:val="-1"/>
        </w:rPr>
        <w:t xml:space="preserve">aménagement du territoire et des collectivités locales, le Cabinet du </w:t>
      </w:r>
      <w:proofErr w:type="spellStart"/>
      <w:r w:rsidRPr="00A17F3C">
        <w:rPr>
          <w:spacing w:val="-1"/>
        </w:rPr>
        <w:t>Taoiseach</w:t>
      </w:r>
      <w:proofErr w:type="spellEnd"/>
      <w:r w:rsidRPr="00A17F3C">
        <w:rPr>
          <w:spacing w:val="-1"/>
        </w:rPr>
        <w:t xml:space="preserve"> (Premier Ministre), le Ministère de la culture, du patrimoine et du </w:t>
      </w:r>
      <w:proofErr w:type="spellStart"/>
      <w:r w:rsidRPr="00A17F3C">
        <w:rPr>
          <w:spacing w:val="-1"/>
        </w:rPr>
        <w:t>Gaeltacht</w:t>
      </w:r>
      <w:proofErr w:type="spellEnd"/>
      <w:r w:rsidRPr="00A17F3C">
        <w:rPr>
          <w:spacing w:val="-1"/>
        </w:rPr>
        <w:t>, le Ministère de l</w:t>
      </w:r>
      <w:r w:rsidR="00784444">
        <w:rPr>
          <w:spacing w:val="-1"/>
        </w:rPr>
        <w:t>’</w:t>
      </w:r>
      <w:r w:rsidRPr="00A17F3C">
        <w:rPr>
          <w:spacing w:val="-1"/>
        </w:rPr>
        <w:t>emploi et de la protection sociale, le Ministère des communications, de l</w:t>
      </w:r>
      <w:r w:rsidR="00784444">
        <w:rPr>
          <w:spacing w:val="-1"/>
        </w:rPr>
        <w:t>’</w:t>
      </w:r>
      <w:r w:rsidRPr="00A17F3C">
        <w:rPr>
          <w:spacing w:val="-1"/>
        </w:rPr>
        <w:t>action pour le climat et de l</w:t>
      </w:r>
      <w:r w:rsidR="00784444">
        <w:rPr>
          <w:spacing w:val="-1"/>
        </w:rPr>
        <w:t>’</w:t>
      </w:r>
      <w:r w:rsidRPr="00A17F3C">
        <w:rPr>
          <w:spacing w:val="-1"/>
        </w:rPr>
        <w:t>environnement, le Ministère</w:t>
      </w:r>
      <w:r w:rsidR="007A54A8" w:rsidRPr="00A17F3C">
        <w:rPr>
          <w:spacing w:val="-1"/>
        </w:rPr>
        <w:t xml:space="preserve"> </w:t>
      </w:r>
      <w:r w:rsidRPr="00A17F3C">
        <w:rPr>
          <w:spacing w:val="-1"/>
        </w:rPr>
        <w:t>des affaires rurales et du développement local, le Ministère de l</w:t>
      </w:r>
      <w:r w:rsidR="00784444">
        <w:rPr>
          <w:spacing w:val="-1"/>
        </w:rPr>
        <w:t>’</w:t>
      </w:r>
      <w:r w:rsidRPr="00A17F3C">
        <w:rPr>
          <w:spacing w:val="-1"/>
        </w:rPr>
        <w:t>économie, des entreprises et de l</w:t>
      </w:r>
      <w:r w:rsidR="00784444">
        <w:rPr>
          <w:spacing w:val="-1"/>
        </w:rPr>
        <w:t>’</w:t>
      </w:r>
      <w:r w:rsidRPr="00A17F3C">
        <w:rPr>
          <w:spacing w:val="-1"/>
        </w:rPr>
        <w:t>innovation, le Bureau de l</w:t>
      </w:r>
      <w:r w:rsidR="00784444">
        <w:rPr>
          <w:spacing w:val="-1"/>
        </w:rPr>
        <w:t>’</w:t>
      </w:r>
      <w:r w:rsidRPr="00A17F3C">
        <w:rPr>
          <w:iCs/>
          <w:spacing w:val="-1"/>
        </w:rPr>
        <w:t>Attorney</w:t>
      </w:r>
      <w:r w:rsidRPr="00A17F3C">
        <w:rPr>
          <w:spacing w:val="-1"/>
        </w:rPr>
        <w:t xml:space="preserve"> </w:t>
      </w:r>
      <w:proofErr w:type="spellStart"/>
      <w:r w:rsidRPr="00A17F3C">
        <w:rPr>
          <w:iCs/>
          <w:spacing w:val="-1"/>
        </w:rPr>
        <w:t>general</w:t>
      </w:r>
      <w:proofErr w:type="spellEnd"/>
      <w:r w:rsidRPr="00A17F3C">
        <w:rPr>
          <w:i/>
          <w:iCs/>
          <w:spacing w:val="-1"/>
        </w:rPr>
        <w:t xml:space="preserve"> </w:t>
      </w:r>
      <w:r w:rsidRPr="00A17F3C">
        <w:rPr>
          <w:spacing w:val="-1"/>
        </w:rPr>
        <w:t>et l</w:t>
      </w:r>
      <w:r w:rsidR="00784444">
        <w:rPr>
          <w:spacing w:val="-1"/>
        </w:rPr>
        <w:t>’</w:t>
      </w:r>
      <w:r w:rsidRPr="00A17F3C">
        <w:rPr>
          <w:spacing w:val="-1"/>
        </w:rPr>
        <w:t>Office central de statistique ont apporté d</w:t>
      </w:r>
      <w:r w:rsidR="00784444">
        <w:rPr>
          <w:spacing w:val="-1"/>
        </w:rPr>
        <w:t>’</w:t>
      </w:r>
      <w:r w:rsidRPr="00A17F3C">
        <w:rPr>
          <w:spacing w:val="-1"/>
        </w:rPr>
        <w:t>autres contributions et également prêté leur concours.</w:t>
      </w:r>
    </w:p>
    <w:p w14:paraId="11F622C6" w14:textId="77777777" w:rsidR="00FF3251" w:rsidRPr="00BD2C13" w:rsidRDefault="00FF3251" w:rsidP="00FF3251">
      <w:pPr>
        <w:pStyle w:val="SingleTxtG"/>
      </w:pPr>
      <w:r w:rsidRPr="00BD2C13">
        <w:t>4.</w:t>
      </w:r>
      <w:r w:rsidRPr="00BD2C13">
        <w:tab/>
        <w:t>Le Gouvernement irlandais reconnaît et apprécie le rôle important que jouent les organisations non gouvernementales (ONG) dans la promotion et la mise en œuvre des droits consacrés dans les instruments internationaux relatifs aux droits de l</w:t>
      </w:r>
      <w:r w:rsidR="00784444">
        <w:t>’</w:t>
      </w:r>
      <w:r w:rsidRPr="00BD2C13">
        <w:t>homme.</w:t>
      </w:r>
    </w:p>
    <w:p w14:paraId="2AA0B5F6" w14:textId="77777777" w:rsidR="00FF3251" w:rsidRPr="00BD2C13" w:rsidRDefault="00FF3251" w:rsidP="00FF3251">
      <w:pPr>
        <w:pStyle w:val="HChG"/>
      </w:pPr>
      <w:bookmarkStart w:id="0" w:name="_Toc378170246"/>
      <w:bookmarkStart w:id="1" w:name="_Toc17908519"/>
      <w:r w:rsidRPr="00BD2C13">
        <w:tab/>
        <w:t>II.</w:t>
      </w:r>
      <w:r w:rsidRPr="00BD2C13">
        <w:tab/>
        <w:t>Renseignements d</w:t>
      </w:r>
      <w:r w:rsidR="00784444">
        <w:t>’</w:t>
      </w:r>
      <w:r w:rsidRPr="00BD2C13">
        <w:t>ordre général</w:t>
      </w:r>
      <w:bookmarkEnd w:id="0"/>
      <w:bookmarkEnd w:id="1"/>
    </w:p>
    <w:p w14:paraId="72716266" w14:textId="77777777" w:rsidR="00FF3251" w:rsidRPr="00BD2C13" w:rsidRDefault="00FF3251" w:rsidP="00FF3251">
      <w:pPr>
        <w:pStyle w:val="H1G"/>
      </w:pPr>
      <w:r w:rsidRPr="00BD2C13">
        <w:tab/>
        <w:t>A.</w:t>
      </w:r>
      <w:r w:rsidRPr="00BD2C13">
        <w:tab/>
        <w:t>Caractéristiques démographiques, économiques, sociales et culturelles</w:t>
      </w:r>
    </w:p>
    <w:p w14:paraId="02D8E090" w14:textId="77777777" w:rsidR="00FF3251" w:rsidRPr="00BD2C13" w:rsidRDefault="00FF3251" w:rsidP="00FF3251">
      <w:pPr>
        <w:pStyle w:val="SingleTxtG"/>
      </w:pPr>
      <w:r w:rsidRPr="00BD2C13">
        <w:t>5.</w:t>
      </w:r>
      <w:r w:rsidRPr="00BD2C13">
        <w:tab/>
        <w:t>L</w:t>
      </w:r>
      <w:r w:rsidR="00784444">
        <w:t>’</w:t>
      </w:r>
      <w:r w:rsidRPr="00BD2C13">
        <w:t>Irlande est une île située au nord-ouest du continent européen dont la superficie totale est de 84 421 kilomètres carrés. En vertu de l</w:t>
      </w:r>
      <w:r w:rsidR="00784444">
        <w:t>’</w:t>
      </w:r>
      <w:r w:rsidRPr="00BD2C13">
        <w:t xml:space="preserve">article 3 de la </w:t>
      </w:r>
      <w:proofErr w:type="spellStart"/>
      <w:r w:rsidRPr="00BD2C13">
        <w:t>Bunreacht</w:t>
      </w:r>
      <w:proofErr w:type="spellEnd"/>
      <w:r w:rsidRPr="00BD2C13">
        <w:t xml:space="preserve"> na </w:t>
      </w:r>
      <w:proofErr w:type="spellStart"/>
      <w:r w:rsidRPr="00BD2C13">
        <w:t>hÉireann</w:t>
      </w:r>
      <w:proofErr w:type="spellEnd"/>
      <w:r w:rsidRPr="00BD2C13">
        <w:t xml:space="preserve"> (Constitution), les lois adoptées par l</w:t>
      </w:r>
      <w:r w:rsidR="00784444">
        <w:t>’</w:t>
      </w:r>
      <w:proofErr w:type="spellStart"/>
      <w:r w:rsidRPr="00BD2C13">
        <w:t>Oireachtas</w:t>
      </w:r>
      <w:proofErr w:type="spellEnd"/>
      <w:r w:rsidRPr="00BD2C13">
        <w:t xml:space="preserve"> (Parlement) s</w:t>
      </w:r>
      <w:r w:rsidR="00784444">
        <w:t>’</w:t>
      </w:r>
      <w:r w:rsidRPr="00BD2C13">
        <w:t>appliquent à 26 des 32 comtés qui composent l</w:t>
      </w:r>
      <w:r w:rsidR="00784444">
        <w:t>’</w:t>
      </w:r>
      <w:r w:rsidRPr="00BD2C13">
        <w:t>île d</w:t>
      </w:r>
      <w:r w:rsidR="00784444">
        <w:t>’</w:t>
      </w:r>
      <w:r w:rsidRPr="00BD2C13">
        <w:t>Irlande. Les six comtés du nord-est font partie du Royaume-Uni de Grande-Bretagne et d</w:t>
      </w:r>
      <w:r w:rsidR="00784444">
        <w:t>’</w:t>
      </w:r>
      <w:r w:rsidRPr="00BD2C13">
        <w:t>Irlande du Nord. L</w:t>
      </w:r>
      <w:r w:rsidR="00784444">
        <w:t>’</w:t>
      </w:r>
      <w:r w:rsidRPr="00BD2C13">
        <w:t>article 3 de la Constitution dispose en outre que l</w:t>
      </w:r>
      <w:r w:rsidR="00784444">
        <w:t>’</w:t>
      </w:r>
      <w:r w:rsidRPr="00BD2C13">
        <w:t>unité de l</w:t>
      </w:r>
      <w:r w:rsidR="00784444">
        <w:t>’</w:t>
      </w:r>
      <w:r w:rsidRPr="00BD2C13">
        <w:t>Irlande (32 comtés) ne verra le jour que par des moyens pacifiques, avec le consentement de la majorité du peuple, démocratiquement exprimé, dans les deux juridictions de l</w:t>
      </w:r>
      <w:r w:rsidR="00784444">
        <w:t>’</w:t>
      </w:r>
      <w:r w:rsidRPr="00BD2C13">
        <w:t>île. En vertu de l</w:t>
      </w:r>
      <w:r w:rsidR="00784444">
        <w:t>’</w:t>
      </w:r>
      <w:r w:rsidRPr="00BD2C13">
        <w:t>article 4 de la Constitution, le nom de l</w:t>
      </w:r>
      <w:r w:rsidR="00784444">
        <w:t>’</w:t>
      </w:r>
      <w:r w:rsidRPr="00BD2C13">
        <w:t>État est « Éire » ou, en langue anglaise, « Ireland ».</w:t>
      </w:r>
    </w:p>
    <w:p w14:paraId="552BB161" w14:textId="77777777" w:rsidR="00FF3251" w:rsidRPr="00BD2C13" w:rsidRDefault="00FF3251" w:rsidP="00FF3251">
      <w:pPr>
        <w:pStyle w:val="SingleTxtG"/>
      </w:pPr>
      <w:r w:rsidRPr="00BD2C13">
        <w:t>6.</w:t>
      </w:r>
      <w:r w:rsidRPr="00BD2C13">
        <w:tab/>
        <w:t>En 1921, après une guerre d</w:t>
      </w:r>
      <w:r w:rsidR="00784444">
        <w:t>’</w:t>
      </w:r>
      <w:r w:rsidRPr="00BD2C13">
        <w:t>indépendance, un traité a été signé avec le Royaume</w:t>
      </w:r>
      <w:r w:rsidRPr="00BD2C13">
        <w:noBreakHyphen/>
        <w:t>Uni : l</w:t>
      </w:r>
      <w:r w:rsidR="00784444">
        <w:t>’</w:t>
      </w:r>
      <w:r w:rsidRPr="00BD2C13">
        <w:t>État libre d</w:t>
      </w:r>
      <w:r w:rsidR="00784444">
        <w:t>’</w:t>
      </w:r>
      <w:r w:rsidRPr="00BD2C13">
        <w:t>Irlande (26 comtés) se séparait du Royaume-Uni de Grande</w:t>
      </w:r>
      <w:r w:rsidRPr="00BD2C13">
        <w:noBreakHyphen/>
        <w:t>Bretagne et d</w:t>
      </w:r>
      <w:r w:rsidR="00784444">
        <w:t>’</w:t>
      </w:r>
      <w:r w:rsidRPr="00BD2C13">
        <w:t>Irlande, tandis que l</w:t>
      </w:r>
      <w:r w:rsidR="00784444">
        <w:t>’</w:t>
      </w:r>
      <w:r w:rsidRPr="00BD2C13">
        <w:t>Irlande du Nord (6 comtés) continuait de faire partie du Royaume</w:t>
      </w:r>
      <w:r w:rsidRPr="00BD2C13">
        <w:noBreakHyphen/>
        <w:t>Uni. L</w:t>
      </w:r>
      <w:r w:rsidR="00784444">
        <w:t>’</w:t>
      </w:r>
      <w:r w:rsidRPr="00BD2C13">
        <w:t>adoption de la Constitution de l</w:t>
      </w:r>
      <w:r w:rsidR="00784444">
        <w:t>’</w:t>
      </w:r>
      <w:r w:rsidRPr="00BD2C13">
        <w:t xml:space="preserve">Irlande en 1937 et de la loi </w:t>
      </w:r>
      <w:r w:rsidRPr="00BD2C13">
        <w:lastRenderedPageBreak/>
        <w:t>relative à la République d</w:t>
      </w:r>
      <w:r w:rsidR="00784444">
        <w:t>’</w:t>
      </w:r>
      <w:r w:rsidRPr="00BD2C13">
        <w:t>Irlande en 1948 ont tranché les derniers liens symboliques qui existaient avec le Royaume-Uni. L</w:t>
      </w:r>
      <w:r w:rsidR="00784444">
        <w:t>’</w:t>
      </w:r>
      <w:r w:rsidRPr="00BD2C13">
        <w:t>Irlande ne fait partie d</w:t>
      </w:r>
      <w:r w:rsidR="00784444">
        <w:t>’</w:t>
      </w:r>
      <w:r w:rsidRPr="00BD2C13">
        <w:t>aucune alliance militaire. Elle est devenue Membre de l</w:t>
      </w:r>
      <w:r w:rsidR="00784444">
        <w:t>’</w:t>
      </w:r>
      <w:r w:rsidRPr="00BD2C13">
        <w:t>Organisation des Nations Unies en 1955 et a rejoint la Communauté européenne, désormais Union européenne (UE), en 1973.</w:t>
      </w:r>
    </w:p>
    <w:p w14:paraId="0840B182" w14:textId="77777777" w:rsidR="00FF3251" w:rsidRPr="00BD2C13" w:rsidRDefault="00F63F67" w:rsidP="00F63F67">
      <w:pPr>
        <w:pStyle w:val="H23G"/>
      </w:pPr>
      <w:r w:rsidRPr="00BD2C13">
        <w:tab/>
      </w:r>
      <w:r w:rsidR="00FF3251" w:rsidRPr="00BD2C13">
        <w:t>1.</w:t>
      </w:r>
      <w:r w:rsidR="00FF3251" w:rsidRPr="00BD2C13">
        <w:tab/>
        <w:t>Économie</w:t>
      </w:r>
    </w:p>
    <w:p w14:paraId="34E6757C" w14:textId="77777777" w:rsidR="00FF3251" w:rsidRPr="00BD2C13" w:rsidRDefault="00FF3251" w:rsidP="00FF3251">
      <w:pPr>
        <w:pStyle w:val="SingleTxtG"/>
        <w:rPr>
          <w:spacing w:val="-2"/>
        </w:rPr>
      </w:pPr>
      <w:bookmarkStart w:id="2" w:name="_Hlk31371350"/>
      <w:r w:rsidRPr="00BD2C13">
        <w:rPr>
          <w:spacing w:val="-2"/>
        </w:rPr>
        <w:t>7.</w:t>
      </w:r>
      <w:r w:rsidRPr="00BD2C13">
        <w:rPr>
          <w:spacing w:val="-2"/>
        </w:rPr>
        <w:tab/>
        <w:t>Le produit intérieur brut (PIB) irlandais a enregistré une croissance de 8,2</w:t>
      </w:r>
      <w:r w:rsidR="00F63F67" w:rsidRPr="00BD2C13">
        <w:rPr>
          <w:spacing w:val="-2"/>
        </w:rPr>
        <w:t> </w:t>
      </w:r>
      <w:r w:rsidRPr="00BD2C13">
        <w:rPr>
          <w:spacing w:val="-2"/>
        </w:rPr>
        <w:t>% en 2018 et le rythme de croissance de l</w:t>
      </w:r>
      <w:r w:rsidR="00784444">
        <w:rPr>
          <w:spacing w:val="-2"/>
        </w:rPr>
        <w:t>’</w:t>
      </w:r>
      <w:r w:rsidRPr="00BD2C13">
        <w:rPr>
          <w:spacing w:val="-2"/>
        </w:rPr>
        <w:t>économie irlandaise reste l</w:t>
      </w:r>
      <w:r w:rsidR="00784444">
        <w:rPr>
          <w:spacing w:val="-2"/>
        </w:rPr>
        <w:t>’</w:t>
      </w:r>
      <w:r w:rsidRPr="00BD2C13">
        <w:rPr>
          <w:spacing w:val="-2"/>
        </w:rPr>
        <w:t>un des plus rapides d</w:t>
      </w:r>
      <w:r w:rsidR="00784444">
        <w:rPr>
          <w:spacing w:val="-2"/>
        </w:rPr>
        <w:t>’</w:t>
      </w:r>
      <w:r w:rsidRPr="00BD2C13">
        <w:rPr>
          <w:spacing w:val="-2"/>
        </w:rPr>
        <w:t>Europe.</w:t>
      </w:r>
    </w:p>
    <w:p w14:paraId="0835E4CD" w14:textId="77777777" w:rsidR="00FF3251" w:rsidRPr="00BD2C13" w:rsidRDefault="00FF3251" w:rsidP="00FF3251">
      <w:pPr>
        <w:pStyle w:val="SingleTxtG"/>
      </w:pPr>
      <w:r w:rsidRPr="00BD2C13">
        <w:t>8.</w:t>
      </w:r>
      <w:r w:rsidRPr="00BD2C13">
        <w:tab/>
        <w:t>En 2018 et jusqu</w:t>
      </w:r>
      <w:r w:rsidR="00784444">
        <w:t>’</w:t>
      </w:r>
      <w:r w:rsidRPr="00BD2C13">
        <w:t>au premier trimestre de 2019, l</w:t>
      </w:r>
      <w:r w:rsidR="00784444">
        <w:t>’</w:t>
      </w:r>
      <w:r w:rsidRPr="00BD2C13">
        <w:t>emploi a enregistré une croissance de 3,7</w:t>
      </w:r>
      <w:r w:rsidR="00F63F67" w:rsidRPr="00BD2C13">
        <w:t> </w:t>
      </w:r>
      <w:r w:rsidRPr="00BD2C13">
        <w:t>% (81 200 créations d</w:t>
      </w:r>
      <w:r w:rsidR="00784444">
        <w:t>’</w:t>
      </w:r>
      <w:r w:rsidRPr="00BD2C13">
        <w:t>emploi</w:t>
      </w:r>
      <w:r w:rsidR="00A17F3C">
        <w:t>s</w:t>
      </w:r>
      <w:r w:rsidRPr="00BD2C13">
        <w:t>) et le nombre de personnes qui exercent aujourd</w:t>
      </w:r>
      <w:r w:rsidR="00784444">
        <w:t>’</w:t>
      </w:r>
      <w:r w:rsidRPr="00BD2C13">
        <w:t>hui une activité en Irlande (2,3</w:t>
      </w:r>
      <w:r w:rsidR="00F63F67" w:rsidRPr="00BD2C13">
        <w:t> </w:t>
      </w:r>
      <w:r w:rsidRPr="00BD2C13">
        <w:t>millions) n</w:t>
      </w:r>
      <w:r w:rsidR="00784444">
        <w:t>’</w:t>
      </w:r>
      <w:r w:rsidRPr="00BD2C13">
        <w:t>a jamais été aussi élevé.</w:t>
      </w:r>
    </w:p>
    <w:p w14:paraId="16973C48" w14:textId="77777777" w:rsidR="00FF3251" w:rsidRPr="00BD2C13" w:rsidRDefault="00FF3251" w:rsidP="00FF3251">
      <w:pPr>
        <w:pStyle w:val="SingleTxtG"/>
      </w:pPr>
      <w:r w:rsidRPr="00BD2C13">
        <w:t>9.</w:t>
      </w:r>
      <w:r w:rsidRPr="00BD2C13">
        <w:tab/>
        <w:t>Depuis la crise financière, les gains importants en matière d</w:t>
      </w:r>
      <w:r w:rsidR="00784444">
        <w:t>’</w:t>
      </w:r>
      <w:r w:rsidRPr="00BD2C13">
        <w:t>emploi ont contribué à réduire le chômage, qui est passé d</w:t>
      </w:r>
      <w:r w:rsidR="00784444">
        <w:t>’</w:t>
      </w:r>
      <w:r w:rsidRPr="00BD2C13">
        <w:t>un pic de 16</w:t>
      </w:r>
      <w:r w:rsidR="00F63F67" w:rsidRPr="00BD2C13">
        <w:t> </w:t>
      </w:r>
      <w:r w:rsidRPr="00BD2C13">
        <w:t>% au début de 2012 à 4,6</w:t>
      </w:r>
      <w:r w:rsidR="00F63F67" w:rsidRPr="00BD2C13">
        <w:t> </w:t>
      </w:r>
      <w:r w:rsidRPr="00BD2C13">
        <w:t>% en juillet 2019. En outre, la croissance de l</w:t>
      </w:r>
      <w:r w:rsidR="00784444">
        <w:t>’</w:t>
      </w:r>
      <w:r w:rsidRPr="00BD2C13">
        <w:t>emploi a été largement équilibrée entre les différents secteurs d</w:t>
      </w:r>
      <w:r w:rsidR="00784444">
        <w:t>’</w:t>
      </w:r>
      <w:r w:rsidRPr="00BD2C13">
        <w:t>activité. Le taux de chômage de longue durée continue également de baisser, et il est passé de 2,1</w:t>
      </w:r>
      <w:r w:rsidR="00F63F67" w:rsidRPr="00BD2C13">
        <w:t> </w:t>
      </w:r>
      <w:r w:rsidRPr="00BD2C13">
        <w:t>% à 1,7</w:t>
      </w:r>
      <w:r w:rsidR="00F63F67" w:rsidRPr="00BD2C13">
        <w:t> </w:t>
      </w:r>
      <w:r w:rsidRPr="00BD2C13">
        <w:t>% au cours de l</w:t>
      </w:r>
      <w:r w:rsidR="00784444">
        <w:t>’</w:t>
      </w:r>
      <w:r w:rsidRPr="00BD2C13">
        <w:t>année et jusqu</w:t>
      </w:r>
      <w:r w:rsidR="00784444">
        <w:t>’</w:t>
      </w:r>
      <w:r w:rsidRPr="00BD2C13">
        <w:t>au premier trimestre de 2019.</w:t>
      </w:r>
    </w:p>
    <w:p w14:paraId="42F04549" w14:textId="77777777" w:rsidR="00FF3251" w:rsidRPr="00BD2C13" w:rsidRDefault="00FF3251" w:rsidP="00FF3251">
      <w:pPr>
        <w:pStyle w:val="SingleTxtG"/>
      </w:pPr>
      <w:r w:rsidRPr="00BD2C13">
        <w:t>10.</w:t>
      </w:r>
      <w:r w:rsidRPr="00BD2C13">
        <w:tab/>
        <w:t>L</w:t>
      </w:r>
      <w:r w:rsidR="00784444">
        <w:t>’</w:t>
      </w:r>
      <w:r w:rsidRPr="00BD2C13">
        <w:t>inflation reste en deçà de l</w:t>
      </w:r>
      <w:r w:rsidR="00784444">
        <w:t>’</w:t>
      </w:r>
      <w:r w:rsidRPr="00BD2C13">
        <w:t>objectif que s</w:t>
      </w:r>
      <w:r w:rsidR="00784444">
        <w:t>’</w:t>
      </w:r>
      <w:r w:rsidRPr="00BD2C13">
        <w:t>est fixé la Banque centrale européenne, à savoir inférieure à mais proche de 2 % à moyen terme. L</w:t>
      </w:r>
      <w:r w:rsidR="00784444">
        <w:t>’</w:t>
      </w:r>
      <w:r w:rsidRPr="00BD2C13">
        <w:t>indice harmonisé des prix à la consommation (IHPC) a augmenté de 1,1</w:t>
      </w:r>
      <w:r w:rsidR="00F63F67" w:rsidRPr="00BD2C13">
        <w:t> </w:t>
      </w:r>
      <w:r w:rsidRPr="00BD2C13">
        <w:t>% en juin 2019 par rapport au même mois de 2018. Dans la zone euro, l</w:t>
      </w:r>
      <w:r w:rsidR="00784444">
        <w:t>’</w:t>
      </w:r>
      <w:r w:rsidRPr="00BD2C13">
        <w:t>inflation s</w:t>
      </w:r>
      <w:r w:rsidR="00784444">
        <w:t>’</w:t>
      </w:r>
      <w:r w:rsidRPr="00BD2C13">
        <w:t>établissait à 1,2</w:t>
      </w:r>
      <w:r w:rsidR="00F63F67" w:rsidRPr="00BD2C13">
        <w:t> </w:t>
      </w:r>
      <w:r w:rsidRPr="00BD2C13">
        <w:t>% en juin 2019.</w:t>
      </w:r>
      <w:r w:rsidR="007A54A8">
        <w:t xml:space="preserve"> </w:t>
      </w:r>
      <w:r w:rsidRPr="00BD2C13">
        <w:t>Conformément à ce qui est indiqué dans la mise à jour du programme de stabilité de 2019 publiée par le Ministère des finances, le Ministère prévoit actuellement une inflation IH</w:t>
      </w:r>
      <w:r w:rsidR="00C94F92">
        <w:t>PC</w:t>
      </w:r>
      <w:r w:rsidRPr="00BD2C13">
        <w:t xml:space="preserve"> de 0,9</w:t>
      </w:r>
      <w:r w:rsidR="00F63F67" w:rsidRPr="00BD2C13">
        <w:t> </w:t>
      </w:r>
      <w:r w:rsidRPr="00BD2C13">
        <w:t>% en 2019 et de 1,1 % en 2020.</w:t>
      </w:r>
    </w:p>
    <w:p w14:paraId="169EE507" w14:textId="77777777" w:rsidR="00FF3251" w:rsidRPr="00BD2C13" w:rsidRDefault="00FF3251" w:rsidP="00FF3251">
      <w:pPr>
        <w:pStyle w:val="SingleTxtG"/>
      </w:pPr>
      <w:r w:rsidRPr="00BD2C13">
        <w:t>11.</w:t>
      </w:r>
      <w:r w:rsidRPr="00BD2C13">
        <w:tab/>
        <w:t>Malgré une dynamique plus forte que prévu tout au long de 2018, les risques pesant sur l</w:t>
      </w:r>
      <w:r w:rsidR="00784444">
        <w:t>’</w:t>
      </w:r>
      <w:r w:rsidRPr="00BD2C13">
        <w:t>économie irlandaise se sont intensifiés en 2019. Au nombre de ces risques figurent en premier lieu les retombées potentielles d</w:t>
      </w:r>
      <w:r w:rsidR="00784444">
        <w:t>’</w:t>
      </w:r>
      <w:r w:rsidRPr="00BD2C13">
        <w:t>une issue plus défavorable du Brexit que celle anticipée. Les risques de déstabilisation du commerce mondial restent par ailleurs élevés, en raison de la possible escalade des mesures protectionnistes, qui pourrait provoquer une perturbation des chaînes d</w:t>
      </w:r>
      <w:r w:rsidR="00784444">
        <w:t>’</w:t>
      </w:r>
      <w:r w:rsidRPr="00BD2C13">
        <w:t>approvisionnement mondiales plus grave que ce qui est actuellement envisagé. En outre, les risques liés à la normalisation de la politique monétaire pourraient ne pas être aussi négligeables qu</w:t>
      </w:r>
      <w:r w:rsidR="00784444">
        <w:t>’</w:t>
      </w:r>
      <w:r w:rsidRPr="00BD2C13">
        <w:t>escompté, les changements dans d</w:t>
      </w:r>
      <w:r w:rsidR="00784444">
        <w:t>’</w:t>
      </w:r>
      <w:r w:rsidRPr="00BD2C13">
        <w:t>autres territoires qui se répercutent sur la compétitivité du régime fiscal irlandais applicable aux entreprises et l</w:t>
      </w:r>
      <w:r w:rsidR="00784444">
        <w:t>’</w:t>
      </w:r>
      <w:r w:rsidRPr="00BD2C13">
        <w:t>incertitude géopolitique croissante étant susceptibles de saper la croissance de l</w:t>
      </w:r>
      <w:r w:rsidR="00784444">
        <w:t>’</w:t>
      </w:r>
      <w:r w:rsidRPr="00BD2C13">
        <w:t>économie. Au niveau national, le principal risque tient au fait que l</w:t>
      </w:r>
      <w:r w:rsidR="00784444">
        <w:t>’</w:t>
      </w:r>
      <w:r w:rsidRPr="00BD2C13">
        <w:t>économie irlandaise va atteindre et dépasser son seuil de production durable dans les prochaines années, ce qui va donner lieu à l</w:t>
      </w:r>
      <w:r w:rsidR="00784444">
        <w:t>’</w:t>
      </w:r>
      <w:r w:rsidRPr="00BD2C13">
        <w:t>apparition d</w:t>
      </w:r>
      <w:r w:rsidR="00784444">
        <w:t>’</w:t>
      </w:r>
      <w:r w:rsidRPr="00BD2C13">
        <w:t>un écart de production positif. Cette évolution est cohérente avec une économie proche du plein emploi.</w:t>
      </w:r>
    </w:p>
    <w:bookmarkEnd w:id="2"/>
    <w:p w14:paraId="68C4F969" w14:textId="77777777" w:rsidR="00FF3251" w:rsidRPr="00BD2C13" w:rsidRDefault="00F63F67" w:rsidP="00F63F67">
      <w:pPr>
        <w:pStyle w:val="H23G"/>
      </w:pPr>
      <w:r w:rsidRPr="00BD2C13">
        <w:tab/>
      </w:r>
      <w:r w:rsidR="00FF3251" w:rsidRPr="00BD2C13">
        <w:t>2.</w:t>
      </w:r>
      <w:r w:rsidR="00FF3251" w:rsidRPr="00BD2C13">
        <w:tab/>
        <w:t>Évolutions démographiques</w:t>
      </w:r>
    </w:p>
    <w:p w14:paraId="67A11000" w14:textId="77777777" w:rsidR="00FF3251" w:rsidRPr="00BD2C13" w:rsidRDefault="00FF3251" w:rsidP="00FF3251">
      <w:pPr>
        <w:pStyle w:val="SingleTxtG"/>
      </w:pPr>
      <w:bookmarkStart w:id="3" w:name="_Hlk31371394"/>
      <w:r w:rsidRPr="00BD2C13">
        <w:t>12.</w:t>
      </w:r>
      <w:r w:rsidRPr="00BD2C13">
        <w:tab/>
        <w:t>Les résultats du recensement de 2016 montrent que la population présente en Irlande a augmenté de 173</w:t>
      </w:r>
      <w:r w:rsidR="00F63F67" w:rsidRPr="00BD2C13">
        <w:t> </w:t>
      </w:r>
      <w:r w:rsidRPr="00BD2C13">
        <w:t>613 personnes au cours des cinq années écoulées depuis avril 2011, pour s</w:t>
      </w:r>
      <w:r w:rsidR="00784444">
        <w:t>’</w:t>
      </w:r>
      <w:r w:rsidRPr="00BD2C13">
        <w:t>établir à 4</w:t>
      </w:r>
      <w:r w:rsidR="00F63F67" w:rsidRPr="00BD2C13">
        <w:t> </w:t>
      </w:r>
      <w:r w:rsidRPr="00BD2C13">
        <w:t>761</w:t>
      </w:r>
      <w:r w:rsidR="00F63F67" w:rsidRPr="00BD2C13">
        <w:t> </w:t>
      </w:r>
      <w:r w:rsidRPr="00BD2C13">
        <w:t>865 personnes en avril 2016. Cela représente une augmentation totale de 3,8 % sur cinq</w:t>
      </w:r>
      <w:r w:rsidR="00F63F67" w:rsidRPr="00BD2C13">
        <w:t> </w:t>
      </w:r>
      <w:r w:rsidRPr="00BD2C13">
        <w:t>ans, soit une moyenne annuelle de 0,8</w:t>
      </w:r>
      <w:r w:rsidR="00F63F67" w:rsidRPr="00BD2C13">
        <w:t> </w:t>
      </w:r>
      <w:r w:rsidRPr="00BD2C13">
        <w:t>%. Par comparaison, la moyenne annuelle au cours de la période intercensitaire précédente (2006-2011) était de 1,6</w:t>
      </w:r>
      <w:r w:rsidR="00F63F67" w:rsidRPr="00BD2C13">
        <w:t> </w:t>
      </w:r>
      <w:r w:rsidRPr="00BD2C13">
        <w:t>%.</w:t>
      </w:r>
    </w:p>
    <w:p w14:paraId="28EFCE8E" w14:textId="77777777" w:rsidR="00FF3251" w:rsidRPr="00BD2C13" w:rsidRDefault="00FF3251" w:rsidP="00FF3251">
      <w:pPr>
        <w:pStyle w:val="SingleTxtG"/>
      </w:pPr>
      <w:r w:rsidRPr="00BD2C13">
        <w:t>13.</w:t>
      </w:r>
      <w:r w:rsidRPr="00BD2C13">
        <w:tab/>
        <w:t>Le taux de fécondité en Irlande est passé de 1,86 en 2005 à 2,05 en 2010, avant de retomber à 1,92 en 2015. En 2015, plus d</w:t>
      </w:r>
      <w:r w:rsidR="00784444">
        <w:t>’</w:t>
      </w:r>
      <w:r w:rsidRPr="00BD2C13">
        <w:t>un tiers (36,5</w:t>
      </w:r>
      <w:r w:rsidR="00F63F67" w:rsidRPr="00BD2C13">
        <w:t> </w:t>
      </w:r>
      <w:r w:rsidRPr="00BD2C13">
        <w:t>%) de toutes les naissances ont eu lieu hors mariage.</w:t>
      </w:r>
    </w:p>
    <w:p w14:paraId="12D3EF69" w14:textId="77777777" w:rsidR="00FF3251" w:rsidRPr="00BD2C13" w:rsidRDefault="00FF3251" w:rsidP="00FF3251">
      <w:pPr>
        <w:pStyle w:val="SingleTxtG"/>
      </w:pPr>
      <w:r w:rsidRPr="00BD2C13">
        <w:t>14.</w:t>
      </w:r>
      <w:r w:rsidRPr="00BD2C13">
        <w:tab/>
        <w:t>Entre le recensement de 2011 et celui de 2016, le nombre d</w:t>
      </w:r>
      <w:r w:rsidR="00784444">
        <w:t>’</w:t>
      </w:r>
      <w:r w:rsidRPr="00BD2C13">
        <w:t>enfants de moins de 18</w:t>
      </w:r>
      <w:r w:rsidR="00F63F67" w:rsidRPr="00BD2C13">
        <w:t> </w:t>
      </w:r>
      <w:r w:rsidRPr="00BD2C13">
        <w:t>ans est passé de 1</w:t>
      </w:r>
      <w:r w:rsidR="00F63F67" w:rsidRPr="00BD2C13">
        <w:t> </w:t>
      </w:r>
      <w:r w:rsidRPr="00BD2C13">
        <w:t>148</w:t>
      </w:r>
      <w:r w:rsidR="00F63F67" w:rsidRPr="00BD2C13">
        <w:t> </w:t>
      </w:r>
      <w:r w:rsidRPr="00BD2C13">
        <w:t>687 à 1</w:t>
      </w:r>
      <w:r w:rsidR="00F63F67" w:rsidRPr="00BD2C13">
        <w:t> </w:t>
      </w:r>
      <w:r w:rsidRPr="00BD2C13">
        <w:t>190</w:t>
      </w:r>
      <w:r w:rsidR="00F63F67" w:rsidRPr="00BD2C13">
        <w:t> </w:t>
      </w:r>
      <w:r w:rsidRPr="00BD2C13">
        <w:t>502, soit une augmentation d</w:t>
      </w:r>
      <w:r w:rsidR="00784444">
        <w:t>’</w:t>
      </w:r>
      <w:r w:rsidRPr="00BD2C13">
        <w:t>environ 3,6</w:t>
      </w:r>
      <w:r w:rsidR="00F63F67" w:rsidRPr="00BD2C13">
        <w:t> </w:t>
      </w:r>
      <w:r w:rsidRPr="00BD2C13">
        <w:t>%. Bien que la proportion de la population irlandaise âgée de moins de 18</w:t>
      </w:r>
      <w:r w:rsidR="00F63F67" w:rsidRPr="00BD2C13">
        <w:t> </w:t>
      </w:r>
      <w:r w:rsidRPr="00BD2C13">
        <w:t>ans ait chuté de façon spectaculaire entre 1981 (36,2</w:t>
      </w:r>
      <w:r w:rsidR="00F63F67" w:rsidRPr="00BD2C13">
        <w:t> </w:t>
      </w:r>
      <w:r w:rsidRPr="00BD2C13">
        <w:t>%) et 2002 (25,9</w:t>
      </w:r>
      <w:r w:rsidR="00F63F67" w:rsidRPr="00BD2C13">
        <w:t> </w:t>
      </w:r>
      <w:r w:rsidRPr="00BD2C13">
        <w:t>%), elle est restée stable depuis lors, et en 2016, les enfants représentaient 25</w:t>
      </w:r>
      <w:r w:rsidR="00F63F67" w:rsidRPr="00BD2C13">
        <w:t> </w:t>
      </w:r>
      <w:r w:rsidRPr="00BD2C13">
        <w:t>% de la population totale. Le taux de dépendance des jeunes (soit la proportion de personnes âgées de 0 à 14</w:t>
      </w:r>
      <w:r w:rsidR="00F63F67" w:rsidRPr="00BD2C13">
        <w:t> </w:t>
      </w:r>
      <w:r w:rsidRPr="00BD2C13">
        <w:t>ans par rapport à la population totale en âge de travailler) était de 32,3</w:t>
      </w:r>
      <w:r w:rsidR="00F63F67" w:rsidRPr="00BD2C13">
        <w:t> </w:t>
      </w:r>
      <w:r w:rsidRPr="00BD2C13">
        <w:t>% en 2016, contre 31,9</w:t>
      </w:r>
      <w:r w:rsidR="00F63F67" w:rsidRPr="00BD2C13">
        <w:t> </w:t>
      </w:r>
      <w:r w:rsidRPr="00BD2C13">
        <w:t>% en 2011. En outre, la population irlandaise vieillit. Selon l</w:t>
      </w:r>
      <w:r w:rsidR="00784444">
        <w:t>’</w:t>
      </w:r>
      <w:r w:rsidRPr="00BD2C13">
        <w:t>Office central de statistique, la population âgée de 65</w:t>
      </w:r>
      <w:r w:rsidR="00F63F67" w:rsidRPr="00BD2C13">
        <w:t> </w:t>
      </w:r>
      <w:r w:rsidRPr="00BD2C13">
        <w:t xml:space="preserve">ans et plus a </w:t>
      </w:r>
      <w:r w:rsidRPr="00BD2C13">
        <w:lastRenderedPageBreak/>
        <w:t>augmenté de 102</w:t>
      </w:r>
      <w:r w:rsidR="00F63F67" w:rsidRPr="00BD2C13">
        <w:t> </w:t>
      </w:r>
      <w:r w:rsidRPr="00BD2C13">
        <w:t>174 personnes pour atteindre 637</w:t>
      </w:r>
      <w:r w:rsidR="00F63F67" w:rsidRPr="00BD2C13">
        <w:t> </w:t>
      </w:r>
      <w:r w:rsidRPr="00BD2C13">
        <w:t>567 personnes (19,1</w:t>
      </w:r>
      <w:r w:rsidR="00F63F67" w:rsidRPr="00BD2C13">
        <w:t> </w:t>
      </w:r>
      <w:r w:rsidRPr="00BD2C13">
        <w:t>%) lors du recensement de 2016. Les personnes âgées représentent aujourd</w:t>
      </w:r>
      <w:r w:rsidR="00784444">
        <w:t>’</w:t>
      </w:r>
      <w:r w:rsidRPr="00BD2C13">
        <w:t>hui 13,4</w:t>
      </w:r>
      <w:r w:rsidR="00F63F67" w:rsidRPr="00BD2C13">
        <w:t> </w:t>
      </w:r>
      <w:r w:rsidRPr="00BD2C13">
        <w:t>% de la population, contre 11,7 % en 2011. Leur taux de dépendance en 2016 était de 20,4</w:t>
      </w:r>
      <w:r w:rsidR="00F63F67" w:rsidRPr="00BD2C13">
        <w:t> </w:t>
      </w:r>
      <w:r w:rsidRPr="00BD2C13">
        <w:t>%, contre 17,4</w:t>
      </w:r>
      <w:r w:rsidR="00F63F67" w:rsidRPr="00BD2C13">
        <w:t> </w:t>
      </w:r>
      <w:r w:rsidRPr="00BD2C13">
        <w:t>% en 2011.</w:t>
      </w:r>
    </w:p>
    <w:p w14:paraId="6794501B" w14:textId="77777777" w:rsidR="00FF3251" w:rsidRPr="00BD2C13" w:rsidRDefault="00FF3251" w:rsidP="00FF3251">
      <w:pPr>
        <w:pStyle w:val="SingleTxtG"/>
      </w:pPr>
      <w:r w:rsidRPr="00BD2C13">
        <w:t>15.</w:t>
      </w:r>
      <w:r w:rsidRPr="00BD2C13">
        <w:tab/>
        <w:t>En 2016, 30</w:t>
      </w:r>
      <w:r w:rsidR="00F63F67" w:rsidRPr="00BD2C13">
        <w:t> </w:t>
      </w:r>
      <w:r w:rsidRPr="00BD2C13">
        <w:t>667 décès ont été recensés en Irlande, dont 15</w:t>
      </w:r>
      <w:r w:rsidR="00F63F67" w:rsidRPr="00BD2C13">
        <w:t> </w:t>
      </w:r>
      <w:r w:rsidRPr="00BD2C13">
        <w:t>620 hommes et 15</w:t>
      </w:r>
      <w:r w:rsidR="00F63F67" w:rsidRPr="00BD2C13">
        <w:t> </w:t>
      </w:r>
      <w:r w:rsidRPr="00BD2C13">
        <w:t>047</w:t>
      </w:r>
      <w:r w:rsidR="00F63F67" w:rsidRPr="00BD2C13">
        <w:t> </w:t>
      </w:r>
      <w:r w:rsidRPr="00BD2C13">
        <w:t>femmes. Cela équivaut à un taux de mortalité</w:t>
      </w:r>
      <w:r w:rsidR="008A53EA">
        <w:t xml:space="preserve"> de </w:t>
      </w:r>
      <w:r w:rsidRPr="00BD2C13">
        <w:t>6,5 pour 1</w:t>
      </w:r>
      <w:r w:rsidR="00F63F67" w:rsidRPr="00BD2C13">
        <w:t> </w:t>
      </w:r>
      <w:r w:rsidRPr="00BD2C13">
        <w:t>000 habitants, soit une augmentation de 0,1 par rapport à 2015 et de 0,2 par rapport à 2014. Les chiffres disponibles les plus récents sur l</w:t>
      </w:r>
      <w:r w:rsidR="00784444">
        <w:t>’</w:t>
      </w:r>
      <w:r w:rsidRPr="00BD2C13">
        <w:t>espérance de vie à la naissance sont les suivants</w:t>
      </w:r>
      <w:r w:rsidR="00F63F67" w:rsidRPr="00BD2C13">
        <w:t> </w:t>
      </w:r>
      <w:r w:rsidRPr="00BD2C13">
        <w:t>: 78,4</w:t>
      </w:r>
      <w:r w:rsidR="00F63F67" w:rsidRPr="00BD2C13">
        <w:t> </w:t>
      </w:r>
      <w:r w:rsidRPr="00BD2C13">
        <w:t>ans pour les hommes, 82,8</w:t>
      </w:r>
      <w:r w:rsidR="00F63F67" w:rsidRPr="00BD2C13">
        <w:t> </w:t>
      </w:r>
      <w:r w:rsidRPr="00BD2C13">
        <w:t>ans pour les femmes.</w:t>
      </w:r>
    </w:p>
    <w:p w14:paraId="3FD20828" w14:textId="77777777" w:rsidR="00FF3251" w:rsidRPr="00BD2C13" w:rsidRDefault="00FF3251" w:rsidP="00FF3251">
      <w:pPr>
        <w:pStyle w:val="SingleTxtG"/>
      </w:pPr>
      <w:r w:rsidRPr="00BD2C13">
        <w:t>16.</w:t>
      </w:r>
      <w:r w:rsidRPr="00BD2C13">
        <w:tab/>
        <w:t>L</w:t>
      </w:r>
      <w:r w:rsidR="00784444">
        <w:t>’</w:t>
      </w:r>
      <w:r w:rsidRPr="00BD2C13">
        <w:t>Irlande a connu un important flux net d</w:t>
      </w:r>
      <w:r w:rsidR="00784444">
        <w:t>’</w:t>
      </w:r>
      <w:r w:rsidRPr="00BD2C13">
        <w:t>immigration entre 2005 et 2009, le nombre de personnes venues s</w:t>
      </w:r>
      <w:r w:rsidR="00784444">
        <w:t>’</w:t>
      </w:r>
      <w:r w:rsidRPr="00BD2C13">
        <w:t>établir en Irlande dépassant de 297</w:t>
      </w:r>
      <w:r w:rsidR="006D5B25" w:rsidRPr="00BD2C13">
        <w:t> </w:t>
      </w:r>
      <w:r w:rsidRPr="00BD2C13">
        <w:t>600 le nombre de personnes parties vivre à l</w:t>
      </w:r>
      <w:r w:rsidR="00784444">
        <w:t>’</w:t>
      </w:r>
      <w:r w:rsidRPr="00BD2C13">
        <w:t>étranger au cours de cette période. Cette tendance positive s</w:t>
      </w:r>
      <w:r w:rsidR="00784444">
        <w:t>’</w:t>
      </w:r>
      <w:r w:rsidRPr="00BD2C13">
        <w:t>est inversée en 2010 et l</w:t>
      </w:r>
      <w:r w:rsidR="00784444">
        <w:t>’</w:t>
      </w:r>
      <w:r w:rsidRPr="00BD2C13">
        <w:t xml:space="preserve">Irlande a connu une hausse des </w:t>
      </w:r>
      <w:bookmarkStart w:id="4" w:name="_Hlk34040058"/>
      <w:r w:rsidRPr="00BD2C13">
        <w:t>flux nets d</w:t>
      </w:r>
      <w:r w:rsidR="00784444">
        <w:t>’</w:t>
      </w:r>
      <w:r w:rsidRPr="00BD2C13">
        <w:t xml:space="preserve">émigration </w:t>
      </w:r>
      <w:bookmarkEnd w:id="4"/>
      <w:r w:rsidRPr="00BD2C13">
        <w:t>chaque année au cours de la période 2010 à 2014 inclusivement. Le solde migratoire total sur la période 2010-2014 a été négatif (107 800 émigrants). Il est redevenu positif en 2015.</w:t>
      </w:r>
    </w:p>
    <w:p w14:paraId="778FB308" w14:textId="77777777" w:rsidR="00FF3251" w:rsidRPr="00BD2C13" w:rsidRDefault="00FF3251" w:rsidP="00FF3251">
      <w:pPr>
        <w:pStyle w:val="SingleTxtG"/>
      </w:pPr>
      <w:r w:rsidRPr="00BD2C13">
        <w:t>17.</w:t>
      </w:r>
      <w:r w:rsidRPr="00BD2C13">
        <w:tab/>
        <w:t>Entre le recensement de 2002 et celui de 2006, la population étrangère est passée de 224</w:t>
      </w:r>
      <w:r w:rsidR="006D5B25" w:rsidRPr="00BD2C13">
        <w:t> </w:t>
      </w:r>
      <w:r w:rsidRPr="00BD2C13">
        <w:t>261 à 419</w:t>
      </w:r>
      <w:r w:rsidR="006D5B25" w:rsidRPr="00BD2C13">
        <w:t> </w:t>
      </w:r>
      <w:r w:rsidRPr="00BD2C13">
        <w:t>733 personnes (soit une augmentation de 87</w:t>
      </w:r>
      <w:r w:rsidR="006D5B25" w:rsidRPr="00BD2C13">
        <w:t> </w:t>
      </w:r>
      <w:r w:rsidRPr="00BD2C13">
        <w:t>%). Entre le recensement de 2006 et celui de 2011, la population étrangère est passée de 419</w:t>
      </w:r>
      <w:r w:rsidR="006D5B25" w:rsidRPr="00BD2C13">
        <w:t> </w:t>
      </w:r>
      <w:r w:rsidRPr="00BD2C13">
        <w:t>733 à 544</w:t>
      </w:r>
      <w:r w:rsidR="006D5B25" w:rsidRPr="00BD2C13">
        <w:t> </w:t>
      </w:r>
      <w:r w:rsidRPr="00BD2C13">
        <w:t>357 personnes (soit une augmentation de 29,7</w:t>
      </w:r>
      <w:r w:rsidR="006D5B25" w:rsidRPr="00BD2C13">
        <w:t> </w:t>
      </w:r>
      <w:r w:rsidRPr="00BD2C13">
        <w:t>%). Cependant, de 2011 à 2016, la population étrangère a diminué de 1,6</w:t>
      </w:r>
      <w:r w:rsidR="006D5B25" w:rsidRPr="00BD2C13">
        <w:t> </w:t>
      </w:r>
      <w:r w:rsidRPr="00BD2C13">
        <w:t>%, pour s</w:t>
      </w:r>
      <w:r w:rsidR="00784444">
        <w:t>’</w:t>
      </w:r>
      <w:r w:rsidRPr="00BD2C13">
        <w:t>établir à 535</w:t>
      </w:r>
      <w:r w:rsidR="006D5B25" w:rsidRPr="00BD2C13">
        <w:t> </w:t>
      </w:r>
      <w:r w:rsidRPr="00BD2C13">
        <w:t>475 personnes. Le nombre d</w:t>
      </w:r>
      <w:r w:rsidR="00784444">
        <w:t>’</w:t>
      </w:r>
      <w:r w:rsidRPr="00BD2C13">
        <w:t>Irlandais possédant une double nationalité a augmenté de 87,4</w:t>
      </w:r>
      <w:r w:rsidR="006D5B25" w:rsidRPr="00BD2C13">
        <w:t> </w:t>
      </w:r>
      <w:r w:rsidRPr="00BD2C13">
        <w:t>% pour se chiffrer à 104</w:t>
      </w:r>
      <w:r w:rsidR="006D5B25" w:rsidRPr="00BD2C13">
        <w:t> </w:t>
      </w:r>
      <w:r w:rsidRPr="00BD2C13">
        <w:t>784 personnes en 2016.</w:t>
      </w:r>
    </w:p>
    <w:bookmarkEnd w:id="3"/>
    <w:p w14:paraId="5ED42534" w14:textId="77777777" w:rsidR="00FF3251" w:rsidRPr="00BD2C13" w:rsidRDefault="00FF3251" w:rsidP="00FF3251">
      <w:pPr>
        <w:pStyle w:val="SingleTxtG"/>
      </w:pPr>
      <w:r w:rsidRPr="00BD2C13">
        <w:t>18.</w:t>
      </w:r>
      <w:r w:rsidRPr="00BD2C13">
        <w:tab/>
        <w:t>En 2016, la proportion de catholiques dans la population totale a continué de diminuer, pour atteindre son niveau le plus bas (78,3 %) et s</w:t>
      </w:r>
      <w:r w:rsidR="00784444">
        <w:t>’</w:t>
      </w:r>
      <w:r w:rsidRPr="00BD2C13">
        <w:t>établir à 3,73</w:t>
      </w:r>
      <w:r w:rsidR="006D5B25" w:rsidRPr="00BD2C13">
        <w:t> </w:t>
      </w:r>
      <w:r w:rsidRPr="00BD2C13">
        <w:t>millions de personnes, contre 3,86</w:t>
      </w:r>
      <w:r w:rsidR="006D5B25" w:rsidRPr="00BD2C13">
        <w:t> </w:t>
      </w:r>
      <w:r w:rsidRPr="00BD2C13">
        <w:t>millions en 2011. Sur les 3,7</w:t>
      </w:r>
      <w:r w:rsidR="006D5B25" w:rsidRPr="00BD2C13">
        <w:t> </w:t>
      </w:r>
      <w:r w:rsidRPr="00BD2C13">
        <w:t>millions de catholiques recensés en Irlande en 2016, 7,5 % étaient de diverses autres nationalités qu</w:t>
      </w:r>
      <w:r w:rsidR="00784444">
        <w:t>’</w:t>
      </w:r>
      <w:r w:rsidRPr="00BD2C13">
        <w:t xml:space="preserve">irlandaise. Parmi ces derniers, les Polonais, au nombre de 105 269, arrivaient en tête, suivis des Britanniques (39 207). Ces deux groupes pris dans leur ensemble représentaient plus de la moitié </w:t>
      </w:r>
      <w:r w:rsidRPr="009E67EC">
        <w:t>des catholiques non</w:t>
      </w:r>
      <w:r w:rsidR="008A53EA" w:rsidRPr="009E67EC">
        <w:t xml:space="preserve"> i</w:t>
      </w:r>
      <w:r w:rsidRPr="009E67EC">
        <w:t>rlandais.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701"/>
        <w:gridCol w:w="1701"/>
        <w:gridCol w:w="1701"/>
      </w:tblGrid>
      <w:tr w:rsidR="008A53EA" w:rsidRPr="00BD2C13" w14:paraId="36176608" w14:textId="77777777" w:rsidTr="008A53EA">
        <w:trPr>
          <w:tblHeader/>
        </w:trPr>
        <w:tc>
          <w:tcPr>
            <w:tcW w:w="2267" w:type="dxa"/>
            <w:tcBorders>
              <w:top w:val="single" w:sz="4" w:space="0" w:color="auto"/>
              <w:bottom w:val="single" w:sz="12" w:space="0" w:color="auto"/>
            </w:tcBorders>
            <w:shd w:val="clear" w:color="auto" w:fill="auto"/>
            <w:vAlign w:val="bottom"/>
          </w:tcPr>
          <w:p w14:paraId="0BA419EE" w14:textId="77777777" w:rsidR="008A53EA" w:rsidRPr="00BD2C13" w:rsidRDefault="008A53EA" w:rsidP="00DE1FDF">
            <w:pPr>
              <w:suppressAutoHyphens w:val="0"/>
              <w:spacing w:before="80" w:after="80" w:line="200" w:lineRule="exact"/>
              <w:rPr>
                <w:i/>
                <w:sz w:val="16"/>
                <w:lang w:eastAsia="en-IE"/>
              </w:rPr>
            </w:pPr>
            <w:r w:rsidRPr="00BD2C13">
              <w:rPr>
                <w:i/>
                <w:sz w:val="16"/>
                <w:lang w:eastAsia="en-IE"/>
              </w:rPr>
              <w:t>Religion</w:t>
            </w:r>
          </w:p>
        </w:tc>
        <w:tc>
          <w:tcPr>
            <w:tcW w:w="1701" w:type="dxa"/>
            <w:tcBorders>
              <w:top w:val="single" w:sz="4" w:space="0" w:color="auto"/>
              <w:bottom w:val="single" w:sz="12" w:space="0" w:color="auto"/>
            </w:tcBorders>
            <w:shd w:val="clear" w:color="auto" w:fill="auto"/>
            <w:vAlign w:val="bottom"/>
          </w:tcPr>
          <w:p w14:paraId="3183715D" w14:textId="77777777" w:rsidR="008A53EA" w:rsidRPr="00BD2C13" w:rsidRDefault="008A53EA" w:rsidP="00DE1FDF">
            <w:pPr>
              <w:suppressAutoHyphens w:val="0"/>
              <w:spacing w:before="80" w:after="80" w:line="200" w:lineRule="exact"/>
              <w:jc w:val="right"/>
              <w:rPr>
                <w:i/>
                <w:sz w:val="16"/>
                <w:lang w:eastAsia="en-IE"/>
              </w:rPr>
            </w:pPr>
            <w:r w:rsidRPr="00BD2C13">
              <w:rPr>
                <w:i/>
                <w:sz w:val="16"/>
                <w:lang w:eastAsia="en-IE"/>
              </w:rPr>
              <w:t>Recensement 2016</w:t>
            </w:r>
          </w:p>
        </w:tc>
        <w:tc>
          <w:tcPr>
            <w:tcW w:w="1701" w:type="dxa"/>
            <w:tcBorders>
              <w:top w:val="single" w:sz="4" w:space="0" w:color="auto"/>
              <w:bottom w:val="single" w:sz="12" w:space="0" w:color="auto"/>
            </w:tcBorders>
            <w:shd w:val="clear" w:color="auto" w:fill="auto"/>
            <w:vAlign w:val="bottom"/>
          </w:tcPr>
          <w:p w14:paraId="1AA0D594" w14:textId="77777777" w:rsidR="008A53EA" w:rsidRPr="00BD2C13" w:rsidRDefault="008A53EA" w:rsidP="00DE1FDF">
            <w:pPr>
              <w:suppressAutoHyphens w:val="0"/>
              <w:spacing w:before="80" w:after="80" w:line="200" w:lineRule="exact"/>
              <w:jc w:val="right"/>
              <w:rPr>
                <w:i/>
                <w:sz w:val="16"/>
                <w:lang w:eastAsia="en-IE"/>
              </w:rPr>
            </w:pPr>
            <w:r w:rsidRPr="00BD2C13">
              <w:rPr>
                <w:i/>
                <w:sz w:val="16"/>
                <w:lang w:eastAsia="en-IE"/>
              </w:rPr>
              <w:t>Recensement 2011</w:t>
            </w:r>
          </w:p>
        </w:tc>
        <w:tc>
          <w:tcPr>
            <w:tcW w:w="1701" w:type="dxa"/>
            <w:tcBorders>
              <w:top w:val="single" w:sz="4" w:space="0" w:color="auto"/>
              <w:bottom w:val="single" w:sz="12" w:space="0" w:color="auto"/>
            </w:tcBorders>
            <w:shd w:val="clear" w:color="auto" w:fill="auto"/>
            <w:vAlign w:val="bottom"/>
          </w:tcPr>
          <w:p w14:paraId="272E4B9C" w14:textId="77777777" w:rsidR="008A53EA" w:rsidRPr="00BD2C13" w:rsidRDefault="008A53EA" w:rsidP="00DE1FDF">
            <w:pPr>
              <w:suppressAutoHyphens w:val="0"/>
              <w:spacing w:before="80" w:after="80" w:line="200" w:lineRule="exact"/>
              <w:jc w:val="right"/>
              <w:rPr>
                <w:i/>
                <w:sz w:val="16"/>
                <w:lang w:eastAsia="en-IE"/>
              </w:rPr>
            </w:pPr>
            <w:r w:rsidRPr="00BD2C13">
              <w:rPr>
                <w:i/>
                <w:sz w:val="16"/>
                <w:lang w:eastAsia="en-IE"/>
              </w:rPr>
              <w:t>Évolution en %</w:t>
            </w:r>
          </w:p>
        </w:tc>
      </w:tr>
      <w:tr w:rsidR="008A53EA" w:rsidRPr="00BD2C13" w14:paraId="0081B39D" w14:textId="77777777" w:rsidTr="008A53EA">
        <w:tc>
          <w:tcPr>
            <w:tcW w:w="2267" w:type="dxa"/>
            <w:tcBorders>
              <w:top w:val="single" w:sz="12" w:space="0" w:color="auto"/>
            </w:tcBorders>
            <w:shd w:val="clear" w:color="auto" w:fill="auto"/>
          </w:tcPr>
          <w:p w14:paraId="3AB209E3"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Catholique</w:t>
            </w:r>
          </w:p>
        </w:tc>
        <w:tc>
          <w:tcPr>
            <w:tcW w:w="1701" w:type="dxa"/>
            <w:tcBorders>
              <w:top w:val="single" w:sz="12" w:space="0" w:color="auto"/>
            </w:tcBorders>
            <w:shd w:val="clear" w:color="auto" w:fill="auto"/>
            <w:vAlign w:val="bottom"/>
          </w:tcPr>
          <w:p w14:paraId="5B322028"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3 729 115</w:t>
            </w:r>
          </w:p>
        </w:tc>
        <w:tc>
          <w:tcPr>
            <w:tcW w:w="1701" w:type="dxa"/>
            <w:tcBorders>
              <w:top w:val="single" w:sz="12" w:space="0" w:color="auto"/>
            </w:tcBorders>
            <w:shd w:val="clear" w:color="auto" w:fill="auto"/>
            <w:vAlign w:val="bottom"/>
          </w:tcPr>
          <w:p w14:paraId="2D087E71"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3 860 000</w:t>
            </w:r>
          </w:p>
        </w:tc>
        <w:tc>
          <w:tcPr>
            <w:tcW w:w="1701" w:type="dxa"/>
            <w:tcBorders>
              <w:top w:val="single" w:sz="12" w:space="0" w:color="auto"/>
            </w:tcBorders>
            <w:shd w:val="clear" w:color="auto" w:fill="auto"/>
            <w:vAlign w:val="bottom"/>
          </w:tcPr>
          <w:p w14:paraId="39E77BB5"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-3,4 %</w:t>
            </w:r>
          </w:p>
        </w:tc>
      </w:tr>
      <w:tr w:rsidR="008A53EA" w:rsidRPr="00BD2C13" w14:paraId="6E75932F" w14:textId="77777777" w:rsidTr="008A53EA">
        <w:tc>
          <w:tcPr>
            <w:tcW w:w="2267" w:type="dxa"/>
            <w:shd w:val="clear" w:color="auto" w:fill="auto"/>
          </w:tcPr>
          <w:p w14:paraId="0AD42DE2" w14:textId="77777777" w:rsidR="008A53EA" w:rsidRPr="00BD2C13" w:rsidRDefault="008A53EA" w:rsidP="00E41FF2">
            <w:pPr>
              <w:suppressAutoHyphens w:val="0"/>
              <w:spacing w:before="40" w:after="40" w:line="220" w:lineRule="exact"/>
              <w:rPr>
                <w:sz w:val="18"/>
                <w:lang w:eastAsia="en-IE"/>
              </w:rPr>
            </w:pPr>
            <w:r w:rsidRPr="00BD2C13">
              <w:rPr>
                <w:sz w:val="18"/>
              </w:rPr>
              <w:t>Sans religion/athée/agnostique</w:t>
            </w:r>
          </w:p>
        </w:tc>
        <w:tc>
          <w:tcPr>
            <w:tcW w:w="1701" w:type="dxa"/>
            <w:shd w:val="clear" w:color="auto" w:fill="auto"/>
            <w:vAlign w:val="bottom"/>
          </w:tcPr>
          <w:p w14:paraId="08F0F226"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481 388</w:t>
            </w:r>
          </w:p>
        </w:tc>
        <w:tc>
          <w:tcPr>
            <w:tcW w:w="1701" w:type="dxa"/>
            <w:shd w:val="clear" w:color="auto" w:fill="auto"/>
            <w:vAlign w:val="bottom"/>
          </w:tcPr>
          <w:p w14:paraId="1E865FE1"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277 237</w:t>
            </w:r>
          </w:p>
        </w:tc>
        <w:tc>
          <w:tcPr>
            <w:tcW w:w="1701" w:type="dxa"/>
            <w:shd w:val="clear" w:color="auto" w:fill="auto"/>
            <w:vAlign w:val="bottom"/>
          </w:tcPr>
          <w:p w14:paraId="2419022F"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73,6 %</w:t>
            </w:r>
          </w:p>
        </w:tc>
      </w:tr>
      <w:tr w:rsidR="008A53EA" w:rsidRPr="00BD2C13" w14:paraId="6D222CE1" w14:textId="77777777" w:rsidTr="008A53EA">
        <w:tc>
          <w:tcPr>
            <w:tcW w:w="2267" w:type="dxa"/>
            <w:shd w:val="clear" w:color="auto" w:fill="auto"/>
          </w:tcPr>
          <w:p w14:paraId="2F9C6CEC"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Église d</w:t>
            </w:r>
            <w:r w:rsidR="00784444">
              <w:rPr>
                <w:sz w:val="18"/>
                <w:lang w:eastAsia="en-IE"/>
              </w:rPr>
              <w:t>’</w:t>
            </w:r>
            <w:r w:rsidRPr="00BD2C13">
              <w:rPr>
                <w:sz w:val="18"/>
                <w:lang w:eastAsia="en-IE"/>
              </w:rPr>
              <w:t>Irlande</w:t>
            </w:r>
          </w:p>
        </w:tc>
        <w:tc>
          <w:tcPr>
            <w:tcW w:w="1701" w:type="dxa"/>
            <w:shd w:val="clear" w:color="auto" w:fill="auto"/>
            <w:vAlign w:val="bottom"/>
          </w:tcPr>
          <w:p w14:paraId="1F0B58C0"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126 414</w:t>
            </w:r>
          </w:p>
        </w:tc>
        <w:tc>
          <w:tcPr>
            <w:tcW w:w="1701" w:type="dxa"/>
            <w:shd w:val="clear" w:color="auto" w:fill="auto"/>
            <w:vAlign w:val="bottom"/>
          </w:tcPr>
          <w:p w14:paraId="11588E60"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129 039</w:t>
            </w:r>
          </w:p>
        </w:tc>
        <w:tc>
          <w:tcPr>
            <w:tcW w:w="1701" w:type="dxa"/>
            <w:shd w:val="clear" w:color="auto" w:fill="auto"/>
            <w:vAlign w:val="bottom"/>
          </w:tcPr>
          <w:p w14:paraId="0D5ABD70"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-2,0 %</w:t>
            </w:r>
          </w:p>
        </w:tc>
      </w:tr>
      <w:tr w:rsidR="008A53EA" w:rsidRPr="00BD2C13" w14:paraId="0A407075" w14:textId="77777777" w:rsidTr="008A53EA">
        <w:tc>
          <w:tcPr>
            <w:tcW w:w="2267" w:type="dxa"/>
            <w:shd w:val="clear" w:color="auto" w:fill="auto"/>
          </w:tcPr>
          <w:p w14:paraId="5320A09C"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Musulmane</w:t>
            </w:r>
          </w:p>
        </w:tc>
        <w:tc>
          <w:tcPr>
            <w:tcW w:w="1701" w:type="dxa"/>
            <w:shd w:val="clear" w:color="auto" w:fill="auto"/>
            <w:vAlign w:val="bottom"/>
          </w:tcPr>
          <w:p w14:paraId="25BE57AA"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63 443</w:t>
            </w:r>
          </w:p>
        </w:tc>
        <w:tc>
          <w:tcPr>
            <w:tcW w:w="1701" w:type="dxa"/>
            <w:shd w:val="clear" w:color="auto" w:fill="auto"/>
            <w:vAlign w:val="bottom"/>
          </w:tcPr>
          <w:p w14:paraId="1235EA2E"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49 204</w:t>
            </w:r>
          </w:p>
        </w:tc>
        <w:tc>
          <w:tcPr>
            <w:tcW w:w="1701" w:type="dxa"/>
            <w:shd w:val="clear" w:color="auto" w:fill="auto"/>
            <w:vAlign w:val="bottom"/>
          </w:tcPr>
          <w:p w14:paraId="39659CE3"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28,9 %</w:t>
            </w:r>
          </w:p>
        </w:tc>
      </w:tr>
      <w:tr w:rsidR="008A53EA" w:rsidRPr="00BD2C13" w14:paraId="7DE11C7D" w14:textId="77777777" w:rsidTr="008A53EA">
        <w:tc>
          <w:tcPr>
            <w:tcW w:w="2267" w:type="dxa"/>
            <w:shd w:val="clear" w:color="auto" w:fill="auto"/>
          </w:tcPr>
          <w:p w14:paraId="6526F0A0"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 xml:space="preserve">Chrétien orthodoxe </w:t>
            </w:r>
            <w:r w:rsidR="009A2D51">
              <w:rPr>
                <w:sz w:val="18"/>
                <w:lang w:eastAsia="en-IE"/>
              </w:rPr>
              <w:br/>
            </w:r>
            <w:r w:rsidRPr="00BD2C13">
              <w:rPr>
                <w:sz w:val="18"/>
                <w:lang w:eastAsia="en-IE"/>
              </w:rPr>
              <w:t>(Grecs, Coptes, Russes)</w:t>
            </w:r>
          </w:p>
        </w:tc>
        <w:tc>
          <w:tcPr>
            <w:tcW w:w="1701" w:type="dxa"/>
            <w:shd w:val="clear" w:color="auto" w:fill="auto"/>
            <w:vAlign w:val="bottom"/>
          </w:tcPr>
          <w:p w14:paraId="21EA05D7"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62 187</w:t>
            </w:r>
          </w:p>
        </w:tc>
        <w:tc>
          <w:tcPr>
            <w:tcW w:w="1701" w:type="dxa"/>
            <w:shd w:val="clear" w:color="auto" w:fill="auto"/>
            <w:vAlign w:val="bottom"/>
          </w:tcPr>
          <w:p w14:paraId="29EEC92C"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45 223</w:t>
            </w:r>
          </w:p>
        </w:tc>
        <w:tc>
          <w:tcPr>
            <w:tcW w:w="1701" w:type="dxa"/>
            <w:shd w:val="clear" w:color="auto" w:fill="auto"/>
            <w:vAlign w:val="bottom"/>
          </w:tcPr>
          <w:p w14:paraId="48A85C13"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37,5 %</w:t>
            </w:r>
          </w:p>
        </w:tc>
      </w:tr>
      <w:tr w:rsidR="008A53EA" w:rsidRPr="00BD2C13" w14:paraId="60811BB5" w14:textId="77777777" w:rsidTr="008A53EA">
        <w:tc>
          <w:tcPr>
            <w:tcW w:w="2267" w:type="dxa"/>
            <w:shd w:val="clear" w:color="auto" w:fill="auto"/>
          </w:tcPr>
          <w:p w14:paraId="400EF493"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Presbytérienne</w:t>
            </w:r>
          </w:p>
        </w:tc>
        <w:tc>
          <w:tcPr>
            <w:tcW w:w="1701" w:type="dxa"/>
            <w:shd w:val="clear" w:color="auto" w:fill="auto"/>
            <w:vAlign w:val="bottom"/>
          </w:tcPr>
          <w:p w14:paraId="18C98D56"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24 211</w:t>
            </w:r>
          </w:p>
        </w:tc>
        <w:tc>
          <w:tcPr>
            <w:tcW w:w="1701" w:type="dxa"/>
            <w:shd w:val="clear" w:color="auto" w:fill="auto"/>
            <w:vAlign w:val="bottom"/>
          </w:tcPr>
          <w:p w14:paraId="073FDF3B"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24 600</w:t>
            </w:r>
          </w:p>
        </w:tc>
        <w:tc>
          <w:tcPr>
            <w:tcW w:w="1701" w:type="dxa"/>
            <w:shd w:val="clear" w:color="auto" w:fill="auto"/>
            <w:vAlign w:val="bottom"/>
          </w:tcPr>
          <w:p w14:paraId="38639CBF"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-1,6 %</w:t>
            </w:r>
          </w:p>
        </w:tc>
      </w:tr>
      <w:tr w:rsidR="008A53EA" w:rsidRPr="00BD2C13" w14:paraId="28F2D295" w14:textId="77777777" w:rsidTr="008A53EA">
        <w:tc>
          <w:tcPr>
            <w:tcW w:w="2267" w:type="dxa"/>
            <w:shd w:val="clear" w:color="auto" w:fill="auto"/>
          </w:tcPr>
          <w:p w14:paraId="5410E42A" w14:textId="77777777" w:rsidR="008A53EA" w:rsidRPr="00BD2C13" w:rsidRDefault="008A53EA" w:rsidP="00DE1FDF">
            <w:pPr>
              <w:suppressAutoHyphens w:val="0"/>
              <w:spacing w:before="40" w:after="40" w:line="220" w:lineRule="exact"/>
              <w:rPr>
                <w:sz w:val="18"/>
                <w:lang w:eastAsia="en-IE"/>
              </w:rPr>
            </w:pPr>
            <w:r w:rsidRPr="00BD2C13">
              <w:rPr>
                <w:sz w:val="18"/>
              </w:rPr>
              <w:t>Apostolique et pentecôtiste</w:t>
            </w:r>
          </w:p>
        </w:tc>
        <w:tc>
          <w:tcPr>
            <w:tcW w:w="1701" w:type="dxa"/>
            <w:shd w:val="clear" w:color="auto" w:fill="auto"/>
            <w:vAlign w:val="bottom"/>
          </w:tcPr>
          <w:p w14:paraId="270E114D"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13 350</w:t>
            </w:r>
          </w:p>
        </w:tc>
        <w:tc>
          <w:tcPr>
            <w:tcW w:w="1701" w:type="dxa"/>
            <w:shd w:val="clear" w:color="auto" w:fill="auto"/>
            <w:vAlign w:val="bottom"/>
          </w:tcPr>
          <w:p w14:paraId="61BA7BFB"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14 043</w:t>
            </w:r>
          </w:p>
        </w:tc>
        <w:tc>
          <w:tcPr>
            <w:tcW w:w="1701" w:type="dxa"/>
            <w:shd w:val="clear" w:color="auto" w:fill="auto"/>
            <w:vAlign w:val="bottom"/>
          </w:tcPr>
          <w:p w14:paraId="4A333130"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-4,9 %</w:t>
            </w:r>
          </w:p>
        </w:tc>
      </w:tr>
      <w:tr w:rsidR="008A53EA" w:rsidRPr="00BD2C13" w14:paraId="25E875EC" w14:textId="77777777" w:rsidTr="008A53EA">
        <w:tc>
          <w:tcPr>
            <w:tcW w:w="2267" w:type="dxa"/>
            <w:shd w:val="clear" w:color="auto" w:fill="auto"/>
          </w:tcPr>
          <w:p w14:paraId="0685774C"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Hindoue</w:t>
            </w:r>
          </w:p>
        </w:tc>
        <w:tc>
          <w:tcPr>
            <w:tcW w:w="1701" w:type="dxa"/>
            <w:shd w:val="clear" w:color="auto" w:fill="auto"/>
            <w:vAlign w:val="bottom"/>
          </w:tcPr>
          <w:p w14:paraId="493E57EE"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14 332</w:t>
            </w:r>
          </w:p>
        </w:tc>
        <w:tc>
          <w:tcPr>
            <w:tcW w:w="1701" w:type="dxa"/>
            <w:shd w:val="clear" w:color="auto" w:fill="auto"/>
            <w:vAlign w:val="bottom"/>
          </w:tcPr>
          <w:p w14:paraId="77C01D93"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10 688</w:t>
            </w:r>
          </w:p>
        </w:tc>
        <w:tc>
          <w:tcPr>
            <w:tcW w:w="1701" w:type="dxa"/>
            <w:shd w:val="clear" w:color="auto" w:fill="auto"/>
            <w:vAlign w:val="bottom"/>
          </w:tcPr>
          <w:p w14:paraId="203B819F"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34,1 %</w:t>
            </w:r>
          </w:p>
        </w:tc>
      </w:tr>
      <w:tr w:rsidR="008A53EA" w:rsidRPr="00BD2C13" w14:paraId="7BD93B65" w14:textId="77777777" w:rsidTr="008A53EA">
        <w:tc>
          <w:tcPr>
            <w:tcW w:w="2267" w:type="dxa"/>
            <w:shd w:val="clear" w:color="auto" w:fill="auto"/>
          </w:tcPr>
          <w:p w14:paraId="6200AB4F"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Bouddhiste</w:t>
            </w:r>
          </w:p>
        </w:tc>
        <w:tc>
          <w:tcPr>
            <w:tcW w:w="1701" w:type="dxa"/>
            <w:shd w:val="clear" w:color="auto" w:fill="auto"/>
            <w:vAlign w:val="bottom"/>
          </w:tcPr>
          <w:p w14:paraId="4EB8E7F7"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9 758</w:t>
            </w:r>
          </w:p>
        </w:tc>
        <w:tc>
          <w:tcPr>
            <w:tcW w:w="1701" w:type="dxa"/>
            <w:shd w:val="clear" w:color="auto" w:fill="auto"/>
            <w:vAlign w:val="bottom"/>
          </w:tcPr>
          <w:p w14:paraId="26A7C8A5"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8 703</w:t>
            </w:r>
          </w:p>
        </w:tc>
        <w:tc>
          <w:tcPr>
            <w:tcW w:w="1701" w:type="dxa"/>
            <w:shd w:val="clear" w:color="auto" w:fill="auto"/>
            <w:vAlign w:val="bottom"/>
          </w:tcPr>
          <w:p w14:paraId="0DC93A96"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12,1 %</w:t>
            </w:r>
          </w:p>
        </w:tc>
      </w:tr>
      <w:tr w:rsidR="008A53EA" w:rsidRPr="00BD2C13" w14:paraId="45F4AC82" w14:textId="77777777" w:rsidTr="008A53EA">
        <w:tc>
          <w:tcPr>
            <w:tcW w:w="2267" w:type="dxa"/>
            <w:shd w:val="clear" w:color="auto" w:fill="auto"/>
          </w:tcPr>
          <w:p w14:paraId="57C886A7"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Méthodiste</w:t>
            </w:r>
          </w:p>
        </w:tc>
        <w:tc>
          <w:tcPr>
            <w:tcW w:w="1701" w:type="dxa"/>
            <w:shd w:val="clear" w:color="auto" w:fill="auto"/>
            <w:vAlign w:val="bottom"/>
          </w:tcPr>
          <w:p w14:paraId="42E2A356"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6 471</w:t>
            </w:r>
          </w:p>
        </w:tc>
        <w:tc>
          <w:tcPr>
            <w:tcW w:w="1701" w:type="dxa"/>
            <w:shd w:val="clear" w:color="auto" w:fill="auto"/>
            <w:vAlign w:val="bottom"/>
          </w:tcPr>
          <w:p w14:paraId="0BA0FEF3"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6 842</w:t>
            </w:r>
          </w:p>
        </w:tc>
        <w:tc>
          <w:tcPr>
            <w:tcW w:w="1701" w:type="dxa"/>
            <w:shd w:val="clear" w:color="auto" w:fill="auto"/>
            <w:vAlign w:val="bottom"/>
          </w:tcPr>
          <w:p w14:paraId="3A61688D"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-5,4 %</w:t>
            </w:r>
          </w:p>
        </w:tc>
      </w:tr>
      <w:tr w:rsidR="008A53EA" w:rsidRPr="00BD2C13" w14:paraId="64D79FFA" w14:textId="77777777" w:rsidTr="008A53EA">
        <w:tc>
          <w:tcPr>
            <w:tcW w:w="2267" w:type="dxa"/>
            <w:shd w:val="clear" w:color="auto" w:fill="auto"/>
          </w:tcPr>
          <w:p w14:paraId="568AD569"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Témoins de Jéhovah</w:t>
            </w:r>
          </w:p>
        </w:tc>
        <w:tc>
          <w:tcPr>
            <w:tcW w:w="1701" w:type="dxa"/>
            <w:shd w:val="clear" w:color="auto" w:fill="auto"/>
            <w:vAlign w:val="bottom"/>
          </w:tcPr>
          <w:p w14:paraId="272A0359"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6 417</w:t>
            </w:r>
          </w:p>
        </w:tc>
        <w:tc>
          <w:tcPr>
            <w:tcW w:w="1701" w:type="dxa"/>
            <w:shd w:val="clear" w:color="auto" w:fill="auto"/>
            <w:vAlign w:val="bottom"/>
          </w:tcPr>
          <w:p w14:paraId="11CF3DE2"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6 149</w:t>
            </w:r>
          </w:p>
        </w:tc>
        <w:tc>
          <w:tcPr>
            <w:tcW w:w="1701" w:type="dxa"/>
            <w:shd w:val="clear" w:color="auto" w:fill="auto"/>
            <w:vAlign w:val="bottom"/>
          </w:tcPr>
          <w:p w14:paraId="5685C4B1"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4,4 %</w:t>
            </w:r>
          </w:p>
        </w:tc>
      </w:tr>
      <w:tr w:rsidR="008A53EA" w:rsidRPr="00BD2C13" w14:paraId="0D55954C" w14:textId="77777777" w:rsidTr="008A53EA">
        <w:tc>
          <w:tcPr>
            <w:tcW w:w="2267" w:type="dxa"/>
            <w:shd w:val="clear" w:color="auto" w:fill="auto"/>
          </w:tcPr>
          <w:p w14:paraId="3F212651"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Luthérienne</w:t>
            </w:r>
          </w:p>
        </w:tc>
        <w:tc>
          <w:tcPr>
            <w:tcW w:w="1701" w:type="dxa"/>
            <w:shd w:val="clear" w:color="auto" w:fill="auto"/>
            <w:vAlign w:val="bottom"/>
          </w:tcPr>
          <w:p w14:paraId="75C7CBDC"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5 329</w:t>
            </w:r>
          </w:p>
        </w:tc>
        <w:tc>
          <w:tcPr>
            <w:tcW w:w="1701" w:type="dxa"/>
            <w:shd w:val="clear" w:color="auto" w:fill="auto"/>
            <w:vAlign w:val="bottom"/>
          </w:tcPr>
          <w:p w14:paraId="0CE4C058"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5 683</w:t>
            </w:r>
          </w:p>
        </w:tc>
        <w:tc>
          <w:tcPr>
            <w:tcW w:w="1701" w:type="dxa"/>
            <w:shd w:val="clear" w:color="auto" w:fill="auto"/>
            <w:vAlign w:val="bottom"/>
          </w:tcPr>
          <w:p w14:paraId="3EB3A88A"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-6,2 %</w:t>
            </w:r>
          </w:p>
        </w:tc>
      </w:tr>
      <w:tr w:rsidR="008A53EA" w:rsidRPr="00BD2C13" w14:paraId="33E7A8E2" w14:textId="77777777" w:rsidTr="008A53EA">
        <w:tc>
          <w:tcPr>
            <w:tcW w:w="2267" w:type="dxa"/>
            <w:shd w:val="clear" w:color="auto" w:fill="auto"/>
          </w:tcPr>
          <w:p w14:paraId="274D2BF3"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Évangéliste</w:t>
            </w:r>
          </w:p>
        </w:tc>
        <w:tc>
          <w:tcPr>
            <w:tcW w:w="1701" w:type="dxa"/>
            <w:shd w:val="clear" w:color="auto" w:fill="auto"/>
            <w:vAlign w:val="bottom"/>
          </w:tcPr>
          <w:p w14:paraId="569BCA9D"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9 724</w:t>
            </w:r>
          </w:p>
        </w:tc>
        <w:tc>
          <w:tcPr>
            <w:tcW w:w="1701" w:type="dxa"/>
            <w:shd w:val="clear" w:color="auto" w:fill="auto"/>
            <w:vAlign w:val="bottom"/>
          </w:tcPr>
          <w:p w14:paraId="31B8D1DC"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4 188</w:t>
            </w:r>
          </w:p>
        </w:tc>
        <w:tc>
          <w:tcPr>
            <w:tcW w:w="1701" w:type="dxa"/>
            <w:shd w:val="clear" w:color="auto" w:fill="auto"/>
            <w:vAlign w:val="bottom"/>
          </w:tcPr>
          <w:p w14:paraId="1A57C32F"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132,2 %</w:t>
            </w:r>
          </w:p>
        </w:tc>
      </w:tr>
      <w:tr w:rsidR="008A53EA" w:rsidRPr="00BD2C13" w14:paraId="667A6279" w14:textId="77777777" w:rsidTr="008A53EA">
        <w:tc>
          <w:tcPr>
            <w:tcW w:w="2267" w:type="dxa"/>
            <w:shd w:val="clear" w:color="auto" w:fill="auto"/>
          </w:tcPr>
          <w:p w14:paraId="5946B287"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Baptiste</w:t>
            </w:r>
          </w:p>
        </w:tc>
        <w:tc>
          <w:tcPr>
            <w:tcW w:w="1701" w:type="dxa"/>
            <w:shd w:val="clear" w:color="auto" w:fill="auto"/>
            <w:vAlign w:val="bottom"/>
          </w:tcPr>
          <w:p w14:paraId="083BC960"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3 957</w:t>
            </w:r>
          </w:p>
        </w:tc>
        <w:tc>
          <w:tcPr>
            <w:tcW w:w="1701" w:type="dxa"/>
            <w:shd w:val="clear" w:color="auto" w:fill="auto"/>
            <w:vAlign w:val="bottom"/>
          </w:tcPr>
          <w:p w14:paraId="78A923AA"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3 531</w:t>
            </w:r>
          </w:p>
        </w:tc>
        <w:tc>
          <w:tcPr>
            <w:tcW w:w="1701" w:type="dxa"/>
            <w:shd w:val="clear" w:color="auto" w:fill="auto"/>
            <w:vAlign w:val="bottom"/>
          </w:tcPr>
          <w:p w14:paraId="0BCA2F04"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12,1 %</w:t>
            </w:r>
          </w:p>
        </w:tc>
      </w:tr>
      <w:tr w:rsidR="008A53EA" w:rsidRPr="00BD2C13" w14:paraId="5C99E35A" w14:textId="77777777" w:rsidTr="008A53EA">
        <w:tc>
          <w:tcPr>
            <w:tcW w:w="2267" w:type="dxa"/>
            <w:tcBorders>
              <w:bottom w:val="single" w:sz="12" w:space="0" w:color="auto"/>
            </w:tcBorders>
            <w:shd w:val="clear" w:color="auto" w:fill="auto"/>
          </w:tcPr>
          <w:p w14:paraId="0020BABD" w14:textId="77777777" w:rsidR="008A53EA" w:rsidRPr="00BD2C13" w:rsidRDefault="008A53EA" w:rsidP="00DE1FDF">
            <w:pPr>
              <w:suppressAutoHyphens w:val="0"/>
              <w:spacing w:before="40" w:after="40" w:line="220" w:lineRule="exact"/>
              <w:rPr>
                <w:sz w:val="18"/>
                <w:lang w:eastAsia="en-IE"/>
              </w:rPr>
            </w:pPr>
            <w:r w:rsidRPr="00BD2C13">
              <w:rPr>
                <w:sz w:val="18"/>
                <w:lang w:eastAsia="en-IE"/>
              </w:rPr>
              <w:t xml:space="preserve">Juive </w:t>
            </w:r>
          </w:p>
        </w:tc>
        <w:tc>
          <w:tcPr>
            <w:tcW w:w="1701" w:type="dxa"/>
            <w:tcBorders>
              <w:bottom w:val="single" w:sz="12" w:space="0" w:color="auto"/>
            </w:tcBorders>
            <w:shd w:val="clear" w:color="auto" w:fill="auto"/>
            <w:vAlign w:val="bottom"/>
          </w:tcPr>
          <w:p w14:paraId="02A8A507"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2 557</w:t>
            </w:r>
          </w:p>
        </w:tc>
        <w:tc>
          <w:tcPr>
            <w:tcW w:w="1701" w:type="dxa"/>
            <w:tcBorders>
              <w:bottom w:val="single" w:sz="12" w:space="0" w:color="auto"/>
            </w:tcBorders>
            <w:shd w:val="clear" w:color="auto" w:fill="auto"/>
            <w:vAlign w:val="bottom"/>
          </w:tcPr>
          <w:p w14:paraId="1ACFB226"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1 984</w:t>
            </w:r>
          </w:p>
        </w:tc>
        <w:tc>
          <w:tcPr>
            <w:tcW w:w="1701" w:type="dxa"/>
            <w:tcBorders>
              <w:bottom w:val="single" w:sz="12" w:space="0" w:color="auto"/>
            </w:tcBorders>
            <w:shd w:val="clear" w:color="auto" w:fill="auto"/>
            <w:vAlign w:val="bottom"/>
          </w:tcPr>
          <w:p w14:paraId="2CF20AED" w14:textId="77777777" w:rsidR="008A53EA" w:rsidRPr="00BD2C13" w:rsidRDefault="008A53EA" w:rsidP="00DE1FDF">
            <w:pPr>
              <w:suppressAutoHyphens w:val="0"/>
              <w:spacing w:before="40" w:after="40" w:line="220" w:lineRule="exact"/>
              <w:jc w:val="right"/>
              <w:rPr>
                <w:sz w:val="18"/>
                <w:lang w:eastAsia="en-IE"/>
              </w:rPr>
            </w:pPr>
            <w:r w:rsidRPr="00BD2C13">
              <w:rPr>
                <w:sz w:val="18"/>
                <w:lang w:eastAsia="en-IE"/>
              </w:rPr>
              <w:t>28,9 %</w:t>
            </w:r>
          </w:p>
        </w:tc>
      </w:tr>
    </w:tbl>
    <w:p w14:paraId="16B3CD33" w14:textId="77777777" w:rsidR="00A874D5" w:rsidRPr="00BD2C13" w:rsidRDefault="00A874D5" w:rsidP="00A874D5">
      <w:pPr>
        <w:pStyle w:val="SingleTxtG"/>
        <w:spacing w:before="120"/>
      </w:pPr>
      <w:bookmarkStart w:id="5" w:name="_Hlk31371414"/>
      <w:r w:rsidRPr="00BD2C13">
        <w:t>19.</w:t>
      </w:r>
      <w:r w:rsidRPr="00BD2C13">
        <w:tab/>
        <w:t>Le nombre total de personnes se déclarant sans confession, athées ou agnostiques s</w:t>
      </w:r>
      <w:r w:rsidR="00784444">
        <w:t>’</w:t>
      </w:r>
      <w:r w:rsidRPr="00BD2C13">
        <w:t>élevait à 481 388 en 2016, soit une augmentation de 73,6 % par rapport au total de 2011 (277</w:t>
      </w:r>
      <w:r w:rsidR="00442A1F">
        <w:t> </w:t>
      </w:r>
      <w:r w:rsidRPr="00BD2C13">
        <w:t>237). Le nombre de personnes relevant de cette catégorie a été multiplié par sept depuis 1991, date à laquelle leur nombre total s</w:t>
      </w:r>
      <w:r w:rsidR="00784444">
        <w:t>’</w:t>
      </w:r>
      <w:r w:rsidRPr="00BD2C13">
        <w:t>élevait à seulement 67 413. Les hommes se déclarant « sans confession » étaient toujours plus nombreux que les femmes en 2016 et leur proportion s</w:t>
      </w:r>
      <w:r w:rsidR="00784444">
        <w:t>’</w:t>
      </w:r>
      <w:r w:rsidRPr="00BD2C13">
        <w:t>établissait à 55,6 %, quoiqu</w:t>
      </w:r>
      <w:r w:rsidR="00784444">
        <w:t>’</w:t>
      </w:r>
      <w:r w:rsidRPr="00BD2C13">
        <w:t>en recul par rapport aux 60,7 % enregistrés en 1991.</w:t>
      </w:r>
    </w:p>
    <w:p w14:paraId="0AD3E310" w14:textId="77777777" w:rsidR="00A874D5" w:rsidRPr="00BD2C13" w:rsidRDefault="00A874D5" w:rsidP="00A874D5">
      <w:pPr>
        <w:pStyle w:val="SingleTxtG"/>
      </w:pPr>
      <w:r w:rsidRPr="00BD2C13">
        <w:lastRenderedPageBreak/>
        <w:t>20.</w:t>
      </w:r>
      <w:r w:rsidRPr="00BD2C13">
        <w:tab/>
        <w:t>En termes de profils d</w:t>
      </w:r>
      <w:r w:rsidR="00784444">
        <w:t>’</w:t>
      </w:r>
      <w:r w:rsidRPr="00BD2C13">
        <w:t>âge, les personnes âgées de 30 à 34 ans sont plus nombreuses à se déclarer « sans confession » (12,1 %), tandis que les plus de 85 ans sont les moins nombreuses, 0,2 % seulement d</w:t>
      </w:r>
      <w:r w:rsidR="00784444">
        <w:t>’</w:t>
      </w:r>
      <w:r w:rsidRPr="00BD2C13">
        <w:t>entre elles se déclarant « sans confession ».</w:t>
      </w:r>
    </w:p>
    <w:p w14:paraId="7DBAA5DD" w14:textId="77777777" w:rsidR="00A874D5" w:rsidRPr="00BD2C13" w:rsidRDefault="00A874D5" w:rsidP="00A874D5">
      <w:pPr>
        <w:pStyle w:val="SingleTxtG"/>
      </w:pPr>
      <w:r w:rsidRPr="00BD2C13">
        <w:t>21.</w:t>
      </w:r>
      <w:r w:rsidRPr="00BD2C13">
        <w:tab/>
        <w:t>En 2016, les personnes ayant déclaré être « sans confession » représentaient 9,8 % de la population, contre 5,9 % en 2011, soit une augmentation de 198</w:t>
      </w:r>
      <w:r w:rsidR="00A17F3C">
        <w:t> </w:t>
      </w:r>
      <w:r w:rsidRPr="00BD2C13">
        <w:t>610 personnes au cours de cette période, portant leur total à 468 421 et faisant de la catégorie « sans confession » le deuxième groupe le plus important en 2016.</w:t>
      </w:r>
    </w:p>
    <w:p w14:paraId="7C7A134E" w14:textId="77777777" w:rsidR="00A874D5" w:rsidRPr="00BD2C13" w:rsidRDefault="00A874D5" w:rsidP="00A874D5">
      <w:pPr>
        <w:pStyle w:val="SingleTxtG"/>
      </w:pPr>
      <w:r w:rsidRPr="00BD2C13">
        <w:t>22.</w:t>
      </w:r>
      <w:r w:rsidRPr="00BD2C13">
        <w:tab/>
        <w:t>En avril 2016, l</w:t>
      </w:r>
      <w:r w:rsidR="00784444">
        <w:t>’</w:t>
      </w:r>
      <w:r w:rsidRPr="00BD2C13">
        <w:t>Église d</w:t>
      </w:r>
      <w:r w:rsidR="00784444">
        <w:t>’</w:t>
      </w:r>
      <w:r w:rsidRPr="00BD2C13">
        <w:t>Irlande comptait 126</w:t>
      </w:r>
      <w:r w:rsidR="0093087D" w:rsidRPr="00BD2C13">
        <w:t> </w:t>
      </w:r>
      <w:r w:rsidRPr="00BD2C13">
        <w:t>414 membres, soit une baisse de 2,0</w:t>
      </w:r>
      <w:r w:rsidR="0093087D" w:rsidRPr="00BD2C13">
        <w:t> </w:t>
      </w:r>
      <w:r w:rsidRPr="00BD2C13">
        <w:t>% par rapport à 2011. L</w:t>
      </w:r>
      <w:r w:rsidR="00784444">
        <w:t>’</w:t>
      </w:r>
      <w:r w:rsidRPr="00BD2C13">
        <w:t>âge moyen des membres de l</w:t>
      </w:r>
      <w:r w:rsidR="00784444">
        <w:t>’</w:t>
      </w:r>
      <w:r w:rsidRPr="00BD2C13">
        <w:t>Église d</w:t>
      </w:r>
      <w:r w:rsidR="00784444">
        <w:t>’</w:t>
      </w:r>
      <w:r w:rsidRPr="00BD2C13">
        <w:t>Irlande en 2016 était de 40,3</w:t>
      </w:r>
      <w:r w:rsidR="0093087D" w:rsidRPr="00BD2C13">
        <w:t> </w:t>
      </w:r>
      <w:r w:rsidRPr="00BD2C13">
        <w:t>ans, soit plus que la population générale dont l</w:t>
      </w:r>
      <w:r w:rsidR="00784444">
        <w:t>’</w:t>
      </w:r>
      <w:r w:rsidRPr="00BD2C13">
        <w:t>âge moyen s</w:t>
      </w:r>
      <w:r w:rsidR="00784444">
        <w:t>’</w:t>
      </w:r>
      <w:r w:rsidRPr="00BD2C13">
        <w:t>établissait à 37,4</w:t>
      </w:r>
      <w:r w:rsidR="0093087D" w:rsidRPr="00BD2C13">
        <w:t> </w:t>
      </w:r>
      <w:r w:rsidRPr="00BD2C13">
        <w:t>ans, et en hausse de 1,1</w:t>
      </w:r>
      <w:r w:rsidR="0093087D" w:rsidRPr="00BD2C13">
        <w:t> </w:t>
      </w:r>
      <w:r w:rsidRPr="00BD2C13">
        <w:t>an depuis 2011.</w:t>
      </w:r>
    </w:p>
    <w:p w14:paraId="724399A2" w14:textId="77777777" w:rsidR="00A874D5" w:rsidRPr="00BD2C13" w:rsidRDefault="00A874D5" w:rsidP="00A874D5">
      <w:pPr>
        <w:pStyle w:val="SingleTxtG"/>
      </w:pPr>
      <w:r w:rsidRPr="00BD2C13">
        <w:t>23.</w:t>
      </w:r>
      <w:r w:rsidRPr="00BD2C13">
        <w:tab/>
        <w:t>Il y avait 63</w:t>
      </w:r>
      <w:r w:rsidR="0093087D" w:rsidRPr="00BD2C13">
        <w:t> </w:t>
      </w:r>
      <w:r w:rsidRPr="00BD2C13">
        <w:t>443 musulmans en Irlande en avril 2016, soit 1,3</w:t>
      </w:r>
      <w:r w:rsidR="0093087D" w:rsidRPr="00BD2C13">
        <w:t> </w:t>
      </w:r>
      <w:r w:rsidRPr="00BD2C13">
        <w:t>% de la population, ce qui indique une croissance continue du nombre de musulmans. La communauté musulmane d</w:t>
      </w:r>
      <w:r w:rsidR="00784444">
        <w:t>’</w:t>
      </w:r>
      <w:r w:rsidRPr="00BD2C13">
        <w:t>Irlande est passée de 3</w:t>
      </w:r>
      <w:r w:rsidR="0093087D" w:rsidRPr="00BD2C13">
        <w:t> </w:t>
      </w:r>
      <w:r w:rsidRPr="00BD2C13">
        <w:t>875 personnes en 1991, à 19</w:t>
      </w:r>
      <w:r w:rsidR="0093087D" w:rsidRPr="00BD2C13">
        <w:t> </w:t>
      </w:r>
      <w:r w:rsidRPr="00BD2C13">
        <w:t>147 en 2002, 32</w:t>
      </w:r>
      <w:r w:rsidR="0093087D" w:rsidRPr="00BD2C13">
        <w:t> </w:t>
      </w:r>
      <w:r w:rsidRPr="00BD2C13">
        <w:t>539 en 2006 et 49</w:t>
      </w:r>
      <w:r w:rsidR="0093087D" w:rsidRPr="00BD2C13">
        <w:t> </w:t>
      </w:r>
      <w:r w:rsidRPr="00BD2C13">
        <w:t>204 en 2011. Le nombre de musulmans a pratiquement doublé depuis 2006, ce qui représente une augmentation de 95</w:t>
      </w:r>
      <w:r w:rsidR="0093087D" w:rsidRPr="00BD2C13">
        <w:t> </w:t>
      </w:r>
      <w:r w:rsidRPr="00BD2C13">
        <w:t>%.</w:t>
      </w:r>
    </w:p>
    <w:p w14:paraId="2669D743" w14:textId="77777777" w:rsidR="00A874D5" w:rsidRPr="00BD2C13" w:rsidRDefault="00A874D5" w:rsidP="00A874D5">
      <w:pPr>
        <w:pStyle w:val="SingleTxtG"/>
      </w:pPr>
      <w:r w:rsidRPr="00BD2C13">
        <w:t>24.</w:t>
      </w:r>
      <w:r w:rsidRPr="00BD2C13">
        <w:tab/>
        <w:t>Depuis 1991, le christianisme orthodoxe est la religion qui connaît la plus forte croissance en Irlande. En avril 2016, le nombre de chrétiens orthodoxes s</w:t>
      </w:r>
      <w:r w:rsidR="00784444">
        <w:t>’</w:t>
      </w:r>
      <w:r w:rsidRPr="00BD2C13">
        <w:t>établissait à 62 187, en hausse de 37,5</w:t>
      </w:r>
      <w:r w:rsidR="0093087D" w:rsidRPr="00BD2C13">
        <w:t> </w:t>
      </w:r>
      <w:r w:rsidRPr="00BD2C13">
        <w:t>% par rapport à 2011 (45</w:t>
      </w:r>
      <w:r w:rsidR="0093087D" w:rsidRPr="00BD2C13">
        <w:t> </w:t>
      </w:r>
      <w:r w:rsidRPr="00BD2C13">
        <w:t>223), soit plus de trois fois le nombre enregistré en 2006 (20 798).</w:t>
      </w:r>
    </w:p>
    <w:p w14:paraId="4573DF1C" w14:textId="77777777" w:rsidR="00A874D5" w:rsidRPr="00BD2C13" w:rsidRDefault="00A874D5" w:rsidP="00A874D5">
      <w:pPr>
        <w:pStyle w:val="SingleTxtG"/>
      </w:pPr>
      <w:r w:rsidRPr="00BD2C13">
        <w:t>25.</w:t>
      </w:r>
      <w:r w:rsidRPr="00BD2C13">
        <w:tab/>
        <w:t>Entre 2011 et 2016, le nombre de presbytériens a légèrement diminué, passant de 24 600 à 24 211, mais leur nombre reste supérieur à celui de 2006 (23 546).</w:t>
      </w:r>
    </w:p>
    <w:p w14:paraId="094310BD" w14:textId="77777777" w:rsidR="00A874D5" w:rsidRPr="00BD2C13" w:rsidRDefault="00A874D5" w:rsidP="00A874D5">
      <w:pPr>
        <w:pStyle w:val="SingleTxtG"/>
      </w:pPr>
      <w:r w:rsidRPr="00BD2C13">
        <w:t>26.</w:t>
      </w:r>
      <w:r w:rsidRPr="00BD2C13">
        <w:tab/>
        <w:t>La population apostolique et pentecôtiste d</w:t>
      </w:r>
      <w:r w:rsidR="00784444">
        <w:t>’</w:t>
      </w:r>
      <w:r w:rsidRPr="00BD2C13">
        <w:t xml:space="preserve">Irlande a considérablement augmenté au cours des </w:t>
      </w:r>
      <w:r w:rsidR="0093087D" w:rsidRPr="00BD2C13">
        <w:t>quatorze</w:t>
      </w:r>
      <w:r w:rsidRPr="00BD2C13">
        <w:t xml:space="preserve"> dernières années, passant de 3</w:t>
      </w:r>
      <w:r w:rsidR="0093087D" w:rsidRPr="00BD2C13">
        <w:t> </w:t>
      </w:r>
      <w:r w:rsidRPr="00BD2C13">
        <w:t>152 personnes seulement en 2002 à 13</w:t>
      </w:r>
      <w:r w:rsidR="0093087D" w:rsidRPr="00BD2C13">
        <w:t> </w:t>
      </w:r>
      <w:r w:rsidRPr="00BD2C13">
        <w:t>350 en 2016. Cela représente un taux de croissance annualisé de plus de 10,9</w:t>
      </w:r>
      <w:r w:rsidR="0093087D" w:rsidRPr="00BD2C13">
        <w:t> </w:t>
      </w:r>
      <w:r w:rsidRPr="00BD2C13">
        <w:t>%. L</w:t>
      </w:r>
      <w:r w:rsidR="00784444">
        <w:t>’</w:t>
      </w:r>
      <w:r w:rsidRPr="00BD2C13">
        <w:t>âge moyen de cette population n</w:t>
      </w:r>
      <w:r w:rsidR="00784444">
        <w:t>’</w:t>
      </w:r>
      <w:r w:rsidRPr="00BD2C13">
        <w:t>était que de 25,3</w:t>
      </w:r>
      <w:r w:rsidR="0093087D" w:rsidRPr="00BD2C13">
        <w:t> </w:t>
      </w:r>
      <w:r w:rsidRPr="00BD2C13">
        <w:t>ans en 2016, ce qui est nettement inférieur à celui de la population générale et s</w:t>
      </w:r>
      <w:r w:rsidR="00784444">
        <w:t>’</w:t>
      </w:r>
      <w:r w:rsidRPr="00BD2C13">
        <w:t>explique par la très forte proportion de jeunes de moins de 20</w:t>
      </w:r>
      <w:r w:rsidR="0093087D" w:rsidRPr="00BD2C13">
        <w:t> </w:t>
      </w:r>
      <w:r w:rsidRPr="00BD2C13">
        <w:t>ans appartenant à cette confession religieuse.</w:t>
      </w:r>
    </w:p>
    <w:p w14:paraId="6CE5D4C9" w14:textId="77777777" w:rsidR="00A874D5" w:rsidRPr="00BD2C13" w:rsidRDefault="00A874D5" w:rsidP="00A874D5">
      <w:pPr>
        <w:pStyle w:val="SingleTxtG"/>
      </w:pPr>
      <w:r w:rsidRPr="00BD2C13">
        <w:t>27.</w:t>
      </w:r>
      <w:r w:rsidRPr="00BD2C13">
        <w:tab/>
        <w:t>Le nombre d</w:t>
      </w:r>
      <w:r w:rsidR="00784444">
        <w:t>’</w:t>
      </w:r>
      <w:r w:rsidR="00E84359">
        <w:t>H</w:t>
      </w:r>
      <w:r w:rsidRPr="00E84359">
        <w:t>indous</w:t>
      </w:r>
      <w:r w:rsidRPr="00BD2C13">
        <w:t xml:space="preserve"> a augmenté de 135,6</w:t>
      </w:r>
      <w:r w:rsidR="0093087D" w:rsidRPr="00BD2C13">
        <w:t> </w:t>
      </w:r>
      <w:r w:rsidRPr="00BD2C13">
        <w:t>% entre 2006 et 2016, passant de 6</w:t>
      </w:r>
      <w:r w:rsidR="0093087D" w:rsidRPr="00BD2C13">
        <w:t> </w:t>
      </w:r>
      <w:r w:rsidRPr="00BD2C13">
        <w:t>082 à 14</w:t>
      </w:r>
      <w:r w:rsidR="0093087D" w:rsidRPr="00BD2C13">
        <w:t> </w:t>
      </w:r>
      <w:r w:rsidRPr="00BD2C13">
        <w:t>332 personnes au cours de cette période.</w:t>
      </w:r>
    </w:p>
    <w:p w14:paraId="482110B7" w14:textId="77777777" w:rsidR="00A874D5" w:rsidRPr="00BD2C13" w:rsidRDefault="00A874D5" w:rsidP="00A874D5">
      <w:pPr>
        <w:pStyle w:val="SingleTxtG"/>
      </w:pPr>
      <w:r w:rsidRPr="00BD2C13">
        <w:t>28.</w:t>
      </w:r>
      <w:r w:rsidRPr="00BD2C13">
        <w:tab/>
        <w:t>En avril 2016, on comptait 427</w:t>
      </w:r>
      <w:r w:rsidR="00053D23" w:rsidRPr="00BD2C13">
        <w:t> </w:t>
      </w:r>
      <w:r w:rsidRPr="00BD2C13">
        <w:t>128 étudiants âgés de 15</w:t>
      </w:r>
      <w:r w:rsidR="00053D23" w:rsidRPr="00BD2C13">
        <w:t> </w:t>
      </w:r>
      <w:r w:rsidRPr="00BD2C13">
        <w:t>ans et plus, soit une augmentation de 4,5</w:t>
      </w:r>
      <w:r w:rsidR="00053D23" w:rsidRPr="00BD2C13">
        <w:t> </w:t>
      </w:r>
      <w:r w:rsidRPr="00BD2C13">
        <w:t>% par rapport à 2011. Les garçons représentent 49,4</w:t>
      </w:r>
      <w:r w:rsidR="00053D23" w:rsidRPr="00BD2C13">
        <w:t> </w:t>
      </w:r>
      <w:r w:rsidRPr="00BD2C13">
        <w:t>% de cette population étudiante, contre 49,2</w:t>
      </w:r>
      <w:r w:rsidR="00053D23" w:rsidRPr="00BD2C13">
        <w:t> </w:t>
      </w:r>
      <w:r w:rsidRPr="00BD2C13">
        <w:t>% en 2011. Les femmes représentent quant à elles 59,5</w:t>
      </w:r>
      <w:r w:rsidR="00053D23" w:rsidRPr="00BD2C13">
        <w:t> </w:t>
      </w:r>
      <w:r w:rsidRPr="00BD2C13">
        <w:t>% de la population étudiante âgée de 19 à 22</w:t>
      </w:r>
      <w:r w:rsidR="00053D23" w:rsidRPr="00BD2C13">
        <w:t> </w:t>
      </w:r>
      <w:r w:rsidRPr="00BD2C13">
        <w:t>ans, contre 52,8</w:t>
      </w:r>
      <w:r w:rsidR="00053D23" w:rsidRPr="00BD2C13">
        <w:t> </w:t>
      </w:r>
      <w:r w:rsidRPr="00BD2C13">
        <w:t>% pour les hommes. En 2017, 53 % de la population âgée de 30 à 34</w:t>
      </w:r>
      <w:r w:rsidR="00053D23" w:rsidRPr="00BD2C13">
        <w:t> </w:t>
      </w:r>
      <w:r w:rsidRPr="00BD2C13">
        <w:t>ans avait achevé des études supérieures. La proportion des 18-24</w:t>
      </w:r>
      <w:r w:rsidR="00053D23" w:rsidRPr="00BD2C13">
        <w:t> </w:t>
      </w:r>
      <w:r w:rsidRPr="00BD2C13">
        <w:t>ans ayant quitté l</w:t>
      </w:r>
      <w:r w:rsidR="00784444">
        <w:t>’</w:t>
      </w:r>
      <w:r w:rsidRPr="00BD2C13">
        <w:t>école après avoir achevé au mieux le premier cycle de l</w:t>
      </w:r>
      <w:r w:rsidR="00784444">
        <w:t>’</w:t>
      </w:r>
      <w:r w:rsidRPr="00BD2C13">
        <w:t>enseignement secondaire était de 5</w:t>
      </w:r>
      <w:r w:rsidR="00053D23" w:rsidRPr="00BD2C13">
        <w:t> </w:t>
      </w:r>
      <w:r w:rsidRPr="00BD2C13">
        <w:t>% en 2017.</w:t>
      </w:r>
    </w:p>
    <w:p w14:paraId="378B1353" w14:textId="77777777" w:rsidR="00A874D5" w:rsidRPr="00BD2C13" w:rsidRDefault="00A874D5" w:rsidP="00A874D5">
      <w:pPr>
        <w:pStyle w:val="SingleTxtG"/>
      </w:pPr>
      <w:r w:rsidRPr="00BD2C13">
        <w:t>29.</w:t>
      </w:r>
      <w:r w:rsidRPr="00BD2C13">
        <w:tab/>
        <w:t>En Irlande, le score moyen ajusté des adultes sur l</w:t>
      </w:r>
      <w:r w:rsidR="00784444">
        <w:t>’</w:t>
      </w:r>
      <w:r w:rsidRPr="00BD2C13">
        <w:t>échelle d</w:t>
      </w:r>
      <w:r w:rsidR="00784444">
        <w:t>’</w:t>
      </w:r>
      <w:r w:rsidRPr="00BD2C13">
        <w:t>instruction (1</w:t>
      </w:r>
      <w:r w:rsidR="00AD48F8">
        <w:t>-</w:t>
      </w:r>
      <w:r w:rsidRPr="00BD2C13">
        <w:t>500) est de 266, comparé à une moyenne de 270 observée dans le cadre de l</w:t>
      </w:r>
      <w:r w:rsidR="00784444">
        <w:t>’</w:t>
      </w:r>
      <w:r w:rsidRPr="00BD2C13">
        <w:t>étude. Cinq niveaux d</w:t>
      </w:r>
      <w:r w:rsidR="00784444">
        <w:t>’</w:t>
      </w:r>
      <w:r w:rsidRPr="00BD2C13">
        <w:t>instruction ont été définis, et les adultes en Irlande se répartissent comme suit</w:t>
      </w:r>
      <w:r w:rsidR="00053D23" w:rsidRPr="00BD2C13">
        <w:t> </w:t>
      </w:r>
      <w:r w:rsidRPr="00BD2C13">
        <w:t>:</w:t>
      </w:r>
    </w:p>
    <w:p w14:paraId="6D711EA2" w14:textId="77777777" w:rsidR="00A874D5" w:rsidRPr="00BD2C13" w:rsidRDefault="00A874D5" w:rsidP="00053D23">
      <w:pPr>
        <w:pStyle w:val="SingleTxtG"/>
        <w:ind w:firstLine="567"/>
      </w:pPr>
      <w:r w:rsidRPr="00BD2C13">
        <w:t>a)</w:t>
      </w:r>
      <w:r w:rsidRPr="00BD2C13">
        <w:tab/>
        <w:t>Niveau 1 ou inférieur (1-225) = 17,9 %</w:t>
      </w:r>
      <w:r w:rsidR="00053D23" w:rsidRPr="00BD2C13">
        <w:t> </w:t>
      </w:r>
      <w:r w:rsidRPr="00BD2C13">
        <w:t>;</w:t>
      </w:r>
    </w:p>
    <w:p w14:paraId="27B111A2" w14:textId="77777777" w:rsidR="00A874D5" w:rsidRPr="00BD2C13" w:rsidRDefault="00A874D5" w:rsidP="00053D23">
      <w:pPr>
        <w:pStyle w:val="SingleTxtG"/>
        <w:ind w:firstLine="567"/>
      </w:pPr>
      <w:r w:rsidRPr="00BD2C13">
        <w:t>b)</w:t>
      </w:r>
      <w:r w:rsidRPr="00BD2C13">
        <w:tab/>
        <w:t>Niveau 2 (226-275) = 37,6 %</w:t>
      </w:r>
      <w:r w:rsidR="00053D23" w:rsidRPr="00BD2C13">
        <w:t> </w:t>
      </w:r>
      <w:r w:rsidRPr="00BD2C13">
        <w:t>;</w:t>
      </w:r>
    </w:p>
    <w:p w14:paraId="4EFE332A" w14:textId="77777777" w:rsidR="00A874D5" w:rsidRPr="00BD2C13" w:rsidRDefault="00A874D5" w:rsidP="00053D23">
      <w:pPr>
        <w:pStyle w:val="SingleTxtG"/>
        <w:ind w:firstLine="567"/>
      </w:pPr>
      <w:r w:rsidRPr="00BD2C13">
        <w:t>c)</w:t>
      </w:r>
      <w:r w:rsidRPr="00BD2C13">
        <w:tab/>
        <w:t>Niveau 3 (276-325) = 36 %</w:t>
      </w:r>
      <w:r w:rsidR="00053D23" w:rsidRPr="00BD2C13">
        <w:t> </w:t>
      </w:r>
      <w:r w:rsidRPr="00BD2C13">
        <w:t>;</w:t>
      </w:r>
    </w:p>
    <w:p w14:paraId="08FDBEC2" w14:textId="77777777" w:rsidR="00A874D5" w:rsidRPr="00BD2C13" w:rsidRDefault="00A874D5" w:rsidP="00053D23">
      <w:pPr>
        <w:pStyle w:val="SingleTxtG"/>
        <w:ind w:firstLine="567"/>
      </w:pPr>
      <w:r w:rsidRPr="00BD2C13">
        <w:t>d)</w:t>
      </w:r>
      <w:r w:rsidRPr="00BD2C13">
        <w:tab/>
        <w:t>Niveau 4 (326-375) = 8,1 %</w:t>
      </w:r>
      <w:r w:rsidR="00053D23" w:rsidRPr="00BD2C13">
        <w:t> </w:t>
      </w:r>
      <w:r w:rsidRPr="00BD2C13">
        <w:t>;</w:t>
      </w:r>
    </w:p>
    <w:p w14:paraId="098BCC8E" w14:textId="77777777" w:rsidR="00A874D5" w:rsidRPr="00BD2C13" w:rsidRDefault="00A874D5" w:rsidP="00053D23">
      <w:pPr>
        <w:pStyle w:val="SingleTxtG"/>
        <w:ind w:firstLine="567"/>
      </w:pPr>
      <w:r w:rsidRPr="00BD2C13">
        <w:t>e)</w:t>
      </w:r>
      <w:r w:rsidRPr="00BD2C13">
        <w:tab/>
        <w:t>Niveau 5 (376-500) = 0,4 %.</w:t>
      </w:r>
    </w:p>
    <w:p w14:paraId="53332047" w14:textId="77777777" w:rsidR="00A874D5" w:rsidRPr="00BD2C13" w:rsidRDefault="00A874D5" w:rsidP="00A874D5">
      <w:pPr>
        <w:pStyle w:val="SingleTxtG"/>
      </w:pPr>
      <w:r w:rsidRPr="00BD2C13">
        <w:t>30.</w:t>
      </w:r>
      <w:r w:rsidRPr="00BD2C13">
        <w:tab/>
        <w:t>Le nombre de nouveaux logements construits a diminué pour s</w:t>
      </w:r>
      <w:r w:rsidR="00784444">
        <w:t>’</w:t>
      </w:r>
      <w:r w:rsidRPr="00BD2C13">
        <w:t>établir à 4</w:t>
      </w:r>
      <w:r w:rsidR="007E2A8B" w:rsidRPr="00BD2C13">
        <w:t> </w:t>
      </w:r>
      <w:r w:rsidRPr="00BD2C13">
        <w:t>575 en 2013. Cependant, au cours des cinq années suivantes, le nombre de nouveaux logements construits a augmenté régulièrement chaque année pour atteindre 18</w:t>
      </w:r>
      <w:r w:rsidR="007E2A8B" w:rsidRPr="00BD2C13">
        <w:t> </w:t>
      </w:r>
      <w:r w:rsidRPr="00BD2C13">
        <w:t>072 unités en 2018.</w:t>
      </w:r>
    </w:p>
    <w:p w14:paraId="6B6A2293" w14:textId="1FEA7318" w:rsidR="00A874D5" w:rsidRPr="00BD2C13" w:rsidRDefault="00A874D5" w:rsidP="00A874D5">
      <w:pPr>
        <w:pStyle w:val="SingleTxtG"/>
      </w:pPr>
      <w:r w:rsidRPr="00BD2C13">
        <w:t>31.</w:t>
      </w:r>
      <w:r w:rsidRPr="00BD2C13">
        <w:tab/>
        <w:t>Pour des données statistiques plus complètes sur les évolutions démographiques, économiques, sociales et culturelles de l</w:t>
      </w:r>
      <w:r w:rsidR="00784444">
        <w:t>’</w:t>
      </w:r>
      <w:r w:rsidRPr="00BD2C13">
        <w:t xml:space="preserve">Irlande, voir les annexes statistiques au présent </w:t>
      </w:r>
      <w:r w:rsidRPr="00BD2C13">
        <w:lastRenderedPageBreak/>
        <w:t>document et les informations compilées par l</w:t>
      </w:r>
      <w:r w:rsidR="00784444">
        <w:t>’</w:t>
      </w:r>
      <w:r w:rsidRPr="00BD2C13">
        <w:t>Office central de statistique, qui peuvent être consultées sur le site Web du Bureau (</w:t>
      </w:r>
      <w:hyperlink r:id="rId12" w:history="1">
        <w:r w:rsidRPr="00BD2C13">
          <w:rPr>
            <w:rStyle w:val="Lienhypertexte"/>
          </w:rPr>
          <w:t>www.cso.ie</w:t>
        </w:r>
      </w:hyperlink>
      <w:r w:rsidRPr="00BD2C13">
        <w:t>).</w:t>
      </w:r>
    </w:p>
    <w:p w14:paraId="61BD58FC" w14:textId="77777777" w:rsidR="00A874D5" w:rsidRPr="00BD2C13" w:rsidRDefault="007E2A8B" w:rsidP="007E2A8B">
      <w:pPr>
        <w:pStyle w:val="H1G"/>
      </w:pPr>
      <w:bookmarkStart w:id="6" w:name="_Toc17908524"/>
      <w:bookmarkEnd w:id="5"/>
      <w:r w:rsidRPr="00BD2C13">
        <w:tab/>
      </w:r>
      <w:r w:rsidR="00A874D5" w:rsidRPr="00BD2C13">
        <w:t>B.</w:t>
      </w:r>
      <w:r w:rsidR="00A874D5" w:rsidRPr="00BD2C13">
        <w:tab/>
        <w:t>Structure constitutionnelle, politique et juridique</w:t>
      </w:r>
    </w:p>
    <w:p w14:paraId="380BB7DB" w14:textId="77777777" w:rsidR="00A874D5" w:rsidRPr="00BD2C13" w:rsidRDefault="007E2A8B" w:rsidP="007E2A8B">
      <w:pPr>
        <w:pStyle w:val="H23G"/>
      </w:pPr>
      <w:r w:rsidRPr="00BD2C13">
        <w:tab/>
      </w:r>
      <w:r w:rsidR="00A874D5" w:rsidRPr="00BD2C13">
        <w:t>1.</w:t>
      </w:r>
      <w:r w:rsidR="00A874D5" w:rsidRPr="00BD2C13">
        <w:tab/>
        <w:t>La Constitution de l</w:t>
      </w:r>
      <w:r w:rsidR="00784444">
        <w:t>’</w:t>
      </w:r>
      <w:r w:rsidR="00A874D5" w:rsidRPr="00BD2C13">
        <w:t>Irlande (</w:t>
      </w:r>
      <w:proofErr w:type="spellStart"/>
      <w:r w:rsidR="00A874D5" w:rsidRPr="00BD2C13">
        <w:t>Bunreacht</w:t>
      </w:r>
      <w:proofErr w:type="spellEnd"/>
      <w:r w:rsidR="00A874D5" w:rsidRPr="00BD2C13">
        <w:t xml:space="preserve"> na </w:t>
      </w:r>
      <w:proofErr w:type="spellStart"/>
      <w:r w:rsidR="00A874D5" w:rsidRPr="00BD2C13">
        <w:t>h</w:t>
      </w:r>
      <w:bookmarkStart w:id="7" w:name="OLE_LINK13"/>
      <w:bookmarkStart w:id="8" w:name="OLE_LINK14"/>
      <w:r w:rsidR="00A874D5" w:rsidRPr="00BD2C13">
        <w:t>É</w:t>
      </w:r>
      <w:bookmarkEnd w:id="7"/>
      <w:bookmarkEnd w:id="8"/>
      <w:r w:rsidR="00A874D5" w:rsidRPr="00BD2C13">
        <w:t>ireann</w:t>
      </w:r>
      <w:proofErr w:type="spellEnd"/>
      <w:r w:rsidR="00A874D5" w:rsidRPr="00BD2C13">
        <w:t>)</w:t>
      </w:r>
      <w:bookmarkEnd w:id="6"/>
    </w:p>
    <w:p w14:paraId="34990D26" w14:textId="77777777" w:rsidR="00A874D5" w:rsidRPr="00BD2C13" w:rsidRDefault="00A874D5" w:rsidP="00A874D5">
      <w:pPr>
        <w:pStyle w:val="SingleTxtG"/>
      </w:pPr>
      <w:bookmarkStart w:id="9" w:name="_Ref8131257"/>
      <w:r w:rsidRPr="00BD2C13">
        <w:t>32.</w:t>
      </w:r>
      <w:r w:rsidRPr="00BD2C13">
        <w:tab/>
        <w:t>La Constitution de l</w:t>
      </w:r>
      <w:r w:rsidR="00784444">
        <w:t>’</w:t>
      </w:r>
      <w:r w:rsidRPr="00BD2C13">
        <w:t xml:space="preserve">Irlande (ou, en irlandais, </w:t>
      </w:r>
      <w:proofErr w:type="spellStart"/>
      <w:r w:rsidRPr="00BD2C13">
        <w:t>Bunreacht</w:t>
      </w:r>
      <w:proofErr w:type="spellEnd"/>
      <w:r w:rsidRPr="00BD2C13">
        <w:t xml:space="preserve"> na </w:t>
      </w:r>
      <w:proofErr w:type="spellStart"/>
      <w:r w:rsidRPr="00BD2C13">
        <w:t>hÉireann</w:t>
      </w:r>
      <w:proofErr w:type="spellEnd"/>
      <w:r w:rsidRPr="00BD2C13">
        <w:t>) est la loi fondamentale de l</w:t>
      </w:r>
      <w:r w:rsidR="00784444">
        <w:t>’</w:t>
      </w:r>
      <w:r w:rsidRPr="00BD2C13">
        <w:t xml:space="preserve">État. Adoptée par </w:t>
      </w:r>
      <w:proofErr w:type="spellStart"/>
      <w:r w:rsidRPr="00BD2C13">
        <w:t>référendum</w:t>
      </w:r>
      <w:proofErr w:type="spellEnd"/>
      <w:r w:rsidRPr="00BD2C13">
        <w:t xml:space="preserve"> en 1937, elle succède à la Constitution du </w:t>
      </w:r>
      <w:proofErr w:type="spellStart"/>
      <w:r w:rsidRPr="00BD2C13">
        <w:t>Dáil</w:t>
      </w:r>
      <w:proofErr w:type="spellEnd"/>
      <w:r w:rsidRPr="00BD2C13">
        <w:t xml:space="preserve"> </w:t>
      </w:r>
      <w:proofErr w:type="spellStart"/>
      <w:r w:rsidRPr="00BD2C13">
        <w:t>Éireann</w:t>
      </w:r>
      <w:proofErr w:type="spellEnd"/>
      <w:r w:rsidRPr="00BD2C13">
        <w:t xml:space="preserve"> (Chambre des députés) de 1919 et à la Constitution de l</w:t>
      </w:r>
      <w:r w:rsidR="00784444">
        <w:t>’</w:t>
      </w:r>
      <w:r w:rsidRPr="00BD2C13">
        <w:t>État libre d</w:t>
      </w:r>
      <w:r w:rsidR="00784444">
        <w:t>’</w:t>
      </w:r>
      <w:r w:rsidRPr="00BD2C13">
        <w:t>Irlande de 1922. Elle établit les institutions et l</w:t>
      </w:r>
      <w:r w:rsidR="00784444">
        <w:t>’</w:t>
      </w:r>
      <w:r w:rsidRPr="00BD2C13">
        <w:t>appareil de l</w:t>
      </w:r>
      <w:r w:rsidR="00784444">
        <w:t>’</w:t>
      </w:r>
      <w:r w:rsidRPr="00BD2C13">
        <w:t>État et consacre la séparation des pouvoirs en trois branches</w:t>
      </w:r>
      <w:r w:rsidR="00AD48F8">
        <w:t> </w:t>
      </w:r>
      <w:r w:rsidRPr="00BD2C13">
        <w:t>: exécutive, législative et judiciaire. Elle définit les pouvoirs du Président, de l</w:t>
      </w:r>
      <w:r w:rsidR="00784444">
        <w:t>’</w:t>
      </w:r>
      <w:proofErr w:type="spellStart"/>
      <w:r w:rsidRPr="00BD2C13">
        <w:t>Oireachtas</w:t>
      </w:r>
      <w:proofErr w:type="spellEnd"/>
      <w:r w:rsidRPr="00BD2C13">
        <w:t xml:space="preserve"> (Parlement) et du Gouvernement ainsi que la structure et les pouvoirs des tribunaux. La Constitution dispose que la source de tous les pouvoirs − législatif, exécutif et</w:t>
      </w:r>
      <w:r w:rsidR="00C978AD" w:rsidRPr="00BD2C13">
        <w:t xml:space="preserve"> </w:t>
      </w:r>
      <w:r w:rsidRPr="00BD2C13">
        <w:t>judiciaire </w:t>
      </w:r>
      <w:r w:rsidR="00C978AD" w:rsidRPr="00BD2C13">
        <w:t>−</w:t>
      </w:r>
      <w:r w:rsidRPr="00BD2C13">
        <w:t xml:space="preserve"> émane du peuple. Elle garantit également aux citoyens des droits fondamentaux, droits qui ont été interprétés rigoureusement et invoqués par les tribunaux.</w:t>
      </w:r>
      <w:bookmarkEnd w:id="9"/>
    </w:p>
    <w:p w14:paraId="6E9A344F" w14:textId="77777777" w:rsidR="00DE1FDF" w:rsidRPr="00BD2C13" w:rsidRDefault="00A874D5" w:rsidP="00A874D5">
      <w:pPr>
        <w:pStyle w:val="SingleTxtG"/>
      </w:pPr>
      <w:bookmarkStart w:id="10" w:name="_Hlk37856437"/>
      <w:bookmarkStart w:id="11" w:name="_Hlk37338945"/>
      <w:r w:rsidRPr="00BD2C13">
        <w:t>33.</w:t>
      </w:r>
      <w:r w:rsidRPr="00BD2C13">
        <w:tab/>
        <w:t>La Constitution prévoit que l</w:t>
      </w:r>
      <w:r w:rsidR="00784444">
        <w:t>’</w:t>
      </w:r>
      <w:proofErr w:type="spellStart"/>
      <w:r w:rsidRPr="00BD2C13">
        <w:t>Oireachtas</w:t>
      </w:r>
      <w:proofErr w:type="spellEnd"/>
      <w:r w:rsidRPr="00BD2C13">
        <w:t xml:space="preserve"> ne peut adopter de lois qui seraient, de quelque manière que ce soit, contraires à l</w:t>
      </w:r>
      <w:r w:rsidR="00784444">
        <w:t>’</w:t>
      </w:r>
      <w:r w:rsidRPr="00BD2C13">
        <w:t xml:space="preserve">une quelconque de ses dispositions. Toute loi promulguée qui est jugée incompatible avec la Constitution est, dans la mesure seulement où elle lui est contraire, nulle et non avenue. Seules la </w:t>
      </w:r>
      <w:r w:rsidRPr="00FA44F5">
        <w:rPr>
          <w:i/>
        </w:rPr>
        <w:t>High Court</w:t>
      </w:r>
      <w:bookmarkStart w:id="12" w:name="_Hlk37339156"/>
      <w:r w:rsidR="00E84359">
        <w:t xml:space="preserve">, la Cour </w:t>
      </w:r>
      <w:bookmarkEnd w:id="10"/>
      <w:r w:rsidR="00E84359">
        <w:t xml:space="preserve">d’appel </w:t>
      </w:r>
      <w:r w:rsidRPr="00BD2C13">
        <w:t xml:space="preserve">et </w:t>
      </w:r>
      <w:bookmarkEnd w:id="11"/>
      <w:r w:rsidRPr="00BD2C13">
        <w:t>la Cour suprême sont compétentes pour examiner la question de la validité d</w:t>
      </w:r>
      <w:r w:rsidR="00784444">
        <w:t>’</w:t>
      </w:r>
      <w:r w:rsidRPr="00BD2C13">
        <w:t>une loi au regard de la Constitution. Le contrôle juridictionnel est un mécanisme qui permet à un particulier de contester la</w:t>
      </w:r>
      <w:r w:rsidR="00C978AD" w:rsidRPr="00BD2C13">
        <w:t xml:space="preserve"> </w:t>
      </w:r>
      <w:r w:rsidRPr="00BD2C13">
        <w:t>constitutionnalité d</w:t>
      </w:r>
      <w:r w:rsidR="00784444">
        <w:t>’</w:t>
      </w:r>
      <w:r w:rsidRPr="00BD2C13">
        <w:t>une loi</w:t>
      </w:r>
      <w:bookmarkEnd w:id="12"/>
      <w:r w:rsidR="0053367A">
        <w:t> </w:t>
      </w:r>
      <w:r w:rsidRPr="00BD2C13">
        <w:t>; il est expliqué plus en détail ci-dessous (par. 96 à 98).</w:t>
      </w:r>
    </w:p>
    <w:p w14:paraId="2CD59BCF" w14:textId="77777777" w:rsidR="00C978AD" w:rsidRPr="00BD2C13" w:rsidRDefault="00C978AD" w:rsidP="00C978AD">
      <w:pPr>
        <w:pStyle w:val="SingleTxtG"/>
      </w:pPr>
      <w:r w:rsidRPr="00BD2C13">
        <w:t>34.</w:t>
      </w:r>
      <w:r w:rsidRPr="00BD2C13">
        <w:tab/>
        <w:t>La Constitution de l</w:t>
      </w:r>
      <w:r w:rsidR="00784444">
        <w:t>’</w:t>
      </w:r>
      <w:r w:rsidRPr="00BD2C13">
        <w:t>Irlande ne peut être modifiée que par l</w:t>
      </w:r>
      <w:r w:rsidR="00784444">
        <w:t>’</w:t>
      </w:r>
      <w:r w:rsidRPr="00BD2C13">
        <w:t>adoption, à la majorité simple des deux chambres de l</w:t>
      </w:r>
      <w:r w:rsidR="00784444">
        <w:t>’</w:t>
      </w:r>
      <w:proofErr w:type="spellStart"/>
      <w:r w:rsidRPr="00BD2C13">
        <w:t>Oireachtas</w:t>
      </w:r>
      <w:proofErr w:type="spellEnd"/>
      <w:r w:rsidRPr="00BD2C13">
        <w:t>, d</w:t>
      </w:r>
      <w:r w:rsidR="00784444">
        <w:t>’</w:t>
      </w:r>
      <w:r w:rsidRPr="00BD2C13">
        <w:t xml:space="preserve">un projet de loi spécifique qui doit ensuite être approuvé par </w:t>
      </w:r>
      <w:proofErr w:type="spellStart"/>
      <w:r w:rsidRPr="00BD2C13">
        <w:t>référendum</w:t>
      </w:r>
      <w:proofErr w:type="spellEnd"/>
      <w:r w:rsidRPr="00BD2C13">
        <w:t xml:space="preserve">. Entre la date de son adoption et 2019, la Constitution a été modifiée à 30 reprises par voie référendaire. </w:t>
      </w:r>
      <w:bookmarkStart w:id="13" w:name="_Hlk31371427"/>
      <w:bookmarkStart w:id="14" w:name="OLE_LINK9"/>
      <w:bookmarkStart w:id="15" w:name="OLE_LINK10"/>
      <w:r w:rsidRPr="00BD2C13">
        <w:t>Depuis la soumission du dernier document de base, en 2014, l</w:t>
      </w:r>
      <w:r w:rsidR="00784444">
        <w:t>’</w:t>
      </w:r>
      <w:r w:rsidRPr="00BD2C13">
        <w:t>électorat s</w:t>
      </w:r>
      <w:r w:rsidR="00784444">
        <w:t>’</w:t>
      </w:r>
      <w:r w:rsidRPr="00BD2C13">
        <w:t xml:space="preserve">est exprimé quatre fois par </w:t>
      </w:r>
      <w:proofErr w:type="spellStart"/>
      <w:r w:rsidRPr="00BD2C13">
        <w:t>référendum</w:t>
      </w:r>
      <w:proofErr w:type="spellEnd"/>
      <w:r w:rsidRPr="00BD2C13">
        <w:t xml:space="preserve"> pour la modifier : pour autoriser le mariage de couples de même sexe, légiférer sur l</w:t>
      </w:r>
      <w:r w:rsidR="00784444">
        <w:t>’</w:t>
      </w:r>
      <w:r w:rsidRPr="00BD2C13">
        <w:t>interruption volontaire de grossesse, abroger le délit de blasphème dans la Constitution et modifier les dispositions constitutionnelles relatives à la dissolution du mariage. En mai 2015, une proposition de modification de la Constitution visant à changer l</w:t>
      </w:r>
      <w:r w:rsidR="00784444">
        <w:t>’</w:t>
      </w:r>
      <w:r w:rsidRPr="00BD2C13">
        <w:t>âge d</w:t>
      </w:r>
      <w:r w:rsidR="00784444">
        <w:t>’</w:t>
      </w:r>
      <w:r w:rsidRPr="00BD2C13">
        <w:t>éligibilité à la fonction de président a été rejetée par l</w:t>
      </w:r>
      <w:r w:rsidR="00784444">
        <w:t>’</w:t>
      </w:r>
      <w:r w:rsidRPr="00BD2C13">
        <w:t>électorat.</w:t>
      </w:r>
    </w:p>
    <w:p w14:paraId="19C71743" w14:textId="77777777" w:rsidR="00C978AD" w:rsidRPr="00BD2C13" w:rsidRDefault="00C978AD" w:rsidP="00C978AD">
      <w:pPr>
        <w:pStyle w:val="H23G"/>
      </w:pPr>
      <w:bookmarkStart w:id="16" w:name="_Toc17908525"/>
      <w:bookmarkEnd w:id="13"/>
      <w:bookmarkEnd w:id="14"/>
      <w:bookmarkEnd w:id="15"/>
      <w:r w:rsidRPr="00BD2C13">
        <w:tab/>
        <w:t>2.</w:t>
      </w:r>
      <w:r w:rsidRPr="00BD2C13">
        <w:tab/>
        <w:t>Le Gouvernement irlandais</w:t>
      </w:r>
      <w:bookmarkEnd w:id="16"/>
    </w:p>
    <w:p w14:paraId="05D42EA0" w14:textId="77777777" w:rsidR="00C978AD" w:rsidRPr="00BD2C13" w:rsidRDefault="00C978AD" w:rsidP="00C978AD">
      <w:pPr>
        <w:pStyle w:val="SingleTxtG"/>
      </w:pPr>
      <w:r w:rsidRPr="00BD2C13">
        <w:t>35.</w:t>
      </w:r>
      <w:r w:rsidRPr="00BD2C13">
        <w:tab/>
        <w:t>L</w:t>
      </w:r>
      <w:r w:rsidR="00784444">
        <w:t>’</w:t>
      </w:r>
      <w:r w:rsidRPr="00BD2C13">
        <w:t>Irlande est une démocratie parlementaire indépendante et souveraine. L</w:t>
      </w:r>
      <w:r w:rsidR="00784444">
        <w:t>’</w:t>
      </w:r>
      <w:proofErr w:type="spellStart"/>
      <w:r w:rsidRPr="00BD2C13">
        <w:t>Oireachtas</w:t>
      </w:r>
      <w:proofErr w:type="spellEnd"/>
      <w:r w:rsidRPr="00BD2C13">
        <w:t xml:space="preserve"> (Parlement) se compose du Président et de deux chambres : une </w:t>
      </w:r>
      <w:r w:rsidR="0053367A">
        <w:t>c</w:t>
      </w:r>
      <w:r w:rsidRPr="00BD2C13">
        <w:t>hambre des représentants (</w:t>
      </w:r>
      <w:proofErr w:type="spellStart"/>
      <w:r w:rsidRPr="00BD2C13">
        <w:t>Dáil</w:t>
      </w:r>
      <w:proofErr w:type="spellEnd"/>
      <w:r w:rsidRPr="00BD2C13">
        <w:t xml:space="preserve"> </w:t>
      </w:r>
      <w:proofErr w:type="spellStart"/>
      <w:r w:rsidRPr="00BD2C13">
        <w:t>Éireann</w:t>
      </w:r>
      <w:proofErr w:type="spellEnd"/>
      <w:r w:rsidRPr="00BD2C13">
        <w:t>) et le Sénat (</w:t>
      </w:r>
      <w:proofErr w:type="spellStart"/>
      <w:r w:rsidRPr="00BD2C13">
        <w:t>Seanad</w:t>
      </w:r>
      <w:proofErr w:type="spellEnd"/>
      <w:r w:rsidRPr="00BD2C13">
        <w:t xml:space="preserve"> </w:t>
      </w:r>
      <w:proofErr w:type="spellStart"/>
      <w:r w:rsidRPr="00BD2C13">
        <w:t>Éireann</w:t>
      </w:r>
      <w:proofErr w:type="spellEnd"/>
      <w:r w:rsidRPr="00BD2C13">
        <w:t>). Les fonctions et les pouvoirs du Président et des deux chambres découlent de la Constitution et de la législation. L</w:t>
      </w:r>
      <w:r w:rsidR="00784444">
        <w:t>’</w:t>
      </w:r>
      <w:proofErr w:type="spellStart"/>
      <w:r w:rsidRPr="00BD2C13">
        <w:t>Oireachtas</w:t>
      </w:r>
      <w:proofErr w:type="spellEnd"/>
      <w:r w:rsidRPr="00BD2C13">
        <w:t xml:space="preserve"> ne peut adopter aucune loi qui serait d</w:t>
      </w:r>
      <w:r w:rsidR="00784444">
        <w:t>’</w:t>
      </w:r>
      <w:r w:rsidRPr="00BD2C13">
        <w:t>une quelconque manière contraire à la Constitution.</w:t>
      </w:r>
    </w:p>
    <w:p w14:paraId="380D55F7" w14:textId="77777777" w:rsidR="00C978AD" w:rsidRPr="00BD2C13" w:rsidRDefault="00C978AD" w:rsidP="00C978AD">
      <w:pPr>
        <w:pStyle w:val="SingleTxtG"/>
      </w:pPr>
      <w:r w:rsidRPr="00BD2C13">
        <w:t>36.</w:t>
      </w:r>
      <w:r w:rsidRPr="00BD2C13">
        <w:tab/>
        <w:t>Le Président de l</w:t>
      </w:r>
      <w:r w:rsidR="00784444">
        <w:t>’</w:t>
      </w:r>
      <w:r w:rsidRPr="00BD2C13">
        <w:t>Irlande est le chef de l</w:t>
      </w:r>
      <w:r w:rsidR="00784444">
        <w:t>’</w:t>
      </w:r>
      <w:r w:rsidRPr="00BD2C13">
        <w:t xml:space="preserve">État. </w:t>
      </w:r>
      <w:bookmarkStart w:id="17" w:name="_Hlk31371443"/>
      <w:r w:rsidRPr="00BD2C13">
        <w:t>En cette qualité, il promulgue les lois et a le pouvoir de refuser de signer un projet de loi, mais il n</w:t>
      </w:r>
      <w:r w:rsidR="00784444">
        <w:t>’</w:t>
      </w:r>
      <w:r w:rsidRPr="00BD2C13">
        <w:t>exerce pas de fonctions exécutives. Il doit en général agir conformément à l</w:t>
      </w:r>
      <w:r w:rsidR="00784444">
        <w:t>’</w:t>
      </w:r>
      <w:r w:rsidRPr="00BD2C13">
        <w:t>avis du Gouvernement et sous son autorité. Sur l</w:t>
      </w:r>
      <w:r w:rsidR="00784444">
        <w:t>’</w:t>
      </w:r>
      <w:r w:rsidRPr="00BD2C13">
        <w:t xml:space="preserve">avis du </w:t>
      </w:r>
      <w:proofErr w:type="spellStart"/>
      <w:r w:rsidRPr="00BD2C13">
        <w:t>Dáil</w:t>
      </w:r>
      <w:proofErr w:type="spellEnd"/>
      <w:r w:rsidRPr="00BD2C13">
        <w:t xml:space="preserve"> </w:t>
      </w:r>
      <w:proofErr w:type="spellStart"/>
      <w:r w:rsidRPr="00BD2C13">
        <w:t>Éireann</w:t>
      </w:r>
      <w:proofErr w:type="spellEnd"/>
      <w:r w:rsidRPr="00BD2C13">
        <w:t xml:space="preserve">, le Président nomme le </w:t>
      </w:r>
      <w:proofErr w:type="spellStart"/>
      <w:r w:rsidRPr="00BD2C13">
        <w:t>Toiseach</w:t>
      </w:r>
      <w:proofErr w:type="spellEnd"/>
      <w:r w:rsidRPr="00BD2C13">
        <w:t xml:space="preserve"> (Premier Ministre) et, sur l</w:t>
      </w:r>
      <w:r w:rsidR="00784444">
        <w:t>’</w:t>
      </w:r>
      <w:r w:rsidRPr="00BD2C13">
        <w:t xml:space="preserve">avis de ce dernier et avec le consentement préalable du </w:t>
      </w:r>
      <w:proofErr w:type="spellStart"/>
      <w:r w:rsidRPr="00BD2C13">
        <w:t>Dáil</w:t>
      </w:r>
      <w:proofErr w:type="spellEnd"/>
      <w:r w:rsidRPr="00BD2C13">
        <w:t xml:space="preserve"> </w:t>
      </w:r>
      <w:proofErr w:type="spellStart"/>
      <w:r w:rsidRPr="00BD2C13">
        <w:t>Éireann</w:t>
      </w:r>
      <w:proofErr w:type="spellEnd"/>
      <w:r w:rsidRPr="00BD2C13">
        <w:t>, il nomme également les membres du Gouvernement. La politique et la gestion du Gouvernement sont soumises à l</w:t>
      </w:r>
      <w:r w:rsidR="00784444">
        <w:t>’</w:t>
      </w:r>
      <w:r w:rsidRPr="00BD2C13">
        <w:t>examen et à l</w:t>
      </w:r>
      <w:r w:rsidR="00784444">
        <w:t>’</w:t>
      </w:r>
      <w:r w:rsidRPr="00BD2C13">
        <w:t>appréciation des deux chambres, bien que, selon la Constitution, le Gouvernement ne rende compte qu</w:t>
      </w:r>
      <w:r w:rsidR="00784444">
        <w:t>’</w:t>
      </w:r>
      <w:r w:rsidRPr="00BD2C13">
        <w:t xml:space="preserve">au seul </w:t>
      </w:r>
      <w:proofErr w:type="spellStart"/>
      <w:r w:rsidRPr="00BD2C13">
        <w:t>Dáil</w:t>
      </w:r>
      <w:proofErr w:type="spellEnd"/>
      <w:r w:rsidRPr="00BD2C13">
        <w:t>. Le Président est élu au suffrage universel direct pour un mandat de sept ans. Il ne peut accomplir plus de deux mandats.</w:t>
      </w:r>
    </w:p>
    <w:bookmarkEnd w:id="17"/>
    <w:p w14:paraId="72A7B427" w14:textId="77777777" w:rsidR="00C978AD" w:rsidRPr="00BD2C13" w:rsidRDefault="00C978AD" w:rsidP="00C978AD">
      <w:pPr>
        <w:pStyle w:val="SingleTxtG"/>
      </w:pPr>
      <w:r w:rsidRPr="00BD2C13">
        <w:t>37.</w:t>
      </w:r>
      <w:r w:rsidRPr="00BD2C13">
        <w:tab/>
        <w:t xml:space="preserve">Le </w:t>
      </w:r>
      <w:proofErr w:type="spellStart"/>
      <w:r w:rsidRPr="00BD2C13">
        <w:t>Dáil</w:t>
      </w:r>
      <w:proofErr w:type="spellEnd"/>
      <w:r w:rsidRPr="00BD2C13">
        <w:t xml:space="preserve"> </w:t>
      </w:r>
      <w:proofErr w:type="spellStart"/>
      <w:r w:rsidRPr="00BD2C13">
        <w:t>Éireann</w:t>
      </w:r>
      <w:proofErr w:type="spellEnd"/>
      <w:r w:rsidRPr="00BD2C13">
        <w:t xml:space="preserve"> (Chambre des représentants) compte 158 membres appelés </w:t>
      </w:r>
      <w:proofErr w:type="spellStart"/>
      <w:r w:rsidRPr="00BD2C13">
        <w:t>Teachtai</w:t>
      </w:r>
      <w:proofErr w:type="spellEnd"/>
      <w:r w:rsidR="00137030">
        <w:t> </w:t>
      </w:r>
      <w:proofErr w:type="spellStart"/>
      <w:r w:rsidRPr="00BD2C13">
        <w:t>Dala</w:t>
      </w:r>
      <w:proofErr w:type="spellEnd"/>
      <w:r w:rsidRPr="00BD2C13">
        <w:t xml:space="preserve"> (les «</w:t>
      </w:r>
      <w:r w:rsidR="0053367A">
        <w:t> </w:t>
      </w:r>
      <w:r w:rsidRPr="00BD2C13">
        <w:t>TD</w:t>
      </w:r>
      <w:r w:rsidR="0053367A">
        <w:t> </w:t>
      </w:r>
      <w:r w:rsidRPr="00BD2C13">
        <w:t xml:space="preserve">»). Ils sont élus par les 40 circonscriptions que compte actuellement le pays, dont aucune ne peut élire moins de trois membres. Le nombre total des membres du </w:t>
      </w:r>
      <w:proofErr w:type="spellStart"/>
      <w:r w:rsidRPr="00BD2C13">
        <w:t>Dáil</w:t>
      </w:r>
      <w:proofErr w:type="spellEnd"/>
      <w:r w:rsidRPr="00BD2C13">
        <w:t xml:space="preserve"> </w:t>
      </w:r>
      <w:proofErr w:type="spellStart"/>
      <w:r w:rsidRPr="00BD2C13">
        <w:t>Éireann</w:t>
      </w:r>
      <w:proofErr w:type="spellEnd"/>
      <w:r w:rsidRPr="00BD2C13">
        <w:t xml:space="preserve"> ne peut être inférieur à un représentant pour 30 000 habitants, </w:t>
      </w:r>
      <w:r w:rsidRPr="00BD2C13">
        <w:lastRenderedPageBreak/>
        <w:t xml:space="preserve">ni supérieur à un représentant pour 20 000 habitants. La loi électorale de 2017 (modification) (circonscriptions du </w:t>
      </w:r>
      <w:proofErr w:type="spellStart"/>
      <w:r w:rsidRPr="00BD2C13">
        <w:t>Dáil</w:t>
      </w:r>
      <w:proofErr w:type="spellEnd"/>
      <w:r w:rsidRPr="00BD2C13">
        <w:rPr>
          <w:iCs/>
        </w:rPr>
        <w:t>)</w:t>
      </w:r>
      <w:r w:rsidRPr="00BD2C13">
        <w:rPr>
          <w:i/>
          <w:iCs/>
        </w:rPr>
        <w:t xml:space="preserve"> </w:t>
      </w:r>
      <w:r w:rsidRPr="00BD2C13">
        <w:t>prévoit de porter à 160 le nombre de représentants à la Chambre. Ces nouvelles dispositions prendront effet à compter des prochaines élections générales.</w:t>
      </w:r>
    </w:p>
    <w:p w14:paraId="26B72AB0" w14:textId="77777777" w:rsidR="00C978AD" w:rsidRPr="00BD2C13" w:rsidRDefault="00C978AD" w:rsidP="00C978AD">
      <w:pPr>
        <w:pStyle w:val="SingleTxtG"/>
      </w:pPr>
      <w:r w:rsidRPr="00BD2C13">
        <w:t>38.</w:t>
      </w:r>
      <w:r w:rsidRPr="00BD2C13">
        <w:tab/>
        <w:t>La loi électorale de 2012 (modification) (</w:t>
      </w:r>
      <w:r w:rsidR="00137030">
        <w:t>f</w:t>
      </w:r>
      <w:r w:rsidRPr="00BD2C13">
        <w:t>inancement des partis politiques) dispose que les partis politiques qui ne présenteront pas de listes de candidats comptant au moins 30 % de femmes et 30 % d</w:t>
      </w:r>
      <w:r w:rsidR="00784444">
        <w:t>’</w:t>
      </w:r>
      <w:r w:rsidRPr="00BD2C13">
        <w:t>hommes lors des prochaines élections législatives subiront une réduction de moitié des financements que leur accorde l</w:t>
      </w:r>
      <w:r w:rsidR="00784444">
        <w:t>’</w:t>
      </w:r>
      <w:r w:rsidRPr="00BD2C13">
        <w:t>État. Ces quotas seront portés à 40 % à compter des élections générales qui auront lieu après le 26 février 2023. Les financements accordés aux partis politiques en vertu de la loi électorale varient selon les résultats qu</w:t>
      </w:r>
      <w:r w:rsidR="00784444">
        <w:t>’</w:t>
      </w:r>
      <w:r w:rsidRPr="00BD2C13">
        <w:t>ils obtiennent aux élections générales.</w:t>
      </w:r>
    </w:p>
    <w:p w14:paraId="5BED78C7" w14:textId="77777777" w:rsidR="00C978AD" w:rsidRPr="00BD2C13" w:rsidRDefault="00C978AD" w:rsidP="00C978AD">
      <w:pPr>
        <w:pStyle w:val="SingleTxtG"/>
      </w:pPr>
      <w:r w:rsidRPr="00BD2C13">
        <w:t>39.</w:t>
      </w:r>
      <w:r w:rsidRPr="00BD2C13">
        <w:tab/>
        <w:t>Le Gouvernement se compose d</w:t>
      </w:r>
      <w:r w:rsidR="00784444">
        <w:t>’</w:t>
      </w:r>
      <w:r w:rsidRPr="00BD2C13">
        <w:t xml:space="preserve">au moins </w:t>
      </w:r>
      <w:r w:rsidR="00137030">
        <w:t xml:space="preserve">7 </w:t>
      </w:r>
      <w:r w:rsidRPr="00BD2C13">
        <w:t>membres et d</w:t>
      </w:r>
      <w:r w:rsidR="00784444">
        <w:t>’</w:t>
      </w:r>
      <w:r w:rsidRPr="00BD2C13">
        <w:t>au plus de 15 : le </w:t>
      </w:r>
      <w:proofErr w:type="spellStart"/>
      <w:r w:rsidRPr="00BD2C13">
        <w:t>Taoiseach</w:t>
      </w:r>
      <w:proofErr w:type="spellEnd"/>
      <w:r w:rsidRPr="00BD2C13">
        <w:t xml:space="preserve"> (Premier Ministre), le </w:t>
      </w:r>
      <w:proofErr w:type="spellStart"/>
      <w:r w:rsidRPr="00BD2C13">
        <w:t>Tánaiste</w:t>
      </w:r>
      <w:proofErr w:type="spellEnd"/>
      <w:r w:rsidRPr="00BD2C13">
        <w:t xml:space="preserve"> (Vice-Premier Ministre) et entre </w:t>
      </w:r>
      <w:r w:rsidR="00137030">
        <w:t xml:space="preserve">5 </w:t>
      </w:r>
      <w:r w:rsidRPr="00BD2C13">
        <w:t xml:space="preserve">et </w:t>
      </w:r>
      <w:r w:rsidR="00137030">
        <w:t>13</w:t>
      </w:r>
      <w:r w:rsidR="00070641">
        <w:t> </w:t>
      </w:r>
      <w:r w:rsidRPr="00BD2C13">
        <w:t>ministres.</w:t>
      </w:r>
      <w:r w:rsidR="007A54A8">
        <w:t xml:space="preserve"> </w:t>
      </w:r>
      <w:r w:rsidRPr="00BD2C13">
        <w:t xml:space="preserve">Le </w:t>
      </w:r>
      <w:proofErr w:type="spellStart"/>
      <w:r w:rsidRPr="00BD2C13">
        <w:t>Taoiseach</w:t>
      </w:r>
      <w:proofErr w:type="spellEnd"/>
      <w:r w:rsidRPr="00BD2C13">
        <w:t xml:space="preserve">, le </w:t>
      </w:r>
      <w:proofErr w:type="spellStart"/>
      <w:r w:rsidRPr="00BD2C13">
        <w:t>Tánaiste</w:t>
      </w:r>
      <w:proofErr w:type="spellEnd"/>
      <w:r w:rsidRPr="00BD2C13">
        <w:t xml:space="preserve"> et le Ministre des finances doivent être membres du </w:t>
      </w:r>
      <w:proofErr w:type="spellStart"/>
      <w:r w:rsidRPr="00BD2C13">
        <w:t>Dáil</w:t>
      </w:r>
      <w:proofErr w:type="spellEnd"/>
      <w:r w:rsidRPr="00BD2C13">
        <w:t xml:space="preserve">, tandis que les autres ministres doivent être membres soit du </w:t>
      </w:r>
      <w:proofErr w:type="spellStart"/>
      <w:r w:rsidRPr="00BD2C13">
        <w:t>Dáil</w:t>
      </w:r>
      <w:proofErr w:type="spellEnd"/>
      <w:r w:rsidRPr="00BD2C13">
        <w:t xml:space="preserve">, soit du </w:t>
      </w:r>
      <w:proofErr w:type="spellStart"/>
      <w:r w:rsidRPr="00BD2C13">
        <w:t>Seanad</w:t>
      </w:r>
      <w:proofErr w:type="spellEnd"/>
      <w:r w:rsidRPr="00BD2C13">
        <w:t>, deux d</w:t>
      </w:r>
      <w:r w:rsidR="00784444">
        <w:t>’</w:t>
      </w:r>
      <w:r w:rsidRPr="00BD2C13">
        <w:t>entre eux au maximum pouvant être sénateurs. L</w:t>
      </w:r>
      <w:r w:rsidR="00784444">
        <w:t>’</w:t>
      </w:r>
      <w:r w:rsidRPr="00BD2C13">
        <w:t xml:space="preserve">action gouvernementale est une action collective et le Gouvernement est collectivement </w:t>
      </w:r>
      <w:r w:rsidRPr="00BD2C13">
        <w:rPr>
          <w:i/>
          <w:iCs/>
        </w:rPr>
        <w:t>responsable</w:t>
      </w:r>
      <w:r w:rsidRPr="00BD2C13">
        <w:t xml:space="preserve"> des ministères administrés par ses membres. Il se réunit en général une fois par semaine et ses délibérations sont confidentielles. Lors des élections générales, le Gouvernement reste en place jusqu</w:t>
      </w:r>
      <w:r w:rsidR="00784444">
        <w:t>’</w:t>
      </w:r>
      <w:r w:rsidRPr="00BD2C13">
        <w:t>à ce qu</w:t>
      </w:r>
      <w:r w:rsidR="00784444">
        <w:t>’</w:t>
      </w:r>
      <w:r w:rsidRPr="00BD2C13">
        <w:t xml:space="preserve">un nouveau </w:t>
      </w:r>
      <w:proofErr w:type="spellStart"/>
      <w:r w:rsidRPr="00BD2C13">
        <w:t>Taoiseach</w:t>
      </w:r>
      <w:proofErr w:type="spellEnd"/>
      <w:r w:rsidRPr="00BD2C13">
        <w:t xml:space="preserve"> soit nommé.</w:t>
      </w:r>
    </w:p>
    <w:p w14:paraId="403F5823" w14:textId="77777777" w:rsidR="00C978AD" w:rsidRPr="00BD2C13" w:rsidRDefault="00C978AD" w:rsidP="00C978AD">
      <w:pPr>
        <w:pStyle w:val="SingleTxtG"/>
      </w:pPr>
      <w:bookmarkStart w:id="18" w:name="_Hlk37339921"/>
      <w:r w:rsidRPr="00BD2C13">
        <w:t>40.</w:t>
      </w:r>
      <w:r w:rsidRPr="00BD2C13">
        <w:tab/>
        <w:t xml:space="preserve">Le </w:t>
      </w:r>
      <w:proofErr w:type="spellStart"/>
      <w:r w:rsidRPr="00BD2C13">
        <w:t>Seanad</w:t>
      </w:r>
      <w:proofErr w:type="spellEnd"/>
      <w:r w:rsidRPr="00BD2C13">
        <w:t xml:space="preserve"> </w:t>
      </w:r>
      <w:proofErr w:type="spellStart"/>
      <w:r w:rsidRPr="00BD2C13">
        <w:t>Éireann</w:t>
      </w:r>
      <w:proofErr w:type="spellEnd"/>
      <w:r w:rsidRPr="00BD2C13">
        <w:t xml:space="preserve"> compte 60 membres. Onze sont nommés directement par le </w:t>
      </w:r>
      <w:proofErr w:type="spellStart"/>
      <w:r w:rsidRPr="00BD2C13">
        <w:t>Taoiseach</w:t>
      </w:r>
      <w:proofErr w:type="spellEnd"/>
      <w:r w:rsidRPr="00BD2C13">
        <w:t xml:space="preserve">. Quarante-trois sont élus par un collège électoral formé des membres du </w:t>
      </w:r>
      <w:proofErr w:type="spellStart"/>
      <w:r w:rsidRPr="00BD2C13">
        <w:t>Dáil</w:t>
      </w:r>
      <w:proofErr w:type="spellEnd"/>
      <w:r w:rsidRPr="00BD2C13">
        <w:t xml:space="preserve"> </w:t>
      </w:r>
      <w:proofErr w:type="spellStart"/>
      <w:r w:rsidRPr="00BD2C13">
        <w:t>Éireann</w:t>
      </w:r>
      <w:proofErr w:type="spellEnd"/>
      <w:r w:rsidRPr="00BD2C13">
        <w:t>, des membres sortants du Sénat et d</w:t>
      </w:r>
      <w:r w:rsidR="00784444">
        <w:t>’</w:t>
      </w:r>
      <w:r w:rsidRPr="00BD2C13">
        <w:t xml:space="preserve">élus locaux à partir de cinq listes de candidats au mandat sénatorial, correspondant à cinq domaines </w:t>
      </w:r>
      <w:proofErr w:type="spellStart"/>
      <w:r w:rsidRPr="00BD2C13">
        <w:t>socioprofessionnels</w:t>
      </w:r>
      <w:proofErr w:type="spellEnd"/>
      <w:r w:rsidRPr="00BD2C13">
        <w:t xml:space="preserve"> : culture et éducation, agriculture, </w:t>
      </w:r>
      <w:r w:rsidRPr="00E84359">
        <w:t>travail et emploi</w:t>
      </w:r>
      <w:r w:rsidRPr="00BD2C13">
        <w:t>, industrie et commerce, et administration</w:t>
      </w:r>
      <w:bookmarkEnd w:id="18"/>
      <w:r w:rsidRPr="00BD2C13">
        <w:t>. Chaque liste se compose de personnes qui possèdent une connaissance théorique et pratique des intérêts représentés par la liste. Les six membres restants sont élus par des diplômés d</w:t>
      </w:r>
      <w:r w:rsidR="00784444">
        <w:t>’</w:t>
      </w:r>
      <w:r w:rsidRPr="00BD2C13">
        <w:t xml:space="preserve">université </w:t>
      </w:r>
      <w:r w:rsidR="00193B68" w:rsidRPr="00BD2C13">
        <w:t xml:space="preserve">− </w:t>
      </w:r>
      <w:r w:rsidR="00137030">
        <w:t>3</w:t>
      </w:r>
      <w:r w:rsidRPr="00BD2C13">
        <w:t xml:space="preserve"> par l</w:t>
      </w:r>
      <w:r w:rsidR="00784444">
        <w:t>’</w:t>
      </w:r>
      <w:r w:rsidRPr="00BD2C13">
        <w:t>Université nationale d</w:t>
      </w:r>
      <w:r w:rsidR="00784444">
        <w:t>’</w:t>
      </w:r>
      <w:r w:rsidRPr="00BD2C13">
        <w:t xml:space="preserve">Irlande et </w:t>
      </w:r>
      <w:r w:rsidR="00137030">
        <w:t>3</w:t>
      </w:r>
      <w:r w:rsidRPr="00BD2C13">
        <w:t xml:space="preserve"> par l</w:t>
      </w:r>
      <w:r w:rsidR="00784444">
        <w:t>’</w:t>
      </w:r>
      <w:r w:rsidRPr="00BD2C13">
        <w:t xml:space="preserve">Université de Dublin. Les pouvoirs du </w:t>
      </w:r>
      <w:proofErr w:type="spellStart"/>
      <w:r w:rsidRPr="00BD2C13">
        <w:t>Seanad</w:t>
      </w:r>
      <w:proofErr w:type="spellEnd"/>
      <w:r w:rsidRPr="00BD2C13">
        <w:t xml:space="preserve">, qui sont définis par la Constitution, sont en général moindres que ceux du </w:t>
      </w:r>
      <w:proofErr w:type="spellStart"/>
      <w:r w:rsidRPr="00BD2C13">
        <w:t>Dáil</w:t>
      </w:r>
      <w:proofErr w:type="spellEnd"/>
      <w:r w:rsidRPr="00BD2C13">
        <w:t xml:space="preserve">. Ils complètent ceux du </w:t>
      </w:r>
      <w:proofErr w:type="spellStart"/>
      <w:r w:rsidRPr="00BD2C13">
        <w:t>Dáil</w:t>
      </w:r>
      <w:proofErr w:type="spellEnd"/>
      <w:r w:rsidRPr="00BD2C13">
        <w:t xml:space="preserve"> dans des domaines tels que la destitution du président ou la révocation d</w:t>
      </w:r>
      <w:r w:rsidR="00784444">
        <w:t>’</w:t>
      </w:r>
      <w:r w:rsidRPr="00BD2C13">
        <w:t>un juge, la proclamation et la levée de l</w:t>
      </w:r>
      <w:r w:rsidR="00784444">
        <w:t>’</w:t>
      </w:r>
      <w:r w:rsidRPr="00BD2C13">
        <w:t>état de d</w:t>
      </w:r>
      <w:r w:rsidR="00784444">
        <w:t>’</w:t>
      </w:r>
      <w:r w:rsidRPr="00BD2C13">
        <w:t>exception, la présentation de projets de loi non financiers et l</w:t>
      </w:r>
      <w:r w:rsidR="00784444">
        <w:t>’</w:t>
      </w:r>
      <w:r w:rsidRPr="00BD2C13">
        <w:t xml:space="preserve">annulation de textes réglementaires. Le </w:t>
      </w:r>
      <w:proofErr w:type="spellStart"/>
      <w:r w:rsidRPr="00BD2C13">
        <w:t>Seanad</w:t>
      </w:r>
      <w:proofErr w:type="spellEnd"/>
      <w:r w:rsidRPr="00BD2C13">
        <w:t xml:space="preserve"> n</w:t>
      </w:r>
      <w:r w:rsidR="00784444">
        <w:t>’</w:t>
      </w:r>
      <w:r w:rsidRPr="00BD2C13">
        <w:t xml:space="preserve">est pas habilité à présenter des projets de loi de finances, mais il peut faire des recommandations à ce sujet au </w:t>
      </w:r>
      <w:proofErr w:type="spellStart"/>
      <w:r w:rsidRPr="00BD2C13">
        <w:t>Dáil</w:t>
      </w:r>
      <w:proofErr w:type="spellEnd"/>
      <w:r w:rsidRPr="00BD2C13">
        <w:t xml:space="preserve"> </w:t>
      </w:r>
      <w:proofErr w:type="spellStart"/>
      <w:r w:rsidRPr="00BD2C13">
        <w:t>Éireann</w:t>
      </w:r>
      <w:proofErr w:type="spellEnd"/>
      <w:r w:rsidRPr="00BD2C13">
        <w:t>.</w:t>
      </w:r>
    </w:p>
    <w:p w14:paraId="59251B7E" w14:textId="77777777" w:rsidR="00C978AD" w:rsidRPr="00BD2C13" w:rsidRDefault="00C978AD" w:rsidP="00C978AD">
      <w:pPr>
        <w:pStyle w:val="SingleTxtG"/>
      </w:pPr>
      <w:bookmarkStart w:id="19" w:name="OLE_LINK35"/>
      <w:bookmarkStart w:id="20" w:name="OLE_LINK36"/>
      <w:r w:rsidRPr="00BD2C13">
        <w:t>41.</w:t>
      </w:r>
      <w:r w:rsidRPr="00BD2C13">
        <w:tab/>
        <w:t>L</w:t>
      </w:r>
      <w:r w:rsidR="00784444">
        <w:t>’</w:t>
      </w:r>
      <w:proofErr w:type="spellStart"/>
      <w:r w:rsidRPr="00BD2C13">
        <w:t>Oireachtas</w:t>
      </w:r>
      <w:proofErr w:type="spellEnd"/>
      <w:r w:rsidRPr="00BD2C13">
        <w:t xml:space="preserve"> repose sur un système de commissions parlementaires. D</w:t>
      </w:r>
      <w:r w:rsidR="00784444">
        <w:t>’</w:t>
      </w:r>
      <w:r w:rsidRPr="00BD2C13">
        <w:t>après le règlement intérieur, quatre commissions doivent obligatoirement être constituées</w:t>
      </w:r>
      <w:r w:rsidR="00E81DE4">
        <w:t> </w:t>
      </w:r>
      <w:r w:rsidRPr="00BD2C13">
        <w:t>; elles s</w:t>
      </w:r>
      <w:r w:rsidR="00784444">
        <w:t>’</w:t>
      </w:r>
      <w:r w:rsidRPr="00BD2C13">
        <w:t>occupent respectivement de l</w:t>
      </w:r>
      <w:r w:rsidR="00784444">
        <w:t>’</w:t>
      </w:r>
      <w:r w:rsidRPr="00BD2C13">
        <w:t>administration, des comptes publics, de la procédure et des privilèges et des projets de loi de consolidation. D</w:t>
      </w:r>
      <w:r w:rsidR="00784444">
        <w:t>’</w:t>
      </w:r>
      <w:r w:rsidRPr="00BD2C13">
        <w:t>autres commissions peuvent être créées sur décision de l</w:t>
      </w:r>
      <w:r w:rsidR="00784444">
        <w:t>’</w:t>
      </w:r>
      <w:r w:rsidRPr="00BD2C13">
        <w:t>une des chambres. Elles sont habilitées à demander des documents officiels et à entendre les déclarations de particuliers. Leurs conclusions n</w:t>
      </w:r>
      <w:r w:rsidR="00784444">
        <w:t>’</w:t>
      </w:r>
      <w:r w:rsidRPr="00BD2C13">
        <w:t>ont pas force obligatoire. Les rapports des commissions sont présentés à l</w:t>
      </w:r>
      <w:r w:rsidR="00784444">
        <w:t>’</w:t>
      </w:r>
      <w:proofErr w:type="spellStart"/>
      <w:r w:rsidRPr="00BD2C13">
        <w:t>Oireachtas</w:t>
      </w:r>
      <w:proofErr w:type="spellEnd"/>
      <w:r w:rsidRPr="00BD2C13">
        <w:t>, qui décide éventuellement des mesures nécessaires. C</w:t>
      </w:r>
      <w:r w:rsidR="00784444">
        <w:t>’</w:t>
      </w:r>
      <w:r w:rsidRPr="00BD2C13">
        <w:t>est à l</w:t>
      </w:r>
      <w:r w:rsidR="00784444">
        <w:t>’</w:t>
      </w:r>
      <w:proofErr w:type="spellStart"/>
      <w:r w:rsidRPr="00BD2C13">
        <w:t>Oireachtas</w:t>
      </w:r>
      <w:proofErr w:type="spellEnd"/>
      <w:r w:rsidRPr="00BD2C13">
        <w:t xml:space="preserve"> qu</w:t>
      </w:r>
      <w:r w:rsidR="00784444">
        <w:t>’</w:t>
      </w:r>
      <w:r w:rsidRPr="00BD2C13">
        <w:t>il incombe de décider du nombre et du champ d</w:t>
      </w:r>
      <w:r w:rsidR="00784444">
        <w:t>’</w:t>
      </w:r>
      <w:r w:rsidRPr="00BD2C13">
        <w:t>application des commissions qui doivent être établies et de définir leur mandat.</w:t>
      </w:r>
      <w:bookmarkEnd w:id="19"/>
      <w:bookmarkEnd w:id="20"/>
    </w:p>
    <w:p w14:paraId="7F9C965F" w14:textId="77777777" w:rsidR="00C978AD" w:rsidRPr="00BD2C13" w:rsidRDefault="00193B68" w:rsidP="00193B68">
      <w:pPr>
        <w:pStyle w:val="H23G"/>
      </w:pPr>
      <w:r w:rsidRPr="00BD2C13">
        <w:tab/>
      </w:r>
      <w:r w:rsidR="00C978AD" w:rsidRPr="00BD2C13">
        <w:t>3.</w:t>
      </w:r>
      <w:r w:rsidR="00C978AD" w:rsidRPr="00BD2C13">
        <w:tab/>
        <w:t>Le système électoral</w:t>
      </w:r>
    </w:p>
    <w:p w14:paraId="3541C667" w14:textId="77777777" w:rsidR="00C978AD" w:rsidRPr="00AF73DF" w:rsidRDefault="00C978AD" w:rsidP="00C978AD">
      <w:pPr>
        <w:pStyle w:val="SingleTxtG"/>
      </w:pPr>
      <w:r w:rsidRPr="00BD2C13">
        <w:t>42.</w:t>
      </w:r>
      <w:r w:rsidRPr="00BD2C13">
        <w:tab/>
        <w:t>Les citoyens ont la possibilité de participer par un vote à la vie politique dans les cinq cas indiqués ci-après</w:t>
      </w:r>
      <w:r w:rsidR="00193B68" w:rsidRPr="00BD2C13">
        <w:t> </w:t>
      </w:r>
      <w:r w:rsidRPr="00BD2C13">
        <w:t>:</w:t>
      </w:r>
    </w:p>
    <w:p w14:paraId="37653C0E" w14:textId="77777777" w:rsidR="00C978AD" w:rsidRPr="00BD2C13" w:rsidRDefault="00C978AD" w:rsidP="00193B68">
      <w:pPr>
        <w:pStyle w:val="SingleTxtG"/>
        <w:ind w:firstLine="567"/>
      </w:pPr>
      <w:r w:rsidRPr="00BD2C13">
        <w:t>a)</w:t>
      </w:r>
      <w:r w:rsidRPr="00BD2C13">
        <w:tab/>
        <w:t>Élection, tous les sept ans, du Président de l</w:t>
      </w:r>
      <w:r w:rsidR="00784444">
        <w:t>’</w:t>
      </w:r>
      <w:r w:rsidRPr="00BD2C13">
        <w:t>Irlande (s</w:t>
      </w:r>
      <w:r w:rsidR="00784444">
        <w:t>’</w:t>
      </w:r>
      <w:r w:rsidRPr="00BD2C13">
        <w:t>il y a plus d</w:t>
      </w:r>
      <w:r w:rsidR="00784444">
        <w:t>’</w:t>
      </w:r>
      <w:r w:rsidRPr="00BD2C13">
        <w:t>un candidat)</w:t>
      </w:r>
      <w:r w:rsidR="00193B68" w:rsidRPr="00BD2C13">
        <w:t> </w:t>
      </w:r>
      <w:r w:rsidRPr="00BD2C13">
        <w:t>;</w:t>
      </w:r>
    </w:p>
    <w:p w14:paraId="41BDA85F" w14:textId="77777777" w:rsidR="00C978AD" w:rsidRPr="00BD2C13" w:rsidRDefault="00C978AD" w:rsidP="00193B68">
      <w:pPr>
        <w:pStyle w:val="SingleTxtG"/>
        <w:ind w:firstLine="567"/>
      </w:pPr>
      <w:r w:rsidRPr="00BD2C13">
        <w:t>b)</w:t>
      </w:r>
      <w:r w:rsidRPr="00BD2C13">
        <w:tab/>
      </w:r>
      <w:proofErr w:type="spellStart"/>
      <w:r w:rsidRPr="00BD2C13">
        <w:t>Référendums</w:t>
      </w:r>
      <w:proofErr w:type="spellEnd"/>
      <w:r w:rsidRPr="00BD2C13">
        <w:t xml:space="preserve"> sur les projets de révision de la Constitution</w:t>
      </w:r>
      <w:r w:rsidR="00193B68" w:rsidRPr="00BD2C13">
        <w:t> </w:t>
      </w:r>
      <w:r w:rsidRPr="00BD2C13">
        <w:t>;</w:t>
      </w:r>
    </w:p>
    <w:p w14:paraId="23F122B3" w14:textId="77777777" w:rsidR="00C978AD" w:rsidRPr="00BD2C13" w:rsidRDefault="00C978AD" w:rsidP="00193B68">
      <w:pPr>
        <w:pStyle w:val="SingleTxtG"/>
        <w:ind w:firstLine="567"/>
      </w:pPr>
      <w:r w:rsidRPr="00BD2C13">
        <w:t>c)</w:t>
      </w:r>
      <w:r w:rsidRPr="00BD2C13">
        <w:tab/>
        <w:t>Élections locales, tous les cinq ans</w:t>
      </w:r>
      <w:r w:rsidR="00193B68" w:rsidRPr="00BD2C13">
        <w:t> </w:t>
      </w:r>
      <w:r w:rsidRPr="00BD2C13">
        <w:t>;</w:t>
      </w:r>
    </w:p>
    <w:p w14:paraId="74CCECDD" w14:textId="77777777" w:rsidR="00C978AD" w:rsidRPr="00BD2C13" w:rsidRDefault="00C978AD" w:rsidP="00193B68">
      <w:pPr>
        <w:pStyle w:val="SingleTxtG"/>
        <w:ind w:firstLine="567"/>
      </w:pPr>
      <w:r w:rsidRPr="00BD2C13">
        <w:t>d)</w:t>
      </w:r>
      <w:r w:rsidRPr="00BD2C13">
        <w:tab/>
        <w:t>Élections législatives, qui d</w:t>
      </w:r>
      <w:r w:rsidR="00784444">
        <w:t>’</w:t>
      </w:r>
      <w:r w:rsidRPr="00BD2C13">
        <w:t>après la loi actuellement en vigueur ont lieu au</w:t>
      </w:r>
      <w:r w:rsidR="00193B68" w:rsidRPr="00BD2C13">
        <w:t xml:space="preserve"> </w:t>
      </w:r>
      <w:r w:rsidRPr="00BD2C13">
        <w:t>moins tous les cinq ans</w:t>
      </w:r>
      <w:r w:rsidR="00193B68" w:rsidRPr="00BD2C13">
        <w:t> </w:t>
      </w:r>
      <w:r w:rsidRPr="00BD2C13">
        <w:t>;</w:t>
      </w:r>
    </w:p>
    <w:p w14:paraId="74A7D132" w14:textId="77777777" w:rsidR="00C978AD" w:rsidRPr="00BD2C13" w:rsidRDefault="00C978AD" w:rsidP="00193B68">
      <w:pPr>
        <w:pStyle w:val="SingleTxtG"/>
        <w:ind w:firstLine="567"/>
      </w:pPr>
      <w:r w:rsidRPr="00BD2C13">
        <w:lastRenderedPageBreak/>
        <w:t>e)</w:t>
      </w:r>
      <w:r w:rsidRPr="00BD2C13">
        <w:tab/>
        <w:t>Élections au Parlement européen, tous les cinq ans.</w:t>
      </w:r>
    </w:p>
    <w:p w14:paraId="65114F31" w14:textId="77777777" w:rsidR="00C978AD" w:rsidRPr="00BD2C13" w:rsidRDefault="00C978AD" w:rsidP="00C978AD">
      <w:pPr>
        <w:pStyle w:val="SingleTxtG"/>
      </w:pPr>
      <w:r w:rsidRPr="00BD2C13">
        <w:t>43.</w:t>
      </w:r>
      <w:r w:rsidRPr="00BD2C13">
        <w:tab/>
        <w:t>En Irlande, l</w:t>
      </w:r>
      <w:r w:rsidR="00784444">
        <w:t>’</w:t>
      </w:r>
      <w:r w:rsidRPr="00BD2C13">
        <w:t>âge minimum du vote est fixé à 18 ans. Les députés sont élus au scrutin proportionnel à vote unique transférable dans les circonscriptions où plusieurs sièges sont en jeu. Sont également élus au scrutin à vote unique transférable le Président, les membres du Parlement européen, les membres des autorités locales et 49 des 60 sénateurs.</w:t>
      </w:r>
    </w:p>
    <w:p w14:paraId="6417F785" w14:textId="77777777" w:rsidR="00C978AD" w:rsidRPr="00BD2C13" w:rsidRDefault="00193B68" w:rsidP="00193B68">
      <w:pPr>
        <w:pStyle w:val="H23G"/>
      </w:pPr>
      <w:r w:rsidRPr="00BD2C13">
        <w:tab/>
      </w:r>
      <w:r w:rsidR="00C978AD" w:rsidRPr="00BD2C13">
        <w:t>4.</w:t>
      </w:r>
      <w:r w:rsidR="00C978AD" w:rsidRPr="00BD2C13">
        <w:tab/>
        <w:t>La fonction publique</w:t>
      </w:r>
    </w:p>
    <w:p w14:paraId="067F98AA" w14:textId="77777777" w:rsidR="00C978AD" w:rsidRPr="00BD2C13" w:rsidRDefault="00C978AD" w:rsidP="00C978AD">
      <w:pPr>
        <w:pStyle w:val="SingleTxtG"/>
      </w:pPr>
      <w:r w:rsidRPr="00BD2C13">
        <w:t>44.</w:t>
      </w:r>
      <w:r w:rsidRPr="00BD2C13">
        <w:tab/>
        <w:t>La Constitution et la loi de 1924 sur les ministres et les secrétaires d</w:t>
      </w:r>
      <w:r w:rsidR="00784444">
        <w:t>’</w:t>
      </w:r>
      <w:r w:rsidRPr="00BD2C13">
        <w:t>État (ci-après «</w:t>
      </w:r>
      <w:r w:rsidR="00193B68" w:rsidRPr="00BD2C13">
        <w:t> </w:t>
      </w:r>
      <w:r w:rsidRPr="00BD2C13">
        <w:t>loi de 1924</w:t>
      </w:r>
      <w:r w:rsidR="00193B68" w:rsidRPr="00BD2C13">
        <w:t> </w:t>
      </w:r>
      <w:r w:rsidRPr="00BD2C13">
        <w:t>») constituent la base juridique de l</w:t>
      </w:r>
      <w:r w:rsidR="00784444">
        <w:t>’</w:t>
      </w:r>
      <w:r w:rsidRPr="00BD2C13">
        <w:t>administration publique. En vertu de l</w:t>
      </w:r>
      <w:r w:rsidR="00784444">
        <w:t>’</w:t>
      </w:r>
      <w:r w:rsidRPr="00BD2C13">
        <w:t>article 28 de la Constitution, les ministres sont en charge de leur ministère. La Constitution, ainsi que les modifications qui lui ont été apportées, établissent une classification des fonctions gouvernementales réparties entre les différents ministères. Les ministres sont responsables de toutes les mesures prises par leur ministère. La Cour suprême de l</w:t>
      </w:r>
      <w:r w:rsidR="00784444">
        <w:t>’</w:t>
      </w:r>
      <w:r w:rsidRPr="00BD2C13">
        <w:t xml:space="preserve">Irlande a néanmoins confirmé que le principe </w:t>
      </w:r>
      <w:proofErr w:type="spellStart"/>
      <w:r w:rsidRPr="00BD2C13">
        <w:t>Carltona</w:t>
      </w:r>
      <w:proofErr w:type="spellEnd"/>
      <w:r w:rsidRPr="00BD2C13">
        <w:t xml:space="preserve"> s</w:t>
      </w:r>
      <w:r w:rsidR="00784444">
        <w:t>’</w:t>
      </w:r>
      <w:r w:rsidRPr="00BD2C13">
        <w:t>applique aux fonctionnaires irlandais, c</w:t>
      </w:r>
      <w:r w:rsidR="00784444">
        <w:t>’</w:t>
      </w:r>
      <w:r w:rsidRPr="00BD2C13">
        <w:t>est-à-dire que tout acte accompli par un fonctionnaire dans l</w:t>
      </w:r>
      <w:r w:rsidR="00784444">
        <w:t>’</w:t>
      </w:r>
      <w:r w:rsidRPr="00BD2C13">
        <w:t>exercice de ses fonctions officielles est considéré comme un acte du ministre ou du ministère compétent, même en l</w:t>
      </w:r>
      <w:r w:rsidR="00784444">
        <w:t>’</w:t>
      </w:r>
      <w:r w:rsidRPr="00BD2C13">
        <w:t>absence de délégation expresse. L</w:t>
      </w:r>
      <w:r w:rsidR="00784444">
        <w:t>’</w:t>
      </w:r>
      <w:r w:rsidRPr="00BD2C13">
        <w:t>administration quotidienne d</w:t>
      </w:r>
      <w:r w:rsidR="00784444">
        <w:t>’</w:t>
      </w:r>
      <w:r w:rsidRPr="00BD2C13">
        <w:t>un ministère incombe à son secrétaire général qui a le statut de fonctionnaire. La loi de 1997 sur l</w:t>
      </w:r>
      <w:r w:rsidR="00784444">
        <w:t>’</w:t>
      </w:r>
      <w:r w:rsidRPr="00BD2C13">
        <w:t>administration des affaires publiques (ci-après «</w:t>
      </w:r>
      <w:r w:rsidR="00193B68" w:rsidRPr="00BD2C13">
        <w:t> </w:t>
      </w:r>
      <w:r w:rsidRPr="00BD2C13">
        <w:t>loi de 1997</w:t>
      </w:r>
      <w:r w:rsidR="00193B68" w:rsidRPr="00BD2C13">
        <w:t> </w:t>
      </w:r>
      <w:r w:rsidRPr="00BD2C13">
        <w:t>») établit un cadre législatif pour la répartition des pouvoirs, des responsabilités et des obligations au</w:t>
      </w:r>
      <w:r w:rsidR="00A07197">
        <w:t xml:space="preserve"> </w:t>
      </w:r>
      <w:r w:rsidRPr="00BD2C13">
        <w:t>sein des ministères et entre ces derniers.</w:t>
      </w:r>
    </w:p>
    <w:p w14:paraId="68106216" w14:textId="77777777" w:rsidR="00C978AD" w:rsidRPr="00BD2C13" w:rsidRDefault="00C978AD" w:rsidP="00C978AD">
      <w:pPr>
        <w:pStyle w:val="SingleTxtG"/>
      </w:pPr>
      <w:r w:rsidRPr="00BD2C13">
        <w:t>45.</w:t>
      </w:r>
      <w:r w:rsidRPr="00BD2C13">
        <w:tab/>
        <w:t>Les fonctionnaires sont politiquement neutres dans l</w:t>
      </w:r>
      <w:r w:rsidR="00784444">
        <w:t>’</w:t>
      </w:r>
      <w:r w:rsidRPr="00BD2C13">
        <w:t>exercice de leurs fonctions et il est interdit aux hauts fonctionnaires et aux cadres intermédiaires de participer aux activités de partis politiques. Les fonctionnaires sont recrutés par voie de concours organisés par une commission indépendante. La fonction publique comprend un certain nombre de catégories qui correspondent à différentes fonctions. Les principales catégories sont les suivantes</w:t>
      </w:r>
      <w:r w:rsidR="00D33FE4">
        <w:t> </w:t>
      </w:r>
      <w:r w:rsidRPr="00BD2C13">
        <w:t>: cadres administratifs, chargés de l</w:t>
      </w:r>
      <w:r w:rsidR="00784444">
        <w:t>’</w:t>
      </w:r>
      <w:r w:rsidRPr="00BD2C13">
        <w:t>élaboration des politiques, cadres techniques et scientifiques, qui fournissent des avis spécialisés au sein de la fonction publique, personnel d</w:t>
      </w:r>
      <w:r w:rsidR="00784444">
        <w:t>’</w:t>
      </w:r>
      <w:r w:rsidRPr="00BD2C13">
        <w:t>exécution, qui applique les politiques, personnel de bureau et assimilé (services généraux). La fonction publique emploie actuellement environ 37 000 personnes. En outre, les ministres peuvent nommer des conseillers spéciaux en vertu de la loi de 1997.</w:t>
      </w:r>
    </w:p>
    <w:p w14:paraId="578FC5E6" w14:textId="77777777" w:rsidR="00C978AD" w:rsidRPr="00BD2C13" w:rsidRDefault="00193B68" w:rsidP="00193B68">
      <w:pPr>
        <w:pStyle w:val="H23G"/>
      </w:pPr>
      <w:r w:rsidRPr="00BD2C13">
        <w:tab/>
      </w:r>
      <w:r w:rsidR="00C978AD" w:rsidRPr="00BD2C13">
        <w:t>5.</w:t>
      </w:r>
      <w:r w:rsidR="00C978AD" w:rsidRPr="00BD2C13">
        <w:tab/>
        <w:t>L</w:t>
      </w:r>
      <w:r w:rsidR="00784444">
        <w:t>’</w:t>
      </w:r>
      <w:r w:rsidR="00C978AD" w:rsidRPr="00BD2C13">
        <w:t>administration locale</w:t>
      </w:r>
    </w:p>
    <w:p w14:paraId="41A7F593" w14:textId="77777777" w:rsidR="00C978AD" w:rsidRPr="00BD2C13" w:rsidRDefault="00C978AD" w:rsidP="00C978AD">
      <w:pPr>
        <w:pStyle w:val="SingleTxtG"/>
      </w:pPr>
      <w:r w:rsidRPr="00BD2C13">
        <w:t>46.</w:t>
      </w:r>
      <w:r w:rsidRPr="00BD2C13">
        <w:tab/>
        <w:t>L</w:t>
      </w:r>
      <w:r w:rsidR="00784444">
        <w:t>’</w:t>
      </w:r>
      <w:r w:rsidRPr="00BD2C13">
        <w:t>administration locale est assurée par 31 autorités locales (26 conseils de comté, 3</w:t>
      </w:r>
      <w:r w:rsidR="00193B68" w:rsidRPr="00BD2C13">
        <w:t> </w:t>
      </w:r>
      <w:r w:rsidRPr="00BD2C13">
        <w:t>conseils de ville et 2 conseils de comté et de ville) qui bénéficient de diverses sources de financement : subventions de l</w:t>
      </w:r>
      <w:r w:rsidR="00784444">
        <w:t>’</w:t>
      </w:r>
      <w:r w:rsidRPr="00BD2C13">
        <w:t>État, taxes sur les activités commerciales, taxes sur certains biens et services et impôts locaux frappant les biens immobiliers. Les autorités locales sont des organes à vocation multiple, responsables de l</w:t>
      </w:r>
      <w:r w:rsidR="00784444">
        <w:t>’</w:t>
      </w:r>
      <w:r w:rsidRPr="00BD2C13">
        <w:t>utilisation du sol (zonage) et de l</w:t>
      </w:r>
      <w:r w:rsidR="00784444">
        <w:t>’</w:t>
      </w:r>
      <w:r w:rsidRPr="00BD2C13">
        <w:t>aménagement du territoire, de la sécurité incendie et des services d</w:t>
      </w:r>
      <w:r w:rsidR="00784444">
        <w:t>’</w:t>
      </w:r>
      <w:r w:rsidRPr="00BD2C13">
        <w:t>incendie et de secours, des logements sociaux, de l</w:t>
      </w:r>
      <w:r w:rsidR="00784444">
        <w:t>’</w:t>
      </w:r>
      <w:r w:rsidRPr="00BD2C13">
        <w:t>entretien des routes, des aides au développement communautaire et économique local, des bibliothèques ainsi que d</w:t>
      </w:r>
      <w:r w:rsidR="00784444">
        <w:t>’</w:t>
      </w:r>
      <w:r w:rsidRPr="00BD2C13">
        <w:t>autres services. La loi de 2014 sur la réforme de l</w:t>
      </w:r>
      <w:r w:rsidR="00784444">
        <w:t>’</w:t>
      </w:r>
      <w:r w:rsidRPr="00BD2C13">
        <w:t>administration locale a fait passer le nombre d</w:t>
      </w:r>
      <w:r w:rsidR="00784444">
        <w:t>’</w:t>
      </w:r>
      <w:r w:rsidRPr="00BD2C13">
        <w:t>autorités locales de 114 à 31 et prévoit un vaste programme de réforme de l</w:t>
      </w:r>
      <w:r w:rsidR="00784444">
        <w:t>’</w:t>
      </w:r>
      <w:r w:rsidRPr="00BD2C13">
        <w:t>administration locale qui vise à renforcer et améliorer les structures, les fonctions, les ressources, le fonctionnement et l</w:t>
      </w:r>
      <w:r w:rsidR="00784444">
        <w:t>’</w:t>
      </w:r>
      <w:r w:rsidRPr="00BD2C13">
        <w:t>administration des collectivités locales. Ce programme s</w:t>
      </w:r>
      <w:r w:rsidR="00784444">
        <w:t>’</w:t>
      </w:r>
      <w:r w:rsidRPr="00BD2C13">
        <w:t>est en particulier attaché à renforcer les structures au</w:t>
      </w:r>
      <w:r w:rsidR="00D33FE4">
        <w:t>x</w:t>
      </w:r>
      <w:r w:rsidRPr="00BD2C13">
        <w:t xml:space="preserve"> niveau</w:t>
      </w:r>
      <w:r w:rsidR="00D33FE4">
        <w:t>x</w:t>
      </w:r>
      <w:r w:rsidRPr="00BD2C13">
        <w:t xml:space="preserve"> des régions, des comtés et des </w:t>
      </w:r>
      <w:proofErr w:type="spellStart"/>
      <w:r w:rsidRPr="00BD2C13">
        <w:t>sous-comtés</w:t>
      </w:r>
      <w:proofErr w:type="spellEnd"/>
      <w:r w:rsidRPr="00BD2C13">
        <w:t>, à étendre le rôle des autorités locales, à optimiser l</w:t>
      </w:r>
      <w:r w:rsidR="00784444">
        <w:t>’</w:t>
      </w:r>
      <w:r w:rsidRPr="00BD2C13">
        <w:t>efficacité opérationnelle et organisationnelle, à améliorer la gouvernance, l</w:t>
      </w:r>
      <w:r w:rsidR="00784444">
        <w:t>’</w:t>
      </w:r>
      <w:r w:rsidRPr="00BD2C13">
        <w:t>encadrement et l</w:t>
      </w:r>
      <w:r w:rsidR="00784444">
        <w:t>’</w:t>
      </w:r>
      <w:r w:rsidRPr="00BD2C13">
        <w:t>aptitude à exercer des responsabilités politiques et exécutives locales, à orienter le développement économique, social et communautaire et à représenter les citoyens et les communautés locales de manière efficace et responsable. Chaque comté a été divisé en districts municipaux (au nombre de 95) organisés autour des villes principales et de leur périphérie. Une seule instance exécutive ou opérationnelle est actuellement en place à l</w:t>
      </w:r>
      <w:r w:rsidR="00784444">
        <w:t>’</w:t>
      </w:r>
      <w:r w:rsidRPr="00BD2C13">
        <w:t>échelle du comté, avec des ressources à la disposition aussi bien du comté que des districts, et un ensemble très large de fonctions sont assurées par des élus au niveau des districts, les questions stratégiques étant réglées au niveau du comté.</w:t>
      </w:r>
    </w:p>
    <w:p w14:paraId="6384ED41" w14:textId="77777777" w:rsidR="00C978AD" w:rsidRPr="00BD2C13" w:rsidRDefault="00C978AD" w:rsidP="00C978AD">
      <w:pPr>
        <w:pStyle w:val="SingleTxtG"/>
      </w:pPr>
      <w:bookmarkStart w:id="21" w:name="_Hlk31371455"/>
      <w:r w:rsidRPr="00BD2C13">
        <w:lastRenderedPageBreak/>
        <w:t>47.</w:t>
      </w:r>
      <w:r w:rsidRPr="00BD2C13">
        <w:tab/>
        <w:t>En 2015, les autorités régionales irlandaises ont été rationalisées et regroupées en trois assemblées régionales, représentant les régions du Nord et de l</w:t>
      </w:r>
      <w:r w:rsidR="00784444">
        <w:t>’</w:t>
      </w:r>
      <w:r w:rsidRPr="00BD2C13">
        <w:t>Ouest, de l</w:t>
      </w:r>
      <w:r w:rsidR="00784444">
        <w:t>’</w:t>
      </w:r>
      <w:r w:rsidRPr="00BD2C13">
        <w:t>Est et des Midlands, et du Sud. Elles disposent de plusieurs pouvoirs en matière d</w:t>
      </w:r>
      <w:r w:rsidR="00784444">
        <w:t>’</w:t>
      </w:r>
      <w:r w:rsidRPr="00BD2C13">
        <w:t>aménagement du territoire et de développement économique.</w:t>
      </w:r>
    </w:p>
    <w:bookmarkEnd w:id="21"/>
    <w:p w14:paraId="7D8EC32E" w14:textId="77777777" w:rsidR="00C978AD" w:rsidRPr="00BD2C13" w:rsidRDefault="00C978AD" w:rsidP="00C978AD">
      <w:pPr>
        <w:pStyle w:val="SingleTxtG"/>
      </w:pPr>
      <w:r w:rsidRPr="00BD2C13">
        <w:t>48.</w:t>
      </w:r>
      <w:r w:rsidRPr="00BD2C13">
        <w:tab/>
        <w:t>Des comités de développement des collectivités locales ont été officiellement mis en place dans les 31 autorités locales afin de coordonner et d</w:t>
      </w:r>
      <w:r w:rsidR="00784444">
        <w:t>’</w:t>
      </w:r>
      <w:r w:rsidRPr="00BD2C13">
        <w:t>unifier le développement local ou communautaire dans les régions. Leurs membres se composent d</w:t>
      </w:r>
      <w:r w:rsidR="00784444">
        <w:t>’</w:t>
      </w:r>
      <w:r w:rsidRPr="00BD2C13">
        <w:t>élus et de fonctionnaires des autorités locales, de membres des agences de développement local, étatiques et non étatiques, et d</w:t>
      </w:r>
      <w:r w:rsidR="00784444">
        <w:t>’</w:t>
      </w:r>
      <w:r w:rsidRPr="00BD2C13">
        <w:t>organisations communautaires et bénévoles, ainsi que de divers représentants de la société civile, comme par exemple des industriels et des exploitants agricoles. Les comités de développement des collectivités locales s</w:t>
      </w:r>
      <w:r w:rsidR="00784444">
        <w:t>’</w:t>
      </w:r>
      <w:r w:rsidRPr="00BD2C13">
        <w:t>appuient sur le savoir-faire et l</w:t>
      </w:r>
      <w:r w:rsidR="00784444">
        <w:t>’</w:t>
      </w:r>
      <w:r w:rsidRPr="00BD2C13">
        <w:t>expérience des acteurs des secteurs public et privé de la zone dont l</w:t>
      </w:r>
      <w:r w:rsidR="00784444">
        <w:t>’</w:t>
      </w:r>
      <w:r w:rsidRPr="00BD2C13">
        <w:t>autorité locale a la responsabilité pour fournir des services efficaces et efficients aux citoyens, en particulier à ceux qui en ont le plus besoin. Des réseaux de participation publique ont également été mis en place dans chaque autorité locale pour une plus grande participation communautaire à la gestion locale et à la prise de décisions. Ces réseaux servent de passerelle entre, d</w:t>
      </w:r>
      <w:r w:rsidR="00784444">
        <w:t>’</w:t>
      </w:r>
      <w:r w:rsidRPr="00BD2C13">
        <w:t>une part, les autorités locales et leurs structures associées et, d</w:t>
      </w:r>
      <w:r w:rsidR="00784444">
        <w:t>’</w:t>
      </w:r>
      <w:r w:rsidRPr="00BD2C13">
        <w:t>autre part, les secteurs communautaires et bénévoles, ainsi que les organismes chargés de promouvoir l</w:t>
      </w:r>
      <w:r w:rsidR="00784444">
        <w:t>’</w:t>
      </w:r>
      <w:r w:rsidRPr="00BD2C13">
        <w:t>inclusion sociale et de défendre l</w:t>
      </w:r>
      <w:r w:rsidR="00784444">
        <w:t>’</w:t>
      </w:r>
      <w:r w:rsidRPr="00BD2C13">
        <w:t>environnement dans la zone dont l</w:t>
      </w:r>
      <w:r w:rsidR="00784444">
        <w:t>’</w:t>
      </w:r>
      <w:r w:rsidRPr="00BD2C13">
        <w:t>autorité locale a la responsabilité. Celle-ci mobilise le savoir-faire de ces organisations afin d</w:t>
      </w:r>
      <w:r w:rsidR="00784444">
        <w:t>’</w:t>
      </w:r>
      <w:r w:rsidRPr="00BD2C13">
        <w:t>assurer la représentation de la communauté au sein de ses commissions, et en particulier au sein des comités de développement des collectivités locales.</w:t>
      </w:r>
    </w:p>
    <w:p w14:paraId="68E2C37B" w14:textId="77777777" w:rsidR="00C978AD" w:rsidRPr="00BD2C13" w:rsidRDefault="00193B68" w:rsidP="00193B68">
      <w:pPr>
        <w:pStyle w:val="H23G"/>
      </w:pPr>
      <w:bookmarkStart w:id="22" w:name="_Toc17908529"/>
      <w:r w:rsidRPr="00BD2C13">
        <w:tab/>
      </w:r>
      <w:r w:rsidR="00C978AD" w:rsidRPr="00BD2C13">
        <w:t>6.</w:t>
      </w:r>
      <w:r w:rsidR="00C978AD" w:rsidRPr="00BD2C13">
        <w:tab/>
        <w:t>Administration de la justice</w:t>
      </w:r>
      <w:bookmarkEnd w:id="22"/>
    </w:p>
    <w:p w14:paraId="5E72249E" w14:textId="77777777" w:rsidR="00C978AD" w:rsidRPr="00BD2C13" w:rsidRDefault="00C978AD" w:rsidP="00193B68">
      <w:pPr>
        <w:pStyle w:val="H4G"/>
      </w:pPr>
      <w:bookmarkStart w:id="23" w:name="_Toc17908530"/>
      <w:r w:rsidRPr="00BD2C13">
        <w:tab/>
      </w:r>
      <w:r w:rsidRPr="00BD2C13">
        <w:tab/>
        <w:t xml:space="preserve">An </w:t>
      </w:r>
      <w:proofErr w:type="spellStart"/>
      <w:r w:rsidRPr="00BD2C13">
        <w:t>Gárda</w:t>
      </w:r>
      <w:proofErr w:type="spellEnd"/>
      <w:r w:rsidRPr="00BD2C13">
        <w:t xml:space="preserve"> </w:t>
      </w:r>
      <w:proofErr w:type="spellStart"/>
      <w:r w:rsidRPr="00BD2C13">
        <w:t>Síochána</w:t>
      </w:r>
      <w:bookmarkEnd w:id="23"/>
      <w:proofErr w:type="spellEnd"/>
      <w:r w:rsidRPr="00BD2C13">
        <w:t xml:space="preserve"> (Police nationale)</w:t>
      </w:r>
    </w:p>
    <w:p w14:paraId="5BF3A08E" w14:textId="77777777" w:rsidR="00C978AD" w:rsidRPr="00AF73DF" w:rsidRDefault="00C978AD" w:rsidP="00C978AD">
      <w:pPr>
        <w:pStyle w:val="SingleTxtG"/>
      </w:pPr>
      <w:r w:rsidRPr="00BD2C13">
        <w:t>49.</w:t>
      </w:r>
      <w:r w:rsidRPr="00BD2C13">
        <w:tab/>
        <w:t>L</w:t>
      </w:r>
      <w:r w:rsidR="00784444">
        <w:t>’</w:t>
      </w:r>
      <w:r w:rsidRPr="00BD2C13">
        <w:t>Irlande a un unique service de police nationale, An</w:t>
      </w:r>
      <w:bookmarkStart w:id="24" w:name="hit3"/>
      <w:bookmarkEnd w:id="24"/>
      <w:r w:rsidRPr="00BD2C13">
        <w:t xml:space="preserve"> Garda </w:t>
      </w:r>
      <w:proofErr w:type="spellStart"/>
      <w:r w:rsidRPr="00BD2C13">
        <w:t>Síochána</w:t>
      </w:r>
      <w:proofErr w:type="spellEnd"/>
      <w:r w:rsidRPr="00BD2C13">
        <w:t>, qui comptait au 31</w:t>
      </w:r>
      <w:r w:rsidR="00193B68" w:rsidRPr="00BD2C13">
        <w:t> </w:t>
      </w:r>
      <w:r w:rsidRPr="00BD2C13">
        <w:t>juillet 2019, 14 251 membres, ainsi que 478 réservistes.</w:t>
      </w:r>
    </w:p>
    <w:p w14:paraId="2C635BA7" w14:textId="77777777" w:rsidR="00C978AD" w:rsidRPr="00BD2C13" w:rsidRDefault="00C978AD" w:rsidP="00C978AD">
      <w:pPr>
        <w:pStyle w:val="SingleTxtG"/>
      </w:pPr>
      <w:bookmarkStart w:id="25" w:name="_Hlk31371482"/>
      <w:r w:rsidRPr="00BD2C13">
        <w:t>50.</w:t>
      </w:r>
      <w:r w:rsidRPr="00BD2C13">
        <w:tab/>
        <w:t xml:space="preserve">Le déploiement des ressources de la Garda </w:t>
      </w:r>
      <w:proofErr w:type="spellStart"/>
      <w:r w:rsidRPr="00BD2C13">
        <w:t>Síochána</w:t>
      </w:r>
      <w:proofErr w:type="spellEnd"/>
      <w:r w:rsidRPr="00BD2C13">
        <w:t xml:space="preserve"> est du ressort du Directeur de la Garda et de son équipe de direction. La direction de la Garda examine en permanence la répartition des ressources en fonction de l</w:t>
      </w:r>
      <w:r w:rsidR="00784444">
        <w:t>’</w:t>
      </w:r>
      <w:r w:rsidRPr="00BD2C13">
        <w:t>évolution de la criminalité et des priorités de la police afin de garantir une utilisation optimale de ces ressources.</w:t>
      </w:r>
    </w:p>
    <w:bookmarkEnd w:id="25"/>
    <w:p w14:paraId="7ABFD701" w14:textId="77777777" w:rsidR="00C978AD" w:rsidRPr="00AF73DF" w:rsidRDefault="00C978AD" w:rsidP="00C978AD">
      <w:pPr>
        <w:pStyle w:val="SingleTxtG"/>
      </w:pPr>
      <w:r w:rsidRPr="00BD2C13">
        <w:t>51.</w:t>
      </w:r>
      <w:r w:rsidRPr="00BD2C13">
        <w:tab/>
        <w:t>La dotation en personnel est déterminée par plusieurs paramètres, dont la démographie, les programmes d</w:t>
      </w:r>
      <w:r w:rsidR="00784444">
        <w:t>’</w:t>
      </w:r>
      <w:r w:rsidRPr="00BD2C13">
        <w:t>activités policières, les besoins et la sécurité de l</w:t>
      </w:r>
      <w:r w:rsidR="00784444">
        <w:t>’</w:t>
      </w:r>
      <w:r w:rsidRPr="00BD2C13">
        <w:t>État. De ce fait, les effectifs policiers minimaux requis pour les années à venir ne sont jamais connus longtemps à l</w:t>
      </w:r>
      <w:r w:rsidR="00784444">
        <w:t>’</w:t>
      </w:r>
      <w:r w:rsidRPr="00BD2C13">
        <w:t>avance. Le Gouvernement entend porter à 21 000 les effectifs de la Garda, dont 15 000 policiers d</w:t>
      </w:r>
      <w:r w:rsidR="00784444">
        <w:t>’</w:t>
      </w:r>
      <w:r w:rsidRPr="00BD2C13">
        <w:t>ici à 2021. Le personnel policier déployé à l</w:t>
      </w:r>
      <w:r w:rsidR="00784444">
        <w:t>’</w:t>
      </w:r>
      <w:r w:rsidRPr="00BD2C13">
        <w:t>échelle du territoire national, ainsi que les mécanismes généraux et la stratégie opérationnelle, sont continuellement réévalués et font l</w:t>
      </w:r>
      <w:r w:rsidR="00784444">
        <w:t>’</w:t>
      </w:r>
      <w:r w:rsidRPr="00BD2C13">
        <w:t>objet d</w:t>
      </w:r>
      <w:r w:rsidR="00784444">
        <w:t>’</w:t>
      </w:r>
      <w:r w:rsidRPr="00BD2C13">
        <w:t>un suivi permanent de manière à garantir que les ressources de la Garda sont exploitées de manière optimale et que le meilleur service possible est fourni à la population.</w:t>
      </w:r>
    </w:p>
    <w:p w14:paraId="2CA82A31" w14:textId="77777777" w:rsidR="00C978AD" w:rsidRPr="00BD2C13" w:rsidRDefault="00C978AD" w:rsidP="00C978AD">
      <w:pPr>
        <w:pStyle w:val="SingleTxtG"/>
      </w:pPr>
      <w:r w:rsidRPr="00AF73DF">
        <w:t>52.</w:t>
      </w:r>
      <w:r w:rsidRPr="00AF73DF">
        <w:tab/>
        <w:t xml:space="preserve">La </w:t>
      </w:r>
      <w:bookmarkStart w:id="26" w:name="hit11"/>
      <w:bookmarkEnd w:id="26"/>
      <w:r w:rsidRPr="00AF73DF">
        <w:t xml:space="preserve">Garda </w:t>
      </w:r>
      <w:proofErr w:type="spellStart"/>
      <w:r w:rsidRPr="00AF73DF">
        <w:t>Síochána</w:t>
      </w:r>
      <w:proofErr w:type="spellEnd"/>
      <w:r w:rsidRPr="00AF73DF">
        <w:t xml:space="preserve"> est établie par la loi et sa gestion interne est soumise aux règlements pris par le Ministre de la justice et de l</w:t>
      </w:r>
      <w:r w:rsidR="00784444">
        <w:t>’</w:t>
      </w:r>
      <w:r w:rsidRPr="00AF73DF">
        <w:t>égalité. Elle</w:t>
      </w:r>
      <w:r w:rsidR="00193B68" w:rsidRPr="00AF73DF">
        <w:t xml:space="preserve"> j</w:t>
      </w:r>
      <w:r w:rsidRPr="00AF73DF">
        <w:t>ouit d</w:t>
      </w:r>
      <w:r w:rsidR="00784444">
        <w:t>’</w:t>
      </w:r>
      <w:r w:rsidRPr="00AF73DF">
        <w:t>une indépendance opérationnelle sous réserve du cadre général, financier et</w:t>
      </w:r>
      <w:r w:rsidR="00AF73DF" w:rsidRPr="00AF73DF">
        <w:t xml:space="preserve"> </w:t>
      </w:r>
      <w:r w:rsidRPr="00AF73DF">
        <w:t>réglementaire, mis en place par le Ministre. Le Directeur de la police doit</w:t>
      </w:r>
      <w:r w:rsidRPr="00BD2C13">
        <w:t xml:space="preserve"> faire rapport au Ministre selon les besoins</w:t>
      </w:r>
      <w:r w:rsidR="00AF73DF">
        <w:t> </w:t>
      </w:r>
      <w:r w:rsidRPr="00BD2C13">
        <w:t>; celui-ci est politiquement responsable de la</w:t>
      </w:r>
      <w:bookmarkStart w:id="27" w:name="hit29"/>
      <w:bookmarkEnd w:id="27"/>
      <w:r w:rsidRPr="00BD2C13">
        <w:t xml:space="preserve"> Garda </w:t>
      </w:r>
      <w:proofErr w:type="spellStart"/>
      <w:r w:rsidRPr="00BD2C13">
        <w:t>Síochána</w:t>
      </w:r>
      <w:proofErr w:type="spellEnd"/>
      <w:r w:rsidRPr="00BD2C13">
        <w:t xml:space="preserve"> devant le </w:t>
      </w:r>
      <w:proofErr w:type="spellStart"/>
      <w:r w:rsidRPr="00BD2C13">
        <w:t>Dáil</w:t>
      </w:r>
      <w:proofErr w:type="spellEnd"/>
      <w:r w:rsidRPr="00BD2C13">
        <w:t xml:space="preserve"> </w:t>
      </w:r>
      <w:proofErr w:type="spellStart"/>
      <w:r w:rsidRPr="00BD2C13">
        <w:t>Éireann</w:t>
      </w:r>
      <w:proofErr w:type="spellEnd"/>
      <w:r w:rsidRPr="00BD2C13">
        <w:t>.</w:t>
      </w:r>
    </w:p>
    <w:p w14:paraId="4A6751C6" w14:textId="77777777" w:rsidR="00C978AD" w:rsidRPr="00AF73DF" w:rsidRDefault="00C978AD" w:rsidP="00C978AD">
      <w:pPr>
        <w:pStyle w:val="SingleTxtG"/>
      </w:pPr>
      <w:r w:rsidRPr="00BD2C13">
        <w:t>53.</w:t>
      </w:r>
      <w:r w:rsidRPr="00BD2C13">
        <w:tab/>
        <w:t>L</w:t>
      </w:r>
      <w:r w:rsidR="00784444">
        <w:t>’</w:t>
      </w:r>
      <w:r w:rsidRPr="00BD2C13">
        <w:t>article 7 de la loi sur la</w:t>
      </w:r>
      <w:bookmarkStart w:id="28" w:name="hit19"/>
      <w:bookmarkEnd w:id="28"/>
      <w:r w:rsidRPr="00BD2C13">
        <w:t xml:space="preserve"> Garda </w:t>
      </w:r>
      <w:proofErr w:type="spellStart"/>
      <w:r w:rsidRPr="00BD2C13">
        <w:t>Síochána</w:t>
      </w:r>
      <w:proofErr w:type="spellEnd"/>
      <w:r w:rsidRPr="00BD2C13">
        <w:t xml:space="preserve"> énonce comme suit les objectifs fonctionnels de la police</w:t>
      </w:r>
      <w:r w:rsidR="00193B68" w:rsidRPr="00BD2C13">
        <w:t> </w:t>
      </w:r>
      <w:r w:rsidRPr="00BD2C13">
        <w:t>:</w:t>
      </w:r>
    </w:p>
    <w:p w14:paraId="78B8E6B4" w14:textId="77777777" w:rsidR="00C978AD" w:rsidRPr="00BD2C13" w:rsidRDefault="00C978AD" w:rsidP="00193B68">
      <w:pPr>
        <w:pStyle w:val="SingleTxtG"/>
        <w:ind w:firstLine="567"/>
      </w:pPr>
      <w:r w:rsidRPr="00BD2C13">
        <w:t>a)</w:t>
      </w:r>
      <w:r w:rsidRPr="00BD2C13">
        <w:tab/>
      </w:r>
      <w:r w:rsidR="00193B68" w:rsidRPr="00BD2C13">
        <w:t>P</w:t>
      </w:r>
      <w:r w:rsidRPr="00BD2C13">
        <w:t>réserver la paix et maintenir l</w:t>
      </w:r>
      <w:r w:rsidR="00784444">
        <w:t>’</w:t>
      </w:r>
      <w:r w:rsidRPr="00BD2C13">
        <w:t>ordre public</w:t>
      </w:r>
      <w:r w:rsidR="00193B68" w:rsidRPr="00BD2C13">
        <w:t> </w:t>
      </w:r>
      <w:r w:rsidRPr="00BD2C13">
        <w:t>;</w:t>
      </w:r>
    </w:p>
    <w:p w14:paraId="6877760F" w14:textId="77777777" w:rsidR="00C978AD" w:rsidRPr="00BD2C13" w:rsidRDefault="00C978AD" w:rsidP="00193B68">
      <w:pPr>
        <w:pStyle w:val="SingleTxtG"/>
        <w:ind w:firstLine="567"/>
      </w:pPr>
      <w:r w:rsidRPr="00BD2C13">
        <w:t>b)</w:t>
      </w:r>
      <w:r w:rsidRPr="00BD2C13">
        <w:tab/>
      </w:r>
      <w:r w:rsidR="00193B68" w:rsidRPr="00BD2C13">
        <w:t>P</w:t>
      </w:r>
      <w:r w:rsidRPr="00BD2C13">
        <w:t>rotéger les personnes et les biens</w:t>
      </w:r>
      <w:r w:rsidR="00193B68" w:rsidRPr="00BD2C13">
        <w:t> </w:t>
      </w:r>
      <w:r w:rsidRPr="00BD2C13">
        <w:t>;</w:t>
      </w:r>
    </w:p>
    <w:p w14:paraId="49F9023A" w14:textId="77777777" w:rsidR="00C978AD" w:rsidRPr="00BD2C13" w:rsidRDefault="00C978AD" w:rsidP="00193B68">
      <w:pPr>
        <w:pStyle w:val="SingleTxtG"/>
        <w:ind w:firstLine="567"/>
      </w:pPr>
      <w:r w:rsidRPr="00BD2C13">
        <w:t>c)</w:t>
      </w:r>
      <w:r w:rsidRPr="00BD2C13">
        <w:tab/>
      </w:r>
      <w:r w:rsidR="00193B68" w:rsidRPr="00BD2C13">
        <w:t>D</w:t>
      </w:r>
      <w:r w:rsidRPr="00BD2C13">
        <w:t>éfendre les droits fondamentaux de chaque individu</w:t>
      </w:r>
      <w:r w:rsidR="00193B68" w:rsidRPr="00BD2C13">
        <w:t> </w:t>
      </w:r>
      <w:r w:rsidRPr="00BD2C13">
        <w:t>;</w:t>
      </w:r>
    </w:p>
    <w:p w14:paraId="70D750AC" w14:textId="77777777" w:rsidR="00C978AD" w:rsidRPr="00BD2C13" w:rsidRDefault="00C978AD" w:rsidP="00193B68">
      <w:pPr>
        <w:pStyle w:val="SingleTxtG"/>
        <w:ind w:firstLine="567"/>
      </w:pPr>
      <w:r w:rsidRPr="00BD2C13">
        <w:t>d)</w:t>
      </w:r>
      <w:r w:rsidRPr="00BD2C13">
        <w:tab/>
      </w:r>
      <w:r w:rsidR="00193B68" w:rsidRPr="00BD2C13">
        <w:t>P</w:t>
      </w:r>
      <w:r w:rsidRPr="00BD2C13">
        <w:t>rotéger la sécurité de l</w:t>
      </w:r>
      <w:r w:rsidR="00784444">
        <w:t>’</w:t>
      </w:r>
      <w:r w:rsidRPr="00BD2C13">
        <w:t>État</w:t>
      </w:r>
      <w:r w:rsidR="00193B68" w:rsidRPr="00BD2C13">
        <w:t> </w:t>
      </w:r>
      <w:r w:rsidRPr="00BD2C13">
        <w:t>;</w:t>
      </w:r>
    </w:p>
    <w:p w14:paraId="0F3EBC04" w14:textId="77777777" w:rsidR="00C978AD" w:rsidRPr="00BD2C13" w:rsidRDefault="00C978AD" w:rsidP="00193B68">
      <w:pPr>
        <w:pStyle w:val="SingleTxtG"/>
        <w:ind w:firstLine="567"/>
      </w:pPr>
      <w:r w:rsidRPr="00BD2C13">
        <w:t>e)</w:t>
      </w:r>
      <w:r w:rsidRPr="00BD2C13">
        <w:tab/>
      </w:r>
      <w:r w:rsidR="00193B68" w:rsidRPr="00BD2C13">
        <w:t>P</w:t>
      </w:r>
      <w:r w:rsidRPr="00BD2C13">
        <w:t>révenir la criminalité</w:t>
      </w:r>
      <w:r w:rsidR="00193B68" w:rsidRPr="00BD2C13">
        <w:t> </w:t>
      </w:r>
      <w:r w:rsidRPr="00BD2C13">
        <w:t>;</w:t>
      </w:r>
    </w:p>
    <w:p w14:paraId="74BF9DB9" w14:textId="77777777" w:rsidR="00C978AD" w:rsidRPr="00BD2C13" w:rsidRDefault="00C978AD" w:rsidP="00193B68">
      <w:pPr>
        <w:pStyle w:val="SingleTxtG"/>
        <w:ind w:firstLine="567"/>
      </w:pPr>
      <w:r w:rsidRPr="00BD2C13">
        <w:lastRenderedPageBreak/>
        <w:t>f)</w:t>
      </w:r>
      <w:r w:rsidRPr="00BD2C13">
        <w:tab/>
      </w:r>
      <w:r w:rsidR="00193B68" w:rsidRPr="00BD2C13">
        <w:t>T</w:t>
      </w:r>
      <w:r w:rsidRPr="00BD2C13">
        <w:t>raduire les criminels en justice, notamment en détectant les infractions et en</w:t>
      </w:r>
      <w:r w:rsidR="00AF73DF">
        <w:t xml:space="preserve"> </w:t>
      </w:r>
      <w:r w:rsidRPr="00BD2C13">
        <w:t>menant des enquêtes</w:t>
      </w:r>
      <w:r w:rsidR="00193B68" w:rsidRPr="00BD2C13">
        <w:t> </w:t>
      </w:r>
      <w:r w:rsidRPr="00BD2C13">
        <w:t>;</w:t>
      </w:r>
    </w:p>
    <w:p w14:paraId="7612ABDA" w14:textId="77777777" w:rsidR="00C978AD" w:rsidRPr="00BD2C13" w:rsidRDefault="00C978AD" w:rsidP="00193B68">
      <w:pPr>
        <w:pStyle w:val="SingleTxtG"/>
        <w:ind w:firstLine="567"/>
      </w:pPr>
      <w:r w:rsidRPr="00BD2C13">
        <w:t>g)</w:t>
      </w:r>
      <w:r w:rsidRPr="00BD2C13">
        <w:tab/>
      </w:r>
      <w:r w:rsidR="00193B68" w:rsidRPr="00BD2C13">
        <w:t>R</w:t>
      </w:r>
      <w:r w:rsidRPr="00BD2C13">
        <w:t>éguler et contrôler la circulation routière et améliorer la sécurité routière</w:t>
      </w:r>
      <w:r w:rsidR="00193B68" w:rsidRPr="00BD2C13">
        <w:t> </w:t>
      </w:r>
      <w:r w:rsidRPr="00BD2C13">
        <w:t>; et</w:t>
      </w:r>
    </w:p>
    <w:p w14:paraId="4557CEE5" w14:textId="77777777" w:rsidR="00C978AD" w:rsidRPr="00BD2C13" w:rsidRDefault="00C978AD" w:rsidP="00193B68">
      <w:pPr>
        <w:pStyle w:val="SingleTxtG"/>
        <w:ind w:firstLine="567"/>
      </w:pPr>
      <w:r w:rsidRPr="00BD2C13">
        <w:t>h)</w:t>
      </w:r>
      <w:r w:rsidRPr="00BD2C13">
        <w:tab/>
      </w:r>
      <w:r w:rsidR="00193B68" w:rsidRPr="00BD2C13">
        <w:t>A</w:t>
      </w:r>
      <w:r w:rsidRPr="00BD2C13">
        <w:t xml:space="preserve">utres fonctions prévues par la loi, </w:t>
      </w:r>
      <w:r w:rsidR="00441BDA">
        <w:t>y compris</w:t>
      </w:r>
      <w:r w:rsidRPr="00BD2C13">
        <w:t xml:space="preserve"> dans le domaine de l</w:t>
      </w:r>
      <w:r w:rsidR="00784444">
        <w:t>’</w:t>
      </w:r>
      <w:r w:rsidRPr="00BD2C13">
        <w:t>immigration.</w:t>
      </w:r>
    </w:p>
    <w:p w14:paraId="54A8F50A" w14:textId="77777777" w:rsidR="00C978AD" w:rsidRPr="00BD2C13" w:rsidRDefault="00C978AD" w:rsidP="00193B68">
      <w:pPr>
        <w:pStyle w:val="H4G"/>
      </w:pPr>
      <w:bookmarkStart w:id="29" w:name="_Toc17908531"/>
      <w:r w:rsidRPr="00BD2C13">
        <w:tab/>
      </w:r>
      <w:r w:rsidRPr="00BD2C13">
        <w:tab/>
      </w:r>
      <w:bookmarkStart w:id="30" w:name="_Hlk31371494"/>
      <w:bookmarkEnd w:id="29"/>
      <w:r w:rsidRPr="00BD2C13">
        <w:t>L</w:t>
      </w:r>
      <w:r w:rsidR="00784444">
        <w:t>’</w:t>
      </w:r>
      <w:r w:rsidRPr="00BD2C13">
        <w:t>autorité de police</w:t>
      </w:r>
    </w:p>
    <w:p w14:paraId="70CD7644" w14:textId="77777777" w:rsidR="00C978AD" w:rsidRPr="00BD2C13" w:rsidRDefault="00C978AD" w:rsidP="00C978AD">
      <w:pPr>
        <w:pStyle w:val="SingleTxtG"/>
      </w:pPr>
      <w:bookmarkStart w:id="31" w:name="_Hlk37342488"/>
      <w:r w:rsidRPr="00BD2C13">
        <w:t>54.</w:t>
      </w:r>
      <w:r w:rsidRPr="00BD2C13">
        <w:tab/>
        <w:t>L</w:t>
      </w:r>
      <w:r w:rsidR="00784444">
        <w:t>’</w:t>
      </w:r>
      <w:r w:rsidRPr="00BD2C13">
        <w:t>autorité de police est un organe indépendant qui a été créé pour s</w:t>
      </w:r>
      <w:r w:rsidR="00784444">
        <w:t>’</w:t>
      </w:r>
      <w:r w:rsidRPr="00BD2C13">
        <w:t xml:space="preserve">assurer que la Garda </w:t>
      </w:r>
      <w:proofErr w:type="spellStart"/>
      <w:r w:rsidRPr="00BD2C13">
        <w:t>Síochána</w:t>
      </w:r>
      <w:proofErr w:type="spellEnd"/>
      <w:r w:rsidRPr="00BD2C13">
        <w:t xml:space="preserve"> s</w:t>
      </w:r>
      <w:r w:rsidR="00784444">
        <w:t>’</w:t>
      </w:r>
      <w:r w:rsidRPr="00BD2C13">
        <w:t>acquitte correctement de ses tâches en matière de services de police. Son principal objectif est de faire en sorte que la confiance du public dans la police soit maintenue</w:t>
      </w:r>
      <w:r w:rsidR="00E84359">
        <w:t xml:space="preserve"> et de contribuer à façonner les services de police irlandais de demain. </w:t>
      </w:r>
      <w:r w:rsidRPr="00BD2C13">
        <w:t>L</w:t>
      </w:r>
      <w:r w:rsidR="00784444">
        <w:t>’</w:t>
      </w:r>
      <w:r w:rsidRPr="00BD2C13">
        <w:t xml:space="preserve">autorité a été créée par la loi de 2015 sur la Garda </w:t>
      </w:r>
      <w:proofErr w:type="spellStart"/>
      <w:r w:rsidRPr="00BD2C13">
        <w:t>Síochána</w:t>
      </w:r>
      <w:proofErr w:type="spellEnd"/>
      <w:r w:rsidRPr="00BD2C13">
        <w:t xml:space="preserve"> (Autorité de police et dispositions diverses).</w:t>
      </w:r>
    </w:p>
    <w:bookmarkEnd w:id="31"/>
    <w:p w14:paraId="153F15A7" w14:textId="77777777" w:rsidR="00C978AD" w:rsidRPr="00BD2C13" w:rsidRDefault="00C978AD" w:rsidP="00C978AD">
      <w:pPr>
        <w:pStyle w:val="SingleTxtG"/>
      </w:pPr>
      <w:r w:rsidRPr="00BD2C13">
        <w:t>55.</w:t>
      </w:r>
      <w:r w:rsidRPr="00BD2C13">
        <w:tab/>
        <w:t>La loi investit l</w:t>
      </w:r>
      <w:r w:rsidR="00784444">
        <w:t>’</w:t>
      </w:r>
      <w:r w:rsidRPr="00BD2C13">
        <w:t>autorité de police d</w:t>
      </w:r>
      <w:r w:rsidR="00784444">
        <w:t>’</w:t>
      </w:r>
      <w:r w:rsidRPr="00BD2C13">
        <w:t>un large éventail de fonctions, dont certaines étaient auparavant du ressort du Gouvernement ou du Ministère de la justice et de l</w:t>
      </w:r>
      <w:r w:rsidR="00784444">
        <w:t>’</w:t>
      </w:r>
      <w:r w:rsidRPr="00BD2C13">
        <w:t>égalité. La principale fonction de l</w:t>
      </w:r>
      <w:r w:rsidR="00784444">
        <w:t>’</w:t>
      </w:r>
      <w:r w:rsidRPr="00BD2C13">
        <w:t>autorité consiste à s</w:t>
      </w:r>
      <w:r w:rsidR="00784444">
        <w:t>’</w:t>
      </w:r>
      <w:r w:rsidRPr="00BD2C13">
        <w:t xml:space="preserve">assurer que la Garda </w:t>
      </w:r>
      <w:proofErr w:type="spellStart"/>
      <w:r w:rsidRPr="00BD2C13">
        <w:t>Síochána</w:t>
      </w:r>
      <w:proofErr w:type="spellEnd"/>
      <w:r w:rsidRPr="00BD2C13">
        <w:t xml:space="preserve"> s</w:t>
      </w:r>
      <w:r w:rsidR="00784444">
        <w:t>’</w:t>
      </w:r>
      <w:r w:rsidRPr="00BD2C13">
        <w:t>acquitte correctement de ses tâches en matière de services de police. Les fonctions de l</w:t>
      </w:r>
      <w:r w:rsidR="00784444">
        <w:t>’</w:t>
      </w:r>
      <w:r w:rsidRPr="00BD2C13">
        <w:t>autorité comprennent ce qui suit</w:t>
      </w:r>
      <w:r w:rsidR="00193B68" w:rsidRPr="00BD2C13">
        <w:t> </w:t>
      </w:r>
      <w:r w:rsidRPr="00BD2C13">
        <w:t>:</w:t>
      </w:r>
    </w:p>
    <w:p w14:paraId="302E6064" w14:textId="77777777" w:rsidR="00C978AD" w:rsidRPr="00BD2C13" w:rsidRDefault="00C978AD" w:rsidP="00193B68">
      <w:pPr>
        <w:pStyle w:val="SingleTxtG"/>
        <w:ind w:firstLine="567"/>
      </w:pPr>
      <w:r w:rsidRPr="00BD2C13">
        <w:t>a)</w:t>
      </w:r>
      <w:r w:rsidRPr="00BD2C13">
        <w:tab/>
      </w:r>
      <w:r w:rsidR="00193B68" w:rsidRPr="00BD2C13">
        <w:t>S</w:t>
      </w:r>
      <w:r w:rsidRPr="00BD2C13">
        <w:t xml:space="preserve">uperviser la manière dont la Garda </w:t>
      </w:r>
      <w:proofErr w:type="spellStart"/>
      <w:r w:rsidRPr="00BD2C13">
        <w:t>Síochána</w:t>
      </w:r>
      <w:proofErr w:type="spellEnd"/>
      <w:r w:rsidRPr="00BD2C13">
        <w:t xml:space="preserve"> exerce ses fonctions de police et veiller à ce qu</w:t>
      </w:r>
      <w:r w:rsidR="00784444">
        <w:t>’</w:t>
      </w:r>
      <w:r w:rsidRPr="00BD2C13">
        <w:t>elle utilise ses ressources de manière à atteindre les plus hauts niveaux d</w:t>
      </w:r>
      <w:r w:rsidR="00784444">
        <w:t>’</w:t>
      </w:r>
      <w:r w:rsidRPr="00BD2C13">
        <w:t>efficacité et d</w:t>
      </w:r>
      <w:r w:rsidR="00784444">
        <w:t>’</w:t>
      </w:r>
      <w:r w:rsidRPr="00BD2C13">
        <w:t>efficience</w:t>
      </w:r>
      <w:r w:rsidR="00193B68" w:rsidRPr="00BD2C13">
        <w:t> </w:t>
      </w:r>
      <w:r w:rsidRPr="00BD2C13">
        <w:t>;</w:t>
      </w:r>
    </w:p>
    <w:p w14:paraId="7E34A30F" w14:textId="77777777" w:rsidR="00C978AD" w:rsidRPr="00BD2C13" w:rsidRDefault="00C978AD" w:rsidP="00193B68">
      <w:pPr>
        <w:pStyle w:val="SingleTxtG"/>
        <w:ind w:firstLine="567"/>
      </w:pPr>
      <w:r w:rsidRPr="00BD2C13">
        <w:t>b)</w:t>
      </w:r>
      <w:r w:rsidRPr="00BD2C13">
        <w:tab/>
      </w:r>
      <w:r w:rsidR="00193B68" w:rsidRPr="00BD2C13">
        <w:t>É</w:t>
      </w:r>
      <w:r w:rsidRPr="00BD2C13">
        <w:t xml:space="preserve">laborer un code de déontologie afin de fixer les normes de conduite et de pratique professionnelle que tous les membres de la Garda </w:t>
      </w:r>
      <w:proofErr w:type="spellStart"/>
      <w:r w:rsidRPr="00BD2C13">
        <w:t>Síochána</w:t>
      </w:r>
      <w:proofErr w:type="spellEnd"/>
      <w:r w:rsidRPr="00BD2C13">
        <w:t xml:space="preserve"> doivent respecter</w:t>
      </w:r>
      <w:r w:rsidR="00193B68" w:rsidRPr="00BD2C13">
        <w:t> </w:t>
      </w:r>
      <w:r w:rsidRPr="00BD2C13">
        <w:t>;</w:t>
      </w:r>
    </w:p>
    <w:p w14:paraId="44606245" w14:textId="77777777" w:rsidR="00C978AD" w:rsidRPr="00BD2C13" w:rsidRDefault="00C978AD" w:rsidP="00193B68">
      <w:pPr>
        <w:pStyle w:val="SingleTxtG"/>
        <w:ind w:firstLine="567"/>
      </w:pPr>
      <w:r w:rsidRPr="00BD2C13">
        <w:t>c)</w:t>
      </w:r>
      <w:r w:rsidRPr="00BD2C13">
        <w:tab/>
      </w:r>
      <w:r w:rsidR="00193B68" w:rsidRPr="00BD2C13">
        <w:t>A</w:t>
      </w:r>
      <w:r w:rsidRPr="00BD2C13">
        <w:t xml:space="preserve">pprouver la stratégie et les plans de la Garda </w:t>
      </w:r>
      <w:proofErr w:type="spellStart"/>
      <w:r w:rsidRPr="00BD2C13">
        <w:t>Síochána</w:t>
      </w:r>
      <w:proofErr w:type="spellEnd"/>
      <w:r w:rsidRPr="00BD2C13">
        <w:t xml:space="preserve"> et fixer les priorités et les niveaux de résultat</w:t>
      </w:r>
      <w:r w:rsidR="00193B68" w:rsidRPr="00BD2C13">
        <w:t> </w:t>
      </w:r>
      <w:r w:rsidRPr="00BD2C13">
        <w:t>;</w:t>
      </w:r>
    </w:p>
    <w:p w14:paraId="40A6D997" w14:textId="77777777" w:rsidR="00C978AD" w:rsidRPr="00BD2C13" w:rsidRDefault="00C978AD" w:rsidP="00193B68">
      <w:pPr>
        <w:pStyle w:val="SingleTxtG"/>
        <w:ind w:firstLine="567"/>
      </w:pPr>
      <w:r w:rsidRPr="00BD2C13">
        <w:t>d)</w:t>
      </w:r>
      <w:r w:rsidRPr="00BD2C13">
        <w:tab/>
      </w:r>
      <w:r w:rsidR="00193B68" w:rsidRPr="00BD2C13">
        <w:t>P</w:t>
      </w:r>
      <w:r w:rsidRPr="00BD2C13">
        <w:t>roposer des candidats en vue de leur nomination, par le Gouvernement, aux postes de directeur et de directeur adjoint de la Garda, à la suite d</w:t>
      </w:r>
      <w:r w:rsidR="00784444">
        <w:t>’</w:t>
      </w:r>
      <w:r w:rsidRPr="00BD2C13">
        <w:t>un processus de sélection conduit par le Service des nominations publiques</w:t>
      </w:r>
      <w:r w:rsidR="00193B68" w:rsidRPr="00BD2C13">
        <w:t> </w:t>
      </w:r>
      <w:r w:rsidRPr="00BD2C13">
        <w:t>;</w:t>
      </w:r>
    </w:p>
    <w:p w14:paraId="5BF65E9B" w14:textId="77777777" w:rsidR="00C978AD" w:rsidRPr="00BD2C13" w:rsidRDefault="00C978AD" w:rsidP="00193B68">
      <w:pPr>
        <w:pStyle w:val="SingleTxtG"/>
        <w:ind w:firstLine="567"/>
      </w:pPr>
      <w:r w:rsidRPr="00BD2C13">
        <w:t>e)</w:t>
      </w:r>
      <w:r w:rsidRPr="00BD2C13">
        <w:tab/>
      </w:r>
      <w:r w:rsidR="00193B68" w:rsidRPr="00BD2C13">
        <w:t>N</w:t>
      </w:r>
      <w:r w:rsidRPr="00BD2C13">
        <w:t>ommer des personnes aux grades de commissaire, de commissaire en chef et de commissaire adjoint</w:t>
      </w:r>
      <w:r w:rsidR="00193B68" w:rsidRPr="00BD2C13">
        <w:t> </w:t>
      </w:r>
      <w:r w:rsidRPr="00BD2C13">
        <w:t>;</w:t>
      </w:r>
    </w:p>
    <w:p w14:paraId="1598379A" w14:textId="77777777" w:rsidR="00C978AD" w:rsidRPr="00BD2C13" w:rsidRDefault="00C978AD" w:rsidP="00193B68">
      <w:pPr>
        <w:pStyle w:val="SingleTxtG"/>
        <w:ind w:firstLine="567"/>
      </w:pPr>
      <w:r w:rsidRPr="00BD2C13">
        <w:t>f)</w:t>
      </w:r>
      <w:r w:rsidRPr="00BD2C13">
        <w:tab/>
      </w:r>
      <w:r w:rsidR="00193B68" w:rsidRPr="00BD2C13">
        <w:t>P</w:t>
      </w:r>
      <w:r w:rsidRPr="00BD2C13">
        <w:t>rononcer des révocations à partir du grade de commissaire, comme le prévoit la loi</w:t>
      </w:r>
      <w:r w:rsidR="00193B68" w:rsidRPr="00BD2C13">
        <w:t> </w:t>
      </w:r>
      <w:r w:rsidRPr="00BD2C13">
        <w:t>;</w:t>
      </w:r>
    </w:p>
    <w:p w14:paraId="0B99D9E1" w14:textId="77777777" w:rsidR="00C978AD" w:rsidRPr="00BD2C13" w:rsidRDefault="00C978AD" w:rsidP="00193B68">
      <w:pPr>
        <w:pStyle w:val="SingleTxtG"/>
        <w:ind w:firstLine="567"/>
      </w:pPr>
      <w:r w:rsidRPr="00BD2C13">
        <w:t>g)</w:t>
      </w:r>
      <w:r w:rsidRPr="00BD2C13">
        <w:tab/>
      </w:r>
      <w:r w:rsidR="00193B68" w:rsidRPr="00BD2C13">
        <w:t>E</w:t>
      </w:r>
      <w:r w:rsidRPr="00BD2C13">
        <w:t>xaminer les dispositions relatives au recrutement, à la formation et au perfectionnement des membres de la Garda et du personnel civil.</w:t>
      </w:r>
    </w:p>
    <w:bookmarkEnd w:id="30"/>
    <w:p w14:paraId="2848326E" w14:textId="77777777" w:rsidR="00C978AD" w:rsidRPr="00BD2C13" w:rsidRDefault="00C978AD" w:rsidP="00C978AD">
      <w:pPr>
        <w:pStyle w:val="SingleTxtG"/>
      </w:pPr>
      <w:r w:rsidRPr="00BD2C13">
        <w:t>56.</w:t>
      </w:r>
      <w:r w:rsidRPr="00BD2C13">
        <w:tab/>
        <w:t>Des dispositions ont également été prises pour garantir l</w:t>
      </w:r>
      <w:r w:rsidR="00784444">
        <w:t>’</w:t>
      </w:r>
      <w:r w:rsidRPr="00BD2C13">
        <w:t>obligation faite à la police de rendre compte de ses activités à l</w:t>
      </w:r>
      <w:r w:rsidR="00784444">
        <w:t>’</w:t>
      </w:r>
      <w:r w:rsidRPr="00BD2C13">
        <w:t xml:space="preserve">échelle locale. Des commissions conjointes ont ainsi été établies dans toutes les autorités locales en vertu de la loi de 2005 sur la Garda </w:t>
      </w:r>
      <w:proofErr w:type="spellStart"/>
      <w:r w:rsidRPr="00BD2C13">
        <w:t>Síochána</w:t>
      </w:r>
      <w:proofErr w:type="spellEnd"/>
      <w:r w:rsidRPr="00BD2C13">
        <w:t xml:space="preserve">. Ces commissions constituent une tribune de consultation et de coopération entre la Garda </w:t>
      </w:r>
      <w:proofErr w:type="spellStart"/>
      <w:r w:rsidRPr="00BD2C13">
        <w:t>Síochána</w:t>
      </w:r>
      <w:proofErr w:type="spellEnd"/>
      <w:r w:rsidRPr="00BD2C13">
        <w:t>, l</w:t>
      </w:r>
      <w:r w:rsidR="00784444">
        <w:t>’</w:t>
      </w:r>
      <w:r w:rsidRPr="00BD2C13">
        <w:t>autorité locale, les élus et les autres représentants locaux à propos de questions liées aux activités policières locales. Elles sont compétentes pour formuler des recommandations sur les services policiers fournis dans les différentes zones, en particulier sur les mesures visant à diminuer la fréquence et la gravité des incivilités.</w:t>
      </w:r>
    </w:p>
    <w:p w14:paraId="74C36772" w14:textId="77777777" w:rsidR="00405F43" w:rsidRPr="00BD2C13" w:rsidRDefault="00405F43" w:rsidP="00405F43">
      <w:pPr>
        <w:pStyle w:val="SingleTxtG"/>
      </w:pPr>
      <w:r w:rsidRPr="00BD2C13">
        <w:t>57.</w:t>
      </w:r>
      <w:r w:rsidRPr="00BD2C13">
        <w:tab/>
        <w:t>Les pouvoirs de la police sont fixés par la loi et toutes ses missions sont soumises au contrôle d</w:t>
      </w:r>
      <w:r w:rsidR="00784444">
        <w:t>’</w:t>
      </w:r>
      <w:r w:rsidRPr="00BD2C13">
        <w:t xml:space="preserve">un pouvoir judiciaire efficace et </w:t>
      </w:r>
      <w:r w:rsidRPr="00BD2C13">
        <w:rPr>
          <w:i/>
          <w:iCs/>
        </w:rPr>
        <w:t>constitutionnellement</w:t>
      </w:r>
      <w:r w:rsidRPr="00BD2C13">
        <w:t xml:space="preserve"> indépendant. Il existe aussi un organisme indépendant chargé d</w:t>
      </w:r>
      <w:r w:rsidR="00784444">
        <w:t>’</w:t>
      </w:r>
      <w:r w:rsidRPr="00BD2C13">
        <w:t>examiner les plaintes contre la police, la</w:t>
      </w:r>
      <w:r w:rsidR="005D0FFF" w:rsidRPr="00BD2C13">
        <w:t xml:space="preserve"> </w:t>
      </w:r>
      <w:r w:rsidRPr="00BD2C13">
        <w:t xml:space="preserve">Commission du Médiateur de la Garda </w:t>
      </w:r>
      <w:proofErr w:type="spellStart"/>
      <w:r w:rsidRPr="00BD2C13">
        <w:t>Síochána</w:t>
      </w:r>
      <w:proofErr w:type="spellEnd"/>
      <w:r w:rsidRPr="00BD2C13">
        <w:t xml:space="preserve"> (voir par.</w:t>
      </w:r>
      <w:r w:rsidR="005D0FFF" w:rsidRPr="00BD2C13">
        <w:t> 115</w:t>
      </w:r>
      <w:r w:rsidRPr="00BD2C13">
        <w:t>).</w:t>
      </w:r>
    </w:p>
    <w:p w14:paraId="0764772E" w14:textId="77777777" w:rsidR="00405F43" w:rsidRPr="00BD2C13" w:rsidRDefault="00405F43" w:rsidP="00405F43">
      <w:pPr>
        <w:pStyle w:val="SingleTxtG"/>
      </w:pPr>
      <w:bookmarkStart w:id="32" w:name="_Hlk37342733"/>
      <w:bookmarkStart w:id="33" w:name="OLE_LINK24"/>
      <w:bookmarkStart w:id="34" w:name="OLE_LINK25"/>
      <w:bookmarkStart w:id="35" w:name="OLE_LINK26"/>
      <w:r w:rsidRPr="00BD2C13">
        <w:t>58.</w:t>
      </w:r>
      <w:r w:rsidRPr="00BD2C13">
        <w:tab/>
        <w:t>Le Directeur du ministère public</w:t>
      </w:r>
      <w:r w:rsidR="00E84359">
        <w:t xml:space="preserve"> </w:t>
      </w:r>
      <w:r w:rsidRPr="00BD2C13">
        <w:t>est l</w:t>
      </w:r>
      <w:r w:rsidR="00784444">
        <w:t>’</w:t>
      </w:r>
      <w:r w:rsidRPr="00BD2C13">
        <w:t xml:space="preserve">autorité </w:t>
      </w:r>
      <w:bookmarkEnd w:id="32"/>
      <w:r w:rsidRPr="00BD2C13">
        <w:t>indépendante chargée de poursuivre les auteurs d</w:t>
      </w:r>
      <w:r w:rsidR="00784444">
        <w:t>’</w:t>
      </w:r>
      <w:r w:rsidRPr="00BD2C13">
        <w:t>infractions pénales (voir par.</w:t>
      </w:r>
      <w:r w:rsidR="005D0FFF" w:rsidRPr="00BD2C13">
        <w:t> 74</w:t>
      </w:r>
      <w:r w:rsidRPr="00BD2C13">
        <w:t>).</w:t>
      </w:r>
    </w:p>
    <w:bookmarkEnd w:id="33"/>
    <w:bookmarkEnd w:id="34"/>
    <w:bookmarkEnd w:id="35"/>
    <w:p w14:paraId="343CCF71" w14:textId="77777777" w:rsidR="00405F43" w:rsidRPr="00BD2C13" w:rsidRDefault="00405F43" w:rsidP="00405F43">
      <w:pPr>
        <w:pStyle w:val="SingleTxtG"/>
      </w:pPr>
      <w:r w:rsidRPr="00BD2C13">
        <w:t>59.</w:t>
      </w:r>
      <w:r w:rsidRPr="00BD2C13">
        <w:tab/>
        <w:t>Selon le rapport annuel du Service pénitentiaire irlandais, il y a eu, en 2018, 4</w:t>
      </w:r>
      <w:r w:rsidR="00A30026" w:rsidRPr="00BD2C13">
        <w:t> </w:t>
      </w:r>
      <w:r w:rsidRPr="00BD2C13">
        <w:t>812</w:t>
      </w:r>
      <w:r w:rsidR="00A30026" w:rsidRPr="00BD2C13">
        <w:t> </w:t>
      </w:r>
      <w:r w:rsidRPr="00BD2C13">
        <w:t>incarcérations, soit une baisse de 20,3 % (1 225) par rapport à 2017. Ce recul tient à la diminution du nombre d</w:t>
      </w:r>
      <w:r w:rsidR="00784444">
        <w:t>’</w:t>
      </w:r>
      <w:r w:rsidRPr="00BD2C13">
        <w:t>incarcérations pour défaut de paiement des amendes. Après exclusion des personnes incarcérées sous ce chef d</w:t>
      </w:r>
      <w:r w:rsidR="00784444">
        <w:t>’</w:t>
      </w:r>
      <w:r w:rsidRPr="00BD2C13">
        <w:t xml:space="preserve">inculpation, le nombre de personnes </w:t>
      </w:r>
      <w:r w:rsidRPr="00BD2C13">
        <w:lastRenderedPageBreak/>
        <w:t>incarcérées a augmenté de 581, soit 15,4 %, contre 3 776 en 2017 et 4 357 en 2018. Au</w:t>
      </w:r>
      <w:r w:rsidR="00470D85">
        <w:t> </w:t>
      </w:r>
      <w:r w:rsidRPr="00BD2C13">
        <w:t>30</w:t>
      </w:r>
      <w:r w:rsidR="00A30026" w:rsidRPr="00BD2C13">
        <w:t> </w:t>
      </w:r>
      <w:r w:rsidRPr="00BD2C13">
        <w:t>novembre 2018, 3 171 personnes exécutaient une peine d</w:t>
      </w:r>
      <w:r w:rsidR="00784444">
        <w:t>’</w:t>
      </w:r>
      <w:r w:rsidRPr="00BD2C13">
        <w:t>emprisonnement, dont 3</w:t>
      </w:r>
      <w:r w:rsidR="00A30026" w:rsidRPr="00BD2C13">
        <w:t> </w:t>
      </w:r>
      <w:r w:rsidRPr="00BD2C13">
        <w:t>051</w:t>
      </w:r>
      <w:r w:rsidR="00A30026" w:rsidRPr="00BD2C13">
        <w:t> </w:t>
      </w:r>
      <w:r w:rsidRPr="00BD2C13">
        <w:t>hommes et 120 femmes. Parmi ces détenus, 363 purgeaient une peine d</w:t>
      </w:r>
      <w:r w:rsidR="00784444">
        <w:t>’</w:t>
      </w:r>
      <w:r w:rsidRPr="00BD2C13">
        <w:t>emprisonnement à vie et 237 une peine de dix</w:t>
      </w:r>
      <w:r w:rsidR="00397D61" w:rsidRPr="00BD2C13">
        <w:t> </w:t>
      </w:r>
      <w:r w:rsidRPr="00BD2C13">
        <w:t xml:space="preserve">ans ou plus. Les détenus condamnés pour des infractions à la législation sur le vol et les infractions connexes étaient les plus nombreux (Groupe </w:t>
      </w:r>
      <w:r w:rsidR="00A30026" w:rsidRPr="00BD2C13">
        <w:rPr>
          <w:rFonts w:eastAsia="MS Mincho"/>
          <w:szCs w:val="22"/>
        </w:rPr>
        <w:t>n</w:t>
      </w:r>
      <w:r w:rsidR="00A30026" w:rsidRPr="00BD2C13">
        <w:rPr>
          <w:rFonts w:eastAsia="MS Mincho"/>
          <w:szCs w:val="22"/>
          <w:vertAlign w:val="superscript"/>
        </w:rPr>
        <w:t>o</w:t>
      </w:r>
      <w:r w:rsidR="00A30026" w:rsidRPr="00BD2C13">
        <w:t> </w:t>
      </w:r>
      <w:r w:rsidRPr="00BD2C13">
        <w:t xml:space="preserve">8, </w:t>
      </w:r>
      <w:r w:rsidR="00470D85">
        <w:t>v</w:t>
      </w:r>
      <w:r w:rsidRPr="00BD2C13">
        <w:t>ol et infractions connexes).</w:t>
      </w:r>
    </w:p>
    <w:p w14:paraId="1BEEF094" w14:textId="77777777" w:rsidR="00405F43" w:rsidRPr="00BD2C13" w:rsidRDefault="00405F43" w:rsidP="00405F43">
      <w:pPr>
        <w:pStyle w:val="SingleTxtG"/>
      </w:pPr>
      <w:r w:rsidRPr="00BD2C13">
        <w:t>60.</w:t>
      </w:r>
      <w:r w:rsidRPr="00BD2C13">
        <w:tab/>
        <w:t>De plus amples renseignements sur les infractions en Irlande et d</w:t>
      </w:r>
      <w:r w:rsidR="00784444">
        <w:t>’</w:t>
      </w:r>
      <w:r w:rsidRPr="00BD2C13">
        <w:t>autres indicateurs statistiques figurent à l</w:t>
      </w:r>
      <w:r w:rsidR="00784444">
        <w:t>’</w:t>
      </w:r>
      <w:r w:rsidRPr="00BD2C13">
        <w:t>annexe I.</w:t>
      </w:r>
    </w:p>
    <w:p w14:paraId="38901F07" w14:textId="77777777" w:rsidR="00405F43" w:rsidRPr="00BD2C13" w:rsidRDefault="00A30026" w:rsidP="00A30026">
      <w:pPr>
        <w:pStyle w:val="H23G"/>
      </w:pPr>
      <w:r w:rsidRPr="00BD2C13">
        <w:tab/>
      </w:r>
      <w:r w:rsidR="00405F43" w:rsidRPr="00BD2C13">
        <w:t>7.</w:t>
      </w:r>
      <w:r w:rsidR="00405F43" w:rsidRPr="00BD2C13">
        <w:tab/>
        <w:t>Le système juridique irlandais</w:t>
      </w:r>
    </w:p>
    <w:p w14:paraId="0C033167" w14:textId="77777777" w:rsidR="00405F43" w:rsidRPr="00BD2C13" w:rsidRDefault="00405F43" w:rsidP="00405F43">
      <w:pPr>
        <w:pStyle w:val="SingleTxtG"/>
      </w:pPr>
      <w:r w:rsidRPr="00BD2C13">
        <w:t>61.</w:t>
      </w:r>
      <w:r w:rsidRPr="00BD2C13">
        <w:tab/>
        <w:t xml:space="preserve">Le système juridique irlandais est fondé sur la </w:t>
      </w:r>
      <w:proofErr w:type="spellStart"/>
      <w:r w:rsidRPr="00BD2C13">
        <w:rPr>
          <w:i/>
        </w:rPr>
        <w:t>common</w:t>
      </w:r>
      <w:proofErr w:type="spellEnd"/>
      <w:r w:rsidRPr="00BD2C13">
        <w:rPr>
          <w:i/>
        </w:rPr>
        <w:t xml:space="preserve"> </w:t>
      </w:r>
      <w:proofErr w:type="spellStart"/>
      <w:r w:rsidRPr="00BD2C13">
        <w:rPr>
          <w:i/>
        </w:rPr>
        <w:t>law</w:t>
      </w:r>
      <w:proofErr w:type="spellEnd"/>
      <w:r w:rsidRPr="00BD2C13">
        <w:t>. La Constitution est la loi fondamentale de l</w:t>
      </w:r>
      <w:r w:rsidR="00784444">
        <w:t>’</w:t>
      </w:r>
      <w:r w:rsidRPr="00BD2C13">
        <w:t xml:space="preserve">État et a primauté sur toute autre source de droit de rang inférieur. Une disposition législative ou une disposition de </w:t>
      </w:r>
      <w:proofErr w:type="spellStart"/>
      <w:r w:rsidRPr="00BD2C13">
        <w:rPr>
          <w:i/>
        </w:rPr>
        <w:t>common</w:t>
      </w:r>
      <w:proofErr w:type="spellEnd"/>
      <w:r w:rsidRPr="00BD2C13">
        <w:rPr>
          <w:i/>
        </w:rPr>
        <w:t xml:space="preserve"> </w:t>
      </w:r>
      <w:proofErr w:type="spellStart"/>
      <w:r w:rsidRPr="00BD2C13">
        <w:rPr>
          <w:i/>
        </w:rPr>
        <w:t>law</w:t>
      </w:r>
      <w:proofErr w:type="spellEnd"/>
      <w:r w:rsidRPr="00BD2C13">
        <w:t xml:space="preserve"> qui est contraire à une disposition constitutionnelle est donc nulle et non avenue. Les autres sources de droit importantes comprennent le droit de l</w:t>
      </w:r>
      <w:r w:rsidR="00784444">
        <w:t>’</w:t>
      </w:r>
      <w:r w:rsidRPr="00BD2C13">
        <w:t>Union européenne, au niveau supranational, et les lois adoptées par l</w:t>
      </w:r>
      <w:r w:rsidR="00784444">
        <w:t>’</w:t>
      </w:r>
      <w:proofErr w:type="spellStart"/>
      <w:r w:rsidRPr="00BD2C13">
        <w:t>Oireachtas</w:t>
      </w:r>
      <w:proofErr w:type="spellEnd"/>
      <w:r w:rsidRPr="00BD2C13">
        <w:t xml:space="preserve">. Comme dans tout système juridique fondé sur la </w:t>
      </w:r>
      <w:proofErr w:type="spellStart"/>
      <w:r w:rsidRPr="00BD2C13">
        <w:rPr>
          <w:i/>
        </w:rPr>
        <w:t>common</w:t>
      </w:r>
      <w:proofErr w:type="spellEnd"/>
      <w:r w:rsidRPr="00BD2C13">
        <w:rPr>
          <w:i/>
        </w:rPr>
        <w:t xml:space="preserve"> </w:t>
      </w:r>
      <w:proofErr w:type="spellStart"/>
      <w:r w:rsidRPr="00BD2C13">
        <w:rPr>
          <w:i/>
        </w:rPr>
        <w:t>law</w:t>
      </w:r>
      <w:proofErr w:type="spellEnd"/>
      <w:r w:rsidRPr="00BD2C13">
        <w:t xml:space="preserve">, la jurisprudence est également une source de droit importante : selon la doctrine du précédent, ou le principe </w:t>
      </w:r>
      <w:proofErr w:type="spellStart"/>
      <w:r w:rsidRPr="00BD2C13">
        <w:rPr>
          <w:i/>
        </w:rPr>
        <w:t>stare</w:t>
      </w:r>
      <w:proofErr w:type="spellEnd"/>
      <w:r w:rsidRPr="00BD2C13">
        <w:rPr>
          <w:i/>
        </w:rPr>
        <w:t xml:space="preserve"> </w:t>
      </w:r>
      <w:proofErr w:type="spellStart"/>
      <w:r w:rsidRPr="00BD2C13">
        <w:rPr>
          <w:i/>
        </w:rPr>
        <w:t>decisis</w:t>
      </w:r>
      <w:proofErr w:type="spellEnd"/>
      <w:r w:rsidRPr="00BD2C13">
        <w:t>, les tribunaux sont censés suivre les jugements antérieurs, en particulier ceux des juridictions supérieures, bien qu</w:t>
      </w:r>
      <w:r w:rsidR="00784444">
        <w:t>’</w:t>
      </w:r>
      <w:r w:rsidRPr="00BD2C13">
        <w:t>il puisse être dérogé à cette règle dans certains cas.</w:t>
      </w:r>
    </w:p>
    <w:p w14:paraId="718AF86F" w14:textId="77777777" w:rsidR="00405F43" w:rsidRPr="00BD2C13" w:rsidRDefault="00A30026" w:rsidP="00A30026">
      <w:pPr>
        <w:pStyle w:val="H4G"/>
      </w:pPr>
      <w:r w:rsidRPr="00BD2C13">
        <w:tab/>
      </w:r>
      <w:r w:rsidRPr="00BD2C13">
        <w:tab/>
      </w:r>
      <w:r w:rsidR="00405F43" w:rsidRPr="00BD2C13">
        <w:t>Les tribunaux</w:t>
      </w:r>
    </w:p>
    <w:p w14:paraId="7B69A71E" w14:textId="77777777" w:rsidR="00405F43" w:rsidRPr="00BD2C13" w:rsidRDefault="00405F43" w:rsidP="00405F43">
      <w:pPr>
        <w:pStyle w:val="SingleTxtG"/>
      </w:pPr>
      <w:bookmarkStart w:id="36" w:name="_Hlk37343201"/>
      <w:bookmarkStart w:id="37" w:name="_Hlk37856285"/>
      <w:r w:rsidRPr="00E84359">
        <w:t>62.</w:t>
      </w:r>
      <w:r w:rsidRPr="00E84359">
        <w:tab/>
        <w:t>Il existe en Irlande cinq niveaux de juridictions</w:t>
      </w:r>
      <w:r w:rsidR="00A30026" w:rsidRPr="00E84359">
        <w:t> </w:t>
      </w:r>
      <w:r w:rsidRPr="00E84359">
        <w:t>: le tribunal de district, le tribunal d</w:t>
      </w:r>
      <w:r w:rsidR="00784444" w:rsidRPr="00E84359">
        <w:t>’</w:t>
      </w:r>
      <w:r w:rsidRPr="00E84359">
        <w:t xml:space="preserve">arrondissement, la </w:t>
      </w:r>
      <w:r w:rsidRPr="00633FC0">
        <w:rPr>
          <w:i/>
        </w:rPr>
        <w:t>High Court</w:t>
      </w:r>
      <w:r w:rsidRPr="00E84359">
        <w:t>, la Cour d</w:t>
      </w:r>
      <w:r w:rsidR="00784444" w:rsidRPr="00E84359">
        <w:t>’</w:t>
      </w:r>
      <w:r w:rsidRPr="00E84359">
        <w:t>appel et la Cour suprême. Les tribunaux de district et d</w:t>
      </w:r>
      <w:r w:rsidR="00784444" w:rsidRPr="00E84359">
        <w:t>’</w:t>
      </w:r>
      <w:r w:rsidRPr="00E84359">
        <w:t>arrondissement ont une compétence locale et limitée. La Cour suprême, la Cour d</w:t>
      </w:r>
      <w:r w:rsidR="00784444" w:rsidRPr="00E84359">
        <w:t>’</w:t>
      </w:r>
      <w:r w:rsidRPr="00E84359">
        <w:t xml:space="preserve">appel et la </w:t>
      </w:r>
      <w:r w:rsidR="00E84359" w:rsidRPr="00E84359">
        <w:rPr>
          <w:i/>
        </w:rPr>
        <w:t>High Court</w:t>
      </w:r>
      <w:r w:rsidR="00E84359">
        <w:t xml:space="preserve"> </w:t>
      </w:r>
      <w:r w:rsidRPr="00E84359">
        <w:t xml:space="preserve">sont considérées comme les juridictions supérieures. Lorsque la </w:t>
      </w:r>
      <w:r w:rsidR="00D94234" w:rsidRPr="00D94234">
        <w:rPr>
          <w:i/>
        </w:rPr>
        <w:t>High Court</w:t>
      </w:r>
      <w:r w:rsidRPr="00E84359">
        <w:rPr>
          <w:i/>
          <w:iCs/>
        </w:rPr>
        <w:t xml:space="preserve"> </w:t>
      </w:r>
      <w:r w:rsidRPr="00E84359">
        <w:t>siège pour juger des affaires pénales, elle porte le nom de Cour pénale centrale.</w:t>
      </w:r>
    </w:p>
    <w:p w14:paraId="1F3D2036" w14:textId="77777777" w:rsidR="00405F43" w:rsidRPr="00BD2C13" w:rsidRDefault="00405F43" w:rsidP="00405F43">
      <w:pPr>
        <w:pStyle w:val="SingleTxtG"/>
      </w:pPr>
      <w:bookmarkStart w:id="38" w:name="_Hlk31371522"/>
      <w:bookmarkEnd w:id="36"/>
      <w:r w:rsidRPr="00BD2C13">
        <w:t>63.</w:t>
      </w:r>
      <w:r w:rsidRPr="00BD2C13">
        <w:tab/>
        <w:t>La Cour d</w:t>
      </w:r>
      <w:r w:rsidR="00784444">
        <w:t>’</w:t>
      </w:r>
      <w:r w:rsidRPr="00BD2C13">
        <w:t>appel a été créée en 2014 à la suite d</w:t>
      </w:r>
      <w:r w:rsidR="00784444">
        <w:t>’</w:t>
      </w:r>
      <w:r w:rsidRPr="00BD2C13">
        <w:t xml:space="preserve">un </w:t>
      </w:r>
      <w:proofErr w:type="spellStart"/>
      <w:r w:rsidRPr="00BD2C13">
        <w:t>référendum</w:t>
      </w:r>
      <w:proofErr w:type="spellEnd"/>
      <w:r w:rsidRPr="00BD2C13">
        <w:t xml:space="preserve"> visant à modifier la Constitution. Elle statue sur les recours introduits contre les décisions de la </w:t>
      </w:r>
      <w:r w:rsidR="00D94234" w:rsidRPr="00D94234">
        <w:rPr>
          <w:i/>
        </w:rPr>
        <w:t>High Court</w:t>
      </w:r>
      <w:r w:rsidRPr="00BD2C13">
        <w:rPr>
          <w:i/>
          <w:iCs/>
        </w:rPr>
        <w:t xml:space="preserve"> </w:t>
      </w:r>
      <w:r w:rsidRPr="00BD2C13">
        <w:t>en matière civile.</w:t>
      </w:r>
      <w:r w:rsidR="007A54A8">
        <w:t xml:space="preserve"> </w:t>
      </w:r>
      <w:r w:rsidRPr="00BD2C13">
        <w:t>En vertu de la loi de 2014 sur la Cour d</w:t>
      </w:r>
      <w:r w:rsidR="00784444">
        <w:t>’</w:t>
      </w:r>
      <w:r w:rsidRPr="00BD2C13">
        <w:t>appel, la Cour d</w:t>
      </w:r>
      <w:r w:rsidR="00784444">
        <w:t>’</w:t>
      </w:r>
      <w:r w:rsidRPr="00BD2C13">
        <w:t>appel s</w:t>
      </w:r>
      <w:r w:rsidR="00784444">
        <w:t>’</w:t>
      </w:r>
      <w:r w:rsidRPr="00BD2C13">
        <w:t>est également vu attribuer la compétence d</w:t>
      </w:r>
      <w:r w:rsidR="00784444">
        <w:t>’</w:t>
      </w:r>
      <w:r w:rsidRPr="00BD2C13">
        <w:t>appel précédemment exercée par la Cour d</w:t>
      </w:r>
      <w:r w:rsidR="00784444">
        <w:t>’</w:t>
      </w:r>
      <w:r w:rsidRPr="00BD2C13">
        <w:t>appel pénale.</w:t>
      </w:r>
    </w:p>
    <w:bookmarkEnd w:id="37"/>
    <w:p w14:paraId="07098A44" w14:textId="77777777" w:rsidR="00405F43" w:rsidRPr="00BD2C13" w:rsidRDefault="00405F43" w:rsidP="00405F43">
      <w:pPr>
        <w:pStyle w:val="SingleTxtG"/>
      </w:pPr>
      <w:r w:rsidRPr="00BD2C13">
        <w:t>64.</w:t>
      </w:r>
      <w:r w:rsidRPr="00BD2C13">
        <w:tab/>
        <w:t>Les décisions de la Cour d</w:t>
      </w:r>
      <w:r w:rsidR="00784444">
        <w:t>’</w:t>
      </w:r>
      <w:r w:rsidRPr="00BD2C13">
        <w:t>appel ne peuvent faire l</w:t>
      </w:r>
      <w:r w:rsidR="00784444">
        <w:t>’</w:t>
      </w:r>
      <w:r w:rsidRPr="00BD2C13">
        <w:t>objet d</w:t>
      </w:r>
      <w:r w:rsidR="00784444">
        <w:t>’</w:t>
      </w:r>
      <w:r w:rsidRPr="00BD2C13">
        <w:t>un recours devant la Cour suprême que si cette dernière en donne l</w:t>
      </w:r>
      <w:r w:rsidR="00784444">
        <w:t>’</w:t>
      </w:r>
      <w:r w:rsidRPr="00BD2C13">
        <w:t>autorisation. Cette autorisation ne peut être accordée que si les décisions en question portent sur une question d</w:t>
      </w:r>
      <w:r w:rsidR="00784444">
        <w:t>’</w:t>
      </w:r>
      <w:r w:rsidRPr="00BD2C13">
        <w:t>intérêt général ou si, dans l</w:t>
      </w:r>
      <w:r w:rsidR="00784444">
        <w:t>’</w:t>
      </w:r>
      <w:r w:rsidRPr="00BD2C13">
        <w:t>intérêt de la justice, il est souhaitable de former ce recours. La Cour suprême est la juridiction de dernière instance en matière civile et pénale, dans des cas exceptionnels. Elle a également la compétence exclusive pour se prononcer sur la constitutionnalité d</w:t>
      </w:r>
      <w:r w:rsidR="00784444">
        <w:t>’</w:t>
      </w:r>
      <w:r w:rsidRPr="00BD2C13">
        <w:t>un projet de loi qui lui a été renvoyé par le Président de l</w:t>
      </w:r>
      <w:r w:rsidR="00784444">
        <w:t>’</w:t>
      </w:r>
      <w:r w:rsidRPr="00BD2C13">
        <w:t>Irlande avant signature.</w:t>
      </w:r>
    </w:p>
    <w:bookmarkEnd w:id="38"/>
    <w:p w14:paraId="140A1398" w14:textId="77777777" w:rsidR="00405F43" w:rsidRPr="00BD2C13" w:rsidRDefault="00405F43" w:rsidP="00405F43">
      <w:pPr>
        <w:pStyle w:val="SingleTxtG"/>
      </w:pPr>
      <w:r w:rsidRPr="00BD2C13">
        <w:t>65.</w:t>
      </w:r>
      <w:r w:rsidRPr="00BD2C13">
        <w:tab/>
        <w:t>En sus des juridictions mentionnées ci-haut, il existe deux tribunaux spéciaux en matière pénale, créés en application de l</w:t>
      </w:r>
      <w:r w:rsidR="00784444">
        <w:t>’</w:t>
      </w:r>
      <w:r w:rsidRPr="00BD2C13">
        <w:t>article</w:t>
      </w:r>
      <w:r w:rsidR="00433CB1" w:rsidRPr="00BD2C13">
        <w:t> </w:t>
      </w:r>
      <w:r w:rsidRPr="00BD2C13">
        <w:t>38.3 de la Constitution pour juger des infractions dans des cas où il peut être établi, conformément à la loi, que les tribunaux ordinaires ne sont pas en mesure d</w:t>
      </w:r>
      <w:r w:rsidR="00784444">
        <w:t>’</w:t>
      </w:r>
      <w:r w:rsidRPr="00BD2C13">
        <w:t>assurer une administration efficace de la justice, ou de préserver la paix et de maintenir l</w:t>
      </w:r>
      <w:r w:rsidR="00784444">
        <w:t>’</w:t>
      </w:r>
      <w:r w:rsidRPr="00BD2C13">
        <w:t>ordre public. Le tribunal pénal spécial, créé en 1972, siège sans jury. Le Gouvernement considère que le maintien de ce tribunal est nécessaire pour juger un ensemble d</w:t>
      </w:r>
      <w:r w:rsidR="00784444">
        <w:t>’</w:t>
      </w:r>
      <w:r w:rsidRPr="00BD2C13">
        <w:t>infractions liées au terrorisme et à la criminalité organisée. Compte tenu du volume d</w:t>
      </w:r>
      <w:r w:rsidR="00784444">
        <w:t>’</w:t>
      </w:r>
      <w:r w:rsidRPr="00BD2C13">
        <w:t xml:space="preserve">affaires à juger, un deuxième tribunal pénal spécial a été créé en 2016, ce qui a permis de réduire sensiblement les délais de traitement des affaires pénales et de les ramener de </w:t>
      </w:r>
      <w:r w:rsidR="00433CB1" w:rsidRPr="00BD2C13">
        <w:t>vingt-quatre</w:t>
      </w:r>
      <w:r w:rsidRPr="00BD2C13">
        <w:t xml:space="preserve"> à environ dix</w:t>
      </w:r>
      <w:r w:rsidR="00397D61" w:rsidRPr="00BD2C13">
        <w:t> </w:t>
      </w:r>
      <w:r w:rsidRPr="00BD2C13">
        <w:t>mois. Le maintien de ces tribunaux spéciaux fait l</w:t>
      </w:r>
      <w:r w:rsidR="00784444">
        <w:t>’</w:t>
      </w:r>
      <w:r w:rsidRPr="00BD2C13">
        <w:t>objet d</w:t>
      </w:r>
      <w:r w:rsidR="00784444">
        <w:t>’</w:t>
      </w:r>
      <w:r w:rsidRPr="00BD2C13">
        <w:t>un examen continu.</w:t>
      </w:r>
    </w:p>
    <w:p w14:paraId="619E6D3B" w14:textId="77777777" w:rsidR="00405F43" w:rsidRPr="00DE363E" w:rsidRDefault="00405F43" w:rsidP="00405F43">
      <w:pPr>
        <w:pStyle w:val="SingleTxtG"/>
      </w:pPr>
      <w:r w:rsidRPr="00BD2C13">
        <w:t>66.</w:t>
      </w:r>
      <w:r w:rsidRPr="00BD2C13">
        <w:tab/>
        <w:t>Les délais de traitement des affaires devant les tribunaux de district et d</w:t>
      </w:r>
      <w:r w:rsidR="00784444">
        <w:t>’</w:t>
      </w:r>
      <w:r w:rsidRPr="00BD2C13">
        <w:t>arrondissement varient d</w:t>
      </w:r>
      <w:r w:rsidR="00784444">
        <w:t>’</w:t>
      </w:r>
      <w:r w:rsidRPr="00BD2C13">
        <w:t>un tribunal à l</w:t>
      </w:r>
      <w:r w:rsidR="00784444">
        <w:t>’</w:t>
      </w:r>
      <w:r w:rsidRPr="00BD2C13">
        <w:t>autre, en fonction du nombre et de la complexité des affaires.</w:t>
      </w:r>
    </w:p>
    <w:p w14:paraId="15D1676C" w14:textId="77777777" w:rsidR="00405F43" w:rsidRPr="00BD2C13" w:rsidRDefault="00405F43" w:rsidP="00405F43">
      <w:pPr>
        <w:pStyle w:val="SingleTxtG"/>
      </w:pPr>
      <w:r w:rsidRPr="00E84359">
        <w:t>67.</w:t>
      </w:r>
      <w:r w:rsidRPr="00E84359">
        <w:tab/>
        <w:t xml:space="preserve">Le Président de la </w:t>
      </w:r>
      <w:r w:rsidR="00D94234" w:rsidRPr="00D94234">
        <w:rPr>
          <w:i/>
        </w:rPr>
        <w:t>High Court</w:t>
      </w:r>
      <w:r w:rsidRPr="00E84359">
        <w:rPr>
          <w:i/>
        </w:rPr>
        <w:t xml:space="preserve"> </w:t>
      </w:r>
      <w:r w:rsidRPr="00E84359">
        <w:t>fait un suivi permanent des délais de traitement des affaires et a lancé diverses initiatives pour les écourter, telles que la tenue d</w:t>
      </w:r>
      <w:r w:rsidR="00784444" w:rsidRPr="00E84359">
        <w:t>’</w:t>
      </w:r>
      <w:r w:rsidRPr="00E84359">
        <w:t xml:space="preserve">audiences hors </w:t>
      </w:r>
      <w:r w:rsidRPr="00E84359">
        <w:lastRenderedPageBreak/>
        <w:t>de Dublin et l</w:t>
      </w:r>
      <w:r w:rsidR="00784444" w:rsidRPr="00E84359">
        <w:t>’</w:t>
      </w:r>
      <w:r w:rsidRPr="00E84359">
        <w:t>organisation d</w:t>
      </w:r>
      <w:r w:rsidR="00784444" w:rsidRPr="00E84359">
        <w:t>’</w:t>
      </w:r>
      <w:r w:rsidRPr="00E84359">
        <w:t>audiences supplémentaires durant les vacations judiciaires. Afin d</w:t>
      </w:r>
      <w:r w:rsidR="00784444" w:rsidRPr="00E84359">
        <w:t>’</w:t>
      </w:r>
      <w:r w:rsidRPr="00E84359">
        <w:t>améliorer la gestion des délais de traitement des affaires devant le Tribunal pénal central, dès lors qu</w:t>
      </w:r>
      <w:r w:rsidR="00784444" w:rsidRPr="00E84359">
        <w:t>’</w:t>
      </w:r>
      <w:r w:rsidRPr="00E84359">
        <w:t>une audience prévue</w:t>
      </w:r>
      <w:r w:rsidRPr="00BD2C13">
        <w:t xml:space="preserve"> devant le Tribunal pénal spécial n</w:t>
      </w:r>
      <w:r w:rsidR="00784444">
        <w:t>’</w:t>
      </w:r>
      <w:r w:rsidRPr="00BD2C13">
        <w:t xml:space="preserve">a pas lieu, le juge de la </w:t>
      </w:r>
      <w:r w:rsidR="00D94234" w:rsidRPr="00D94234">
        <w:rPr>
          <w:i/>
        </w:rPr>
        <w:t>High Court</w:t>
      </w:r>
      <w:r w:rsidR="007A54A8">
        <w:t xml:space="preserve"> </w:t>
      </w:r>
      <w:r w:rsidRPr="00BD2C13">
        <w:t>en charge de l</w:t>
      </w:r>
      <w:r w:rsidR="00784444">
        <w:t>’</w:t>
      </w:r>
      <w:r w:rsidRPr="00BD2C13">
        <w:t>affaire siège au Tribunal pénal central pour juger les procès qui s</w:t>
      </w:r>
      <w:r w:rsidR="00784444">
        <w:t>’</w:t>
      </w:r>
      <w:r w:rsidRPr="00BD2C13">
        <w:t>y tiennent. En outre, la délégation à des auxiliaires de justice de fonctions administratives jusqu</w:t>
      </w:r>
      <w:r w:rsidR="00784444">
        <w:t>’</w:t>
      </w:r>
      <w:r w:rsidRPr="00BD2C13">
        <w:t xml:space="preserve">alors du ressort des juges de la </w:t>
      </w:r>
      <w:r w:rsidR="00D94234" w:rsidRPr="00D94234">
        <w:rPr>
          <w:i/>
        </w:rPr>
        <w:t>High Court</w:t>
      </w:r>
      <w:r w:rsidRPr="00BD2C13">
        <w:rPr>
          <w:i/>
        </w:rPr>
        <w:t xml:space="preserve"> </w:t>
      </w:r>
      <w:r w:rsidRPr="00BD2C13">
        <w:t>a permis d</w:t>
      </w:r>
      <w:r w:rsidR="00784444">
        <w:t>’</w:t>
      </w:r>
      <w:r w:rsidRPr="00BD2C13">
        <w:t>accroître la disponibilité de ces derniers pour les activités directement liées aux procès. Ces initiatives continuent d</w:t>
      </w:r>
      <w:r w:rsidR="00784444">
        <w:t>’</w:t>
      </w:r>
      <w:r w:rsidRPr="00BD2C13">
        <w:t xml:space="preserve">être évaluées et étendues. En dépit de fortes pressions, les délais de traitement des affaires devant la </w:t>
      </w:r>
      <w:r w:rsidR="00D94234" w:rsidRPr="00D94234">
        <w:rPr>
          <w:i/>
        </w:rPr>
        <w:t>High Court</w:t>
      </w:r>
      <w:r w:rsidRPr="00BD2C13">
        <w:rPr>
          <w:i/>
        </w:rPr>
        <w:t xml:space="preserve"> </w:t>
      </w:r>
      <w:r w:rsidRPr="00BD2C13">
        <w:t>ont été dans l</w:t>
      </w:r>
      <w:r w:rsidR="00784444">
        <w:t>’</w:t>
      </w:r>
      <w:r w:rsidRPr="00BD2C13">
        <w:t>ensemble considérablement écourtés.</w:t>
      </w:r>
    </w:p>
    <w:p w14:paraId="1D795ECC" w14:textId="77777777" w:rsidR="00405F43" w:rsidRPr="00BD2C13" w:rsidRDefault="00405F43" w:rsidP="00405F43">
      <w:pPr>
        <w:pStyle w:val="SingleTxtG"/>
      </w:pPr>
      <w:bookmarkStart w:id="39" w:name="_Hlk31371534"/>
      <w:r w:rsidRPr="00BD2C13">
        <w:t>68.</w:t>
      </w:r>
      <w:r w:rsidRPr="00BD2C13">
        <w:tab/>
        <w:t>Depuis la création de la Cour d</w:t>
      </w:r>
      <w:r w:rsidR="00784444">
        <w:t>’</w:t>
      </w:r>
      <w:r w:rsidRPr="00BD2C13">
        <w:t>appel, les délais qui séparent le dépôt d</w:t>
      </w:r>
      <w:r w:rsidR="00784444">
        <w:t>’</w:t>
      </w:r>
      <w:r w:rsidRPr="00BD2C13">
        <w:t>une requête en appel de son jugement ont été considérablement réduits grâce aux programmes de gestion active des affaires mis en place par le Président pour les affaires civiles et pénales. Un dispositif d</w:t>
      </w:r>
      <w:r w:rsidR="00784444">
        <w:t>’</w:t>
      </w:r>
      <w:r w:rsidRPr="00BD2C13">
        <w:t>appel accéléré de courte durée a été instauré pour les appels en matière civile, avec des délais d</w:t>
      </w:r>
      <w:r w:rsidR="00784444">
        <w:t>’</w:t>
      </w:r>
      <w:r w:rsidRPr="00BD2C13">
        <w:t>attente d</w:t>
      </w:r>
      <w:r w:rsidR="00784444">
        <w:t>’</w:t>
      </w:r>
      <w:r w:rsidRPr="00BD2C13">
        <w:t xml:space="preserve">environ neuf mois, contre </w:t>
      </w:r>
      <w:r w:rsidR="00433CB1" w:rsidRPr="00BD2C13">
        <w:t>vingt</w:t>
      </w:r>
      <w:r w:rsidRPr="00BD2C13">
        <w:t xml:space="preserve"> mois pour les autres procédures en appel. Ces chiffres soutiennent favorablement la comparaison avec les délais de plus de </w:t>
      </w:r>
      <w:r w:rsidR="00433CB1" w:rsidRPr="00BD2C13">
        <w:t>quarante-huit</w:t>
      </w:r>
      <w:r w:rsidRPr="00BD2C13">
        <w:t xml:space="preserve"> mois antérieurs à la création de la Cour. Les appels urgents, tels que ceux relatifs à la Convention de La</w:t>
      </w:r>
      <w:r w:rsidR="00433CB1" w:rsidRPr="00BD2C13">
        <w:t> </w:t>
      </w:r>
      <w:r w:rsidRPr="00BD2C13">
        <w:t>Haye et aux enlèvements d</w:t>
      </w:r>
      <w:r w:rsidR="00784444">
        <w:t>’</w:t>
      </w:r>
      <w:r w:rsidRPr="00BD2C13">
        <w:t>enfants, sont traités sans délai et les appels relatifs à la garde d</w:t>
      </w:r>
      <w:r w:rsidR="00784444">
        <w:t>’</w:t>
      </w:r>
      <w:r w:rsidRPr="00BD2C13">
        <w:t xml:space="preserve">enfants ou à une affaire pénale, comme les recours en </w:t>
      </w:r>
      <w:r w:rsidRPr="00144FED">
        <w:rPr>
          <w:i/>
        </w:rPr>
        <w:t>habeas corpus</w:t>
      </w:r>
      <w:r w:rsidRPr="00BD2C13">
        <w:t>, sont entendus dans un délai d</w:t>
      </w:r>
      <w:r w:rsidR="00784444">
        <w:t>’</w:t>
      </w:r>
      <w:r w:rsidRPr="00BD2C13">
        <w:t>un mois. Les affaires ayant donné lieu à l</w:t>
      </w:r>
      <w:r w:rsidR="00784444">
        <w:t>’</w:t>
      </w:r>
      <w:r w:rsidRPr="00BD2C13">
        <w:t>émission d</w:t>
      </w:r>
      <w:r w:rsidR="00784444">
        <w:t>’</w:t>
      </w:r>
      <w:r w:rsidRPr="00BD2C13">
        <w:t>un mandat d</w:t>
      </w:r>
      <w:r w:rsidR="00784444">
        <w:t>’</w:t>
      </w:r>
      <w:r w:rsidRPr="00BD2C13">
        <w:t xml:space="preserve">arrêt européen sont entendues dans un délai de trois mois ou moins lorsque tous les documents nécessaires sont en règle. Les délais applicables aux recours en matière pénale ont été ramenés à six mois, contre </w:t>
      </w:r>
      <w:r w:rsidR="00433CB1" w:rsidRPr="00BD2C13">
        <w:t>quinze</w:t>
      </w:r>
      <w:r w:rsidRPr="00BD2C13">
        <w:t xml:space="preserve"> mois avant la création de la Cour. Les parties aux procédures civiles et pénales peuvent solliciter une audience prioritaire.</w:t>
      </w:r>
    </w:p>
    <w:p w14:paraId="5436734D" w14:textId="77777777" w:rsidR="00405F43" w:rsidRPr="00BD2C13" w:rsidRDefault="00405F43" w:rsidP="00405F43">
      <w:pPr>
        <w:pStyle w:val="SingleTxtG"/>
      </w:pPr>
      <w:r w:rsidRPr="00BD2C13">
        <w:t>69.</w:t>
      </w:r>
      <w:r w:rsidRPr="00BD2C13">
        <w:tab/>
        <w:t>Depuis la création de la Cour d</w:t>
      </w:r>
      <w:r w:rsidR="00784444">
        <w:t>’</w:t>
      </w:r>
      <w:r w:rsidRPr="00BD2C13">
        <w:t>appel, les délais qui séparent le dépôt d</w:t>
      </w:r>
      <w:r w:rsidR="00784444">
        <w:t>’</w:t>
      </w:r>
      <w:r w:rsidRPr="00BD2C13">
        <w:t>une requête en appel devant la Cour suprême de son jugement, sont passés de plus de quatre ans à une moyenne de huit mois. Le délai moyen pour obtenir l</w:t>
      </w:r>
      <w:r w:rsidR="00784444">
        <w:t>’</w:t>
      </w:r>
      <w:r w:rsidRPr="00BD2C13">
        <w:t>autorisation de faire appel est de cinq semaines et demie.</w:t>
      </w:r>
    </w:p>
    <w:p w14:paraId="47F23DD8" w14:textId="77777777" w:rsidR="00405F43" w:rsidRPr="00BD2C13" w:rsidRDefault="00405F43" w:rsidP="00405F43">
      <w:pPr>
        <w:pStyle w:val="SingleTxtG"/>
        <w:rPr>
          <w:u w:val="single"/>
        </w:rPr>
      </w:pPr>
      <w:r w:rsidRPr="00BD2C13">
        <w:t>70.</w:t>
      </w:r>
      <w:r w:rsidRPr="00BD2C13">
        <w:tab/>
        <w:t>Un groupe chargé d</w:t>
      </w:r>
      <w:r w:rsidR="00784444">
        <w:t>’</w:t>
      </w:r>
      <w:r w:rsidRPr="00BD2C13">
        <w:t>examiner l</w:t>
      </w:r>
      <w:r w:rsidR="00784444">
        <w:t>’</w:t>
      </w:r>
      <w:r w:rsidRPr="00BD2C13">
        <w:t xml:space="preserve">administration de la justice civile, présidé par le Président de la </w:t>
      </w:r>
      <w:r w:rsidR="00D94234" w:rsidRPr="00D94234">
        <w:rPr>
          <w:i/>
        </w:rPr>
        <w:t>High Court</w:t>
      </w:r>
      <w:r w:rsidRPr="00BD2C13">
        <w:t>, a été créé en 2017. Il formulera des recommandations en vue d</w:t>
      </w:r>
      <w:r w:rsidR="00784444">
        <w:t>’</w:t>
      </w:r>
      <w:r w:rsidRPr="00BD2C13">
        <w:t>améliorer l</w:t>
      </w:r>
      <w:r w:rsidR="00784444">
        <w:t>’</w:t>
      </w:r>
      <w:r w:rsidRPr="00BD2C13">
        <w:t>accès à la justice civile, de promouvoir la règlement rapide des litiges et de réduire leurs coûts, de créer un système plus réactif et proportionné et de garantir de meilleurs résultats pour les personnes qui font appel à la justice.</w:t>
      </w:r>
    </w:p>
    <w:bookmarkEnd w:id="39"/>
    <w:p w14:paraId="333B5E63" w14:textId="77777777" w:rsidR="00405F43" w:rsidRPr="00BD2C13" w:rsidRDefault="00433CB1" w:rsidP="00433CB1">
      <w:pPr>
        <w:pStyle w:val="H4G"/>
      </w:pPr>
      <w:r w:rsidRPr="00BD2C13">
        <w:tab/>
      </w:r>
      <w:r w:rsidRPr="00BD2C13">
        <w:tab/>
      </w:r>
      <w:r w:rsidR="00405F43" w:rsidRPr="00BD2C13">
        <w:t>La magistrature</w:t>
      </w:r>
    </w:p>
    <w:p w14:paraId="07A0CA6B" w14:textId="77777777" w:rsidR="00405F43" w:rsidRPr="00BD2C13" w:rsidRDefault="00405F43" w:rsidP="00405F43">
      <w:pPr>
        <w:pStyle w:val="SingleTxtG"/>
        <w:rPr>
          <w:u w:val="single"/>
        </w:rPr>
      </w:pPr>
      <w:r w:rsidRPr="00BD2C13">
        <w:t>71.</w:t>
      </w:r>
      <w:r w:rsidRPr="00BD2C13">
        <w:tab/>
        <w:t>En Irlande, les juges sont indépendants, tant du pouvoir exécutif que du pouvoir législatif, et leur indépendance est pleinement protégée par la Constitution. Ils sont nommés par le Président sur avis du Gouvernement, qui tient compte dans ses décisions des recommandations du Conseil consultatif des nominations judiciaires. L</w:t>
      </w:r>
      <w:r w:rsidR="00784444">
        <w:t>’</w:t>
      </w:r>
      <w:r w:rsidRPr="00BD2C13">
        <w:t>article 35.2 de la Constitution dispose que tous les juges sont indépendants dans l</w:t>
      </w:r>
      <w:r w:rsidR="00784444">
        <w:t>’</w:t>
      </w:r>
      <w:r w:rsidRPr="00BD2C13">
        <w:t>exercice de leurs fonctions et ne sont soumis qu</w:t>
      </w:r>
      <w:r w:rsidR="00784444">
        <w:t>’</w:t>
      </w:r>
      <w:r w:rsidRPr="00BD2C13">
        <w:t>à la Constitution et à la loi.</w:t>
      </w:r>
      <w:r w:rsidR="007A54A8">
        <w:t xml:space="preserve"> </w:t>
      </w:r>
      <w:r w:rsidRPr="00BD2C13">
        <w:t>Ils ne peuvent être membres de l</w:t>
      </w:r>
      <w:r w:rsidR="00784444">
        <w:t>’</w:t>
      </w:r>
      <w:proofErr w:type="spellStart"/>
      <w:r w:rsidRPr="00BD2C13">
        <w:t>Oireachtas</w:t>
      </w:r>
      <w:proofErr w:type="spellEnd"/>
      <w:r w:rsidRPr="00BD2C13">
        <w:t xml:space="preserve"> ni exercer d</w:t>
      </w:r>
      <w:r w:rsidR="00784444">
        <w:t>’</w:t>
      </w:r>
      <w:r w:rsidRPr="00BD2C13">
        <w:t>autres fonctions rémunérées (art. 35.3). Ils sont inamovibles, mais peuvent être démis de leurs fonctions en cas de faute grave ou d</w:t>
      </w:r>
      <w:r w:rsidR="00784444">
        <w:t>’</w:t>
      </w:r>
      <w:r w:rsidRPr="00BD2C13">
        <w:t>incapacité dûment constatée, mais uniquement sur résolution des deux chambres du parlement appelant à leur destitution (art. 35.4). Ce pouvoir n</w:t>
      </w:r>
      <w:r w:rsidR="00784444">
        <w:t>’</w:t>
      </w:r>
      <w:r w:rsidRPr="00BD2C13">
        <w:t>a pas encore été exercé. À l</w:t>
      </w:r>
      <w:r w:rsidR="00784444">
        <w:t>’</w:t>
      </w:r>
      <w:r w:rsidRPr="00BD2C13">
        <w:t>exception du pouvoir qu</w:t>
      </w:r>
      <w:r w:rsidR="00784444">
        <w:t>’</w:t>
      </w:r>
      <w:r w:rsidRPr="00BD2C13">
        <w:t>a l</w:t>
      </w:r>
      <w:r w:rsidR="00784444">
        <w:t>’</w:t>
      </w:r>
      <w:proofErr w:type="spellStart"/>
      <w:r w:rsidRPr="00BD2C13">
        <w:t>Oireachtas</w:t>
      </w:r>
      <w:proofErr w:type="spellEnd"/>
      <w:r w:rsidRPr="00BD2C13">
        <w:t xml:space="preserve"> de révoquer un juge, les questions de discipline concernant les juges sont régies par la magistrature elle-même.</w:t>
      </w:r>
    </w:p>
    <w:p w14:paraId="3E82252A" w14:textId="77777777" w:rsidR="00405F43" w:rsidRPr="00BD2C13" w:rsidRDefault="00405F43" w:rsidP="00405F43">
      <w:pPr>
        <w:pStyle w:val="SingleTxtG"/>
      </w:pPr>
      <w:bookmarkStart w:id="40" w:name="_Hlk31371547"/>
      <w:r w:rsidRPr="00BD2C13">
        <w:t>72.</w:t>
      </w:r>
      <w:r w:rsidRPr="00BD2C13">
        <w:tab/>
        <w:t>La loi de 2019 relative au Conseil de la magistrature prévoit la création d</w:t>
      </w:r>
      <w:r w:rsidR="00784444">
        <w:t>’</w:t>
      </w:r>
      <w:r w:rsidRPr="00BD2C13">
        <w:t xml:space="preserve">un </w:t>
      </w:r>
      <w:r w:rsidR="00144FED">
        <w:t>c</w:t>
      </w:r>
      <w:r w:rsidRPr="00BD2C13">
        <w:t>onseil de la magistrature. Composé de tous les membres de la magistrature, sa fonction principale sera de promouvoir et de maintenir l</w:t>
      </w:r>
      <w:r w:rsidR="00784444">
        <w:t>’</w:t>
      </w:r>
      <w:r w:rsidRPr="00BD2C13">
        <w:t>excellence dans l</w:t>
      </w:r>
      <w:r w:rsidR="00784444">
        <w:t>’</w:t>
      </w:r>
      <w:r w:rsidRPr="00BD2C13">
        <w:t>exercice, par les juges, de leurs fonctions judiciaires et le respect de normes de conduite élevées. Le conseil d</w:t>
      </w:r>
      <w:r w:rsidR="00784444">
        <w:t>’</w:t>
      </w:r>
      <w:r w:rsidRPr="00BD2C13">
        <w:t xml:space="preserve">administration du </w:t>
      </w:r>
      <w:r w:rsidR="00144FED">
        <w:t>c</w:t>
      </w:r>
      <w:r w:rsidRPr="00BD2C13">
        <w:t>onseil de la magistrature sera chargé d</w:t>
      </w:r>
      <w:r w:rsidR="00784444">
        <w:t>’</w:t>
      </w:r>
      <w:r w:rsidRPr="00BD2C13">
        <w:t xml:space="preserve">exercer les fonctions du </w:t>
      </w:r>
      <w:r w:rsidR="003F3CEB">
        <w:t>c</w:t>
      </w:r>
      <w:r w:rsidRPr="00BD2C13">
        <w:t>onseil sur une base quotidienne. Un aspect fondamental de la loi concerne la création d</w:t>
      </w:r>
      <w:r w:rsidR="00784444">
        <w:t>’</w:t>
      </w:r>
      <w:r w:rsidRPr="00BD2C13">
        <w:t>un comité qui aura pour responsabilité spécifique d</w:t>
      </w:r>
      <w:r w:rsidR="00784444">
        <w:t>’</w:t>
      </w:r>
      <w:r w:rsidRPr="00BD2C13">
        <w:t>examiner les plaintes pour fautes commises par des magistrats et d</w:t>
      </w:r>
      <w:r w:rsidR="00784444">
        <w:t>’</w:t>
      </w:r>
      <w:r w:rsidRPr="00BD2C13">
        <w:t xml:space="preserve">enquêter à leur sujet, de préparer un projet de code de conduite et de déontologie, en vue de son adoption par le </w:t>
      </w:r>
      <w:r w:rsidR="003F3CEB">
        <w:t>c</w:t>
      </w:r>
      <w:r w:rsidRPr="00BD2C13">
        <w:t>onseil, et de fournir des conseils et des recommandations à un juge en particulier ou à l</w:t>
      </w:r>
      <w:r w:rsidR="00784444">
        <w:t>’</w:t>
      </w:r>
      <w:r w:rsidRPr="00BD2C13">
        <w:t xml:space="preserve">ensemble des magistrats en matière de </w:t>
      </w:r>
      <w:r w:rsidRPr="00BD2C13">
        <w:lastRenderedPageBreak/>
        <w:t>conduite et de déontologie.</w:t>
      </w:r>
      <w:r w:rsidR="007A54A8">
        <w:t xml:space="preserve"> </w:t>
      </w:r>
      <w:r w:rsidRPr="00BD2C13">
        <w:t>Ce comité sera composé de personnes qui n</w:t>
      </w:r>
      <w:r w:rsidR="00784444">
        <w:t>’</w:t>
      </w:r>
      <w:r w:rsidRPr="00BD2C13">
        <w:t>exercent pas la fonction de juge.</w:t>
      </w:r>
      <w:r w:rsidR="007A54A8">
        <w:t xml:space="preserve"> </w:t>
      </w:r>
      <w:r w:rsidRPr="00BD2C13">
        <w:t xml:space="preserve">Le </w:t>
      </w:r>
      <w:r w:rsidR="00144FED">
        <w:t>c</w:t>
      </w:r>
      <w:r w:rsidRPr="00BD2C13">
        <w:t>onseil de la magistrature sera assisté dans son travail par un comité des études judiciaires qui aura pour rôle d</w:t>
      </w:r>
      <w:r w:rsidR="00784444">
        <w:t>’</w:t>
      </w:r>
      <w:r w:rsidRPr="00BD2C13">
        <w:t>organiser la formation continue des magistrats. Il est également prévu de créer un comité d</w:t>
      </w:r>
      <w:r w:rsidR="00784444">
        <w:t>’</w:t>
      </w:r>
      <w:r w:rsidRPr="00BD2C13">
        <w:t>information et d</w:t>
      </w:r>
      <w:r w:rsidR="00784444">
        <w:t>’</w:t>
      </w:r>
      <w:r w:rsidRPr="00BD2C13">
        <w:t>orientation sur les peines et un comité d</w:t>
      </w:r>
      <w:r w:rsidR="00784444">
        <w:t>’</w:t>
      </w:r>
      <w:r w:rsidRPr="00BD2C13">
        <w:t>orientation sur les dommages aux personnes, qui seront tous deux chargés d</w:t>
      </w:r>
      <w:r w:rsidR="00784444">
        <w:t>’</w:t>
      </w:r>
      <w:r w:rsidRPr="00BD2C13">
        <w:t xml:space="preserve">élaborer des lignes directrices en vue de leur adoption par le </w:t>
      </w:r>
      <w:r w:rsidR="003F3CEB">
        <w:t>c</w:t>
      </w:r>
      <w:r w:rsidRPr="00BD2C13">
        <w:t xml:space="preserve">onseil. La création de ce </w:t>
      </w:r>
      <w:r w:rsidR="00144FED">
        <w:t>c</w:t>
      </w:r>
      <w:r w:rsidRPr="00BD2C13">
        <w:t>onseil devrait intervenir avant la fin de 2019.</w:t>
      </w:r>
    </w:p>
    <w:p w14:paraId="21D8A23D" w14:textId="77777777" w:rsidR="00405F43" w:rsidRPr="00BD2C13" w:rsidRDefault="00405F43" w:rsidP="00405F43">
      <w:pPr>
        <w:pStyle w:val="SingleTxtG"/>
      </w:pPr>
      <w:r w:rsidRPr="00BD2C13">
        <w:t>73.</w:t>
      </w:r>
      <w:r w:rsidRPr="00BD2C13">
        <w:tab/>
        <w:t>L</w:t>
      </w:r>
      <w:r w:rsidR="00784444">
        <w:t>’</w:t>
      </w:r>
      <w:r w:rsidRPr="00BD2C13">
        <w:t>article</w:t>
      </w:r>
      <w:r w:rsidR="00433CB1" w:rsidRPr="00BD2C13">
        <w:t> </w:t>
      </w:r>
      <w:r w:rsidRPr="00BD2C13">
        <w:t>5 de la loi de 1961 sur les tribunaux (dispositions supplémentaires) telle que modifiée par la loi de 1995 sur les tribunaux et les agents des tribunaux, la loi de 2002 sur les tribunaux et les agents des tribunaux et la loi de 2014 sur la Cour d</w:t>
      </w:r>
      <w:r w:rsidR="00784444">
        <w:t>’</w:t>
      </w:r>
      <w:r w:rsidRPr="00BD2C13">
        <w:t>appel, dispose que les personnes suivantes sont qualifiées pour être nommées juges de juridictions supérieures</w:t>
      </w:r>
      <w:r w:rsidR="00433CB1" w:rsidRPr="00BD2C13">
        <w:t> </w:t>
      </w:r>
      <w:r w:rsidRPr="00BD2C13">
        <w:t>:</w:t>
      </w:r>
    </w:p>
    <w:p w14:paraId="0ED4B9CE" w14:textId="77777777" w:rsidR="00405F43" w:rsidRPr="00BD2C13" w:rsidRDefault="00405F43" w:rsidP="00433CB1">
      <w:pPr>
        <w:pStyle w:val="SingleTxtG"/>
        <w:ind w:firstLine="567"/>
      </w:pPr>
      <w:r w:rsidRPr="00BD2C13">
        <w:t>a)</w:t>
      </w:r>
      <w:r w:rsidRPr="00BD2C13">
        <w:tab/>
        <w:t>Toute personne qui</w:t>
      </w:r>
      <w:r w:rsidR="00433CB1" w:rsidRPr="00BD2C13">
        <w:t> :</w:t>
      </w:r>
    </w:p>
    <w:p w14:paraId="11E8DDCB" w14:textId="77777777" w:rsidR="00405F43" w:rsidRPr="00BD2C13" w:rsidRDefault="00405F43" w:rsidP="00433CB1">
      <w:pPr>
        <w:pStyle w:val="SingleTxtG"/>
        <w:ind w:left="1701"/>
      </w:pPr>
      <w:r w:rsidRPr="00BD2C13">
        <w:t>i)</w:t>
      </w:r>
      <w:r w:rsidRPr="00BD2C13">
        <w:tab/>
        <w:t>Exerce ou a exercé à un moment ou à un autre au cours des deux années précédentes, les fonctions de</w:t>
      </w:r>
      <w:r w:rsidR="00433CB1" w:rsidRPr="00BD2C13">
        <w:t> :</w:t>
      </w:r>
    </w:p>
    <w:p w14:paraId="2D9172F0" w14:textId="77777777" w:rsidR="00405F43" w:rsidRPr="00BD2C13" w:rsidRDefault="00405F43" w:rsidP="00433CB1">
      <w:pPr>
        <w:pStyle w:val="Bullet1G"/>
      </w:pPr>
      <w:r w:rsidRPr="00BD2C13">
        <w:t xml:space="preserve">Juge de la Cour de </w:t>
      </w:r>
      <w:r w:rsidR="003F3CEB">
        <w:t>J</w:t>
      </w:r>
      <w:r w:rsidRPr="00BD2C13">
        <w:t xml:space="preserve">ustice des </w:t>
      </w:r>
      <w:r w:rsidR="003F3CEB">
        <w:t>C</w:t>
      </w:r>
      <w:r w:rsidRPr="00BD2C13">
        <w:t>ommunautés européennes</w:t>
      </w:r>
      <w:r w:rsidR="00433CB1" w:rsidRPr="00BD2C13">
        <w:t> </w:t>
      </w:r>
      <w:r w:rsidRPr="00BD2C13">
        <w:t>;</w:t>
      </w:r>
    </w:p>
    <w:p w14:paraId="3FF331E3" w14:textId="77777777" w:rsidR="00405F43" w:rsidRPr="00BD2C13" w:rsidRDefault="00405F43" w:rsidP="00433CB1">
      <w:pPr>
        <w:pStyle w:val="Bullet1G"/>
      </w:pPr>
      <w:r w:rsidRPr="00BD2C13">
        <w:t>Juge du tribunal de première instance attaché à cette Cour</w:t>
      </w:r>
      <w:r w:rsidR="00433CB1" w:rsidRPr="00BD2C13">
        <w:t> </w:t>
      </w:r>
      <w:r w:rsidRPr="00BD2C13">
        <w:t>;</w:t>
      </w:r>
    </w:p>
    <w:p w14:paraId="6FCD9CFD" w14:textId="77777777" w:rsidR="00405F43" w:rsidRPr="00BD2C13" w:rsidRDefault="00405F43" w:rsidP="00433CB1">
      <w:pPr>
        <w:pStyle w:val="Bullet1G"/>
      </w:pPr>
      <w:r w:rsidRPr="00BD2C13">
        <w:t xml:space="preserve">Avocat général de la Cour de </w:t>
      </w:r>
      <w:r w:rsidR="003F3CEB">
        <w:t>J</w:t>
      </w:r>
      <w:r w:rsidRPr="00BD2C13">
        <w:t xml:space="preserve">ustice des </w:t>
      </w:r>
      <w:r w:rsidR="003F3CEB">
        <w:t>C</w:t>
      </w:r>
      <w:r w:rsidRPr="00BD2C13">
        <w:t>ommunautés européennes</w:t>
      </w:r>
      <w:r w:rsidR="00433CB1" w:rsidRPr="00BD2C13">
        <w:t> </w:t>
      </w:r>
      <w:r w:rsidRPr="00BD2C13">
        <w:t>;</w:t>
      </w:r>
    </w:p>
    <w:p w14:paraId="3E0C99B6" w14:textId="77777777" w:rsidR="00405F43" w:rsidRPr="00BD2C13" w:rsidRDefault="00405F43" w:rsidP="00433CB1">
      <w:pPr>
        <w:pStyle w:val="Bullet1G"/>
      </w:pPr>
      <w:r w:rsidRPr="00BD2C13">
        <w:t>Juge de la Cour européenne des droits de l</w:t>
      </w:r>
      <w:r w:rsidR="00784444">
        <w:t>’</w:t>
      </w:r>
      <w:r w:rsidRPr="00BD2C13">
        <w:t>homme établie en vertu de la Convention de sauvegarde des droits de l</w:t>
      </w:r>
      <w:r w:rsidR="00784444">
        <w:t>’</w:t>
      </w:r>
      <w:r w:rsidRPr="00BD2C13">
        <w:t>homme et des libertés fondamentales (Rome, 4</w:t>
      </w:r>
      <w:r w:rsidR="00433CB1" w:rsidRPr="00BD2C13">
        <w:t> </w:t>
      </w:r>
      <w:r w:rsidRPr="00BD2C13">
        <w:t>novembre 1950)</w:t>
      </w:r>
      <w:r w:rsidR="00433CB1" w:rsidRPr="00BD2C13">
        <w:t> </w:t>
      </w:r>
      <w:r w:rsidRPr="00BD2C13">
        <w:t>;</w:t>
      </w:r>
    </w:p>
    <w:p w14:paraId="0471A214" w14:textId="77777777" w:rsidR="00405F43" w:rsidRPr="00BD2C13" w:rsidRDefault="00405F43" w:rsidP="00433CB1">
      <w:pPr>
        <w:pStyle w:val="Bullet1G"/>
      </w:pPr>
      <w:r w:rsidRPr="00BD2C13">
        <w:t xml:space="preserve">Juge de la Cour internationale de </w:t>
      </w:r>
      <w:r w:rsidR="00E81DE4">
        <w:t>J</w:t>
      </w:r>
      <w:r w:rsidRPr="00BD2C13">
        <w:t>ustice établie en vertu de la Charte des Nations Unies</w:t>
      </w:r>
      <w:r w:rsidR="00433CB1" w:rsidRPr="00BD2C13">
        <w:t> </w:t>
      </w:r>
      <w:r w:rsidRPr="00BD2C13">
        <w:t>;</w:t>
      </w:r>
    </w:p>
    <w:p w14:paraId="16638D45" w14:textId="77777777" w:rsidR="00405F43" w:rsidRPr="00BD2C13" w:rsidRDefault="00405F43" w:rsidP="00433CB1">
      <w:pPr>
        <w:pStyle w:val="Bullet1G"/>
      </w:pPr>
      <w:r w:rsidRPr="00BD2C13">
        <w:t>Juge de la Cour pénale internationale établie en vertu du Statut de Rome de la Cour pénale internationale du 17</w:t>
      </w:r>
      <w:r w:rsidR="00433CB1" w:rsidRPr="00BD2C13">
        <w:t> </w:t>
      </w:r>
      <w:r w:rsidRPr="00BD2C13">
        <w:t>juillet 1998, à la date d</w:t>
      </w:r>
      <w:r w:rsidR="00784444">
        <w:t>’</w:t>
      </w:r>
      <w:r w:rsidRPr="00BD2C13">
        <w:t>entrée en vigueur dudit Statut</w:t>
      </w:r>
      <w:r w:rsidR="00433CB1" w:rsidRPr="00BD2C13">
        <w:t> </w:t>
      </w:r>
      <w:r w:rsidRPr="00BD2C13">
        <w:t>;</w:t>
      </w:r>
    </w:p>
    <w:p w14:paraId="042F45CB" w14:textId="77777777" w:rsidR="00405F43" w:rsidRPr="00BD2C13" w:rsidRDefault="00405F43" w:rsidP="00433CB1">
      <w:pPr>
        <w:pStyle w:val="Bullet1G"/>
      </w:pPr>
      <w:r w:rsidRPr="00BD2C13">
        <w:t>Juge d</w:t>
      </w:r>
      <w:r w:rsidR="00784444">
        <w:t>’</w:t>
      </w:r>
      <w:r w:rsidRPr="00BD2C13">
        <w:t>un tribunal international au sens et aux fins de l</w:t>
      </w:r>
      <w:r w:rsidR="00784444">
        <w:t>’</w:t>
      </w:r>
      <w:r w:rsidRPr="00BD2C13">
        <w:t>article</w:t>
      </w:r>
      <w:r w:rsidR="00433CB1" w:rsidRPr="00BD2C13">
        <w:t> </w:t>
      </w:r>
      <w:r w:rsidRPr="00BD2C13">
        <w:t>2 de la loi de 1998 sur les tribunaux internationaux pour la répression des crimes de guerre</w:t>
      </w:r>
      <w:r w:rsidR="00ED4D78">
        <w:t> ;</w:t>
      </w:r>
    </w:p>
    <w:p w14:paraId="2495394A" w14:textId="77777777" w:rsidR="00405F43" w:rsidRPr="00BD2C13" w:rsidRDefault="00405F43" w:rsidP="00433CB1">
      <w:pPr>
        <w:pStyle w:val="SingleTxtG"/>
        <w:ind w:left="1701"/>
      </w:pPr>
      <w:r w:rsidRPr="00BD2C13">
        <w:t>et</w:t>
      </w:r>
    </w:p>
    <w:p w14:paraId="0BC39CBC" w14:textId="77777777" w:rsidR="00405F43" w:rsidRPr="00BD2C13" w:rsidRDefault="00405F43" w:rsidP="00433CB1">
      <w:pPr>
        <w:pStyle w:val="SingleTxtG"/>
        <w:ind w:left="1701"/>
      </w:pPr>
      <w:r w:rsidRPr="00BD2C13">
        <w:t>ii)</w:t>
      </w:r>
      <w:r w:rsidRPr="00BD2C13">
        <w:tab/>
        <w:t>Exerçait les fonctions d</w:t>
      </w:r>
      <w:r w:rsidR="00784444">
        <w:t>’</w:t>
      </w:r>
      <w:r w:rsidRPr="00BD2C13">
        <w:t>avocat ou d</w:t>
      </w:r>
      <w:r w:rsidR="00784444">
        <w:t>’</w:t>
      </w:r>
      <w:r w:rsidRPr="00BD2C13">
        <w:t>avoué en exercice avant d</w:t>
      </w:r>
      <w:r w:rsidR="00784444">
        <w:t>’</w:t>
      </w:r>
      <w:r w:rsidRPr="00BD2C13">
        <w:t>être nommé à l</w:t>
      </w:r>
      <w:r w:rsidR="00784444">
        <w:t>’</w:t>
      </w:r>
      <w:r w:rsidRPr="00BD2C13">
        <w:t>un ou l</w:t>
      </w:r>
      <w:r w:rsidR="00784444">
        <w:t>’</w:t>
      </w:r>
      <w:r w:rsidRPr="00BD2C13">
        <w:t>autre des postes auxquels il est fait référence à l</w:t>
      </w:r>
      <w:r w:rsidR="00784444">
        <w:t>’</w:t>
      </w:r>
      <w:r w:rsidRPr="00BD2C13">
        <w:t>alinéa</w:t>
      </w:r>
      <w:r w:rsidR="00433CB1" w:rsidRPr="00BD2C13">
        <w:t> </w:t>
      </w:r>
      <w:r w:rsidRPr="00BD2C13">
        <w:t>i) du présent paragraphe</w:t>
      </w:r>
      <w:r w:rsidR="00ED4D78">
        <w:t> ;</w:t>
      </w:r>
    </w:p>
    <w:p w14:paraId="6A608B65" w14:textId="77777777" w:rsidR="00405F43" w:rsidRPr="00BD2C13" w:rsidRDefault="00405F43" w:rsidP="00433CB1">
      <w:pPr>
        <w:pStyle w:val="SingleTxtG"/>
        <w:ind w:firstLine="567"/>
      </w:pPr>
      <w:r w:rsidRPr="00BD2C13">
        <w:t>b)</w:t>
      </w:r>
      <w:r w:rsidRPr="00BD2C13">
        <w:tab/>
        <w:t>Tout juge d</w:t>
      </w:r>
      <w:r w:rsidR="00784444">
        <w:t>’</w:t>
      </w:r>
      <w:r w:rsidRPr="00BD2C13">
        <w:t>un tribunal d</w:t>
      </w:r>
      <w:r w:rsidR="00784444">
        <w:t>’</w:t>
      </w:r>
      <w:r w:rsidRPr="00BD2C13">
        <w:t>arrondissement ayant exercé ces fonctions pendant une durée minimum de deux ans peut être nommé juge de la Cour suprême, de la Cour d</w:t>
      </w:r>
      <w:r w:rsidR="00784444">
        <w:t>’</w:t>
      </w:r>
      <w:r w:rsidRPr="00BD2C13">
        <w:t xml:space="preserve">appel ou de la </w:t>
      </w:r>
      <w:r w:rsidR="00D94234" w:rsidRPr="00D94234">
        <w:rPr>
          <w:i/>
        </w:rPr>
        <w:t>High Court</w:t>
      </w:r>
      <w:r w:rsidR="00433CB1" w:rsidRPr="00BD2C13">
        <w:t> </w:t>
      </w:r>
      <w:r w:rsidRPr="00BD2C13">
        <w:t>;</w:t>
      </w:r>
    </w:p>
    <w:p w14:paraId="14D09D40" w14:textId="77777777" w:rsidR="00405F43" w:rsidRPr="00BD2C13" w:rsidRDefault="00405F43" w:rsidP="00433CB1">
      <w:pPr>
        <w:pStyle w:val="SingleTxtG"/>
        <w:ind w:firstLine="567"/>
      </w:pPr>
      <w:r w:rsidRPr="00BD2C13">
        <w:t>c)</w:t>
      </w:r>
      <w:r w:rsidRPr="00BD2C13">
        <w:tab/>
        <w:t xml:space="preserve">Le </w:t>
      </w:r>
      <w:r w:rsidR="004B0F85">
        <w:t>P</w:t>
      </w:r>
      <w:r w:rsidRPr="00BD2C13">
        <w:t>résident de la Cour d</w:t>
      </w:r>
      <w:r w:rsidR="00784444">
        <w:t>’</w:t>
      </w:r>
      <w:r w:rsidRPr="00BD2C13">
        <w:t>appel peut être nommé juge ordinaire de la Cour suprême</w:t>
      </w:r>
      <w:r w:rsidR="00433CB1" w:rsidRPr="00BD2C13">
        <w:t> </w:t>
      </w:r>
      <w:r w:rsidRPr="00BD2C13">
        <w:t>;</w:t>
      </w:r>
    </w:p>
    <w:p w14:paraId="222D67E2" w14:textId="77777777" w:rsidR="00405F43" w:rsidRPr="00BD2C13" w:rsidRDefault="00405F43" w:rsidP="00433CB1">
      <w:pPr>
        <w:pStyle w:val="SingleTxtG"/>
        <w:ind w:firstLine="567"/>
      </w:pPr>
      <w:r w:rsidRPr="00BD2C13">
        <w:t>d)</w:t>
      </w:r>
      <w:r w:rsidRPr="00BD2C13">
        <w:tab/>
        <w:t>Tout juge ordinaire de la Cour d</w:t>
      </w:r>
      <w:r w:rsidR="00784444">
        <w:t>’</w:t>
      </w:r>
      <w:r w:rsidRPr="00BD2C13">
        <w:t>appel peut être nommé juge ordinaire de la Cour suprême</w:t>
      </w:r>
      <w:r w:rsidR="00433CB1" w:rsidRPr="00BD2C13">
        <w:t> </w:t>
      </w:r>
      <w:r w:rsidRPr="00BD2C13">
        <w:t>;</w:t>
      </w:r>
    </w:p>
    <w:p w14:paraId="42F71574" w14:textId="77777777" w:rsidR="00405F43" w:rsidRPr="00BD2C13" w:rsidRDefault="00405F43" w:rsidP="00433CB1">
      <w:pPr>
        <w:pStyle w:val="SingleTxtG"/>
        <w:ind w:firstLine="567"/>
      </w:pPr>
      <w:r w:rsidRPr="00BD2C13">
        <w:t>e)</w:t>
      </w:r>
      <w:r w:rsidRPr="00BD2C13">
        <w:tab/>
        <w:t xml:space="preserve">Le président de la </w:t>
      </w:r>
      <w:r w:rsidR="00D94234" w:rsidRPr="00D94234">
        <w:rPr>
          <w:i/>
        </w:rPr>
        <w:t>High Court</w:t>
      </w:r>
      <w:r w:rsidRPr="00BD2C13">
        <w:t xml:space="preserve"> peut être nommé juge ordinaire de la Cour d</w:t>
      </w:r>
      <w:r w:rsidR="00784444">
        <w:t>’</w:t>
      </w:r>
      <w:r w:rsidRPr="00BD2C13">
        <w:t>appel ou de la Cour suprême</w:t>
      </w:r>
      <w:r w:rsidR="00433CB1" w:rsidRPr="00BD2C13">
        <w:t> </w:t>
      </w:r>
      <w:r w:rsidRPr="00BD2C13">
        <w:t>;</w:t>
      </w:r>
    </w:p>
    <w:p w14:paraId="1BFEE081" w14:textId="77777777" w:rsidR="00405F43" w:rsidRPr="00BD2C13" w:rsidRDefault="00405F43" w:rsidP="00433CB1">
      <w:pPr>
        <w:pStyle w:val="SingleTxtG"/>
        <w:ind w:firstLine="567"/>
      </w:pPr>
      <w:r w:rsidRPr="00BD2C13">
        <w:t>f)</w:t>
      </w:r>
      <w:r w:rsidRPr="00BD2C13">
        <w:tab/>
        <w:t xml:space="preserve">Tout juge ordinaire de la </w:t>
      </w:r>
      <w:r w:rsidR="00D94234" w:rsidRPr="00D94234">
        <w:rPr>
          <w:i/>
        </w:rPr>
        <w:t>High Court</w:t>
      </w:r>
      <w:r w:rsidRPr="00BD2C13">
        <w:t xml:space="preserve"> peut être nommé juge ordinaire de la Cour d</w:t>
      </w:r>
      <w:r w:rsidR="00784444">
        <w:t>’</w:t>
      </w:r>
      <w:r w:rsidRPr="00BD2C13">
        <w:t>appel ou de la Cour suprême.</w:t>
      </w:r>
    </w:p>
    <w:p w14:paraId="1BF774C8" w14:textId="77777777" w:rsidR="00405F43" w:rsidRPr="00BD2C13" w:rsidRDefault="00405F43" w:rsidP="00433CB1">
      <w:pPr>
        <w:pStyle w:val="H4G"/>
      </w:pPr>
      <w:bookmarkStart w:id="41" w:name="_Toc17908534"/>
      <w:bookmarkEnd w:id="40"/>
      <w:r w:rsidRPr="00BD2C13">
        <w:tab/>
      </w:r>
      <w:r w:rsidRPr="00BD2C13">
        <w:tab/>
        <w:t>Le Bureau du Directeur du ministère public</w:t>
      </w:r>
      <w:bookmarkEnd w:id="41"/>
    </w:p>
    <w:p w14:paraId="7F47CDCE" w14:textId="77777777" w:rsidR="00405F43" w:rsidRPr="00BD2C13" w:rsidRDefault="00405F43" w:rsidP="00433CB1">
      <w:pPr>
        <w:pStyle w:val="SingleTxtG"/>
      </w:pPr>
      <w:bookmarkStart w:id="42" w:name="_Ref14174322"/>
      <w:r w:rsidRPr="00BD2C13">
        <w:t>74.</w:t>
      </w:r>
      <w:r w:rsidRPr="00BD2C13">
        <w:tab/>
        <w:t>Le Bureau du Directeur du ministère public a été créé en application de la loi de 1974 relative aux poursuites pénales, qui lui a conféré «</w:t>
      </w:r>
      <w:r w:rsidR="00766326" w:rsidRPr="00BD2C13">
        <w:t> </w:t>
      </w:r>
      <w:r w:rsidRPr="00BD2C13">
        <w:t>toutes les fonctions en matière pénale</w:t>
      </w:r>
      <w:r w:rsidR="00433CB1" w:rsidRPr="00BD2C13">
        <w:t> </w:t>
      </w:r>
      <w:r w:rsidRPr="00BD2C13">
        <w:t>» qui relevaient de l</w:t>
      </w:r>
      <w:r w:rsidR="00784444">
        <w:t>’</w:t>
      </w:r>
      <w:r w:rsidRPr="00BD2C13">
        <w:rPr>
          <w:iCs/>
        </w:rPr>
        <w:t>Attorney</w:t>
      </w:r>
      <w:r w:rsidRPr="00BD2C13">
        <w:t xml:space="preserve"> </w:t>
      </w:r>
      <w:proofErr w:type="spellStart"/>
      <w:r w:rsidR="007F4712" w:rsidRPr="00BD2C13">
        <w:rPr>
          <w:iCs/>
        </w:rPr>
        <w:t>g</w:t>
      </w:r>
      <w:r w:rsidRPr="00BD2C13">
        <w:rPr>
          <w:iCs/>
        </w:rPr>
        <w:t>eneral</w:t>
      </w:r>
      <w:proofErr w:type="spellEnd"/>
      <w:r w:rsidRPr="00BD2C13">
        <w:t xml:space="preserve"> immédiatement avant l</w:t>
      </w:r>
      <w:r w:rsidR="00784444">
        <w:t>’</w:t>
      </w:r>
      <w:r w:rsidRPr="00BD2C13">
        <w:t>adoption de la loi. Parmi ces fonctions, la principale consiste à engager des poursuites contre les auteurs d</w:t>
      </w:r>
      <w:r w:rsidR="00784444">
        <w:t>’</w:t>
      </w:r>
      <w:r w:rsidRPr="00BD2C13">
        <w:t>infractions pénales. Le Directeur est indépendant dans l</w:t>
      </w:r>
      <w:r w:rsidR="00784444">
        <w:t>’</w:t>
      </w:r>
      <w:r w:rsidRPr="00BD2C13">
        <w:t>exercice de ses fonctions. Il est seul habilité à engager des poursuites en cas d</w:t>
      </w:r>
      <w:r w:rsidR="00784444">
        <w:t>’</w:t>
      </w:r>
      <w:r w:rsidRPr="00BD2C13">
        <w:t xml:space="preserve">infraction majeure, alors que les infractions </w:t>
      </w:r>
      <w:r w:rsidRPr="00BD2C13">
        <w:lastRenderedPageBreak/>
        <w:t>mineures peuvent aussi être poursuivies par les ministres compétents, d</w:t>
      </w:r>
      <w:r w:rsidR="00784444">
        <w:t>’</w:t>
      </w:r>
      <w:r w:rsidRPr="00BD2C13">
        <w:t>autres autorités de poursuite et des particuliers agissant en qualité d</w:t>
      </w:r>
      <w:r w:rsidR="00784444">
        <w:t>’</w:t>
      </w:r>
      <w:r w:rsidRPr="00BD2C13">
        <w:t>«</w:t>
      </w:r>
      <w:r w:rsidR="004B0F85">
        <w:t> </w:t>
      </w:r>
      <w:r w:rsidRPr="00BD2C13">
        <w:t>informateurs</w:t>
      </w:r>
      <w:r w:rsidR="004B0F85">
        <w:t> </w:t>
      </w:r>
      <w:r w:rsidRPr="00BD2C13">
        <w:t>». Dans le cadre de sa fonction consistant à assurer la bonne exécution de l</w:t>
      </w:r>
      <w:r w:rsidR="00784444">
        <w:t>’</w:t>
      </w:r>
      <w:r w:rsidRPr="00BD2C13">
        <w:t>action pénale, le Directeur du parquet est tenu de mandater des avocats. En outre, ses services fixent et règlent les honoraires des avocats mandatés pour agir en son nom.</w:t>
      </w:r>
      <w:bookmarkEnd w:id="42"/>
    </w:p>
    <w:p w14:paraId="00AF5E09" w14:textId="77777777" w:rsidR="00405F43" w:rsidRPr="00BD2C13" w:rsidRDefault="00766326" w:rsidP="00766326">
      <w:pPr>
        <w:pStyle w:val="H4G"/>
      </w:pPr>
      <w:bookmarkStart w:id="43" w:name="_Toc17908535"/>
      <w:r w:rsidRPr="00BD2C13">
        <w:tab/>
      </w:r>
      <w:r w:rsidRPr="00BD2C13">
        <w:tab/>
      </w:r>
      <w:r w:rsidR="00405F43" w:rsidRPr="00BD2C13">
        <w:t>Droit à l</w:t>
      </w:r>
      <w:r w:rsidR="00784444">
        <w:t>’</w:t>
      </w:r>
      <w:r w:rsidR="00405F43" w:rsidRPr="00BD2C13">
        <w:t>aide juridictionnelle</w:t>
      </w:r>
      <w:bookmarkEnd w:id="43"/>
    </w:p>
    <w:p w14:paraId="62B73F08" w14:textId="77777777" w:rsidR="00405F43" w:rsidRPr="00BD2C13" w:rsidRDefault="00405F43" w:rsidP="00405F43">
      <w:pPr>
        <w:pStyle w:val="SingleTxtG"/>
      </w:pPr>
      <w:r w:rsidRPr="00BD2C13">
        <w:t>75.</w:t>
      </w:r>
      <w:r w:rsidRPr="00BD2C13">
        <w:tab/>
        <w:t>La loi de 1962 sur la justice pénale (aide juridictionnelle) et un certain nombre de règlements connexes disposent que quiconque sollicite une aide juridictionnelle en matière pénale est tenu de prouver à la satisfaction du tribunal qu</w:t>
      </w:r>
      <w:r w:rsidR="00784444">
        <w:t>’</w:t>
      </w:r>
      <w:r w:rsidRPr="00BD2C13">
        <w:t>il n</w:t>
      </w:r>
      <w:r w:rsidR="00784444">
        <w:t>’</w:t>
      </w:r>
      <w:r w:rsidRPr="00BD2C13">
        <w:t>a pas les moyens de se faire représenter en justice. Le tribunal doit également être convaincu qu</w:t>
      </w:r>
      <w:r w:rsidR="00784444">
        <w:t>’</w:t>
      </w:r>
      <w:r w:rsidRPr="00BD2C13">
        <w:t>en raison de la gravité du chef d</w:t>
      </w:r>
      <w:r w:rsidR="00784444">
        <w:t>’</w:t>
      </w:r>
      <w:r w:rsidRPr="00BD2C13">
        <w:t>accusation ou de circonstances exceptionnelles, il est indispensable dans l</w:t>
      </w:r>
      <w:r w:rsidR="00784444">
        <w:t>’</w:t>
      </w:r>
      <w:r w:rsidRPr="00BD2C13">
        <w:t>intérêt de la justice que la personne qui en fait la demande bénéficie d</w:t>
      </w:r>
      <w:r w:rsidR="00784444">
        <w:t>’</w:t>
      </w:r>
      <w:r w:rsidRPr="00BD2C13">
        <w:t>une aide juridictionnelle. Le droit constitutionnel à l</w:t>
      </w:r>
      <w:r w:rsidR="00784444">
        <w:t>’</w:t>
      </w:r>
      <w:r w:rsidRPr="00BD2C13">
        <w:t>aide juridictionnelle a été établi en 1976 dans l</w:t>
      </w:r>
      <w:r w:rsidR="00784444">
        <w:t>’</w:t>
      </w:r>
      <w:r w:rsidRPr="00BD2C13">
        <w:t xml:space="preserve">affaire </w:t>
      </w:r>
      <w:r w:rsidRPr="00BD2C13">
        <w:rPr>
          <w:i/>
        </w:rPr>
        <w:t xml:space="preserve">State (Healy) c. </w:t>
      </w:r>
      <w:proofErr w:type="spellStart"/>
      <w:r w:rsidRPr="00BD2C13">
        <w:rPr>
          <w:i/>
        </w:rPr>
        <w:t>Donoghue</w:t>
      </w:r>
      <w:proofErr w:type="spellEnd"/>
      <w:r w:rsidRPr="00BD2C13">
        <w:t>. En outre, conformément à l</w:t>
      </w:r>
      <w:r w:rsidR="00784444">
        <w:t>’</w:t>
      </w:r>
      <w:r w:rsidRPr="00BD2C13">
        <w:t>alinéa</w:t>
      </w:r>
      <w:r w:rsidR="00766326" w:rsidRPr="00BD2C13">
        <w:t> </w:t>
      </w:r>
      <w:r w:rsidRPr="00BD2C13">
        <w:t>c) du paragraphe 3 de l</w:t>
      </w:r>
      <w:r w:rsidR="00784444">
        <w:t>’</w:t>
      </w:r>
      <w:r w:rsidRPr="00BD2C13">
        <w:t>article 6 de la Convention européenne des droits de l</w:t>
      </w:r>
      <w:r w:rsidR="00784444">
        <w:t>’</w:t>
      </w:r>
      <w:r w:rsidRPr="00BD2C13">
        <w:t>homme, tout accusé d</w:t>
      </w:r>
      <w:r w:rsidR="00784444">
        <w:t>’</w:t>
      </w:r>
      <w:r w:rsidRPr="00BD2C13">
        <w:t>une infraction pénale a le droit de se défendre lui-même ou d</w:t>
      </w:r>
      <w:r w:rsidR="00784444">
        <w:t>’</w:t>
      </w:r>
      <w:r w:rsidRPr="00BD2C13">
        <w:t>avoir l</w:t>
      </w:r>
      <w:r w:rsidR="00784444">
        <w:t>’</w:t>
      </w:r>
      <w:r w:rsidRPr="00BD2C13">
        <w:t>assistance d</w:t>
      </w:r>
      <w:r w:rsidR="00784444">
        <w:t>’</w:t>
      </w:r>
      <w:r w:rsidRPr="00BD2C13">
        <w:t>un défenseur de son choix et, s</w:t>
      </w:r>
      <w:r w:rsidR="00784444">
        <w:t>’</w:t>
      </w:r>
      <w:r w:rsidRPr="00BD2C13">
        <w:t>il n</w:t>
      </w:r>
      <w:r w:rsidR="00784444">
        <w:t>’</w:t>
      </w:r>
      <w:r w:rsidRPr="00BD2C13">
        <w:t>a pas les moyens de rémunérer un défenseur, de pouvoir être assisté gratuitement par un avocat d</w:t>
      </w:r>
      <w:r w:rsidR="00784444">
        <w:t>’</w:t>
      </w:r>
      <w:r w:rsidRPr="00BD2C13">
        <w:t>office, lorsque les intérêts de la justice l</w:t>
      </w:r>
      <w:r w:rsidR="00784444">
        <w:t>’</w:t>
      </w:r>
      <w:r w:rsidRPr="00BD2C13">
        <w:t>exigent. L</w:t>
      </w:r>
      <w:r w:rsidR="00784444">
        <w:t>’</w:t>
      </w:r>
      <w:r w:rsidRPr="00BD2C13">
        <w:t>aide juridictionnelle donne droit aux services d</w:t>
      </w:r>
      <w:r w:rsidR="00784444">
        <w:t>’</w:t>
      </w:r>
      <w:r w:rsidRPr="00BD2C13">
        <w:t>un avocat et, dans certaines circonstances, à l</w:t>
      </w:r>
      <w:r w:rsidR="00784444">
        <w:t>’</w:t>
      </w:r>
      <w:r w:rsidRPr="00BD2C13">
        <w:t>assistance de deux conseils au plus, pour préparer et présenter sa défense ou son appel. L</w:t>
      </w:r>
      <w:r w:rsidR="00784444">
        <w:t>’</w:t>
      </w:r>
      <w:r w:rsidRPr="00BD2C13">
        <w:t>octroi de ce type d</w:t>
      </w:r>
      <w:r w:rsidR="00784444">
        <w:t>’</w:t>
      </w:r>
      <w:r w:rsidRPr="00BD2C13">
        <w:t>aide incombe aux tribunaux par l</w:t>
      </w:r>
      <w:r w:rsidR="00784444">
        <w:t>’</w:t>
      </w:r>
      <w:r w:rsidRPr="00BD2C13">
        <w:t>intermédiaire de l</w:t>
      </w:r>
      <w:r w:rsidR="00784444">
        <w:t>’</w:t>
      </w:r>
      <w:r w:rsidRPr="00BD2C13">
        <w:t>appareil judiciaire.</w:t>
      </w:r>
    </w:p>
    <w:p w14:paraId="2AFA05DA" w14:textId="77777777" w:rsidR="00405F43" w:rsidRPr="00BD2C13" w:rsidRDefault="00405F43" w:rsidP="00405F43">
      <w:pPr>
        <w:pStyle w:val="SingleTxtG"/>
      </w:pPr>
      <w:r w:rsidRPr="00BD2C13">
        <w:t>76.</w:t>
      </w:r>
      <w:r w:rsidRPr="00BD2C13">
        <w:tab/>
        <w:t>La Commission de l</w:t>
      </w:r>
      <w:r w:rsidR="00784444">
        <w:t>’</w:t>
      </w:r>
      <w:r w:rsidRPr="00BD2C13">
        <w:t>aide juridictionnelle a été créée pour administrer un système d</w:t>
      </w:r>
      <w:r w:rsidR="00784444">
        <w:t>’</w:t>
      </w:r>
      <w:r w:rsidRPr="00BD2C13">
        <w:t>aide et d</w:t>
      </w:r>
      <w:r w:rsidR="00784444">
        <w:t>’</w:t>
      </w:r>
      <w:r w:rsidRPr="00BD2C13">
        <w:t xml:space="preserve">orientation juridictionnelles en matière civile au bénéfice des personnes aux moyens modestes. </w:t>
      </w:r>
      <w:bookmarkStart w:id="44" w:name="_Hlk37744364"/>
      <w:r w:rsidRPr="00BD2C13">
        <w:t>Ce système a été instauré en 1979 à la suite</w:t>
      </w:r>
      <w:r w:rsidR="00E84359">
        <w:t xml:space="preserve"> de</w:t>
      </w:r>
      <w:r w:rsidRPr="00BD2C13">
        <w:t xml:space="preserve"> l</w:t>
      </w:r>
      <w:r w:rsidR="00784444">
        <w:t>’</w:t>
      </w:r>
      <w:r w:rsidRPr="00BD2C13">
        <w:t xml:space="preserve">arrêt rendu par la Cour </w:t>
      </w:r>
      <w:bookmarkEnd w:id="44"/>
      <w:r w:rsidRPr="00BD2C13">
        <w:t>européenne des droits de l</w:t>
      </w:r>
      <w:r w:rsidR="00784444">
        <w:t>’</w:t>
      </w:r>
      <w:r w:rsidRPr="00BD2C13">
        <w:t>homme dans l</w:t>
      </w:r>
      <w:r w:rsidR="00784444">
        <w:t>’</w:t>
      </w:r>
      <w:r w:rsidRPr="00BD2C13">
        <w:t xml:space="preserve">affaire </w:t>
      </w:r>
      <w:proofErr w:type="spellStart"/>
      <w:r w:rsidRPr="00BD2C13">
        <w:rPr>
          <w:i/>
        </w:rPr>
        <w:t>Airey</w:t>
      </w:r>
      <w:proofErr w:type="spellEnd"/>
      <w:r w:rsidRPr="00BD2C13">
        <w:rPr>
          <w:i/>
        </w:rPr>
        <w:t xml:space="preserve"> </w:t>
      </w:r>
      <w:r w:rsidRPr="009E21A8">
        <w:rPr>
          <w:i/>
        </w:rPr>
        <w:t>c.</w:t>
      </w:r>
      <w:r w:rsidRPr="00BD2C13">
        <w:rPr>
          <w:i/>
        </w:rPr>
        <w:t xml:space="preserve"> Irlande</w:t>
      </w:r>
      <w:r w:rsidRPr="00BD2C13">
        <w:t xml:space="preserve"> et aux recommandations formulées par le Comité Pringle, mis en place par le Ministre de la justice pour lui prêter conseil sur l</w:t>
      </w:r>
      <w:r w:rsidR="00784444">
        <w:t>’</w:t>
      </w:r>
      <w:r w:rsidRPr="00BD2C13">
        <w:t>instauration d</w:t>
      </w:r>
      <w:r w:rsidR="00784444">
        <w:t>’</w:t>
      </w:r>
      <w:r w:rsidRPr="00BD2C13">
        <w:t>un tel système. Ce système avait un caractère administratif jusqu</w:t>
      </w:r>
      <w:r w:rsidR="00784444">
        <w:t>’</w:t>
      </w:r>
      <w:r w:rsidRPr="00BD2C13">
        <w:t>à l</w:t>
      </w:r>
      <w:r w:rsidR="00784444">
        <w:t>’</w:t>
      </w:r>
      <w:r w:rsidRPr="00BD2C13">
        <w:t>entrée en vigueur de la loi de 1995 sur l</w:t>
      </w:r>
      <w:r w:rsidR="00784444">
        <w:t>’</w:t>
      </w:r>
      <w:r w:rsidRPr="00BD2C13">
        <w:t>aide juridictionnelle en matière civile. La prestation de services a lieu essentiellement par l</w:t>
      </w:r>
      <w:r w:rsidR="00784444">
        <w:t>’</w:t>
      </w:r>
      <w:r w:rsidRPr="00BD2C13">
        <w:t>intermédiaire de centres juridiques et, dans le cas de certaines affaires, d</w:t>
      </w:r>
      <w:r w:rsidR="00784444">
        <w:t>’</w:t>
      </w:r>
      <w:r w:rsidRPr="00BD2C13">
        <w:t>avocats exerçant à titre privé. Le système vaut pour la plupart des affaires civiles avec un nombre relativement réduit d</w:t>
      </w:r>
      <w:r w:rsidR="00784444">
        <w:t>’</w:t>
      </w:r>
      <w:r w:rsidRPr="00BD2C13">
        <w:t>exclusions. Si elle intervient dans la majorité des affaires civiles, la Commission de l</w:t>
      </w:r>
      <w:r w:rsidR="00784444">
        <w:t>’</w:t>
      </w:r>
      <w:r w:rsidRPr="00BD2C13">
        <w:t>aide juridictionnelle n</w:t>
      </w:r>
      <w:r w:rsidR="00784444">
        <w:t>’</w:t>
      </w:r>
      <w:r w:rsidRPr="00BD2C13">
        <w:t>administre pas le système d</w:t>
      </w:r>
      <w:r w:rsidR="00784444">
        <w:t>’</w:t>
      </w:r>
      <w:r w:rsidRPr="00BD2C13">
        <w:t>aide juridictionnelle près les tribunaux de la santé mentale, qui relève de la Commission de la santé mentale. L</w:t>
      </w:r>
      <w:r w:rsidR="00784444">
        <w:t>’</w:t>
      </w:r>
      <w:r w:rsidRPr="00BD2C13">
        <w:t>aide juridictionnelle en matière pénale est prévue dans la loi de 1962 sur la justice pénale (Aide juridictionnelle). Le principal système d</w:t>
      </w:r>
      <w:r w:rsidR="00784444">
        <w:t>’</w:t>
      </w:r>
      <w:r w:rsidRPr="00BD2C13">
        <w:t>aide juridictionnelle en matière pénale est actuellement administré par le Ministère de la justice et de l</w:t>
      </w:r>
      <w:r w:rsidR="00784444">
        <w:t>’</w:t>
      </w:r>
      <w:r w:rsidRPr="00BD2C13">
        <w:t>égalité, mais il est prévu qu</w:t>
      </w:r>
      <w:r w:rsidR="00784444">
        <w:t>’</w:t>
      </w:r>
      <w:r w:rsidRPr="00BD2C13">
        <w:t>il passe sous l</w:t>
      </w:r>
      <w:r w:rsidR="00784444">
        <w:t>’</w:t>
      </w:r>
      <w:r w:rsidRPr="00BD2C13">
        <w:t>autorité de la Commission de l</w:t>
      </w:r>
      <w:r w:rsidR="00784444">
        <w:t>’</w:t>
      </w:r>
      <w:r w:rsidRPr="00BD2C13">
        <w:t>aide juridictionnelle.</w:t>
      </w:r>
    </w:p>
    <w:p w14:paraId="54BF495F" w14:textId="77777777" w:rsidR="00405F43" w:rsidRPr="00BD2C13" w:rsidRDefault="00766326" w:rsidP="00766326">
      <w:pPr>
        <w:pStyle w:val="HChG"/>
      </w:pPr>
      <w:bookmarkStart w:id="45" w:name="_Toc7790312"/>
      <w:bookmarkStart w:id="46" w:name="_Toc7790379"/>
      <w:bookmarkStart w:id="47" w:name="_Toc7790771"/>
      <w:bookmarkStart w:id="48" w:name="_Toc7791003"/>
      <w:bookmarkStart w:id="49" w:name="_Toc7793306"/>
      <w:bookmarkStart w:id="50" w:name="_Toc7793848"/>
      <w:bookmarkStart w:id="51" w:name="_Toc7794541"/>
      <w:bookmarkStart w:id="52" w:name="_Toc8135598"/>
      <w:bookmarkStart w:id="53" w:name="_Toc8136313"/>
      <w:bookmarkStart w:id="54" w:name="_Toc8137553"/>
      <w:bookmarkStart w:id="55" w:name="_Toc378170249"/>
      <w:bookmarkStart w:id="56" w:name="_Toc17908536"/>
      <w:bookmarkEnd w:id="45"/>
      <w:bookmarkEnd w:id="46"/>
      <w:bookmarkEnd w:id="47"/>
      <w:bookmarkEnd w:id="48"/>
      <w:bookmarkEnd w:id="49"/>
      <w:bookmarkEnd w:id="50"/>
      <w:bookmarkEnd w:id="51"/>
      <w:bookmarkEnd w:id="52"/>
      <w:bookmarkEnd w:id="53"/>
      <w:bookmarkEnd w:id="54"/>
      <w:r w:rsidRPr="00BD2C13">
        <w:tab/>
      </w:r>
      <w:r w:rsidR="00405F43" w:rsidRPr="00BD2C13">
        <w:t>III.</w:t>
      </w:r>
      <w:r w:rsidR="00405F43" w:rsidRPr="00BD2C13">
        <w:tab/>
        <w:t xml:space="preserve">Cadre général de la promotion et de la protection </w:t>
      </w:r>
      <w:r w:rsidR="00405F43" w:rsidRPr="00BD2C13">
        <w:br/>
        <w:t>des droits de l</w:t>
      </w:r>
      <w:r w:rsidR="00784444">
        <w:t>’</w:t>
      </w:r>
      <w:r w:rsidR="00405F43" w:rsidRPr="00BD2C13">
        <w:t>homme</w:t>
      </w:r>
      <w:bookmarkEnd w:id="55"/>
      <w:bookmarkEnd w:id="56"/>
    </w:p>
    <w:p w14:paraId="496E9ECC" w14:textId="77777777" w:rsidR="00C978AD" w:rsidRPr="00BD2C13" w:rsidRDefault="00405F43" w:rsidP="00766326">
      <w:pPr>
        <w:pStyle w:val="H1G"/>
      </w:pPr>
      <w:bookmarkStart w:id="57" w:name="_Toc378170250"/>
      <w:bookmarkStart w:id="58" w:name="_Toc17908537"/>
      <w:r w:rsidRPr="00BD2C13">
        <w:tab/>
        <w:t>A.</w:t>
      </w:r>
      <w:r w:rsidRPr="00BD2C13">
        <w:tab/>
      </w:r>
      <w:bookmarkEnd w:id="57"/>
      <w:bookmarkEnd w:id="58"/>
      <w:r w:rsidRPr="00BD2C13">
        <w:t>Acceptation des normes internationales relatives aux droits de l</w:t>
      </w:r>
      <w:r w:rsidR="00784444">
        <w:t>’</w:t>
      </w:r>
      <w:r w:rsidRPr="00BD2C13">
        <w:t>homme</w:t>
      </w:r>
    </w:p>
    <w:p w14:paraId="33CED76B" w14:textId="77777777" w:rsidR="00766326" w:rsidRPr="00BD2C13" w:rsidRDefault="0089072C" w:rsidP="00766326">
      <w:pPr>
        <w:pStyle w:val="SingleTxtG"/>
      </w:pPr>
      <w:r w:rsidRPr="00BD2C13">
        <w:t>77.</w:t>
      </w:r>
      <w:r w:rsidRPr="00BD2C13">
        <w:tab/>
        <w:t>L</w:t>
      </w:r>
      <w:r w:rsidR="00784444">
        <w:t>’</w:t>
      </w:r>
      <w:r w:rsidRPr="00BD2C13">
        <w:t>Irlande a signé et ratifié la plupart des principaux instruments des Nations Unies relatifs aux droits de l</w:t>
      </w:r>
      <w:r w:rsidR="00784444">
        <w:t>’</w:t>
      </w:r>
      <w:r w:rsidRPr="00BD2C13">
        <w:t>homme. Les dates de signature et de ratification des principaux instruments des Nations Unies relatifs aux droits de l</w:t>
      </w:r>
      <w:r w:rsidR="00784444">
        <w:t>’</w:t>
      </w:r>
      <w:r w:rsidRPr="00BD2C13">
        <w:t>homme sont indiquées dans le tableau ci-dessous.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701"/>
        <w:gridCol w:w="1701"/>
        <w:gridCol w:w="2268"/>
      </w:tblGrid>
      <w:tr w:rsidR="00514E33" w:rsidRPr="00BD2C13" w14:paraId="4155DB24" w14:textId="77777777" w:rsidTr="002E30F6">
        <w:trPr>
          <w:tblHeader/>
        </w:trPr>
        <w:tc>
          <w:tcPr>
            <w:tcW w:w="1701" w:type="dxa"/>
            <w:tcBorders>
              <w:top w:val="single" w:sz="4" w:space="0" w:color="auto"/>
              <w:bottom w:val="single" w:sz="12" w:space="0" w:color="auto"/>
            </w:tcBorders>
            <w:shd w:val="clear" w:color="auto" w:fill="auto"/>
            <w:vAlign w:val="center"/>
          </w:tcPr>
          <w:p w14:paraId="212AFF83" w14:textId="77777777" w:rsidR="0089072C" w:rsidRPr="00BD2C13" w:rsidRDefault="0089072C" w:rsidP="00D06199">
            <w:pPr>
              <w:pStyle w:val="CCDConvListHeaders"/>
              <w:keepNext/>
              <w:spacing w:before="80" w:after="80" w:line="200" w:lineRule="exact"/>
              <w:ind w:right="113"/>
              <w:rPr>
                <w:sz w:val="16"/>
                <w:szCs w:val="16"/>
                <w:lang w:val="fr-CH"/>
              </w:rPr>
            </w:pPr>
            <w:r w:rsidRPr="00BD2C13">
              <w:rPr>
                <w:b w:val="0"/>
                <w:sz w:val="16"/>
                <w:szCs w:val="16"/>
                <w:lang w:val="fr-CH"/>
              </w:rPr>
              <w:lastRenderedPageBreak/>
              <w:t>Signature</w:t>
            </w:r>
          </w:p>
        </w:tc>
        <w:tc>
          <w:tcPr>
            <w:tcW w:w="1701" w:type="dxa"/>
            <w:tcBorders>
              <w:top w:val="single" w:sz="4" w:space="0" w:color="auto"/>
              <w:bottom w:val="single" w:sz="12" w:space="0" w:color="auto"/>
            </w:tcBorders>
            <w:shd w:val="clear" w:color="auto" w:fill="auto"/>
            <w:vAlign w:val="center"/>
          </w:tcPr>
          <w:p w14:paraId="0998FDB0" w14:textId="77777777" w:rsidR="0089072C" w:rsidRPr="00BD2C13" w:rsidRDefault="0089072C" w:rsidP="00D06199">
            <w:pPr>
              <w:pStyle w:val="CCDConvListHeaders"/>
              <w:keepNext/>
              <w:spacing w:before="80" w:after="80" w:line="200" w:lineRule="exact"/>
              <w:ind w:right="113"/>
              <w:rPr>
                <w:sz w:val="16"/>
                <w:szCs w:val="16"/>
                <w:lang w:val="fr-CH"/>
              </w:rPr>
            </w:pPr>
            <w:r w:rsidRPr="00BD2C13">
              <w:rPr>
                <w:b w:val="0"/>
                <w:sz w:val="16"/>
                <w:szCs w:val="16"/>
                <w:lang w:val="fr-CH"/>
              </w:rPr>
              <w:t>Ratification</w:t>
            </w:r>
          </w:p>
        </w:tc>
        <w:tc>
          <w:tcPr>
            <w:tcW w:w="1701" w:type="dxa"/>
            <w:tcBorders>
              <w:top w:val="single" w:sz="4" w:space="0" w:color="auto"/>
              <w:bottom w:val="single" w:sz="12" w:space="0" w:color="auto"/>
            </w:tcBorders>
            <w:shd w:val="clear" w:color="auto" w:fill="auto"/>
            <w:vAlign w:val="center"/>
          </w:tcPr>
          <w:p w14:paraId="4D490C26" w14:textId="77777777" w:rsidR="0089072C" w:rsidRPr="00BD2C13" w:rsidRDefault="0089072C" w:rsidP="00D06199">
            <w:pPr>
              <w:pStyle w:val="CCDConvListHeaders"/>
              <w:keepNext/>
              <w:spacing w:before="80" w:after="80" w:line="200" w:lineRule="exact"/>
              <w:ind w:right="113"/>
              <w:rPr>
                <w:sz w:val="16"/>
                <w:szCs w:val="16"/>
                <w:lang w:val="fr-CH"/>
              </w:rPr>
            </w:pPr>
            <w:r w:rsidRPr="00BD2C13">
              <w:rPr>
                <w:rStyle w:val="CCDNameofBody"/>
                <w:i/>
                <w:sz w:val="16"/>
                <w:szCs w:val="16"/>
                <w:lang w:val="fr-CH"/>
              </w:rPr>
              <w:t>Réserves</w:t>
            </w:r>
            <w:r w:rsidRPr="00BD2C13">
              <w:rPr>
                <w:b w:val="0"/>
                <w:sz w:val="16"/>
                <w:szCs w:val="16"/>
                <w:lang w:val="fr-CH"/>
              </w:rPr>
              <w:t>/déclarations</w:t>
            </w:r>
          </w:p>
        </w:tc>
        <w:tc>
          <w:tcPr>
            <w:tcW w:w="2268" w:type="dxa"/>
            <w:tcBorders>
              <w:top w:val="single" w:sz="4" w:space="0" w:color="auto"/>
              <w:bottom w:val="single" w:sz="12" w:space="0" w:color="auto"/>
            </w:tcBorders>
            <w:shd w:val="clear" w:color="auto" w:fill="auto"/>
            <w:vAlign w:val="center"/>
          </w:tcPr>
          <w:p w14:paraId="0663E506" w14:textId="77777777" w:rsidR="0089072C" w:rsidRPr="00BD2C13" w:rsidRDefault="0089072C" w:rsidP="00D06199">
            <w:pPr>
              <w:pStyle w:val="CCDConvListContents"/>
              <w:keepNext/>
              <w:spacing w:before="80" w:after="80" w:line="200" w:lineRule="exact"/>
              <w:rPr>
                <w:i/>
                <w:sz w:val="16"/>
                <w:szCs w:val="16"/>
                <w:lang w:val="fr-CH"/>
              </w:rPr>
            </w:pPr>
            <w:r w:rsidRPr="00BD2C13">
              <w:rPr>
                <w:i/>
                <w:sz w:val="16"/>
                <w:szCs w:val="16"/>
                <w:lang w:val="fr-CH"/>
              </w:rPr>
              <w:t>Rapports</w:t>
            </w:r>
          </w:p>
        </w:tc>
      </w:tr>
      <w:tr w:rsidR="0089072C" w:rsidRPr="00BD2C13" w14:paraId="38A9B2BA" w14:textId="77777777" w:rsidTr="002E30F6">
        <w:tc>
          <w:tcPr>
            <w:tcW w:w="2268" w:type="dxa"/>
            <w:gridSpan w:val="4"/>
            <w:tcBorders>
              <w:top w:val="single" w:sz="12" w:space="0" w:color="auto"/>
            </w:tcBorders>
            <w:shd w:val="clear" w:color="auto" w:fill="auto"/>
            <w:vAlign w:val="center"/>
          </w:tcPr>
          <w:p w14:paraId="15C4C441" w14:textId="77777777" w:rsidR="0089072C" w:rsidRPr="00E81DE4" w:rsidRDefault="0089072C" w:rsidP="00E81DE4">
            <w:pPr>
              <w:keepNext/>
              <w:spacing w:before="40" w:after="120"/>
            </w:pPr>
            <w:r w:rsidRPr="00E81DE4">
              <w:rPr>
                <w:b/>
              </w:rPr>
              <w:t>Pacte international relatif aux droits civils et politiques</w:t>
            </w:r>
          </w:p>
        </w:tc>
      </w:tr>
      <w:tr w:rsidR="00514E33" w:rsidRPr="00BD2C13" w14:paraId="243D537A" w14:textId="77777777" w:rsidTr="002E30F6">
        <w:tc>
          <w:tcPr>
            <w:tcW w:w="1701" w:type="dxa"/>
            <w:shd w:val="clear" w:color="auto" w:fill="auto"/>
          </w:tcPr>
          <w:p w14:paraId="613A5D7D" w14:textId="77777777" w:rsidR="0089072C" w:rsidRPr="00E81DE4" w:rsidRDefault="0089072C" w:rsidP="00E81DE4">
            <w:pPr>
              <w:pStyle w:val="CCDConvListContents"/>
              <w:keepNext/>
              <w:spacing w:before="40" w:after="120" w:line="240" w:lineRule="atLeast"/>
              <w:ind w:right="113"/>
              <w:rPr>
                <w:b/>
                <w:sz w:val="20"/>
                <w:szCs w:val="20"/>
                <w:lang w:val="fr-CH"/>
              </w:rPr>
            </w:pPr>
            <w:r w:rsidRPr="00E81DE4">
              <w:rPr>
                <w:bCs w:val="0"/>
                <w:sz w:val="20"/>
                <w:szCs w:val="20"/>
                <w:lang w:val="fr-CH"/>
              </w:rPr>
              <w:t>1</w:t>
            </w:r>
            <w:r w:rsidRPr="00E81DE4">
              <w:rPr>
                <w:bCs w:val="0"/>
                <w:sz w:val="20"/>
                <w:szCs w:val="20"/>
                <w:vertAlign w:val="superscript"/>
                <w:lang w:val="fr-CH"/>
              </w:rPr>
              <w:t>er</w:t>
            </w:r>
            <w:r w:rsidRPr="00E81DE4">
              <w:rPr>
                <w:bCs w:val="0"/>
                <w:sz w:val="20"/>
                <w:szCs w:val="20"/>
                <w:lang w:val="fr-CH"/>
              </w:rPr>
              <w:t xml:space="preserve"> octobre 1973</w:t>
            </w:r>
          </w:p>
        </w:tc>
        <w:tc>
          <w:tcPr>
            <w:tcW w:w="1701" w:type="dxa"/>
            <w:shd w:val="clear" w:color="auto" w:fill="auto"/>
          </w:tcPr>
          <w:p w14:paraId="17216F09" w14:textId="77777777" w:rsidR="0089072C" w:rsidRPr="00E81DE4" w:rsidRDefault="0089072C" w:rsidP="00E81DE4">
            <w:pPr>
              <w:pStyle w:val="CCDConvListContents"/>
              <w:keepNext/>
              <w:spacing w:before="40" w:after="120" w:line="240" w:lineRule="atLeast"/>
              <w:ind w:right="113"/>
              <w:rPr>
                <w:sz w:val="20"/>
                <w:szCs w:val="20"/>
                <w:lang w:val="fr-CH"/>
              </w:rPr>
            </w:pPr>
            <w:r w:rsidRPr="00E81DE4">
              <w:rPr>
                <w:sz w:val="20"/>
                <w:szCs w:val="20"/>
                <w:lang w:val="fr-CH"/>
              </w:rPr>
              <w:t>8 décembre 1989</w:t>
            </w:r>
          </w:p>
        </w:tc>
        <w:tc>
          <w:tcPr>
            <w:tcW w:w="1701" w:type="dxa"/>
            <w:shd w:val="clear" w:color="auto" w:fill="auto"/>
          </w:tcPr>
          <w:p w14:paraId="78AD71F3" w14:textId="77777777" w:rsidR="0089072C" w:rsidRPr="00E81DE4" w:rsidRDefault="0089072C" w:rsidP="00E81DE4">
            <w:pPr>
              <w:pStyle w:val="CCDConvListContents"/>
              <w:keepNext/>
              <w:spacing w:before="40" w:after="120" w:line="240" w:lineRule="atLeast"/>
              <w:ind w:right="113"/>
              <w:rPr>
                <w:sz w:val="20"/>
                <w:szCs w:val="20"/>
                <w:lang w:val="fr-CH" w:eastAsia="en-GB"/>
              </w:rPr>
            </w:pPr>
            <w:r w:rsidRPr="00E81DE4">
              <w:rPr>
                <w:sz w:val="20"/>
                <w:szCs w:val="20"/>
                <w:lang w:val="fr-CH" w:eastAsia="en-GB"/>
              </w:rPr>
              <w:t xml:space="preserve">Réserves : </w:t>
            </w:r>
            <w:r w:rsidRPr="00E81DE4">
              <w:rPr>
                <w:sz w:val="20"/>
                <w:szCs w:val="20"/>
                <w:lang w:val="fr-CH" w:eastAsia="en-GB"/>
              </w:rPr>
              <w:br/>
              <w:t>Article 10, par. 2</w:t>
            </w:r>
            <w:r w:rsidRPr="00E81DE4">
              <w:rPr>
                <w:sz w:val="20"/>
                <w:szCs w:val="20"/>
                <w:lang w:val="fr-CH" w:eastAsia="en-GB"/>
              </w:rPr>
              <w:br/>
              <w:t>Article 20, par. 1</w:t>
            </w:r>
          </w:p>
        </w:tc>
        <w:tc>
          <w:tcPr>
            <w:tcW w:w="2268" w:type="dxa"/>
            <w:shd w:val="clear" w:color="auto" w:fill="auto"/>
          </w:tcPr>
          <w:p w14:paraId="30F974A2" w14:textId="77777777" w:rsidR="0089072C" w:rsidRPr="00E81DE4" w:rsidRDefault="0089072C" w:rsidP="00E81DE4">
            <w:pPr>
              <w:pStyle w:val="CCDConvListContents"/>
              <w:keepNext/>
              <w:spacing w:before="40" w:after="120" w:line="240" w:lineRule="atLeast"/>
              <w:rPr>
                <w:sz w:val="20"/>
                <w:szCs w:val="20"/>
                <w:lang w:val="fr-CH"/>
              </w:rPr>
            </w:pPr>
            <w:r w:rsidRPr="00E81DE4">
              <w:rPr>
                <w:rFonts w:eastAsia="Calibri"/>
                <w:sz w:val="20"/>
                <w:szCs w:val="20"/>
                <w:lang w:val="fr-CH"/>
              </w:rPr>
              <w:t xml:space="preserve">Rapport initial : 1992 </w:t>
            </w:r>
            <w:r w:rsidRPr="00E81DE4">
              <w:rPr>
                <w:rFonts w:eastAsia="Calibri"/>
                <w:sz w:val="20"/>
                <w:szCs w:val="20"/>
                <w:lang w:val="fr-CH"/>
              </w:rPr>
              <w:br/>
              <w:t>Deuxième rapport : 1998</w:t>
            </w:r>
            <w:r w:rsidRPr="00E81DE4">
              <w:rPr>
                <w:rFonts w:eastAsia="Calibri"/>
                <w:sz w:val="20"/>
                <w:szCs w:val="20"/>
                <w:lang w:val="fr-CH"/>
              </w:rPr>
              <w:br/>
              <w:t>Troisième rapport : 2007</w:t>
            </w:r>
            <w:r w:rsidRPr="00E81DE4">
              <w:rPr>
                <w:rFonts w:eastAsia="Calibri"/>
                <w:sz w:val="20"/>
                <w:szCs w:val="20"/>
                <w:lang w:val="fr-CH"/>
              </w:rPr>
              <w:br/>
              <w:t>Quatrième rapport : 2012</w:t>
            </w:r>
          </w:p>
          <w:p w14:paraId="6CFC4058" w14:textId="77777777" w:rsidR="0089072C" w:rsidRPr="00E81DE4" w:rsidRDefault="0089072C" w:rsidP="00E81DE4">
            <w:pPr>
              <w:pStyle w:val="CCDConvListContents"/>
              <w:keepNext/>
              <w:spacing w:before="40" w:after="120" w:line="240" w:lineRule="atLeast"/>
              <w:rPr>
                <w:sz w:val="20"/>
                <w:szCs w:val="20"/>
                <w:lang w:val="fr-CH"/>
              </w:rPr>
            </w:pPr>
            <w:r w:rsidRPr="00E81DE4">
              <w:rPr>
                <w:sz w:val="20"/>
                <w:szCs w:val="20"/>
                <w:lang w:val="fr-CH"/>
              </w:rPr>
              <w:t xml:space="preserve">Cinquième rapport : </w:t>
            </w:r>
            <w:r w:rsidR="009E21A8">
              <w:rPr>
                <w:sz w:val="20"/>
                <w:szCs w:val="20"/>
                <w:lang w:val="fr-CH"/>
              </w:rPr>
              <w:br/>
            </w:r>
            <w:r w:rsidRPr="00E81DE4">
              <w:rPr>
                <w:sz w:val="20"/>
                <w:szCs w:val="20"/>
                <w:lang w:val="fr-CH"/>
              </w:rPr>
              <w:t>attendu en 2019</w:t>
            </w:r>
          </w:p>
        </w:tc>
      </w:tr>
      <w:tr w:rsidR="0089072C" w:rsidRPr="00BD2C13" w14:paraId="375DAF4C" w14:textId="77777777" w:rsidTr="002E30F6">
        <w:tc>
          <w:tcPr>
            <w:tcW w:w="2268" w:type="dxa"/>
            <w:gridSpan w:val="4"/>
            <w:shd w:val="clear" w:color="auto" w:fill="auto"/>
            <w:vAlign w:val="center"/>
          </w:tcPr>
          <w:p w14:paraId="5FB82B30" w14:textId="77777777" w:rsidR="0089072C" w:rsidRPr="00E81DE4" w:rsidRDefault="0089072C" w:rsidP="00E81DE4">
            <w:pPr>
              <w:spacing w:before="40" w:after="120"/>
            </w:pPr>
            <w:r w:rsidRPr="00E81DE4">
              <w:rPr>
                <w:b/>
              </w:rPr>
              <w:t xml:space="preserve">Protocole facultatif se rapportant au Pacte international relatif aux droits civils </w:t>
            </w:r>
            <w:r w:rsidRPr="00E81DE4">
              <w:rPr>
                <w:b/>
              </w:rPr>
              <w:br/>
              <w:t>et politiques</w:t>
            </w:r>
          </w:p>
        </w:tc>
      </w:tr>
      <w:tr w:rsidR="00514E33" w:rsidRPr="00BD2C13" w14:paraId="1E243F78" w14:textId="77777777" w:rsidTr="002E30F6">
        <w:tc>
          <w:tcPr>
            <w:tcW w:w="1701" w:type="dxa"/>
            <w:shd w:val="clear" w:color="auto" w:fill="auto"/>
          </w:tcPr>
          <w:p w14:paraId="201ACECD" w14:textId="77777777" w:rsidR="0089072C" w:rsidRPr="00E81DE4" w:rsidRDefault="0089072C" w:rsidP="00E81DE4">
            <w:pPr>
              <w:widowControl w:val="0"/>
              <w:spacing w:before="40" w:after="120"/>
              <w:ind w:left="360" w:right="113" w:hanging="360"/>
              <w:jc w:val="both"/>
              <w:textAlignment w:val="baseline"/>
              <w:rPr>
                <w:highlight w:val="yellow"/>
              </w:rPr>
            </w:pPr>
          </w:p>
        </w:tc>
        <w:tc>
          <w:tcPr>
            <w:tcW w:w="1701" w:type="dxa"/>
            <w:shd w:val="clear" w:color="auto" w:fill="auto"/>
          </w:tcPr>
          <w:p w14:paraId="3F7C604B" w14:textId="77777777" w:rsidR="0089072C" w:rsidRPr="00E81DE4" w:rsidRDefault="0089072C" w:rsidP="00E81DE4">
            <w:pPr>
              <w:widowControl w:val="0"/>
              <w:spacing w:before="40" w:after="120"/>
              <w:ind w:left="360" w:right="113" w:hanging="360"/>
              <w:textAlignment w:val="baseline"/>
            </w:pPr>
            <w:r w:rsidRPr="00E81DE4">
              <w:t>8 décembre 1989</w:t>
            </w:r>
          </w:p>
        </w:tc>
        <w:tc>
          <w:tcPr>
            <w:tcW w:w="1701" w:type="dxa"/>
            <w:shd w:val="clear" w:color="auto" w:fill="auto"/>
          </w:tcPr>
          <w:p w14:paraId="21870493"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Réserves</w:t>
            </w:r>
            <w:r w:rsidR="006B7EE4" w:rsidRPr="00E81DE4">
              <w:rPr>
                <w:sz w:val="20"/>
                <w:szCs w:val="20"/>
                <w:lang w:val="fr-CH"/>
              </w:rPr>
              <w:t> </w:t>
            </w:r>
            <w:r w:rsidRPr="00E81DE4">
              <w:rPr>
                <w:sz w:val="20"/>
                <w:szCs w:val="20"/>
                <w:lang w:val="fr-CH"/>
              </w:rPr>
              <w:t>:</w:t>
            </w:r>
            <w:r w:rsidR="006B7EE4" w:rsidRPr="00E81DE4">
              <w:rPr>
                <w:sz w:val="20"/>
                <w:szCs w:val="20"/>
                <w:lang w:val="fr-CH"/>
              </w:rPr>
              <w:br/>
            </w:r>
            <w:r w:rsidRPr="00E81DE4">
              <w:rPr>
                <w:sz w:val="20"/>
                <w:szCs w:val="20"/>
                <w:lang w:val="fr-CH"/>
              </w:rPr>
              <w:t>Article 5, par.</w:t>
            </w:r>
            <w:r w:rsidR="006B7EE4" w:rsidRPr="00E81DE4">
              <w:rPr>
                <w:sz w:val="20"/>
                <w:szCs w:val="20"/>
                <w:lang w:val="fr-CH"/>
              </w:rPr>
              <w:t> </w:t>
            </w:r>
            <w:r w:rsidRPr="00E81DE4">
              <w:rPr>
                <w:sz w:val="20"/>
                <w:szCs w:val="20"/>
                <w:lang w:val="fr-CH"/>
              </w:rPr>
              <w:t>2</w:t>
            </w:r>
          </w:p>
        </w:tc>
        <w:tc>
          <w:tcPr>
            <w:tcW w:w="2268" w:type="dxa"/>
            <w:shd w:val="clear" w:color="auto" w:fill="auto"/>
          </w:tcPr>
          <w:p w14:paraId="53C74162" w14:textId="77777777" w:rsidR="0089072C" w:rsidRPr="00E81DE4" w:rsidRDefault="0089072C" w:rsidP="00E81DE4">
            <w:pPr>
              <w:widowControl w:val="0"/>
              <w:spacing w:before="40" w:after="120"/>
              <w:ind w:left="360" w:hanging="360"/>
              <w:textAlignment w:val="baseline"/>
            </w:pPr>
            <w:proofErr w:type="spellStart"/>
            <w:r w:rsidRPr="00E81DE4">
              <w:t>s.o</w:t>
            </w:r>
            <w:proofErr w:type="spellEnd"/>
            <w:r w:rsidRPr="00E81DE4">
              <w:t>.</w:t>
            </w:r>
          </w:p>
        </w:tc>
      </w:tr>
      <w:tr w:rsidR="0089072C" w:rsidRPr="00BD2C13" w14:paraId="73C55013" w14:textId="77777777" w:rsidTr="002E30F6">
        <w:tc>
          <w:tcPr>
            <w:tcW w:w="2268" w:type="dxa"/>
            <w:gridSpan w:val="4"/>
            <w:shd w:val="clear" w:color="auto" w:fill="auto"/>
            <w:vAlign w:val="center"/>
          </w:tcPr>
          <w:p w14:paraId="6FA3A386" w14:textId="77777777" w:rsidR="0089072C" w:rsidRPr="00E81DE4" w:rsidRDefault="0089072C" w:rsidP="00E81DE4">
            <w:pPr>
              <w:spacing w:before="40" w:after="120"/>
            </w:pPr>
            <w:r w:rsidRPr="00E81DE4">
              <w:rPr>
                <w:b/>
              </w:rPr>
              <w:t>Deuxième Protocole facultatif se rapportant au Pacte international relatif aux droits civils et</w:t>
            </w:r>
            <w:r w:rsidR="009E21A8">
              <w:rPr>
                <w:b/>
              </w:rPr>
              <w:t xml:space="preserve"> </w:t>
            </w:r>
            <w:r w:rsidRPr="00E81DE4">
              <w:rPr>
                <w:b/>
              </w:rPr>
              <w:t>politiques, visant à abolir la peine de mort</w:t>
            </w:r>
          </w:p>
        </w:tc>
      </w:tr>
      <w:tr w:rsidR="00514E33" w:rsidRPr="00BD2C13" w14:paraId="32EB6175" w14:textId="77777777" w:rsidTr="002E30F6">
        <w:tc>
          <w:tcPr>
            <w:tcW w:w="1701" w:type="dxa"/>
            <w:shd w:val="clear" w:color="auto" w:fill="auto"/>
          </w:tcPr>
          <w:p w14:paraId="739DE79A" w14:textId="77777777" w:rsidR="0089072C" w:rsidRPr="00E81DE4" w:rsidRDefault="0089072C" w:rsidP="00E81DE4">
            <w:pPr>
              <w:pStyle w:val="CCDConvListContents"/>
              <w:spacing w:before="40" w:after="120" w:line="240" w:lineRule="atLeast"/>
              <w:ind w:right="113"/>
              <w:rPr>
                <w:sz w:val="20"/>
                <w:szCs w:val="20"/>
                <w:highlight w:val="yellow"/>
                <w:lang w:val="fr-CH"/>
              </w:rPr>
            </w:pPr>
          </w:p>
        </w:tc>
        <w:tc>
          <w:tcPr>
            <w:tcW w:w="1701" w:type="dxa"/>
            <w:shd w:val="clear" w:color="auto" w:fill="auto"/>
          </w:tcPr>
          <w:p w14:paraId="0BCB0525"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18 juin 1993</w:t>
            </w:r>
          </w:p>
        </w:tc>
        <w:tc>
          <w:tcPr>
            <w:tcW w:w="1701" w:type="dxa"/>
            <w:shd w:val="clear" w:color="auto" w:fill="auto"/>
          </w:tcPr>
          <w:p w14:paraId="06911C36"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Aucune</w:t>
            </w:r>
          </w:p>
        </w:tc>
        <w:tc>
          <w:tcPr>
            <w:tcW w:w="2268" w:type="dxa"/>
            <w:shd w:val="clear" w:color="auto" w:fill="auto"/>
          </w:tcPr>
          <w:p w14:paraId="07F3E6D6" w14:textId="77777777" w:rsidR="0089072C" w:rsidRPr="00E81DE4" w:rsidRDefault="0089072C" w:rsidP="00E81DE4">
            <w:pPr>
              <w:pStyle w:val="CCDConvListContents"/>
              <w:spacing w:before="40" w:after="120" w:line="240" w:lineRule="atLeast"/>
              <w:rPr>
                <w:sz w:val="20"/>
                <w:szCs w:val="20"/>
                <w:lang w:val="fr-CH"/>
              </w:rPr>
            </w:pPr>
            <w:proofErr w:type="spellStart"/>
            <w:r w:rsidRPr="00E81DE4">
              <w:rPr>
                <w:sz w:val="20"/>
                <w:szCs w:val="20"/>
                <w:lang w:val="fr-CH"/>
              </w:rPr>
              <w:t>s.o</w:t>
            </w:r>
            <w:proofErr w:type="spellEnd"/>
            <w:r w:rsidRPr="00E81DE4">
              <w:rPr>
                <w:sz w:val="20"/>
                <w:szCs w:val="20"/>
                <w:lang w:val="fr-CH"/>
              </w:rPr>
              <w:t>.</w:t>
            </w:r>
          </w:p>
        </w:tc>
      </w:tr>
      <w:tr w:rsidR="0089072C" w:rsidRPr="00BD2C13" w14:paraId="1413D312" w14:textId="77777777" w:rsidTr="002E30F6">
        <w:tc>
          <w:tcPr>
            <w:tcW w:w="2268" w:type="dxa"/>
            <w:gridSpan w:val="4"/>
            <w:shd w:val="clear" w:color="auto" w:fill="auto"/>
            <w:vAlign w:val="center"/>
          </w:tcPr>
          <w:p w14:paraId="0B068472" w14:textId="77777777" w:rsidR="0089072C" w:rsidRPr="00E81DE4" w:rsidRDefault="0089072C" w:rsidP="00E81DE4">
            <w:pPr>
              <w:spacing w:before="40" w:after="120"/>
            </w:pPr>
            <w:r w:rsidRPr="00E81DE4">
              <w:rPr>
                <w:b/>
              </w:rPr>
              <w:t>Pacte international relatif aux droits économiques, sociaux et culturels</w:t>
            </w:r>
          </w:p>
        </w:tc>
      </w:tr>
      <w:tr w:rsidR="00514E33" w:rsidRPr="00BD2C13" w14:paraId="6F8EA063" w14:textId="77777777" w:rsidTr="002E30F6">
        <w:tc>
          <w:tcPr>
            <w:tcW w:w="1701" w:type="dxa"/>
            <w:shd w:val="clear" w:color="auto" w:fill="auto"/>
          </w:tcPr>
          <w:p w14:paraId="57952238" w14:textId="77777777" w:rsidR="0089072C" w:rsidRPr="00E81DE4" w:rsidRDefault="0089072C" w:rsidP="00E81DE4">
            <w:pPr>
              <w:pStyle w:val="CCDConvListContents"/>
              <w:spacing w:before="40" w:after="120" w:line="240" w:lineRule="atLeast"/>
              <w:ind w:right="113"/>
              <w:rPr>
                <w:b/>
                <w:sz w:val="20"/>
                <w:szCs w:val="20"/>
                <w:lang w:val="fr-CH"/>
              </w:rPr>
            </w:pPr>
            <w:r w:rsidRPr="00E81DE4">
              <w:rPr>
                <w:bCs w:val="0"/>
                <w:sz w:val="20"/>
                <w:szCs w:val="20"/>
                <w:lang w:val="fr-CH"/>
              </w:rPr>
              <w:t>1</w:t>
            </w:r>
            <w:r w:rsidRPr="00E81DE4">
              <w:rPr>
                <w:bCs w:val="0"/>
                <w:sz w:val="20"/>
                <w:szCs w:val="20"/>
                <w:vertAlign w:val="superscript"/>
                <w:lang w:val="fr-CH"/>
              </w:rPr>
              <w:t>er</w:t>
            </w:r>
            <w:r w:rsidRPr="00E81DE4">
              <w:rPr>
                <w:bCs w:val="0"/>
                <w:sz w:val="20"/>
                <w:szCs w:val="20"/>
                <w:lang w:val="fr-CH"/>
              </w:rPr>
              <w:t xml:space="preserve"> octobre 1973</w:t>
            </w:r>
          </w:p>
        </w:tc>
        <w:tc>
          <w:tcPr>
            <w:tcW w:w="1701" w:type="dxa"/>
            <w:shd w:val="clear" w:color="auto" w:fill="auto"/>
          </w:tcPr>
          <w:p w14:paraId="0F4E9F87"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8 décembre 1989</w:t>
            </w:r>
          </w:p>
        </w:tc>
        <w:tc>
          <w:tcPr>
            <w:tcW w:w="1701" w:type="dxa"/>
            <w:shd w:val="clear" w:color="auto" w:fill="auto"/>
          </w:tcPr>
          <w:p w14:paraId="564AC812"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Réserves</w:t>
            </w:r>
            <w:r w:rsidR="006B7EE4" w:rsidRPr="00E81DE4">
              <w:rPr>
                <w:sz w:val="20"/>
                <w:szCs w:val="20"/>
                <w:lang w:val="fr-CH"/>
              </w:rPr>
              <w:t> </w:t>
            </w:r>
            <w:r w:rsidRPr="00E81DE4">
              <w:rPr>
                <w:sz w:val="20"/>
                <w:szCs w:val="20"/>
                <w:lang w:val="fr-CH"/>
              </w:rPr>
              <w:t>:</w:t>
            </w:r>
            <w:r w:rsidRPr="00E81DE4">
              <w:rPr>
                <w:sz w:val="20"/>
                <w:szCs w:val="20"/>
                <w:lang w:val="fr-CH"/>
              </w:rPr>
              <w:br/>
              <w:t>Article 2, par.</w:t>
            </w:r>
            <w:r w:rsidR="006B7EE4" w:rsidRPr="00E81DE4">
              <w:rPr>
                <w:sz w:val="20"/>
                <w:szCs w:val="20"/>
                <w:lang w:val="fr-CH"/>
              </w:rPr>
              <w:t> </w:t>
            </w:r>
            <w:r w:rsidRPr="00E81DE4">
              <w:rPr>
                <w:sz w:val="20"/>
                <w:szCs w:val="20"/>
                <w:lang w:val="fr-CH"/>
              </w:rPr>
              <w:t>2</w:t>
            </w:r>
            <w:r w:rsidR="006B7EE4" w:rsidRPr="00E81DE4">
              <w:rPr>
                <w:sz w:val="20"/>
                <w:szCs w:val="20"/>
                <w:lang w:val="fr-CH"/>
              </w:rPr>
              <w:br/>
            </w:r>
            <w:r w:rsidRPr="00E81DE4">
              <w:rPr>
                <w:sz w:val="20"/>
                <w:szCs w:val="20"/>
                <w:lang w:val="fr-CH"/>
              </w:rPr>
              <w:t>Article 13, par.</w:t>
            </w:r>
            <w:r w:rsidR="006B7EE4" w:rsidRPr="00E81DE4">
              <w:rPr>
                <w:sz w:val="20"/>
                <w:szCs w:val="20"/>
                <w:lang w:val="fr-CH"/>
              </w:rPr>
              <w:t> </w:t>
            </w:r>
            <w:r w:rsidRPr="00E81DE4">
              <w:rPr>
                <w:sz w:val="20"/>
                <w:szCs w:val="20"/>
                <w:lang w:val="fr-CH"/>
              </w:rPr>
              <w:t>2 a)</w:t>
            </w:r>
          </w:p>
        </w:tc>
        <w:tc>
          <w:tcPr>
            <w:tcW w:w="2268" w:type="dxa"/>
            <w:shd w:val="clear" w:color="auto" w:fill="auto"/>
          </w:tcPr>
          <w:p w14:paraId="0DEA4611" w14:textId="77777777" w:rsidR="0089072C" w:rsidRPr="00E81DE4" w:rsidRDefault="0089072C" w:rsidP="00E81DE4">
            <w:pPr>
              <w:pStyle w:val="CCDConvListContents"/>
              <w:spacing w:before="40" w:after="120" w:line="240" w:lineRule="atLeast"/>
              <w:rPr>
                <w:sz w:val="20"/>
                <w:szCs w:val="20"/>
                <w:lang w:val="fr-CH"/>
              </w:rPr>
            </w:pPr>
            <w:r w:rsidRPr="00E81DE4">
              <w:rPr>
                <w:rFonts w:eastAsia="Calibri"/>
                <w:bCs w:val="0"/>
                <w:color w:val="auto"/>
                <w:sz w:val="20"/>
                <w:szCs w:val="20"/>
                <w:lang w:val="fr-CH"/>
              </w:rPr>
              <w:t>Rapport initial</w:t>
            </w:r>
            <w:r w:rsidR="006B7EE4" w:rsidRPr="00E81DE4">
              <w:rPr>
                <w:rFonts w:eastAsia="Calibri"/>
                <w:bCs w:val="0"/>
                <w:color w:val="auto"/>
                <w:sz w:val="20"/>
                <w:szCs w:val="20"/>
                <w:lang w:val="fr-CH"/>
              </w:rPr>
              <w:t> </w:t>
            </w:r>
            <w:r w:rsidRPr="00E81DE4">
              <w:rPr>
                <w:rFonts w:eastAsia="Calibri"/>
                <w:bCs w:val="0"/>
                <w:color w:val="auto"/>
                <w:sz w:val="20"/>
                <w:szCs w:val="20"/>
                <w:lang w:val="fr-CH"/>
              </w:rPr>
              <w:t xml:space="preserve">: </w:t>
            </w:r>
            <w:r w:rsidRPr="00E81DE4">
              <w:rPr>
                <w:rFonts w:eastAsia="Calibri"/>
                <w:bCs w:val="0"/>
                <w:color w:val="auto"/>
                <w:sz w:val="20"/>
                <w:szCs w:val="20"/>
                <w:lang w:val="fr-CH"/>
              </w:rPr>
              <w:br/>
              <w:t>Deuxième rapport</w:t>
            </w:r>
            <w:r w:rsidR="006B7EE4" w:rsidRPr="00E81DE4">
              <w:rPr>
                <w:rFonts w:eastAsia="Calibri"/>
                <w:bCs w:val="0"/>
                <w:color w:val="auto"/>
                <w:sz w:val="20"/>
                <w:szCs w:val="20"/>
                <w:lang w:val="fr-CH"/>
              </w:rPr>
              <w:t> </w:t>
            </w:r>
            <w:r w:rsidRPr="00E81DE4">
              <w:rPr>
                <w:rFonts w:eastAsia="Calibri"/>
                <w:bCs w:val="0"/>
                <w:color w:val="auto"/>
                <w:sz w:val="20"/>
                <w:szCs w:val="20"/>
                <w:lang w:val="fr-CH"/>
              </w:rPr>
              <w:t>: 2000</w:t>
            </w:r>
            <w:r w:rsidRPr="00E81DE4">
              <w:rPr>
                <w:rFonts w:eastAsia="Calibri"/>
                <w:bCs w:val="0"/>
                <w:color w:val="auto"/>
                <w:sz w:val="20"/>
                <w:szCs w:val="20"/>
                <w:lang w:val="fr-CH"/>
              </w:rPr>
              <w:br/>
              <w:t>Troisième rapport</w:t>
            </w:r>
            <w:r w:rsidR="006B7EE4" w:rsidRPr="00E81DE4">
              <w:rPr>
                <w:rFonts w:eastAsia="Calibri"/>
                <w:bCs w:val="0"/>
                <w:color w:val="auto"/>
                <w:sz w:val="20"/>
                <w:szCs w:val="20"/>
                <w:lang w:val="fr-CH"/>
              </w:rPr>
              <w:t> </w:t>
            </w:r>
            <w:r w:rsidRPr="00E81DE4">
              <w:rPr>
                <w:rFonts w:eastAsia="Calibri"/>
                <w:bCs w:val="0"/>
                <w:color w:val="auto"/>
                <w:sz w:val="20"/>
                <w:szCs w:val="20"/>
                <w:lang w:val="fr-CH"/>
              </w:rPr>
              <w:t>: 2012</w:t>
            </w:r>
            <w:r w:rsidR="006B7EE4" w:rsidRPr="00E81DE4">
              <w:rPr>
                <w:rFonts w:eastAsia="Calibri"/>
                <w:bCs w:val="0"/>
                <w:color w:val="auto"/>
                <w:sz w:val="20"/>
                <w:szCs w:val="20"/>
                <w:lang w:val="fr-CH"/>
              </w:rPr>
              <w:br/>
            </w:r>
            <w:r w:rsidRPr="00E81DE4">
              <w:rPr>
                <w:sz w:val="20"/>
                <w:szCs w:val="20"/>
                <w:lang w:val="fr-CH"/>
              </w:rPr>
              <w:t>Quatrième rapport</w:t>
            </w:r>
            <w:r w:rsidR="006B7EE4" w:rsidRPr="00E81DE4">
              <w:rPr>
                <w:sz w:val="20"/>
                <w:szCs w:val="20"/>
                <w:lang w:val="fr-CH"/>
              </w:rPr>
              <w:t xml:space="preserve"> </w:t>
            </w:r>
            <w:r w:rsidRPr="00E81DE4">
              <w:rPr>
                <w:sz w:val="20"/>
                <w:szCs w:val="20"/>
                <w:lang w:val="fr-CH"/>
              </w:rPr>
              <w:t>:</w:t>
            </w:r>
            <w:r w:rsidR="009E21A8">
              <w:rPr>
                <w:sz w:val="20"/>
                <w:szCs w:val="20"/>
                <w:lang w:val="fr-CH"/>
              </w:rPr>
              <w:br/>
            </w:r>
            <w:r w:rsidRPr="00E81DE4">
              <w:rPr>
                <w:sz w:val="20"/>
                <w:szCs w:val="20"/>
                <w:lang w:val="fr-CH"/>
              </w:rPr>
              <w:t>attendu</w:t>
            </w:r>
            <w:r w:rsidR="00F118E9" w:rsidRPr="00E81DE4">
              <w:rPr>
                <w:sz w:val="20"/>
                <w:szCs w:val="20"/>
                <w:lang w:val="fr-CH"/>
              </w:rPr>
              <w:t xml:space="preserve"> </w:t>
            </w:r>
            <w:r w:rsidRPr="00E81DE4">
              <w:rPr>
                <w:sz w:val="20"/>
                <w:szCs w:val="20"/>
                <w:lang w:val="fr-CH"/>
              </w:rPr>
              <w:t>en 2020</w:t>
            </w:r>
          </w:p>
        </w:tc>
      </w:tr>
      <w:tr w:rsidR="0089072C" w:rsidRPr="00BD2C13" w14:paraId="56F8F96C" w14:textId="77777777" w:rsidTr="002E30F6">
        <w:tc>
          <w:tcPr>
            <w:tcW w:w="2268" w:type="dxa"/>
            <w:gridSpan w:val="4"/>
            <w:shd w:val="clear" w:color="auto" w:fill="auto"/>
            <w:vAlign w:val="center"/>
          </w:tcPr>
          <w:p w14:paraId="4DABE83B" w14:textId="77777777" w:rsidR="0089072C" w:rsidRPr="00E81DE4" w:rsidRDefault="0089072C" w:rsidP="00E81DE4">
            <w:pPr>
              <w:spacing w:before="40" w:after="120"/>
            </w:pPr>
            <w:r w:rsidRPr="00E81DE4">
              <w:rPr>
                <w:b/>
              </w:rPr>
              <w:t>Convention sur l</w:t>
            </w:r>
            <w:r w:rsidR="00784444">
              <w:rPr>
                <w:b/>
              </w:rPr>
              <w:t>’</w:t>
            </w:r>
            <w:r w:rsidRPr="00E81DE4">
              <w:rPr>
                <w:b/>
              </w:rPr>
              <w:t xml:space="preserve">élimination de toutes les formes de discrimination </w:t>
            </w:r>
            <w:r w:rsidR="006B7EE4" w:rsidRPr="00E81DE4">
              <w:rPr>
                <w:b/>
              </w:rPr>
              <w:br/>
            </w:r>
            <w:r w:rsidRPr="00E81DE4">
              <w:rPr>
                <w:b/>
              </w:rPr>
              <w:t>à l</w:t>
            </w:r>
            <w:r w:rsidR="00784444">
              <w:rPr>
                <w:b/>
              </w:rPr>
              <w:t>’</w:t>
            </w:r>
            <w:r w:rsidRPr="00E81DE4">
              <w:rPr>
                <w:b/>
              </w:rPr>
              <w:t>égard des femmes</w:t>
            </w:r>
          </w:p>
        </w:tc>
      </w:tr>
      <w:tr w:rsidR="006B7EE4" w:rsidRPr="00BD2C13" w14:paraId="7D4AA89E" w14:textId="77777777" w:rsidTr="002E30F6">
        <w:tc>
          <w:tcPr>
            <w:tcW w:w="1701" w:type="dxa"/>
            <w:shd w:val="clear" w:color="auto" w:fill="auto"/>
          </w:tcPr>
          <w:p w14:paraId="288583D8" w14:textId="77777777" w:rsidR="0089072C" w:rsidRPr="00E81DE4" w:rsidRDefault="0089072C" w:rsidP="00E81DE4">
            <w:pPr>
              <w:pStyle w:val="CCDConvListContents"/>
              <w:spacing w:before="40" w:after="120" w:line="240" w:lineRule="atLeast"/>
              <w:ind w:right="113"/>
              <w:rPr>
                <w:sz w:val="20"/>
                <w:szCs w:val="20"/>
                <w:highlight w:val="yellow"/>
                <w:lang w:val="fr-CH"/>
              </w:rPr>
            </w:pPr>
          </w:p>
        </w:tc>
        <w:tc>
          <w:tcPr>
            <w:tcW w:w="1701" w:type="dxa"/>
            <w:shd w:val="clear" w:color="auto" w:fill="auto"/>
          </w:tcPr>
          <w:p w14:paraId="251FC69E" w14:textId="77777777" w:rsidR="0089072C" w:rsidRPr="00E81DE4" w:rsidRDefault="0089072C" w:rsidP="00E81DE4">
            <w:pPr>
              <w:pStyle w:val="CCDConvListContents"/>
              <w:spacing w:before="40" w:after="120" w:line="240" w:lineRule="atLeast"/>
              <w:ind w:right="113"/>
              <w:rPr>
                <w:sz w:val="20"/>
                <w:szCs w:val="20"/>
                <w:highlight w:val="yellow"/>
                <w:lang w:val="fr-CH"/>
              </w:rPr>
            </w:pPr>
            <w:r w:rsidRPr="00E81DE4">
              <w:rPr>
                <w:sz w:val="20"/>
                <w:szCs w:val="20"/>
                <w:lang w:val="fr-CH"/>
              </w:rPr>
              <w:t>23 décembre 1985</w:t>
            </w:r>
          </w:p>
        </w:tc>
        <w:tc>
          <w:tcPr>
            <w:tcW w:w="1701" w:type="dxa"/>
            <w:shd w:val="clear" w:color="auto" w:fill="auto"/>
          </w:tcPr>
          <w:p w14:paraId="4F136A5F"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Réserves</w:t>
            </w:r>
            <w:r w:rsidR="006B7EE4" w:rsidRPr="00E81DE4">
              <w:rPr>
                <w:sz w:val="20"/>
                <w:szCs w:val="20"/>
                <w:lang w:val="fr-CH"/>
              </w:rPr>
              <w:t> </w:t>
            </w:r>
            <w:r w:rsidRPr="00E81DE4">
              <w:rPr>
                <w:sz w:val="20"/>
                <w:szCs w:val="20"/>
                <w:lang w:val="fr-CH"/>
              </w:rPr>
              <w:t>:</w:t>
            </w:r>
            <w:r w:rsidR="006B7EE4" w:rsidRPr="00E81DE4">
              <w:rPr>
                <w:sz w:val="20"/>
                <w:szCs w:val="20"/>
                <w:lang w:val="fr-CH"/>
              </w:rPr>
              <w:br/>
            </w:r>
            <w:r w:rsidRPr="00E81DE4">
              <w:rPr>
                <w:sz w:val="20"/>
                <w:szCs w:val="20"/>
                <w:lang w:val="fr-CH"/>
              </w:rPr>
              <w:t>Article 11, par. 1</w:t>
            </w:r>
            <w:r w:rsidR="006B7EE4" w:rsidRPr="00E81DE4">
              <w:rPr>
                <w:sz w:val="20"/>
                <w:szCs w:val="20"/>
                <w:lang w:val="fr-CH"/>
              </w:rPr>
              <w:br/>
            </w:r>
            <w:r w:rsidRPr="00E81DE4">
              <w:rPr>
                <w:sz w:val="20"/>
                <w:szCs w:val="20"/>
                <w:lang w:val="fr-CH"/>
              </w:rPr>
              <w:t>Article 13 a)</w:t>
            </w:r>
            <w:r w:rsidR="006B7EE4" w:rsidRPr="00E81DE4">
              <w:rPr>
                <w:sz w:val="20"/>
                <w:szCs w:val="20"/>
                <w:lang w:val="fr-CH"/>
              </w:rPr>
              <w:br/>
            </w:r>
            <w:r w:rsidRPr="00E81DE4">
              <w:rPr>
                <w:spacing w:val="-2"/>
                <w:sz w:val="20"/>
                <w:szCs w:val="20"/>
                <w:lang w:val="fr-CH"/>
              </w:rPr>
              <w:t xml:space="preserve">Article 16, par. 1 d) </w:t>
            </w:r>
            <w:r w:rsidR="00514E33" w:rsidRPr="00E81DE4">
              <w:rPr>
                <w:spacing w:val="-2"/>
                <w:sz w:val="20"/>
                <w:szCs w:val="20"/>
                <w:lang w:val="fr-CH"/>
              </w:rPr>
              <w:br/>
            </w:r>
            <w:r w:rsidRPr="00E81DE4">
              <w:rPr>
                <w:spacing w:val="-2"/>
                <w:sz w:val="20"/>
                <w:szCs w:val="20"/>
                <w:lang w:val="fr-CH"/>
              </w:rPr>
              <w:t>et f)</w:t>
            </w:r>
          </w:p>
        </w:tc>
        <w:tc>
          <w:tcPr>
            <w:tcW w:w="2268" w:type="dxa"/>
            <w:shd w:val="clear" w:color="auto" w:fill="auto"/>
          </w:tcPr>
          <w:p w14:paraId="36E4A996" w14:textId="77777777" w:rsidR="0089072C" w:rsidRPr="00E81DE4" w:rsidRDefault="0089072C" w:rsidP="001B7C08">
            <w:pPr>
              <w:pStyle w:val="CCDConvListContents"/>
              <w:spacing w:before="40" w:after="120" w:line="240" w:lineRule="atLeast"/>
              <w:rPr>
                <w:sz w:val="20"/>
                <w:szCs w:val="20"/>
                <w:highlight w:val="yellow"/>
                <w:lang w:val="fr-CH"/>
              </w:rPr>
            </w:pPr>
            <w:r w:rsidRPr="00E81DE4">
              <w:rPr>
                <w:sz w:val="20"/>
                <w:szCs w:val="20"/>
                <w:lang w:val="fr-CH"/>
              </w:rPr>
              <w:t>Rapport initial</w:t>
            </w:r>
            <w:r w:rsidR="006B7EE4" w:rsidRPr="00E81DE4">
              <w:rPr>
                <w:sz w:val="20"/>
                <w:szCs w:val="20"/>
                <w:lang w:val="fr-CH"/>
              </w:rPr>
              <w:t> </w:t>
            </w:r>
            <w:r w:rsidRPr="00E81DE4">
              <w:rPr>
                <w:sz w:val="20"/>
                <w:szCs w:val="20"/>
                <w:lang w:val="fr-CH"/>
              </w:rPr>
              <w:t>: 1987</w:t>
            </w:r>
            <w:r w:rsidRPr="00E81DE4">
              <w:rPr>
                <w:sz w:val="20"/>
                <w:szCs w:val="20"/>
                <w:lang w:val="fr-CH"/>
              </w:rPr>
              <w:br/>
              <w:t>Deuxième et troisième rapports soumis en un seul document</w:t>
            </w:r>
            <w:r w:rsidR="006B7EE4" w:rsidRPr="00E81DE4">
              <w:rPr>
                <w:sz w:val="20"/>
                <w:szCs w:val="20"/>
                <w:lang w:val="fr-CH"/>
              </w:rPr>
              <w:t> </w:t>
            </w:r>
            <w:r w:rsidRPr="00E81DE4">
              <w:rPr>
                <w:sz w:val="20"/>
                <w:szCs w:val="20"/>
                <w:lang w:val="fr-CH"/>
              </w:rPr>
              <w:t>: 1997</w:t>
            </w:r>
            <w:r w:rsidR="006B7EE4" w:rsidRPr="00E81DE4">
              <w:rPr>
                <w:sz w:val="20"/>
                <w:szCs w:val="20"/>
                <w:lang w:val="fr-CH"/>
              </w:rPr>
              <w:br/>
            </w:r>
            <w:r w:rsidRPr="00E81DE4">
              <w:rPr>
                <w:sz w:val="20"/>
                <w:szCs w:val="20"/>
                <w:lang w:val="fr-CH"/>
              </w:rPr>
              <w:t>Quatrième et cinquième rapports soumis en un seul document</w:t>
            </w:r>
            <w:r w:rsidR="006B7EE4" w:rsidRPr="00E81DE4">
              <w:rPr>
                <w:sz w:val="20"/>
                <w:szCs w:val="20"/>
                <w:lang w:val="fr-CH"/>
              </w:rPr>
              <w:t> </w:t>
            </w:r>
            <w:r w:rsidRPr="00E81DE4">
              <w:rPr>
                <w:sz w:val="20"/>
                <w:szCs w:val="20"/>
                <w:lang w:val="fr-CH"/>
              </w:rPr>
              <w:t>: 2003</w:t>
            </w:r>
            <w:r w:rsidR="001B7C08">
              <w:rPr>
                <w:sz w:val="20"/>
                <w:szCs w:val="20"/>
                <w:lang w:val="fr-CH"/>
              </w:rPr>
              <w:br/>
            </w:r>
            <w:r w:rsidRPr="00E81DE4">
              <w:rPr>
                <w:sz w:val="20"/>
                <w:szCs w:val="20"/>
                <w:lang w:val="fr-CH"/>
              </w:rPr>
              <w:t>Sixième et septième rapport</w:t>
            </w:r>
            <w:r w:rsidR="006B7EE4" w:rsidRPr="00E81DE4">
              <w:rPr>
                <w:sz w:val="20"/>
                <w:szCs w:val="20"/>
                <w:lang w:val="fr-CH"/>
              </w:rPr>
              <w:t>s</w:t>
            </w:r>
            <w:r w:rsidRPr="00E81DE4">
              <w:rPr>
                <w:sz w:val="20"/>
                <w:szCs w:val="20"/>
                <w:lang w:val="fr-CH"/>
              </w:rPr>
              <w:t xml:space="preserve"> soumis en un seul document</w:t>
            </w:r>
            <w:r w:rsidR="006B7EE4" w:rsidRPr="00E81DE4">
              <w:rPr>
                <w:sz w:val="20"/>
                <w:szCs w:val="20"/>
                <w:lang w:val="fr-CH"/>
              </w:rPr>
              <w:t> </w:t>
            </w:r>
            <w:r w:rsidRPr="00E81DE4">
              <w:rPr>
                <w:sz w:val="20"/>
                <w:szCs w:val="20"/>
                <w:lang w:val="fr-CH"/>
              </w:rPr>
              <w:t>: 2016</w:t>
            </w:r>
          </w:p>
        </w:tc>
      </w:tr>
      <w:tr w:rsidR="0089072C" w:rsidRPr="00BD2C13" w14:paraId="40689412" w14:textId="77777777" w:rsidTr="002E30F6">
        <w:tc>
          <w:tcPr>
            <w:tcW w:w="2268" w:type="dxa"/>
            <w:gridSpan w:val="4"/>
            <w:shd w:val="clear" w:color="auto" w:fill="auto"/>
            <w:vAlign w:val="center"/>
          </w:tcPr>
          <w:p w14:paraId="3433C064" w14:textId="77777777" w:rsidR="0089072C" w:rsidRPr="00E81DE4" w:rsidRDefault="0089072C" w:rsidP="00E81DE4">
            <w:pPr>
              <w:spacing w:before="40" w:after="120"/>
            </w:pPr>
            <w:r w:rsidRPr="00E81DE4">
              <w:rPr>
                <w:b/>
              </w:rPr>
              <w:t>Protocole facultatif se rapportant à la Convention sur l</w:t>
            </w:r>
            <w:r w:rsidR="00784444">
              <w:rPr>
                <w:b/>
              </w:rPr>
              <w:t>’</w:t>
            </w:r>
            <w:r w:rsidRPr="00E81DE4">
              <w:rPr>
                <w:b/>
              </w:rPr>
              <w:t xml:space="preserve">élimination </w:t>
            </w:r>
            <w:r w:rsidR="006B7EE4" w:rsidRPr="00E81DE4">
              <w:rPr>
                <w:b/>
              </w:rPr>
              <w:br/>
            </w:r>
            <w:r w:rsidRPr="00E81DE4">
              <w:rPr>
                <w:b/>
              </w:rPr>
              <w:t>de toutes les formes de</w:t>
            </w:r>
            <w:r w:rsidR="00E81DE4">
              <w:rPr>
                <w:b/>
              </w:rPr>
              <w:t xml:space="preserve"> </w:t>
            </w:r>
            <w:r w:rsidRPr="00E81DE4">
              <w:rPr>
                <w:b/>
              </w:rPr>
              <w:t>discrimination à l</w:t>
            </w:r>
            <w:r w:rsidR="00784444">
              <w:rPr>
                <w:b/>
              </w:rPr>
              <w:t>’</w:t>
            </w:r>
            <w:r w:rsidRPr="00E81DE4">
              <w:rPr>
                <w:b/>
              </w:rPr>
              <w:t>égard des femmes</w:t>
            </w:r>
          </w:p>
        </w:tc>
      </w:tr>
      <w:tr w:rsidR="00514E33" w:rsidRPr="00BD2C13" w14:paraId="5D813D6E" w14:textId="77777777" w:rsidTr="002E30F6">
        <w:tc>
          <w:tcPr>
            <w:tcW w:w="1701" w:type="dxa"/>
            <w:shd w:val="clear" w:color="auto" w:fill="auto"/>
          </w:tcPr>
          <w:p w14:paraId="070544EB" w14:textId="77777777" w:rsidR="0089072C" w:rsidRPr="00E81DE4" w:rsidRDefault="0089072C" w:rsidP="00E81DE4">
            <w:pPr>
              <w:pStyle w:val="CCDConvListContents"/>
              <w:spacing w:before="40" w:after="120" w:line="240" w:lineRule="atLeast"/>
              <w:ind w:right="113"/>
              <w:rPr>
                <w:b/>
                <w:sz w:val="20"/>
                <w:szCs w:val="20"/>
                <w:lang w:val="fr-CH"/>
              </w:rPr>
            </w:pPr>
            <w:r w:rsidRPr="00E81DE4">
              <w:rPr>
                <w:bCs w:val="0"/>
                <w:sz w:val="20"/>
                <w:szCs w:val="20"/>
                <w:lang w:val="fr-CH"/>
              </w:rPr>
              <w:t>7 septembre 2000</w:t>
            </w:r>
          </w:p>
        </w:tc>
        <w:tc>
          <w:tcPr>
            <w:tcW w:w="1701" w:type="dxa"/>
            <w:shd w:val="clear" w:color="auto" w:fill="auto"/>
          </w:tcPr>
          <w:p w14:paraId="70319EB2"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7 septembre 2000</w:t>
            </w:r>
          </w:p>
        </w:tc>
        <w:tc>
          <w:tcPr>
            <w:tcW w:w="1701" w:type="dxa"/>
            <w:shd w:val="clear" w:color="auto" w:fill="auto"/>
          </w:tcPr>
          <w:p w14:paraId="3AA1FCC3"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Aucune</w:t>
            </w:r>
          </w:p>
        </w:tc>
        <w:tc>
          <w:tcPr>
            <w:tcW w:w="2268" w:type="dxa"/>
            <w:shd w:val="clear" w:color="auto" w:fill="auto"/>
          </w:tcPr>
          <w:p w14:paraId="736AA678" w14:textId="77777777" w:rsidR="0089072C" w:rsidRPr="00E81DE4" w:rsidRDefault="0089072C" w:rsidP="00E81DE4">
            <w:pPr>
              <w:pStyle w:val="CCDConvListContents"/>
              <w:spacing w:before="40" w:after="120" w:line="240" w:lineRule="atLeast"/>
              <w:rPr>
                <w:sz w:val="20"/>
                <w:szCs w:val="20"/>
                <w:lang w:val="fr-CH"/>
              </w:rPr>
            </w:pPr>
            <w:proofErr w:type="spellStart"/>
            <w:r w:rsidRPr="00E81DE4">
              <w:rPr>
                <w:sz w:val="20"/>
                <w:szCs w:val="20"/>
                <w:lang w:val="fr-CH"/>
              </w:rPr>
              <w:t>s.o</w:t>
            </w:r>
            <w:proofErr w:type="spellEnd"/>
            <w:r w:rsidRPr="00E81DE4">
              <w:rPr>
                <w:sz w:val="20"/>
                <w:szCs w:val="20"/>
                <w:lang w:val="fr-CH"/>
              </w:rPr>
              <w:t>.</w:t>
            </w:r>
          </w:p>
        </w:tc>
      </w:tr>
      <w:tr w:rsidR="0089072C" w:rsidRPr="00BD2C13" w14:paraId="2BAA99D4" w14:textId="77777777" w:rsidTr="002E30F6">
        <w:tc>
          <w:tcPr>
            <w:tcW w:w="2268" w:type="dxa"/>
            <w:gridSpan w:val="4"/>
            <w:shd w:val="clear" w:color="auto" w:fill="auto"/>
            <w:vAlign w:val="center"/>
          </w:tcPr>
          <w:p w14:paraId="421E9E45" w14:textId="77777777" w:rsidR="0089072C" w:rsidRPr="00E81DE4" w:rsidRDefault="0089072C" w:rsidP="00E81DE4">
            <w:pPr>
              <w:spacing w:before="40" w:after="120"/>
            </w:pPr>
            <w:r w:rsidRPr="00E81DE4">
              <w:rPr>
                <w:b/>
              </w:rPr>
              <w:t>Convention internationale sur l</w:t>
            </w:r>
            <w:r w:rsidR="00784444">
              <w:rPr>
                <w:b/>
              </w:rPr>
              <w:t>’</w:t>
            </w:r>
            <w:r w:rsidRPr="00E81DE4">
              <w:rPr>
                <w:b/>
              </w:rPr>
              <w:t xml:space="preserve">élimination de toutes les formes </w:t>
            </w:r>
            <w:r w:rsidR="006B7EE4" w:rsidRPr="00E81DE4">
              <w:rPr>
                <w:b/>
              </w:rPr>
              <w:br/>
            </w:r>
            <w:r w:rsidRPr="00E81DE4">
              <w:rPr>
                <w:b/>
              </w:rPr>
              <w:t>de discrimination raciale</w:t>
            </w:r>
          </w:p>
        </w:tc>
      </w:tr>
      <w:tr w:rsidR="006B7EE4" w:rsidRPr="00BD2C13" w14:paraId="12631B03" w14:textId="77777777" w:rsidTr="002E30F6">
        <w:tc>
          <w:tcPr>
            <w:tcW w:w="1701" w:type="dxa"/>
            <w:shd w:val="clear" w:color="auto" w:fill="auto"/>
          </w:tcPr>
          <w:p w14:paraId="4ADC2EE9" w14:textId="77777777" w:rsidR="0089072C" w:rsidRPr="00E81DE4" w:rsidRDefault="0089072C" w:rsidP="00E81DE4">
            <w:pPr>
              <w:pStyle w:val="CCDConvListContents"/>
              <w:spacing w:before="40" w:after="120" w:line="240" w:lineRule="atLeast"/>
              <w:ind w:right="113"/>
              <w:rPr>
                <w:b/>
                <w:sz w:val="20"/>
                <w:szCs w:val="20"/>
                <w:lang w:val="fr-CH"/>
              </w:rPr>
            </w:pPr>
            <w:r w:rsidRPr="00E81DE4">
              <w:rPr>
                <w:bCs w:val="0"/>
                <w:sz w:val="20"/>
                <w:szCs w:val="20"/>
                <w:lang w:val="fr-CH"/>
              </w:rPr>
              <w:t>21 mars 1968</w:t>
            </w:r>
          </w:p>
        </w:tc>
        <w:tc>
          <w:tcPr>
            <w:tcW w:w="1701" w:type="dxa"/>
            <w:shd w:val="clear" w:color="auto" w:fill="auto"/>
          </w:tcPr>
          <w:p w14:paraId="7C0072C3"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29 décembre 2000</w:t>
            </w:r>
          </w:p>
        </w:tc>
        <w:tc>
          <w:tcPr>
            <w:tcW w:w="1701" w:type="dxa"/>
            <w:shd w:val="clear" w:color="auto" w:fill="auto"/>
          </w:tcPr>
          <w:p w14:paraId="383FA60A"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Réserve</w:t>
            </w:r>
            <w:r w:rsidR="006B7EE4" w:rsidRPr="00E81DE4">
              <w:rPr>
                <w:sz w:val="20"/>
                <w:szCs w:val="20"/>
                <w:lang w:val="fr-CH"/>
              </w:rPr>
              <w:t> </w:t>
            </w:r>
            <w:r w:rsidRPr="00E81DE4">
              <w:rPr>
                <w:sz w:val="20"/>
                <w:szCs w:val="20"/>
                <w:lang w:val="fr-CH"/>
              </w:rPr>
              <w:t>:</w:t>
            </w:r>
            <w:r w:rsidR="006B7EE4" w:rsidRPr="00E81DE4">
              <w:rPr>
                <w:sz w:val="20"/>
                <w:szCs w:val="20"/>
                <w:lang w:val="fr-CH"/>
              </w:rPr>
              <w:br/>
            </w:r>
            <w:r w:rsidRPr="00E81DE4">
              <w:rPr>
                <w:sz w:val="20"/>
                <w:szCs w:val="20"/>
                <w:lang w:val="fr-CH"/>
              </w:rPr>
              <w:t>Article 4</w:t>
            </w:r>
          </w:p>
        </w:tc>
        <w:tc>
          <w:tcPr>
            <w:tcW w:w="2268" w:type="dxa"/>
            <w:shd w:val="clear" w:color="auto" w:fill="auto"/>
          </w:tcPr>
          <w:p w14:paraId="7CD1A991" w14:textId="77777777" w:rsidR="0089072C" w:rsidRPr="00E81DE4" w:rsidRDefault="0089072C" w:rsidP="00E81DE4">
            <w:pPr>
              <w:pStyle w:val="CCDConvListContents"/>
              <w:spacing w:before="40" w:after="120" w:line="240" w:lineRule="atLeast"/>
              <w:rPr>
                <w:sz w:val="20"/>
                <w:szCs w:val="20"/>
                <w:lang w:val="fr-CH"/>
              </w:rPr>
            </w:pPr>
            <w:r w:rsidRPr="00E81DE4">
              <w:rPr>
                <w:sz w:val="20"/>
                <w:szCs w:val="20"/>
                <w:lang w:val="fr-CH"/>
              </w:rPr>
              <w:t>Rapport initial et deuxième rapport soumis en un seul document</w:t>
            </w:r>
            <w:r w:rsidR="006B7EE4" w:rsidRPr="00E81DE4">
              <w:rPr>
                <w:sz w:val="20"/>
                <w:szCs w:val="20"/>
                <w:lang w:val="fr-CH"/>
              </w:rPr>
              <w:t> </w:t>
            </w:r>
            <w:r w:rsidRPr="00E81DE4">
              <w:rPr>
                <w:sz w:val="20"/>
                <w:szCs w:val="20"/>
                <w:lang w:val="fr-CH"/>
              </w:rPr>
              <w:t>: 2004</w:t>
            </w:r>
            <w:r w:rsidRPr="00E81DE4">
              <w:rPr>
                <w:sz w:val="20"/>
                <w:szCs w:val="20"/>
                <w:lang w:val="fr-CH"/>
              </w:rPr>
              <w:br/>
              <w:t>Troisième et quatrième rapports soumis en un seul document</w:t>
            </w:r>
            <w:r w:rsidR="006B7EE4" w:rsidRPr="00E81DE4">
              <w:rPr>
                <w:sz w:val="20"/>
                <w:szCs w:val="20"/>
                <w:lang w:val="fr-CH"/>
              </w:rPr>
              <w:t xml:space="preserve"> </w:t>
            </w:r>
            <w:r w:rsidRPr="00E81DE4">
              <w:rPr>
                <w:sz w:val="20"/>
                <w:szCs w:val="20"/>
                <w:lang w:val="fr-CH"/>
              </w:rPr>
              <w:t>: 2009</w:t>
            </w:r>
            <w:r w:rsidR="006B7EE4" w:rsidRPr="00E81DE4">
              <w:rPr>
                <w:sz w:val="20"/>
                <w:szCs w:val="20"/>
                <w:lang w:val="fr-CH"/>
              </w:rPr>
              <w:br/>
            </w:r>
            <w:r w:rsidRPr="00FC2D63">
              <w:rPr>
                <w:sz w:val="20"/>
                <w:szCs w:val="20"/>
                <w:lang w:val="fr-CH"/>
              </w:rPr>
              <w:t xml:space="preserve">Cinquième </w:t>
            </w:r>
            <w:r w:rsidR="00FC2D63" w:rsidRPr="00FC2D63">
              <w:rPr>
                <w:sz w:val="20"/>
                <w:szCs w:val="20"/>
                <w:lang w:val="fr-CH"/>
              </w:rPr>
              <w:t>à</w:t>
            </w:r>
            <w:r w:rsidRPr="00FC2D63">
              <w:rPr>
                <w:sz w:val="20"/>
                <w:szCs w:val="20"/>
                <w:lang w:val="fr-CH"/>
              </w:rPr>
              <w:t xml:space="preserve"> s</w:t>
            </w:r>
            <w:r w:rsidR="00FC2D63" w:rsidRPr="00FC2D63">
              <w:rPr>
                <w:sz w:val="20"/>
                <w:szCs w:val="20"/>
                <w:lang w:val="fr-CH"/>
              </w:rPr>
              <w:t>epti</w:t>
            </w:r>
            <w:r w:rsidRPr="00FC2D63">
              <w:rPr>
                <w:sz w:val="20"/>
                <w:szCs w:val="20"/>
                <w:lang w:val="fr-CH"/>
              </w:rPr>
              <w:t>ème rapport</w:t>
            </w:r>
            <w:r w:rsidR="006B7EE4" w:rsidRPr="00FC2D63">
              <w:rPr>
                <w:sz w:val="20"/>
                <w:szCs w:val="20"/>
                <w:lang w:val="fr-CH"/>
              </w:rPr>
              <w:t>s</w:t>
            </w:r>
            <w:r w:rsidRPr="00E81DE4">
              <w:rPr>
                <w:sz w:val="20"/>
                <w:szCs w:val="20"/>
                <w:lang w:val="fr-CH"/>
              </w:rPr>
              <w:t xml:space="preserve"> soumis en un seul document</w:t>
            </w:r>
            <w:r w:rsidR="006B7EE4" w:rsidRPr="00E81DE4">
              <w:rPr>
                <w:sz w:val="20"/>
                <w:szCs w:val="20"/>
                <w:lang w:val="fr-CH"/>
              </w:rPr>
              <w:t> </w:t>
            </w:r>
            <w:r w:rsidRPr="00E81DE4">
              <w:rPr>
                <w:sz w:val="20"/>
                <w:szCs w:val="20"/>
                <w:lang w:val="fr-CH"/>
              </w:rPr>
              <w:t>: 2018 (non encore examiné)</w:t>
            </w:r>
          </w:p>
        </w:tc>
      </w:tr>
      <w:tr w:rsidR="0089072C" w:rsidRPr="00BD2C13" w14:paraId="22358E62" w14:textId="77777777" w:rsidTr="002E30F6">
        <w:tc>
          <w:tcPr>
            <w:tcW w:w="2268" w:type="dxa"/>
            <w:gridSpan w:val="4"/>
            <w:shd w:val="clear" w:color="auto" w:fill="auto"/>
            <w:vAlign w:val="center"/>
          </w:tcPr>
          <w:p w14:paraId="7F0FF4F6" w14:textId="77777777" w:rsidR="0089072C" w:rsidRPr="00E81DE4" w:rsidRDefault="0089072C" w:rsidP="00E81DE4">
            <w:pPr>
              <w:keepNext/>
              <w:spacing w:before="40" w:after="120"/>
            </w:pPr>
            <w:r w:rsidRPr="00E81DE4">
              <w:rPr>
                <w:b/>
              </w:rPr>
              <w:lastRenderedPageBreak/>
              <w:t xml:space="preserve">Convention contre la torture et autres peines ou traitements cruels, </w:t>
            </w:r>
            <w:r w:rsidR="00856409" w:rsidRPr="00E81DE4">
              <w:rPr>
                <w:b/>
              </w:rPr>
              <w:br/>
            </w:r>
            <w:r w:rsidRPr="00E81DE4">
              <w:rPr>
                <w:b/>
              </w:rPr>
              <w:t>inhumains ou dégradants</w:t>
            </w:r>
          </w:p>
        </w:tc>
      </w:tr>
      <w:tr w:rsidR="00514E33" w:rsidRPr="00BD2C13" w14:paraId="3D6554B1" w14:textId="77777777" w:rsidTr="002E30F6">
        <w:tc>
          <w:tcPr>
            <w:tcW w:w="1701" w:type="dxa"/>
            <w:tcBorders>
              <w:bottom w:val="single" w:sz="12" w:space="0" w:color="auto"/>
            </w:tcBorders>
            <w:shd w:val="clear" w:color="auto" w:fill="auto"/>
          </w:tcPr>
          <w:p w14:paraId="7BA419BE" w14:textId="77777777" w:rsidR="0089072C" w:rsidRPr="00E81DE4" w:rsidRDefault="0089072C" w:rsidP="00E81DE4">
            <w:pPr>
              <w:pStyle w:val="CCDConvListContents"/>
              <w:spacing w:before="40" w:after="120" w:line="240" w:lineRule="atLeast"/>
              <w:ind w:right="113"/>
              <w:rPr>
                <w:b/>
                <w:sz w:val="20"/>
                <w:szCs w:val="20"/>
                <w:lang w:val="fr-CH"/>
              </w:rPr>
            </w:pPr>
            <w:r w:rsidRPr="00E81DE4">
              <w:rPr>
                <w:bCs w:val="0"/>
                <w:sz w:val="20"/>
                <w:szCs w:val="20"/>
                <w:lang w:val="fr-CH"/>
              </w:rPr>
              <w:t>28 septembre 1992</w:t>
            </w:r>
          </w:p>
        </w:tc>
        <w:tc>
          <w:tcPr>
            <w:tcW w:w="1701" w:type="dxa"/>
            <w:tcBorders>
              <w:bottom w:val="single" w:sz="12" w:space="0" w:color="auto"/>
            </w:tcBorders>
            <w:shd w:val="clear" w:color="auto" w:fill="auto"/>
          </w:tcPr>
          <w:p w14:paraId="617C8D8D" w14:textId="77777777" w:rsidR="0089072C" w:rsidRPr="00E81DE4" w:rsidRDefault="0089072C" w:rsidP="00E81DE4">
            <w:pPr>
              <w:pStyle w:val="CCDConvListContents"/>
              <w:spacing w:before="40" w:after="120" w:line="240" w:lineRule="atLeast"/>
              <w:ind w:right="113"/>
              <w:rPr>
                <w:sz w:val="20"/>
                <w:szCs w:val="20"/>
                <w:lang w:val="fr-CH"/>
              </w:rPr>
            </w:pPr>
            <w:r w:rsidRPr="00E81DE4">
              <w:rPr>
                <w:sz w:val="20"/>
                <w:szCs w:val="20"/>
                <w:lang w:val="fr-CH"/>
              </w:rPr>
              <w:t>11 avril 2002</w:t>
            </w:r>
          </w:p>
        </w:tc>
        <w:tc>
          <w:tcPr>
            <w:tcW w:w="1701" w:type="dxa"/>
            <w:tcBorders>
              <w:bottom w:val="single" w:sz="12" w:space="0" w:color="auto"/>
            </w:tcBorders>
            <w:shd w:val="clear" w:color="auto" w:fill="auto"/>
          </w:tcPr>
          <w:p w14:paraId="024F3A0F" w14:textId="77777777" w:rsidR="0089072C" w:rsidRPr="00E81DE4" w:rsidRDefault="0089072C" w:rsidP="00E81DE4">
            <w:pPr>
              <w:pStyle w:val="CCDConvListHeaders"/>
              <w:spacing w:before="40" w:after="120" w:line="240" w:lineRule="atLeast"/>
              <w:rPr>
                <w:sz w:val="20"/>
                <w:szCs w:val="20"/>
                <w:lang w:val="fr-CH"/>
              </w:rPr>
            </w:pPr>
            <w:r w:rsidRPr="00E81DE4">
              <w:rPr>
                <w:b w:val="0"/>
                <w:bCs/>
                <w:i w:val="0"/>
                <w:sz w:val="20"/>
                <w:szCs w:val="20"/>
                <w:lang w:val="fr-CH"/>
              </w:rPr>
              <w:t>Déclarations</w:t>
            </w:r>
            <w:r w:rsidR="00856409" w:rsidRPr="00E81DE4">
              <w:rPr>
                <w:b w:val="0"/>
                <w:bCs/>
                <w:i w:val="0"/>
                <w:sz w:val="20"/>
                <w:szCs w:val="20"/>
                <w:lang w:val="fr-CH"/>
              </w:rPr>
              <w:t xml:space="preserve"> </w:t>
            </w:r>
            <w:r w:rsidRPr="00E81DE4">
              <w:rPr>
                <w:b w:val="0"/>
                <w:bCs/>
                <w:i w:val="0"/>
                <w:sz w:val="20"/>
                <w:szCs w:val="20"/>
                <w:lang w:val="fr-CH"/>
              </w:rPr>
              <w:t>:</w:t>
            </w:r>
            <w:r w:rsidR="00856409" w:rsidRPr="00E81DE4">
              <w:rPr>
                <w:b w:val="0"/>
                <w:bCs/>
                <w:i w:val="0"/>
                <w:sz w:val="20"/>
                <w:szCs w:val="20"/>
                <w:lang w:val="fr-CH"/>
              </w:rPr>
              <w:br/>
            </w:r>
            <w:r w:rsidRPr="00E81DE4">
              <w:rPr>
                <w:b w:val="0"/>
                <w:bCs/>
                <w:i w:val="0"/>
                <w:sz w:val="20"/>
                <w:szCs w:val="20"/>
                <w:lang w:val="fr-CH"/>
              </w:rPr>
              <w:t>Article 21</w:t>
            </w:r>
            <w:r w:rsidR="00856409" w:rsidRPr="00E81DE4">
              <w:rPr>
                <w:b w:val="0"/>
                <w:bCs/>
                <w:i w:val="0"/>
                <w:sz w:val="20"/>
                <w:szCs w:val="20"/>
                <w:lang w:val="fr-CH"/>
              </w:rPr>
              <w:br/>
            </w:r>
            <w:r w:rsidRPr="00E81DE4">
              <w:rPr>
                <w:b w:val="0"/>
                <w:bCs/>
                <w:i w:val="0"/>
                <w:sz w:val="20"/>
                <w:szCs w:val="20"/>
                <w:lang w:val="fr-CH"/>
              </w:rPr>
              <w:t>Article 22</w:t>
            </w:r>
          </w:p>
        </w:tc>
        <w:tc>
          <w:tcPr>
            <w:tcW w:w="2268" w:type="dxa"/>
            <w:tcBorders>
              <w:bottom w:val="single" w:sz="12" w:space="0" w:color="auto"/>
            </w:tcBorders>
            <w:shd w:val="clear" w:color="auto" w:fill="auto"/>
          </w:tcPr>
          <w:p w14:paraId="34731124" w14:textId="77777777" w:rsidR="0089072C" w:rsidRPr="00E81DE4" w:rsidRDefault="0089072C" w:rsidP="00E81DE4">
            <w:pPr>
              <w:pStyle w:val="CCDConvListContents"/>
              <w:spacing w:before="40" w:after="120" w:line="240" w:lineRule="atLeast"/>
              <w:rPr>
                <w:sz w:val="20"/>
                <w:szCs w:val="20"/>
                <w:lang w:val="fr-CH"/>
              </w:rPr>
            </w:pPr>
            <w:r w:rsidRPr="00E81DE4">
              <w:rPr>
                <w:sz w:val="20"/>
                <w:szCs w:val="20"/>
                <w:lang w:val="fr-CH"/>
              </w:rPr>
              <w:t>Rapport initial</w:t>
            </w:r>
            <w:r w:rsidR="00856409" w:rsidRPr="00E81DE4">
              <w:rPr>
                <w:sz w:val="20"/>
                <w:szCs w:val="20"/>
                <w:lang w:val="fr-CH"/>
              </w:rPr>
              <w:t xml:space="preserve"> </w:t>
            </w:r>
            <w:r w:rsidRPr="00E81DE4">
              <w:rPr>
                <w:sz w:val="20"/>
                <w:szCs w:val="20"/>
                <w:lang w:val="fr-CH"/>
              </w:rPr>
              <w:t>: 2009</w:t>
            </w:r>
            <w:r w:rsidR="00856409" w:rsidRPr="00E81DE4">
              <w:rPr>
                <w:sz w:val="20"/>
                <w:szCs w:val="20"/>
                <w:lang w:val="fr-CH"/>
              </w:rPr>
              <w:br/>
            </w:r>
            <w:r w:rsidRPr="00E81DE4">
              <w:rPr>
                <w:sz w:val="20"/>
                <w:szCs w:val="20"/>
                <w:lang w:val="fr-CH"/>
              </w:rPr>
              <w:t>Deuxième rapport</w:t>
            </w:r>
            <w:r w:rsidR="00856409" w:rsidRPr="00E81DE4">
              <w:rPr>
                <w:sz w:val="20"/>
                <w:szCs w:val="20"/>
                <w:lang w:val="fr-CH"/>
              </w:rPr>
              <w:t xml:space="preserve"> </w:t>
            </w:r>
            <w:r w:rsidRPr="00E81DE4">
              <w:rPr>
                <w:sz w:val="20"/>
                <w:szCs w:val="20"/>
                <w:lang w:val="fr-CH"/>
              </w:rPr>
              <w:t>: 2017</w:t>
            </w:r>
          </w:p>
        </w:tc>
      </w:tr>
    </w:tbl>
    <w:p w14:paraId="736EE722" w14:textId="77777777" w:rsidR="00AB4F74" w:rsidRPr="00BD2C13" w:rsidRDefault="00AB4F74" w:rsidP="00AB4F74">
      <w:pPr>
        <w:pStyle w:val="SingleTxtG"/>
        <w:spacing w:before="120"/>
      </w:pPr>
      <w:bookmarkStart w:id="59" w:name="OLE_LINK37"/>
      <w:bookmarkStart w:id="60" w:name="OLE_LINK29"/>
      <w:r w:rsidRPr="00BD2C13">
        <w:t>78.</w:t>
      </w:r>
      <w:r w:rsidRPr="00BD2C13">
        <w:tab/>
        <w:t>L</w:t>
      </w:r>
      <w:r w:rsidR="00784444">
        <w:t>’</w:t>
      </w:r>
      <w:r w:rsidRPr="00BD2C13">
        <w:t>Irlande n</w:t>
      </w:r>
      <w:r w:rsidR="00784444">
        <w:t>’</w:t>
      </w:r>
      <w:r w:rsidRPr="00BD2C13">
        <w:t>a ni signé ni ratifié la Convention internationale sur la protection des droits de tous les travailleurs migrants et des membres de leur famille. Les droits des travailleurs migrants et des membres de leur famille n</w:t>
      </w:r>
      <w:r w:rsidR="00784444">
        <w:t>’</w:t>
      </w:r>
      <w:r w:rsidRPr="00BD2C13">
        <w:t>en sont pas moins largement protégés par la législation nationale en vigueur et la Constitution de l</w:t>
      </w:r>
      <w:r w:rsidR="00784444">
        <w:t>’</w:t>
      </w:r>
      <w:r w:rsidRPr="00BD2C13">
        <w:t>Irlande, ainsi que par le droit européen. Ils le sont également en vertu des obligations qui incombent à l</w:t>
      </w:r>
      <w:r w:rsidR="00784444">
        <w:t>’</w:t>
      </w:r>
      <w:r w:rsidRPr="00BD2C13">
        <w:t>Irlande au titre des instruments internationaux relatifs aux droits de l</w:t>
      </w:r>
      <w:r w:rsidR="00784444">
        <w:t>’</w:t>
      </w:r>
      <w:r w:rsidRPr="00BD2C13">
        <w:t>homme auxquels elle est partie, dont le Pacte international relatif aux droits civils et politiques et le Pacte international relatif aux droits économiques, sociaux et culturels.</w:t>
      </w:r>
    </w:p>
    <w:p w14:paraId="00A60595" w14:textId="77777777" w:rsidR="00AB4F74" w:rsidRPr="00BD2C13" w:rsidRDefault="00AB4F74" w:rsidP="00AB4F74">
      <w:pPr>
        <w:pStyle w:val="SingleTxtG"/>
      </w:pPr>
      <w:r w:rsidRPr="00BD2C13">
        <w:t>79.</w:t>
      </w:r>
      <w:r w:rsidRPr="00BD2C13">
        <w:tab/>
        <w:t>L</w:t>
      </w:r>
      <w:r w:rsidR="00784444">
        <w:t>’</w:t>
      </w:r>
      <w:r w:rsidRPr="00BD2C13">
        <w:t>Irlande ne prévoit pas pour l</w:t>
      </w:r>
      <w:r w:rsidR="00784444">
        <w:t>’</w:t>
      </w:r>
      <w:r w:rsidRPr="00BD2C13">
        <w:t>heure de signer ou de ratifier la Convention internationale sur la protection des droits de tous les travailleurs migrants et des membres de leur famille. La question reste toutefois à l</w:t>
      </w:r>
      <w:r w:rsidR="00784444">
        <w:t>’</w:t>
      </w:r>
      <w:r w:rsidRPr="00BD2C13">
        <w:t>étude, comme pour les autres instruments internationaux relatifs aux droits de l</w:t>
      </w:r>
      <w:r w:rsidR="00784444">
        <w:t>’</w:t>
      </w:r>
      <w:r w:rsidRPr="00BD2C13">
        <w:t>homme qu</w:t>
      </w:r>
      <w:r w:rsidR="00784444">
        <w:t>’</w:t>
      </w:r>
      <w:r w:rsidRPr="00BD2C13">
        <w:t>elle n</w:t>
      </w:r>
      <w:r w:rsidR="00784444">
        <w:t>’</w:t>
      </w:r>
      <w:r w:rsidRPr="00BD2C13">
        <w:t>a pas encore ratifiés.</w:t>
      </w:r>
      <w:bookmarkStart w:id="61" w:name="OLE_LINK15"/>
      <w:bookmarkStart w:id="62" w:name="OLE_LINK18"/>
      <w:bookmarkEnd w:id="59"/>
      <w:bookmarkEnd w:id="60"/>
    </w:p>
    <w:p w14:paraId="7C30CCEA" w14:textId="77777777" w:rsidR="00AB4F74" w:rsidRPr="00BD2C13" w:rsidRDefault="00AB4F74" w:rsidP="00AB4F74">
      <w:pPr>
        <w:pStyle w:val="SingleTxtG"/>
      </w:pPr>
      <w:bookmarkStart w:id="63" w:name="_Hlk37745637"/>
      <w:r w:rsidRPr="00BD2C13">
        <w:t>80.</w:t>
      </w:r>
      <w:r w:rsidR="009D61BB">
        <w:tab/>
      </w:r>
      <w:r w:rsidRPr="009D61BB">
        <w:t>L</w:t>
      </w:r>
      <w:r w:rsidR="00784444" w:rsidRPr="009D61BB">
        <w:t>’</w:t>
      </w:r>
      <w:r w:rsidRPr="009D61BB">
        <w:t>Irlande a signé la Convention relative aux droits des personnes handicapées lorsque celle-ci a été ouverte</w:t>
      </w:r>
      <w:r w:rsidRPr="00BD2C13">
        <w:t xml:space="preserve"> à la signature le 30 mars 2007</w:t>
      </w:r>
      <w:r w:rsidR="009D61BB">
        <w:t>, et elle l</w:t>
      </w:r>
      <w:r w:rsidR="00784444">
        <w:t>’</w:t>
      </w:r>
      <w:r w:rsidRPr="00BD2C13">
        <w:t>a ratifiée le 20 mars 2018</w:t>
      </w:r>
      <w:r w:rsidR="009D61BB">
        <w:t xml:space="preserve">. La Convention est </w:t>
      </w:r>
      <w:r w:rsidRPr="00BD2C13">
        <w:t xml:space="preserve">entrée en vigueur </w:t>
      </w:r>
      <w:r w:rsidR="009D61BB">
        <w:t xml:space="preserve">pour l’Irlande </w:t>
      </w:r>
      <w:r w:rsidRPr="00BD2C13">
        <w:t>le 19 avril 2018.</w:t>
      </w:r>
      <w:r w:rsidR="007A54A8">
        <w:t xml:space="preserve"> </w:t>
      </w:r>
      <w:bookmarkStart w:id="64" w:name="_Hlk31371561"/>
      <w:bookmarkEnd w:id="63"/>
      <w:r w:rsidRPr="00BD2C13">
        <w:t>Les progrès en cours et son application sont suivis en interne par les structures en place pour accompagner la mise en œuvre de la stratégie nationale d</w:t>
      </w:r>
      <w:r w:rsidR="00784444">
        <w:t>’</w:t>
      </w:r>
      <w:r w:rsidRPr="00BD2C13">
        <w:t>inclusion des personnes handicapées, publiée le 14 juillet 2017. L</w:t>
      </w:r>
      <w:r w:rsidR="00784444">
        <w:t>’</w:t>
      </w:r>
      <w:r w:rsidRPr="00BD2C13">
        <w:t>unité chargée de la politique de justice civile et d</w:t>
      </w:r>
      <w:r w:rsidR="00784444">
        <w:t>’</w:t>
      </w:r>
      <w:r w:rsidRPr="00BD2C13">
        <w:t>égalité du Ministère de la justice et de l</w:t>
      </w:r>
      <w:r w:rsidR="00784444">
        <w:t>’</w:t>
      </w:r>
      <w:r w:rsidRPr="00BD2C13">
        <w:t>égalité a été désignée comme point de contact en vertu de l</w:t>
      </w:r>
      <w:r w:rsidR="00784444">
        <w:t>’</w:t>
      </w:r>
      <w:r w:rsidRPr="00BD2C13">
        <w:t xml:space="preserve">article 33 de la Convention. Le suivi est encadré à la fois </w:t>
      </w:r>
      <w:r w:rsidR="00416154">
        <w:t xml:space="preserve">par </w:t>
      </w:r>
      <w:r w:rsidRPr="00BD2C13">
        <w:t>la Commission irlandaise des droits de l</w:t>
      </w:r>
      <w:r w:rsidR="00784444">
        <w:t>’</w:t>
      </w:r>
      <w:r w:rsidRPr="00BD2C13">
        <w:t>homme et de l</w:t>
      </w:r>
      <w:r w:rsidR="00784444">
        <w:t>’</w:t>
      </w:r>
      <w:r w:rsidRPr="00BD2C13">
        <w:t>égalité et par l</w:t>
      </w:r>
      <w:r w:rsidR="00784444">
        <w:t>’</w:t>
      </w:r>
      <w:r w:rsidRPr="00BD2C13">
        <w:t>Office national des personnes handicapées.</w:t>
      </w:r>
      <w:bookmarkEnd w:id="64"/>
    </w:p>
    <w:bookmarkEnd w:id="61"/>
    <w:bookmarkEnd w:id="62"/>
    <w:p w14:paraId="77321827" w14:textId="77777777" w:rsidR="00AB4F74" w:rsidRPr="00BD2C13" w:rsidRDefault="00AB4F74" w:rsidP="00AB4F74">
      <w:pPr>
        <w:pStyle w:val="SingleTxtG"/>
      </w:pPr>
      <w:r w:rsidRPr="00BD2C13">
        <w:t>81.</w:t>
      </w:r>
      <w:r w:rsidRPr="00BD2C13">
        <w:tab/>
        <w:t>L</w:t>
      </w:r>
      <w:r w:rsidR="00784444">
        <w:t>’</w:t>
      </w:r>
      <w:r w:rsidRPr="00BD2C13">
        <w:t>Irlande a signé la Convention internationale pour la protection de toutes les personnes contre les disparitions forcées le 29 mars 2007 et compte la ratifier dès que possible. Une législation devra probablement être adoptée au préalable. L</w:t>
      </w:r>
      <w:r w:rsidR="00784444">
        <w:t>’</w:t>
      </w:r>
      <w:r w:rsidRPr="00BD2C13">
        <w:t>Irlande réfléchit actuellement à sa position à cet égard. L</w:t>
      </w:r>
      <w:r w:rsidR="00784444">
        <w:t>’</w:t>
      </w:r>
      <w:r w:rsidRPr="00BD2C13">
        <w:t>adoption de toute législation nécessaire sera subordonnée aux autres priorités législatives.</w:t>
      </w:r>
    </w:p>
    <w:p w14:paraId="57D5922B" w14:textId="77777777" w:rsidR="00AB4F74" w:rsidRPr="00BD2C13" w:rsidRDefault="00AB4F74" w:rsidP="00AB4F74">
      <w:pPr>
        <w:pStyle w:val="SingleTxtG"/>
      </w:pPr>
      <w:r w:rsidRPr="00BD2C13">
        <w:t>82.</w:t>
      </w:r>
      <w:r w:rsidRPr="00BD2C13">
        <w:tab/>
        <w:t>Le Gouvernement a pour politique de garder activement à l</w:t>
      </w:r>
      <w:r w:rsidR="00784444">
        <w:t>’</w:t>
      </w:r>
      <w:r w:rsidRPr="00BD2C13">
        <w:t>étude les réserves de l</w:t>
      </w:r>
      <w:r w:rsidR="00784444">
        <w:t>’</w:t>
      </w:r>
      <w:r w:rsidRPr="00BD2C13">
        <w:t>Irlande aux instruments relatifs aux droits de l</w:t>
      </w:r>
      <w:r w:rsidR="00784444">
        <w:t>’</w:t>
      </w:r>
      <w:r w:rsidRPr="00BD2C13">
        <w:t>homme, conformément à la Déclaration et au Programme d</w:t>
      </w:r>
      <w:r w:rsidR="00784444">
        <w:t>’</w:t>
      </w:r>
      <w:r w:rsidRPr="00BD2C13">
        <w:t>action de Vienne. Pour l</w:t>
      </w:r>
      <w:r w:rsidR="00784444">
        <w:t>’</w:t>
      </w:r>
      <w:r w:rsidRPr="00BD2C13">
        <w:t>heure, l</w:t>
      </w:r>
      <w:r w:rsidR="00784444">
        <w:t>’</w:t>
      </w:r>
      <w:r w:rsidRPr="00BD2C13">
        <w:t>Irlande considère toutes ces réserves comme nécessaires.</w:t>
      </w:r>
    </w:p>
    <w:p w14:paraId="37555B28" w14:textId="77777777" w:rsidR="00AB4F74" w:rsidRPr="00BD2C13" w:rsidRDefault="00AB4F74" w:rsidP="00AB4F74">
      <w:pPr>
        <w:pStyle w:val="SingleTxtG"/>
      </w:pPr>
      <w:bookmarkStart w:id="65" w:name="_Hlk31371571"/>
      <w:r w:rsidRPr="00BD2C13">
        <w:t>83.</w:t>
      </w:r>
      <w:r w:rsidRPr="00BD2C13">
        <w:tab/>
        <w:t>L</w:t>
      </w:r>
      <w:r w:rsidR="00784444">
        <w:t>’</w:t>
      </w:r>
      <w:r w:rsidRPr="00BD2C13">
        <w:t>Irlande s</w:t>
      </w:r>
      <w:r w:rsidR="00784444">
        <w:t>’</w:t>
      </w:r>
      <w:r w:rsidRPr="00BD2C13">
        <w:t xml:space="preserve">est pleinement engagée à ratifier le protocole facultatif à la Convention des Nations </w:t>
      </w:r>
      <w:r w:rsidR="007E1D00">
        <w:t>U</w:t>
      </w:r>
      <w:r w:rsidRPr="00BD2C13">
        <w:t>nies contre la torture et autres peines ou traitements cruels, inhumains ou dégradants et un projet de loi est en cours d</w:t>
      </w:r>
      <w:r w:rsidR="00784444">
        <w:t>’</w:t>
      </w:r>
      <w:r w:rsidRPr="00BD2C13">
        <w:t>élaboration en vue de permettre sa ratification dans les meilleurs délais. Il est prévu que les grandes lignes du projet de loi soient arrêtées et soumises à l</w:t>
      </w:r>
      <w:r w:rsidR="00784444">
        <w:t>’</w:t>
      </w:r>
      <w:r w:rsidRPr="00BD2C13">
        <w:t>approbation du Gouvernement avant la fin de l</w:t>
      </w:r>
      <w:r w:rsidR="00784444">
        <w:t>’</w:t>
      </w:r>
      <w:r w:rsidRPr="00BD2C13">
        <w:t>année.</w:t>
      </w:r>
    </w:p>
    <w:bookmarkEnd w:id="65"/>
    <w:p w14:paraId="6096D7B5" w14:textId="77777777" w:rsidR="00AB4F74" w:rsidRPr="00BD2C13" w:rsidRDefault="00AB4F74" w:rsidP="00AB4F74">
      <w:pPr>
        <w:pStyle w:val="SingleTxtG"/>
      </w:pPr>
      <w:r w:rsidRPr="00BD2C13">
        <w:t>84.</w:t>
      </w:r>
      <w:r w:rsidRPr="00BD2C13">
        <w:tab/>
        <w:t>L</w:t>
      </w:r>
      <w:r w:rsidR="00784444">
        <w:t>’</w:t>
      </w:r>
      <w:r w:rsidRPr="00BD2C13">
        <w:t>Irlande a signé le Protocole facultatif se rapportant au Pacte international relatif aux droits économiques, sociaux et culturels le 23 mars 2012. Le Gouvernement examine actuellement la question de la ratification de cet instrument.</w:t>
      </w:r>
    </w:p>
    <w:p w14:paraId="15DE3437" w14:textId="77777777" w:rsidR="002E30F6" w:rsidRPr="00BD2C13" w:rsidRDefault="00AB4F74" w:rsidP="00AB4F74">
      <w:pPr>
        <w:pStyle w:val="SingleTxtG"/>
      </w:pPr>
      <w:r w:rsidRPr="00BD2C13">
        <w:t>85.</w:t>
      </w:r>
      <w:r w:rsidRPr="00BD2C13">
        <w:tab/>
        <w:t>L</w:t>
      </w:r>
      <w:r w:rsidR="00784444">
        <w:t>’</w:t>
      </w:r>
      <w:r w:rsidRPr="00BD2C13">
        <w:t>Irlande a adressé une invitation permanente à l</w:t>
      </w:r>
      <w:r w:rsidR="00784444">
        <w:t>’</w:t>
      </w:r>
      <w:r w:rsidRPr="00BD2C13">
        <w:t>ensemble des titulaires de mandat au titre des procédures spéciales de l</w:t>
      </w:r>
      <w:r w:rsidR="00784444">
        <w:t>’</w:t>
      </w:r>
      <w:r w:rsidRPr="00BD2C13">
        <w:t>ONU relatives aux droits de l</w:t>
      </w:r>
      <w:r w:rsidR="00784444">
        <w:t>’</w:t>
      </w:r>
      <w:r w:rsidRPr="00BD2C13">
        <w:t>homme. La Rapporteuse spéciale sur la vente et l</w:t>
      </w:r>
      <w:r w:rsidR="00784444">
        <w:t>’</w:t>
      </w:r>
      <w:r w:rsidRPr="00BD2C13">
        <w:t>exploitation sexuelle d</w:t>
      </w:r>
      <w:r w:rsidR="00784444">
        <w:t>’</w:t>
      </w:r>
      <w:r w:rsidRPr="00BD2C13">
        <w:t xml:space="preserve">enfants, </w:t>
      </w:r>
      <w:r w:rsidR="00441BDA">
        <w:t>y compris</w:t>
      </w:r>
      <w:r w:rsidRPr="00BD2C13">
        <w:t xml:space="preserve"> la prostitution des enfants et la pornographie mettant en scène des enfants et autres contenus montrant des violences sexuelles sur enfant, M</w:t>
      </w:r>
      <w:r w:rsidRPr="00BD2C13">
        <w:rPr>
          <w:vertAlign w:val="superscript"/>
        </w:rPr>
        <w:t>me</w:t>
      </w:r>
      <w:r w:rsidRPr="00BD2C13">
        <w:t> Maud de Boer-</w:t>
      </w:r>
      <w:proofErr w:type="spellStart"/>
      <w:r w:rsidRPr="00BD2C13">
        <w:t>Buquicchio</w:t>
      </w:r>
      <w:proofErr w:type="spellEnd"/>
      <w:r w:rsidRPr="00BD2C13">
        <w:t>, a effectué une visite en Irlande du 14 au 21 mai 2018.</w:t>
      </w:r>
    </w:p>
    <w:p w14:paraId="0885E652" w14:textId="77777777" w:rsidR="00AB4F74" w:rsidRPr="00BD2C13" w:rsidRDefault="00AB4F74" w:rsidP="00AB4F74">
      <w:pPr>
        <w:pStyle w:val="H1G"/>
      </w:pPr>
      <w:r w:rsidRPr="00BD2C13">
        <w:lastRenderedPageBreak/>
        <w:tab/>
        <w:t>B.</w:t>
      </w:r>
      <w:r w:rsidRPr="00BD2C13">
        <w:tab/>
        <w:t>Cadre juridique de la protection des droits de l</w:t>
      </w:r>
      <w:r w:rsidR="00784444">
        <w:t>’</w:t>
      </w:r>
      <w:r w:rsidRPr="00BD2C13">
        <w:t xml:space="preserve">homme </w:t>
      </w:r>
      <w:r w:rsidRPr="00BD2C13">
        <w:br/>
        <w:t>au niveau national</w:t>
      </w:r>
    </w:p>
    <w:p w14:paraId="13E17E15" w14:textId="77777777" w:rsidR="00AB4F74" w:rsidRPr="00BD2C13" w:rsidRDefault="00AB4F74" w:rsidP="00AB4F74">
      <w:pPr>
        <w:pStyle w:val="H23G"/>
      </w:pPr>
      <w:r w:rsidRPr="00BD2C13">
        <w:tab/>
        <w:t>1.</w:t>
      </w:r>
      <w:r w:rsidRPr="00BD2C13">
        <w:tab/>
        <w:t xml:space="preserve">Protection constitutionnelle </w:t>
      </w:r>
      <w:r w:rsidR="00D06199">
        <w:t>−</w:t>
      </w:r>
      <w:r w:rsidRPr="00BD2C13">
        <w:t xml:space="preserve"> droits énoncés expressément</w:t>
      </w:r>
    </w:p>
    <w:p w14:paraId="4CAE9823" w14:textId="77777777" w:rsidR="00AB4F74" w:rsidRPr="00BD2C13" w:rsidRDefault="00975D45" w:rsidP="00975D45">
      <w:pPr>
        <w:pStyle w:val="SingleTxtG"/>
      </w:pPr>
      <w:r w:rsidRPr="00BD2C13">
        <w:t>86.</w:t>
      </w:r>
      <w:r w:rsidRPr="00BD2C13">
        <w:tab/>
        <w:t>Un grand nombre de droits sont énoncés expressément dans la Constitution. Ils figurent principalement, mais non exclusivement, aux articles 40 à 44 (Droits fondamentaux). Il s</w:t>
      </w:r>
      <w:r w:rsidR="00784444">
        <w:t>’</w:t>
      </w:r>
      <w:r w:rsidRPr="00BD2C13">
        <w:t>agit notamment des droits ci-après : a) égalité devant la loi (art. 40.1) ; b) droit à la vie (art. 40.3.2 et 3) ; c) droit de tout individu à la protection de sa personne (art. 40.3.2)</w:t>
      </w:r>
      <w:r w:rsidR="007E1D00">
        <w:t> </w:t>
      </w:r>
      <w:r w:rsidRPr="00BD2C13">
        <w:t>; d)</w:t>
      </w:r>
      <w:r w:rsidR="007A54A8">
        <w:t xml:space="preserve"> </w:t>
      </w:r>
      <w:r w:rsidRPr="00BD2C13">
        <w:t xml:space="preserve">droit à sa réputation (art. 40.3.2) ; e) droit à la propriété, </w:t>
      </w:r>
      <w:r w:rsidR="00441BDA">
        <w:t>y compris</w:t>
      </w:r>
      <w:r w:rsidRPr="00BD2C13">
        <w:t xml:space="preserve"> le droit de posséder, de transférer, de léguer des biens ou d</w:t>
      </w:r>
      <w:r w:rsidR="00784444">
        <w:t>’</w:t>
      </w:r>
      <w:r w:rsidRPr="00BD2C13">
        <w:t>en hériter (art. 40.3.2, conjointement avec l</w:t>
      </w:r>
      <w:r w:rsidR="00784444">
        <w:t>’</w:t>
      </w:r>
      <w:r w:rsidRPr="00BD2C13">
        <w:t>article 43) ; f) liberté personnelle (art. 40.4) ; g) inviolabilité du domicile (art. 40.5) ; h) liberté d</w:t>
      </w:r>
      <w:r w:rsidR="00784444">
        <w:t>’</w:t>
      </w:r>
      <w:r w:rsidRPr="00BD2C13">
        <w:t>expression (art. 40.6.1 i)) ; i) liberté de réunion (art. 40.6.1 ii)) ; j) liberté d</w:t>
      </w:r>
      <w:r w:rsidR="00784444">
        <w:t>’</w:t>
      </w:r>
      <w:r w:rsidRPr="00BD2C13">
        <w:t>association (art. 40.6.1 iii)) ; k) droits de la famille (art. 41) ; l) droit des parents d</w:t>
      </w:r>
      <w:r w:rsidR="00784444">
        <w:t>’</w:t>
      </w:r>
      <w:r w:rsidRPr="00BD2C13">
        <w:t>assurer l</w:t>
      </w:r>
      <w:r w:rsidR="00784444">
        <w:t>’</w:t>
      </w:r>
      <w:r w:rsidRPr="00BD2C13">
        <w:t>éducation de leurs enfants (art. 42.1) ; m) droit des enfants de recevoir un niveau minimum d</w:t>
      </w:r>
      <w:r w:rsidR="00784444">
        <w:t>’</w:t>
      </w:r>
      <w:r w:rsidRPr="00BD2C13">
        <w:t>instruction (art. 42.3.2) ; n) liberté de conscience et droit de professer et de pratiquer librement une religion (art. 44) ; o) droit de vote (art. 12.2.2, 16.1 et 47.3) ; p) droit de se présenter aux élections (art. 12.4.1 et 16.1) ; q) droit de suffrage égalitaire (art. 16) ; r) droit à une justice administrée publiquement par des juges indépendants (art. 34 et 35) ; s) droit dans toute affaire pénale d</w:t>
      </w:r>
      <w:r w:rsidR="00784444">
        <w:t>’</w:t>
      </w:r>
      <w:r w:rsidRPr="00BD2C13">
        <w:t>être jugé conformément à la loi (art. 38.1) ; t) droit d</w:t>
      </w:r>
      <w:r w:rsidR="00784444">
        <w:t>’</w:t>
      </w:r>
      <w:r w:rsidRPr="00BD2C13">
        <w:t>être jugé par un jury (art. 38.5) ; u) droit à la non-rétroactivité de l</w:t>
      </w:r>
      <w:r w:rsidR="00784444">
        <w:t>’</w:t>
      </w:r>
      <w:r w:rsidRPr="00BD2C13">
        <w:t>application des lois (art. 15.5.1) ; v) droits de l</w:t>
      </w:r>
      <w:r w:rsidR="00784444">
        <w:t>’</w:t>
      </w:r>
      <w:r w:rsidRPr="00BD2C13">
        <w:t>enfant et devoir de l</w:t>
      </w:r>
      <w:r w:rsidR="00784444">
        <w:t>’</w:t>
      </w:r>
      <w:r w:rsidRPr="00BD2C13">
        <w:t>État de les protéger et de les faire valoir (art.</w:t>
      </w:r>
      <w:r w:rsidR="00242876" w:rsidRPr="00BD2C13">
        <w:t> </w:t>
      </w:r>
      <w:r w:rsidRPr="00BD2C13">
        <w:t>42A) ; et w) reconnaissance du mariage entre personnes de même sexe (art. 41.4).</w:t>
      </w:r>
    </w:p>
    <w:p w14:paraId="610F4C82" w14:textId="77777777" w:rsidR="00313D9D" w:rsidRPr="00BD2C13" w:rsidRDefault="00313D9D" w:rsidP="00313D9D">
      <w:pPr>
        <w:pStyle w:val="H23G"/>
      </w:pPr>
      <w:r w:rsidRPr="00BD2C13">
        <w:tab/>
        <w:t>2.</w:t>
      </w:r>
      <w:r w:rsidRPr="00BD2C13">
        <w:tab/>
        <w:t>Protection constitutionnelle − droits non expressément énoncés</w:t>
      </w:r>
    </w:p>
    <w:p w14:paraId="22F6F03E" w14:textId="77777777" w:rsidR="00313D9D" w:rsidRPr="00BD2C13" w:rsidRDefault="00313D9D" w:rsidP="00313D9D">
      <w:pPr>
        <w:pStyle w:val="SingleTxtG"/>
      </w:pPr>
      <w:r w:rsidRPr="00BD2C13">
        <w:t>87.</w:t>
      </w:r>
      <w:r w:rsidRPr="00BD2C13">
        <w:tab/>
        <w:t>La Constitution traite la question des droits personnels et dispose ce qui suit :</w:t>
      </w:r>
    </w:p>
    <w:p w14:paraId="766B4C44" w14:textId="77777777" w:rsidR="00313D9D" w:rsidRPr="00BD2C13" w:rsidRDefault="00313D9D" w:rsidP="00313D9D">
      <w:pPr>
        <w:pStyle w:val="SingleTxtG"/>
        <w:ind w:firstLine="567"/>
      </w:pPr>
      <w:r w:rsidRPr="00BD2C13">
        <w:t>Article 40.3.1</w:t>
      </w:r>
    </w:p>
    <w:p w14:paraId="0D59D36D" w14:textId="77777777" w:rsidR="00313D9D" w:rsidRPr="00BD2C13" w:rsidRDefault="00313D9D" w:rsidP="00313D9D">
      <w:pPr>
        <w:pStyle w:val="SingleTxtG"/>
        <w:ind w:firstLine="567"/>
      </w:pPr>
      <w:r w:rsidRPr="00BD2C13">
        <w:t>« L</w:t>
      </w:r>
      <w:r w:rsidR="00784444">
        <w:t>’</w:t>
      </w:r>
      <w:r w:rsidRPr="00BD2C13">
        <w:t>État s</w:t>
      </w:r>
      <w:r w:rsidR="00784444">
        <w:t>’</w:t>
      </w:r>
      <w:r w:rsidRPr="00BD2C13">
        <w:t>engage, dans ses lois, à respecter les droits de la personne et, dans la mesure du possible, à les défendre et à les faire valoir par ses lois ».</w:t>
      </w:r>
    </w:p>
    <w:p w14:paraId="4A10C6DA" w14:textId="77777777" w:rsidR="00313D9D" w:rsidRPr="00BD2C13" w:rsidRDefault="00313D9D" w:rsidP="00313D9D">
      <w:pPr>
        <w:pStyle w:val="SingleTxtG"/>
        <w:ind w:firstLine="567"/>
      </w:pPr>
      <w:r w:rsidRPr="00BD2C13">
        <w:t>Article 40.3.2</w:t>
      </w:r>
    </w:p>
    <w:p w14:paraId="00A97343" w14:textId="77777777" w:rsidR="00313D9D" w:rsidRPr="00BD2C13" w:rsidRDefault="00313D9D" w:rsidP="00313D9D">
      <w:pPr>
        <w:pStyle w:val="SingleTxtG"/>
        <w:ind w:firstLine="567"/>
      </w:pPr>
      <w:r w:rsidRPr="00BD2C13">
        <w:t>« L</w:t>
      </w:r>
      <w:r w:rsidR="00784444">
        <w:t>’</w:t>
      </w:r>
      <w:r w:rsidRPr="00BD2C13">
        <w:t>État doit, en particulier, par ses lois, préserver de la meilleure façon possible chaque citoyen de toute atteinte injuste à sa vie, sa personne, sa réputation et ses droits en matière de propriété, et redresser toute injustice qui serait commise contre lui ».</w:t>
      </w:r>
    </w:p>
    <w:p w14:paraId="7FB7918D" w14:textId="77777777" w:rsidR="00313D9D" w:rsidRPr="00BD2C13" w:rsidRDefault="00313D9D" w:rsidP="00313D9D">
      <w:pPr>
        <w:pStyle w:val="SingleTxtG"/>
      </w:pPr>
      <w:r w:rsidRPr="00BD2C13">
        <w:t>88.</w:t>
      </w:r>
      <w:r w:rsidRPr="00BD2C13">
        <w:tab/>
        <w:t>Dans l</w:t>
      </w:r>
      <w:r w:rsidR="00784444">
        <w:t>’</w:t>
      </w:r>
      <w:r w:rsidRPr="00BD2C13">
        <w:t>interprétation qu</w:t>
      </w:r>
      <w:r w:rsidR="00784444">
        <w:t>’</w:t>
      </w:r>
      <w:r w:rsidRPr="00BD2C13">
        <w:t>ils font des dispositions de la Constitution, les tribunaux reconnaissent un certain nombre de droits qui, bien que n</w:t>
      </w:r>
      <w:r w:rsidR="00784444">
        <w:t>’</w:t>
      </w:r>
      <w:r w:rsidRPr="00BD2C13">
        <w:t>étant pas énoncés expressément dans la Constitution, sont néanmoins prévus par celle-ci. Les plus importants de ces droits constitutionnels implicites sont les suivants :</w:t>
      </w:r>
    </w:p>
    <w:p w14:paraId="4057C19D" w14:textId="77777777" w:rsidR="00313D9D" w:rsidRPr="00BD2C13" w:rsidRDefault="00313D9D" w:rsidP="00313D9D">
      <w:pPr>
        <w:pStyle w:val="SingleTxtG"/>
        <w:ind w:firstLine="567"/>
      </w:pPr>
      <w:r w:rsidRPr="00BD2C13">
        <w:t>a)</w:t>
      </w:r>
      <w:r w:rsidRPr="00BD2C13">
        <w:tab/>
        <w:t>Le droit à l</w:t>
      </w:r>
      <w:r w:rsidR="00784444">
        <w:t>’</w:t>
      </w:r>
      <w:r w:rsidRPr="00BD2C13">
        <w:t>intégrité physique ;</w:t>
      </w:r>
    </w:p>
    <w:p w14:paraId="01AB7EED" w14:textId="77777777" w:rsidR="00313D9D" w:rsidRPr="00BD2C13" w:rsidRDefault="00313D9D" w:rsidP="00313D9D">
      <w:pPr>
        <w:pStyle w:val="SingleTxtG"/>
        <w:ind w:firstLine="567"/>
      </w:pPr>
      <w:r w:rsidRPr="00BD2C13">
        <w:t>b)</w:t>
      </w:r>
      <w:r w:rsidRPr="00BD2C13">
        <w:tab/>
        <w:t>Le droit de se déplacer à l</w:t>
      </w:r>
      <w:r w:rsidR="00784444">
        <w:t>’</w:t>
      </w:r>
      <w:r w:rsidRPr="00BD2C13">
        <w:t>intérieur du pays ;</w:t>
      </w:r>
    </w:p>
    <w:p w14:paraId="2B310A3D" w14:textId="77777777" w:rsidR="00313D9D" w:rsidRPr="00BD2C13" w:rsidRDefault="00313D9D" w:rsidP="00313D9D">
      <w:pPr>
        <w:pStyle w:val="SingleTxtG"/>
        <w:ind w:firstLine="567"/>
      </w:pPr>
      <w:r w:rsidRPr="00BD2C13">
        <w:t>c)</w:t>
      </w:r>
      <w:r w:rsidRPr="00BD2C13">
        <w:tab/>
        <w:t>Le droit de se rendre à l</w:t>
      </w:r>
      <w:r w:rsidR="00784444">
        <w:t>’</w:t>
      </w:r>
      <w:r w:rsidRPr="00BD2C13">
        <w:t>étranger ;</w:t>
      </w:r>
    </w:p>
    <w:p w14:paraId="13628C39" w14:textId="77777777" w:rsidR="00313D9D" w:rsidRPr="00BD2C13" w:rsidRDefault="00313D9D" w:rsidP="00313D9D">
      <w:pPr>
        <w:pStyle w:val="SingleTxtG"/>
        <w:ind w:firstLine="567"/>
      </w:pPr>
      <w:r w:rsidRPr="00BD2C13">
        <w:t>d)</w:t>
      </w:r>
      <w:r w:rsidRPr="00BD2C13">
        <w:tab/>
        <w:t>Le droit à ce que sa santé ne soit pas mise en danger et le droit de ne pas être soumis à la torture ni à des peines ou traitements inhumains ou dégradants ;</w:t>
      </w:r>
    </w:p>
    <w:p w14:paraId="46AA2AD1" w14:textId="77777777" w:rsidR="00313D9D" w:rsidRPr="00BD2C13" w:rsidRDefault="00313D9D" w:rsidP="00313D9D">
      <w:pPr>
        <w:pStyle w:val="SingleTxtG"/>
        <w:ind w:firstLine="567"/>
      </w:pPr>
      <w:r w:rsidRPr="00BD2C13">
        <w:t>e)</w:t>
      </w:r>
      <w:r w:rsidRPr="00BD2C13">
        <w:tab/>
        <w:t>Le droit d</w:t>
      </w:r>
      <w:r w:rsidR="00784444">
        <w:t>’</w:t>
      </w:r>
      <w:r w:rsidRPr="00BD2C13">
        <w:t>ester en justice et d</w:t>
      </w:r>
      <w:r w:rsidR="00784444">
        <w:t>’</w:t>
      </w:r>
      <w:r w:rsidRPr="00BD2C13">
        <w:t>avoir accès aux tribunaux ;</w:t>
      </w:r>
    </w:p>
    <w:p w14:paraId="0939720A" w14:textId="77777777" w:rsidR="00313D9D" w:rsidRPr="00BD2C13" w:rsidRDefault="00313D9D" w:rsidP="00313D9D">
      <w:pPr>
        <w:pStyle w:val="SingleTxtG"/>
        <w:ind w:firstLine="567"/>
      </w:pPr>
      <w:r w:rsidRPr="00BD2C13">
        <w:t>f)</w:t>
      </w:r>
      <w:r w:rsidRPr="00BD2C13">
        <w:tab/>
        <w:t>Le droit à l</w:t>
      </w:r>
      <w:r w:rsidR="00784444">
        <w:t>’</w:t>
      </w:r>
      <w:r w:rsidRPr="00BD2C13">
        <w:t>assistance d</w:t>
      </w:r>
      <w:r w:rsidR="00784444">
        <w:t>’</w:t>
      </w:r>
      <w:r w:rsidRPr="00BD2C13">
        <w:t>un conseil ;</w:t>
      </w:r>
    </w:p>
    <w:p w14:paraId="7BD8A280" w14:textId="77777777" w:rsidR="00313D9D" w:rsidRPr="00BD2C13" w:rsidRDefault="00313D9D" w:rsidP="00313D9D">
      <w:pPr>
        <w:pStyle w:val="SingleTxtG"/>
        <w:ind w:firstLine="567"/>
      </w:pPr>
      <w:r w:rsidRPr="00BD2C13">
        <w:t>g)</w:t>
      </w:r>
      <w:r w:rsidRPr="00BD2C13">
        <w:tab/>
        <w:t>Le droit de communiquer ;</w:t>
      </w:r>
    </w:p>
    <w:p w14:paraId="40DF0388" w14:textId="77777777" w:rsidR="00313D9D" w:rsidRPr="00BD2C13" w:rsidRDefault="00313D9D" w:rsidP="00313D9D">
      <w:pPr>
        <w:pStyle w:val="SingleTxtG"/>
        <w:ind w:firstLine="567"/>
      </w:pPr>
      <w:r w:rsidRPr="00BD2C13">
        <w:t>h)</w:t>
      </w:r>
      <w:r w:rsidRPr="00BD2C13">
        <w:tab/>
        <w:t>Le droit de se marier ;</w:t>
      </w:r>
    </w:p>
    <w:p w14:paraId="46975C23" w14:textId="77777777" w:rsidR="00313D9D" w:rsidRPr="00BD2C13" w:rsidRDefault="00313D9D" w:rsidP="00313D9D">
      <w:pPr>
        <w:pStyle w:val="SingleTxtG"/>
        <w:ind w:firstLine="567"/>
      </w:pPr>
      <w:r w:rsidRPr="00BD2C13">
        <w:t>i)</w:t>
      </w:r>
      <w:r w:rsidRPr="00BD2C13">
        <w:tab/>
        <w:t>Le droit à la vie privée dans le mariage ;</w:t>
      </w:r>
    </w:p>
    <w:p w14:paraId="37B67B7D" w14:textId="77777777" w:rsidR="00313D9D" w:rsidRPr="00BD2C13" w:rsidRDefault="00313D9D" w:rsidP="00313D9D">
      <w:pPr>
        <w:pStyle w:val="SingleTxtG"/>
        <w:ind w:firstLine="567"/>
      </w:pPr>
      <w:r w:rsidRPr="00BD2C13">
        <w:t>j)</w:t>
      </w:r>
      <w:r w:rsidRPr="00BD2C13">
        <w:tab/>
        <w:t>Le droit de procréer ;</w:t>
      </w:r>
    </w:p>
    <w:p w14:paraId="6EAC3CE7" w14:textId="77777777" w:rsidR="00313D9D" w:rsidRPr="00BD2C13" w:rsidRDefault="00313D9D" w:rsidP="00313D9D">
      <w:pPr>
        <w:pStyle w:val="SingleTxtG"/>
        <w:ind w:firstLine="567"/>
      </w:pPr>
      <w:r w:rsidRPr="00BD2C13">
        <w:t>k)</w:t>
      </w:r>
      <w:r w:rsidRPr="00BD2C13">
        <w:tab/>
        <w:t>Les droits de la mère célibataire à l</w:t>
      </w:r>
      <w:r w:rsidR="00784444">
        <w:t>’</w:t>
      </w:r>
      <w:r w:rsidRPr="00BD2C13">
        <w:t>égard de ses enfants ;</w:t>
      </w:r>
    </w:p>
    <w:p w14:paraId="60A96998" w14:textId="77777777" w:rsidR="00313D9D" w:rsidRPr="00BD2C13" w:rsidRDefault="00313D9D" w:rsidP="00313D9D">
      <w:pPr>
        <w:pStyle w:val="SingleTxtG"/>
        <w:ind w:firstLine="567"/>
      </w:pPr>
      <w:r w:rsidRPr="00BD2C13">
        <w:lastRenderedPageBreak/>
        <w:t>l)</w:t>
      </w:r>
      <w:r w:rsidRPr="00BD2C13">
        <w:tab/>
        <w:t>Le droit d</w:t>
      </w:r>
      <w:r w:rsidR="00784444">
        <w:t>’</w:t>
      </w:r>
      <w:r w:rsidRPr="00BD2C13">
        <w:t>être représenté par un conseil juridique dans certaines affaires pénales ; et</w:t>
      </w:r>
    </w:p>
    <w:p w14:paraId="5E44D9D6" w14:textId="77777777" w:rsidR="00313D9D" w:rsidRPr="00BD2C13" w:rsidRDefault="00313D9D" w:rsidP="00313D9D">
      <w:pPr>
        <w:pStyle w:val="SingleTxtG"/>
        <w:ind w:firstLine="567"/>
      </w:pPr>
      <w:r w:rsidRPr="00BD2C13">
        <w:t>m)</w:t>
      </w:r>
      <w:r w:rsidRPr="00BD2C13">
        <w:tab/>
        <w:t>Le droit à une procédure équitable.</w:t>
      </w:r>
    </w:p>
    <w:p w14:paraId="1265DCFB" w14:textId="77777777" w:rsidR="00313D9D" w:rsidRPr="00BD2C13" w:rsidRDefault="00313D9D" w:rsidP="00313D9D">
      <w:pPr>
        <w:pStyle w:val="H23G"/>
      </w:pPr>
      <w:r w:rsidRPr="00BD2C13">
        <w:tab/>
        <w:t>3.</w:t>
      </w:r>
      <w:r w:rsidRPr="00BD2C13">
        <w:tab/>
        <w:t>Constitution</w:t>
      </w:r>
      <w:r w:rsidR="00110426">
        <w:t>n</w:t>
      </w:r>
      <w:r w:rsidRPr="00BD2C13">
        <w:t>alité</w:t>
      </w:r>
    </w:p>
    <w:p w14:paraId="68DB54C9" w14:textId="77777777" w:rsidR="00313D9D" w:rsidRPr="00BD2C13" w:rsidRDefault="00313D9D" w:rsidP="00313D9D">
      <w:pPr>
        <w:pStyle w:val="SingleTxtG"/>
      </w:pPr>
      <w:r w:rsidRPr="00BD2C13">
        <w:t>89.</w:t>
      </w:r>
      <w:r w:rsidRPr="00BD2C13">
        <w:tab/>
        <w:t>Conformément à l</w:t>
      </w:r>
      <w:r w:rsidR="00784444">
        <w:t>’</w:t>
      </w:r>
      <w:r w:rsidRPr="00BD2C13">
        <w:t xml:space="preserve">article 34 de la Constitution, la </w:t>
      </w:r>
      <w:r w:rsidR="00D94234" w:rsidRPr="00D94234">
        <w:rPr>
          <w:i/>
        </w:rPr>
        <w:t>High Court</w:t>
      </w:r>
      <w:r w:rsidRPr="00BD2C13">
        <w:t xml:space="preserve"> et la Cour suprême sont habilitées à apprécier et à déterminer la validité d</w:t>
      </w:r>
      <w:r w:rsidR="00784444">
        <w:t>’</w:t>
      </w:r>
      <w:r w:rsidRPr="00BD2C13">
        <w:t>une loi en contrôlant sa constitutionnalité.</w:t>
      </w:r>
    </w:p>
    <w:p w14:paraId="4150876C" w14:textId="77777777" w:rsidR="00313D9D" w:rsidRPr="00BD2C13" w:rsidRDefault="00313D9D" w:rsidP="00313D9D">
      <w:pPr>
        <w:pStyle w:val="SingleTxtG"/>
        <w:rPr>
          <w:b/>
        </w:rPr>
      </w:pPr>
      <w:r w:rsidRPr="00BD2C13">
        <w:t>90.</w:t>
      </w:r>
      <w:r w:rsidRPr="00BD2C13">
        <w:tab/>
        <w:t>Dans le cas où un tribunal conclut qu</w:t>
      </w:r>
      <w:r w:rsidR="00784444">
        <w:t>’</w:t>
      </w:r>
      <w:r w:rsidRPr="00BD2C13">
        <w:t xml:space="preserve">une loi est inconstitutionnelle, celle-ci perd toute valeur juridique </w:t>
      </w:r>
      <w:r w:rsidRPr="00BD2C13">
        <w:rPr>
          <w:i/>
        </w:rPr>
        <w:t>ab initio</w:t>
      </w:r>
      <w:r w:rsidRPr="00BD2C13">
        <w:t>.</w:t>
      </w:r>
    </w:p>
    <w:p w14:paraId="4968235C" w14:textId="77777777" w:rsidR="00313D9D" w:rsidRPr="00BD2C13" w:rsidRDefault="00313D9D" w:rsidP="00313D9D">
      <w:pPr>
        <w:pStyle w:val="H23G"/>
      </w:pPr>
      <w:bookmarkStart w:id="66" w:name="_Toc17908542"/>
      <w:r w:rsidRPr="00BD2C13">
        <w:tab/>
        <w:t>4.</w:t>
      </w:r>
      <w:r w:rsidRPr="00BD2C13">
        <w:tab/>
        <w:t>Réform</w:t>
      </w:r>
      <w:bookmarkEnd w:id="66"/>
      <w:r w:rsidRPr="00BD2C13">
        <w:t>e constitutionnelle</w:t>
      </w:r>
    </w:p>
    <w:p w14:paraId="3B215431" w14:textId="77777777" w:rsidR="00313D9D" w:rsidRPr="00BD2C13" w:rsidRDefault="00313D9D" w:rsidP="00313D9D">
      <w:pPr>
        <w:pStyle w:val="SingleTxtG"/>
      </w:pPr>
      <w:r w:rsidRPr="00BD2C13">
        <w:t>91.</w:t>
      </w:r>
      <w:r w:rsidRPr="00BD2C13">
        <w:tab/>
        <w:t xml:space="preserve">À la suite du </w:t>
      </w:r>
      <w:proofErr w:type="spellStart"/>
      <w:r w:rsidRPr="00BD2C13">
        <w:t>référendum</w:t>
      </w:r>
      <w:proofErr w:type="spellEnd"/>
      <w:r w:rsidRPr="00BD2C13">
        <w:t xml:space="preserve"> constitutionnel du 22 mai 2015, l</w:t>
      </w:r>
      <w:r w:rsidR="00784444">
        <w:t>’</w:t>
      </w:r>
      <w:r w:rsidRPr="00BD2C13">
        <w:t>article 41 de la Constitution a été modifié pour ouvrir le mariage à tous les couples, sans distinction de sexe. L</w:t>
      </w:r>
      <w:r w:rsidR="00784444">
        <w:t>’</w:t>
      </w:r>
      <w:r w:rsidRPr="00BD2C13">
        <w:t>amendement constitutionnel a été rendu effectif par la loi de 2015 sur le mariage, qui est entrée en vigueur le 16</w:t>
      </w:r>
      <w:r w:rsidR="007F4712" w:rsidRPr="00BD2C13">
        <w:t> </w:t>
      </w:r>
      <w:r w:rsidRPr="00BD2C13">
        <w:t>novembre 2015.</w:t>
      </w:r>
    </w:p>
    <w:p w14:paraId="08A7B87E" w14:textId="77777777" w:rsidR="00313D9D" w:rsidRPr="00BD2C13" w:rsidRDefault="00313D9D" w:rsidP="00313D9D">
      <w:pPr>
        <w:pStyle w:val="SingleTxtG"/>
      </w:pPr>
      <w:r w:rsidRPr="00BD2C13">
        <w:t>92.</w:t>
      </w:r>
      <w:r w:rsidRPr="00BD2C13">
        <w:tab/>
        <w:t>Lors d</w:t>
      </w:r>
      <w:r w:rsidR="00784444">
        <w:t>’</w:t>
      </w:r>
      <w:r w:rsidRPr="00BD2C13">
        <w:t xml:space="preserve">un </w:t>
      </w:r>
      <w:proofErr w:type="spellStart"/>
      <w:r w:rsidRPr="00BD2C13">
        <w:t>référendum</w:t>
      </w:r>
      <w:proofErr w:type="spellEnd"/>
      <w:r w:rsidRPr="00BD2C13">
        <w:t xml:space="preserve"> tenu le 25</w:t>
      </w:r>
      <w:r w:rsidR="007F4712" w:rsidRPr="00BD2C13">
        <w:t> </w:t>
      </w:r>
      <w:r w:rsidRPr="00BD2C13">
        <w:t>mai 2018, les citoyens irlandais ont voté en faveur d</w:t>
      </w:r>
      <w:r w:rsidR="00784444">
        <w:t>’</w:t>
      </w:r>
      <w:r w:rsidRPr="00BD2C13">
        <w:t>une modification de la Constitution visant à légaliser l</w:t>
      </w:r>
      <w:r w:rsidR="00784444">
        <w:t>’</w:t>
      </w:r>
      <w:r w:rsidRPr="00BD2C13">
        <w:t>interruption volontaire de grossesse. Le projet de loi 2018 sur la santé (légalisation de l</w:t>
      </w:r>
      <w:r w:rsidR="00784444">
        <w:t>’</w:t>
      </w:r>
      <w:r w:rsidRPr="00BD2C13">
        <w:t xml:space="preserve">interruption volontaire de grossesse) a été adopté par les deux </w:t>
      </w:r>
      <w:r w:rsidR="00110426">
        <w:t>c</w:t>
      </w:r>
      <w:r w:rsidRPr="00BD2C13">
        <w:t>hambres de l</w:t>
      </w:r>
      <w:r w:rsidR="00784444">
        <w:t>’</w:t>
      </w:r>
      <w:proofErr w:type="spellStart"/>
      <w:r w:rsidRPr="00BD2C13">
        <w:t>Oireachtas</w:t>
      </w:r>
      <w:proofErr w:type="spellEnd"/>
      <w:r w:rsidRPr="00BD2C13">
        <w:t xml:space="preserve"> le 13</w:t>
      </w:r>
      <w:r w:rsidR="007F4712" w:rsidRPr="00BD2C13">
        <w:t> </w:t>
      </w:r>
      <w:r w:rsidRPr="00BD2C13">
        <w:t>décembre 2018 et promulgué le 21</w:t>
      </w:r>
      <w:r w:rsidR="007F4712" w:rsidRPr="00BD2C13">
        <w:t> </w:t>
      </w:r>
      <w:r w:rsidRPr="00BD2C13">
        <w:t>décembre 2018 pour donner effet à ce vote. Les services d</w:t>
      </w:r>
      <w:r w:rsidR="00784444">
        <w:t>’</w:t>
      </w:r>
      <w:r w:rsidRPr="00BD2C13">
        <w:t>interruption de grossesse ont débuté le 1</w:t>
      </w:r>
      <w:r w:rsidRPr="00BD2C13">
        <w:rPr>
          <w:vertAlign w:val="superscript"/>
        </w:rPr>
        <w:t>er</w:t>
      </w:r>
      <w:r w:rsidR="007F4712" w:rsidRPr="00BD2C13">
        <w:t> </w:t>
      </w:r>
      <w:r w:rsidRPr="00BD2C13">
        <w:t>janvier 2019.</w:t>
      </w:r>
    </w:p>
    <w:p w14:paraId="255D6156" w14:textId="77777777" w:rsidR="00313D9D" w:rsidRPr="00BD2C13" w:rsidRDefault="00313D9D" w:rsidP="00313D9D">
      <w:pPr>
        <w:pStyle w:val="SingleTxtG"/>
      </w:pPr>
      <w:r w:rsidRPr="00BD2C13">
        <w:t>93.</w:t>
      </w:r>
      <w:r w:rsidRPr="00BD2C13">
        <w:tab/>
        <w:t>Lors d</w:t>
      </w:r>
      <w:r w:rsidR="00784444">
        <w:t>’</w:t>
      </w:r>
      <w:r w:rsidRPr="00BD2C13">
        <w:t xml:space="preserve">un </w:t>
      </w:r>
      <w:proofErr w:type="spellStart"/>
      <w:r w:rsidRPr="00BD2C13">
        <w:t>référendum</w:t>
      </w:r>
      <w:proofErr w:type="spellEnd"/>
      <w:r w:rsidRPr="00BD2C13">
        <w:t xml:space="preserve"> tenu le 26</w:t>
      </w:r>
      <w:r w:rsidR="007F4712" w:rsidRPr="00BD2C13">
        <w:t> </w:t>
      </w:r>
      <w:r w:rsidRPr="00BD2C13">
        <w:t>octobre 2018, une majorité d</w:t>
      </w:r>
      <w:r w:rsidR="00784444">
        <w:t>’</w:t>
      </w:r>
      <w:r w:rsidRPr="00BD2C13">
        <w:t>Irlandais a voté pour l</w:t>
      </w:r>
      <w:r w:rsidR="00784444">
        <w:t>’</w:t>
      </w:r>
      <w:r w:rsidRPr="00BD2C13">
        <w:t>abrogation de la disposition de la Constitution érigeant le blasphème en délit.</w:t>
      </w:r>
    </w:p>
    <w:p w14:paraId="0A6BF67D" w14:textId="77777777" w:rsidR="00313D9D" w:rsidRPr="00BD2C13" w:rsidRDefault="00313D9D" w:rsidP="00313D9D">
      <w:pPr>
        <w:pStyle w:val="SingleTxtG"/>
      </w:pPr>
      <w:bookmarkStart w:id="67" w:name="_Hlk37746926"/>
      <w:r w:rsidRPr="00BD2C13">
        <w:t>94.</w:t>
      </w:r>
      <w:r w:rsidRPr="00BD2C13">
        <w:tab/>
        <w:t xml:space="preserve">Dans le cadre du </w:t>
      </w:r>
      <w:proofErr w:type="spellStart"/>
      <w:r w:rsidRPr="00BD2C13">
        <w:t>référendum</w:t>
      </w:r>
      <w:proofErr w:type="spellEnd"/>
      <w:r w:rsidRPr="00BD2C13">
        <w:t xml:space="preserve"> constitutionnel du 24</w:t>
      </w:r>
      <w:r w:rsidR="007F4712" w:rsidRPr="00BD2C13">
        <w:t> </w:t>
      </w:r>
      <w:r w:rsidRPr="00BD2C13">
        <w:t>mai 2019, les citoyens irlandais se sont prononcés en faveur de la modification de l</w:t>
      </w:r>
      <w:r w:rsidR="00784444">
        <w:t>’</w:t>
      </w:r>
      <w:r w:rsidRPr="00BD2C13">
        <w:t>article</w:t>
      </w:r>
      <w:r w:rsidR="007F4712" w:rsidRPr="00BD2C13">
        <w:t> </w:t>
      </w:r>
      <w:r w:rsidRPr="00BD2C13">
        <w:t xml:space="preserve">41.3 de la Constitution faisant obligation aux personnes de vivre séparément avant de demander le divorce et du remplacement du texte de </w:t>
      </w:r>
      <w:r w:rsidRPr="009D61BB">
        <w:t>l</w:t>
      </w:r>
      <w:r w:rsidR="00784444" w:rsidRPr="009D61BB">
        <w:t>’</w:t>
      </w:r>
      <w:r w:rsidRPr="009D61BB">
        <w:t>article</w:t>
      </w:r>
      <w:r w:rsidR="007F4712" w:rsidRPr="009D61BB">
        <w:t> </w:t>
      </w:r>
      <w:r w:rsidRPr="009D61BB">
        <w:t>4</w:t>
      </w:r>
      <w:r w:rsidR="009D61BB">
        <w:t>1</w:t>
      </w:r>
      <w:r w:rsidRPr="009D61BB">
        <w:t>.3.3</w:t>
      </w:r>
      <w:r w:rsidRPr="00BD2C13">
        <w:t xml:space="preserve"> </w:t>
      </w:r>
      <w:bookmarkEnd w:id="67"/>
      <w:r w:rsidRPr="00BD2C13">
        <w:t>traitant de la reconnaissance des divorces obtenus à l</w:t>
      </w:r>
      <w:r w:rsidR="00784444">
        <w:t>’</w:t>
      </w:r>
      <w:r w:rsidRPr="00BD2C13">
        <w:t>étranger.</w:t>
      </w:r>
    </w:p>
    <w:p w14:paraId="6ADBCF82" w14:textId="77777777" w:rsidR="007F4712" w:rsidRPr="00BD2C13" w:rsidRDefault="007F4712" w:rsidP="007F4712">
      <w:pPr>
        <w:pStyle w:val="H23G"/>
      </w:pPr>
      <w:bookmarkStart w:id="68" w:name="_Toc17908543"/>
      <w:r w:rsidRPr="00BD2C13">
        <w:tab/>
        <w:t>5.</w:t>
      </w:r>
      <w:r w:rsidRPr="00BD2C13">
        <w:tab/>
        <w:t>Preuve</w:t>
      </w:r>
      <w:bookmarkEnd w:id="68"/>
    </w:p>
    <w:p w14:paraId="0DB48D9D" w14:textId="77777777" w:rsidR="007F4712" w:rsidRPr="00BD2C13" w:rsidRDefault="007F4712" w:rsidP="007F4712">
      <w:pPr>
        <w:pStyle w:val="SingleTxtG"/>
      </w:pPr>
      <w:r w:rsidRPr="00BD2C13">
        <w:t>95.</w:t>
      </w:r>
      <w:r w:rsidRPr="00BD2C13">
        <w:tab/>
        <w:t>La règle générale en Irlande est que les preuves obtenues à la suite d</w:t>
      </w:r>
      <w:r w:rsidR="00784444">
        <w:t>’</w:t>
      </w:r>
      <w:r w:rsidRPr="00BD2C13">
        <w:t>une violation délibérée des droits constitutionnels d</w:t>
      </w:r>
      <w:r w:rsidR="00784444">
        <w:t>’</w:t>
      </w:r>
      <w:r w:rsidRPr="00BD2C13">
        <w:t>une personne sont irrecevables.</w:t>
      </w:r>
    </w:p>
    <w:p w14:paraId="62A97C5A" w14:textId="77777777" w:rsidR="007F4712" w:rsidRPr="00BD2C13" w:rsidRDefault="007F4712" w:rsidP="007F4712">
      <w:pPr>
        <w:pStyle w:val="H23G"/>
      </w:pPr>
      <w:r w:rsidRPr="00BD2C13">
        <w:tab/>
        <w:t>6.</w:t>
      </w:r>
      <w:r w:rsidRPr="00BD2C13">
        <w:tab/>
        <w:t>Contrôle juridictionnel</w:t>
      </w:r>
    </w:p>
    <w:p w14:paraId="1B146B01" w14:textId="77777777" w:rsidR="007F4712" w:rsidRPr="00BD2C13" w:rsidRDefault="007F4712" w:rsidP="007F4712">
      <w:pPr>
        <w:pStyle w:val="SingleTxtG"/>
      </w:pPr>
      <w:bookmarkStart w:id="69" w:name="_Ref8131977"/>
      <w:r w:rsidRPr="00BD2C13">
        <w:t>96.</w:t>
      </w:r>
      <w:r w:rsidRPr="00BD2C13">
        <w:tab/>
        <w:t>Le contrôle juridictionnel est un recours dont il est possible de se prévaloir à l</w:t>
      </w:r>
      <w:r w:rsidR="00784444">
        <w:t>’</w:t>
      </w:r>
      <w:r w:rsidRPr="00BD2C13">
        <w:t>encontre de personnes ou d</w:t>
      </w:r>
      <w:r w:rsidR="00784444">
        <w:t>’</w:t>
      </w:r>
      <w:r w:rsidRPr="00BD2C13">
        <w:t>organes qui exercent des fonctions publiques (</w:t>
      </w:r>
      <w:r w:rsidR="00441BDA">
        <w:t>y compris</w:t>
      </w:r>
      <w:r w:rsidRPr="00BD2C13">
        <w:t xml:space="preserve"> des juridictions inférieures) pour les empêcher d</w:t>
      </w:r>
      <w:r w:rsidR="00784444">
        <w:t>’</w:t>
      </w:r>
      <w:r w:rsidRPr="00BD2C13">
        <w:t>agir contrairement au droit ou les obliger à agir conformément à celui-ci et à se plier aux règles fondamentales de la justice naturelle et d</w:t>
      </w:r>
      <w:r w:rsidR="00784444">
        <w:t>’</w:t>
      </w:r>
      <w:r w:rsidRPr="00BD2C13">
        <w:t xml:space="preserve">une procédure équitable. Il englobe les anciens recours de la </w:t>
      </w:r>
      <w:proofErr w:type="spellStart"/>
      <w:r w:rsidRPr="00BD2C13">
        <w:rPr>
          <w:i/>
        </w:rPr>
        <w:t>common</w:t>
      </w:r>
      <w:proofErr w:type="spellEnd"/>
      <w:r w:rsidRPr="00BD2C13">
        <w:rPr>
          <w:i/>
        </w:rPr>
        <w:t xml:space="preserve"> </w:t>
      </w:r>
      <w:proofErr w:type="spellStart"/>
      <w:r w:rsidRPr="00BD2C13">
        <w:rPr>
          <w:i/>
        </w:rPr>
        <w:t>law</w:t>
      </w:r>
      <w:proofErr w:type="spellEnd"/>
      <w:r w:rsidRPr="00BD2C13">
        <w:t xml:space="preserve"> que sont le </w:t>
      </w:r>
      <w:proofErr w:type="spellStart"/>
      <w:r w:rsidRPr="00BD2C13">
        <w:rPr>
          <w:i/>
        </w:rPr>
        <w:t>certiorari</w:t>
      </w:r>
      <w:proofErr w:type="spellEnd"/>
      <w:r w:rsidRPr="00BD2C13">
        <w:t xml:space="preserve">, le </w:t>
      </w:r>
      <w:r w:rsidRPr="00BD2C13">
        <w:rPr>
          <w:i/>
        </w:rPr>
        <w:t>mandamus</w:t>
      </w:r>
      <w:r w:rsidRPr="00BD2C13">
        <w:t xml:space="preserve"> et la prohibition. Le système moderne de contrôle juridictionnel est un moyen rapide qui permet d</w:t>
      </w:r>
      <w:r w:rsidR="00784444">
        <w:t>’</w:t>
      </w:r>
      <w:r w:rsidRPr="00BD2C13">
        <w:t>obtenir une ordonnance afin d</w:t>
      </w:r>
      <w:r w:rsidR="00784444">
        <w:t>’</w:t>
      </w:r>
      <w:r w:rsidRPr="00BD2C13">
        <w:t>annuler une décision ou un acte émanant de l</w:t>
      </w:r>
      <w:r w:rsidR="00784444">
        <w:t>’</w:t>
      </w:r>
      <w:r w:rsidRPr="00BD2C13">
        <w:t>un des organes susmentionné, de l</w:t>
      </w:r>
      <w:r w:rsidR="00784444">
        <w:t>’</w:t>
      </w:r>
      <w:r w:rsidRPr="00BD2C13">
        <w:t>obliger à agir conformément au droit ou de l</w:t>
      </w:r>
      <w:r w:rsidR="00784444">
        <w:t>’</w:t>
      </w:r>
      <w:r w:rsidRPr="00BD2C13">
        <w:t>empêcher d</w:t>
      </w:r>
      <w:r w:rsidR="00784444">
        <w:t>’</w:t>
      </w:r>
      <w:r w:rsidRPr="00BD2C13">
        <w:t>agir contrairement à celui</w:t>
      </w:r>
      <w:r w:rsidRPr="00BD2C13">
        <w:noBreakHyphen/>
        <w:t>ci.</w:t>
      </w:r>
      <w:bookmarkEnd w:id="69"/>
    </w:p>
    <w:p w14:paraId="7959C4D3" w14:textId="77777777" w:rsidR="007F4712" w:rsidRPr="00BD2C13" w:rsidRDefault="007F4712" w:rsidP="00A95D2A">
      <w:pPr>
        <w:pStyle w:val="SingleTxtG"/>
      </w:pPr>
      <w:r w:rsidRPr="00BD2C13">
        <w:t>97.</w:t>
      </w:r>
      <w:r w:rsidRPr="00BD2C13">
        <w:tab/>
        <w:t>Quiconque souhaite contester la constitutionnalité de dispositions législatives peut déposer une demande de contrôle juridictionnel. Cette procédure n</w:t>
      </w:r>
      <w:r w:rsidR="00784444">
        <w:t>’</w:t>
      </w:r>
      <w:r w:rsidRPr="00BD2C13">
        <w:t>est toutefois pas réservée aux cas d</w:t>
      </w:r>
      <w:r w:rsidR="00784444">
        <w:t>’</w:t>
      </w:r>
      <w:r w:rsidRPr="00BD2C13">
        <w:t>irrégularité présumée au regard de la Constitution. Alors qu</w:t>
      </w:r>
      <w:r w:rsidR="00784444">
        <w:t>’</w:t>
      </w:r>
      <w:r w:rsidRPr="00BD2C13">
        <w:t>une loi de l</w:t>
      </w:r>
      <w:r w:rsidR="00784444">
        <w:t>’</w:t>
      </w:r>
      <w:proofErr w:type="spellStart"/>
      <w:r w:rsidRPr="00BD2C13">
        <w:t>Oireachtas</w:t>
      </w:r>
      <w:proofErr w:type="spellEnd"/>
      <w:r w:rsidRPr="00BD2C13">
        <w:t xml:space="preserve"> ne peut être invalidée que pour inconstitutionnalité, les règlements pris en application des lois peuvent être annulés également en cas d</w:t>
      </w:r>
      <w:r w:rsidR="00784444">
        <w:t>’</w:t>
      </w:r>
      <w:r w:rsidRPr="00BD2C13">
        <w:t>abus des pouvoirs conférés par la loi considérée, par exemple lorsque le règlement pris en application de la loi outrepasse ce qui est autorisé par la loi d</w:t>
      </w:r>
      <w:r w:rsidR="00784444">
        <w:t>’</w:t>
      </w:r>
      <w:r w:rsidRPr="00BD2C13">
        <w:t>habilitation. Les décisions d</w:t>
      </w:r>
      <w:r w:rsidR="00784444">
        <w:t>’</w:t>
      </w:r>
      <w:r w:rsidRPr="00BD2C13">
        <w:t>organes ou organismes publics et d</w:t>
      </w:r>
      <w:r w:rsidR="00784444">
        <w:t>’</w:t>
      </w:r>
      <w:r w:rsidRPr="00BD2C13">
        <w:t>autres organes ou organismes qui exercent des fonctions publiques peuvent elles aussi être contestées par la voie du contrôle juridictionnel. Ces organes et organismes doivent s</w:t>
      </w:r>
      <w:r w:rsidR="00784444">
        <w:t>’</w:t>
      </w:r>
      <w:r w:rsidRPr="00BD2C13">
        <w:t xml:space="preserve">en tenir à leurs attributions et se conformer aux règles fondamentales de la justice </w:t>
      </w:r>
      <w:r w:rsidRPr="00BD2C13">
        <w:lastRenderedPageBreak/>
        <w:t>naturelle et d</w:t>
      </w:r>
      <w:r w:rsidR="00784444">
        <w:t>’</w:t>
      </w:r>
      <w:r w:rsidRPr="00BD2C13">
        <w:t>une procédure équitable. Dans le cas contraire, une demande de contrôle juridictionnel peut être déposée, notamment pour les motifs suivants : illégalité, irrégularité de procédure ou non</w:t>
      </w:r>
      <w:r w:rsidR="00110426">
        <w:t>-</w:t>
      </w:r>
      <w:r w:rsidRPr="00BD2C13">
        <w:t>respect des règles d</w:t>
      </w:r>
      <w:r w:rsidR="00784444">
        <w:t>’</w:t>
      </w:r>
      <w:r w:rsidRPr="00BD2C13">
        <w:t>une procédure équitable et de la justice naturelle.</w:t>
      </w:r>
    </w:p>
    <w:p w14:paraId="03E0CD17" w14:textId="77777777" w:rsidR="007F4712" w:rsidRPr="00BD2C13" w:rsidRDefault="007F4712" w:rsidP="007F4712">
      <w:pPr>
        <w:pStyle w:val="SingleTxtG"/>
      </w:pPr>
      <w:bookmarkStart w:id="70" w:name="_Ref8132064"/>
      <w:r w:rsidRPr="00BD2C13">
        <w:t>98.</w:t>
      </w:r>
      <w:r w:rsidRPr="00BD2C13">
        <w:tab/>
        <w:t>En cas de violation des droits de l</w:t>
      </w:r>
      <w:r w:rsidR="00784444">
        <w:t>’</w:t>
      </w:r>
      <w:r w:rsidRPr="00BD2C13">
        <w:t>homme garantis par la Constitution de l</w:t>
      </w:r>
      <w:r w:rsidR="00784444">
        <w:t>’</w:t>
      </w:r>
      <w:r w:rsidRPr="00BD2C13">
        <w:t>Irlande, le droit irlandais prévoit les recours ci-après : contrôle juridictionnel de lois ou de projets de loi en vue de les déclarer inconstitutionnels, lorsque le texte constitue une violation d</w:t>
      </w:r>
      <w:r w:rsidR="00784444">
        <w:t>’</w:t>
      </w:r>
      <w:r w:rsidRPr="00BD2C13">
        <w:t>un droit protégé par la Constitution ou entraînerait une telle violation</w:t>
      </w:r>
      <w:r w:rsidR="00110426">
        <w:t> </w:t>
      </w:r>
      <w:r w:rsidRPr="00BD2C13">
        <w:t>; contrôle juridictionnel de dispositions réglementaires prises en application d</w:t>
      </w:r>
      <w:r w:rsidR="00784444">
        <w:t>’</w:t>
      </w:r>
      <w:r w:rsidRPr="00BD2C13">
        <w:t>une loi en vue de les déclarer inconstitutionnelles ou incompatibles avec la disposition de la loi qui autorise leur adoption</w:t>
      </w:r>
      <w:r w:rsidR="00110426">
        <w:t> </w:t>
      </w:r>
      <w:r w:rsidRPr="00BD2C13">
        <w:t xml:space="preserve">; contrôle juridictionnel de décisions administratives en vue de les déclarer inconstitutionnelles ou non conformes au droit, </w:t>
      </w:r>
      <w:r w:rsidR="00441BDA">
        <w:t>y compris</w:t>
      </w:r>
      <w:r w:rsidRPr="00BD2C13">
        <w:t xml:space="preserve"> aux règles de la justice naturelle. En ce qui concerne la loi de 2003 relative à la Convention européenne des droits de l</w:t>
      </w:r>
      <w:r w:rsidR="00784444">
        <w:t>’</w:t>
      </w:r>
      <w:r w:rsidRPr="00BD2C13">
        <w:t>homme, dans les cas où il n</w:t>
      </w:r>
      <w:r w:rsidR="00784444">
        <w:t>’</w:t>
      </w:r>
      <w:r w:rsidRPr="00BD2C13">
        <w:t>est pas possible d</w:t>
      </w:r>
      <w:r w:rsidR="00784444">
        <w:t>’</w:t>
      </w:r>
      <w:r w:rsidRPr="00BD2C13">
        <w:t xml:space="preserve">interpréter, selon le cas, la loi, le décret, la règle de </w:t>
      </w:r>
      <w:proofErr w:type="spellStart"/>
      <w:r w:rsidRPr="00BD2C13">
        <w:rPr>
          <w:i/>
        </w:rPr>
        <w:t>common</w:t>
      </w:r>
      <w:proofErr w:type="spellEnd"/>
      <w:r w:rsidRPr="00BD2C13">
        <w:rPr>
          <w:i/>
        </w:rPr>
        <w:t xml:space="preserve"> </w:t>
      </w:r>
      <w:proofErr w:type="spellStart"/>
      <w:r w:rsidRPr="00BD2C13">
        <w:rPr>
          <w:i/>
        </w:rPr>
        <w:t>law</w:t>
      </w:r>
      <w:proofErr w:type="spellEnd"/>
      <w:r w:rsidRPr="00BD2C13">
        <w:t>, etc., d</w:t>
      </w:r>
      <w:r w:rsidR="00784444">
        <w:t>’</w:t>
      </w:r>
      <w:r w:rsidRPr="00BD2C13">
        <w:t>une manière qui soit compatible avec la Convention, l</w:t>
      </w:r>
      <w:r w:rsidR="00784444">
        <w:t>’</w:t>
      </w:r>
      <w:r w:rsidRPr="00BD2C13">
        <w:t>article 5 de la loi susmentionnée prévoit de faire établir par les cours supérieures de justice une déclaration d</w:t>
      </w:r>
      <w:r w:rsidR="00784444">
        <w:t>’</w:t>
      </w:r>
      <w:r w:rsidRPr="00BD2C13">
        <w:t>incompatibilité à présenter aux deux chambres de l</w:t>
      </w:r>
      <w:r w:rsidR="00784444">
        <w:t>’</w:t>
      </w:r>
      <w:proofErr w:type="spellStart"/>
      <w:r w:rsidRPr="00BD2C13">
        <w:t>Oireachtas</w:t>
      </w:r>
      <w:proofErr w:type="spellEnd"/>
      <w:r w:rsidRPr="00BD2C13">
        <w:t>. En outre, le paragraphe 4 du même article prévoit un système d</w:t>
      </w:r>
      <w:r w:rsidR="00784444">
        <w:t>’</w:t>
      </w:r>
      <w:r w:rsidRPr="00BD2C13">
        <w:t>indemnisation à titre gracieux par l</w:t>
      </w:r>
      <w:r w:rsidR="00784444">
        <w:t>’</w:t>
      </w:r>
      <w:r w:rsidRPr="00BD2C13">
        <w:t>État dans les cas où une partie à la procédure concernée adresse par écrit à l</w:t>
      </w:r>
      <w:r w:rsidR="00784444">
        <w:t>’</w:t>
      </w:r>
      <w:r w:rsidRPr="00BD2C13">
        <w:rPr>
          <w:iCs/>
        </w:rPr>
        <w:t>Attorney</w:t>
      </w:r>
      <w:r w:rsidRPr="00BD2C13">
        <w:t> </w:t>
      </w:r>
      <w:proofErr w:type="spellStart"/>
      <w:r w:rsidRPr="00BD2C13">
        <w:rPr>
          <w:iCs/>
        </w:rPr>
        <w:t>general</w:t>
      </w:r>
      <w:proofErr w:type="spellEnd"/>
      <w:r w:rsidRPr="00BD2C13">
        <w:t xml:space="preserve"> une demande d</w:t>
      </w:r>
      <w:r w:rsidR="00784444">
        <w:t>’</w:t>
      </w:r>
      <w:r w:rsidRPr="00BD2C13">
        <w:t>indemnisation pour un préjudice, une perte ou un dommage subi par elle du fait de l</w:t>
      </w:r>
      <w:r w:rsidR="00784444">
        <w:t>’</w:t>
      </w:r>
      <w:r w:rsidRPr="00BD2C13">
        <w:t>incompatibilité en question.</w:t>
      </w:r>
      <w:bookmarkEnd w:id="70"/>
    </w:p>
    <w:p w14:paraId="62289756" w14:textId="77777777" w:rsidR="00A95D2A" w:rsidRPr="00BD2C13" w:rsidRDefault="00623E7A" w:rsidP="00623E7A">
      <w:pPr>
        <w:pStyle w:val="H23G"/>
      </w:pPr>
      <w:r w:rsidRPr="00BD2C13">
        <w:tab/>
      </w:r>
      <w:r w:rsidR="00A95D2A" w:rsidRPr="00BD2C13">
        <w:t>7.</w:t>
      </w:r>
      <w:r w:rsidR="00A95D2A" w:rsidRPr="00BD2C13">
        <w:tab/>
        <w:t>Législation, conventions et traités</w:t>
      </w:r>
    </w:p>
    <w:p w14:paraId="4A42AFFC" w14:textId="77777777" w:rsidR="00A95D2A" w:rsidRPr="00BD2C13" w:rsidRDefault="00A95D2A" w:rsidP="00A95D2A">
      <w:pPr>
        <w:pStyle w:val="SingleTxtG"/>
      </w:pPr>
      <w:r w:rsidRPr="00BD2C13">
        <w:t>99.</w:t>
      </w:r>
      <w:r w:rsidRPr="00BD2C13">
        <w:tab/>
        <w:t>L</w:t>
      </w:r>
      <w:r w:rsidR="00784444">
        <w:t>’</w:t>
      </w:r>
      <w:r w:rsidRPr="00BD2C13">
        <w:t>article 29.3 de la Constitution dispose que «</w:t>
      </w:r>
      <w:r w:rsidR="00623E7A" w:rsidRPr="00BD2C13">
        <w:t> </w:t>
      </w:r>
      <w:r w:rsidRPr="00BD2C13">
        <w:t>l</w:t>
      </w:r>
      <w:r w:rsidR="00784444">
        <w:t>’</w:t>
      </w:r>
      <w:r w:rsidRPr="00BD2C13">
        <w:t>Irlande accepte les principes généralement reconnus du droit international comme règle de conduite dans ses relations avec les autres États</w:t>
      </w:r>
      <w:r w:rsidR="00623E7A" w:rsidRPr="00BD2C13">
        <w:t> </w:t>
      </w:r>
      <w:r w:rsidRPr="00BD2C13">
        <w:t>». Ces principes incluent le droit international des droits de l</w:t>
      </w:r>
      <w:r w:rsidR="00784444">
        <w:t>’</w:t>
      </w:r>
      <w:r w:rsidRPr="00BD2C13">
        <w:t>homme dans la mesure où il fait partie du droit international coutumier. L</w:t>
      </w:r>
      <w:r w:rsidR="00784444">
        <w:t>’</w:t>
      </w:r>
      <w:r w:rsidRPr="00BD2C13">
        <w:t>Irlande a un système dualiste qui veut que les accords internationaux auxquels elle est partie ne sont pas intégrés dans le droit interne aussi longtemps que l</w:t>
      </w:r>
      <w:r w:rsidR="00784444">
        <w:t>’</w:t>
      </w:r>
      <w:proofErr w:type="spellStart"/>
      <w:r w:rsidRPr="00BD2C13">
        <w:t>Oireachtas</w:t>
      </w:r>
      <w:proofErr w:type="spellEnd"/>
      <w:r w:rsidRPr="00BD2C13">
        <w:t xml:space="preserve"> ne les a pas inscrits dans la législation.</w:t>
      </w:r>
    </w:p>
    <w:p w14:paraId="7B66260B" w14:textId="77777777" w:rsidR="00A95D2A" w:rsidRPr="00BD2C13" w:rsidRDefault="00A95D2A" w:rsidP="00A95D2A">
      <w:pPr>
        <w:pStyle w:val="SingleTxtG"/>
      </w:pPr>
      <w:r w:rsidRPr="00BD2C13">
        <w:t>100.</w:t>
      </w:r>
      <w:r w:rsidRPr="00BD2C13">
        <w:tab/>
        <w:t>L</w:t>
      </w:r>
      <w:r w:rsidR="00784444">
        <w:t>’</w:t>
      </w:r>
      <w:r w:rsidRPr="00BD2C13">
        <w:t>Irlande est partie aux instruments relatifs aux droits de l</w:t>
      </w:r>
      <w:r w:rsidR="00784444">
        <w:t>’</w:t>
      </w:r>
      <w:r w:rsidRPr="00BD2C13">
        <w:t>homme adoptés sous les auspices du Conseil de l</w:t>
      </w:r>
      <w:r w:rsidR="00784444">
        <w:t>’</w:t>
      </w:r>
      <w:r w:rsidRPr="00BD2C13">
        <w:t>Europe, notamment la Convention européenne des droits de l</w:t>
      </w:r>
      <w:r w:rsidR="00784444">
        <w:t>’</w:t>
      </w:r>
      <w:r w:rsidRPr="00BD2C13">
        <w:t>homme. Elle a donné effet à celle-ci avec l</w:t>
      </w:r>
      <w:r w:rsidR="00784444">
        <w:t>’</w:t>
      </w:r>
      <w:r w:rsidRPr="00BD2C13">
        <w:t>adoption, en 2003, de la loi relative à la Convention européenne des droits de l</w:t>
      </w:r>
      <w:r w:rsidR="00784444">
        <w:t>’</w:t>
      </w:r>
      <w:r w:rsidRPr="00BD2C13">
        <w:t>homme. Cette loi dispose que les droits garantis par la Convention peuvent être invoqués directement devant les tribunaux irlandais.</w:t>
      </w:r>
    </w:p>
    <w:p w14:paraId="18CE697D" w14:textId="77777777" w:rsidR="00A95D2A" w:rsidRPr="00BD2C13" w:rsidRDefault="00A95D2A" w:rsidP="00A95D2A">
      <w:pPr>
        <w:pStyle w:val="SingleTxtG"/>
      </w:pPr>
      <w:r w:rsidRPr="00BD2C13">
        <w:t>101.</w:t>
      </w:r>
      <w:r w:rsidRPr="00BD2C13">
        <w:tab/>
        <w:t>En tant qu</w:t>
      </w:r>
      <w:r w:rsidR="00784444">
        <w:t>’</w:t>
      </w:r>
      <w:r w:rsidRPr="00BD2C13">
        <w:t>État partie à la Convention européenne des droits de l</w:t>
      </w:r>
      <w:r w:rsidR="00784444">
        <w:t>’</w:t>
      </w:r>
      <w:r w:rsidRPr="00BD2C13">
        <w:t>homme, l</w:t>
      </w:r>
      <w:r w:rsidR="00784444">
        <w:t>’</w:t>
      </w:r>
      <w:r w:rsidRPr="00BD2C13">
        <w:t>Irlande est tenue de se conformer aux arrêts rendus par la Cour européenne des droits de l</w:t>
      </w:r>
      <w:r w:rsidR="00784444">
        <w:t>’</w:t>
      </w:r>
      <w:r w:rsidRPr="00BD2C13">
        <w:t>homme dans les affaires auxquelles elle est partie. À la suite de jugements lui donnant tort, elle a procédé dans plusieurs cas au versement d</w:t>
      </w:r>
      <w:r w:rsidR="00784444">
        <w:t>’</w:t>
      </w:r>
      <w:r w:rsidRPr="00BD2C13">
        <w:t xml:space="preserve">une juste réparation aux requérants, en application de la décision rendue. Sous la supervision du Comité des </w:t>
      </w:r>
      <w:r w:rsidR="00BB49A8">
        <w:t>M</w:t>
      </w:r>
      <w:r w:rsidRPr="00BD2C13">
        <w:t>inistres du Conseil de l</w:t>
      </w:r>
      <w:r w:rsidR="00784444">
        <w:t>’</w:t>
      </w:r>
      <w:r w:rsidRPr="00BD2C13">
        <w:t>Europe, le Gouvernement continuera de prendre toutes les mesures voulues pour exécuter les arrêts de la Cour.</w:t>
      </w:r>
    </w:p>
    <w:p w14:paraId="41B18CB1" w14:textId="77777777" w:rsidR="00A95D2A" w:rsidRPr="00BD2C13" w:rsidRDefault="00A95D2A" w:rsidP="00A95D2A">
      <w:pPr>
        <w:pStyle w:val="SingleTxtG"/>
      </w:pPr>
      <w:r w:rsidRPr="00BD2C13">
        <w:t>102.</w:t>
      </w:r>
      <w:r w:rsidRPr="00BD2C13">
        <w:tab/>
        <w:t>En tant qu</w:t>
      </w:r>
      <w:r w:rsidR="00784444">
        <w:t>’</w:t>
      </w:r>
      <w:r w:rsidRPr="00BD2C13">
        <w:t>État membre de l</w:t>
      </w:r>
      <w:r w:rsidR="00784444">
        <w:t>’</w:t>
      </w:r>
      <w:r w:rsidRPr="00BD2C13">
        <w:t>Union européenne, l</w:t>
      </w:r>
      <w:r w:rsidR="00784444">
        <w:t>’</w:t>
      </w:r>
      <w:r w:rsidRPr="00BD2C13">
        <w:t>Irlande est liée par la Charte des droits fondamentaux de l</w:t>
      </w:r>
      <w:r w:rsidR="00784444">
        <w:t>’</w:t>
      </w:r>
      <w:r w:rsidRPr="00BD2C13">
        <w:t>Union européenne. Celle-ci reconnaît les droits, libertés et principes spécifiques (économiques et sociaux, mais aussi civils et politiques) dont les citoyens européens peuvent se prévaloir lorsque les institutions de l</w:t>
      </w:r>
      <w:r w:rsidR="00784444">
        <w:t>’</w:t>
      </w:r>
      <w:r w:rsidRPr="00BD2C13">
        <w:t>Union et les États membres appliquent le droit communautaire. En décembre 2009, avec l</w:t>
      </w:r>
      <w:r w:rsidR="00784444">
        <w:t>’</w:t>
      </w:r>
      <w:r w:rsidRPr="00BD2C13">
        <w:t>entrée en vigueur du Traité de Lisbonne, la Charte a acquis le même caractère juridiquement contraignant que les traités de l</w:t>
      </w:r>
      <w:r w:rsidR="00784444">
        <w:t>’</w:t>
      </w:r>
      <w:r w:rsidRPr="00BD2C13">
        <w:t>UE.</w:t>
      </w:r>
    </w:p>
    <w:p w14:paraId="536F498D" w14:textId="77777777" w:rsidR="00A95D2A" w:rsidRPr="00BD2C13" w:rsidRDefault="00623E7A" w:rsidP="00623E7A">
      <w:pPr>
        <w:pStyle w:val="H23G"/>
      </w:pPr>
      <w:bookmarkStart w:id="71" w:name="_Toc17908546"/>
      <w:r w:rsidRPr="00BD2C13">
        <w:tab/>
      </w:r>
      <w:r w:rsidR="00A95D2A" w:rsidRPr="00BD2C13">
        <w:t>8.</w:t>
      </w:r>
      <w:r w:rsidR="00A95D2A" w:rsidRPr="00BD2C13">
        <w:tab/>
        <w:t xml:space="preserve">Institutions </w:t>
      </w:r>
      <w:bookmarkEnd w:id="71"/>
      <w:r w:rsidR="00A95D2A" w:rsidRPr="00BD2C13">
        <w:t>et mécanismes nationaux</w:t>
      </w:r>
    </w:p>
    <w:p w14:paraId="6F658B99" w14:textId="77777777" w:rsidR="00A95D2A" w:rsidRPr="00BD2C13" w:rsidRDefault="00A95D2A" w:rsidP="00A95D2A">
      <w:pPr>
        <w:pStyle w:val="SingleTxtG"/>
      </w:pPr>
      <w:r w:rsidRPr="00BD2C13">
        <w:t>103.</w:t>
      </w:r>
      <w:r w:rsidRPr="00BD2C13">
        <w:tab/>
        <w:t>Le Gouvernement reconnaît l</w:t>
      </w:r>
      <w:r w:rsidR="00784444">
        <w:t>’</w:t>
      </w:r>
      <w:r w:rsidRPr="00BD2C13">
        <w:t>importance des institutions indépendantes de traitement des plaintes, de suivi et d</w:t>
      </w:r>
      <w:r w:rsidR="00784444">
        <w:t>’</w:t>
      </w:r>
      <w:r w:rsidRPr="00BD2C13">
        <w:t>inspection et a établi celles qui sont décrites ci-après.</w:t>
      </w:r>
    </w:p>
    <w:p w14:paraId="25A96392" w14:textId="77777777" w:rsidR="00A95D2A" w:rsidRPr="00BD2C13" w:rsidRDefault="00A95D2A" w:rsidP="00623E7A">
      <w:pPr>
        <w:pStyle w:val="H4G"/>
      </w:pPr>
      <w:bookmarkStart w:id="72" w:name="_Toc17908547"/>
      <w:r w:rsidRPr="00BD2C13">
        <w:tab/>
      </w:r>
      <w:r w:rsidRPr="00BD2C13">
        <w:tab/>
      </w:r>
      <w:bookmarkEnd w:id="72"/>
      <w:r w:rsidRPr="00BD2C13">
        <w:t>Commission irlandaise des droits de l</w:t>
      </w:r>
      <w:r w:rsidR="00784444">
        <w:t>’</w:t>
      </w:r>
      <w:r w:rsidRPr="00BD2C13">
        <w:t>homme et de l</w:t>
      </w:r>
      <w:r w:rsidR="00784444">
        <w:t>’</w:t>
      </w:r>
      <w:r w:rsidRPr="00BD2C13">
        <w:t>égalité</w:t>
      </w:r>
    </w:p>
    <w:p w14:paraId="6E5D9C99" w14:textId="77777777" w:rsidR="00A95D2A" w:rsidRPr="00BD2C13" w:rsidRDefault="00A95D2A" w:rsidP="00A95D2A">
      <w:pPr>
        <w:pStyle w:val="SingleTxtG"/>
      </w:pPr>
      <w:bookmarkStart w:id="73" w:name="_Ref17889426"/>
      <w:bookmarkStart w:id="74" w:name="_Hlk31371596"/>
      <w:r w:rsidRPr="00BD2C13">
        <w:t>104.</w:t>
      </w:r>
      <w:r w:rsidRPr="00BD2C13">
        <w:tab/>
        <w:t>Créée le 1</w:t>
      </w:r>
      <w:r w:rsidRPr="00BD2C13">
        <w:rPr>
          <w:vertAlign w:val="superscript"/>
        </w:rPr>
        <w:t>er</w:t>
      </w:r>
      <w:r w:rsidR="00623E7A" w:rsidRPr="00BD2C13">
        <w:t> </w:t>
      </w:r>
      <w:r w:rsidRPr="00BD2C13">
        <w:t>novembre 2014, la Commission irlandaise des droits de l</w:t>
      </w:r>
      <w:r w:rsidR="00784444">
        <w:t>’</w:t>
      </w:r>
      <w:r w:rsidRPr="00BD2C13">
        <w:t>homme et de l</w:t>
      </w:r>
      <w:r w:rsidR="00784444">
        <w:t>’</w:t>
      </w:r>
      <w:r w:rsidRPr="00BD2C13">
        <w:t>égalité résulte de la fusion de la Commission des droits de l</w:t>
      </w:r>
      <w:r w:rsidR="00784444">
        <w:t>’</w:t>
      </w:r>
      <w:r w:rsidRPr="00BD2C13">
        <w:t>homme et de l</w:t>
      </w:r>
      <w:r w:rsidR="00784444">
        <w:t>’</w:t>
      </w:r>
      <w:r w:rsidRPr="00BD2C13">
        <w:t xml:space="preserve">Autorité pour </w:t>
      </w:r>
      <w:r w:rsidRPr="00BD2C13">
        <w:lastRenderedPageBreak/>
        <w:t>l</w:t>
      </w:r>
      <w:r w:rsidR="00784444">
        <w:t>’</w:t>
      </w:r>
      <w:r w:rsidRPr="00BD2C13">
        <w:t>égalité. La Commission est l</w:t>
      </w:r>
      <w:r w:rsidR="00784444">
        <w:t>’</w:t>
      </w:r>
      <w:r w:rsidRPr="00BD2C13">
        <w:t>institution nationale des droits de l</w:t>
      </w:r>
      <w:r w:rsidR="00784444">
        <w:t>’</w:t>
      </w:r>
      <w:r w:rsidRPr="00BD2C13">
        <w:t>homme et de l</w:t>
      </w:r>
      <w:r w:rsidR="00784444">
        <w:t>’</w:t>
      </w:r>
      <w:r w:rsidRPr="00BD2C13">
        <w:t>égalité en Irlande. Il s</w:t>
      </w:r>
      <w:r w:rsidR="00784444">
        <w:t>’</w:t>
      </w:r>
      <w:r w:rsidRPr="00BD2C13">
        <w:t>agit d</w:t>
      </w:r>
      <w:r w:rsidR="00784444">
        <w:t>’</w:t>
      </w:r>
      <w:r w:rsidRPr="00BD2C13">
        <w:t>un organe indépendant qui rend compte à l</w:t>
      </w:r>
      <w:r w:rsidR="00784444">
        <w:t>’</w:t>
      </w:r>
      <w:proofErr w:type="spellStart"/>
      <w:r w:rsidRPr="00BD2C13">
        <w:t>Oireachtas</w:t>
      </w:r>
      <w:proofErr w:type="spellEnd"/>
      <w:r w:rsidRPr="00BD2C13">
        <w:t xml:space="preserve"> et dont le mandat a été établi en vertu de la loi de 2014 sur la Commission irlandaise des droits de l</w:t>
      </w:r>
      <w:r w:rsidR="00784444">
        <w:t>’</w:t>
      </w:r>
      <w:r w:rsidRPr="00BD2C13">
        <w:t>homme et de l</w:t>
      </w:r>
      <w:r w:rsidR="00784444">
        <w:t>’</w:t>
      </w:r>
      <w:r w:rsidRPr="00BD2C13">
        <w:t>égalité. Conformément à cette loi, la Commission est investie d</w:t>
      </w:r>
      <w:r w:rsidR="00784444">
        <w:t>’</w:t>
      </w:r>
      <w:r w:rsidRPr="00BD2C13">
        <w:t>un large mandat</w:t>
      </w:r>
      <w:r w:rsidRPr="00BD2C13">
        <w:rPr>
          <w:b/>
          <w:bCs/>
        </w:rPr>
        <w:t xml:space="preserve"> </w:t>
      </w:r>
      <w:r w:rsidRPr="00BD2C13">
        <w:t>en matière de protection et de promotion des droits de l</w:t>
      </w:r>
      <w:r w:rsidR="00784444">
        <w:t>’</w:t>
      </w:r>
      <w:r w:rsidRPr="00BD2C13">
        <w:t>homme et de l</w:t>
      </w:r>
      <w:r w:rsidR="00784444">
        <w:t>’</w:t>
      </w:r>
      <w:r w:rsidRPr="00BD2C13">
        <w:t>égalité, allant d</w:t>
      </w:r>
      <w:r w:rsidR="00784444">
        <w:t>’</w:t>
      </w:r>
      <w:r w:rsidRPr="00BD2C13">
        <w:t>initiatives au niveau politique pour examiner l</w:t>
      </w:r>
      <w:r w:rsidR="00784444">
        <w:t>’</w:t>
      </w:r>
      <w:r w:rsidRPr="00BD2C13">
        <w:t>efficacité de la législation, des politiques et des pratiques en matière de droits de l</w:t>
      </w:r>
      <w:r w:rsidR="00784444">
        <w:t>’</w:t>
      </w:r>
      <w:r w:rsidRPr="00BD2C13">
        <w:t>homme et d</w:t>
      </w:r>
      <w:r w:rsidR="00784444">
        <w:t>’</w:t>
      </w:r>
      <w:r w:rsidRPr="00BD2C13">
        <w:t>égalité dans l</w:t>
      </w:r>
      <w:r w:rsidR="00784444">
        <w:t>’</w:t>
      </w:r>
      <w:r w:rsidRPr="00BD2C13">
        <w:t>État et au sein des organismes publics, à des actions auprès des collectivités et la société civile pour suivre la situation en matière de droits de l</w:t>
      </w:r>
      <w:r w:rsidR="00784444">
        <w:t>’</w:t>
      </w:r>
      <w:r w:rsidRPr="00BD2C13">
        <w:t>homme et d</w:t>
      </w:r>
      <w:r w:rsidR="00784444">
        <w:t>’</w:t>
      </w:r>
      <w:r w:rsidRPr="00BD2C13">
        <w:t>égalité sur le terrain et en rendre compte. Elle est juridiquement habilitée à octroyer une aide pratique, notamment une assistance juridique, pour permettre à chacun de revendiquer ses droits, et à participer (en tant qu</w:t>
      </w:r>
      <w:r w:rsidR="00784444">
        <w:t>’</w:t>
      </w:r>
      <w:proofErr w:type="spellStart"/>
      <w:r w:rsidRPr="00BD2C13">
        <w:rPr>
          <w:i/>
          <w:iCs/>
        </w:rPr>
        <w:t>amicus</w:t>
      </w:r>
      <w:proofErr w:type="spellEnd"/>
      <w:r w:rsidRPr="00BD2C13">
        <w:t xml:space="preserve"> </w:t>
      </w:r>
      <w:proofErr w:type="spellStart"/>
      <w:r w:rsidRPr="00BD2C13">
        <w:rPr>
          <w:i/>
          <w:iCs/>
        </w:rPr>
        <w:t>curiae</w:t>
      </w:r>
      <w:proofErr w:type="spellEnd"/>
      <w:r w:rsidRPr="00BD2C13">
        <w:t>) aux affaires traitant des droits de l</w:t>
      </w:r>
      <w:r w:rsidR="00784444">
        <w:t>’</w:t>
      </w:r>
      <w:r w:rsidRPr="00BD2C13">
        <w:t>homme et de l</w:t>
      </w:r>
      <w:r w:rsidR="00784444">
        <w:t>’</w:t>
      </w:r>
      <w:r w:rsidRPr="00BD2C13">
        <w:t>égalité portées devant les tribunaux.</w:t>
      </w:r>
      <w:bookmarkEnd w:id="73"/>
    </w:p>
    <w:p w14:paraId="184D7B24" w14:textId="77777777" w:rsidR="00A95D2A" w:rsidRPr="00BD2C13" w:rsidRDefault="00A95D2A" w:rsidP="00623E7A">
      <w:pPr>
        <w:pStyle w:val="H4G"/>
      </w:pPr>
      <w:bookmarkStart w:id="75" w:name="_Toc17908548"/>
      <w:bookmarkEnd w:id="74"/>
      <w:r w:rsidRPr="00BD2C13">
        <w:tab/>
      </w:r>
      <w:r w:rsidRPr="00BD2C13">
        <w:tab/>
      </w:r>
      <w:bookmarkEnd w:id="75"/>
      <w:r w:rsidRPr="00BD2C13">
        <w:t>Commission des relations professionnelles</w:t>
      </w:r>
    </w:p>
    <w:p w14:paraId="6F79DABC" w14:textId="77777777" w:rsidR="00A95D2A" w:rsidRPr="00BD2C13" w:rsidRDefault="00A95D2A" w:rsidP="00A95D2A">
      <w:pPr>
        <w:pStyle w:val="SingleTxtG"/>
      </w:pPr>
      <w:r w:rsidRPr="00BD2C13">
        <w:t>105.</w:t>
      </w:r>
      <w:r w:rsidRPr="00BD2C13">
        <w:tab/>
        <w:t>La Commission des relations professionnelles a été créée le 1</w:t>
      </w:r>
      <w:r w:rsidRPr="00BD2C13">
        <w:rPr>
          <w:vertAlign w:val="superscript"/>
        </w:rPr>
        <w:t>er</w:t>
      </w:r>
      <w:r w:rsidR="00623E7A" w:rsidRPr="00BD2C13">
        <w:t> </w:t>
      </w:r>
      <w:r w:rsidRPr="00BD2C13">
        <w:t>octobre 2015 en application de la loi de 2015 sur les relations de travail. Elle a repris les fonctions précédemment exercées par la Commission des relations de travail, l</w:t>
      </w:r>
      <w:r w:rsidR="00784444">
        <w:t>’</w:t>
      </w:r>
      <w:r w:rsidRPr="00BD2C13">
        <w:t>Autorité nationale pour le respect des droits en matière d</w:t>
      </w:r>
      <w:r w:rsidR="00784444">
        <w:t>’</w:t>
      </w:r>
      <w:r w:rsidRPr="00BD2C13">
        <w:t>emploi et les fonctions de première instance du Tribunal d</w:t>
      </w:r>
      <w:r w:rsidR="00784444">
        <w:t>’</w:t>
      </w:r>
      <w:r w:rsidRPr="00BD2C13">
        <w:t>appel pour l</w:t>
      </w:r>
      <w:r w:rsidR="00784444">
        <w:t>’</w:t>
      </w:r>
      <w:r w:rsidRPr="00BD2C13">
        <w:t>emploi. Les principales missions de la Commission comprennent la conciliation, la médiation et le conseil, l</w:t>
      </w:r>
      <w:r w:rsidR="00784444">
        <w:t>’</w:t>
      </w:r>
      <w:r w:rsidRPr="00BD2C13">
        <w:t>arbitrage des plaintes relatives à l</w:t>
      </w:r>
      <w:r w:rsidR="00784444">
        <w:t>’</w:t>
      </w:r>
      <w:r w:rsidRPr="00BD2C13">
        <w:t>emploi, à l</w:t>
      </w:r>
      <w:r w:rsidR="00784444">
        <w:t>’</w:t>
      </w:r>
      <w:r w:rsidRPr="00BD2C13">
        <w:t>égalité, aux retraites et à l</w:t>
      </w:r>
      <w:r w:rsidR="00784444">
        <w:t>’</w:t>
      </w:r>
      <w:r w:rsidRPr="00BD2C13">
        <w:t>égalité de traitement, la surveillance des conditions de travail, par l</w:t>
      </w:r>
      <w:r w:rsidR="00784444">
        <w:t>’</w:t>
      </w:r>
      <w:r w:rsidRPr="00BD2C13">
        <w:t>intermédiaire d</w:t>
      </w:r>
      <w:r w:rsidR="00784444">
        <w:t>’</w:t>
      </w:r>
      <w:r w:rsidRPr="00BD2C13">
        <w:t>une inspection spécialisée, afin de garantir le respect et l</w:t>
      </w:r>
      <w:r w:rsidR="00784444">
        <w:t>’</w:t>
      </w:r>
      <w:r w:rsidRPr="00BD2C13">
        <w:t>application de la législation sur les droits en matière d</w:t>
      </w:r>
      <w:r w:rsidR="00784444">
        <w:t>’</w:t>
      </w:r>
      <w:r w:rsidRPr="00BD2C13">
        <w:t>emploi, et la fourniture d</w:t>
      </w:r>
      <w:r w:rsidR="00784444">
        <w:t>’</w:t>
      </w:r>
      <w:r w:rsidRPr="00BD2C13">
        <w:t>informations au public en ce qui concerne la législation sur l</w:t>
      </w:r>
      <w:r w:rsidR="00784444">
        <w:t>’</w:t>
      </w:r>
      <w:r w:rsidRPr="00BD2C13">
        <w:t>emploi (autre que la loi sur l</w:t>
      </w:r>
      <w:r w:rsidR="00784444">
        <w:t>’</w:t>
      </w:r>
      <w:r w:rsidRPr="00BD2C13">
        <w:t>égalité dans l</w:t>
      </w:r>
      <w:r w:rsidR="00784444">
        <w:t>’</w:t>
      </w:r>
      <w:r w:rsidRPr="00BD2C13">
        <w:t>emploi)</w:t>
      </w:r>
      <w:r w:rsidRPr="00BB49A8">
        <w:rPr>
          <w:rStyle w:val="Appelnotedebasdep"/>
        </w:rPr>
        <w:footnoteReference w:id="3"/>
      </w:r>
      <w:r w:rsidRPr="00BD2C13">
        <w:rPr>
          <w:bCs/>
        </w:rPr>
        <w:t>.</w:t>
      </w:r>
    </w:p>
    <w:p w14:paraId="30C94327" w14:textId="77777777" w:rsidR="007F4712" w:rsidRPr="00BD2C13" w:rsidRDefault="00A95D2A" w:rsidP="00A95D2A">
      <w:pPr>
        <w:pStyle w:val="SingleTxtG"/>
      </w:pPr>
      <w:bookmarkStart w:id="76" w:name="_Ref17889477"/>
      <w:r w:rsidRPr="00BD2C13">
        <w:t>106.</w:t>
      </w:r>
      <w:r w:rsidRPr="00BD2C13">
        <w:tab/>
        <w:t>La Commission fournit les moyens grâce auxquels les plaintes de première instance relatives à la législation sur les droits du travail, l</w:t>
      </w:r>
      <w:r w:rsidR="00784444">
        <w:t>’</w:t>
      </w:r>
      <w:r w:rsidRPr="00BD2C13">
        <w:t>égalité dans l</w:t>
      </w:r>
      <w:r w:rsidR="00784444">
        <w:t>’</w:t>
      </w:r>
      <w:r w:rsidRPr="00BD2C13">
        <w:t>emploi et les relations professionnelles peuvent être examinées, résolues par une intervention précoce ou tranchées sur le fond, selon le cas. Elle peut être saisie de plaintes pour discrimination dans l</w:t>
      </w:r>
      <w:r w:rsidR="00784444">
        <w:t>’</w:t>
      </w:r>
      <w:r w:rsidRPr="00BD2C13">
        <w:t>emploi et l</w:t>
      </w:r>
      <w:r w:rsidR="00784444">
        <w:t>’</w:t>
      </w:r>
      <w:r w:rsidRPr="00BD2C13">
        <w:t>accès aux biens et services en vertu des lois de 1998 à 2015 sur l</w:t>
      </w:r>
      <w:r w:rsidR="00784444">
        <w:t>’</w:t>
      </w:r>
      <w:r w:rsidRPr="00BD2C13">
        <w:t>égalité dans l</w:t>
      </w:r>
      <w:r w:rsidR="00784444">
        <w:t>’</w:t>
      </w:r>
      <w:r w:rsidRPr="00BD2C13">
        <w:t>emploi et des lois de 2000 à 2015 sur l</w:t>
      </w:r>
      <w:r w:rsidR="00784444">
        <w:t>’</w:t>
      </w:r>
      <w:r w:rsidRPr="00BD2C13">
        <w:t>égalité de traitement. Les lois sur l</w:t>
      </w:r>
      <w:r w:rsidR="00784444">
        <w:t>’</w:t>
      </w:r>
      <w:r w:rsidRPr="00BD2C13">
        <w:t>égalité dans l</w:t>
      </w:r>
      <w:r w:rsidR="00784444">
        <w:t>’</w:t>
      </w:r>
      <w:r w:rsidRPr="00BD2C13">
        <w:t>emploi interdisent la discrimination au travail, notamment en ce qui concerne le recrutement et la promotion, la rémunération, les conditions de travail, la formation ou l</w:t>
      </w:r>
      <w:r w:rsidR="00784444">
        <w:t>’</w:t>
      </w:r>
      <w:r w:rsidRPr="00BD2C13">
        <w:t>expérience et le licenciement, et elles proscrivent le harcèlement, en particulier le harcèlement sexuel. Elles visent les neuf motifs de discrimination suivants : le genre, l</w:t>
      </w:r>
      <w:r w:rsidR="00784444">
        <w:t>’</w:t>
      </w:r>
      <w:r w:rsidRPr="00BD2C13">
        <w:t>état civil, la situation familiale, l</w:t>
      </w:r>
      <w:r w:rsidR="00784444">
        <w:t>’</w:t>
      </w:r>
      <w:r w:rsidRPr="00BD2C13">
        <w:t>âge, le handicap, l</w:t>
      </w:r>
      <w:r w:rsidR="00784444">
        <w:t>’</w:t>
      </w:r>
      <w:r w:rsidRPr="00BD2C13">
        <w:t>orientation sexuelle, la race, la religion et l</w:t>
      </w:r>
      <w:r w:rsidR="00784444">
        <w:t>’</w:t>
      </w:r>
      <w:r w:rsidRPr="00BD2C13">
        <w:t>appartenance à la communauté des gens du voyage. Les lois sur l</w:t>
      </w:r>
      <w:r w:rsidR="00784444">
        <w:t>’</w:t>
      </w:r>
      <w:r w:rsidRPr="00BD2C13">
        <w:t>égalité de traitement couvrent également ces neuf motifs et interdisent la discrimination dans la fourniture de biens et de services, le logement et l</w:t>
      </w:r>
      <w:r w:rsidR="00784444">
        <w:t>’</w:t>
      </w:r>
      <w:r w:rsidRPr="00BD2C13">
        <w:t>éducation. De plus, ces lois interdisent la discrimination dans l</w:t>
      </w:r>
      <w:r w:rsidR="00784444">
        <w:t>’</w:t>
      </w:r>
      <w:r w:rsidRPr="00BD2C13">
        <w:t>attribution d</w:t>
      </w:r>
      <w:r w:rsidR="00784444">
        <w:t>’</w:t>
      </w:r>
      <w:r w:rsidRPr="00BD2C13">
        <w:t>un logement résidentiel fondée sur le fait qu</w:t>
      </w:r>
      <w:r w:rsidR="00784444">
        <w:t>’</w:t>
      </w:r>
      <w:r w:rsidRPr="00BD2C13">
        <w:t>une personne bénéficie ou non d</w:t>
      </w:r>
      <w:r w:rsidR="00784444">
        <w:t>’</w:t>
      </w:r>
      <w:r w:rsidRPr="00BD2C13">
        <w:t>une allocation-logement, d</w:t>
      </w:r>
      <w:r w:rsidR="00784444">
        <w:t>’</w:t>
      </w:r>
      <w:r w:rsidRPr="00BD2C13">
        <w:t>une aide au logement ou de prestations sociales.</w:t>
      </w:r>
      <w:bookmarkEnd w:id="76"/>
    </w:p>
    <w:p w14:paraId="3421F587" w14:textId="77777777" w:rsidR="003B3158" w:rsidRPr="00BD2C13" w:rsidRDefault="003B3158" w:rsidP="003B3158">
      <w:pPr>
        <w:pStyle w:val="H4G"/>
      </w:pPr>
      <w:bookmarkStart w:id="77" w:name="_Toc17908549"/>
      <w:r w:rsidRPr="00BD2C13">
        <w:tab/>
      </w:r>
      <w:r w:rsidRPr="00BD2C13">
        <w:tab/>
      </w:r>
      <w:bookmarkStart w:id="78" w:name="_Hlk37747882"/>
      <w:bookmarkEnd w:id="77"/>
      <w:r w:rsidRPr="00BD2C13">
        <w:t>Direction des services de santé</w:t>
      </w:r>
      <w:bookmarkEnd w:id="78"/>
    </w:p>
    <w:p w14:paraId="15D50507" w14:textId="77777777" w:rsidR="003B3158" w:rsidRPr="00BD2C13" w:rsidRDefault="003B3158" w:rsidP="003B3158">
      <w:pPr>
        <w:pStyle w:val="SingleTxtG"/>
      </w:pPr>
      <w:r w:rsidRPr="00BD2C13">
        <w:t>107.</w:t>
      </w:r>
      <w:r w:rsidRPr="00BD2C13">
        <w:tab/>
        <w:t>La fourniture des services de santé est du ressort de la Direction des services de santé en vertu de la loi de 2004 sur la santé, qui dispose que la Direction est chargée de gérer et de fournir les services de santé et les services sociaux destinés aux particuliers ou d</w:t>
      </w:r>
      <w:r w:rsidR="00784444">
        <w:t>’</w:t>
      </w:r>
      <w:r w:rsidRPr="00BD2C13">
        <w:t>organiser la fourniture de tels services pour son compte. Avant sa création, les services en question relevaient des agences régionales de santé et de l</w:t>
      </w:r>
      <w:r w:rsidR="00784444">
        <w:t>’</w:t>
      </w:r>
      <w:r w:rsidRPr="00BD2C13">
        <w:t>agence régionale de santé de l</w:t>
      </w:r>
      <w:r w:rsidR="00784444">
        <w:t>’</w:t>
      </w:r>
      <w:r w:rsidRPr="00BD2C13">
        <w:t>Est, en vertu respectivement de la loi de 1970 sur la santé et de la loi de 1999 sur la santé portant création de l</w:t>
      </w:r>
      <w:r w:rsidR="00784444">
        <w:t>’</w:t>
      </w:r>
      <w:r w:rsidRPr="00BD2C13">
        <w:t xml:space="preserve">agence régionale de santé de </w:t>
      </w:r>
      <w:r w:rsidRPr="009D61BB">
        <w:t>l</w:t>
      </w:r>
      <w:r w:rsidR="00784444" w:rsidRPr="009D61BB">
        <w:t>’</w:t>
      </w:r>
      <w:r w:rsidRPr="009D61BB">
        <w:t>Est</w:t>
      </w:r>
      <w:r w:rsidR="009D61BB">
        <w:t>.</w:t>
      </w:r>
    </w:p>
    <w:p w14:paraId="282E8DE0" w14:textId="77777777" w:rsidR="003B3158" w:rsidRPr="00BD2C13" w:rsidRDefault="003B3158" w:rsidP="003B3158">
      <w:pPr>
        <w:pStyle w:val="H4G"/>
      </w:pPr>
      <w:bookmarkStart w:id="79" w:name="_Toc17908550"/>
      <w:r w:rsidRPr="00BD2C13">
        <w:tab/>
      </w:r>
      <w:r w:rsidRPr="00BD2C13">
        <w:tab/>
      </w:r>
      <w:bookmarkEnd w:id="79"/>
      <w:r w:rsidRPr="00BD2C13">
        <w:t>Agence pour l</w:t>
      </w:r>
      <w:r w:rsidR="00784444">
        <w:t>’</w:t>
      </w:r>
      <w:r w:rsidRPr="00BD2C13">
        <w:t>enfance et la famille</w:t>
      </w:r>
    </w:p>
    <w:p w14:paraId="1D0583EC" w14:textId="77777777" w:rsidR="003B3158" w:rsidRPr="00BD2C13" w:rsidRDefault="003B3158" w:rsidP="003B3158">
      <w:pPr>
        <w:pStyle w:val="SingleTxtG"/>
      </w:pPr>
      <w:r w:rsidRPr="00BD2C13">
        <w:t>108.</w:t>
      </w:r>
      <w:r w:rsidRPr="00BD2C13">
        <w:tab/>
        <w:t>La fourniture de services aux enfants et aux familles est du ressort de l</w:t>
      </w:r>
      <w:r w:rsidR="00784444">
        <w:t>’</w:t>
      </w:r>
      <w:r w:rsidRPr="00BD2C13">
        <w:t>Agence pour l</w:t>
      </w:r>
      <w:r w:rsidR="00784444">
        <w:t>’</w:t>
      </w:r>
      <w:r w:rsidRPr="00BD2C13">
        <w:t>enfance et la famille en vertu de la loi de 2013 portant création de l</w:t>
      </w:r>
      <w:r w:rsidR="00784444">
        <w:t>’</w:t>
      </w:r>
      <w:r w:rsidRPr="00BD2C13">
        <w:t xml:space="preserve">Agence pour </w:t>
      </w:r>
      <w:r w:rsidRPr="00BD2C13">
        <w:lastRenderedPageBreak/>
        <w:t>l</w:t>
      </w:r>
      <w:r w:rsidR="00784444">
        <w:t>’</w:t>
      </w:r>
      <w:r w:rsidRPr="00BD2C13">
        <w:t>enfance et la famille, laquelle dispose que l</w:t>
      </w:r>
      <w:r w:rsidR="00784444">
        <w:t>’</w:t>
      </w:r>
      <w:r w:rsidRPr="00BD2C13">
        <w:t>Agence est notamment chargée de gérer et de fournir des services destinés à appuyer et à favoriser l</w:t>
      </w:r>
      <w:r w:rsidR="00784444">
        <w:t>’</w:t>
      </w:r>
      <w:r w:rsidRPr="00BD2C13">
        <w:t>épanouissement, le bien-être et la protection de l</w:t>
      </w:r>
      <w:r w:rsidR="00784444">
        <w:t>’</w:t>
      </w:r>
      <w:r w:rsidRPr="00BD2C13">
        <w:t>enfance ou d</w:t>
      </w:r>
      <w:r w:rsidR="00784444">
        <w:t>’</w:t>
      </w:r>
      <w:r w:rsidRPr="00BD2C13">
        <w:t>organiser la fourniture de tels services pour son compte, d</w:t>
      </w:r>
      <w:r w:rsidR="00784444">
        <w:t>’</w:t>
      </w:r>
      <w:r w:rsidRPr="00BD2C13">
        <w:t>apporter une aide aux familles et de les encourager à fonctionner de façon positive, et de contribuer à la promotion de la scolarisation et de l</w:t>
      </w:r>
      <w:r w:rsidR="00784444">
        <w:t>’</w:t>
      </w:r>
      <w:r w:rsidRPr="00BD2C13">
        <w:t>assiduité scolaire. En outre, l</w:t>
      </w:r>
      <w:r w:rsidR="00784444">
        <w:t>’</w:t>
      </w:r>
      <w:r w:rsidRPr="00BD2C13">
        <w:t>Agence supervise et contrôle les services de garde d</w:t>
      </w:r>
      <w:r w:rsidR="00784444">
        <w:t>’</w:t>
      </w:r>
      <w:r w:rsidRPr="00BD2C13">
        <w:t>enfants d</w:t>
      </w:r>
      <w:r w:rsidR="00784444">
        <w:t>’</w:t>
      </w:r>
      <w:r w:rsidRPr="00BD2C13">
        <w:t>âge préscolaire et scolaire assurés par la collectivité ou le milieu associatif et le secteur privé.</w:t>
      </w:r>
    </w:p>
    <w:p w14:paraId="77A2BB64" w14:textId="77777777" w:rsidR="003B3158" w:rsidRPr="00BD2C13" w:rsidRDefault="003B3158" w:rsidP="003B3158">
      <w:pPr>
        <w:pStyle w:val="H4G"/>
      </w:pPr>
      <w:r w:rsidRPr="00BD2C13">
        <w:tab/>
      </w:r>
      <w:r w:rsidRPr="00BD2C13">
        <w:tab/>
        <w:t>Office de la santé et de la sécurité</w:t>
      </w:r>
    </w:p>
    <w:p w14:paraId="38FBD02F" w14:textId="77777777" w:rsidR="003B3158" w:rsidRPr="00BD2C13" w:rsidRDefault="003B3158" w:rsidP="003B3158">
      <w:pPr>
        <w:pStyle w:val="SingleTxtG"/>
      </w:pPr>
      <w:r w:rsidRPr="00BD2C13">
        <w:t>109.</w:t>
      </w:r>
      <w:r w:rsidRPr="00BD2C13">
        <w:tab/>
        <w:t>L</w:t>
      </w:r>
      <w:r w:rsidR="00784444">
        <w:t>’</w:t>
      </w:r>
      <w:r w:rsidRPr="00BD2C13">
        <w:t>Office de la santé et de la sécurité est l</w:t>
      </w:r>
      <w:r w:rsidR="00784444">
        <w:t>’</w:t>
      </w:r>
      <w:r w:rsidRPr="00BD2C13">
        <w:t xml:space="preserve">organisme national officiel chargé de faire appliquer la législation sur la santé et la sécurité au travail, </w:t>
      </w:r>
      <w:bookmarkStart w:id="80" w:name="_Hlk31371617"/>
      <w:r w:rsidRPr="00BD2C13">
        <w:t>ainsi que de contrôler les produits chimiques et leur mise sur le marché. L</w:t>
      </w:r>
      <w:r w:rsidR="00784444">
        <w:t>’</w:t>
      </w:r>
      <w:r w:rsidRPr="00BD2C13">
        <w:t>organisme national d</w:t>
      </w:r>
      <w:r w:rsidR="00784444">
        <w:t>’</w:t>
      </w:r>
      <w:r w:rsidRPr="00BD2C13">
        <w:t>accréditation fait également partie de l</w:t>
      </w:r>
      <w:r w:rsidR="00784444">
        <w:t>’</w:t>
      </w:r>
      <w:r w:rsidRPr="00BD2C13">
        <w:t>Office. Ses principales fonctions sont les suivantes :</w:t>
      </w:r>
    </w:p>
    <w:p w14:paraId="2F6E616F" w14:textId="77777777" w:rsidR="003B3158" w:rsidRPr="00BD2C13" w:rsidRDefault="003B3158" w:rsidP="003B3158">
      <w:pPr>
        <w:pStyle w:val="SingleTxtG"/>
        <w:ind w:firstLine="567"/>
      </w:pPr>
      <w:r w:rsidRPr="00BD2C13">
        <w:t>a)</w:t>
      </w:r>
      <w:r w:rsidRPr="00BD2C13">
        <w:tab/>
        <w:t>Réglementer les conditions de sécurité, de santé et de bien-être des personnes au travail et des personnes concernées par des activités professionnelles ;</w:t>
      </w:r>
    </w:p>
    <w:p w14:paraId="389CA84E" w14:textId="77777777" w:rsidR="003B3158" w:rsidRPr="00BD2C13" w:rsidRDefault="003B3158" w:rsidP="003B3158">
      <w:pPr>
        <w:pStyle w:val="SingleTxtG"/>
        <w:ind w:firstLine="567"/>
      </w:pPr>
      <w:r w:rsidRPr="00BD2C13">
        <w:t>b)</w:t>
      </w:r>
      <w:r w:rsidRPr="00BD2C13">
        <w:tab/>
        <w:t>Promouvoir l</w:t>
      </w:r>
      <w:r w:rsidR="00784444">
        <w:t>’</w:t>
      </w:r>
      <w:r w:rsidRPr="00BD2C13">
        <w:t>amélioration de la sécurité, de la santé et du bien-être des personnes au travail et des personnes concernées par des activités professionnelles ;</w:t>
      </w:r>
    </w:p>
    <w:p w14:paraId="6CF18F07" w14:textId="77777777" w:rsidR="003B3158" w:rsidRPr="00BD2C13" w:rsidRDefault="003B3158" w:rsidP="003B3158">
      <w:pPr>
        <w:pStyle w:val="SingleTxtG"/>
        <w:ind w:firstLine="567"/>
      </w:pPr>
      <w:r w:rsidRPr="00BD2C13">
        <w:t>c)</w:t>
      </w:r>
      <w:r w:rsidRPr="00BD2C13">
        <w:tab/>
        <w:t>Réglementer et promouvoir la sécurité de la production, de l</w:t>
      </w:r>
      <w:r w:rsidR="00784444">
        <w:t>’</w:t>
      </w:r>
      <w:r w:rsidRPr="00BD2C13">
        <w:t>utilisation, de la mise sur le marché, du commerce et du transport des produits chimiques ;</w:t>
      </w:r>
    </w:p>
    <w:p w14:paraId="0A08DF74" w14:textId="77777777" w:rsidR="003B3158" w:rsidRPr="00BD2C13" w:rsidRDefault="003B3158" w:rsidP="003B3158">
      <w:pPr>
        <w:pStyle w:val="SingleTxtG"/>
        <w:ind w:firstLine="567"/>
      </w:pPr>
      <w:r w:rsidRPr="00BD2C13">
        <w:t>d)</w:t>
      </w:r>
      <w:r w:rsidRPr="00BD2C13">
        <w:tab/>
        <w:t>Faire fonction d</w:t>
      </w:r>
      <w:r w:rsidR="00784444">
        <w:t>’</w:t>
      </w:r>
      <w:r w:rsidRPr="00BD2C13">
        <w:t>autorité de surveillance de l</w:t>
      </w:r>
      <w:r w:rsidR="00784444">
        <w:t>’</w:t>
      </w:r>
      <w:r w:rsidRPr="00BD2C13">
        <w:t>application de la législation pertinente du Marché unique européen ; et</w:t>
      </w:r>
    </w:p>
    <w:bookmarkEnd w:id="80"/>
    <w:p w14:paraId="11712BCD" w14:textId="77777777" w:rsidR="003B3158" w:rsidRPr="00BD2C13" w:rsidRDefault="003B3158" w:rsidP="003B3158">
      <w:pPr>
        <w:pStyle w:val="SingleTxtG"/>
        <w:ind w:firstLine="567"/>
      </w:pPr>
      <w:r w:rsidRPr="00BD2C13">
        <w:t>e)</w:t>
      </w:r>
      <w:r w:rsidRPr="00BD2C13">
        <w:tab/>
        <w:t>Faire fonction d</w:t>
      </w:r>
      <w:r w:rsidR="00784444">
        <w:t>’</w:t>
      </w:r>
      <w:r w:rsidRPr="00BD2C13">
        <w:t>organisme national d</w:t>
      </w:r>
      <w:r w:rsidR="00784444">
        <w:t>’</w:t>
      </w:r>
      <w:r w:rsidRPr="00BD2C13">
        <w:t>accréditation.</w:t>
      </w:r>
    </w:p>
    <w:p w14:paraId="3DAA15F7" w14:textId="77777777" w:rsidR="003B3158" w:rsidRPr="00BD2C13" w:rsidRDefault="003B3158" w:rsidP="003B3158">
      <w:pPr>
        <w:pStyle w:val="H4G"/>
      </w:pPr>
      <w:bookmarkStart w:id="81" w:name="_Toc17908552"/>
      <w:r w:rsidRPr="00BD2C13">
        <w:tab/>
      </w:r>
      <w:bookmarkEnd w:id="81"/>
      <w:r w:rsidR="00C460DA">
        <w:tab/>
      </w:r>
      <w:r w:rsidRPr="00BD2C13">
        <w:t>Office national des personnes handicapées</w:t>
      </w:r>
    </w:p>
    <w:p w14:paraId="41196AF0" w14:textId="77777777" w:rsidR="003B3158" w:rsidRPr="00BD2C13" w:rsidRDefault="003B3158" w:rsidP="003B3158">
      <w:pPr>
        <w:pStyle w:val="SingleTxtG"/>
      </w:pPr>
      <w:r w:rsidRPr="00BD2C13">
        <w:t>110.</w:t>
      </w:r>
      <w:r w:rsidRPr="00BD2C13">
        <w:tab/>
        <w:t>L</w:t>
      </w:r>
      <w:r w:rsidR="00784444">
        <w:t>’</w:t>
      </w:r>
      <w:r w:rsidRPr="00BD2C13">
        <w:t>Office national des personnes handicapées donne des conseils spécialisés au Ministère de la justice et de l</w:t>
      </w:r>
      <w:r w:rsidR="00784444">
        <w:t>’</w:t>
      </w:r>
      <w:r w:rsidRPr="00BD2C13">
        <w:t>égalité en ce qui concerne la politique et les pratiques relatives au handicap. Les organismes du secteur public sont tenus de promouvoir et de favoriser l</w:t>
      </w:r>
      <w:r w:rsidR="00784444">
        <w:t>’</w:t>
      </w:r>
      <w:r w:rsidRPr="00BD2C13">
        <w:t>emploi des personnes handicapées et de respecter le quota fixé par la loi, qui est de 3 % des effectifs. L</w:t>
      </w:r>
      <w:r w:rsidR="00784444">
        <w:t>’</w:t>
      </w:r>
      <w:r w:rsidRPr="00BD2C13">
        <w:t>Office veille au respect de ces règles par les organismes publics et il est habilité à recommander des mesures en cas de manquement.</w:t>
      </w:r>
    </w:p>
    <w:p w14:paraId="07285A99" w14:textId="77777777" w:rsidR="003B3158" w:rsidRPr="00BD2C13" w:rsidRDefault="003B3158" w:rsidP="003B3158">
      <w:pPr>
        <w:pStyle w:val="H4G"/>
      </w:pPr>
      <w:bookmarkStart w:id="82" w:name="_Toc17908553"/>
      <w:r w:rsidRPr="00BD2C13">
        <w:tab/>
      </w:r>
      <w:r w:rsidRPr="00BD2C13">
        <w:tab/>
      </w:r>
      <w:bookmarkEnd w:id="82"/>
      <w:r w:rsidRPr="00BD2C13">
        <w:t>Conseil de surveillance de la santé mentale (droit pénal)</w:t>
      </w:r>
    </w:p>
    <w:p w14:paraId="32285827" w14:textId="77777777" w:rsidR="003B3158" w:rsidRPr="00BD2C13" w:rsidRDefault="003B3158" w:rsidP="003B3158">
      <w:pPr>
        <w:pStyle w:val="SingleTxtG"/>
      </w:pPr>
      <w:r w:rsidRPr="00BD2C13">
        <w:t>111.</w:t>
      </w:r>
      <w:r w:rsidRPr="00BD2C13">
        <w:tab/>
        <w:t>Le Conseil de surveillance de la santé mentale (droit pénal) a été établi en application de la loi pénale de 2006 (Aliénation mentale), telle que modifiée par la loi pénale de 2010 (Aliénation mentale). Il a pour fonction de suivre la situation des personnes qui ont été placées en détention dans des centres spécialisés sur décision de justice parce qu</w:t>
      </w:r>
      <w:r w:rsidR="00784444">
        <w:t>’</w:t>
      </w:r>
      <w:r w:rsidRPr="00BD2C13">
        <w:t>elles ont été déclarées inaptes à suivre leur procès ou reconnues non coupables pour aliénation mentale. Le Conseil suit également la situation des personnes transférées d</w:t>
      </w:r>
      <w:r w:rsidR="00784444">
        <w:t>’</w:t>
      </w:r>
      <w:r w:rsidRPr="00BD2C13">
        <w:t>une prison vers un centre spécialisé pour y recevoir des soins ou un traitement. L</w:t>
      </w:r>
      <w:r w:rsidR="00784444">
        <w:t>’</w:t>
      </w:r>
      <w:r w:rsidRPr="00BD2C13">
        <w:t>Irlande ne compte à l</w:t>
      </w:r>
      <w:r w:rsidR="00784444">
        <w:t>’</w:t>
      </w:r>
      <w:r w:rsidRPr="00BD2C13">
        <w:t>heure actuelle qu</w:t>
      </w:r>
      <w:r w:rsidR="00784444">
        <w:t>’</w:t>
      </w:r>
      <w:r w:rsidRPr="00BD2C13">
        <w:t>un seul centre spécialisé, l</w:t>
      </w:r>
      <w:r w:rsidR="00784444">
        <w:t>’</w:t>
      </w:r>
      <w:r w:rsidRPr="00BD2C13">
        <w:t>hôpital psychiatrique central.</w:t>
      </w:r>
    </w:p>
    <w:p w14:paraId="50CAAF54" w14:textId="77777777" w:rsidR="003B3158" w:rsidRPr="00E63BE0" w:rsidRDefault="003B3158" w:rsidP="003B3158">
      <w:pPr>
        <w:pStyle w:val="H4G"/>
        <w:rPr>
          <w:spacing w:val="-2"/>
        </w:rPr>
      </w:pPr>
      <w:bookmarkStart w:id="83" w:name="_Toc17908554"/>
      <w:r w:rsidRPr="00BD2C13">
        <w:tab/>
      </w:r>
      <w:r w:rsidRPr="00BD2C13">
        <w:tab/>
      </w:r>
      <w:bookmarkEnd w:id="83"/>
      <w:r w:rsidRPr="00E63BE0">
        <w:rPr>
          <w:spacing w:val="-2"/>
        </w:rPr>
        <w:t>Médiateur, Commissaire à l</w:t>
      </w:r>
      <w:r w:rsidR="00784444">
        <w:rPr>
          <w:spacing w:val="-2"/>
        </w:rPr>
        <w:t>’</w:t>
      </w:r>
      <w:r w:rsidRPr="00E63BE0">
        <w:rPr>
          <w:spacing w:val="-2"/>
        </w:rPr>
        <w:t>information et Commissaire à l</w:t>
      </w:r>
      <w:r w:rsidR="00784444">
        <w:rPr>
          <w:spacing w:val="-2"/>
        </w:rPr>
        <w:t>’</w:t>
      </w:r>
      <w:r w:rsidRPr="00E63BE0">
        <w:rPr>
          <w:spacing w:val="-2"/>
        </w:rPr>
        <w:t>information</w:t>
      </w:r>
      <w:r w:rsidR="00E63BE0" w:rsidRPr="00E63BE0">
        <w:rPr>
          <w:spacing w:val="-2"/>
        </w:rPr>
        <w:t xml:space="preserve"> </w:t>
      </w:r>
      <w:r w:rsidRPr="00E63BE0">
        <w:rPr>
          <w:spacing w:val="-2"/>
        </w:rPr>
        <w:t>sur l</w:t>
      </w:r>
      <w:r w:rsidR="00784444">
        <w:rPr>
          <w:spacing w:val="-2"/>
        </w:rPr>
        <w:t>’</w:t>
      </w:r>
      <w:r w:rsidRPr="00E63BE0">
        <w:rPr>
          <w:spacing w:val="-2"/>
        </w:rPr>
        <w:t>environnement</w:t>
      </w:r>
    </w:p>
    <w:p w14:paraId="0AB4F738" w14:textId="77777777" w:rsidR="003B3158" w:rsidRPr="00BD2C13" w:rsidRDefault="003B3158" w:rsidP="003B3158">
      <w:pPr>
        <w:pStyle w:val="SingleTxtG"/>
      </w:pPr>
      <w:r w:rsidRPr="00BD2C13">
        <w:t>112.</w:t>
      </w:r>
      <w:r w:rsidRPr="00BD2C13">
        <w:tab/>
        <w:t>La législation portant création de la fonction de Médiateur, qui remonte à 1980, dispose que le Médiateur examine les plaintes visant des mesures administratives prises par les ministères, la Direction des services de santé, les hôpitaux publics ou les autorités locales. La loi de 2012 portant modification de la loi sur le Médiateur renforce les pouvoirs du Médiateur et étend le champ d</w:t>
      </w:r>
      <w:r w:rsidR="00784444">
        <w:t>’</w:t>
      </w:r>
      <w:r w:rsidRPr="00BD2C13">
        <w:t>application de la loi initiale à au moins 150 autres organismes publics, parmi lesquels l</w:t>
      </w:r>
      <w:r w:rsidR="00784444">
        <w:t>’</w:t>
      </w:r>
      <w:r w:rsidRPr="00BD2C13">
        <w:t>ensemble des établissements d</w:t>
      </w:r>
      <w:r w:rsidR="00784444">
        <w:t>’</w:t>
      </w:r>
      <w:r w:rsidRPr="00BD2C13">
        <w:t>enseignement supérieur. Les compétences du Médiateur ont été récemment étendues aux maisons de retraite médicalisées du secteur privé. Depuis le début de 2017, il est officiellement habilité à accepter les plaintes de personnes vivant dans des centres de prise en charge directe. Le</w:t>
      </w:r>
      <w:r w:rsidR="00E63BE0">
        <w:t> </w:t>
      </w:r>
      <w:r w:rsidRPr="00BD2C13">
        <w:t>Médiateur joue un rôle essentiel dans la défense des droits des citoyens dans leurs relations avec les administrations.</w:t>
      </w:r>
    </w:p>
    <w:p w14:paraId="5B7CE0AE" w14:textId="77777777" w:rsidR="003B3158" w:rsidRPr="00BD2C13" w:rsidRDefault="003B3158" w:rsidP="003B3158">
      <w:pPr>
        <w:pStyle w:val="SingleTxtG"/>
      </w:pPr>
      <w:r w:rsidRPr="00BD2C13">
        <w:lastRenderedPageBreak/>
        <w:t>113.</w:t>
      </w:r>
      <w:r w:rsidRPr="00BD2C13">
        <w:tab/>
        <w:t>S</w:t>
      </w:r>
      <w:r w:rsidR="00784444">
        <w:t>’</w:t>
      </w:r>
      <w:r w:rsidRPr="00BD2C13">
        <w:t>ils constituent deux entités distinctes au regard de la loi, le Bureau du Médiateur et le Bureau du Commissaire à l</w:t>
      </w:r>
      <w:r w:rsidR="00784444">
        <w:t>’</w:t>
      </w:r>
      <w:r w:rsidRPr="00BD2C13">
        <w:t>information sont dirigés par la même personne et fonctionnent de concert depuis la création du Bureau du Commissaire à l</w:t>
      </w:r>
      <w:r w:rsidR="00784444">
        <w:t>’</w:t>
      </w:r>
      <w:r w:rsidRPr="00BD2C13">
        <w:t>information en 1997. La même personne exerce également depuis 2007 la fonction de Commissaire à l</w:t>
      </w:r>
      <w:r w:rsidR="00784444">
        <w:t>’</w:t>
      </w:r>
      <w:r w:rsidRPr="00BD2C13">
        <w:t>information sur l</w:t>
      </w:r>
      <w:r w:rsidR="00784444">
        <w:t>’</w:t>
      </w:r>
      <w:r w:rsidRPr="00BD2C13">
        <w:t>environnement dans le cadre de la mise en œuvre, par l</w:t>
      </w:r>
      <w:r w:rsidR="00784444">
        <w:t>’</w:t>
      </w:r>
      <w:r w:rsidRPr="00BD2C13">
        <w:t>Irlande, de la Convention d</w:t>
      </w:r>
      <w:r w:rsidR="00784444">
        <w:t>’</w:t>
      </w:r>
      <w:r w:rsidRPr="00BD2C13">
        <w:t>Aarhus. À ce titre, elle examine sur demande les décisions des organismes publics relatives aux requêtes invoquant la liberté de l</w:t>
      </w:r>
      <w:r w:rsidR="00784444">
        <w:t>’</w:t>
      </w:r>
      <w:r w:rsidRPr="00BD2C13">
        <w:t>information et le libre accès à l</w:t>
      </w:r>
      <w:r w:rsidR="00784444">
        <w:t>’</w:t>
      </w:r>
      <w:r w:rsidRPr="00BD2C13">
        <w:t>information sur l</w:t>
      </w:r>
      <w:r w:rsidR="00784444">
        <w:t>’</w:t>
      </w:r>
      <w:r w:rsidRPr="00BD2C13">
        <w:t>environnement et, si nécessaire, prend de nouvelles décisions ayant force obligatoire, vérifie que les lois sur la liberté de l</w:t>
      </w:r>
      <w:r w:rsidR="00784444">
        <w:t>’</w:t>
      </w:r>
      <w:r w:rsidRPr="00BD2C13">
        <w:t>information sont bien appliquées et que les organismes publics sont en conformité avec leurs dispositions, et rédige et publie des commentaires sur la manière d</w:t>
      </w:r>
      <w:r w:rsidR="00784444">
        <w:t>’</w:t>
      </w:r>
      <w:r w:rsidRPr="00BD2C13">
        <w:t>appliquer les lois en question dans la pratique. Le Commissaire à l</w:t>
      </w:r>
      <w:r w:rsidR="00784444">
        <w:t>’</w:t>
      </w:r>
      <w:r w:rsidRPr="00BD2C13">
        <w:t>information sur l</w:t>
      </w:r>
      <w:r w:rsidR="00784444">
        <w:t>’</w:t>
      </w:r>
      <w:r w:rsidRPr="00BD2C13">
        <w:t xml:space="preserve">environnement peut également soumettre à la </w:t>
      </w:r>
      <w:r w:rsidR="00D94234" w:rsidRPr="00D94234">
        <w:rPr>
          <w:i/>
        </w:rPr>
        <w:t>High</w:t>
      </w:r>
      <w:r w:rsidR="00D94234">
        <w:rPr>
          <w:i/>
        </w:rPr>
        <w:t> </w:t>
      </w:r>
      <w:r w:rsidR="00D94234" w:rsidRPr="00D94234">
        <w:rPr>
          <w:i/>
        </w:rPr>
        <w:t>Court</w:t>
      </w:r>
      <w:r w:rsidRPr="00BD2C13">
        <w:t xml:space="preserve"> toute question de droit soulevée par un recours formé au titre de ces lois.</w:t>
      </w:r>
    </w:p>
    <w:p w14:paraId="60C45C09" w14:textId="77777777" w:rsidR="003B3158" w:rsidRPr="00BD2C13" w:rsidRDefault="003B3158" w:rsidP="003B3158">
      <w:pPr>
        <w:pStyle w:val="H4G"/>
      </w:pPr>
      <w:bookmarkStart w:id="84" w:name="_Toc17908555"/>
      <w:r w:rsidRPr="00BD2C13">
        <w:tab/>
      </w:r>
      <w:r w:rsidRPr="00BD2C13">
        <w:tab/>
      </w:r>
      <w:bookmarkEnd w:id="84"/>
      <w:r w:rsidRPr="00BD2C13">
        <w:t>Médiateur des forces de défense</w:t>
      </w:r>
    </w:p>
    <w:p w14:paraId="680BA387" w14:textId="77777777" w:rsidR="003B3158" w:rsidRPr="00BD2C13" w:rsidRDefault="003B3158" w:rsidP="003B3158">
      <w:pPr>
        <w:pStyle w:val="SingleTxtG"/>
      </w:pPr>
      <w:r w:rsidRPr="00BD2C13">
        <w:t>114.</w:t>
      </w:r>
      <w:r w:rsidRPr="00BD2C13">
        <w:tab/>
        <w:t>Institué en vertu de la loi de 2004 sur le Médiateur (Forces de défense), le Médiateur des forces de défense reçoit les plaintes de membres et d</w:t>
      </w:r>
      <w:r w:rsidR="00784444">
        <w:t>’</w:t>
      </w:r>
      <w:r w:rsidRPr="00BD2C13">
        <w:t>anciens membres des forces de défense ayant épuisé toutes les possibilités de recours interne. Le Médiateur peut également examiner les plaintes de membres des forces de défense menacés de poursuites pénales à la suite d</w:t>
      </w:r>
      <w:r w:rsidR="00784444">
        <w:t>’</w:t>
      </w:r>
      <w:r w:rsidRPr="00BD2C13">
        <w:t>une divulgation protégée d</w:t>
      </w:r>
      <w:r w:rsidR="00784444">
        <w:t>’</w:t>
      </w:r>
      <w:r w:rsidRPr="00BD2C13">
        <w:t>informations.</w:t>
      </w:r>
    </w:p>
    <w:p w14:paraId="218D5F37" w14:textId="77777777" w:rsidR="003B3158" w:rsidRPr="00BD2C13" w:rsidRDefault="003B3158" w:rsidP="003B3158">
      <w:pPr>
        <w:pStyle w:val="H4G"/>
      </w:pPr>
      <w:bookmarkStart w:id="85" w:name="_Toc17908556"/>
      <w:r w:rsidRPr="00BD2C13">
        <w:tab/>
      </w:r>
      <w:r w:rsidRPr="00BD2C13">
        <w:tab/>
      </w:r>
      <w:bookmarkEnd w:id="85"/>
      <w:r w:rsidRPr="00BD2C13">
        <w:t xml:space="preserve">Commission du Médiateur de la Garda </w:t>
      </w:r>
      <w:proofErr w:type="spellStart"/>
      <w:r w:rsidRPr="00BD2C13">
        <w:t>Síochána</w:t>
      </w:r>
      <w:proofErr w:type="spellEnd"/>
    </w:p>
    <w:p w14:paraId="478A8D68" w14:textId="77777777" w:rsidR="003B3158" w:rsidRPr="00BD2C13" w:rsidRDefault="003B3158" w:rsidP="003B3158">
      <w:pPr>
        <w:pStyle w:val="SingleTxtG"/>
      </w:pPr>
      <w:bookmarkStart w:id="86" w:name="_Ref14174471"/>
      <w:r w:rsidRPr="00BD2C13">
        <w:t>115.</w:t>
      </w:r>
      <w:r w:rsidRPr="00BD2C13">
        <w:tab/>
        <w:t>L</w:t>
      </w:r>
      <w:r w:rsidR="00784444">
        <w:t>’</w:t>
      </w:r>
      <w:r w:rsidRPr="00BD2C13">
        <w:t>organe indépendant d</w:t>
      </w:r>
      <w:r w:rsidR="00784444">
        <w:t>’</w:t>
      </w:r>
      <w:r w:rsidRPr="00BD2C13">
        <w:t xml:space="preserve">examen des plaintes contre la police, la Commission du Médiateur de la Garda </w:t>
      </w:r>
      <w:proofErr w:type="spellStart"/>
      <w:r w:rsidRPr="00BD2C13">
        <w:t>Síochána</w:t>
      </w:r>
      <w:proofErr w:type="spellEnd"/>
      <w:r w:rsidRPr="00BD2C13">
        <w:t>, est habilité à enquêter directement et en toute indépendance sur les plaintes visant des membres de la Garda, ainsi que sur toute affaire où il apparaît qu</w:t>
      </w:r>
      <w:r w:rsidR="00784444">
        <w:t>’</w:t>
      </w:r>
      <w:r w:rsidRPr="00BD2C13">
        <w:t>un membre de la Garda pourrait avoir commis une infraction ou agi d</w:t>
      </w:r>
      <w:r w:rsidR="00784444">
        <w:t>’</w:t>
      </w:r>
      <w:r w:rsidRPr="00BD2C13">
        <w:t>une façon qui justifierait une procédure disciplinaire.</w:t>
      </w:r>
      <w:bookmarkEnd w:id="86"/>
    </w:p>
    <w:p w14:paraId="295FB31D" w14:textId="77777777" w:rsidR="003B3158" w:rsidRPr="00BD2C13" w:rsidRDefault="003B3158" w:rsidP="003B3158">
      <w:pPr>
        <w:pStyle w:val="H4G"/>
      </w:pPr>
      <w:bookmarkStart w:id="87" w:name="_Toc17908557"/>
      <w:r w:rsidRPr="00BD2C13">
        <w:tab/>
      </w:r>
      <w:r w:rsidRPr="00BD2C13">
        <w:tab/>
      </w:r>
      <w:bookmarkEnd w:id="87"/>
      <w:r w:rsidRPr="00BD2C13">
        <w:t>Médiateur des enfants</w:t>
      </w:r>
    </w:p>
    <w:p w14:paraId="57671B54" w14:textId="77777777" w:rsidR="003B3158" w:rsidRPr="00BD2C13" w:rsidRDefault="003B3158" w:rsidP="003B3158">
      <w:pPr>
        <w:pStyle w:val="SingleTxtG"/>
      </w:pPr>
      <w:r w:rsidRPr="00BD2C13">
        <w:t>116.</w:t>
      </w:r>
      <w:r w:rsidRPr="00BD2C13">
        <w:tab/>
        <w:t>Les principaux domaines d</w:t>
      </w:r>
      <w:r w:rsidR="00784444">
        <w:t>’</w:t>
      </w:r>
      <w:r w:rsidRPr="00BD2C13">
        <w:t>activité du Médiateur des enfants sont le traitement indépendant des plaintes émanant de jeunes ou d</w:t>
      </w:r>
      <w:r w:rsidR="00784444">
        <w:t>’</w:t>
      </w:r>
      <w:r w:rsidRPr="00BD2C13">
        <w:t>adultes agissant en leur nom, la communication et la participation, notamment en apportant une aide à ceux qui souhaitent s</w:t>
      </w:r>
      <w:r w:rsidR="00784444">
        <w:t>’</w:t>
      </w:r>
      <w:r w:rsidRPr="00BD2C13">
        <w:t>informer sur les droits des enfants et des jeunes, la recherche et la préparation d</w:t>
      </w:r>
      <w:r w:rsidR="00784444">
        <w:t>’</w:t>
      </w:r>
      <w:r w:rsidRPr="00BD2C13">
        <w:t>orientations politiques, en particulier sous la forme de conseils au Gouvernement à propos de questions en lien avec les droits de l</w:t>
      </w:r>
      <w:r w:rsidR="00784444">
        <w:t>’</w:t>
      </w:r>
      <w:r w:rsidRPr="00BD2C13">
        <w:t>enfant.</w:t>
      </w:r>
    </w:p>
    <w:p w14:paraId="29903D69" w14:textId="77777777" w:rsidR="003B3158" w:rsidRPr="00BD2C13" w:rsidRDefault="003B3158" w:rsidP="003B3158">
      <w:pPr>
        <w:pStyle w:val="H4G"/>
      </w:pPr>
      <w:bookmarkStart w:id="88" w:name="_Toc17908558"/>
      <w:r w:rsidRPr="00BD2C13">
        <w:tab/>
      </w:r>
      <w:r w:rsidRPr="00BD2C13">
        <w:tab/>
      </w:r>
      <w:bookmarkEnd w:id="88"/>
      <w:r w:rsidRPr="00BD2C13">
        <w:t>Commissaire à la protection des données</w:t>
      </w:r>
    </w:p>
    <w:p w14:paraId="1D909B18" w14:textId="77777777" w:rsidR="003B3158" w:rsidRPr="00BD2C13" w:rsidRDefault="003B3158" w:rsidP="003B3158">
      <w:pPr>
        <w:pStyle w:val="SingleTxtG"/>
        <w:rPr>
          <w:u w:val="single"/>
        </w:rPr>
      </w:pPr>
      <w:r w:rsidRPr="00BD2C13">
        <w:t>117.</w:t>
      </w:r>
      <w:r w:rsidRPr="00BD2C13">
        <w:tab/>
        <w:t>Le Commissaire à la protection des données est chargé de préserver les droits des particuliers tels qu</w:t>
      </w:r>
      <w:r w:rsidR="00784444">
        <w:t>’</w:t>
      </w:r>
      <w:r w:rsidRPr="00BD2C13">
        <w:t>énoncés dans le Règlement (UE) 2016/679 relatif à la protection des personnes physiques à l</w:t>
      </w:r>
      <w:r w:rsidR="00784444">
        <w:t>’</w:t>
      </w:r>
      <w:r w:rsidRPr="00BD2C13">
        <w:t>égard du traitement des données à caractère personnel et à la libre circulation de ces données et à la loi de 2018 sur la protection des données, et de veiller au respect des obligations incombant aux personnes chargées du contrôle des données. Il est indépendant dans l</w:t>
      </w:r>
      <w:r w:rsidR="00784444">
        <w:t>’</w:t>
      </w:r>
      <w:r w:rsidRPr="00BD2C13">
        <w:t>exercice de ses fonctions. Quiconque estime que ses droits en la matière ont été violés peut lui adresser une plainte. La Commission dispose d</w:t>
      </w:r>
      <w:r w:rsidR="00784444">
        <w:t>’</w:t>
      </w:r>
      <w:r w:rsidRPr="00BD2C13">
        <w:t>un éventail d</w:t>
      </w:r>
      <w:r w:rsidR="00784444">
        <w:t>’</w:t>
      </w:r>
      <w:r w:rsidRPr="00BD2C13">
        <w:t>instruments d</w:t>
      </w:r>
      <w:r w:rsidR="00784444">
        <w:t>’</w:t>
      </w:r>
      <w:r w:rsidRPr="00BD2C13">
        <w:t>enquête et de</w:t>
      </w:r>
      <w:r w:rsidR="007A54A8">
        <w:t xml:space="preserve"> </w:t>
      </w:r>
      <w:r w:rsidRPr="00BD2C13">
        <w:t>sanctions en vertu, à la fois, du Règlement de l</w:t>
      </w:r>
      <w:r w:rsidR="00784444">
        <w:t>’</w:t>
      </w:r>
      <w:r w:rsidRPr="00BD2C13">
        <w:t>UE et de la loi de 2018.</w:t>
      </w:r>
    </w:p>
    <w:p w14:paraId="4F9AB92A" w14:textId="77777777" w:rsidR="003B3158" w:rsidRPr="00BD2C13" w:rsidRDefault="003B3158" w:rsidP="00E44E26">
      <w:pPr>
        <w:pStyle w:val="H4G"/>
      </w:pPr>
      <w:bookmarkStart w:id="89" w:name="_Toc17908559"/>
      <w:r w:rsidRPr="00BD2C13">
        <w:tab/>
      </w:r>
      <w:r w:rsidRPr="00BD2C13">
        <w:tab/>
      </w:r>
      <w:bookmarkEnd w:id="89"/>
      <w:r w:rsidRPr="00BD2C13">
        <w:t>Médiateur de la presse et Conseil de la presse</w:t>
      </w:r>
    </w:p>
    <w:p w14:paraId="7DBE6B1A" w14:textId="77777777" w:rsidR="003B3158" w:rsidRPr="00BD2C13" w:rsidRDefault="003B3158" w:rsidP="003B3158">
      <w:pPr>
        <w:pStyle w:val="SingleTxtG"/>
      </w:pPr>
      <w:r w:rsidRPr="00BD2C13">
        <w:t>118.</w:t>
      </w:r>
      <w:r w:rsidRPr="00BD2C13">
        <w:tab/>
        <w:t>Le Conseil de la presse d</w:t>
      </w:r>
      <w:r w:rsidR="00784444">
        <w:t>’</w:t>
      </w:r>
      <w:r w:rsidRPr="00BD2C13">
        <w:t>Irlande et le Bureau du Médiateur de la presse sont chargés de protéger et de promouvoir les normes professionnelles et déontologiques dans les journaux et revues nationaux. Le Bureau du Médiateur de la presse veille à ce que chacun puisse aujourd</w:t>
      </w:r>
      <w:r w:rsidR="00784444">
        <w:t>’</w:t>
      </w:r>
      <w:r w:rsidRPr="00BD2C13">
        <w:t>hui avoir accès à un mécanisme indépendant habilité à recevoir les plaintes visant la presse et en mesure d</w:t>
      </w:r>
      <w:r w:rsidR="00784444">
        <w:t>’</w:t>
      </w:r>
      <w:r w:rsidRPr="00BD2C13">
        <w:t>agir rapidement, équitablement et librement. Ces</w:t>
      </w:r>
      <w:r w:rsidR="00E44E26" w:rsidRPr="00BD2C13">
        <w:t> </w:t>
      </w:r>
      <w:r w:rsidRPr="00BD2C13">
        <w:t>structures ont été créées pour veiller à ce que la liberté de la presse ne donne lieu à aucun abus et respecte l</w:t>
      </w:r>
      <w:r w:rsidR="00784444">
        <w:t>’</w:t>
      </w:r>
      <w:r w:rsidRPr="00BD2C13">
        <w:t>intérêt général.</w:t>
      </w:r>
    </w:p>
    <w:p w14:paraId="0D1FC566" w14:textId="77777777" w:rsidR="003B3158" w:rsidRPr="00BD2C13" w:rsidRDefault="003B3158" w:rsidP="00E44E26">
      <w:pPr>
        <w:pStyle w:val="H4G"/>
      </w:pPr>
      <w:bookmarkStart w:id="90" w:name="_Toc17908560"/>
      <w:bookmarkStart w:id="91" w:name="OLE_LINK40"/>
      <w:bookmarkStart w:id="92" w:name="OLE_LINK41"/>
      <w:r w:rsidRPr="00BD2C13">
        <w:lastRenderedPageBreak/>
        <w:tab/>
      </w:r>
      <w:r w:rsidRPr="00BD2C13">
        <w:tab/>
      </w:r>
      <w:bookmarkStart w:id="93" w:name="_Hlk37749289"/>
      <w:bookmarkEnd w:id="90"/>
      <w:r w:rsidRPr="00BD2C13">
        <w:t>Groupe de suivi de l</w:t>
      </w:r>
      <w:r w:rsidR="00784444">
        <w:t>’</w:t>
      </w:r>
      <w:r w:rsidRPr="00BD2C13">
        <w:t xml:space="preserve">exécution du </w:t>
      </w:r>
      <w:r w:rsidRPr="00B85E6C">
        <w:t>Plan d</w:t>
      </w:r>
      <w:r w:rsidR="00784444" w:rsidRPr="00B85E6C">
        <w:t>’</w:t>
      </w:r>
      <w:r w:rsidRPr="00B85E6C">
        <w:t>action</w:t>
      </w:r>
      <w:r w:rsidRPr="00BD2C13">
        <w:t xml:space="preserve"> </w:t>
      </w:r>
      <w:r w:rsidR="00B85E6C" w:rsidRPr="00B85E6C">
        <w:t xml:space="preserve">national </w:t>
      </w:r>
      <w:r w:rsidRPr="00BD2C13">
        <w:t>pour la mise en œuvre</w:t>
      </w:r>
      <w:r w:rsidRPr="00BD2C13">
        <w:br/>
        <w:t>de la résolution 1325 du Conseil de sécurité de l</w:t>
      </w:r>
      <w:r w:rsidR="00784444">
        <w:t>’</w:t>
      </w:r>
      <w:r w:rsidRPr="00BD2C13">
        <w:t>ONU</w:t>
      </w:r>
    </w:p>
    <w:p w14:paraId="16E4A4C3" w14:textId="77777777" w:rsidR="003B3158" w:rsidRPr="00BD2C13" w:rsidRDefault="003B3158" w:rsidP="003B3158">
      <w:pPr>
        <w:pStyle w:val="SingleTxtG"/>
        <w:rPr>
          <w:u w:val="single"/>
        </w:rPr>
      </w:pPr>
      <w:bookmarkStart w:id="94" w:name="_Hlk37749955"/>
      <w:bookmarkEnd w:id="91"/>
      <w:bookmarkEnd w:id="92"/>
      <w:bookmarkEnd w:id="93"/>
      <w:r w:rsidRPr="00BD2C13">
        <w:t>119.</w:t>
      </w:r>
      <w:r w:rsidRPr="00BD2C13">
        <w:tab/>
        <w:t>Un Groupe de suivi de l</w:t>
      </w:r>
      <w:r w:rsidR="00784444">
        <w:t>’</w:t>
      </w:r>
      <w:r w:rsidRPr="00BD2C13">
        <w:t>exécution du</w:t>
      </w:r>
      <w:r w:rsidR="00B85E6C">
        <w:t xml:space="preserve"> Plan d’action </w:t>
      </w:r>
      <w:r w:rsidR="00B85E6C" w:rsidRPr="00B85E6C">
        <w:t>national</w:t>
      </w:r>
      <w:r w:rsidRPr="00BD2C13">
        <w:t xml:space="preserve"> pour la mise en œuvre de la résolution 1325 du Conseil de sécurité de l</w:t>
      </w:r>
      <w:r w:rsidR="00784444">
        <w:t>’</w:t>
      </w:r>
      <w:r w:rsidRPr="00BD2C13">
        <w:t>ONU sur les femmes</w:t>
      </w:r>
      <w:bookmarkEnd w:id="94"/>
      <w:r w:rsidRPr="00BD2C13">
        <w:t>, la paix et la sécurité, constitué pour une moitié de représentants des milieux universitaires et des organisations de la société civile et pour l</w:t>
      </w:r>
      <w:r w:rsidR="00784444">
        <w:t>’</w:t>
      </w:r>
      <w:r w:rsidRPr="00BD2C13">
        <w:t>autre de représentants du Gouvernement et dirigé par un président indépendant, supervise l</w:t>
      </w:r>
      <w:r w:rsidR="00784444">
        <w:t>’</w:t>
      </w:r>
      <w:r w:rsidRPr="00BD2C13">
        <w:t>examen périodique et systématique des progrès accomplis au regard des objectifs, mesures et cibles définis dans le Plan.</w:t>
      </w:r>
    </w:p>
    <w:p w14:paraId="5C9183FC" w14:textId="77777777" w:rsidR="003B3158" w:rsidRPr="00BD2C13" w:rsidRDefault="003B3158" w:rsidP="00E44E26">
      <w:pPr>
        <w:pStyle w:val="H4G"/>
      </w:pPr>
      <w:bookmarkStart w:id="95" w:name="_Toc17908561"/>
      <w:r w:rsidRPr="00BD2C13">
        <w:tab/>
      </w:r>
      <w:r w:rsidRPr="00BD2C13">
        <w:tab/>
        <w:t xml:space="preserve">An </w:t>
      </w:r>
      <w:proofErr w:type="spellStart"/>
      <w:r w:rsidRPr="00BD2C13">
        <w:t>Coimisinéir</w:t>
      </w:r>
      <w:proofErr w:type="spellEnd"/>
      <w:r w:rsidRPr="00BD2C13">
        <w:t xml:space="preserve"> </w:t>
      </w:r>
      <w:proofErr w:type="spellStart"/>
      <w:r w:rsidRPr="00BD2C13">
        <w:t>Teanga</w:t>
      </w:r>
      <w:proofErr w:type="spellEnd"/>
      <w:r w:rsidRPr="00BD2C13">
        <w:t xml:space="preserve"> (Commissaire aux langues officielles)</w:t>
      </w:r>
      <w:bookmarkEnd w:id="95"/>
    </w:p>
    <w:p w14:paraId="55814EC2" w14:textId="77777777" w:rsidR="003B3158" w:rsidRPr="00BD2C13" w:rsidRDefault="003B3158" w:rsidP="003B3158">
      <w:pPr>
        <w:pStyle w:val="SingleTxtG"/>
      </w:pPr>
      <w:r w:rsidRPr="00BD2C13">
        <w:t>120.</w:t>
      </w:r>
      <w:r w:rsidRPr="00BD2C13">
        <w:tab/>
        <w:t xml:space="preserve">Le Bureau du </w:t>
      </w:r>
      <w:proofErr w:type="spellStart"/>
      <w:r w:rsidRPr="00BD2C13">
        <w:rPr>
          <w:i/>
          <w:iCs/>
        </w:rPr>
        <w:t>Coimisinéir</w:t>
      </w:r>
      <w:proofErr w:type="spellEnd"/>
      <w:r w:rsidRPr="00BD2C13">
        <w:rPr>
          <w:i/>
          <w:iCs/>
        </w:rPr>
        <w:t xml:space="preserve"> </w:t>
      </w:r>
      <w:proofErr w:type="spellStart"/>
      <w:r w:rsidRPr="00BD2C13">
        <w:rPr>
          <w:i/>
          <w:iCs/>
        </w:rPr>
        <w:t>Teanga</w:t>
      </w:r>
      <w:proofErr w:type="spellEnd"/>
      <w:r w:rsidRPr="00BD2C13">
        <w:t xml:space="preserve"> agit en toute indépendance, conformément à la loi de 2003 sur les langues officielles. Les fonctions et attributions du Commissaire sont précisées dans la loi de 2003 et il est principalement chargé de veiller au respect de la loi par les organismes publics.</w:t>
      </w:r>
    </w:p>
    <w:p w14:paraId="5CB75E1D" w14:textId="77777777" w:rsidR="003B3158" w:rsidRPr="00BD2C13" w:rsidRDefault="003B3158" w:rsidP="00E44E26">
      <w:pPr>
        <w:pStyle w:val="H4G"/>
      </w:pPr>
      <w:bookmarkStart w:id="96" w:name="_Toc17908562"/>
      <w:r w:rsidRPr="00BD2C13">
        <w:tab/>
      </w:r>
      <w:r w:rsidRPr="00BD2C13">
        <w:tab/>
      </w:r>
      <w:bookmarkEnd w:id="96"/>
      <w:r w:rsidRPr="00BD2C13">
        <w:t>Inspecteur des prisons</w:t>
      </w:r>
    </w:p>
    <w:p w14:paraId="01A25F1F" w14:textId="77777777" w:rsidR="003B3158" w:rsidRPr="00BD2C13" w:rsidRDefault="003B3158" w:rsidP="003B3158">
      <w:pPr>
        <w:pStyle w:val="SingleTxtG"/>
      </w:pPr>
      <w:r w:rsidRPr="00BD2C13">
        <w:t>121.</w:t>
      </w:r>
      <w:r w:rsidRPr="00BD2C13">
        <w:tab/>
        <w:t>L</w:t>
      </w:r>
      <w:r w:rsidR="00784444">
        <w:t>’</w:t>
      </w:r>
      <w:r w:rsidRPr="00BD2C13">
        <w:t>Inspecteur des prisons inspecte périodiquement les 12</w:t>
      </w:r>
      <w:r w:rsidR="00DF0E61">
        <w:t xml:space="preserve"> </w:t>
      </w:r>
      <w:r w:rsidRPr="00BD2C13">
        <w:t>prisons et lieux de détention du pays et rend compte de ses visites dans chaque établissement. Les rapports ainsi établis sont publiés, de même qu</w:t>
      </w:r>
      <w:r w:rsidR="00784444">
        <w:t>’</w:t>
      </w:r>
      <w:r w:rsidRPr="00BD2C13">
        <w:t>un rapport annuel.</w:t>
      </w:r>
    </w:p>
    <w:p w14:paraId="4D27E0E8" w14:textId="77777777" w:rsidR="003B3158" w:rsidRPr="00BD2C13" w:rsidRDefault="003B3158" w:rsidP="00E44E26">
      <w:pPr>
        <w:pStyle w:val="H4G"/>
      </w:pPr>
      <w:bookmarkStart w:id="97" w:name="_Toc17908563"/>
      <w:r w:rsidRPr="00BD2C13">
        <w:tab/>
      </w:r>
      <w:r w:rsidRPr="00BD2C13">
        <w:tab/>
      </w:r>
      <w:bookmarkEnd w:id="97"/>
      <w:r w:rsidRPr="00BD2C13">
        <w:t>Office de l</w:t>
      </w:r>
      <w:r w:rsidR="00784444">
        <w:t>’</w:t>
      </w:r>
      <w:r w:rsidRPr="00BD2C13">
        <w:t>information sanitaire et de la qualité des services de santé</w:t>
      </w:r>
    </w:p>
    <w:p w14:paraId="0DEC0A6A" w14:textId="77777777" w:rsidR="003B3158" w:rsidRPr="00BD2C13" w:rsidRDefault="003B3158" w:rsidP="003B3158">
      <w:pPr>
        <w:pStyle w:val="SingleTxtG"/>
      </w:pPr>
      <w:r w:rsidRPr="00BD2C13">
        <w:t>122.</w:t>
      </w:r>
      <w:r w:rsidRPr="00BD2C13">
        <w:tab/>
        <w:t>L</w:t>
      </w:r>
      <w:r w:rsidR="00784444">
        <w:t>’</w:t>
      </w:r>
      <w:r w:rsidRPr="00BD2C13">
        <w:t>Office de l</w:t>
      </w:r>
      <w:r w:rsidR="00784444">
        <w:t>’</w:t>
      </w:r>
      <w:r w:rsidRPr="00BD2C13">
        <w:t>information sanitaire et de la qualité des services de santé est un organisme indépendant qui a été créé pour apporter des améliorations constantes aux services de santé et services sociaux destinés aux particuliers, surveiller la sûreté et la qualité de ces services et promouvoir une prise en charge axée sur la personne dans l</w:t>
      </w:r>
      <w:r w:rsidR="00784444">
        <w:t>’</w:t>
      </w:r>
      <w:r w:rsidRPr="00BD2C13">
        <w:t>intérêt de la société. Dans le domaine social, sa compétence s</w:t>
      </w:r>
      <w:r w:rsidR="00784444">
        <w:t>’</w:t>
      </w:r>
      <w:r w:rsidRPr="00BD2C13">
        <w:t>étend aux secteurs public, privé et associatif. Relevant du Ministère de la santé et du Ministère de l</w:t>
      </w:r>
      <w:r w:rsidR="00784444">
        <w:t>’</w:t>
      </w:r>
      <w:r w:rsidRPr="00BD2C13">
        <w:t>enfance et de la jeunesse, l</w:t>
      </w:r>
      <w:r w:rsidR="00784444">
        <w:t>’</w:t>
      </w:r>
      <w:r w:rsidRPr="00BD2C13">
        <w:t>Office est chargé</w:t>
      </w:r>
      <w:r w:rsidR="00E44E26" w:rsidRPr="00BD2C13">
        <w:t> </w:t>
      </w:r>
      <w:r w:rsidRPr="00BD2C13">
        <w:t>:</w:t>
      </w:r>
    </w:p>
    <w:p w14:paraId="33583330" w14:textId="77777777" w:rsidR="003B3158" w:rsidRPr="00BD2C13" w:rsidRDefault="003B3158" w:rsidP="00E44E26">
      <w:pPr>
        <w:pStyle w:val="SingleTxtG"/>
        <w:ind w:firstLine="567"/>
      </w:pPr>
      <w:r w:rsidRPr="00BD2C13">
        <w:t>a)</w:t>
      </w:r>
      <w:r w:rsidRPr="00BD2C13">
        <w:tab/>
      </w:r>
      <w:r w:rsidR="00E44E26" w:rsidRPr="00BD2C13">
        <w:t>D</w:t>
      </w:r>
      <w:r w:rsidR="00784444">
        <w:t>’</w:t>
      </w:r>
      <w:r w:rsidRPr="00BD2C13">
        <w:t>élaborer des normes relatives aux services de santé et services sociaux</w:t>
      </w:r>
      <w:r w:rsidR="00E44E26" w:rsidRPr="00BD2C13">
        <w:t> </w:t>
      </w:r>
      <w:r w:rsidRPr="00BD2C13">
        <w:t>;</w:t>
      </w:r>
    </w:p>
    <w:p w14:paraId="59B0987F" w14:textId="77777777" w:rsidR="003B3158" w:rsidRPr="00BD2C13" w:rsidRDefault="003B3158" w:rsidP="00E44E26">
      <w:pPr>
        <w:pStyle w:val="SingleTxtG"/>
        <w:ind w:firstLine="567"/>
      </w:pPr>
      <w:r w:rsidRPr="00BD2C13">
        <w:t>b)</w:t>
      </w:r>
      <w:r w:rsidRPr="00BD2C13">
        <w:tab/>
      </w:r>
      <w:r w:rsidR="00E44E26" w:rsidRPr="00BD2C13">
        <w:t>D</w:t>
      </w:r>
      <w:r w:rsidR="00784444">
        <w:t>’</w:t>
      </w:r>
      <w:r w:rsidRPr="00BD2C13">
        <w:t>enregistrer et d</w:t>
      </w:r>
      <w:r w:rsidR="00784444">
        <w:t>’</w:t>
      </w:r>
      <w:r w:rsidRPr="00BD2C13">
        <w:t>inspecter les structures d</w:t>
      </w:r>
      <w:r w:rsidR="00784444">
        <w:t>’</w:t>
      </w:r>
      <w:r w:rsidRPr="00BD2C13">
        <w:t>accueil pour personnes âgées ou personnes handicapées</w:t>
      </w:r>
      <w:r w:rsidR="00E44E26" w:rsidRPr="00BD2C13">
        <w:t> </w:t>
      </w:r>
      <w:r w:rsidRPr="00BD2C13">
        <w:t>;</w:t>
      </w:r>
    </w:p>
    <w:p w14:paraId="66D714BB" w14:textId="77777777" w:rsidR="003B3158" w:rsidRPr="00BD2C13" w:rsidRDefault="003B3158" w:rsidP="00E44E26">
      <w:pPr>
        <w:pStyle w:val="SingleTxtG"/>
        <w:ind w:firstLine="567"/>
      </w:pPr>
      <w:r w:rsidRPr="00BD2C13">
        <w:t>c)</w:t>
      </w:r>
      <w:r w:rsidRPr="00BD2C13">
        <w:tab/>
      </w:r>
      <w:r w:rsidR="00E44E26" w:rsidRPr="00BD2C13">
        <w:t>D</w:t>
      </w:r>
      <w:r w:rsidRPr="00BD2C13">
        <w:t>e vérifier la qualité et la sûreté des services de santé et des services sociaux destinés aux particuliers</w:t>
      </w:r>
      <w:r w:rsidR="00E44E26" w:rsidRPr="00BD2C13">
        <w:t> </w:t>
      </w:r>
      <w:r w:rsidRPr="00BD2C13">
        <w:t>; et</w:t>
      </w:r>
    </w:p>
    <w:p w14:paraId="6443268B" w14:textId="77777777" w:rsidR="003B3158" w:rsidRPr="00BD2C13" w:rsidRDefault="003B3158" w:rsidP="00E44E26">
      <w:pPr>
        <w:pStyle w:val="SingleTxtG"/>
        <w:ind w:firstLine="567"/>
      </w:pPr>
      <w:r w:rsidRPr="00BD2C13">
        <w:t>d)</w:t>
      </w:r>
      <w:r w:rsidRPr="00BD2C13">
        <w:tab/>
      </w:r>
      <w:r w:rsidR="00E44E26" w:rsidRPr="00BD2C13">
        <w:t>D</w:t>
      </w:r>
      <w:r w:rsidR="00784444">
        <w:t>’</w:t>
      </w:r>
      <w:r w:rsidRPr="00BD2C13">
        <w:t>étudier tout sujet de préoccupation grave en lien avec la santé et le bien</w:t>
      </w:r>
      <w:r w:rsidRPr="00BD2C13">
        <w:noBreakHyphen/>
        <w:t>être des personnes qui ont recours à ces services.</w:t>
      </w:r>
    </w:p>
    <w:p w14:paraId="7F2A8FD0" w14:textId="77777777" w:rsidR="003B3158" w:rsidRPr="00BD2C13" w:rsidRDefault="003B3158" w:rsidP="003B3158">
      <w:pPr>
        <w:pStyle w:val="SingleTxtG"/>
      </w:pPr>
      <w:r w:rsidRPr="00BD2C13">
        <w:t>123.</w:t>
      </w:r>
      <w:r w:rsidRPr="00BD2C13">
        <w:tab/>
        <w:t>L</w:t>
      </w:r>
      <w:r w:rsidR="00784444">
        <w:t>’</w:t>
      </w:r>
      <w:r w:rsidRPr="00BD2C13">
        <w:t>Office a également à charge d</w:t>
      </w:r>
      <w:r w:rsidR="00784444">
        <w:t>’</w:t>
      </w:r>
      <w:r w:rsidRPr="00BD2C13">
        <w:t>établir des normes en matière de services destinés aux enfants et d</w:t>
      </w:r>
      <w:r w:rsidR="00784444">
        <w:t>’</w:t>
      </w:r>
      <w:r w:rsidRPr="00BD2C13">
        <w:t>inspecter ces services. Il inspecte également les services d</w:t>
      </w:r>
      <w:r w:rsidR="00784444">
        <w:t>’</w:t>
      </w:r>
      <w:r w:rsidRPr="00BD2C13">
        <w:t>assistance et de protection et les services fournis dans les structures d</w:t>
      </w:r>
      <w:r w:rsidR="00784444">
        <w:t>’</w:t>
      </w:r>
      <w:r w:rsidRPr="00BD2C13">
        <w:t xml:space="preserve">accueil pour enfants, </w:t>
      </w:r>
      <w:r w:rsidR="00441BDA">
        <w:t>y compris</w:t>
      </w:r>
      <w:r w:rsidRPr="00BD2C13">
        <w:t xml:space="preserve"> les unités sécurisées de l</w:t>
      </w:r>
      <w:r w:rsidR="00784444">
        <w:t>’</w:t>
      </w:r>
      <w:r w:rsidRPr="00BD2C13">
        <w:t>Agence pour l</w:t>
      </w:r>
      <w:r w:rsidR="00784444">
        <w:t>’</w:t>
      </w:r>
      <w:r w:rsidRPr="00BD2C13">
        <w:t>enfance et la famille (anciennement de la Direction des services de santé), qui offrent un soutien intensif aux enfants qui leur sont confiés. L</w:t>
      </w:r>
      <w:r w:rsidR="00784444">
        <w:t>’</w:t>
      </w:r>
      <w:r w:rsidRPr="00BD2C13">
        <w:t>Office inspecte aussi les établissements d</w:t>
      </w:r>
      <w:r w:rsidR="00784444">
        <w:t>’</w:t>
      </w:r>
      <w:r w:rsidRPr="00BD2C13">
        <w:t>éducation surveillée.</w:t>
      </w:r>
    </w:p>
    <w:p w14:paraId="1EDC1F4B" w14:textId="77777777" w:rsidR="005455DE" w:rsidRPr="00BD2C13" w:rsidRDefault="005455DE" w:rsidP="005455DE">
      <w:pPr>
        <w:pStyle w:val="H4G"/>
      </w:pPr>
      <w:bookmarkStart w:id="98" w:name="_Toc17908564"/>
      <w:r w:rsidRPr="00BD2C13">
        <w:tab/>
      </w:r>
      <w:r w:rsidRPr="00BD2C13">
        <w:tab/>
      </w:r>
      <w:bookmarkEnd w:id="98"/>
      <w:r w:rsidRPr="00BD2C13">
        <w:t>Médiateur des services financiers</w:t>
      </w:r>
    </w:p>
    <w:p w14:paraId="7DA9361E" w14:textId="77777777" w:rsidR="005455DE" w:rsidRPr="00BD2C13" w:rsidRDefault="005455DE" w:rsidP="005455DE">
      <w:pPr>
        <w:pStyle w:val="SingleTxtG"/>
        <w:rPr>
          <w:u w:val="single"/>
        </w:rPr>
      </w:pPr>
      <w:bookmarkStart w:id="99" w:name="_Hlk37750467"/>
      <w:r w:rsidRPr="00BD2C13">
        <w:t>124.</w:t>
      </w:r>
      <w:r w:rsidRPr="00BD2C13">
        <w:tab/>
        <w:t xml:space="preserve">Le Médiateur </w:t>
      </w:r>
      <w:r w:rsidR="00B85E6C">
        <w:t>chargé des ser</w:t>
      </w:r>
      <w:r w:rsidRPr="00BD2C13">
        <w:t xml:space="preserve">vices financiers </w:t>
      </w:r>
      <w:r w:rsidR="00B85E6C">
        <w:t xml:space="preserve">et des pensions </w:t>
      </w:r>
      <w:r w:rsidRPr="00BD2C13">
        <w:t>est habilité</w:t>
      </w:r>
      <w:bookmarkEnd w:id="99"/>
      <w:r w:rsidRPr="00BD2C13">
        <w:t xml:space="preserve"> à recueillir en toute indépendance les plaintes de consommateurs ayant des griefs à l</w:t>
      </w:r>
      <w:r w:rsidR="00784444">
        <w:t>’</w:t>
      </w:r>
      <w:r w:rsidRPr="00BD2C13">
        <w:t>égard de prestataires de services financiers et de rentes qui ne leur ont pas donné satisfaction, notamment à propos de prêts hypothécaires ou d</w:t>
      </w:r>
      <w:r w:rsidR="00784444">
        <w:t>’</w:t>
      </w:r>
      <w:r w:rsidRPr="00BD2C13">
        <w:t>autres questions de crédit à la consommation.</w:t>
      </w:r>
    </w:p>
    <w:p w14:paraId="5F8E0DBD" w14:textId="77777777" w:rsidR="005455DE" w:rsidRPr="00BD2C13" w:rsidRDefault="005455DE" w:rsidP="005455DE">
      <w:pPr>
        <w:pStyle w:val="H4G"/>
      </w:pPr>
      <w:bookmarkStart w:id="100" w:name="_Toc17908565"/>
      <w:r w:rsidRPr="00BD2C13">
        <w:tab/>
      </w:r>
      <w:r w:rsidRPr="00BD2C13">
        <w:tab/>
      </w:r>
      <w:bookmarkEnd w:id="100"/>
      <w:r w:rsidRPr="00BD2C13">
        <w:t>Commission de la santé mentale et Inspection des services de santé mentale</w:t>
      </w:r>
    </w:p>
    <w:p w14:paraId="67B1FAC7" w14:textId="77777777" w:rsidR="005455DE" w:rsidRPr="00BD2C13" w:rsidRDefault="005455DE" w:rsidP="005455DE">
      <w:pPr>
        <w:pStyle w:val="SingleTxtG"/>
      </w:pPr>
      <w:r w:rsidRPr="00BD2C13">
        <w:t>125.</w:t>
      </w:r>
      <w:r w:rsidRPr="00BD2C13">
        <w:tab/>
        <w:t>La Commission de la santé mentale est chargée de promouvoir, d</w:t>
      </w:r>
      <w:r w:rsidR="00784444">
        <w:t>’</w:t>
      </w:r>
      <w:r w:rsidRPr="00BD2C13">
        <w:t>encourager et de favoriser le maintien de normes élevées et de bonnes pratiques dans la prestation des services de santé mentale et de prendre toute mesure raisonnable pour protéger les intérêts des patients privés de liberté.</w:t>
      </w:r>
    </w:p>
    <w:p w14:paraId="31EE8C72" w14:textId="77777777" w:rsidR="005455DE" w:rsidRPr="00BD2C13" w:rsidRDefault="005455DE" w:rsidP="005455DE">
      <w:pPr>
        <w:pStyle w:val="SingleTxtG"/>
      </w:pPr>
      <w:r w:rsidRPr="00BD2C13">
        <w:lastRenderedPageBreak/>
        <w:t>126.</w:t>
      </w:r>
      <w:r w:rsidRPr="00BD2C13">
        <w:tab/>
        <w:t>L</w:t>
      </w:r>
      <w:r w:rsidR="00784444">
        <w:t>’</w:t>
      </w:r>
      <w:r w:rsidRPr="00BD2C13">
        <w:t>Inspection des services de santé mentale est tenue par la loi de visiter et d</w:t>
      </w:r>
      <w:r w:rsidR="00784444">
        <w:t>’</w:t>
      </w:r>
      <w:r w:rsidRPr="00BD2C13">
        <w:t>inspecter annuellement chaque centre agréé et, si elle le juge approprié, tout autre centre dans lequel des services de santé mentale sont dispensés. Les tâches dévolues aux inspecteurs consistent notamment à vérifier le degré de conformité des centres agréés avec tout code ou règlement officiel applicable en la matière.</w:t>
      </w:r>
    </w:p>
    <w:p w14:paraId="278EB753" w14:textId="77777777" w:rsidR="005455DE" w:rsidRPr="00BD2C13" w:rsidRDefault="005455DE" w:rsidP="005455DE">
      <w:pPr>
        <w:pStyle w:val="H4G"/>
      </w:pPr>
      <w:bookmarkStart w:id="101" w:name="_Toc17908566"/>
      <w:r w:rsidRPr="00BD2C13">
        <w:tab/>
      </w:r>
      <w:r w:rsidRPr="00BD2C13">
        <w:tab/>
      </w:r>
      <w:bookmarkEnd w:id="101"/>
      <w:r w:rsidRPr="00BD2C13">
        <w:t>Commission d</w:t>
      </w:r>
      <w:r w:rsidR="00784444">
        <w:t>’</w:t>
      </w:r>
      <w:r w:rsidRPr="00BD2C13">
        <w:t>information des citoyens</w:t>
      </w:r>
    </w:p>
    <w:p w14:paraId="291BB0B0" w14:textId="77777777" w:rsidR="005455DE" w:rsidRPr="00BD2C13" w:rsidRDefault="005455DE" w:rsidP="005455DE">
      <w:pPr>
        <w:pStyle w:val="SingleTxtG"/>
      </w:pPr>
      <w:r w:rsidRPr="00BD2C13">
        <w:t>127.</w:t>
      </w:r>
      <w:r w:rsidRPr="00BD2C13">
        <w:tab/>
        <w:t>La Commission d</w:t>
      </w:r>
      <w:r w:rsidR="00784444">
        <w:t>’</w:t>
      </w:r>
      <w:r w:rsidRPr="00BD2C13">
        <w:t>information des citoyens offre gratuitement des services d</w:t>
      </w:r>
      <w:r w:rsidR="00784444">
        <w:t>’</w:t>
      </w:r>
      <w:r w:rsidRPr="00BD2C13">
        <w:t>information, de conseil et de sensibilisation portant sur un large éventail de services publics et sociaux. Elle apporte en outre son soutien au réseau régional de Services d</w:t>
      </w:r>
      <w:r w:rsidR="00784444">
        <w:t>’</w:t>
      </w:r>
      <w:r w:rsidRPr="00BD2C13">
        <w:t>information des citoyens et de Services de conseils financiers et budgétaires, de même qu</w:t>
      </w:r>
      <w:r w:rsidR="00784444">
        <w:t>’</w:t>
      </w:r>
      <w:r w:rsidRPr="00BD2C13">
        <w:t>au Service d</w:t>
      </w:r>
      <w:r w:rsidR="00784444">
        <w:t>’</w:t>
      </w:r>
      <w:r w:rsidRPr="00BD2C13">
        <w:t>information téléphonique des citoyens, au Service d</w:t>
      </w:r>
      <w:r w:rsidR="00784444">
        <w:t>’</w:t>
      </w:r>
      <w:r w:rsidRPr="00BD2C13">
        <w:t>interprétation en langue des signes et au Service national de sensibilisation.</w:t>
      </w:r>
    </w:p>
    <w:p w14:paraId="265618FF" w14:textId="77777777" w:rsidR="005455DE" w:rsidRPr="00BD2C13" w:rsidRDefault="005455DE" w:rsidP="005455DE">
      <w:pPr>
        <w:pStyle w:val="H4G"/>
      </w:pPr>
      <w:bookmarkStart w:id="102" w:name="_Toc17908567"/>
      <w:r w:rsidRPr="00BD2C13">
        <w:tab/>
      </w:r>
      <w:r w:rsidRPr="00BD2C13">
        <w:tab/>
      </w:r>
      <w:bookmarkEnd w:id="102"/>
      <w:r w:rsidRPr="00BD2C13">
        <w:t>Commission des locations de biens immobiliers à usage d</w:t>
      </w:r>
      <w:r w:rsidR="00784444">
        <w:t>’</w:t>
      </w:r>
      <w:r w:rsidRPr="00BD2C13">
        <w:t>habitation</w:t>
      </w:r>
      <w:r w:rsidRPr="00BD2C13">
        <w:br/>
        <w:t>et tribunal des baux et loyers</w:t>
      </w:r>
    </w:p>
    <w:p w14:paraId="5009A5EF" w14:textId="77777777" w:rsidR="005455DE" w:rsidRPr="00BD2C13" w:rsidRDefault="005455DE" w:rsidP="005455DE">
      <w:pPr>
        <w:pStyle w:val="SingleTxtG"/>
      </w:pPr>
      <w:bookmarkStart w:id="103" w:name="_Hlk31371660"/>
      <w:r w:rsidRPr="00BD2C13">
        <w:t>128.</w:t>
      </w:r>
      <w:r w:rsidRPr="00BD2C13">
        <w:tab/>
        <w:t>La Commission des locations de biens immobiliers à usage d</w:t>
      </w:r>
      <w:r w:rsidR="00784444">
        <w:t>’</w:t>
      </w:r>
      <w:r w:rsidRPr="00BD2C13">
        <w:t>habitation (</w:t>
      </w:r>
      <w:proofErr w:type="spellStart"/>
      <w:r w:rsidRPr="00BD2C13">
        <w:rPr>
          <w:i/>
          <w:iCs/>
        </w:rPr>
        <w:t>Residential</w:t>
      </w:r>
      <w:proofErr w:type="spellEnd"/>
      <w:r w:rsidRPr="00BD2C13">
        <w:rPr>
          <w:i/>
          <w:iCs/>
        </w:rPr>
        <w:t xml:space="preserve"> </w:t>
      </w:r>
      <w:proofErr w:type="spellStart"/>
      <w:r w:rsidRPr="00BD2C13">
        <w:rPr>
          <w:i/>
          <w:iCs/>
        </w:rPr>
        <w:t>Tenancies</w:t>
      </w:r>
      <w:proofErr w:type="spellEnd"/>
      <w:r w:rsidRPr="00BD2C13">
        <w:rPr>
          <w:i/>
          <w:iCs/>
        </w:rPr>
        <w:t xml:space="preserve"> </w:t>
      </w:r>
      <w:proofErr w:type="spellStart"/>
      <w:r w:rsidRPr="00BD2C13">
        <w:rPr>
          <w:i/>
          <w:iCs/>
        </w:rPr>
        <w:t>Board</w:t>
      </w:r>
      <w:proofErr w:type="spellEnd"/>
      <w:r w:rsidRPr="00BD2C13">
        <w:t>) est un organisme officiel, créé en application de la loi de 2004 sur les locations de biens immobiliers à usage d</w:t>
      </w:r>
      <w:r w:rsidR="00784444">
        <w:t>’</w:t>
      </w:r>
      <w:r w:rsidRPr="00BD2C13">
        <w:t>habitation pour gérer un système national d</w:t>
      </w:r>
      <w:r w:rsidR="00784444">
        <w:t>’</w:t>
      </w:r>
      <w:r w:rsidRPr="00BD2C13">
        <w:t>enregistrement des locataires et résoudre les différends entre bailleurs et locataires.</w:t>
      </w:r>
    </w:p>
    <w:p w14:paraId="1D2F9D9D" w14:textId="77777777" w:rsidR="005455DE" w:rsidRPr="00BD2C13" w:rsidRDefault="005455DE" w:rsidP="005455DE">
      <w:pPr>
        <w:pStyle w:val="SingleTxtG"/>
      </w:pPr>
      <w:r w:rsidRPr="00BD2C13">
        <w:t>129.</w:t>
      </w:r>
      <w:r w:rsidRPr="00BD2C13">
        <w:tab/>
        <w:t>La loi de 2015 portant modification de la loi sur les locations de biens immobiliers à usage d</w:t>
      </w:r>
      <w:r w:rsidR="00784444">
        <w:t>’</w:t>
      </w:r>
      <w:r w:rsidRPr="00BD2C13">
        <w:t>habitation a modifié l</w:t>
      </w:r>
      <w:r w:rsidR="00784444">
        <w:t>’</w:t>
      </w:r>
      <w:r w:rsidRPr="00BD2C13">
        <w:t>article 3 de la loi de 2004 afin d</w:t>
      </w:r>
      <w:r w:rsidR="00784444">
        <w:t>’</w:t>
      </w:r>
      <w:r w:rsidRPr="00BD2C13">
        <w:t>étendre le mandat de la Commission aux logements sociaux loués par des organismes agréés. Cela signifie que les droits et obligations qui s</w:t>
      </w:r>
      <w:r w:rsidR="00784444">
        <w:t>’</w:t>
      </w:r>
      <w:r w:rsidRPr="00BD2C13">
        <w:t>appliquent aux bailleurs et aux locataires dans le secteur locatif privé le sont maintenant aux organismes qui louent des logements sociaux.</w:t>
      </w:r>
    </w:p>
    <w:p w14:paraId="46BE5711" w14:textId="77777777" w:rsidR="005455DE" w:rsidRPr="00BD2C13" w:rsidRDefault="005455DE" w:rsidP="005455DE">
      <w:pPr>
        <w:pStyle w:val="SingleTxtG"/>
      </w:pPr>
      <w:r w:rsidRPr="00BD2C13">
        <w:t>130.</w:t>
      </w:r>
      <w:r w:rsidRPr="00BD2C13">
        <w:tab/>
        <w:t>Ce changement a sensiblement amélioré la situation des locataires de logements gérés par les organismes agréés qui, depuis le 7 avril 2016, bénéficient :</w:t>
      </w:r>
    </w:p>
    <w:p w14:paraId="0F1F0883" w14:textId="77777777" w:rsidR="005455DE" w:rsidRPr="00BD2C13" w:rsidRDefault="005455DE" w:rsidP="005455DE">
      <w:pPr>
        <w:pStyle w:val="SingleTxtG"/>
        <w:ind w:firstLine="567"/>
      </w:pPr>
      <w:r w:rsidRPr="00BD2C13">
        <w:t>a)</w:t>
      </w:r>
      <w:r w:rsidRPr="00BD2C13">
        <w:tab/>
        <w:t>D</w:t>
      </w:r>
      <w:r w:rsidR="00784444">
        <w:t>’</w:t>
      </w:r>
      <w:r w:rsidRPr="00BD2C13">
        <w:t>une meilleure protection contre le risque d</w:t>
      </w:r>
      <w:r w:rsidR="00784444">
        <w:t>’</w:t>
      </w:r>
      <w:r w:rsidRPr="00BD2C13">
        <w:t>expulsion ;</w:t>
      </w:r>
    </w:p>
    <w:p w14:paraId="34963B32" w14:textId="77777777" w:rsidR="005455DE" w:rsidRPr="00BD2C13" w:rsidRDefault="005455DE" w:rsidP="005455DE">
      <w:pPr>
        <w:pStyle w:val="SingleTxtG"/>
        <w:ind w:firstLine="567"/>
      </w:pPr>
      <w:r w:rsidRPr="00BD2C13">
        <w:t>b)</w:t>
      </w:r>
      <w:r w:rsidRPr="00BD2C13">
        <w:tab/>
        <w:t>De l</w:t>
      </w:r>
      <w:r w:rsidR="00784444">
        <w:t>’</w:t>
      </w:r>
      <w:r w:rsidRPr="00BD2C13">
        <w:t>accès aux procédures de règlement des différends de la Commission des locations de biens immobiliers à usage d</w:t>
      </w:r>
      <w:r w:rsidR="00784444">
        <w:t>’</w:t>
      </w:r>
      <w:r w:rsidRPr="00BD2C13">
        <w:t>habitation, en particulier aux services de médiation gratuits ; et</w:t>
      </w:r>
    </w:p>
    <w:p w14:paraId="0269AA16" w14:textId="77777777" w:rsidR="005455DE" w:rsidRPr="00BD2C13" w:rsidRDefault="005455DE" w:rsidP="005455DE">
      <w:pPr>
        <w:pStyle w:val="SingleTxtG"/>
        <w:ind w:firstLine="567"/>
      </w:pPr>
      <w:r w:rsidRPr="00BD2C13">
        <w:t>c)</w:t>
      </w:r>
      <w:r w:rsidRPr="00BD2C13">
        <w:tab/>
        <w:t>De l</w:t>
      </w:r>
      <w:r w:rsidR="00784444">
        <w:t>’</w:t>
      </w:r>
      <w:r w:rsidRPr="00BD2C13">
        <w:t>obligation faite aux organismes agréés, en tant que propriétaires, d</w:t>
      </w:r>
      <w:r w:rsidR="00784444">
        <w:t>’</w:t>
      </w:r>
      <w:r w:rsidRPr="00BD2C13">
        <w:t>enregistrer tous les baux, de maintenir les logements en bon état et de permettre une occupation pacifique des logements, entre autres.</w:t>
      </w:r>
    </w:p>
    <w:p w14:paraId="2AAEB4F5" w14:textId="77777777" w:rsidR="005455DE" w:rsidRPr="005D7A4C" w:rsidRDefault="005455DE" w:rsidP="005455DE">
      <w:pPr>
        <w:pStyle w:val="SingleTxtG"/>
        <w:rPr>
          <w:spacing w:val="-1"/>
        </w:rPr>
      </w:pPr>
      <w:r w:rsidRPr="005D7A4C">
        <w:rPr>
          <w:spacing w:val="-1"/>
        </w:rPr>
        <w:t>131.</w:t>
      </w:r>
      <w:r w:rsidRPr="005D7A4C">
        <w:rPr>
          <w:spacing w:val="-1"/>
        </w:rPr>
        <w:tab/>
        <w:t>Les dispositions relatives à la garantie de non-expulsion figurent dans la partie 4 de la loi de 2004 sur les locations de biens immobiliers à usage d</w:t>
      </w:r>
      <w:r w:rsidR="00784444">
        <w:rPr>
          <w:spacing w:val="-1"/>
        </w:rPr>
        <w:t>’</w:t>
      </w:r>
      <w:r w:rsidRPr="005D7A4C">
        <w:rPr>
          <w:spacing w:val="-1"/>
        </w:rPr>
        <w:t>habitation et étaient à l</w:t>
      </w:r>
      <w:r w:rsidR="00784444">
        <w:rPr>
          <w:spacing w:val="-1"/>
        </w:rPr>
        <w:t>’</w:t>
      </w:r>
      <w:r w:rsidRPr="005D7A4C">
        <w:rPr>
          <w:spacing w:val="-1"/>
        </w:rPr>
        <w:t>origine basées sur des baux de quatre ans (baux de six ans depuis 2016). Tout locataire qui, ayant occupé un logement pendant une période continue de six mois, n</w:t>
      </w:r>
      <w:r w:rsidR="00784444">
        <w:rPr>
          <w:spacing w:val="-1"/>
        </w:rPr>
        <w:t>’</w:t>
      </w:r>
      <w:r w:rsidRPr="005D7A4C">
        <w:rPr>
          <w:spacing w:val="-1"/>
        </w:rPr>
        <w:t>a pas reçu d</w:t>
      </w:r>
      <w:r w:rsidR="00784444">
        <w:rPr>
          <w:spacing w:val="-1"/>
        </w:rPr>
        <w:t>’</w:t>
      </w:r>
      <w:r w:rsidRPr="005D7A4C">
        <w:rPr>
          <w:spacing w:val="-1"/>
        </w:rPr>
        <w:t>avis valide de résiliation de son bail au cours de cette période est légalement en droit de continuer de louer le logement en question pour une période de six ans à partir du début du bail. Conformément à la partie 5 de la loi de 2004 sur les locations de biens immobiliers à usage d</w:t>
      </w:r>
      <w:r w:rsidR="00784444">
        <w:rPr>
          <w:spacing w:val="-1"/>
        </w:rPr>
        <w:t>’</w:t>
      </w:r>
      <w:r w:rsidRPr="005D7A4C">
        <w:rPr>
          <w:spacing w:val="-1"/>
        </w:rPr>
        <w:t>habitation, tout locataire ou bailleur peut résilier le bail avant l</w:t>
      </w:r>
      <w:r w:rsidR="00784444">
        <w:rPr>
          <w:spacing w:val="-1"/>
        </w:rPr>
        <w:t>’</w:t>
      </w:r>
      <w:r w:rsidRPr="005D7A4C">
        <w:rPr>
          <w:spacing w:val="-1"/>
        </w:rPr>
        <w:t>expiration du délai de six ans. L</w:t>
      </w:r>
      <w:r w:rsidR="00784444">
        <w:rPr>
          <w:spacing w:val="-1"/>
        </w:rPr>
        <w:t>’</w:t>
      </w:r>
      <w:r w:rsidRPr="005D7A4C">
        <w:rPr>
          <w:spacing w:val="-1"/>
        </w:rPr>
        <w:t>article 34 de la loi définit les motifs, limités, que le bailleur peut invoquer pour résilier le bail. Le locataire peut bénéficier de droits de location, dans le cadre d</w:t>
      </w:r>
      <w:r w:rsidR="00784444">
        <w:rPr>
          <w:spacing w:val="-1"/>
        </w:rPr>
        <w:t>’</w:t>
      </w:r>
      <w:r w:rsidRPr="005D7A4C">
        <w:rPr>
          <w:spacing w:val="-1"/>
        </w:rPr>
        <w:t>un contrat de location privé, qui sont plus avantageux que les droits de location prévus par la</w:t>
      </w:r>
      <w:r w:rsidR="005D7A4C" w:rsidRPr="005D7A4C">
        <w:rPr>
          <w:spacing w:val="-1"/>
        </w:rPr>
        <w:t xml:space="preserve"> </w:t>
      </w:r>
      <w:r w:rsidRPr="005D7A4C">
        <w:rPr>
          <w:spacing w:val="-1"/>
        </w:rPr>
        <w:t>loi.</w:t>
      </w:r>
    </w:p>
    <w:p w14:paraId="0B60DFDE" w14:textId="77777777" w:rsidR="005455DE" w:rsidRPr="00BD2C13" w:rsidRDefault="005455DE" w:rsidP="005455DE">
      <w:pPr>
        <w:pStyle w:val="SingleTxtG"/>
      </w:pPr>
      <w:r w:rsidRPr="00BD2C13">
        <w:t>132.</w:t>
      </w:r>
      <w:r w:rsidRPr="00BD2C13">
        <w:tab/>
        <w:t>La loi de 2019 sur les locations de biens immobiliers à usage d</w:t>
      </w:r>
      <w:r w:rsidR="00784444">
        <w:t>’</w:t>
      </w:r>
      <w:r w:rsidRPr="00BD2C13">
        <w:t>habitation (modification) a récemment étendu le mandat de la Commission aux logements agréés pour étudiants. Elle a mis en œuvre un certain nombre de mesures prévues dans le Plan d</w:t>
      </w:r>
      <w:r w:rsidR="00784444">
        <w:t>’</w:t>
      </w:r>
      <w:r w:rsidRPr="00BD2C13">
        <w:t>action pour le logement et le sans-abrisme « Reconstruire l</w:t>
      </w:r>
      <w:r w:rsidR="00784444">
        <w:t>’</w:t>
      </w:r>
      <w:r w:rsidRPr="00BD2C13">
        <w:t>Irlande » (</w:t>
      </w:r>
      <w:proofErr w:type="spellStart"/>
      <w:r w:rsidRPr="00BD2C13">
        <w:rPr>
          <w:i/>
          <w:iCs/>
        </w:rPr>
        <w:t>Rebuilding</w:t>
      </w:r>
      <w:proofErr w:type="spellEnd"/>
      <w:r w:rsidRPr="00BD2C13">
        <w:rPr>
          <w:i/>
          <w:iCs/>
        </w:rPr>
        <w:t xml:space="preserve"> Ireland</w:t>
      </w:r>
      <w:r w:rsidRPr="00BD2C13">
        <w:t>) et les engagements pris en septembre 2017 pour doter la Commission de pouvoirs et de ressources supplémentaires afin d</w:t>
      </w:r>
      <w:r w:rsidR="00784444">
        <w:t>’</w:t>
      </w:r>
      <w:r w:rsidRPr="00BD2C13">
        <w:t>offrir une meilleure protection aux locataires et aux propriétaires. La loi a également reconduit jusqu</w:t>
      </w:r>
      <w:r w:rsidR="00784444">
        <w:t>’</w:t>
      </w:r>
      <w:r w:rsidRPr="00BD2C13">
        <w:t>à la fin de 2021 le dispositif d</w:t>
      </w:r>
      <w:r w:rsidR="00784444">
        <w:t>’</w:t>
      </w:r>
      <w:r w:rsidRPr="00BD2C13">
        <w:t>encadrement des loyers dans les zones dites tendues, ce qui a permis de continuer de protéger les locataires de ces zones contre une hausse excessive de leurs loyers.</w:t>
      </w:r>
    </w:p>
    <w:p w14:paraId="1E790F5B" w14:textId="77777777" w:rsidR="005455DE" w:rsidRPr="00BD2C13" w:rsidRDefault="005455DE" w:rsidP="005455DE">
      <w:pPr>
        <w:pStyle w:val="SingleTxtG"/>
      </w:pPr>
      <w:r w:rsidRPr="00BD2C13">
        <w:lastRenderedPageBreak/>
        <w:t>133.</w:t>
      </w:r>
      <w:r w:rsidRPr="00BD2C13">
        <w:tab/>
        <w:t>Le Tribunal des baux et loyers a été créé en vertu de la loi de 1983 sur le logement (</w:t>
      </w:r>
      <w:r w:rsidR="005D7A4C">
        <w:t>L</w:t>
      </w:r>
      <w:r w:rsidRPr="00BD2C13">
        <w:t>ogements privés loués) (</w:t>
      </w:r>
      <w:r w:rsidR="005D7A4C">
        <w:t>M</w:t>
      </w:r>
      <w:r w:rsidRPr="00BD2C13">
        <w:t>odification). Il est également l</w:t>
      </w:r>
      <w:r w:rsidR="00784444">
        <w:t>’</w:t>
      </w:r>
      <w:r w:rsidRPr="00BD2C13">
        <w:t>organe d</w:t>
      </w:r>
      <w:r w:rsidR="00784444">
        <w:t>’</w:t>
      </w:r>
      <w:r w:rsidRPr="00BD2C13">
        <w:t>arbitrage des conditions de location de logements autrefois classés dans la catégorie des habitations à loyer modéré en vertu des lois relatives à l</w:t>
      </w:r>
      <w:r w:rsidR="00784444">
        <w:t>’</w:t>
      </w:r>
      <w:r w:rsidRPr="00BD2C13">
        <w:t>encadrement des loyers de 1960 à 1981. Le Tribunal peut statuer sur de nouvelles affaires ou réexaminer des affaires précédemment jugées par lui-même ou par un tribunal de district. Le 7 janvier 2016, le Tribunal des baux et loyers a été dissous par le Ministre du logement, de l</w:t>
      </w:r>
      <w:r w:rsidR="00784444">
        <w:t>’</w:t>
      </w:r>
      <w:r w:rsidRPr="00BD2C13">
        <w:t>aménagement du territoire et des collectivités locales et ses fonctions ont été reprises par la Commission des locations de biens immobiliers.</w:t>
      </w:r>
    </w:p>
    <w:p w14:paraId="254EE961" w14:textId="77777777" w:rsidR="005455DE" w:rsidRPr="00BD2C13" w:rsidRDefault="005455DE" w:rsidP="005455DE">
      <w:pPr>
        <w:pStyle w:val="H4G"/>
      </w:pPr>
      <w:bookmarkStart w:id="104" w:name="_Toc17908568"/>
      <w:r w:rsidRPr="00BD2C13">
        <w:tab/>
      </w:r>
      <w:r w:rsidRPr="00BD2C13">
        <w:tab/>
      </w:r>
      <w:bookmarkEnd w:id="104"/>
      <w:r w:rsidRPr="00BD2C13">
        <w:t>Autorité de réglementation des services juridiques</w:t>
      </w:r>
    </w:p>
    <w:p w14:paraId="5F5C077A" w14:textId="77777777" w:rsidR="005455DE" w:rsidRPr="00BD2C13" w:rsidRDefault="005455DE" w:rsidP="005455DE">
      <w:pPr>
        <w:pStyle w:val="SingleTxtG"/>
      </w:pPr>
      <w:r w:rsidRPr="00BD2C13">
        <w:t>134.</w:t>
      </w:r>
      <w:r w:rsidRPr="00BD2C13">
        <w:tab/>
        <w:t>Le 1</w:t>
      </w:r>
      <w:r w:rsidRPr="00BD2C13">
        <w:rPr>
          <w:vertAlign w:val="superscript"/>
        </w:rPr>
        <w:t>er</w:t>
      </w:r>
      <w:r w:rsidRPr="00BD2C13">
        <w:t xml:space="preserve"> octobre 2016, le Gouvernement a créé une autorité indépendante de réglementation des services juridiques dans le cadre des réformes des services juridiques et des frais de justice introduites par la loi de 2015 sur la réglementation des services juridiques. Cette autorité a pour mandat de mettre en place un dispositif indépendant de traitement des plaintes concernant les allégations de faute professionnelle commise par des membres de la profession juridique, en remplacement des procédures traditionnellement gérées par les organismes professionnels juridiques. </w:t>
      </w:r>
      <w:r w:rsidRPr="008B560C">
        <w:t>Cette initiative s</w:t>
      </w:r>
      <w:r w:rsidR="00784444">
        <w:t>’</w:t>
      </w:r>
      <w:r w:rsidRPr="008B560C">
        <w:t>est accompagnée</w:t>
      </w:r>
      <w:r w:rsidRPr="00BD2C13">
        <w:t xml:space="preserve"> de la création d</w:t>
      </w:r>
      <w:r w:rsidR="00784444">
        <w:t>’</w:t>
      </w:r>
      <w:r w:rsidRPr="00BD2C13">
        <w:t>un nouveau tribunal disciplinaire indépendant chargé de juger les affaires de fautes graves commises par des avocats et des avoués. La loi impose également aux membres des professions juridiques des obligations plus importantes en matière d</w:t>
      </w:r>
      <w:r w:rsidR="00784444">
        <w:t>’</w:t>
      </w:r>
      <w:r w:rsidRPr="00BD2C13">
        <w:t>information des clients sur les frais de justice et prévoit, séparément, la création d</w:t>
      </w:r>
      <w:r w:rsidR="00784444">
        <w:t>’</w:t>
      </w:r>
      <w:r w:rsidRPr="00BD2C13">
        <w:t>un nouveau bureau de règlement des différends relatifs aux frais de justice, qui remplace le magistrat taxateur, pour statuer sur les frais de justice contestés et tenir un registre public de ses décisions. Depuis sa création, l</w:t>
      </w:r>
      <w:r w:rsidR="00784444">
        <w:t>’</w:t>
      </w:r>
      <w:r w:rsidRPr="00BD2C13">
        <w:t>Autorité de réglementation des services juridiques a mené à bien une série de consultations publiques et élaboré des rapports, en particulier sur l</w:t>
      </w:r>
      <w:r w:rsidR="00784444">
        <w:t>’</w:t>
      </w:r>
      <w:r w:rsidRPr="00BD2C13">
        <w:t>introduction de nouveaux modèles de services juridiques plus compétitifs. Elle a également établi le calendrier du déploiement de ses autres fonctions et attributions dans son plan stratégique 2018-2020, accessible au public.</w:t>
      </w:r>
    </w:p>
    <w:bookmarkEnd w:id="103"/>
    <w:p w14:paraId="6897B9F8" w14:textId="77777777" w:rsidR="005455DE" w:rsidRPr="00BD2C13" w:rsidRDefault="005455DE" w:rsidP="005455DE">
      <w:pPr>
        <w:pStyle w:val="H4G"/>
      </w:pPr>
      <w:r w:rsidRPr="00BD2C13">
        <w:tab/>
      </w:r>
      <w:r w:rsidRPr="00BD2C13">
        <w:tab/>
        <w:t>Société civile</w:t>
      </w:r>
    </w:p>
    <w:p w14:paraId="1FC65974" w14:textId="77777777" w:rsidR="00E44E26" w:rsidRPr="00BD2C13" w:rsidRDefault="005455DE" w:rsidP="005455DE">
      <w:pPr>
        <w:pStyle w:val="SingleTxtG"/>
      </w:pPr>
      <w:r w:rsidRPr="00BD2C13">
        <w:t>135.</w:t>
      </w:r>
      <w:r w:rsidRPr="00BD2C13">
        <w:tab/>
        <w:t>L</w:t>
      </w:r>
      <w:r w:rsidR="00784444">
        <w:t>’</w:t>
      </w:r>
      <w:r w:rsidRPr="00BD2C13">
        <w:t>Irlande est pleinement attachée au principe d</w:t>
      </w:r>
      <w:r w:rsidR="00784444">
        <w:t>’</w:t>
      </w:r>
      <w:r w:rsidRPr="00BD2C13">
        <w:t>une démocratie ouverte et pluraliste et se félicite du rôle que joue à cet égard une société civile diversifiée dans laquelle chacun peut trouver sa place. Le Gouvernement est conscient du rôle que peut jouer le dialogue social pour promouvoir la compréhension interculturelle dans tous les secteurs de la société. Les ministres et les services dont ils ont la charge maintiennent des échanges réguliers avec les représentants de tous les secteurs de la société. Les gouvernements successifs ont attaché une grande importance à la contribution de la communauté des ONG dans le domaine des droits de l</w:t>
      </w:r>
      <w:r w:rsidR="00784444">
        <w:t>’</w:t>
      </w:r>
      <w:r w:rsidRPr="00BD2C13">
        <w:t>homme. Afin d</w:t>
      </w:r>
      <w:r w:rsidR="00784444">
        <w:t>’</w:t>
      </w:r>
      <w:r w:rsidRPr="00BD2C13">
        <w:t xml:space="preserve">inscrire dans un cadre officiel les échanges de vues réguliers entre le </w:t>
      </w:r>
      <w:bookmarkStart w:id="105" w:name="_Hlk37752414"/>
      <w:r w:rsidRPr="00BD2C13">
        <w:t xml:space="preserve">Ministère des affaires étrangères et </w:t>
      </w:r>
      <w:r w:rsidRPr="00B85E6C">
        <w:t>du commerce</w:t>
      </w:r>
      <w:r w:rsidRPr="00BD2C13">
        <w:t xml:space="preserve"> et les représentants de la communauté des ONG, il a été créé un Comité permanent conjoint Ministère des affaires étrangères et du </w:t>
      </w:r>
      <w:r w:rsidRPr="00B85E6C">
        <w:t>commerce</w:t>
      </w:r>
      <w:bookmarkEnd w:id="105"/>
      <w:r w:rsidRPr="00B85E6C">
        <w:t>/</w:t>
      </w:r>
      <w:r w:rsidRPr="00BD2C13">
        <w:t>ONG (anciennement, Comité permanent des ONG) chargé des droits de l</w:t>
      </w:r>
      <w:r w:rsidR="00784444">
        <w:t>’</w:t>
      </w:r>
      <w:r w:rsidRPr="00BD2C13">
        <w:t>homme, qui réunit des représentants des ONG et des experts, ainsi que des fonctionnaires du Ministère. De plus, un forum sur les droits de l</w:t>
      </w:r>
      <w:r w:rsidR="00784444">
        <w:t>’</w:t>
      </w:r>
      <w:r w:rsidRPr="00BD2C13">
        <w:t>homme auquel sont invitées toutes les ONG intéressées est organisé chaque année.</w:t>
      </w:r>
    </w:p>
    <w:p w14:paraId="1762825F" w14:textId="77777777" w:rsidR="00C62ED8" w:rsidRPr="00BD2C13" w:rsidRDefault="00C62ED8" w:rsidP="00C62ED8">
      <w:pPr>
        <w:pStyle w:val="H1G"/>
      </w:pPr>
      <w:bookmarkStart w:id="106" w:name="_Toc378170252"/>
      <w:bookmarkStart w:id="107" w:name="_Toc17908569"/>
      <w:r w:rsidRPr="00BD2C13">
        <w:tab/>
        <w:t>C.</w:t>
      </w:r>
      <w:r w:rsidRPr="00BD2C13">
        <w:tab/>
      </w:r>
      <w:bookmarkEnd w:id="106"/>
      <w:bookmarkEnd w:id="107"/>
      <w:r w:rsidRPr="00BD2C13">
        <w:t>Cadre de la promotion des droits de l</w:t>
      </w:r>
      <w:r w:rsidR="00784444">
        <w:t>’</w:t>
      </w:r>
      <w:r w:rsidRPr="00BD2C13">
        <w:t>homme au niveau national</w:t>
      </w:r>
    </w:p>
    <w:p w14:paraId="39303813" w14:textId="77777777" w:rsidR="00C62ED8" w:rsidRPr="00BD2C13" w:rsidRDefault="00C62ED8" w:rsidP="00C62ED8">
      <w:pPr>
        <w:pStyle w:val="H23G"/>
      </w:pPr>
      <w:bookmarkStart w:id="108" w:name="_Toc17908570"/>
      <w:r w:rsidRPr="00BD2C13">
        <w:tab/>
        <w:t>1.</w:t>
      </w:r>
      <w:r w:rsidRPr="00BD2C13">
        <w:tab/>
      </w:r>
      <w:bookmarkEnd w:id="108"/>
      <w:r w:rsidRPr="00BD2C13">
        <w:t>Parlements et organes délibérants nationaux et régionaux</w:t>
      </w:r>
    </w:p>
    <w:p w14:paraId="09E40846" w14:textId="77777777" w:rsidR="00C62ED8" w:rsidRPr="00BD2C13" w:rsidRDefault="00C62ED8" w:rsidP="00C62ED8">
      <w:pPr>
        <w:pStyle w:val="SingleTxtG"/>
      </w:pPr>
      <w:bookmarkStart w:id="109" w:name="OLE_LINK38"/>
      <w:bookmarkStart w:id="110" w:name="OLE_LINK39"/>
      <w:r w:rsidRPr="00BD2C13">
        <w:t>136.</w:t>
      </w:r>
      <w:r w:rsidRPr="00BD2C13">
        <w:tab/>
        <w:t>Plusieurs commissions conjointes de l</w:t>
      </w:r>
      <w:r w:rsidR="00784444">
        <w:t>’</w:t>
      </w:r>
      <w:proofErr w:type="spellStart"/>
      <w:r w:rsidRPr="00BD2C13">
        <w:t>Oireachtas</w:t>
      </w:r>
      <w:proofErr w:type="spellEnd"/>
      <w:r w:rsidRPr="00BD2C13">
        <w:t xml:space="preserve"> examinent les questions importantes en lien avec les droits de l</w:t>
      </w:r>
      <w:r w:rsidR="00784444">
        <w:t>’</w:t>
      </w:r>
      <w:r w:rsidRPr="00BD2C13">
        <w:t>homme et les affaires publiques. Il s</w:t>
      </w:r>
      <w:r w:rsidR="00784444">
        <w:t>’</w:t>
      </w:r>
      <w:r w:rsidRPr="00BD2C13">
        <w:t>agit notamment de la Commission conjointe de la protection sociale, de la Commission conjointe de la santé, de la Commission conjointe de l</w:t>
      </w:r>
      <w:r w:rsidR="00784444">
        <w:t>’</w:t>
      </w:r>
      <w:r w:rsidRPr="00BD2C13">
        <w:t>enfance et de la jeunesse, de la Commission conjointe de la justice et de l</w:t>
      </w:r>
      <w:r w:rsidR="00784444">
        <w:t>’</w:t>
      </w:r>
      <w:r w:rsidRPr="00BD2C13">
        <w:t>égalité et de la Commission conjointe des affaires étrangères, du commerce et de la défense.</w:t>
      </w:r>
    </w:p>
    <w:p w14:paraId="0C1E10F7" w14:textId="77777777" w:rsidR="00C62ED8" w:rsidRPr="00BD2C13" w:rsidRDefault="00C62ED8" w:rsidP="00C62ED8">
      <w:pPr>
        <w:pStyle w:val="H23G"/>
      </w:pPr>
      <w:bookmarkStart w:id="111" w:name="_Toc17908571"/>
      <w:bookmarkEnd w:id="109"/>
      <w:bookmarkEnd w:id="110"/>
      <w:r w:rsidRPr="00BD2C13">
        <w:lastRenderedPageBreak/>
        <w:tab/>
        <w:t>2.</w:t>
      </w:r>
      <w:r w:rsidRPr="00BD2C13">
        <w:tab/>
      </w:r>
      <w:bookmarkEnd w:id="111"/>
      <w:r w:rsidRPr="00BD2C13">
        <w:t>Diffusion des instruments relatifs aux droits de l</w:t>
      </w:r>
      <w:r w:rsidR="00784444">
        <w:t>’</w:t>
      </w:r>
      <w:r w:rsidRPr="00BD2C13">
        <w:t>homme</w:t>
      </w:r>
    </w:p>
    <w:p w14:paraId="787D9BA9" w14:textId="79A8FE6D" w:rsidR="00C62ED8" w:rsidRPr="00BD2C13" w:rsidRDefault="00C62ED8" w:rsidP="002430FE">
      <w:pPr>
        <w:pStyle w:val="SingleTxtG"/>
      </w:pPr>
      <w:r w:rsidRPr="00BD2C13">
        <w:t>137.</w:t>
      </w:r>
      <w:r w:rsidRPr="00BD2C13">
        <w:tab/>
        <w:t>Les informations concernant les principaux instruments relatifs aux droits de l</w:t>
      </w:r>
      <w:r w:rsidR="00784444">
        <w:t>’</w:t>
      </w:r>
      <w:r w:rsidRPr="00BD2C13">
        <w:t>homme que l</w:t>
      </w:r>
      <w:r w:rsidR="00784444">
        <w:t>’</w:t>
      </w:r>
      <w:r w:rsidRPr="00BD2C13">
        <w:t>Irlande a ratifiés et les rapports nationaux sur la mise en œuvre de ces instruments qui ont été soumis à l</w:t>
      </w:r>
      <w:r w:rsidR="00784444">
        <w:t>’</w:t>
      </w:r>
      <w:r w:rsidRPr="00BD2C13">
        <w:t>ONU peuvent être consultés sur le site Web du Ministère des affaires étrangères et du commerce (</w:t>
      </w:r>
      <w:hyperlink r:id="rId13" w:history="1">
        <w:r w:rsidRPr="00BD2C13">
          <w:rPr>
            <w:rStyle w:val="Lienhypertexte"/>
          </w:rPr>
          <w:t>www.dfa.ie</w:t>
        </w:r>
      </w:hyperlink>
      <w:r w:rsidRPr="00BD2C13">
        <w:t>).</w:t>
      </w:r>
      <w:r w:rsidR="007A54A8">
        <w:t xml:space="preserve"> </w:t>
      </w:r>
      <w:r w:rsidRPr="00BD2C13">
        <w:t>Les différents ministères chargés de faire appliquer et respecter les instruments de l</w:t>
      </w:r>
      <w:r w:rsidR="00784444">
        <w:t>’</w:t>
      </w:r>
      <w:r w:rsidRPr="00BD2C13">
        <w:t>ONU relatifs aux droits de l</w:t>
      </w:r>
      <w:r w:rsidR="00784444">
        <w:t>’</w:t>
      </w:r>
      <w:r w:rsidRPr="00BD2C13">
        <w:t>homme sont également chargés de leur diffusion.</w:t>
      </w:r>
    </w:p>
    <w:p w14:paraId="05C98AA0" w14:textId="77777777" w:rsidR="005455DE" w:rsidRPr="00BD2C13" w:rsidRDefault="00C62ED8" w:rsidP="002430FE">
      <w:pPr>
        <w:pStyle w:val="SingleTxtG"/>
      </w:pPr>
      <w:r w:rsidRPr="00BD2C13">
        <w:t>138.</w:t>
      </w:r>
      <w:r w:rsidRPr="00BD2C13">
        <w:tab/>
        <w:t>La Déclaration universelle des droits de l</w:t>
      </w:r>
      <w:r w:rsidR="00784444">
        <w:t>’</w:t>
      </w:r>
      <w:r w:rsidRPr="00BD2C13">
        <w:t>homme a été imprimée dans les deux langues nationales et largement distribuée. En outre, des exemplaires des instruments internationaux relatifs aux droits de l</w:t>
      </w:r>
      <w:r w:rsidR="00784444">
        <w:t>’</w:t>
      </w:r>
      <w:r w:rsidRPr="00BD2C13">
        <w:t>homme que l</w:t>
      </w:r>
      <w:r w:rsidR="00784444">
        <w:t>’</w:t>
      </w:r>
      <w:r w:rsidRPr="00BD2C13">
        <w:t xml:space="preserve">Irlande a ratifiés ont été mis à la disposition de la population et distribués aux membres du </w:t>
      </w:r>
      <w:proofErr w:type="spellStart"/>
      <w:r w:rsidRPr="00BD2C13">
        <w:t>Dáil</w:t>
      </w:r>
      <w:proofErr w:type="spellEnd"/>
      <w:r w:rsidRPr="00BD2C13">
        <w:t xml:space="preserve"> </w:t>
      </w:r>
      <w:proofErr w:type="spellStart"/>
      <w:r w:rsidRPr="00BD2C13">
        <w:t>Éireann</w:t>
      </w:r>
      <w:proofErr w:type="spellEnd"/>
      <w:r w:rsidRPr="00BD2C13">
        <w:t>.</w:t>
      </w:r>
    </w:p>
    <w:p w14:paraId="1FD7C2B7" w14:textId="77777777" w:rsidR="002430FE" w:rsidRPr="00BD2C13" w:rsidRDefault="002430FE" w:rsidP="002430FE">
      <w:pPr>
        <w:pStyle w:val="H23G"/>
      </w:pPr>
      <w:r w:rsidRPr="00BD2C13">
        <w:tab/>
        <w:t>3.</w:t>
      </w:r>
      <w:r w:rsidRPr="00BD2C13">
        <w:tab/>
        <w:t>Action de sensibilisation des agents publics aux droits de l</w:t>
      </w:r>
      <w:r w:rsidR="00784444">
        <w:t>’</w:t>
      </w:r>
      <w:r w:rsidRPr="00BD2C13">
        <w:t>homme</w:t>
      </w:r>
    </w:p>
    <w:p w14:paraId="3355AEDD" w14:textId="77777777" w:rsidR="002430FE" w:rsidRPr="00BD2C13" w:rsidRDefault="002430FE" w:rsidP="002430FE">
      <w:pPr>
        <w:pStyle w:val="SingleTxtG"/>
      </w:pPr>
      <w:r w:rsidRPr="00BD2C13">
        <w:t>139.</w:t>
      </w:r>
      <w:r w:rsidRPr="00BD2C13">
        <w:tab/>
        <w:t>Le Gouvernement irlandais s</w:t>
      </w:r>
      <w:r w:rsidR="00784444">
        <w:t>’</w:t>
      </w:r>
      <w:r w:rsidRPr="00BD2C13">
        <w:t>efforce de veiller à ce que tous les agents publics aient connaissance des obligations qui leur incombent en vertu de différents instruments relatifs aux droits de l</w:t>
      </w:r>
      <w:r w:rsidR="00784444">
        <w:t>’</w:t>
      </w:r>
      <w:r w:rsidRPr="00BD2C13">
        <w:t>homme. Une formation aux droits de l</w:t>
      </w:r>
      <w:r w:rsidR="00784444">
        <w:t>’</w:t>
      </w:r>
      <w:r w:rsidRPr="00BD2C13">
        <w:t xml:space="preserve">homme est dispensée notamment aux membres de la Garda </w:t>
      </w:r>
      <w:proofErr w:type="spellStart"/>
      <w:r w:rsidRPr="00BD2C13">
        <w:t>Síochána</w:t>
      </w:r>
      <w:proofErr w:type="spellEnd"/>
      <w:r w:rsidRPr="00BD2C13">
        <w:t xml:space="preserve"> et des forces de défense, ainsi qu</w:t>
      </w:r>
      <w:r w:rsidR="00784444">
        <w:t>’</w:t>
      </w:r>
      <w:r w:rsidRPr="00BD2C13">
        <w:t>au personnel pénitentiaire du Service pénitentiaire irlandais.</w:t>
      </w:r>
    </w:p>
    <w:p w14:paraId="79221997" w14:textId="77777777" w:rsidR="002430FE" w:rsidRPr="00BD2C13" w:rsidRDefault="002430FE" w:rsidP="002430FE">
      <w:pPr>
        <w:pStyle w:val="SingleTxtG"/>
      </w:pPr>
      <w:bookmarkStart w:id="112" w:name="_Hlk31371677"/>
      <w:r w:rsidRPr="00BD2C13">
        <w:t>140.</w:t>
      </w:r>
      <w:r w:rsidRPr="00BD2C13">
        <w:tab/>
        <w:t>La Commission irlandaise des droits de l</w:t>
      </w:r>
      <w:r w:rsidR="00784444">
        <w:t>’</w:t>
      </w:r>
      <w:r w:rsidRPr="00BD2C13">
        <w:t>homme et de l</w:t>
      </w:r>
      <w:r w:rsidR="00784444">
        <w:t>’</w:t>
      </w:r>
      <w:r w:rsidRPr="00BD2C13">
        <w:t>égalité a pour mandat de promouvoir et de protéger les droits de l</w:t>
      </w:r>
      <w:r w:rsidR="00784444">
        <w:t>’</w:t>
      </w:r>
      <w:r w:rsidRPr="00BD2C13">
        <w:t>homme et l</w:t>
      </w:r>
      <w:r w:rsidR="00784444">
        <w:t>’</w:t>
      </w:r>
      <w:r w:rsidRPr="00BD2C13">
        <w:t>égalité, conformément à la loi de 2014 sur la Commission irlandaise des droits de l</w:t>
      </w:r>
      <w:r w:rsidR="00784444">
        <w:t>’</w:t>
      </w:r>
      <w:r w:rsidRPr="00BD2C13">
        <w:t>homme et de l</w:t>
      </w:r>
      <w:r w:rsidR="00784444">
        <w:t>’</w:t>
      </w:r>
      <w:r w:rsidRPr="00BD2C13">
        <w:t>égalité. L</w:t>
      </w:r>
      <w:r w:rsidR="00784444">
        <w:t>’</w:t>
      </w:r>
      <w:r w:rsidRPr="00BD2C13">
        <w:t>une de ses fonctions spécifiques est de promouvoir l</w:t>
      </w:r>
      <w:r w:rsidR="00784444">
        <w:t>’</w:t>
      </w:r>
      <w:r w:rsidRPr="00BD2C13">
        <w:t>éducation et la formation aux droits de l</w:t>
      </w:r>
      <w:r w:rsidR="00784444">
        <w:t>’</w:t>
      </w:r>
      <w:r w:rsidRPr="00BD2C13">
        <w:t>homme et la sensibilisation à ces droits. L</w:t>
      </w:r>
      <w:r w:rsidR="00784444">
        <w:t>’</w:t>
      </w:r>
      <w:r w:rsidRPr="00BD2C13">
        <w:t>ancienne Commission irlandaise des droits de l</w:t>
      </w:r>
      <w:r w:rsidR="00784444">
        <w:t>’</w:t>
      </w:r>
      <w:r w:rsidRPr="00BD2C13">
        <w:t>homme avait élaboré un projet d</w:t>
      </w:r>
      <w:r w:rsidR="00784444">
        <w:t>’</w:t>
      </w:r>
      <w:r w:rsidRPr="00BD2C13">
        <w:t>éducation et de formation aux droits de l</w:t>
      </w:r>
      <w:r w:rsidR="00784444">
        <w:t>’</w:t>
      </w:r>
      <w:r w:rsidRPr="00BD2C13">
        <w:t>homme spécifiquement destiné aux agents de la fonction publique et du service public.</w:t>
      </w:r>
    </w:p>
    <w:bookmarkEnd w:id="112"/>
    <w:p w14:paraId="2C3CB6BC" w14:textId="77777777" w:rsidR="002430FE" w:rsidRPr="00BD2C13" w:rsidRDefault="002430FE" w:rsidP="002430FE">
      <w:pPr>
        <w:pStyle w:val="SingleTxtG"/>
      </w:pPr>
      <w:r w:rsidRPr="00BD2C13">
        <w:t>141.</w:t>
      </w:r>
      <w:r w:rsidRPr="00BD2C13">
        <w:tab/>
        <w:t>L</w:t>
      </w:r>
      <w:r w:rsidR="00784444">
        <w:t>’</w:t>
      </w:r>
      <w:r w:rsidRPr="00BD2C13">
        <w:t>École irlandaise de formation aux opérations des Nations Unies dispense régulièrement des cours relatifs aux droits de l</w:t>
      </w:r>
      <w:r w:rsidR="00784444">
        <w:t>’</w:t>
      </w:r>
      <w:r w:rsidRPr="00BD2C13">
        <w:t>homme dans le Centre de formation des forces de défense à l</w:t>
      </w:r>
      <w:r w:rsidR="00784444">
        <w:t>’</w:t>
      </w:r>
      <w:r w:rsidRPr="00BD2C13">
        <w:t>intention des membres des forces de défense irlandaises mais aussi étrangères. Cette École donne également des cours aux membres de la Garda, aux fonctionnaires, aux acteurs humanitaires, aux étudiants et aux universitaires. L</w:t>
      </w:r>
      <w:r w:rsidR="00784444">
        <w:t>’</w:t>
      </w:r>
      <w:r w:rsidRPr="00BD2C13">
        <w:t>ensemble du programme de formation s</w:t>
      </w:r>
      <w:r w:rsidR="00784444">
        <w:t>’</w:t>
      </w:r>
      <w:r w:rsidRPr="00BD2C13">
        <w:t>appuie sur le programme proposé par le Haut</w:t>
      </w:r>
      <w:r w:rsidRPr="00BD2C13">
        <w:noBreakHyphen/>
        <w:t>Commissariat des Nations Unies aux droits de l</w:t>
      </w:r>
      <w:r w:rsidR="00784444">
        <w:t>’</w:t>
      </w:r>
      <w:r w:rsidRPr="00BD2C13">
        <w:t>homme.</w:t>
      </w:r>
    </w:p>
    <w:p w14:paraId="303B0DF5" w14:textId="77777777" w:rsidR="002430FE" w:rsidRPr="00BD2C13" w:rsidRDefault="002430FE" w:rsidP="002430FE">
      <w:pPr>
        <w:pStyle w:val="SingleTxtG"/>
      </w:pPr>
      <w:r w:rsidRPr="00BD2C13">
        <w:t>142.</w:t>
      </w:r>
      <w:r w:rsidRPr="00BD2C13">
        <w:tab/>
        <w:t>Depuis 2007, tous les agents pénitentiaires recrutés par l</w:t>
      </w:r>
      <w:r w:rsidR="00784444">
        <w:t>’</w:t>
      </w:r>
      <w:r w:rsidRPr="00BD2C13">
        <w:t>administration pénitentiaire irlandaise doivent obtenir le certificat supérieur d</w:t>
      </w:r>
      <w:r w:rsidR="00784444">
        <w:t>’</w:t>
      </w:r>
      <w:r w:rsidRPr="00BD2C13">
        <w:t>intervention en milieu carcéral, une formation sur mesure de niveau 6 d</w:t>
      </w:r>
      <w:r w:rsidR="00784444">
        <w:t>’</w:t>
      </w:r>
      <w:r w:rsidRPr="00BD2C13">
        <w:t>une durée de deux ans conçue, élaborée et proposée par l</w:t>
      </w:r>
      <w:r w:rsidR="00784444">
        <w:t>’</w:t>
      </w:r>
      <w:r w:rsidRPr="00BD2C13">
        <w:t>administration pénitentiaire et un partenaire universitaire, actuellement l</w:t>
      </w:r>
      <w:r w:rsidR="00784444">
        <w:t>’</w:t>
      </w:r>
      <w:r w:rsidRPr="00BD2C13">
        <w:t>Institut de technologie de Waterford. Plus de 900 personnes ont terminé ou sont sur le point de terminer cette formation. La formation dispensée au personnel pénitentiaire met largement l</w:t>
      </w:r>
      <w:r w:rsidR="00784444">
        <w:t>’</w:t>
      </w:r>
      <w:r w:rsidRPr="00BD2C13">
        <w:t>accent sur les droits fondamentaux des détenus. L</w:t>
      </w:r>
      <w:r w:rsidR="00784444">
        <w:t>’</w:t>
      </w:r>
      <w:r w:rsidRPr="00BD2C13">
        <w:t>architecture du programme repose sur les droits de l</w:t>
      </w:r>
      <w:r w:rsidR="00784444">
        <w:t>’</w:t>
      </w:r>
      <w:r w:rsidRPr="00BD2C13">
        <w:t>homme et le cadre général des droits de l</w:t>
      </w:r>
      <w:r w:rsidR="00784444">
        <w:t>’</w:t>
      </w:r>
      <w:r w:rsidRPr="00BD2C13">
        <w:t>homme est abordé dès le premier semestre d</w:t>
      </w:r>
      <w:r w:rsidR="00784444">
        <w:t>’</w:t>
      </w:r>
      <w:r w:rsidRPr="00BD2C13">
        <w:t>études.</w:t>
      </w:r>
    </w:p>
    <w:p w14:paraId="64934AAA" w14:textId="77777777" w:rsidR="002430FE" w:rsidRPr="00BD2C13" w:rsidRDefault="002430FE" w:rsidP="002430FE">
      <w:pPr>
        <w:pStyle w:val="SingleTxtG"/>
      </w:pPr>
      <w:r w:rsidRPr="00BD2C13">
        <w:t>143.</w:t>
      </w:r>
      <w:r w:rsidRPr="00BD2C13">
        <w:tab/>
        <w:t>L</w:t>
      </w:r>
      <w:r w:rsidR="00784444">
        <w:t>’</w:t>
      </w:r>
      <w:r w:rsidRPr="00BD2C13">
        <w:t>École irlandaise d</w:t>
      </w:r>
      <w:r w:rsidR="00784444">
        <w:t>’</w:t>
      </w:r>
      <w:r w:rsidRPr="00BD2C13">
        <w:t>administration pénitentiaire, en partenariat avec la Commission irlandaise des droits de l</w:t>
      </w:r>
      <w:r w:rsidR="00784444">
        <w:t>’</w:t>
      </w:r>
      <w:r w:rsidRPr="00BD2C13">
        <w:t>homme et de l</w:t>
      </w:r>
      <w:r w:rsidR="00784444">
        <w:t>’</w:t>
      </w:r>
      <w:r w:rsidRPr="00BD2C13">
        <w:t>égalité, a élaboré une formation actualisée, sur mesure et fondée sur une approche participative à l</w:t>
      </w:r>
      <w:r w:rsidR="00784444">
        <w:t>’</w:t>
      </w:r>
      <w:r w:rsidRPr="00BD2C13">
        <w:t>intention de ses formateurs. Ce nouveau programme englobe le cadre des droits de l</w:t>
      </w:r>
      <w:r w:rsidR="00784444">
        <w:t>’</w:t>
      </w:r>
      <w:r w:rsidRPr="00BD2C13">
        <w:t>homme et la mise en œuvre des principes en lien avec ces droits, tels que la dignité, le respect, l</w:t>
      </w:r>
      <w:r w:rsidR="00784444">
        <w:t>’</w:t>
      </w:r>
      <w:r w:rsidRPr="00BD2C13">
        <w:t>égalité, la proportionnalité et la transparence. Il permettra aux formateurs de dispenser un cours de deux heures à l</w:t>
      </w:r>
      <w:r w:rsidR="00784444">
        <w:t>’</w:t>
      </w:r>
      <w:r w:rsidRPr="00BD2C13">
        <w:t>ensemble du personnel pénitentiaire du pays et d</w:t>
      </w:r>
      <w:r w:rsidR="00784444">
        <w:t>’</w:t>
      </w:r>
      <w:r w:rsidRPr="00BD2C13">
        <w:t>insister sur les principes de dignité et de respect dans les échanges quotidiens entre gardiens et détenus. Le programme sera lancé en 2019 dans le cadre d</w:t>
      </w:r>
      <w:r w:rsidR="00784444">
        <w:t>’</w:t>
      </w:r>
      <w:r w:rsidRPr="00BD2C13">
        <w:t>un programme de formation continue de deux jours s</w:t>
      </w:r>
      <w:r w:rsidR="00784444">
        <w:t>’</w:t>
      </w:r>
      <w:r w:rsidRPr="00BD2C13">
        <w:t>adressant à l</w:t>
      </w:r>
      <w:r w:rsidR="00784444">
        <w:t>’</w:t>
      </w:r>
      <w:r w:rsidRPr="00BD2C13">
        <w:t>ensemble du personnel pénitentiaire.</w:t>
      </w:r>
    </w:p>
    <w:p w14:paraId="01A453B9" w14:textId="77777777" w:rsidR="002430FE" w:rsidRPr="00BD2C13" w:rsidRDefault="002430FE" w:rsidP="002430FE">
      <w:pPr>
        <w:pStyle w:val="SingleTxtG"/>
      </w:pPr>
      <w:bookmarkStart w:id="113" w:name="_Hlk31371713"/>
      <w:r w:rsidRPr="00BD2C13">
        <w:t>144.</w:t>
      </w:r>
      <w:r w:rsidRPr="00BD2C13">
        <w:tab/>
        <w:t>En vertu de l</w:t>
      </w:r>
      <w:r w:rsidR="00784444">
        <w:t>’</w:t>
      </w:r>
      <w:r w:rsidRPr="00BD2C13">
        <w:t xml:space="preserve">article 7 de la loi de 2005 sur la Garda </w:t>
      </w:r>
      <w:proofErr w:type="spellStart"/>
      <w:r w:rsidRPr="00BD2C13">
        <w:t>Síochána</w:t>
      </w:r>
      <w:proofErr w:type="spellEnd"/>
      <w:r w:rsidRPr="00BD2C13">
        <w:t xml:space="preserve">, la fonction de la Garda </w:t>
      </w:r>
      <w:proofErr w:type="spellStart"/>
      <w:r w:rsidRPr="00BD2C13">
        <w:t>Síochána</w:t>
      </w:r>
      <w:proofErr w:type="spellEnd"/>
      <w:r w:rsidRPr="00BD2C13">
        <w:t xml:space="preserve"> est de fournir des services de police et de sécurité à l</w:t>
      </w:r>
      <w:r w:rsidR="00784444">
        <w:t>’</w:t>
      </w:r>
      <w:r w:rsidRPr="00BD2C13">
        <w:t>État assortis d</w:t>
      </w:r>
      <w:r w:rsidR="00784444">
        <w:t>’</w:t>
      </w:r>
      <w:r w:rsidRPr="00BD2C13">
        <w:t>objectifs spécifiques, en particulier la défense des droits fondamentaux de chaque individu.</w:t>
      </w:r>
      <w:r w:rsidR="007A54A8">
        <w:t xml:space="preserve"> </w:t>
      </w:r>
      <w:r w:rsidRPr="00BD2C13">
        <w:t xml:space="preserve">Ce faisant, elle est liée par des obligations, notamment celles énoncées à </w:t>
      </w:r>
      <w:r w:rsidRPr="00BD2C13">
        <w:lastRenderedPageBreak/>
        <w:t>l</w:t>
      </w:r>
      <w:r w:rsidR="00784444">
        <w:t>’</w:t>
      </w:r>
      <w:r w:rsidRPr="00BD2C13">
        <w:t>article</w:t>
      </w:r>
      <w:r w:rsidR="00C460DA">
        <w:t> </w:t>
      </w:r>
      <w:r w:rsidRPr="00BD2C13">
        <w:t>3 de la loi de 2003 sur la Convention européenne des droits de l</w:t>
      </w:r>
      <w:r w:rsidR="00784444">
        <w:t>’</w:t>
      </w:r>
      <w:r w:rsidRPr="00BD2C13">
        <w:t>homme et à l</w:t>
      </w:r>
      <w:r w:rsidR="00784444">
        <w:t>’</w:t>
      </w:r>
      <w:r w:rsidRPr="00BD2C13">
        <w:t>article 42 de la loi de 2014 sur la Commission irlandaise des droits de l</w:t>
      </w:r>
      <w:r w:rsidR="00784444">
        <w:t>’</w:t>
      </w:r>
      <w:r w:rsidRPr="00BD2C13">
        <w:t>homme et de l</w:t>
      </w:r>
      <w:r w:rsidR="00784444">
        <w:t>’</w:t>
      </w:r>
      <w:r w:rsidRPr="00BD2C13">
        <w:t>égalité.</w:t>
      </w:r>
    </w:p>
    <w:p w14:paraId="182C8C45" w14:textId="77777777" w:rsidR="002430FE" w:rsidRPr="00BD2C13" w:rsidRDefault="002430FE" w:rsidP="002430FE">
      <w:pPr>
        <w:pStyle w:val="SingleTxtG"/>
      </w:pPr>
      <w:r w:rsidRPr="00BD2C13">
        <w:t>145.</w:t>
      </w:r>
      <w:r w:rsidRPr="00BD2C13">
        <w:tab/>
        <w:t xml:space="preserve">Le plan de police 2017 et la déclaration de stratégie 2016-2018 de la Garda </w:t>
      </w:r>
      <w:proofErr w:type="spellStart"/>
      <w:r w:rsidRPr="00BD2C13">
        <w:t>Síochána</w:t>
      </w:r>
      <w:proofErr w:type="spellEnd"/>
      <w:r w:rsidRPr="00BD2C13">
        <w:t xml:space="preserve"> illustrent l</w:t>
      </w:r>
      <w:r w:rsidR="00784444">
        <w:t>’</w:t>
      </w:r>
      <w:r w:rsidRPr="00BD2C13">
        <w:t>importance accordée aux droits de l</w:t>
      </w:r>
      <w:r w:rsidR="00784444">
        <w:t>’</w:t>
      </w:r>
      <w:r w:rsidRPr="00BD2C13">
        <w:t>homme. Un code d</w:t>
      </w:r>
      <w:r w:rsidR="00784444">
        <w:t>’</w:t>
      </w:r>
      <w:r w:rsidRPr="00BD2C13">
        <w:t>éthique a été publié en janvier 2017, dans lequel ces droits occupent une place prépondérante. En outre, chaque membre de la Garda est tenu, lors de sa nomination, de prendre l</w:t>
      </w:r>
      <w:r w:rsidR="00784444">
        <w:t>’</w:t>
      </w:r>
      <w:r w:rsidRPr="00BD2C13">
        <w:t>engagement solennel d</w:t>
      </w:r>
      <w:r w:rsidR="00784444">
        <w:t>’</w:t>
      </w:r>
      <w:r w:rsidRPr="00BD2C13">
        <w:t>exercer ses fonctions avec « équité, intégrité, diligence et impartialité, de respecter les droits de l</w:t>
      </w:r>
      <w:r w:rsidR="00784444">
        <w:t>’</w:t>
      </w:r>
      <w:r w:rsidRPr="00BD2C13">
        <w:t>homme, la Constitution et les lois et d</w:t>
      </w:r>
      <w:r w:rsidR="00784444">
        <w:t>’</w:t>
      </w:r>
      <w:r w:rsidRPr="00BD2C13">
        <w:t>accorder un respect égal à tous ».</w:t>
      </w:r>
    </w:p>
    <w:p w14:paraId="000DDF0E" w14:textId="77777777" w:rsidR="002430FE" w:rsidRPr="00BD2C13" w:rsidRDefault="002430FE" w:rsidP="002430FE">
      <w:pPr>
        <w:pStyle w:val="SingleTxtG"/>
      </w:pPr>
      <w:r w:rsidRPr="00BD2C13">
        <w:t>146.</w:t>
      </w:r>
      <w:r w:rsidRPr="00BD2C13">
        <w:tab/>
        <w:t xml:space="preserve">La Garda </w:t>
      </w:r>
      <w:proofErr w:type="spellStart"/>
      <w:r w:rsidRPr="00BD2C13">
        <w:t>Síochána</w:t>
      </w:r>
      <w:proofErr w:type="spellEnd"/>
      <w:r w:rsidRPr="00BD2C13">
        <w:t xml:space="preserve"> a pris et déploie actuellement un certain nombre de mesures pour s</w:t>
      </w:r>
      <w:r w:rsidR="00784444">
        <w:t>’</w:t>
      </w:r>
      <w:r w:rsidRPr="00BD2C13">
        <w:t>assurer qu</w:t>
      </w:r>
      <w:r w:rsidR="00784444">
        <w:t>’</w:t>
      </w:r>
      <w:r w:rsidRPr="00BD2C13">
        <w:t>elle fournit des services de police et de sécurité fondés sur le respect des droits de l</w:t>
      </w:r>
      <w:r w:rsidR="00784444">
        <w:t>’</w:t>
      </w:r>
      <w:r w:rsidRPr="00BD2C13">
        <w:t>homme. Elle a notamment créé une unité des droits de l</w:t>
      </w:r>
      <w:r w:rsidR="00784444">
        <w:t>’</w:t>
      </w:r>
      <w:r w:rsidRPr="00BD2C13">
        <w:t>homme dont le mandat devrait être prochainement étendu à la lumière des exigences de l</w:t>
      </w:r>
      <w:r w:rsidR="00784444">
        <w:t>’</w:t>
      </w:r>
      <w:r w:rsidRPr="00BD2C13">
        <w:t>article 42 de la loi de 2014 sur les droits de l</w:t>
      </w:r>
      <w:r w:rsidR="00784444">
        <w:t>’</w:t>
      </w:r>
      <w:r w:rsidRPr="00BD2C13">
        <w:t>homme et l</w:t>
      </w:r>
      <w:r w:rsidR="00784444">
        <w:t>’</w:t>
      </w:r>
      <w:r w:rsidRPr="00BD2C13">
        <w:t>égalité. Le Comité consultatif stratégique sur les droits de l</w:t>
      </w:r>
      <w:r w:rsidR="00784444">
        <w:t>’</w:t>
      </w:r>
      <w:r w:rsidRPr="00BD2C13">
        <w:t>homme est en cours de rétablissement et il est proposé d</w:t>
      </w:r>
      <w:r w:rsidR="00784444">
        <w:t>’</w:t>
      </w:r>
      <w:r w:rsidRPr="00BD2C13">
        <w:t>élargir sa composition et de lui adjoindre des experts de l</w:t>
      </w:r>
      <w:r w:rsidR="00784444">
        <w:t>’</w:t>
      </w:r>
      <w:r w:rsidRPr="00BD2C13">
        <w:t>extérieur. Présidé par le Directeur adjoint de la police et de la sécurité, ce comité examine les modalités permettant de faire figurer les droits de l</w:t>
      </w:r>
      <w:r w:rsidR="00784444">
        <w:t>’</w:t>
      </w:r>
      <w:r w:rsidRPr="00BD2C13">
        <w:t>homme au cœur des opérations de police.</w:t>
      </w:r>
      <w:r w:rsidR="007A54A8">
        <w:t xml:space="preserve"> </w:t>
      </w:r>
      <w:r w:rsidRPr="00BD2C13">
        <w:t>Un projet de document cadre sur les droits de l</w:t>
      </w:r>
      <w:r w:rsidR="00784444">
        <w:t>’</w:t>
      </w:r>
      <w:r w:rsidRPr="00BD2C13">
        <w:t>homme a été préparé pour soutenir l</w:t>
      </w:r>
      <w:r w:rsidR="00784444">
        <w:t>’</w:t>
      </w:r>
      <w:r w:rsidRPr="00BD2C13">
        <w:t>intégration d</w:t>
      </w:r>
      <w:r w:rsidR="00784444">
        <w:t>’</w:t>
      </w:r>
      <w:r w:rsidRPr="00BD2C13">
        <w:t>une approche fondée sur les droits de l</w:t>
      </w:r>
      <w:r w:rsidR="00784444">
        <w:t>’</w:t>
      </w:r>
      <w:r w:rsidRPr="00BD2C13">
        <w:t>homme dans l</w:t>
      </w:r>
      <w:r w:rsidR="00784444">
        <w:t>’</w:t>
      </w:r>
      <w:r w:rsidRPr="00BD2C13">
        <w:t>élaboration des politiques, des formations et des opérations de police. Les droits de l</w:t>
      </w:r>
      <w:r w:rsidR="00784444">
        <w:t>’</w:t>
      </w:r>
      <w:r w:rsidRPr="00BD2C13">
        <w:t>homme sont un élément cl</w:t>
      </w:r>
      <w:r w:rsidR="00D12EEE">
        <w:t>ef</w:t>
      </w:r>
      <w:r w:rsidRPr="00BD2C13">
        <w:t xml:space="preserve"> de la formation dispensée aux stagiaires, aux agents de probation, aux membres et au personnel de la Garda. Toutes les politiques de la Garda sont évaluées sous l</w:t>
      </w:r>
      <w:r w:rsidR="00784444">
        <w:t>’</w:t>
      </w:r>
      <w:r w:rsidRPr="00BD2C13">
        <w:t>angle du respect des droits de l</w:t>
      </w:r>
      <w:r w:rsidR="00784444">
        <w:t>’</w:t>
      </w:r>
      <w:r w:rsidRPr="00BD2C13">
        <w:t xml:space="preserve">homme. La Garda </w:t>
      </w:r>
      <w:proofErr w:type="spellStart"/>
      <w:r w:rsidRPr="00BD2C13">
        <w:t>Síochána</w:t>
      </w:r>
      <w:proofErr w:type="spellEnd"/>
      <w:r w:rsidRPr="00BD2C13">
        <w:t xml:space="preserve"> dispose d</w:t>
      </w:r>
      <w:r w:rsidR="00784444">
        <w:t>’</w:t>
      </w:r>
      <w:r w:rsidRPr="00BD2C13">
        <w:t xml:space="preserve">une unité spécialisée sur les communautés minoritaires et plus de </w:t>
      </w:r>
      <w:bookmarkStart w:id="114" w:name="_Hlk37753923"/>
      <w:r w:rsidRPr="00BD2C13">
        <w:t>200 agents de liaison ethniques/LGBT sont actuellement déployés dans tout le pays</w:t>
      </w:r>
      <w:bookmarkEnd w:id="114"/>
      <w:r w:rsidRPr="00BD2C13">
        <w:t>.</w:t>
      </w:r>
    </w:p>
    <w:p w14:paraId="2F32CC9A" w14:textId="77777777" w:rsidR="002430FE" w:rsidRPr="00BD2C13" w:rsidRDefault="002430FE" w:rsidP="002430FE">
      <w:pPr>
        <w:pStyle w:val="SingleTxtG"/>
      </w:pPr>
      <w:bookmarkStart w:id="115" w:name="_Hlk37754055"/>
      <w:r w:rsidRPr="00BD2C13">
        <w:t>147.</w:t>
      </w:r>
      <w:r w:rsidRPr="00BD2C13">
        <w:tab/>
        <w:t xml:space="preserve">La Garda </w:t>
      </w:r>
      <w:proofErr w:type="spellStart"/>
      <w:r w:rsidRPr="00BD2C13">
        <w:t>Síochána</w:t>
      </w:r>
      <w:proofErr w:type="spellEnd"/>
      <w:r w:rsidRPr="00BD2C13">
        <w:t xml:space="preserve"> et </w:t>
      </w:r>
      <w:r w:rsidRPr="00B85E6C">
        <w:t>la Law Society of Ireland</w:t>
      </w:r>
      <w:r w:rsidRPr="00BD2C13">
        <w:t xml:space="preserve"> </w:t>
      </w:r>
      <w:bookmarkEnd w:id="115"/>
      <w:r w:rsidRPr="00BD2C13">
        <w:t>préparent une formation commune sur les interrogatoires de police pour les avocats et les membres de la police. Cette initiative vise à promouvoir et à faire valoir les droits de toutes les personnes détenues pour interrogatoire par la Garda.</w:t>
      </w:r>
    </w:p>
    <w:bookmarkEnd w:id="113"/>
    <w:p w14:paraId="4AE00E18" w14:textId="77777777" w:rsidR="002430FE" w:rsidRPr="00BD2C13" w:rsidRDefault="002430FE" w:rsidP="002430FE">
      <w:pPr>
        <w:pStyle w:val="SingleTxtG"/>
      </w:pPr>
      <w:r w:rsidRPr="00BD2C13">
        <w:t>148.</w:t>
      </w:r>
      <w:r w:rsidRPr="00BD2C13">
        <w:tab/>
        <w:t xml:space="preserve">Les membres de la Garda </w:t>
      </w:r>
      <w:proofErr w:type="spellStart"/>
      <w:r w:rsidRPr="00BD2C13">
        <w:t>Síochána</w:t>
      </w:r>
      <w:proofErr w:type="spellEnd"/>
      <w:r w:rsidRPr="00BD2C13">
        <w:t xml:space="preserve"> rattachés au Bureau national de la Garda pour l</w:t>
      </w:r>
      <w:r w:rsidR="00784444">
        <w:t>’</w:t>
      </w:r>
      <w:r w:rsidRPr="00BD2C13">
        <w:t>immigration reçoivent une formation complémentaire adaptée à leurs fonctions d</w:t>
      </w:r>
      <w:r w:rsidR="00784444">
        <w:t>’</w:t>
      </w:r>
      <w:r w:rsidRPr="00BD2C13">
        <w:t>agents de l</w:t>
      </w:r>
      <w:r w:rsidR="00784444">
        <w:t>’</w:t>
      </w:r>
      <w:r w:rsidRPr="00BD2C13">
        <w:t>immigration. Les agents civils du Service irlandais de naturalisation et d</w:t>
      </w:r>
      <w:r w:rsidR="00784444">
        <w:t>’</w:t>
      </w:r>
      <w:r w:rsidRPr="00BD2C13">
        <w:t>immigration chargés des contrôles de première ligne bénéficient également d</w:t>
      </w:r>
      <w:r w:rsidR="00784444">
        <w:t>’</w:t>
      </w:r>
      <w:r w:rsidRPr="00BD2C13">
        <w:t>une formation aux droits de l</w:t>
      </w:r>
      <w:r w:rsidR="00784444">
        <w:t>’</w:t>
      </w:r>
      <w:r w:rsidRPr="00BD2C13">
        <w:t>homme appropriée. Le programme de formation couvre des questions telles que les mécanismes internationaux des droits de l</w:t>
      </w:r>
      <w:r w:rsidR="00784444">
        <w:t>’</w:t>
      </w:r>
      <w:r w:rsidRPr="00BD2C13">
        <w:t>homme, la traite des êtres humains et l</w:t>
      </w:r>
      <w:r w:rsidR="00784444">
        <w:t>’</w:t>
      </w:r>
      <w:r w:rsidRPr="00BD2C13">
        <w:t>acquisition de compétences culturelles.</w:t>
      </w:r>
    </w:p>
    <w:p w14:paraId="10898BE5" w14:textId="77777777" w:rsidR="002430FE" w:rsidRPr="00BD2C13" w:rsidRDefault="002430FE" w:rsidP="002430FE">
      <w:pPr>
        <w:pStyle w:val="SingleTxtG"/>
      </w:pPr>
      <w:r w:rsidRPr="00BD2C13">
        <w:t>149.</w:t>
      </w:r>
      <w:r w:rsidRPr="00BD2C13">
        <w:tab/>
        <w:t>Le programme d</w:t>
      </w:r>
      <w:r w:rsidR="00784444">
        <w:t>’</w:t>
      </w:r>
      <w:r w:rsidRPr="00BD2C13">
        <w:t>assistance de l</w:t>
      </w:r>
      <w:r w:rsidR="00784444">
        <w:t>’</w:t>
      </w:r>
      <w:r w:rsidRPr="00BD2C13">
        <w:t>Irlande aux pays étrangers (</w:t>
      </w:r>
      <w:r w:rsidRPr="00BD2C13">
        <w:rPr>
          <w:i/>
          <w:iCs/>
        </w:rPr>
        <w:t xml:space="preserve">Irish </w:t>
      </w:r>
      <w:proofErr w:type="spellStart"/>
      <w:r w:rsidRPr="00BD2C13">
        <w:rPr>
          <w:i/>
          <w:iCs/>
        </w:rPr>
        <w:t>Aid</w:t>
      </w:r>
      <w:proofErr w:type="spellEnd"/>
      <w:r w:rsidRPr="00BD2C13">
        <w:t>) accorde une importance prioritaire à la mobilisation de la population en faveur du développement et des droits de l</w:t>
      </w:r>
      <w:r w:rsidR="00784444">
        <w:t>’</w:t>
      </w:r>
      <w:r w:rsidRPr="00BD2C13">
        <w:t>homme. Les actions menées dans les établissements d</w:t>
      </w:r>
      <w:r w:rsidR="00784444">
        <w:t>’</w:t>
      </w:r>
      <w:r w:rsidRPr="00BD2C13">
        <w:t>enseignement primaire et secondaire, mais aussi dans le secteur de l</w:t>
      </w:r>
      <w:r w:rsidR="00784444">
        <w:t>’</w:t>
      </w:r>
      <w:r w:rsidRPr="00BD2C13">
        <w:t xml:space="preserve">éducation informelle, y ont une large place. Irish </w:t>
      </w:r>
      <w:proofErr w:type="spellStart"/>
      <w:r w:rsidRPr="00BD2C13">
        <w:t>Aid</w:t>
      </w:r>
      <w:proofErr w:type="spellEnd"/>
      <w:r w:rsidRPr="00BD2C13">
        <w:t xml:space="preserve"> est en outre associé à diverses activités d</w:t>
      </w:r>
      <w:r w:rsidR="00784444">
        <w:t>’</w:t>
      </w:r>
      <w:r w:rsidRPr="00BD2C13">
        <w:t>information et de communication par l</w:t>
      </w:r>
      <w:r w:rsidR="00784444">
        <w:t>’</w:t>
      </w:r>
      <w:r w:rsidRPr="00BD2C13">
        <w:t>intermédiaire de son Centre d</w:t>
      </w:r>
      <w:r w:rsidR="00784444">
        <w:t>’</w:t>
      </w:r>
      <w:r w:rsidRPr="00BD2C13">
        <w:t>information et de bénévolat situé en plein cœur de Dublin.</w:t>
      </w:r>
    </w:p>
    <w:p w14:paraId="07C891D5" w14:textId="77777777" w:rsidR="00FD4606" w:rsidRPr="00BD2C13" w:rsidRDefault="00FD4606" w:rsidP="00FD4606">
      <w:pPr>
        <w:pStyle w:val="H23G"/>
      </w:pPr>
      <w:r w:rsidRPr="00BD2C13">
        <w:tab/>
        <w:t>4.</w:t>
      </w:r>
      <w:r w:rsidRPr="00BD2C13">
        <w:tab/>
        <w:t>Actions de sensibilisation aux droits de l</w:t>
      </w:r>
      <w:r w:rsidR="00784444">
        <w:t>’</w:t>
      </w:r>
      <w:r w:rsidRPr="00BD2C13">
        <w:t>homme au moyen de programmes éducatifs</w:t>
      </w:r>
      <w:r w:rsidRPr="00BD2C13">
        <w:br/>
        <w:t>et par la diffusion d</w:t>
      </w:r>
      <w:r w:rsidR="00784444">
        <w:t>’</w:t>
      </w:r>
      <w:r w:rsidRPr="00BD2C13">
        <w:t>informations avec le soutien des pouvoirs publics</w:t>
      </w:r>
    </w:p>
    <w:p w14:paraId="348F505A" w14:textId="77777777" w:rsidR="00FD4606" w:rsidRPr="00BD2C13" w:rsidRDefault="00FD4606" w:rsidP="00FD4606">
      <w:pPr>
        <w:pStyle w:val="SingleTxtG"/>
      </w:pPr>
      <w:r w:rsidRPr="00BD2C13">
        <w:t>150.</w:t>
      </w:r>
      <w:r w:rsidRPr="00BD2C13">
        <w:tab/>
        <w:t>Les questions relatives aux droits de l</w:t>
      </w:r>
      <w:r w:rsidR="00784444">
        <w:t>’</w:t>
      </w:r>
      <w:r w:rsidRPr="00BD2C13">
        <w:t>homme sont abordées aux niveaux préscolaire, primaire et secondaire. Plusieurs établissements d</w:t>
      </w:r>
      <w:r w:rsidR="00784444">
        <w:t>’</w:t>
      </w:r>
      <w:r w:rsidRPr="00BD2C13">
        <w:t>enseignement supérieur proposent également des programmes sur les droits de l</w:t>
      </w:r>
      <w:r w:rsidR="00784444">
        <w:t>’</w:t>
      </w:r>
      <w:r w:rsidRPr="00BD2C13">
        <w:t>homme.</w:t>
      </w:r>
    </w:p>
    <w:p w14:paraId="790A5A78" w14:textId="77777777" w:rsidR="00FD4606" w:rsidRPr="00BD2C13" w:rsidRDefault="00FD4606" w:rsidP="00FD4606">
      <w:pPr>
        <w:pStyle w:val="H4G"/>
      </w:pPr>
      <w:r w:rsidRPr="00BD2C13">
        <w:tab/>
      </w:r>
      <w:r w:rsidRPr="00BD2C13">
        <w:tab/>
        <w:t>Niveau préscolaire</w:t>
      </w:r>
    </w:p>
    <w:p w14:paraId="1D3D9C44" w14:textId="77777777" w:rsidR="00FD4606" w:rsidRPr="00BD2C13" w:rsidRDefault="00FD4606" w:rsidP="00FD4606">
      <w:pPr>
        <w:pStyle w:val="SingleTxtG"/>
      </w:pPr>
      <w:r w:rsidRPr="00BD2C13">
        <w:t>151.</w:t>
      </w:r>
      <w:r w:rsidRPr="00BD2C13">
        <w:tab/>
        <w:t xml:space="preserve">Au niveau préscolaire, </w:t>
      </w:r>
      <w:proofErr w:type="spellStart"/>
      <w:r w:rsidRPr="00BD2C13">
        <w:t>Aistear</w:t>
      </w:r>
      <w:proofErr w:type="spellEnd"/>
      <w:r w:rsidRPr="00BD2C13">
        <w:t xml:space="preserve">, </w:t>
      </w:r>
      <w:bookmarkStart w:id="116" w:name="_Hlk31371727"/>
      <w:r w:rsidRPr="00BD2C13">
        <w:t>le cadre du programme d</w:t>
      </w:r>
      <w:r w:rsidR="00784444">
        <w:t>’</w:t>
      </w:r>
      <w:r w:rsidRPr="00BD2C13">
        <w:t xml:space="preserve">études de la petite enfance et </w:t>
      </w:r>
      <w:proofErr w:type="spellStart"/>
      <w:r w:rsidRPr="00BD2C13">
        <w:t>Síolta</w:t>
      </w:r>
      <w:proofErr w:type="spellEnd"/>
      <w:r w:rsidRPr="00BD2C13">
        <w:t>, le cadre national pour la qualité de l</w:t>
      </w:r>
      <w:r w:rsidR="00784444">
        <w:t>’</w:t>
      </w:r>
      <w:r w:rsidRPr="00BD2C13">
        <w:t>éducation des jeunes enfants mis en œuvre dans les services d</w:t>
      </w:r>
      <w:r w:rsidR="00784444">
        <w:t>’</w:t>
      </w:r>
      <w:r w:rsidRPr="00BD2C13">
        <w:t>éducation de la petite enfance financés par l</w:t>
      </w:r>
      <w:r w:rsidR="00784444">
        <w:t>’</w:t>
      </w:r>
      <w:r w:rsidRPr="00BD2C13">
        <w:t>État, soulignent l</w:t>
      </w:r>
      <w:r w:rsidR="00784444">
        <w:t>’</w:t>
      </w:r>
      <w:r w:rsidRPr="00BD2C13">
        <w:t>importance de promouvoir les valeurs d</w:t>
      </w:r>
      <w:r w:rsidR="00784444">
        <w:t>’</w:t>
      </w:r>
      <w:r w:rsidRPr="00BD2C13">
        <w:t>égalité et de diversité dès la petite enfance. La promotion de l</w:t>
      </w:r>
      <w:r w:rsidR="00784444">
        <w:t>’</w:t>
      </w:r>
      <w:r w:rsidRPr="00BD2C13">
        <w:t xml:space="preserve">égalité est perçue comme un moyen de créer une société plus juste dans laquelle chacun peut participer à égalité et avoir la possibilité de réaliser son potentiel. La </w:t>
      </w:r>
      <w:r w:rsidRPr="00BD2C13">
        <w:lastRenderedPageBreak/>
        <w:t>diversité consiste à accueillir et à valoriser les différences individuelles et collectives, ainsi qu</w:t>
      </w:r>
      <w:r w:rsidR="00784444">
        <w:t>’</w:t>
      </w:r>
      <w:r w:rsidRPr="00BD2C13">
        <w:t>à comprendre la différence et à l</w:t>
      </w:r>
      <w:r w:rsidR="00784444">
        <w:t>’</w:t>
      </w:r>
      <w:r w:rsidRPr="00BD2C13">
        <w:t>accepter.</w:t>
      </w:r>
      <w:bookmarkEnd w:id="116"/>
    </w:p>
    <w:p w14:paraId="5FA09B1E" w14:textId="77777777" w:rsidR="00FD4606" w:rsidRPr="00BD2C13" w:rsidRDefault="00FD4606" w:rsidP="00FD4606">
      <w:pPr>
        <w:pStyle w:val="H4G"/>
      </w:pPr>
      <w:r w:rsidRPr="00BD2C13">
        <w:tab/>
      </w:r>
      <w:r w:rsidRPr="00BD2C13">
        <w:tab/>
        <w:t>Niveau primaire</w:t>
      </w:r>
    </w:p>
    <w:p w14:paraId="2F6BB381" w14:textId="77777777" w:rsidR="00FD4606" w:rsidRPr="00BD2C13" w:rsidRDefault="00FD4606" w:rsidP="00FD4606">
      <w:pPr>
        <w:pStyle w:val="SingleTxtG"/>
      </w:pPr>
      <w:r w:rsidRPr="00BD2C13">
        <w:t>152.</w:t>
      </w:r>
      <w:r w:rsidRPr="00BD2C13">
        <w:tab/>
        <w:t>Au niveau primaire, les droits de l</w:t>
      </w:r>
      <w:r w:rsidR="00784444">
        <w:t>’</w:t>
      </w:r>
      <w:r w:rsidRPr="00BD2C13">
        <w:t>homme peuvent faire partie de divers éléments du programme scolaire, qui est enseigné de manière intégrée. L</w:t>
      </w:r>
      <w:r w:rsidR="00784444">
        <w:t>’</w:t>
      </w:r>
      <w:r w:rsidRPr="00BD2C13">
        <w:t>accent est surtout mis sur l</w:t>
      </w:r>
      <w:r w:rsidR="00784444">
        <w:t>’</w:t>
      </w:r>
      <w:r w:rsidRPr="00BD2C13">
        <w:t>éducation sociale, personnelle et sanitaire. L</w:t>
      </w:r>
      <w:r w:rsidR="00784444">
        <w:t>’</w:t>
      </w:r>
      <w:r w:rsidRPr="00BD2C13">
        <w:t>éducation à la citoyenneté constitue un volet essentiel de cette matière obligatoire, depuis l</w:t>
      </w:r>
      <w:r w:rsidR="00784444">
        <w:t>’</w:t>
      </w:r>
      <w:r w:rsidRPr="00BD2C13">
        <w:t>école maternelle jusqu</w:t>
      </w:r>
      <w:r w:rsidR="00784444">
        <w:t>’</w:t>
      </w:r>
      <w:r w:rsidRPr="00BD2C13">
        <w:t>à la fin du cycle primaire.</w:t>
      </w:r>
    </w:p>
    <w:p w14:paraId="51D21B07" w14:textId="77777777" w:rsidR="00FD4606" w:rsidRPr="00BD2C13" w:rsidRDefault="00FD4606" w:rsidP="00FD4606">
      <w:pPr>
        <w:pStyle w:val="H4G"/>
      </w:pPr>
      <w:bookmarkStart w:id="117" w:name="_Toc17908576"/>
      <w:r w:rsidRPr="00BD2C13">
        <w:tab/>
      </w:r>
      <w:r w:rsidRPr="00BD2C13">
        <w:tab/>
        <w:t xml:space="preserve">Niveau </w:t>
      </w:r>
      <w:bookmarkEnd w:id="117"/>
      <w:r w:rsidRPr="00BD2C13">
        <w:t>secondaire</w:t>
      </w:r>
    </w:p>
    <w:p w14:paraId="0463BA1B" w14:textId="77777777" w:rsidR="00FD4606" w:rsidRPr="00BD2C13" w:rsidRDefault="00FD4606" w:rsidP="00FD4606">
      <w:pPr>
        <w:pStyle w:val="SingleTxtG"/>
      </w:pPr>
      <w:r w:rsidRPr="00BD2C13">
        <w:t>153.</w:t>
      </w:r>
      <w:r w:rsidRPr="00BD2C13">
        <w:tab/>
        <w:t>Après le primaire, différentes matières du programme scolaire permettent aux élèves d</w:t>
      </w:r>
      <w:r w:rsidR="00784444">
        <w:t>’</w:t>
      </w:r>
      <w:r w:rsidRPr="00BD2C13">
        <w:t>acquérir des connaissances en matière de droits de l</w:t>
      </w:r>
      <w:r w:rsidR="00784444">
        <w:t>’</w:t>
      </w:r>
      <w:r w:rsidRPr="00BD2C13">
        <w:t>homme, en particulier dans le cadre des cours d</w:t>
      </w:r>
      <w:r w:rsidR="00784444">
        <w:t>’</w:t>
      </w:r>
      <w:r w:rsidRPr="00BD2C13">
        <w:t>éducation sociale, personnelle et sanitaire, d</w:t>
      </w:r>
      <w:r w:rsidR="00784444">
        <w:t>’</w:t>
      </w:r>
      <w:r w:rsidRPr="00BD2C13">
        <w:t>histoire, de géographie, de gestion et d</w:t>
      </w:r>
      <w:r w:rsidR="00784444">
        <w:t>’</w:t>
      </w:r>
      <w:r w:rsidRPr="00BD2C13">
        <w:t xml:space="preserve">éducation civique, sociale et politique. </w:t>
      </w:r>
      <w:bookmarkStart w:id="118" w:name="_Hlk31371736"/>
      <w:r w:rsidRPr="00BD2C13">
        <w:t>L</w:t>
      </w:r>
      <w:r w:rsidR="00784444">
        <w:t>’</w:t>
      </w:r>
      <w:r w:rsidRPr="00BD2C13">
        <w:t>éducation civique, sociale et politique et l</w:t>
      </w:r>
      <w:r w:rsidR="00784444">
        <w:t>’</w:t>
      </w:r>
      <w:r w:rsidRPr="00BD2C13">
        <w:t>éducation sociale, personnelle et sanitaire font partie du programme de base du premier cycle du secondaire (</w:t>
      </w:r>
      <w:r w:rsidRPr="00BD2C13">
        <w:rPr>
          <w:i/>
          <w:iCs/>
        </w:rPr>
        <w:t>junior cycle</w:t>
      </w:r>
      <w:r w:rsidRPr="00BD2C13">
        <w:t>) et du module d</w:t>
      </w:r>
      <w:r w:rsidR="00784444">
        <w:t>’</w:t>
      </w:r>
      <w:r w:rsidRPr="00BD2C13">
        <w:t>enseignement « Bien-être ». L</w:t>
      </w:r>
      <w:r w:rsidR="00784444">
        <w:t>’</w:t>
      </w:r>
      <w:r w:rsidRPr="00BD2C13">
        <w:t>éducation civique, sociale et politique vise à informer, inspirer et responsabiliser les jeunes et à leur permettre de devenir des citoyens actifs et engagés dans la société contemporaine, aux niveaux local, national et international, sur la base d</w:t>
      </w:r>
      <w:r w:rsidR="00784444">
        <w:t>’</w:t>
      </w:r>
      <w:r w:rsidRPr="00BD2C13">
        <w:t>une compréhension des droits de l</w:t>
      </w:r>
      <w:r w:rsidR="00784444">
        <w:t>’</w:t>
      </w:r>
      <w:r w:rsidRPr="00BD2C13">
        <w:t>homme et des responsabilités sociales. Depuis septembre 2014, un nouveau cours d</w:t>
      </w:r>
      <w:r w:rsidR="00784444">
        <w:t>’</w:t>
      </w:r>
      <w:r w:rsidRPr="00BD2C13">
        <w:t>éducation civique, sociale et politique de courte durée est proposé dans les établissements scolaires. Une nouvelle matière optionnelle, « Politique et société », a été introduite dans le programme de deuxième cycle de l</w:t>
      </w:r>
      <w:r w:rsidR="00784444">
        <w:t>’</w:t>
      </w:r>
      <w:r w:rsidRPr="00BD2C13">
        <w:t>enseignement secondaire (</w:t>
      </w:r>
      <w:r w:rsidRPr="00BD2C13">
        <w:rPr>
          <w:i/>
          <w:iCs/>
        </w:rPr>
        <w:t>senior cycle</w:t>
      </w:r>
      <w:r w:rsidRPr="00BD2C13">
        <w:t>) en 2016. Elle a pour but d</w:t>
      </w:r>
      <w:r w:rsidR="00784444">
        <w:t>’</w:t>
      </w:r>
      <w:r w:rsidRPr="00BD2C13">
        <w:t>amener les élèves à s</w:t>
      </w:r>
      <w:r w:rsidR="00784444">
        <w:t>’</w:t>
      </w:r>
      <w:r w:rsidRPr="00BD2C13">
        <w:t>engager dans une citoyenneté active et réflexive, fondée sur des connaissances et compétences en sciences sociales et politiques.</w:t>
      </w:r>
      <w:bookmarkEnd w:id="118"/>
    </w:p>
    <w:p w14:paraId="00E75A21" w14:textId="77777777" w:rsidR="00FD4606" w:rsidRPr="00BD2C13" w:rsidRDefault="00FD4606" w:rsidP="00FD4606">
      <w:pPr>
        <w:pStyle w:val="SingleTxtG"/>
      </w:pPr>
      <w:r w:rsidRPr="00BD2C13">
        <w:t>154.</w:t>
      </w:r>
      <w:r w:rsidRPr="00BD2C13">
        <w:tab/>
        <w:t>Le nouveau Cadre du premier cycle de l</w:t>
      </w:r>
      <w:r w:rsidR="00784444">
        <w:t>’</w:t>
      </w:r>
      <w:r w:rsidRPr="00BD2C13">
        <w:t>enseignement secondaire, publié en août 2015, énonce les 24 objectifs pédagogiques de ce cycle d</w:t>
      </w:r>
      <w:r w:rsidR="00784444">
        <w:t>’</w:t>
      </w:r>
      <w:r w:rsidRPr="00BD2C13">
        <w:t>enseignement. L</w:t>
      </w:r>
      <w:r w:rsidR="00784444">
        <w:t>’</w:t>
      </w:r>
      <w:r w:rsidRPr="00BD2C13">
        <w:t>un d</w:t>
      </w:r>
      <w:r w:rsidR="00784444">
        <w:t>’</w:t>
      </w:r>
      <w:r w:rsidRPr="00BD2C13">
        <w:t>entre eux prévoit qu</w:t>
      </w:r>
      <w:r w:rsidR="00784444">
        <w:t>’</w:t>
      </w:r>
      <w:r w:rsidRPr="00BD2C13">
        <w:t>à la fin du premier cycle du secondaire, tous les élèves «</w:t>
      </w:r>
      <w:r w:rsidR="00806373">
        <w:t> </w:t>
      </w:r>
      <w:r w:rsidRPr="00BD2C13">
        <w:t>comprennent ce que signifie le fait d</w:t>
      </w:r>
      <w:r w:rsidR="00784444">
        <w:t>’</w:t>
      </w:r>
      <w:r w:rsidRPr="00BD2C13">
        <w:t>être un citoyen actif, ayant des droits et des obligations au niveau local et au-delà</w:t>
      </w:r>
      <w:r w:rsidR="00806373">
        <w:t> </w:t>
      </w:r>
      <w:r w:rsidRPr="00BD2C13">
        <w:t>». L</w:t>
      </w:r>
      <w:r w:rsidR="00784444">
        <w:t>’</w:t>
      </w:r>
      <w:r w:rsidRPr="00BD2C13">
        <w:t>éducation pour tous fait en outre partie des principes de ce Cadre, tandis que la capacité à travailler en équipe permettra aux élèves d</w:t>
      </w:r>
      <w:r w:rsidR="00784444">
        <w:t>’</w:t>
      </w:r>
      <w:r w:rsidRPr="00BD2C13">
        <w:t>apprendre à régler les conflits, à coopérer, à respecter les différences et à contribuer à l</w:t>
      </w:r>
      <w:r w:rsidR="00784444">
        <w:t>’</w:t>
      </w:r>
      <w:r w:rsidRPr="00BD2C13">
        <w:t>édification d</w:t>
      </w:r>
      <w:r w:rsidR="00784444">
        <w:t>’</w:t>
      </w:r>
      <w:r w:rsidRPr="00BD2C13">
        <w:t>un monde meilleur. Tous ces éléments constituent des compétences indispensables pour comprendre et connaître les droits de l</w:t>
      </w:r>
      <w:r w:rsidR="00784444">
        <w:t>’</w:t>
      </w:r>
      <w:r w:rsidRPr="00BD2C13">
        <w:t>homme.</w:t>
      </w:r>
    </w:p>
    <w:p w14:paraId="46795FEE" w14:textId="77777777" w:rsidR="00FD4606" w:rsidRPr="00BD2C13" w:rsidRDefault="00FD4606" w:rsidP="00FD4606">
      <w:pPr>
        <w:pStyle w:val="SingleTxtG"/>
      </w:pPr>
      <w:r w:rsidRPr="00BD2C13">
        <w:t>155.</w:t>
      </w:r>
      <w:r w:rsidRPr="00BD2C13">
        <w:tab/>
        <w:t>Le Ministère de l</w:t>
      </w:r>
      <w:r w:rsidR="00784444">
        <w:t>’</w:t>
      </w:r>
      <w:r w:rsidRPr="00BD2C13">
        <w:t>éducation et de la formation coopère en outre avec l</w:t>
      </w:r>
      <w:r w:rsidR="00784444">
        <w:t>’</w:t>
      </w:r>
      <w:proofErr w:type="spellStart"/>
      <w:r w:rsidRPr="00BD2C13">
        <w:t>Holocaust</w:t>
      </w:r>
      <w:proofErr w:type="spellEnd"/>
      <w:r w:rsidRPr="00BD2C13">
        <w:t xml:space="preserve"> </w:t>
      </w:r>
      <w:proofErr w:type="spellStart"/>
      <w:r w:rsidRPr="00BD2C13">
        <w:t>Education</w:t>
      </w:r>
      <w:proofErr w:type="spellEnd"/>
      <w:r w:rsidRPr="00BD2C13">
        <w:t xml:space="preserve"> Trust Ireland (HETI, Fondation pour l</w:t>
      </w:r>
      <w:r w:rsidR="00784444">
        <w:t>’</w:t>
      </w:r>
      <w:r w:rsidRPr="00BD2C13">
        <w:t>enseignement de l</w:t>
      </w:r>
      <w:r w:rsidR="00784444">
        <w:t>’</w:t>
      </w:r>
      <w:r w:rsidRPr="00BD2C13">
        <w:t>Holocauste) auquel il verse des subventions depuis plusieurs années. En 2019, un financement total de 156 829 euros lui a été alloué pour des cours visant à permettre aux enseignants de saisir toute l</w:t>
      </w:r>
      <w:r w:rsidR="00784444">
        <w:t>’</w:t>
      </w:r>
      <w:r w:rsidRPr="00BD2C13">
        <w:t>horreur de l</w:t>
      </w:r>
      <w:r w:rsidR="00784444">
        <w:t>’</w:t>
      </w:r>
      <w:r w:rsidRPr="00BD2C13">
        <w:t>Holocauste et de mieux les y sensibiliser.</w:t>
      </w:r>
      <w:r w:rsidR="007A54A8">
        <w:t xml:space="preserve"> </w:t>
      </w:r>
      <w:r w:rsidRPr="00BD2C13">
        <w:t>La connaissance de l</w:t>
      </w:r>
      <w:r w:rsidR="00784444">
        <w:t>’</w:t>
      </w:r>
      <w:r w:rsidRPr="00BD2C13">
        <w:t>Holocauste et la réflexion sur ses conséquences aident les enseignants dans leur enseignement de l</w:t>
      </w:r>
      <w:r w:rsidR="00784444">
        <w:t>’</w:t>
      </w:r>
      <w:r w:rsidRPr="00BD2C13">
        <w:t>histoire et permettent d</w:t>
      </w:r>
      <w:r w:rsidR="00784444">
        <w:t>’</w:t>
      </w:r>
      <w:r w:rsidRPr="00BD2C13">
        <w:t>élargir le débat à des questions comme la lutte contre le racisme et l</w:t>
      </w:r>
      <w:r w:rsidR="00784444">
        <w:t>’</w:t>
      </w:r>
      <w:r w:rsidRPr="00BD2C13">
        <w:t>intolérance, autant de sujets pertinents auxquels les élèves peuvent facilement s</w:t>
      </w:r>
      <w:r w:rsidR="00784444">
        <w:t>’</w:t>
      </w:r>
      <w:r w:rsidRPr="00BD2C13">
        <w:t>identifier. Le financement dont bénéficie l</w:t>
      </w:r>
      <w:r w:rsidR="00784444">
        <w:t>’</w:t>
      </w:r>
      <w:r w:rsidRPr="00BD2C13">
        <w:t>HETI lui permet de mener plusieurs programmes dans les écoles, ainsi que des actions de sensibilisation, et de proposer également une formation sanctionnée par un certificat.</w:t>
      </w:r>
    </w:p>
    <w:p w14:paraId="3962134A" w14:textId="77777777" w:rsidR="00FD4606" w:rsidRPr="00BD2C13" w:rsidRDefault="00FD4606" w:rsidP="00FD4606">
      <w:pPr>
        <w:pStyle w:val="SingleTxtG"/>
      </w:pPr>
      <w:r w:rsidRPr="00BD2C13">
        <w:t>156.</w:t>
      </w:r>
      <w:r w:rsidRPr="00BD2C13">
        <w:tab/>
        <w:t xml:space="preserve">Un </w:t>
      </w:r>
      <w:r w:rsidR="00806373">
        <w:t>p</w:t>
      </w:r>
      <w:r w:rsidRPr="00BD2C13">
        <w:t>lan d</w:t>
      </w:r>
      <w:r w:rsidR="00784444">
        <w:t>’</w:t>
      </w:r>
      <w:r w:rsidRPr="00BD2C13">
        <w:t>action contre les brimades a été publié en janvier 2013. Il définit l</w:t>
      </w:r>
      <w:r w:rsidR="00784444">
        <w:t>’</w:t>
      </w:r>
      <w:r w:rsidRPr="00BD2C13">
        <w:t>action que le Ministère de l</w:t>
      </w:r>
      <w:r w:rsidR="00784444">
        <w:t>’</w:t>
      </w:r>
      <w:r w:rsidRPr="00BD2C13">
        <w:t xml:space="preserve">éducation et de la formation entend mener pour lutter contre les brimades et promouvoir une culture </w:t>
      </w:r>
      <w:proofErr w:type="spellStart"/>
      <w:r w:rsidRPr="00BD2C13">
        <w:t>antibrimades</w:t>
      </w:r>
      <w:proofErr w:type="spellEnd"/>
      <w:r w:rsidRPr="00BD2C13">
        <w:t xml:space="preserve"> dans les écoles. Ce plan prévoit 12 mesures axées sur l</w:t>
      </w:r>
      <w:r w:rsidR="00784444">
        <w:t>’</w:t>
      </w:r>
      <w:r w:rsidRPr="00BD2C13">
        <w:t>assistance aux établissements scolaires, l</w:t>
      </w:r>
      <w:r w:rsidR="00784444">
        <w:t>’</w:t>
      </w:r>
      <w:r w:rsidRPr="00BD2C13">
        <w:t>éducation et la formation, la recherche et la sensibilisation, de manière à s</w:t>
      </w:r>
      <w:r w:rsidR="00784444">
        <w:t>’</w:t>
      </w:r>
      <w:r w:rsidRPr="00BD2C13">
        <w:t>attaquer à toutes les formes de brimades.</w:t>
      </w:r>
      <w:r w:rsidR="007A54A8">
        <w:t xml:space="preserve"> </w:t>
      </w:r>
      <w:r w:rsidRPr="00BD2C13">
        <w:t>Plusieurs de ces mesures ont été intégralement mises en œuvre, tandis que d</w:t>
      </w:r>
      <w:r w:rsidR="00784444">
        <w:t>’</w:t>
      </w:r>
      <w:r w:rsidRPr="00BD2C13">
        <w:t>autres, du fait de leur nature, nécessitent une action et une mise en œuvre continues. Le Plan vise également à promouvoir le respect de la diversité et l</w:t>
      </w:r>
      <w:r w:rsidR="00784444">
        <w:t>’</w:t>
      </w:r>
      <w:r w:rsidRPr="00BD2C13">
        <w:t>inclusion dans les écoles et les communautés irlandaises.</w:t>
      </w:r>
    </w:p>
    <w:p w14:paraId="028ADD6C" w14:textId="77777777" w:rsidR="00FD4606" w:rsidRPr="00BD2C13" w:rsidRDefault="00FD4606" w:rsidP="00FD4606">
      <w:pPr>
        <w:pStyle w:val="SingleTxtG"/>
      </w:pPr>
      <w:r w:rsidRPr="00BD2C13">
        <w:lastRenderedPageBreak/>
        <w:t>157.</w:t>
      </w:r>
      <w:r w:rsidRPr="00BD2C13">
        <w:tab/>
        <w:t>Le Plan d</w:t>
      </w:r>
      <w:r w:rsidR="00784444">
        <w:t>’</w:t>
      </w:r>
      <w:r w:rsidRPr="00BD2C13">
        <w:t>action contre les brimades a donné lieu, en septembre 2013, à la publication de procédures nationales de lutte contre les brimades à l</w:t>
      </w:r>
      <w:r w:rsidR="00784444">
        <w:t>’</w:t>
      </w:r>
      <w:r w:rsidRPr="00BD2C13">
        <w:t>intention des établissements d</w:t>
      </w:r>
      <w:r w:rsidR="00784444">
        <w:t>’</w:t>
      </w:r>
      <w:r w:rsidRPr="00BD2C13">
        <w:t>enseignement primaire et secondaire qui sont actuellement appliquées dans les 4 000 établissements d</w:t>
      </w:r>
      <w:r w:rsidR="00784444">
        <w:t>’</w:t>
      </w:r>
      <w:r w:rsidRPr="00BD2C13">
        <w:t>enseignement primaire et secondaire du pays.</w:t>
      </w:r>
    </w:p>
    <w:p w14:paraId="245D1C0D" w14:textId="77777777" w:rsidR="00FD4606" w:rsidRPr="00BD2C13" w:rsidRDefault="00FD4606" w:rsidP="00FD4606">
      <w:pPr>
        <w:pStyle w:val="SingleTxtG"/>
      </w:pPr>
      <w:r w:rsidRPr="00BD2C13">
        <w:t>158.</w:t>
      </w:r>
      <w:r w:rsidRPr="00BD2C13">
        <w:tab/>
        <w:t xml:space="preserve">Ces procédures, qui ont été publiées sur le site </w:t>
      </w:r>
      <w:r w:rsidR="00370986">
        <w:t>W</w:t>
      </w:r>
      <w:r w:rsidRPr="00BD2C13">
        <w:t>eb du Ministère, sont conçues pour fournir des orientations et des conseils aux autorités scolaires et au personnel des écoles pour prévenir et combattre les brimades. Elles font obligation aux établissements scolaires d</w:t>
      </w:r>
      <w:r w:rsidR="00784444">
        <w:t>’</w:t>
      </w:r>
      <w:r w:rsidRPr="00BD2C13">
        <w:t xml:space="preserve">intégrer la prévention des brimades dans leur politique </w:t>
      </w:r>
      <w:proofErr w:type="spellStart"/>
      <w:r w:rsidRPr="00BD2C13">
        <w:t>antibrimades</w:t>
      </w:r>
      <w:proofErr w:type="spellEnd"/>
      <w:r w:rsidRPr="00BD2C13">
        <w:t>. Tous les conseils d</w:t>
      </w:r>
      <w:r w:rsidR="00784444">
        <w:t>’</w:t>
      </w:r>
      <w:r w:rsidRPr="00BD2C13">
        <w:t>administration des écoles sont tenus d</w:t>
      </w:r>
      <w:r w:rsidR="00784444">
        <w:t>’</w:t>
      </w:r>
      <w:r w:rsidRPr="00BD2C13">
        <w:t>adopter et d</w:t>
      </w:r>
      <w:r w:rsidR="00784444">
        <w:t>’</w:t>
      </w:r>
      <w:r w:rsidRPr="00BD2C13">
        <w:t>appliquer une politique de lutte contre les brimades qui respecte pleinement les exigences des procédures. Celles-ci comprennent des exigences spécifiques relatives à l</w:t>
      </w:r>
      <w:r w:rsidR="00784444">
        <w:t>’</w:t>
      </w:r>
      <w:r w:rsidRPr="00BD2C13">
        <w:t>utilisation de stratégies de prévention et d</w:t>
      </w:r>
      <w:r w:rsidR="00784444">
        <w:t>’</w:t>
      </w:r>
      <w:r w:rsidRPr="00BD2C13">
        <w:t>éducation, de même qu</w:t>
      </w:r>
      <w:r w:rsidR="00784444">
        <w:t>’</w:t>
      </w:r>
      <w:r w:rsidRPr="00BD2C13">
        <w:t>aux enquêtes, au suivi et à l</w:t>
      </w:r>
      <w:r w:rsidR="00784444">
        <w:t>’</w:t>
      </w:r>
      <w:r w:rsidRPr="00BD2C13">
        <w:t>enregistrement des cas de brimades.</w:t>
      </w:r>
      <w:r w:rsidR="007A54A8">
        <w:t xml:space="preserve"> </w:t>
      </w:r>
      <w:r w:rsidRPr="00BD2C13">
        <w:t>Les stratégies appliquées par les écoles doivent faire l</w:t>
      </w:r>
      <w:r w:rsidR="00784444">
        <w:t>’</w:t>
      </w:r>
      <w:r w:rsidRPr="00BD2C13">
        <w:t>objet d</w:t>
      </w:r>
      <w:r w:rsidR="00784444">
        <w:t>’</w:t>
      </w:r>
      <w:r w:rsidRPr="00BD2C13">
        <w:t>une description dans la politique de lutte contre les brimades des établissements et aborder explicitement les brimades fondées sur l</w:t>
      </w:r>
      <w:r w:rsidR="00784444">
        <w:t>’</w:t>
      </w:r>
      <w:r w:rsidRPr="00BD2C13">
        <w:t>identité. Les initiatives des écoles visant à créer une culture scolaire positive et à prévenir et combattre les brimades sont prises en compte dans l</w:t>
      </w:r>
      <w:r w:rsidR="00784444">
        <w:t>’</w:t>
      </w:r>
      <w:r w:rsidRPr="00BD2C13">
        <w:t>évaluation des établissements scolaires réalisée par l</w:t>
      </w:r>
      <w:r w:rsidR="00784444">
        <w:t>’</w:t>
      </w:r>
      <w:r w:rsidRPr="00BD2C13">
        <w:t>Inspection académique.</w:t>
      </w:r>
    </w:p>
    <w:p w14:paraId="2309F1D3" w14:textId="6335925B" w:rsidR="00FD4606" w:rsidRPr="00BD2C13" w:rsidRDefault="00FD4606" w:rsidP="00FD4606">
      <w:pPr>
        <w:pStyle w:val="SingleTxtG"/>
      </w:pPr>
      <w:r w:rsidRPr="00BD2C13">
        <w:t>159.</w:t>
      </w:r>
      <w:r w:rsidRPr="00BD2C13">
        <w:tab/>
        <w:t>Les autres initiatives prévues dans le cadre du Plan d</w:t>
      </w:r>
      <w:r w:rsidR="00784444">
        <w:t>’</w:t>
      </w:r>
      <w:r w:rsidRPr="00BD2C13">
        <w:t>action contre les brimades sont le soutien aux actions de sensibilisation à la nécessité de lutter contre les brimades, ainsi que l</w:t>
      </w:r>
      <w:r w:rsidR="00784444">
        <w:t>’</w:t>
      </w:r>
      <w:r w:rsidRPr="00BD2C13">
        <w:t>élaboration et la distribution de supports de formation sur les brimades à l</w:t>
      </w:r>
      <w:r w:rsidR="00784444">
        <w:t>’</w:t>
      </w:r>
      <w:r w:rsidRPr="00BD2C13">
        <w:t>intention des parents, des enseignants et des conseils d</w:t>
      </w:r>
      <w:r w:rsidR="00784444">
        <w:t>’</w:t>
      </w:r>
      <w:r w:rsidRPr="00BD2C13">
        <w:t>administration des établissements scolaires. Le Ministère finance l</w:t>
      </w:r>
      <w:r w:rsidR="00784444">
        <w:t>’</w:t>
      </w:r>
      <w:r w:rsidRPr="00BD2C13">
        <w:t>organisation de séances de formation sur cette question pour les parents. Celles-ci sont dispensées à l</w:t>
      </w:r>
      <w:r w:rsidR="00784444">
        <w:t>’</w:t>
      </w:r>
      <w:r w:rsidRPr="00BD2C13">
        <w:t>échelle nationale par le Conseil national des parents, de manière à les aider à accompagner leurs enfants. Le Ministère finance également le site Web national de lutte contre les brimades (</w:t>
      </w:r>
      <w:hyperlink r:id="rId14" w:history="1">
        <w:r w:rsidRPr="00BD2C13">
          <w:rPr>
            <w:rStyle w:val="Lienhypertexte"/>
          </w:rPr>
          <w:t>www.tacklebullying.ie</w:t>
        </w:r>
      </w:hyperlink>
      <w:r w:rsidRPr="00BD2C13">
        <w:t>), lancé en 2015, qui constitue un point d</w:t>
      </w:r>
      <w:r w:rsidR="00784444">
        <w:t>’</w:t>
      </w:r>
      <w:r w:rsidRPr="00BD2C13">
        <w:t>information et de soutien unique pour les jeunes, les parents et les enseignants concernés par ce problème.</w:t>
      </w:r>
    </w:p>
    <w:p w14:paraId="4F8EE0A0" w14:textId="77777777" w:rsidR="002430FE" w:rsidRPr="00BD2C13" w:rsidRDefault="00FD4606" w:rsidP="00FD4606">
      <w:pPr>
        <w:pStyle w:val="SingleTxtG"/>
      </w:pPr>
      <w:r w:rsidRPr="00BD2C13">
        <w:t>160.</w:t>
      </w:r>
      <w:r w:rsidRPr="00BD2C13">
        <w:tab/>
        <w:t>S</w:t>
      </w:r>
      <w:r w:rsidR="00784444">
        <w:t>’</w:t>
      </w:r>
      <w:r w:rsidRPr="00BD2C13">
        <w:t>agissant de la sécurité sur l</w:t>
      </w:r>
      <w:r w:rsidR="00784444">
        <w:t>’</w:t>
      </w:r>
      <w:r w:rsidRPr="00BD2C13">
        <w:t>Internet, un grand nombre de supports pédagogiques et de ressources sont mis à la disposition des établissements scolaires pour les aider à élaborer des politiques et des pratiques sur l</w:t>
      </w:r>
      <w:r w:rsidR="00784444">
        <w:t>’</w:t>
      </w:r>
      <w:r w:rsidRPr="00BD2C13">
        <w:t>utilisation sans danger de l</w:t>
      </w:r>
      <w:r w:rsidR="00784444">
        <w:t>’</w:t>
      </w:r>
      <w:r w:rsidRPr="00BD2C13">
        <w:t>Internet et sur la prévention des brimades et du harcèlement en ligne. En particulier, Webwise.ie, une initiative de sécurité sur l</w:t>
      </w:r>
      <w:r w:rsidR="00784444">
        <w:t>’</w:t>
      </w:r>
      <w:r w:rsidRPr="00BD2C13">
        <w:t>Internet financée par le Ministère et l</w:t>
      </w:r>
      <w:r w:rsidR="00784444">
        <w:t>’</w:t>
      </w:r>
      <w:r w:rsidRPr="00BD2C13">
        <w:t>Union européenne, promeut l</w:t>
      </w:r>
      <w:r w:rsidR="00784444">
        <w:t>’</w:t>
      </w:r>
      <w:r w:rsidRPr="00BD2C13">
        <w:t>utilisation autonome, efficace et plus sûre d</w:t>
      </w:r>
      <w:r w:rsidR="00784444">
        <w:t>’</w:t>
      </w:r>
      <w:r w:rsidRPr="00BD2C13">
        <w:t>Internet par les jeunes grâce à une stratégie d</w:t>
      </w:r>
      <w:r w:rsidR="00784444">
        <w:t>’</w:t>
      </w:r>
      <w:r w:rsidRPr="00BD2C13">
        <w:t>information et de sensibilisation soutenue ciblant les enseignants et les écoles, les parents et les enfants eux-mêmes au moyen de messages cohérents et pertinents. L</w:t>
      </w:r>
      <w:r w:rsidR="00784444">
        <w:t>’</w:t>
      </w:r>
      <w:r w:rsidRPr="00BD2C13">
        <w:t xml:space="preserve">équipe de </w:t>
      </w:r>
      <w:proofErr w:type="spellStart"/>
      <w:r w:rsidRPr="00BD2C13">
        <w:t>Webwise</w:t>
      </w:r>
      <w:proofErr w:type="spellEnd"/>
      <w:r w:rsidRPr="00BD2C13">
        <w:t xml:space="preserve"> élabore et diffuse des ressources qui aident les enseignants à intégrer la sécurité sur l</w:t>
      </w:r>
      <w:r w:rsidR="00784444">
        <w:t>’</w:t>
      </w:r>
      <w:r w:rsidRPr="00BD2C13">
        <w:t>Internet dans leur enseignement et leurs cours. Cette équipe travaille en étroite collaboration avec l</w:t>
      </w:r>
      <w:r w:rsidR="00784444">
        <w:t>’</w:t>
      </w:r>
      <w:r w:rsidRPr="00BD2C13">
        <w:t>équipe Santé et bien-être du service de soutien aux enseignants financé par le Ministère pour s</w:t>
      </w:r>
      <w:r w:rsidR="00784444">
        <w:t>’</w:t>
      </w:r>
      <w:r w:rsidRPr="00BD2C13">
        <w:t>assurer que les messages de sécurité sur l</w:t>
      </w:r>
      <w:r w:rsidR="00784444">
        <w:t>’</w:t>
      </w:r>
      <w:r w:rsidRPr="00BD2C13">
        <w:t xml:space="preserve">Internet, </w:t>
      </w:r>
      <w:r w:rsidR="00441BDA">
        <w:t>y compris</w:t>
      </w:r>
      <w:r w:rsidRPr="00BD2C13">
        <w:t xml:space="preserve"> la lutte contre la </w:t>
      </w:r>
      <w:proofErr w:type="spellStart"/>
      <w:r w:rsidRPr="00BD2C13">
        <w:t>cyberintimidation</w:t>
      </w:r>
      <w:proofErr w:type="spellEnd"/>
      <w:r w:rsidRPr="00BD2C13">
        <w:t>, sont pris en compte dans l</w:t>
      </w:r>
      <w:r w:rsidR="00784444">
        <w:t>’</w:t>
      </w:r>
      <w:r w:rsidRPr="00BD2C13">
        <w:t>enseignement des modules «</w:t>
      </w:r>
      <w:r w:rsidR="000305A3">
        <w:t> </w:t>
      </w:r>
      <w:r w:rsidRPr="00BD2C13">
        <w:t>Éducation sociale, personnelle et sanitaire</w:t>
      </w:r>
      <w:r w:rsidR="000305A3">
        <w:t> </w:t>
      </w:r>
      <w:r w:rsidRPr="00BD2C13">
        <w:t>» du programme scolaire. Des informations, des conseils et des outils sont également fournis aux parents pour les aider à s</w:t>
      </w:r>
      <w:r w:rsidR="00784444">
        <w:t>’</w:t>
      </w:r>
      <w:r w:rsidRPr="00BD2C13">
        <w:t>engager dans la vie en ligne de leurs enfants.</w:t>
      </w:r>
    </w:p>
    <w:p w14:paraId="374C4413" w14:textId="77777777" w:rsidR="00DB5976" w:rsidRPr="00BD2C13" w:rsidRDefault="00DB5976" w:rsidP="00DB5976">
      <w:pPr>
        <w:pStyle w:val="SingleTxtG"/>
        <w:rPr>
          <w:u w:val="single"/>
        </w:rPr>
      </w:pPr>
      <w:r w:rsidRPr="00BD2C13">
        <w:t>161.</w:t>
      </w:r>
      <w:r w:rsidRPr="00BD2C13">
        <w:tab/>
        <w:t>Le Plan d</w:t>
      </w:r>
      <w:r w:rsidR="00784444">
        <w:t>’</w:t>
      </w:r>
      <w:r w:rsidRPr="00BD2C13">
        <w:t>action pour l</w:t>
      </w:r>
      <w:r w:rsidR="00784444">
        <w:t>’</w:t>
      </w:r>
      <w:r w:rsidRPr="00BD2C13">
        <w:t>égalité des chances en milieu scolaire (</w:t>
      </w:r>
      <w:proofErr w:type="spellStart"/>
      <w:r w:rsidRPr="00BD2C13">
        <w:rPr>
          <w:i/>
          <w:iCs/>
        </w:rPr>
        <w:t>Delivering</w:t>
      </w:r>
      <w:proofErr w:type="spellEnd"/>
      <w:r w:rsidRPr="00BD2C13">
        <w:rPr>
          <w:i/>
          <w:iCs/>
        </w:rPr>
        <w:t xml:space="preserve"> </w:t>
      </w:r>
      <w:proofErr w:type="spellStart"/>
      <w:r w:rsidRPr="00BD2C13">
        <w:rPr>
          <w:i/>
          <w:iCs/>
        </w:rPr>
        <w:t>Equality</w:t>
      </w:r>
      <w:proofErr w:type="spellEnd"/>
      <w:r w:rsidRPr="00BD2C13">
        <w:rPr>
          <w:i/>
          <w:iCs/>
        </w:rPr>
        <w:t xml:space="preserve"> of Opportunity in </w:t>
      </w:r>
      <w:proofErr w:type="spellStart"/>
      <w:r w:rsidRPr="00BD2C13">
        <w:rPr>
          <w:i/>
          <w:iCs/>
        </w:rPr>
        <w:t>Schools</w:t>
      </w:r>
      <w:proofErr w:type="spellEnd"/>
      <w:r w:rsidRPr="00BD2C13">
        <w:t>) est la principale initiative du Ministère de l</w:t>
      </w:r>
      <w:r w:rsidR="00784444">
        <w:t>’</w:t>
      </w:r>
      <w:r w:rsidRPr="00BD2C13">
        <w:t>éducation et de la formation pour remédier aux inégalités scolaires. Le plan d</w:t>
      </w:r>
      <w:r w:rsidR="00784444">
        <w:t>’</w:t>
      </w:r>
      <w:r w:rsidRPr="00BD2C13">
        <w:t>action de 2017 définit les futures interventions dans ce domaine important et fait fond sur les réalisations d</w:t>
      </w:r>
      <w:r w:rsidR="00784444">
        <w:t>’</w:t>
      </w:r>
      <w:r w:rsidRPr="00BD2C13">
        <w:t>établissements ayant bénéficié d</w:t>
      </w:r>
      <w:r w:rsidR="00784444">
        <w:t>’</w:t>
      </w:r>
      <w:r w:rsidRPr="00BD2C13">
        <w:t>un soutien supplémentaire dans le cadre du premier plan d</w:t>
      </w:r>
      <w:r w:rsidR="00784444">
        <w:t>’</w:t>
      </w:r>
      <w:r w:rsidRPr="00BD2C13">
        <w:t>action, lancé en 2005.</w:t>
      </w:r>
    </w:p>
    <w:p w14:paraId="03DC609A" w14:textId="77777777" w:rsidR="00DB5976" w:rsidRPr="00BD2C13" w:rsidRDefault="00DB5976" w:rsidP="00DB5976">
      <w:pPr>
        <w:pStyle w:val="H4G"/>
      </w:pPr>
      <w:r w:rsidRPr="00BD2C13">
        <w:tab/>
      </w:r>
      <w:r w:rsidRPr="00BD2C13">
        <w:tab/>
        <w:t>Enseignement supérieur</w:t>
      </w:r>
    </w:p>
    <w:p w14:paraId="3872A34D" w14:textId="77777777" w:rsidR="00DB5976" w:rsidRPr="00BD2C13" w:rsidRDefault="00DB5976" w:rsidP="00DB5976">
      <w:pPr>
        <w:pStyle w:val="SingleTxtG"/>
        <w:rPr>
          <w:b/>
        </w:rPr>
      </w:pPr>
      <w:r w:rsidRPr="00BD2C13">
        <w:t>162.</w:t>
      </w:r>
      <w:r w:rsidRPr="00BD2C13">
        <w:tab/>
        <w:t>Les établissements d</w:t>
      </w:r>
      <w:r w:rsidR="00784444">
        <w:t>’</w:t>
      </w:r>
      <w:r w:rsidRPr="00BD2C13">
        <w:t>enseignement supérieur proposent un large éventail de programmes relatifs aux droits de l</w:t>
      </w:r>
      <w:r w:rsidR="00784444">
        <w:t>’</w:t>
      </w:r>
      <w:r w:rsidRPr="00BD2C13">
        <w:t xml:space="preserve">homme. Ces droits, qui occupent déjà une place importante dans les cours de droit, de sciences politiques et de relations internationales, sont également abordés dans un vaste éventail de disciplines, </w:t>
      </w:r>
      <w:r w:rsidR="00441BDA">
        <w:t>y compris</w:t>
      </w:r>
      <w:r w:rsidRPr="00BD2C13">
        <w:t xml:space="preserve"> la sociologie, la psychologie, les sciences de la santé, l</w:t>
      </w:r>
      <w:r w:rsidR="00784444">
        <w:t>’</w:t>
      </w:r>
      <w:r w:rsidRPr="00BD2C13">
        <w:t>éducation et les études sur le genre. Il existe en Irlande deux centres de recherche spécialisés dans les droits de l</w:t>
      </w:r>
      <w:r w:rsidR="00784444">
        <w:t>’</w:t>
      </w:r>
      <w:r w:rsidRPr="00BD2C13">
        <w:t xml:space="preserve">homme : le Centre de la </w:t>
      </w:r>
      <w:r w:rsidRPr="00BD2C13">
        <w:lastRenderedPageBreak/>
        <w:t>justice pénale et des droits de l</w:t>
      </w:r>
      <w:r w:rsidR="00784444">
        <w:t>’</w:t>
      </w:r>
      <w:r w:rsidRPr="00BD2C13">
        <w:t>homme de l</w:t>
      </w:r>
      <w:r w:rsidR="00784444">
        <w:t>’</w:t>
      </w:r>
      <w:proofErr w:type="spellStart"/>
      <w:r w:rsidRPr="00BD2C13">
        <w:t>University</w:t>
      </w:r>
      <w:proofErr w:type="spellEnd"/>
      <w:r w:rsidRPr="00BD2C13">
        <w:t xml:space="preserve"> </w:t>
      </w:r>
      <w:proofErr w:type="spellStart"/>
      <w:r w:rsidRPr="00BD2C13">
        <w:t>College</w:t>
      </w:r>
      <w:proofErr w:type="spellEnd"/>
      <w:r w:rsidRPr="00BD2C13">
        <w:t xml:space="preserve"> de Cork (UCC) et le Centre irlandais des droits de l</w:t>
      </w:r>
      <w:r w:rsidR="00784444">
        <w:t>’</w:t>
      </w:r>
      <w:r w:rsidRPr="00BD2C13">
        <w:t xml:space="preserve">homme de la National </w:t>
      </w:r>
      <w:proofErr w:type="spellStart"/>
      <w:r w:rsidRPr="00BD2C13">
        <w:t>University</w:t>
      </w:r>
      <w:proofErr w:type="spellEnd"/>
      <w:r w:rsidRPr="00BD2C13">
        <w:t xml:space="preserve"> of Ireland de Galway (NUIG). Outre ces deux centres, plusieurs autres relevant d</w:t>
      </w:r>
      <w:r w:rsidR="00784444">
        <w:t>’</w:t>
      </w:r>
      <w:r w:rsidRPr="00BD2C13">
        <w:t>établissements irlandais d</w:t>
      </w:r>
      <w:r w:rsidR="00784444">
        <w:t>’</w:t>
      </w:r>
      <w:r w:rsidRPr="00BD2C13">
        <w:t>enseignement supérieur font une large place aux droits de l</w:t>
      </w:r>
      <w:r w:rsidR="00784444">
        <w:t>’</w:t>
      </w:r>
      <w:r w:rsidRPr="00BD2C13">
        <w:t xml:space="preserve">homme, comme le Centre sur la justice </w:t>
      </w:r>
      <w:proofErr w:type="spellStart"/>
      <w:r w:rsidRPr="00BD2C13">
        <w:t>postconflit</w:t>
      </w:r>
      <w:proofErr w:type="spellEnd"/>
      <w:r w:rsidRPr="00BD2C13">
        <w:t xml:space="preserve"> du Trinity </w:t>
      </w:r>
      <w:proofErr w:type="spellStart"/>
      <w:r w:rsidRPr="00BD2C13">
        <w:t>College</w:t>
      </w:r>
      <w:proofErr w:type="spellEnd"/>
      <w:r w:rsidRPr="00BD2C13">
        <w:t xml:space="preserve"> de Dublin et le Centre d</w:t>
      </w:r>
      <w:r w:rsidR="00784444">
        <w:t>’</w:t>
      </w:r>
      <w:r w:rsidRPr="00BD2C13">
        <w:t>études sur l</w:t>
      </w:r>
      <w:r w:rsidR="00784444">
        <w:t>’</w:t>
      </w:r>
      <w:r w:rsidRPr="00BD2C13">
        <w:t>égalité de l</w:t>
      </w:r>
      <w:r w:rsidR="00784444">
        <w:t>’</w:t>
      </w:r>
      <w:proofErr w:type="spellStart"/>
      <w:r w:rsidRPr="00BD2C13">
        <w:t>University</w:t>
      </w:r>
      <w:proofErr w:type="spellEnd"/>
      <w:r w:rsidRPr="00BD2C13">
        <w:t xml:space="preserve"> </w:t>
      </w:r>
      <w:proofErr w:type="spellStart"/>
      <w:r w:rsidRPr="00BD2C13">
        <w:t>College</w:t>
      </w:r>
      <w:proofErr w:type="spellEnd"/>
      <w:r w:rsidRPr="00BD2C13">
        <w:t xml:space="preserve"> de Dublin.</w:t>
      </w:r>
    </w:p>
    <w:p w14:paraId="20EF9305" w14:textId="77777777" w:rsidR="00DB5976" w:rsidRPr="00BD2C13" w:rsidRDefault="00DB5976" w:rsidP="00DB5976">
      <w:pPr>
        <w:pStyle w:val="SingleTxtG"/>
      </w:pPr>
      <w:r w:rsidRPr="00BD2C13">
        <w:t>163.</w:t>
      </w:r>
      <w:r w:rsidRPr="00BD2C13">
        <w:tab/>
        <w:t>Il incombe aux établissements d</w:t>
      </w:r>
      <w:r w:rsidR="00784444">
        <w:t>’</w:t>
      </w:r>
      <w:r w:rsidRPr="00BD2C13">
        <w:t>enseignement supérieur de défendre et de protéger les droits fondamentaux de leurs étudiants et de leur personnel. En vertu de la loi de 2004 sur l</w:t>
      </w:r>
      <w:r w:rsidR="00784444">
        <w:t>’</w:t>
      </w:r>
      <w:r w:rsidRPr="00BD2C13">
        <w:t>égalité, de la loi de 2000 sur l</w:t>
      </w:r>
      <w:r w:rsidR="00784444">
        <w:t>’</w:t>
      </w:r>
      <w:r w:rsidRPr="00BD2C13">
        <w:t>égalité de traitement et de la loi de 2005 sur les personnes handicapées, les établissements d</w:t>
      </w:r>
      <w:r w:rsidR="00784444">
        <w:t>’</w:t>
      </w:r>
      <w:r w:rsidRPr="00BD2C13">
        <w:t>enseignement supérieur doivent éviter toute discrimination à l</w:t>
      </w:r>
      <w:r w:rsidR="00784444">
        <w:t>’</w:t>
      </w:r>
      <w:r w:rsidRPr="00BD2C13">
        <w:t>égard des étudiants et du personnel et répondre aux besoins des personnes handicapées. Tous les établissements ont mis en place des politiques et des procédures de traitement des plaintes pour brimades et harcèlement, ainsi que des codes de conduite et de déontologie. Ceux-ci offrent également des services de soutien, comme des services aux handicapés, des services psychologiques et médicaux, ainsi que des services d</w:t>
      </w:r>
      <w:r w:rsidR="00784444">
        <w:t>’</w:t>
      </w:r>
      <w:r w:rsidRPr="00BD2C13">
        <w:t>information en ligne et d</w:t>
      </w:r>
      <w:r w:rsidR="00784444">
        <w:t>’</w:t>
      </w:r>
      <w:r w:rsidRPr="00BD2C13">
        <w:t>accompagnement pastoral pour les étudiants, dispensés par des tuteurs individuels.</w:t>
      </w:r>
    </w:p>
    <w:p w14:paraId="21E7FCB0" w14:textId="77777777" w:rsidR="00DB5976" w:rsidRPr="00BD2C13" w:rsidRDefault="00DB5976" w:rsidP="00DB5976">
      <w:pPr>
        <w:pStyle w:val="SingleTxtG"/>
      </w:pPr>
      <w:bookmarkStart w:id="119" w:name="_Hlk37857303"/>
      <w:r w:rsidRPr="00BD2C13">
        <w:t>164.</w:t>
      </w:r>
      <w:r w:rsidRPr="00BD2C13">
        <w:tab/>
        <w:t>Il existe un vaste éventail d</w:t>
      </w:r>
      <w:r w:rsidR="00784444">
        <w:t>’</w:t>
      </w:r>
      <w:r w:rsidRPr="00BD2C13">
        <w:t>initiatives et d</w:t>
      </w:r>
      <w:r w:rsidR="00784444">
        <w:t>’</w:t>
      </w:r>
      <w:r w:rsidRPr="00BD2C13">
        <w:t>aides qui ont pour objectif de garantir l</w:t>
      </w:r>
      <w:r w:rsidR="00784444">
        <w:t>’</w:t>
      </w:r>
      <w:r w:rsidRPr="00BD2C13">
        <w:t>égalité d</w:t>
      </w:r>
      <w:r w:rsidR="00784444">
        <w:t>’</w:t>
      </w:r>
      <w:r w:rsidRPr="00BD2C13">
        <w:t>accès à l</w:t>
      </w:r>
      <w:r w:rsidR="00784444">
        <w:t>’</w:t>
      </w:r>
      <w:r w:rsidRPr="00BD2C13">
        <w:t xml:space="preserve">enseignement supérieur à tous les citoyens, </w:t>
      </w:r>
      <w:r w:rsidR="00441BDA">
        <w:t>y compris</w:t>
      </w:r>
      <w:r w:rsidRPr="00BD2C13">
        <w:t xml:space="preserve"> aux personnes issues d</w:t>
      </w:r>
      <w:r w:rsidR="00784444">
        <w:t>’</w:t>
      </w:r>
      <w:r w:rsidRPr="00BD2C13">
        <w:t xml:space="preserve">un milieu défavorisé ou appartenant à des groupes minoritaires. Le troisième Plan </w:t>
      </w:r>
      <w:r w:rsidR="00496E9D" w:rsidRPr="00496E9D">
        <w:t xml:space="preserve">national pour un accès équitable à l’enseignement supérieur </w:t>
      </w:r>
      <w:r w:rsidRPr="00BD2C13">
        <w:t xml:space="preserve">(2015-2019) a été lancé en décembre 2015. </w:t>
      </w:r>
      <w:bookmarkStart w:id="120" w:name="_Hlk31371762"/>
      <w:r w:rsidRPr="00BD2C13">
        <w:t>Un bilan de ce plan, qui précise également ses priorités jusqu</w:t>
      </w:r>
      <w:r w:rsidR="00784444">
        <w:t>’</w:t>
      </w:r>
      <w:r w:rsidRPr="00BD2C13">
        <w:t>en 2021, a été publié en 2018. L</w:t>
      </w:r>
      <w:r w:rsidR="00784444">
        <w:t>’</w:t>
      </w:r>
      <w:r w:rsidRPr="00BD2C13">
        <w:t xml:space="preserve">objectif du </w:t>
      </w:r>
      <w:r w:rsidR="00FD6933">
        <w:t>p</w:t>
      </w:r>
      <w:r w:rsidRPr="00BD2C13">
        <w:t>lan national d</w:t>
      </w:r>
      <w:r w:rsidR="00784444">
        <w:t>’</w:t>
      </w:r>
      <w:r w:rsidRPr="00BD2C13">
        <w:t xml:space="preserve">accès </w:t>
      </w:r>
      <w:bookmarkEnd w:id="119"/>
      <w:r w:rsidRPr="00BD2C13">
        <w:t>est de s</w:t>
      </w:r>
      <w:r w:rsidR="00784444">
        <w:t>’</w:t>
      </w:r>
      <w:r w:rsidRPr="00BD2C13">
        <w:t>assurer que les étudiants qui intègrent l</w:t>
      </w:r>
      <w:r w:rsidR="00784444">
        <w:t>’</w:t>
      </w:r>
      <w:r w:rsidRPr="00BD2C13">
        <w:t>enseignement supérieur, y participent et le terminent reflètent la diversité et la mixité sociale de la population irlandaise. Il identifie les groupes cibles qui sont actuellement sous-représentés dans l</w:t>
      </w:r>
      <w:r w:rsidR="00784444">
        <w:t>’</w:t>
      </w:r>
      <w:r w:rsidRPr="00BD2C13">
        <w:t xml:space="preserve">enseignement supérieur, notamment les étudiants issus de groupes </w:t>
      </w:r>
      <w:proofErr w:type="spellStart"/>
      <w:r w:rsidRPr="00BD2C13">
        <w:t>socioéconomiques</w:t>
      </w:r>
      <w:proofErr w:type="spellEnd"/>
      <w:r w:rsidRPr="00BD2C13">
        <w:t xml:space="preserve"> généralement peu représentés dans l</w:t>
      </w:r>
      <w:r w:rsidR="00784444">
        <w:t>’</w:t>
      </w:r>
      <w:r w:rsidRPr="00BD2C13">
        <w:t>enseignement supérieur, les gens du voyage irlandais, les étudiants handicapés, les primo-arrivants, les étudiants adultes, les étudiants à temps partiel ou bénéficiant d</w:t>
      </w:r>
      <w:r w:rsidR="00784444">
        <w:t>’</w:t>
      </w:r>
      <w:r w:rsidRPr="00BD2C13">
        <w:t>horaires aménageables et les titulaires de bourses de formation continue. Les parents isolés et les minorités ethniques sont également inclus dans ces catégories.</w:t>
      </w:r>
    </w:p>
    <w:bookmarkEnd w:id="120"/>
    <w:p w14:paraId="5BD5A58E" w14:textId="77777777" w:rsidR="00DB5976" w:rsidRPr="00BD2C13" w:rsidRDefault="00DB5976" w:rsidP="00DB5976">
      <w:pPr>
        <w:pStyle w:val="SingleTxtG"/>
      </w:pPr>
      <w:r w:rsidRPr="00BD2C13">
        <w:t>165.</w:t>
      </w:r>
      <w:r w:rsidRPr="00BD2C13">
        <w:tab/>
        <w:t>Afin d</w:t>
      </w:r>
      <w:r w:rsidR="00784444">
        <w:t>’</w:t>
      </w:r>
      <w:r w:rsidRPr="00BD2C13">
        <w:t>appuyer cet engagement national, l</w:t>
      </w:r>
      <w:r w:rsidR="00784444">
        <w:t>’</w:t>
      </w:r>
      <w:r w:rsidRPr="00BD2C13">
        <w:t>Autorité de l</w:t>
      </w:r>
      <w:r w:rsidR="00784444">
        <w:t>’</w:t>
      </w:r>
      <w:r w:rsidRPr="00BD2C13">
        <w:t>enseignement supérieur a financé une multitude d</w:t>
      </w:r>
      <w:r w:rsidR="00784444">
        <w:t>’</w:t>
      </w:r>
      <w:r w:rsidRPr="00BD2C13">
        <w:t>initiatives d</w:t>
      </w:r>
      <w:r w:rsidR="00784444">
        <w:t>’</w:t>
      </w:r>
      <w:r w:rsidRPr="00BD2C13">
        <w:t>accès dans le cadre du Fonds pour l</w:t>
      </w:r>
      <w:r w:rsidR="00784444">
        <w:t>’</w:t>
      </w:r>
      <w:r w:rsidRPr="00BD2C13">
        <w:t>innovation stratégique, en particulier la réforme et l</w:t>
      </w:r>
      <w:r w:rsidR="00784444">
        <w:t>’</w:t>
      </w:r>
      <w:r w:rsidRPr="00BD2C13">
        <w:t>intégration des voies d</w:t>
      </w:r>
      <w:r w:rsidR="00784444">
        <w:t>’</w:t>
      </w:r>
      <w:r w:rsidRPr="00BD2C13">
        <w:t>accès à l</w:t>
      </w:r>
      <w:r w:rsidR="00784444">
        <w:t>’</w:t>
      </w:r>
      <w:r w:rsidRPr="00BD2C13">
        <w:t>enseignement supérieur</w:t>
      </w:r>
      <w:r w:rsidRPr="00BB49A8">
        <w:rPr>
          <w:rStyle w:val="Appelnotedebasdep"/>
        </w:rPr>
        <w:footnoteReference w:id="4"/>
      </w:r>
      <w:r w:rsidRPr="00BD2C13">
        <w:t xml:space="preserve"> et des voies d</w:t>
      </w:r>
      <w:r w:rsidR="00784444">
        <w:t>’</w:t>
      </w:r>
      <w:r w:rsidRPr="00BD2C13">
        <w:t>accès à l</w:t>
      </w:r>
      <w:r w:rsidR="00784444">
        <w:t>’</w:t>
      </w:r>
      <w:r w:rsidRPr="00BD2C13">
        <w:t>enseignement pour les handicapés</w:t>
      </w:r>
      <w:r w:rsidRPr="00BB49A8">
        <w:rPr>
          <w:rStyle w:val="Appelnotedebasdep"/>
        </w:rPr>
        <w:footnoteReference w:id="5"/>
      </w:r>
      <w:r w:rsidRPr="00BD2C13">
        <w:t>, qui facilitent l</w:t>
      </w:r>
      <w:r w:rsidR="00784444">
        <w:t>’</w:t>
      </w:r>
      <w:r w:rsidRPr="00BD2C13">
        <w:t>accès à l</w:t>
      </w:r>
      <w:r w:rsidR="00784444">
        <w:t>’</w:t>
      </w:r>
      <w:r w:rsidRPr="00BD2C13">
        <w:t>enseignement supérieur des étudiants respectivement issus d</w:t>
      </w:r>
      <w:r w:rsidR="00784444">
        <w:t>’</w:t>
      </w:r>
      <w:r w:rsidRPr="00BD2C13">
        <w:t xml:space="preserve">un milieu </w:t>
      </w:r>
      <w:proofErr w:type="spellStart"/>
      <w:r w:rsidRPr="00BD2C13">
        <w:t>socioéconomique</w:t>
      </w:r>
      <w:proofErr w:type="spellEnd"/>
      <w:r w:rsidRPr="00BD2C13">
        <w:t xml:space="preserve"> défavorisé et handicapés ayant des notes insuffisantes au certificat de fin d</w:t>
      </w:r>
      <w:r w:rsidR="00784444">
        <w:t>’</w:t>
      </w:r>
      <w:r w:rsidRPr="00BD2C13">
        <w:t>études. Plusieurs établissements d</w:t>
      </w:r>
      <w:r w:rsidR="00784444">
        <w:t>’</w:t>
      </w:r>
      <w:r w:rsidRPr="00BD2C13">
        <w:t>enseignement supérieur ont mis en place des programmes pour améliorer l</w:t>
      </w:r>
      <w:r w:rsidR="00784444">
        <w:t>’</w:t>
      </w:r>
      <w:r w:rsidRPr="00BD2C13">
        <w:t xml:space="preserve">accès aux études supérieures, comme par exemple le Dublin Institute of </w:t>
      </w:r>
      <w:proofErr w:type="spellStart"/>
      <w:r w:rsidRPr="00BD2C13">
        <w:t>Technology</w:t>
      </w:r>
      <w:proofErr w:type="spellEnd"/>
      <w:r w:rsidRPr="00BD2C13">
        <w:t xml:space="preserve"> avec un programme communautaire (qui apporte un soutien pédagogique aux enfants et adultes défavorisés afin de favoriser leur accès aux études supérieures, la Dublin City </w:t>
      </w:r>
      <w:proofErr w:type="spellStart"/>
      <w:r w:rsidRPr="00BD2C13">
        <w:t>University</w:t>
      </w:r>
      <w:proofErr w:type="spellEnd"/>
      <w:r w:rsidRPr="00BD2C13">
        <w:t xml:space="preserve"> avec un centre d</w:t>
      </w:r>
      <w:r w:rsidR="00784444">
        <w:t>’</w:t>
      </w:r>
      <w:r w:rsidRPr="00BD2C13">
        <w:t>accueil pour promouvoir les possibilités d</w:t>
      </w:r>
      <w:r w:rsidR="00784444">
        <w:t>’</w:t>
      </w:r>
      <w:r w:rsidRPr="00BD2C13">
        <w:t xml:space="preserve">éducation au sein des collectivités locales et le Trinity </w:t>
      </w:r>
      <w:proofErr w:type="spellStart"/>
      <w:r w:rsidRPr="00BD2C13">
        <w:t>College</w:t>
      </w:r>
      <w:proofErr w:type="spellEnd"/>
      <w:r w:rsidRPr="00BD2C13">
        <w:t xml:space="preserve"> Dublin et ses programmes d</w:t>
      </w:r>
      <w:r w:rsidR="00784444">
        <w:t>’</w:t>
      </w:r>
      <w:r w:rsidRPr="00BD2C13">
        <w:t>accès.</w:t>
      </w:r>
    </w:p>
    <w:p w14:paraId="2E3D2C94" w14:textId="77777777" w:rsidR="00DB5976" w:rsidRPr="00BD2C13" w:rsidRDefault="00DB5976" w:rsidP="00DB5976">
      <w:pPr>
        <w:pStyle w:val="SingleTxtG"/>
      </w:pPr>
      <w:r w:rsidRPr="00BD2C13">
        <w:t>166.</w:t>
      </w:r>
      <w:r w:rsidRPr="00BD2C13">
        <w:tab/>
        <w:t>Les établissements d</w:t>
      </w:r>
      <w:r w:rsidR="00784444">
        <w:t>’</w:t>
      </w:r>
      <w:r w:rsidRPr="00BD2C13">
        <w:t>enseignement supérieur irlandais s</w:t>
      </w:r>
      <w:r w:rsidR="00784444">
        <w:t>’</w:t>
      </w:r>
      <w:r w:rsidRPr="00BD2C13">
        <w:t xml:space="preserve">emploient énergiquement à encourager la citoyenneté active parmi leurs étudiants et personnels. La National </w:t>
      </w:r>
      <w:proofErr w:type="spellStart"/>
      <w:r w:rsidRPr="00BD2C13">
        <w:t>University</w:t>
      </w:r>
      <w:proofErr w:type="spellEnd"/>
      <w:r w:rsidRPr="00BD2C13">
        <w:t xml:space="preserve"> of Ireland de Galway joue un rôle de chef de file à cet égard, l</w:t>
      </w:r>
      <w:r w:rsidR="00784444">
        <w:t>’</w:t>
      </w:r>
      <w:r w:rsidRPr="00BD2C13">
        <w:t xml:space="preserve">engagement civique étant inscrit dans son </w:t>
      </w:r>
      <w:r w:rsidR="00103F46">
        <w:rPr>
          <w:iCs/>
        </w:rPr>
        <w:t>p</w:t>
      </w:r>
      <w:r w:rsidRPr="00BD2C13">
        <w:rPr>
          <w:iCs/>
        </w:rPr>
        <w:t>lan stratégique</w:t>
      </w:r>
      <w:r w:rsidRPr="00BD2C13">
        <w:rPr>
          <w:i/>
        </w:rPr>
        <w:t xml:space="preserve"> </w:t>
      </w:r>
      <w:r w:rsidRPr="00BD2C13">
        <w:t>2009-2014. Depuis qu</w:t>
      </w:r>
      <w:r w:rsidR="00784444">
        <w:t>’</w:t>
      </w:r>
      <w:r w:rsidRPr="00BD2C13">
        <w:t>elle a été lancée en 2001, l</w:t>
      </w:r>
      <w:r w:rsidR="00784444">
        <w:t>’</w:t>
      </w:r>
      <w:r w:rsidRPr="00BD2C13">
        <w:t>initiative Savoir communautaire de cette université assure la promotion de l</w:t>
      </w:r>
      <w:r w:rsidR="00784444">
        <w:t>’</w:t>
      </w:r>
      <w:r w:rsidRPr="00BD2C13">
        <w:t>engagement civique en accueillant le programme d</w:t>
      </w:r>
      <w:r w:rsidR="00784444">
        <w:t>’</w:t>
      </w:r>
      <w:r w:rsidRPr="00BD2C13">
        <w:t>étudiants bénévoles ALIVE, en intégrant l</w:t>
      </w:r>
      <w:r w:rsidR="00784444">
        <w:t>’</w:t>
      </w:r>
      <w:r w:rsidRPr="00BD2C13">
        <w:t>apprentissage par le service communautaire dans les études universitaires et en appuyant la recherche conjointe et l</w:t>
      </w:r>
      <w:r w:rsidR="00784444">
        <w:t>’</w:t>
      </w:r>
      <w:r w:rsidRPr="00BD2C13">
        <w:t xml:space="preserve">échange de connaissances avec des partenaires locaux. Le prix du Président de la Dublin City </w:t>
      </w:r>
      <w:proofErr w:type="spellStart"/>
      <w:r w:rsidRPr="00BD2C13">
        <w:t>University</w:t>
      </w:r>
      <w:proofErr w:type="spellEnd"/>
      <w:r w:rsidRPr="00BD2C13">
        <w:t xml:space="preserve"> pour l</w:t>
      </w:r>
      <w:r w:rsidR="00784444">
        <w:t>’</w:t>
      </w:r>
      <w:r w:rsidRPr="00BD2C13">
        <w:t>engagement récompense la participation du personnel et des étudiants dans la vie de la communauté, tandis que le programme d</w:t>
      </w:r>
      <w:r w:rsidR="00784444">
        <w:t>’</w:t>
      </w:r>
      <w:r w:rsidRPr="00BD2C13">
        <w:t xml:space="preserve">accompagnement </w:t>
      </w:r>
      <w:r w:rsidRPr="00BD2C13">
        <w:lastRenderedPageBreak/>
        <w:t xml:space="preserve">scolaire bénévole du Trinity </w:t>
      </w:r>
      <w:proofErr w:type="spellStart"/>
      <w:r w:rsidRPr="00BD2C13">
        <w:t>College</w:t>
      </w:r>
      <w:proofErr w:type="spellEnd"/>
      <w:r w:rsidRPr="00BD2C13">
        <w:t xml:space="preserve"> de Dublin permet aux étudiants de cet établissement de parrainer des enfants et des adolescents des communautés locales de </w:t>
      </w:r>
      <w:proofErr w:type="spellStart"/>
      <w:r w:rsidRPr="00BD2C13">
        <w:t>Pearse</w:t>
      </w:r>
      <w:proofErr w:type="spellEnd"/>
      <w:r w:rsidRPr="00BD2C13">
        <w:t xml:space="preserve"> Street et de </w:t>
      </w:r>
      <w:proofErr w:type="spellStart"/>
      <w:r w:rsidRPr="00BD2C13">
        <w:t>Ringsend</w:t>
      </w:r>
      <w:proofErr w:type="spellEnd"/>
      <w:r w:rsidRPr="00BD2C13">
        <w:t xml:space="preserve">. Le </w:t>
      </w:r>
      <w:r w:rsidR="00103F46">
        <w:t>r</w:t>
      </w:r>
      <w:r w:rsidRPr="00BD2C13">
        <w:t>éseau Campus Engage, qui est financé par le Fonds pour l</w:t>
      </w:r>
      <w:r w:rsidR="00784444">
        <w:t>’</w:t>
      </w:r>
      <w:r w:rsidRPr="00BD2C13">
        <w:t xml:space="preserve">innovation stratégique et relève de la National </w:t>
      </w:r>
      <w:proofErr w:type="spellStart"/>
      <w:r w:rsidRPr="00BD2C13">
        <w:t>University</w:t>
      </w:r>
      <w:proofErr w:type="spellEnd"/>
      <w:r w:rsidRPr="00BD2C13">
        <w:t xml:space="preserve"> of Ireland de Galway, a étoffé l</w:t>
      </w:r>
      <w:r w:rsidR="00784444">
        <w:t>’</w:t>
      </w:r>
      <w:r w:rsidRPr="00BD2C13">
        <w:t>offre d</w:t>
      </w:r>
      <w:r w:rsidR="00784444">
        <w:t>’</w:t>
      </w:r>
      <w:r w:rsidRPr="00BD2C13">
        <w:t>apprentissage par le service communautaire et les possibilités de bénévolat pour les étudiants, et assure la promotion d</w:t>
      </w:r>
      <w:r w:rsidR="00784444">
        <w:t>’</w:t>
      </w:r>
      <w:r w:rsidRPr="00BD2C13">
        <w:t>une citoyenneté active dans toutes les universités irlandaises.</w:t>
      </w:r>
    </w:p>
    <w:p w14:paraId="7BE3E422" w14:textId="77777777" w:rsidR="00FD4606" w:rsidRPr="00BD2C13" w:rsidRDefault="00DB5976" w:rsidP="00DB5976">
      <w:pPr>
        <w:pStyle w:val="SingleTxtG"/>
      </w:pPr>
      <w:r w:rsidRPr="00BD2C13">
        <w:t>167.</w:t>
      </w:r>
      <w:r w:rsidRPr="00BD2C13">
        <w:tab/>
        <w:t>Tout en reconnaissant les progrès accomplis à ce jour par le secteur universitaire dans le soutien en faveur de l</w:t>
      </w:r>
      <w:r w:rsidR="00784444">
        <w:t>’</w:t>
      </w:r>
      <w:r w:rsidRPr="00BD2C13">
        <w:t>engagement civique, la Stratégie nationale pour l</w:t>
      </w:r>
      <w:r w:rsidR="00784444">
        <w:t>’</w:t>
      </w:r>
      <w:r w:rsidRPr="00BD2C13">
        <w:t>enseignement supérieur à l</w:t>
      </w:r>
      <w:r w:rsidR="00784444">
        <w:t>’</w:t>
      </w:r>
      <w:r w:rsidRPr="00BD2C13">
        <w:t>horizon 2030 préconise que « les établissements d</w:t>
      </w:r>
      <w:r w:rsidR="00784444">
        <w:t>’</w:t>
      </w:r>
      <w:r w:rsidRPr="00BD2C13">
        <w:t>enseignement supérieur soient plus fermement ancrés dans l</w:t>
      </w:r>
      <w:r w:rsidR="00784444">
        <w:t>’</w:t>
      </w:r>
      <w:r w:rsidRPr="00BD2C13">
        <w:t>environnement social et économique des communautés au sein desquelles ils sont implantés et qu</w:t>
      </w:r>
      <w:r w:rsidR="00784444">
        <w:t>’</w:t>
      </w:r>
      <w:r w:rsidRPr="00BD2C13">
        <w:t>ils desservent ». À cette fin, l</w:t>
      </w:r>
      <w:r w:rsidR="00784444">
        <w:t>’</w:t>
      </w:r>
      <w:r w:rsidRPr="00BD2C13">
        <w:t>Autorité de l</w:t>
      </w:r>
      <w:r w:rsidR="00784444">
        <w:t>’</w:t>
      </w:r>
      <w:r w:rsidRPr="00BD2C13">
        <w:t>enseignement supérieur appuie l</w:t>
      </w:r>
      <w:r w:rsidR="00784444">
        <w:t>’</w:t>
      </w:r>
      <w:r w:rsidRPr="00BD2C13">
        <w:t xml:space="preserve">élargissement du réseau Campus Engage et sa transformation en </w:t>
      </w:r>
      <w:proofErr w:type="spellStart"/>
      <w:r w:rsidRPr="00BD2C13">
        <w:t>plateforme</w:t>
      </w:r>
      <w:proofErr w:type="spellEnd"/>
      <w:r w:rsidRPr="00BD2C13">
        <w:t xml:space="preserve"> nationale pour l</w:t>
      </w:r>
      <w:r w:rsidR="00784444">
        <w:t>’</w:t>
      </w:r>
      <w:r w:rsidRPr="00BD2C13">
        <w:t>engagement civique. En outre, le cadre d</w:t>
      </w:r>
      <w:r w:rsidR="00784444">
        <w:t>’</w:t>
      </w:r>
      <w:r w:rsidRPr="00BD2C13">
        <w:t>évaluation des résultats du secteur, actuellement mis au point par l</w:t>
      </w:r>
      <w:r w:rsidR="00784444">
        <w:t>’</w:t>
      </w:r>
      <w:r w:rsidRPr="00BD2C13">
        <w:t>Autorité de l</w:t>
      </w:r>
      <w:r w:rsidR="00784444">
        <w:t>’</w:t>
      </w:r>
      <w:r w:rsidRPr="00BD2C13">
        <w:t>enseignement supérieur, appuiera le développement stratégique des missions d</w:t>
      </w:r>
      <w:r w:rsidR="00784444">
        <w:t>’</w:t>
      </w:r>
      <w:r w:rsidRPr="00BD2C13">
        <w:t>engagement des établissements d</w:t>
      </w:r>
      <w:r w:rsidR="00784444">
        <w:t>’</w:t>
      </w:r>
      <w:r w:rsidRPr="00BD2C13">
        <w:t>enseignement supérieur.</w:t>
      </w:r>
    </w:p>
    <w:p w14:paraId="70B3D94B" w14:textId="77777777" w:rsidR="00DF0D9F" w:rsidRPr="00BD2C13" w:rsidRDefault="00DF0D9F" w:rsidP="00DF0D9F">
      <w:pPr>
        <w:pStyle w:val="H23G"/>
      </w:pPr>
      <w:r w:rsidRPr="00BD2C13">
        <w:tab/>
        <w:t>5.</w:t>
      </w:r>
      <w:r w:rsidRPr="00BD2C13">
        <w:tab/>
        <w:t>Rôle de la société civile, dont les organisations non gouvernementales</w:t>
      </w:r>
    </w:p>
    <w:p w14:paraId="3EA416A5" w14:textId="77777777" w:rsidR="00DF0D9F" w:rsidRPr="00BD2C13" w:rsidRDefault="00DF0D9F" w:rsidP="00DF0D9F">
      <w:pPr>
        <w:pStyle w:val="SingleTxtG"/>
      </w:pPr>
      <w:r w:rsidRPr="00BD2C13">
        <w:t>168.</w:t>
      </w:r>
      <w:r w:rsidRPr="00BD2C13">
        <w:tab/>
        <w:t>L</w:t>
      </w:r>
      <w:r w:rsidR="00784444">
        <w:t>’</w:t>
      </w:r>
      <w:r w:rsidRPr="00BD2C13">
        <w:t>Irlande est dotée d</w:t>
      </w:r>
      <w:r w:rsidR="00784444">
        <w:t>’</w:t>
      </w:r>
      <w:r w:rsidRPr="00BD2C13">
        <w:t>une communauté d</w:t>
      </w:r>
      <w:r w:rsidR="00784444">
        <w:t>’</w:t>
      </w:r>
      <w:r w:rsidRPr="00BD2C13">
        <w:t>ONG forte et active qui joue un rôle essentiel dans l</w:t>
      </w:r>
      <w:r w:rsidR="00784444">
        <w:t>’</w:t>
      </w:r>
      <w:r w:rsidRPr="00BD2C13">
        <w:t>éducation relative aux droits de l</w:t>
      </w:r>
      <w:r w:rsidR="00784444">
        <w:t>’</w:t>
      </w:r>
      <w:r w:rsidRPr="00BD2C13">
        <w:t>homme. Ces organisations fournissent au Gouvernement des informations capitales sur les questions relatives aux droits de l</w:t>
      </w:r>
      <w:r w:rsidR="00784444">
        <w:t>’</w:t>
      </w:r>
      <w:r w:rsidRPr="00BD2C13">
        <w:t>homme qui touchent la population au niveau local, dans le cadre de différentes instances gouvernementales avec les ONG, et à un niveau plus large. Parallèlement, elles aident à faire connaître les programmes des droits de l</w:t>
      </w:r>
      <w:r w:rsidR="00784444">
        <w:t>’</w:t>
      </w:r>
      <w:r w:rsidRPr="00BD2C13">
        <w:t>homme et la protection dont la population peut bénéficier. La consultation des ONG est un élément central du mécanisme de présentation de rapports sur les droits de l</w:t>
      </w:r>
      <w:r w:rsidR="00784444">
        <w:t>’</w:t>
      </w:r>
      <w:r w:rsidRPr="00BD2C13">
        <w:t>homme.</w:t>
      </w:r>
    </w:p>
    <w:p w14:paraId="38059048" w14:textId="77777777" w:rsidR="00DF0D9F" w:rsidRPr="00BD2C13" w:rsidRDefault="00DF0D9F" w:rsidP="00DF0D9F">
      <w:pPr>
        <w:pStyle w:val="H23G"/>
      </w:pPr>
      <w:r w:rsidRPr="00BD2C13">
        <w:tab/>
        <w:t>6.</w:t>
      </w:r>
      <w:r w:rsidRPr="00BD2C13">
        <w:tab/>
        <w:t>Promotion des droits de l</w:t>
      </w:r>
      <w:r w:rsidR="00784444">
        <w:t>’</w:t>
      </w:r>
      <w:r w:rsidRPr="00BD2C13">
        <w:t>homme à l</w:t>
      </w:r>
      <w:r w:rsidR="00784444">
        <w:t>’</w:t>
      </w:r>
      <w:r w:rsidRPr="00BD2C13">
        <w:t xml:space="preserve">échelle internationale et dans le cadre </w:t>
      </w:r>
      <w:r w:rsidRPr="00BD2C13">
        <w:br/>
        <w:t>de la coopération et de l</w:t>
      </w:r>
      <w:r w:rsidR="00784444">
        <w:t>’</w:t>
      </w:r>
      <w:r w:rsidRPr="00BD2C13">
        <w:t>assistance dans le domaine du développement</w:t>
      </w:r>
    </w:p>
    <w:p w14:paraId="487CF9EA" w14:textId="77777777" w:rsidR="00DF0D9F" w:rsidRPr="00BD2C13" w:rsidRDefault="00DF0D9F" w:rsidP="00DF0D9F">
      <w:pPr>
        <w:pStyle w:val="SingleTxtG"/>
      </w:pPr>
      <w:bookmarkStart w:id="121" w:name="OLE_LINK43"/>
      <w:bookmarkStart w:id="122" w:name="OLE_LINK44"/>
      <w:r w:rsidRPr="00BD2C13">
        <w:t>169.</w:t>
      </w:r>
      <w:r w:rsidRPr="00BD2C13">
        <w:tab/>
        <w:t>La promotion et la protection des droits de l</w:t>
      </w:r>
      <w:r w:rsidR="00784444">
        <w:t>’</w:t>
      </w:r>
      <w:r w:rsidRPr="00BD2C13">
        <w:t>homme et des libertés fondamentales a toujours été un élément clef de la politique étrangère irlandaise. L</w:t>
      </w:r>
      <w:r w:rsidR="00784444">
        <w:t>’</w:t>
      </w:r>
      <w:r w:rsidRPr="00BD2C13">
        <w:t>Irlande a un solide bilan pour ce qui est de l</w:t>
      </w:r>
      <w:r w:rsidR="00784444">
        <w:t>’</w:t>
      </w:r>
      <w:r w:rsidRPr="00BD2C13">
        <w:t>aide apportée aux pays en développement dans leur lutte contre la pauvreté, la vulnérabilité et la marginalisation. Le programme officiel d</w:t>
      </w:r>
      <w:r w:rsidR="00784444">
        <w:t>’</w:t>
      </w:r>
      <w:r w:rsidRPr="00BD2C13">
        <w:t>aide de l</w:t>
      </w:r>
      <w:r w:rsidR="00784444">
        <w:t>’</w:t>
      </w:r>
      <w:r w:rsidRPr="00BD2C13">
        <w:t xml:space="preserve">Irlande, Irish </w:t>
      </w:r>
      <w:proofErr w:type="spellStart"/>
      <w:r w:rsidRPr="00BD2C13">
        <w:t>Aid</w:t>
      </w:r>
      <w:proofErr w:type="spellEnd"/>
      <w:r w:rsidRPr="00BD2C13">
        <w:t>, fait partie intégrante de l</w:t>
      </w:r>
      <w:r w:rsidR="00784444">
        <w:t>’</w:t>
      </w:r>
      <w:r w:rsidRPr="00BD2C13">
        <w:t>action du Ministère des affaires étrangères et du commerce. Il</w:t>
      </w:r>
      <w:r w:rsidR="00AE2185">
        <w:t xml:space="preserve"> </w:t>
      </w:r>
      <w:r w:rsidRPr="00BD2C13">
        <w:t>continue de figurer parmi les meilleurs programmes d</w:t>
      </w:r>
      <w:r w:rsidR="00784444">
        <w:t>’</w:t>
      </w:r>
      <w:r w:rsidRPr="00BD2C13">
        <w:t>aide du monde grâce à l</w:t>
      </w:r>
      <w:r w:rsidR="00784444">
        <w:t>’</w:t>
      </w:r>
      <w:r w:rsidRPr="00BD2C13">
        <w:t>accent qu</w:t>
      </w:r>
      <w:r w:rsidR="00784444">
        <w:t>’</w:t>
      </w:r>
      <w:r w:rsidRPr="00BD2C13">
        <w:t>il met sur la pauvreté. En 2019, l</w:t>
      </w:r>
      <w:r w:rsidR="00784444">
        <w:t>’</w:t>
      </w:r>
      <w:r w:rsidRPr="00BD2C13">
        <w:t>Irlande a augmenté de 16 % le budget alloué à l</w:t>
      </w:r>
      <w:r w:rsidR="00784444">
        <w:t>’</w:t>
      </w:r>
      <w:r w:rsidRPr="00BD2C13">
        <w:t>aide publique au développement (APD), ce qui équivaut à une augmentation d</w:t>
      </w:r>
      <w:r w:rsidR="00784444">
        <w:t>’</w:t>
      </w:r>
      <w:r w:rsidRPr="00BD2C13">
        <w:t>environ 110 millions d</w:t>
      </w:r>
      <w:r w:rsidR="00784444">
        <w:t>’</w:t>
      </w:r>
      <w:r w:rsidRPr="00BD2C13">
        <w:t>euros et porte l</w:t>
      </w:r>
      <w:r w:rsidR="00784444">
        <w:t>’</w:t>
      </w:r>
      <w:r w:rsidRPr="00BD2C13">
        <w:t>APD à plus de 817 millions d</w:t>
      </w:r>
      <w:r w:rsidR="00784444">
        <w:t>’</w:t>
      </w:r>
      <w:r w:rsidRPr="00BD2C13">
        <w:t>euros en 2019. De plus, en 2018, le Gouvernement a réaffirmé sa volonté de progresser vers la réalisation de l</w:t>
      </w:r>
      <w:r w:rsidR="00784444">
        <w:t>’</w:t>
      </w:r>
      <w:r w:rsidRPr="00BD2C13">
        <w:t>objectif fixé par l</w:t>
      </w:r>
      <w:r w:rsidR="00784444">
        <w:t>’</w:t>
      </w:r>
      <w:r w:rsidRPr="00BD2C13">
        <w:t>ONU consistant à</w:t>
      </w:r>
      <w:r w:rsidR="007A54A8">
        <w:t xml:space="preserve"> </w:t>
      </w:r>
      <w:r w:rsidRPr="00BD2C13">
        <w:t>consacrer 0,7 % du revenu national brut à l</w:t>
      </w:r>
      <w:r w:rsidR="00784444">
        <w:t>’</w:t>
      </w:r>
      <w:r w:rsidRPr="00BD2C13">
        <w:t>APD d</w:t>
      </w:r>
      <w:r w:rsidR="00784444">
        <w:t>’</w:t>
      </w:r>
      <w:r w:rsidRPr="00BD2C13">
        <w:t>ici à 2030.</w:t>
      </w:r>
    </w:p>
    <w:p w14:paraId="7D8C6517" w14:textId="77777777" w:rsidR="00DF0D9F" w:rsidRPr="00BD2C13" w:rsidRDefault="00DF0D9F" w:rsidP="00DF0D9F">
      <w:pPr>
        <w:pStyle w:val="SingleTxtG"/>
      </w:pPr>
      <w:r w:rsidRPr="00BD2C13">
        <w:t>170.</w:t>
      </w:r>
      <w:r w:rsidRPr="00BD2C13">
        <w:tab/>
        <w:t>Lancée en 2019, la nouvelle Politique irlandaise de développement international − Un monde meilleur − incarne</w:t>
      </w:r>
      <w:bookmarkStart w:id="123" w:name="_Hlk31371781"/>
      <w:r w:rsidRPr="00BD2C13">
        <w:t xml:space="preserve"> l</w:t>
      </w:r>
      <w:r w:rsidR="00784444">
        <w:t>’</w:t>
      </w:r>
      <w:r w:rsidRPr="00BD2C13">
        <w:t>engagement de l</w:t>
      </w:r>
      <w:r w:rsidR="00784444">
        <w:t>’</w:t>
      </w:r>
      <w:r w:rsidRPr="00BD2C13">
        <w:t>Irlande en faveur des objectifs de développement durable (ODD) des Nations Unies et de l</w:t>
      </w:r>
      <w:r w:rsidR="00784444">
        <w:t>’</w:t>
      </w:r>
      <w:r w:rsidRPr="00BD2C13">
        <w:t>ambition de transformation dont ils sont porteurs, en particulier celui qui consiste à s</w:t>
      </w:r>
      <w:r w:rsidR="00784444">
        <w:t>’</w:t>
      </w:r>
      <w:r w:rsidRPr="00BD2C13">
        <w:t>efforcer de venir en aide aux plus défavorisés en premier. L</w:t>
      </w:r>
      <w:r w:rsidR="00784444">
        <w:t>’</w:t>
      </w:r>
      <w:r w:rsidRPr="00BD2C13">
        <w:t>Irlande va accroître ses ressources et sa capacité à influencer et à s</w:t>
      </w:r>
      <w:r w:rsidR="00784444">
        <w:t>’</w:t>
      </w:r>
      <w:r w:rsidRPr="00BD2C13">
        <w:t>engager au niveau international dans quatre grands domaines politiques : l</w:t>
      </w:r>
      <w:r w:rsidR="00784444">
        <w:t>’</w:t>
      </w:r>
      <w:r w:rsidRPr="00BD2C13">
        <w:t>égalité des sexes, la réduction des besoins humanitaires, l</w:t>
      </w:r>
      <w:r w:rsidR="00784444">
        <w:t>’</w:t>
      </w:r>
      <w:r w:rsidRPr="00BD2C13">
        <w:t>action climatique et le renforcement de la gouvernance.</w:t>
      </w:r>
      <w:r w:rsidR="007A54A8">
        <w:t xml:space="preserve"> </w:t>
      </w:r>
      <w:r w:rsidRPr="00BD2C13">
        <w:t>L</w:t>
      </w:r>
      <w:r w:rsidR="00784444">
        <w:t>’</w:t>
      </w:r>
      <w:r w:rsidRPr="00BD2C13">
        <w:t>Irlande reconnaît que la jouissance de tous les droits de l</w:t>
      </w:r>
      <w:r w:rsidR="00784444">
        <w:t>’</w:t>
      </w:r>
      <w:r w:rsidRPr="00BD2C13">
        <w:t xml:space="preserve">homme − civils, culturels, économiques, politiques et sociaux − est essentielle au développement. De même, le développement est essentiel pour permettre la pleine jouissance de ces droits. La Charte des Nations </w:t>
      </w:r>
      <w:r w:rsidR="00FB7A4E">
        <w:t>U</w:t>
      </w:r>
      <w:r w:rsidRPr="00BD2C13">
        <w:t>nies, la Déclaration universelle des droits de l</w:t>
      </w:r>
      <w:r w:rsidR="00784444">
        <w:t>’</w:t>
      </w:r>
      <w:r w:rsidRPr="00BD2C13">
        <w:t xml:space="preserve">homme et les principaux traités des Nations </w:t>
      </w:r>
      <w:r w:rsidR="00071A6F">
        <w:t>U</w:t>
      </w:r>
      <w:r w:rsidRPr="00BD2C13">
        <w:t>nies relatifs aux droits de l</w:t>
      </w:r>
      <w:r w:rsidR="00784444">
        <w:t>’</w:t>
      </w:r>
      <w:r w:rsidRPr="00BD2C13">
        <w:t>homme définissent le cadre des relations internationales de l</w:t>
      </w:r>
      <w:r w:rsidR="00784444">
        <w:t>’</w:t>
      </w:r>
      <w:r w:rsidRPr="00BD2C13">
        <w:t xml:space="preserve">Irlande, </w:t>
      </w:r>
      <w:r w:rsidR="00441BDA">
        <w:t>y compris</w:t>
      </w:r>
      <w:r w:rsidRPr="00BD2C13">
        <w:t xml:space="preserve"> la coopération au développement. Par le biais de son programme de coopération internationale au développement, le Gouvernement irlandais finance un large éventail de programmes relatifs aux droits de l</w:t>
      </w:r>
      <w:r w:rsidR="00784444">
        <w:t>’</w:t>
      </w:r>
      <w:r w:rsidRPr="00BD2C13">
        <w:t xml:space="preserve">homme dans plusieurs pays en développement. Le soutien à la société civile représentait environ 22 % du budget total </w:t>
      </w:r>
      <w:r w:rsidRPr="00BD2C13">
        <w:lastRenderedPageBreak/>
        <w:t>en 2017, ce qui est beaucoup plus élevé que la moyenne de l</w:t>
      </w:r>
      <w:r w:rsidR="00784444">
        <w:t>’</w:t>
      </w:r>
      <w:r w:rsidRPr="00BD2C13">
        <w:t>OCDE. En 2017, environ 8 % du budget de l</w:t>
      </w:r>
      <w:r w:rsidR="00784444">
        <w:t>’</w:t>
      </w:r>
      <w:r w:rsidRPr="00BD2C13">
        <w:t>APD irlandaise (61 millions d</w:t>
      </w:r>
      <w:r w:rsidR="00784444">
        <w:t>’</w:t>
      </w:r>
      <w:r w:rsidRPr="00BD2C13">
        <w:t>euros) ont été consacrés à des actions dans le domaine de la gouvernance, des droits de l</w:t>
      </w:r>
      <w:r w:rsidR="00784444">
        <w:t>’</w:t>
      </w:r>
      <w:r w:rsidRPr="00BD2C13">
        <w:t>homme et de l</w:t>
      </w:r>
      <w:r w:rsidR="00784444">
        <w:t>’</w:t>
      </w:r>
      <w:r w:rsidRPr="00BD2C13">
        <w:t>égalité des sexes. En outre, l</w:t>
      </w:r>
      <w:r w:rsidR="00784444">
        <w:t>’</w:t>
      </w:r>
      <w:r w:rsidRPr="00BD2C13">
        <w:t>Irlande fournit un soutien de base au système des Nations Unies, en particulier au Haut-Commissariat aux droits de l</w:t>
      </w:r>
      <w:r w:rsidR="00784444">
        <w:t>’</w:t>
      </w:r>
      <w:r w:rsidRPr="00BD2C13">
        <w:t>homme.</w:t>
      </w:r>
      <w:bookmarkEnd w:id="123"/>
    </w:p>
    <w:p w14:paraId="0E0F1074" w14:textId="77777777" w:rsidR="00DF0D9F" w:rsidRPr="00BD2C13" w:rsidRDefault="00DF0D9F" w:rsidP="00DF0D9F">
      <w:pPr>
        <w:pStyle w:val="H1G"/>
      </w:pPr>
      <w:bookmarkStart w:id="124" w:name="_Toc7791017"/>
      <w:bookmarkStart w:id="125" w:name="_Toc7793326"/>
      <w:bookmarkStart w:id="126" w:name="_Toc7793868"/>
      <w:bookmarkStart w:id="127" w:name="_Toc7794572"/>
      <w:bookmarkStart w:id="128" w:name="_Toc8135629"/>
      <w:bookmarkStart w:id="129" w:name="_Toc8136344"/>
      <w:bookmarkStart w:id="130" w:name="_Toc8137593"/>
      <w:bookmarkStart w:id="131" w:name="_Toc378170253"/>
      <w:bookmarkStart w:id="132" w:name="_Toc17908580"/>
      <w:bookmarkEnd w:id="121"/>
      <w:bookmarkEnd w:id="122"/>
      <w:bookmarkEnd w:id="124"/>
      <w:bookmarkEnd w:id="125"/>
      <w:bookmarkEnd w:id="126"/>
      <w:bookmarkEnd w:id="127"/>
      <w:bookmarkEnd w:id="128"/>
      <w:bookmarkEnd w:id="129"/>
      <w:bookmarkEnd w:id="130"/>
      <w:r w:rsidRPr="00BD2C13">
        <w:tab/>
        <w:t>D.</w:t>
      </w:r>
      <w:r w:rsidRPr="00BD2C13">
        <w:tab/>
      </w:r>
      <w:bookmarkEnd w:id="131"/>
      <w:bookmarkEnd w:id="132"/>
      <w:r w:rsidRPr="00BD2C13">
        <w:t>Processus d</w:t>
      </w:r>
      <w:r w:rsidR="00784444">
        <w:t>’</w:t>
      </w:r>
      <w:r w:rsidRPr="00BD2C13">
        <w:t>établissement des rapports</w:t>
      </w:r>
    </w:p>
    <w:p w14:paraId="72F6F799" w14:textId="77777777" w:rsidR="00DB5976" w:rsidRPr="00BD2C13" w:rsidRDefault="00DF0D9F" w:rsidP="00DF0D9F">
      <w:pPr>
        <w:pStyle w:val="SingleTxtG"/>
      </w:pPr>
      <w:r w:rsidRPr="00BD2C13">
        <w:t>171.</w:t>
      </w:r>
      <w:r w:rsidRPr="00BD2C13">
        <w:tab/>
        <w:t>Le tableau ci-après présente les principaux ministères chargés de coordonner le processus d</w:t>
      </w:r>
      <w:r w:rsidR="00784444">
        <w:t>’</w:t>
      </w:r>
      <w:r w:rsidRPr="00BD2C13">
        <w:t>établissement de rapports au titre des principaux instruments internationaux relatifs aux droits de l</w:t>
      </w:r>
      <w:r w:rsidR="00784444">
        <w:t>’</w:t>
      </w:r>
      <w:r w:rsidRPr="00BD2C13">
        <w:t>homme.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4251"/>
      </w:tblGrid>
      <w:tr w:rsidR="00CE163B" w:rsidRPr="00BD2C13" w14:paraId="392E1818" w14:textId="77777777" w:rsidTr="008F1DCB">
        <w:trPr>
          <w:tblHeader/>
        </w:trPr>
        <w:tc>
          <w:tcPr>
            <w:tcW w:w="3119" w:type="dxa"/>
            <w:tcBorders>
              <w:top w:val="single" w:sz="4" w:space="0" w:color="auto"/>
              <w:bottom w:val="single" w:sz="12" w:space="0" w:color="auto"/>
            </w:tcBorders>
            <w:shd w:val="clear" w:color="auto" w:fill="auto"/>
            <w:vAlign w:val="bottom"/>
          </w:tcPr>
          <w:p w14:paraId="07859109" w14:textId="77777777" w:rsidR="00CE163B" w:rsidRPr="00BD2C13" w:rsidRDefault="00CE163B" w:rsidP="00CE163B">
            <w:pPr>
              <w:spacing w:before="80" w:after="80" w:line="200" w:lineRule="exact"/>
              <w:ind w:right="113"/>
              <w:rPr>
                <w:i/>
                <w:sz w:val="16"/>
              </w:rPr>
            </w:pPr>
            <w:r w:rsidRPr="00BD2C13">
              <w:rPr>
                <w:i/>
                <w:sz w:val="16"/>
              </w:rPr>
              <w:t>Instruments internationaux</w:t>
            </w:r>
          </w:p>
        </w:tc>
        <w:tc>
          <w:tcPr>
            <w:tcW w:w="4251" w:type="dxa"/>
            <w:tcBorders>
              <w:top w:val="single" w:sz="4" w:space="0" w:color="auto"/>
              <w:bottom w:val="single" w:sz="12" w:space="0" w:color="auto"/>
            </w:tcBorders>
            <w:shd w:val="clear" w:color="auto" w:fill="auto"/>
            <w:vAlign w:val="bottom"/>
          </w:tcPr>
          <w:p w14:paraId="2A19C1D7" w14:textId="77777777" w:rsidR="00CE163B" w:rsidRPr="00BD2C13" w:rsidRDefault="00CE163B" w:rsidP="008F1DCB">
            <w:pPr>
              <w:spacing w:before="80" w:after="80" w:line="200" w:lineRule="exact"/>
              <w:rPr>
                <w:i/>
                <w:sz w:val="16"/>
              </w:rPr>
            </w:pPr>
            <w:r w:rsidRPr="00BD2C13">
              <w:rPr>
                <w:i/>
                <w:sz w:val="16"/>
              </w:rPr>
              <w:t>Principaux ministères compétents</w:t>
            </w:r>
          </w:p>
        </w:tc>
      </w:tr>
      <w:tr w:rsidR="00CE163B" w:rsidRPr="00BD2C13" w14:paraId="244BA87C" w14:textId="77777777" w:rsidTr="008F1DCB">
        <w:trPr>
          <w:trHeight w:hRule="exact" w:val="113"/>
        </w:trPr>
        <w:tc>
          <w:tcPr>
            <w:tcW w:w="3119" w:type="dxa"/>
            <w:tcBorders>
              <w:top w:val="single" w:sz="12" w:space="0" w:color="auto"/>
            </w:tcBorders>
            <w:shd w:val="clear" w:color="auto" w:fill="auto"/>
          </w:tcPr>
          <w:p w14:paraId="385F1308" w14:textId="77777777" w:rsidR="00CE163B" w:rsidRPr="00BD2C13" w:rsidRDefault="00CE163B" w:rsidP="00CE163B">
            <w:pPr>
              <w:spacing w:before="40" w:after="120"/>
              <w:ind w:right="113"/>
            </w:pPr>
          </w:p>
        </w:tc>
        <w:tc>
          <w:tcPr>
            <w:tcW w:w="4251" w:type="dxa"/>
            <w:tcBorders>
              <w:top w:val="single" w:sz="12" w:space="0" w:color="auto"/>
            </w:tcBorders>
            <w:shd w:val="clear" w:color="auto" w:fill="auto"/>
          </w:tcPr>
          <w:p w14:paraId="3269EA3B" w14:textId="77777777" w:rsidR="00CE163B" w:rsidRPr="00BD2C13" w:rsidRDefault="00CE163B" w:rsidP="008F1DCB">
            <w:pPr>
              <w:spacing w:before="40" w:after="120"/>
            </w:pPr>
          </w:p>
        </w:tc>
      </w:tr>
      <w:tr w:rsidR="00CE163B" w:rsidRPr="00BD2C13" w14:paraId="5F7B4EC4" w14:textId="77777777" w:rsidTr="008F1DCB">
        <w:tc>
          <w:tcPr>
            <w:tcW w:w="3119" w:type="dxa"/>
            <w:shd w:val="clear" w:color="auto" w:fill="auto"/>
          </w:tcPr>
          <w:p w14:paraId="058B68BA" w14:textId="77777777" w:rsidR="00CE163B" w:rsidRPr="00BD2C13" w:rsidRDefault="00CE163B" w:rsidP="00CE163B">
            <w:pPr>
              <w:spacing w:before="40" w:after="120"/>
              <w:ind w:right="113"/>
            </w:pPr>
            <w:r w:rsidRPr="00BD2C13">
              <w:t>Pacte international relatif aux</w:t>
            </w:r>
            <w:r w:rsidR="008F1DCB" w:rsidRPr="00BD2C13">
              <w:t xml:space="preserve"> </w:t>
            </w:r>
            <w:r w:rsidRPr="00BD2C13">
              <w:t>droits civils et politiques</w:t>
            </w:r>
          </w:p>
        </w:tc>
        <w:tc>
          <w:tcPr>
            <w:tcW w:w="4251" w:type="dxa"/>
            <w:shd w:val="clear" w:color="auto" w:fill="auto"/>
          </w:tcPr>
          <w:p w14:paraId="503D6C94" w14:textId="77777777" w:rsidR="00CE163B" w:rsidRPr="00BD2C13" w:rsidRDefault="00CE163B" w:rsidP="008F1DCB">
            <w:pPr>
              <w:spacing w:before="40" w:after="120"/>
            </w:pPr>
            <w:r w:rsidRPr="00BD2C13">
              <w:t>Unité des droits de l</w:t>
            </w:r>
            <w:r w:rsidR="00784444">
              <w:t>’</w:t>
            </w:r>
            <w:r w:rsidRPr="00BD2C13">
              <w:t>homme du Ministère des</w:t>
            </w:r>
            <w:r w:rsidR="008F1DCB" w:rsidRPr="00BD2C13">
              <w:t xml:space="preserve"> </w:t>
            </w:r>
            <w:r w:rsidRPr="00BD2C13">
              <w:t xml:space="preserve">affaires étrangères et du </w:t>
            </w:r>
            <w:r w:rsidRPr="00071A6F">
              <w:t>commerce</w:t>
            </w:r>
          </w:p>
        </w:tc>
      </w:tr>
      <w:tr w:rsidR="00CE163B" w:rsidRPr="00BD2C13" w14:paraId="689253D6" w14:textId="77777777" w:rsidTr="008F1DCB">
        <w:tc>
          <w:tcPr>
            <w:tcW w:w="3119" w:type="dxa"/>
            <w:shd w:val="clear" w:color="auto" w:fill="auto"/>
          </w:tcPr>
          <w:p w14:paraId="1889AFB7" w14:textId="77777777" w:rsidR="00CE163B" w:rsidRPr="00BD2C13" w:rsidRDefault="00CE163B" w:rsidP="00CE163B">
            <w:pPr>
              <w:spacing w:before="40" w:after="120"/>
              <w:ind w:right="113"/>
            </w:pPr>
            <w:r w:rsidRPr="00BD2C13">
              <w:t>Pacte international relatif aux</w:t>
            </w:r>
            <w:r w:rsidR="008F1DCB" w:rsidRPr="00BD2C13">
              <w:t xml:space="preserve"> </w:t>
            </w:r>
            <w:r w:rsidRPr="00BD2C13">
              <w:t>droits économiques, sociaux et culturels</w:t>
            </w:r>
          </w:p>
        </w:tc>
        <w:tc>
          <w:tcPr>
            <w:tcW w:w="4251" w:type="dxa"/>
            <w:shd w:val="clear" w:color="auto" w:fill="auto"/>
          </w:tcPr>
          <w:p w14:paraId="7526B247" w14:textId="77777777" w:rsidR="00CE163B" w:rsidRPr="00BD2C13" w:rsidRDefault="00CE163B" w:rsidP="008F1DCB">
            <w:pPr>
              <w:spacing w:before="40" w:after="120"/>
            </w:pPr>
            <w:r w:rsidRPr="00BD2C13">
              <w:t>Unité des droits de l</w:t>
            </w:r>
            <w:r w:rsidR="00784444">
              <w:t>’</w:t>
            </w:r>
            <w:r w:rsidRPr="00BD2C13">
              <w:t>homme du Ministère des</w:t>
            </w:r>
            <w:r w:rsidR="008F1DCB" w:rsidRPr="00BD2C13">
              <w:t xml:space="preserve"> </w:t>
            </w:r>
            <w:r w:rsidRPr="00BD2C13">
              <w:t>affaires étrangères et</w:t>
            </w:r>
            <w:r w:rsidR="008F1DCB" w:rsidRPr="00BD2C13">
              <w:t xml:space="preserve"> </w:t>
            </w:r>
            <w:r w:rsidRPr="00BD2C13">
              <w:t>du commerce</w:t>
            </w:r>
          </w:p>
        </w:tc>
      </w:tr>
      <w:tr w:rsidR="00CE163B" w:rsidRPr="00BD2C13" w14:paraId="5AABD349" w14:textId="77777777" w:rsidTr="008F1DCB">
        <w:tc>
          <w:tcPr>
            <w:tcW w:w="3119" w:type="dxa"/>
            <w:shd w:val="clear" w:color="auto" w:fill="auto"/>
          </w:tcPr>
          <w:p w14:paraId="50A7374C" w14:textId="77777777" w:rsidR="00CE163B" w:rsidRPr="00BD2C13" w:rsidRDefault="00CE163B" w:rsidP="00CE163B">
            <w:pPr>
              <w:spacing w:before="40" w:after="120"/>
              <w:ind w:right="113"/>
            </w:pPr>
            <w:r w:rsidRPr="00BD2C13">
              <w:t>Convention contre la torture et</w:t>
            </w:r>
            <w:r w:rsidR="008F1DCB" w:rsidRPr="00BD2C13">
              <w:t xml:space="preserve"> </w:t>
            </w:r>
            <w:r w:rsidRPr="00BD2C13">
              <w:t>autres peines ou traitements cruels, inhumains ou dégradants</w:t>
            </w:r>
          </w:p>
        </w:tc>
        <w:tc>
          <w:tcPr>
            <w:tcW w:w="4251" w:type="dxa"/>
            <w:shd w:val="clear" w:color="auto" w:fill="auto"/>
          </w:tcPr>
          <w:p w14:paraId="3A01306F" w14:textId="77777777" w:rsidR="00CE163B" w:rsidRPr="00BD2C13" w:rsidRDefault="00CE163B" w:rsidP="008F1DCB">
            <w:pPr>
              <w:spacing w:before="40" w:after="120"/>
            </w:pPr>
            <w:r w:rsidRPr="00BD2C13">
              <w:t>Section de la politique pénitentiaire du Ministère de</w:t>
            </w:r>
            <w:r w:rsidR="008F1DCB" w:rsidRPr="00BD2C13">
              <w:t> </w:t>
            </w:r>
            <w:r w:rsidRPr="00BD2C13">
              <w:t>la justice et de l</w:t>
            </w:r>
            <w:r w:rsidR="00784444">
              <w:t>’</w:t>
            </w:r>
            <w:r w:rsidRPr="00BD2C13">
              <w:t>égalité</w:t>
            </w:r>
          </w:p>
        </w:tc>
      </w:tr>
      <w:tr w:rsidR="00CE163B" w:rsidRPr="00BD2C13" w14:paraId="43AFA51A" w14:textId="77777777" w:rsidTr="008F1DCB">
        <w:tc>
          <w:tcPr>
            <w:tcW w:w="3119" w:type="dxa"/>
            <w:shd w:val="clear" w:color="auto" w:fill="auto"/>
          </w:tcPr>
          <w:p w14:paraId="0CD583DF" w14:textId="77777777" w:rsidR="00CE163B" w:rsidRPr="00BD2C13" w:rsidRDefault="00CE163B" w:rsidP="00CE163B">
            <w:pPr>
              <w:spacing w:before="40" w:after="120"/>
              <w:ind w:right="113"/>
            </w:pPr>
            <w:r w:rsidRPr="00BD2C13">
              <w:t>Convention sur l</w:t>
            </w:r>
            <w:r w:rsidR="00784444">
              <w:t>’</w:t>
            </w:r>
            <w:r w:rsidRPr="00BD2C13">
              <w:t>élimination de toutes les formes de discrimination à l</w:t>
            </w:r>
            <w:r w:rsidR="00784444">
              <w:t>’</w:t>
            </w:r>
            <w:r w:rsidRPr="00BD2C13">
              <w:t>égard des femmes</w:t>
            </w:r>
          </w:p>
        </w:tc>
        <w:tc>
          <w:tcPr>
            <w:tcW w:w="4251" w:type="dxa"/>
            <w:shd w:val="clear" w:color="auto" w:fill="auto"/>
          </w:tcPr>
          <w:p w14:paraId="7630A826" w14:textId="77777777" w:rsidR="00CE163B" w:rsidRPr="00BD2C13" w:rsidRDefault="00CE163B" w:rsidP="008F1DCB">
            <w:pPr>
              <w:spacing w:before="40" w:after="120"/>
            </w:pPr>
            <w:r w:rsidRPr="00BD2C13">
              <w:t>Unité de l</w:t>
            </w:r>
            <w:r w:rsidR="00784444">
              <w:t>’</w:t>
            </w:r>
            <w:r w:rsidRPr="00BD2C13">
              <w:t>égalité des sexes du Ministère de</w:t>
            </w:r>
            <w:r w:rsidR="008F1DCB" w:rsidRPr="00BD2C13">
              <w:t xml:space="preserve"> </w:t>
            </w:r>
            <w:r w:rsidRPr="00BD2C13">
              <w:t>la</w:t>
            </w:r>
            <w:r w:rsidR="008F1DCB" w:rsidRPr="00BD2C13">
              <w:t xml:space="preserve"> </w:t>
            </w:r>
            <w:r w:rsidRPr="00BD2C13">
              <w:t>justice et de l</w:t>
            </w:r>
            <w:r w:rsidR="00784444">
              <w:t>’</w:t>
            </w:r>
            <w:r w:rsidRPr="00BD2C13">
              <w:t>égalité</w:t>
            </w:r>
          </w:p>
        </w:tc>
      </w:tr>
      <w:tr w:rsidR="00CE163B" w:rsidRPr="00BD2C13" w14:paraId="41680511" w14:textId="77777777" w:rsidTr="008F1DCB">
        <w:tc>
          <w:tcPr>
            <w:tcW w:w="3119" w:type="dxa"/>
            <w:shd w:val="clear" w:color="auto" w:fill="auto"/>
          </w:tcPr>
          <w:p w14:paraId="445DB47B" w14:textId="77777777" w:rsidR="00CE163B" w:rsidRPr="00BD2C13" w:rsidRDefault="00CE163B" w:rsidP="00CE163B">
            <w:pPr>
              <w:spacing w:before="40" w:after="120"/>
              <w:ind w:right="113"/>
            </w:pPr>
            <w:r w:rsidRPr="00BD2C13">
              <w:t>Convention relative aux droits de l</w:t>
            </w:r>
            <w:r w:rsidR="00784444">
              <w:t>’</w:t>
            </w:r>
            <w:r w:rsidRPr="00BD2C13">
              <w:t>enfant</w:t>
            </w:r>
          </w:p>
        </w:tc>
        <w:tc>
          <w:tcPr>
            <w:tcW w:w="4251" w:type="dxa"/>
            <w:shd w:val="clear" w:color="auto" w:fill="auto"/>
          </w:tcPr>
          <w:p w14:paraId="59E1AAF3" w14:textId="77777777" w:rsidR="00CE163B" w:rsidRPr="00BD2C13" w:rsidRDefault="00CE163B" w:rsidP="008F1DCB">
            <w:pPr>
              <w:spacing w:before="40" w:after="120"/>
            </w:pPr>
            <w:r w:rsidRPr="00BD2C13">
              <w:t>Section de la législation et des politiques relatives à</w:t>
            </w:r>
            <w:r w:rsidR="008F1DCB" w:rsidRPr="00BD2C13">
              <w:t> </w:t>
            </w:r>
            <w:r w:rsidRPr="00BD2C13">
              <w:t>l</w:t>
            </w:r>
            <w:r w:rsidR="00784444">
              <w:t>’</w:t>
            </w:r>
            <w:r w:rsidRPr="00BD2C13">
              <w:t>enfance et aux droits de l</w:t>
            </w:r>
            <w:r w:rsidR="00784444">
              <w:t>’</w:t>
            </w:r>
            <w:r w:rsidRPr="00BD2C13">
              <w:t>enfant, Ministère de l</w:t>
            </w:r>
            <w:r w:rsidR="00784444">
              <w:t>’</w:t>
            </w:r>
            <w:r w:rsidRPr="00BD2C13">
              <w:t>enfance et de la jeunesse</w:t>
            </w:r>
          </w:p>
        </w:tc>
      </w:tr>
      <w:tr w:rsidR="00CE163B" w:rsidRPr="00BD2C13" w14:paraId="268A6759" w14:textId="77777777" w:rsidTr="008F1DCB">
        <w:tc>
          <w:tcPr>
            <w:tcW w:w="3119" w:type="dxa"/>
            <w:shd w:val="clear" w:color="auto" w:fill="auto"/>
          </w:tcPr>
          <w:p w14:paraId="4E974061" w14:textId="77777777" w:rsidR="00CE163B" w:rsidRPr="00BD2C13" w:rsidRDefault="00CE163B" w:rsidP="00CE163B">
            <w:pPr>
              <w:spacing w:before="40" w:after="120"/>
              <w:ind w:right="113"/>
            </w:pPr>
            <w:r w:rsidRPr="00BD2C13">
              <w:t>Convention internationale sur</w:t>
            </w:r>
            <w:r w:rsidR="008F1DCB" w:rsidRPr="00BD2C13">
              <w:t xml:space="preserve"> </w:t>
            </w:r>
            <w:r w:rsidRPr="00BD2C13">
              <w:t>l</w:t>
            </w:r>
            <w:r w:rsidR="00784444">
              <w:t>’</w:t>
            </w:r>
            <w:r w:rsidRPr="00BD2C13">
              <w:t>élimination de toutes les formes de</w:t>
            </w:r>
            <w:r w:rsidR="008F1DCB" w:rsidRPr="00BD2C13">
              <w:t> </w:t>
            </w:r>
            <w:r w:rsidRPr="00BD2C13">
              <w:t>discrimination raciale</w:t>
            </w:r>
          </w:p>
        </w:tc>
        <w:tc>
          <w:tcPr>
            <w:tcW w:w="4251" w:type="dxa"/>
            <w:shd w:val="clear" w:color="auto" w:fill="auto"/>
          </w:tcPr>
          <w:p w14:paraId="1B8DB5F6" w14:textId="77777777" w:rsidR="00CE163B" w:rsidRPr="00BD2C13" w:rsidRDefault="00CE163B" w:rsidP="008F1DCB">
            <w:pPr>
              <w:spacing w:before="40" w:after="120"/>
            </w:pPr>
            <w:bookmarkStart w:id="133" w:name="_Hlk36389911"/>
            <w:r w:rsidRPr="00BD2C13">
              <w:t>Section de la justice civile et des politiques d</w:t>
            </w:r>
            <w:r w:rsidR="00784444">
              <w:t>’</w:t>
            </w:r>
            <w:r w:rsidRPr="00BD2C13">
              <w:t xml:space="preserve">égalité, </w:t>
            </w:r>
            <w:bookmarkEnd w:id="133"/>
            <w:r w:rsidRPr="00BD2C13">
              <w:t>Ministère de</w:t>
            </w:r>
            <w:r w:rsidR="008F1DCB" w:rsidRPr="00BD2C13">
              <w:t xml:space="preserve"> </w:t>
            </w:r>
            <w:r w:rsidRPr="00BD2C13">
              <w:t>la</w:t>
            </w:r>
            <w:r w:rsidR="008F1DCB" w:rsidRPr="00BD2C13">
              <w:t xml:space="preserve"> </w:t>
            </w:r>
            <w:r w:rsidRPr="00BD2C13">
              <w:t>justice et de l</w:t>
            </w:r>
            <w:r w:rsidR="00784444">
              <w:t>’</w:t>
            </w:r>
            <w:r w:rsidRPr="00BD2C13">
              <w:t>égalité</w:t>
            </w:r>
          </w:p>
        </w:tc>
      </w:tr>
      <w:tr w:rsidR="00CE163B" w:rsidRPr="00BD2C13" w14:paraId="6E677F03" w14:textId="77777777" w:rsidTr="008F1DCB">
        <w:tc>
          <w:tcPr>
            <w:tcW w:w="3119" w:type="dxa"/>
            <w:tcBorders>
              <w:bottom w:val="single" w:sz="12" w:space="0" w:color="auto"/>
            </w:tcBorders>
            <w:shd w:val="clear" w:color="auto" w:fill="auto"/>
          </w:tcPr>
          <w:p w14:paraId="26AB9807" w14:textId="77777777" w:rsidR="00CE163B" w:rsidRPr="00BD2C13" w:rsidRDefault="00CE163B" w:rsidP="00CE163B">
            <w:pPr>
              <w:spacing w:before="40" w:after="120"/>
              <w:ind w:right="113"/>
            </w:pPr>
            <w:r w:rsidRPr="00BD2C13">
              <w:t>Convention relative aux droits des personnes handicapées</w:t>
            </w:r>
          </w:p>
        </w:tc>
        <w:tc>
          <w:tcPr>
            <w:tcW w:w="4251" w:type="dxa"/>
            <w:tcBorders>
              <w:bottom w:val="single" w:sz="12" w:space="0" w:color="auto"/>
            </w:tcBorders>
            <w:shd w:val="clear" w:color="auto" w:fill="auto"/>
          </w:tcPr>
          <w:p w14:paraId="1FF3FE17" w14:textId="77777777" w:rsidR="00CE163B" w:rsidRPr="00BD2C13" w:rsidRDefault="00CE163B" w:rsidP="008F1DCB">
            <w:pPr>
              <w:spacing w:before="40" w:after="120"/>
            </w:pPr>
            <w:r w:rsidRPr="00BD2C13">
              <w:t>Section de la justice civile et des politiques d</w:t>
            </w:r>
            <w:r w:rsidR="00784444">
              <w:t>’</w:t>
            </w:r>
            <w:r w:rsidRPr="00BD2C13">
              <w:t>égalité, Ministère de</w:t>
            </w:r>
            <w:r w:rsidR="009B5132" w:rsidRPr="00BD2C13">
              <w:t xml:space="preserve"> </w:t>
            </w:r>
            <w:r w:rsidRPr="00BD2C13">
              <w:t>la</w:t>
            </w:r>
            <w:r w:rsidR="009B5132" w:rsidRPr="00BD2C13">
              <w:t xml:space="preserve"> </w:t>
            </w:r>
            <w:r w:rsidRPr="00BD2C13">
              <w:t>justice et de l</w:t>
            </w:r>
            <w:r w:rsidR="00784444">
              <w:t>’</w:t>
            </w:r>
            <w:r w:rsidRPr="00BD2C13">
              <w:t>égalité</w:t>
            </w:r>
          </w:p>
        </w:tc>
      </w:tr>
    </w:tbl>
    <w:p w14:paraId="13807AF2" w14:textId="77777777" w:rsidR="009B5132" w:rsidRPr="00BD2C13" w:rsidRDefault="009B5132" w:rsidP="009B5132">
      <w:pPr>
        <w:pStyle w:val="SingleTxtG"/>
        <w:spacing w:before="120"/>
      </w:pPr>
      <w:r w:rsidRPr="00BD2C13">
        <w:t>172.</w:t>
      </w:r>
      <w:r w:rsidRPr="00BD2C13">
        <w:tab/>
        <w:t>Pendant la phase initiale de l</w:t>
      </w:r>
      <w:r w:rsidR="00784444">
        <w:t>’</w:t>
      </w:r>
      <w:r w:rsidRPr="00BD2C13">
        <w:t>élaboration des rapports de l</w:t>
      </w:r>
      <w:r w:rsidR="00784444">
        <w:t>’</w:t>
      </w:r>
      <w:r w:rsidRPr="00BD2C13">
        <w:t>Irlande relatifs aux droits de l</w:t>
      </w:r>
      <w:r w:rsidR="00784444">
        <w:t>’</w:t>
      </w:r>
      <w:r w:rsidRPr="00BD2C13">
        <w:t>homme, quels qu</w:t>
      </w:r>
      <w:r w:rsidR="00784444">
        <w:t>’</w:t>
      </w:r>
      <w:r w:rsidRPr="00BD2C13">
        <w:t>ils soient, des réunions interministérielles sont tenues avec tous les ministères compétents. Une large consultation est menée auprès de la société civile à différentes étapes du processus. La Commission irlandaise des droits de l</w:t>
      </w:r>
      <w:r w:rsidR="00784444">
        <w:t>’</w:t>
      </w:r>
      <w:r w:rsidRPr="00BD2C13">
        <w:t>homme et de l</w:t>
      </w:r>
      <w:r w:rsidR="00784444">
        <w:t>’</w:t>
      </w:r>
      <w:r w:rsidRPr="00BD2C13">
        <w:t>égalité est également invitée à participer à l</w:t>
      </w:r>
      <w:r w:rsidR="00784444">
        <w:t>’</w:t>
      </w:r>
      <w:r w:rsidRPr="00BD2C13">
        <w:t>établissement des rapports.</w:t>
      </w:r>
    </w:p>
    <w:p w14:paraId="42F95C46" w14:textId="77777777" w:rsidR="009B5132" w:rsidRPr="00BD2C13" w:rsidRDefault="009B5132" w:rsidP="009B5132">
      <w:pPr>
        <w:pStyle w:val="SingleTxtG"/>
      </w:pPr>
      <w:r w:rsidRPr="00BD2C13">
        <w:t>173.</w:t>
      </w:r>
      <w:r w:rsidRPr="00BD2C13">
        <w:tab/>
        <w:t>Le Gouvernement irlandais reconnaît le rôle important que jouent les ONG pour promouvoir et mettre en œuvre les droits énoncés dans les instruments, et la consultation d</w:t>
      </w:r>
      <w:r w:rsidR="00784444">
        <w:t>’</w:t>
      </w:r>
      <w:r w:rsidRPr="00BD2C13">
        <w:t>un grand nombre d</w:t>
      </w:r>
      <w:r w:rsidR="00784444">
        <w:t>’</w:t>
      </w:r>
      <w:r w:rsidRPr="00BD2C13">
        <w:t>ONG concernées est une pratique courante dans le cadre de l</w:t>
      </w:r>
      <w:r w:rsidR="00784444">
        <w:t>’</w:t>
      </w:r>
      <w:r w:rsidRPr="00BD2C13">
        <w:t>élaboration des rapports nationaux.</w:t>
      </w:r>
    </w:p>
    <w:p w14:paraId="7355B268" w14:textId="77777777" w:rsidR="009B5132" w:rsidRPr="00BD2C13" w:rsidRDefault="009B5132" w:rsidP="009B5132">
      <w:pPr>
        <w:pStyle w:val="H1G"/>
      </w:pPr>
      <w:bookmarkStart w:id="134" w:name="_Toc17908581"/>
      <w:r w:rsidRPr="00BD2C13">
        <w:tab/>
        <w:t>E.</w:t>
      </w:r>
      <w:r w:rsidRPr="00BD2C13">
        <w:tab/>
      </w:r>
      <w:bookmarkEnd w:id="134"/>
      <w:r w:rsidRPr="00BD2C13">
        <w:t>Autres informations relatives aux droits de l</w:t>
      </w:r>
      <w:r w:rsidR="00784444">
        <w:t>’</w:t>
      </w:r>
      <w:r w:rsidRPr="00BD2C13">
        <w:t>homme</w:t>
      </w:r>
    </w:p>
    <w:p w14:paraId="39AA3CD6" w14:textId="77777777" w:rsidR="009B5132" w:rsidRPr="00BD2C13" w:rsidRDefault="009B5132" w:rsidP="009B5132">
      <w:pPr>
        <w:pStyle w:val="SingleTxtG"/>
        <w:rPr>
          <w:spacing w:val="-1"/>
        </w:rPr>
      </w:pPr>
      <w:r w:rsidRPr="00BD2C13">
        <w:rPr>
          <w:spacing w:val="-1"/>
        </w:rPr>
        <w:t>174.</w:t>
      </w:r>
      <w:r w:rsidRPr="00BD2C13">
        <w:rPr>
          <w:spacing w:val="-1"/>
        </w:rPr>
        <w:tab/>
        <w:t>Le premier cycle de l</w:t>
      </w:r>
      <w:r w:rsidR="00784444">
        <w:rPr>
          <w:spacing w:val="-1"/>
        </w:rPr>
        <w:t>’</w:t>
      </w:r>
      <w:r w:rsidRPr="00BD2C13">
        <w:rPr>
          <w:spacing w:val="-1"/>
        </w:rPr>
        <w:t>Examen périodique universel (EPU) concernant l</w:t>
      </w:r>
      <w:r w:rsidR="00784444">
        <w:rPr>
          <w:spacing w:val="-1"/>
        </w:rPr>
        <w:t>’</w:t>
      </w:r>
      <w:r w:rsidRPr="00BD2C13">
        <w:rPr>
          <w:spacing w:val="-1"/>
        </w:rPr>
        <w:t xml:space="preserve">Irlande a eu lieu en octobre 2011 et un additif au </w:t>
      </w:r>
      <w:r w:rsidR="00071A6F">
        <w:rPr>
          <w:spacing w:val="-1"/>
        </w:rPr>
        <w:t>r</w:t>
      </w:r>
      <w:r w:rsidRPr="00BD2C13">
        <w:rPr>
          <w:spacing w:val="-1"/>
        </w:rPr>
        <w:t>apport du Groupe de travail du Conseil des droits de l</w:t>
      </w:r>
      <w:r w:rsidR="00784444">
        <w:rPr>
          <w:spacing w:val="-1"/>
        </w:rPr>
        <w:t>’</w:t>
      </w:r>
      <w:r w:rsidRPr="00BD2C13">
        <w:rPr>
          <w:spacing w:val="-1"/>
        </w:rPr>
        <w:t>homme de l</w:t>
      </w:r>
      <w:r w:rsidR="00784444">
        <w:rPr>
          <w:spacing w:val="-1"/>
        </w:rPr>
        <w:t>’</w:t>
      </w:r>
      <w:r w:rsidRPr="00BD2C13">
        <w:rPr>
          <w:spacing w:val="-1"/>
        </w:rPr>
        <w:t>ONU a été soumis en mars 2012. Sur les 127 recommandations formulées par les États Membres de l</w:t>
      </w:r>
      <w:r w:rsidR="00784444">
        <w:rPr>
          <w:spacing w:val="-1"/>
        </w:rPr>
        <w:t>’</w:t>
      </w:r>
      <w:r w:rsidRPr="00BD2C13">
        <w:rPr>
          <w:spacing w:val="-1"/>
        </w:rPr>
        <w:t>ONU, l</w:t>
      </w:r>
      <w:r w:rsidR="00784444">
        <w:rPr>
          <w:spacing w:val="-1"/>
        </w:rPr>
        <w:t>’</w:t>
      </w:r>
      <w:r w:rsidRPr="00BD2C13">
        <w:rPr>
          <w:spacing w:val="-1"/>
        </w:rPr>
        <w:t>Irlande en a accepté 91, partiellement accepté 17 et rejeté 19.</w:t>
      </w:r>
    </w:p>
    <w:p w14:paraId="52ECBDB9" w14:textId="77777777" w:rsidR="00CE163B" w:rsidRPr="00BD2C13" w:rsidRDefault="009B5132" w:rsidP="009B5132">
      <w:pPr>
        <w:pStyle w:val="SingleTxtG"/>
      </w:pPr>
      <w:r w:rsidRPr="00BD2C13">
        <w:t>175.</w:t>
      </w:r>
      <w:r w:rsidRPr="00BD2C13">
        <w:tab/>
        <w:t xml:space="preserve">Le </w:t>
      </w:r>
      <w:r w:rsidR="00071A6F">
        <w:t>R</w:t>
      </w:r>
      <w:r w:rsidRPr="00BD2C13">
        <w:t>apport national de l</w:t>
      </w:r>
      <w:r w:rsidR="00784444">
        <w:t>’</w:t>
      </w:r>
      <w:r w:rsidRPr="00BD2C13">
        <w:t>Irlande établi au titre du deuxième cycle de l</w:t>
      </w:r>
      <w:r w:rsidR="00784444">
        <w:t>’</w:t>
      </w:r>
      <w:r w:rsidRPr="00BD2C13">
        <w:t>EPU a été soumis à l</w:t>
      </w:r>
      <w:r w:rsidR="00784444">
        <w:t>’</w:t>
      </w:r>
      <w:r w:rsidRPr="00BD2C13">
        <w:t>ONU en février 2016 et le dernier examen concernant l</w:t>
      </w:r>
      <w:r w:rsidR="00784444">
        <w:t>’</w:t>
      </w:r>
      <w:r w:rsidRPr="00BD2C13">
        <w:t>Irlande a eu lieu le 11 mai 2016. À cette occasion, 262 recommandations ont été faites à l</w:t>
      </w:r>
      <w:r w:rsidR="00784444">
        <w:t>’</w:t>
      </w:r>
      <w:r w:rsidRPr="00BD2C13">
        <w:t>Irlande par d</w:t>
      </w:r>
      <w:r w:rsidR="00784444">
        <w:t>’</w:t>
      </w:r>
      <w:r w:rsidRPr="00BD2C13">
        <w:t>autres États Membres de l</w:t>
      </w:r>
      <w:r w:rsidR="00784444">
        <w:t>’</w:t>
      </w:r>
      <w:r w:rsidRPr="00BD2C13">
        <w:t xml:space="preserve">ONU, et parmi celles-ci, 152 ont été acceptées immédiatement, 13 ont </w:t>
      </w:r>
      <w:r w:rsidRPr="00BD2C13">
        <w:lastRenderedPageBreak/>
        <w:t>été rejetées et 97 ont été retenues pour un examen plus approfondi. Les réponses aux 97 recommandations en suspens sont présentées dans l</w:t>
      </w:r>
      <w:r w:rsidR="00784444">
        <w:t>’</w:t>
      </w:r>
      <w:r w:rsidRPr="00BD2C13">
        <w:t>additif au rapport du Groupe de travail, qui a été soumis aux Nations Unies le 5 septembre 2016. Au total, sur les 262 recommandations faites à l</w:t>
      </w:r>
      <w:r w:rsidR="00784444">
        <w:t>’</w:t>
      </w:r>
      <w:r w:rsidRPr="00BD2C13">
        <w:t>Irlande, 176 ont été acceptées, 45 ont été partiellement acceptées et 41 ont été rejetées.</w:t>
      </w:r>
    </w:p>
    <w:p w14:paraId="5F375632" w14:textId="77777777" w:rsidR="009B5132" w:rsidRPr="00BD2C13" w:rsidRDefault="009B5132" w:rsidP="009B5132">
      <w:pPr>
        <w:pStyle w:val="H23G"/>
      </w:pPr>
      <w:r w:rsidRPr="00BD2C13">
        <w:tab/>
        <w:t>1.</w:t>
      </w:r>
      <w:r w:rsidRPr="00BD2C13">
        <w:tab/>
        <w:t>Informations concernant la non-discrimination et l</w:t>
      </w:r>
      <w:r w:rsidR="00784444">
        <w:t>’</w:t>
      </w:r>
      <w:r w:rsidRPr="00BD2C13">
        <w:t>égalité et les recours utiles</w:t>
      </w:r>
    </w:p>
    <w:p w14:paraId="68F29CE5" w14:textId="77777777" w:rsidR="009B5132" w:rsidRPr="00BD2C13" w:rsidRDefault="009B5132" w:rsidP="009B5132">
      <w:pPr>
        <w:pStyle w:val="H4G"/>
      </w:pPr>
      <w:bookmarkStart w:id="135" w:name="_Toc17908583"/>
      <w:r w:rsidRPr="00BD2C13">
        <w:tab/>
      </w:r>
      <w:r w:rsidRPr="00BD2C13">
        <w:tab/>
        <w:t xml:space="preserve">Non-discrimination </w:t>
      </w:r>
      <w:bookmarkEnd w:id="135"/>
      <w:r w:rsidRPr="00BD2C13">
        <w:t>et égalité</w:t>
      </w:r>
    </w:p>
    <w:p w14:paraId="3E79EA23" w14:textId="77777777" w:rsidR="009B5132" w:rsidRPr="00BD2C13" w:rsidRDefault="009B5132" w:rsidP="009B5132">
      <w:pPr>
        <w:pStyle w:val="H56G"/>
      </w:pPr>
      <w:bookmarkStart w:id="136" w:name="_Toc17908584"/>
      <w:r w:rsidRPr="00BD2C13">
        <w:tab/>
      </w:r>
      <w:r w:rsidRPr="00BD2C13">
        <w:tab/>
      </w:r>
      <w:bookmarkEnd w:id="136"/>
      <w:r w:rsidRPr="00BD2C13">
        <w:t>Législation</w:t>
      </w:r>
    </w:p>
    <w:p w14:paraId="66181E99" w14:textId="77777777" w:rsidR="009B5132" w:rsidRPr="00BD2C13" w:rsidRDefault="009B5132" w:rsidP="009B5132">
      <w:pPr>
        <w:pStyle w:val="SingleTxtG"/>
      </w:pPr>
      <w:r w:rsidRPr="00BD2C13">
        <w:t>176.</w:t>
      </w:r>
      <w:r w:rsidRPr="00BD2C13">
        <w:tab/>
        <w:t>L</w:t>
      </w:r>
      <w:r w:rsidR="00784444">
        <w:t>’</w:t>
      </w:r>
      <w:r w:rsidRPr="00BD2C13">
        <w:t>Irlande s</w:t>
      </w:r>
      <w:r w:rsidR="00784444">
        <w:t>’</w:t>
      </w:r>
      <w:r w:rsidRPr="00BD2C13">
        <w:t>est déjà distinguée par son action de promotion et de protection des principes d</w:t>
      </w:r>
      <w:r w:rsidR="00784444">
        <w:t>’</w:t>
      </w:r>
      <w:r w:rsidRPr="00BD2C13">
        <w:t>égalité et de non-discrimination. Il existe tout un ensemble de lois sur l</w:t>
      </w:r>
      <w:r w:rsidR="00784444">
        <w:t>’</w:t>
      </w:r>
      <w:r w:rsidRPr="00BD2C13">
        <w:t>égalité destinées à garantir l</w:t>
      </w:r>
      <w:r w:rsidR="00784444">
        <w:t>’</w:t>
      </w:r>
      <w:r w:rsidRPr="00BD2C13">
        <w:t>égalité pour tous. Ces lois sont énumérées dans le tableau ci-dessous</w:t>
      </w:r>
      <w:r w:rsidR="00100091">
        <w:t> </w:t>
      </w:r>
      <w:r w:rsidRPr="00BD2C13">
        <w:t>:</w:t>
      </w:r>
    </w:p>
    <w:p w14:paraId="465AC446" w14:textId="77777777" w:rsidR="009B5132" w:rsidRPr="00BD2C13" w:rsidRDefault="009B5132" w:rsidP="009B5132">
      <w:pPr>
        <w:pStyle w:val="SingleTxtG"/>
      </w:pPr>
      <w:proofErr w:type="spellStart"/>
      <w:r w:rsidRPr="00BD2C13">
        <w:t>Bunreacht</w:t>
      </w:r>
      <w:proofErr w:type="spellEnd"/>
      <w:r w:rsidRPr="00BD2C13">
        <w:t xml:space="preserve"> na </w:t>
      </w:r>
      <w:proofErr w:type="spellStart"/>
      <w:r w:rsidRPr="00BD2C13">
        <w:t>hÉireann</w:t>
      </w:r>
      <w:proofErr w:type="spellEnd"/>
      <w:r w:rsidRPr="00BD2C13">
        <w:t xml:space="preserve"> (Constitution de l</w:t>
      </w:r>
      <w:r w:rsidR="00784444">
        <w:t>’</w:t>
      </w:r>
      <w:r w:rsidRPr="00BD2C13">
        <w:t>Irlande) − Articles 40.1, 40.3.1, 40.3.2 et 44.2.3</w:t>
      </w:r>
    </w:p>
    <w:p w14:paraId="23289277" w14:textId="77777777" w:rsidR="009B5132" w:rsidRPr="00BD2C13" w:rsidRDefault="009B5132" w:rsidP="009B5132">
      <w:pPr>
        <w:pStyle w:val="Bullet1G"/>
      </w:pPr>
      <w:r w:rsidRPr="00BD2C13">
        <w:t>Lois sur les licenciements abusifs (1977</w:t>
      </w:r>
      <w:r w:rsidRPr="00BD2C13">
        <w:noBreakHyphen/>
        <w:t>2007)</w:t>
      </w:r>
    </w:p>
    <w:p w14:paraId="66879B52" w14:textId="77777777" w:rsidR="009B5132" w:rsidRPr="00BD2C13" w:rsidRDefault="009B5132" w:rsidP="009B5132">
      <w:pPr>
        <w:pStyle w:val="Bullet1G"/>
      </w:pPr>
      <w:r w:rsidRPr="00BD2C13">
        <w:t>Loi de 1980 sur le Médiateur</w:t>
      </w:r>
    </w:p>
    <w:p w14:paraId="7B5E8C8D" w14:textId="77777777" w:rsidR="009B5132" w:rsidRPr="00BD2C13" w:rsidRDefault="009B5132" w:rsidP="009B5132">
      <w:pPr>
        <w:pStyle w:val="Bullet1G"/>
      </w:pPr>
      <w:r w:rsidRPr="00BD2C13">
        <w:t>Loi de 1989 sur l</w:t>
      </w:r>
      <w:r w:rsidR="00784444">
        <w:t>’</w:t>
      </w:r>
      <w:r w:rsidRPr="00BD2C13">
        <w:t>interdiction de l</w:t>
      </w:r>
      <w:r w:rsidR="00784444">
        <w:t>’</w:t>
      </w:r>
      <w:r w:rsidRPr="00BD2C13">
        <w:t>incitation à la haine</w:t>
      </w:r>
    </w:p>
    <w:p w14:paraId="7542EF69" w14:textId="77777777" w:rsidR="009B5132" w:rsidRPr="00BD2C13" w:rsidRDefault="009B5132" w:rsidP="009B5132">
      <w:pPr>
        <w:pStyle w:val="Bullet1G"/>
      </w:pPr>
      <w:r w:rsidRPr="00BD2C13">
        <w:t>Loi de 1990 sur les retraites</w:t>
      </w:r>
    </w:p>
    <w:p w14:paraId="23E78875" w14:textId="77777777" w:rsidR="009B5132" w:rsidRPr="00BD2C13" w:rsidRDefault="009B5132" w:rsidP="009B5132">
      <w:pPr>
        <w:pStyle w:val="Bullet1G"/>
      </w:pPr>
      <w:r w:rsidRPr="00BD2C13">
        <w:t>Loi de 1994 sur la protection de la maternité</w:t>
      </w:r>
    </w:p>
    <w:p w14:paraId="046AA6FB" w14:textId="77777777" w:rsidR="009B5132" w:rsidRPr="00BD2C13" w:rsidRDefault="009B5132" w:rsidP="009B5132">
      <w:pPr>
        <w:pStyle w:val="Bullet1G"/>
      </w:pPr>
      <w:r w:rsidRPr="00BD2C13">
        <w:t>Loi de 1995 sur le congé d</w:t>
      </w:r>
      <w:r w:rsidR="00784444">
        <w:t>’</w:t>
      </w:r>
      <w:r w:rsidRPr="00BD2C13">
        <w:t>adoption</w:t>
      </w:r>
    </w:p>
    <w:p w14:paraId="0A94A0B0" w14:textId="77777777" w:rsidR="009B5132" w:rsidRPr="00BD2C13" w:rsidRDefault="009B5132" w:rsidP="009B5132">
      <w:pPr>
        <w:pStyle w:val="Bullet1G"/>
      </w:pPr>
      <w:r w:rsidRPr="00BD2C13">
        <w:t>Loi de 1995sur l</w:t>
      </w:r>
      <w:r w:rsidR="00784444">
        <w:t>’</w:t>
      </w:r>
      <w:r w:rsidRPr="00BD2C13">
        <w:t>aide juridictionnelle en matière civile</w:t>
      </w:r>
    </w:p>
    <w:p w14:paraId="02E52794" w14:textId="77777777" w:rsidR="009B5132" w:rsidRPr="00BD2C13" w:rsidRDefault="009B5132" w:rsidP="009B5132">
      <w:pPr>
        <w:pStyle w:val="Bullet1G"/>
      </w:pPr>
      <w:r w:rsidRPr="00BD2C13">
        <w:t>Loi de 1998 sur le congé parental</w:t>
      </w:r>
    </w:p>
    <w:p w14:paraId="2C2C0F9D" w14:textId="77777777" w:rsidR="009B5132" w:rsidRPr="00BD2C13" w:rsidRDefault="009B5132" w:rsidP="009B5132">
      <w:pPr>
        <w:pStyle w:val="Bullet1G"/>
      </w:pPr>
      <w:r w:rsidRPr="00BD2C13">
        <w:t>Loi de 1998 sur l</w:t>
      </w:r>
      <w:r w:rsidR="00784444">
        <w:t>’</w:t>
      </w:r>
      <w:r w:rsidRPr="00BD2C13">
        <w:t>égalité en matière d</w:t>
      </w:r>
      <w:r w:rsidR="00784444">
        <w:t>’</w:t>
      </w:r>
      <w:r w:rsidRPr="00BD2C13">
        <w:t>emploi</w:t>
      </w:r>
    </w:p>
    <w:p w14:paraId="315FD261" w14:textId="77777777" w:rsidR="009B5132" w:rsidRPr="00BD2C13" w:rsidRDefault="009B5132" w:rsidP="009B5132">
      <w:pPr>
        <w:pStyle w:val="Bullet1G"/>
      </w:pPr>
      <w:r w:rsidRPr="00BD2C13">
        <w:t>Loi de 1998 sur l</w:t>
      </w:r>
      <w:r w:rsidR="00784444">
        <w:t>’</w:t>
      </w:r>
      <w:r w:rsidRPr="00BD2C13">
        <w:t>éducation</w:t>
      </w:r>
    </w:p>
    <w:p w14:paraId="4416A3A3" w14:textId="77777777" w:rsidR="009B5132" w:rsidRPr="00BD2C13" w:rsidRDefault="009B5132" w:rsidP="009B5132">
      <w:pPr>
        <w:pStyle w:val="Bullet1G"/>
      </w:pPr>
      <w:r w:rsidRPr="00BD2C13">
        <w:t>Loi de 2015 sur l</w:t>
      </w:r>
      <w:r w:rsidR="00784444">
        <w:t>’</w:t>
      </w:r>
      <w:r w:rsidRPr="00BD2C13">
        <w:t>égalité (dispositions diverses)</w:t>
      </w:r>
    </w:p>
    <w:p w14:paraId="33907A3C" w14:textId="77777777" w:rsidR="009B5132" w:rsidRPr="00BD2C13" w:rsidRDefault="009B5132" w:rsidP="009B5132">
      <w:pPr>
        <w:pStyle w:val="Bullet1G"/>
      </w:pPr>
      <w:r w:rsidRPr="00BD2C13">
        <w:t>Loi de 2000 sur l</w:t>
      </w:r>
      <w:r w:rsidR="00784444">
        <w:t>’</w:t>
      </w:r>
      <w:r w:rsidRPr="00BD2C13">
        <w:t>égalité de traitement</w:t>
      </w:r>
    </w:p>
    <w:p w14:paraId="48AE175A" w14:textId="77777777" w:rsidR="009B5132" w:rsidRPr="00BD2C13" w:rsidRDefault="009B5132" w:rsidP="009B5132">
      <w:pPr>
        <w:pStyle w:val="Bullet1G"/>
      </w:pPr>
      <w:r w:rsidRPr="00BD2C13">
        <w:t>Loi de 2000 sur la Commission des droits de l</w:t>
      </w:r>
      <w:r w:rsidR="00784444">
        <w:t>’</w:t>
      </w:r>
      <w:r w:rsidRPr="00BD2C13">
        <w:t>homme</w:t>
      </w:r>
    </w:p>
    <w:p w14:paraId="59C2C371" w14:textId="77777777" w:rsidR="009B5132" w:rsidRPr="00BD2C13" w:rsidRDefault="009B5132" w:rsidP="009B5132">
      <w:pPr>
        <w:pStyle w:val="Bullet1G"/>
      </w:pPr>
      <w:r w:rsidRPr="00BD2C13">
        <w:t>Loi de 2003 sur les boissons alcoolisées</w:t>
      </w:r>
    </w:p>
    <w:p w14:paraId="1FD0A789" w14:textId="77777777" w:rsidR="009B5132" w:rsidRPr="00BD2C13" w:rsidRDefault="009B5132" w:rsidP="009B5132">
      <w:pPr>
        <w:pStyle w:val="Bullet1G"/>
      </w:pPr>
      <w:r w:rsidRPr="00BD2C13">
        <w:t>Loi de 2014 sur la Commission irlandaise des droits de l</w:t>
      </w:r>
      <w:r w:rsidR="00784444">
        <w:t>’</w:t>
      </w:r>
      <w:r w:rsidRPr="00BD2C13">
        <w:t>homme et de l</w:t>
      </w:r>
      <w:r w:rsidR="00784444">
        <w:t>’</w:t>
      </w:r>
      <w:r w:rsidRPr="00BD2C13">
        <w:t>égalité</w:t>
      </w:r>
    </w:p>
    <w:p w14:paraId="22B7F250" w14:textId="77777777" w:rsidR="009B5132" w:rsidRPr="00BD2C13" w:rsidRDefault="009B5132" w:rsidP="009B5132">
      <w:pPr>
        <w:pStyle w:val="Bullet1G"/>
      </w:pPr>
      <w:r w:rsidRPr="00BD2C13">
        <w:t>Loi de 2003 sur les indemnités pour perte d</w:t>
      </w:r>
      <w:r w:rsidR="00784444">
        <w:t>’</w:t>
      </w:r>
      <w:r w:rsidRPr="00BD2C13">
        <w:t>emploi</w:t>
      </w:r>
    </w:p>
    <w:p w14:paraId="05D79BBE" w14:textId="77777777" w:rsidR="009B5132" w:rsidRPr="00BD2C13" w:rsidRDefault="009B5132" w:rsidP="009B5132">
      <w:pPr>
        <w:pStyle w:val="Bullet1G"/>
      </w:pPr>
      <w:r w:rsidRPr="00BD2C13">
        <w:t>Loi de 2004 sur l</w:t>
      </w:r>
      <w:r w:rsidR="00784444">
        <w:t>’</w:t>
      </w:r>
      <w:r w:rsidRPr="00BD2C13">
        <w:t>égalité</w:t>
      </w:r>
    </w:p>
    <w:p w14:paraId="3B7E6FBC" w14:textId="77777777" w:rsidR="009B5132" w:rsidRPr="00BD2C13" w:rsidRDefault="009B5132" w:rsidP="009B5132">
      <w:pPr>
        <w:pStyle w:val="Bullet1G"/>
      </w:pPr>
      <w:r w:rsidRPr="00BD2C13">
        <w:t>Loi de 2004 sur les baux à usage d</w:t>
      </w:r>
      <w:r w:rsidR="00784444">
        <w:t>’</w:t>
      </w:r>
      <w:r w:rsidRPr="00BD2C13">
        <w:t>habitation</w:t>
      </w:r>
    </w:p>
    <w:p w14:paraId="7C916379" w14:textId="77777777" w:rsidR="009B5132" w:rsidRPr="00BD2C13" w:rsidRDefault="009B5132" w:rsidP="009B5132">
      <w:pPr>
        <w:pStyle w:val="Bullet1G"/>
      </w:pPr>
      <w:r w:rsidRPr="00BD2C13">
        <w:t>Loi de 2004 sur la protection sociale (dispositions diverses)</w:t>
      </w:r>
    </w:p>
    <w:p w14:paraId="70A21389" w14:textId="77777777" w:rsidR="009B5132" w:rsidRPr="00BD2C13" w:rsidRDefault="009B5132" w:rsidP="009B5132">
      <w:pPr>
        <w:pStyle w:val="Bullet1G"/>
      </w:pPr>
      <w:r w:rsidRPr="00BD2C13">
        <w:t>Loi de 2004 sur l</w:t>
      </w:r>
      <w:r w:rsidR="00784444">
        <w:t>’</w:t>
      </w:r>
      <w:r w:rsidRPr="00BD2C13">
        <w:t>administration des services publics (recrutements et nominations)</w:t>
      </w:r>
    </w:p>
    <w:p w14:paraId="14D47545" w14:textId="77777777" w:rsidR="009B5132" w:rsidRPr="00BD2C13" w:rsidRDefault="009B5132" w:rsidP="009B5132">
      <w:pPr>
        <w:pStyle w:val="Bullet1G"/>
      </w:pPr>
      <w:r w:rsidRPr="00BD2C13">
        <w:t>Loi de 2007 sur la protection de l</w:t>
      </w:r>
      <w:r w:rsidR="00784444">
        <w:t>’</w:t>
      </w:r>
      <w:r w:rsidRPr="00BD2C13">
        <w:t>emploi (licenciement collectif exceptionnel et questions connexes)</w:t>
      </w:r>
    </w:p>
    <w:p w14:paraId="35A38D57" w14:textId="77777777" w:rsidR="009B5132" w:rsidRPr="00BD2C13" w:rsidRDefault="009B5132" w:rsidP="009B5132">
      <w:pPr>
        <w:pStyle w:val="Bullet1G"/>
      </w:pPr>
      <w:r w:rsidRPr="00BD2C13">
        <w:t>Code civil de 2008, partie 16 (dispositions diverses)</w:t>
      </w:r>
    </w:p>
    <w:p w14:paraId="5E722210" w14:textId="77777777" w:rsidR="009B5132" w:rsidRPr="00BD2C13" w:rsidRDefault="009B5132" w:rsidP="009B5132">
      <w:pPr>
        <w:pStyle w:val="Bullet1G"/>
      </w:pPr>
      <w:r w:rsidRPr="00BD2C13">
        <w:t>Loi de 2010 sur la marine marchande</w:t>
      </w:r>
    </w:p>
    <w:p w14:paraId="5B91A963" w14:textId="77777777" w:rsidR="009B5132" w:rsidRPr="00BD2C13" w:rsidRDefault="009B5132" w:rsidP="009B5132">
      <w:pPr>
        <w:pStyle w:val="Bullet1G"/>
      </w:pPr>
      <w:r w:rsidRPr="00BD2C13">
        <w:t xml:space="preserve">Loi de 2010 sur le partenariat civil et certains droits et obligations des concubins </w:t>
      </w:r>
    </w:p>
    <w:p w14:paraId="7E1C122E" w14:textId="77777777" w:rsidR="009B5132" w:rsidRPr="00BD2C13" w:rsidRDefault="009B5132" w:rsidP="009B5132">
      <w:pPr>
        <w:pStyle w:val="Bullet1G"/>
      </w:pPr>
      <w:r w:rsidRPr="00BD2C13">
        <w:t>Code civil de 2011 (dispositions diverses)</w:t>
      </w:r>
    </w:p>
    <w:p w14:paraId="15F25909" w14:textId="77777777" w:rsidR="009B5132" w:rsidRPr="00DC396C" w:rsidRDefault="009B5132" w:rsidP="009B5132">
      <w:pPr>
        <w:pStyle w:val="Bullet1G"/>
      </w:pPr>
      <w:r w:rsidRPr="00DC396C">
        <w:t>Loi de 2011 portant modification de la loi sur les ministres et les secrétaires</w:t>
      </w:r>
    </w:p>
    <w:p w14:paraId="0D4E7E85" w14:textId="77777777" w:rsidR="009B5132" w:rsidRPr="00BD2C13" w:rsidRDefault="009B5132" w:rsidP="009B5132">
      <w:pPr>
        <w:pStyle w:val="Bullet1G"/>
      </w:pPr>
      <w:r w:rsidRPr="00BD2C13">
        <w:t>Loi de 2012 sur la protection des employés (agences de travail intérimaire)</w:t>
      </w:r>
    </w:p>
    <w:p w14:paraId="17587C66" w14:textId="77777777" w:rsidR="009B5132" w:rsidRPr="00BD2C13" w:rsidRDefault="009B5132" w:rsidP="009B5132">
      <w:pPr>
        <w:pStyle w:val="Bullet1G"/>
      </w:pPr>
      <w:r w:rsidRPr="00BD2C13">
        <w:t>Loi de 2012 portant modification de la loi sur l</w:t>
      </w:r>
      <w:r w:rsidR="00784444">
        <w:t>’</w:t>
      </w:r>
      <w:r w:rsidRPr="00BD2C13">
        <w:t>égalité de traitement</w:t>
      </w:r>
    </w:p>
    <w:p w14:paraId="38A924DB" w14:textId="77777777" w:rsidR="009B5132" w:rsidRPr="00BD2C13" w:rsidRDefault="009B5132" w:rsidP="009B5132">
      <w:pPr>
        <w:pStyle w:val="Bullet1G"/>
      </w:pPr>
      <w:r w:rsidRPr="00BD2C13">
        <w:lastRenderedPageBreak/>
        <w:t xml:space="preserve">Code de bonne pratique sur le harcèlement sexuel et le harcèlement au travail (décret-loi </w:t>
      </w:r>
      <w:r w:rsidR="000E4DCA" w:rsidRPr="002D76F4">
        <w:rPr>
          <w:rFonts w:eastAsia="MS Mincho"/>
          <w:szCs w:val="22"/>
        </w:rPr>
        <w:t>n</w:t>
      </w:r>
      <w:r w:rsidR="000E4DCA" w:rsidRPr="002D76F4">
        <w:rPr>
          <w:rFonts w:eastAsia="MS Mincho"/>
          <w:szCs w:val="22"/>
          <w:vertAlign w:val="superscript"/>
        </w:rPr>
        <w:t>o</w:t>
      </w:r>
      <w:r w:rsidR="000E4DCA">
        <w:t> </w:t>
      </w:r>
      <w:r w:rsidRPr="00BD2C13">
        <w:t>208 de 2012).</w:t>
      </w:r>
    </w:p>
    <w:p w14:paraId="4BF7AA31" w14:textId="090A4BC6" w:rsidR="009B5132" w:rsidRPr="00BD2C13" w:rsidRDefault="009B5132" w:rsidP="009B5132">
      <w:pPr>
        <w:pStyle w:val="SingleTxtG"/>
      </w:pPr>
      <w:r w:rsidRPr="00BD2C13">
        <w:t>177.</w:t>
      </w:r>
      <w:r w:rsidRPr="00BD2C13">
        <w:tab/>
        <w:t>Les principaux textes de loi adoptés sont notamment les lois de 1998 à 2011 sur l</w:t>
      </w:r>
      <w:r w:rsidR="00784444">
        <w:t>’</w:t>
      </w:r>
      <w:r w:rsidRPr="00BD2C13">
        <w:t>égalité dans l</w:t>
      </w:r>
      <w:r w:rsidR="00784444">
        <w:t>’</w:t>
      </w:r>
      <w:r w:rsidRPr="00BD2C13">
        <w:t>emploi et les lois de 2000 à 2012 sur</w:t>
      </w:r>
      <w:r w:rsidR="000E4DCA">
        <w:t xml:space="preserve"> </w:t>
      </w:r>
      <w:r w:rsidRPr="00BD2C13">
        <w:t>l</w:t>
      </w:r>
      <w:r w:rsidR="00784444">
        <w:t>’</w:t>
      </w:r>
      <w:r w:rsidRPr="00BD2C13">
        <w:t>égalité de traitement. Cette législation interdit la discrimination directe et indirecte dans l</w:t>
      </w:r>
      <w:r w:rsidR="00784444">
        <w:t>’</w:t>
      </w:r>
      <w:r w:rsidRPr="00BD2C13">
        <w:t>emploi et dans l</w:t>
      </w:r>
      <w:r w:rsidR="00784444">
        <w:t>’</w:t>
      </w:r>
      <w:r w:rsidRPr="00BD2C13">
        <w:t xml:space="preserve">accès aux biens et aux services, </w:t>
      </w:r>
      <w:r w:rsidR="00441BDA">
        <w:t>y compris</w:t>
      </w:r>
      <w:r w:rsidRPr="00BD2C13">
        <w:t xml:space="preserve"> au logement, aux soins de santé et à l</w:t>
      </w:r>
      <w:r w:rsidR="00784444">
        <w:t>’</w:t>
      </w:r>
      <w:r w:rsidRPr="00BD2C13">
        <w:t>éducation, fondée sur les neuf motifs suivants : le genre, l</w:t>
      </w:r>
      <w:r w:rsidR="00784444">
        <w:t>’</w:t>
      </w:r>
      <w:r w:rsidRPr="00BD2C13">
        <w:t>état civil, la situation familiale, l</w:t>
      </w:r>
      <w:r w:rsidR="00784444">
        <w:t>’</w:t>
      </w:r>
      <w:r w:rsidRPr="00BD2C13">
        <w:t>orientation sexuelle, la religion, l</w:t>
      </w:r>
      <w:r w:rsidR="00784444">
        <w:t>’</w:t>
      </w:r>
      <w:r w:rsidRPr="00BD2C13">
        <w:t>âge, le handicap, la race ou l</w:t>
      </w:r>
      <w:r w:rsidR="00784444">
        <w:t>’</w:t>
      </w:r>
      <w:r w:rsidRPr="00BD2C13">
        <w:t>appartenance à la communauté des gens du voyage. Ces lois proscrivent également la victimisation, c</w:t>
      </w:r>
      <w:r w:rsidR="00784444">
        <w:t>’</w:t>
      </w:r>
      <w:r w:rsidRPr="00BD2C13">
        <w:t>est-à-dire tout acte de discrimination à l</w:t>
      </w:r>
      <w:r w:rsidR="00784444">
        <w:t>’</w:t>
      </w:r>
      <w:r w:rsidRPr="00BD2C13">
        <w:t>encontre d</w:t>
      </w:r>
      <w:r w:rsidR="00784444">
        <w:t>’</w:t>
      </w:r>
      <w:r w:rsidRPr="00BD2C13">
        <w:t>un individu au motif qu</w:t>
      </w:r>
      <w:r w:rsidR="00784444">
        <w:t>’</w:t>
      </w:r>
      <w:r w:rsidRPr="00BD2C13">
        <w:t>il plaide une cause ou témoigne au titre de la législation sur l</w:t>
      </w:r>
      <w:r w:rsidR="00784444">
        <w:t>’</w:t>
      </w:r>
      <w:r w:rsidRPr="00BD2C13">
        <w:t>égalité, ou bien qu</w:t>
      </w:r>
      <w:r w:rsidR="00784444">
        <w:t>’</w:t>
      </w:r>
      <w:r w:rsidRPr="00BD2C13">
        <w:t>il s</w:t>
      </w:r>
      <w:r w:rsidR="00784444">
        <w:t>’</w:t>
      </w:r>
      <w:r w:rsidRPr="00BD2C13">
        <w:t xml:space="preserve">oppose, par des moyens licites, à une discrimination interdite par cette législation. Ces lois ont établi les structures institutionnelles nécessaires pour garantir la bonne application de cette législation. Les faits nouveaux intervenus dans les structures en question sont décrits aux paragraphes </w:t>
      </w:r>
      <w:r w:rsidRPr="00BD2C13">
        <w:fldChar w:fldCharType="begin"/>
      </w:r>
      <w:r w:rsidRPr="00BD2C13">
        <w:instrText xml:space="preserve"> REF _Ref17889426 \r \h  \* MERGEFORMAT </w:instrText>
      </w:r>
      <w:r w:rsidRPr="00BD2C13">
        <w:fldChar w:fldCharType="separate"/>
      </w:r>
      <w:r w:rsidR="008D5A72">
        <w:t>0</w:t>
      </w:r>
      <w:r w:rsidRPr="00BD2C13">
        <w:fldChar w:fldCharType="end"/>
      </w:r>
      <w:r w:rsidRPr="00BD2C13">
        <w:t xml:space="preserve"> à </w:t>
      </w:r>
      <w:r w:rsidRPr="00BD2C13">
        <w:fldChar w:fldCharType="begin"/>
      </w:r>
      <w:r w:rsidRPr="00BD2C13">
        <w:instrText xml:space="preserve"> REF _Ref17889477 \r \h  \* MERGEFORMAT </w:instrText>
      </w:r>
      <w:r w:rsidRPr="00BD2C13">
        <w:fldChar w:fldCharType="separate"/>
      </w:r>
      <w:r w:rsidR="008D5A72">
        <w:t>0</w:t>
      </w:r>
      <w:r w:rsidRPr="00BD2C13">
        <w:fldChar w:fldCharType="end"/>
      </w:r>
      <w:r w:rsidRPr="00BD2C13">
        <w:t xml:space="preserve"> ci-dessus.</w:t>
      </w:r>
    </w:p>
    <w:p w14:paraId="77490253" w14:textId="77777777" w:rsidR="009B5132" w:rsidRPr="00BD2C13" w:rsidRDefault="009B5132" w:rsidP="009B5132">
      <w:pPr>
        <w:pStyle w:val="SingleTxtG"/>
      </w:pPr>
      <w:r w:rsidRPr="00BD2C13">
        <w:t>178.</w:t>
      </w:r>
      <w:r w:rsidRPr="00BD2C13">
        <w:tab/>
        <w:t>Les améliorations récemment apportées à la loi sur l</w:t>
      </w:r>
      <w:r w:rsidR="00784444">
        <w:t>’</w:t>
      </w:r>
      <w:r w:rsidRPr="00BD2C13">
        <w:t>égalité comprennent les éléments suivants</w:t>
      </w:r>
      <w:r w:rsidR="000438B7" w:rsidRPr="00BD2C13">
        <w:t> </w:t>
      </w:r>
      <w:r w:rsidRPr="00BD2C13">
        <w:t>:</w:t>
      </w:r>
    </w:p>
    <w:p w14:paraId="46EB12E7" w14:textId="77777777" w:rsidR="009B5132" w:rsidRPr="00BD2C13" w:rsidRDefault="009B5132" w:rsidP="000438B7">
      <w:pPr>
        <w:pStyle w:val="SingleTxtG"/>
        <w:ind w:firstLine="567"/>
      </w:pPr>
      <w:r w:rsidRPr="00BD2C13">
        <w:t>a)</w:t>
      </w:r>
      <w:r w:rsidRPr="00BD2C13">
        <w:tab/>
        <w:t>Après l</w:t>
      </w:r>
      <w:r w:rsidR="00784444">
        <w:t>’</w:t>
      </w:r>
      <w:r w:rsidRPr="00BD2C13">
        <w:t>instauration du partenariat civil enregistré pour les couples homosexuels, la protection contre la discrimination fondée sur la situation matrimoniale a été élargie à ce partenariat, et le motif de discrimination a été renommé «</w:t>
      </w:r>
      <w:r w:rsidR="000438B7" w:rsidRPr="00BD2C13">
        <w:t> </w:t>
      </w:r>
      <w:r w:rsidRPr="00BD2C13">
        <w:t>état civil</w:t>
      </w:r>
      <w:r w:rsidR="000438B7" w:rsidRPr="00BD2C13">
        <w:t> </w:t>
      </w:r>
      <w:r w:rsidRPr="00BD2C13">
        <w:t>»</w:t>
      </w:r>
      <w:r w:rsidR="000438B7" w:rsidRPr="00BD2C13">
        <w:t> ;</w:t>
      </w:r>
    </w:p>
    <w:p w14:paraId="4340FF5C" w14:textId="77777777" w:rsidR="009B5132" w:rsidRPr="00BD2C13" w:rsidRDefault="009B5132" w:rsidP="000438B7">
      <w:pPr>
        <w:pStyle w:val="SingleTxtG"/>
        <w:ind w:firstLine="567"/>
      </w:pPr>
      <w:r w:rsidRPr="00BD2C13">
        <w:t>b)</w:t>
      </w:r>
      <w:r w:rsidRPr="00BD2C13">
        <w:tab/>
        <w:t>Le montant maximal de l</w:t>
      </w:r>
      <w:r w:rsidR="00784444">
        <w:t>’</w:t>
      </w:r>
      <w:r w:rsidRPr="00BD2C13">
        <w:t>indemnité versée en cas de discrimination dans le domaine de l</w:t>
      </w:r>
      <w:r w:rsidR="00784444">
        <w:t>’</w:t>
      </w:r>
      <w:r w:rsidRPr="00BD2C13">
        <w:t>emploi a été relevé pour assurer une meilleure réparation aux travailleurs à faible revenu</w:t>
      </w:r>
      <w:r w:rsidR="000438B7" w:rsidRPr="00BD2C13">
        <w:t> ;</w:t>
      </w:r>
    </w:p>
    <w:p w14:paraId="2F91454A" w14:textId="77777777" w:rsidR="009B5132" w:rsidRPr="00BD2C13" w:rsidRDefault="009B5132" w:rsidP="000438B7">
      <w:pPr>
        <w:pStyle w:val="SingleTxtG"/>
        <w:ind w:firstLine="567"/>
      </w:pPr>
      <w:r w:rsidRPr="00BD2C13">
        <w:t>c)</w:t>
      </w:r>
      <w:r w:rsidRPr="00BD2C13">
        <w:tab/>
        <w:t>La loi de 2018 sur l</w:t>
      </w:r>
      <w:r w:rsidR="00784444">
        <w:t>’</w:t>
      </w:r>
      <w:r w:rsidRPr="00BD2C13">
        <w:t>éducation (admission à l</w:t>
      </w:r>
      <w:r w:rsidR="00784444">
        <w:t>’</w:t>
      </w:r>
      <w:r w:rsidRPr="00BD2C13">
        <w:t>école), qui a été promulguée le 18</w:t>
      </w:r>
      <w:r w:rsidR="000438B7" w:rsidRPr="00BD2C13">
        <w:t> </w:t>
      </w:r>
      <w:r w:rsidRPr="00BD2C13">
        <w:t>juillet 2018, introduit des changements visant à rendre les règles d</w:t>
      </w:r>
      <w:r w:rsidR="00784444">
        <w:t>’</w:t>
      </w:r>
      <w:r w:rsidRPr="00BD2C13">
        <w:t>inscription dans les quelque 4</w:t>
      </w:r>
      <w:r w:rsidR="000438B7" w:rsidRPr="00BD2C13">
        <w:t> </w:t>
      </w:r>
      <w:r w:rsidRPr="00BD2C13">
        <w:t>000 écoles primaires et secondaires d</w:t>
      </w:r>
      <w:r w:rsidR="00784444">
        <w:t>’</w:t>
      </w:r>
      <w:r w:rsidRPr="00BD2C13">
        <w:t>Irlande plus accessibles aux parents, et plus équitables, cohérentes et transparentes pour les élèves. Ses dispositions ont pour but de permettre aux parents d</w:t>
      </w:r>
      <w:r w:rsidR="00784444">
        <w:t>’</w:t>
      </w:r>
      <w:r w:rsidRPr="00BD2C13">
        <w:t>avoir plus facilement accès aux écoles locales et d</w:t>
      </w:r>
      <w:r w:rsidR="00784444">
        <w:t>’</w:t>
      </w:r>
      <w:r w:rsidRPr="00BD2C13">
        <w:t>inscrire leurs enfants dans un établissement qui répond à leurs besoins. La loi exige des écoles qu</w:t>
      </w:r>
      <w:r w:rsidR="00784444">
        <w:t>’</w:t>
      </w:r>
      <w:r w:rsidRPr="00BD2C13">
        <w:t>elles soient équitables et transparentes lorsqu</w:t>
      </w:r>
      <w:r w:rsidR="00784444">
        <w:t>’</w:t>
      </w:r>
      <w:r w:rsidRPr="00BD2C13">
        <w:t>elles établissent les priorités à accorder aux enfants en matière d</w:t>
      </w:r>
      <w:r w:rsidR="00784444">
        <w:t>’</w:t>
      </w:r>
      <w:r w:rsidRPr="00BD2C13">
        <w:t>admission. Une fois entrée en vigueur, elle fera obligation à toutes les écoles non confrontées à un nombre élevé de demandes d</w:t>
      </w:r>
      <w:r w:rsidR="00784444">
        <w:t>’</w:t>
      </w:r>
      <w:r w:rsidRPr="00BD2C13">
        <w:t>inscription d</w:t>
      </w:r>
      <w:r w:rsidR="00784444">
        <w:t>’</w:t>
      </w:r>
      <w:r w:rsidRPr="00BD2C13">
        <w:t>admettre tous les élèves ayant déposé une demande. Elle abolira les listes d</w:t>
      </w:r>
      <w:r w:rsidR="00784444">
        <w:t>’</w:t>
      </w:r>
      <w:r w:rsidRPr="00BD2C13">
        <w:t>attente pour faire en sorte que les enfants de parents qui déménagent dans une nouvelle zone ne soient pas désavantagés. L</w:t>
      </w:r>
      <w:r w:rsidR="00784444">
        <w:t>’</w:t>
      </w:r>
      <w:r w:rsidRPr="00BD2C13">
        <w:t>application de certains articles de la loi a débuté en 2018. Cette loi modifie la loi de 2000 sur l</w:t>
      </w:r>
      <w:r w:rsidR="00784444">
        <w:t>’</w:t>
      </w:r>
      <w:r w:rsidRPr="00BD2C13">
        <w:t>égalité de traitement afin de supprimer le rôle de la religion dans l</w:t>
      </w:r>
      <w:r w:rsidR="00784444">
        <w:t>’</w:t>
      </w:r>
      <w:r w:rsidRPr="00BD2C13">
        <w:t>admission à l</w:t>
      </w:r>
      <w:r w:rsidR="00784444">
        <w:t>’</w:t>
      </w:r>
      <w:r w:rsidRPr="00BD2C13">
        <w:t>école primaire, certaines garanties étant prévues pour permettre aux enfants appartenant à des confessions minoritaires d</w:t>
      </w:r>
      <w:r w:rsidR="00784444">
        <w:t>’</w:t>
      </w:r>
      <w:r w:rsidRPr="00BD2C13">
        <w:t>être admis dans des écoles dispensant une instruction religieuse ou un programme d</w:t>
      </w:r>
      <w:r w:rsidR="00784444">
        <w:t>’</w:t>
      </w:r>
      <w:r w:rsidRPr="00BD2C13">
        <w:t>éducation religieuse conforme à leurs convictions. La loi interdit les frais d</w:t>
      </w:r>
      <w:r w:rsidR="00784444">
        <w:t>’</w:t>
      </w:r>
      <w:r w:rsidRPr="00BD2C13">
        <w:t>admission dans les écoles subventionnées. Elle dote également le Ministre du pouvoir de contraindre une école à ouvrir une ou plusieurs classes spécialisées si le Conseil national de l</w:t>
      </w:r>
      <w:r w:rsidR="00784444">
        <w:t>’</w:t>
      </w:r>
      <w:r w:rsidRPr="00BD2C13">
        <w:t>enseignement spécialisé juge l</w:t>
      </w:r>
      <w:r w:rsidR="00784444">
        <w:t>’</w:t>
      </w:r>
      <w:r w:rsidRPr="00BD2C13">
        <w:t>ouverture nécessaire dans une zone donnée</w:t>
      </w:r>
      <w:r w:rsidR="000438B7" w:rsidRPr="00BD2C13">
        <w:t> ;</w:t>
      </w:r>
    </w:p>
    <w:p w14:paraId="731BEBB1" w14:textId="77777777" w:rsidR="009B5132" w:rsidRPr="00BD2C13" w:rsidRDefault="009B5132" w:rsidP="000438B7">
      <w:pPr>
        <w:pStyle w:val="SingleTxtG"/>
        <w:ind w:firstLine="567"/>
      </w:pPr>
      <w:r w:rsidRPr="00BD2C13">
        <w:t>d)</w:t>
      </w:r>
      <w:r w:rsidRPr="00BD2C13">
        <w:tab/>
        <w:t>L</w:t>
      </w:r>
      <w:r w:rsidR="00784444">
        <w:t>’</w:t>
      </w:r>
      <w:r w:rsidRPr="00BD2C13">
        <w:t>article</w:t>
      </w:r>
      <w:r w:rsidR="000438B7" w:rsidRPr="00BD2C13">
        <w:t> </w:t>
      </w:r>
      <w:r w:rsidRPr="00BD2C13">
        <w:t>19 de la loi de 2018 sur les universités technologiques fait obligation aux universités technologiques d</w:t>
      </w:r>
      <w:r w:rsidR="00784444">
        <w:t>’</w:t>
      </w:r>
      <w:r w:rsidRPr="00BD2C13">
        <w:t>élaborer des politiques en faveur de l</w:t>
      </w:r>
      <w:r w:rsidR="00784444">
        <w:t>’</w:t>
      </w:r>
      <w:r w:rsidRPr="00BD2C13">
        <w:t>égalité pour des périodes de trois à cinq ans, dans lesquelles elles doivent préciser les mesures qu</w:t>
      </w:r>
      <w:r w:rsidR="00784444">
        <w:t>’</w:t>
      </w:r>
      <w:r w:rsidRPr="00BD2C13">
        <w:t>elles entendent prendre pour promouvoir l</w:t>
      </w:r>
      <w:r w:rsidR="00784444">
        <w:t>’</w:t>
      </w:r>
      <w:r w:rsidRPr="00BD2C13">
        <w:t>accès à leurs établissements et à l</w:t>
      </w:r>
      <w:r w:rsidR="00784444">
        <w:t>’</w:t>
      </w:r>
      <w:r w:rsidRPr="00BD2C13">
        <w:t>enseignement qu</w:t>
      </w:r>
      <w:r w:rsidR="00784444">
        <w:t>’</w:t>
      </w:r>
      <w:r w:rsidRPr="00BD2C13">
        <w:t>ils dispensent aux personnes économiquement ou socialement défavorisées, handicapées et issues de milieux nettement sous-représentés dans le corps étudiant, de même que les dispositifs qu</w:t>
      </w:r>
      <w:r w:rsidR="00784444">
        <w:t>’</w:t>
      </w:r>
      <w:r w:rsidRPr="00BD2C13">
        <w:t>elles prévoient de déployer pour promouvoir l</w:t>
      </w:r>
      <w:r w:rsidR="00784444">
        <w:t>’</w:t>
      </w:r>
      <w:r w:rsidRPr="00BD2C13">
        <w:t>égalité, en particulier l</w:t>
      </w:r>
      <w:r w:rsidR="00784444">
        <w:t>’</w:t>
      </w:r>
      <w:r w:rsidRPr="00BD2C13">
        <w:t>égalité des sexes, dans toutes leurs activités. L</w:t>
      </w:r>
      <w:r w:rsidR="00784444">
        <w:t>’</w:t>
      </w:r>
      <w:r w:rsidRPr="00BD2C13">
        <w:t>article</w:t>
      </w:r>
      <w:r w:rsidR="000438B7" w:rsidRPr="00BD2C13">
        <w:t> </w:t>
      </w:r>
      <w:r w:rsidRPr="00BD2C13">
        <w:t>9 de la loi définit les fonctions générales des universités technologiques, qui comprennent la promotion de la parité hommes-femmes et de l</w:t>
      </w:r>
      <w:r w:rsidR="00784444">
        <w:t>’</w:t>
      </w:r>
      <w:r w:rsidRPr="00BD2C13">
        <w:t>égalité des chances pour les étudiants et le personnel des universités technologiques</w:t>
      </w:r>
      <w:r w:rsidR="000438B7" w:rsidRPr="00BD2C13">
        <w:t> ;</w:t>
      </w:r>
    </w:p>
    <w:p w14:paraId="112DCDE7" w14:textId="77777777" w:rsidR="009B5132" w:rsidRPr="00BD2C13" w:rsidRDefault="009B5132" w:rsidP="000438B7">
      <w:pPr>
        <w:pStyle w:val="SingleTxtG"/>
        <w:ind w:firstLine="567"/>
      </w:pPr>
      <w:r w:rsidRPr="00BD2C13">
        <w:t>e)</w:t>
      </w:r>
      <w:r w:rsidRPr="00BD2C13">
        <w:tab/>
      </w:r>
      <w:bookmarkStart w:id="137" w:name="_Hlk37765911"/>
      <w:r w:rsidRPr="00BD2C13">
        <w:t xml:space="preserve">Étant donné que la </w:t>
      </w:r>
      <w:r w:rsidR="00082E56">
        <w:t>d</w:t>
      </w:r>
      <w:r w:rsidRPr="00BD2C13">
        <w:t>irective 2005/36 du Parlement européen et du Conseil s</w:t>
      </w:r>
      <w:r w:rsidR="00784444">
        <w:t>’</w:t>
      </w:r>
      <w:r w:rsidRPr="00BD2C13">
        <w:t>applique aux lois de 200</w:t>
      </w:r>
      <w:r w:rsidR="00DC396C">
        <w:t>1</w:t>
      </w:r>
      <w:r w:rsidRPr="00BD2C13">
        <w:t>-20</w:t>
      </w:r>
      <w:r w:rsidR="00DC396C">
        <w:t>1</w:t>
      </w:r>
      <w:r w:rsidRPr="00BD2C13">
        <w:t>5</w:t>
      </w:r>
      <w:bookmarkEnd w:id="137"/>
      <w:r w:rsidRPr="00BD2C13">
        <w:t xml:space="preserve"> sur les conseils d</w:t>
      </w:r>
      <w:r w:rsidR="00784444">
        <w:t>’</w:t>
      </w:r>
      <w:r w:rsidRPr="00BD2C13">
        <w:t>enseignement, l</w:t>
      </w:r>
      <w:r w:rsidR="00784444">
        <w:t>’</w:t>
      </w:r>
      <w:r w:rsidRPr="00BD2C13">
        <w:t xml:space="preserve">instrument réglementaire </w:t>
      </w:r>
      <w:r w:rsidR="007C22AC" w:rsidRPr="007C22AC">
        <w:rPr>
          <w:rFonts w:eastAsia="MS Mincho"/>
          <w:szCs w:val="22"/>
        </w:rPr>
        <w:t>n</w:t>
      </w:r>
      <w:r w:rsidR="007C22AC" w:rsidRPr="007C22AC">
        <w:rPr>
          <w:rFonts w:eastAsia="MS Mincho"/>
          <w:szCs w:val="22"/>
          <w:vertAlign w:val="superscript"/>
        </w:rPr>
        <w:t>o</w:t>
      </w:r>
      <w:r w:rsidR="007C22AC">
        <w:rPr>
          <w:rFonts w:eastAsia="MS Mincho"/>
          <w:szCs w:val="22"/>
        </w:rPr>
        <w:t> </w:t>
      </w:r>
      <w:r w:rsidRPr="00BD2C13">
        <w:t xml:space="preserve">8 de 2017 donne pleinement effet à la reconnaissance des qualifications </w:t>
      </w:r>
      <w:r w:rsidRPr="00BD2C13">
        <w:lastRenderedPageBreak/>
        <w:t>professionnelles par une autorité compétente de l</w:t>
      </w:r>
      <w:r w:rsidR="00784444">
        <w:t>’</w:t>
      </w:r>
      <w:r w:rsidRPr="00BD2C13">
        <w:t>État et permet à tout bénéficiaire d</w:t>
      </w:r>
      <w:r w:rsidR="00784444">
        <w:t>’</w:t>
      </w:r>
      <w:r w:rsidRPr="00BD2C13">
        <w:t>accéder dans l</w:t>
      </w:r>
      <w:r w:rsidR="00784444">
        <w:t>’</w:t>
      </w:r>
      <w:r w:rsidRPr="00BD2C13">
        <w:t>État à la même profession que celle pour laquelle il est qualifié dans l</w:t>
      </w:r>
      <w:r w:rsidR="00784444">
        <w:t>’</w:t>
      </w:r>
      <w:r w:rsidRPr="00BD2C13">
        <w:t>État membre d</w:t>
      </w:r>
      <w:r w:rsidR="00784444">
        <w:t>’</w:t>
      </w:r>
      <w:r w:rsidRPr="00BD2C13">
        <w:t>origine et de l</w:t>
      </w:r>
      <w:r w:rsidR="00784444">
        <w:t>’</w:t>
      </w:r>
      <w:r w:rsidRPr="00BD2C13">
        <w:t xml:space="preserve">y exercer dans les mêmes conditions que les nationaux </w:t>
      </w:r>
      <w:r w:rsidR="00C54641" w:rsidRPr="00BD2C13">
        <w:t>(</w:t>
      </w:r>
      <w:r w:rsidRPr="00BD2C13">
        <w:t>c</w:t>
      </w:r>
      <w:r w:rsidR="00784444">
        <w:t>’</w:t>
      </w:r>
      <w:r w:rsidRPr="00BD2C13">
        <w:t>est</w:t>
      </w:r>
      <w:r w:rsidR="00C54641" w:rsidRPr="00BD2C13">
        <w:noBreakHyphen/>
      </w:r>
      <w:r w:rsidRPr="00BD2C13">
        <w:t>à</w:t>
      </w:r>
      <w:r w:rsidR="00C54641" w:rsidRPr="00BD2C13">
        <w:noBreakHyphen/>
      </w:r>
      <w:r w:rsidRPr="00BD2C13">
        <w:t>dire qu</w:t>
      </w:r>
      <w:r w:rsidR="00784444">
        <w:t>’</w:t>
      </w:r>
      <w:r w:rsidRPr="00BD2C13">
        <w:t>il exclut toute discrimination dans l</w:t>
      </w:r>
      <w:r w:rsidR="00784444">
        <w:t>’</w:t>
      </w:r>
      <w:r w:rsidRPr="00BD2C13">
        <w:t>admission à la profession d</w:t>
      </w:r>
      <w:r w:rsidR="00784444">
        <w:t>’</w:t>
      </w:r>
      <w:r w:rsidRPr="00BD2C13">
        <w:t>enseignant (entre autres) en Irlande, sur la base d</w:t>
      </w:r>
      <w:r w:rsidR="00784444">
        <w:t>’</w:t>
      </w:r>
      <w:r w:rsidRPr="00BD2C13">
        <w:t>une nationalité de l</w:t>
      </w:r>
      <w:r w:rsidR="00784444">
        <w:t>’</w:t>
      </w:r>
      <w:r w:rsidRPr="00BD2C13">
        <w:t>UE autre qu</w:t>
      </w:r>
      <w:r w:rsidR="00784444">
        <w:t>’</w:t>
      </w:r>
      <w:r w:rsidRPr="00BD2C13">
        <w:t>irlandaise</w:t>
      </w:r>
      <w:r w:rsidR="00C54641" w:rsidRPr="00BD2C13">
        <w:t>) ;</w:t>
      </w:r>
    </w:p>
    <w:p w14:paraId="2540E046" w14:textId="77777777" w:rsidR="009B5132" w:rsidRPr="00BD2C13" w:rsidRDefault="009B5132" w:rsidP="000438B7">
      <w:pPr>
        <w:pStyle w:val="SingleTxtG"/>
        <w:ind w:firstLine="567"/>
      </w:pPr>
      <w:r w:rsidRPr="00BD2C13">
        <w:t>f)</w:t>
      </w:r>
      <w:r w:rsidRPr="00BD2C13">
        <w:tab/>
        <w:t>La loi de 2015 sur l</w:t>
      </w:r>
      <w:r w:rsidR="00784444">
        <w:t>’</w:t>
      </w:r>
      <w:r w:rsidRPr="00BD2C13">
        <w:t>égalité (dispositions diverses) a modifié les articles</w:t>
      </w:r>
      <w:r w:rsidR="00C54641" w:rsidRPr="00BD2C13">
        <w:t> </w:t>
      </w:r>
      <w:r w:rsidRPr="00BD2C13">
        <w:t>2 et 6 de la loi de 2000 sur l</w:t>
      </w:r>
      <w:r w:rsidR="00784444">
        <w:t>’</w:t>
      </w:r>
      <w:r w:rsidRPr="00BD2C13">
        <w:t>égalité de traitement, de sorte qu</w:t>
      </w:r>
      <w:r w:rsidR="00784444">
        <w:t>’</w:t>
      </w:r>
      <w:r w:rsidRPr="00BD2C13">
        <w:t>aucune discrimination ne peut être exercée à l</w:t>
      </w:r>
      <w:r w:rsidR="00784444">
        <w:t>’</w:t>
      </w:r>
      <w:r w:rsidRPr="00BD2C13">
        <w:t>encontre d</w:t>
      </w:r>
      <w:r w:rsidR="00784444">
        <w:t>’</w:t>
      </w:r>
      <w:r w:rsidRPr="00BD2C13">
        <w:t>une personne qui souhaite louer un logement au prétexte qu</w:t>
      </w:r>
      <w:r w:rsidR="00784444">
        <w:t>’</w:t>
      </w:r>
      <w:r w:rsidRPr="00BD2C13">
        <w:t>elle reçoit un supplément de loyer, une aide au logement ou des prestations sociales. Cela signifie que les propriétaires ne peuvent plus déclarer, dans leurs offres de location, que le supplément au loyer (ou l</w:t>
      </w:r>
      <w:r w:rsidR="00784444">
        <w:t>’</w:t>
      </w:r>
      <w:r w:rsidRPr="00BD2C13">
        <w:t>aide au logement) n</w:t>
      </w:r>
      <w:r w:rsidR="00784444">
        <w:t>’</w:t>
      </w:r>
      <w:r w:rsidRPr="00BD2C13">
        <w:t>est pas accepté, pas plus qu</w:t>
      </w:r>
      <w:r w:rsidR="00784444">
        <w:t>’</w:t>
      </w:r>
      <w:r w:rsidRPr="00BD2C13">
        <w:t>ils ne peuvent refuser de louer un logement à un bénéficiaire de prestations sociales</w:t>
      </w:r>
      <w:r w:rsidR="00C54641" w:rsidRPr="00BD2C13">
        <w:t> ;</w:t>
      </w:r>
    </w:p>
    <w:p w14:paraId="44E8B09A" w14:textId="77777777" w:rsidR="009B5132" w:rsidRPr="00BD2C13" w:rsidRDefault="009B5132" w:rsidP="000438B7">
      <w:pPr>
        <w:pStyle w:val="SingleTxtG"/>
        <w:ind w:firstLine="567"/>
      </w:pPr>
      <w:r w:rsidRPr="00BD2C13">
        <w:t>g)</w:t>
      </w:r>
      <w:r w:rsidRPr="00BD2C13">
        <w:tab/>
        <w:t>Conformément à la loi de 2015 sur l</w:t>
      </w:r>
      <w:r w:rsidR="00784444">
        <w:t>’</w:t>
      </w:r>
      <w:r w:rsidRPr="00BD2C13">
        <w:t>égalité (dispositions diverses), il est désormais interdit aux écoles et aux institutions médicales administrées par des religieux d</w:t>
      </w:r>
      <w:r w:rsidR="00784444">
        <w:t>’</w:t>
      </w:r>
      <w:r w:rsidRPr="00BD2C13">
        <w:t>exercer la moindre discrimination fondée sur l</w:t>
      </w:r>
      <w:r w:rsidR="00784444">
        <w:t>’</w:t>
      </w:r>
      <w:r w:rsidRPr="00BD2C13">
        <w:t>orientation sexuelle à l</w:t>
      </w:r>
      <w:r w:rsidR="00784444">
        <w:t>’</w:t>
      </w:r>
      <w:r w:rsidRPr="00BD2C13">
        <w:t>encontre du personnel LGBT.</w:t>
      </w:r>
    </w:p>
    <w:p w14:paraId="2DCBCF40" w14:textId="77777777" w:rsidR="00C54641" w:rsidRPr="00BD2C13" w:rsidRDefault="00C54641" w:rsidP="00C54641">
      <w:pPr>
        <w:pStyle w:val="SingleTxtG"/>
      </w:pPr>
      <w:r w:rsidRPr="00BD2C13">
        <w:t>179.</w:t>
      </w:r>
      <w:r w:rsidRPr="00BD2C13">
        <w:tab/>
        <w:t>Ces lois donnent également effet, dans le droit national, à l</w:t>
      </w:r>
      <w:r w:rsidR="00784444">
        <w:t>’</w:t>
      </w:r>
      <w:r w:rsidRPr="00BD2C13">
        <w:t>obligation faite à l</w:t>
      </w:r>
      <w:r w:rsidR="00784444">
        <w:t>’</w:t>
      </w:r>
      <w:r w:rsidRPr="00BD2C13">
        <w:t>Irlande, en tant que membre de l</w:t>
      </w:r>
      <w:r w:rsidR="00784444">
        <w:t>’</w:t>
      </w:r>
      <w:r w:rsidRPr="00BD2C13">
        <w:t xml:space="preserve">Union européenne, de mettre en œuvre les initiatives communautaires prévues dans les </w:t>
      </w:r>
      <w:r w:rsidR="00082E56">
        <w:t>d</w:t>
      </w:r>
      <w:r w:rsidRPr="00BD2C13">
        <w:t xml:space="preserve">irectives 2000/43/CE, 2000/78/CE et 2004/113/CE du Conseil, adoptées conformément à </w:t>
      </w:r>
      <w:bookmarkStart w:id="138" w:name="_Hlk37766180"/>
      <w:r w:rsidRPr="00BD2C13">
        <w:t>l</w:t>
      </w:r>
      <w:r w:rsidR="00784444">
        <w:t>’</w:t>
      </w:r>
      <w:r w:rsidRPr="00BD2C13">
        <w:t>article 13 du traité sur l</w:t>
      </w:r>
      <w:r w:rsidR="00784444">
        <w:t>’</w:t>
      </w:r>
      <w:r w:rsidRPr="00BD2C13">
        <w:t>Union européenne</w:t>
      </w:r>
      <w:bookmarkEnd w:id="138"/>
      <w:r w:rsidRPr="00BD2C13">
        <w:t xml:space="preserve">, ainsi que dans les </w:t>
      </w:r>
      <w:r w:rsidR="00082E56">
        <w:t>d</w:t>
      </w:r>
      <w:r w:rsidRPr="00BD2C13">
        <w:t>irectives 2002/73/CE et 2006/54/CE du Conseil, adoptées conformément à l</w:t>
      </w:r>
      <w:r w:rsidR="00784444">
        <w:t>’</w:t>
      </w:r>
      <w:r w:rsidRPr="00BD2C13">
        <w:t>article 141 du même traité. Ces directives, communément appelées directives sur l</w:t>
      </w:r>
      <w:r w:rsidR="00784444">
        <w:t>’</w:t>
      </w:r>
      <w:r w:rsidRPr="00BD2C13">
        <w:t>égalité, prévoient l</w:t>
      </w:r>
      <w:r w:rsidR="00784444">
        <w:t>’</w:t>
      </w:r>
      <w:r w:rsidRPr="00BD2C13">
        <w:t>égalité de traitement sans distinction aucune fondée sur le genre, la race ou l</w:t>
      </w:r>
      <w:r w:rsidR="00784444">
        <w:t>’</w:t>
      </w:r>
      <w:r w:rsidRPr="00BD2C13">
        <w:t>origine ethnique, la religion ou les convictions, le handicap, l</w:t>
      </w:r>
      <w:r w:rsidR="00784444">
        <w:t>’</w:t>
      </w:r>
      <w:r w:rsidRPr="00BD2C13">
        <w:t>âge et l</w:t>
      </w:r>
      <w:r w:rsidR="00784444">
        <w:t>’</w:t>
      </w:r>
      <w:r w:rsidRPr="00BD2C13">
        <w:t>orientation sexuelle.</w:t>
      </w:r>
    </w:p>
    <w:p w14:paraId="7EDA92C7" w14:textId="77777777" w:rsidR="00C54641" w:rsidRPr="00BD2C13" w:rsidRDefault="00C54641" w:rsidP="00C54641">
      <w:pPr>
        <w:pStyle w:val="SingleTxtG"/>
      </w:pPr>
      <w:r w:rsidRPr="00BD2C13">
        <w:t>180.</w:t>
      </w:r>
      <w:r w:rsidRPr="00BD2C13">
        <w:tab/>
        <w:t>Ces directives ont globalement pour effet d</w:t>
      </w:r>
      <w:r w:rsidR="00784444">
        <w:t>’</w:t>
      </w:r>
      <w:r w:rsidRPr="00BD2C13">
        <w:t>obliger les États membres à interdire la discrimination directe, la discrimination indirecte et le harcèlement fondés sur</w:t>
      </w:r>
      <w:r w:rsidR="00082E56">
        <w:t xml:space="preserve"> </w:t>
      </w:r>
      <w:r w:rsidRPr="00BD2C13">
        <w:t>le</w:t>
      </w:r>
      <w:r w:rsidR="00082E56">
        <w:t xml:space="preserve"> </w:t>
      </w:r>
      <w:r w:rsidRPr="00BD2C13">
        <w:t>genre, la race ou l</w:t>
      </w:r>
      <w:r w:rsidR="00784444">
        <w:t>’</w:t>
      </w:r>
      <w:r w:rsidRPr="00BD2C13">
        <w:t>origine ethnique, la religion ou les convictions, le handicap, l</w:t>
      </w:r>
      <w:r w:rsidR="00784444">
        <w:t>’</w:t>
      </w:r>
      <w:r w:rsidRPr="00BD2C13">
        <w:t>âge et l</w:t>
      </w:r>
      <w:r w:rsidR="00784444">
        <w:t>’</w:t>
      </w:r>
      <w:r w:rsidRPr="00BD2C13">
        <w:t>orientation sexuelle, dans l</w:t>
      </w:r>
      <w:r w:rsidR="00784444">
        <w:t>’</w:t>
      </w:r>
      <w:r w:rsidRPr="00BD2C13">
        <w:t>emploi, l</w:t>
      </w:r>
      <w:r w:rsidR="00784444">
        <w:t>’</w:t>
      </w:r>
      <w:r w:rsidRPr="00BD2C13">
        <w:t>activité indépendante ou la formation professionnelle. Le harcèlement sexuel et la victimisation sont également interdits. La discrimination fondée sur la race et le genre dans l</w:t>
      </w:r>
      <w:r w:rsidR="00784444">
        <w:t>’</w:t>
      </w:r>
      <w:r w:rsidRPr="00BD2C13">
        <w:t xml:space="preserve">accès aux biens et services et la fourniture de biens et services est interdite en vertu des </w:t>
      </w:r>
      <w:r w:rsidR="00082E56">
        <w:t>d</w:t>
      </w:r>
      <w:r w:rsidRPr="00BD2C13">
        <w:t xml:space="preserve">irectives 2000/43/CE et 2004/113/CE, tandis que la </w:t>
      </w:r>
      <w:r w:rsidR="00082E56">
        <w:t>d</w:t>
      </w:r>
      <w:r w:rsidRPr="00BD2C13">
        <w:t>irective 2000/43/CE interdit également la discrimination fondée sur la race dans les domaines de la protection sociale, des avantages sociaux et de l</w:t>
      </w:r>
      <w:r w:rsidR="00784444">
        <w:t>’</w:t>
      </w:r>
      <w:r w:rsidRPr="00BD2C13">
        <w:t>éducation.</w:t>
      </w:r>
    </w:p>
    <w:p w14:paraId="223DD5E7" w14:textId="77777777" w:rsidR="00C54641" w:rsidRPr="00BD2C13" w:rsidRDefault="00C54641" w:rsidP="00C54641">
      <w:pPr>
        <w:pStyle w:val="H4G"/>
      </w:pPr>
      <w:r w:rsidRPr="00BD2C13">
        <w:tab/>
      </w:r>
      <w:r w:rsidRPr="00BD2C13">
        <w:tab/>
        <w:t>Intégration de l</w:t>
      </w:r>
      <w:r w:rsidR="00784444">
        <w:t>’</w:t>
      </w:r>
      <w:r w:rsidRPr="00BD2C13">
        <w:t>égalité</w:t>
      </w:r>
    </w:p>
    <w:p w14:paraId="3943D144" w14:textId="77777777" w:rsidR="00C54641" w:rsidRPr="00BD2C13" w:rsidRDefault="00C54641" w:rsidP="00C54641">
      <w:pPr>
        <w:pStyle w:val="SingleTxtG"/>
      </w:pPr>
      <w:r w:rsidRPr="00BD2C13">
        <w:t>181.</w:t>
      </w:r>
      <w:r w:rsidRPr="00BD2C13">
        <w:tab/>
        <w:t>Conformément aux règles de procédure du Gouvernement, toute proposition de fond soumise au Conseil des ministres doit tenir compte des incidences qu</w:t>
      </w:r>
      <w:r w:rsidR="00784444">
        <w:t>’</w:t>
      </w:r>
      <w:r w:rsidRPr="00BD2C13">
        <w:t>elle peut avoir sur le plan de l</w:t>
      </w:r>
      <w:r w:rsidR="00784444">
        <w:t>’</w:t>
      </w:r>
      <w:r w:rsidRPr="00BD2C13">
        <w:t>égalité des sexes et sur les personnes handicapées et les groupes vulnérables.</w:t>
      </w:r>
    </w:p>
    <w:p w14:paraId="79BFE914" w14:textId="77777777" w:rsidR="00C54641" w:rsidRPr="00BD2C13" w:rsidRDefault="00C54641" w:rsidP="00C54641">
      <w:pPr>
        <w:pStyle w:val="SingleTxtG"/>
      </w:pPr>
      <w:bookmarkStart w:id="139" w:name="_Hlk31371820"/>
      <w:r w:rsidRPr="00BD2C13">
        <w:t>182.</w:t>
      </w:r>
      <w:r w:rsidRPr="00BD2C13">
        <w:tab/>
        <w:t xml:space="preserve">Dans le cadre du </w:t>
      </w:r>
      <w:r w:rsidR="00082E56">
        <w:t>P</w:t>
      </w:r>
      <w:r w:rsidRPr="00BD2C13">
        <w:t xml:space="preserve">rogramme pour un </w:t>
      </w:r>
      <w:r w:rsidR="00082E56">
        <w:t>g</w:t>
      </w:r>
      <w:r w:rsidRPr="00BD2C13">
        <w:t>ouvernement de partenariat (2016), l</w:t>
      </w:r>
      <w:r w:rsidR="00784444">
        <w:t>’</w:t>
      </w:r>
      <w:r w:rsidRPr="00BD2C13">
        <w:t>État a fait part de sa volonté à « élaborer un processus d</w:t>
      </w:r>
      <w:r w:rsidR="00784444">
        <w:t>’</w:t>
      </w:r>
      <w:r w:rsidRPr="00BD2C13">
        <w:t>évaluation des budgets et des politiques pour faire progresser l</w:t>
      </w:r>
      <w:r w:rsidR="00784444">
        <w:t>’</w:t>
      </w:r>
      <w:r w:rsidRPr="00BD2C13">
        <w:t>égalité, réduire la pauvreté et renforcer les droits économiques et sociaux ». Il s</w:t>
      </w:r>
      <w:r w:rsidR="00784444">
        <w:t>’</w:t>
      </w:r>
      <w:r w:rsidRPr="00BD2C13">
        <w:t>engage en outre à s</w:t>
      </w:r>
      <w:r w:rsidR="00784444">
        <w:t>’</w:t>
      </w:r>
      <w:r w:rsidRPr="00BD2C13">
        <w:t>appuyer directement sur le savoir-faire de la Commission irlandaise des droits de l</w:t>
      </w:r>
      <w:r w:rsidR="00784444">
        <w:t>’</w:t>
      </w:r>
      <w:r w:rsidRPr="00BD2C13">
        <w:t>homme et de l</w:t>
      </w:r>
      <w:r w:rsidR="00784444">
        <w:t>’</w:t>
      </w:r>
      <w:r w:rsidRPr="00BD2C13">
        <w:t>égalité pour soutenir ce processus d</w:t>
      </w:r>
      <w:r w:rsidR="00784444">
        <w:t>’</w:t>
      </w:r>
      <w:r w:rsidRPr="00BD2C13">
        <w:t>évaluation.</w:t>
      </w:r>
    </w:p>
    <w:p w14:paraId="525D9A21" w14:textId="77777777" w:rsidR="00C54641" w:rsidRPr="00BD2C13" w:rsidRDefault="00C54641" w:rsidP="00C54641">
      <w:pPr>
        <w:pStyle w:val="SingleTxtG"/>
      </w:pPr>
      <w:r w:rsidRPr="00BD2C13">
        <w:t>183.</w:t>
      </w:r>
      <w:r w:rsidRPr="00BD2C13">
        <w:tab/>
        <w:t>Le Ministère des dépenses publiques et des réformes a entrepris un travail important pour faire de l</w:t>
      </w:r>
      <w:r w:rsidR="00784444">
        <w:t>’</w:t>
      </w:r>
      <w:r w:rsidRPr="00BD2C13">
        <w:t>égalité la règle d</w:t>
      </w:r>
      <w:r w:rsidR="00784444">
        <w:t>’</w:t>
      </w:r>
      <w:r w:rsidRPr="00BD2C13">
        <w:t>or des décisions budgétaires. Une initiative pilote de « budgétisation de l</w:t>
      </w:r>
      <w:r w:rsidR="00784444">
        <w:t>’</w:t>
      </w:r>
      <w:r w:rsidRPr="00BD2C13">
        <w:t>égalité » a été annoncée dans le cadre du budget 2018. Six objectifs d</w:t>
      </w:r>
      <w:r w:rsidR="00784444">
        <w:t>’</w:t>
      </w:r>
      <w:r w:rsidRPr="00BD2C13">
        <w:t>égalité ont été identifiés dans son cadre, et des indices de performance ont ensuite été inclus dans les estimations révisées pour 2018. Cinq des objectifs concernaient l</w:t>
      </w:r>
      <w:r w:rsidR="00784444">
        <w:t>’</w:t>
      </w:r>
      <w:r w:rsidRPr="00BD2C13">
        <w:t>égalité des sexes, tandis que le sixième se rapportait à l</w:t>
      </w:r>
      <w:r w:rsidR="00784444">
        <w:t>’</w:t>
      </w:r>
      <w:r w:rsidRPr="00BD2C13">
        <w:t xml:space="preserve">égalité </w:t>
      </w:r>
      <w:proofErr w:type="spellStart"/>
      <w:r w:rsidRPr="00BD2C13">
        <w:t>socioéconomique</w:t>
      </w:r>
      <w:proofErr w:type="spellEnd"/>
      <w:r w:rsidRPr="00BD2C13">
        <w:t>. Une mise à jour du programme pilote a été incluse dans le Rapport sur l</w:t>
      </w:r>
      <w:r w:rsidR="00784444">
        <w:t>’</w:t>
      </w:r>
      <w:r w:rsidRPr="00BD2C13">
        <w:t>exécution du budget du service public 2017 (publié en avril 2018).</w:t>
      </w:r>
    </w:p>
    <w:p w14:paraId="6BEEB32F" w14:textId="77777777" w:rsidR="00C54641" w:rsidRPr="00BD2C13" w:rsidRDefault="00C54641" w:rsidP="00C54641">
      <w:pPr>
        <w:pStyle w:val="SingleTxtG"/>
        <w:rPr>
          <w:spacing w:val="-1"/>
        </w:rPr>
      </w:pPr>
      <w:r w:rsidRPr="00BD2C13">
        <w:rPr>
          <w:spacing w:val="-1"/>
        </w:rPr>
        <w:t>184.</w:t>
      </w:r>
      <w:r w:rsidRPr="00BD2C13">
        <w:rPr>
          <w:spacing w:val="-1"/>
        </w:rPr>
        <w:tab/>
        <w:t>Au vu des résultats du programme pilote, la budgétisation de l</w:t>
      </w:r>
      <w:r w:rsidR="00784444">
        <w:rPr>
          <w:spacing w:val="-1"/>
        </w:rPr>
        <w:t>’</w:t>
      </w:r>
      <w:r w:rsidRPr="00BD2C13">
        <w:rPr>
          <w:spacing w:val="-1"/>
        </w:rPr>
        <w:t>égalité continue d</w:t>
      </w:r>
      <w:r w:rsidR="00784444">
        <w:rPr>
          <w:spacing w:val="-1"/>
        </w:rPr>
        <w:t>’</w:t>
      </w:r>
      <w:r w:rsidRPr="00BD2C13">
        <w:rPr>
          <w:spacing w:val="-1"/>
        </w:rPr>
        <w:t>être affinée afin de tirer parti de la dynamique en place et d</w:t>
      </w:r>
      <w:r w:rsidR="00784444">
        <w:rPr>
          <w:spacing w:val="-1"/>
        </w:rPr>
        <w:t>’</w:t>
      </w:r>
      <w:r w:rsidRPr="00BD2C13">
        <w:rPr>
          <w:spacing w:val="-1"/>
        </w:rPr>
        <w:t>élargir son champ d</w:t>
      </w:r>
      <w:r w:rsidR="00784444">
        <w:rPr>
          <w:spacing w:val="-1"/>
        </w:rPr>
        <w:t>’</w:t>
      </w:r>
      <w:r w:rsidRPr="00BD2C13">
        <w:rPr>
          <w:spacing w:val="-1"/>
        </w:rPr>
        <w:t>application à d</w:t>
      </w:r>
      <w:r w:rsidR="00784444">
        <w:rPr>
          <w:spacing w:val="-1"/>
        </w:rPr>
        <w:t>’</w:t>
      </w:r>
      <w:r w:rsidRPr="00BD2C13">
        <w:rPr>
          <w:spacing w:val="-1"/>
        </w:rPr>
        <w:t>autres dimensions de l</w:t>
      </w:r>
      <w:r w:rsidR="00784444">
        <w:rPr>
          <w:spacing w:val="-1"/>
        </w:rPr>
        <w:t>’</w:t>
      </w:r>
      <w:r w:rsidRPr="00BD2C13">
        <w:rPr>
          <w:spacing w:val="-1"/>
        </w:rPr>
        <w:t xml:space="preserve">égalité, comme la pauvreté, les inégalités </w:t>
      </w:r>
      <w:proofErr w:type="spellStart"/>
      <w:r w:rsidRPr="00BD2C13">
        <w:rPr>
          <w:spacing w:val="-1"/>
        </w:rPr>
        <w:t>socioéconomiques</w:t>
      </w:r>
      <w:proofErr w:type="spellEnd"/>
      <w:r w:rsidRPr="00BD2C13">
        <w:rPr>
          <w:spacing w:val="-1"/>
        </w:rPr>
        <w:t xml:space="preserve"> et le handicap. Les prévisions budgétaires révisées de 2019 comprennent d</w:t>
      </w:r>
      <w:r w:rsidR="00784444">
        <w:rPr>
          <w:spacing w:val="-1"/>
        </w:rPr>
        <w:t>’</w:t>
      </w:r>
      <w:r w:rsidRPr="00BD2C13">
        <w:rPr>
          <w:spacing w:val="-1"/>
        </w:rPr>
        <w:t xml:space="preserve">autres objectifs, de </w:t>
      </w:r>
      <w:r w:rsidRPr="00BD2C13">
        <w:rPr>
          <w:spacing w:val="-1"/>
        </w:rPr>
        <w:lastRenderedPageBreak/>
        <w:t>même qu</w:t>
      </w:r>
      <w:r w:rsidR="00784444">
        <w:rPr>
          <w:spacing w:val="-1"/>
        </w:rPr>
        <w:t>’</w:t>
      </w:r>
      <w:r w:rsidRPr="00BD2C13">
        <w:rPr>
          <w:spacing w:val="-1"/>
        </w:rPr>
        <w:t>une annexe avec des indicateurs de performance. Le rapport sur l</w:t>
      </w:r>
      <w:r w:rsidR="00784444">
        <w:rPr>
          <w:spacing w:val="-1"/>
        </w:rPr>
        <w:t>’</w:t>
      </w:r>
      <w:r w:rsidRPr="00BD2C13">
        <w:rPr>
          <w:spacing w:val="-1"/>
        </w:rPr>
        <w:t>exécution du budget de cette année contenait à nouveau une mise à jour sur ces actions.</w:t>
      </w:r>
    </w:p>
    <w:p w14:paraId="3F5D120D" w14:textId="77777777" w:rsidR="00C54641" w:rsidRPr="00BD2C13" w:rsidRDefault="00C54641" w:rsidP="00C54641">
      <w:pPr>
        <w:pStyle w:val="SingleTxtG"/>
      </w:pPr>
      <w:r w:rsidRPr="00BD2C13">
        <w:t>185.</w:t>
      </w:r>
      <w:r w:rsidRPr="00BD2C13">
        <w:tab/>
        <w:t xml:space="preserve">Un </w:t>
      </w:r>
      <w:r w:rsidR="00082E56">
        <w:t>g</w:t>
      </w:r>
      <w:r w:rsidRPr="00BD2C13">
        <w:t>roupe consultatif d</w:t>
      </w:r>
      <w:r w:rsidR="00784444">
        <w:t>’</w:t>
      </w:r>
      <w:r w:rsidRPr="00BD2C13">
        <w:t>experts de la budgétisation de l</w:t>
      </w:r>
      <w:r w:rsidR="00784444">
        <w:t>’</w:t>
      </w:r>
      <w:r w:rsidRPr="00BD2C13">
        <w:t>égalité a été mis en place pour appuyer ce processus et apporter des connaissances spécialisées sur le meilleur moyen de faire progresser ce critère important. L</w:t>
      </w:r>
      <w:r w:rsidR="00784444">
        <w:t>’</w:t>
      </w:r>
      <w:r w:rsidRPr="00BD2C13">
        <w:t>introduction de la budgétisation de l</w:t>
      </w:r>
      <w:r w:rsidR="00784444">
        <w:t>’</w:t>
      </w:r>
      <w:r w:rsidRPr="00BD2C13">
        <w:t>égalité permet de mieux appréhender les conséquences des décisions budgétaires et d</w:t>
      </w:r>
      <w:r w:rsidR="00784444">
        <w:t>’</w:t>
      </w:r>
      <w:r w:rsidRPr="00BD2C13">
        <w:t>accroître la transparence dans les domaines requérant une attention particulière.</w:t>
      </w:r>
    </w:p>
    <w:p w14:paraId="708A5FDA" w14:textId="77777777" w:rsidR="00C54641" w:rsidRPr="00BD2C13" w:rsidRDefault="00C54641" w:rsidP="00C54641">
      <w:pPr>
        <w:pStyle w:val="SingleTxtG"/>
      </w:pPr>
      <w:r w:rsidRPr="00BD2C13">
        <w:t>186.</w:t>
      </w:r>
      <w:r w:rsidRPr="00BD2C13">
        <w:tab/>
        <w:t>L</w:t>
      </w:r>
      <w:r w:rsidR="00784444">
        <w:t>’</w:t>
      </w:r>
      <w:r w:rsidRPr="00BD2C13">
        <w:t>article 42 de la loi de 2014 sur la Commission irlandaise des droits de l</w:t>
      </w:r>
      <w:r w:rsidR="00784444">
        <w:t>’</w:t>
      </w:r>
      <w:r w:rsidRPr="00BD2C13">
        <w:t>homme et de l</w:t>
      </w:r>
      <w:r w:rsidR="00784444">
        <w:t>’</w:t>
      </w:r>
      <w:r w:rsidRPr="00BD2C13">
        <w:t>égalité impose aux organismes du secteur public l</w:t>
      </w:r>
      <w:r w:rsidR="00784444">
        <w:t>’</w:t>
      </w:r>
      <w:r w:rsidRPr="00BD2C13">
        <w:t>obligation positive de tenir compte de la nécessité d</w:t>
      </w:r>
      <w:r w:rsidR="00784444">
        <w:t>’</w:t>
      </w:r>
      <w:r w:rsidRPr="00BD2C13">
        <w:t>éliminer la discrimination, de promouvoir l</w:t>
      </w:r>
      <w:r w:rsidR="00784444">
        <w:t>’</w:t>
      </w:r>
      <w:r w:rsidRPr="00BD2C13">
        <w:t>égalité et de protéger les droits de l</w:t>
      </w:r>
      <w:r w:rsidR="00784444">
        <w:t>’</w:t>
      </w:r>
      <w:r w:rsidRPr="00BD2C13">
        <w:t>homme dans l</w:t>
      </w:r>
      <w:r w:rsidR="00784444">
        <w:t>’</w:t>
      </w:r>
      <w:r w:rsidRPr="00BD2C13">
        <w:t>exercice de leur mission.</w:t>
      </w:r>
    </w:p>
    <w:p w14:paraId="078C13F4" w14:textId="77777777" w:rsidR="00C54641" w:rsidRPr="00BD2C13" w:rsidRDefault="00C54641" w:rsidP="00C54641">
      <w:pPr>
        <w:pStyle w:val="SingleTxtG"/>
        <w:rPr>
          <w:spacing w:val="-1"/>
        </w:rPr>
      </w:pPr>
      <w:r w:rsidRPr="00BD2C13">
        <w:rPr>
          <w:spacing w:val="-1"/>
        </w:rPr>
        <w:t>187.</w:t>
      </w:r>
      <w:r w:rsidRPr="00BD2C13">
        <w:rPr>
          <w:spacing w:val="-1"/>
        </w:rPr>
        <w:tab/>
        <w:t>L</w:t>
      </w:r>
      <w:r w:rsidR="00784444">
        <w:rPr>
          <w:spacing w:val="-1"/>
        </w:rPr>
        <w:t>’</w:t>
      </w:r>
      <w:r w:rsidRPr="00BD2C13">
        <w:rPr>
          <w:spacing w:val="-1"/>
        </w:rPr>
        <w:t>obligation de promotion de l</w:t>
      </w:r>
      <w:r w:rsidR="00784444">
        <w:rPr>
          <w:spacing w:val="-1"/>
        </w:rPr>
        <w:t>’</w:t>
      </w:r>
      <w:r w:rsidRPr="00BD2C13">
        <w:rPr>
          <w:spacing w:val="-1"/>
        </w:rPr>
        <w:t>égalité et de protection des droits de l</w:t>
      </w:r>
      <w:r w:rsidR="00784444">
        <w:rPr>
          <w:spacing w:val="-1"/>
        </w:rPr>
        <w:t>’</w:t>
      </w:r>
      <w:r w:rsidRPr="00BD2C13">
        <w:rPr>
          <w:spacing w:val="-1"/>
        </w:rPr>
        <w:t>homme faite au secteur public vise à placer l</w:t>
      </w:r>
      <w:r w:rsidR="00784444">
        <w:rPr>
          <w:spacing w:val="-1"/>
        </w:rPr>
        <w:t>’</w:t>
      </w:r>
      <w:r w:rsidRPr="00BD2C13">
        <w:rPr>
          <w:spacing w:val="-1"/>
        </w:rPr>
        <w:t>égalité et les droits de l</w:t>
      </w:r>
      <w:r w:rsidR="00784444">
        <w:rPr>
          <w:spacing w:val="-1"/>
        </w:rPr>
        <w:t>’</w:t>
      </w:r>
      <w:r w:rsidRPr="00BD2C13">
        <w:rPr>
          <w:spacing w:val="-1"/>
        </w:rPr>
        <w:t>homme au centre de l</w:t>
      </w:r>
      <w:r w:rsidR="00784444">
        <w:rPr>
          <w:spacing w:val="-1"/>
        </w:rPr>
        <w:t>’</w:t>
      </w:r>
      <w:r w:rsidRPr="00BD2C13">
        <w:rPr>
          <w:spacing w:val="-1"/>
        </w:rPr>
        <w:t>élaboration des politiques, de la fourniture de services et de l</w:t>
      </w:r>
      <w:r w:rsidR="00784444">
        <w:rPr>
          <w:spacing w:val="-1"/>
        </w:rPr>
        <w:t>’</w:t>
      </w:r>
      <w:r w:rsidRPr="00BD2C13">
        <w:rPr>
          <w:spacing w:val="-1"/>
        </w:rPr>
        <w:t>emploi dans la fonction publique irlandaise. En 2018, la Commission irlandaise des droits de l</w:t>
      </w:r>
      <w:r w:rsidR="00784444">
        <w:rPr>
          <w:spacing w:val="-1"/>
        </w:rPr>
        <w:t>’</w:t>
      </w:r>
      <w:r w:rsidRPr="00BD2C13">
        <w:rPr>
          <w:spacing w:val="-1"/>
        </w:rPr>
        <w:t>homme et de l</w:t>
      </w:r>
      <w:r w:rsidR="00784444">
        <w:rPr>
          <w:spacing w:val="-1"/>
        </w:rPr>
        <w:t>’</w:t>
      </w:r>
      <w:r w:rsidRPr="00BD2C13">
        <w:rPr>
          <w:spacing w:val="-1"/>
        </w:rPr>
        <w:t>égalité a continué d</w:t>
      </w:r>
      <w:r w:rsidR="00784444">
        <w:rPr>
          <w:spacing w:val="-1"/>
        </w:rPr>
        <w:t>’</w:t>
      </w:r>
      <w:r w:rsidRPr="00BD2C13">
        <w:rPr>
          <w:spacing w:val="-1"/>
        </w:rPr>
        <w:t>appuyer la mise en œuvre de cette obligation en élaborant des directives pratiques et des ressources pour les organismes publics, et en pilotant des actions de sensibilisation auprès d</w:t>
      </w:r>
      <w:r w:rsidR="00784444">
        <w:rPr>
          <w:spacing w:val="-1"/>
        </w:rPr>
        <w:t>’</w:t>
      </w:r>
      <w:r w:rsidRPr="00BD2C13">
        <w:rPr>
          <w:spacing w:val="-1"/>
        </w:rPr>
        <w:t>un large éventail d</w:t>
      </w:r>
      <w:r w:rsidR="00784444">
        <w:rPr>
          <w:spacing w:val="-1"/>
        </w:rPr>
        <w:t>’</w:t>
      </w:r>
      <w:r w:rsidRPr="00BD2C13">
        <w:rPr>
          <w:spacing w:val="-1"/>
        </w:rPr>
        <w:t>organismes publics et d</w:t>
      </w:r>
      <w:r w:rsidR="00784444">
        <w:rPr>
          <w:spacing w:val="-1"/>
        </w:rPr>
        <w:t>’</w:t>
      </w:r>
      <w:r w:rsidRPr="00BD2C13">
        <w:rPr>
          <w:spacing w:val="-1"/>
        </w:rPr>
        <w:t>organisations de la société civile. La Commission a mené cinq projets pilotes pour promouvoir une approche permettant de s</w:t>
      </w:r>
      <w:r w:rsidR="00784444">
        <w:rPr>
          <w:spacing w:val="-1"/>
        </w:rPr>
        <w:t>’</w:t>
      </w:r>
      <w:r w:rsidRPr="00BD2C13">
        <w:rPr>
          <w:spacing w:val="-1"/>
        </w:rPr>
        <w:t>acquitter de cette obligation dans différents contextes. Ces projets pilotes ont été déployés pour recueillir des données sectorielles sur la mise en pratique de cette obligation dans divers organismes du secteur public. Ils ont permis d</w:t>
      </w:r>
      <w:r w:rsidR="00784444">
        <w:rPr>
          <w:spacing w:val="-1"/>
        </w:rPr>
        <w:t>’</w:t>
      </w:r>
      <w:r w:rsidRPr="00BD2C13">
        <w:rPr>
          <w:spacing w:val="-1"/>
        </w:rPr>
        <w:t>élaborer d</w:t>
      </w:r>
      <w:r w:rsidR="00784444">
        <w:rPr>
          <w:spacing w:val="-1"/>
        </w:rPr>
        <w:t>’</w:t>
      </w:r>
      <w:r w:rsidRPr="00BD2C13">
        <w:rPr>
          <w:spacing w:val="-1"/>
        </w:rPr>
        <w:t>autres directives pratiques, et les enseignements qui en sont tirés servent de base aux études de cas proposées à d</w:t>
      </w:r>
      <w:r w:rsidR="00784444">
        <w:rPr>
          <w:spacing w:val="-1"/>
        </w:rPr>
        <w:t>’</w:t>
      </w:r>
      <w:r w:rsidRPr="00BD2C13">
        <w:rPr>
          <w:spacing w:val="-1"/>
        </w:rPr>
        <w:t>autres organes du secteur public au cours de la première phase de mise en œuvre.</w:t>
      </w:r>
    </w:p>
    <w:p w14:paraId="23E61E88" w14:textId="77777777" w:rsidR="00C54641" w:rsidRPr="00BD2C13" w:rsidRDefault="00C54641" w:rsidP="00C54641">
      <w:pPr>
        <w:pStyle w:val="H4G"/>
      </w:pPr>
      <w:bookmarkStart w:id="140" w:name="_Toc17908586"/>
      <w:bookmarkEnd w:id="139"/>
      <w:r w:rsidRPr="00BD2C13">
        <w:tab/>
      </w:r>
      <w:r w:rsidRPr="00BD2C13">
        <w:tab/>
        <w:t>Stratégie nationale en faveur des femmes et des filles</w:t>
      </w:r>
      <w:bookmarkEnd w:id="140"/>
    </w:p>
    <w:p w14:paraId="4E2E054C" w14:textId="77777777" w:rsidR="00C54641" w:rsidRPr="00BD2C13" w:rsidRDefault="00C54641" w:rsidP="00C54641">
      <w:pPr>
        <w:pStyle w:val="SingleTxtG"/>
      </w:pPr>
      <w:r w:rsidRPr="00BD2C13">
        <w:t>188.</w:t>
      </w:r>
      <w:r w:rsidRPr="00BD2C13">
        <w:tab/>
        <w:t xml:space="preserve">La </w:t>
      </w:r>
      <w:bookmarkStart w:id="141" w:name="_Hlk31362176"/>
      <w:r w:rsidRPr="00BD2C13">
        <w:t xml:space="preserve">Stratégie nationale en faveur des femmes et des filles </w:t>
      </w:r>
      <w:bookmarkEnd w:id="141"/>
      <w:r w:rsidRPr="00BD2C13">
        <w:t xml:space="preserve">(2017-2020) a succédé à celle applicable à la période 2007-2016. Elle a été approuvée par le Gouvernement et lancée le 3 mai 2017. </w:t>
      </w:r>
      <w:bookmarkStart w:id="142" w:name="_Hlk31371827"/>
      <w:r w:rsidRPr="00BD2C13">
        <w:t>Elle établit un cadre s</w:t>
      </w:r>
      <w:r w:rsidR="00784444">
        <w:t>’</w:t>
      </w:r>
      <w:r w:rsidRPr="00BD2C13">
        <w:t>appliquant à l</w:t>
      </w:r>
      <w:r w:rsidR="00784444">
        <w:t>’</w:t>
      </w:r>
      <w:r w:rsidRPr="00BD2C13">
        <w:t>ensemble de l</w:t>
      </w:r>
      <w:r w:rsidR="00784444">
        <w:t>’</w:t>
      </w:r>
      <w:r w:rsidRPr="00BD2C13">
        <w:t>administration publique pour continuer de faire progresser l</w:t>
      </w:r>
      <w:r w:rsidR="00784444">
        <w:t>’</w:t>
      </w:r>
      <w:r w:rsidRPr="00BD2C13">
        <w:t>autonomisation des femmes, reflétant ainsi un thème cl</w:t>
      </w:r>
      <w:r w:rsidR="00C42D79">
        <w:t>ef</w:t>
      </w:r>
      <w:r w:rsidRPr="00BD2C13">
        <w:t xml:space="preserve"> du </w:t>
      </w:r>
      <w:r w:rsidR="00C42D79">
        <w:t>P</w:t>
      </w:r>
      <w:r w:rsidRPr="00BD2C13">
        <w:t xml:space="preserve">rogramme pour un </w:t>
      </w:r>
      <w:r w:rsidR="00C42D79">
        <w:t>g</w:t>
      </w:r>
      <w:r w:rsidRPr="00BD2C13">
        <w:t>ouvernement de partenariat et les engagements de l</w:t>
      </w:r>
      <w:r w:rsidR="00784444">
        <w:t>’</w:t>
      </w:r>
      <w:r w:rsidRPr="00BD2C13">
        <w:t>État au titre du Programme d</w:t>
      </w:r>
      <w:r w:rsidR="00784444">
        <w:t>’</w:t>
      </w:r>
      <w:r w:rsidRPr="00BD2C13">
        <w:t>action de Beijing et du Programme de développement durable à l</w:t>
      </w:r>
      <w:r w:rsidR="00784444">
        <w:t>’</w:t>
      </w:r>
      <w:r w:rsidRPr="00BD2C13">
        <w:t>horizon 2030. L</w:t>
      </w:r>
      <w:r w:rsidR="00784444">
        <w:t>’</w:t>
      </w:r>
      <w:r w:rsidRPr="00BD2C13">
        <w:t>élaboration de la Stratégie nationale en faveur des femmes et des filles a donné lieu à une vaste consultation publique avec, entre autres parties prenantes de la société irlandaise, des groupes de femmes, des acteurs de la société civile, des syndicats et des représentants d</w:t>
      </w:r>
      <w:r w:rsidR="00784444">
        <w:t>’</w:t>
      </w:r>
      <w:r w:rsidRPr="00BD2C13">
        <w:t>entreprises.</w:t>
      </w:r>
      <w:bookmarkEnd w:id="142"/>
    </w:p>
    <w:p w14:paraId="568E0FCC" w14:textId="77777777" w:rsidR="00C54641" w:rsidRPr="00C42D79" w:rsidRDefault="00C54641" w:rsidP="00C54641">
      <w:pPr>
        <w:pStyle w:val="SingleTxtG"/>
        <w:rPr>
          <w:spacing w:val="-2"/>
        </w:rPr>
      </w:pPr>
      <w:r w:rsidRPr="00C42D79">
        <w:rPr>
          <w:spacing w:val="-2"/>
        </w:rPr>
        <w:t>189.</w:t>
      </w:r>
      <w:r w:rsidRPr="00C42D79">
        <w:rPr>
          <w:spacing w:val="-2"/>
        </w:rPr>
        <w:tab/>
        <w:t>La vision de la Stratégie nationale en faveur des femmes et des filles reste celle d</w:t>
      </w:r>
      <w:r w:rsidR="00784444">
        <w:rPr>
          <w:spacing w:val="-2"/>
        </w:rPr>
        <w:t>’</w:t>
      </w:r>
      <w:r w:rsidRPr="00C42D79">
        <w:rPr>
          <w:spacing w:val="-2"/>
        </w:rPr>
        <w:t>« une Irlande au sein de laquelle toutes les femmes sont les égales des hommes, peuvent donner la pleine mesure de leurs capacités, vivre en sécurité et s</w:t>
      </w:r>
      <w:r w:rsidR="00784444">
        <w:rPr>
          <w:spacing w:val="-2"/>
        </w:rPr>
        <w:t>’</w:t>
      </w:r>
      <w:r w:rsidRPr="00C42D79">
        <w:rPr>
          <w:spacing w:val="-2"/>
        </w:rPr>
        <w:t>épanouir », tandis que son objectif général est « de changer les comportements et les pratiques qui empêchent les femmes et les filles de participer pleinement à l</w:t>
      </w:r>
      <w:r w:rsidR="00784444">
        <w:rPr>
          <w:spacing w:val="-2"/>
        </w:rPr>
        <w:t>’</w:t>
      </w:r>
      <w:r w:rsidRPr="00C42D79">
        <w:rPr>
          <w:spacing w:val="-2"/>
        </w:rPr>
        <w:t>éducation, à l</w:t>
      </w:r>
      <w:r w:rsidR="00784444">
        <w:rPr>
          <w:spacing w:val="-2"/>
        </w:rPr>
        <w:t>’</w:t>
      </w:r>
      <w:r w:rsidRPr="00C42D79">
        <w:rPr>
          <w:spacing w:val="-2"/>
        </w:rPr>
        <w:t>emploi et à la vie publique, à tous les niveaux, et d</w:t>
      </w:r>
      <w:r w:rsidR="00784444">
        <w:rPr>
          <w:spacing w:val="-2"/>
        </w:rPr>
        <w:t>’</w:t>
      </w:r>
      <w:r w:rsidRPr="00C42D79">
        <w:rPr>
          <w:spacing w:val="-2"/>
        </w:rPr>
        <w:t>améliorer les services aux femmes et aux filles, en répondant en priorité aux besoins de celles qui obtiennent ou qui risque d</w:t>
      </w:r>
      <w:r w:rsidR="00784444">
        <w:rPr>
          <w:spacing w:val="-2"/>
        </w:rPr>
        <w:t>’</w:t>
      </w:r>
      <w:r w:rsidRPr="00C42D79">
        <w:rPr>
          <w:spacing w:val="-2"/>
        </w:rPr>
        <w:t>obtenir les plus mauvais résultats ».</w:t>
      </w:r>
    </w:p>
    <w:p w14:paraId="2300E120" w14:textId="77777777" w:rsidR="00C54641" w:rsidRPr="00BD2C13" w:rsidRDefault="00C54641" w:rsidP="00C54641">
      <w:pPr>
        <w:pStyle w:val="SingleTxtG"/>
      </w:pPr>
      <w:r w:rsidRPr="00BD2C13">
        <w:t>190.</w:t>
      </w:r>
      <w:r w:rsidRPr="00BD2C13">
        <w:tab/>
        <w:t>Pour réaliser cet objectif, la Stratégie prévoit 139 mesures distinctes, dont l</w:t>
      </w:r>
      <w:r w:rsidR="00784444">
        <w:t>’</w:t>
      </w:r>
      <w:r w:rsidRPr="00BD2C13">
        <w:t>exécution est du ressort des ministères et agences de l</w:t>
      </w:r>
      <w:r w:rsidR="00784444">
        <w:t>’</w:t>
      </w:r>
      <w:r w:rsidRPr="00BD2C13">
        <w:t>État, en collaboration avec les partenaires sociaux et la société civile, selon le cas. Ces mesures relèvent des six objectifs de haut niveau suivants :</w:t>
      </w:r>
    </w:p>
    <w:p w14:paraId="73C93E32" w14:textId="77777777" w:rsidR="00C54641" w:rsidRPr="00BD2C13" w:rsidRDefault="00C54641" w:rsidP="00C54641">
      <w:pPr>
        <w:pStyle w:val="SingleTxtG"/>
        <w:ind w:firstLine="567"/>
      </w:pPr>
      <w:r w:rsidRPr="00BD2C13">
        <w:t>a)</w:t>
      </w:r>
      <w:r w:rsidRPr="00BD2C13">
        <w:tab/>
        <w:t>Assurer l</w:t>
      </w:r>
      <w:r w:rsidR="00784444">
        <w:t>’</w:t>
      </w:r>
      <w:r w:rsidRPr="00BD2C13">
        <w:t xml:space="preserve">égalité des chances aux femmes et aux filles dans le domaine </w:t>
      </w:r>
      <w:proofErr w:type="spellStart"/>
      <w:r w:rsidRPr="00BD2C13">
        <w:t>socioéconomique</w:t>
      </w:r>
      <w:proofErr w:type="spellEnd"/>
      <w:r w:rsidRPr="00BD2C13">
        <w:t> ;</w:t>
      </w:r>
    </w:p>
    <w:p w14:paraId="0A63FF80" w14:textId="77777777" w:rsidR="00C54641" w:rsidRPr="00BD2C13" w:rsidRDefault="00C54641" w:rsidP="00C54641">
      <w:pPr>
        <w:pStyle w:val="SingleTxtG"/>
        <w:ind w:firstLine="567"/>
      </w:pPr>
      <w:r w:rsidRPr="00BD2C13">
        <w:t>b)</w:t>
      </w:r>
      <w:r w:rsidRPr="00BD2C13">
        <w:tab/>
        <w:t>Promouvoir la santé physique et mentale et le bien-être des femmes et des filles ;</w:t>
      </w:r>
    </w:p>
    <w:p w14:paraId="394D8461" w14:textId="77777777" w:rsidR="00C54641" w:rsidRPr="00BD2C13" w:rsidRDefault="00C54641" w:rsidP="00C54641">
      <w:pPr>
        <w:pStyle w:val="SingleTxtG"/>
        <w:ind w:firstLine="567"/>
      </w:pPr>
      <w:r w:rsidRPr="00BD2C13">
        <w:t>c)</w:t>
      </w:r>
      <w:r w:rsidRPr="00BD2C13">
        <w:tab/>
        <w:t>Garantir aux femmes et aux filles visibilité et citoyenneté égale et active au sein de la société ;</w:t>
      </w:r>
    </w:p>
    <w:p w14:paraId="6DDC3D86" w14:textId="77777777" w:rsidR="00C54641" w:rsidRPr="00BD2C13" w:rsidRDefault="00C54641" w:rsidP="00C54641">
      <w:pPr>
        <w:pStyle w:val="SingleTxtG"/>
        <w:ind w:firstLine="567"/>
      </w:pPr>
      <w:r w:rsidRPr="00BD2C13">
        <w:t>d)</w:t>
      </w:r>
      <w:r w:rsidRPr="00BD2C13">
        <w:tab/>
        <w:t>Offrir des responsabilités aux femmes à tous les niveaux ;</w:t>
      </w:r>
    </w:p>
    <w:p w14:paraId="3531380A" w14:textId="77777777" w:rsidR="00C54641" w:rsidRPr="00BD2C13" w:rsidRDefault="00C54641" w:rsidP="00C54641">
      <w:pPr>
        <w:pStyle w:val="SingleTxtG"/>
        <w:ind w:firstLine="567"/>
      </w:pPr>
      <w:r w:rsidRPr="00BD2C13">
        <w:lastRenderedPageBreak/>
        <w:t>e)</w:t>
      </w:r>
      <w:r w:rsidRPr="00BD2C13">
        <w:tab/>
        <w:t>Combattre les violences faites aux femmes ; et</w:t>
      </w:r>
    </w:p>
    <w:p w14:paraId="3C3FA2F0" w14:textId="77777777" w:rsidR="00C54641" w:rsidRPr="00BD2C13" w:rsidRDefault="00C54641" w:rsidP="00C54641">
      <w:pPr>
        <w:pStyle w:val="SingleTxtG"/>
        <w:ind w:firstLine="567"/>
      </w:pPr>
      <w:r w:rsidRPr="00BD2C13">
        <w:t>f)</w:t>
      </w:r>
      <w:r w:rsidRPr="00BD2C13">
        <w:tab/>
        <w:t>Intégrer l</w:t>
      </w:r>
      <w:r w:rsidR="00784444">
        <w:t>’</w:t>
      </w:r>
      <w:r w:rsidRPr="00BD2C13">
        <w:t>égalité des sexes dans les processus décisionnels.</w:t>
      </w:r>
    </w:p>
    <w:p w14:paraId="705A99B7" w14:textId="77777777" w:rsidR="00C54641" w:rsidRPr="00BD2C13" w:rsidRDefault="00C54641" w:rsidP="00C54641">
      <w:pPr>
        <w:pStyle w:val="SingleTxtG"/>
      </w:pPr>
      <w:r w:rsidRPr="00BD2C13">
        <w:t>191.</w:t>
      </w:r>
      <w:r w:rsidRPr="00BD2C13">
        <w:tab/>
        <w:t>Les parties prenantes, en particulier les groupes de femmes et de la société civile, continuent d</w:t>
      </w:r>
      <w:r w:rsidR="00784444">
        <w:t>’</w:t>
      </w:r>
      <w:r w:rsidRPr="00BD2C13">
        <w:t>être étroitement associées aux travaux du comité chargé de superviser la mise en œuvre de la Stratégie nationale en faveur des femmes et des filles. Ce comité est présidé par le Ministre d</w:t>
      </w:r>
      <w:r w:rsidR="00784444">
        <w:t>’</w:t>
      </w:r>
      <w:r w:rsidRPr="00BD2C13">
        <w:t>État chargé de l</w:t>
      </w:r>
      <w:r w:rsidR="00784444">
        <w:t>’</w:t>
      </w:r>
      <w:r w:rsidRPr="00BD2C13">
        <w:t>égalité, de l</w:t>
      </w:r>
      <w:r w:rsidR="00784444">
        <w:t>’</w:t>
      </w:r>
      <w:r w:rsidRPr="00BD2C13">
        <w:t>immigration et de l</w:t>
      </w:r>
      <w:r w:rsidR="00784444">
        <w:t>’</w:t>
      </w:r>
      <w:r w:rsidRPr="00BD2C13">
        <w:t>intégration et se compose de représentants de différents ministères. Il dispose de l</w:t>
      </w:r>
      <w:r w:rsidR="00784444">
        <w:t>’</w:t>
      </w:r>
      <w:r w:rsidRPr="00BD2C13">
        <w:t>assistance d</w:t>
      </w:r>
      <w:r w:rsidR="00784444">
        <w:t>’</w:t>
      </w:r>
      <w:r w:rsidRPr="00BD2C13">
        <w:t>un secrétariat au sein du Ministère de la justice et de l</w:t>
      </w:r>
      <w:r w:rsidR="00784444">
        <w:t>’</w:t>
      </w:r>
      <w:r w:rsidRPr="00BD2C13">
        <w:t>égalité.</w:t>
      </w:r>
    </w:p>
    <w:p w14:paraId="5EC7FB16" w14:textId="77777777" w:rsidR="000E14E1" w:rsidRPr="00BD2C13" w:rsidRDefault="000E14E1" w:rsidP="000E14E1">
      <w:pPr>
        <w:pStyle w:val="H4G"/>
      </w:pPr>
      <w:bookmarkStart w:id="143" w:name="_Toc17908587"/>
      <w:r w:rsidRPr="00BD2C13">
        <w:tab/>
      </w:r>
      <w:r w:rsidRPr="00BD2C13">
        <w:tab/>
        <w:t>Action positive sur le marché du travail et dans les collectivités</w:t>
      </w:r>
      <w:bookmarkEnd w:id="143"/>
    </w:p>
    <w:p w14:paraId="38F873B4" w14:textId="77777777" w:rsidR="000E14E1" w:rsidRPr="00BD2C13" w:rsidRDefault="000E14E1" w:rsidP="000E14E1">
      <w:pPr>
        <w:pStyle w:val="SingleTxtG"/>
      </w:pPr>
      <w:r w:rsidRPr="00BD2C13">
        <w:t>192.</w:t>
      </w:r>
      <w:r w:rsidRPr="00BD2C13">
        <w:tab/>
        <w:t>Le programme « Retour des femmes sur le marché du travail et entreprenariat féminin » est un programme d</w:t>
      </w:r>
      <w:r w:rsidR="00784444">
        <w:t>’</w:t>
      </w:r>
      <w:r w:rsidRPr="00BD2C13">
        <w:t>action positive pour les femmes, cofinancé par l</w:t>
      </w:r>
      <w:r w:rsidR="00784444">
        <w:t>’</w:t>
      </w:r>
      <w:r w:rsidRPr="00BD2C13">
        <w:t>État et le Fonds social européen dans le cadre du programme pour l</w:t>
      </w:r>
      <w:r w:rsidR="00784444">
        <w:t>’</w:t>
      </w:r>
      <w:r w:rsidRPr="00BD2C13">
        <w:t>employabilité, l</w:t>
      </w:r>
      <w:r w:rsidR="00784444">
        <w:t>’</w:t>
      </w:r>
      <w:r w:rsidRPr="00BD2C13">
        <w:t>inclusion et l</w:t>
      </w:r>
      <w:r w:rsidR="00784444">
        <w:t>’</w:t>
      </w:r>
      <w:r w:rsidRPr="00BD2C13">
        <w:t>apprentissage 2014-2020. Il vise à soutenir une cohorte de femmes actuellement coupées du marché du travail (ni employées ni chômeuses) afin de les aider à réintégrer le marché du travail.</w:t>
      </w:r>
    </w:p>
    <w:p w14:paraId="2E7B8BC5" w14:textId="77777777" w:rsidR="000E14E1" w:rsidRPr="00BD2C13" w:rsidRDefault="000E14E1" w:rsidP="000E14E1">
      <w:pPr>
        <w:pStyle w:val="SingleTxtG"/>
      </w:pPr>
      <w:r w:rsidRPr="00BD2C13">
        <w:t>193.</w:t>
      </w:r>
      <w:r w:rsidRPr="00BD2C13">
        <w:tab/>
        <w:t>Onze millions d</w:t>
      </w:r>
      <w:r w:rsidR="00784444">
        <w:t>’</w:t>
      </w:r>
      <w:r w:rsidRPr="00BD2C13">
        <w:t>euros ont été alloués au financement de ce programme pour la période 2016-2022. Les fonds sont affectés aux opérations à la suite d</w:t>
      </w:r>
      <w:r w:rsidR="00784444">
        <w:t>’</w:t>
      </w:r>
      <w:r w:rsidRPr="00BD2C13">
        <w:t>appels à projets. Les premiers projets des deux volets de ce programme ont été sélectionnés à la suite d</w:t>
      </w:r>
      <w:r w:rsidR="00784444">
        <w:t>’</w:t>
      </w:r>
      <w:r w:rsidRPr="00BD2C13">
        <w:t>un appel à projets lancé en 2016, et se dérouleront sur trois ans.</w:t>
      </w:r>
    </w:p>
    <w:p w14:paraId="54ADD410" w14:textId="77777777" w:rsidR="000E14E1" w:rsidRPr="00BD2C13" w:rsidRDefault="000E14E1" w:rsidP="000E14E1">
      <w:pPr>
        <w:pStyle w:val="SingleTxtG"/>
      </w:pPr>
      <w:r w:rsidRPr="00BD2C13">
        <w:t>194.</w:t>
      </w:r>
      <w:r w:rsidRPr="00BD2C13">
        <w:tab/>
        <w:t>Dans le cadre du volet « Entrepreneuriat féminin », 1,2 million d</w:t>
      </w:r>
      <w:r w:rsidR="00784444">
        <w:t>’</w:t>
      </w:r>
      <w:r w:rsidRPr="00BD2C13">
        <w:t>euros ont été alloués, et quatre projets ont été financés.</w:t>
      </w:r>
    </w:p>
    <w:p w14:paraId="2BAD5F4D" w14:textId="77777777" w:rsidR="000E14E1" w:rsidRPr="00BD2C13" w:rsidRDefault="000E14E1" w:rsidP="000E14E1">
      <w:pPr>
        <w:pStyle w:val="SingleTxtG"/>
      </w:pPr>
      <w:r w:rsidRPr="00BD2C13">
        <w:t>195.</w:t>
      </w:r>
      <w:r w:rsidRPr="00BD2C13">
        <w:tab/>
        <w:t>L</w:t>
      </w:r>
      <w:r w:rsidR="00784444">
        <w:t>’</w:t>
      </w:r>
      <w:r w:rsidRPr="00BD2C13">
        <w:t>État apporte également un soutien financier au Collectif national des réseaux communautaires de femmes pour le déploiement d</w:t>
      </w:r>
      <w:r w:rsidR="00784444">
        <w:t>’</w:t>
      </w:r>
      <w:r w:rsidRPr="00BD2C13">
        <w:t>un programme de développement et d</w:t>
      </w:r>
      <w:r w:rsidR="00784444">
        <w:t>’</w:t>
      </w:r>
      <w:r w:rsidRPr="00BD2C13">
        <w:t>égalité visant à améliorer l</w:t>
      </w:r>
      <w:r w:rsidR="00784444">
        <w:t>’</w:t>
      </w:r>
      <w:r w:rsidRPr="00BD2C13">
        <w:t>intégration des femmes dans les communautés. Ce financement est assuré depuis 2016 par le Ministère de la justice et de l</w:t>
      </w:r>
      <w:r w:rsidR="00784444">
        <w:t>’</w:t>
      </w:r>
      <w:r w:rsidRPr="00BD2C13">
        <w:t>égalité et s</w:t>
      </w:r>
      <w:r w:rsidR="00784444">
        <w:t>’</w:t>
      </w:r>
      <w:r w:rsidRPr="00BD2C13">
        <w:t xml:space="preserve">est </w:t>
      </w:r>
      <w:bookmarkStart w:id="144" w:name="_Hlk37767888"/>
      <w:r w:rsidRPr="00006EE6">
        <w:t>établi à 1</w:t>
      </w:r>
      <w:r w:rsidR="00DC396C" w:rsidRPr="00006EE6">
        <w:t>,</w:t>
      </w:r>
      <w:r w:rsidRPr="00006EE6">
        <w:t>385</w:t>
      </w:r>
      <w:r w:rsidR="00006EE6" w:rsidRPr="00006EE6">
        <w:t> </w:t>
      </w:r>
      <w:r w:rsidR="00DC396C" w:rsidRPr="00006EE6">
        <w:t>millions d’</w:t>
      </w:r>
      <w:r w:rsidRPr="00006EE6">
        <w:t>euros en 2016 et 2017, 1</w:t>
      </w:r>
      <w:r w:rsidR="00DC396C" w:rsidRPr="00006EE6">
        <w:t>,</w:t>
      </w:r>
      <w:r w:rsidRPr="00006EE6">
        <w:t>405</w:t>
      </w:r>
      <w:r w:rsidR="00006EE6" w:rsidRPr="00006EE6">
        <w:t> </w:t>
      </w:r>
      <w:r w:rsidR="00DC396C" w:rsidRPr="00006EE6">
        <w:t>millions d’</w:t>
      </w:r>
      <w:r w:rsidRPr="00006EE6">
        <w:t>euros en 2018 et 1</w:t>
      </w:r>
      <w:r w:rsidR="00006EE6" w:rsidRPr="00006EE6">
        <w:t>,</w:t>
      </w:r>
      <w:r w:rsidRPr="00006EE6">
        <w:t>439</w:t>
      </w:r>
      <w:r w:rsidR="00006EE6" w:rsidRPr="00006EE6">
        <w:t> millions d’</w:t>
      </w:r>
      <w:r w:rsidRPr="00006EE6">
        <w:t>euros</w:t>
      </w:r>
      <w:bookmarkEnd w:id="144"/>
      <w:r w:rsidRPr="00BD2C13">
        <w:t xml:space="preserve"> en 2019. Le Collectif national a été créé en tant qu</w:t>
      </w:r>
      <w:r w:rsidR="00784444">
        <w:t>’</w:t>
      </w:r>
      <w:r w:rsidRPr="00BD2C13">
        <w:t>organisation nationale en 2002 et se concentre sur le développement local au service des femmes.</w:t>
      </w:r>
    </w:p>
    <w:p w14:paraId="352DDF9F" w14:textId="77777777" w:rsidR="000E14E1" w:rsidRPr="00BD2C13" w:rsidRDefault="000E14E1" w:rsidP="000E14E1">
      <w:pPr>
        <w:pStyle w:val="H4G"/>
      </w:pPr>
      <w:bookmarkStart w:id="145" w:name="_Toc17908588"/>
      <w:r w:rsidRPr="00BD2C13">
        <w:tab/>
      </w:r>
      <w:r w:rsidRPr="00BD2C13">
        <w:tab/>
      </w:r>
      <w:bookmarkEnd w:id="145"/>
      <w:r w:rsidRPr="00BD2C13">
        <w:t>Prévention de la violence intrafamiliale, sexuelle et fondée sur le genre</w:t>
      </w:r>
    </w:p>
    <w:p w14:paraId="3BE897A6" w14:textId="77777777" w:rsidR="000E14E1" w:rsidRPr="00BD2C13" w:rsidRDefault="000E14E1" w:rsidP="000E14E1">
      <w:pPr>
        <w:pStyle w:val="SingleTxtG"/>
      </w:pPr>
      <w:r w:rsidRPr="00BD2C13">
        <w:t>196.</w:t>
      </w:r>
      <w:r w:rsidRPr="00BD2C13">
        <w:tab/>
        <w:t>Depuis juin 2007, le Ministère de la justice et de l</w:t>
      </w:r>
      <w:r w:rsidR="00784444">
        <w:t>’</w:t>
      </w:r>
      <w:r w:rsidRPr="00BD2C13">
        <w:t>égalité est chargé par le Gouvernement de coordonner la lutte de l</w:t>
      </w:r>
      <w:r w:rsidR="00784444">
        <w:t>’</w:t>
      </w:r>
      <w:r w:rsidRPr="00BD2C13">
        <w:t>État contre la violence intrafamiliale, sexuelle et sexiste, qui touche les femmes de manière disproportionnée. La deuxième Stratégie nationale de lutte contre la violence intrafamiliale, sexuelle et fondée sur le genre (2016</w:t>
      </w:r>
      <w:r w:rsidRPr="00BD2C13">
        <w:noBreakHyphen/>
        <w:t>2021) prévoit tout un éventail de mesures qui comprennent à la fois des mesures d</w:t>
      </w:r>
      <w:r w:rsidR="00784444">
        <w:t>’</w:t>
      </w:r>
      <w:r w:rsidRPr="00BD2C13">
        <w:t>intervention primaire visant à prévenir, repérer et comprendre ce type de violence, et des mesures d</w:t>
      </w:r>
      <w:r w:rsidR="00784444">
        <w:t>’</w:t>
      </w:r>
      <w:r w:rsidRPr="00BD2C13">
        <w:t>intervention secondaire pour signaler les cas, orienter les victimes et assurer une réponse appropriée aux actes de violence.</w:t>
      </w:r>
    </w:p>
    <w:p w14:paraId="650EA0AE" w14:textId="77777777" w:rsidR="000E14E1" w:rsidRPr="00BD2C13" w:rsidRDefault="000E14E1" w:rsidP="000E14E1">
      <w:pPr>
        <w:pStyle w:val="H4G"/>
      </w:pPr>
      <w:bookmarkStart w:id="146" w:name="_Toc17908589"/>
      <w:r w:rsidRPr="00BD2C13">
        <w:tab/>
      </w:r>
      <w:r w:rsidRPr="00BD2C13">
        <w:tab/>
        <w:t>Soutien apporté au Conseil national des femme</w:t>
      </w:r>
      <w:bookmarkEnd w:id="146"/>
      <w:r w:rsidRPr="00BD2C13">
        <w:t>s d</w:t>
      </w:r>
      <w:r w:rsidR="00784444">
        <w:t>’</w:t>
      </w:r>
      <w:r w:rsidRPr="00BD2C13">
        <w:t>Irlande</w:t>
      </w:r>
    </w:p>
    <w:p w14:paraId="7D372A32" w14:textId="77777777" w:rsidR="000E14E1" w:rsidRPr="00BD2C13" w:rsidRDefault="000E14E1" w:rsidP="000E14E1">
      <w:pPr>
        <w:pStyle w:val="SingleTxtG"/>
      </w:pPr>
      <w:r w:rsidRPr="00BD2C13">
        <w:t>197.</w:t>
      </w:r>
      <w:r w:rsidRPr="00BD2C13">
        <w:tab/>
        <w:t>Le Conseil national des femmes d</w:t>
      </w:r>
      <w:r w:rsidR="00784444">
        <w:t>’</w:t>
      </w:r>
      <w:r w:rsidRPr="00BD2C13">
        <w:t>Irlande est reconnu par le Gouvernement comme l</w:t>
      </w:r>
      <w:r w:rsidR="00784444">
        <w:t>’</w:t>
      </w:r>
      <w:r w:rsidRPr="00BD2C13">
        <w:t>organe qui met en avant les problèmes et les points de vue des femmes. Son financement de base est pris en charge par l</w:t>
      </w:r>
      <w:r w:rsidR="00784444">
        <w:t>’</w:t>
      </w:r>
      <w:r w:rsidRPr="00BD2C13">
        <w:t>État et il s</w:t>
      </w:r>
      <w:r w:rsidR="00784444">
        <w:t>’</w:t>
      </w:r>
      <w:r w:rsidRPr="00BD2C13">
        <w:t>est établi à 500 000 euros en 2018 et à 525 000 euros en 2019.</w:t>
      </w:r>
    </w:p>
    <w:p w14:paraId="485AAB16" w14:textId="77777777" w:rsidR="000E14E1" w:rsidRPr="00BD2C13" w:rsidRDefault="000E14E1" w:rsidP="000E14E1">
      <w:pPr>
        <w:pStyle w:val="SingleTxtG"/>
      </w:pPr>
      <w:r w:rsidRPr="00BD2C13">
        <w:t>198.</w:t>
      </w:r>
      <w:r w:rsidRPr="00BD2C13">
        <w:tab/>
        <w:t>Bien qu</w:t>
      </w:r>
      <w:r w:rsidR="00784444">
        <w:t>’</w:t>
      </w:r>
      <w:r w:rsidRPr="00BD2C13">
        <w:t>il fixe ses grandes orientations en totale indépendance vis-à-vis du</w:t>
      </w:r>
      <w:r w:rsidR="00B02B50" w:rsidRPr="00BD2C13">
        <w:t xml:space="preserve"> </w:t>
      </w:r>
      <w:r w:rsidRPr="00BD2C13">
        <w:t>Gouvernement, puisqu</w:t>
      </w:r>
      <w:r w:rsidR="00784444">
        <w:t>’</w:t>
      </w:r>
      <w:r w:rsidRPr="00BD2C13">
        <w:t>il ne rend de comptes qu</w:t>
      </w:r>
      <w:r w:rsidR="00784444">
        <w:t>’</w:t>
      </w:r>
      <w:r w:rsidRPr="00BD2C13">
        <w:t>à son propre comité exécutif élu et à ses</w:t>
      </w:r>
      <w:r w:rsidR="00B02B50" w:rsidRPr="00BD2C13">
        <w:t xml:space="preserve"> </w:t>
      </w:r>
      <w:r w:rsidRPr="00BD2C13">
        <w:t>membres, son financement public découle d</w:t>
      </w:r>
      <w:r w:rsidR="00784444">
        <w:t>’</w:t>
      </w:r>
      <w:r w:rsidRPr="00BD2C13">
        <w:t>une recommandation formulée en 1992 au Gouvernement de l</w:t>
      </w:r>
      <w:r w:rsidR="00784444">
        <w:t>’</w:t>
      </w:r>
      <w:r w:rsidRPr="00BD2C13">
        <w:t>époque selon laquelle le Conseil permettrait d</w:t>
      </w:r>
      <w:r w:rsidR="00784444">
        <w:t>’</w:t>
      </w:r>
      <w:r w:rsidRPr="00BD2C13">
        <w:t>offrir aux organisations féminines, aux niveaux local, régional et national, un espace d</w:t>
      </w:r>
      <w:r w:rsidR="00784444">
        <w:t>’</w:t>
      </w:r>
      <w:r w:rsidRPr="00BD2C13">
        <w:t>échange et de réflexion sur les points de vue, avis, expériences et perspectives des femmes ; de faire en sorte que, grâce à son action au niveau national, ces avis et perspectives soient pris en compte dans les politiques et le processus décisionnel, tout en appuyant les activités de ses membres et d</w:t>
      </w:r>
      <w:r w:rsidR="00784444">
        <w:t>’</w:t>
      </w:r>
      <w:r w:rsidRPr="00BD2C13">
        <w:t>autres groupes de femmes et en les encourageant à travailler à l</w:t>
      </w:r>
      <w:r w:rsidR="00784444">
        <w:t>’</w:t>
      </w:r>
      <w:r w:rsidRPr="00BD2C13">
        <w:t>échelle locale et régionale ; et, enfin, d</w:t>
      </w:r>
      <w:r w:rsidR="00784444">
        <w:t>’</w:t>
      </w:r>
      <w:r w:rsidRPr="00BD2C13">
        <w:t>élaborer des programmes de formation à l</w:t>
      </w:r>
      <w:r w:rsidR="00784444">
        <w:t>’</w:t>
      </w:r>
      <w:r w:rsidRPr="00BD2C13">
        <w:t xml:space="preserve">exercice de hautes </w:t>
      </w:r>
      <w:r w:rsidRPr="00BD2C13">
        <w:lastRenderedPageBreak/>
        <w:t>fonctions à l</w:t>
      </w:r>
      <w:r w:rsidR="00784444">
        <w:t>’</w:t>
      </w:r>
      <w:r w:rsidRPr="00BD2C13">
        <w:t>intention des groupes de femmes dans tout le</w:t>
      </w:r>
      <w:r w:rsidR="00405559">
        <w:t xml:space="preserve"> </w:t>
      </w:r>
      <w:r w:rsidRPr="00BD2C13">
        <w:t>pays. Outre le rôle qu</w:t>
      </w:r>
      <w:r w:rsidR="00784444">
        <w:t>’</w:t>
      </w:r>
      <w:r w:rsidRPr="00BD2C13">
        <w:t>il joue dans la promotion des femmes, le Conseil est reconnu pour les contributions avisées et constructives qu</w:t>
      </w:r>
      <w:r w:rsidR="00784444">
        <w:t>’</w:t>
      </w:r>
      <w:r w:rsidRPr="00BD2C13">
        <w:t>il apporte à la mise en œuvre et à l</w:t>
      </w:r>
      <w:r w:rsidR="00784444">
        <w:t>’</w:t>
      </w:r>
      <w:r w:rsidRPr="00BD2C13">
        <w:t>examen d</w:t>
      </w:r>
      <w:r w:rsidR="00784444">
        <w:t>’</w:t>
      </w:r>
      <w:r w:rsidRPr="00BD2C13">
        <w:t>initiatives de politique générale et ses</w:t>
      </w:r>
      <w:r w:rsidR="00B02B50" w:rsidRPr="00BD2C13">
        <w:t xml:space="preserve"> </w:t>
      </w:r>
      <w:r w:rsidRPr="00BD2C13">
        <w:t>responsables collaborent fréquemment avec des politiciens et des décideurs de haut niveau.</w:t>
      </w:r>
    </w:p>
    <w:p w14:paraId="59624C9F" w14:textId="77777777" w:rsidR="000E14E1" w:rsidRPr="00BD2C13" w:rsidRDefault="000E14E1" w:rsidP="00B02B50">
      <w:pPr>
        <w:pStyle w:val="H4G"/>
      </w:pPr>
      <w:bookmarkStart w:id="147" w:name="_Toc17908590"/>
      <w:r w:rsidRPr="00BD2C13">
        <w:tab/>
      </w:r>
      <w:r w:rsidRPr="00BD2C13">
        <w:tab/>
      </w:r>
      <w:bookmarkEnd w:id="147"/>
      <w:r w:rsidRPr="00BD2C13">
        <w:t>Représentation des femmes dans les organes publics</w:t>
      </w:r>
    </w:p>
    <w:p w14:paraId="2B22639A" w14:textId="77777777" w:rsidR="000E14E1" w:rsidRPr="00BD2C13" w:rsidRDefault="000E14E1" w:rsidP="000E14E1">
      <w:pPr>
        <w:pStyle w:val="SingleTxtG"/>
      </w:pPr>
      <w:r w:rsidRPr="00BD2C13">
        <w:t>199.</w:t>
      </w:r>
      <w:r w:rsidRPr="00BD2C13">
        <w:tab/>
        <w:t>Le Programme pour un Gouvernement de partenariat de 2016 réitère l</w:t>
      </w:r>
      <w:r w:rsidR="00784444">
        <w:t>’</w:t>
      </w:r>
      <w:r w:rsidRPr="00BD2C13">
        <w:t xml:space="preserve">engagement pris par le Gouvernement de faire en sorte que tous les organes publics comptent </w:t>
      </w:r>
      <w:bookmarkStart w:id="148" w:name="_Hlk34586159"/>
      <w:r w:rsidRPr="00BD2C13">
        <w:t>dans leurs effectifs au moins 40</w:t>
      </w:r>
      <w:r w:rsidR="00405559">
        <w:t> </w:t>
      </w:r>
      <w:r w:rsidRPr="00BD2C13">
        <w:t>% de personnes de chaque sexe</w:t>
      </w:r>
      <w:bookmarkEnd w:id="148"/>
      <w:r w:rsidRPr="00BD2C13">
        <w:t>. Cet engagement a été intégré dans la Stratégie nationale en faveur des femmes et des filles 2017-2020.</w:t>
      </w:r>
    </w:p>
    <w:p w14:paraId="6153DDBD" w14:textId="6B09A718" w:rsidR="000E14E1" w:rsidRPr="00BD2C13" w:rsidRDefault="000E14E1" w:rsidP="000E14E1">
      <w:pPr>
        <w:pStyle w:val="SingleTxtG"/>
      </w:pPr>
      <w:bookmarkStart w:id="149" w:name="_Hlk31371851"/>
      <w:r w:rsidRPr="00BD2C13">
        <w:t>200.</w:t>
      </w:r>
      <w:r w:rsidRPr="00BD2C13">
        <w:tab/>
        <w:t xml:space="preserve">Entre 2011 et 2014, des modifications importantes ont été apportées au système de nomination des membres des organes publics, afin de promouvoir un accès plus large aux possibilités offertes par ces structures et une plus grande transparence dans les nominations. Le Ministère des dépenses publiques et des réformes a publié en 2014 des lignes directrices sur les nominations au sein des organes publics. En vertu des nouvelles dispositions, les vacances de poste sont annoncées sur un portail dédié, </w:t>
      </w:r>
      <w:hyperlink r:id="rId15" w:history="1">
        <w:r w:rsidR="00405559" w:rsidRPr="00405559">
          <w:rPr>
            <w:rStyle w:val="Lienhypertexte"/>
          </w:rPr>
          <w:t>www.stateboards.ie/</w:t>
        </w:r>
      </w:hyperlink>
      <w:r w:rsidRPr="00BD2C13">
        <w:t>, géré par le Service des nominations publiques qui évalue les candidatures à l</w:t>
      </w:r>
      <w:r w:rsidR="00784444">
        <w:t>’</w:t>
      </w:r>
      <w:r w:rsidRPr="00BD2C13">
        <w:t xml:space="preserve">aune des critères de sélection retenus pour chaque poste et soumet ensuite une liste restreinte de candidats au </w:t>
      </w:r>
      <w:r w:rsidR="00BB6DD9">
        <w:t>m</w:t>
      </w:r>
      <w:r w:rsidRPr="00BD2C13">
        <w:t>inistre compétent. Conformément à la politique du Gouvernement en matière de parité entre les sexes dans les organes publics, le Service des nominations publiques veille systématiquement au respect de la parité tout au long du processus de nomination. En 2017, les femmes représentaient 35</w:t>
      </w:r>
      <w:r w:rsidR="00B02B50" w:rsidRPr="00BD2C13">
        <w:t> </w:t>
      </w:r>
      <w:r w:rsidRPr="00BD2C13">
        <w:t>% des candidatures reçues, 38</w:t>
      </w:r>
      <w:r w:rsidR="00B02B50" w:rsidRPr="00BD2C13">
        <w:t> </w:t>
      </w:r>
      <w:r w:rsidRPr="00BD2C13">
        <w:t>% des candidats jugés aptes et 52</w:t>
      </w:r>
      <w:r w:rsidR="00B02B50" w:rsidRPr="00BD2C13">
        <w:t> </w:t>
      </w:r>
      <w:r w:rsidRPr="00BD2C13">
        <w:t>% des personnes nommées selon ce processus.</w:t>
      </w:r>
    </w:p>
    <w:bookmarkEnd w:id="149"/>
    <w:p w14:paraId="696E90D9" w14:textId="77777777" w:rsidR="000E14E1" w:rsidRPr="00BD2C13" w:rsidRDefault="000E14E1" w:rsidP="000E14E1">
      <w:pPr>
        <w:pStyle w:val="SingleTxtG"/>
      </w:pPr>
      <w:r w:rsidRPr="00BD2C13">
        <w:t>201.</w:t>
      </w:r>
      <w:r w:rsidRPr="00BD2C13">
        <w:tab/>
        <w:t>Des statistiques clefs sur les membres des organes publics en décembre 2018 sont présentées ci</w:t>
      </w:r>
      <w:r w:rsidRPr="00BD2C13">
        <w:noBreakHyphen/>
        <w:t>après</w:t>
      </w:r>
      <w:r w:rsidR="00B02B50" w:rsidRPr="00BD2C13">
        <w:t> </w:t>
      </w:r>
      <w:r w:rsidRPr="00BD2C13">
        <w:t>:</w:t>
      </w:r>
    </w:p>
    <w:p w14:paraId="51B7B1F8" w14:textId="77777777" w:rsidR="000E14E1" w:rsidRPr="00BD2C13" w:rsidRDefault="000E14E1" w:rsidP="00B02B50">
      <w:pPr>
        <w:pStyle w:val="SingleTxtG"/>
        <w:ind w:firstLine="567"/>
      </w:pPr>
      <w:r w:rsidRPr="00BD2C13">
        <w:t>a)</w:t>
      </w:r>
      <w:r w:rsidRPr="00BD2C13">
        <w:tab/>
      </w:r>
      <w:r w:rsidR="00B02B50" w:rsidRPr="00BD2C13">
        <w:t>P</w:t>
      </w:r>
      <w:r w:rsidRPr="00BD2C13">
        <w:t>rès de la moitié (47,6 %) de tous les organes publics comptent dans leurs effectifs au moins 40</w:t>
      </w:r>
      <w:r w:rsidR="00BB6DD9">
        <w:t> </w:t>
      </w:r>
      <w:r w:rsidRPr="00BD2C13">
        <w:t>% de personnes de chaque sexe</w:t>
      </w:r>
      <w:r w:rsidR="00B02B50" w:rsidRPr="00BD2C13">
        <w:t> </w:t>
      </w:r>
      <w:r w:rsidRPr="00BD2C13">
        <w:t>;</w:t>
      </w:r>
    </w:p>
    <w:p w14:paraId="0F334878" w14:textId="77777777" w:rsidR="000E14E1" w:rsidRPr="00BD2C13" w:rsidRDefault="000E14E1" w:rsidP="00B02B50">
      <w:pPr>
        <w:pStyle w:val="SingleTxtG"/>
        <w:ind w:firstLine="567"/>
      </w:pPr>
      <w:r w:rsidRPr="00BD2C13">
        <w:t>b)</w:t>
      </w:r>
      <w:r w:rsidRPr="00BD2C13">
        <w:tab/>
      </w:r>
      <w:r w:rsidR="00B02B50" w:rsidRPr="00BD2C13">
        <w:t>L</w:t>
      </w:r>
      <w:r w:rsidRPr="00BD2C13">
        <w:t>e taux de participation moyen des femmes aux organes publics était de 41,5 %, contre 58,5 % pour les hommes</w:t>
      </w:r>
      <w:r w:rsidR="00DE0C91" w:rsidRPr="00BD2C13">
        <w:t> </w:t>
      </w:r>
      <w:r w:rsidRPr="00BD2C13">
        <w:t>; et</w:t>
      </w:r>
    </w:p>
    <w:p w14:paraId="3D6FE11C" w14:textId="77777777" w:rsidR="000E14E1" w:rsidRPr="00BD2C13" w:rsidRDefault="000E14E1" w:rsidP="00B02B50">
      <w:pPr>
        <w:pStyle w:val="SingleTxtG"/>
        <w:ind w:firstLine="567"/>
      </w:pPr>
      <w:bookmarkStart w:id="150" w:name="_Hlk37768582"/>
      <w:r w:rsidRPr="00BD2C13">
        <w:t>c)</w:t>
      </w:r>
      <w:r w:rsidRPr="00BD2C13">
        <w:tab/>
      </w:r>
      <w:r w:rsidR="00DE0C91" w:rsidRPr="00BD2C13">
        <w:t>L</w:t>
      </w:r>
      <w:r w:rsidRPr="00BD2C13">
        <w:t>a répartition par sexe des présidents des organes publics indiquait que 29,8 % des présidents étaient des femmes et 70,2 % des hommes.</w:t>
      </w:r>
    </w:p>
    <w:p w14:paraId="081BCDE3" w14:textId="77777777" w:rsidR="000E14E1" w:rsidRPr="00BD2C13" w:rsidRDefault="00DE0C91" w:rsidP="00DE0C91">
      <w:pPr>
        <w:pStyle w:val="H23G"/>
      </w:pPr>
      <w:bookmarkStart w:id="151" w:name="_Toc17908591"/>
      <w:bookmarkEnd w:id="150"/>
      <w:r w:rsidRPr="00BD2C13">
        <w:tab/>
      </w:r>
      <w:r w:rsidR="000E14E1" w:rsidRPr="00BD2C13">
        <w:t>2.</w:t>
      </w:r>
      <w:r w:rsidR="000E14E1" w:rsidRPr="00BD2C13">
        <w:tab/>
        <w:t>Promotion de l</w:t>
      </w:r>
      <w:r w:rsidR="00784444">
        <w:t>’</w:t>
      </w:r>
      <w:r w:rsidR="000E14E1" w:rsidRPr="00BD2C13">
        <w:t>intégration des migrants</w:t>
      </w:r>
      <w:bookmarkEnd w:id="151"/>
    </w:p>
    <w:p w14:paraId="2DB6215B" w14:textId="77777777" w:rsidR="000E14E1" w:rsidRPr="00BD2C13" w:rsidRDefault="000E14E1" w:rsidP="000E14E1">
      <w:pPr>
        <w:pStyle w:val="SingleTxtG"/>
      </w:pPr>
      <w:r w:rsidRPr="00BD2C13">
        <w:t>202.</w:t>
      </w:r>
      <w:r w:rsidRPr="00BD2C13">
        <w:tab/>
        <w:t>La section de la justice civile et des politiques d</w:t>
      </w:r>
      <w:r w:rsidR="00784444">
        <w:t>’</w:t>
      </w:r>
      <w:r w:rsidRPr="00BD2C13">
        <w:t>égalité est le centre de coordination de l</w:t>
      </w:r>
      <w:r w:rsidR="00784444">
        <w:t>’</w:t>
      </w:r>
      <w:r w:rsidRPr="00BD2C13">
        <w:t>engagement de l</w:t>
      </w:r>
      <w:r w:rsidR="00784444">
        <w:t>’</w:t>
      </w:r>
      <w:r w:rsidRPr="00BD2C13">
        <w:t>État en faveur de la lutte contre le racisme, qui constitue un aspect cl</w:t>
      </w:r>
      <w:r w:rsidR="00795FC7">
        <w:t>ef</w:t>
      </w:r>
      <w:r w:rsidRPr="00BD2C13">
        <w:t xml:space="preserve"> de l</w:t>
      </w:r>
      <w:r w:rsidR="00784444">
        <w:t>’</w:t>
      </w:r>
      <w:r w:rsidRPr="00BD2C13">
        <w:t>intégration, de la gestion de la diversité et, plus largement, de la politique sociale nationale. Elle fournit des fonds à un certain nombre d</w:t>
      </w:r>
      <w:r w:rsidR="00784444">
        <w:t>’</w:t>
      </w:r>
      <w:r w:rsidRPr="00BD2C13">
        <w:t>autorités locales, d</w:t>
      </w:r>
      <w:r w:rsidR="00784444">
        <w:t>’</w:t>
      </w:r>
      <w:r w:rsidRPr="00BD2C13">
        <w:t>organisations communautaires et bénévoles pour soutenir des programmes locaux d</w:t>
      </w:r>
      <w:r w:rsidR="00784444">
        <w:t>’</w:t>
      </w:r>
      <w:r w:rsidRPr="00BD2C13">
        <w:t>éducation du public sur des questions telles que l</w:t>
      </w:r>
      <w:r w:rsidR="00784444">
        <w:t>’</w:t>
      </w:r>
      <w:r w:rsidRPr="00BD2C13">
        <w:t>immigration, l</w:t>
      </w:r>
      <w:r w:rsidR="00784444">
        <w:t>’</w:t>
      </w:r>
      <w:r w:rsidRPr="00BD2C13">
        <w:t>intégration et la lutte contre le racisme. Elle apporte également un financement à des ONG cl</w:t>
      </w:r>
      <w:r w:rsidR="00795FC7">
        <w:t>ef</w:t>
      </w:r>
      <w:r w:rsidRPr="00BD2C13">
        <w:t xml:space="preserve">s, telles que Show </w:t>
      </w:r>
      <w:proofErr w:type="spellStart"/>
      <w:r w:rsidRPr="00BD2C13">
        <w:t>Racism</w:t>
      </w:r>
      <w:proofErr w:type="spellEnd"/>
      <w:r w:rsidRPr="00BD2C13">
        <w:t xml:space="preserve"> the Red </w:t>
      </w:r>
      <w:proofErr w:type="spellStart"/>
      <w:r w:rsidRPr="00BD2C13">
        <w:t>Card</w:t>
      </w:r>
      <w:proofErr w:type="spellEnd"/>
      <w:r w:rsidRPr="00BD2C13">
        <w:t>, qui ont organisé des concours de créativité pour les écoliers au cours des dernières années. Elle a aussi accordé des fonds à l</w:t>
      </w:r>
      <w:r w:rsidR="00784444">
        <w:t>’</w:t>
      </w:r>
      <w:proofErr w:type="spellStart"/>
      <w:r w:rsidRPr="00BD2C13">
        <w:t>Holocaust</w:t>
      </w:r>
      <w:proofErr w:type="spellEnd"/>
      <w:r w:rsidRPr="00BD2C13">
        <w:t xml:space="preserve"> </w:t>
      </w:r>
      <w:proofErr w:type="spellStart"/>
      <w:r w:rsidRPr="00BD2C13">
        <w:t>Educational</w:t>
      </w:r>
      <w:proofErr w:type="spellEnd"/>
      <w:r w:rsidRPr="00BD2C13">
        <w:t xml:space="preserve"> Trust Ireland pour des initiatives éducatives auprès des enfants sur les dangers du racisme et l</w:t>
      </w:r>
      <w:r w:rsidR="00784444">
        <w:t>’</w:t>
      </w:r>
      <w:r w:rsidRPr="00BD2C13">
        <w:t>importance de l</w:t>
      </w:r>
      <w:r w:rsidR="00784444">
        <w:t>’</w:t>
      </w:r>
      <w:r w:rsidRPr="00BD2C13">
        <w:t xml:space="preserve">intégration et de la tolérance. La </w:t>
      </w:r>
      <w:bookmarkStart w:id="152" w:name="_Hlk36390149"/>
      <w:r w:rsidRPr="00BD2C13">
        <w:t>section de la justice civile et des politiques d</w:t>
      </w:r>
      <w:r w:rsidR="00784444">
        <w:t>’</w:t>
      </w:r>
      <w:r w:rsidRPr="00BD2C13">
        <w:t xml:space="preserve">égalité </w:t>
      </w:r>
      <w:bookmarkEnd w:id="152"/>
      <w:r w:rsidRPr="00BD2C13">
        <w:t>est également le point de liaison national pour l</w:t>
      </w:r>
      <w:r w:rsidR="00784444">
        <w:t>’</w:t>
      </w:r>
      <w:r w:rsidRPr="00BD2C13">
        <w:t>établissement des rapports internationaux sur le racisme soumis aux Nations Unies et au Conseil de l</w:t>
      </w:r>
      <w:r w:rsidR="00784444">
        <w:t>’</w:t>
      </w:r>
      <w:r w:rsidRPr="00BD2C13">
        <w:t>Europe, et elle est représentée au sein du Groupe de haut niveau de l</w:t>
      </w:r>
      <w:r w:rsidR="00784444">
        <w:t>’</w:t>
      </w:r>
      <w:r w:rsidRPr="00BD2C13">
        <w:t>UE sur la lutte contre le racisme, la xénophobie et d</w:t>
      </w:r>
      <w:r w:rsidR="00784444">
        <w:t>’</w:t>
      </w:r>
      <w:r w:rsidRPr="00BD2C13">
        <w:t>autres formes d</w:t>
      </w:r>
      <w:r w:rsidR="00784444">
        <w:t>’</w:t>
      </w:r>
      <w:r w:rsidRPr="00BD2C13">
        <w:t>intolérance.</w:t>
      </w:r>
    </w:p>
    <w:p w14:paraId="3F2A7A1F" w14:textId="77777777" w:rsidR="000E14E1" w:rsidRPr="00BD2C13" w:rsidRDefault="000E14E1" w:rsidP="006D42F6">
      <w:pPr>
        <w:pStyle w:val="SingleTxtG"/>
      </w:pPr>
      <w:r w:rsidRPr="00BD2C13">
        <w:t>203.</w:t>
      </w:r>
      <w:r w:rsidRPr="00BD2C13">
        <w:tab/>
        <w:t>Le Gouvernement irlandais s</w:t>
      </w:r>
      <w:r w:rsidR="00784444">
        <w:t>’</w:t>
      </w:r>
      <w:r w:rsidRPr="00BD2C13">
        <w:t>est engagé à promouvoir des politiques qui intègrent les groupes ethniques minoritaires en Irlande et qui favorisent l</w:t>
      </w:r>
      <w:r w:rsidR="00784444">
        <w:t>’</w:t>
      </w:r>
      <w:r w:rsidRPr="00BD2C13">
        <w:t>inclusion sociale, l</w:t>
      </w:r>
      <w:r w:rsidR="00784444">
        <w:t>’</w:t>
      </w:r>
      <w:r w:rsidRPr="00BD2C13">
        <w:t>égalité, la diversité et la participation des immigrants à la vie économique, sociale, politique et culturelle de leurs communautés. Plusieurs initiatives sont en cours pour concrétiser cet engagement.</w:t>
      </w:r>
    </w:p>
    <w:p w14:paraId="5B9BDDD6" w14:textId="77777777" w:rsidR="000E14E1" w:rsidRPr="00BD2C13" w:rsidRDefault="000E14E1" w:rsidP="006D42F6">
      <w:pPr>
        <w:pStyle w:val="SingleTxtG"/>
      </w:pPr>
      <w:r w:rsidRPr="00BD2C13">
        <w:lastRenderedPageBreak/>
        <w:t>204.</w:t>
      </w:r>
      <w:r w:rsidRPr="00BD2C13">
        <w:tab/>
        <w:t>L</w:t>
      </w:r>
      <w:r w:rsidR="00784444">
        <w:t>’</w:t>
      </w:r>
      <w:r w:rsidRPr="00BD2C13">
        <w:t>Irlande s</w:t>
      </w:r>
      <w:r w:rsidR="00784444">
        <w:t>’</w:t>
      </w:r>
      <w:r w:rsidRPr="00BD2C13">
        <w:t>est dotée d</w:t>
      </w:r>
      <w:r w:rsidR="00784444">
        <w:t>’</w:t>
      </w:r>
      <w:r w:rsidRPr="00BD2C13">
        <w:t>une Stratégie nationale d</w:t>
      </w:r>
      <w:r w:rsidR="00784444">
        <w:t>’</w:t>
      </w:r>
      <w:r w:rsidRPr="00BD2C13">
        <w:t>intégration des migrants, qui a été lancée en février 2017. Celle-ci mobilise l</w:t>
      </w:r>
      <w:r w:rsidR="00784444">
        <w:t>’</w:t>
      </w:r>
      <w:r w:rsidRPr="00BD2C13">
        <w:t>ensemble des ministères et organismes publics et a pour but de permettre à tous les migrants de jouer pleinement leur rôle dans la société irlandaise, de faire de l</w:t>
      </w:r>
      <w:r w:rsidR="00784444">
        <w:t>’</w:t>
      </w:r>
      <w:r w:rsidRPr="00BD2C13">
        <w:t>intégration un principe fondamental de la vie irlandaise et de faire en sorte que la société et les institutions irlandaises travaillent ensemble pour promouvoir l</w:t>
      </w:r>
      <w:r w:rsidR="00784444">
        <w:t>’</w:t>
      </w:r>
      <w:r w:rsidRPr="00BD2C13">
        <w:t>intégration. La stratégie sera mise en œuvre sur une période de quatre ans par le biais d</w:t>
      </w:r>
      <w:r w:rsidR="00784444">
        <w:t>’</w:t>
      </w:r>
      <w:r w:rsidRPr="00BD2C13">
        <w:t>une série d</w:t>
      </w:r>
      <w:r w:rsidR="00784444">
        <w:t>’</w:t>
      </w:r>
      <w:r w:rsidRPr="00BD2C13">
        <w:t>initiatives mobilisant toutes les instances de l</w:t>
      </w:r>
      <w:r w:rsidR="00784444">
        <w:t>’</w:t>
      </w:r>
      <w:r w:rsidRPr="00BD2C13">
        <w:t>État. Les domaines prioritaires de cette stratégie englobent l</w:t>
      </w:r>
      <w:r w:rsidR="00784444">
        <w:t>’</w:t>
      </w:r>
      <w:r w:rsidRPr="00BD2C13">
        <w:t>accès à la citoyenneté et aux services publics, l</w:t>
      </w:r>
      <w:r w:rsidR="00784444">
        <w:t>’</w:t>
      </w:r>
      <w:r w:rsidRPr="00BD2C13">
        <w:t>emploi et l</w:t>
      </w:r>
      <w:r w:rsidR="00784444">
        <w:t>’</w:t>
      </w:r>
      <w:r w:rsidRPr="00BD2C13">
        <w:t>éducation, la participation à la vie politique et la promotion de la connaissance des autres cultures. Les ministères, les organismes publics, les villes et les collectivités locales ont tous un rôle à jouer dans la réalisation des objectifs de la stratégie. Elle est également le principal instrument de sensibilisation aux différences culturelles et de lutte contre le racisme et la xénophobie. Elle prévoit l</w:t>
      </w:r>
      <w:r w:rsidR="00784444">
        <w:t>’</w:t>
      </w:r>
      <w:r w:rsidRPr="00BD2C13">
        <w:t>examen de la législation actuelle sur les infractions à caractère raciste en vue de son renforcement. Elle entend également s</w:t>
      </w:r>
      <w:r w:rsidR="00784444">
        <w:t>’</w:t>
      </w:r>
      <w:r w:rsidRPr="00BD2C13">
        <w:t>attaquer au problème de l</w:t>
      </w:r>
      <w:r w:rsidR="00784444">
        <w:t>’</w:t>
      </w:r>
      <w:r w:rsidRPr="00BD2C13">
        <w:t>insuffisance des signalements des infractions à caractère raciste.</w:t>
      </w:r>
    </w:p>
    <w:p w14:paraId="059A4E23" w14:textId="77777777" w:rsidR="000E14E1" w:rsidRPr="00BD2C13" w:rsidRDefault="000E14E1" w:rsidP="006D42F6">
      <w:pPr>
        <w:pStyle w:val="SingleTxtG"/>
      </w:pPr>
      <w:r w:rsidRPr="00BD2C13">
        <w:t>205.</w:t>
      </w:r>
      <w:r w:rsidRPr="00BD2C13">
        <w:tab/>
        <w:t>De 2017 à 2019, la section de la justice civile et des politiques d</w:t>
      </w:r>
      <w:r w:rsidR="00784444">
        <w:t>’</w:t>
      </w:r>
      <w:r w:rsidRPr="00BD2C13">
        <w:t>égalité a alloué plus de 4,5</w:t>
      </w:r>
      <w:r w:rsidR="00DE0C91" w:rsidRPr="00BD2C13">
        <w:t> </w:t>
      </w:r>
      <w:r w:rsidRPr="00BD2C13">
        <w:t>millions d</w:t>
      </w:r>
      <w:r w:rsidR="00784444">
        <w:t>’</w:t>
      </w:r>
      <w:r w:rsidRPr="00BD2C13">
        <w:t>euros du budget de l</w:t>
      </w:r>
      <w:r w:rsidR="00784444">
        <w:t>’</w:t>
      </w:r>
      <w:r w:rsidRPr="00BD2C13">
        <w:t>État à des projets nationaux et communautaires visant à soutenir des projets d</w:t>
      </w:r>
      <w:r w:rsidR="00784444">
        <w:t>’</w:t>
      </w:r>
      <w:r w:rsidRPr="00BD2C13">
        <w:t>intégration sur une période de trois à quatre ans. Ces projets visent à promouvoir l</w:t>
      </w:r>
      <w:r w:rsidR="00784444">
        <w:t>’</w:t>
      </w:r>
      <w:r w:rsidRPr="00BD2C13">
        <w:t>intégration, à combattre le racisme et la xénophobie et à accroître la compréhension mutuelle entre les migrants et leurs communautés d</w:t>
      </w:r>
      <w:r w:rsidR="00784444">
        <w:t>’</w:t>
      </w:r>
      <w:r w:rsidRPr="00BD2C13">
        <w:t>accueil. En outre, 12,3</w:t>
      </w:r>
      <w:r w:rsidR="00DE0C91" w:rsidRPr="00BD2C13">
        <w:t> </w:t>
      </w:r>
      <w:r w:rsidRPr="00BD2C13">
        <w:t>millions d</w:t>
      </w:r>
      <w:r w:rsidR="00784444">
        <w:t>’</w:t>
      </w:r>
      <w:r w:rsidRPr="00BD2C13">
        <w:t>euros provenant de l</w:t>
      </w:r>
      <w:r w:rsidR="00784444">
        <w:t>’</w:t>
      </w:r>
      <w:r w:rsidRPr="00BD2C13">
        <w:t>Union européenne (Fonds asile, migration et intégration et Fonds social européen) ont été alloués à ces mesures pour la période 2017</w:t>
      </w:r>
      <w:r w:rsidR="00082DFD">
        <w:noBreakHyphen/>
      </w:r>
      <w:r w:rsidRPr="00BD2C13">
        <w:t>2022. Les ministères et les agences gouvernementales peuvent également financer des projets d</w:t>
      </w:r>
      <w:r w:rsidR="00784444">
        <w:t>’</w:t>
      </w:r>
      <w:r w:rsidRPr="00BD2C13">
        <w:t>intégration à partir de leurs propres ressources.</w:t>
      </w:r>
    </w:p>
    <w:p w14:paraId="0BB43DB4" w14:textId="77777777" w:rsidR="000E14E1" w:rsidRPr="00BD2C13" w:rsidRDefault="000E14E1" w:rsidP="000E14E1">
      <w:pPr>
        <w:pStyle w:val="SingleTxtG"/>
      </w:pPr>
      <w:r w:rsidRPr="00BD2C13">
        <w:t>206.</w:t>
      </w:r>
      <w:r w:rsidRPr="00BD2C13">
        <w:tab/>
        <w:t>En 2018, la section de la justice civile et des politiques d</w:t>
      </w:r>
      <w:r w:rsidR="00784444">
        <w:t>’</w:t>
      </w:r>
      <w:r w:rsidRPr="00BD2C13">
        <w:t>égalité a également procédé à la refonte de son site Web afin de le rendre plus convivial et de mieux sensibiliser le public à la politique d</w:t>
      </w:r>
      <w:r w:rsidR="00784444">
        <w:t>’</w:t>
      </w:r>
      <w:r w:rsidRPr="00BD2C13">
        <w:t>intégration de l</w:t>
      </w:r>
      <w:r w:rsidR="00784444">
        <w:t>’</w:t>
      </w:r>
      <w:r w:rsidRPr="00BD2C13">
        <w:t>État, au financement disponible pour les projets d</w:t>
      </w:r>
      <w:r w:rsidR="00784444">
        <w:t>’</w:t>
      </w:r>
      <w:r w:rsidRPr="00BD2C13">
        <w:t>intégration et de faire connaître les activités d</w:t>
      </w:r>
      <w:r w:rsidR="00784444">
        <w:t>’</w:t>
      </w:r>
      <w:r w:rsidRPr="00BD2C13">
        <w:t>intégration et de lutte contre le racisme qui ont lieu dans le pays. Ce site Web permet aux migrants d</w:t>
      </w:r>
      <w:r w:rsidR="00784444">
        <w:t>’</w:t>
      </w:r>
      <w:r w:rsidRPr="00BD2C13">
        <w:t>accéder à des informations sur un large éventail de sujets utiles, comme les avancées dans le domaine de l</w:t>
      </w:r>
      <w:r w:rsidR="00784444">
        <w:t>’</w:t>
      </w:r>
      <w:r w:rsidRPr="00BD2C13">
        <w:t>intégration et de la gestion de la diversité, des informations pratiques pour les nouveaux arrivants et des conseils pour faire face aux incidents racistes ou à la discrimination raciale.</w:t>
      </w:r>
    </w:p>
    <w:p w14:paraId="1CAFE395" w14:textId="77777777" w:rsidR="006D42F6" w:rsidRPr="00BD2C13" w:rsidRDefault="006D42F6" w:rsidP="006D42F6">
      <w:pPr>
        <w:pStyle w:val="H4G"/>
      </w:pPr>
      <w:bookmarkStart w:id="153" w:name="_Toc17908592"/>
      <w:r w:rsidRPr="00BD2C13">
        <w:tab/>
      </w:r>
      <w:r w:rsidRPr="00BD2C13">
        <w:tab/>
      </w:r>
      <w:bookmarkEnd w:id="153"/>
      <w:r w:rsidRPr="00BD2C13">
        <w:t>Offre d</w:t>
      </w:r>
      <w:r w:rsidR="00784444">
        <w:t>’</w:t>
      </w:r>
      <w:r w:rsidRPr="00BD2C13">
        <w:t>éducation pour les enfants migrants</w:t>
      </w:r>
    </w:p>
    <w:p w14:paraId="22BA7FA8" w14:textId="77777777" w:rsidR="006D42F6" w:rsidRPr="00BD2C13" w:rsidRDefault="006D42F6" w:rsidP="006D42F6">
      <w:pPr>
        <w:pStyle w:val="SingleTxtG"/>
      </w:pPr>
      <w:r w:rsidRPr="00BD2C13">
        <w:t>207.</w:t>
      </w:r>
      <w:r w:rsidRPr="00BD2C13">
        <w:tab/>
        <w:t>Le système éducatif irlandais est un système inclusif, conformément aux obligations mises à la charge de l</w:t>
      </w:r>
      <w:r w:rsidR="00784444">
        <w:t>’</w:t>
      </w:r>
      <w:r w:rsidRPr="00BD2C13">
        <w:t>Irlande par la Constitution et le droit national et international. Le principe d</w:t>
      </w:r>
      <w:r w:rsidR="00784444">
        <w:t>’</w:t>
      </w:r>
      <w:r w:rsidRPr="00BD2C13">
        <w:t>égalité est énoncé dans la loi de 1998 sur l</w:t>
      </w:r>
      <w:r w:rsidR="00784444">
        <w:t>’</w:t>
      </w:r>
      <w:r w:rsidRPr="00BD2C13">
        <w:t>éducation, la loi de 2000 sur l</w:t>
      </w:r>
      <w:r w:rsidR="00784444">
        <w:t>’</w:t>
      </w:r>
      <w:r w:rsidRPr="00BD2C13">
        <w:t>éducation (aide sociale) et la loi de 2004 sur les personnes ayant des besoins éducatifs spéciaux. Des aides supplémentaires sont fournies pour répondre aux besoins éducatifs individuels. Tous les enfants issus de l</w:t>
      </w:r>
      <w:r w:rsidR="00784444">
        <w:t>’</w:t>
      </w:r>
      <w:r w:rsidRPr="00BD2C13">
        <w:t xml:space="preserve">immigration, </w:t>
      </w:r>
      <w:r w:rsidR="00441BDA">
        <w:t>y compris</w:t>
      </w:r>
      <w:r w:rsidRPr="00BD2C13">
        <w:t xml:space="preserve"> les enfants de demandeurs d</w:t>
      </w:r>
      <w:r w:rsidR="00784444">
        <w:t>’</w:t>
      </w:r>
      <w:r w:rsidRPr="00BD2C13">
        <w:t>asile, de réfugiés et de travailleurs migrants, de même que les mineurs non accompagnés, ont accès à l</w:t>
      </w:r>
      <w:r w:rsidR="00784444">
        <w:t>’</w:t>
      </w:r>
      <w:r w:rsidRPr="00BD2C13">
        <w:t>enseignement préscolaire, primaire et secondaire, de la même façon que les ressortissants irlandais, jusqu</w:t>
      </w:r>
      <w:r w:rsidR="00784444">
        <w:t>’</w:t>
      </w:r>
      <w:r w:rsidRPr="00BD2C13">
        <w:t>à ce qu</w:t>
      </w:r>
      <w:r w:rsidR="00784444">
        <w:t>’</w:t>
      </w:r>
      <w:r w:rsidRPr="00BD2C13">
        <w:t>ils atteignent l</w:t>
      </w:r>
      <w:r w:rsidR="00784444">
        <w:t>’</w:t>
      </w:r>
      <w:r w:rsidRPr="00BD2C13">
        <w:t>âge de 18 ans. Les garçons et les filles peuvent accéder au système éducatif sur un pied d</w:t>
      </w:r>
      <w:r w:rsidR="00784444">
        <w:t>’</w:t>
      </w:r>
      <w:r w:rsidRPr="00BD2C13">
        <w:t>égalité.</w:t>
      </w:r>
    </w:p>
    <w:p w14:paraId="67C0102B" w14:textId="77777777" w:rsidR="006D42F6" w:rsidRPr="00BD2C13" w:rsidRDefault="006D42F6" w:rsidP="006D42F6">
      <w:pPr>
        <w:pStyle w:val="SingleTxtG"/>
      </w:pPr>
      <w:bookmarkStart w:id="154" w:name="_Hlk37769045"/>
      <w:r w:rsidRPr="00BD2C13">
        <w:t>208.</w:t>
      </w:r>
      <w:r w:rsidRPr="00BD2C13">
        <w:tab/>
        <w:t xml:space="preserve">Les Conseils </w:t>
      </w:r>
      <w:bookmarkStart w:id="155" w:name="_Hlk34639326"/>
      <w:r w:rsidRPr="00BD2C13">
        <w:t>d</w:t>
      </w:r>
      <w:r w:rsidR="00784444">
        <w:t>’</w:t>
      </w:r>
      <w:r w:rsidRPr="00BD2C13">
        <w:t>enseignement et de formation</w:t>
      </w:r>
      <w:bookmarkEnd w:id="155"/>
      <w:r w:rsidRPr="00BD2C13">
        <w:t xml:space="preserve"> proposent </w:t>
      </w:r>
      <w:r w:rsidRPr="00006EE6">
        <w:t>des cours d</w:t>
      </w:r>
      <w:r w:rsidR="00784444" w:rsidRPr="00006EE6">
        <w:t>’</w:t>
      </w:r>
      <w:r w:rsidRPr="00006EE6">
        <w:t>anglais langue étrangère</w:t>
      </w:r>
      <w:r w:rsidRPr="00BD2C13">
        <w:t xml:space="preserve"> aux migrants et aux nouveaux arrivants en Irlande. </w:t>
      </w:r>
      <w:bookmarkEnd w:id="154"/>
      <w:r w:rsidRPr="00BD2C13">
        <w:t>Ce programme est destiné aux migrants et aux demandeurs d</w:t>
      </w:r>
      <w:r w:rsidR="00784444">
        <w:t>’</w:t>
      </w:r>
      <w:r w:rsidRPr="00BD2C13">
        <w:t>asile sans emploi et la priorité est donnée à ceux qui ont besoin de compétences linguistiques fonctionnelles de base en anglais. SOLAS et l</w:t>
      </w:r>
      <w:r w:rsidR="00784444">
        <w:t>’</w:t>
      </w:r>
      <w:r w:rsidRPr="00BD2C13">
        <w:t>autorité d</w:t>
      </w:r>
      <w:r w:rsidR="00784444">
        <w:t>’</w:t>
      </w:r>
      <w:r w:rsidRPr="00BD2C13">
        <w:t>encadrement des Conseils d</w:t>
      </w:r>
      <w:r w:rsidR="00784444">
        <w:t>’</w:t>
      </w:r>
      <w:r w:rsidRPr="00BD2C13">
        <w:t>enseignement et de formation (ETBI) ont publié en mars 2018 leur rapport sur l</w:t>
      </w:r>
      <w:r w:rsidR="00784444">
        <w:t>’</w:t>
      </w:r>
      <w:r w:rsidRPr="00BD2C13">
        <w:t>enseignement de l</w:t>
      </w:r>
      <w:r w:rsidR="00784444">
        <w:t>’</w:t>
      </w:r>
      <w:r w:rsidRPr="00BD2C13">
        <w:t>anglais et l</w:t>
      </w:r>
      <w:r w:rsidR="00784444">
        <w:t>’</w:t>
      </w:r>
      <w:r w:rsidRPr="00BD2C13">
        <w:t>évaluation linguistique des migrants peu qualifiés et sans emploi qui bénéficient des cours</w:t>
      </w:r>
      <w:r w:rsidR="004853A9">
        <w:t> </w:t>
      </w:r>
      <w:r w:rsidRPr="00BD2C13">
        <w:t>de niveaux 1 à 3 proposés par les Conseils d</w:t>
      </w:r>
      <w:r w:rsidR="00784444">
        <w:t>’</w:t>
      </w:r>
      <w:r w:rsidRPr="00BD2C13">
        <w:t>enseignement et de formation (recommandations de bonnes pratiques). Ce document, élaboré à l</w:t>
      </w:r>
      <w:r w:rsidR="00784444">
        <w:t>’</w:t>
      </w:r>
      <w:r w:rsidRPr="00BD2C13">
        <w:t>issue d</w:t>
      </w:r>
      <w:r w:rsidR="00784444">
        <w:t>’</w:t>
      </w:r>
      <w:r w:rsidRPr="00BD2C13">
        <w:t>un large processus de recherche et de consultation des parties prenantes, met en évidence les bonnes pratiques existantes dans le domaine de l</w:t>
      </w:r>
      <w:r w:rsidR="00784444">
        <w:t>’</w:t>
      </w:r>
      <w:r w:rsidRPr="00BD2C13">
        <w:t>enseignement de l</w:t>
      </w:r>
      <w:r w:rsidR="00784444">
        <w:t>’</w:t>
      </w:r>
      <w:r w:rsidRPr="00BD2C13">
        <w:t>anglais langue étrangère, ainsi que le ferme engagement des Conseils d</w:t>
      </w:r>
      <w:r w:rsidR="00784444">
        <w:t>’</w:t>
      </w:r>
      <w:r w:rsidRPr="00BD2C13">
        <w:t>enseignement et de formation à offrir des options d</w:t>
      </w:r>
      <w:r w:rsidR="00784444">
        <w:t>’</w:t>
      </w:r>
      <w:r w:rsidRPr="00BD2C13">
        <w:t>apprentissage souples et adaptées aux migrants dont la première langue n</w:t>
      </w:r>
      <w:r w:rsidR="00784444">
        <w:t>’</w:t>
      </w:r>
      <w:r w:rsidRPr="00BD2C13">
        <w:t>est pas l</w:t>
      </w:r>
      <w:r w:rsidR="00784444">
        <w:t>’</w:t>
      </w:r>
      <w:r w:rsidRPr="00BD2C13">
        <w:t xml:space="preserve">anglais. Le rapport se concentre sur les </w:t>
      </w:r>
      <w:r w:rsidRPr="00BD2C13">
        <w:lastRenderedPageBreak/>
        <w:t>migrants peu qualifiés et sans emploi et, avec les recommandations qu</w:t>
      </w:r>
      <w:r w:rsidR="00784444">
        <w:t>’</w:t>
      </w:r>
      <w:r w:rsidRPr="00BD2C13">
        <w:t>il formule, fournit une base solide pour informer la prise de décisions sur l</w:t>
      </w:r>
      <w:r w:rsidR="00784444">
        <w:t>’</w:t>
      </w:r>
      <w:r w:rsidRPr="00BD2C13">
        <w:t>offre de cours d</w:t>
      </w:r>
      <w:r w:rsidR="00784444">
        <w:t>’</w:t>
      </w:r>
      <w:r w:rsidRPr="00BD2C13">
        <w:t>anglais langue étrangère aux niveaux 1 à 3 du Cadre national des certifications.</w:t>
      </w:r>
    </w:p>
    <w:p w14:paraId="4E392E0B" w14:textId="77777777" w:rsidR="006D42F6" w:rsidRPr="00BD2C13" w:rsidRDefault="006D42F6" w:rsidP="006D42F6">
      <w:pPr>
        <w:pStyle w:val="H4G"/>
      </w:pPr>
      <w:bookmarkStart w:id="156" w:name="_Toc17908593"/>
      <w:r w:rsidRPr="00BD2C13">
        <w:tab/>
      </w:r>
      <w:r w:rsidRPr="00BD2C13">
        <w:tab/>
      </w:r>
      <w:bookmarkEnd w:id="156"/>
      <w:r w:rsidRPr="00BD2C13">
        <w:t>Stratégie interculturelle de santé</w:t>
      </w:r>
    </w:p>
    <w:p w14:paraId="02A82F78" w14:textId="77777777" w:rsidR="006D42F6" w:rsidRPr="00BD2C13" w:rsidRDefault="006D42F6" w:rsidP="006D42F6">
      <w:pPr>
        <w:pStyle w:val="SingleTxtG"/>
      </w:pPr>
      <w:r w:rsidRPr="00BD2C13">
        <w:t>209.</w:t>
      </w:r>
      <w:r w:rsidRPr="00BD2C13">
        <w:tab/>
        <w:t>La Stratégie interculturelle de santé (2007-2012) élaborée par la Direction des services de santé offre un cadre permettant de prendre en charge les besoins de soins et de santé des populations de cultures et d</w:t>
      </w:r>
      <w:r w:rsidR="00784444">
        <w:t>’</w:t>
      </w:r>
      <w:r w:rsidRPr="00BD2C13">
        <w:t>origines ethniques variées, tout en aidant le personnel à fournir des services réactifs et culturellement adaptés. La Direction des services de santé a élaboré une deuxième stratégie interculturelle de santé pour la période 2018-2023 qui a été lancée en janvier 2019. Cette deuxième stratégie fournira un cadre permettant de répondre aux besoins en matière de soins et de santé de personnes issues de divers milieux ethniques et culturels, comme les réfugiés, les Roms, les migrants, les étudiants étrangers et les demandeurs d</w:t>
      </w:r>
      <w:r w:rsidR="00784444">
        <w:t>’</w:t>
      </w:r>
      <w:r w:rsidRPr="00BD2C13">
        <w:t>asile.</w:t>
      </w:r>
    </w:p>
    <w:p w14:paraId="0931CF69" w14:textId="77777777" w:rsidR="006D42F6" w:rsidRPr="00BD2C13" w:rsidRDefault="006D42F6" w:rsidP="006D42F6">
      <w:pPr>
        <w:pStyle w:val="SingleTxtG"/>
      </w:pPr>
      <w:r w:rsidRPr="00BD2C13">
        <w:t>210.</w:t>
      </w:r>
      <w:r w:rsidRPr="00BD2C13">
        <w:tab/>
        <w:t>Une stratégie sanitaire mobilisant toutes les instances de l</w:t>
      </w:r>
      <w:r w:rsidR="00784444">
        <w:t>’</w:t>
      </w:r>
      <w:r w:rsidRPr="00BD2C13">
        <w:t>État, dénommée « </w:t>
      </w:r>
      <w:proofErr w:type="spellStart"/>
      <w:r w:rsidRPr="00BD2C13">
        <w:t>Healthy</w:t>
      </w:r>
      <w:proofErr w:type="spellEnd"/>
      <w:r w:rsidRPr="00BD2C13">
        <w:t xml:space="preserve"> Ireland », a été lancée en 2013. Elle vise à améliorer la santé et le bien-être de la population irlandaise dans son ensemble et met l</w:t>
      </w:r>
      <w:r w:rsidR="00784444">
        <w:t>’</w:t>
      </w:r>
      <w:r w:rsidRPr="00BD2C13">
        <w:t>accent sur l</w:t>
      </w:r>
      <w:r w:rsidR="00784444">
        <w:t>’</w:t>
      </w:r>
      <w:r w:rsidRPr="00BD2C13">
        <w:t>amélioration des indicateurs de santé des personnes issues de communautés défavorisées. Pour atteindre cet objectif, elle prévoit de renforcer la collaboration interministérielle et interinstitutionnelle, de nouer des partenariats avec les principales parties prenantes et d</w:t>
      </w:r>
      <w:r w:rsidR="00784444">
        <w:t>’</w:t>
      </w:r>
      <w:r w:rsidRPr="00BD2C13">
        <w:t>améliorer le suivi des indicateurs de santé. À cette fin, un programme d</w:t>
      </w:r>
      <w:r w:rsidR="00784444">
        <w:t>’</w:t>
      </w:r>
      <w:r w:rsidRPr="00BD2C13">
        <w:t>action plus détaillé est actuellement en cours d</w:t>
      </w:r>
      <w:r w:rsidR="00784444">
        <w:t>’</w:t>
      </w:r>
      <w:r w:rsidRPr="00BD2C13">
        <w:t>élaboration.</w:t>
      </w:r>
    </w:p>
    <w:p w14:paraId="56EEA731" w14:textId="77777777" w:rsidR="006D42F6" w:rsidRPr="00BD2C13" w:rsidRDefault="006D42F6" w:rsidP="006D42F6">
      <w:pPr>
        <w:pStyle w:val="SingleTxtG"/>
      </w:pPr>
      <w:r w:rsidRPr="00BD2C13">
        <w:t>211.</w:t>
      </w:r>
      <w:r w:rsidRPr="00BD2C13">
        <w:tab/>
        <w:t>La mise en œuvre des recommandations formulées dans le cadre de cette stratégie s</w:t>
      </w:r>
      <w:r w:rsidR="00784444">
        <w:t>’</w:t>
      </w:r>
      <w:r w:rsidRPr="00BD2C13">
        <w:t>est déroulée en plusieurs étapes, sur une période de cinq ans. Parmi les actions prioritaires qui ont été menées figurent la traduction des supports d</w:t>
      </w:r>
      <w:r w:rsidR="00784444">
        <w:t>’</w:t>
      </w:r>
      <w:r w:rsidRPr="00BD2C13">
        <w:t>information, l</w:t>
      </w:r>
      <w:r w:rsidR="00784444">
        <w:t>’</w:t>
      </w:r>
      <w:r w:rsidRPr="00BD2C13">
        <w:t>élaboration de modèles d</w:t>
      </w:r>
      <w:r w:rsidR="00784444">
        <w:t>’</w:t>
      </w:r>
      <w:r w:rsidRPr="00BD2C13">
        <w:t>interprétation normalisés et des activités de formation et d</w:t>
      </w:r>
      <w:r w:rsidR="00784444">
        <w:t>’</w:t>
      </w:r>
      <w:r w:rsidRPr="00BD2C13">
        <w:t>accompagnement du personnel. Dans ces différents domaines, la démarche suivie est axée sur l</w:t>
      </w:r>
      <w:r w:rsidR="00784444">
        <w:t>’</w:t>
      </w:r>
      <w:r w:rsidRPr="00BD2C13">
        <w:t>intégration, le but étant d</w:t>
      </w:r>
      <w:r w:rsidR="00784444">
        <w:t>’</w:t>
      </w:r>
      <w:r w:rsidRPr="00BD2C13">
        <w:t>améliorer l</w:t>
      </w:r>
      <w:r w:rsidR="00784444">
        <w:t>’</w:t>
      </w:r>
      <w:r w:rsidRPr="00BD2C13">
        <w:t>accès aux services pour tous les usagers, sur un pied d</w:t>
      </w:r>
      <w:r w:rsidR="00784444">
        <w:t>’</w:t>
      </w:r>
      <w:r w:rsidRPr="00BD2C13">
        <w:t>égalité.</w:t>
      </w:r>
    </w:p>
    <w:p w14:paraId="1C90EE8A" w14:textId="77777777" w:rsidR="006D42F6" w:rsidRPr="00BD2C13" w:rsidRDefault="006D42F6" w:rsidP="006D42F6">
      <w:pPr>
        <w:pStyle w:val="H23G"/>
      </w:pPr>
      <w:bookmarkStart w:id="157" w:name="OLE_LINK19"/>
      <w:bookmarkStart w:id="158" w:name="OLE_LINK20"/>
      <w:bookmarkStart w:id="159" w:name="OLE_LINK21"/>
      <w:r w:rsidRPr="00BD2C13">
        <w:tab/>
        <w:t>3.</w:t>
      </w:r>
      <w:r w:rsidRPr="00BD2C13">
        <w:tab/>
        <w:t xml:space="preserve">Informations générales concernant la situation des droits </w:t>
      </w:r>
      <w:r w:rsidRPr="00BD2C13">
        <w:rPr>
          <w:spacing w:val="2"/>
        </w:rPr>
        <w:t>fondamentaux</w:t>
      </w:r>
      <w:r w:rsidRPr="00BD2C13">
        <w:t xml:space="preserve"> </w:t>
      </w:r>
      <w:r w:rsidRPr="00BD2C13">
        <w:rPr>
          <w:spacing w:val="-2"/>
        </w:rPr>
        <w:t>des personnes appartenant à différents groupes vulnérables de la population</w:t>
      </w:r>
    </w:p>
    <w:p w14:paraId="7F1BF653" w14:textId="77777777" w:rsidR="006D42F6" w:rsidRPr="00BD2C13" w:rsidRDefault="006D42F6" w:rsidP="006D42F6">
      <w:pPr>
        <w:pStyle w:val="H4G"/>
      </w:pPr>
      <w:bookmarkStart w:id="160" w:name="_Toc17908595"/>
      <w:bookmarkEnd w:id="157"/>
      <w:bookmarkEnd w:id="158"/>
      <w:bookmarkEnd w:id="159"/>
      <w:r w:rsidRPr="00BD2C13">
        <w:tab/>
      </w:r>
      <w:r w:rsidRPr="00BD2C13">
        <w:tab/>
        <w:t>Personnes handicapées</w:t>
      </w:r>
      <w:bookmarkEnd w:id="160"/>
    </w:p>
    <w:p w14:paraId="6EC5D851" w14:textId="77777777" w:rsidR="006D42F6" w:rsidRPr="00BD2C13" w:rsidRDefault="006D42F6" w:rsidP="006D42F6">
      <w:pPr>
        <w:pStyle w:val="SingleTxtG"/>
      </w:pPr>
      <w:r w:rsidRPr="00BD2C13">
        <w:t>212.</w:t>
      </w:r>
      <w:r w:rsidRPr="00BD2C13">
        <w:tab/>
        <w:t>Les recommandations figurant dans le rapport de la Commission chargée de la condition des personnes handicapées ont permis au secteur du handicap de connaître des évolutions importantes.</w:t>
      </w:r>
    </w:p>
    <w:p w14:paraId="37089988" w14:textId="77777777" w:rsidR="006D42F6" w:rsidRPr="00BD2C13" w:rsidRDefault="006D42F6" w:rsidP="006D42F6">
      <w:pPr>
        <w:pStyle w:val="SingleTxtG"/>
      </w:pPr>
      <w:r w:rsidRPr="00BD2C13">
        <w:t>213.</w:t>
      </w:r>
      <w:r w:rsidRPr="00BD2C13">
        <w:tab/>
        <w:t>En juin 2000, le Gouvernement a lancé une initiative d</w:t>
      </w:r>
      <w:r w:rsidR="00784444">
        <w:t>’</w:t>
      </w:r>
      <w:r w:rsidRPr="00BD2C13">
        <w:t>intégration en vertu de laquelle les organes publics étaient tenus, là où cela était possible, d</w:t>
      </w:r>
      <w:r w:rsidR="00784444">
        <w:t>’</w:t>
      </w:r>
      <w:r w:rsidRPr="00BD2C13">
        <w:t>intégrer autant que faire se pouvait les services destinés aux personnes handicapées à ceux dont disposait le reste de la population.</w:t>
      </w:r>
    </w:p>
    <w:p w14:paraId="5FF6C4DB" w14:textId="77777777" w:rsidR="006D42F6" w:rsidRPr="00BD2C13" w:rsidRDefault="006D42F6" w:rsidP="006D42F6">
      <w:pPr>
        <w:pStyle w:val="SingleTxtG"/>
      </w:pPr>
      <w:r w:rsidRPr="00BD2C13">
        <w:t>214.</w:t>
      </w:r>
      <w:r w:rsidRPr="00BD2C13">
        <w:tab/>
        <w:t>L</w:t>
      </w:r>
      <w:r w:rsidR="00784444">
        <w:t>’</w:t>
      </w:r>
      <w:r w:rsidRPr="00BD2C13">
        <w:t>Office national des personnes handicapées a été créé par une loi en juin 2000 pour élaborer des normes concernant les services à fournir aux personnes handicapées et en surveiller l</w:t>
      </w:r>
      <w:r w:rsidR="00784444">
        <w:t>’</w:t>
      </w:r>
      <w:r w:rsidRPr="00BD2C13">
        <w:t>application, et pour fournir des conseils sur la politique et la pratique en matière de handicap. Il est financé par l</w:t>
      </w:r>
      <w:r w:rsidR="00784444">
        <w:t>’</w:t>
      </w:r>
      <w:r w:rsidRPr="00BD2C13">
        <w:t>État.</w:t>
      </w:r>
    </w:p>
    <w:p w14:paraId="18EAE638" w14:textId="77777777" w:rsidR="006D42F6" w:rsidRPr="00BD2C13" w:rsidRDefault="006D42F6" w:rsidP="006D42F6">
      <w:pPr>
        <w:pStyle w:val="SingleTxtG"/>
      </w:pPr>
      <w:r w:rsidRPr="00BD2C13">
        <w:t>215.</w:t>
      </w:r>
      <w:r w:rsidRPr="00BD2C13">
        <w:tab/>
        <w:t xml:space="preserve">La loi de 2000 sur le </w:t>
      </w:r>
      <w:proofErr w:type="spellStart"/>
      <w:r w:rsidRPr="00BD2C13">
        <w:t>Comhairle</w:t>
      </w:r>
      <w:proofErr w:type="spellEnd"/>
      <w:r w:rsidRPr="00BD2C13">
        <w:t xml:space="preserve"> a institué le </w:t>
      </w:r>
      <w:proofErr w:type="spellStart"/>
      <w:r w:rsidRPr="00BD2C13">
        <w:t>Comhairle</w:t>
      </w:r>
      <w:proofErr w:type="spellEnd"/>
      <w:r w:rsidRPr="00BD2C13">
        <w:t xml:space="preserve"> en tant que fournisseur d</w:t>
      </w:r>
      <w:r w:rsidR="00784444">
        <w:t>’</w:t>
      </w:r>
      <w:r w:rsidRPr="00BD2C13">
        <w:t>informations générales financé par le Ministère des affaires sociales et familiales. Cet organisme a pour mission d</w:t>
      </w:r>
      <w:r w:rsidR="00784444">
        <w:t>’</w:t>
      </w:r>
      <w:r w:rsidRPr="00BD2C13">
        <w:t>aider les personnes, en particulier les personnes handicapées, à définir leurs besoins, à connaître les possibilités qui s</w:t>
      </w:r>
      <w:r w:rsidR="00784444">
        <w:t>’</w:t>
      </w:r>
      <w:r w:rsidRPr="00BD2C13">
        <w:t>offrent à elles et à bénéficier des services sociaux auxquels elles ont droit. La loi de 2007 sur l</w:t>
      </w:r>
      <w:r w:rsidR="00784444">
        <w:t>’</w:t>
      </w:r>
      <w:r w:rsidRPr="00BD2C13">
        <w:t xml:space="preserve">information des citoyens a porté modification à la loi de 2000 sur le </w:t>
      </w:r>
      <w:proofErr w:type="spellStart"/>
      <w:r w:rsidRPr="00BD2C13">
        <w:t>Comhairle</w:t>
      </w:r>
      <w:proofErr w:type="spellEnd"/>
      <w:r w:rsidRPr="00BD2C13">
        <w:t xml:space="preserve"> et changé le nom de </w:t>
      </w:r>
      <w:proofErr w:type="spellStart"/>
      <w:r w:rsidRPr="00BD2C13">
        <w:t>Comhairle</w:t>
      </w:r>
      <w:proofErr w:type="spellEnd"/>
      <w:r w:rsidRPr="00BD2C13">
        <w:t xml:space="preserve"> en « Commission d</w:t>
      </w:r>
      <w:r w:rsidR="00784444">
        <w:t>’</w:t>
      </w:r>
      <w:r w:rsidRPr="00BD2C13">
        <w:t>information des citoyens ». La loi de 2008 sur la protection sociale (dispositions diverses) a élargi encore le mandat de la Commission d</w:t>
      </w:r>
      <w:r w:rsidR="00784444">
        <w:t>’</w:t>
      </w:r>
      <w:r w:rsidRPr="00BD2C13">
        <w:t>information des citoyens en y intégrant le Service de conseil financier et de gestion budgétaire. Le montant total des fonds alloués à la Commission d</w:t>
      </w:r>
      <w:r w:rsidR="00784444">
        <w:t>’</w:t>
      </w:r>
      <w:r w:rsidRPr="00BD2C13">
        <w:t>information des citoyens s</w:t>
      </w:r>
      <w:r w:rsidR="00784444">
        <w:t>’</w:t>
      </w:r>
      <w:r w:rsidRPr="00BD2C13">
        <w:t xml:space="preserve">est établi à </w:t>
      </w:r>
      <w:bookmarkStart w:id="161" w:name="_Hlk37770985"/>
      <w:r w:rsidRPr="00BD2C13">
        <w:t xml:space="preserve">54,775 millions </w:t>
      </w:r>
      <w:bookmarkEnd w:id="161"/>
      <w:r w:rsidRPr="00BD2C13">
        <w:t>d</w:t>
      </w:r>
      <w:r w:rsidR="00784444">
        <w:t>’</w:t>
      </w:r>
      <w:r w:rsidRPr="00BD2C13">
        <w:t>euros en 2018.</w:t>
      </w:r>
    </w:p>
    <w:p w14:paraId="068EB1F6" w14:textId="77777777" w:rsidR="00DE0C91" w:rsidRPr="00BD2C13" w:rsidRDefault="006D42F6" w:rsidP="006D42F6">
      <w:pPr>
        <w:pStyle w:val="SingleTxtG"/>
      </w:pPr>
      <w:r w:rsidRPr="00BD2C13">
        <w:lastRenderedPageBreak/>
        <w:t>216.</w:t>
      </w:r>
      <w:r w:rsidRPr="00BD2C13">
        <w:tab/>
        <w:t>En 2015, le Ministère de la justice et de l</w:t>
      </w:r>
      <w:r w:rsidR="00784444">
        <w:t>’</w:t>
      </w:r>
      <w:r w:rsidRPr="00BD2C13">
        <w:t>égalité, avec l</w:t>
      </w:r>
      <w:r w:rsidR="00784444">
        <w:t>’</w:t>
      </w:r>
      <w:r w:rsidRPr="00BD2C13">
        <w:t>aide de l</w:t>
      </w:r>
      <w:r w:rsidR="00784444">
        <w:t>’</w:t>
      </w:r>
      <w:r w:rsidRPr="00BD2C13">
        <w:t>Office national des personnes handicapées, a entamé un processus de consultation étendu et exhaustif en vue de l</w:t>
      </w:r>
      <w:r w:rsidR="00784444">
        <w:t>’</w:t>
      </w:r>
      <w:r w:rsidRPr="00BD2C13">
        <w:t>élaboration d</w:t>
      </w:r>
      <w:r w:rsidR="00784444">
        <w:t>’</w:t>
      </w:r>
      <w:r w:rsidRPr="00BD2C13">
        <w:t>une nouvelle stratégie nationale pour l</w:t>
      </w:r>
      <w:r w:rsidR="00784444">
        <w:t>’</w:t>
      </w:r>
      <w:r w:rsidRPr="00BD2C13">
        <w:t>inclusion des personnes handicapées. Après la conclusion de la phase finale, le Ministère de la justice et de l</w:t>
      </w:r>
      <w:r w:rsidR="00784444">
        <w:t>’</w:t>
      </w:r>
      <w:r w:rsidRPr="00BD2C13">
        <w:t>égalité a préparé une nouvelle stratégie d</w:t>
      </w:r>
      <w:r w:rsidR="00784444">
        <w:t>’</w:t>
      </w:r>
      <w:r w:rsidRPr="00BD2C13">
        <w:t>inclusion des personnes handicapées pour la période 2017-2021 qui a été lancée le 14 juillet 2017. Un comité de pilotage composé de représentants des principaux ministères et organismes gouvernementaux et de parties prenantes du secteur du handicap est chargé du suivi de sa mise en œuvre. Ce comité bénéficie des analyses et des conseils indépendants de l</w:t>
      </w:r>
      <w:r w:rsidR="00784444">
        <w:t>’</w:t>
      </w:r>
      <w:r w:rsidRPr="00BD2C13">
        <w:t>Office national des personnes handicapées et des résultats des examens et du suivi périodiques du Comité ministériel de la réforme de la politique sociale, selon le cas. Les ministères sont chargés de faire progresser et de suivre les actions pertinentes de la stratégie au niveau local par l</w:t>
      </w:r>
      <w:r w:rsidR="00784444">
        <w:t>’</w:t>
      </w:r>
      <w:r w:rsidRPr="00BD2C13">
        <w:t>intermédiaire de leurs comités consultatifs ministériels.</w:t>
      </w:r>
    </w:p>
    <w:p w14:paraId="2B4DE603" w14:textId="77777777" w:rsidR="006D42F6" w:rsidRPr="00BD2C13" w:rsidRDefault="006D42F6" w:rsidP="006D42F6">
      <w:pPr>
        <w:pStyle w:val="SingleTxtG"/>
      </w:pPr>
      <w:r w:rsidRPr="00BD2C13">
        <w:t>217.</w:t>
      </w:r>
      <w:r w:rsidRPr="00BD2C13">
        <w:tab/>
        <w:t>Les principaux éléments de cette Stratégie sont les suivants :</w:t>
      </w:r>
    </w:p>
    <w:p w14:paraId="667DCB0B" w14:textId="77777777" w:rsidR="006D42F6" w:rsidRPr="00BD2C13" w:rsidRDefault="006D42F6" w:rsidP="006D42F6">
      <w:pPr>
        <w:pStyle w:val="SingleTxtG"/>
        <w:ind w:firstLine="567"/>
      </w:pPr>
      <w:r w:rsidRPr="00BD2C13">
        <w:t>a)</w:t>
      </w:r>
      <w:r w:rsidRPr="00BD2C13">
        <w:tab/>
        <w:t>La loi de 2005 sur le handicap ;</w:t>
      </w:r>
    </w:p>
    <w:p w14:paraId="02E3498E" w14:textId="77777777" w:rsidR="006D42F6" w:rsidRPr="00BD2C13" w:rsidRDefault="006D42F6" w:rsidP="006D42F6">
      <w:pPr>
        <w:pStyle w:val="SingleTxtG"/>
        <w:ind w:firstLine="567"/>
      </w:pPr>
      <w:r w:rsidRPr="00BD2C13">
        <w:t>b)</w:t>
      </w:r>
      <w:r w:rsidRPr="00BD2C13">
        <w:tab/>
        <w:t>La loi de 2007 sur l</w:t>
      </w:r>
      <w:r w:rsidR="00784444">
        <w:t>’</w:t>
      </w:r>
      <w:r w:rsidRPr="00BD2C13">
        <w:t>information des citoyens qui dote la Commission d</w:t>
      </w:r>
      <w:r w:rsidR="00784444">
        <w:t>’</w:t>
      </w:r>
      <w:r w:rsidRPr="00BD2C13">
        <w:t xml:space="preserve">information des citoyens (anciennement connue sous le nom de </w:t>
      </w:r>
      <w:proofErr w:type="spellStart"/>
      <w:r w:rsidRPr="00BD2C13">
        <w:rPr>
          <w:i/>
          <w:iCs/>
        </w:rPr>
        <w:t>Comhairle</w:t>
      </w:r>
      <w:proofErr w:type="spellEnd"/>
      <w:r w:rsidRPr="00BD2C13">
        <w:t>) de tous les moyens nécessaires pour fournir aux personnes handicapées des services personnalisés de défense de leurs droits ;</w:t>
      </w:r>
    </w:p>
    <w:p w14:paraId="648976EB" w14:textId="77777777" w:rsidR="006D42F6" w:rsidRPr="00BD2C13" w:rsidRDefault="006D42F6" w:rsidP="006D42F6">
      <w:pPr>
        <w:pStyle w:val="SingleTxtG"/>
        <w:ind w:firstLine="567"/>
      </w:pPr>
      <w:r w:rsidRPr="00BD2C13">
        <w:t>c)</w:t>
      </w:r>
      <w:r w:rsidRPr="00BD2C13">
        <w:tab/>
        <w:t>La loi de 2004 sur l</w:t>
      </w:r>
      <w:r w:rsidR="00784444">
        <w:t>’</w:t>
      </w:r>
      <w:r w:rsidRPr="00BD2C13">
        <w:t>éducation des personnes ayant des besoins éducatifs spéciaux ;</w:t>
      </w:r>
    </w:p>
    <w:p w14:paraId="08A40745" w14:textId="77777777" w:rsidR="006D42F6" w:rsidRPr="00BD2C13" w:rsidRDefault="006D42F6" w:rsidP="006D42F6">
      <w:pPr>
        <w:pStyle w:val="SingleTxtG"/>
        <w:ind w:firstLine="567"/>
      </w:pPr>
      <w:r w:rsidRPr="00BD2C13">
        <w:t>d)</w:t>
      </w:r>
      <w:r w:rsidRPr="00BD2C13">
        <w:tab/>
        <w:t>Les plans sectoriels établis par six ministères.</w:t>
      </w:r>
    </w:p>
    <w:p w14:paraId="17B789C8" w14:textId="77777777" w:rsidR="006D42F6" w:rsidRPr="00BD2C13" w:rsidRDefault="006D42F6" w:rsidP="006D42F6">
      <w:pPr>
        <w:pStyle w:val="SingleTxtG"/>
      </w:pPr>
      <w:r w:rsidRPr="00BD2C13">
        <w:t>218.</w:t>
      </w:r>
      <w:r w:rsidRPr="00BD2C13">
        <w:tab/>
        <w:t>La loi de 2005 sur le handicap est un texte législatif multisectoriel et un dispositif d</w:t>
      </w:r>
      <w:r w:rsidR="00784444">
        <w:t>’</w:t>
      </w:r>
      <w:r w:rsidRPr="00BD2C13">
        <w:t>action positive visant à fournir des services spécifiques aux personnes handicapées et à améliorer leur accès aux services publics en général. L</w:t>
      </w:r>
      <w:r w:rsidR="00784444">
        <w:t>’</w:t>
      </w:r>
      <w:r w:rsidRPr="00BD2C13">
        <w:t>élaboration de ce texte a donné lieu à des consultations approfondies à l</w:t>
      </w:r>
      <w:r w:rsidR="00784444">
        <w:t>’</w:t>
      </w:r>
      <w:r w:rsidRPr="00BD2C13">
        <w:t>échelle du pays. Les ministères sont tous juridiquement tenus de se conformer à la loi sur le handicap.</w:t>
      </w:r>
    </w:p>
    <w:p w14:paraId="772D7B78" w14:textId="77777777" w:rsidR="006D42F6" w:rsidRPr="00BD2C13" w:rsidRDefault="006D42F6" w:rsidP="006D42F6">
      <w:pPr>
        <w:pStyle w:val="SingleTxtG"/>
      </w:pPr>
      <w:r w:rsidRPr="00BD2C13">
        <w:t>219.</w:t>
      </w:r>
      <w:r w:rsidRPr="00BD2C13">
        <w:tab/>
        <w:t>La loi de 2005 sur le handicap donne force de loi à tout un éventail de mesures d</w:t>
      </w:r>
      <w:r w:rsidR="00784444">
        <w:t>’</w:t>
      </w:r>
      <w:r w:rsidRPr="00BD2C13">
        <w:t>action positive destinées à améliorer la situation des personnes handicapées dans la société irlandaise, à savoir :</w:t>
      </w:r>
    </w:p>
    <w:p w14:paraId="26E6A52E" w14:textId="77777777" w:rsidR="006D42F6" w:rsidRPr="00BD2C13" w:rsidRDefault="006D42F6" w:rsidP="006D42F6">
      <w:pPr>
        <w:pStyle w:val="SingleTxtG"/>
        <w:ind w:firstLine="567"/>
      </w:pPr>
      <w:r w:rsidRPr="00BD2C13">
        <w:t>a)</w:t>
      </w:r>
      <w:r w:rsidRPr="00BD2C13">
        <w:tab/>
        <w:t>Une évaluation indépendante et personnalisée des besoins en services de santé (et d</w:t>
      </w:r>
      <w:r w:rsidR="00784444">
        <w:t>’</w:t>
      </w:r>
      <w:r w:rsidRPr="00BD2C13">
        <w:t>éducation, le cas échéant), l</w:t>
      </w:r>
      <w:r w:rsidR="00784444">
        <w:t>’</w:t>
      </w:r>
      <w:r w:rsidRPr="00BD2C13">
        <w:t>élaboration d</w:t>
      </w:r>
      <w:r w:rsidR="00784444">
        <w:t>’</w:t>
      </w:r>
      <w:r w:rsidRPr="00BD2C13">
        <w:t>une charte des services requis, et l</w:t>
      </w:r>
      <w:r w:rsidR="00784444">
        <w:t>’</w:t>
      </w:r>
      <w:r w:rsidRPr="00BD2C13">
        <w:t>accès à un service indépendant de plaintes, de recours et d</w:t>
      </w:r>
      <w:r w:rsidR="00784444">
        <w:t>’</w:t>
      </w:r>
      <w:r w:rsidRPr="00BD2C13">
        <w:t>application de la loi ;</w:t>
      </w:r>
    </w:p>
    <w:p w14:paraId="795B8F7A" w14:textId="77777777" w:rsidR="006D42F6" w:rsidRPr="00BD2C13" w:rsidRDefault="006D42F6" w:rsidP="006D42F6">
      <w:pPr>
        <w:pStyle w:val="SingleTxtG"/>
        <w:ind w:firstLine="567"/>
      </w:pPr>
      <w:r w:rsidRPr="00BD2C13">
        <w:t>b)</w:t>
      </w:r>
      <w:r w:rsidRPr="00BD2C13">
        <w:tab/>
        <w:t>L</w:t>
      </w:r>
      <w:r w:rsidR="00784444">
        <w:t>’</w:t>
      </w:r>
      <w:r w:rsidRPr="00BD2C13">
        <w:t>obligation de rendre accessibles les bâtiments et services publics, l</w:t>
      </w:r>
      <w:r w:rsidR="00784444">
        <w:t>’</w:t>
      </w:r>
      <w:r w:rsidRPr="00BD2C13">
        <w:t>obligation pour les six principaux ministères de publier des plans sectoriels de fourniture de services, et un mécanisme de recours connexe donnant accès au Médiateur ;</w:t>
      </w:r>
    </w:p>
    <w:p w14:paraId="489C3D3F" w14:textId="77777777" w:rsidR="006D42F6" w:rsidRPr="00BD2C13" w:rsidRDefault="006D42F6" w:rsidP="006D42F6">
      <w:pPr>
        <w:pStyle w:val="SingleTxtG"/>
        <w:ind w:firstLine="567"/>
      </w:pPr>
      <w:r w:rsidRPr="00BD2C13">
        <w:t>c)</w:t>
      </w:r>
      <w:r w:rsidRPr="00BD2C13">
        <w:tab/>
        <w:t>L</w:t>
      </w:r>
      <w:r w:rsidR="00784444">
        <w:t>’</w:t>
      </w:r>
      <w:r w:rsidRPr="00BD2C13">
        <w:t>obligation faite aux organismes publics de s</w:t>
      </w:r>
      <w:r w:rsidR="00784444">
        <w:t>’</w:t>
      </w:r>
      <w:r w:rsidRPr="00BD2C13">
        <w:t>efforcer activement d</w:t>
      </w:r>
      <w:r w:rsidR="00784444">
        <w:t>’</w:t>
      </w:r>
      <w:r w:rsidRPr="00BD2C13">
        <w:t xml:space="preserve">employer des personnes handicapées. </w:t>
      </w:r>
      <w:r w:rsidRPr="00006EE6">
        <w:t>La cinquième partie</w:t>
      </w:r>
      <w:r w:rsidRPr="00BD2C13">
        <w:t xml:space="preserve"> de la loi fixe un objectif, actuellement de 3 %, pour le recrutement et l</w:t>
      </w:r>
      <w:r w:rsidR="00784444">
        <w:t>’</w:t>
      </w:r>
      <w:r w:rsidRPr="00BD2C13">
        <w:t>emploi de personnes handicapées dans le secteur public. Les organismes publics sont tenus de soumettre à des comités de suivi des rapports annuels quant au respect de l</w:t>
      </w:r>
      <w:r w:rsidR="00784444">
        <w:t>’</w:t>
      </w:r>
      <w:r w:rsidRPr="00BD2C13">
        <w:t>objectif fixé ;</w:t>
      </w:r>
    </w:p>
    <w:p w14:paraId="2CE67287" w14:textId="77777777" w:rsidR="006D42F6" w:rsidRPr="00BD2C13" w:rsidRDefault="006D42F6" w:rsidP="006D42F6">
      <w:pPr>
        <w:pStyle w:val="SingleTxtG"/>
        <w:ind w:firstLine="567"/>
      </w:pPr>
      <w:r w:rsidRPr="00BD2C13">
        <w:t>d)</w:t>
      </w:r>
      <w:r w:rsidRPr="00BD2C13">
        <w:tab/>
        <w:t>La restriction du recours à des informations issues de tests génétiques à des fins d</w:t>
      </w:r>
      <w:r w:rsidR="00784444">
        <w:t>’</w:t>
      </w:r>
      <w:r w:rsidRPr="00BD2C13">
        <w:t>embauche et d</w:t>
      </w:r>
      <w:r w:rsidR="00784444">
        <w:t>’</w:t>
      </w:r>
      <w:r w:rsidRPr="00BD2C13">
        <w:t>assurance ;</w:t>
      </w:r>
    </w:p>
    <w:p w14:paraId="1FC47A50" w14:textId="77777777" w:rsidR="006D42F6" w:rsidRPr="00BD2C13" w:rsidRDefault="006D42F6" w:rsidP="006D42F6">
      <w:pPr>
        <w:pStyle w:val="SingleTxtG"/>
        <w:ind w:firstLine="567"/>
      </w:pPr>
      <w:r w:rsidRPr="00BD2C13">
        <w:t>e)</w:t>
      </w:r>
      <w:r w:rsidRPr="00BD2C13">
        <w:tab/>
        <w:t>La création d</w:t>
      </w:r>
      <w:r w:rsidR="00784444">
        <w:t>’</w:t>
      </w:r>
      <w:r w:rsidRPr="00BD2C13">
        <w:t>un centre d</w:t>
      </w:r>
      <w:r w:rsidR="00784444">
        <w:t>’</w:t>
      </w:r>
      <w:r w:rsidRPr="00BD2C13">
        <w:t>excellence en conception universelle. Ce centre a été créé au sein de l</w:t>
      </w:r>
      <w:r w:rsidR="00784444">
        <w:t>’</w:t>
      </w:r>
      <w:r w:rsidRPr="00BD2C13">
        <w:t>Office national des personnes handicapées au début de 2007, en vertu</w:t>
      </w:r>
      <w:r w:rsidR="00006EE6">
        <w:t xml:space="preserve"> de la sixième partie</w:t>
      </w:r>
      <w:bookmarkStart w:id="162" w:name="_Hlk37772298"/>
      <w:r w:rsidRPr="00BD2C13">
        <w:t xml:space="preserve"> de la loi</w:t>
      </w:r>
      <w:bookmarkEnd w:id="162"/>
      <w:r w:rsidRPr="00BD2C13">
        <w:t>. La « conception universelle » désigne le fait de concevoir et de créer un environnement qui soit accessible, compréhensible et utilisable par le plus grand nombre possible de personnes, quels que soient leur âge, leur taille ou leur handicap. La mission du Centre consiste à promouvoir la création d</w:t>
      </w:r>
      <w:r w:rsidR="00784444">
        <w:t>’</w:t>
      </w:r>
      <w:r w:rsidRPr="00BD2C13">
        <w:t>un tel environnement.</w:t>
      </w:r>
    </w:p>
    <w:p w14:paraId="4F951DA9" w14:textId="77777777" w:rsidR="006D42F6" w:rsidRPr="0023471F" w:rsidRDefault="006D42F6" w:rsidP="006D42F6">
      <w:pPr>
        <w:pStyle w:val="SingleTxtG"/>
        <w:rPr>
          <w:spacing w:val="-1"/>
        </w:rPr>
      </w:pPr>
      <w:r w:rsidRPr="0023471F">
        <w:rPr>
          <w:spacing w:val="-1"/>
        </w:rPr>
        <w:t>220.</w:t>
      </w:r>
      <w:r w:rsidRPr="0023471F">
        <w:rPr>
          <w:spacing w:val="-1"/>
        </w:rPr>
        <w:tab/>
        <w:t>L</w:t>
      </w:r>
      <w:r w:rsidR="00784444" w:rsidRPr="0023471F">
        <w:rPr>
          <w:spacing w:val="-1"/>
        </w:rPr>
        <w:t>’</w:t>
      </w:r>
      <w:r w:rsidRPr="0023471F">
        <w:rPr>
          <w:spacing w:val="-1"/>
        </w:rPr>
        <w:t>application de plusieurs articles de la loi sur l</w:t>
      </w:r>
      <w:r w:rsidR="00784444" w:rsidRPr="0023471F">
        <w:rPr>
          <w:spacing w:val="-1"/>
        </w:rPr>
        <w:t>’</w:t>
      </w:r>
      <w:r w:rsidRPr="0023471F">
        <w:rPr>
          <w:spacing w:val="-1"/>
        </w:rPr>
        <w:t>éducation des personnes ayant des besoins éducatifs spéciaux a débuté, notamment ceux portant création du Conseil national pour l</w:t>
      </w:r>
      <w:r w:rsidR="00784444" w:rsidRPr="0023471F">
        <w:rPr>
          <w:spacing w:val="-1"/>
        </w:rPr>
        <w:t>’</w:t>
      </w:r>
      <w:r w:rsidRPr="0023471F">
        <w:rPr>
          <w:spacing w:val="-1"/>
        </w:rPr>
        <w:t>éducation spéciale et ceux prévoyant la promotion d</w:t>
      </w:r>
      <w:r w:rsidR="00784444" w:rsidRPr="0023471F">
        <w:rPr>
          <w:spacing w:val="-1"/>
        </w:rPr>
        <w:t>’</w:t>
      </w:r>
      <w:r w:rsidRPr="0023471F">
        <w:rPr>
          <w:spacing w:val="-1"/>
        </w:rPr>
        <w:t>une approche inclusive dans l</w:t>
      </w:r>
      <w:r w:rsidR="00784444" w:rsidRPr="0023471F">
        <w:rPr>
          <w:spacing w:val="-1"/>
        </w:rPr>
        <w:t>’</w:t>
      </w:r>
      <w:r w:rsidRPr="0023471F">
        <w:rPr>
          <w:spacing w:val="-1"/>
        </w:rPr>
        <w:t>éducation des enfants ayant des besoins éducatifs spéciaux. L</w:t>
      </w:r>
      <w:r w:rsidR="00784444" w:rsidRPr="0023471F">
        <w:rPr>
          <w:spacing w:val="-1"/>
        </w:rPr>
        <w:t>’</w:t>
      </w:r>
      <w:r w:rsidRPr="0023471F">
        <w:rPr>
          <w:spacing w:val="-1"/>
        </w:rPr>
        <w:t xml:space="preserve">application des autres articles </w:t>
      </w:r>
      <w:r w:rsidRPr="0023471F">
        <w:rPr>
          <w:spacing w:val="-1"/>
        </w:rPr>
        <w:lastRenderedPageBreak/>
        <w:t>de la loi n</w:t>
      </w:r>
      <w:r w:rsidR="00784444" w:rsidRPr="0023471F">
        <w:rPr>
          <w:spacing w:val="-1"/>
        </w:rPr>
        <w:t>’</w:t>
      </w:r>
      <w:r w:rsidRPr="0023471F">
        <w:rPr>
          <w:spacing w:val="-1"/>
        </w:rPr>
        <w:t>a pas encore débuté. Le Gouvernement élaborera un plan pour réaliser les objectifs de la loi sur l</w:t>
      </w:r>
      <w:r w:rsidR="00784444" w:rsidRPr="0023471F">
        <w:rPr>
          <w:spacing w:val="-1"/>
        </w:rPr>
        <w:t>’</w:t>
      </w:r>
      <w:r w:rsidRPr="0023471F">
        <w:rPr>
          <w:spacing w:val="-1"/>
        </w:rPr>
        <w:t>éducation des personnes ayant des besoins éducatifs spéciaux en vue d</w:t>
      </w:r>
      <w:r w:rsidR="00784444" w:rsidRPr="0023471F">
        <w:rPr>
          <w:spacing w:val="-1"/>
        </w:rPr>
        <w:t>’</w:t>
      </w:r>
      <w:r w:rsidRPr="0023471F">
        <w:rPr>
          <w:spacing w:val="-1"/>
        </w:rPr>
        <w:t>améliorer les résultats scolaires des étudiants appartenant à cette catégorie de personnes.</w:t>
      </w:r>
    </w:p>
    <w:p w14:paraId="269FCAFE" w14:textId="77777777" w:rsidR="006D42F6" w:rsidRPr="00BD2C13" w:rsidRDefault="006D42F6" w:rsidP="006D42F6">
      <w:pPr>
        <w:pStyle w:val="SingleTxtG"/>
      </w:pPr>
      <w:r w:rsidRPr="00BD2C13">
        <w:t>221.</w:t>
      </w:r>
      <w:r w:rsidRPr="00BD2C13">
        <w:tab/>
        <w:t>L</w:t>
      </w:r>
      <w:r w:rsidR="00784444">
        <w:t>’</w:t>
      </w:r>
      <w:r w:rsidRPr="00BD2C13">
        <w:t xml:space="preserve">Irlande a ratifié la Convention relative aux droits des personnes handicapées le 20 mars 2018. Celle-ci est entrée en vigueur le 19 avril 2018. </w:t>
      </w:r>
      <w:bookmarkStart w:id="163" w:name="_Hlk31371891"/>
      <w:r w:rsidRPr="00BD2C13">
        <w:t>Les progrès et la mise en œuvre en cours feront l</w:t>
      </w:r>
      <w:r w:rsidR="00784444">
        <w:t>’</w:t>
      </w:r>
      <w:r w:rsidRPr="00BD2C13">
        <w:t>objet d</w:t>
      </w:r>
      <w:r w:rsidR="00784444">
        <w:t>’</w:t>
      </w:r>
      <w:r w:rsidRPr="00BD2C13">
        <w:t>un suivi interne par le biais des structures en place pour soutenir la mise en œuvre de la Stratégie nationale d</w:t>
      </w:r>
      <w:r w:rsidR="00784444">
        <w:t>’</w:t>
      </w:r>
      <w:r w:rsidRPr="00BD2C13">
        <w:t>inclusion des personnes handicapées. La mise en œuvre en cours de la stratégie nationale reprend, à bien des égards, de nombreuses dispositions de la Convention.</w:t>
      </w:r>
    </w:p>
    <w:p w14:paraId="5B3B29A5" w14:textId="77777777" w:rsidR="006D42F6" w:rsidRPr="00BD2C13" w:rsidRDefault="006D42F6" w:rsidP="006D42F6">
      <w:pPr>
        <w:pStyle w:val="SingleTxtG"/>
      </w:pPr>
      <w:r w:rsidRPr="00BD2C13">
        <w:t>222.</w:t>
      </w:r>
      <w:r w:rsidRPr="00BD2C13">
        <w:tab/>
        <w:t>La loi de 2015 relative à la prise de décisions assistée (capacité) fournit un cadre légal moderne pour soutenir la prise de décision des adultes présentant des handicaps. La</w:t>
      </w:r>
      <w:r w:rsidR="00006EE6">
        <w:t> </w:t>
      </w:r>
      <w:r w:rsidRPr="00BD2C13">
        <w:t>loi a été promulguée le 30 décembre 2015. Des travaux sont en cours pour mettre en place le plus rapidement possible les nouveaux processus administratifs et les mesures de soutien qui doivent être établis avant que les dispositions de fond de la loi puissent être mises en œuvre.</w:t>
      </w:r>
    </w:p>
    <w:p w14:paraId="07B981B3" w14:textId="77777777" w:rsidR="006D42F6" w:rsidRPr="00BD2C13" w:rsidRDefault="006D42F6" w:rsidP="006D42F6">
      <w:pPr>
        <w:pStyle w:val="H4G"/>
      </w:pPr>
      <w:bookmarkStart w:id="164" w:name="_Toc17908596"/>
      <w:bookmarkEnd w:id="163"/>
      <w:r w:rsidRPr="00BD2C13">
        <w:tab/>
      </w:r>
      <w:r w:rsidRPr="00BD2C13">
        <w:tab/>
      </w:r>
      <w:bookmarkEnd w:id="164"/>
      <w:r w:rsidRPr="00BD2C13">
        <w:t>Membres de la communauté des gens du voyage</w:t>
      </w:r>
    </w:p>
    <w:p w14:paraId="72B172EF" w14:textId="77777777" w:rsidR="006D42F6" w:rsidRPr="00BD2C13" w:rsidRDefault="006D42F6" w:rsidP="006D42F6">
      <w:pPr>
        <w:pStyle w:val="SingleTxtG"/>
      </w:pPr>
      <w:bookmarkStart w:id="165" w:name="OLE_LINK45"/>
      <w:r w:rsidRPr="00BD2C13">
        <w:t>223.</w:t>
      </w:r>
      <w:r w:rsidRPr="00BD2C13">
        <w:tab/>
        <w:t>Aux termes de la loi de 2000 sur l</w:t>
      </w:r>
      <w:r w:rsidR="00784444">
        <w:t>’</w:t>
      </w:r>
      <w:r w:rsidRPr="00BD2C13">
        <w:t>égalité de traitement, l</w:t>
      </w:r>
      <w:r w:rsidR="00784444">
        <w:t>’</w:t>
      </w:r>
      <w:r w:rsidRPr="00BD2C13">
        <w:t>expression «</w:t>
      </w:r>
      <w:r w:rsidR="00100DE2">
        <w:t> </w:t>
      </w:r>
      <w:r w:rsidRPr="00BD2C13">
        <w:t>communauté des gens du voyage</w:t>
      </w:r>
      <w:r w:rsidR="00100DE2">
        <w:t> </w:t>
      </w:r>
      <w:r w:rsidRPr="00BD2C13">
        <w:t xml:space="preserve">» désigne « la communauté des personnes communément nommées gens du voyage et qui, à la fois, se considèrent elles-mêmes et sont considérées par les autres comme des personnes ayant une histoire, une culture et des traditions communes, </w:t>
      </w:r>
      <w:r w:rsidR="00441BDA">
        <w:t>y compris</w:t>
      </w:r>
      <w:r w:rsidRPr="00BD2C13">
        <w:t>, historiquement, un mode de vie nomade sur l</w:t>
      </w:r>
      <w:r w:rsidR="00784444">
        <w:t>’</w:t>
      </w:r>
      <w:r w:rsidRPr="00BD2C13">
        <w:t>île d</w:t>
      </w:r>
      <w:r w:rsidR="00784444">
        <w:t>’</w:t>
      </w:r>
      <w:r w:rsidRPr="00BD2C13">
        <w:t>Irlande ».</w:t>
      </w:r>
    </w:p>
    <w:p w14:paraId="1C9342E5" w14:textId="77777777" w:rsidR="006D42F6" w:rsidRPr="00BD2C13" w:rsidRDefault="006D42F6" w:rsidP="006D42F6">
      <w:pPr>
        <w:pStyle w:val="SingleTxtG"/>
      </w:pPr>
      <w:bookmarkStart w:id="166" w:name="_Hlk31371898"/>
      <w:r w:rsidRPr="00BD2C13">
        <w:t>224.</w:t>
      </w:r>
      <w:r w:rsidRPr="00BD2C13">
        <w:tab/>
        <w:t>Le 1</w:t>
      </w:r>
      <w:r w:rsidRPr="00BD2C13">
        <w:rPr>
          <w:vertAlign w:val="superscript"/>
        </w:rPr>
        <w:t>er</w:t>
      </w:r>
      <w:r w:rsidRPr="00BD2C13">
        <w:t xml:space="preserve"> mars 2017, le </w:t>
      </w:r>
      <w:proofErr w:type="spellStart"/>
      <w:r w:rsidRPr="00BD2C13">
        <w:t>Taoiseach</w:t>
      </w:r>
      <w:proofErr w:type="spellEnd"/>
      <w:r w:rsidRPr="00BD2C13">
        <w:t xml:space="preserve"> a informé le </w:t>
      </w:r>
      <w:proofErr w:type="spellStart"/>
      <w:r w:rsidRPr="00BD2C13">
        <w:t>Dáil</w:t>
      </w:r>
      <w:proofErr w:type="spellEnd"/>
      <w:r w:rsidRPr="00BD2C13">
        <w:t xml:space="preserve"> </w:t>
      </w:r>
      <w:proofErr w:type="spellStart"/>
      <w:r w:rsidRPr="00BD2C13">
        <w:t>Eireann</w:t>
      </w:r>
      <w:proofErr w:type="spellEnd"/>
      <w:r w:rsidRPr="00BD2C13">
        <w:t xml:space="preserve"> de la décision du Gouvernement de reconnaître les gens du voyage comme une minorité ethnique. Le Gouvernement a reconnu la place particulière de la communauté des gens du voyage en Irlande dans une série de dispositions législatives, administratives et institutionnelles. Outre la législation sur l</w:t>
      </w:r>
      <w:r w:rsidR="00784444">
        <w:t>’</w:t>
      </w:r>
      <w:r w:rsidRPr="00BD2C13">
        <w:t>égalité, il s</w:t>
      </w:r>
      <w:r w:rsidR="00784444">
        <w:t>’</w:t>
      </w:r>
      <w:r w:rsidRPr="00BD2C13">
        <w:t>agit de lois visant à permettre aux autorités locales d</w:t>
      </w:r>
      <w:r w:rsidR="00784444">
        <w:t>’</w:t>
      </w:r>
      <w:r w:rsidRPr="00BD2C13">
        <w:t>accueillir les gens du voyage et de stratégies spécifiques à cette communauté dans les domaines de la santé, de l</w:t>
      </w:r>
      <w:r w:rsidR="00784444">
        <w:t>’</w:t>
      </w:r>
      <w:r w:rsidRPr="00BD2C13">
        <w:t xml:space="preserve">éducation et du logement, élaborées avec la participation des organisations de gens du voyage. </w:t>
      </w:r>
      <w:bookmarkEnd w:id="166"/>
      <w:r w:rsidRPr="00BD2C13">
        <w:t>En Irlande, les gens du voyage jouissent des mêmes droits civils et politiques que les autres citoyens, conformément à la Constitution. Les principales mesures de lutte contre la discrimination, à savoir la loi de 1989 sur l</w:t>
      </w:r>
      <w:r w:rsidR="00784444">
        <w:t>’</w:t>
      </w:r>
      <w:r w:rsidRPr="00BD2C13">
        <w:t>interdiction de l</w:t>
      </w:r>
      <w:r w:rsidR="00784444">
        <w:t>’</w:t>
      </w:r>
      <w:r w:rsidRPr="00BD2C13">
        <w:t>incitation à la haine, les lois de 1977 sur le licenciement abusif, les lois de 1998-2015 sur l</w:t>
      </w:r>
      <w:r w:rsidR="00784444">
        <w:t>’</w:t>
      </w:r>
      <w:r w:rsidRPr="00BD2C13">
        <w:t>égalité dans l</w:t>
      </w:r>
      <w:r w:rsidR="00784444">
        <w:t>’</w:t>
      </w:r>
      <w:r w:rsidRPr="00BD2C13">
        <w:t>emploi et les lois de 2000-2018 sur l</w:t>
      </w:r>
      <w:r w:rsidR="00784444">
        <w:t>’</w:t>
      </w:r>
      <w:r w:rsidRPr="00BD2C13">
        <w:t>égalité de traitement désignent spécifiquement les gens du voyage, par leur nom, en tant que groupe protégé. La loi de 2004 sur l</w:t>
      </w:r>
      <w:r w:rsidR="00784444">
        <w:t>’</w:t>
      </w:r>
      <w:r w:rsidRPr="00BD2C13">
        <w:t>égalité, qui a transposé la directive de l</w:t>
      </w:r>
      <w:r w:rsidR="00784444">
        <w:t>’</w:t>
      </w:r>
      <w:r w:rsidRPr="00BD2C13">
        <w:t>Union européenne sur l</w:t>
      </w:r>
      <w:r w:rsidR="00784444">
        <w:t>’</w:t>
      </w:r>
      <w:r w:rsidRPr="00BD2C13">
        <w:t>égalité raciale, garantit l</w:t>
      </w:r>
      <w:r w:rsidR="00784444">
        <w:t>’</w:t>
      </w:r>
      <w:r w:rsidRPr="00BD2C13">
        <w:t xml:space="preserve">ensemble des mesures de protection énoncées dans cette directive sur la base des neuf critères figurant dans la loi, </w:t>
      </w:r>
      <w:r w:rsidR="00441BDA">
        <w:t>y compris</w:t>
      </w:r>
      <w:r w:rsidRPr="00BD2C13">
        <w:t xml:space="preserve"> l</w:t>
      </w:r>
      <w:r w:rsidR="00784444">
        <w:t>’</w:t>
      </w:r>
      <w:r w:rsidRPr="00BD2C13">
        <w:t>appartenance à la communauté des gens du voyage.</w:t>
      </w:r>
      <w:r w:rsidRPr="00100DE2">
        <w:t xml:space="preserve"> </w:t>
      </w:r>
      <w:r w:rsidRPr="00BD2C13">
        <w:t>Toutes les protections garanties aux minorités ethniques par les directives de l</w:t>
      </w:r>
      <w:r w:rsidR="00784444">
        <w:t>’</w:t>
      </w:r>
      <w:r w:rsidRPr="00BD2C13">
        <w:t>Union européenne et les conventions internationales s</w:t>
      </w:r>
      <w:r w:rsidR="00784444">
        <w:t>’</w:t>
      </w:r>
      <w:r w:rsidRPr="00BD2C13">
        <w:t>appliquent aux gens du voyage, ceux-ci étant explicitement protégés par la législation irlandaise donnant effet à ces instruments internationaux.</w:t>
      </w:r>
    </w:p>
    <w:p w14:paraId="587A1FA2" w14:textId="77777777" w:rsidR="006D42F6" w:rsidRPr="00BD2C13" w:rsidRDefault="006D42F6" w:rsidP="006D42F6">
      <w:pPr>
        <w:pStyle w:val="SingleTxtG"/>
      </w:pPr>
      <w:r w:rsidRPr="00BD2C13">
        <w:t>225.</w:t>
      </w:r>
      <w:r w:rsidRPr="00BD2C13">
        <w:tab/>
        <w:t>Le Gouvernement est déterminé à lutter contre la discrimination à l</w:t>
      </w:r>
      <w:r w:rsidR="00784444">
        <w:t>’</w:t>
      </w:r>
      <w:r w:rsidRPr="00BD2C13">
        <w:t>égard des gens du voyage et a défini l</w:t>
      </w:r>
      <w:r w:rsidR="00784444">
        <w:t>’</w:t>
      </w:r>
      <w:r w:rsidRPr="00BD2C13">
        <w:t>appartenance à leur communauté comme un motif distinct pour lequel toute discrimination est illégale en vertu de la loi sur l</w:t>
      </w:r>
      <w:r w:rsidR="00784444">
        <w:t>’</w:t>
      </w:r>
      <w:r w:rsidRPr="00BD2C13">
        <w:t>égalité. L</w:t>
      </w:r>
      <w:r w:rsidR="00784444">
        <w:t>’</w:t>
      </w:r>
      <w:r w:rsidRPr="00BD2C13">
        <w:t>objectif n</w:t>
      </w:r>
      <w:r w:rsidR="00784444">
        <w:t>’</w:t>
      </w:r>
      <w:r w:rsidRPr="00BD2C13">
        <w:t>était pas d</w:t>
      </w:r>
      <w:r w:rsidR="00784444">
        <w:t>’</w:t>
      </w:r>
      <w:r w:rsidRPr="00BD2C13">
        <w:t>assurer aux gens du voyage une protection moins importante que celle qui était garantie aux membres des minorités ethniques. Au contraire, le fait de mentionner séparément les gens du voyage dans la législation sur l</w:t>
      </w:r>
      <w:r w:rsidR="00784444">
        <w:t>’</w:t>
      </w:r>
      <w:r w:rsidRPr="00BD2C13">
        <w:t>égalité vise à leur garantir une protection explicite.</w:t>
      </w:r>
    </w:p>
    <w:p w14:paraId="601C7EE3" w14:textId="77777777" w:rsidR="006D42F6" w:rsidRPr="00BD2C13" w:rsidRDefault="006D42F6" w:rsidP="006D42F6">
      <w:pPr>
        <w:pStyle w:val="SingleTxtG"/>
      </w:pPr>
      <w:bookmarkStart w:id="167" w:name="_Hlk31371911"/>
      <w:r w:rsidRPr="00BD2C13">
        <w:t>226.</w:t>
      </w:r>
      <w:r w:rsidRPr="00BD2C13">
        <w:tab/>
        <w:t>La Stratégie nationale pour l</w:t>
      </w:r>
      <w:r w:rsidR="00784444">
        <w:t>’</w:t>
      </w:r>
      <w:r w:rsidRPr="00BD2C13">
        <w:t xml:space="preserve">inclusion des Roms et des gens du voyage a été lancée en juin 2017. Elle prévoit 149 actions, regroupées sous </w:t>
      </w:r>
      <w:r w:rsidR="00397D61" w:rsidRPr="00BD2C13">
        <w:t>10</w:t>
      </w:r>
      <w:r w:rsidRPr="00BD2C13">
        <w:t xml:space="preserve"> thèmes : l</w:t>
      </w:r>
      <w:r w:rsidR="00784444">
        <w:t>’</w:t>
      </w:r>
      <w:r w:rsidRPr="00BD2C13">
        <w:t>identité culturelle, l</w:t>
      </w:r>
      <w:r w:rsidR="00784444">
        <w:t>’</w:t>
      </w:r>
      <w:r w:rsidRPr="00BD2C13">
        <w:t>éducation, l</w:t>
      </w:r>
      <w:r w:rsidR="00784444">
        <w:t>’</w:t>
      </w:r>
      <w:r w:rsidRPr="00BD2C13">
        <w:t>emploi et l</w:t>
      </w:r>
      <w:r w:rsidR="00784444">
        <w:t>’</w:t>
      </w:r>
      <w:r w:rsidRPr="00BD2C13">
        <w:t>activité économique des gens du voyage, les enfants et les jeunes, la santé, l</w:t>
      </w:r>
      <w:r w:rsidR="00784444">
        <w:t>’</w:t>
      </w:r>
      <w:r w:rsidRPr="00BD2C13">
        <w:t>égalité des sexes, la lutte contre la discrimination et l</w:t>
      </w:r>
      <w:r w:rsidR="00784444">
        <w:t>’</w:t>
      </w:r>
      <w:r w:rsidRPr="00BD2C13">
        <w:t>égalité, le logement, la communauté rom et celle des gens du voyage et les services publics.</w:t>
      </w:r>
    </w:p>
    <w:p w14:paraId="403CC007" w14:textId="77777777" w:rsidR="006D42F6" w:rsidRPr="00BD2C13" w:rsidRDefault="006D42F6" w:rsidP="006D42F6">
      <w:pPr>
        <w:pStyle w:val="SingleTxtG"/>
        <w:rPr>
          <w:u w:val="single"/>
        </w:rPr>
      </w:pPr>
      <w:r w:rsidRPr="00BD2C13">
        <w:t>227.</w:t>
      </w:r>
      <w:r w:rsidRPr="00BD2C13">
        <w:tab/>
        <w:t>Un comité de pilotage se réunit tous les trimestres pour examiner les progrès réalisés dans la réalisation de ses objectifs. Quatre sous-comités ont été créés pour se concentrer sur les actions prioritaires, à savoir le maintien à l</w:t>
      </w:r>
      <w:r w:rsidR="00784444">
        <w:t>’</w:t>
      </w:r>
      <w:r w:rsidRPr="00BD2C13">
        <w:t xml:space="preserve">école des enfants appartenant à la </w:t>
      </w:r>
      <w:r w:rsidRPr="00BD2C13">
        <w:lastRenderedPageBreak/>
        <w:t>communauté rom et à celle des gens du voyage, l</w:t>
      </w:r>
      <w:r w:rsidR="00784444">
        <w:t>’</w:t>
      </w:r>
      <w:r w:rsidRPr="00BD2C13">
        <w:t>élaboration de mécanismes d</w:t>
      </w:r>
      <w:r w:rsidR="00784444">
        <w:t>’</w:t>
      </w:r>
      <w:r w:rsidRPr="00BD2C13">
        <w:t>apaisement des conflits et de médiation visant à apaiser les dissensions au sein de la communauté des gens du voyage, la mise en œuvre d</w:t>
      </w:r>
      <w:r w:rsidR="00784444">
        <w:t>’</w:t>
      </w:r>
      <w:r w:rsidRPr="00BD2C13">
        <w:t>un système de reconnaissance ethnique à des fins d</w:t>
      </w:r>
      <w:r w:rsidR="00784444">
        <w:t>’</w:t>
      </w:r>
      <w:r w:rsidRPr="00BD2C13">
        <w:t>égalité et l</w:t>
      </w:r>
      <w:r w:rsidR="00784444">
        <w:t>’</w:t>
      </w:r>
      <w:r w:rsidRPr="00BD2C13">
        <w:t>élaboration de propositions d</w:t>
      </w:r>
      <w:r w:rsidR="00784444">
        <w:t>’</w:t>
      </w:r>
      <w:r w:rsidRPr="00BD2C13">
        <w:t>emploi pour lutter contre le taux de chômage élevé dans ces communautés.</w:t>
      </w:r>
    </w:p>
    <w:bookmarkEnd w:id="165"/>
    <w:p w14:paraId="759FA627" w14:textId="77777777" w:rsidR="006D42F6" w:rsidRPr="00BD2C13" w:rsidRDefault="006D42F6" w:rsidP="006D42F6">
      <w:pPr>
        <w:pStyle w:val="SingleTxtG"/>
      </w:pPr>
      <w:r w:rsidRPr="00BD2C13">
        <w:t>228.</w:t>
      </w:r>
      <w:r w:rsidRPr="00BD2C13">
        <w:tab/>
        <w:t>Les niveaux d</w:t>
      </w:r>
      <w:r w:rsidR="00784444">
        <w:t>’</w:t>
      </w:r>
      <w:r w:rsidRPr="00BD2C13">
        <w:t>éducation ont augmenté au fil du temps, tant pour les gens du voyage que pour les autres. Alors que la majorité des personnes âgées de 25 à 34 ans ne faisant pas partie de la communauté des gens du voyage a terminé ses études secondaires (86 %), moins d</w:t>
      </w:r>
      <w:r w:rsidR="00784444">
        <w:t>’</w:t>
      </w:r>
      <w:r w:rsidRPr="00BD2C13">
        <w:t xml:space="preserve">une personne de la communauté des gens du voyage sur </w:t>
      </w:r>
      <w:r w:rsidR="00397D61" w:rsidRPr="00BD2C13">
        <w:t>10</w:t>
      </w:r>
      <w:r w:rsidRPr="00BD2C13">
        <w:t xml:space="preserve"> dans cette tranche d</w:t>
      </w:r>
      <w:r w:rsidR="00784444">
        <w:t>’</w:t>
      </w:r>
      <w:r w:rsidRPr="00BD2C13">
        <w:t>âge l</w:t>
      </w:r>
      <w:r w:rsidR="00784444">
        <w:t>’</w:t>
      </w:r>
      <w:r w:rsidRPr="00BD2C13">
        <w:t>a fait (9 %). Cela donne à penser que les gens du voyage ont moins profité de l</w:t>
      </w:r>
      <w:r w:rsidR="00784444">
        <w:t>’</w:t>
      </w:r>
      <w:r w:rsidRPr="00BD2C13">
        <w:t>amélioration générale de l</w:t>
      </w:r>
      <w:r w:rsidR="00784444">
        <w:t>’</w:t>
      </w:r>
      <w:r w:rsidRPr="00BD2C13">
        <w:t>éducation depuis les années 1960.</w:t>
      </w:r>
    </w:p>
    <w:p w14:paraId="08B62FAA" w14:textId="77777777" w:rsidR="006D42F6" w:rsidRPr="00BD2C13" w:rsidRDefault="006D42F6" w:rsidP="006D42F6">
      <w:pPr>
        <w:pStyle w:val="SingleTxtG"/>
      </w:pPr>
      <w:r w:rsidRPr="00BD2C13">
        <w:t>229.</w:t>
      </w:r>
      <w:r w:rsidRPr="00BD2C13">
        <w:tab/>
        <w:t>Les principales actions liées à l</w:t>
      </w:r>
      <w:r w:rsidR="00784444">
        <w:t>’</w:t>
      </w:r>
      <w:r w:rsidRPr="00BD2C13">
        <w:t>éducation proposées dans la stratégie nationale sont les suivantes :</w:t>
      </w:r>
    </w:p>
    <w:p w14:paraId="504F4C39" w14:textId="77777777" w:rsidR="006D42F6" w:rsidRPr="00BD2C13" w:rsidRDefault="006D42F6" w:rsidP="006D42F6">
      <w:pPr>
        <w:pStyle w:val="SingleTxtG"/>
        <w:ind w:firstLine="567"/>
      </w:pPr>
      <w:r w:rsidRPr="00BD2C13">
        <w:t>a)</w:t>
      </w:r>
      <w:r w:rsidRPr="00BD2C13">
        <w:tab/>
        <w:t>Mesures de soutien pour les gens du voyage et les Roms dans des domaines cl</w:t>
      </w:r>
      <w:r w:rsidR="00222480">
        <w:t>ef</w:t>
      </w:r>
      <w:r w:rsidRPr="00BD2C13">
        <w:t>s, notamment l</w:t>
      </w:r>
      <w:r w:rsidR="00784444">
        <w:t>’</w:t>
      </w:r>
      <w:r w:rsidRPr="00BD2C13">
        <w:t>éducation, l</w:t>
      </w:r>
      <w:r w:rsidR="00784444">
        <w:t>’</w:t>
      </w:r>
      <w:r w:rsidRPr="00BD2C13">
        <w:t>emploi et le développement économique ;</w:t>
      </w:r>
    </w:p>
    <w:p w14:paraId="0D2BFAC8" w14:textId="77777777" w:rsidR="006D42F6" w:rsidRPr="00BD2C13" w:rsidRDefault="006D42F6" w:rsidP="006D42F6">
      <w:pPr>
        <w:pStyle w:val="SingleTxtG"/>
        <w:ind w:firstLine="567"/>
      </w:pPr>
      <w:r w:rsidRPr="00BD2C13">
        <w:t>b)</w:t>
      </w:r>
      <w:r w:rsidRPr="00BD2C13">
        <w:tab/>
        <w:t>Élaboration de ressources éducatives sur la culture et l</w:t>
      </w:r>
      <w:r w:rsidR="00784444">
        <w:t>’</w:t>
      </w:r>
      <w:r w:rsidRPr="00BD2C13">
        <w:t>histoire des gens du voyage et des Roms, à utiliser dans le cadre de l</w:t>
      </w:r>
      <w:r w:rsidR="00784444">
        <w:t>’</w:t>
      </w:r>
      <w:r w:rsidRPr="00BD2C13">
        <w:t>enseignement primaire, secondaire et pour adultes ;</w:t>
      </w:r>
    </w:p>
    <w:p w14:paraId="6B40767D" w14:textId="77777777" w:rsidR="006D42F6" w:rsidRPr="00BD2C13" w:rsidRDefault="006D42F6" w:rsidP="006D42F6">
      <w:pPr>
        <w:pStyle w:val="SingleTxtG"/>
        <w:ind w:firstLine="567"/>
      </w:pPr>
      <w:r w:rsidRPr="00BD2C13">
        <w:t>c)</w:t>
      </w:r>
      <w:r w:rsidRPr="00BD2C13">
        <w:tab/>
        <w:t>Amélioration de l</w:t>
      </w:r>
      <w:r w:rsidR="00784444">
        <w:t>’</w:t>
      </w:r>
      <w:r w:rsidRPr="00BD2C13">
        <w:t>accès, de la participation et des résultats des gens du voyage et des Roms dans l</w:t>
      </w:r>
      <w:r w:rsidR="00784444">
        <w:t>’</w:t>
      </w:r>
      <w:r w:rsidRPr="00BD2C13">
        <w:t>éducation afin qu</w:t>
      </w:r>
      <w:r w:rsidR="00784444">
        <w:t>’</w:t>
      </w:r>
      <w:r w:rsidRPr="00BD2C13">
        <w:t>ils obtiennent des résultats équivalents à ceux de la population majoritaire ;</w:t>
      </w:r>
    </w:p>
    <w:p w14:paraId="230E7D37" w14:textId="77777777" w:rsidR="006D42F6" w:rsidRPr="00BD2C13" w:rsidRDefault="006D42F6" w:rsidP="006D42F6">
      <w:pPr>
        <w:pStyle w:val="SingleTxtG"/>
        <w:ind w:firstLine="567"/>
      </w:pPr>
      <w:r w:rsidRPr="00BD2C13">
        <w:t>d)</w:t>
      </w:r>
      <w:r w:rsidRPr="00BD2C13">
        <w:tab/>
        <w:t>Prise en compte, par la SOLAS et les Conseils de l</w:t>
      </w:r>
      <w:r w:rsidR="00784444">
        <w:t>’</w:t>
      </w:r>
      <w:r w:rsidRPr="00BD2C13">
        <w:t xml:space="preserve">enseignement et de la formation, des besoins des groupes défavorisés, </w:t>
      </w:r>
      <w:r w:rsidR="00441BDA">
        <w:t>y compris</w:t>
      </w:r>
      <w:r w:rsidRPr="00BD2C13">
        <w:t xml:space="preserve"> les gens du voyage et les Roms, dans la planification de l</w:t>
      </w:r>
      <w:r w:rsidR="00784444">
        <w:t>’</w:t>
      </w:r>
      <w:r w:rsidRPr="00BD2C13">
        <w:t>offre d</w:t>
      </w:r>
      <w:r w:rsidR="00784444">
        <w:t>’</w:t>
      </w:r>
      <w:r w:rsidRPr="00BD2C13">
        <w:t>éducation et de formation continue ;</w:t>
      </w:r>
    </w:p>
    <w:p w14:paraId="7DE67EB8" w14:textId="77777777" w:rsidR="006D42F6" w:rsidRPr="00BD2C13" w:rsidRDefault="006D42F6" w:rsidP="006D42F6">
      <w:pPr>
        <w:pStyle w:val="SingleTxtG"/>
        <w:ind w:firstLine="567"/>
      </w:pPr>
      <w:r w:rsidRPr="00BD2C13">
        <w:t>e)</w:t>
      </w:r>
      <w:r w:rsidRPr="00BD2C13">
        <w:tab/>
        <w:t>Renforcement de la coopération entre les secteurs de l</w:t>
      </w:r>
      <w:r w:rsidR="00784444">
        <w:t>’</w:t>
      </w:r>
      <w:r w:rsidRPr="00BD2C13">
        <w:t>éducation formelle et de l</w:t>
      </w:r>
      <w:r w:rsidR="00784444">
        <w:t>’</w:t>
      </w:r>
      <w:r w:rsidRPr="00BD2C13">
        <w:t>apprentissage non formel afin de lutter contre le taux élevé d</w:t>
      </w:r>
      <w:r w:rsidR="00784444">
        <w:t>’</w:t>
      </w:r>
      <w:r w:rsidRPr="00BD2C13">
        <w:t>abandon scolaire précoce dans les communautés des gens du voyage et des Roms ;</w:t>
      </w:r>
    </w:p>
    <w:p w14:paraId="0E984D96" w14:textId="77777777" w:rsidR="006D42F6" w:rsidRPr="00BD2C13" w:rsidRDefault="006D42F6" w:rsidP="006D42F6">
      <w:pPr>
        <w:pStyle w:val="SingleTxtG"/>
        <w:ind w:firstLine="567"/>
      </w:pPr>
      <w:r w:rsidRPr="00BD2C13">
        <w:t>f)</w:t>
      </w:r>
      <w:r w:rsidRPr="00BD2C13">
        <w:tab/>
        <w:t>Déploiement d</w:t>
      </w:r>
      <w:r w:rsidR="00784444">
        <w:t>’</w:t>
      </w:r>
      <w:r w:rsidRPr="00BD2C13">
        <w:t>une culture positive de respect et de protection de l</w:t>
      </w:r>
      <w:r w:rsidR="00784444">
        <w:t>’</w:t>
      </w:r>
      <w:r w:rsidRPr="00BD2C13">
        <w:t>identité culturelle des gens du voyage et des Roms dans l</w:t>
      </w:r>
      <w:r w:rsidR="00784444">
        <w:t>’</w:t>
      </w:r>
      <w:r w:rsidRPr="00BD2C13">
        <w:t>ensemble du système éducatif.</w:t>
      </w:r>
    </w:p>
    <w:bookmarkEnd w:id="167"/>
    <w:p w14:paraId="03E526F9" w14:textId="77777777" w:rsidR="006D42F6" w:rsidRPr="00BD2C13" w:rsidRDefault="006D42F6" w:rsidP="006D42F6">
      <w:pPr>
        <w:pStyle w:val="SingleTxtG"/>
      </w:pPr>
      <w:r w:rsidRPr="00BD2C13">
        <w:t>230.</w:t>
      </w:r>
      <w:r w:rsidRPr="00BD2C13">
        <w:tab/>
        <w:t>La loi de 1998 sur le logement (hébergement des gens du voyage) est le principal texte législatif de référence concernant l</w:t>
      </w:r>
      <w:r w:rsidR="00784444">
        <w:t>’</w:t>
      </w:r>
      <w:r w:rsidRPr="00BD2C13">
        <w:t>hébergement des gens du voyage en Irlande. Toutes les collectivités locales concernées ont l</w:t>
      </w:r>
      <w:r w:rsidR="00784444">
        <w:t>’</w:t>
      </w:r>
      <w:r w:rsidRPr="00BD2C13">
        <w:t>obligation, aux termes de cette loi, d</w:t>
      </w:r>
      <w:r w:rsidR="00784444">
        <w:t>’</w:t>
      </w:r>
      <w:r w:rsidRPr="00BD2C13">
        <w:t>adopter et de mettre en œuvre des programmes pluriannuels continus pour l</w:t>
      </w:r>
      <w:r w:rsidR="00784444">
        <w:t>’</w:t>
      </w:r>
      <w:r w:rsidRPr="00BD2C13">
        <w:t>accueil des gens du voyage en vue d</w:t>
      </w:r>
      <w:r w:rsidR="00784444">
        <w:t>’</w:t>
      </w:r>
      <w:r w:rsidRPr="00BD2C13">
        <w:t>augmenter le nombre de possibilités d</w:t>
      </w:r>
      <w:r w:rsidR="00784444">
        <w:t>’</w:t>
      </w:r>
      <w:r w:rsidRPr="00BD2C13">
        <w:t>hébergement qui leur sont fournies. Ces programmes sont opérationnels depuis 2000. Les programmes actuels ont été adoptés en 2014 et se poursuivront jusqu</w:t>
      </w:r>
      <w:r w:rsidR="00784444">
        <w:t>’</w:t>
      </w:r>
      <w:r w:rsidRPr="00BD2C13">
        <w:t>à la fin de 2018. L</w:t>
      </w:r>
      <w:r w:rsidR="00784444">
        <w:t>’</w:t>
      </w:r>
      <w:r w:rsidRPr="00BD2C13">
        <w:t>élaboration des programmes pour la période 2019 à 2024 est en cours.</w:t>
      </w:r>
    </w:p>
    <w:p w14:paraId="0914C9C5" w14:textId="77777777" w:rsidR="006D42F6" w:rsidRPr="00BD2C13" w:rsidRDefault="006D42F6" w:rsidP="006D42F6">
      <w:pPr>
        <w:pStyle w:val="SingleTxtG"/>
      </w:pPr>
      <w:r w:rsidRPr="00BD2C13">
        <w:t>231.</w:t>
      </w:r>
      <w:r w:rsidRPr="00BD2C13">
        <w:tab/>
        <w:t>Avant d</w:t>
      </w:r>
      <w:r w:rsidR="00784444">
        <w:t>’</w:t>
      </w:r>
      <w:r w:rsidRPr="00BD2C13">
        <w:t>adopter les programmes, les autorités locales sont tenues de déterminer les besoins des gens du voyage pendant la durée du programme, sous l</w:t>
      </w:r>
      <w:r w:rsidR="00784444">
        <w:t>’</w:t>
      </w:r>
      <w:r w:rsidRPr="00BD2C13">
        <w:t>angle de diverses possibilités d</w:t>
      </w:r>
      <w:r w:rsidR="00784444">
        <w:t>’</w:t>
      </w:r>
      <w:r w:rsidRPr="00BD2C13">
        <w:t xml:space="preserve">hébergement, </w:t>
      </w:r>
      <w:r w:rsidR="00441BDA">
        <w:t>y compris</w:t>
      </w:r>
      <w:r w:rsidRPr="00BD2C13">
        <w:t xml:space="preserve"> les logements standard et collectifs, les sites résidentiels permanents pour les caravanes et les aires de transit. Pour déterminer ces besoins, elles doivent veiller à consulter largement toutes les parties prenantes, </w:t>
      </w:r>
      <w:r w:rsidR="00441BDA">
        <w:t>y compris</w:t>
      </w:r>
      <w:r w:rsidRPr="00BD2C13">
        <w:t xml:space="preserve"> la communauté des gens du voyage, les organismes qui les représentent, les organes publics compétents et le grand public. Les programmes doivent comporter des objectifs annuels qui sont contrôlés en permanence par le Ministère du logement, de l</w:t>
      </w:r>
      <w:r w:rsidR="00784444">
        <w:t>’</w:t>
      </w:r>
      <w:r w:rsidRPr="00BD2C13">
        <w:t>aménagement du territoire et des collectivités locales. Ces programmes fournissent une feuille de route pour les priorités d</w:t>
      </w:r>
      <w:r w:rsidR="00784444">
        <w:t>’</w:t>
      </w:r>
      <w:r w:rsidRPr="00BD2C13">
        <w:t>investissement des autorités locales pendant la période visée par le programme et ce sont sur ces programmes que se fonde le Ministère du logement, de l</w:t>
      </w:r>
      <w:r w:rsidR="00784444">
        <w:t>’</w:t>
      </w:r>
      <w:r w:rsidRPr="00BD2C13">
        <w:t>aménagement du territoire et des collectivités locales pour allouer des fonds.</w:t>
      </w:r>
    </w:p>
    <w:p w14:paraId="7D8D3D97" w14:textId="77777777" w:rsidR="00A1083E" w:rsidRPr="00BD2C13" w:rsidRDefault="00A1083E" w:rsidP="00A1083E">
      <w:pPr>
        <w:pStyle w:val="SingleTxtG"/>
      </w:pPr>
      <w:r w:rsidRPr="00BD2C13">
        <w:t>232.</w:t>
      </w:r>
      <w:r w:rsidRPr="00BD2C13">
        <w:tab/>
        <w:t>La loi prévoit également la création du Comité consultatif national pour l</w:t>
      </w:r>
      <w:r w:rsidR="00784444">
        <w:t>’</w:t>
      </w:r>
      <w:r w:rsidRPr="00BD2C13">
        <w:t>accueil des gens du voyage. Ce comité est composé de représentants des autorités officielles chargées de l</w:t>
      </w:r>
      <w:r w:rsidR="00784444">
        <w:t>’</w:t>
      </w:r>
      <w:r w:rsidRPr="00BD2C13">
        <w:t>accueil des gens du voyage et des organisations nationales de gens du voyage. Sa principale fonction est de conseiller le Ministère du logement, de l</w:t>
      </w:r>
      <w:r w:rsidR="00784444">
        <w:t>’</w:t>
      </w:r>
      <w:r w:rsidRPr="00BD2C13">
        <w:t>aménagement du territoire et des collectivités locales sur les questions relatives à l</w:t>
      </w:r>
      <w:r w:rsidR="00784444">
        <w:t>’</w:t>
      </w:r>
      <w:r w:rsidRPr="00BD2C13">
        <w:t xml:space="preserve">hébergement des gens du </w:t>
      </w:r>
      <w:r w:rsidRPr="00BD2C13">
        <w:lastRenderedPageBreak/>
        <w:t>voyage au niveau national. En outre, les autorités locales sont également tenues de veiller à la mise en place de comités consultatifs locaux pour l</w:t>
      </w:r>
      <w:r w:rsidR="00784444">
        <w:t>’</w:t>
      </w:r>
      <w:r w:rsidRPr="00BD2C13">
        <w:t>accueil des gens du voyage, dont le rôle est de dispenser des conseils sur les questions relatives à l</w:t>
      </w:r>
      <w:r w:rsidR="00784444">
        <w:t>’</w:t>
      </w:r>
      <w:r w:rsidRPr="00BD2C13">
        <w:t>accueil des gens du voyage et d</w:t>
      </w:r>
      <w:r w:rsidR="00784444">
        <w:t>’</w:t>
      </w:r>
      <w:r w:rsidRPr="00BD2C13">
        <w:t>assurer la liaison entre leur communauté et l</w:t>
      </w:r>
      <w:r w:rsidR="00784444">
        <w:t>’</w:t>
      </w:r>
      <w:r w:rsidRPr="00BD2C13">
        <w:t>autorité locale sur les questions de logement. Leurs membres sont des gens du voyage et des représentants de leur communauté, ainsi que des élus et des fonctionnaires des autorités locales.</w:t>
      </w:r>
    </w:p>
    <w:p w14:paraId="2E80BE72" w14:textId="77777777" w:rsidR="00A1083E" w:rsidRPr="00BD2C13" w:rsidRDefault="00A1083E" w:rsidP="00A1083E">
      <w:pPr>
        <w:pStyle w:val="SingleTxtG"/>
      </w:pPr>
      <w:r w:rsidRPr="00BD2C13">
        <w:t>233.</w:t>
      </w:r>
      <w:r w:rsidRPr="00BD2C13">
        <w:tab/>
        <w:t>Différentes possibilités s</w:t>
      </w:r>
      <w:r w:rsidR="00784444">
        <w:t>’</w:t>
      </w:r>
      <w:r w:rsidRPr="00BD2C13">
        <w:t>offrent aux gens du voyage en matière de logement. Ceux</w:t>
      </w:r>
      <w:r w:rsidR="00222480">
        <w:noBreakHyphen/>
      </w:r>
      <w:r w:rsidRPr="00BD2C13">
        <w:t>ci peuvent opter pour toute forme de logement, comme les logements standard proposés par les autorités locales, qui sont financés par le fonds pour le logement social du Ministère, des locations ou logements privés avec l</w:t>
      </w:r>
      <w:r w:rsidR="00784444">
        <w:t>’</w:t>
      </w:r>
      <w:r w:rsidRPr="00BD2C13">
        <w:t>aide des autorités locales ou d</w:t>
      </w:r>
      <w:r w:rsidR="00784444">
        <w:t>’</w:t>
      </w:r>
      <w:r w:rsidRPr="00BD2C13">
        <w:t>organismes bénévoles, ou encore des logements spécialement destinés à leur communauté intégralement financés par le Ministère. Les logements spécialement conçus pour les gens du voyage incluent les aires d</w:t>
      </w:r>
      <w:r w:rsidR="00784444">
        <w:t>’</w:t>
      </w:r>
      <w:r w:rsidRPr="00BD2C13">
        <w:t>accueil et les terrains familiaux locatifs.</w:t>
      </w:r>
    </w:p>
    <w:p w14:paraId="1C16E72B" w14:textId="77777777" w:rsidR="00A1083E" w:rsidRPr="00BD2C13" w:rsidRDefault="00A1083E" w:rsidP="00A1083E">
      <w:pPr>
        <w:pStyle w:val="SingleTxtG"/>
      </w:pPr>
      <w:r w:rsidRPr="00BD2C13">
        <w:t>234.</w:t>
      </w:r>
      <w:r w:rsidRPr="00BD2C13">
        <w:tab/>
        <w:t>Des fonds importants ont été alloués à l</w:t>
      </w:r>
      <w:r w:rsidR="00784444">
        <w:t>’</w:t>
      </w:r>
      <w:r w:rsidRPr="00BD2C13">
        <w:t>accueil des gens du voyage au cours des dix dernières années. Ainsi, 156,8 millions d</w:t>
      </w:r>
      <w:r w:rsidR="00784444">
        <w:t>’</w:t>
      </w:r>
      <w:r w:rsidRPr="00BD2C13">
        <w:t>euros ont été mis à la disposition des autorités locales pour accueillir les gens du voyage. Toutefois, seulement 67 % de ce financement ont été utilisés par les autorités locales. Au vu de la sous-utilisation par les collectivités locales des fonds alloués à l</w:t>
      </w:r>
      <w:r w:rsidR="00784444">
        <w:t>’</w:t>
      </w:r>
      <w:r w:rsidRPr="00BD2C13">
        <w:t>hébergement des gens du voyage, il est devenu manifeste que leur accueil est devenu difficile ces dernières années.</w:t>
      </w:r>
    </w:p>
    <w:p w14:paraId="35AF2899" w14:textId="798BD483" w:rsidR="00A1083E" w:rsidRPr="00BD2C13" w:rsidRDefault="00A1083E" w:rsidP="00A1083E">
      <w:pPr>
        <w:pStyle w:val="SingleTxtG"/>
      </w:pPr>
      <w:r w:rsidRPr="00BD2C13">
        <w:t>235.</w:t>
      </w:r>
      <w:r w:rsidRPr="00BD2C13">
        <w:tab/>
        <w:t>Un examen du financement en capital et actuel des programmes d</w:t>
      </w:r>
      <w:r w:rsidR="00784444">
        <w:t>’</w:t>
      </w:r>
      <w:r w:rsidRPr="00BD2C13">
        <w:t>hébergement des gens du voyage pour la période 2000 à 2017 a été entrepris afin de donner suite à un engagement pris dans le cadre de « Reconstruire l</w:t>
      </w:r>
      <w:r w:rsidR="00784444">
        <w:t>’</w:t>
      </w:r>
      <w:r w:rsidRPr="00BD2C13">
        <w:t>Irlande », le plan d</w:t>
      </w:r>
      <w:r w:rsidR="00784444">
        <w:t>’</w:t>
      </w:r>
      <w:r w:rsidRPr="00BD2C13">
        <w:t xml:space="preserve">action du Gouvernement sur le logement et le sans-abrisme. </w:t>
      </w:r>
      <w:bookmarkStart w:id="168" w:name="_Hlk37773437"/>
      <w:r w:rsidRPr="00BD2C13">
        <w:t>Cet examen a pris en compte les objectifs énoncés dans les programmes d</w:t>
      </w:r>
      <w:r w:rsidR="00784444">
        <w:t>’</w:t>
      </w:r>
      <w:r w:rsidRPr="00BD2C13">
        <w:t xml:space="preserve">hébergement des gens du voyage des autorités chargées du logement et les unités effectivement mises à leur disposition. </w:t>
      </w:r>
      <w:bookmarkEnd w:id="168"/>
      <w:r w:rsidRPr="00BD2C13">
        <w:t>Dans les cas où les objectifs n</w:t>
      </w:r>
      <w:r w:rsidR="00784444">
        <w:t>’</w:t>
      </w:r>
      <w:r w:rsidRPr="00BD2C13">
        <w:t>ont pas été atteints, l</w:t>
      </w:r>
      <w:r w:rsidR="00784444">
        <w:t>’</w:t>
      </w:r>
      <w:r w:rsidRPr="00BD2C13">
        <w:t>examen a permis d</w:t>
      </w:r>
      <w:r w:rsidR="00784444">
        <w:t>’</w:t>
      </w:r>
      <w:r w:rsidRPr="00BD2C13">
        <w:t>identifier les obstacles qui entravent la mise en œuvre et la gestion de ces programmes. Sur la base de cet examen, le Comité consultatif national pour l</w:t>
      </w:r>
      <w:r w:rsidR="00784444">
        <w:t>’</w:t>
      </w:r>
      <w:r w:rsidRPr="00BD2C13">
        <w:t>accueil des gens du voyage a recommandé la création d</w:t>
      </w:r>
      <w:r w:rsidR="00784444">
        <w:t>’</w:t>
      </w:r>
      <w:r w:rsidRPr="00BD2C13">
        <w:t>un groupe d</w:t>
      </w:r>
      <w:r w:rsidR="00784444">
        <w:t>’</w:t>
      </w:r>
      <w:r w:rsidRPr="00BD2C13">
        <w:t>experts indépendants chargé d</w:t>
      </w:r>
      <w:r w:rsidR="00784444">
        <w:t>’</w:t>
      </w:r>
      <w:r w:rsidRPr="00BD2C13">
        <w:t>examiner la législation relative à l</w:t>
      </w:r>
      <w:r w:rsidR="00784444">
        <w:t>’</w:t>
      </w:r>
      <w:r w:rsidRPr="00BD2C13">
        <w:t xml:space="preserve">hébergement des gens du voyage, </w:t>
      </w:r>
      <w:r w:rsidR="00441BDA">
        <w:t>y compris</w:t>
      </w:r>
      <w:r w:rsidRPr="00BD2C13">
        <w:t xml:space="preserve"> la loi de 1998 sur le logement (hébergement des gens du voyage) et tout autre texte de loi ayant une incidence sur la mise à disposition de logements aux membres de cette communauté.</w:t>
      </w:r>
    </w:p>
    <w:p w14:paraId="1BB55678" w14:textId="77777777" w:rsidR="00A1083E" w:rsidRPr="00BD2C13" w:rsidRDefault="00A1083E" w:rsidP="00A1083E">
      <w:pPr>
        <w:pStyle w:val="SingleTxtG"/>
      </w:pPr>
      <w:r w:rsidRPr="00BD2C13">
        <w:t>236.</w:t>
      </w:r>
      <w:r w:rsidRPr="00BD2C13">
        <w:tab/>
        <w:t>Le groupe d</w:t>
      </w:r>
      <w:r w:rsidR="00784444">
        <w:t>’</w:t>
      </w:r>
      <w:r w:rsidRPr="00BD2C13">
        <w:t>experts indépendants a été créé en septembre 2018. Il est composé de trois membres possédant des connaissances spécialisées dans les domaines de la politique sociale, du droit et de l</w:t>
      </w:r>
      <w:r w:rsidR="00784444">
        <w:t>’</w:t>
      </w:r>
      <w:r w:rsidRPr="00BD2C13">
        <w:t>aménagement du territoire et a pour mandat d</w:t>
      </w:r>
      <w:r w:rsidR="00784444">
        <w:t>’</w:t>
      </w:r>
      <w:r w:rsidRPr="00BD2C13">
        <w:t>examiner l</w:t>
      </w:r>
      <w:r w:rsidR="00784444">
        <w:t>’</w:t>
      </w:r>
      <w:r w:rsidRPr="00BD2C13">
        <w:t>efficacité, la mise en œuvre et le fonctionnement de la législation et de formuler des propositions visant à améliorer son application. Le rapport du groupe d</w:t>
      </w:r>
      <w:r w:rsidR="00784444">
        <w:t>’</w:t>
      </w:r>
      <w:r w:rsidRPr="00BD2C13">
        <w:t>experts a été achevé en juillet 2019 et les recommandations qu</w:t>
      </w:r>
      <w:r w:rsidR="00784444">
        <w:t>’</w:t>
      </w:r>
      <w:r w:rsidRPr="00BD2C13">
        <w:t>il contient seront examinées par le Ministère du logement, de l</w:t>
      </w:r>
      <w:r w:rsidR="00784444">
        <w:t>’</w:t>
      </w:r>
      <w:r w:rsidRPr="00BD2C13">
        <w:t>aménagement du territoire et des collectivités locales en vue d</w:t>
      </w:r>
      <w:r w:rsidR="00784444">
        <w:t>’</w:t>
      </w:r>
      <w:r w:rsidRPr="00BD2C13">
        <w:t>améliorer l</w:t>
      </w:r>
      <w:r w:rsidR="00784444">
        <w:t>’</w:t>
      </w:r>
      <w:r w:rsidRPr="00BD2C13">
        <w:t>offre d</w:t>
      </w:r>
      <w:r w:rsidR="00784444">
        <w:t>’</w:t>
      </w:r>
      <w:r w:rsidRPr="00BD2C13">
        <w:t>hébergement pour les gens du voyage au niveau national et de garantir que le niveau croissant de financement disponible pour l</w:t>
      </w:r>
      <w:r w:rsidR="00784444">
        <w:t>’</w:t>
      </w:r>
      <w:r w:rsidRPr="00BD2C13">
        <w:t>investissement dans des hébergements à leur intention soit pleinement utilisé.</w:t>
      </w:r>
    </w:p>
    <w:p w14:paraId="16C2E7C1" w14:textId="77777777" w:rsidR="00A1083E" w:rsidRPr="00B553E2" w:rsidRDefault="00A1083E" w:rsidP="00A1083E">
      <w:pPr>
        <w:pStyle w:val="SingleTxtG"/>
        <w:rPr>
          <w:spacing w:val="-1"/>
        </w:rPr>
      </w:pPr>
      <w:r w:rsidRPr="00B553E2">
        <w:rPr>
          <w:spacing w:val="-1"/>
        </w:rPr>
        <w:t>237.</w:t>
      </w:r>
      <w:r w:rsidRPr="00B553E2">
        <w:rPr>
          <w:spacing w:val="-1"/>
        </w:rPr>
        <w:tab/>
        <w:t>La santé des gens du voyage et la fourniture des services de santé dont ils ont besoin constituent une priorité pour le Ministère de la santé, qui agit en collaboration avec la Direction des services de santé, et des efforts considérables ont été entrepris dans ce domaine. Un large éventail de services de santé destinés spécifiquement aux gens du voyage, tels que des unités de soins et des projets de soins de santé primaires ont été mis en place.</w:t>
      </w:r>
    </w:p>
    <w:p w14:paraId="4E418664" w14:textId="77777777" w:rsidR="00A1083E" w:rsidRPr="00B553E2" w:rsidRDefault="00A1083E" w:rsidP="00A1083E">
      <w:pPr>
        <w:pStyle w:val="SingleTxtG"/>
        <w:rPr>
          <w:spacing w:val="-1"/>
        </w:rPr>
      </w:pPr>
      <w:r w:rsidRPr="00B553E2">
        <w:rPr>
          <w:spacing w:val="-1"/>
        </w:rPr>
        <w:t>238.</w:t>
      </w:r>
      <w:r w:rsidRPr="00B553E2">
        <w:rPr>
          <w:spacing w:val="-1"/>
        </w:rPr>
        <w:tab/>
        <w:t>Un élément clef de l</w:t>
      </w:r>
      <w:r w:rsidR="00784444" w:rsidRPr="00B553E2">
        <w:rPr>
          <w:spacing w:val="-1"/>
        </w:rPr>
        <w:t>’</w:t>
      </w:r>
      <w:r w:rsidRPr="00B553E2">
        <w:rPr>
          <w:spacing w:val="-1"/>
        </w:rPr>
        <w:t>approche adoptée pour dispenser des services de santé ciblés aux gens du voyage a été la conception d</w:t>
      </w:r>
      <w:r w:rsidR="00784444" w:rsidRPr="00B553E2">
        <w:rPr>
          <w:spacing w:val="-1"/>
        </w:rPr>
        <w:t>’</w:t>
      </w:r>
      <w:r w:rsidRPr="00B553E2">
        <w:rPr>
          <w:spacing w:val="-1"/>
        </w:rPr>
        <w:t>un modèle permettant de les faire participer à la définition des services de santé dont ils ont besoin. Cette initiative s</w:t>
      </w:r>
      <w:r w:rsidR="00784444" w:rsidRPr="00B553E2">
        <w:rPr>
          <w:spacing w:val="-1"/>
        </w:rPr>
        <w:t>’</w:t>
      </w:r>
      <w:r w:rsidRPr="00B553E2">
        <w:rPr>
          <w:spacing w:val="-1"/>
        </w:rPr>
        <w:t>est inscrite dans le cadre des projets de soins de santé primaires pour les gens du voyage qui jouent un rôle essentiel dans la fourniture de services de santé à cette communauté. Ces projets, qui sont des initiatives menées par des pairs, apportent une précieuse contribution à la mise en œuvre de mesures visant à améliorer la situation sanitaire de la communauté des gens du voyage.</w:t>
      </w:r>
    </w:p>
    <w:p w14:paraId="42CD9BC5" w14:textId="77777777" w:rsidR="00A1083E" w:rsidRPr="00B553E2" w:rsidRDefault="00A1083E" w:rsidP="00A1083E">
      <w:pPr>
        <w:pStyle w:val="SingleTxtG"/>
        <w:rPr>
          <w:spacing w:val="-1"/>
        </w:rPr>
      </w:pPr>
      <w:r w:rsidRPr="00B553E2">
        <w:rPr>
          <w:spacing w:val="-1"/>
        </w:rPr>
        <w:t>239.</w:t>
      </w:r>
      <w:r w:rsidRPr="00B553E2">
        <w:rPr>
          <w:spacing w:val="-1"/>
        </w:rPr>
        <w:tab/>
        <w:t xml:space="preserve">Des gens du voyage, principalement des femmes, sont recrutés et formés pour travailler comme agents de santé communautaires dans le cadre de ces projets. Cela permet </w:t>
      </w:r>
      <w:r w:rsidRPr="00B553E2">
        <w:rPr>
          <w:spacing w:val="-1"/>
        </w:rPr>
        <w:lastRenderedPageBreak/>
        <w:t>de mettre en place des services de soins de santé primaires adaptés aux valeurs et perceptions de cette communauté, de façon à obtenir des résultats positifs à long terme en permettant aux individus d</w:t>
      </w:r>
      <w:r w:rsidR="00784444" w:rsidRPr="00B553E2">
        <w:rPr>
          <w:spacing w:val="-1"/>
        </w:rPr>
        <w:t>’</w:t>
      </w:r>
      <w:r w:rsidRPr="00B553E2">
        <w:rPr>
          <w:spacing w:val="-1"/>
        </w:rPr>
        <w:t>améliorer leur état de santé grâce à des décisions éclairées sur les soins de santé, à l</w:t>
      </w:r>
      <w:r w:rsidR="00784444" w:rsidRPr="00B553E2">
        <w:rPr>
          <w:spacing w:val="-1"/>
        </w:rPr>
        <w:t>’</w:t>
      </w:r>
      <w:proofErr w:type="spellStart"/>
      <w:r w:rsidRPr="00B553E2">
        <w:rPr>
          <w:spacing w:val="-1"/>
        </w:rPr>
        <w:t>autoprise</w:t>
      </w:r>
      <w:proofErr w:type="spellEnd"/>
      <w:r w:rsidRPr="00B553E2">
        <w:rPr>
          <w:spacing w:val="-1"/>
        </w:rPr>
        <w:t xml:space="preserve"> en charge et à l</w:t>
      </w:r>
      <w:r w:rsidR="00784444" w:rsidRPr="00B553E2">
        <w:rPr>
          <w:spacing w:val="-1"/>
        </w:rPr>
        <w:t>’</w:t>
      </w:r>
      <w:r w:rsidRPr="00B553E2">
        <w:rPr>
          <w:spacing w:val="-1"/>
        </w:rPr>
        <w:t>entraide. Il est reconnu que les communautés de gens du voyage retirent des bénéfices considérables et concrets de ce type de projets.</w:t>
      </w:r>
    </w:p>
    <w:p w14:paraId="64DDAE8E" w14:textId="77777777" w:rsidR="00A1083E" w:rsidRPr="00BD2C13" w:rsidRDefault="00A1083E" w:rsidP="00A1083E">
      <w:pPr>
        <w:pStyle w:val="SingleTxtG"/>
      </w:pPr>
      <w:bookmarkStart w:id="169" w:name="_Hlk31371931"/>
      <w:r w:rsidRPr="00BD2C13">
        <w:t>240.</w:t>
      </w:r>
      <w:r w:rsidRPr="00BD2C13">
        <w:tab/>
        <w:t>L</w:t>
      </w:r>
      <w:r w:rsidR="00784444">
        <w:t>’</w:t>
      </w:r>
      <w:r w:rsidRPr="00BD2C13">
        <w:t>une des principales actions en matière de santé prévues dans le cadre de la Stratégie nationale pour l</w:t>
      </w:r>
      <w:r w:rsidR="00784444">
        <w:t>’</w:t>
      </w:r>
      <w:r w:rsidRPr="00BD2C13">
        <w:t>inclusion des Roms et des gens du voyage est l</w:t>
      </w:r>
      <w:r w:rsidR="00784444">
        <w:t>’</w:t>
      </w:r>
      <w:r w:rsidRPr="00BD2C13">
        <w:t xml:space="preserve">action </w:t>
      </w:r>
      <w:r w:rsidRPr="00BD2C13">
        <w:rPr>
          <w:rFonts w:eastAsia="MS Mincho"/>
          <w:szCs w:val="22"/>
        </w:rPr>
        <w:t>n</w:t>
      </w:r>
      <w:r w:rsidRPr="00BD2C13">
        <w:rPr>
          <w:rFonts w:eastAsia="MS Mincho"/>
          <w:szCs w:val="22"/>
          <w:vertAlign w:val="superscript"/>
        </w:rPr>
        <w:t>o</w:t>
      </w:r>
      <w:r w:rsidRPr="00BD2C13">
        <w:t> 73, qui vise à élaborer et à mettre en œuvre un plan d</w:t>
      </w:r>
      <w:r w:rsidR="00784444">
        <w:t>’</w:t>
      </w:r>
      <w:r w:rsidRPr="00BD2C13">
        <w:t>action détaillé pour répondre aux besoins de santé des gens du voyage, en utilisant une approche fondée sur les déterminants sociaux. L</w:t>
      </w:r>
      <w:r w:rsidR="00784444">
        <w:t>’</w:t>
      </w:r>
      <w:r w:rsidRPr="00BD2C13">
        <w:t>élaboration du plan d</w:t>
      </w:r>
      <w:r w:rsidR="00784444">
        <w:t>’</w:t>
      </w:r>
      <w:r w:rsidRPr="00BD2C13">
        <w:t>action revient principalement à la Direction des services de santé, qui s</w:t>
      </w:r>
      <w:r w:rsidR="00784444">
        <w:t>’</w:t>
      </w:r>
      <w:r w:rsidRPr="00BD2C13">
        <w:t>est engagée à la mener à son terme d</w:t>
      </w:r>
      <w:r w:rsidR="00784444">
        <w:t>’</w:t>
      </w:r>
      <w:r w:rsidRPr="00BD2C13">
        <w:t>ici au quatrième trimestre 2019, en consultation avec toutes les parties prenantes.</w:t>
      </w:r>
    </w:p>
    <w:p w14:paraId="277E5D32" w14:textId="77777777" w:rsidR="00A1083E" w:rsidRPr="00BD2C13" w:rsidRDefault="00A1083E" w:rsidP="00A1083E">
      <w:pPr>
        <w:pStyle w:val="H4G"/>
      </w:pPr>
      <w:bookmarkStart w:id="170" w:name="_Toc17908597"/>
      <w:bookmarkEnd w:id="169"/>
      <w:r w:rsidRPr="00BD2C13">
        <w:tab/>
      </w:r>
      <w:r w:rsidRPr="00BD2C13">
        <w:tab/>
      </w:r>
      <w:bookmarkEnd w:id="170"/>
      <w:r w:rsidRPr="00BD2C13">
        <w:t>Système de protection internationale</w:t>
      </w:r>
    </w:p>
    <w:p w14:paraId="35CA1850" w14:textId="77777777" w:rsidR="00A1083E" w:rsidRPr="00BD2C13" w:rsidRDefault="00A1083E" w:rsidP="00A1083E">
      <w:pPr>
        <w:pStyle w:val="SingleTxtG"/>
      </w:pPr>
      <w:r w:rsidRPr="00BD2C13">
        <w:t>241.</w:t>
      </w:r>
      <w:r w:rsidRPr="00BD2C13">
        <w:tab/>
        <w:t>En Irlande, le système de protection internationale repose sur un certain nombre de principes fondamentaux, à savoir :</w:t>
      </w:r>
    </w:p>
    <w:p w14:paraId="2513840A" w14:textId="77777777" w:rsidR="00A1083E" w:rsidRPr="00BD2C13" w:rsidRDefault="00A1083E" w:rsidP="00A1083E">
      <w:pPr>
        <w:pStyle w:val="SingleTxtG"/>
        <w:ind w:firstLine="567"/>
      </w:pPr>
      <w:r w:rsidRPr="00BD2C13">
        <w:t>a)</w:t>
      </w:r>
      <w:r w:rsidRPr="00BD2C13">
        <w:tab/>
        <w:t>S</w:t>
      </w:r>
      <w:r w:rsidR="00784444">
        <w:t>’</w:t>
      </w:r>
      <w:r w:rsidRPr="00BD2C13">
        <w:t>acquitter des obligations découlant des instruments internationaux auxquels l</w:t>
      </w:r>
      <w:r w:rsidR="00784444">
        <w:t>’</w:t>
      </w:r>
      <w:r w:rsidRPr="00BD2C13">
        <w:t>Irlande est partie, tels que la Convention de 1951 relative au statut des réfugiés ;</w:t>
      </w:r>
    </w:p>
    <w:p w14:paraId="78BD3857" w14:textId="77777777" w:rsidR="00A1083E" w:rsidRPr="00BD2C13" w:rsidRDefault="00A1083E" w:rsidP="00A1083E">
      <w:pPr>
        <w:pStyle w:val="SingleTxtG"/>
        <w:ind w:firstLine="567"/>
      </w:pPr>
      <w:r w:rsidRPr="00BD2C13">
        <w:t>b)</w:t>
      </w:r>
      <w:r w:rsidRPr="00BD2C13">
        <w:tab/>
        <w:t>Faire en sorte que les personnes considérées comme n</w:t>
      </w:r>
      <w:r w:rsidR="00784444">
        <w:t>’</w:t>
      </w:r>
      <w:r w:rsidRPr="00BD2C13">
        <w:t>ayant pas besoin d</w:t>
      </w:r>
      <w:r w:rsidR="00784444">
        <w:t>’</w:t>
      </w:r>
      <w:r w:rsidRPr="00BD2C13">
        <w:t>une protection internationale, après un processus d</w:t>
      </w:r>
      <w:r w:rsidR="00784444">
        <w:t>’</w:t>
      </w:r>
      <w:r w:rsidRPr="00BD2C13">
        <w:t>examen équitable et efficace de leur demande, soient renvoyées dans leur pays d</w:t>
      </w:r>
      <w:r w:rsidR="00784444">
        <w:t>’</w:t>
      </w:r>
      <w:r w:rsidRPr="00BD2C13">
        <w:t>origine aussi rapidement que possible ;</w:t>
      </w:r>
    </w:p>
    <w:p w14:paraId="0E27511A" w14:textId="77777777" w:rsidR="00A1083E" w:rsidRPr="00BD2C13" w:rsidRDefault="00A1083E" w:rsidP="00A1083E">
      <w:pPr>
        <w:pStyle w:val="SingleTxtG"/>
        <w:ind w:firstLine="567"/>
      </w:pPr>
      <w:r w:rsidRPr="00BD2C13">
        <w:t>c)</w:t>
      </w:r>
      <w:r w:rsidRPr="00BD2C13">
        <w:tab/>
        <w:t>Veiller à ce que de</w:t>
      </w:r>
      <w:r w:rsidR="008625F0">
        <w:t>s</w:t>
      </w:r>
      <w:r w:rsidRPr="00BD2C13">
        <w:t xml:space="preserve"> systèmes efficaces soient en place pour éviter que les personnes entrant dans le pays pour des raisons autres que le bénéfice d</w:t>
      </w:r>
      <w:r w:rsidR="00784444">
        <w:t>’</w:t>
      </w:r>
      <w:r w:rsidRPr="00BD2C13">
        <w:t>une protection contre la persécution abusent du système de protection.</w:t>
      </w:r>
    </w:p>
    <w:p w14:paraId="155F10B7" w14:textId="77777777" w:rsidR="00A1083E" w:rsidRPr="00BD2C13" w:rsidRDefault="00A1083E" w:rsidP="00A1083E">
      <w:pPr>
        <w:pStyle w:val="SingleTxtG"/>
      </w:pPr>
      <w:r w:rsidRPr="00BD2C13">
        <w:t>242.</w:t>
      </w:r>
      <w:r w:rsidRPr="00BD2C13">
        <w:tab/>
        <w:t>Le traitement des demandes d</w:t>
      </w:r>
      <w:r w:rsidR="00784444">
        <w:t>’</w:t>
      </w:r>
      <w:r w:rsidRPr="00BD2C13">
        <w:t>asile et d</w:t>
      </w:r>
      <w:r w:rsidR="00784444">
        <w:t>’</w:t>
      </w:r>
      <w:r w:rsidRPr="00BD2C13">
        <w:t>autorisation de rester sur le territoire est régi par un cadre juridique national et international bien défini (Convention de 1951 relative au statut des réfugiés, directives et règlements de l</w:t>
      </w:r>
      <w:r w:rsidR="00784444">
        <w:t>’</w:t>
      </w:r>
      <w:r w:rsidRPr="00BD2C13">
        <w:t xml:space="preserve">UE) auquel il est impératif de se conformer. </w:t>
      </w:r>
      <w:bookmarkStart w:id="171" w:name="_Hlk37773989"/>
      <w:r w:rsidRPr="00BD2C13">
        <w:t xml:space="preserve">Par conséquent, toutes les demandes de statut de réfugié sont examinées conformément aux dispositions de la loi de 1996 sur les réfugiés et des différents textes réglementaires régissant leur traitement. </w:t>
      </w:r>
      <w:bookmarkEnd w:id="171"/>
      <w:r w:rsidRPr="00BD2C13">
        <w:t>Lorsqu</w:t>
      </w:r>
      <w:r w:rsidR="00784444">
        <w:t>’</w:t>
      </w:r>
      <w:r w:rsidRPr="00BD2C13">
        <w:t>il est établi qu</w:t>
      </w:r>
      <w:r w:rsidR="00784444">
        <w:t>’</w:t>
      </w:r>
      <w:r w:rsidRPr="00BD2C13">
        <w:t>il existe une crainte bien fondée de persécution, le demandeur se voit accorder le statut de réfugié ou une protection subsidiaire, selon le cas.</w:t>
      </w:r>
    </w:p>
    <w:p w14:paraId="7B10EDC8" w14:textId="77777777" w:rsidR="00A1083E" w:rsidRPr="00BD2C13" w:rsidRDefault="00A1083E" w:rsidP="00A1083E">
      <w:pPr>
        <w:pStyle w:val="SingleTxtG"/>
      </w:pPr>
      <w:bookmarkStart w:id="172" w:name="_Hlk31371949"/>
      <w:r w:rsidRPr="00BD2C13">
        <w:t>243.</w:t>
      </w:r>
      <w:r w:rsidRPr="00BD2C13">
        <w:tab/>
        <w:t>La loi de</w:t>
      </w:r>
      <w:r w:rsidR="007A54A8">
        <w:t xml:space="preserve"> </w:t>
      </w:r>
      <w:r w:rsidRPr="00BD2C13">
        <w:t>2015 sur la protection internationale est entrée en vigueur le 31 décembre 2016. Elle prévoit une procédure unique de demande de protection en lieu et place de la procédure de demande prévue par la loi abrogée de 1996 sur les réfugiés. Cette loi simplifie et rationalise les dispositions relatives à la protection internationale existantes en Irlande. La loi a introduit une procédure de demande unique, qui permet de déterminer tous les motifs d</w:t>
      </w:r>
      <w:r w:rsidR="00784444">
        <w:t>’</w:t>
      </w:r>
      <w:r w:rsidRPr="00BD2C13">
        <w:t>examen et de décision applicables à l</w:t>
      </w:r>
      <w:r w:rsidR="00784444">
        <w:t>’</w:t>
      </w:r>
      <w:r w:rsidRPr="00BD2C13">
        <w:t>ensemble des demandes de protection internationale (statut de réfugié et protection subsidiaire) ou d</w:t>
      </w:r>
      <w:r w:rsidR="00784444">
        <w:t>’</w:t>
      </w:r>
      <w:r w:rsidRPr="00BD2C13">
        <w:t>autorisation de rester sur le territoire pour d</w:t>
      </w:r>
      <w:r w:rsidR="00784444">
        <w:t>’</w:t>
      </w:r>
      <w:r w:rsidRPr="00BD2C13">
        <w:t>autres raisons humanitaires, en lieu et place de la procédure de demande en plusieurs étapes comme c</w:t>
      </w:r>
      <w:r w:rsidR="00784444">
        <w:t>’</w:t>
      </w:r>
      <w:r w:rsidRPr="00BD2C13">
        <w:t>était le cas auparavant.</w:t>
      </w:r>
    </w:p>
    <w:p w14:paraId="537EFF6D" w14:textId="77777777" w:rsidR="00A1083E" w:rsidRPr="00BD2C13" w:rsidRDefault="00A1083E" w:rsidP="00A1083E">
      <w:pPr>
        <w:pStyle w:val="SingleTxtG"/>
      </w:pPr>
      <w:r w:rsidRPr="00BD2C13">
        <w:t>244.</w:t>
      </w:r>
      <w:r w:rsidRPr="00BD2C13">
        <w:tab/>
        <w:t>La loi de 2015 sur la protection internationale a porté création de deux organes chargés de formuler des recommandations au Ministère de la justice et de l</w:t>
      </w:r>
      <w:r w:rsidR="00784444">
        <w:t>’</w:t>
      </w:r>
      <w:r w:rsidRPr="00BD2C13">
        <w:t>égalité sur l</w:t>
      </w:r>
      <w:r w:rsidR="00784444">
        <w:t>’</w:t>
      </w:r>
      <w:r w:rsidRPr="00BD2C13">
        <w:t>opportunité d</w:t>
      </w:r>
      <w:r w:rsidR="00784444">
        <w:t>’</w:t>
      </w:r>
      <w:r w:rsidRPr="00BD2C13">
        <w:t>accorder une protection internationale. Ces organes sont :</w:t>
      </w:r>
    </w:p>
    <w:p w14:paraId="4A19D67C" w14:textId="77777777" w:rsidR="00A1083E" w:rsidRPr="00BD2C13" w:rsidRDefault="00A1083E" w:rsidP="00A1083E">
      <w:pPr>
        <w:pStyle w:val="SingleTxtG"/>
        <w:ind w:firstLine="567"/>
      </w:pPr>
      <w:r w:rsidRPr="00BD2C13">
        <w:t>a)</w:t>
      </w:r>
      <w:r w:rsidRPr="00BD2C13">
        <w:tab/>
        <w:t>L</w:t>
      </w:r>
      <w:r w:rsidR="00784444">
        <w:t>’</w:t>
      </w:r>
      <w:r w:rsidRPr="00BD2C13">
        <w:t>Office de la protection internationale qui traite les demandes en première instance ;</w:t>
      </w:r>
    </w:p>
    <w:p w14:paraId="5C461D60" w14:textId="77777777" w:rsidR="00A1083E" w:rsidRPr="00BD2C13" w:rsidRDefault="00A1083E" w:rsidP="00A1083E">
      <w:pPr>
        <w:pStyle w:val="SingleTxtG"/>
        <w:ind w:firstLine="567"/>
      </w:pPr>
      <w:r w:rsidRPr="00BD2C13">
        <w:t>b)</w:t>
      </w:r>
      <w:r w:rsidRPr="00BD2C13">
        <w:tab/>
        <w:t>Le Tribunal d</w:t>
      </w:r>
      <w:r w:rsidR="00784444">
        <w:t>’</w:t>
      </w:r>
      <w:r w:rsidRPr="00BD2C13">
        <w:t>appel en matière de protection internationale, un organe</w:t>
      </w:r>
      <w:r w:rsidR="007A54A8">
        <w:t xml:space="preserve"> </w:t>
      </w:r>
      <w:r w:rsidRPr="00BD2C13">
        <w:t>indépendant qui examine les recours contre les décisions négatives de l</w:t>
      </w:r>
      <w:r w:rsidR="00784444">
        <w:t>’</w:t>
      </w:r>
      <w:r w:rsidRPr="00BD2C13">
        <w:t>Office de la protection internationale.</w:t>
      </w:r>
    </w:p>
    <w:p w14:paraId="08E1CCE9" w14:textId="77777777" w:rsidR="00A1083E" w:rsidRPr="00BD2C13" w:rsidRDefault="00A1083E" w:rsidP="00A1083E">
      <w:pPr>
        <w:pStyle w:val="SingleTxtG"/>
      </w:pPr>
      <w:r w:rsidRPr="00BD2C13">
        <w:t>245.</w:t>
      </w:r>
      <w:r w:rsidRPr="00BD2C13">
        <w:tab/>
        <w:t>Sur recommandation de l</w:t>
      </w:r>
      <w:r w:rsidR="00784444">
        <w:t>’</w:t>
      </w:r>
      <w:r w:rsidRPr="00BD2C13">
        <w:t>Office de la protection internationale ou du Tribunal d</w:t>
      </w:r>
      <w:r w:rsidR="00784444">
        <w:t>’</w:t>
      </w:r>
      <w:r w:rsidRPr="00BD2C13">
        <w:t>appel en matière de protection internationale, le Ministère de la justice et de l</w:t>
      </w:r>
      <w:r w:rsidR="00784444">
        <w:t>’</w:t>
      </w:r>
      <w:r w:rsidRPr="00BD2C13">
        <w:t>égalité décide s</w:t>
      </w:r>
      <w:r w:rsidR="00784444">
        <w:t>’</w:t>
      </w:r>
      <w:r w:rsidRPr="00BD2C13">
        <w:t>il y a lieu d</w:t>
      </w:r>
      <w:r w:rsidR="00784444">
        <w:t>’</w:t>
      </w:r>
      <w:r w:rsidRPr="00BD2C13">
        <w:t>accorder le statut de réfugié, une protection subsidiaire ou de rejeter la demande.</w:t>
      </w:r>
    </w:p>
    <w:p w14:paraId="597EC2BC" w14:textId="77777777" w:rsidR="00A1083E" w:rsidRPr="00BD2C13" w:rsidRDefault="00A1083E" w:rsidP="00A1083E">
      <w:pPr>
        <w:pStyle w:val="SingleTxtG"/>
      </w:pPr>
      <w:r w:rsidRPr="00BD2C13">
        <w:lastRenderedPageBreak/>
        <w:t>246.</w:t>
      </w:r>
      <w:r w:rsidRPr="00BD2C13">
        <w:tab/>
        <w:t>En 2017, l</w:t>
      </w:r>
      <w:r w:rsidR="00784444">
        <w:t>’</w:t>
      </w:r>
      <w:r w:rsidRPr="00BD2C13">
        <w:t>Office de la protection internationale a mis en place de nouvelles procédures et en particulier des dispositions transitoires. Le responsable en chef de la protection internationale a accordé la priorité à certaines catégories de demandes en vertu de l</w:t>
      </w:r>
      <w:r w:rsidR="00784444">
        <w:t>’</w:t>
      </w:r>
      <w:r w:rsidRPr="00BD2C13">
        <w:t>article</w:t>
      </w:r>
      <w:r w:rsidR="008329A3" w:rsidRPr="00BD2C13">
        <w:t> </w:t>
      </w:r>
      <w:r w:rsidRPr="00BD2C13">
        <w:t>73 de la loi de 2015 sur la protection internationale, qui a établi un système à deux niveaux pour hiérarchiser les entretiens avec les demandeurs en fonction de leur âge, de la probabilité que leur demande soit fondée et des aspects sanitaires.</w:t>
      </w:r>
    </w:p>
    <w:p w14:paraId="6F019A0F" w14:textId="77777777" w:rsidR="00A1083E" w:rsidRPr="00BD2C13" w:rsidRDefault="00A1083E" w:rsidP="00A1083E">
      <w:pPr>
        <w:pStyle w:val="SingleTxtG"/>
      </w:pPr>
      <w:r w:rsidRPr="00BD2C13">
        <w:t>247.</w:t>
      </w:r>
      <w:r w:rsidRPr="00BD2C13">
        <w:tab/>
        <w:t>Le champ d</w:t>
      </w:r>
      <w:r w:rsidR="00784444">
        <w:t>’</w:t>
      </w:r>
      <w:r w:rsidRPr="00BD2C13">
        <w:t>application de la loi est large et, outre le traitement des décisions de première instance et des recours, il s</w:t>
      </w:r>
      <w:r w:rsidR="00784444">
        <w:t>’</w:t>
      </w:r>
      <w:r w:rsidRPr="00BD2C13">
        <w:t>étend également au droit d</w:t>
      </w:r>
      <w:r w:rsidR="00784444">
        <w:t>’</w:t>
      </w:r>
      <w:r w:rsidRPr="00BD2C13">
        <w:t>être représenté par un avocat et au droit à des services d</w:t>
      </w:r>
      <w:r w:rsidR="00784444">
        <w:t>’</w:t>
      </w:r>
      <w:r w:rsidRPr="00BD2C13">
        <w:t xml:space="preserve">interprétation. La loi prévoit aussi spécifiquement la contribution directe du Haut-Commissariat des Nations </w:t>
      </w:r>
      <w:r w:rsidR="00B553E2">
        <w:t>U</w:t>
      </w:r>
      <w:r w:rsidRPr="00BD2C13">
        <w:t>nies pour les réfugiés au processus de détermination de la protection internationale.</w:t>
      </w:r>
    </w:p>
    <w:bookmarkEnd w:id="172"/>
    <w:p w14:paraId="2B8023A4" w14:textId="77777777" w:rsidR="00A1083E" w:rsidRPr="00BD2C13" w:rsidRDefault="00A1083E" w:rsidP="00A1083E">
      <w:pPr>
        <w:pStyle w:val="SingleTxtG"/>
      </w:pPr>
      <w:r w:rsidRPr="00BD2C13">
        <w:t>248.</w:t>
      </w:r>
      <w:r w:rsidRPr="00BD2C13">
        <w:tab/>
        <w:t>La Commission d</w:t>
      </w:r>
      <w:r w:rsidR="00784444">
        <w:t>’</w:t>
      </w:r>
      <w:r w:rsidRPr="00BD2C13">
        <w:t>aide juridictionnelle a un service spécialisé qui fournit en toute indépendance des conseils et une assistance juridiques confidentiels aux personnes qui demandent l</w:t>
      </w:r>
      <w:r w:rsidR="00784444">
        <w:t>’</w:t>
      </w:r>
      <w:r w:rsidRPr="00BD2C13">
        <w:t>asile en Irlande, à toutes les étapes de la procédure. Les demandeurs peuvent s</w:t>
      </w:r>
      <w:r w:rsidR="00784444">
        <w:t>’</w:t>
      </w:r>
      <w:r w:rsidRPr="00BD2C13">
        <w:t>inscrire auprès de la Commission à n</w:t>
      </w:r>
      <w:r w:rsidR="00784444">
        <w:t>’</w:t>
      </w:r>
      <w:r w:rsidRPr="00BD2C13">
        <w:t>importe quel stade de la procédure d</w:t>
      </w:r>
      <w:r w:rsidR="00784444">
        <w:t>’</w:t>
      </w:r>
      <w:r w:rsidRPr="00BD2C13">
        <w:t>asile (demande initiale, appel ou étape qui suit la décision sur la demande d</w:t>
      </w:r>
      <w:r w:rsidR="00784444">
        <w:t>’</w:t>
      </w:r>
      <w:r w:rsidRPr="00BD2C13">
        <w:t>asile) pour des questions telles que les demandes de titre de séjour pour motif humanitaire.</w:t>
      </w:r>
    </w:p>
    <w:p w14:paraId="6DE41D85" w14:textId="77777777" w:rsidR="006D42F6" w:rsidRPr="00BD2C13" w:rsidRDefault="00A1083E" w:rsidP="00A1083E">
      <w:pPr>
        <w:pStyle w:val="SingleTxtG"/>
      </w:pPr>
      <w:r w:rsidRPr="00BD2C13">
        <w:t>249.</w:t>
      </w:r>
      <w:r w:rsidRPr="00BD2C13">
        <w:tab/>
        <w:t>Le tableau ci-dessous indique le nombre de demandes d</w:t>
      </w:r>
      <w:r w:rsidR="00784444">
        <w:t>’</w:t>
      </w:r>
      <w:r w:rsidRPr="00BD2C13">
        <w:t>asile reçues annuellement depuis 2003. Le nombre de demandes diminue chaque année depuis 2002, année au cours de laquelle il avait culminé à 11 634. Le nombre de demandes a chuté en 2013 pour s</w:t>
      </w:r>
      <w:r w:rsidR="00784444">
        <w:t>’</w:t>
      </w:r>
      <w:r w:rsidRPr="00BD2C13">
        <w:t>établir à 946, avant d</w:t>
      </w:r>
      <w:r w:rsidR="00784444">
        <w:t>’</w:t>
      </w:r>
      <w:r w:rsidRPr="00BD2C13">
        <w:t>augmenter à nouveau à partir de 2014. Quelque 324 demandes reçues en 2018 et 524 reçues en 2017 émanaient de demandeurs de protection internationale transférés en Irlande en vertu des décisions de l</w:t>
      </w:r>
      <w:r w:rsidR="00784444">
        <w:t>’</w:t>
      </w:r>
      <w:r w:rsidRPr="00BD2C13">
        <w:t>UE en matière de relocalisation. Exclusion faite des cas de relocalisation, le nombre de demandes a augmenté de 39 % en 2018, comparativement à 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228"/>
        <w:gridCol w:w="1227"/>
        <w:gridCol w:w="1229"/>
        <w:gridCol w:w="1229"/>
        <w:gridCol w:w="1229"/>
      </w:tblGrid>
      <w:tr w:rsidR="003E175F" w:rsidRPr="00BD2C13" w14:paraId="348E9012" w14:textId="77777777" w:rsidTr="003E175F">
        <w:tc>
          <w:tcPr>
            <w:tcW w:w="1228" w:type="dxa"/>
            <w:tcBorders>
              <w:top w:val="single" w:sz="4" w:space="0" w:color="auto"/>
            </w:tcBorders>
            <w:shd w:val="clear" w:color="auto" w:fill="auto"/>
            <w:vAlign w:val="bottom"/>
          </w:tcPr>
          <w:p w14:paraId="634D7A70" w14:textId="77777777" w:rsidR="003E175F" w:rsidRPr="00B553E2" w:rsidRDefault="003E175F" w:rsidP="007F3BC0">
            <w:pPr>
              <w:suppressAutoHyphens w:val="0"/>
              <w:spacing w:before="40" w:after="120"/>
            </w:pPr>
            <w:r w:rsidRPr="00B553E2">
              <w:t>2003</w:t>
            </w:r>
          </w:p>
        </w:tc>
        <w:tc>
          <w:tcPr>
            <w:tcW w:w="1228" w:type="dxa"/>
            <w:tcBorders>
              <w:top w:val="single" w:sz="4" w:space="0" w:color="auto"/>
            </w:tcBorders>
            <w:shd w:val="clear" w:color="auto" w:fill="auto"/>
            <w:vAlign w:val="bottom"/>
          </w:tcPr>
          <w:p w14:paraId="2E5F1619" w14:textId="77777777" w:rsidR="003E175F" w:rsidRPr="00B553E2" w:rsidRDefault="003E175F" w:rsidP="007F3BC0">
            <w:pPr>
              <w:suppressAutoHyphens w:val="0"/>
              <w:spacing w:before="40" w:after="120"/>
              <w:jc w:val="right"/>
            </w:pPr>
            <w:r w:rsidRPr="00B553E2">
              <w:t>7 900</w:t>
            </w:r>
          </w:p>
        </w:tc>
        <w:tc>
          <w:tcPr>
            <w:tcW w:w="1227" w:type="dxa"/>
            <w:tcBorders>
              <w:top w:val="single" w:sz="4" w:space="0" w:color="auto"/>
            </w:tcBorders>
            <w:shd w:val="clear" w:color="auto" w:fill="auto"/>
            <w:vAlign w:val="bottom"/>
          </w:tcPr>
          <w:p w14:paraId="10DF76C8" w14:textId="77777777" w:rsidR="003E175F" w:rsidRPr="00B553E2" w:rsidRDefault="003E175F" w:rsidP="007F3BC0">
            <w:pPr>
              <w:suppressAutoHyphens w:val="0"/>
              <w:spacing w:before="40" w:after="120"/>
              <w:jc w:val="right"/>
            </w:pPr>
            <w:r w:rsidRPr="00B553E2">
              <w:t>2008</w:t>
            </w:r>
          </w:p>
        </w:tc>
        <w:tc>
          <w:tcPr>
            <w:tcW w:w="1229" w:type="dxa"/>
            <w:tcBorders>
              <w:top w:val="single" w:sz="4" w:space="0" w:color="auto"/>
            </w:tcBorders>
            <w:shd w:val="clear" w:color="auto" w:fill="auto"/>
            <w:vAlign w:val="bottom"/>
          </w:tcPr>
          <w:p w14:paraId="67DC84E3" w14:textId="77777777" w:rsidR="003E175F" w:rsidRPr="00B553E2" w:rsidRDefault="003E175F" w:rsidP="007F3BC0">
            <w:pPr>
              <w:suppressAutoHyphens w:val="0"/>
              <w:spacing w:before="40" w:after="120"/>
              <w:jc w:val="right"/>
            </w:pPr>
            <w:r w:rsidRPr="00B553E2">
              <w:t>3 866</w:t>
            </w:r>
          </w:p>
        </w:tc>
        <w:tc>
          <w:tcPr>
            <w:tcW w:w="1229" w:type="dxa"/>
            <w:tcBorders>
              <w:top w:val="single" w:sz="4" w:space="0" w:color="auto"/>
            </w:tcBorders>
            <w:shd w:val="clear" w:color="auto" w:fill="auto"/>
            <w:vAlign w:val="bottom"/>
          </w:tcPr>
          <w:p w14:paraId="11E2D514" w14:textId="77777777" w:rsidR="003E175F" w:rsidRPr="00B553E2" w:rsidRDefault="003E175F" w:rsidP="007F3BC0">
            <w:pPr>
              <w:suppressAutoHyphens w:val="0"/>
              <w:spacing w:before="40" w:after="120"/>
              <w:jc w:val="right"/>
            </w:pPr>
            <w:r w:rsidRPr="00B553E2">
              <w:t>2013</w:t>
            </w:r>
          </w:p>
        </w:tc>
        <w:tc>
          <w:tcPr>
            <w:tcW w:w="1229" w:type="dxa"/>
            <w:tcBorders>
              <w:top w:val="single" w:sz="4" w:space="0" w:color="auto"/>
            </w:tcBorders>
            <w:shd w:val="clear" w:color="auto" w:fill="auto"/>
            <w:vAlign w:val="bottom"/>
          </w:tcPr>
          <w:p w14:paraId="46152739" w14:textId="77777777" w:rsidR="003E175F" w:rsidRPr="00B553E2" w:rsidRDefault="003E175F" w:rsidP="007F3BC0">
            <w:pPr>
              <w:suppressAutoHyphens w:val="0"/>
              <w:spacing w:before="40" w:after="120"/>
              <w:jc w:val="right"/>
            </w:pPr>
            <w:r w:rsidRPr="00B553E2">
              <w:t>946</w:t>
            </w:r>
          </w:p>
        </w:tc>
      </w:tr>
      <w:tr w:rsidR="003E175F" w:rsidRPr="00BD2C13" w14:paraId="675BE25A" w14:textId="77777777" w:rsidTr="003E175F">
        <w:tc>
          <w:tcPr>
            <w:tcW w:w="1228" w:type="dxa"/>
            <w:shd w:val="clear" w:color="auto" w:fill="auto"/>
          </w:tcPr>
          <w:p w14:paraId="5C39DEA0" w14:textId="77777777" w:rsidR="003E175F" w:rsidRPr="00B553E2" w:rsidRDefault="003E175F" w:rsidP="007F3BC0">
            <w:pPr>
              <w:suppressAutoHyphens w:val="0"/>
              <w:spacing w:before="40" w:after="120"/>
            </w:pPr>
            <w:r w:rsidRPr="00B553E2">
              <w:t>2004</w:t>
            </w:r>
          </w:p>
        </w:tc>
        <w:tc>
          <w:tcPr>
            <w:tcW w:w="1228" w:type="dxa"/>
            <w:shd w:val="clear" w:color="auto" w:fill="auto"/>
            <w:vAlign w:val="bottom"/>
          </w:tcPr>
          <w:p w14:paraId="331E8308" w14:textId="77777777" w:rsidR="003E175F" w:rsidRPr="00B553E2" w:rsidRDefault="003E175F" w:rsidP="007F3BC0">
            <w:pPr>
              <w:suppressAutoHyphens w:val="0"/>
              <w:spacing w:before="40" w:after="120"/>
              <w:jc w:val="right"/>
            </w:pPr>
            <w:r w:rsidRPr="00B553E2">
              <w:t>4 766</w:t>
            </w:r>
          </w:p>
        </w:tc>
        <w:tc>
          <w:tcPr>
            <w:tcW w:w="1227" w:type="dxa"/>
            <w:shd w:val="clear" w:color="auto" w:fill="auto"/>
            <w:vAlign w:val="bottom"/>
          </w:tcPr>
          <w:p w14:paraId="34959AC1" w14:textId="77777777" w:rsidR="003E175F" w:rsidRPr="00B553E2" w:rsidRDefault="003E175F" w:rsidP="007F3BC0">
            <w:pPr>
              <w:suppressAutoHyphens w:val="0"/>
              <w:spacing w:before="40" w:after="120"/>
              <w:jc w:val="right"/>
            </w:pPr>
            <w:r w:rsidRPr="00B553E2">
              <w:t>2009</w:t>
            </w:r>
          </w:p>
        </w:tc>
        <w:tc>
          <w:tcPr>
            <w:tcW w:w="1229" w:type="dxa"/>
            <w:shd w:val="clear" w:color="auto" w:fill="auto"/>
            <w:vAlign w:val="bottom"/>
          </w:tcPr>
          <w:p w14:paraId="6A5EB793" w14:textId="77777777" w:rsidR="003E175F" w:rsidRPr="00B553E2" w:rsidRDefault="003E175F" w:rsidP="007F3BC0">
            <w:pPr>
              <w:suppressAutoHyphens w:val="0"/>
              <w:spacing w:before="40" w:after="120"/>
              <w:jc w:val="right"/>
            </w:pPr>
            <w:r w:rsidRPr="00B553E2">
              <w:t>2 689</w:t>
            </w:r>
          </w:p>
        </w:tc>
        <w:tc>
          <w:tcPr>
            <w:tcW w:w="1229" w:type="dxa"/>
            <w:shd w:val="clear" w:color="auto" w:fill="auto"/>
            <w:vAlign w:val="bottom"/>
          </w:tcPr>
          <w:p w14:paraId="4EB57DF5" w14:textId="77777777" w:rsidR="003E175F" w:rsidRPr="00B553E2" w:rsidRDefault="003E175F" w:rsidP="007F3BC0">
            <w:pPr>
              <w:suppressAutoHyphens w:val="0"/>
              <w:spacing w:before="40" w:after="120"/>
              <w:jc w:val="right"/>
            </w:pPr>
            <w:r w:rsidRPr="00B553E2">
              <w:t>2014</w:t>
            </w:r>
          </w:p>
        </w:tc>
        <w:tc>
          <w:tcPr>
            <w:tcW w:w="1229" w:type="dxa"/>
            <w:shd w:val="clear" w:color="auto" w:fill="auto"/>
            <w:vAlign w:val="bottom"/>
          </w:tcPr>
          <w:p w14:paraId="23AE0E00" w14:textId="77777777" w:rsidR="003E175F" w:rsidRPr="00B553E2" w:rsidRDefault="003E175F" w:rsidP="007F3BC0">
            <w:pPr>
              <w:suppressAutoHyphens w:val="0"/>
              <w:spacing w:before="40" w:after="120"/>
              <w:jc w:val="right"/>
            </w:pPr>
            <w:r w:rsidRPr="00B553E2">
              <w:t>1 444</w:t>
            </w:r>
          </w:p>
        </w:tc>
      </w:tr>
      <w:tr w:rsidR="003E175F" w:rsidRPr="00BD2C13" w14:paraId="46F89CE2" w14:textId="77777777" w:rsidTr="003E175F">
        <w:tc>
          <w:tcPr>
            <w:tcW w:w="1228" w:type="dxa"/>
            <w:shd w:val="clear" w:color="auto" w:fill="auto"/>
          </w:tcPr>
          <w:p w14:paraId="4B07740E" w14:textId="77777777" w:rsidR="003E175F" w:rsidRPr="00B553E2" w:rsidRDefault="003E175F" w:rsidP="007F3BC0">
            <w:pPr>
              <w:suppressAutoHyphens w:val="0"/>
              <w:spacing w:before="40" w:after="120"/>
            </w:pPr>
            <w:r w:rsidRPr="00B553E2">
              <w:t>2005</w:t>
            </w:r>
          </w:p>
        </w:tc>
        <w:tc>
          <w:tcPr>
            <w:tcW w:w="1228" w:type="dxa"/>
            <w:shd w:val="clear" w:color="auto" w:fill="auto"/>
            <w:vAlign w:val="bottom"/>
          </w:tcPr>
          <w:p w14:paraId="77FC235C" w14:textId="77777777" w:rsidR="003E175F" w:rsidRPr="00B553E2" w:rsidRDefault="003E175F" w:rsidP="007F3BC0">
            <w:pPr>
              <w:suppressAutoHyphens w:val="0"/>
              <w:spacing w:before="40" w:after="120"/>
              <w:jc w:val="right"/>
            </w:pPr>
            <w:r w:rsidRPr="00B553E2">
              <w:t>4 323</w:t>
            </w:r>
          </w:p>
        </w:tc>
        <w:tc>
          <w:tcPr>
            <w:tcW w:w="1227" w:type="dxa"/>
            <w:shd w:val="clear" w:color="auto" w:fill="auto"/>
            <w:vAlign w:val="bottom"/>
          </w:tcPr>
          <w:p w14:paraId="1EE57E4E" w14:textId="77777777" w:rsidR="003E175F" w:rsidRPr="00B553E2" w:rsidRDefault="003E175F" w:rsidP="007F3BC0">
            <w:pPr>
              <w:suppressAutoHyphens w:val="0"/>
              <w:spacing w:before="40" w:after="120"/>
              <w:jc w:val="right"/>
            </w:pPr>
            <w:r w:rsidRPr="00B553E2">
              <w:t>2010</w:t>
            </w:r>
          </w:p>
        </w:tc>
        <w:tc>
          <w:tcPr>
            <w:tcW w:w="1229" w:type="dxa"/>
            <w:shd w:val="clear" w:color="auto" w:fill="auto"/>
            <w:vAlign w:val="bottom"/>
          </w:tcPr>
          <w:p w14:paraId="652B2FCE" w14:textId="77777777" w:rsidR="003E175F" w:rsidRPr="00B553E2" w:rsidRDefault="003E175F" w:rsidP="007F3BC0">
            <w:pPr>
              <w:suppressAutoHyphens w:val="0"/>
              <w:spacing w:before="40" w:after="120"/>
              <w:jc w:val="right"/>
            </w:pPr>
            <w:r w:rsidRPr="00B553E2">
              <w:t>1 939</w:t>
            </w:r>
          </w:p>
        </w:tc>
        <w:tc>
          <w:tcPr>
            <w:tcW w:w="1229" w:type="dxa"/>
            <w:shd w:val="clear" w:color="auto" w:fill="auto"/>
            <w:vAlign w:val="bottom"/>
          </w:tcPr>
          <w:p w14:paraId="44D5D7E3" w14:textId="77777777" w:rsidR="003E175F" w:rsidRPr="00B553E2" w:rsidRDefault="003E175F" w:rsidP="007F3BC0">
            <w:pPr>
              <w:suppressAutoHyphens w:val="0"/>
              <w:spacing w:before="40" w:after="120"/>
              <w:jc w:val="right"/>
            </w:pPr>
            <w:r w:rsidRPr="00B553E2">
              <w:t>2015</w:t>
            </w:r>
          </w:p>
        </w:tc>
        <w:tc>
          <w:tcPr>
            <w:tcW w:w="1229" w:type="dxa"/>
            <w:shd w:val="clear" w:color="auto" w:fill="auto"/>
            <w:vAlign w:val="bottom"/>
          </w:tcPr>
          <w:p w14:paraId="5AC80870" w14:textId="77777777" w:rsidR="003E175F" w:rsidRPr="00B553E2" w:rsidRDefault="003E175F" w:rsidP="007F3BC0">
            <w:pPr>
              <w:suppressAutoHyphens w:val="0"/>
              <w:spacing w:before="40" w:after="120"/>
              <w:jc w:val="right"/>
            </w:pPr>
            <w:r w:rsidRPr="00B553E2">
              <w:t>3 276</w:t>
            </w:r>
          </w:p>
        </w:tc>
      </w:tr>
      <w:tr w:rsidR="003E175F" w:rsidRPr="00BD2C13" w14:paraId="1793B1A5" w14:textId="77777777" w:rsidTr="003E175F">
        <w:tc>
          <w:tcPr>
            <w:tcW w:w="1228" w:type="dxa"/>
            <w:shd w:val="clear" w:color="auto" w:fill="auto"/>
          </w:tcPr>
          <w:p w14:paraId="4AA76F08" w14:textId="77777777" w:rsidR="003E175F" w:rsidRPr="00B553E2" w:rsidRDefault="003E175F" w:rsidP="007F3BC0">
            <w:pPr>
              <w:suppressAutoHyphens w:val="0"/>
              <w:spacing w:before="40" w:after="120"/>
            </w:pPr>
            <w:r w:rsidRPr="00B553E2">
              <w:t>2006</w:t>
            </w:r>
          </w:p>
        </w:tc>
        <w:tc>
          <w:tcPr>
            <w:tcW w:w="1228" w:type="dxa"/>
            <w:shd w:val="clear" w:color="auto" w:fill="auto"/>
            <w:vAlign w:val="bottom"/>
          </w:tcPr>
          <w:p w14:paraId="145B5316" w14:textId="77777777" w:rsidR="003E175F" w:rsidRPr="00B553E2" w:rsidRDefault="003E175F" w:rsidP="007F3BC0">
            <w:pPr>
              <w:suppressAutoHyphens w:val="0"/>
              <w:spacing w:before="40" w:after="120"/>
              <w:jc w:val="right"/>
            </w:pPr>
            <w:r w:rsidRPr="00B553E2">
              <w:t>4 314</w:t>
            </w:r>
          </w:p>
        </w:tc>
        <w:tc>
          <w:tcPr>
            <w:tcW w:w="1227" w:type="dxa"/>
            <w:shd w:val="clear" w:color="auto" w:fill="auto"/>
            <w:vAlign w:val="bottom"/>
          </w:tcPr>
          <w:p w14:paraId="0E8F29EB" w14:textId="77777777" w:rsidR="003E175F" w:rsidRPr="00B553E2" w:rsidRDefault="003E175F" w:rsidP="007F3BC0">
            <w:pPr>
              <w:suppressAutoHyphens w:val="0"/>
              <w:spacing w:before="40" w:after="120"/>
              <w:jc w:val="right"/>
            </w:pPr>
            <w:r w:rsidRPr="00B553E2">
              <w:t>2011</w:t>
            </w:r>
          </w:p>
        </w:tc>
        <w:tc>
          <w:tcPr>
            <w:tcW w:w="1229" w:type="dxa"/>
            <w:shd w:val="clear" w:color="auto" w:fill="auto"/>
            <w:vAlign w:val="bottom"/>
          </w:tcPr>
          <w:p w14:paraId="2547D552" w14:textId="77777777" w:rsidR="003E175F" w:rsidRPr="00B553E2" w:rsidRDefault="003E175F" w:rsidP="007F3BC0">
            <w:pPr>
              <w:suppressAutoHyphens w:val="0"/>
              <w:spacing w:before="40" w:after="120"/>
              <w:jc w:val="right"/>
            </w:pPr>
            <w:r w:rsidRPr="00B553E2">
              <w:t>1 290</w:t>
            </w:r>
          </w:p>
        </w:tc>
        <w:tc>
          <w:tcPr>
            <w:tcW w:w="1229" w:type="dxa"/>
            <w:shd w:val="clear" w:color="auto" w:fill="auto"/>
            <w:vAlign w:val="bottom"/>
          </w:tcPr>
          <w:p w14:paraId="4FCF6010" w14:textId="77777777" w:rsidR="003E175F" w:rsidRPr="00B553E2" w:rsidRDefault="003E175F" w:rsidP="007F3BC0">
            <w:pPr>
              <w:suppressAutoHyphens w:val="0"/>
              <w:spacing w:before="40" w:after="120"/>
              <w:jc w:val="right"/>
            </w:pPr>
            <w:r w:rsidRPr="00B553E2">
              <w:t>2016</w:t>
            </w:r>
          </w:p>
        </w:tc>
        <w:tc>
          <w:tcPr>
            <w:tcW w:w="1229" w:type="dxa"/>
            <w:shd w:val="clear" w:color="auto" w:fill="auto"/>
            <w:vAlign w:val="bottom"/>
          </w:tcPr>
          <w:p w14:paraId="61A52545" w14:textId="77777777" w:rsidR="003E175F" w:rsidRPr="00B553E2" w:rsidRDefault="003E175F" w:rsidP="007F3BC0">
            <w:pPr>
              <w:suppressAutoHyphens w:val="0"/>
              <w:spacing w:before="40" w:after="120"/>
              <w:jc w:val="right"/>
            </w:pPr>
            <w:r w:rsidRPr="00B553E2">
              <w:t>2 244</w:t>
            </w:r>
          </w:p>
        </w:tc>
      </w:tr>
      <w:tr w:rsidR="003E175F" w:rsidRPr="00BD2C13" w14:paraId="06DEE75E" w14:textId="77777777" w:rsidTr="003E175F">
        <w:tc>
          <w:tcPr>
            <w:tcW w:w="1228" w:type="dxa"/>
            <w:tcBorders>
              <w:bottom w:val="single" w:sz="12" w:space="0" w:color="auto"/>
            </w:tcBorders>
            <w:shd w:val="clear" w:color="auto" w:fill="auto"/>
          </w:tcPr>
          <w:p w14:paraId="1812B7CC" w14:textId="77777777" w:rsidR="003E175F" w:rsidRPr="00B553E2" w:rsidRDefault="003E175F" w:rsidP="007F3BC0">
            <w:pPr>
              <w:suppressAutoHyphens w:val="0"/>
              <w:spacing w:before="40" w:after="120"/>
            </w:pPr>
            <w:r w:rsidRPr="00B553E2">
              <w:t>2007</w:t>
            </w:r>
          </w:p>
        </w:tc>
        <w:tc>
          <w:tcPr>
            <w:tcW w:w="1228" w:type="dxa"/>
            <w:tcBorders>
              <w:bottom w:val="single" w:sz="12" w:space="0" w:color="auto"/>
            </w:tcBorders>
            <w:shd w:val="clear" w:color="auto" w:fill="auto"/>
            <w:vAlign w:val="bottom"/>
          </w:tcPr>
          <w:p w14:paraId="2121D112" w14:textId="77777777" w:rsidR="003E175F" w:rsidRPr="00B553E2" w:rsidRDefault="003E175F" w:rsidP="007F3BC0">
            <w:pPr>
              <w:suppressAutoHyphens w:val="0"/>
              <w:spacing w:before="40" w:after="120"/>
              <w:jc w:val="right"/>
            </w:pPr>
            <w:r w:rsidRPr="00B553E2">
              <w:t>3 985</w:t>
            </w:r>
          </w:p>
        </w:tc>
        <w:tc>
          <w:tcPr>
            <w:tcW w:w="1227" w:type="dxa"/>
            <w:tcBorders>
              <w:bottom w:val="single" w:sz="12" w:space="0" w:color="auto"/>
            </w:tcBorders>
            <w:shd w:val="clear" w:color="auto" w:fill="auto"/>
            <w:vAlign w:val="bottom"/>
          </w:tcPr>
          <w:p w14:paraId="295E6FB7" w14:textId="77777777" w:rsidR="003E175F" w:rsidRPr="00B553E2" w:rsidRDefault="003E175F" w:rsidP="007F3BC0">
            <w:pPr>
              <w:suppressAutoHyphens w:val="0"/>
              <w:spacing w:before="40" w:after="120"/>
              <w:jc w:val="right"/>
            </w:pPr>
            <w:r w:rsidRPr="00B553E2">
              <w:t>2012</w:t>
            </w:r>
          </w:p>
        </w:tc>
        <w:tc>
          <w:tcPr>
            <w:tcW w:w="1229" w:type="dxa"/>
            <w:tcBorders>
              <w:bottom w:val="single" w:sz="12" w:space="0" w:color="auto"/>
            </w:tcBorders>
            <w:shd w:val="clear" w:color="auto" w:fill="auto"/>
            <w:vAlign w:val="bottom"/>
          </w:tcPr>
          <w:p w14:paraId="26F08098" w14:textId="77777777" w:rsidR="003E175F" w:rsidRPr="00B553E2" w:rsidRDefault="003E175F" w:rsidP="007F3BC0">
            <w:pPr>
              <w:suppressAutoHyphens w:val="0"/>
              <w:spacing w:before="40" w:after="120"/>
              <w:jc w:val="right"/>
            </w:pPr>
            <w:r w:rsidRPr="00B553E2">
              <w:t>956</w:t>
            </w:r>
          </w:p>
        </w:tc>
        <w:tc>
          <w:tcPr>
            <w:tcW w:w="1229" w:type="dxa"/>
            <w:tcBorders>
              <w:bottom w:val="single" w:sz="12" w:space="0" w:color="auto"/>
            </w:tcBorders>
            <w:shd w:val="clear" w:color="auto" w:fill="auto"/>
            <w:vAlign w:val="bottom"/>
          </w:tcPr>
          <w:p w14:paraId="73821B23" w14:textId="77777777" w:rsidR="003E175F" w:rsidRPr="00B553E2" w:rsidRDefault="003E175F" w:rsidP="007F3BC0">
            <w:pPr>
              <w:suppressAutoHyphens w:val="0"/>
              <w:spacing w:before="40" w:after="120"/>
              <w:jc w:val="right"/>
            </w:pPr>
          </w:p>
        </w:tc>
        <w:tc>
          <w:tcPr>
            <w:tcW w:w="1229" w:type="dxa"/>
            <w:tcBorders>
              <w:bottom w:val="single" w:sz="12" w:space="0" w:color="auto"/>
            </w:tcBorders>
            <w:shd w:val="clear" w:color="auto" w:fill="auto"/>
            <w:vAlign w:val="bottom"/>
          </w:tcPr>
          <w:p w14:paraId="6157F856" w14:textId="77777777" w:rsidR="003E175F" w:rsidRPr="00B553E2" w:rsidRDefault="003E175F" w:rsidP="007F3BC0">
            <w:pPr>
              <w:suppressAutoHyphens w:val="0"/>
              <w:spacing w:before="40" w:after="120"/>
              <w:jc w:val="right"/>
            </w:pPr>
          </w:p>
        </w:tc>
      </w:tr>
    </w:tbl>
    <w:p w14:paraId="305EB8BF" w14:textId="77777777" w:rsidR="003E175F" w:rsidRPr="00BD2C13" w:rsidRDefault="003E175F" w:rsidP="007F3BC0">
      <w:pPr>
        <w:pStyle w:val="SingleTxtG"/>
      </w:pP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E175F" w:rsidRPr="00BD2C13" w14:paraId="500B3E7C" w14:textId="77777777" w:rsidTr="003E175F">
        <w:trPr>
          <w:cantSplit/>
          <w:tblHeader/>
        </w:trPr>
        <w:tc>
          <w:tcPr>
            <w:tcW w:w="7370" w:type="dxa"/>
            <w:gridSpan w:val="2"/>
            <w:tcBorders>
              <w:top w:val="single" w:sz="4" w:space="0" w:color="auto"/>
              <w:bottom w:val="single" w:sz="12" w:space="0" w:color="auto"/>
            </w:tcBorders>
            <w:shd w:val="clear" w:color="auto" w:fill="auto"/>
            <w:vAlign w:val="bottom"/>
          </w:tcPr>
          <w:p w14:paraId="3CE248AF" w14:textId="77777777" w:rsidR="003E175F" w:rsidRPr="00BD2C13" w:rsidRDefault="003E175F" w:rsidP="003E175F">
            <w:pPr>
              <w:keepNext/>
              <w:keepLines/>
              <w:spacing w:before="80" w:after="80" w:line="200" w:lineRule="exact"/>
              <w:ind w:right="113"/>
              <w:jc w:val="center"/>
              <w:rPr>
                <w:i/>
                <w:sz w:val="16"/>
                <w:szCs w:val="16"/>
              </w:rPr>
            </w:pPr>
            <w:r w:rsidRPr="00BD2C13">
              <w:br w:type="page"/>
            </w:r>
            <w:r w:rsidRPr="00BD2C13">
              <w:rPr>
                <w:i/>
                <w:sz w:val="16"/>
                <w:szCs w:val="16"/>
              </w:rPr>
              <w:t>Demandes de protection internationale reçues</w:t>
            </w:r>
          </w:p>
        </w:tc>
      </w:tr>
      <w:tr w:rsidR="003E175F" w:rsidRPr="00BD2C13" w14:paraId="08E06A9F" w14:textId="77777777" w:rsidTr="003E175F">
        <w:trPr>
          <w:cantSplit/>
          <w:trHeight w:hRule="exact" w:val="113"/>
        </w:trPr>
        <w:tc>
          <w:tcPr>
            <w:tcW w:w="7370" w:type="dxa"/>
            <w:gridSpan w:val="2"/>
            <w:tcBorders>
              <w:top w:val="single" w:sz="12" w:space="0" w:color="auto"/>
            </w:tcBorders>
            <w:shd w:val="clear" w:color="auto" w:fill="auto"/>
          </w:tcPr>
          <w:p w14:paraId="5A68FDE0" w14:textId="77777777" w:rsidR="003E175F" w:rsidRPr="00BD2C13" w:rsidRDefault="003E175F" w:rsidP="003E175F">
            <w:pPr>
              <w:keepNext/>
              <w:keepLines/>
              <w:spacing w:before="40" w:after="120"/>
              <w:ind w:right="113"/>
            </w:pPr>
          </w:p>
        </w:tc>
      </w:tr>
      <w:tr w:rsidR="003E175F" w:rsidRPr="00BD2C13" w14:paraId="2069F45E" w14:textId="77777777" w:rsidTr="003E175F">
        <w:trPr>
          <w:cantSplit/>
        </w:trPr>
        <w:tc>
          <w:tcPr>
            <w:tcW w:w="7370" w:type="dxa"/>
            <w:gridSpan w:val="2"/>
            <w:shd w:val="clear" w:color="auto" w:fill="auto"/>
          </w:tcPr>
          <w:p w14:paraId="24670CFC" w14:textId="77777777" w:rsidR="003E175F" w:rsidRPr="00BD2C13" w:rsidRDefault="003E175F" w:rsidP="003E175F">
            <w:pPr>
              <w:keepNext/>
              <w:keepLines/>
              <w:spacing w:before="40" w:after="120"/>
              <w:ind w:right="113"/>
              <w:jc w:val="center"/>
              <w:rPr>
                <w:i/>
              </w:rPr>
            </w:pPr>
            <w:r w:rsidRPr="00BD2C13">
              <w:rPr>
                <w:i/>
              </w:rPr>
              <w:t>Procédure unique, incluant les demandes de statut de réfugié et de protection subsidiaire, et séparément, les demandes d</w:t>
            </w:r>
            <w:r w:rsidR="00784444">
              <w:rPr>
                <w:i/>
              </w:rPr>
              <w:t>’</w:t>
            </w:r>
            <w:r w:rsidRPr="00BD2C13">
              <w:rPr>
                <w:i/>
              </w:rPr>
              <w:t>autorisation de rester dans le pays</w:t>
            </w:r>
          </w:p>
        </w:tc>
      </w:tr>
      <w:tr w:rsidR="003E175F" w:rsidRPr="00BD2C13" w14:paraId="16B474F4" w14:textId="77777777" w:rsidTr="003E175F">
        <w:trPr>
          <w:cantSplit/>
        </w:trPr>
        <w:tc>
          <w:tcPr>
            <w:tcW w:w="3685" w:type="dxa"/>
            <w:shd w:val="clear" w:color="auto" w:fill="auto"/>
          </w:tcPr>
          <w:p w14:paraId="1BD0854E" w14:textId="77777777" w:rsidR="003E175F" w:rsidRPr="00BD2C13" w:rsidRDefault="003E175F" w:rsidP="003E175F">
            <w:pPr>
              <w:keepNext/>
              <w:keepLines/>
              <w:spacing w:before="40" w:after="120"/>
              <w:ind w:right="113"/>
            </w:pPr>
            <w:r w:rsidRPr="00BD2C13">
              <w:t>2017</w:t>
            </w:r>
          </w:p>
        </w:tc>
        <w:tc>
          <w:tcPr>
            <w:tcW w:w="3685" w:type="dxa"/>
            <w:shd w:val="clear" w:color="auto" w:fill="auto"/>
          </w:tcPr>
          <w:p w14:paraId="2996BBEE" w14:textId="77777777" w:rsidR="003E175F" w:rsidRPr="00BD2C13" w:rsidRDefault="003E175F" w:rsidP="003E175F">
            <w:pPr>
              <w:keepNext/>
              <w:keepLines/>
              <w:spacing w:before="40" w:after="120"/>
              <w:ind w:right="113"/>
            </w:pPr>
            <w:r w:rsidRPr="00BD2C13">
              <w:t>2 926</w:t>
            </w:r>
          </w:p>
        </w:tc>
      </w:tr>
      <w:tr w:rsidR="003E175F" w:rsidRPr="00BD2C13" w14:paraId="2ECD8891" w14:textId="77777777" w:rsidTr="003E175F">
        <w:trPr>
          <w:cantSplit/>
        </w:trPr>
        <w:tc>
          <w:tcPr>
            <w:tcW w:w="3685" w:type="dxa"/>
            <w:shd w:val="clear" w:color="auto" w:fill="auto"/>
          </w:tcPr>
          <w:p w14:paraId="23F75FCD" w14:textId="77777777" w:rsidR="003E175F" w:rsidRPr="00BD2C13" w:rsidRDefault="003E175F" w:rsidP="003E175F">
            <w:pPr>
              <w:keepNext/>
              <w:keepLines/>
              <w:spacing w:before="40" w:after="120"/>
              <w:ind w:right="113"/>
            </w:pPr>
            <w:r w:rsidRPr="00BD2C13">
              <w:t>2018</w:t>
            </w:r>
          </w:p>
        </w:tc>
        <w:tc>
          <w:tcPr>
            <w:tcW w:w="3685" w:type="dxa"/>
            <w:shd w:val="clear" w:color="auto" w:fill="auto"/>
          </w:tcPr>
          <w:p w14:paraId="642306EC" w14:textId="77777777" w:rsidR="003E175F" w:rsidRPr="00BD2C13" w:rsidRDefault="003E175F" w:rsidP="003E175F">
            <w:pPr>
              <w:keepNext/>
              <w:keepLines/>
              <w:spacing w:before="40" w:after="120"/>
              <w:ind w:right="113"/>
            </w:pPr>
            <w:r w:rsidRPr="00BD2C13">
              <w:t>3 673</w:t>
            </w:r>
          </w:p>
        </w:tc>
      </w:tr>
      <w:tr w:rsidR="003E175F" w:rsidRPr="00BD2C13" w14:paraId="57EA5E29" w14:textId="77777777" w:rsidTr="003E175F">
        <w:trPr>
          <w:cantSplit/>
        </w:trPr>
        <w:tc>
          <w:tcPr>
            <w:tcW w:w="3685" w:type="dxa"/>
            <w:tcBorders>
              <w:bottom w:val="single" w:sz="12" w:space="0" w:color="auto"/>
            </w:tcBorders>
            <w:shd w:val="clear" w:color="auto" w:fill="auto"/>
          </w:tcPr>
          <w:p w14:paraId="1DFCEDAE" w14:textId="77777777" w:rsidR="003E175F" w:rsidRPr="00BD2C13" w:rsidRDefault="003E175F" w:rsidP="003E175F">
            <w:pPr>
              <w:keepNext/>
              <w:keepLines/>
              <w:spacing w:before="40" w:after="120"/>
              <w:ind w:right="113"/>
            </w:pPr>
            <w:r w:rsidRPr="00BD2C13">
              <w:t>2019 (fin juillet)</w:t>
            </w:r>
          </w:p>
        </w:tc>
        <w:tc>
          <w:tcPr>
            <w:tcW w:w="3685" w:type="dxa"/>
            <w:tcBorders>
              <w:bottom w:val="single" w:sz="12" w:space="0" w:color="auto"/>
            </w:tcBorders>
            <w:shd w:val="clear" w:color="auto" w:fill="auto"/>
          </w:tcPr>
          <w:p w14:paraId="0B36FF3C" w14:textId="77777777" w:rsidR="003E175F" w:rsidRPr="00BD2C13" w:rsidRDefault="003E175F" w:rsidP="003E175F">
            <w:pPr>
              <w:keepNext/>
              <w:keepLines/>
              <w:spacing w:before="40" w:after="120"/>
              <w:ind w:right="113"/>
            </w:pPr>
            <w:r w:rsidRPr="00BD2C13">
              <w:t>2 680</w:t>
            </w:r>
          </w:p>
        </w:tc>
      </w:tr>
    </w:tbl>
    <w:p w14:paraId="552B4208" w14:textId="77777777" w:rsidR="003E175F" w:rsidRPr="00BD2C13" w:rsidRDefault="003E175F" w:rsidP="003E175F">
      <w:pPr>
        <w:pStyle w:val="SingleTxtG"/>
        <w:spacing w:before="120"/>
      </w:pPr>
      <w:bookmarkStart w:id="173" w:name="_Hlk31371963"/>
      <w:r w:rsidRPr="00BD2C13">
        <w:t>250.</w:t>
      </w:r>
      <w:r w:rsidRPr="00BD2C13">
        <w:tab/>
        <w:t>En ce qui concerne les conditions d</w:t>
      </w:r>
      <w:r w:rsidR="00784444">
        <w:t>’</w:t>
      </w:r>
      <w:r w:rsidRPr="00BD2C13">
        <w:t>accueil des demandeurs de protection internationale, la Cour suprême d</w:t>
      </w:r>
      <w:r w:rsidR="00784444">
        <w:t>’</w:t>
      </w:r>
      <w:r w:rsidRPr="00BD2C13">
        <w:t>Irlande a déclaré inconstitutionnelle, en mai 2017, l</w:t>
      </w:r>
      <w:r w:rsidR="00784444">
        <w:t>’</w:t>
      </w:r>
      <w:r w:rsidRPr="00BD2C13">
        <w:t>interdiction absolue de travailler formulée à</w:t>
      </w:r>
      <w:r w:rsidR="007F3BC0">
        <w:t xml:space="preserve"> </w:t>
      </w:r>
      <w:r w:rsidRPr="00BD2C13">
        <w:t>l</w:t>
      </w:r>
      <w:r w:rsidR="00784444">
        <w:t>’</w:t>
      </w:r>
      <w:r w:rsidRPr="00BD2C13">
        <w:t>encontre des demandeurs d</w:t>
      </w:r>
      <w:r w:rsidR="00784444">
        <w:t>’</w:t>
      </w:r>
      <w:r w:rsidRPr="00BD2C13">
        <w:t>asile, en l</w:t>
      </w:r>
      <w:r w:rsidR="00784444">
        <w:t>’</w:t>
      </w:r>
      <w:r w:rsidRPr="00BD2C13">
        <w:t>absence de délais fermes applicables au traitement de leurs demandes de protection internationale. En juillet 2007, le Gouvernement a créé un groupe de travail interministériel chargé d</w:t>
      </w:r>
      <w:r w:rsidR="00784444">
        <w:t>’</w:t>
      </w:r>
      <w:r w:rsidRPr="00BD2C13">
        <w:t>examiner les incidences de cet arrêt et de proposer des solutions. Le 22 novembre 2017, le Gouvernement a décidé que l</w:t>
      </w:r>
      <w:r w:rsidR="00784444">
        <w:t>’</w:t>
      </w:r>
      <w:r w:rsidRPr="00BD2C13">
        <w:t>État devait exercer son pouvoir discrétionnaire s</w:t>
      </w:r>
      <w:r w:rsidR="00784444">
        <w:t>’</w:t>
      </w:r>
      <w:r w:rsidRPr="00BD2C13">
        <w:t>agissant de l</w:t>
      </w:r>
      <w:r w:rsidR="00784444">
        <w:t>’</w:t>
      </w:r>
      <w:r w:rsidRPr="00BD2C13">
        <w:t xml:space="preserve">application de la </w:t>
      </w:r>
      <w:r w:rsidR="00082E56">
        <w:t>d</w:t>
      </w:r>
      <w:r w:rsidRPr="00BD2C13">
        <w:t>irective 2013/33/UE établissant</w:t>
      </w:r>
      <w:r w:rsidR="007A54A8">
        <w:t xml:space="preserve"> </w:t>
      </w:r>
      <w:r w:rsidRPr="00BD2C13">
        <w:t>des</w:t>
      </w:r>
      <w:r w:rsidR="007A54A8">
        <w:t xml:space="preserve"> </w:t>
      </w:r>
      <w:r w:rsidRPr="00BD2C13">
        <w:t>normes</w:t>
      </w:r>
      <w:r w:rsidR="007A54A8">
        <w:t xml:space="preserve"> </w:t>
      </w:r>
      <w:r w:rsidRPr="00BD2C13">
        <w:t>pour</w:t>
      </w:r>
      <w:r w:rsidR="007A54A8">
        <w:t xml:space="preserve"> </w:t>
      </w:r>
      <w:r w:rsidRPr="00BD2C13">
        <w:t>l</w:t>
      </w:r>
      <w:r w:rsidR="00784444">
        <w:t>’</w:t>
      </w:r>
      <w:r w:rsidRPr="00BD2C13">
        <w:t>accueil</w:t>
      </w:r>
      <w:r w:rsidR="007A54A8">
        <w:t xml:space="preserve"> </w:t>
      </w:r>
      <w:r w:rsidRPr="00BD2C13">
        <w:t>des</w:t>
      </w:r>
      <w:r w:rsidR="007A54A8">
        <w:t xml:space="preserve"> </w:t>
      </w:r>
      <w:r w:rsidRPr="00BD2C13">
        <w:t>personnes</w:t>
      </w:r>
      <w:r w:rsidR="007A54A8">
        <w:t xml:space="preserve"> </w:t>
      </w:r>
      <w:r w:rsidRPr="00BD2C13">
        <w:t>demandant</w:t>
      </w:r>
      <w:r w:rsidR="007A54A8">
        <w:t xml:space="preserve"> </w:t>
      </w:r>
      <w:r w:rsidRPr="00BD2C13">
        <w:t>la</w:t>
      </w:r>
      <w:r w:rsidR="007A54A8">
        <w:t xml:space="preserve"> </w:t>
      </w:r>
      <w:r w:rsidRPr="00BD2C13">
        <w:t>protection</w:t>
      </w:r>
      <w:r w:rsidR="007A54A8">
        <w:t xml:space="preserve"> </w:t>
      </w:r>
      <w:r w:rsidRPr="00BD2C13">
        <w:t xml:space="preserve">internationale en vertu du protocole 21 du </w:t>
      </w:r>
      <w:r w:rsidR="007F3BC0">
        <w:t>T</w:t>
      </w:r>
      <w:r w:rsidRPr="00BD2C13">
        <w:t>raité de Lisbonne. Depuis juin 2018, les demandeurs d</w:t>
      </w:r>
      <w:r w:rsidR="00784444">
        <w:t>’</w:t>
      </w:r>
      <w:r w:rsidRPr="00BD2C13">
        <w:t>asile dont la demande remonte à plus de neuf mois, et qui attendent toujours une décision de première instance, peuvent demander un permis de travail en Irlande auprès de l</w:t>
      </w:r>
      <w:r w:rsidR="00784444">
        <w:t>’</w:t>
      </w:r>
      <w:r w:rsidRPr="00BD2C13">
        <w:t xml:space="preserve">unité Accès au marché du travail du Ministère de </w:t>
      </w:r>
      <w:r w:rsidRPr="00BD2C13">
        <w:lastRenderedPageBreak/>
        <w:t>la justice et de l</w:t>
      </w:r>
      <w:r w:rsidR="00784444">
        <w:t>’</w:t>
      </w:r>
      <w:r w:rsidRPr="00BD2C13">
        <w:t>égalité. Cette demande est gratuite. Le permis de travail est valide six mois et il est renouvelable jusqu</w:t>
      </w:r>
      <w:r w:rsidR="00784444">
        <w:t>’</w:t>
      </w:r>
      <w:r w:rsidRPr="00BD2C13">
        <w:t>à ce qu</w:t>
      </w:r>
      <w:r w:rsidR="00784444">
        <w:t>’</w:t>
      </w:r>
      <w:r w:rsidRPr="00BD2C13">
        <w:t>une décision finale sur la demande de protection internationale soit rendue. Au 5 juin 2019, 2 583 demandeurs de protection internationale avaient obtenu une autorisation d</w:t>
      </w:r>
      <w:r w:rsidR="00784444">
        <w:t>’</w:t>
      </w:r>
      <w:r w:rsidRPr="00BD2C13">
        <w:t>accès au marché du travail sur un total de 3</w:t>
      </w:r>
      <w:r w:rsidR="00070641">
        <w:t> </w:t>
      </w:r>
      <w:r w:rsidRPr="00BD2C13">
        <w:t>814</w:t>
      </w:r>
      <w:r w:rsidR="00070641">
        <w:t> </w:t>
      </w:r>
      <w:r w:rsidRPr="00BD2C13">
        <w:t>demandes. Par ailleurs, 1 913 candidats résidant dans des centres d</w:t>
      </w:r>
      <w:r w:rsidR="00784444">
        <w:t>’</w:t>
      </w:r>
      <w:r w:rsidRPr="00BD2C13">
        <w:t>hébergement de l</w:t>
      </w:r>
      <w:r w:rsidR="00784444">
        <w:t>’</w:t>
      </w:r>
      <w:r w:rsidRPr="00BD2C13">
        <w:t>Agence pour l</w:t>
      </w:r>
      <w:r w:rsidR="00784444">
        <w:t>’</w:t>
      </w:r>
      <w:r w:rsidRPr="00BD2C13">
        <w:t>accueil et l</w:t>
      </w:r>
      <w:r w:rsidR="00784444">
        <w:t>’</w:t>
      </w:r>
      <w:r w:rsidRPr="00BD2C13">
        <w:t>intégration ont obtenu un permis de travail.</w:t>
      </w:r>
    </w:p>
    <w:p w14:paraId="7790FF66" w14:textId="77777777" w:rsidR="003E175F" w:rsidRPr="00BD2C13" w:rsidRDefault="003E175F" w:rsidP="003E175F">
      <w:pPr>
        <w:pStyle w:val="SingleTxtG"/>
      </w:pPr>
      <w:r w:rsidRPr="00BD2C13">
        <w:t>251.</w:t>
      </w:r>
      <w:r w:rsidRPr="00BD2C13">
        <w:tab/>
        <w:t>Le programme irlandais de protection des réfugiés a été créé par décision gouvernementale le 10 septembre 2015 en réponse directe à la crise humanitaire survenue en Europe du Sud en raison des migrations massives en provenance de zones de conflit au Moyen-Orient et en Afrique. Dans le cadre de ce programme, l</w:t>
      </w:r>
      <w:r w:rsidR="00784444">
        <w:t>’</w:t>
      </w:r>
      <w:r w:rsidRPr="00BD2C13">
        <w:t>État s</w:t>
      </w:r>
      <w:r w:rsidR="00784444">
        <w:t>’</w:t>
      </w:r>
      <w:r w:rsidRPr="00BD2C13">
        <w:t>est engagé à accepter jusqu</w:t>
      </w:r>
      <w:r w:rsidR="00784444">
        <w:t>’</w:t>
      </w:r>
      <w:r w:rsidRPr="00BD2C13">
        <w:t>à 4 000 personnes sur son territoire, principalement en vertu de deux décisions du Conseil de l</w:t>
      </w:r>
      <w:r w:rsidR="00784444">
        <w:t>’</w:t>
      </w:r>
      <w:r w:rsidRPr="00BD2C13">
        <w:t>Union européenne relative à la relocalisation des demandeurs d</w:t>
      </w:r>
      <w:r w:rsidR="00784444">
        <w:t>’</w:t>
      </w:r>
      <w:r w:rsidRPr="00BD2C13">
        <w:t>asile et au titre de sa participation étendue au programme de réinstallation piloté par le HCR. Les relocalisations n</w:t>
      </w:r>
      <w:r w:rsidR="00784444">
        <w:t>’</w:t>
      </w:r>
      <w:r w:rsidRPr="00BD2C13">
        <w:t>ont pas eu lieu depuis l</w:t>
      </w:r>
      <w:r w:rsidR="00784444">
        <w:t>’</w:t>
      </w:r>
      <w:r w:rsidRPr="00BD2C13">
        <w:t>Italie car les autorités italiennes n</w:t>
      </w:r>
      <w:r w:rsidR="00784444">
        <w:t>’</w:t>
      </w:r>
      <w:r w:rsidRPr="00BD2C13">
        <w:t xml:space="preserve">ont pas accordé à la Garda </w:t>
      </w:r>
      <w:proofErr w:type="spellStart"/>
      <w:r w:rsidRPr="00BD2C13">
        <w:t>Síochána</w:t>
      </w:r>
      <w:proofErr w:type="spellEnd"/>
      <w:r w:rsidRPr="00BD2C13">
        <w:t xml:space="preserve"> l</w:t>
      </w:r>
      <w:r w:rsidR="00784444">
        <w:t>’</w:t>
      </w:r>
      <w:r w:rsidRPr="00BD2C13">
        <w:t>autorisation d</w:t>
      </w:r>
      <w:r w:rsidR="00784444">
        <w:t>’</w:t>
      </w:r>
      <w:r w:rsidRPr="00BD2C13">
        <w:t>effectuer des contrôles de sécurité sur leur territoire. Le programme de protection des réfugiés a eu recours à d</w:t>
      </w:r>
      <w:r w:rsidR="00784444">
        <w:t>’</w:t>
      </w:r>
      <w:r w:rsidRPr="00BD2C13">
        <w:t>autres mécanismes pour respecter les engagements pris par l</w:t>
      </w:r>
      <w:r w:rsidR="00784444">
        <w:t>’</w:t>
      </w:r>
      <w:r w:rsidRPr="00BD2C13">
        <w:t>État :</w:t>
      </w:r>
    </w:p>
    <w:p w14:paraId="10A2EBBC" w14:textId="77777777" w:rsidR="003E175F" w:rsidRPr="00BD2C13" w:rsidRDefault="003E175F" w:rsidP="003E175F">
      <w:pPr>
        <w:pStyle w:val="SingleTxtG"/>
        <w:ind w:firstLine="567"/>
      </w:pPr>
      <w:r w:rsidRPr="00BD2C13">
        <w:t>a)</w:t>
      </w:r>
      <w:r w:rsidRPr="00BD2C13">
        <w:tab/>
        <w:t xml:space="preserve">Volet </w:t>
      </w:r>
      <w:bookmarkStart w:id="174" w:name="_Hlk34658150"/>
      <w:r w:rsidRPr="00BD2C13">
        <w:t>« Relocalisation »</w:t>
      </w:r>
      <w:bookmarkEnd w:id="174"/>
      <w:r w:rsidRPr="00BD2C13">
        <w:t> : le plan de relocalisation de l</w:t>
      </w:r>
      <w:r w:rsidR="00784444">
        <w:t>’</w:t>
      </w:r>
      <w:r w:rsidRPr="00BD2C13">
        <w:t>UE en Irlande s</w:t>
      </w:r>
      <w:r w:rsidR="00784444">
        <w:t>’</w:t>
      </w:r>
      <w:r w:rsidRPr="00BD2C13">
        <w:t>est achevé en mars 2018. Au total, 1 022 demandeurs d</w:t>
      </w:r>
      <w:r w:rsidR="00784444">
        <w:t>’</w:t>
      </w:r>
      <w:r w:rsidRPr="00BD2C13">
        <w:t>asile, dont six mineurs non accompagnés, sont arrivés en Irlande dans de bonnes conditions de sécurité, en provenance de Grèce. L</w:t>
      </w:r>
      <w:r w:rsidR="00784444">
        <w:t>’</w:t>
      </w:r>
      <w:r w:rsidRPr="00BD2C13">
        <w:t>Irlande s</w:t>
      </w:r>
      <w:r w:rsidR="00784444">
        <w:t>’</w:t>
      </w:r>
      <w:r w:rsidRPr="00BD2C13">
        <w:t>était engagée à accepter 1 040 réfugiés d</w:t>
      </w:r>
      <w:r w:rsidR="00784444">
        <w:t>’</w:t>
      </w:r>
      <w:r w:rsidRPr="00BD2C13">
        <w:t>ici à la fin 2017 dans le cadre du volet « Relocalisation » du programme. Environ 255 personnes de ce groupe faisaient partie de l</w:t>
      </w:r>
      <w:r w:rsidR="00784444">
        <w:t>’</w:t>
      </w:r>
      <w:r w:rsidRPr="00BD2C13">
        <w:t>engagement pris auprès de l</w:t>
      </w:r>
      <w:r w:rsidR="00784444">
        <w:t>’</w:t>
      </w:r>
      <w:r w:rsidRPr="00BD2C13">
        <w:t>UE pour 2018-2019, car il n</w:t>
      </w:r>
      <w:r w:rsidR="00784444">
        <w:t>’</w:t>
      </w:r>
      <w:r w:rsidRPr="00BD2C13">
        <w:t>avait pas été possible de les relocaliser en 2017. Le Ministère s</w:t>
      </w:r>
      <w:r w:rsidR="00784444">
        <w:t>’</w:t>
      </w:r>
      <w:r w:rsidRPr="00BD2C13">
        <w:t>est engagé à accueillir 1 200 réfugiés en provenance du Liban entre 2018 (255 comme indiqué ci-dessus plus 345) et 2019 (600), ce qui porte à 1 985 personnes l</w:t>
      </w:r>
      <w:r w:rsidR="00784444">
        <w:t>’</w:t>
      </w:r>
      <w:r w:rsidRPr="00BD2C13">
        <w:t>engagement total de relocalisation dans le cadre du programme irlandais de protection des réfugiés. À ce jour, 1 383 personnes sont arrivées dans le cadre du volet « Relocalisation » du programme ;</w:t>
      </w:r>
    </w:p>
    <w:p w14:paraId="553A528D" w14:textId="77777777" w:rsidR="003E175F" w:rsidRPr="00BD2C13" w:rsidRDefault="003E175F" w:rsidP="00397D61">
      <w:pPr>
        <w:pStyle w:val="SingleTxtG"/>
        <w:ind w:firstLine="567"/>
      </w:pPr>
      <w:r w:rsidRPr="00BD2C13">
        <w:t>b)</w:t>
      </w:r>
      <w:r w:rsidRPr="00BD2C13">
        <w:tab/>
        <w:t>Les réfugiés restants (sur les 4 000 prévus) ont été accueillis par le biais de différents mécanismes. Dans le cadre du programme de protection internationale, le Ministère a lancé un deuxième programme d</w:t>
      </w:r>
      <w:r w:rsidR="00784444">
        <w:t>’</w:t>
      </w:r>
      <w:r w:rsidRPr="00BD2C13">
        <w:t>admission humanitaire. En vertu de pouvoirs ministériels discrétionnaires, ce programme humanitaire donne aux citoyens irlandais et aux personnes bénéficiant du statut de réfugié au sens de la Convention ou du programme ou, encore, d</w:t>
      </w:r>
      <w:r w:rsidR="00784444">
        <w:t>’</w:t>
      </w:r>
      <w:r w:rsidRPr="00BD2C13">
        <w:t xml:space="preserve">une protection subsidiaire et ayant des membres de leur famille immédiate éligibles dans les </w:t>
      </w:r>
      <w:r w:rsidR="00397D61" w:rsidRPr="00BD2C13">
        <w:t>10</w:t>
      </w:r>
      <w:r w:rsidRPr="00BD2C13">
        <w:t xml:space="preserve"> principaux pays d</w:t>
      </w:r>
      <w:r w:rsidR="00784444">
        <w:t>’</w:t>
      </w:r>
      <w:r w:rsidRPr="00BD2C13">
        <w:t>origine des réfugiés, la possibilité de demander au Ministère d</w:t>
      </w:r>
      <w:r w:rsidR="00784444">
        <w:t>’</w:t>
      </w:r>
      <w:r w:rsidRPr="00BD2C13">
        <w:t>accepter que les membres de leur famille viennent les rejoindre en Irlande. Compte tenu du volume de candidatures reçues à ce jour, on s</w:t>
      </w:r>
      <w:r w:rsidR="00784444">
        <w:t>’</w:t>
      </w:r>
      <w:r w:rsidRPr="00BD2C13">
        <w:t>attend à ce que celles-ci soient suffisantes pour permettre de pourvoir 740 places dans le cadre du programme</w:t>
      </w:r>
      <w:r w:rsidR="00397D61" w:rsidRPr="00BD2C13">
        <w:t> ;</w:t>
      </w:r>
    </w:p>
    <w:p w14:paraId="397DE176" w14:textId="77777777" w:rsidR="003E175F" w:rsidRPr="00BD2C13" w:rsidRDefault="003E175F" w:rsidP="00397D61">
      <w:pPr>
        <w:pStyle w:val="SingleTxtG"/>
        <w:ind w:firstLine="567"/>
      </w:pPr>
      <w:r w:rsidRPr="00BD2C13">
        <w:t>c)</w:t>
      </w:r>
      <w:r w:rsidRPr="00BD2C13">
        <w:tab/>
        <w:t>Afin de soutenir les pays de l</w:t>
      </w:r>
      <w:r w:rsidR="00784444">
        <w:t>’</w:t>
      </w:r>
      <w:r w:rsidRPr="00BD2C13">
        <w:t>UE les plus touchés par les flux migratoires en Méditerranée, l</w:t>
      </w:r>
      <w:r w:rsidR="00784444">
        <w:t>’</w:t>
      </w:r>
      <w:r w:rsidRPr="00BD2C13">
        <w:t>Irlande a accepté en 2018 d</w:t>
      </w:r>
      <w:r w:rsidR="00784444">
        <w:t>’</w:t>
      </w:r>
      <w:r w:rsidRPr="00BD2C13">
        <w:t>accueillir 58 personnes rescapées d</w:t>
      </w:r>
      <w:r w:rsidR="00784444">
        <w:t>’</w:t>
      </w:r>
      <w:r w:rsidRPr="00BD2C13">
        <w:t xml:space="preserve">opérations de recherche et de sauvetage en mer et réfugiées en Sicile et à Malte. Vingt-deux adultes et </w:t>
      </w:r>
      <w:r w:rsidR="001460E9">
        <w:t>4</w:t>
      </w:r>
      <w:r w:rsidRPr="00BD2C13">
        <w:t xml:space="preserve"> mineurs non accompagnés réfugiés à Malte et 32 adultes en Sicile ont ainsi été accueillis. En 2019, le Ministère a également accepté d</w:t>
      </w:r>
      <w:r w:rsidR="00784444">
        <w:t>’</w:t>
      </w:r>
      <w:r w:rsidRPr="00BD2C13">
        <w:t>accueillir cinq autres mineurs non accompagnés depuis Malte dans le cadre d</w:t>
      </w:r>
      <w:r w:rsidR="00784444">
        <w:t>’</w:t>
      </w:r>
      <w:r w:rsidRPr="00BD2C13">
        <w:t>accords de partage des charges entre les différents pays de l</w:t>
      </w:r>
      <w:r w:rsidR="00784444">
        <w:t>’</w:t>
      </w:r>
      <w:r w:rsidRPr="00BD2C13">
        <w:t>Union européenne. À la demande de la Commission européenne, l</w:t>
      </w:r>
      <w:r w:rsidR="00784444">
        <w:t>’</w:t>
      </w:r>
      <w:r w:rsidRPr="00BD2C13">
        <w:t>Irlande accueillera deux personnes par navire accostant en Méditerranée, jusqu</w:t>
      </w:r>
      <w:r w:rsidR="00784444">
        <w:t>’</w:t>
      </w:r>
      <w:r w:rsidRPr="00BD2C13">
        <w:t>à concurrence d</w:t>
      </w:r>
      <w:r w:rsidR="00784444">
        <w:t>’</w:t>
      </w:r>
      <w:r w:rsidRPr="00BD2C13">
        <w:t>un total de 100 personnes pour le restant de l</w:t>
      </w:r>
      <w:r w:rsidR="00784444">
        <w:t>’</w:t>
      </w:r>
      <w:r w:rsidRPr="00BD2C13">
        <w:t>année 2019</w:t>
      </w:r>
      <w:r w:rsidR="00397D61" w:rsidRPr="00BD2C13">
        <w:t> ;</w:t>
      </w:r>
    </w:p>
    <w:p w14:paraId="2D3F3779" w14:textId="77777777" w:rsidR="003E175F" w:rsidRPr="00BD2C13" w:rsidRDefault="003E175F" w:rsidP="00397D61">
      <w:pPr>
        <w:pStyle w:val="SingleTxtG"/>
        <w:ind w:firstLine="567"/>
      </w:pPr>
      <w:r w:rsidRPr="00BD2C13">
        <w:t>d)</w:t>
      </w:r>
      <w:r w:rsidRPr="00BD2C13">
        <w:tab/>
        <w:t>Au total, 41 mineurs non accompagnés sont arrivés sur le territoire de l</w:t>
      </w:r>
      <w:r w:rsidR="00784444">
        <w:t>’</w:t>
      </w:r>
      <w:r w:rsidRPr="00BD2C13">
        <w:t xml:space="preserve">État dans le cadre du </w:t>
      </w:r>
      <w:r w:rsidR="001460E9" w:rsidRPr="001460E9">
        <w:t>p</w:t>
      </w:r>
      <w:r w:rsidRPr="001460E9">
        <w:t xml:space="preserve">rojet </w:t>
      </w:r>
      <w:r w:rsidR="001460E9" w:rsidRPr="001460E9">
        <w:t>s</w:t>
      </w:r>
      <w:r w:rsidRPr="001460E9">
        <w:t xml:space="preserve">pécial </w:t>
      </w:r>
      <w:r w:rsidR="001460E9">
        <w:t xml:space="preserve">de </w:t>
      </w:r>
      <w:r w:rsidRPr="001460E9">
        <w:t>Calais</w:t>
      </w:r>
      <w:r w:rsidRPr="00BD2C13">
        <w:t>. Ce projet est maintenant terminé. Sur ces 41</w:t>
      </w:r>
      <w:r w:rsidR="00397D61" w:rsidRPr="00BD2C13">
        <w:t> </w:t>
      </w:r>
      <w:r w:rsidRPr="00BD2C13">
        <w:t xml:space="preserve">personnes, </w:t>
      </w:r>
      <w:r w:rsidR="001460E9">
        <w:t>3</w:t>
      </w:r>
      <w:r w:rsidRPr="00BD2C13">
        <w:t xml:space="preserve"> ont été réunies avec leur famille en Irlande et l</w:t>
      </w:r>
      <w:r w:rsidR="00784444">
        <w:t>’</w:t>
      </w:r>
      <w:r w:rsidRPr="00BD2C13">
        <w:t>Agence pour l</w:t>
      </w:r>
      <w:r w:rsidR="00784444">
        <w:t>’</w:t>
      </w:r>
      <w:r w:rsidRPr="00BD2C13">
        <w:t>enfance et la famille</w:t>
      </w:r>
      <w:r w:rsidR="007A54A8">
        <w:t xml:space="preserve"> </w:t>
      </w:r>
      <w:r w:rsidRPr="00BD2C13">
        <w:t>a pris en charge les 38 autres. En décembre 2018, le Ministère de la justice et de l</w:t>
      </w:r>
      <w:r w:rsidR="00784444">
        <w:t>’</w:t>
      </w:r>
      <w:r w:rsidRPr="00BD2C13">
        <w:t>égalité et le Ministère de l</w:t>
      </w:r>
      <w:r w:rsidR="00784444">
        <w:t>’</w:t>
      </w:r>
      <w:r w:rsidRPr="00BD2C13">
        <w:t>enfance et de la jeunesse sont convenus d</w:t>
      </w:r>
      <w:r w:rsidR="00784444">
        <w:t>’</w:t>
      </w:r>
      <w:r w:rsidRPr="00BD2C13">
        <w:t>accueillir, en 2019, 36 mineurs non accompagnés supplémentaires depuis la Grèce.</w:t>
      </w:r>
    </w:p>
    <w:p w14:paraId="6D3FDAFF" w14:textId="77777777" w:rsidR="003E175F" w:rsidRPr="00BD2C13" w:rsidRDefault="003E175F" w:rsidP="003E175F">
      <w:pPr>
        <w:pStyle w:val="SingleTxtG"/>
      </w:pPr>
      <w:r w:rsidRPr="00BD2C13">
        <w:t>252.</w:t>
      </w:r>
      <w:r w:rsidRPr="00BD2C13">
        <w:tab/>
        <w:t>Fin juin 2019, 6</w:t>
      </w:r>
      <w:r w:rsidR="00397D61" w:rsidRPr="00BD2C13">
        <w:t> </w:t>
      </w:r>
      <w:r w:rsidRPr="00BD2C13">
        <w:t>050 personnes séjournaient dans des centres d</w:t>
      </w:r>
      <w:r w:rsidR="00784444">
        <w:t>’</w:t>
      </w:r>
      <w:r w:rsidRPr="00BD2C13">
        <w:t>hébergement administrés par l</w:t>
      </w:r>
      <w:r w:rsidR="00784444">
        <w:t>’</w:t>
      </w:r>
      <w:r w:rsidRPr="00BD2C13">
        <w:t>Agence pour l</w:t>
      </w:r>
      <w:r w:rsidR="00784444">
        <w:t>’</w:t>
      </w:r>
      <w:r w:rsidRPr="00BD2C13">
        <w:t>accueil et l</w:t>
      </w:r>
      <w:r w:rsidR="00784444">
        <w:t>’</w:t>
      </w:r>
      <w:r w:rsidRPr="00BD2C13">
        <w:t>intégration. En outre, 988 personnes sont actuellement hébergées en urgence dans des hôtels et des maisons d</w:t>
      </w:r>
      <w:r w:rsidR="00784444">
        <w:t>’</w:t>
      </w:r>
      <w:r w:rsidRPr="00BD2C13">
        <w:t xml:space="preserve">hôtes. Toutes ces </w:t>
      </w:r>
      <w:r w:rsidRPr="00BD2C13">
        <w:lastRenderedPageBreak/>
        <w:t>personnes n</w:t>
      </w:r>
      <w:r w:rsidR="00784444">
        <w:t>’</w:t>
      </w:r>
      <w:r w:rsidRPr="00BD2C13">
        <w:t>attendent pas une décision sur leur demande de protection internationale. Près de 700 d</w:t>
      </w:r>
      <w:r w:rsidR="00784444">
        <w:t>’</w:t>
      </w:r>
      <w:r w:rsidRPr="00BD2C13">
        <w:t>entre elles ont obtenu une forme de statut, mais elles continuent à vivre dans un logement fourni par l</w:t>
      </w:r>
      <w:r w:rsidR="00784444">
        <w:t>’</w:t>
      </w:r>
      <w:r w:rsidRPr="00BD2C13">
        <w:t>État en attendant de trouver un logement privé. À la fin mai 2019, 51</w:t>
      </w:r>
      <w:r w:rsidR="00397D61" w:rsidRPr="00BD2C13">
        <w:t> </w:t>
      </w:r>
      <w:r w:rsidRPr="00BD2C13">
        <w:t>personnes vivant dans des centres de prise en charge directe de l</w:t>
      </w:r>
      <w:r w:rsidR="00784444">
        <w:t>’</w:t>
      </w:r>
      <w:r w:rsidRPr="00BD2C13">
        <w:t>Agence pour l</w:t>
      </w:r>
      <w:r w:rsidR="00784444">
        <w:t>’</w:t>
      </w:r>
      <w:r w:rsidRPr="00BD2C13">
        <w:t>accueil et l</w:t>
      </w:r>
      <w:r w:rsidR="00784444">
        <w:t>’</w:t>
      </w:r>
      <w:r w:rsidRPr="00BD2C13">
        <w:t>intégration depuis plus de cinq</w:t>
      </w:r>
      <w:r w:rsidR="00397D61" w:rsidRPr="00BD2C13">
        <w:t> </w:t>
      </w:r>
      <w:r w:rsidRPr="00BD2C13">
        <w:t>ans étaient visées par un arrêté d</w:t>
      </w:r>
      <w:r w:rsidR="00784444">
        <w:t>’</w:t>
      </w:r>
      <w:r w:rsidRPr="00BD2C13">
        <w:t>expulsion et devaient quitter le territoire. Le rapport du groupe de travail chargé de se pencher sur les améliorations à apporter au processus de protection, en particulier à la prise en charge directe et aux mesures d</w:t>
      </w:r>
      <w:r w:rsidR="00784444">
        <w:t>’</w:t>
      </w:r>
      <w:r w:rsidRPr="00BD2C13">
        <w:t>aide aux demandeurs d</w:t>
      </w:r>
      <w:r w:rsidR="00784444">
        <w:t>’</w:t>
      </w:r>
      <w:r w:rsidRPr="00BD2C13">
        <w:t>asile, a eu des retombées importantes, car des améliorations continuent d</w:t>
      </w:r>
      <w:r w:rsidR="00784444">
        <w:t>’</w:t>
      </w:r>
      <w:r w:rsidRPr="00BD2C13">
        <w:t>être apportées aux centres d</w:t>
      </w:r>
      <w:r w:rsidR="00784444">
        <w:t>’</w:t>
      </w:r>
      <w:r w:rsidRPr="00BD2C13">
        <w:t>hébergement. La durée moyenne de séjour des réfugiés dans les centres d</w:t>
      </w:r>
      <w:r w:rsidR="00784444">
        <w:t>’</w:t>
      </w:r>
      <w:r w:rsidRPr="00BD2C13">
        <w:t>hébergement fournis par l</w:t>
      </w:r>
      <w:r w:rsidR="00784444">
        <w:t>’</w:t>
      </w:r>
      <w:r w:rsidRPr="00BD2C13">
        <w:t xml:space="preserve">État est passée de </w:t>
      </w:r>
      <w:r w:rsidR="00397D61" w:rsidRPr="00BD2C13">
        <w:t>trente-huit</w:t>
      </w:r>
      <w:r w:rsidRPr="00BD2C13">
        <w:t xml:space="preserve"> mois en 2015 à </w:t>
      </w:r>
      <w:r w:rsidR="00397D61" w:rsidRPr="00BD2C13">
        <w:t>vingt-quatre</w:t>
      </w:r>
      <w:r w:rsidRPr="00BD2C13">
        <w:t xml:space="preserve"> mois à la fin 2018.</w:t>
      </w:r>
    </w:p>
    <w:p w14:paraId="45C151C3" w14:textId="77777777" w:rsidR="003E175F" w:rsidRPr="00BD2C13" w:rsidRDefault="003E175F" w:rsidP="003E175F">
      <w:pPr>
        <w:pStyle w:val="SingleTxtG"/>
      </w:pPr>
      <w:r w:rsidRPr="00BD2C13">
        <w:t>253.</w:t>
      </w:r>
      <w:r w:rsidRPr="00BD2C13">
        <w:tab/>
        <w:t>Fin mai 2019, le nombre de dossiers en attente de traitement par l</w:t>
      </w:r>
      <w:r w:rsidR="00784444">
        <w:t>’</w:t>
      </w:r>
      <w:r w:rsidRPr="00BD2C13">
        <w:t>Office de la protection internationale s</w:t>
      </w:r>
      <w:r w:rsidR="00784444">
        <w:t>’</w:t>
      </w:r>
      <w:r w:rsidRPr="00BD2C13">
        <w:t>établissait à 5</w:t>
      </w:r>
      <w:r w:rsidR="00397D61" w:rsidRPr="00BD2C13">
        <w:t> </w:t>
      </w:r>
      <w:r w:rsidRPr="00BD2C13">
        <w:t>729. Environ 1</w:t>
      </w:r>
      <w:r w:rsidR="00397D61" w:rsidRPr="00BD2C13">
        <w:t> </w:t>
      </w:r>
      <w:r w:rsidRPr="00BD2C13">
        <w:t>200 des personnes concernées (chiffre approximatif) ne coopèrent pas au processus de protection. Aux termes des mesures transitoires de la loi de 2015, l</w:t>
      </w:r>
      <w:r w:rsidR="00784444">
        <w:t>’</w:t>
      </w:r>
      <w:r w:rsidRPr="00BD2C13">
        <w:t>Office de la protection internationale devait prendre à sa charge l</w:t>
      </w:r>
      <w:r w:rsidR="00784444">
        <w:t>’</w:t>
      </w:r>
      <w:r w:rsidRPr="00BD2C13">
        <w:t>examen de quelque 3</w:t>
      </w:r>
      <w:r w:rsidR="00397D61" w:rsidRPr="00BD2C13">
        <w:t> </w:t>
      </w:r>
      <w:r w:rsidRPr="00BD2C13">
        <w:t>500 dossiers dont l</w:t>
      </w:r>
      <w:r w:rsidR="00784444">
        <w:t>’</w:t>
      </w:r>
      <w:r w:rsidRPr="00BD2C13">
        <w:t>ancien Commissariat aux demandes de statut de réfugié ou le Tribunal d</w:t>
      </w:r>
      <w:r w:rsidR="00784444">
        <w:t>’</w:t>
      </w:r>
      <w:r w:rsidRPr="00BD2C13">
        <w:t>appel en matière de statut de réfugié n</w:t>
      </w:r>
      <w:r w:rsidR="00784444">
        <w:t>’</w:t>
      </w:r>
      <w:r w:rsidRPr="00BD2C13">
        <w:t>avaient pas terminé l</w:t>
      </w:r>
      <w:r w:rsidR="00784444">
        <w:t>’</w:t>
      </w:r>
      <w:r w:rsidRPr="00BD2C13">
        <w:t>examen, auxquels devaient s</w:t>
      </w:r>
      <w:r w:rsidR="00784444">
        <w:t>’</w:t>
      </w:r>
      <w:r w:rsidRPr="00BD2C13">
        <w:t>ajouter 500 autres dossiers par la suite. Ces dispositions ont considérablement alourdi sa charge de travail. Des ressources supplémentaires ont été allouées à l</w:t>
      </w:r>
      <w:r w:rsidR="00784444">
        <w:t>’</w:t>
      </w:r>
      <w:r w:rsidRPr="00BD2C13">
        <w:t>Office pour y remédier et les procédures sont évaluées en continu pour optimiser les résultats et leur qualité. Il convient de noter que d</w:t>
      </w:r>
      <w:r w:rsidR="00784444">
        <w:t>’</w:t>
      </w:r>
      <w:r w:rsidRPr="00BD2C13">
        <w:t>autres dossiers peuvent s</w:t>
      </w:r>
      <w:r w:rsidR="00784444">
        <w:t>’</w:t>
      </w:r>
      <w:r w:rsidRPr="00BD2C13">
        <w:t>ajouter à cette catégorie si d</w:t>
      </w:r>
      <w:r w:rsidR="00784444">
        <w:t>’</w:t>
      </w:r>
      <w:r w:rsidRPr="00BD2C13">
        <w:t>anciens dossiers, précédemment traités dans le cadre de la procédure de Dublin, sont échus ou réactivés ou si un dossier est rouvert à la suite d</w:t>
      </w:r>
      <w:r w:rsidR="00784444">
        <w:t>’</w:t>
      </w:r>
      <w:r w:rsidRPr="00BD2C13">
        <w:t>une procédure de contrôle judiciaire.</w:t>
      </w:r>
    </w:p>
    <w:p w14:paraId="246A79B0" w14:textId="77777777" w:rsidR="003E175F" w:rsidRPr="00BD2C13" w:rsidRDefault="003E175F" w:rsidP="003E175F">
      <w:pPr>
        <w:pStyle w:val="SingleTxtG"/>
      </w:pPr>
      <w:r w:rsidRPr="00BD2C13">
        <w:t>254.</w:t>
      </w:r>
      <w:r w:rsidRPr="00BD2C13">
        <w:tab/>
        <w:t>Dans le cadre de la procédure de demande unique, les demandeurs d</w:t>
      </w:r>
      <w:r w:rsidR="00784444">
        <w:t>’</w:t>
      </w:r>
      <w:r w:rsidRPr="00BD2C13">
        <w:t>asile présentent une seule demande et les motifs pour lesquels ils sollicitent une protection internationale (statut de réfugié et protection subsidiaire) ou l</w:t>
      </w:r>
      <w:r w:rsidR="00784444">
        <w:t>’</w:t>
      </w:r>
      <w:r w:rsidRPr="00BD2C13">
        <w:t>autorisation de rester sur le territoire pour des raisons humanitaires sont examinés et déterminés dans le cadre d</w:t>
      </w:r>
      <w:r w:rsidR="00784444">
        <w:t>’</w:t>
      </w:r>
      <w:r w:rsidRPr="00BD2C13">
        <w:t>une seule procédure. Le traitement de ces affaires est complexe, mobilise de nombreuses ressources et doit se faire dans le strict respect de la Constitution, ainsi que des traités internationaux pertinents, tels que la Convention européenne des droits de l</w:t>
      </w:r>
      <w:r w:rsidR="00784444">
        <w:t>’</w:t>
      </w:r>
      <w:r w:rsidRPr="00BD2C13">
        <w:t>homme.</w:t>
      </w:r>
    </w:p>
    <w:bookmarkEnd w:id="173"/>
    <w:p w14:paraId="23CB123B" w14:textId="77777777" w:rsidR="003E175F" w:rsidRPr="00BD2C13" w:rsidRDefault="003E175F" w:rsidP="00DA24FB">
      <w:pPr>
        <w:pStyle w:val="SingleTxtG"/>
        <w:keepNext/>
      </w:pPr>
      <w:r w:rsidRPr="00BD2C13">
        <w:t>255.</w:t>
      </w:r>
      <w:r w:rsidRPr="00BD2C13">
        <w:tab/>
        <w:t>On trouvera dans le tableau ci-après le nombre de demandes de statut de réfugié accordées ou refusées en première instance et en appel pour la période 2013</w:t>
      </w:r>
      <w:r w:rsidR="00397D61" w:rsidRPr="00BD2C13">
        <w:noBreakHyphen/>
      </w:r>
      <w:r w:rsidRPr="00BD2C13">
        <w:t>2018</w:t>
      </w:r>
      <w:r w:rsidR="00397D61" w:rsidRPr="00BD2C13">
        <w:t> </w:t>
      </w:r>
      <w:r w:rsidRPr="00BD2C13">
        <w:t>:</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1316"/>
        <w:gridCol w:w="1372"/>
        <w:gridCol w:w="1637"/>
        <w:gridCol w:w="1638"/>
        <w:gridCol w:w="840"/>
        <w:gridCol w:w="1100"/>
      </w:tblGrid>
      <w:tr w:rsidR="00376D65" w:rsidRPr="00BD2C13" w14:paraId="7A3816AD" w14:textId="77777777" w:rsidTr="003C2868">
        <w:trPr>
          <w:tblHeader/>
        </w:trPr>
        <w:tc>
          <w:tcPr>
            <w:tcW w:w="602" w:type="dxa"/>
            <w:tcBorders>
              <w:top w:val="single" w:sz="4" w:space="0" w:color="auto"/>
              <w:bottom w:val="single" w:sz="12" w:space="0" w:color="auto"/>
            </w:tcBorders>
            <w:shd w:val="clear" w:color="auto" w:fill="auto"/>
            <w:vAlign w:val="bottom"/>
          </w:tcPr>
          <w:p w14:paraId="40872B3D" w14:textId="77777777" w:rsidR="00DB3BFF" w:rsidRPr="00BD2C13" w:rsidRDefault="00DB3BFF" w:rsidP="00DB3BFF">
            <w:pPr>
              <w:suppressAutoHyphens w:val="0"/>
              <w:spacing w:before="80" w:after="80" w:line="200" w:lineRule="exact"/>
              <w:rPr>
                <w:i/>
                <w:sz w:val="16"/>
              </w:rPr>
            </w:pPr>
            <w:r w:rsidRPr="00BD2C13">
              <w:rPr>
                <w:i/>
                <w:sz w:val="16"/>
              </w:rPr>
              <w:t>Année</w:t>
            </w:r>
          </w:p>
        </w:tc>
        <w:tc>
          <w:tcPr>
            <w:tcW w:w="1316" w:type="dxa"/>
            <w:tcBorders>
              <w:top w:val="single" w:sz="4" w:space="0" w:color="auto"/>
              <w:bottom w:val="single" w:sz="12" w:space="0" w:color="auto"/>
            </w:tcBorders>
            <w:shd w:val="clear" w:color="auto" w:fill="auto"/>
            <w:vAlign w:val="bottom"/>
          </w:tcPr>
          <w:p w14:paraId="1C9299C8" w14:textId="77777777" w:rsidR="00DB3BFF" w:rsidRPr="003C2868" w:rsidRDefault="00DB3BFF" w:rsidP="00DB3BFF">
            <w:pPr>
              <w:suppressAutoHyphens w:val="0"/>
              <w:spacing w:before="80" w:after="80" w:line="200" w:lineRule="exact"/>
              <w:jc w:val="right"/>
              <w:rPr>
                <w:bCs/>
                <w:i/>
                <w:iCs/>
                <w:spacing w:val="-2"/>
                <w:sz w:val="16"/>
              </w:rPr>
            </w:pPr>
            <w:r w:rsidRPr="003C2868">
              <w:rPr>
                <w:bCs/>
                <w:i/>
                <w:iCs/>
                <w:spacing w:val="-2"/>
                <w:sz w:val="16"/>
              </w:rPr>
              <w:t>Demandes</w:t>
            </w:r>
            <w:r w:rsidR="003C2868" w:rsidRPr="003C2868">
              <w:rPr>
                <w:bCs/>
                <w:i/>
                <w:iCs/>
                <w:spacing w:val="-2"/>
                <w:sz w:val="16"/>
              </w:rPr>
              <w:t xml:space="preserve"> </w:t>
            </w:r>
            <w:r w:rsidRPr="003C2868">
              <w:rPr>
                <w:bCs/>
                <w:i/>
                <w:iCs/>
                <w:spacing w:val="-2"/>
                <w:sz w:val="16"/>
              </w:rPr>
              <w:t xml:space="preserve">de statut </w:t>
            </w:r>
            <w:r w:rsidR="003C2868" w:rsidRPr="003C2868">
              <w:rPr>
                <w:bCs/>
                <w:i/>
                <w:iCs/>
                <w:spacing w:val="-2"/>
                <w:sz w:val="16"/>
              </w:rPr>
              <w:br/>
            </w:r>
            <w:r w:rsidRPr="003C2868">
              <w:rPr>
                <w:bCs/>
                <w:i/>
                <w:iCs/>
                <w:spacing w:val="-2"/>
                <w:sz w:val="16"/>
              </w:rPr>
              <w:t>de réfugié</w:t>
            </w:r>
            <w:r w:rsidR="003C2868" w:rsidRPr="003C2868">
              <w:rPr>
                <w:bCs/>
                <w:i/>
                <w:iCs/>
                <w:spacing w:val="-2"/>
                <w:sz w:val="16"/>
              </w:rPr>
              <w:t xml:space="preserve"> </w:t>
            </w:r>
            <w:r w:rsidRPr="003C2868">
              <w:rPr>
                <w:bCs/>
                <w:i/>
                <w:iCs/>
                <w:spacing w:val="-2"/>
                <w:sz w:val="16"/>
              </w:rPr>
              <w:t>accordées</w:t>
            </w:r>
          </w:p>
        </w:tc>
        <w:tc>
          <w:tcPr>
            <w:tcW w:w="1372" w:type="dxa"/>
            <w:tcBorders>
              <w:top w:val="single" w:sz="4" w:space="0" w:color="auto"/>
              <w:bottom w:val="single" w:sz="12" w:space="0" w:color="auto"/>
            </w:tcBorders>
            <w:shd w:val="clear" w:color="auto" w:fill="auto"/>
            <w:vAlign w:val="bottom"/>
          </w:tcPr>
          <w:p w14:paraId="3F22403C" w14:textId="77777777" w:rsidR="00DB3BFF" w:rsidRPr="00BD2C13" w:rsidRDefault="00DB3BFF" w:rsidP="00DB3BFF">
            <w:pPr>
              <w:suppressAutoHyphens w:val="0"/>
              <w:spacing w:before="80" w:after="80" w:line="200" w:lineRule="exact"/>
              <w:jc w:val="right"/>
              <w:rPr>
                <w:i/>
                <w:sz w:val="16"/>
              </w:rPr>
            </w:pPr>
            <w:r w:rsidRPr="003C2868">
              <w:rPr>
                <w:bCs/>
                <w:i/>
                <w:iCs/>
                <w:spacing w:val="-2"/>
                <w:sz w:val="16"/>
              </w:rPr>
              <w:t>Demandes</w:t>
            </w:r>
            <w:r w:rsidR="003C2868">
              <w:rPr>
                <w:bCs/>
                <w:i/>
                <w:iCs/>
                <w:spacing w:val="-2"/>
                <w:sz w:val="16"/>
              </w:rPr>
              <w:t xml:space="preserve"> </w:t>
            </w:r>
            <w:r w:rsidRPr="00BD2C13">
              <w:rPr>
                <w:bCs/>
                <w:i/>
                <w:iCs/>
                <w:sz w:val="16"/>
              </w:rPr>
              <w:t>de statut</w:t>
            </w:r>
            <w:r w:rsidR="003C2868">
              <w:rPr>
                <w:bCs/>
                <w:i/>
                <w:iCs/>
                <w:sz w:val="16"/>
              </w:rPr>
              <w:br/>
            </w:r>
            <w:r w:rsidRPr="00BD2C13">
              <w:rPr>
                <w:bCs/>
                <w:i/>
                <w:iCs/>
                <w:sz w:val="16"/>
              </w:rPr>
              <w:t xml:space="preserve">de </w:t>
            </w:r>
            <w:r w:rsidRPr="003C2868">
              <w:rPr>
                <w:bCs/>
                <w:i/>
                <w:iCs/>
                <w:spacing w:val="-2"/>
                <w:sz w:val="16"/>
              </w:rPr>
              <w:t>réfugié</w:t>
            </w:r>
            <w:r w:rsidRPr="00BD2C13">
              <w:rPr>
                <w:bCs/>
                <w:i/>
                <w:iCs/>
                <w:sz w:val="16"/>
              </w:rPr>
              <w:t xml:space="preserve"> </w:t>
            </w:r>
            <w:r w:rsidRPr="003C2868">
              <w:rPr>
                <w:bCs/>
                <w:i/>
                <w:iCs/>
                <w:spacing w:val="-2"/>
                <w:sz w:val="16"/>
              </w:rPr>
              <w:t>refusées</w:t>
            </w:r>
          </w:p>
        </w:tc>
        <w:tc>
          <w:tcPr>
            <w:tcW w:w="1637" w:type="dxa"/>
            <w:tcBorders>
              <w:top w:val="single" w:sz="4" w:space="0" w:color="auto"/>
              <w:bottom w:val="single" w:sz="12" w:space="0" w:color="auto"/>
            </w:tcBorders>
            <w:shd w:val="clear" w:color="auto" w:fill="auto"/>
            <w:vAlign w:val="bottom"/>
          </w:tcPr>
          <w:p w14:paraId="20070894" w14:textId="77777777" w:rsidR="00DB3BFF" w:rsidRPr="003C2868" w:rsidRDefault="00DB3BFF" w:rsidP="00DB3BFF">
            <w:pPr>
              <w:suppressAutoHyphens w:val="0"/>
              <w:spacing w:before="80" w:after="80" w:line="200" w:lineRule="exact"/>
              <w:jc w:val="right"/>
              <w:rPr>
                <w:i/>
                <w:spacing w:val="-2"/>
                <w:sz w:val="16"/>
              </w:rPr>
            </w:pPr>
            <w:r w:rsidRPr="003C2868">
              <w:rPr>
                <w:i/>
                <w:spacing w:val="-2"/>
                <w:sz w:val="16"/>
              </w:rPr>
              <w:t>Demandes</w:t>
            </w:r>
            <w:r w:rsidR="003C2868" w:rsidRPr="003C2868">
              <w:rPr>
                <w:i/>
                <w:spacing w:val="-2"/>
                <w:sz w:val="16"/>
              </w:rPr>
              <w:t xml:space="preserve"> </w:t>
            </w:r>
            <w:r w:rsidRPr="003C2868">
              <w:rPr>
                <w:i/>
                <w:spacing w:val="-2"/>
                <w:sz w:val="16"/>
              </w:rPr>
              <w:t xml:space="preserve">de protection </w:t>
            </w:r>
            <w:r w:rsidR="00376D65" w:rsidRPr="003C2868">
              <w:rPr>
                <w:i/>
                <w:spacing w:val="-2"/>
                <w:sz w:val="16"/>
              </w:rPr>
              <w:br/>
            </w:r>
            <w:r w:rsidRPr="003C2868">
              <w:rPr>
                <w:i/>
                <w:spacing w:val="-2"/>
                <w:sz w:val="16"/>
              </w:rPr>
              <w:t>subsidiaire accordées</w:t>
            </w:r>
          </w:p>
        </w:tc>
        <w:tc>
          <w:tcPr>
            <w:tcW w:w="1638" w:type="dxa"/>
            <w:tcBorders>
              <w:top w:val="single" w:sz="4" w:space="0" w:color="auto"/>
              <w:bottom w:val="single" w:sz="12" w:space="0" w:color="auto"/>
            </w:tcBorders>
            <w:shd w:val="clear" w:color="auto" w:fill="auto"/>
            <w:vAlign w:val="bottom"/>
          </w:tcPr>
          <w:p w14:paraId="48E0D3E2" w14:textId="77777777" w:rsidR="00DB3BFF" w:rsidRPr="003C2868" w:rsidRDefault="00DB3BFF" w:rsidP="00DB3BFF">
            <w:pPr>
              <w:suppressAutoHyphens w:val="0"/>
              <w:spacing w:before="80" w:after="80" w:line="200" w:lineRule="exact"/>
              <w:jc w:val="right"/>
              <w:rPr>
                <w:i/>
                <w:spacing w:val="-2"/>
                <w:sz w:val="16"/>
              </w:rPr>
            </w:pPr>
            <w:r w:rsidRPr="003C2868">
              <w:rPr>
                <w:i/>
                <w:spacing w:val="-2"/>
                <w:sz w:val="16"/>
              </w:rPr>
              <w:t>Demandes</w:t>
            </w:r>
            <w:r w:rsidR="003C2868" w:rsidRPr="003C2868">
              <w:rPr>
                <w:i/>
                <w:spacing w:val="-2"/>
                <w:sz w:val="16"/>
              </w:rPr>
              <w:t xml:space="preserve"> </w:t>
            </w:r>
            <w:r w:rsidRPr="003C2868">
              <w:rPr>
                <w:i/>
                <w:spacing w:val="-2"/>
                <w:sz w:val="16"/>
              </w:rPr>
              <w:t>de protection</w:t>
            </w:r>
            <w:r w:rsidR="003C2868">
              <w:rPr>
                <w:i/>
                <w:spacing w:val="-2"/>
                <w:sz w:val="16"/>
              </w:rPr>
              <w:br/>
            </w:r>
            <w:r w:rsidRPr="003C2868">
              <w:rPr>
                <w:i/>
                <w:spacing w:val="-2"/>
                <w:sz w:val="16"/>
              </w:rPr>
              <w:t>subsidiaire refusées</w:t>
            </w:r>
          </w:p>
        </w:tc>
        <w:tc>
          <w:tcPr>
            <w:tcW w:w="840" w:type="dxa"/>
            <w:tcBorders>
              <w:top w:val="single" w:sz="4" w:space="0" w:color="auto"/>
              <w:bottom w:val="single" w:sz="12" w:space="0" w:color="auto"/>
            </w:tcBorders>
            <w:shd w:val="clear" w:color="auto" w:fill="auto"/>
            <w:vAlign w:val="bottom"/>
          </w:tcPr>
          <w:p w14:paraId="742D4ED4" w14:textId="77777777" w:rsidR="00DB3BFF" w:rsidRPr="00BD2C13" w:rsidRDefault="00DB3BFF" w:rsidP="00DB3BFF">
            <w:pPr>
              <w:suppressAutoHyphens w:val="0"/>
              <w:spacing w:before="80" w:after="80" w:line="200" w:lineRule="exact"/>
              <w:jc w:val="right"/>
              <w:rPr>
                <w:i/>
                <w:sz w:val="16"/>
              </w:rPr>
            </w:pPr>
            <w:r w:rsidRPr="00BD2C13">
              <w:rPr>
                <w:i/>
                <w:sz w:val="16"/>
              </w:rPr>
              <w:t>Total</w:t>
            </w:r>
          </w:p>
        </w:tc>
        <w:tc>
          <w:tcPr>
            <w:tcW w:w="1100" w:type="dxa"/>
            <w:tcBorders>
              <w:top w:val="single" w:sz="4" w:space="0" w:color="auto"/>
              <w:bottom w:val="single" w:sz="12" w:space="0" w:color="auto"/>
            </w:tcBorders>
            <w:shd w:val="clear" w:color="auto" w:fill="auto"/>
            <w:vAlign w:val="bottom"/>
          </w:tcPr>
          <w:p w14:paraId="09361108" w14:textId="77777777" w:rsidR="00DB3BFF" w:rsidRPr="00BD2C13" w:rsidRDefault="00DB3BFF" w:rsidP="00DB3BFF">
            <w:pPr>
              <w:suppressAutoHyphens w:val="0"/>
              <w:spacing w:before="80" w:after="80" w:line="200" w:lineRule="exact"/>
              <w:jc w:val="right"/>
              <w:rPr>
                <w:i/>
                <w:sz w:val="16"/>
              </w:rPr>
            </w:pPr>
            <w:r w:rsidRPr="00BD2C13">
              <w:rPr>
                <w:i/>
                <w:sz w:val="16"/>
              </w:rPr>
              <w:t>Pourcentage</w:t>
            </w:r>
          </w:p>
        </w:tc>
      </w:tr>
      <w:tr w:rsidR="00376D65" w:rsidRPr="00BD2C13" w14:paraId="5CDCA478" w14:textId="77777777" w:rsidTr="003C2868">
        <w:tc>
          <w:tcPr>
            <w:tcW w:w="602" w:type="dxa"/>
            <w:tcBorders>
              <w:top w:val="single" w:sz="12" w:space="0" w:color="auto"/>
            </w:tcBorders>
            <w:shd w:val="clear" w:color="auto" w:fill="auto"/>
          </w:tcPr>
          <w:p w14:paraId="54CAE295" w14:textId="77777777" w:rsidR="00DB3BFF" w:rsidRPr="00BD2C13" w:rsidRDefault="00DB3BFF" w:rsidP="00DB3BFF">
            <w:pPr>
              <w:suppressAutoHyphens w:val="0"/>
              <w:spacing w:before="40" w:after="40" w:line="220" w:lineRule="exact"/>
              <w:rPr>
                <w:sz w:val="18"/>
              </w:rPr>
            </w:pPr>
            <w:r w:rsidRPr="00BD2C13">
              <w:rPr>
                <w:sz w:val="18"/>
              </w:rPr>
              <w:t>2013</w:t>
            </w:r>
          </w:p>
        </w:tc>
        <w:tc>
          <w:tcPr>
            <w:tcW w:w="1316" w:type="dxa"/>
            <w:tcBorders>
              <w:top w:val="single" w:sz="12" w:space="0" w:color="auto"/>
            </w:tcBorders>
            <w:shd w:val="clear" w:color="auto" w:fill="auto"/>
            <w:vAlign w:val="bottom"/>
          </w:tcPr>
          <w:p w14:paraId="06635229" w14:textId="77777777" w:rsidR="00DB3BFF" w:rsidRPr="00BD2C13" w:rsidRDefault="00DB3BFF" w:rsidP="00DB3BFF">
            <w:pPr>
              <w:suppressAutoHyphens w:val="0"/>
              <w:spacing w:before="40" w:after="40" w:line="220" w:lineRule="exact"/>
              <w:jc w:val="right"/>
              <w:rPr>
                <w:sz w:val="18"/>
              </w:rPr>
            </w:pPr>
            <w:r w:rsidRPr="00BD2C13">
              <w:rPr>
                <w:sz w:val="18"/>
              </w:rPr>
              <w:t>192</w:t>
            </w:r>
          </w:p>
        </w:tc>
        <w:tc>
          <w:tcPr>
            <w:tcW w:w="1372" w:type="dxa"/>
            <w:tcBorders>
              <w:top w:val="single" w:sz="12" w:space="0" w:color="auto"/>
            </w:tcBorders>
            <w:shd w:val="clear" w:color="auto" w:fill="auto"/>
            <w:vAlign w:val="bottom"/>
          </w:tcPr>
          <w:p w14:paraId="2B53B52E" w14:textId="77777777" w:rsidR="00DB3BFF" w:rsidRPr="00BD2C13" w:rsidRDefault="00DB3BFF" w:rsidP="00DB3BFF">
            <w:pPr>
              <w:suppressAutoHyphens w:val="0"/>
              <w:spacing w:before="40" w:after="40" w:line="220" w:lineRule="exact"/>
              <w:jc w:val="right"/>
              <w:rPr>
                <w:sz w:val="18"/>
              </w:rPr>
            </w:pPr>
            <w:r w:rsidRPr="00BD2C13">
              <w:rPr>
                <w:sz w:val="18"/>
              </w:rPr>
              <w:t>766</w:t>
            </w:r>
          </w:p>
        </w:tc>
        <w:tc>
          <w:tcPr>
            <w:tcW w:w="1637" w:type="dxa"/>
            <w:tcBorders>
              <w:top w:val="single" w:sz="12" w:space="0" w:color="auto"/>
            </w:tcBorders>
            <w:shd w:val="clear" w:color="auto" w:fill="auto"/>
            <w:vAlign w:val="bottom"/>
          </w:tcPr>
          <w:p w14:paraId="455A67B9" w14:textId="77777777" w:rsidR="00DB3BFF" w:rsidRPr="00BD2C13" w:rsidRDefault="00DB3BFF" w:rsidP="00DB3BFF">
            <w:pPr>
              <w:suppressAutoHyphens w:val="0"/>
              <w:spacing w:before="40" w:after="40" w:line="220" w:lineRule="exact"/>
              <w:jc w:val="right"/>
              <w:rPr>
                <w:sz w:val="18"/>
              </w:rPr>
            </w:pPr>
            <w:r w:rsidRPr="00BD2C13">
              <w:rPr>
                <w:sz w:val="18"/>
              </w:rPr>
              <w:t>-</w:t>
            </w:r>
          </w:p>
        </w:tc>
        <w:tc>
          <w:tcPr>
            <w:tcW w:w="1638" w:type="dxa"/>
            <w:tcBorders>
              <w:top w:val="single" w:sz="12" w:space="0" w:color="auto"/>
            </w:tcBorders>
            <w:shd w:val="clear" w:color="auto" w:fill="auto"/>
            <w:vAlign w:val="bottom"/>
          </w:tcPr>
          <w:p w14:paraId="3849FF05" w14:textId="77777777" w:rsidR="00DB3BFF" w:rsidRPr="00BD2C13" w:rsidRDefault="00DB3BFF" w:rsidP="00DB3BFF">
            <w:pPr>
              <w:suppressAutoHyphens w:val="0"/>
              <w:spacing w:before="40" w:after="40" w:line="220" w:lineRule="exact"/>
              <w:jc w:val="right"/>
              <w:rPr>
                <w:sz w:val="18"/>
              </w:rPr>
            </w:pPr>
            <w:r w:rsidRPr="00BD2C13">
              <w:rPr>
                <w:sz w:val="18"/>
              </w:rPr>
              <w:t>-</w:t>
            </w:r>
          </w:p>
        </w:tc>
        <w:tc>
          <w:tcPr>
            <w:tcW w:w="840" w:type="dxa"/>
            <w:tcBorders>
              <w:top w:val="single" w:sz="12" w:space="0" w:color="auto"/>
            </w:tcBorders>
            <w:shd w:val="clear" w:color="auto" w:fill="auto"/>
            <w:vAlign w:val="bottom"/>
          </w:tcPr>
          <w:p w14:paraId="09C9425B" w14:textId="77777777" w:rsidR="00DB3BFF" w:rsidRPr="00BD2C13" w:rsidRDefault="00DB3BFF" w:rsidP="00DB3BFF">
            <w:pPr>
              <w:suppressAutoHyphens w:val="0"/>
              <w:spacing w:before="40" w:after="40" w:line="220" w:lineRule="exact"/>
              <w:jc w:val="right"/>
              <w:rPr>
                <w:sz w:val="18"/>
              </w:rPr>
            </w:pPr>
            <w:r w:rsidRPr="00BD2C13">
              <w:rPr>
                <w:sz w:val="18"/>
              </w:rPr>
              <w:t>958</w:t>
            </w:r>
          </w:p>
        </w:tc>
        <w:tc>
          <w:tcPr>
            <w:tcW w:w="1100" w:type="dxa"/>
            <w:tcBorders>
              <w:top w:val="single" w:sz="12" w:space="0" w:color="auto"/>
            </w:tcBorders>
            <w:shd w:val="clear" w:color="auto" w:fill="auto"/>
            <w:vAlign w:val="bottom"/>
          </w:tcPr>
          <w:p w14:paraId="090340E1" w14:textId="77777777" w:rsidR="00DB3BFF" w:rsidRPr="00BD2C13" w:rsidRDefault="00DB3BFF" w:rsidP="00DB3BFF">
            <w:pPr>
              <w:suppressAutoHyphens w:val="0"/>
              <w:spacing w:before="40" w:after="40" w:line="220" w:lineRule="exact"/>
              <w:jc w:val="right"/>
              <w:rPr>
                <w:sz w:val="18"/>
              </w:rPr>
            </w:pPr>
            <w:r w:rsidRPr="00BD2C13">
              <w:rPr>
                <w:sz w:val="18"/>
              </w:rPr>
              <w:t>20,04 %</w:t>
            </w:r>
          </w:p>
        </w:tc>
      </w:tr>
      <w:tr w:rsidR="00376D65" w:rsidRPr="00BD2C13" w14:paraId="23BF1036" w14:textId="77777777" w:rsidTr="003C2868">
        <w:tc>
          <w:tcPr>
            <w:tcW w:w="602" w:type="dxa"/>
            <w:shd w:val="clear" w:color="auto" w:fill="auto"/>
          </w:tcPr>
          <w:p w14:paraId="179E7A4B" w14:textId="77777777" w:rsidR="00DB3BFF" w:rsidRPr="00BD2C13" w:rsidRDefault="00DB3BFF" w:rsidP="00DB3BFF">
            <w:pPr>
              <w:suppressAutoHyphens w:val="0"/>
              <w:spacing w:before="40" w:after="40" w:line="220" w:lineRule="exact"/>
              <w:rPr>
                <w:sz w:val="18"/>
              </w:rPr>
            </w:pPr>
            <w:r w:rsidRPr="00BD2C13">
              <w:rPr>
                <w:sz w:val="18"/>
              </w:rPr>
              <w:t>2014</w:t>
            </w:r>
          </w:p>
        </w:tc>
        <w:tc>
          <w:tcPr>
            <w:tcW w:w="1316" w:type="dxa"/>
            <w:shd w:val="clear" w:color="auto" w:fill="auto"/>
            <w:vAlign w:val="bottom"/>
          </w:tcPr>
          <w:p w14:paraId="35C65BE6" w14:textId="77777777" w:rsidR="00DB3BFF" w:rsidRPr="00BD2C13" w:rsidRDefault="00DB3BFF" w:rsidP="00DB3BFF">
            <w:pPr>
              <w:suppressAutoHyphens w:val="0"/>
              <w:spacing w:before="40" w:after="40" w:line="220" w:lineRule="exact"/>
              <w:jc w:val="right"/>
              <w:rPr>
                <w:sz w:val="18"/>
              </w:rPr>
            </w:pPr>
            <w:r w:rsidRPr="00BD2C13">
              <w:rPr>
                <w:sz w:val="18"/>
              </w:rPr>
              <w:t>207</w:t>
            </w:r>
          </w:p>
        </w:tc>
        <w:tc>
          <w:tcPr>
            <w:tcW w:w="1372" w:type="dxa"/>
            <w:shd w:val="clear" w:color="auto" w:fill="auto"/>
            <w:vAlign w:val="bottom"/>
          </w:tcPr>
          <w:p w14:paraId="15C0596E" w14:textId="77777777" w:rsidR="00DB3BFF" w:rsidRPr="00BD2C13" w:rsidRDefault="00DB3BFF" w:rsidP="00DB3BFF">
            <w:pPr>
              <w:suppressAutoHyphens w:val="0"/>
              <w:spacing w:before="40" w:after="40" w:line="220" w:lineRule="exact"/>
              <w:jc w:val="right"/>
              <w:rPr>
                <w:sz w:val="18"/>
              </w:rPr>
            </w:pPr>
            <w:r w:rsidRPr="00BD2C13">
              <w:rPr>
                <w:sz w:val="18"/>
              </w:rPr>
              <w:t>458</w:t>
            </w:r>
          </w:p>
        </w:tc>
        <w:tc>
          <w:tcPr>
            <w:tcW w:w="1637" w:type="dxa"/>
            <w:shd w:val="clear" w:color="auto" w:fill="auto"/>
            <w:vAlign w:val="bottom"/>
          </w:tcPr>
          <w:p w14:paraId="0F338065" w14:textId="77777777" w:rsidR="00DB3BFF" w:rsidRPr="00BD2C13" w:rsidRDefault="00DB3BFF" w:rsidP="00DB3BFF">
            <w:pPr>
              <w:suppressAutoHyphens w:val="0"/>
              <w:spacing w:before="40" w:after="40" w:line="220" w:lineRule="exact"/>
              <w:jc w:val="right"/>
              <w:rPr>
                <w:sz w:val="18"/>
              </w:rPr>
            </w:pPr>
            <w:r w:rsidRPr="00BD2C13">
              <w:rPr>
                <w:sz w:val="18"/>
              </w:rPr>
              <w:t>262</w:t>
            </w:r>
          </w:p>
        </w:tc>
        <w:tc>
          <w:tcPr>
            <w:tcW w:w="1638" w:type="dxa"/>
            <w:shd w:val="clear" w:color="auto" w:fill="auto"/>
            <w:vAlign w:val="bottom"/>
          </w:tcPr>
          <w:p w14:paraId="45D15558" w14:textId="77777777" w:rsidR="00DB3BFF" w:rsidRPr="00BD2C13" w:rsidRDefault="00DB3BFF" w:rsidP="00DB3BFF">
            <w:pPr>
              <w:suppressAutoHyphens w:val="0"/>
              <w:spacing w:before="40" w:after="40" w:line="220" w:lineRule="exact"/>
              <w:jc w:val="right"/>
              <w:rPr>
                <w:sz w:val="18"/>
              </w:rPr>
            </w:pPr>
            <w:r w:rsidRPr="00BD2C13">
              <w:rPr>
                <w:sz w:val="18"/>
              </w:rPr>
              <w:t>731</w:t>
            </w:r>
          </w:p>
        </w:tc>
        <w:tc>
          <w:tcPr>
            <w:tcW w:w="840" w:type="dxa"/>
            <w:shd w:val="clear" w:color="auto" w:fill="auto"/>
            <w:vAlign w:val="bottom"/>
          </w:tcPr>
          <w:p w14:paraId="0AC3E2B8" w14:textId="77777777" w:rsidR="00DB3BFF" w:rsidRPr="00BD2C13" w:rsidRDefault="00DB3BFF" w:rsidP="00DB3BFF">
            <w:pPr>
              <w:suppressAutoHyphens w:val="0"/>
              <w:spacing w:before="40" w:after="40" w:line="220" w:lineRule="exact"/>
              <w:jc w:val="right"/>
              <w:rPr>
                <w:sz w:val="18"/>
              </w:rPr>
            </w:pPr>
            <w:r w:rsidRPr="00BD2C13">
              <w:rPr>
                <w:sz w:val="18"/>
              </w:rPr>
              <w:t>1</w:t>
            </w:r>
            <w:r w:rsidR="008C140F">
              <w:rPr>
                <w:sz w:val="18"/>
              </w:rPr>
              <w:t xml:space="preserve"> </w:t>
            </w:r>
            <w:r w:rsidRPr="00BD2C13">
              <w:rPr>
                <w:sz w:val="18"/>
              </w:rPr>
              <w:t>658</w:t>
            </w:r>
          </w:p>
        </w:tc>
        <w:tc>
          <w:tcPr>
            <w:tcW w:w="1100" w:type="dxa"/>
            <w:shd w:val="clear" w:color="auto" w:fill="auto"/>
            <w:vAlign w:val="bottom"/>
          </w:tcPr>
          <w:p w14:paraId="17DD66D7" w14:textId="77777777" w:rsidR="00DB3BFF" w:rsidRPr="00BD2C13" w:rsidRDefault="00DB3BFF" w:rsidP="00DB3BFF">
            <w:pPr>
              <w:suppressAutoHyphens w:val="0"/>
              <w:spacing w:before="40" w:after="40" w:line="220" w:lineRule="exact"/>
              <w:jc w:val="right"/>
              <w:rPr>
                <w:sz w:val="18"/>
              </w:rPr>
            </w:pPr>
            <w:r w:rsidRPr="00BD2C13">
              <w:rPr>
                <w:sz w:val="18"/>
              </w:rPr>
              <w:t>28,28 %</w:t>
            </w:r>
          </w:p>
        </w:tc>
      </w:tr>
      <w:tr w:rsidR="00376D65" w:rsidRPr="00BD2C13" w14:paraId="4FCC36DF" w14:textId="77777777" w:rsidTr="003C2868">
        <w:tc>
          <w:tcPr>
            <w:tcW w:w="602" w:type="dxa"/>
            <w:shd w:val="clear" w:color="auto" w:fill="auto"/>
          </w:tcPr>
          <w:p w14:paraId="73DDB3BE" w14:textId="77777777" w:rsidR="00DB3BFF" w:rsidRPr="00BD2C13" w:rsidRDefault="00DB3BFF" w:rsidP="00DB3BFF">
            <w:pPr>
              <w:suppressAutoHyphens w:val="0"/>
              <w:spacing w:before="40" w:after="40" w:line="220" w:lineRule="exact"/>
              <w:rPr>
                <w:sz w:val="18"/>
              </w:rPr>
            </w:pPr>
            <w:r w:rsidRPr="00BD2C13">
              <w:rPr>
                <w:sz w:val="18"/>
              </w:rPr>
              <w:t>2015</w:t>
            </w:r>
          </w:p>
        </w:tc>
        <w:tc>
          <w:tcPr>
            <w:tcW w:w="1316" w:type="dxa"/>
            <w:shd w:val="clear" w:color="auto" w:fill="auto"/>
            <w:vAlign w:val="bottom"/>
          </w:tcPr>
          <w:p w14:paraId="1B456ED8" w14:textId="77777777" w:rsidR="00DB3BFF" w:rsidRPr="00BD2C13" w:rsidRDefault="00DB3BFF" w:rsidP="00DB3BFF">
            <w:pPr>
              <w:suppressAutoHyphens w:val="0"/>
              <w:spacing w:before="40" w:after="40" w:line="220" w:lineRule="exact"/>
              <w:jc w:val="right"/>
              <w:rPr>
                <w:sz w:val="18"/>
              </w:rPr>
            </w:pPr>
            <w:r w:rsidRPr="00BD2C13">
              <w:rPr>
                <w:sz w:val="18"/>
              </w:rPr>
              <w:t>325</w:t>
            </w:r>
          </w:p>
        </w:tc>
        <w:tc>
          <w:tcPr>
            <w:tcW w:w="1372" w:type="dxa"/>
            <w:shd w:val="clear" w:color="auto" w:fill="auto"/>
            <w:vAlign w:val="bottom"/>
          </w:tcPr>
          <w:p w14:paraId="51BA20D2" w14:textId="77777777" w:rsidR="00DB3BFF" w:rsidRPr="00BD2C13" w:rsidRDefault="00DB3BFF" w:rsidP="00DB3BFF">
            <w:pPr>
              <w:suppressAutoHyphens w:val="0"/>
              <w:spacing w:before="40" w:after="40" w:line="220" w:lineRule="exact"/>
              <w:jc w:val="right"/>
              <w:rPr>
                <w:sz w:val="18"/>
              </w:rPr>
            </w:pPr>
            <w:r w:rsidRPr="00BD2C13">
              <w:rPr>
                <w:sz w:val="18"/>
              </w:rPr>
              <w:t>732</w:t>
            </w:r>
          </w:p>
        </w:tc>
        <w:tc>
          <w:tcPr>
            <w:tcW w:w="1637" w:type="dxa"/>
            <w:shd w:val="clear" w:color="auto" w:fill="auto"/>
            <w:vAlign w:val="bottom"/>
          </w:tcPr>
          <w:p w14:paraId="6C89F5A6" w14:textId="77777777" w:rsidR="00DB3BFF" w:rsidRPr="00BD2C13" w:rsidRDefault="00DB3BFF" w:rsidP="00DB3BFF">
            <w:pPr>
              <w:suppressAutoHyphens w:val="0"/>
              <w:spacing w:before="40" w:after="40" w:line="220" w:lineRule="exact"/>
              <w:jc w:val="right"/>
              <w:rPr>
                <w:sz w:val="18"/>
              </w:rPr>
            </w:pPr>
            <w:r w:rsidRPr="00BD2C13">
              <w:rPr>
                <w:sz w:val="18"/>
              </w:rPr>
              <w:t>228</w:t>
            </w:r>
          </w:p>
        </w:tc>
        <w:tc>
          <w:tcPr>
            <w:tcW w:w="1638" w:type="dxa"/>
            <w:shd w:val="clear" w:color="auto" w:fill="auto"/>
            <w:vAlign w:val="bottom"/>
          </w:tcPr>
          <w:p w14:paraId="03A1C796" w14:textId="77777777" w:rsidR="00DB3BFF" w:rsidRPr="00BD2C13" w:rsidRDefault="00DB3BFF" w:rsidP="00DB3BFF">
            <w:pPr>
              <w:suppressAutoHyphens w:val="0"/>
              <w:spacing w:before="40" w:after="40" w:line="220" w:lineRule="exact"/>
              <w:jc w:val="right"/>
              <w:rPr>
                <w:sz w:val="18"/>
              </w:rPr>
            </w:pPr>
            <w:r w:rsidRPr="00BD2C13">
              <w:rPr>
                <w:sz w:val="18"/>
              </w:rPr>
              <w:t>634</w:t>
            </w:r>
          </w:p>
        </w:tc>
        <w:tc>
          <w:tcPr>
            <w:tcW w:w="840" w:type="dxa"/>
            <w:shd w:val="clear" w:color="auto" w:fill="auto"/>
            <w:vAlign w:val="bottom"/>
          </w:tcPr>
          <w:p w14:paraId="707276B8" w14:textId="77777777" w:rsidR="00DB3BFF" w:rsidRPr="00BD2C13" w:rsidRDefault="00DB3BFF" w:rsidP="00DB3BFF">
            <w:pPr>
              <w:suppressAutoHyphens w:val="0"/>
              <w:spacing w:before="40" w:after="40" w:line="220" w:lineRule="exact"/>
              <w:jc w:val="right"/>
              <w:rPr>
                <w:sz w:val="18"/>
              </w:rPr>
            </w:pPr>
            <w:r w:rsidRPr="00BD2C13">
              <w:rPr>
                <w:sz w:val="18"/>
              </w:rPr>
              <w:t>1</w:t>
            </w:r>
            <w:r w:rsidR="008C140F">
              <w:rPr>
                <w:sz w:val="18"/>
              </w:rPr>
              <w:t xml:space="preserve"> </w:t>
            </w:r>
            <w:r w:rsidRPr="00BD2C13">
              <w:rPr>
                <w:sz w:val="18"/>
              </w:rPr>
              <w:t>919</w:t>
            </w:r>
          </w:p>
        </w:tc>
        <w:tc>
          <w:tcPr>
            <w:tcW w:w="1100" w:type="dxa"/>
            <w:shd w:val="clear" w:color="auto" w:fill="auto"/>
            <w:vAlign w:val="bottom"/>
          </w:tcPr>
          <w:p w14:paraId="724157A5" w14:textId="77777777" w:rsidR="00DB3BFF" w:rsidRPr="00BD2C13" w:rsidRDefault="00DB3BFF" w:rsidP="00DB3BFF">
            <w:pPr>
              <w:suppressAutoHyphens w:val="0"/>
              <w:spacing w:before="40" w:after="40" w:line="220" w:lineRule="exact"/>
              <w:jc w:val="right"/>
              <w:rPr>
                <w:sz w:val="18"/>
              </w:rPr>
            </w:pPr>
            <w:r w:rsidRPr="00BD2C13">
              <w:rPr>
                <w:sz w:val="18"/>
              </w:rPr>
              <w:t>28,82 %</w:t>
            </w:r>
          </w:p>
        </w:tc>
      </w:tr>
      <w:tr w:rsidR="00376D65" w:rsidRPr="00BD2C13" w14:paraId="72B58F4B" w14:textId="77777777" w:rsidTr="003C2868">
        <w:tc>
          <w:tcPr>
            <w:tcW w:w="602" w:type="dxa"/>
            <w:shd w:val="clear" w:color="auto" w:fill="auto"/>
          </w:tcPr>
          <w:p w14:paraId="6861F26F" w14:textId="77777777" w:rsidR="00DB3BFF" w:rsidRPr="00BD2C13" w:rsidRDefault="00DB3BFF" w:rsidP="00DB3BFF">
            <w:pPr>
              <w:suppressAutoHyphens w:val="0"/>
              <w:spacing w:before="40" w:after="40" w:line="220" w:lineRule="exact"/>
              <w:rPr>
                <w:sz w:val="18"/>
              </w:rPr>
            </w:pPr>
            <w:r w:rsidRPr="00BD2C13">
              <w:rPr>
                <w:sz w:val="18"/>
              </w:rPr>
              <w:t>2016</w:t>
            </w:r>
          </w:p>
        </w:tc>
        <w:tc>
          <w:tcPr>
            <w:tcW w:w="1316" w:type="dxa"/>
            <w:shd w:val="clear" w:color="auto" w:fill="auto"/>
            <w:vAlign w:val="bottom"/>
          </w:tcPr>
          <w:p w14:paraId="109E7BF8" w14:textId="77777777" w:rsidR="00DB3BFF" w:rsidRPr="00BD2C13" w:rsidRDefault="00DB3BFF" w:rsidP="00DB3BFF">
            <w:pPr>
              <w:suppressAutoHyphens w:val="0"/>
              <w:spacing w:before="40" w:after="40" w:line="220" w:lineRule="exact"/>
              <w:jc w:val="right"/>
              <w:rPr>
                <w:sz w:val="18"/>
              </w:rPr>
            </w:pPr>
            <w:r w:rsidRPr="00BD2C13">
              <w:rPr>
                <w:sz w:val="18"/>
              </w:rPr>
              <w:t>579</w:t>
            </w:r>
          </w:p>
        </w:tc>
        <w:tc>
          <w:tcPr>
            <w:tcW w:w="1372" w:type="dxa"/>
            <w:shd w:val="clear" w:color="auto" w:fill="auto"/>
            <w:vAlign w:val="bottom"/>
          </w:tcPr>
          <w:p w14:paraId="2B06A54C" w14:textId="77777777" w:rsidR="00DB3BFF" w:rsidRPr="00BD2C13" w:rsidRDefault="00DB3BFF" w:rsidP="00DB3BFF">
            <w:pPr>
              <w:suppressAutoHyphens w:val="0"/>
              <w:spacing w:before="40" w:after="40" w:line="220" w:lineRule="exact"/>
              <w:jc w:val="right"/>
              <w:rPr>
                <w:sz w:val="18"/>
              </w:rPr>
            </w:pPr>
            <w:r w:rsidRPr="00BD2C13">
              <w:rPr>
                <w:sz w:val="18"/>
              </w:rPr>
              <w:t>1</w:t>
            </w:r>
            <w:r w:rsidR="008C140F">
              <w:rPr>
                <w:sz w:val="18"/>
              </w:rPr>
              <w:t xml:space="preserve"> </w:t>
            </w:r>
            <w:r w:rsidRPr="00BD2C13">
              <w:rPr>
                <w:sz w:val="18"/>
              </w:rPr>
              <w:t>099</w:t>
            </w:r>
          </w:p>
        </w:tc>
        <w:tc>
          <w:tcPr>
            <w:tcW w:w="1637" w:type="dxa"/>
            <w:shd w:val="clear" w:color="auto" w:fill="auto"/>
            <w:vAlign w:val="bottom"/>
          </w:tcPr>
          <w:p w14:paraId="39002409" w14:textId="77777777" w:rsidR="00DB3BFF" w:rsidRPr="00BD2C13" w:rsidRDefault="00DB3BFF" w:rsidP="00DB3BFF">
            <w:pPr>
              <w:suppressAutoHyphens w:val="0"/>
              <w:spacing w:before="40" w:after="40" w:line="220" w:lineRule="exact"/>
              <w:jc w:val="right"/>
              <w:rPr>
                <w:sz w:val="18"/>
              </w:rPr>
            </w:pPr>
            <w:r w:rsidRPr="00BD2C13">
              <w:rPr>
                <w:sz w:val="18"/>
              </w:rPr>
              <w:t>146</w:t>
            </w:r>
          </w:p>
        </w:tc>
        <w:tc>
          <w:tcPr>
            <w:tcW w:w="1638" w:type="dxa"/>
            <w:shd w:val="clear" w:color="auto" w:fill="auto"/>
            <w:vAlign w:val="bottom"/>
          </w:tcPr>
          <w:p w14:paraId="5573356D" w14:textId="77777777" w:rsidR="00DB3BFF" w:rsidRPr="00BD2C13" w:rsidRDefault="00DB3BFF" w:rsidP="00DB3BFF">
            <w:pPr>
              <w:suppressAutoHyphens w:val="0"/>
              <w:spacing w:before="40" w:after="40" w:line="220" w:lineRule="exact"/>
              <w:jc w:val="right"/>
              <w:rPr>
                <w:sz w:val="18"/>
              </w:rPr>
            </w:pPr>
            <w:r w:rsidRPr="00BD2C13">
              <w:rPr>
                <w:sz w:val="18"/>
              </w:rPr>
              <w:t>502</w:t>
            </w:r>
          </w:p>
        </w:tc>
        <w:tc>
          <w:tcPr>
            <w:tcW w:w="840" w:type="dxa"/>
            <w:shd w:val="clear" w:color="auto" w:fill="auto"/>
            <w:vAlign w:val="bottom"/>
          </w:tcPr>
          <w:p w14:paraId="3FD56D5D" w14:textId="77777777" w:rsidR="00DB3BFF" w:rsidRPr="00BD2C13" w:rsidRDefault="00DB3BFF" w:rsidP="00DB3BFF">
            <w:pPr>
              <w:suppressAutoHyphens w:val="0"/>
              <w:spacing w:before="40" w:after="40" w:line="220" w:lineRule="exact"/>
              <w:jc w:val="right"/>
              <w:rPr>
                <w:sz w:val="18"/>
              </w:rPr>
            </w:pPr>
            <w:r w:rsidRPr="00BD2C13">
              <w:rPr>
                <w:sz w:val="18"/>
              </w:rPr>
              <w:t>2</w:t>
            </w:r>
            <w:r w:rsidR="008C140F">
              <w:rPr>
                <w:sz w:val="18"/>
              </w:rPr>
              <w:t xml:space="preserve"> </w:t>
            </w:r>
            <w:r w:rsidRPr="00BD2C13">
              <w:rPr>
                <w:sz w:val="18"/>
              </w:rPr>
              <w:t>326</w:t>
            </w:r>
          </w:p>
        </w:tc>
        <w:tc>
          <w:tcPr>
            <w:tcW w:w="1100" w:type="dxa"/>
            <w:shd w:val="clear" w:color="auto" w:fill="auto"/>
            <w:vAlign w:val="bottom"/>
          </w:tcPr>
          <w:p w14:paraId="79D16FA9" w14:textId="77777777" w:rsidR="00DB3BFF" w:rsidRPr="00BD2C13" w:rsidRDefault="00DB3BFF" w:rsidP="00DB3BFF">
            <w:pPr>
              <w:suppressAutoHyphens w:val="0"/>
              <w:spacing w:before="40" w:after="40" w:line="220" w:lineRule="exact"/>
              <w:jc w:val="right"/>
              <w:rPr>
                <w:sz w:val="18"/>
              </w:rPr>
            </w:pPr>
            <w:r w:rsidRPr="00BD2C13">
              <w:rPr>
                <w:sz w:val="18"/>
              </w:rPr>
              <w:t>31,16 %</w:t>
            </w:r>
          </w:p>
        </w:tc>
      </w:tr>
      <w:tr w:rsidR="00376D65" w:rsidRPr="00BD2C13" w14:paraId="2E9087F5" w14:textId="77777777" w:rsidTr="003C2868">
        <w:tc>
          <w:tcPr>
            <w:tcW w:w="602" w:type="dxa"/>
            <w:shd w:val="clear" w:color="auto" w:fill="auto"/>
          </w:tcPr>
          <w:p w14:paraId="3A47157A" w14:textId="77777777" w:rsidR="00DB3BFF" w:rsidRPr="00BD2C13" w:rsidRDefault="00DB3BFF" w:rsidP="00DB3BFF">
            <w:pPr>
              <w:suppressAutoHyphens w:val="0"/>
              <w:spacing w:before="40" w:after="40" w:line="220" w:lineRule="exact"/>
              <w:rPr>
                <w:sz w:val="18"/>
              </w:rPr>
            </w:pPr>
            <w:r w:rsidRPr="00BD2C13">
              <w:rPr>
                <w:sz w:val="18"/>
              </w:rPr>
              <w:t>2017*</w:t>
            </w:r>
          </w:p>
        </w:tc>
        <w:tc>
          <w:tcPr>
            <w:tcW w:w="1316" w:type="dxa"/>
            <w:shd w:val="clear" w:color="auto" w:fill="auto"/>
            <w:vAlign w:val="bottom"/>
          </w:tcPr>
          <w:p w14:paraId="540FAC15" w14:textId="77777777" w:rsidR="00DB3BFF" w:rsidRPr="00BD2C13" w:rsidRDefault="00DB3BFF" w:rsidP="00DB3BFF">
            <w:pPr>
              <w:suppressAutoHyphens w:val="0"/>
              <w:spacing w:before="40" w:after="40" w:line="220" w:lineRule="exact"/>
              <w:jc w:val="right"/>
              <w:rPr>
                <w:sz w:val="18"/>
              </w:rPr>
            </w:pPr>
            <w:r w:rsidRPr="00BD2C13">
              <w:rPr>
                <w:sz w:val="18"/>
              </w:rPr>
              <w:t>669</w:t>
            </w:r>
          </w:p>
        </w:tc>
        <w:tc>
          <w:tcPr>
            <w:tcW w:w="1372" w:type="dxa"/>
            <w:shd w:val="clear" w:color="auto" w:fill="auto"/>
            <w:vAlign w:val="bottom"/>
          </w:tcPr>
          <w:p w14:paraId="78497565" w14:textId="77777777" w:rsidR="00DB3BFF" w:rsidRPr="00BD2C13" w:rsidRDefault="00DB3BFF" w:rsidP="00DB3BFF">
            <w:pPr>
              <w:suppressAutoHyphens w:val="0"/>
              <w:spacing w:before="40" w:after="40" w:line="220" w:lineRule="exact"/>
              <w:jc w:val="right"/>
              <w:rPr>
                <w:sz w:val="18"/>
              </w:rPr>
            </w:pPr>
            <w:r w:rsidRPr="00BD2C13">
              <w:rPr>
                <w:sz w:val="18"/>
              </w:rPr>
              <w:t>74</w:t>
            </w:r>
          </w:p>
        </w:tc>
        <w:tc>
          <w:tcPr>
            <w:tcW w:w="1637" w:type="dxa"/>
            <w:shd w:val="clear" w:color="auto" w:fill="auto"/>
            <w:vAlign w:val="bottom"/>
          </w:tcPr>
          <w:p w14:paraId="3529A6BE" w14:textId="77777777" w:rsidR="00DB3BFF" w:rsidRPr="00BD2C13" w:rsidRDefault="00DB3BFF" w:rsidP="00DB3BFF">
            <w:pPr>
              <w:suppressAutoHyphens w:val="0"/>
              <w:spacing w:before="40" w:after="40" w:line="220" w:lineRule="exact"/>
              <w:jc w:val="right"/>
              <w:rPr>
                <w:sz w:val="18"/>
              </w:rPr>
            </w:pPr>
            <w:r w:rsidRPr="00BD2C13">
              <w:rPr>
                <w:sz w:val="18"/>
              </w:rPr>
              <w:t>98</w:t>
            </w:r>
          </w:p>
        </w:tc>
        <w:tc>
          <w:tcPr>
            <w:tcW w:w="1638" w:type="dxa"/>
            <w:shd w:val="clear" w:color="auto" w:fill="auto"/>
            <w:vAlign w:val="bottom"/>
          </w:tcPr>
          <w:p w14:paraId="19EE9507" w14:textId="77777777" w:rsidR="00DB3BFF" w:rsidRPr="00BD2C13" w:rsidRDefault="00DB3BFF" w:rsidP="00DB3BFF">
            <w:pPr>
              <w:suppressAutoHyphens w:val="0"/>
              <w:spacing w:before="40" w:after="40" w:line="220" w:lineRule="exact"/>
              <w:jc w:val="right"/>
              <w:rPr>
                <w:sz w:val="18"/>
              </w:rPr>
            </w:pPr>
            <w:r w:rsidRPr="00BD2C13">
              <w:rPr>
                <w:sz w:val="18"/>
              </w:rPr>
              <w:t>327</w:t>
            </w:r>
          </w:p>
        </w:tc>
        <w:tc>
          <w:tcPr>
            <w:tcW w:w="840" w:type="dxa"/>
            <w:shd w:val="clear" w:color="auto" w:fill="auto"/>
            <w:vAlign w:val="bottom"/>
          </w:tcPr>
          <w:p w14:paraId="70D7E463" w14:textId="77777777" w:rsidR="00DB3BFF" w:rsidRPr="00BD2C13" w:rsidRDefault="00DB3BFF" w:rsidP="00DB3BFF">
            <w:pPr>
              <w:suppressAutoHyphens w:val="0"/>
              <w:spacing w:before="40" w:after="40" w:line="220" w:lineRule="exact"/>
              <w:jc w:val="right"/>
              <w:rPr>
                <w:sz w:val="18"/>
              </w:rPr>
            </w:pPr>
            <w:r w:rsidRPr="00BD2C13">
              <w:rPr>
                <w:sz w:val="18"/>
              </w:rPr>
              <w:t>1</w:t>
            </w:r>
            <w:r w:rsidR="008C140F">
              <w:rPr>
                <w:sz w:val="18"/>
              </w:rPr>
              <w:t xml:space="preserve"> </w:t>
            </w:r>
            <w:r w:rsidRPr="00BD2C13">
              <w:rPr>
                <w:sz w:val="18"/>
              </w:rPr>
              <w:t>168</w:t>
            </w:r>
          </w:p>
        </w:tc>
        <w:tc>
          <w:tcPr>
            <w:tcW w:w="1100" w:type="dxa"/>
            <w:shd w:val="clear" w:color="auto" w:fill="auto"/>
            <w:vAlign w:val="bottom"/>
          </w:tcPr>
          <w:p w14:paraId="2561A8AC" w14:textId="77777777" w:rsidR="00DB3BFF" w:rsidRPr="00BD2C13" w:rsidRDefault="00DB3BFF" w:rsidP="00DB3BFF">
            <w:pPr>
              <w:suppressAutoHyphens w:val="0"/>
              <w:spacing w:before="40" w:after="40" w:line="220" w:lineRule="exact"/>
              <w:jc w:val="right"/>
              <w:rPr>
                <w:sz w:val="18"/>
              </w:rPr>
            </w:pPr>
            <w:r w:rsidRPr="00BD2C13">
              <w:rPr>
                <w:sz w:val="18"/>
              </w:rPr>
              <w:t>34,33 %</w:t>
            </w:r>
          </w:p>
        </w:tc>
      </w:tr>
      <w:tr w:rsidR="00376D65" w:rsidRPr="00BD2C13" w14:paraId="028DE29D" w14:textId="77777777" w:rsidTr="003C2868">
        <w:tc>
          <w:tcPr>
            <w:tcW w:w="602" w:type="dxa"/>
            <w:tcBorders>
              <w:bottom w:val="single" w:sz="12" w:space="0" w:color="auto"/>
            </w:tcBorders>
            <w:shd w:val="clear" w:color="auto" w:fill="auto"/>
          </w:tcPr>
          <w:p w14:paraId="79BC81B1" w14:textId="77777777" w:rsidR="00DB3BFF" w:rsidRPr="00BD2C13" w:rsidRDefault="00DB3BFF" w:rsidP="00DB3BFF">
            <w:pPr>
              <w:suppressAutoHyphens w:val="0"/>
              <w:spacing w:before="40" w:after="40" w:line="220" w:lineRule="exact"/>
              <w:rPr>
                <w:sz w:val="18"/>
              </w:rPr>
            </w:pPr>
            <w:r w:rsidRPr="00BD2C13">
              <w:rPr>
                <w:sz w:val="18"/>
              </w:rPr>
              <w:t>2018*</w:t>
            </w:r>
          </w:p>
        </w:tc>
        <w:tc>
          <w:tcPr>
            <w:tcW w:w="1316" w:type="dxa"/>
            <w:tcBorders>
              <w:bottom w:val="single" w:sz="12" w:space="0" w:color="auto"/>
            </w:tcBorders>
            <w:shd w:val="clear" w:color="auto" w:fill="auto"/>
            <w:vAlign w:val="bottom"/>
          </w:tcPr>
          <w:p w14:paraId="4FC84C46" w14:textId="77777777" w:rsidR="00DB3BFF" w:rsidRPr="00BD2C13" w:rsidRDefault="00DB3BFF" w:rsidP="00DB3BFF">
            <w:pPr>
              <w:suppressAutoHyphens w:val="0"/>
              <w:spacing w:before="40" w:after="40" w:line="220" w:lineRule="exact"/>
              <w:jc w:val="right"/>
              <w:rPr>
                <w:sz w:val="18"/>
              </w:rPr>
            </w:pPr>
            <w:r w:rsidRPr="00BD2C13">
              <w:rPr>
                <w:sz w:val="18"/>
              </w:rPr>
              <w:t>818</w:t>
            </w:r>
          </w:p>
        </w:tc>
        <w:tc>
          <w:tcPr>
            <w:tcW w:w="1372" w:type="dxa"/>
            <w:tcBorders>
              <w:bottom w:val="single" w:sz="12" w:space="0" w:color="auto"/>
            </w:tcBorders>
            <w:shd w:val="clear" w:color="auto" w:fill="auto"/>
            <w:vAlign w:val="bottom"/>
          </w:tcPr>
          <w:p w14:paraId="522305B3" w14:textId="77777777" w:rsidR="00DB3BFF" w:rsidRPr="00BD2C13" w:rsidRDefault="00DB3BFF" w:rsidP="00DB3BFF">
            <w:pPr>
              <w:suppressAutoHyphens w:val="0"/>
              <w:spacing w:before="40" w:after="40" w:line="220" w:lineRule="exact"/>
              <w:jc w:val="right"/>
              <w:rPr>
                <w:sz w:val="18"/>
              </w:rPr>
            </w:pPr>
            <w:r w:rsidRPr="00BD2C13">
              <w:rPr>
                <w:sz w:val="18"/>
              </w:rPr>
              <w:t>490</w:t>
            </w:r>
          </w:p>
        </w:tc>
        <w:tc>
          <w:tcPr>
            <w:tcW w:w="1637" w:type="dxa"/>
            <w:tcBorders>
              <w:bottom w:val="single" w:sz="12" w:space="0" w:color="auto"/>
            </w:tcBorders>
            <w:shd w:val="clear" w:color="auto" w:fill="auto"/>
            <w:vAlign w:val="bottom"/>
          </w:tcPr>
          <w:p w14:paraId="249E8FED" w14:textId="77777777" w:rsidR="00DB3BFF" w:rsidRPr="00BD2C13" w:rsidRDefault="00DB3BFF" w:rsidP="00DB3BFF">
            <w:pPr>
              <w:suppressAutoHyphens w:val="0"/>
              <w:spacing w:before="40" w:after="40" w:line="220" w:lineRule="exact"/>
              <w:jc w:val="right"/>
              <w:rPr>
                <w:sz w:val="18"/>
              </w:rPr>
            </w:pPr>
            <w:r w:rsidRPr="00BD2C13">
              <w:rPr>
                <w:sz w:val="18"/>
              </w:rPr>
              <w:t>223</w:t>
            </w:r>
          </w:p>
        </w:tc>
        <w:tc>
          <w:tcPr>
            <w:tcW w:w="1638" w:type="dxa"/>
            <w:tcBorders>
              <w:bottom w:val="single" w:sz="12" w:space="0" w:color="auto"/>
            </w:tcBorders>
            <w:shd w:val="clear" w:color="auto" w:fill="auto"/>
            <w:vAlign w:val="bottom"/>
          </w:tcPr>
          <w:p w14:paraId="72044026" w14:textId="77777777" w:rsidR="00DB3BFF" w:rsidRPr="00BD2C13" w:rsidRDefault="00DB3BFF" w:rsidP="00DB3BFF">
            <w:pPr>
              <w:suppressAutoHyphens w:val="0"/>
              <w:spacing w:before="40" w:after="40" w:line="220" w:lineRule="exact"/>
              <w:jc w:val="right"/>
              <w:rPr>
                <w:sz w:val="18"/>
              </w:rPr>
            </w:pPr>
            <w:r w:rsidRPr="00BD2C13">
              <w:rPr>
                <w:sz w:val="18"/>
              </w:rPr>
              <w:t>55</w:t>
            </w:r>
          </w:p>
        </w:tc>
        <w:tc>
          <w:tcPr>
            <w:tcW w:w="840" w:type="dxa"/>
            <w:tcBorders>
              <w:bottom w:val="single" w:sz="12" w:space="0" w:color="auto"/>
            </w:tcBorders>
            <w:shd w:val="clear" w:color="auto" w:fill="auto"/>
            <w:vAlign w:val="bottom"/>
          </w:tcPr>
          <w:p w14:paraId="281DF5D5" w14:textId="77777777" w:rsidR="00DB3BFF" w:rsidRPr="00BD2C13" w:rsidRDefault="00DB3BFF" w:rsidP="00DB3BFF">
            <w:pPr>
              <w:suppressAutoHyphens w:val="0"/>
              <w:spacing w:before="40" w:after="40" w:line="220" w:lineRule="exact"/>
              <w:jc w:val="right"/>
              <w:rPr>
                <w:sz w:val="18"/>
              </w:rPr>
            </w:pPr>
            <w:r w:rsidRPr="00BD2C13">
              <w:rPr>
                <w:sz w:val="18"/>
              </w:rPr>
              <w:t>1</w:t>
            </w:r>
            <w:r w:rsidR="008C140F">
              <w:rPr>
                <w:sz w:val="18"/>
              </w:rPr>
              <w:t xml:space="preserve"> </w:t>
            </w:r>
            <w:r w:rsidRPr="00BD2C13">
              <w:rPr>
                <w:sz w:val="18"/>
              </w:rPr>
              <w:t>586</w:t>
            </w:r>
          </w:p>
        </w:tc>
        <w:tc>
          <w:tcPr>
            <w:tcW w:w="1100" w:type="dxa"/>
            <w:tcBorders>
              <w:bottom w:val="single" w:sz="12" w:space="0" w:color="auto"/>
            </w:tcBorders>
            <w:shd w:val="clear" w:color="auto" w:fill="auto"/>
            <w:vAlign w:val="bottom"/>
          </w:tcPr>
          <w:p w14:paraId="206CA1F4" w14:textId="77777777" w:rsidR="00DB3BFF" w:rsidRPr="00BD2C13" w:rsidRDefault="00DB3BFF" w:rsidP="00DB3BFF">
            <w:pPr>
              <w:suppressAutoHyphens w:val="0"/>
              <w:spacing w:before="40" w:after="40" w:line="220" w:lineRule="exact"/>
              <w:jc w:val="right"/>
              <w:rPr>
                <w:sz w:val="18"/>
              </w:rPr>
            </w:pPr>
            <w:r w:rsidRPr="00BD2C13">
              <w:rPr>
                <w:sz w:val="18"/>
              </w:rPr>
              <w:t>34,36 %</w:t>
            </w:r>
          </w:p>
        </w:tc>
      </w:tr>
    </w:tbl>
    <w:p w14:paraId="183B53C4" w14:textId="77777777" w:rsidR="002B0854" w:rsidRPr="00BD2C13" w:rsidRDefault="002B0854" w:rsidP="00E11815">
      <w:pPr>
        <w:pStyle w:val="SingleTxtG"/>
        <w:spacing w:before="120" w:after="0"/>
        <w:ind w:right="0" w:firstLine="170"/>
        <w:jc w:val="left"/>
        <w:rPr>
          <w:iCs/>
          <w:sz w:val="18"/>
          <w:szCs w:val="18"/>
        </w:rPr>
      </w:pPr>
      <w:r w:rsidRPr="00BD2C13">
        <w:rPr>
          <w:i/>
          <w:sz w:val="18"/>
          <w:szCs w:val="18"/>
        </w:rPr>
        <w:t>*</w:t>
      </w:r>
      <w:r w:rsidR="005E7B7A">
        <w:rPr>
          <w:i/>
          <w:sz w:val="18"/>
          <w:szCs w:val="18"/>
        </w:rPr>
        <w:t xml:space="preserve"> </w:t>
      </w:r>
      <w:r w:rsidRPr="00BD2C13">
        <w:rPr>
          <w:i/>
          <w:sz w:val="18"/>
          <w:szCs w:val="18"/>
        </w:rPr>
        <w:t xml:space="preserve"> </w:t>
      </w:r>
      <w:r w:rsidRPr="00BD2C13">
        <w:rPr>
          <w:iCs/>
          <w:sz w:val="18"/>
          <w:szCs w:val="18"/>
        </w:rPr>
        <w:t>Ces chiffres incluent les décisions rendues en vertu de la loi sur les réfugiés, du Règlement relatif à la protection subsidiaire et de la loi sur le protection internationale.</w:t>
      </w:r>
    </w:p>
    <w:p w14:paraId="3709388F" w14:textId="77777777" w:rsidR="002B0854" w:rsidRPr="00BD2C13" w:rsidRDefault="002B0854" w:rsidP="00E11815">
      <w:pPr>
        <w:pStyle w:val="SingleTxtG"/>
        <w:spacing w:after="0"/>
        <w:ind w:right="0" w:firstLine="170"/>
        <w:jc w:val="left"/>
        <w:rPr>
          <w:sz w:val="18"/>
          <w:szCs w:val="18"/>
        </w:rPr>
      </w:pPr>
      <w:r w:rsidRPr="00BD2C13">
        <w:rPr>
          <w:i/>
          <w:sz w:val="18"/>
          <w:szCs w:val="18"/>
        </w:rPr>
        <w:t>Not</w:t>
      </w:r>
      <w:r w:rsidR="00683A2F">
        <w:rPr>
          <w:i/>
          <w:sz w:val="18"/>
          <w:szCs w:val="18"/>
        </w:rPr>
        <w:t>e</w:t>
      </w:r>
      <w:r w:rsidR="00E11815" w:rsidRPr="00BD2C13">
        <w:rPr>
          <w:i/>
          <w:sz w:val="18"/>
          <w:szCs w:val="18"/>
        </w:rPr>
        <w:t> </w:t>
      </w:r>
      <w:r w:rsidRPr="00BD2C13">
        <w:rPr>
          <w:sz w:val="18"/>
          <w:szCs w:val="18"/>
        </w:rPr>
        <w:t>: Les chiffres correspondant aux demandes de statut de réfugié accordées ou refusées pour une année donnée ne correspondent pas nécessairement aux demandes soumises au cours de cette année.</w:t>
      </w:r>
    </w:p>
    <w:p w14:paraId="77CB92D3" w14:textId="77777777" w:rsidR="005A6B05" w:rsidRPr="00BD2C13" w:rsidRDefault="002B0854" w:rsidP="00E11815">
      <w:pPr>
        <w:pStyle w:val="SingleTxtG"/>
        <w:ind w:right="0" w:firstLine="170"/>
        <w:jc w:val="left"/>
        <w:rPr>
          <w:sz w:val="18"/>
          <w:szCs w:val="18"/>
        </w:rPr>
      </w:pPr>
      <w:r w:rsidRPr="00BD2C13">
        <w:rPr>
          <w:bCs/>
          <w:i/>
          <w:sz w:val="18"/>
          <w:szCs w:val="18"/>
        </w:rPr>
        <w:t>Not</w:t>
      </w:r>
      <w:r w:rsidR="00683A2F">
        <w:rPr>
          <w:bCs/>
          <w:i/>
          <w:sz w:val="18"/>
          <w:szCs w:val="18"/>
        </w:rPr>
        <w:t>e</w:t>
      </w:r>
      <w:r w:rsidR="00E11815" w:rsidRPr="00BD2C13">
        <w:rPr>
          <w:bCs/>
          <w:i/>
          <w:sz w:val="18"/>
          <w:szCs w:val="18"/>
        </w:rPr>
        <w:t xml:space="preserve"> </w:t>
      </w:r>
      <w:r w:rsidRPr="00BD2C13">
        <w:rPr>
          <w:bCs/>
          <w:sz w:val="18"/>
          <w:szCs w:val="18"/>
        </w:rPr>
        <w:t xml:space="preserve">: Les chiffres de </w:t>
      </w:r>
      <w:r w:rsidRPr="00BD2C13">
        <w:rPr>
          <w:sz w:val="18"/>
          <w:szCs w:val="18"/>
        </w:rPr>
        <w:t>2017 et 2018 ne sont pas directement comparables en raison des dispositions transitoires qu</w:t>
      </w:r>
      <w:r w:rsidR="00784444">
        <w:rPr>
          <w:sz w:val="18"/>
          <w:szCs w:val="18"/>
        </w:rPr>
        <w:t>’</w:t>
      </w:r>
      <w:r w:rsidRPr="00BD2C13">
        <w:rPr>
          <w:sz w:val="18"/>
          <w:szCs w:val="18"/>
        </w:rPr>
        <w:t>il a été nécessaire de mettre en place à la suite de l</w:t>
      </w:r>
      <w:r w:rsidR="00784444">
        <w:rPr>
          <w:sz w:val="18"/>
          <w:szCs w:val="18"/>
        </w:rPr>
        <w:t>’</w:t>
      </w:r>
      <w:r w:rsidRPr="00BD2C13">
        <w:rPr>
          <w:sz w:val="18"/>
          <w:szCs w:val="18"/>
        </w:rPr>
        <w:t>entrée en vigueur de la loi de 2015 sur la protection internationale, le 31</w:t>
      </w:r>
      <w:r w:rsidR="00E11815" w:rsidRPr="00BD2C13">
        <w:rPr>
          <w:sz w:val="18"/>
          <w:szCs w:val="18"/>
        </w:rPr>
        <w:t> </w:t>
      </w:r>
      <w:r w:rsidRPr="00BD2C13">
        <w:rPr>
          <w:sz w:val="18"/>
          <w:szCs w:val="18"/>
        </w:rPr>
        <w:t>décembre 2016.</w:t>
      </w:r>
    </w:p>
    <w:p w14:paraId="57CC906D" w14:textId="77777777" w:rsidR="009A1B3A" w:rsidRPr="00BD2C13" w:rsidRDefault="009A1B3A" w:rsidP="00E11815">
      <w:pPr>
        <w:pStyle w:val="SingleTxtG"/>
        <w:ind w:right="0" w:firstLine="170"/>
        <w:jc w:val="left"/>
        <w:rPr>
          <w:sz w:val="18"/>
          <w:szCs w:val="18"/>
        </w:rPr>
        <w:sectPr w:rsidR="009A1B3A" w:rsidRPr="00BD2C13" w:rsidSect="00FF325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7" w:right="1134" w:bottom="1134" w:left="1134" w:header="850" w:footer="567" w:gutter="0"/>
          <w:cols w:space="708"/>
          <w:titlePg/>
          <w:docGrid w:linePitch="360"/>
        </w:sectPr>
      </w:pPr>
    </w:p>
    <w:p w14:paraId="5DCD9577" w14:textId="77777777" w:rsidR="009A1B3A" w:rsidRPr="00BD2C13" w:rsidRDefault="009A1B3A" w:rsidP="009A1B3A">
      <w:pPr>
        <w:pStyle w:val="HChG"/>
      </w:pPr>
      <w:r w:rsidRPr="00BD2C13">
        <w:lastRenderedPageBreak/>
        <w:tab/>
        <w:t>Annexes</w:t>
      </w:r>
    </w:p>
    <w:p w14:paraId="32EBD757" w14:textId="77777777" w:rsidR="009A1B3A" w:rsidRPr="00BD2C13" w:rsidRDefault="009A1B3A" w:rsidP="009A1B3A">
      <w:pPr>
        <w:pStyle w:val="HChG"/>
        <w:rPr>
          <w:lang w:eastAsia="en-IE"/>
        </w:rPr>
      </w:pPr>
      <w:r w:rsidRPr="00BD2C13">
        <w:rPr>
          <w:lang w:eastAsia="en-IE"/>
        </w:rPr>
        <w:tab/>
      </w:r>
      <w:r w:rsidRPr="00BD2C13">
        <w:rPr>
          <w:lang w:eastAsia="en-IE"/>
        </w:rPr>
        <w:tab/>
        <w:t>Annexes statistiques</w:t>
      </w:r>
    </w:p>
    <w:p w14:paraId="1CB0E7AB" w14:textId="77777777" w:rsidR="009A1B3A" w:rsidRPr="00BD2C13" w:rsidRDefault="009A1B3A" w:rsidP="009A1B3A">
      <w:pPr>
        <w:pStyle w:val="H23G"/>
      </w:pPr>
      <w:r w:rsidRPr="00BD2C13">
        <w:tab/>
      </w:r>
      <w:r w:rsidRPr="00BD2C13">
        <w:tab/>
        <w:t>Tableau 1</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5"/>
        <w:gridCol w:w="1276"/>
        <w:gridCol w:w="1275"/>
        <w:gridCol w:w="1276"/>
      </w:tblGrid>
      <w:tr w:rsidR="009A1B3A" w:rsidRPr="00BD2C13" w14:paraId="2616BF9F" w14:textId="77777777" w:rsidTr="00030997">
        <w:trPr>
          <w:tblHeader/>
        </w:trPr>
        <w:tc>
          <w:tcPr>
            <w:tcW w:w="7370" w:type="dxa"/>
            <w:gridSpan w:val="5"/>
            <w:tcBorders>
              <w:top w:val="single" w:sz="4" w:space="0" w:color="auto"/>
              <w:bottom w:val="single" w:sz="12" w:space="0" w:color="auto"/>
            </w:tcBorders>
            <w:shd w:val="clear" w:color="auto" w:fill="auto"/>
            <w:vAlign w:val="bottom"/>
          </w:tcPr>
          <w:p w14:paraId="49B45467" w14:textId="77777777" w:rsidR="009A1B3A" w:rsidRPr="00BD2C13" w:rsidRDefault="009A1B3A" w:rsidP="00030997">
            <w:pPr>
              <w:spacing w:before="80" w:after="80" w:line="200" w:lineRule="exact"/>
              <w:rPr>
                <w:i/>
                <w:sz w:val="16"/>
                <w:szCs w:val="16"/>
              </w:rPr>
            </w:pPr>
            <w:r w:rsidRPr="00BD2C13">
              <w:rPr>
                <w:bCs/>
                <w:i/>
                <w:sz w:val="16"/>
                <w:szCs w:val="16"/>
              </w:rPr>
              <w:t>Infractions signalées</w:t>
            </w:r>
            <w:r w:rsidRPr="00BB49A8">
              <w:rPr>
                <w:rStyle w:val="Appelnotedebasdep"/>
              </w:rPr>
              <w:footnoteReference w:id="6"/>
            </w:r>
            <w:r w:rsidRPr="00BD2C13">
              <w:rPr>
                <w:i/>
                <w:sz w:val="16"/>
                <w:szCs w:val="16"/>
              </w:rPr>
              <w:t xml:space="preserve"> par catégorie, taux annualisé</w:t>
            </w:r>
            <w:r w:rsidRPr="00BB49A8">
              <w:rPr>
                <w:rStyle w:val="Appelnotedebasdep"/>
              </w:rPr>
              <w:footnoteReference w:id="7"/>
            </w:r>
            <w:r w:rsidRPr="00BD2C13">
              <w:rPr>
                <w:i/>
                <w:sz w:val="16"/>
                <w:szCs w:val="16"/>
              </w:rPr>
              <w:t xml:space="preserve"> aux deuxièmes trimestres de 2017 et 2018</w:t>
            </w:r>
          </w:p>
        </w:tc>
      </w:tr>
      <w:tr w:rsidR="009A1B3A" w:rsidRPr="00BD2C13" w14:paraId="1B742799" w14:textId="77777777" w:rsidTr="00030997">
        <w:tc>
          <w:tcPr>
            <w:tcW w:w="7370" w:type="dxa"/>
            <w:gridSpan w:val="5"/>
            <w:tcBorders>
              <w:top w:val="single" w:sz="12" w:space="0" w:color="auto"/>
            </w:tcBorders>
            <w:shd w:val="clear" w:color="auto" w:fill="auto"/>
          </w:tcPr>
          <w:p w14:paraId="51C2062F" w14:textId="77777777" w:rsidR="009A1B3A" w:rsidRPr="00BD2C13" w:rsidRDefault="009A1B3A" w:rsidP="00030997">
            <w:pPr>
              <w:spacing w:before="40" w:after="40" w:line="220" w:lineRule="exact"/>
              <w:rPr>
                <w:sz w:val="18"/>
                <w:szCs w:val="18"/>
              </w:rPr>
            </w:pPr>
            <w:r w:rsidRPr="00BD2C13">
              <w:rPr>
                <w:sz w:val="18"/>
                <w:szCs w:val="18"/>
              </w:rPr>
              <w:t>Total annualisé au deuxième trimestre</w:t>
            </w:r>
          </w:p>
        </w:tc>
      </w:tr>
      <w:tr w:rsidR="009A1B3A" w:rsidRPr="00BD2C13" w14:paraId="286E526D" w14:textId="77777777" w:rsidTr="00030997">
        <w:tc>
          <w:tcPr>
            <w:tcW w:w="7370" w:type="dxa"/>
            <w:gridSpan w:val="5"/>
            <w:shd w:val="clear" w:color="auto" w:fill="auto"/>
          </w:tcPr>
          <w:p w14:paraId="521FC8FC" w14:textId="77777777" w:rsidR="009A1B3A" w:rsidRPr="00BD2C13" w:rsidRDefault="009A1B3A" w:rsidP="00030997">
            <w:pPr>
              <w:spacing w:before="40" w:after="40" w:line="220" w:lineRule="exact"/>
              <w:jc w:val="center"/>
              <w:rPr>
                <w:sz w:val="18"/>
                <w:szCs w:val="18"/>
              </w:rPr>
            </w:pPr>
            <w:r w:rsidRPr="00BD2C13">
              <w:rPr>
                <w:sz w:val="18"/>
                <w:szCs w:val="18"/>
              </w:rPr>
              <w:t>Types d</w:t>
            </w:r>
            <w:r w:rsidR="00784444">
              <w:rPr>
                <w:sz w:val="18"/>
                <w:szCs w:val="18"/>
              </w:rPr>
              <w:t>’</w:t>
            </w:r>
            <w:r w:rsidRPr="00BD2C13">
              <w:rPr>
                <w:sz w:val="18"/>
                <w:szCs w:val="18"/>
              </w:rPr>
              <w:t>infraction</w:t>
            </w:r>
            <w:r w:rsidR="00EF3FCC">
              <w:rPr>
                <w:sz w:val="18"/>
                <w:szCs w:val="18"/>
              </w:rPr>
              <w:t>s</w:t>
            </w:r>
            <w:r w:rsidRPr="00BD2C13">
              <w:rPr>
                <w:sz w:val="18"/>
                <w:szCs w:val="18"/>
              </w:rPr>
              <w:t xml:space="preserve"> (selon le système irlandais de classification des infractions)</w:t>
            </w:r>
          </w:p>
        </w:tc>
      </w:tr>
      <w:tr w:rsidR="009A1B3A" w:rsidRPr="00BD2C13" w14:paraId="4F81D9CA" w14:textId="77777777" w:rsidTr="00030997">
        <w:tc>
          <w:tcPr>
            <w:tcW w:w="2268" w:type="dxa"/>
            <w:shd w:val="clear" w:color="auto" w:fill="auto"/>
          </w:tcPr>
          <w:p w14:paraId="2B5CE223" w14:textId="77777777" w:rsidR="009A1B3A" w:rsidRPr="00BD2C13" w:rsidRDefault="009A1B3A" w:rsidP="00030997">
            <w:pPr>
              <w:spacing w:before="40" w:after="40" w:line="220" w:lineRule="exact"/>
              <w:rPr>
                <w:sz w:val="18"/>
              </w:rPr>
            </w:pPr>
          </w:p>
        </w:tc>
        <w:tc>
          <w:tcPr>
            <w:tcW w:w="1275" w:type="dxa"/>
            <w:shd w:val="clear" w:color="auto" w:fill="auto"/>
          </w:tcPr>
          <w:p w14:paraId="255C1795" w14:textId="77777777" w:rsidR="009A1B3A" w:rsidRPr="00BD2C13" w:rsidRDefault="009A1B3A" w:rsidP="00030997">
            <w:pPr>
              <w:spacing w:before="40" w:after="40" w:line="220" w:lineRule="exact"/>
              <w:jc w:val="right"/>
              <w:rPr>
                <w:i/>
                <w:sz w:val="18"/>
              </w:rPr>
            </w:pPr>
            <w:r w:rsidRPr="00BD2C13">
              <w:rPr>
                <w:i/>
                <w:iCs/>
                <w:sz w:val="18"/>
              </w:rPr>
              <w:t>2017</w:t>
            </w:r>
          </w:p>
        </w:tc>
        <w:tc>
          <w:tcPr>
            <w:tcW w:w="1276" w:type="dxa"/>
            <w:shd w:val="clear" w:color="auto" w:fill="auto"/>
          </w:tcPr>
          <w:p w14:paraId="590171D0" w14:textId="77777777" w:rsidR="009A1B3A" w:rsidRPr="00BD2C13" w:rsidRDefault="009A1B3A" w:rsidP="00030997">
            <w:pPr>
              <w:spacing w:before="40" w:after="40" w:line="220" w:lineRule="exact"/>
              <w:jc w:val="right"/>
              <w:rPr>
                <w:i/>
                <w:sz w:val="18"/>
              </w:rPr>
            </w:pPr>
            <w:r w:rsidRPr="00BD2C13">
              <w:rPr>
                <w:i/>
                <w:iCs/>
                <w:sz w:val="18"/>
              </w:rPr>
              <w:t>2018</w:t>
            </w:r>
          </w:p>
        </w:tc>
        <w:tc>
          <w:tcPr>
            <w:tcW w:w="1275" w:type="dxa"/>
            <w:shd w:val="clear" w:color="auto" w:fill="auto"/>
          </w:tcPr>
          <w:p w14:paraId="27782BBB" w14:textId="77777777" w:rsidR="009A1B3A" w:rsidRPr="00BD2C13" w:rsidRDefault="009A1B3A" w:rsidP="00030997">
            <w:pPr>
              <w:spacing w:before="40" w:after="40" w:line="220" w:lineRule="exact"/>
              <w:jc w:val="right"/>
              <w:rPr>
                <w:i/>
                <w:sz w:val="18"/>
                <w:szCs w:val="18"/>
              </w:rPr>
            </w:pPr>
            <w:r w:rsidRPr="00BD2C13">
              <w:rPr>
                <w:i/>
                <w:sz w:val="18"/>
                <w:szCs w:val="18"/>
              </w:rPr>
              <w:t>Variation</w:t>
            </w:r>
          </w:p>
        </w:tc>
        <w:tc>
          <w:tcPr>
            <w:tcW w:w="1276" w:type="dxa"/>
            <w:shd w:val="clear" w:color="auto" w:fill="auto"/>
          </w:tcPr>
          <w:p w14:paraId="48325F61" w14:textId="77777777" w:rsidR="009A1B3A" w:rsidRPr="00BD2C13" w:rsidRDefault="009A1B3A" w:rsidP="00030997">
            <w:pPr>
              <w:spacing w:before="40" w:after="40" w:line="220" w:lineRule="exact"/>
              <w:jc w:val="right"/>
              <w:rPr>
                <w:i/>
                <w:sz w:val="18"/>
                <w:szCs w:val="18"/>
              </w:rPr>
            </w:pPr>
            <w:r w:rsidRPr="00BD2C13">
              <w:rPr>
                <w:i/>
                <w:sz w:val="18"/>
                <w:szCs w:val="18"/>
              </w:rPr>
              <w:t>Variation</w:t>
            </w:r>
          </w:p>
        </w:tc>
      </w:tr>
      <w:tr w:rsidR="009A1B3A" w:rsidRPr="00BD2C13" w14:paraId="198BA6DF" w14:textId="77777777" w:rsidTr="00030997">
        <w:tc>
          <w:tcPr>
            <w:tcW w:w="2268" w:type="dxa"/>
            <w:shd w:val="clear" w:color="auto" w:fill="auto"/>
            <w:vAlign w:val="bottom"/>
          </w:tcPr>
          <w:p w14:paraId="438CF426" w14:textId="77777777" w:rsidR="009A1B3A" w:rsidRPr="00BD2C13" w:rsidRDefault="009A1B3A" w:rsidP="009A1B3A">
            <w:pPr>
              <w:spacing w:before="40" w:after="40" w:line="220" w:lineRule="exact"/>
              <w:rPr>
                <w:sz w:val="18"/>
                <w:szCs w:val="18"/>
              </w:rPr>
            </w:pPr>
            <w:r w:rsidRPr="00BD2C13">
              <w:rPr>
                <w:sz w:val="18"/>
                <w:szCs w:val="18"/>
              </w:rPr>
              <w:t>Homicides</w:t>
            </w:r>
          </w:p>
        </w:tc>
        <w:tc>
          <w:tcPr>
            <w:tcW w:w="1275" w:type="dxa"/>
            <w:shd w:val="clear" w:color="auto" w:fill="auto"/>
            <w:vAlign w:val="bottom"/>
          </w:tcPr>
          <w:p w14:paraId="117F2083" w14:textId="77777777" w:rsidR="009A1B3A" w:rsidRPr="00BD2C13" w:rsidRDefault="009A1B3A" w:rsidP="009A1B3A">
            <w:pPr>
              <w:spacing w:before="40" w:after="40" w:line="220" w:lineRule="exact"/>
              <w:jc w:val="right"/>
              <w:rPr>
                <w:sz w:val="18"/>
              </w:rPr>
            </w:pPr>
            <w:r w:rsidRPr="00BD2C13">
              <w:rPr>
                <w:iCs/>
                <w:sz w:val="18"/>
              </w:rPr>
              <w:t>77</w:t>
            </w:r>
          </w:p>
        </w:tc>
        <w:tc>
          <w:tcPr>
            <w:tcW w:w="1276" w:type="dxa"/>
            <w:shd w:val="clear" w:color="auto" w:fill="auto"/>
            <w:vAlign w:val="bottom"/>
          </w:tcPr>
          <w:p w14:paraId="550EF8BC" w14:textId="77777777" w:rsidR="009A1B3A" w:rsidRPr="00BD2C13" w:rsidRDefault="009A1B3A" w:rsidP="009A1B3A">
            <w:pPr>
              <w:spacing w:before="40" w:after="40" w:line="220" w:lineRule="exact"/>
              <w:jc w:val="right"/>
              <w:rPr>
                <w:sz w:val="18"/>
              </w:rPr>
            </w:pPr>
            <w:r w:rsidRPr="00BD2C13">
              <w:rPr>
                <w:iCs/>
                <w:sz w:val="18"/>
              </w:rPr>
              <w:t>77</w:t>
            </w:r>
          </w:p>
        </w:tc>
        <w:tc>
          <w:tcPr>
            <w:tcW w:w="1275" w:type="dxa"/>
            <w:shd w:val="clear" w:color="auto" w:fill="auto"/>
            <w:vAlign w:val="bottom"/>
          </w:tcPr>
          <w:p w14:paraId="3A693883" w14:textId="77777777" w:rsidR="009A1B3A" w:rsidRPr="00BD2C13" w:rsidRDefault="009A1B3A" w:rsidP="009A1B3A">
            <w:pPr>
              <w:spacing w:before="40" w:after="40" w:line="220" w:lineRule="exact"/>
              <w:jc w:val="right"/>
              <w:rPr>
                <w:sz w:val="18"/>
              </w:rPr>
            </w:pPr>
            <w:r w:rsidRPr="00BD2C13">
              <w:rPr>
                <w:iCs/>
                <w:sz w:val="18"/>
              </w:rPr>
              <w:t>0</w:t>
            </w:r>
          </w:p>
        </w:tc>
        <w:tc>
          <w:tcPr>
            <w:tcW w:w="1276" w:type="dxa"/>
            <w:shd w:val="clear" w:color="auto" w:fill="auto"/>
            <w:vAlign w:val="bottom"/>
          </w:tcPr>
          <w:p w14:paraId="71A9C8DC" w14:textId="77777777" w:rsidR="009A1B3A" w:rsidRPr="00BD2C13" w:rsidRDefault="009A1B3A" w:rsidP="009A1B3A">
            <w:pPr>
              <w:spacing w:before="40" w:after="40" w:line="220" w:lineRule="exact"/>
              <w:jc w:val="right"/>
              <w:rPr>
                <w:sz w:val="18"/>
              </w:rPr>
            </w:pPr>
            <w:r w:rsidRPr="00BD2C13">
              <w:rPr>
                <w:iCs/>
                <w:sz w:val="18"/>
              </w:rPr>
              <w:t>0,0</w:t>
            </w:r>
          </w:p>
        </w:tc>
      </w:tr>
      <w:tr w:rsidR="009A1B3A" w:rsidRPr="00BD2C13" w14:paraId="5AE73BEB" w14:textId="77777777" w:rsidTr="00030997">
        <w:tc>
          <w:tcPr>
            <w:tcW w:w="2268" w:type="dxa"/>
            <w:shd w:val="clear" w:color="auto" w:fill="auto"/>
            <w:vAlign w:val="bottom"/>
          </w:tcPr>
          <w:p w14:paraId="1D8D71BC" w14:textId="77777777" w:rsidR="009A1B3A" w:rsidRPr="00BD2C13" w:rsidRDefault="009A1B3A" w:rsidP="009A1B3A">
            <w:pPr>
              <w:spacing w:before="40" w:after="40" w:line="220" w:lineRule="exact"/>
            </w:pPr>
            <w:r w:rsidRPr="00BD2C13">
              <w:rPr>
                <w:sz w:val="18"/>
              </w:rPr>
              <w:t>Infractions à caractère sexuel</w:t>
            </w:r>
          </w:p>
        </w:tc>
        <w:tc>
          <w:tcPr>
            <w:tcW w:w="1275" w:type="dxa"/>
            <w:shd w:val="clear" w:color="auto" w:fill="auto"/>
            <w:vAlign w:val="bottom"/>
          </w:tcPr>
          <w:p w14:paraId="56510007" w14:textId="77777777" w:rsidR="009A1B3A" w:rsidRPr="00BD2C13" w:rsidRDefault="009A1B3A" w:rsidP="009A1B3A">
            <w:pPr>
              <w:spacing w:before="40" w:after="40" w:line="220" w:lineRule="exact"/>
              <w:jc w:val="right"/>
              <w:rPr>
                <w:sz w:val="18"/>
              </w:rPr>
            </w:pPr>
            <w:r w:rsidRPr="00BD2C13">
              <w:rPr>
                <w:sz w:val="18"/>
              </w:rPr>
              <w:t>2 675</w:t>
            </w:r>
          </w:p>
        </w:tc>
        <w:tc>
          <w:tcPr>
            <w:tcW w:w="1276" w:type="dxa"/>
            <w:shd w:val="clear" w:color="auto" w:fill="auto"/>
            <w:vAlign w:val="bottom"/>
          </w:tcPr>
          <w:p w14:paraId="7C7AF85D" w14:textId="77777777" w:rsidR="009A1B3A" w:rsidRPr="00BD2C13" w:rsidRDefault="009A1B3A" w:rsidP="009A1B3A">
            <w:pPr>
              <w:spacing w:before="40" w:after="40" w:line="220" w:lineRule="exact"/>
              <w:jc w:val="right"/>
              <w:rPr>
                <w:sz w:val="18"/>
              </w:rPr>
            </w:pPr>
            <w:r w:rsidRPr="00BD2C13">
              <w:rPr>
                <w:sz w:val="18"/>
              </w:rPr>
              <w:t>2 947</w:t>
            </w:r>
          </w:p>
        </w:tc>
        <w:tc>
          <w:tcPr>
            <w:tcW w:w="1275" w:type="dxa"/>
            <w:shd w:val="clear" w:color="auto" w:fill="auto"/>
            <w:vAlign w:val="bottom"/>
          </w:tcPr>
          <w:p w14:paraId="1496F03D" w14:textId="77777777" w:rsidR="009A1B3A" w:rsidRPr="00BD2C13" w:rsidRDefault="009A1B3A" w:rsidP="009A1B3A">
            <w:pPr>
              <w:spacing w:before="40" w:after="40" w:line="220" w:lineRule="exact"/>
              <w:jc w:val="right"/>
              <w:rPr>
                <w:sz w:val="18"/>
              </w:rPr>
            </w:pPr>
            <w:r w:rsidRPr="00BD2C13">
              <w:rPr>
                <w:sz w:val="18"/>
              </w:rPr>
              <w:t>+272</w:t>
            </w:r>
          </w:p>
        </w:tc>
        <w:tc>
          <w:tcPr>
            <w:tcW w:w="1276" w:type="dxa"/>
            <w:shd w:val="clear" w:color="auto" w:fill="auto"/>
            <w:vAlign w:val="bottom"/>
          </w:tcPr>
          <w:p w14:paraId="7D8B0FBA" w14:textId="77777777" w:rsidR="009A1B3A" w:rsidRPr="00BD2C13" w:rsidRDefault="009A1B3A" w:rsidP="009A1B3A">
            <w:pPr>
              <w:spacing w:before="40" w:after="40" w:line="220" w:lineRule="exact"/>
              <w:jc w:val="right"/>
              <w:rPr>
                <w:sz w:val="18"/>
              </w:rPr>
            </w:pPr>
            <w:r w:rsidRPr="00BD2C13">
              <w:rPr>
                <w:sz w:val="18"/>
              </w:rPr>
              <w:t>+10,2</w:t>
            </w:r>
          </w:p>
        </w:tc>
      </w:tr>
      <w:tr w:rsidR="009A1B3A" w:rsidRPr="00BD2C13" w14:paraId="3C3534B1" w14:textId="77777777" w:rsidTr="00030997">
        <w:tc>
          <w:tcPr>
            <w:tcW w:w="2268" w:type="dxa"/>
            <w:shd w:val="clear" w:color="auto" w:fill="auto"/>
            <w:vAlign w:val="bottom"/>
          </w:tcPr>
          <w:p w14:paraId="73F28F31" w14:textId="77777777" w:rsidR="009A1B3A" w:rsidRPr="00BD2C13" w:rsidRDefault="009A1B3A" w:rsidP="009A1B3A">
            <w:pPr>
              <w:spacing w:before="40" w:after="40" w:line="220" w:lineRule="exact"/>
            </w:pPr>
            <w:r w:rsidRPr="00BD2C13">
              <w:rPr>
                <w:sz w:val="18"/>
              </w:rPr>
              <w:t>Tentatives ou menaces de</w:t>
            </w:r>
            <w:r w:rsidR="00EF3FCC">
              <w:rPr>
                <w:sz w:val="18"/>
              </w:rPr>
              <w:t> </w:t>
            </w:r>
            <w:r w:rsidRPr="00BD2C13">
              <w:rPr>
                <w:sz w:val="18"/>
              </w:rPr>
              <w:t>meurtre, d</w:t>
            </w:r>
            <w:r w:rsidR="00784444">
              <w:rPr>
                <w:sz w:val="18"/>
              </w:rPr>
              <w:t>’</w:t>
            </w:r>
            <w:r w:rsidRPr="00BD2C13">
              <w:rPr>
                <w:sz w:val="18"/>
              </w:rPr>
              <w:t>agression, de</w:t>
            </w:r>
            <w:r w:rsidR="00EF3FCC">
              <w:rPr>
                <w:sz w:val="18"/>
              </w:rPr>
              <w:t> </w:t>
            </w:r>
            <w:r w:rsidRPr="00BD2C13">
              <w:rPr>
                <w:sz w:val="18"/>
              </w:rPr>
              <w:t>harcèlement et infractions connexes</w:t>
            </w:r>
          </w:p>
        </w:tc>
        <w:tc>
          <w:tcPr>
            <w:tcW w:w="1275" w:type="dxa"/>
            <w:shd w:val="clear" w:color="auto" w:fill="auto"/>
            <w:vAlign w:val="bottom"/>
          </w:tcPr>
          <w:p w14:paraId="3B6C4F6D" w14:textId="77777777" w:rsidR="009A1B3A" w:rsidRPr="00BD2C13" w:rsidRDefault="009A1B3A" w:rsidP="009A1B3A">
            <w:pPr>
              <w:spacing w:before="40" w:after="40" w:line="220" w:lineRule="exact"/>
              <w:jc w:val="right"/>
              <w:rPr>
                <w:sz w:val="18"/>
              </w:rPr>
            </w:pPr>
            <w:r w:rsidRPr="00BD2C13">
              <w:rPr>
                <w:sz w:val="18"/>
              </w:rPr>
              <w:t>17 728</w:t>
            </w:r>
          </w:p>
        </w:tc>
        <w:tc>
          <w:tcPr>
            <w:tcW w:w="1276" w:type="dxa"/>
            <w:shd w:val="clear" w:color="auto" w:fill="auto"/>
            <w:vAlign w:val="bottom"/>
          </w:tcPr>
          <w:p w14:paraId="452FCF8E" w14:textId="77777777" w:rsidR="009A1B3A" w:rsidRPr="00BD2C13" w:rsidRDefault="009A1B3A" w:rsidP="009A1B3A">
            <w:pPr>
              <w:spacing w:before="40" w:after="40" w:line="220" w:lineRule="exact"/>
              <w:jc w:val="right"/>
              <w:rPr>
                <w:sz w:val="18"/>
              </w:rPr>
            </w:pPr>
            <w:r w:rsidRPr="00BD2C13">
              <w:rPr>
                <w:sz w:val="18"/>
              </w:rPr>
              <w:t>19 200</w:t>
            </w:r>
          </w:p>
        </w:tc>
        <w:tc>
          <w:tcPr>
            <w:tcW w:w="1275" w:type="dxa"/>
            <w:shd w:val="clear" w:color="auto" w:fill="auto"/>
            <w:vAlign w:val="bottom"/>
          </w:tcPr>
          <w:p w14:paraId="563A54F3" w14:textId="77777777" w:rsidR="009A1B3A" w:rsidRPr="00BD2C13" w:rsidRDefault="009A1B3A" w:rsidP="009A1B3A">
            <w:pPr>
              <w:spacing w:before="40" w:after="40" w:line="220" w:lineRule="exact"/>
              <w:jc w:val="right"/>
              <w:rPr>
                <w:sz w:val="18"/>
              </w:rPr>
            </w:pPr>
            <w:r w:rsidRPr="00BD2C13">
              <w:rPr>
                <w:sz w:val="18"/>
              </w:rPr>
              <w:t>+1 472</w:t>
            </w:r>
          </w:p>
        </w:tc>
        <w:tc>
          <w:tcPr>
            <w:tcW w:w="1276" w:type="dxa"/>
            <w:shd w:val="clear" w:color="auto" w:fill="auto"/>
            <w:vAlign w:val="bottom"/>
          </w:tcPr>
          <w:p w14:paraId="16D9CA5E" w14:textId="77777777" w:rsidR="009A1B3A" w:rsidRPr="00BD2C13" w:rsidRDefault="009A1B3A" w:rsidP="009A1B3A">
            <w:pPr>
              <w:spacing w:before="40" w:after="40" w:line="220" w:lineRule="exact"/>
              <w:jc w:val="right"/>
              <w:rPr>
                <w:sz w:val="18"/>
              </w:rPr>
            </w:pPr>
            <w:r w:rsidRPr="00BD2C13">
              <w:rPr>
                <w:sz w:val="18"/>
              </w:rPr>
              <w:t>+8,3</w:t>
            </w:r>
          </w:p>
        </w:tc>
      </w:tr>
      <w:tr w:rsidR="009A1B3A" w:rsidRPr="00BD2C13" w14:paraId="17651D90" w14:textId="77777777" w:rsidTr="00030997">
        <w:tc>
          <w:tcPr>
            <w:tcW w:w="2268" w:type="dxa"/>
            <w:shd w:val="clear" w:color="auto" w:fill="auto"/>
            <w:vAlign w:val="bottom"/>
          </w:tcPr>
          <w:p w14:paraId="60333B26" w14:textId="77777777" w:rsidR="009A1B3A" w:rsidRPr="00BD2C13" w:rsidRDefault="009A1B3A" w:rsidP="009A1B3A">
            <w:pPr>
              <w:spacing w:before="40" w:after="40" w:line="220" w:lineRule="exact"/>
            </w:pPr>
            <w:r w:rsidRPr="00BD2C13">
              <w:rPr>
                <w:sz w:val="18"/>
              </w:rPr>
              <w:t>Actes dangereux ou</w:t>
            </w:r>
            <w:r w:rsidR="00EF3FCC">
              <w:rPr>
                <w:sz w:val="18"/>
              </w:rPr>
              <w:t> </w:t>
            </w:r>
            <w:r w:rsidRPr="00BD2C13">
              <w:rPr>
                <w:sz w:val="18"/>
              </w:rPr>
              <w:t>de</w:t>
            </w:r>
            <w:r w:rsidR="00EF3FCC">
              <w:rPr>
                <w:sz w:val="18"/>
              </w:rPr>
              <w:t> </w:t>
            </w:r>
            <w:r w:rsidRPr="00BD2C13">
              <w:rPr>
                <w:sz w:val="18"/>
              </w:rPr>
              <w:t>négligence</w:t>
            </w:r>
          </w:p>
        </w:tc>
        <w:tc>
          <w:tcPr>
            <w:tcW w:w="1275" w:type="dxa"/>
            <w:shd w:val="clear" w:color="auto" w:fill="auto"/>
            <w:vAlign w:val="bottom"/>
          </w:tcPr>
          <w:p w14:paraId="2870FA45" w14:textId="77777777" w:rsidR="009A1B3A" w:rsidRPr="00BD2C13" w:rsidRDefault="009A1B3A" w:rsidP="009A1B3A">
            <w:pPr>
              <w:spacing w:before="40" w:after="40" w:line="220" w:lineRule="exact"/>
              <w:jc w:val="right"/>
              <w:rPr>
                <w:sz w:val="18"/>
              </w:rPr>
            </w:pPr>
            <w:r w:rsidRPr="00BD2C13">
              <w:rPr>
                <w:sz w:val="18"/>
              </w:rPr>
              <w:t>8 182</w:t>
            </w:r>
          </w:p>
        </w:tc>
        <w:tc>
          <w:tcPr>
            <w:tcW w:w="1276" w:type="dxa"/>
            <w:shd w:val="clear" w:color="auto" w:fill="auto"/>
            <w:vAlign w:val="bottom"/>
          </w:tcPr>
          <w:p w14:paraId="113DFE43" w14:textId="77777777" w:rsidR="009A1B3A" w:rsidRPr="00BD2C13" w:rsidRDefault="009A1B3A" w:rsidP="009A1B3A">
            <w:pPr>
              <w:spacing w:before="40" w:after="40" w:line="220" w:lineRule="exact"/>
              <w:jc w:val="right"/>
              <w:rPr>
                <w:sz w:val="18"/>
              </w:rPr>
            </w:pPr>
            <w:r w:rsidRPr="00BD2C13">
              <w:rPr>
                <w:sz w:val="18"/>
              </w:rPr>
              <w:t>8 284</w:t>
            </w:r>
          </w:p>
        </w:tc>
        <w:tc>
          <w:tcPr>
            <w:tcW w:w="1275" w:type="dxa"/>
            <w:shd w:val="clear" w:color="auto" w:fill="auto"/>
            <w:vAlign w:val="bottom"/>
          </w:tcPr>
          <w:p w14:paraId="125017F9" w14:textId="77777777" w:rsidR="009A1B3A" w:rsidRPr="00BD2C13" w:rsidRDefault="009A1B3A" w:rsidP="009A1B3A">
            <w:pPr>
              <w:spacing w:before="40" w:after="40" w:line="220" w:lineRule="exact"/>
              <w:jc w:val="right"/>
              <w:rPr>
                <w:sz w:val="18"/>
              </w:rPr>
            </w:pPr>
            <w:r w:rsidRPr="00BD2C13">
              <w:rPr>
                <w:sz w:val="18"/>
              </w:rPr>
              <w:t>+102</w:t>
            </w:r>
          </w:p>
        </w:tc>
        <w:tc>
          <w:tcPr>
            <w:tcW w:w="1276" w:type="dxa"/>
            <w:shd w:val="clear" w:color="auto" w:fill="auto"/>
            <w:vAlign w:val="bottom"/>
          </w:tcPr>
          <w:p w14:paraId="25B477D0" w14:textId="77777777" w:rsidR="009A1B3A" w:rsidRPr="00BD2C13" w:rsidRDefault="009A1B3A" w:rsidP="009A1B3A">
            <w:pPr>
              <w:spacing w:before="40" w:after="40" w:line="220" w:lineRule="exact"/>
              <w:jc w:val="right"/>
              <w:rPr>
                <w:sz w:val="18"/>
              </w:rPr>
            </w:pPr>
            <w:r w:rsidRPr="00BD2C13">
              <w:rPr>
                <w:sz w:val="18"/>
              </w:rPr>
              <w:t>+1,2</w:t>
            </w:r>
          </w:p>
        </w:tc>
      </w:tr>
      <w:tr w:rsidR="009A1B3A" w:rsidRPr="00BD2C13" w14:paraId="31DBFA7C" w14:textId="77777777" w:rsidTr="00030997">
        <w:tc>
          <w:tcPr>
            <w:tcW w:w="2268" w:type="dxa"/>
            <w:shd w:val="clear" w:color="auto" w:fill="auto"/>
            <w:vAlign w:val="bottom"/>
          </w:tcPr>
          <w:p w14:paraId="1D2BDD3B" w14:textId="77777777" w:rsidR="009A1B3A" w:rsidRPr="00BD2C13" w:rsidRDefault="009A1B3A" w:rsidP="009A1B3A">
            <w:pPr>
              <w:spacing w:before="40" w:after="40" w:line="220" w:lineRule="exact"/>
            </w:pPr>
            <w:r w:rsidRPr="00BD2C13">
              <w:rPr>
                <w:sz w:val="18"/>
              </w:rPr>
              <w:t>Enlèvement et infractions connexes</w:t>
            </w:r>
          </w:p>
        </w:tc>
        <w:tc>
          <w:tcPr>
            <w:tcW w:w="1275" w:type="dxa"/>
            <w:shd w:val="clear" w:color="auto" w:fill="auto"/>
            <w:vAlign w:val="bottom"/>
          </w:tcPr>
          <w:p w14:paraId="36D2D196" w14:textId="77777777" w:rsidR="009A1B3A" w:rsidRPr="00BD2C13" w:rsidRDefault="009A1B3A" w:rsidP="009A1B3A">
            <w:pPr>
              <w:spacing w:before="40" w:after="40" w:line="220" w:lineRule="exact"/>
              <w:jc w:val="right"/>
              <w:rPr>
                <w:sz w:val="18"/>
              </w:rPr>
            </w:pPr>
            <w:r w:rsidRPr="00BD2C13">
              <w:rPr>
                <w:sz w:val="18"/>
              </w:rPr>
              <w:t>127</w:t>
            </w:r>
          </w:p>
        </w:tc>
        <w:tc>
          <w:tcPr>
            <w:tcW w:w="1276" w:type="dxa"/>
            <w:shd w:val="clear" w:color="auto" w:fill="auto"/>
            <w:vAlign w:val="bottom"/>
          </w:tcPr>
          <w:p w14:paraId="50BF4753" w14:textId="77777777" w:rsidR="009A1B3A" w:rsidRPr="00BD2C13" w:rsidRDefault="009A1B3A" w:rsidP="009A1B3A">
            <w:pPr>
              <w:spacing w:before="40" w:after="40" w:line="220" w:lineRule="exact"/>
              <w:jc w:val="right"/>
              <w:rPr>
                <w:sz w:val="18"/>
              </w:rPr>
            </w:pPr>
            <w:r w:rsidRPr="00BD2C13">
              <w:rPr>
                <w:sz w:val="18"/>
              </w:rPr>
              <w:t>104</w:t>
            </w:r>
          </w:p>
        </w:tc>
        <w:tc>
          <w:tcPr>
            <w:tcW w:w="1275" w:type="dxa"/>
            <w:shd w:val="clear" w:color="auto" w:fill="auto"/>
            <w:vAlign w:val="bottom"/>
          </w:tcPr>
          <w:p w14:paraId="55202134" w14:textId="77777777" w:rsidR="009A1B3A" w:rsidRPr="00BD2C13" w:rsidRDefault="00361239" w:rsidP="009A1B3A">
            <w:pPr>
              <w:spacing w:before="40" w:after="40" w:line="220" w:lineRule="exact"/>
              <w:jc w:val="right"/>
              <w:rPr>
                <w:sz w:val="18"/>
              </w:rPr>
            </w:pPr>
            <w:r w:rsidRPr="00BD2C13">
              <w:t>-</w:t>
            </w:r>
            <w:r w:rsidR="009A1B3A" w:rsidRPr="00BD2C13">
              <w:rPr>
                <w:sz w:val="18"/>
              </w:rPr>
              <w:t>23</w:t>
            </w:r>
          </w:p>
        </w:tc>
        <w:tc>
          <w:tcPr>
            <w:tcW w:w="1276" w:type="dxa"/>
            <w:shd w:val="clear" w:color="auto" w:fill="auto"/>
            <w:vAlign w:val="bottom"/>
          </w:tcPr>
          <w:p w14:paraId="4CA6B0DD" w14:textId="77777777" w:rsidR="009A1B3A" w:rsidRPr="00BD2C13" w:rsidRDefault="00361239" w:rsidP="009A1B3A">
            <w:pPr>
              <w:spacing w:before="40" w:after="40" w:line="220" w:lineRule="exact"/>
              <w:jc w:val="right"/>
              <w:rPr>
                <w:sz w:val="18"/>
              </w:rPr>
            </w:pPr>
            <w:r w:rsidRPr="00BD2C13">
              <w:t>-</w:t>
            </w:r>
            <w:r w:rsidR="009A1B3A" w:rsidRPr="00BD2C13">
              <w:rPr>
                <w:sz w:val="18"/>
              </w:rPr>
              <w:t>18,1</w:t>
            </w:r>
          </w:p>
        </w:tc>
      </w:tr>
      <w:tr w:rsidR="009A1B3A" w:rsidRPr="00BD2C13" w14:paraId="1A629937" w14:textId="77777777" w:rsidTr="00030997">
        <w:tc>
          <w:tcPr>
            <w:tcW w:w="2268" w:type="dxa"/>
            <w:shd w:val="clear" w:color="auto" w:fill="auto"/>
            <w:vAlign w:val="bottom"/>
          </w:tcPr>
          <w:p w14:paraId="5F25259C" w14:textId="77777777" w:rsidR="009A1B3A" w:rsidRPr="00BD2C13" w:rsidRDefault="009A1B3A" w:rsidP="009A1B3A">
            <w:pPr>
              <w:spacing w:before="40" w:after="40" w:line="220" w:lineRule="exact"/>
            </w:pPr>
            <w:r w:rsidRPr="00BD2C13">
              <w:rPr>
                <w:sz w:val="18"/>
              </w:rPr>
              <w:t>Vol qualifié, extorsion et</w:t>
            </w:r>
            <w:r w:rsidR="00EF3FCC">
              <w:rPr>
                <w:sz w:val="18"/>
              </w:rPr>
              <w:t> </w:t>
            </w:r>
            <w:r w:rsidRPr="00BD2C13">
              <w:rPr>
                <w:sz w:val="18"/>
              </w:rPr>
              <w:t>détournement</w:t>
            </w:r>
          </w:p>
        </w:tc>
        <w:tc>
          <w:tcPr>
            <w:tcW w:w="1275" w:type="dxa"/>
            <w:shd w:val="clear" w:color="auto" w:fill="auto"/>
            <w:vAlign w:val="bottom"/>
          </w:tcPr>
          <w:p w14:paraId="2F20C536" w14:textId="77777777" w:rsidR="009A1B3A" w:rsidRPr="00BD2C13" w:rsidRDefault="009A1B3A" w:rsidP="009A1B3A">
            <w:pPr>
              <w:spacing w:before="40" w:after="40" w:line="220" w:lineRule="exact"/>
              <w:jc w:val="right"/>
              <w:rPr>
                <w:sz w:val="18"/>
              </w:rPr>
            </w:pPr>
            <w:r w:rsidRPr="00BD2C13">
              <w:rPr>
                <w:sz w:val="18"/>
              </w:rPr>
              <w:t>2 032</w:t>
            </w:r>
          </w:p>
        </w:tc>
        <w:tc>
          <w:tcPr>
            <w:tcW w:w="1276" w:type="dxa"/>
            <w:shd w:val="clear" w:color="auto" w:fill="auto"/>
            <w:vAlign w:val="bottom"/>
          </w:tcPr>
          <w:p w14:paraId="173A85E8" w14:textId="77777777" w:rsidR="009A1B3A" w:rsidRPr="00BD2C13" w:rsidRDefault="009A1B3A" w:rsidP="009A1B3A">
            <w:pPr>
              <w:spacing w:before="40" w:after="40" w:line="220" w:lineRule="exact"/>
              <w:jc w:val="right"/>
              <w:rPr>
                <w:sz w:val="18"/>
              </w:rPr>
            </w:pPr>
            <w:r w:rsidRPr="00BD2C13">
              <w:rPr>
                <w:sz w:val="18"/>
              </w:rPr>
              <w:t>2 339</w:t>
            </w:r>
          </w:p>
        </w:tc>
        <w:tc>
          <w:tcPr>
            <w:tcW w:w="1275" w:type="dxa"/>
            <w:shd w:val="clear" w:color="auto" w:fill="auto"/>
            <w:vAlign w:val="bottom"/>
          </w:tcPr>
          <w:p w14:paraId="3B2FCE3A" w14:textId="77777777" w:rsidR="009A1B3A" w:rsidRPr="00BD2C13" w:rsidRDefault="009A1B3A" w:rsidP="009A1B3A">
            <w:pPr>
              <w:spacing w:before="40" w:after="40" w:line="220" w:lineRule="exact"/>
              <w:jc w:val="right"/>
              <w:rPr>
                <w:sz w:val="18"/>
              </w:rPr>
            </w:pPr>
            <w:r w:rsidRPr="00BD2C13">
              <w:rPr>
                <w:sz w:val="18"/>
              </w:rPr>
              <w:t>+307</w:t>
            </w:r>
          </w:p>
        </w:tc>
        <w:tc>
          <w:tcPr>
            <w:tcW w:w="1276" w:type="dxa"/>
            <w:shd w:val="clear" w:color="auto" w:fill="auto"/>
            <w:vAlign w:val="bottom"/>
          </w:tcPr>
          <w:p w14:paraId="340762B5" w14:textId="77777777" w:rsidR="009A1B3A" w:rsidRPr="00BD2C13" w:rsidRDefault="009A1B3A" w:rsidP="009A1B3A">
            <w:pPr>
              <w:spacing w:before="40" w:after="40" w:line="220" w:lineRule="exact"/>
              <w:jc w:val="right"/>
              <w:rPr>
                <w:sz w:val="18"/>
              </w:rPr>
            </w:pPr>
            <w:r w:rsidRPr="00BD2C13">
              <w:rPr>
                <w:sz w:val="18"/>
              </w:rPr>
              <w:t>+15,1</w:t>
            </w:r>
          </w:p>
        </w:tc>
      </w:tr>
      <w:tr w:rsidR="009A1B3A" w:rsidRPr="00BD2C13" w14:paraId="346B3DAD" w14:textId="77777777" w:rsidTr="00030997">
        <w:tc>
          <w:tcPr>
            <w:tcW w:w="2268" w:type="dxa"/>
            <w:shd w:val="clear" w:color="auto" w:fill="auto"/>
            <w:vAlign w:val="bottom"/>
          </w:tcPr>
          <w:p w14:paraId="539C9631" w14:textId="77777777" w:rsidR="009A1B3A" w:rsidRPr="00BD2C13" w:rsidRDefault="009A1B3A" w:rsidP="009A1B3A">
            <w:pPr>
              <w:spacing w:before="40" w:after="40" w:line="220" w:lineRule="exact"/>
            </w:pPr>
            <w:r w:rsidRPr="00BD2C13">
              <w:rPr>
                <w:sz w:val="18"/>
              </w:rPr>
              <w:t>Cambriolage et infractions connexes</w:t>
            </w:r>
          </w:p>
        </w:tc>
        <w:tc>
          <w:tcPr>
            <w:tcW w:w="1275" w:type="dxa"/>
            <w:shd w:val="clear" w:color="auto" w:fill="auto"/>
            <w:vAlign w:val="bottom"/>
          </w:tcPr>
          <w:p w14:paraId="393AAD05" w14:textId="77777777" w:rsidR="009A1B3A" w:rsidRPr="00BD2C13" w:rsidRDefault="009A1B3A" w:rsidP="009A1B3A">
            <w:pPr>
              <w:spacing w:before="40" w:after="40" w:line="220" w:lineRule="exact"/>
              <w:jc w:val="right"/>
              <w:rPr>
                <w:sz w:val="18"/>
              </w:rPr>
            </w:pPr>
            <w:r w:rsidRPr="00BD2C13">
              <w:rPr>
                <w:sz w:val="18"/>
              </w:rPr>
              <w:t>18 509</w:t>
            </w:r>
          </w:p>
        </w:tc>
        <w:tc>
          <w:tcPr>
            <w:tcW w:w="1276" w:type="dxa"/>
            <w:shd w:val="clear" w:color="auto" w:fill="auto"/>
            <w:vAlign w:val="bottom"/>
          </w:tcPr>
          <w:p w14:paraId="1B0C5CC7" w14:textId="77777777" w:rsidR="009A1B3A" w:rsidRPr="00BD2C13" w:rsidRDefault="009A1B3A" w:rsidP="009A1B3A">
            <w:pPr>
              <w:spacing w:before="40" w:after="40" w:line="220" w:lineRule="exact"/>
              <w:jc w:val="right"/>
              <w:rPr>
                <w:sz w:val="18"/>
              </w:rPr>
            </w:pPr>
            <w:r w:rsidRPr="00BD2C13">
              <w:rPr>
                <w:sz w:val="18"/>
              </w:rPr>
              <w:t>18 368</w:t>
            </w:r>
          </w:p>
        </w:tc>
        <w:tc>
          <w:tcPr>
            <w:tcW w:w="1275" w:type="dxa"/>
            <w:shd w:val="clear" w:color="auto" w:fill="auto"/>
            <w:vAlign w:val="bottom"/>
          </w:tcPr>
          <w:p w14:paraId="44500E77" w14:textId="77777777" w:rsidR="009A1B3A" w:rsidRPr="00BD2C13" w:rsidRDefault="00361239" w:rsidP="009A1B3A">
            <w:pPr>
              <w:spacing w:before="40" w:after="40" w:line="220" w:lineRule="exact"/>
              <w:jc w:val="right"/>
              <w:rPr>
                <w:sz w:val="18"/>
              </w:rPr>
            </w:pPr>
            <w:r w:rsidRPr="00BD2C13">
              <w:t>-</w:t>
            </w:r>
            <w:r w:rsidR="009A1B3A" w:rsidRPr="00BD2C13">
              <w:rPr>
                <w:sz w:val="18"/>
              </w:rPr>
              <w:t>141</w:t>
            </w:r>
          </w:p>
        </w:tc>
        <w:tc>
          <w:tcPr>
            <w:tcW w:w="1276" w:type="dxa"/>
            <w:shd w:val="clear" w:color="auto" w:fill="auto"/>
            <w:vAlign w:val="bottom"/>
          </w:tcPr>
          <w:p w14:paraId="4E47D2B5" w14:textId="77777777" w:rsidR="009A1B3A" w:rsidRPr="00BD2C13" w:rsidRDefault="00361239" w:rsidP="009A1B3A">
            <w:pPr>
              <w:spacing w:before="40" w:after="40" w:line="220" w:lineRule="exact"/>
              <w:jc w:val="right"/>
              <w:rPr>
                <w:sz w:val="18"/>
              </w:rPr>
            </w:pPr>
            <w:r w:rsidRPr="00BD2C13">
              <w:t>-</w:t>
            </w:r>
            <w:r w:rsidR="009A1B3A" w:rsidRPr="00BD2C13">
              <w:rPr>
                <w:sz w:val="18"/>
              </w:rPr>
              <w:t>0,8</w:t>
            </w:r>
          </w:p>
        </w:tc>
      </w:tr>
      <w:tr w:rsidR="009A1B3A" w:rsidRPr="00BD2C13" w14:paraId="33C8D5E3" w14:textId="77777777" w:rsidTr="00030997">
        <w:tc>
          <w:tcPr>
            <w:tcW w:w="2268" w:type="dxa"/>
            <w:shd w:val="clear" w:color="auto" w:fill="auto"/>
            <w:vAlign w:val="bottom"/>
          </w:tcPr>
          <w:p w14:paraId="1129DA1C" w14:textId="77777777" w:rsidR="009A1B3A" w:rsidRPr="00BD2C13" w:rsidRDefault="009A1B3A" w:rsidP="009A1B3A">
            <w:pPr>
              <w:spacing w:before="40" w:after="40" w:line="220" w:lineRule="exact"/>
            </w:pPr>
            <w:r w:rsidRPr="00BD2C13">
              <w:rPr>
                <w:sz w:val="18"/>
              </w:rPr>
              <w:t>Vol et infractions connexes</w:t>
            </w:r>
          </w:p>
        </w:tc>
        <w:tc>
          <w:tcPr>
            <w:tcW w:w="1275" w:type="dxa"/>
            <w:shd w:val="clear" w:color="auto" w:fill="auto"/>
            <w:vAlign w:val="bottom"/>
          </w:tcPr>
          <w:p w14:paraId="0DA129DC" w14:textId="77777777" w:rsidR="009A1B3A" w:rsidRPr="00BD2C13" w:rsidRDefault="009A1B3A" w:rsidP="009A1B3A">
            <w:pPr>
              <w:spacing w:before="40" w:after="40" w:line="220" w:lineRule="exact"/>
              <w:jc w:val="right"/>
              <w:rPr>
                <w:sz w:val="18"/>
              </w:rPr>
            </w:pPr>
            <w:r w:rsidRPr="00BD2C13">
              <w:rPr>
                <w:sz w:val="18"/>
              </w:rPr>
              <w:t>66 901</w:t>
            </w:r>
          </w:p>
        </w:tc>
        <w:tc>
          <w:tcPr>
            <w:tcW w:w="1276" w:type="dxa"/>
            <w:shd w:val="clear" w:color="auto" w:fill="auto"/>
            <w:vAlign w:val="bottom"/>
          </w:tcPr>
          <w:p w14:paraId="7ACF8D8C" w14:textId="77777777" w:rsidR="009A1B3A" w:rsidRPr="00BD2C13" w:rsidRDefault="009A1B3A" w:rsidP="009A1B3A">
            <w:pPr>
              <w:spacing w:before="40" w:after="40" w:line="220" w:lineRule="exact"/>
              <w:jc w:val="right"/>
              <w:rPr>
                <w:sz w:val="18"/>
              </w:rPr>
            </w:pPr>
            <w:r w:rsidRPr="00BD2C13">
              <w:rPr>
                <w:sz w:val="18"/>
              </w:rPr>
              <w:t>68 248</w:t>
            </w:r>
          </w:p>
        </w:tc>
        <w:tc>
          <w:tcPr>
            <w:tcW w:w="1275" w:type="dxa"/>
            <w:shd w:val="clear" w:color="auto" w:fill="auto"/>
            <w:vAlign w:val="bottom"/>
          </w:tcPr>
          <w:p w14:paraId="07762FA5" w14:textId="77777777" w:rsidR="009A1B3A" w:rsidRPr="00BD2C13" w:rsidRDefault="009A1B3A" w:rsidP="009A1B3A">
            <w:pPr>
              <w:spacing w:before="40" w:after="40" w:line="220" w:lineRule="exact"/>
              <w:jc w:val="right"/>
              <w:rPr>
                <w:sz w:val="18"/>
              </w:rPr>
            </w:pPr>
            <w:r w:rsidRPr="00BD2C13">
              <w:rPr>
                <w:sz w:val="18"/>
              </w:rPr>
              <w:t>+1 347</w:t>
            </w:r>
          </w:p>
        </w:tc>
        <w:tc>
          <w:tcPr>
            <w:tcW w:w="1276" w:type="dxa"/>
            <w:shd w:val="clear" w:color="auto" w:fill="auto"/>
            <w:vAlign w:val="bottom"/>
          </w:tcPr>
          <w:p w14:paraId="5C0E831D" w14:textId="77777777" w:rsidR="009A1B3A" w:rsidRPr="00BD2C13" w:rsidRDefault="009A1B3A" w:rsidP="009A1B3A">
            <w:pPr>
              <w:spacing w:before="40" w:after="40" w:line="220" w:lineRule="exact"/>
              <w:jc w:val="right"/>
              <w:rPr>
                <w:sz w:val="18"/>
              </w:rPr>
            </w:pPr>
            <w:r w:rsidRPr="00BD2C13">
              <w:rPr>
                <w:sz w:val="18"/>
              </w:rPr>
              <w:t>+2,0</w:t>
            </w:r>
          </w:p>
        </w:tc>
      </w:tr>
      <w:tr w:rsidR="009A1B3A" w:rsidRPr="00BD2C13" w14:paraId="47760C6A" w14:textId="77777777" w:rsidTr="00030997">
        <w:tc>
          <w:tcPr>
            <w:tcW w:w="2268" w:type="dxa"/>
            <w:shd w:val="clear" w:color="auto" w:fill="auto"/>
            <w:vAlign w:val="bottom"/>
          </w:tcPr>
          <w:p w14:paraId="3AC243F3" w14:textId="77777777" w:rsidR="009A1B3A" w:rsidRPr="00BD2C13" w:rsidRDefault="009A1B3A" w:rsidP="009A1B3A">
            <w:pPr>
              <w:spacing w:before="40" w:after="40" w:line="220" w:lineRule="exact"/>
            </w:pPr>
            <w:r w:rsidRPr="00BD2C13">
              <w:rPr>
                <w:sz w:val="18"/>
                <w:lang w:eastAsia="en-IE"/>
              </w:rPr>
              <w:t>Fraude, dol et infractions connexes</w:t>
            </w:r>
          </w:p>
        </w:tc>
        <w:tc>
          <w:tcPr>
            <w:tcW w:w="1275" w:type="dxa"/>
            <w:shd w:val="clear" w:color="auto" w:fill="auto"/>
            <w:vAlign w:val="bottom"/>
          </w:tcPr>
          <w:p w14:paraId="49B59CFD" w14:textId="77777777" w:rsidR="009A1B3A" w:rsidRPr="00BD2C13" w:rsidRDefault="009A1B3A" w:rsidP="009A1B3A">
            <w:pPr>
              <w:spacing w:before="40" w:after="40" w:line="220" w:lineRule="exact"/>
              <w:jc w:val="right"/>
              <w:rPr>
                <w:sz w:val="18"/>
              </w:rPr>
            </w:pPr>
            <w:r w:rsidRPr="00BD2C13">
              <w:rPr>
                <w:sz w:val="18"/>
              </w:rPr>
              <w:t>5 476</w:t>
            </w:r>
          </w:p>
        </w:tc>
        <w:tc>
          <w:tcPr>
            <w:tcW w:w="1276" w:type="dxa"/>
            <w:shd w:val="clear" w:color="auto" w:fill="auto"/>
            <w:vAlign w:val="bottom"/>
          </w:tcPr>
          <w:p w14:paraId="57547C56" w14:textId="77777777" w:rsidR="009A1B3A" w:rsidRPr="00BD2C13" w:rsidRDefault="009A1B3A" w:rsidP="009A1B3A">
            <w:pPr>
              <w:spacing w:before="40" w:after="40" w:line="220" w:lineRule="exact"/>
              <w:jc w:val="right"/>
              <w:rPr>
                <w:sz w:val="18"/>
              </w:rPr>
            </w:pPr>
            <w:r w:rsidRPr="00BD2C13">
              <w:rPr>
                <w:sz w:val="18"/>
              </w:rPr>
              <w:t>5 339</w:t>
            </w:r>
          </w:p>
        </w:tc>
        <w:tc>
          <w:tcPr>
            <w:tcW w:w="1275" w:type="dxa"/>
            <w:shd w:val="clear" w:color="auto" w:fill="auto"/>
            <w:vAlign w:val="bottom"/>
          </w:tcPr>
          <w:p w14:paraId="5F32D4B2" w14:textId="77777777" w:rsidR="009A1B3A" w:rsidRPr="00BD2C13" w:rsidRDefault="00361239" w:rsidP="009A1B3A">
            <w:pPr>
              <w:spacing w:before="40" w:after="40" w:line="220" w:lineRule="exact"/>
              <w:jc w:val="right"/>
              <w:rPr>
                <w:sz w:val="18"/>
              </w:rPr>
            </w:pPr>
            <w:r w:rsidRPr="00BD2C13">
              <w:t>-</w:t>
            </w:r>
            <w:r w:rsidR="009A1B3A" w:rsidRPr="00BD2C13">
              <w:rPr>
                <w:sz w:val="18"/>
              </w:rPr>
              <w:t>138</w:t>
            </w:r>
          </w:p>
        </w:tc>
        <w:tc>
          <w:tcPr>
            <w:tcW w:w="1276" w:type="dxa"/>
            <w:shd w:val="clear" w:color="auto" w:fill="auto"/>
            <w:vAlign w:val="bottom"/>
          </w:tcPr>
          <w:p w14:paraId="3C168841" w14:textId="77777777" w:rsidR="009A1B3A" w:rsidRPr="00BD2C13" w:rsidRDefault="00361239" w:rsidP="009A1B3A">
            <w:pPr>
              <w:spacing w:before="40" w:after="40" w:line="220" w:lineRule="exact"/>
              <w:jc w:val="right"/>
              <w:rPr>
                <w:sz w:val="18"/>
              </w:rPr>
            </w:pPr>
            <w:r w:rsidRPr="00BD2C13">
              <w:t>-</w:t>
            </w:r>
            <w:r w:rsidR="009A1B3A" w:rsidRPr="00BD2C13">
              <w:rPr>
                <w:sz w:val="18"/>
              </w:rPr>
              <w:t>2,5</w:t>
            </w:r>
          </w:p>
        </w:tc>
      </w:tr>
      <w:tr w:rsidR="009A1B3A" w:rsidRPr="00BD2C13" w14:paraId="48777F2F" w14:textId="77777777" w:rsidTr="00030997">
        <w:tc>
          <w:tcPr>
            <w:tcW w:w="2268" w:type="dxa"/>
            <w:shd w:val="clear" w:color="auto" w:fill="auto"/>
            <w:vAlign w:val="bottom"/>
          </w:tcPr>
          <w:p w14:paraId="16C72071" w14:textId="77777777" w:rsidR="009A1B3A" w:rsidRPr="00BD2C13" w:rsidRDefault="009A1B3A" w:rsidP="009A1B3A">
            <w:pPr>
              <w:spacing w:before="40" w:after="40" w:line="220" w:lineRule="exact"/>
            </w:pPr>
            <w:r w:rsidRPr="00BD2C13">
              <w:rPr>
                <w:sz w:val="18"/>
              </w:rPr>
              <w:t xml:space="preserve">Infraction relative aux drogues </w:t>
            </w:r>
            <w:r w:rsidRPr="00BD2C13">
              <w:rPr>
                <w:sz w:val="18"/>
              </w:rPr>
              <w:br/>
              <w:t>placées sous contrôle</w:t>
            </w:r>
          </w:p>
        </w:tc>
        <w:tc>
          <w:tcPr>
            <w:tcW w:w="1275" w:type="dxa"/>
            <w:shd w:val="clear" w:color="auto" w:fill="auto"/>
            <w:vAlign w:val="bottom"/>
          </w:tcPr>
          <w:p w14:paraId="70345209" w14:textId="77777777" w:rsidR="009A1B3A" w:rsidRPr="00BD2C13" w:rsidRDefault="009A1B3A" w:rsidP="009A1B3A">
            <w:pPr>
              <w:spacing w:before="40" w:after="40" w:line="220" w:lineRule="exact"/>
              <w:jc w:val="right"/>
              <w:rPr>
                <w:sz w:val="18"/>
              </w:rPr>
            </w:pPr>
            <w:r w:rsidRPr="00BD2C13">
              <w:rPr>
                <w:sz w:val="18"/>
              </w:rPr>
              <w:t>16 771</w:t>
            </w:r>
          </w:p>
        </w:tc>
        <w:tc>
          <w:tcPr>
            <w:tcW w:w="1276" w:type="dxa"/>
            <w:shd w:val="clear" w:color="auto" w:fill="auto"/>
            <w:vAlign w:val="bottom"/>
          </w:tcPr>
          <w:p w14:paraId="223C0BF2" w14:textId="77777777" w:rsidR="009A1B3A" w:rsidRPr="00BD2C13" w:rsidRDefault="009A1B3A" w:rsidP="009A1B3A">
            <w:pPr>
              <w:spacing w:before="40" w:after="40" w:line="220" w:lineRule="exact"/>
              <w:jc w:val="right"/>
              <w:rPr>
                <w:sz w:val="18"/>
              </w:rPr>
            </w:pPr>
            <w:r w:rsidRPr="00BD2C13">
              <w:rPr>
                <w:sz w:val="18"/>
              </w:rPr>
              <w:t>17 375</w:t>
            </w:r>
          </w:p>
        </w:tc>
        <w:tc>
          <w:tcPr>
            <w:tcW w:w="1275" w:type="dxa"/>
            <w:shd w:val="clear" w:color="auto" w:fill="auto"/>
            <w:vAlign w:val="bottom"/>
          </w:tcPr>
          <w:p w14:paraId="74A3134F" w14:textId="77777777" w:rsidR="009A1B3A" w:rsidRPr="00BD2C13" w:rsidRDefault="009A1B3A" w:rsidP="009A1B3A">
            <w:pPr>
              <w:spacing w:before="40" w:after="40" w:line="220" w:lineRule="exact"/>
              <w:jc w:val="right"/>
              <w:rPr>
                <w:sz w:val="18"/>
              </w:rPr>
            </w:pPr>
            <w:r w:rsidRPr="00BD2C13">
              <w:rPr>
                <w:sz w:val="18"/>
              </w:rPr>
              <w:t>+604</w:t>
            </w:r>
          </w:p>
        </w:tc>
        <w:tc>
          <w:tcPr>
            <w:tcW w:w="1276" w:type="dxa"/>
            <w:shd w:val="clear" w:color="auto" w:fill="auto"/>
            <w:vAlign w:val="bottom"/>
          </w:tcPr>
          <w:p w14:paraId="2F28BA15" w14:textId="77777777" w:rsidR="009A1B3A" w:rsidRPr="00BD2C13" w:rsidRDefault="009A1B3A" w:rsidP="009A1B3A">
            <w:pPr>
              <w:spacing w:before="40" w:after="40" w:line="220" w:lineRule="exact"/>
              <w:jc w:val="right"/>
              <w:rPr>
                <w:sz w:val="18"/>
              </w:rPr>
            </w:pPr>
            <w:r w:rsidRPr="00BD2C13">
              <w:rPr>
                <w:sz w:val="18"/>
              </w:rPr>
              <w:t>+3,6</w:t>
            </w:r>
          </w:p>
        </w:tc>
      </w:tr>
      <w:tr w:rsidR="009A1B3A" w:rsidRPr="00BD2C13" w14:paraId="49429747" w14:textId="77777777" w:rsidTr="00030997">
        <w:tc>
          <w:tcPr>
            <w:tcW w:w="2268" w:type="dxa"/>
            <w:shd w:val="clear" w:color="auto" w:fill="auto"/>
            <w:vAlign w:val="bottom"/>
          </w:tcPr>
          <w:p w14:paraId="2B5719D3" w14:textId="77777777" w:rsidR="009A1B3A" w:rsidRPr="00BD2C13" w:rsidRDefault="009A1B3A" w:rsidP="009A1B3A">
            <w:pPr>
              <w:spacing w:before="40" w:after="40" w:line="220" w:lineRule="exact"/>
            </w:pPr>
            <w:r w:rsidRPr="00BD2C13">
              <w:rPr>
                <w:sz w:val="18"/>
              </w:rPr>
              <w:t xml:space="preserve">Infraction relative aux armes </w:t>
            </w:r>
            <w:r w:rsidRPr="00BD2C13">
              <w:rPr>
                <w:sz w:val="18"/>
              </w:rPr>
              <w:br/>
              <w:t>ou aux explosifs</w:t>
            </w:r>
          </w:p>
        </w:tc>
        <w:tc>
          <w:tcPr>
            <w:tcW w:w="1275" w:type="dxa"/>
            <w:shd w:val="clear" w:color="auto" w:fill="auto"/>
            <w:vAlign w:val="bottom"/>
          </w:tcPr>
          <w:p w14:paraId="47866EC5" w14:textId="77777777" w:rsidR="009A1B3A" w:rsidRPr="00BD2C13" w:rsidRDefault="009A1B3A" w:rsidP="009A1B3A">
            <w:pPr>
              <w:spacing w:before="40" w:after="40" w:line="220" w:lineRule="exact"/>
              <w:jc w:val="right"/>
              <w:rPr>
                <w:sz w:val="18"/>
              </w:rPr>
            </w:pPr>
            <w:r w:rsidRPr="00BD2C13">
              <w:rPr>
                <w:sz w:val="18"/>
              </w:rPr>
              <w:t>2 194</w:t>
            </w:r>
          </w:p>
        </w:tc>
        <w:tc>
          <w:tcPr>
            <w:tcW w:w="1276" w:type="dxa"/>
            <w:shd w:val="clear" w:color="auto" w:fill="auto"/>
            <w:vAlign w:val="bottom"/>
          </w:tcPr>
          <w:p w14:paraId="0B546179" w14:textId="77777777" w:rsidR="009A1B3A" w:rsidRPr="00BD2C13" w:rsidRDefault="009A1B3A" w:rsidP="009A1B3A">
            <w:pPr>
              <w:spacing w:before="40" w:after="40" w:line="220" w:lineRule="exact"/>
              <w:jc w:val="right"/>
              <w:rPr>
                <w:sz w:val="18"/>
              </w:rPr>
            </w:pPr>
            <w:r w:rsidRPr="00BD2C13">
              <w:rPr>
                <w:sz w:val="18"/>
              </w:rPr>
              <w:t>2 428</w:t>
            </w:r>
          </w:p>
        </w:tc>
        <w:tc>
          <w:tcPr>
            <w:tcW w:w="1275" w:type="dxa"/>
            <w:shd w:val="clear" w:color="auto" w:fill="auto"/>
            <w:vAlign w:val="bottom"/>
          </w:tcPr>
          <w:p w14:paraId="3F2C13A2" w14:textId="77777777" w:rsidR="009A1B3A" w:rsidRPr="00BD2C13" w:rsidRDefault="009A1B3A" w:rsidP="009A1B3A">
            <w:pPr>
              <w:spacing w:before="40" w:after="40" w:line="220" w:lineRule="exact"/>
              <w:jc w:val="right"/>
              <w:rPr>
                <w:sz w:val="18"/>
              </w:rPr>
            </w:pPr>
            <w:r w:rsidRPr="00BD2C13">
              <w:rPr>
                <w:sz w:val="18"/>
              </w:rPr>
              <w:t>+234</w:t>
            </w:r>
          </w:p>
        </w:tc>
        <w:tc>
          <w:tcPr>
            <w:tcW w:w="1276" w:type="dxa"/>
            <w:shd w:val="clear" w:color="auto" w:fill="auto"/>
            <w:vAlign w:val="bottom"/>
          </w:tcPr>
          <w:p w14:paraId="18F9FBEE" w14:textId="77777777" w:rsidR="009A1B3A" w:rsidRPr="00BD2C13" w:rsidRDefault="009A1B3A" w:rsidP="009A1B3A">
            <w:pPr>
              <w:spacing w:before="40" w:after="40" w:line="220" w:lineRule="exact"/>
              <w:jc w:val="right"/>
              <w:rPr>
                <w:sz w:val="18"/>
              </w:rPr>
            </w:pPr>
            <w:r w:rsidRPr="00BD2C13">
              <w:rPr>
                <w:sz w:val="18"/>
              </w:rPr>
              <w:t>+10,7</w:t>
            </w:r>
          </w:p>
        </w:tc>
      </w:tr>
      <w:tr w:rsidR="009A1B3A" w:rsidRPr="00BD2C13" w14:paraId="37B840DF" w14:textId="77777777" w:rsidTr="00030997">
        <w:tc>
          <w:tcPr>
            <w:tcW w:w="2268" w:type="dxa"/>
            <w:shd w:val="clear" w:color="auto" w:fill="auto"/>
            <w:vAlign w:val="bottom"/>
          </w:tcPr>
          <w:p w14:paraId="1AB25304" w14:textId="77777777" w:rsidR="009A1B3A" w:rsidRPr="00BD2C13" w:rsidRDefault="009A1B3A" w:rsidP="009A1B3A">
            <w:pPr>
              <w:spacing w:before="40" w:after="40" w:line="220" w:lineRule="exact"/>
            </w:pPr>
            <w:r w:rsidRPr="00BD2C13">
              <w:rPr>
                <w:sz w:val="18"/>
              </w:rPr>
              <w:t>Préjudice matériel ou</w:t>
            </w:r>
            <w:r w:rsidR="00EF3FCC">
              <w:rPr>
                <w:sz w:val="18"/>
              </w:rPr>
              <w:t> </w:t>
            </w:r>
            <w:r w:rsidRPr="00BD2C13">
              <w:rPr>
                <w:sz w:val="18"/>
              </w:rPr>
              <w:t>à</w:t>
            </w:r>
            <w:r w:rsidR="009034F4" w:rsidRPr="00BD2C13">
              <w:rPr>
                <w:sz w:val="18"/>
              </w:rPr>
              <w:t> </w:t>
            </w:r>
            <w:r w:rsidRPr="00BD2C13">
              <w:rPr>
                <w:sz w:val="18"/>
              </w:rPr>
              <w:t>l</w:t>
            </w:r>
            <w:r w:rsidR="00784444">
              <w:rPr>
                <w:sz w:val="18"/>
              </w:rPr>
              <w:t>’</w:t>
            </w:r>
            <w:r w:rsidRPr="00BD2C13">
              <w:rPr>
                <w:sz w:val="18"/>
              </w:rPr>
              <w:t>environnement</w:t>
            </w:r>
          </w:p>
        </w:tc>
        <w:tc>
          <w:tcPr>
            <w:tcW w:w="1275" w:type="dxa"/>
            <w:shd w:val="clear" w:color="auto" w:fill="auto"/>
            <w:vAlign w:val="bottom"/>
          </w:tcPr>
          <w:p w14:paraId="46277A39" w14:textId="77777777" w:rsidR="009A1B3A" w:rsidRPr="00BD2C13" w:rsidRDefault="009A1B3A" w:rsidP="009A1B3A">
            <w:pPr>
              <w:spacing w:before="40" w:after="40" w:line="220" w:lineRule="exact"/>
              <w:jc w:val="right"/>
              <w:rPr>
                <w:sz w:val="18"/>
              </w:rPr>
            </w:pPr>
            <w:r w:rsidRPr="00BD2C13">
              <w:rPr>
                <w:sz w:val="18"/>
              </w:rPr>
              <w:t>22 875</w:t>
            </w:r>
          </w:p>
        </w:tc>
        <w:tc>
          <w:tcPr>
            <w:tcW w:w="1276" w:type="dxa"/>
            <w:shd w:val="clear" w:color="auto" w:fill="auto"/>
            <w:vAlign w:val="bottom"/>
          </w:tcPr>
          <w:p w14:paraId="7388B844" w14:textId="77777777" w:rsidR="009A1B3A" w:rsidRPr="00BD2C13" w:rsidRDefault="009A1B3A" w:rsidP="009A1B3A">
            <w:pPr>
              <w:spacing w:before="40" w:after="40" w:line="220" w:lineRule="exact"/>
              <w:jc w:val="right"/>
              <w:rPr>
                <w:sz w:val="18"/>
              </w:rPr>
            </w:pPr>
            <w:r w:rsidRPr="00BD2C13">
              <w:rPr>
                <w:sz w:val="18"/>
              </w:rPr>
              <w:t>22 184</w:t>
            </w:r>
          </w:p>
        </w:tc>
        <w:tc>
          <w:tcPr>
            <w:tcW w:w="1275" w:type="dxa"/>
            <w:shd w:val="clear" w:color="auto" w:fill="auto"/>
            <w:vAlign w:val="bottom"/>
          </w:tcPr>
          <w:p w14:paraId="5F12078E" w14:textId="77777777" w:rsidR="009A1B3A" w:rsidRPr="00BD2C13" w:rsidRDefault="00361239" w:rsidP="009A1B3A">
            <w:pPr>
              <w:spacing w:before="40" w:after="40" w:line="220" w:lineRule="exact"/>
              <w:jc w:val="right"/>
              <w:rPr>
                <w:sz w:val="18"/>
              </w:rPr>
            </w:pPr>
            <w:r w:rsidRPr="00BD2C13">
              <w:t>-</w:t>
            </w:r>
            <w:r w:rsidR="009A1B3A" w:rsidRPr="00BD2C13">
              <w:rPr>
                <w:sz w:val="18"/>
              </w:rPr>
              <w:t>691</w:t>
            </w:r>
          </w:p>
        </w:tc>
        <w:tc>
          <w:tcPr>
            <w:tcW w:w="1276" w:type="dxa"/>
            <w:shd w:val="clear" w:color="auto" w:fill="auto"/>
            <w:vAlign w:val="bottom"/>
          </w:tcPr>
          <w:p w14:paraId="51B8C05B" w14:textId="77777777" w:rsidR="009A1B3A" w:rsidRPr="00BD2C13" w:rsidRDefault="00361239" w:rsidP="009A1B3A">
            <w:pPr>
              <w:spacing w:before="40" w:after="40" w:line="220" w:lineRule="exact"/>
              <w:jc w:val="right"/>
              <w:rPr>
                <w:sz w:val="18"/>
              </w:rPr>
            </w:pPr>
            <w:r w:rsidRPr="00BD2C13">
              <w:t>-</w:t>
            </w:r>
            <w:r w:rsidR="009A1B3A" w:rsidRPr="00BD2C13">
              <w:rPr>
                <w:sz w:val="18"/>
              </w:rPr>
              <w:t>3,0</w:t>
            </w:r>
          </w:p>
        </w:tc>
      </w:tr>
      <w:tr w:rsidR="009A1B3A" w:rsidRPr="00BD2C13" w14:paraId="3515A2E5" w14:textId="77777777" w:rsidTr="00030997">
        <w:tc>
          <w:tcPr>
            <w:tcW w:w="2268" w:type="dxa"/>
            <w:shd w:val="clear" w:color="auto" w:fill="auto"/>
            <w:vAlign w:val="bottom"/>
          </w:tcPr>
          <w:p w14:paraId="329D6E60" w14:textId="77777777" w:rsidR="009A1B3A" w:rsidRPr="00BD2C13" w:rsidRDefault="009A1B3A" w:rsidP="009A1B3A">
            <w:pPr>
              <w:spacing w:before="40" w:after="40" w:line="220" w:lineRule="exact"/>
            </w:pPr>
            <w:r w:rsidRPr="00BD2C13">
              <w:rPr>
                <w:sz w:val="18"/>
              </w:rPr>
              <w:t>Infraction relative à l</w:t>
            </w:r>
            <w:r w:rsidR="00784444">
              <w:rPr>
                <w:sz w:val="18"/>
              </w:rPr>
              <w:t>’</w:t>
            </w:r>
            <w:r w:rsidRPr="00BD2C13">
              <w:rPr>
                <w:sz w:val="18"/>
              </w:rPr>
              <w:t>ordre public ou aux normes sociales</w:t>
            </w:r>
          </w:p>
        </w:tc>
        <w:tc>
          <w:tcPr>
            <w:tcW w:w="1275" w:type="dxa"/>
            <w:shd w:val="clear" w:color="auto" w:fill="auto"/>
            <w:vAlign w:val="bottom"/>
          </w:tcPr>
          <w:p w14:paraId="5CA017AA" w14:textId="77777777" w:rsidR="009A1B3A" w:rsidRPr="00BD2C13" w:rsidRDefault="009A1B3A" w:rsidP="009A1B3A">
            <w:pPr>
              <w:spacing w:before="40" w:after="40" w:line="220" w:lineRule="exact"/>
              <w:jc w:val="right"/>
              <w:rPr>
                <w:sz w:val="18"/>
              </w:rPr>
            </w:pPr>
            <w:r w:rsidRPr="00BD2C13">
              <w:rPr>
                <w:sz w:val="18"/>
              </w:rPr>
              <w:t>30 042</w:t>
            </w:r>
          </w:p>
        </w:tc>
        <w:tc>
          <w:tcPr>
            <w:tcW w:w="1276" w:type="dxa"/>
            <w:shd w:val="clear" w:color="auto" w:fill="auto"/>
            <w:vAlign w:val="bottom"/>
          </w:tcPr>
          <w:p w14:paraId="04B8B6D8" w14:textId="77777777" w:rsidR="009A1B3A" w:rsidRPr="00BD2C13" w:rsidRDefault="009A1B3A" w:rsidP="009A1B3A">
            <w:pPr>
              <w:spacing w:before="40" w:after="40" w:line="220" w:lineRule="exact"/>
              <w:jc w:val="right"/>
              <w:rPr>
                <w:sz w:val="18"/>
              </w:rPr>
            </w:pPr>
            <w:r w:rsidRPr="00BD2C13">
              <w:rPr>
                <w:sz w:val="18"/>
              </w:rPr>
              <w:t>31 320</w:t>
            </w:r>
          </w:p>
        </w:tc>
        <w:tc>
          <w:tcPr>
            <w:tcW w:w="1275" w:type="dxa"/>
            <w:shd w:val="clear" w:color="auto" w:fill="auto"/>
            <w:vAlign w:val="bottom"/>
          </w:tcPr>
          <w:p w14:paraId="3D4B2707" w14:textId="77777777" w:rsidR="009A1B3A" w:rsidRPr="00BD2C13" w:rsidRDefault="009A1B3A" w:rsidP="009A1B3A">
            <w:pPr>
              <w:spacing w:before="40" w:after="40" w:line="220" w:lineRule="exact"/>
              <w:jc w:val="right"/>
              <w:rPr>
                <w:sz w:val="18"/>
              </w:rPr>
            </w:pPr>
            <w:r w:rsidRPr="00BD2C13">
              <w:rPr>
                <w:sz w:val="18"/>
              </w:rPr>
              <w:t>+1 278</w:t>
            </w:r>
          </w:p>
        </w:tc>
        <w:tc>
          <w:tcPr>
            <w:tcW w:w="1276" w:type="dxa"/>
            <w:shd w:val="clear" w:color="auto" w:fill="auto"/>
            <w:vAlign w:val="bottom"/>
          </w:tcPr>
          <w:p w14:paraId="072517FB" w14:textId="77777777" w:rsidR="009A1B3A" w:rsidRPr="00BD2C13" w:rsidRDefault="009A1B3A" w:rsidP="009A1B3A">
            <w:pPr>
              <w:spacing w:before="40" w:after="40" w:line="220" w:lineRule="exact"/>
              <w:jc w:val="right"/>
              <w:rPr>
                <w:sz w:val="18"/>
              </w:rPr>
            </w:pPr>
            <w:r w:rsidRPr="00BD2C13">
              <w:rPr>
                <w:sz w:val="18"/>
              </w:rPr>
              <w:t>+4,3</w:t>
            </w:r>
          </w:p>
        </w:tc>
      </w:tr>
      <w:tr w:rsidR="009A1B3A" w:rsidRPr="00BD2C13" w14:paraId="7F01B391" w14:textId="77777777" w:rsidTr="00030997">
        <w:tc>
          <w:tcPr>
            <w:tcW w:w="2268" w:type="dxa"/>
            <w:tcBorders>
              <w:bottom w:val="single" w:sz="12" w:space="0" w:color="auto"/>
            </w:tcBorders>
            <w:shd w:val="clear" w:color="auto" w:fill="auto"/>
            <w:vAlign w:val="bottom"/>
          </w:tcPr>
          <w:p w14:paraId="1A16F333" w14:textId="77777777" w:rsidR="009A1B3A" w:rsidRPr="00BD2C13" w:rsidRDefault="009A1B3A" w:rsidP="009A1B3A">
            <w:pPr>
              <w:spacing w:before="40" w:after="40" w:line="220" w:lineRule="exact"/>
            </w:pPr>
            <w:r w:rsidRPr="00BD2C13">
              <w:rPr>
                <w:sz w:val="18"/>
              </w:rPr>
              <w:t>Atteintes au fonctionnement du</w:t>
            </w:r>
            <w:r w:rsidR="009034F4" w:rsidRPr="00BD2C13">
              <w:rPr>
                <w:sz w:val="18"/>
              </w:rPr>
              <w:t> </w:t>
            </w:r>
            <w:r w:rsidRPr="00BD2C13">
              <w:rPr>
                <w:sz w:val="18"/>
              </w:rPr>
              <w:t>Gouvernement et des procédures judiciaires et organisation de la criminalité</w:t>
            </w:r>
          </w:p>
        </w:tc>
        <w:tc>
          <w:tcPr>
            <w:tcW w:w="1275" w:type="dxa"/>
            <w:tcBorders>
              <w:bottom w:val="single" w:sz="12" w:space="0" w:color="auto"/>
            </w:tcBorders>
            <w:shd w:val="clear" w:color="auto" w:fill="auto"/>
            <w:vAlign w:val="bottom"/>
          </w:tcPr>
          <w:p w14:paraId="7D7CB45B" w14:textId="77777777" w:rsidR="009A1B3A" w:rsidRPr="00BD2C13" w:rsidRDefault="009A1B3A" w:rsidP="009A1B3A">
            <w:pPr>
              <w:spacing w:before="40" w:after="40" w:line="220" w:lineRule="exact"/>
              <w:jc w:val="right"/>
              <w:rPr>
                <w:sz w:val="18"/>
              </w:rPr>
            </w:pPr>
            <w:r w:rsidRPr="00BD2C13">
              <w:rPr>
                <w:sz w:val="18"/>
              </w:rPr>
              <w:t>12 565</w:t>
            </w:r>
          </w:p>
        </w:tc>
        <w:tc>
          <w:tcPr>
            <w:tcW w:w="1276" w:type="dxa"/>
            <w:tcBorders>
              <w:bottom w:val="single" w:sz="12" w:space="0" w:color="auto"/>
            </w:tcBorders>
            <w:shd w:val="clear" w:color="auto" w:fill="auto"/>
            <w:vAlign w:val="bottom"/>
          </w:tcPr>
          <w:p w14:paraId="341FF62E" w14:textId="77777777" w:rsidR="009A1B3A" w:rsidRPr="00BD2C13" w:rsidRDefault="009A1B3A" w:rsidP="009A1B3A">
            <w:pPr>
              <w:spacing w:before="40" w:after="40" w:line="220" w:lineRule="exact"/>
              <w:jc w:val="right"/>
              <w:rPr>
                <w:sz w:val="18"/>
              </w:rPr>
            </w:pPr>
            <w:r w:rsidRPr="00BD2C13">
              <w:rPr>
                <w:sz w:val="18"/>
              </w:rPr>
              <w:t>14 205</w:t>
            </w:r>
          </w:p>
        </w:tc>
        <w:tc>
          <w:tcPr>
            <w:tcW w:w="1275" w:type="dxa"/>
            <w:tcBorders>
              <w:bottom w:val="single" w:sz="12" w:space="0" w:color="auto"/>
            </w:tcBorders>
            <w:shd w:val="clear" w:color="auto" w:fill="auto"/>
            <w:vAlign w:val="bottom"/>
          </w:tcPr>
          <w:p w14:paraId="49340493" w14:textId="77777777" w:rsidR="009A1B3A" w:rsidRPr="00BD2C13" w:rsidRDefault="009A1B3A" w:rsidP="009A1B3A">
            <w:pPr>
              <w:spacing w:before="40" w:after="40" w:line="220" w:lineRule="exact"/>
              <w:jc w:val="right"/>
              <w:rPr>
                <w:sz w:val="18"/>
              </w:rPr>
            </w:pPr>
            <w:r w:rsidRPr="00BD2C13">
              <w:rPr>
                <w:sz w:val="18"/>
              </w:rPr>
              <w:t>+1 640</w:t>
            </w:r>
          </w:p>
        </w:tc>
        <w:tc>
          <w:tcPr>
            <w:tcW w:w="1276" w:type="dxa"/>
            <w:tcBorders>
              <w:bottom w:val="single" w:sz="12" w:space="0" w:color="auto"/>
            </w:tcBorders>
            <w:shd w:val="clear" w:color="auto" w:fill="auto"/>
            <w:vAlign w:val="bottom"/>
          </w:tcPr>
          <w:p w14:paraId="6BA04847" w14:textId="77777777" w:rsidR="009A1B3A" w:rsidRPr="00BD2C13" w:rsidRDefault="009A1B3A" w:rsidP="009A1B3A">
            <w:pPr>
              <w:spacing w:before="40" w:after="40" w:line="220" w:lineRule="exact"/>
              <w:jc w:val="right"/>
              <w:rPr>
                <w:sz w:val="18"/>
              </w:rPr>
            </w:pPr>
            <w:r w:rsidRPr="00BD2C13">
              <w:rPr>
                <w:iCs/>
                <w:sz w:val="18"/>
              </w:rPr>
              <w:t>+13,1</w:t>
            </w:r>
          </w:p>
        </w:tc>
      </w:tr>
    </w:tbl>
    <w:p w14:paraId="7F52B18A" w14:textId="77777777" w:rsidR="00030997" w:rsidRPr="00BD2C13" w:rsidRDefault="00030997" w:rsidP="006804FB">
      <w:pPr>
        <w:pStyle w:val="Titre1"/>
        <w:spacing w:before="240" w:after="120"/>
        <w:rPr>
          <w:color w:val="000000"/>
          <w:szCs w:val="24"/>
          <w:lang w:eastAsia="en-IE"/>
        </w:rPr>
      </w:pPr>
      <w:r w:rsidRPr="00BD2C13">
        <w:lastRenderedPageBreak/>
        <w:t>Tableau 2</w:t>
      </w:r>
      <w:r w:rsidR="00796609">
        <w:br/>
      </w:r>
      <w:r w:rsidRPr="00796609">
        <w:rPr>
          <w:b/>
        </w:rPr>
        <w:t>Indicateurs des inégalités de revenus par année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9"/>
        <w:gridCol w:w="609"/>
        <w:gridCol w:w="610"/>
        <w:gridCol w:w="609"/>
        <w:gridCol w:w="610"/>
        <w:gridCol w:w="609"/>
        <w:gridCol w:w="609"/>
        <w:gridCol w:w="610"/>
        <w:gridCol w:w="609"/>
        <w:gridCol w:w="610"/>
      </w:tblGrid>
      <w:tr w:rsidR="00030997" w:rsidRPr="00BD2C13" w14:paraId="4FDB8FF5" w14:textId="77777777" w:rsidTr="00030997">
        <w:trPr>
          <w:tblHeader/>
        </w:trPr>
        <w:tc>
          <w:tcPr>
            <w:tcW w:w="1276" w:type="dxa"/>
            <w:tcBorders>
              <w:top w:val="single" w:sz="4" w:space="0" w:color="auto"/>
              <w:bottom w:val="single" w:sz="12" w:space="0" w:color="auto"/>
            </w:tcBorders>
            <w:shd w:val="clear" w:color="auto" w:fill="auto"/>
            <w:vAlign w:val="bottom"/>
          </w:tcPr>
          <w:p w14:paraId="227202AE" w14:textId="77777777" w:rsidR="00030997" w:rsidRPr="00BD2C13" w:rsidRDefault="00030997" w:rsidP="00796609">
            <w:pPr>
              <w:keepNext/>
              <w:keepLines/>
              <w:suppressAutoHyphens w:val="0"/>
              <w:spacing w:before="80" w:after="80" w:line="200" w:lineRule="exact"/>
              <w:rPr>
                <w:i/>
                <w:sz w:val="16"/>
              </w:rPr>
            </w:pPr>
          </w:p>
        </w:tc>
        <w:tc>
          <w:tcPr>
            <w:tcW w:w="609" w:type="dxa"/>
            <w:tcBorders>
              <w:top w:val="single" w:sz="4" w:space="0" w:color="auto"/>
              <w:bottom w:val="single" w:sz="12" w:space="0" w:color="auto"/>
            </w:tcBorders>
            <w:shd w:val="clear" w:color="auto" w:fill="auto"/>
            <w:vAlign w:val="bottom"/>
          </w:tcPr>
          <w:p w14:paraId="0ADD9752"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2007</w:t>
            </w:r>
          </w:p>
        </w:tc>
        <w:tc>
          <w:tcPr>
            <w:tcW w:w="609" w:type="dxa"/>
            <w:tcBorders>
              <w:top w:val="single" w:sz="4" w:space="0" w:color="auto"/>
              <w:bottom w:val="single" w:sz="12" w:space="0" w:color="auto"/>
            </w:tcBorders>
            <w:shd w:val="clear" w:color="auto" w:fill="auto"/>
            <w:vAlign w:val="bottom"/>
          </w:tcPr>
          <w:p w14:paraId="7202CA8D"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2008</w:t>
            </w:r>
          </w:p>
        </w:tc>
        <w:tc>
          <w:tcPr>
            <w:tcW w:w="610" w:type="dxa"/>
            <w:tcBorders>
              <w:top w:val="single" w:sz="4" w:space="0" w:color="auto"/>
              <w:bottom w:val="single" w:sz="12" w:space="0" w:color="auto"/>
            </w:tcBorders>
            <w:shd w:val="clear" w:color="auto" w:fill="auto"/>
            <w:vAlign w:val="bottom"/>
          </w:tcPr>
          <w:p w14:paraId="7021720A"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2009</w:t>
            </w:r>
          </w:p>
        </w:tc>
        <w:tc>
          <w:tcPr>
            <w:tcW w:w="609" w:type="dxa"/>
            <w:tcBorders>
              <w:top w:val="single" w:sz="4" w:space="0" w:color="auto"/>
              <w:bottom w:val="single" w:sz="12" w:space="0" w:color="auto"/>
            </w:tcBorders>
            <w:shd w:val="clear" w:color="auto" w:fill="auto"/>
            <w:vAlign w:val="bottom"/>
          </w:tcPr>
          <w:p w14:paraId="4E20DC59"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2010</w:t>
            </w:r>
          </w:p>
        </w:tc>
        <w:tc>
          <w:tcPr>
            <w:tcW w:w="610" w:type="dxa"/>
            <w:tcBorders>
              <w:top w:val="single" w:sz="4" w:space="0" w:color="auto"/>
              <w:bottom w:val="single" w:sz="12" w:space="0" w:color="auto"/>
            </w:tcBorders>
            <w:shd w:val="clear" w:color="auto" w:fill="auto"/>
            <w:vAlign w:val="bottom"/>
          </w:tcPr>
          <w:p w14:paraId="5DB21FC4"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2011</w:t>
            </w:r>
          </w:p>
        </w:tc>
        <w:tc>
          <w:tcPr>
            <w:tcW w:w="609" w:type="dxa"/>
            <w:tcBorders>
              <w:top w:val="single" w:sz="4" w:space="0" w:color="auto"/>
              <w:bottom w:val="single" w:sz="12" w:space="0" w:color="auto"/>
            </w:tcBorders>
            <w:shd w:val="clear" w:color="auto" w:fill="auto"/>
            <w:vAlign w:val="bottom"/>
          </w:tcPr>
          <w:p w14:paraId="15798F74"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2012</w:t>
            </w:r>
          </w:p>
        </w:tc>
        <w:tc>
          <w:tcPr>
            <w:tcW w:w="609" w:type="dxa"/>
            <w:tcBorders>
              <w:top w:val="single" w:sz="4" w:space="0" w:color="auto"/>
              <w:bottom w:val="single" w:sz="12" w:space="0" w:color="auto"/>
            </w:tcBorders>
            <w:shd w:val="clear" w:color="auto" w:fill="auto"/>
            <w:vAlign w:val="bottom"/>
          </w:tcPr>
          <w:p w14:paraId="7381022B"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2013</w:t>
            </w:r>
          </w:p>
        </w:tc>
        <w:tc>
          <w:tcPr>
            <w:tcW w:w="610" w:type="dxa"/>
            <w:tcBorders>
              <w:top w:val="single" w:sz="4" w:space="0" w:color="auto"/>
              <w:bottom w:val="single" w:sz="12" w:space="0" w:color="auto"/>
            </w:tcBorders>
            <w:shd w:val="clear" w:color="auto" w:fill="auto"/>
            <w:vAlign w:val="bottom"/>
          </w:tcPr>
          <w:p w14:paraId="373D3231"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2014</w:t>
            </w:r>
          </w:p>
        </w:tc>
        <w:tc>
          <w:tcPr>
            <w:tcW w:w="609" w:type="dxa"/>
            <w:tcBorders>
              <w:top w:val="single" w:sz="4" w:space="0" w:color="auto"/>
              <w:bottom w:val="single" w:sz="12" w:space="0" w:color="auto"/>
            </w:tcBorders>
            <w:shd w:val="clear" w:color="auto" w:fill="auto"/>
            <w:vAlign w:val="bottom"/>
          </w:tcPr>
          <w:p w14:paraId="41BB6455"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2015</w:t>
            </w:r>
          </w:p>
        </w:tc>
        <w:tc>
          <w:tcPr>
            <w:tcW w:w="610" w:type="dxa"/>
            <w:tcBorders>
              <w:top w:val="single" w:sz="4" w:space="0" w:color="auto"/>
              <w:bottom w:val="single" w:sz="12" w:space="0" w:color="auto"/>
            </w:tcBorders>
            <w:shd w:val="clear" w:color="auto" w:fill="auto"/>
            <w:vAlign w:val="bottom"/>
          </w:tcPr>
          <w:p w14:paraId="4D04E53F" w14:textId="77777777" w:rsidR="00030997" w:rsidRPr="00BD2C13" w:rsidRDefault="00030997" w:rsidP="00796609">
            <w:pPr>
              <w:keepNext/>
              <w:keepLines/>
              <w:suppressAutoHyphens w:val="0"/>
              <w:spacing w:before="80" w:after="80" w:line="200" w:lineRule="exact"/>
              <w:jc w:val="right"/>
              <w:rPr>
                <w:i/>
                <w:sz w:val="16"/>
                <w:szCs w:val="16"/>
              </w:rPr>
            </w:pPr>
            <w:r w:rsidRPr="00BD2C13">
              <w:rPr>
                <w:i/>
                <w:iCs/>
                <w:sz w:val="16"/>
              </w:rPr>
              <w:t>2016</w:t>
            </w:r>
          </w:p>
        </w:tc>
      </w:tr>
      <w:tr w:rsidR="00030997" w:rsidRPr="00BD2C13" w14:paraId="6AEF572B" w14:textId="77777777" w:rsidTr="00030997">
        <w:tc>
          <w:tcPr>
            <w:tcW w:w="1276" w:type="dxa"/>
            <w:tcBorders>
              <w:top w:val="single" w:sz="12" w:space="0" w:color="auto"/>
            </w:tcBorders>
            <w:shd w:val="clear" w:color="auto" w:fill="auto"/>
          </w:tcPr>
          <w:p w14:paraId="352E7D53" w14:textId="77777777" w:rsidR="00030997" w:rsidRPr="00BD2C13" w:rsidRDefault="00030997" w:rsidP="00796609">
            <w:pPr>
              <w:keepNext/>
              <w:keepLines/>
              <w:suppressAutoHyphens w:val="0"/>
              <w:spacing w:before="40" w:after="40" w:line="220" w:lineRule="exact"/>
              <w:rPr>
                <w:sz w:val="18"/>
                <w:szCs w:val="16"/>
              </w:rPr>
            </w:pPr>
          </w:p>
        </w:tc>
        <w:tc>
          <w:tcPr>
            <w:tcW w:w="609" w:type="dxa"/>
            <w:tcBorders>
              <w:top w:val="single" w:sz="12" w:space="0" w:color="auto"/>
            </w:tcBorders>
            <w:shd w:val="clear" w:color="auto" w:fill="auto"/>
            <w:vAlign w:val="bottom"/>
          </w:tcPr>
          <w:p w14:paraId="538AB264"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09" w:type="dxa"/>
            <w:tcBorders>
              <w:top w:val="single" w:sz="12" w:space="0" w:color="auto"/>
            </w:tcBorders>
            <w:shd w:val="clear" w:color="auto" w:fill="auto"/>
            <w:vAlign w:val="bottom"/>
          </w:tcPr>
          <w:p w14:paraId="0AEA8CFC"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10" w:type="dxa"/>
            <w:tcBorders>
              <w:top w:val="single" w:sz="12" w:space="0" w:color="auto"/>
            </w:tcBorders>
            <w:shd w:val="clear" w:color="auto" w:fill="auto"/>
            <w:vAlign w:val="bottom"/>
          </w:tcPr>
          <w:p w14:paraId="632F4D2D"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09" w:type="dxa"/>
            <w:tcBorders>
              <w:top w:val="single" w:sz="12" w:space="0" w:color="auto"/>
            </w:tcBorders>
            <w:shd w:val="clear" w:color="auto" w:fill="auto"/>
            <w:vAlign w:val="bottom"/>
          </w:tcPr>
          <w:p w14:paraId="28B0A8F1"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10" w:type="dxa"/>
            <w:tcBorders>
              <w:top w:val="single" w:sz="12" w:space="0" w:color="auto"/>
            </w:tcBorders>
            <w:shd w:val="clear" w:color="auto" w:fill="auto"/>
            <w:vAlign w:val="bottom"/>
          </w:tcPr>
          <w:p w14:paraId="1C4DE71E"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09" w:type="dxa"/>
            <w:tcBorders>
              <w:top w:val="single" w:sz="12" w:space="0" w:color="auto"/>
            </w:tcBorders>
            <w:shd w:val="clear" w:color="auto" w:fill="auto"/>
            <w:vAlign w:val="bottom"/>
          </w:tcPr>
          <w:p w14:paraId="73A81AE6"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09" w:type="dxa"/>
            <w:tcBorders>
              <w:top w:val="single" w:sz="12" w:space="0" w:color="auto"/>
            </w:tcBorders>
            <w:shd w:val="clear" w:color="auto" w:fill="auto"/>
            <w:vAlign w:val="bottom"/>
          </w:tcPr>
          <w:p w14:paraId="131CE1D1"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10" w:type="dxa"/>
            <w:tcBorders>
              <w:top w:val="single" w:sz="12" w:space="0" w:color="auto"/>
            </w:tcBorders>
            <w:shd w:val="clear" w:color="auto" w:fill="auto"/>
            <w:vAlign w:val="bottom"/>
          </w:tcPr>
          <w:p w14:paraId="560FD6EE"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09" w:type="dxa"/>
            <w:tcBorders>
              <w:top w:val="single" w:sz="12" w:space="0" w:color="auto"/>
            </w:tcBorders>
            <w:shd w:val="clear" w:color="auto" w:fill="auto"/>
            <w:vAlign w:val="bottom"/>
          </w:tcPr>
          <w:p w14:paraId="38B557A8"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c>
          <w:tcPr>
            <w:tcW w:w="610" w:type="dxa"/>
            <w:tcBorders>
              <w:top w:val="single" w:sz="12" w:space="0" w:color="auto"/>
            </w:tcBorders>
            <w:shd w:val="clear" w:color="auto" w:fill="auto"/>
            <w:vAlign w:val="bottom"/>
          </w:tcPr>
          <w:p w14:paraId="1FF090CA" w14:textId="77777777" w:rsidR="00030997" w:rsidRPr="00BD2C13" w:rsidRDefault="00030997" w:rsidP="00796609">
            <w:pPr>
              <w:keepNext/>
              <w:keepLines/>
              <w:suppressAutoHyphens w:val="0"/>
              <w:spacing w:before="40" w:after="40" w:line="220" w:lineRule="exact"/>
              <w:jc w:val="right"/>
              <w:rPr>
                <w:sz w:val="18"/>
              </w:rPr>
            </w:pPr>
            <w:r w:rsidRPr="00BD2C13">
              <w:rPr>
                <w:sz w:val="18"/>
              </w:rPr>
              <w:t>%</w:t>
            </w:r>
          </w:p>
        </w:tc>
      </w:tr>
      <w:tr w:rsidR="00030997" w:rsidRPr="00BD2C13" w14:paraId="638ADE0B" w14:textId="77777777" w:rsidTr="00030997">
        <w:tc>
          <w:tcPr>
            <w:tcW w:w="1276" w:type="dxa"/>
            <w:shd w:val="clear" w:color="auto" w:fill="auto"/>
            <w:vAlign w:val="bottom"/>
          </w:tcPr>
          <w:p w14:paraId="7AEFF8E4" w14:textId="77777777" w:rsidR="00030997" w:rsidRPr="00BD2C13" w:rsidRDefault="00030997" w:rsidP="00796609">
            <w:pPr>
              <w:keepNext/>
              <w:keepLines/>
              <w:spacing w:before="40" w:after="40" w:line="220" w:lineRule="exact"/>
              <w:rPr>
                <w:sz w:val="18"/>
                <w:szCs w:val="18"/>
              </w:rPr>
            </w:pPr>
            <w:r w:rsidRPr="00BD2C13">
              <w:rPr>
                <w:sz w:val="18"/>
                <w:szCs w:val="18"/>
              </w:rPr>
              <w:t>Coefficient de Gini (%)</w:t>
            </w:r>
          </w:p>
        </w:tc>
        <w:tc>
          <w:tcPr>
            <w:tcW w:w="609" w:type="dxa"/>
            <w:shd w:val="clear" w:color="auto" w:fill="auto"/>
            <w:vAlign w:val="bottom"/>
          </w:tcPr>
          <w:p w14:paraId="632C2ECC" w14:textId="77777777" w:rsidR="00030997" w:rsidRPr="00BD2C13" w:rsidRDefault="00030997" w:rsidP="00796609">
            <w:pPr>
              <w:keepNext/>
              <w:keepLines/>
              <w:suppressAutoHyphens w:val="0"/>
              <w:spacing w:before="40" w:after="40" w:line="220" w:lineRule="exact"/>
              <w:jc w:val="right"/>
              <w:rPr>
                <w:sz w:val="18"/>
              </w:rPr>
            </w:pPr>
            <w:r w:rsidRPr="00BD2C13">
              <w:rPr>
                <w:sz w:val="18"/>
              </w:rPr>
              <w:t>31,7</w:t>
            </w:r>
          </w:p>
        </w:tc>
        <w:tc>
          <w:tcPr>
            <w:tcW w:w="609" w:type="dxa"/>
            <w:shd w:val="clear" w:color="auto" w:fill="auto"/>
            <w:vAlign w:val="bottom"/>
          </w:tcPr>
          <w:p w14:paraId="310C3E92" w14:textId="77777777" w:rsidR="00030997" w:rsidRPr="00BD2C13" w:rsidRDefault="00030997" w:rsidP="00796609">
            <w:pPr>
              <w:keepNext/>
              <w:keepLines/>
              <w:suppressAutoHyphens w:val="0"/>
              <w:spacing w:before="40" w:after="40" w:line="220" w:lineRule="exact"/>
              <w:jc w:val="right"/>
              <w:rPr>
                <w:sz w:val="18"/>
              </w:rPr>
            </w:pPr>
            <w:r w:rsidRPr="00BD2C13">
              <w:rPr>
                <w:sz w:val="18"/>
              </w:rPr>
              <w:t>30,7</w:t>
            </w:r>
          </w:p>
        </w:tc>
        <w:tc>
          <w:tcPr>
            <w:tcW w:w="610" w:type="dxa"/>
            <w:shd w:val="clear" w:color="auto" w:fill="auto"/>
            <w:vAlign w:val="bottom"/>
          </w:tcPr>
          <w:p w14:paraId="3DC9478C" w14:textId="77777777" w:rsidR="00030997" w:rsidRPr="00BD2C13" w:rsidRDefault="00030997" w:rsidP="00796609">
            <w:pPr>
              <w:keepNext/>
              <w:keepLines/>
              <w:suppressAutoHyphens w:val="0"/>
              <w:spacing w:before="40" w:after="40" w:line="220" w:lineRule="exact"/>
              <w:jc w:val="right"/>
              <w:rPr>
                <w:sz w:val="18"/>
              </w:rPr>
            </w:pPr>
            <w:r w:rsidRPr="00BD2C13">
              <w:rPr>
                <w:sz w:val="18"/>
              </w:rPr>
              <w:t>29,3</w:t>
            </w:r>
          </w:p>
        </w:tc>
        <w:tc>
          <w:tcPr>
            <w:tcW w:w="609" w:type="dxa"/>
            <w:shd w:val="clear" w:color="auto" w:fill="auto"/>
            <w:vAlign w:val="bottom"/>
          </w:tcPr>
          <w:p w14:paraId="6DCA9DE6" w14:textId="77777777" w:rsidR="00030997" w:rsidRPr="00BD2C13" w:rsidRDefault="00030997" w:rsidP="00796609">
            <w:pPr>
              <w:keepNext/>
              <w:keepLines/>
              <w:suppressAutoHyphens w:val="0"/>
              <w:spacing w:before="40" w:after="40" w:line="220" w:lineRule="exact"/>
              <w:jc w:val="right"/>
              <w:rPr>
                <w:sz w:val="18"/>
              </w:rPr>
            </w:pPr>
            <w:r w:rsidRPr="00BD2C13">
              <w:rPr>
                <w:sz w:val="18"/>
              </w:rPr>
              <w:t>31,6</w:t>
            </w:r>
          </w:p>
        </w:tc>
        <w:tc>
          <w:tcPr>
            <w:tcW w:w="610" w:type="dxa"/>
            <w:shd w:val="clear" w:color="auto" w:fill="auto"/>
            <w:vAlign w:val="bottom"/>
          </w:tcPr>
          <w:p w14:paraId="11186ACE" w14:textId="77777777" w:rsidR="00030997" w:rsidRPr="00BD2C13" w:rsidRDefault="00030997" w:rsidP="00796609">
            <w:pPr>
              <w:keepNext/>
              <w:keepLines/>
              <w:suppressAutoHyphens w:val="0"/>
              <w:spacing w:before="40" w:after="40" w:line="220" w:lineRule="exact"/>
              <w:jc w:val="right"/>
              <w:rPr>
                <w:sz w:val="18"/>
              </w:rPr>
            </w:pPr>
            <w:r w:rsidRPr="00BD2C13">
              <w:rPr>
                <w:sz w:val="18"/>
              </w:rPr>
              <w:t>31,1</w:t>
            </w:r>
          </w:p>
        </w:tc>
        <w:tc>
          <w:tcPr>
            <w:tcW w:w="609" w:type="dxa"/>
            <w:shd w:val="clear" w:color="auto" w:fill="auto"/>
            <w:vAlign w:val="bottom"/>
          </w:tcPr>
          <w:p w14:paraId="70C62A30" w14:textId="77777777" w:rsidR="00030997" w:rsidRPr="00BD2C13" w:rsidRDefault="00030997" w:rsidP="00796609">
            <w:pPr>
              <w:keepNext/>
              <w:keepLines/>
              <w:suppressAutoHyphens w:val="0"/>
              <w:spacing w:before="40" w:after="40" w:line="220" w:lineRule="exact"/>
              <w:jc w:val="right"/>
              <w:rPr>
                <w:sz w:val="18"/>
              </w:rPr>
            </w:pPr>
            <w:r w:rsidRPr="00BD2C13">
              <w:rPr>
                <w:sz w:val="18"/>
              </w:rPr>
              <w:t>31,8</w:t>
            </w:r>
          </w:p>
        </w:tc>
        <w:tc>
          <w:tcPr>
            <w:tcW w:w="609" w:type="dxa"/>
            <w:shd w:val="clear" w:color="auto" w:fill="auto"/>
            <w:vAlign w:val="bottom"/>
          </w:tcPr>
          <w:p w14:paraId="7D4D6CF8" w14:textId="77777777" w:rsidR="00030997" w:rsidRPr="00BD2C13" w:rsidRDefault="00030997" w:rsidP="00796609">
            <w:pPr>
              <w:keepNext/>
              <w:keepLines/>
              <w:suppressAutoHyphens w:val="0"/>
              <w:spacing w:before="40" w:after="40" w:line="220" w:lineRule="exact"/>
              <w:jc w:val="right"/>
              <w:rPr>
                <w:sz w:val="18"/>
              </w:rPr>
            </w:pPr>
            <w:r w:rsidRPr="00BD2C13">
              <w:rPr>
                <w:sz w:val="18"/>
              </w:rPr>
              <w:t>32,0</w:t>
            </w:r>
          </w:p>
        </w:tc>
        <w:tc>
          <w:tcPr>
            <w:tcW w:w="610" w:type="dxa"/>
            <w:shd w:val="clear" w:color="auto" w:fill="auto"/>
            <w:vAlign w:val="bottom"/>
          </w:tcPr>
          <w:p w14:paraId="1E5A57EA" w14:textId="77777777" w:rsidR="00030997" w:rsidRPr="00BD2C13" w:rsidRDefault="00030997" w:rsidP="00796609">
            <w:pPr>
              <w:keepNext/>
              <w:keepLines/>
              <w:suppressAutoHyphens w:val="0"/>
              <w:spacing w:before="40" w:after="40" w:line="220" w:lineRule="exact"/>
              <w:jc w:val="right"/>
              <w:rPr>
                <w:sz w:val="18"/>
              </w:rPr>
            </w:pPr>
            <w:r w:rsidRPr="00BD2C13">
              <w:rPr>
                <w:sz w:val="18"/>
              </w:rPr>
              <w:t>32,0</w:t>
            </w:r>
          </w:p>
        </w:tc>
        <w:tc>
          <w:tcPr>
            <w:tcW w:w="609" w:type="dxa"/>
            <w:shd w:val="clear" w:color="auto" w:fill="auto"/>
            <w:vAlign w:val="bottom"/>
          </w:tcPr>
          <w:p w14:paraId="0AEB5C31" w14:textId="77777777" w:rsidR="00030997" w:rsidRPr="00BD2C13" w:rsidRDefault="00030997" w:rsidP="00796609">
            <w:pPr>
              <w:keepNext/>
              <w:keepLines/>
              <w:suppressAutoHyphens w:val="0"/>
              <w:spacing w:before="40" w:after="40" w:line="220" w:lineRule="exact"/>
              <w:jc w:val="right"/>
              <w:rPr>
                <w:sz w:val="18"/>
              </w:rPr>
            </w:pPr>
            <w:r w:rsidRPr="00BD2C13">
              <w:rPr>
                <w:sz w:val="18"/>
              </w:rPr>
              <w:t>30,8</w:t>
            </w:r>
          </w:p>
        </w:tc>
        <w:tc>
          <w:tcPr>
            <w:tcW w:w="610" w:type="dxa"/>
            <w:shd w:val="clear" w:color="auto" w:fill="auto"/>
            <w:vAlign w:val="bottom"/>
          </w:tcPr>
          <w:p w14:paraId="023C6F6A" w14:textId="77777777" w:rsidR="00030997" w:rsidRPr="00BD2C13" w:rsidRDefault="00030997" w:rsidP="00796609">
            <w:pPr>
              <w:keepNext/>
              <w:keepLines/>
              <w:suppressAutoHyphens w:val="0"/>
              <w:spacing w:before="40" w:after="40" w:line="220" w:lineRule="exact"/>
              <w:jc w:val="right"/>
              <w:rPr>
                <w:sz w:val="18"/>
              </w:rPr>
            </w:pPr>
            <w:r w:rsidRPr="00BD2C13">
              <w:rPr>
                <w:sz w:val="18"/>
              </w:rPr>
              <w:t>30,6</w:t>
            </w:r>
          </w:p>
        </w:tc>
      </w:tr>
      <w:tr w:rsidR="00030997" w:rsidRPr="00BD2C13" w14:paraId="37E20EC9" w14:textId="77777777" w:rsidTr="00030997">
        <w:tc>
          <w:tcPr>
            <w:tcW w:w="1276" w:type="dxa"/>
            <w:shd w:val="clear" w:color="auto" w:fill="auto"/>
            <w:vAlign w:val="bottom"/>
          </w:tcPr>
          <w:p w14:paraId="6175301A" w14:textId="77777777" w:rsidR="00030997" w:rsidRPr="00BD2C13" w:rsidRDefault="00030997" w:rsidP="00796609">
            <w:pPr>
              <w:keepNext/>
              <w:spacing w:before="40" w:after="40" w:line="220" w:lineRule="exact"/>
              <w:rPr>
                <w:sz w:val="18"/>
                <w:szCs w:val="18"/>
              </w:rPr>
            </w:pPr>
            <w:r w:rsidRPr="00BD2C13">
              <w:rPr>
                <w:sz w:val="18"/>
                <w:szCs w:val="18"/>
              </w:rPr>
              <w:t>Seuil du « risque de pauvreté »</w:t>
            </w:r>
          </w:p>
        </w:tc>
        <w:tc>
          <w:tcPr>
            <w:tcW w:w="609" w:type="dxa"/>
            <w:shd w:val="clear" w:color="auto" w:fill="auto"/>
            <w:vAlign w:val="bottom"/>
          </w:tcPr>
          <w:p w14:paraId="67C339B2"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09" w:type="dxa"/>
            <w:shd w:val="clear" w:color="auto" w:fill="auto"/>
            <w:vAlign w:val="bottom"/>
          </w:tcPr>
          <w:p w14:paraId="47896337"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10" w:type="dxa"/>
            <w:shd w:val="clear" w:color="auto" w:fill="auto"/>
            <w:vAlign w:val="bottom"/>
          </w:tcPr>
          <w:p w14:paraId="7CB010FD"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09" w:type="dxa"/>
            <w:shd w:val="clear" w:color="auto" w:fill="auto"/>
            <w:vAlign w:val="bottom"/>
          </w:tcPr>
          <w:p w14:paraId="0988BC37"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10" w:type="dxa"/>
            <w:shd w:val="clear" w:color="auto" w:fill="auto"/>
            <w:vAlign w:val="bottom"/>
          </w:tcPr>
          <w:p w14:paraId="5DA938A9"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09" w:type="dxa"/>
            <w:shd w:val="clear" w:color="auto" w:fill="auto"/>
            <w:vAlign w:val="bottom"/>
          </w:tcPr>
          <w:p w14:paraId="3FEF8B74"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09" w:type="dxa"/>
            <w:shd w:val="clear" w:color="auto" w:fill="auto"/>
            <w:vAlign w:val="bottom"/>
          </w:tcPr>
          <w:p w14:paraId="63C5B5BC"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10" w:type="dxa"/>
            <w:shd w:val="clear" w:color="auto" w:fill="auto"/>
            <w:vAlign w:val="bottom"/>
          </w:tcPr>
          <w:p w14:paraId="32D9C9E9"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09" w:type="dxa"/>
            <w:shd w:val="clear" w:color="auto" w:fill="auto"/>
            <w:vAlign w:val="bottom"/>
          </w:tcPr>
          <w:p w14:paraId="6823B699"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c>
          <w:tcPr>
            <w:tcW w:w="610" w:type="dxa"/>
            <w:shd w:val="clear" w:color="auto" w:fill="auto"/>
            <w:vAlign w:val="bottom"/>
          </w:tcPr>
          <w:p w14:paraId="3D210C4F" w14:textId="77777777" w:rsidR="00030997" w:rsidRPr="00BD2C13" w:rsidRDefault="00030997" w:rsidP="00796609">
            <w:pPr>
              <w:keepNext/>
              <w:suppressAutoHyphens w:val="0"/>
              <w:spacing w:before="40" w:after="40" w:line="220" w:lineRule="exact"/>
              <w:jc w:val="right"/>
              <w:rPr>
                <w:sz w:val="18"/>
              </w:rPr>
            </w:pPr>
            <w:r w:rsidRPr="00BD2C13">
              <w:rPr>
                <w:sz w:val="18"/>
              </w:rPr>
              <w:t>€</w:t>
            </w:r>
          </w:p>
        </w:tc>
      </w:tr>
      <w:tr w:rsidR="00030997" w:rsidRPr="00BD2C13" w14:paraId="3E3F254C" w14:textId="77777777" w:rsidTr="00030997">
        <w:tc>
          <w:tcPr>
            <w:tcW w:w="1276" w:type="dxa"/>
            <w:tcBorders>
              <w:bottom w:val="single" w:sz="12" w:space="0" w:color="auto"/>
            </w:tcBorders>
            <w:shd w:val="clear" w:color="auto" w:fill="auto"/>
            <w:vAlign w:val="bottom"/>
          </w:tcPr>
          <w:p w14:paraId="765E17EC" w14:textId="77777777" w:rsidR="00030997" w:rsidRPr="00BD2C13" w:rsidRDefault="00030997" w:rsidP="00796609">
            <w:pPr>
              <w:keepNext/>
              <w:spacing w:before="40" w:after="40" w:line="220" w:lineRule="exact"/>
              <w:rPr>
                <w:sz w:val="18"/>
                <w:szCs w:val="18"/>
              </w:rPr>
            </w:pPr>
            <w:r w:rsidRPr="00BD2C13">
              <w:rPr>
                <w:sz w:val="18"/>
                <w:szCs w:val="18"/>
              </w:rPr>
              <w:t>60 % du revenu médian</w:t>
            </w:r>
          </w:p>
        </w:tc>
        <w:tc>
          <w:tcPr>
            <w:tcW w:w="609" w:type="dxa"/>
            <w:tcBorders>
              <w:bottom w:val="single" w:sz="12" w:space="0" w:color="auto"/>
            </w:tcBorders>
            <w:shd w:val="clear" w:color="auto" w:fill="auto"/>
            <w:vAlign w:val="bottom"/>
          </w:tcPr>
          <w:p w14:paraId="12C8AFF3" w14:textId="77777777" w:rsidR="00030997" w:rsidRPr="00BD2C13" w:rsidRDefault="00030997" w:rsidP="00796609">
            <w:pPr>
              <w:keepNext/>
              <w:suppressAutoHyphens w:val="0"/>
              <w:spacing w:before="40" w:after="40" w:line="220" w:lineRule="exact"/>
              <w:jc w:val="right"/>
              <w:rPr>
                <w:sz w:val="18"/>
              </w:rPr>
            </w:pPr>
            <w:r w:rsidRPr="00BD2C13">
              <w:rPr>
                <w:sz w:val="18"/>
              </w:rPr>
              <w:t>11 890</w:t>
            </w:r>
          </w:p>
        </w:tc>
        <w:tc>
          <w:tcPr>
            <w:tcW w:w="609" w:type="dxa"/>
            <w:tcBorders>
              <w:bottom w:val="single" w:sz="12" w:space="0" w:color="auto"/>
            </w:tcBorders>
            <w:shd w:val="clear" w:color="auto" w:fill="auto"/>
            <w:vAlign w:val="bottom"/>
          </w:tcPr>
          <w:p w14:paraId="3812B074" w14:textId="77777777" w:rsidR="00030997" w:rsidRPr="00BD2C13" w:rsidRDefault="00030997" w:rsidP="00796609">
            <w:pPr>
              <w:keepNext/>
              <w:suppressAutoHyphens w:val="0"/>
              <w:spacing w:before="40" w:after="40" w:line="220" w:lineRule="exact"/>
              <w:jc w:val="right"/>
              <w:rPr>
                <w:sz w:val="18"/>
              </w:rPr>
            </w:pPr>
            <w:r w:rsidRPr="00BD2C13">
              <w:rPr>
                <w:sz w:val="18"/>
              </w:rPr>
              <w:t>12 455</w:t>
            </w:r>
          </w:p>
        </w:tc>
        <w:tc>
          <w:tcPr>
            <w:tcW w:w="610" w:type="dxa"/>
            <w:tcBorders>
              <w:bottom w:val="single" w:sz="12" w:space="0" w:color="auto"/>
            </w:tcBorders>
            <w:shd w:val="clear" w:color="auto" w:fill="auto"/>
            <w:vAlign w:val="bottom"/>
          </w:tcPr>
          <w:p w14:paraId="40082E4E" w14:textId="77777777" w:rsidR="00030997" w:rsidRPr="00BD2C13" w:rsidRDefault="00030997" w:rsidP="00796609">
            <w:pPr>
              <w:keepNext/>
              <w:suppressAutoHyphens w:val="0"/>
              <w:spacing w:before="40" w:after="40" w:line="220" w:lineRule="exact"/>
              <w:jc w:val="right"/>
              <w:rPr>
                <w:sz w:val="18"/>
              </w:rPr>
            </w:pPr>
            <w:r w:rsidRPr="00BD2C13">
              <w:rPr>
                <w:sz w:val="18"/>
              </w:rPr>
              <w:t>12 064</w:t>
            </w:r>
          </w:p>
        </w:tc>
        <w:tc>
          <w:tcPr>
            <w:tcW w:w="609" w:type="dxa"/>
            <w:tcBorders>
              <w:bottom w:val="single" w:sz="12" w:space="0" w:color="auto"/>
            </w:tcBorders>
            <w:shd w:val="clear" w:color="auto" w:fill="auto"/>
            <w:vAlign w:val="bottom"/>
          </w:tcPr>
          <w:p w14:paraId="14E529D9" w14:textId="77777777" w:rsidR="00030997" w:rsidRPr="00BD2C13" w:rsidRDefault="00030997" w:rsidP="00796609">
            <w:pPr>
              <w:keepNext/>
              <w:suppressAutoHyphens w:val="0"/>
              <w:spacing w:before="40" w:after="40" w:line="220" w:lineRule="exact"/>
              <w:jc w:val="right"/>
              <w:rPr>
                <w:sz w:val="18"/>
              </w:rPr>
            </w:pPr>
            <w:r w:rsidRPr="00BD2C13">
              <w:rPr>
                <w:sz w:val="18"/>
              </w:rPr>
              <w:t>11 155</w:t>
            </w:r>
          </w:p>
        </w:tc>
        <w:tc>
          <w:tcPr>
            <w:tcW w:w="610" w:type="dxa"/>
            <w:tcBorders>
              <w:bottom w:val="single" w:sz="12" w:space="0" w:color="auto"/>
            </w:tcBorders>
            <w:shd w:val="clear" w:color="auto" w:fill="auto"/>
            <w:vAlign w:val="bottom"/>
          </w:tcPr>
          <w:p w14:paraId="3683368F" w14:textId="77777777" w:rsidR="00030997" w:rsidRPr="00BD2C13" w:rsidRDefault="00030997" w:rsidP="00796609">
            <w:pPr>
              <w:keepNext/>
              <w:suppressAutoHyphens w:val="0"/>
              <w:spacing w:before="40" w:after="40" w:line="220" w:lineRule="exact"/>
              <w:jc w:val="right"/>
              <w:rPr>
                <w:sz w:val="18"/>
              </w:rPr>
            </w:pPr>
            <w:r w:rsidRPr="00BD2C13">
              <w:rPr>
                <w:sz w:val="18"/>
              </w:rPr>
              <w:t>10 889</w:t>
            </w:r>
          </w:p>
        </w:tc>
        <w:tc>
          <w:tcPr>
            <w:tcW w:w="609" w:type="dxa"/>
            <w:tcBorders>
              <w:bottom w:val="single" w:sz="12" w:space="0" w:color="auto"/>
            </w:tcBorders>
            <w:shd w:val="clear" w:color="auto" w:fill="auto"/>
            <w:vAlign w:val="bottom"/>
          </w:tcPr>
          <w:p w14:paraId="62D0E5C9" w14:textId="77777777" w:rsidR="00030997" w:rsidRPr="00BD2C13" w:rsidRDefault="00030997" w:rsidP="00796609">
            <w:pPr>
              <w:keepNext/>
              <w:suppressAutoHyphens w:val="0"/>
              <w:spacing w:before="40" w:after="40" w:line="220" w:lineRule="exact"/>
              <w:jc w:val="right"/>
              <w:rPr>
                <w:sz w:val="18"/>
              </w:rPr>
            </w:pPr>
            <w:r w:rsidRPr="00BD2C13">
              <w:rPr>
                <w:sz w:val="18"/>
              </w:rPr>
              <w:t>10 966</w:t>
            </w:r>
          </w:p>
        </w:tc>
        <w:tc>
          <w:tcPr>
            <w:tcW w:w="609" w:type="dxa"/>
            <w:tcBorders>
              <w:bottom w:val="single" w:sz="12" w:space="0" w:color="auto"/>
            </w:tcBorders>
            <w:shd w:val="clear" w:color="auto" w:fill="auto"/>
            <w:vAlign w:val="bottom"/>
          </w:tcPr>
          <w:p w14:paraId="030C480F" w14:textId="77777777" w:rsidR="00030997" w:rsidRPr="00BD2C13" w:rsidRDefault="00030997" w:rsidP="00796609">
            <w:pPr>
              <w:keepNext/>
              <w:suppressAutoHyphens w:val="0"/>
              <w:spacing w:before="40" w:after="40" w:line="220" w:lineRule="exact"/>
              <w:jc w:val="right"/>
              <w:rPr>
                <w:sz w:val="18"/>
              </w:rPr>
            </w:pPr>
            <w:r w:rsidRPr="00BD2C13">
              <w:rPr>
                <w:sz w:val="18"/>
              </w:rPr>
              <w:t>10 957</w:t>
            </w:r>
          </w:p>
        </w:tc>
        <w:tc>
          <w:tcPr>
            <w:tcW w:w="610" w:type="dxa"/>
            <w:tcBorders>
              <w:bottom w:val="single" w:sz="12" w:space="0" w:color="auto"/>
            </w:tcBorders>
            <w:shd w:val="clear" w:color="auto" w:fill="auto"/>
            <w:vAlign w:val="bottom"/>
          </w:tcPr>
          <w:p w14:paraId="09351A7B" w14:textId="77777777" w:rsidR="00030997" w:rsidRPr="00BD2C13" w:rsidRDefault="00030997" w:rsidP="00796609">
            <w:pPr>
              <w:keepNext/>
              <w:suppressAutoHyphens w:val="0"/>
              <w:spacing w:before="40" w:after="40" w:line="220" w:lineRule="exact"/>
              <w:jc w:val="right"/>
              <w:rPr>
                <w:sz w:val="18"/>
              </w:rPr>
            </w:pPr>
            <w:r w:rsidRPr="00BD2C13">
              <w:rPr>
                <w:sz w:val="18"/>
              </w:rPr>
              <w:t>11 318</w:t>
            </w:r>
          </w:p>
        </w:tc>
        <w:tc>
          <w:tcPr>
            <w:tcW w:w="609" w:type="dxa"/>
            <w:tcBorders>
              <w:bottom w:val="single" w:sz="12" w:space="0" w:color="auto"/>
            </w:tcBorders>
            <w:shd w:val="clear" w:color="auto" w:fill="auto"/>
            <w:vAlign w:val="bottom"/>
          </w:tcPr>
          <w:p w14:paraId="5545888C" w14:textId="77777777" w:rsidR="00030997" w:rsidRPr="00BD2C13" w:rsidRDefault="00030997" w:rsidP="00796609">
            <w:pPr>
              <w:keepNext/>
              <w:suppressAutoHyphens w:val="0"/>
              <w:spacing w:before="40" w:after="40" w:line="220" w:lineRule="exact"/>
              <w:jc w:val="right"/>
              <w:rPr>
                <w:sz w:val="18"/>
              </w:rPr>
            </w:pPr>
            <w:r w:rsidRPr="00BD2C13">
              <w:rPr>
                <w:sz w:val="18"/>
              </w:rPr>
              <w:t>12 000</w:t>
            </w:r>
          </w:p>
        </w:tc>
        <w:tc>
          <w:tcPr>
            <w:tcW w:w="610" w:type="dxa"/>
            <w:tcBorders>
              <w:bottom w:val="single" w:sz="12" w:space="0" w:color="auto"/>
            </w:tcBorders>
            <w:shd w:val="clear" w:color="auto" w:fill="auto"/>
            <w:vAlign w:val="bottom"/>
          </w:tcPr>
          <w:p w14:paraId="6794459A" w14:textId="77777777" w:rsidR="00030997" w:rsidRPr="00BD2C13" w:rsidRDefault="00030997" w:rsidP="00796609">
            <w:pPr>
              <w:keepNext/>
              <w:suppressAutoHyphens w:val="0"/>
              <w:spacing w:before="40" w:after="40" w:line="220" w:lineRule="exact"/>
              <w:jc w:val="right"/>
              <w:rPr>
                <w:sz w:val="18"/>
              </w:rPr>
            </w:pPr>
            <w:r w:rsidRPr="00BD2C13">
              <w:rPr>
                <w:sz w:val="18"/>
              </w:rPr>
              <w:t>12 358</w:t>
            </w:r>
          </w:p>
        </w:tc>
      </w:tr>
    </w:tbl>
    <w:p w14:paraId="1786B438" w14:textId="77777777" w:rsidR="009A1B3A" w:rsidRPr="00BD2C13" w:rsidRDefault="00030997" w:rsidP="006804FB">
      <w:pPr>
        <w:pStyle w:val="Titre1"/>
        <w:spacing w:before="240" w:after="120"/>
      </w:pPr>
      <w:r w:rsidRPr="00BD2C13">
        <w:t>Tableau 3</w:t>
      </w:r>
      <w:r w:rsidR="006804FB">
        <w:br/>
      </w:r>
      <w:r w:rsidRPr="006804FB">
        <w:rPr>
          <w:b/>
        </w:rPr>
        <w:t>Part des dépenses de consommation (des ménages) consacrées à l</w:t>
      </w:r>
      <w:r w:rsidR="00784444" w:rsidRPr="006804FB">
        <w:rPr>
          <w:b/>
        </w:rPr>
        <w:t>’</w:t>
      </w:r>
      <w:r w:rsidRPr="006804FB">
        <w:rPr>
          <w:b/>
        </w:rPr>
        <w:t xml:space="preserve">alimentation, </w:t>
      </w:r>
      <w:r w:rsidRPr="006804FB">
        <w:rPr>
          <w:b/>
        </w:rPr>
        <w:br/>
        <w:t>au logement, à la santé et à l</w:t>
      </w:r>
      <w:r w:rsidR="00784444" w:rsidRPr="006804FB">
        <w:rPr>
          <w:b/>
        </w:rPr>
        <w:t>’</w:t>
      </w:r>
      <w:r w:rsidRPr="006804FB">
        <w:rPr>
          <w:b/>
        </w:rPr>
        <w:t>éducation</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701"/>
        <w:gridCol w:w="1701"/>
        <w:gridCol w:w="1701"/>
      </w:tblGrid>
      <w:tr w:rsidR="00030997" w:rsidRPr="00BD2C13" w14:paraId="19140945" w14:textId="77777777" w:rsidTr="00BD2C13">
        <w:trPr>
          <w:tblHeader/>
        </w:trPr>
        <w:tc>
          <w:tcPr>
            <w:tcW w:w="2267" w:type="dxa"/>
            <w:tcBorders>
              <w:top w:val="single" w:sz="4" w:space="0" w:color="auto"/>
              <w:bottom w:val="single" w:sz="12" w:space="0" w:color="auto"/>
            </w:tcBorders>
            <w:shd w:val="clear" w:color="auto" w:fill="auto"/>
            <w:vAlign w:val="bottom"/>
          </w:tcPr>
          <w:p w14:paraId="25BC997E" w14:textId="77777777" w:rsidR="00030997" w:rsidRPr="00BD2C13" w:rsidRDefault="00030997" w:rsidP="00030997">
            <w:pPr>
              <w:spacing w:before="80" w:after="80" w:line="200" w:lineRule="exact"/>
              <w:rPr>
                <w:i/>
                <w:sz w:val="16"/>
              </w:rPr>
            </w:pPr>
          </w:p>
        </w:tc>
        <w:tc>
          <w:tcPr>
            <w:tcW w:w="1701" w:type="dxa"/>
            <w:tcBorders>
              <w:top w:val="single" w:sz="4" w:space="0" w:color="auto"/>
              <w:bottom w:val="single" w:sz="12" w:space="0" w:color="auto"/>
            </w:tcBorders>
            <w:shd w:val="clear" w:color="auto" w:fill="auto"/>
            <w:vAlign w:val="center"/>
          </w:tcPr>
          <w:p w14:paraId="4F5945BF" w14:textId="77777777" w:rsidR="00030997" w:rsidRPr="00BD2C13" w:rsidRDefault="00030997" w:rsidP="00030997">
            <w:pPr>
              <w:spacing w:before="80" w:after="80" w:line="200" w:lineRule="exact"/>
              <w:jc w:val="right"/>
              <w:rPr>
                <w:bCs/>
                <w:i/>
                <w:color w:val="000000"/>
                <w:sz w:val="16"/>
                <w:szCs w:val="16"/>
                <w:lang w:eastAsia="en-IE"/>
              </w:rPr>
            </w:pPr>
            <w:r w:rsidRPr="00BD2C13">
              <w:rPr>
                <w:bCs/>
                <w:i/>
                <w:color w:val="000000"/>
                <w:sz w:val="16"/>
                <w:szCs w:val="16"/>
                <w:lang w:eastAsia="en-IE"/>
              </w:rPr>
              <w:t>Alimentation</w:t>
            </w:r>
          </w:p>
        </w:tc>
        <w:tc>
          <w:tcPr>
            <w:tcW w:w="1701" w:type="dxa"/>
            <w:tcBorders>
              <w:top w:val="single" w:sz="4" w:space="0" w:color="auto"/>
              <w:bottom w:val="single" w:sz="12" w:space="0" w:color="auto"/>
            </w:tcBorders>
            <w:shd w:val="clear" w:color="auto" w:fill="auto"/>
            <w:vAlign w:val="center"/>
          </w:tcPr>
          <w:p w14:paraId="2ED59B76" w14:textId="77777777" w:rsidR="00030997" w:rsidRPr="00BD2C13" w:rsidRDefault="00030997" w:rsidP="00030997">
            <w:pPr>
              <w:spacing w:before="80" w:after="80" w:line="200" w:lineRule="exact"/>
              <w:jc w:val="right"/>
              <w:rPr>
                <w:bCs/>
                <w:i/>
                <w:color w:val="000000"/>
                <w:sz w:val="16"/>
                <w:szCs w:val="16"/>
                <w:lang w:eastAsia="en-IE"/>
              </w:rPr>
            </w:pPr>
            <w:r w:rsidRPr="00BD2C13">
              <w:rPr>
                <w:bCs/>
                <w:i/>
                <w:color w:val="000000"/>
                <w:sz w:val="16"/>
                <w:szCs w:val="16"/>
                <w:lang w:eastAsia="en-IE"/>
              </w:rPr>
              <w:t xml:space="preserve">Logement </w:t>
            </w:r>
          </w:p>
        </w:tc>
        <w:tc>
          <w:tcPr>
            <w:tcW w:w="1701" w:type="dxa"/>
            <w:tcBorders>
              <w:top w:val="single" w:sz="4" w:space="0" w:color="auto"/>
              <w:bottom w:val="single" w:sz="12" w:space="0" w:color="auto"/>
            </w:tcBorders>
            <w:shd w:val="clear" w:color="auto" w:fill="auto"/>
            <w:vAlign w:val="center"/>
          </w:tcPr>
          <w:p w14:paraId="53B9C6FF" w14:textId="77777777" w:rsidR="00030997" w:rsidRPr="00BD2C13" w:rsidRDefault="00030997" w:rsidP="00030997">
            <w:pPr>
              <w:spacing w:before="80" w:after="80" w:line="200" w:lineRule="exact"/>
              <w:jc w:val="right"/>
              <w:rPr>
                <w:bCs/>
                <w:i/>
                <w:color w:val="000000"/>
                <w:sz w:val="16"/>
                <w:szCs w:val="16"/>
                <w:lang w:eastAsia="en-IE"/>
              </w:rPr>
            </w:pPr>
            <w:r w:rsidRPr="00BD2C13">
              <w:rPr>
                <w:bCs/>
                <w:i/>
                <w:color w:val="000000"/>
                <w:sz w:val="16"/>
                <w:szCs w:val="16"/>
                <w:lang w:eastAsia="en-IE"/>
              </w:rPr>
              <w:t>Santé</w:t>
            </w:r>
          </w:p>
        </w:tc>
      </w:tr>
      <w:tr w:rsidR="00030997" w:rsidRPr="00BD2C13" w14:paraId="6E31C67A" w14:textId="77777777" w:rsidTr="00BD2C13">
        <w:tc>
          <w:tcPr>
            <w:tcW w:w="2267" w:type="dxa"/>
            <w:tcBorders>
              <w:top w:val="single" w:sz="12" w:space="0" w:color="auto"/>
            </w:tcBorders>
            <w:shd w:val="clear" w:color="auto" w:fill="auto"/>
            <w:vAlign w:val="bottom"/>
          </w:tcPr>
          <w:p w14:paraId="30B44D5F" w14:textId="77777777" w:rsidR="00030997" w:rsidRPr="00BD2C13" w:rsidRDefault="00030997" w:rsidP="00030997">
            <w:pPr>
              <w:spacing w:before="40" w:after="40" w:line="220" w:lineRule="exact"/>
              <w:rPr>
                <w:sz w:val="18"/>
                <w:szCs w:val="18"/>
              </w:rPr>
            </w:pPr>
            <w:r w:rsidRPr="00BD2C13">
              <w:rPr>
                <w:bCs/>
                <w:i/>
                <w:color w:val="000000"/>
                <w:sz w:val="18"/>
                <w:szCs w:val="18"/>
                <w:lang w:eastAsia="en-IE"/>
              </w:rPr>
              <w:t>Sexe de la personne de référence du ménage</w:t>
            </w:r>
          </w:p>
        </w:tc>
        <w:tc>
          <w:tcPr>
            <w:tcW w:w="1701" w:type="dxa"/>
            <w:tcBorders>
              <w:top w:val="single" w:sz="12" w:space="0" w:color="auto"/>
            </w:tcBorders>
            <w:shd w:val="clear" w:color="auto" w:fill="auto"/>
            <w:vAlign w:val="bottom"/>
          </w:tcPr>
          <w:p w14:paraId="1008FCEC" w14:textId="77777777" w:rsidR="00030997" w:rsidRPr="00BD2C13" w:rsidRDefault="00030997" w:rsidP="00030997">
            <w:pPr>
              <w:spacing w:before="40" w:after="40" w:line="220" w:lineRule="exact"/>
              <w:jc w:val="right"/>
              <w:rPr>
                <w:sz w:val="18"/>
              </w:rPr>
            </w:pPr>
          </w:p>
        </w:tc>
        <w:tc>
          <w:tcPr>
            <w:tcW w:w="1701" w:type="dxa"/>
            <w:tcBorders>
              <w:top w:val="single" w:sz="12" w:space="0" w:color="auto"/>
            </w:tcBorders>
            <w:shd w:val="clear" w:color="auto" w:fill="auto"/>
            <w:vAlign w:val="bottom"/>
          </w:tcPr>
          <w:p w14:paraId="43DBA12E" w14:textId="77777777" w:rsidR="00030997" w:rsidRPr="00BD2C13" w:rsidRDefault="00030997" w:rsidP="00030997">
            <w:pPr>
              <w:spacing w:before="40" w:after="40" w:line="220" w:lineRule="exact"/>
              <w:jc w:val="right"/>
              <w:rPr>
                <w:sz w:val="18"/>
              </w:rPr>
            </w:pPr>
          </w:p>
        </w:tc>
        <w:tc>
          <w:tcPr>
            <w:tcW w:w="1701" w:type="dxa"/>
            <w:tcBorders>
              <w:top w:val="single" w:sz="12" w:space="0" w:color="auto"/>
            </w:tcBorders>
            <w:shd w:val="clear" w:color="auto" w:fill="auto"/>
            <w:vAlign w:val="bottom"/>
          </w:tcPr>
          <w:p w14:paraId="5BC34B6F" w14:textId="77777777" w:rsidR="00030997" w:rsidRPr="00BD2C13" w:rsidRDefault="00030997" w:rsidP="00030997">
            <w:pPr>
              <w:spacing w:before="40" w:after="40" w:line="220" w:lineRule="exact"/>
              <w:jc w:val="right"/>
              <w:rPr>
                <w:sz w:val="18"/>
              </w:rPr>
            </w:pPr>
          </w:p>
        </w:tc>
      </w:tr>
      <w:tr w:rsidR="00030997" w:rsidRPr="00BD2C13" w14:paraId="7F02D9F6" w14:textId="77777777" w:rsidTr="00BD2C13">
        <w:tc>
          <w:tcPr>
            <w:tcW w:w="2267" w:type="dxa"/>
            <w:shd w:val="clear" w:color="auto" w:fill="auto"/>
            <w:vAlign w:val="bottom"/>
          </w:tcPr>
          <w:p w14:paraId="06981868"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 xml:space="preserve">Masculin </w:t>
            </w:r>
          </w:p>
        </w:tc>
        <w:tc>
          <w:tcPr>
            <w:tcW w:w="1701" w:type="dxa"/>
            <w:shd w:val="clear" w:color="auto" w:fill="auto"/>
            <w:vAlign w:val="bottom"/>
          </w:tcPr>
          <w:p w14:paraId="13ECF86B" w14:textId="77777777" w:rsidR="00030997" w:rsidRPr="00BD2C13" w:rsidRDefault="00030997" w:rsidP="00030997">
            <w:pPr>
              <w:spacing w:before="40" w:after="40" w:line="220" w:lineRule="exact"/>
              <w:jc w:val="right"/>
              <w:rPr>
                <w:sz w:val="18"/>
              </w:rPr>
            </w:pPr>
            <w:r w:rsidRPr="00BD2C13">
              <w:rPr>
                <w:sz w:val="18"/>
              </w:rPr>
              <w:t>14,7</w:t>
            </w:r>
          </w:p>
        </w:tc>
        <w:tc>
          <w:tcPr>
            <w:tcW w:w="1701" w:type="dxa"/>
            <w:shd w:val="clear" w:color="auto" w:fill="auto"/>
            <w:vAlign w:val="bottom"/>
          </w:tcPr>
          <w:p w14:paraId="0502E1EA" w14:textId="77777777" w:rsidR="00030997" w:rsidRPr="00BD2C13" w:rsidRDefault="00030997" w:rsidP="00030997">
            <w:pPr>
              <w:spacing w:before="40" w:after="40" w:line="220" w:lineRule="exact"/>
              <w:jc w:val="right"/>
              <w:rPr>
                <w:sz w:val="18"/>
              </w:rPr>
            </w:pPr>
            <w:r w:rsidRPr="00BD2C13">
              <w:rPr>
                <w:sz w:val="18"/>
              </w:rPr>
              <w:t>19,3</w:t>
            </w:r>
          </w:p>
        </w:tc>
        <w:tc>
          <w:tcPr>
            <w:tcW w:w="1701" w:type="dxa"/>
            <w:shd w:val="clear" w:color="auto" w:fill="auto"/>
            <w:vAlign w:val="bottom"/>
          </w:tcPr>
          <w:p w14:paraId="5AA17498"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2594A2FE" w14:textId="77777777" w:rsidTr="00BD2C13">
        <w:tc>
          <w:tcPr>
            <w:tcW w:w="2267" w:type="dxa"/>
            <w:shd w:val="clear" w:color="auto" w:fill="auto"/>
            <w:vAlign w:val="bottom"/>
          </w:tcPr>
          <w:p w14:paraId="2B709E0A"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Féminin</w:t>
            </w:r>
          </w:p>
        </w:tc>
        <w:tc>
          <w:tcPr>
            <w:tcW w:w="1701" w:type="dxa"/>
            <w:shd w:val="clear" w:color="auto" w:fill="auto"/>
            <w:vAlign w:val="bottom"/>
          </w:tcPr>
          <w:p w14:paraId="1A6BC039" w14:textId="77777777" w:rsidR="00030997" w:rsidRPr="00BD2C13" w:rsidRDefault="00030997" w:rsidP="00030997">
            <w:pPr>
              <w:spacing w:before="40" w:after="40" w:line="220" w:lineRule="exact"/>
              <w:jc w:val="right"/>
              <w:rPr>
                <w:sz w:val="18"/>
              </w:rPr>
            </w:pPr>
            <w:r w:rsidRPr="00BD2C13">
              <w:rPr>
                <w:sz w:val="18"/>
              </w:rPr>
              <w:t>14,7</w:t>
            </w:r>
          </w:p>
        </w:tc>
        <w:tc>
          <w:tcPr>
            <w:tcW w:w="1701" w:type="dxa"/>
            <w:shd w:val="clear" w:color="auto" w:fill="auto"/>
            <w:vAlign w:val="bottom"/>
          </w:tcPr>
          <w:p w14:paraId="32BA1556" w14:textId="77777777" w:rsidR="00030997" w:rsidRPr="00BD2C13" w:rsidRDefault="00030997" w:rsidP="00030997">
            <w:pPr>
              <w:spacing w:before="40" w:after="40" w:line="220" w:lineRule="exact"/>
              <w:jc w:val="right"/>
              <w:rPr>
                <w:sz w:val="18"/>
              </w:rPr>
            </w:pPr>
            <w:r w:rsidRPr="00BD2C13">
              <w:rPr>
                <w:sz w:val="18"/>
              </w:rPr>
              <w:t>20,2</w:t>
            </w:r>
          </w:p>
        </w:tc>
        <w:tc>
          <w:tcPr>
            <w:tcW w:w="1701" w:type="dxa"/>
            <w:shd w:val="clear" w:color="auto" w:fill="auto"/>
            <w:vAlign w:val="bottom"/>
          </w:tcPr>
          <w:p w14:paraId="27D15AC9"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210E4181" w14:textId="77777777" w:rsidTr="00BD2C13">
        <w:tc>
          <w:tcPr>
            <w:tcW w:w="2267" w:type="dxa"/>
            <w:shd w:val="clear" w:color="auto" w:fill="auto"/>
            <w:vAlign w:val="bottom"/>
          </w:tcPr>
          <w:p w14:paraId="523DB92C"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Tranche d</w:t>
            </w:r>
            <w:r w:rsidR="00784444">
              <w:rPr>
                <w:bCs/>
                <w:i/>
                <w:color w:val="000000"/>
                <w:sz w:val="18"/>
                <w:szCs w:val="18"/>
                <w:lang w:eastAsia="en-IE"/>
              </w:rPr>
              <w:t>’</w:t>
            </w:r>
            <w:r w:rsidRPr="00BD2C13">
              <w:rPr>
                <w:bCs/>
                <w:i/>
                <w:color w:val="000000"/>
                <w:sz w:val="18"/>
                <w:szCs w:val="18"/>
                <w:lang w:eastAsia="en-IE"/>
              </w:rPr>
              <w:t>âge de la personne de référence du ménage</w:t>
            </w:r>
          </w:p>
        </w:tc>
        <w:tc>
          <w:tcPr>
            <w:tcW w:w="1701" w:type="dxa"/>
            <w:shd w:val="clear" w:color="auto" w:fill="auto"/>
            <w:vAlign w:val="bottom"/>
          </w:tcPr>
          <w:p w14:paraId="24F5B117"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00978C9C"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50F9FA90" w14:textId="77777777" w:rsidR="00030997" w:rsidRPr="00BD2C13" w:rsidRDefault="00030997" w:rsidP="00030997">
            <w:pPr>
              <w:spacing w:before="40" w:after="40" w:line="220" w:lineRule="exact"/>
              <w:jc w:val="right"/>
              <w:rPr>
                <w:sz w:val="18"/>
              </w:rPr>
            </w:pPr>
          </w:p>
        </w:tc>
      </w:tr>
      <w:tr w:rsidR="00030997" w:rsidRPr="00BD2C13" w14:paraId="7D7D6907" w14:textId="77777777" w:rsidTr="00BD2C13">
        <w:tc>
          <w:tcPr>
            <w:tcW w:w="2267" w:type="dxa"/>
            <w:shd w:val="clear" w:color="auto" w:fill="auto"/>
            <w:vAlign w:val="bottom"/>
          </w:tcPr>
          <w:p w14:paraId="3AF3B2FA"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Moins de 25 ans</w:t>
            </w:r>
          </w:p>
        </w:tc>
        <w:tc>
          <w:tcPr>
            <w:tcW w:w="1701" w:type="dxa"/>
            <w:shd w:val="clear" w:color="auto" w:fill="auto"/>
            <w:vAlign w:val="bottom"/>
          </w:tcPr>
          <w:p w14:paraId="3225F4BE" w14:textId="77777777" w:rsidR="00030997" w:rsidRPr="00BD2C13" w:rsidRDefault="00030997" w:rsidP="00030997">
            <w:pPr>
              <w:spacing w:before="40" w:after="40" w:line="220" w:lineRule="exact"/>
              <w:jc w:val="right"/>
              <w:rPr>
                <w:sz w:val="18"/>
              </w:rPr>
            </w:pPr>
            <w:r w:rsidRPr="00BD2C13">
              <w:rPr>
                <w:sz w:val="18"/>
              </w:rPr>
              <w:t>14,2</w:t>
            </w:r>
          </w:p>
        </w:tc>
        <w:tc>
          <w:tcPr>
            <w:tcW w:w="1701" w:type="dxa"/>
            <w:shd w:val="clear" w:color="auto" w:fill="auto"/>
            <w:vAlign w:val="bottom"/>
          </w:tcPr>
          <w:p w14:paraId="752AE148" w14:textId="77777777" w:rsidR="00030997" w:rsidRPr="00BD2C13" w:rsidRDefault="00030997" w:rsidP="00030997">
            <w:pPr>
              <w:spacing w:before="40" w:after="40" w:line="220" w:lineRule="exact"/>
              <w:jc w:val="right"/>
              <w:rPr>
                <w:sz w:val="18"/>
              </w:rPr>
            </w:pPr>
            <w:r w:rsidRPr="00BD2C13">
              <w:rPr>
                <w:sz w:val="18"/>
              </w:rPr>
              <w:t>32,3</w:t>
            </w:r>
          </w:p>
        </w:tc>
        <w:tc>
          <w:tcPr>
            <w:tcW w:w="1701" w:type="dxa"/>
            <w:shd w:val="clear" w:color="auto" w:fill="auto"/>
            <w:vAlign w:val="bottom"/>
          </w:tcPr>
          <w:p w14:paraId="09117335" w14:textId="77777777" w:rsidR="00030997" w:rsidRPr="00BD2C13" w:rsidRDefault="00030997" w:rsidP="00030997">
            <w:pPr>
              <w:spacing w:before="40" w:after="40" w:line="220" w:lineRule="exact"/>
              <w:jc w:val="right"/>
              <w:rPr>
                <w:sz w:val="18"/>
              </w:rPr>
            </w:pPr>
            <w:r w:rsidRPr="00BD2C13">
              <w:rPr>
                <w:sz w:val="18"/>
              </w:rPr>
              <w:t>1,2</w:t>
            </w:r>
          </w:p>
        </w:tc>
      </w:tr>
      <w:tr w:rsidR="00030997" w:rsidRPr="00BD2C13" w14:paraId="31ECFCA4" w14:textId="77777777" w:rsidTr="00BD2C13">
        <w:tc>
          <w:tcPr>
            <w:tcW w:w="2267" w:type="dxa"/>
            <w:shd w:val="clear" w:color="auto" w:fill="auto"/>
            <w:vAlign w:val="bottom"/>
          </w:tcPr>
          <w:p w14:paraId="4F333B43"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25 à 34 ans</w:t>
            </w:r>
          </w:p>
        </w:tc>
        <w:tc>
          <w:tcPr>
            <w:tcW w:w="1701" w:type="dxa"/>
            <w:shd w:val="clear" w:color="auto" w:fill="auto"/>
            <w:vAlign w:val="bottom"/>
          </w:tcPr>
          <w:p w14:paraId="7B754DC8" w14:textId="77777777" w:rsidR="00030997" w:rsidRPr="00BD2C13" w:rsidRDefault="00030997" w:rsidP="00030997">
            <w:pPr>
              <w:spacing w:before="40" w:after="40" w:line="220" w:lineRule="exact"/>
              <w:jc w:val="right"/>
              <w:rPr>
                <w:sz w:val="18"/>
              </w:rPr>
            </w:pPr>
            <w:r w:rsidRPr="00BD2C13">
              <w:rPr>
                <w:sz w:val="18"/>
              </w:rPr>
              <w:t>13,5</w:t>
            </w:r>
          </w:p>
        </w:tc>
        <w:tc>
          <w:tcPr>
            <w:tcW w:w="1701" w:type="dxa"/>
            <w:shd w:val="clear" w:color="auto" w:fill="auto"/>
            <w:vAlign w:val="bottom"/>
          </w:tcPr>
          <w:p w14:paraId="5E35E6B1" w14:textId="77777777" w:rsidR="00030997" w:rsidRPr="00BD2C13" w:rsidRDefault="00030997" w:rsidP="00030997">
            <w:pPr>
              <w:spacing w:before="40" w:after="40" w:line="220" w:lineRule="exact"/>
              <w:jc w:val="right"/>
              <w:rPr>
                <w:sz w:val="18"/>
              </w:rPr>
            </w:pPr>
            <w:r w:rsidRPr="00BD2C13">
              <w:rPr>
                <w:sz w:val="18"/>
              </w:rPr>
              <w:t>25,7</w:t>
            </w:r>
          </w:p>
        </w:tc>
        <w:tc>
          <w:tcPr>
            <w:tcW w:w="1701" w:type="dxa"/>
            <w:shd w:val="clear" w:color="auto" w:fill="auto"/>
            <w:vAlign w:val="bottom"/>
          </w:tcPr>
          <w:p w14:paraId="54E00A03" w14:textId="77777777" w:rsidR="00030997" w:rsidRPr="00BD2C13" w:rsidRDefault="00030997" w:rsidP="00030997">
            <w:pPr>
              <w:spacing w:before="40" w:after="40" w:line="220" w:lineRule="exact"/>
              <w:jc w:val="right"/>
              <w:rPr>
                <w:sz w:val="18"/>
              </w:rPr>
            </w:pPr>
            <w:r w:rsidRPr="00BD2C13">
              <w:rPr>
                <w:sz w:val="18"/>
              </w:rPr>
              <w:t>1,4</w:t>
            </w:r>
          </w:p>
        </w:tc>
      </w:tr>
      <w:tr w:rsidR="00030997" w:rsidRPr="00BD2C13" w14:paraId="2A09C339" w14:textId="77777777" w:rsidTr="00BD2C13">
        <w:tc>
          <w:tcPr>
            <w:tcW w:w="2267" w:type="dxa"/>
            <w:shd w:val="clear" w:color="auto" w:fill="auto"/>
            <w:vAlign w:val="bottom"/>
          </w:tcPr>
          <w:p w14:paraId="6BA4FA77"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35 à</w:t>
            </w:r>
            <w:r w:rsidR="007A54A8">
              <w:rPr>
                <w:color w:val="000000"/>
                <w:sz w:val="18"/>
                <w:szCs w:val="18"/>
                <w:lang w:eastAsia="en-IE"/>
              </w:rPr>
              <w:t xml:space="preserve"> </w:t>
            </w:r>
            <w:r w:rsidRPr="00BD2C13">
              <w:rPr>
                <w:color w:val="000000"/>
                <w:sz w:val="18"/>
                <w:szCs w:val="18"/>
                <w:lang w:eastAsia="en-IE"/>
              </w:rPr>
              <w:t>44 ans</w:t>
            </w:r>
          </w:p>
        </w:tc>
        <w:tc>
          <w:tcPr>
            <w:tcW w:w="1701" w:type="dxa"/>
            <w:shd w:val="clear" w:color="auto" w:fill="auto"/>
            <w:vAlign w:val="bottom"/>
          </w:tcPr>
          <w:p w14:paraId="33298DBC" w14:textId="77777777" w:rsidR="00030997" w:rsidRPr="00BD2C13" w:rsidRDefault="00030997" w:rsidP="00030997">
            <w:pPr>
              <w:spacing w:before="40" w:after="40" w:line="220" w:lineRule="exact"/>
              <w:jc w:val="right"/>
              <w:rPr>
                <w:sz w:val="18"/>
              </w:rPr>
            </w:pPr>
            <w:r w:rsidRPr="00BD2C13">
              <w:rPr>
                <w:sz w:val="18"/>
              </w:rPr>
              <w:t>13,8</w:t>
            </w:r>
          </w:p>
        </w:tc>
        <w:tc>
          <w:tcPr>
            <w:tcW w:w="1701" w:type="dxa"/>
            <w:shd w:val="clear" w:color="auto" w:fill="auto"/>
            <w:vAlign w:val="bottom"/>
          </w:tcPr>
          <w:p w14:paraId="5C2F2B5A" w14:textId="77777777" w:rsidR="00030997" w:rsidRPr="00BD2C13" w:rsidRDefault="00030997" w:rsidP="00030997">
            <w:pPr>
              <w:spacing w:before="40" w:after="40" w:line="220" w:lineRule="exact"/>
              <w:jc w:val="right"/>
              <w:rPr>
                <w:sz w:val="18"/>
              </w:rPr>
            </w:pPr>
            <w:r w:rsidRPr="00BD2C13">
              <w:rPr>
                <w:sz w:val="18"/>
              </w:rPr>
              <w:t>24,2</w:t>
            </w:r>
          </w:p>
        </w:tc>
        <w:tc>
          <w:tcPr>
            <w:tcW w:w="1701" w:type="dxa"/>
            <w:shd w:val="clear" w:color="auto" w:fill="auto"/>
            <w:vAlign w:val="bottom"/>
          </w:tcPr>
          <w:p w14:paraId="189F1588" w14:textId="77777777" w:rsidR="00030997" w:rsidRPr="00BD2C13" w:rsidRDefault="00030997" w:rsidP="00030997">
            <w:pPr>
              <w:spacing w:before="40" w:after="40" w:line="220" w:lineRule="exact"/>
              <w:jc w:val="right"/>
              <w:rPr>
                <w:sz w:val="18"/>
              </w:rPr>
            </w:pPr>
            <w:r w:rsidRPr="00BD2C13">
              <w:rPr>
                <w:sz w:val="18"/>
              </w:rPr>
              <w:t>1,7</w:t>
            </w:r>
          </w:p>
        </w:tc>
      </w:tr>
      <w:tr w:rsidR="00030997" w:rsidRPr="00BD2C13" w14:paraId="42A1D494" w14:textId="77777777" w:rsidTr="00BD2C13">
        <w:tc>
          <w:tcPr>
            <w:tcW w:w="2267" w:type="dxa"/>
            <w:shd w:val="clear" w:color="auto" w:fill="auto"/>
            <w:vAlign w:val="bottom"/>
          </w:tcPr>
          <w:p w14:paraId="539319C1"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45 à 54 ans</w:t>
            </w:r>
          </w:p>
        </w:tc>
        <w:tc>
          <w:tcPr>
            <w:tcW w:w="1701" w:type="dxa"/>
            <w:shd w:val="clear" w:color="auto" w:fill="auto"/>
            <w:vAlign w:val="bottom"/>
          </w:tcPr>
          <w:p w14:paraId="4D4FD5DB" w14:textId="77777777" w:rsidR="00030997" w:rsidRPr="00BD2C13" w:rsidRDefault="00030997" w:rsidP="00030997">
            <w:pPr>
              <w:spacing w:before="40" w:after="40" w:line="220" w:lineRule="exact"/>
              <w:jc w:val="right"/>
              <w:rPr>
                <w:sz w:val="18"/>
              </w:rPr>
            </w:pPr>
            <w:r w:rsidRPr="00BD2C13">
              <w:rPr>
                <w:sz w:val="18"/>
              </w:rPr>
              <w:t>14,3</w:t>
            </w:r>
          </w:p>
        </w:tc>
        <w:tc>
          <w:tcPr>
            <w:tcW w:w="1701" w:type="dxa"/>
            <w:shd w:val="clear" w:color="auto" w:fill="auto"/>
            <w:vAlign w:val="bottom"/>
          </w:tcPr>
          <w:p w14:paraId="0ACC1D1C" w14:textId="77777777" w:rsidR="00030997" w:rsidRPr="00BD2C13" w:rsidRDefault="00030997" w:rsidP="00030997">
            <w:pPr>
              <w:spacing w:before="40" w:after="40" w:line="220" w:lineRule="exact"/>
              <w:jc w:val="right"/>
              <w:rPr>
                <w:sz w:val="18"/>
              </w:rPr>
            </w:pPr>
            <w:r w:rsidRPr="00BD2C13">
              <w:rPr>
                <w:sz w:val="18"/>
              </w:rPr>
              <w:t>18,0</w:t>
            </w:r>
          </w:p>
        </w:tc>
        <w:tc>
          <w:tcPr>
            <w:tcW w:w="1701" w:type="dxa"/>
            <w:shd w:val="clear" w:color="auto" w:fill="auto"/>
            <w:vAlign w:val="bottom"/>
          </w:tcPr>
          <w:p w14:paraId="538579E3" w14:textId="77777777" w:rsidR="00030997" w:rsidRPr="00BD2C13" w:rsidRDefault="00030997" w:rsidP="00030997">
            <w:pPr>
              <w:spacing w:before="40" w:after="40" w:line="220" w:lineRule="exact"/>
              <w:jc w:val="right"/>
              <w:rPr>
                <w:sz w:val="18"/>
              </w:rPr>
            </w:pPr>
            <w:r w:rsidRPr="00BD2C13">
              <w:rPr>
                <w:sz w:val="18"/>
              </w:rPr>
              <w:t>1,9</w:t>
            </w:r>
          </w:p>
        </w:tc>
      </w:tr>
      <w:tr w:rsidR="00030997" w:rsidRPr="00BD2C13" w14:paraId="20284DA1" w14:textId="77777777" w:rsidTr="00BD2C13">
        <w:tc>
          <w:tcPr>
            <w:tcW w:w="2267" w:type="dxa"/>
            <w:shd w:val="clear" w:color="auto" w:fill="auto"/>
            <w:vAlign w:val="bottom"/>
          </w:tcPr>
          <w:p w14:paraId="556506CF"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55 à 64 ans</w:t>
            </w:r>
          </w:p>
        </w:tc>
        <w:tc>
          <w:tcPr>
            <w:tcW w:w="1701" w:type="dxa"/>
            <w:shd w:val="clear" w:color="auto" w:fill="auto"/>
            <w:vAlign w:val="bottom"/>
          </w:tcPr>
          <w:p w14:paraId="1FC31342" w14:textId="77777777" w:rsidR="00030997" w:rsidRPr="00BD2C13" w:rsidRDefault="00030997" w:rsidP="00030997">
            <w:pPr>
              <w:spacing w:before="40" w:after="40" w:line="220" w:lineRule="exact"/>
              <w:jc w:val="right"/>
              <w:rPr>
                <w:sz w:val="18"/>
              </w:rPr>
            </w:pPr>
            <w:r w:rsidRPr="00BD2C13">
              <w:rPr>
                <w:sz w:val="18"/>
              </w:rPr>
              <w:t>15,0</w:t>
            </w:r>
          </w:p>
        </w:tc>
        <w:tc>
          <w:tcPr>
            <w:tcW w:w="1701" w:type="dxa"/>
            <w:shd w:val="clear" w:color="auto" w:fill="auto"/>
            <w:vAlign w:val="bottom"/>
          </w:tcPr>
          <w:p w14:paraId="19C69F93" w14:textId="77777777" w:rsidR="00030997" w:rsidRPr="00BD2C13" w:rsidRDefault="00030997" w:rsidP="00030997">
            <w:pPr>
              <w:spacing w:before="40" w:after="40" w:line="220" w:lineRule="exact"/>
              <w:jc w:val="right"/>
              <w:rPr>
                <w:sz w:val="18"/>
              </w:rPr>
            </w:pPr>
            <w:r w:rsidRPr="00BD2C13">
              <w:rPr>
                <w:sz w:val="18"/>
              </w:rPr>
              <w:t>14,1</w:t>
            </w:r>
          </w:p>
        </w:tc>
        <w:tc>
          <w:tcPr>
            <w:tcW w:w="1701" w:type="dxa"/>
            <w:shd w:val="clear" w:color="auto" w:fill="auto"/>
            <w:vAlign w:val="bottom"/>
          </w:tcPr>
          <w:p w14:paraId="73E480A6" w14:textId="77777777" w:rsidR="00030997" w:rsidRPr="00BD2C13" w:rsidRDefault="00030997" w:rsidP="00030997">
            <w:pPr>
              <w:spacing w:before="40" w:after="40" w:line="220" w:lineRule="exact"/>
              <w:jc w:val="right"/>
              <w:rPr>
                <w:sz w:val="18"/>
              </w:rPr>
            </w:pPr>
            <w:r w:rsidRPr="00BD2C13">
              <w:rPr>
                <w:sz w:val="18"/>
              </w:rPr>
              <w:t>2,8</w:t>
            </w:r>
          </w:p>
        </w:tc>
      </w:tr>
      <w:tr w:rsidR="00030997" w:rsidRPr="00BD2C13" w14:paraId="25EFC04E" w14:textId="77777777" w:rsidTr="00BD2C13">
        <w:tc>
          <w:tcPr>
            <w:tcW w:w="2267" w:type="dxa"/>
            <w:shd w:val="clear" w:color="auto" w:fill="auto"/>
            <w:vAlign w:val="bottom"/>
          </w:tcPr>
          <w:p w14:paraId="4536CD90"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65 ans et plus</w:t>
            </w:r>
          </w:p>
        </w:tc>
        <w:tc>
          <w:tcPr>
            <w:tcW w:w="1701" w:type="dxa"/>
            <w:shd w:val="clear" w:color="auto" w:fill="auto"/>
            <w:vAlign w:val="bottom"/>
          </w:tcPr>
          <w:p w14:paraId="6278F05E" w14:textId="77777777" w:rsidR="00030997" w:rsidRPr="00BD2C13" w:rsidRDefault="00030997" w:rsidP="00030997">
            <w:pPr>
              <w:spacing w:before="40" w:after="40" w:line="220" w:lineRule="exact"/>
              <w:jc w:val="right"/>
              <w:rPr>
                <w:sz w:val="18"/>
              </w:rPr>
            </w:pPr>
            <w:r w:rsidRPr="00BD2C13">
              <w:rPr>
                <w:sz w:val="18"/>
              </w:rPr>
              <w:t>17,9</w:t>
            </w:r>
          </w:p>
        </w:tc>
        <w:tc>
          <w:tcPr>
            <w:tcW w:w="1701" w:type="dxa"/>
            <w:shd w:val="clear" w:color="auto" w:fill="auto"/>
            <w:vAlign w:val="bottom"/>
          </w:tcPr>
          <w:p w14:paraId="54AA24EF" w14:textId="77777777" w:rsidR="00030997" w:rsidRPr="00BD2C13" w:rsidRDefault="00030997" w:rsidP="00030997">
            <w:pPr>
              <w:spacing w:before="40" w:after="40" w:line="220" w:lineRule="exact"/>
              <w:jc w:val="right"/>
              <w:rPr>
                <w:sz w:val="18"/>
              </w:rPr>
            </w:pPr>
            <w:r w:rsidRPr="00BD2C13">
              <w:rPr>
                <w:sz w:val="18"/>
              </w:rPr>
              <w:t>13,3</w:t>
            </w:r>
          </w:p>
        </w:tc>
        <w:tc>
          <w:tcPr>
            <w:tcW w:w="1701" w:type="dxa"/>
            <w:shd w:val="clear" w:color="auto" w:fill="auto"/>
            <w:vAlign w:val="bottom"/>
          </w:tcPr>
          <w:p w14:paraId="1E57B60D" w14:textId="77777777" w:rsidR="00030997" w:rsidRPr="00BD2C13" w:rsidRDefault="00030997" w:rsidP="00030997">
            <w:pPr>
              <w:spacing w:before="40" w:after="40" w:line="220" w:lineRule="exact"/>
              <w:jc w:val="right"/>
              <w:rPr>
                <w:sz w:val="18"/>
              </w:rPr>
            </w:pPr>
            <w:r w:rsidRPr="00BD2C13">
              <w:rPr>
                <w:sz w:val="18"/>
              </w:rPr>
              <w:t>3,8</w:t>
            </w:r>
          </w:p>
        </w:tc>
      </w:tr>
      <w:tr w:rsidR="00030997" w:rsidRPr="00BD2C13" w14:paraId="1794DEFA" w14:textId="77777777" w:rsidTr="00BD2C13">
        <w:tc>
          <w:tcPr>
            <w:tcW w:w="2267" w:type="dxa"/>
            <w:shd w:val="clear" w:color="auto" w:fill="auto"/>
            <w:vAlign w:val="bottom"/>
          </w:tcPr>
          <w:p w14:paraId="79B130EC" w14:textId="77777777" w:rsidR="00030997" w:rsidRPr="00BD2C13" w:rsidRDefault="00030997" w:rsidP="00030997">
            <w:pPr>
              <w:spacing w:before="40" w:after="40" w:line="220" w:lineRule="exact"/>
              <w:rPr>
                <w:sz w:val="18"/>
                <w:szCs w:val="18"/>
              </w:rPr>
            </w:pPr>
            <w:r w:rsidRPr="00BD2C13">
              <w:rPr>
                <w:bCs/>
                <w:i/>
                <w:color w:val="000000"/>
                <w:sz w:val="18"/>
                <w:szCs w:val="18"/>
                <w:lang w:eastAsia="en-IE"/>
              </w:rPr>
              <w:t>Lieu de résidence</w:t>
            </w:r>
          </w:p>
        </w:tc>
        <w:tc>
          <w:tcPr>
            <w:tcW w:w="1701" w:type="dxa"/>
            <w:shd w:val="clear" w:color="auto" w:fill="auto"/>
            <w:vAlign w:val="bottom"/>
          </w:tcPr>
          <w:p w14:paraId="1DAEBD9B"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53AC9E20"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203B2205" w14:textId="77777777" w:rsidR="00030997" w:rsidRPr="00BD2C13" w:rsidRDefault="00030997" w:rsidP="00030997">
            <w:pPr>
              <w:spacing w:before="40" w:after="40" w:line="220" w:lineRule="exact"/>
              <w:jc w:val="right"/>
              <w:rPr>
                <w:sz w:val="18"/>
              </w:rPr>
            </w:pPr>
          </w:p>
        </w:tc>
      </w:tr>
      <w:tr w:rsidR="00030997" w:rsidRPr="00BD2C13" w14:paraId="4B20D2FF" w14:textId="77777777" w:rsidTr="00BD2C13">
        <w:tc>
          <w:tcPr>
            <w:tcW w:w="2267" w:type="dxa"/>
            <w:shd w:val="clear" w:color="auto" w:fill="auto"/>
            <w:vAlign w:val="bottom"/>
          </w:tcPr>
          <w:p w14:paraId="453AE966"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Ville</w:t>
            </w:r>
          </w:p>
        </w:tc>
        <w:tc>
          <w:tcPr>
            <w:tcW w:w="1701" w:type="dxa"/>
            <w:shd w:val="clear" w:color="auto" w:fill="auto"/>
            <w:vAlign w:val="bottom"/>
          </w:tcPr>
          <w:p w14:paraId="0018B9F6" w14:textId="77777777" w:rsidR="00030997" w:rsidRPr="00BD2C13" w:rsidRDefault="00030997" w:rsidP="00030997">
            <w:pPr>
              <w:spacing w:before="40" w:after="40" w:line="220" w:lineRule="exact"/>
              <w:jc w:val="right"/>
              <w:rPr>
                <w:sz w:val="18"/>
              </w:rPr>
            </w:pPr>
            <w:r w:rsidRPr="00BD2C13">
              <w:rPr>
                <w:sz w:val="18"/>
              </w:rPr>
              <w:t>14,4</w:t>
            </w:r>
          </w:p>
        </w:tc>
        <w:tc>
          <w:tcPr>
            <w:tcW w:w="1701" w:type="dxa"/>
            <w:shd w:val="clear" w:color="auto" w:fill="auto"/>
            <w:vAlign w:val="bottom"/>
          </w:tcPr>
          <w:p w14:paraId="4FA2C5EB" w14:textId="77777777" w:rsidR="00030997" w:rsidRPr="00BD2C13" w:rsidRDefault="00030997" w:rsidP="00030997">
            <w:pPr>
              <w:spacing w:before="40" w:after="40" w:line="220" w:lineRule="exact"/>
              <w:jc w:val="right"/>
              <w:rPr>
                <w:sz w:val="18"/>
              </w:rPr>
            </w:pPr>
            <w:r w:rsidRPr="00BD2C13">
              <w:rPr>
                <w:sz w:val="18"/>
              </w:rPr>
              <w:t>21,6</w:t>
            </w:r>
          </w:p>
        </w:tc>
        <w:tc>
          <w:tcPr>
            <w:tcW w:w="1701" w:type="dxa"/>
            <w:shd w:val="clear" w:color="auto" w:fill="auto"/>
            <w:vAlign w:val="bottom"/>
          </w:tcPr>
          <w:p w14:paraId="328FA104" w14:textId="77777777" w:rsidR="00030997" w:rsidRPr="00BD2C13" w:rsidRDefault="00030997" w:rsidP="00030997">
            <w:pPr>
              <w:spacing w:before="40" w:after="40" w:line="220" w:lineRule="exact"/>
              <w:jc w:val="right"/>
              <w:rPr>
                <w:sz w:val="18"/>
              </w:rPr>
            </w:pPr>
            <w:r w:rsidRPr="00BD2C13">
              <w:rPr>
                <w:sz w:val="18"/>
              </w:rPr>
              <w:t>2,1</w:t>
            </w:r>
          </w:p>
        </w:tc>
      </w:tr>
      <w:tr w:rsidR="00030997" w:rsidRPr="00BD2C13" w14:paraId="651E2DE3" w14:textId="77777777" w:rsidTr="00BD2C13">
        <w:tc>
          <w:tcPr>
            <w:tcW w:w="2267" w:type="dxa"/>
            <w:shd w:val="clear" w:color="auto" w:fill="auto"/>
            <w:vAlign w:val="bottom"/>
          </w:tcPr>
          <w:p w14:paraId="454B517C"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Zone rurale</w:t>
            </w:r>
          </w:p>
        </w:tc>
        <w:tc>
          <w:tcPr>
            <w:tcW w:w="1701" w:type="dxa"/>
            <w:shd w:val="clear" w:color="auto" w:fill="auto"/>
            <w:vAlign w:val="bottom"/>
          </w:tcPr>
          <w:p w14:paraId="7581DB82" w14:textId="77777777" w:rsidR="00030997" w:rsidRPr="00BD2C13" w:rsidRDefault="00030997" w:rsidP="00030997">
            <w:pPr>
              <w:spacing w:before="40" w:after="40" w:line="220" w:lineRule="exact"/>
              <w:jc w:val="right"/>
              <w:rPr>
                <w:sz w:val="18"/>
              </w:rPr>
            </w:pPr>
            <w:r w:rsidRPr="00BD2C13">
              <w:rPr>
                <w:sz w:val="18"/>
              </w:rPr>
              <w:t>15,5</w:t>
            </w:r>
          </w:p>
        </w:tc>
        <w:tc>
          <w:tcPr>
            <w:tcW w:w="1701" w:type="dxa"/>
            <w:shd w:val="clear" w:color="auto" w:fill="auto"/>
            <w:vAlign w:val="bottom"/>
          </w:tcPr>
          <w:p w14:paraId="11CF05C9" w14:textId="77777777" w:rsidR="00030997" w:rsidRPr="00BD2C13" w:rsidRDefault="00030997" w:rsidP="00030997">
            <w:pPr>
              <w:spacing w:before="40" w:after="40" w:line="220" w:lineRule="exact"/>
              <w:jc w:val="right"/>
              <w:rPr>
                <w:sz w:val="18"/>
              </w:rPr>
            </w:pPr>
            <w:r w:rsidRPr="00BD2C13">
              <w:rPr>
                <w:sz w:val="18"/>
              </w:rPr>
              <w:t>14,9</w:t>
            </w:r>
          </w:p>
        </w:tc>
        <w:tc>
          <w:tcPr>
            <w:tcW w:w="1701" w:type="dxa"/>
            <w:shd w:val="clear" w:color="auto" w:fill="auto"/>
            <w:vAlign w:val="bottom"/>
          </w:tcPr>
          <w:p w14:paraId="4E1DB7BA" w14:textId="77777777" w:rsidR="00030997" w:rsidRPr="00BD2C13" w:rsidRDefault="00030997" w:rsidP="00030997">
            <w:pPr>
              <w:spacing w:before="40" w:after="40" w:line="220" w:lineRule="exact"/>
              <w:jc w:val="right"/>
              <w:rPr>
                <w:sz w:val="18"/>
              </w:rPr>
            </w:pPr>
            <w:r w:rsidRPr="00BD2C13">
              <w:rPr>
                <w:sz w:val="18"/>
              </w:rPr>
              <w:t>2,4</w:t>
            </w:r>
          </w:p>
        </w:tc>
      </w:tr>
      <w:tr w:rsidR="00030997" w:rsidRPr="00BD2C13" w14:paraId="566CD95A" w14:textId="77777777" w:rsidTr="00BD2C13">
        <w:tc>
          <w:tcPr>
            <w:tcW w:w="2267" w:type="dxa"/>
            <w:shd w:val="clear" w:color="auto" w:fill="auto"/>
            <w:vAlign w:val="bottom"/>
          </w:tcPr>
          <w:p w14:paraId="51D35D11"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Tranches de revenu brut des</w:t>
            </w:r>
            <w:r w:rsidR="00BD2C13" w:rsidRPr="00BD2C13">
              <w:rPr>
                <w:bCs/>
                <w:i/>
                <w:color w:val="000000"/>
                <w:sz w:val="18"/>
                <w:szCs w:val="18"/>
                <w:lang w:eastAsia="en-IE"/>
              </w:rPr>
              <w:t> </w:t>
            </w:r>
            <w:r w:rsidRPr="00BD2C13">
              <w:rPr>
                <w:bCs/>
                <w:i/>
                <w:color w:val="000000"/>
                <w:sz w:val="18"/>
                <w:szCs w:val="18"/>
                <w:lang w:eastAsia="en-IE"/>
              </w:rPr>
              <w:t>ménages</w:t>
            </w:r>
          </w:p>
        </w:tc>
        <w:tc>
          <w:tcPr>
            <w:tcW w:w="1701" w:type="dxa"/>
            <w:shd w:val="clear" w:color="auto" w:fill="auto"/>
            <w:vAlign w:val="bottom"/>
          </w:tcPr>
          <w:p w14:paraId="34A63BD4"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68520802"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2E0A2652" w14:textId="77777777" w:rsidR="00030997" w:rsidRPr="00BD2C13" w:rsidRDefault="00030997" w:rsidP="00030997">
            <w:pPr>
              <w:spacing w:before="40" w:after="40" w:line="220" w:lineRule="exact"/>
              <w:jc w:val="right"/>
              <w:rPr>
                <w:sz w:val="18"/>
              </w:rPr>
            </w:pPr>
          </w:p>
        </w:tc>
      </w:tr>
      <w:tr w:rsidR="00030997" w:rsidRPr="00BD2C13" w14:paraId="5CAB355E" w14:textId="77777777" w:rsidTr="00BD2C13">
        <w:tc>
          <w:tcPr>
            <w:tcW w:w="2267" w:type="dxa"/>
            <w:shd w:val="clear" w:color="auto" w:fill="auto"/>
            <w:vAlign w:val="bottom"/>
          </w:tcPr>
          <w:p w14:paraId="28DB2910"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1</w:t>
            </w:r>
            <w:r w:rsidRPr="00BD2C13">
              <w:rPr>
                <w:color w:val="000000"/>
                <w:sz w:val="18"/>
                <w:szCs w:val="18"/>
                <w:vertAlign w:val="superscript"/>
                <w:lang w:eastAsia="en-IE"/>
              </w:rPr>
              <w:t>er</w:t>
            </w:r>
            <w:r w:rsidRPr="00BD2C13">
              <w:rPr>
                <w:color w:val="000000"/>
                <w:sz w:val="18"/>
                <w:szCs w:val="18"/>
                <w:lang w:eastAsia="en-IE"/>
              </w:rPr>
              <w:t xml:space="preserve"> décile </w:t>
            </w:r>
          </w:p>
        </w:tc>
        <w:tc>
          <w:tcPr>
            <w:tcW w:w="1701" w:type="dxa"/>
            <w:shd w:val="clear" w:color="auto" w:fill="auto"/>
            <w:vAlign w:val="bottom"/>
          </w:tcPr>
          <w:p w14:paraId="7AC31CB5" w14:textId="77777777" w:rsidR="00030997" w:rsidRPr="00BD2C13" w:rsidRDefault="00030997" w:rsidP="00030997">
            <w:pPr>
              <w:spacing w:before="40" w:after="40" w:line="220" w:lineRule="exact"/>
              <w:jc w:val="right"/>
              <w:rPr>
                <w:sz w:val="18"/>
              </w:rPr>
            </w:pPr>
            <w:r w:rsidRPr="00BD2C13">
              <w:rPr>
                <w:sz w:val="18"/>
              </w:rPr>
              <w:t>17,8</w:t>
            </w:r>
          </w:p>
        </w:tc>
        <w:tc>
          <w:tcPr>
            <w:tcW w:w="1701" w:type="dxa"/>
            <w:shd w:val="clear" w:color="auto" w:fill="auto"/>
            <w:vAlign w:val="bottom"/>
          </w:tcPr>
          <w:p w14:paraId="2A313A0D" w14:textId="77777777" w:rsidR="00030997" w:rsidRPr="00BD2C13" w:rsidRDefault="00030997" w:rsidP="00030997">
            <w:pPr>
              <w:spacing w:before="40" w:after="40" w:line="220" w:lineRule="exact"/>
              <w:jc w:val="right"/>
              <w:rPr>
                <w:sz w:val="18"/>
              </w:rPr>
            </w:pPr>
            <w:r w:rsidRPr="00BD2C13">
              <w:rPr>
                <w:sz w:val="18"/>
              </w:rPr>
              <w:t>22,7</w:t>
            </w:r>
          </w:p>
        </w:tc>
        <w:tc>
          <w:tcPr>
            <w:tcW w:w="1701" w:type="dxa"/>
            <w:shd w:val="clear" w:color="auto" w:fill="auto"/>
            <w:vAlign w:val="bottom"/>
          </w:tcPr>
          <w:p w14:paraId="3D8CC696" w14:textId="77777777" w:rsidR="00030997" w:rsidRPr="00BD2C13" w:rsidRDefault="00030997" w:rsidP="00030997">
            <w:pPr>
              <w:spacing w:before="40" w:after="40" w:line="220" w:lineRule="exact"/>
              <w:jc w:val="right"/>
              <w:rPr>
                <w:sz w:val="18"/>
              </w:rPr>
            </w:pPr>
            <w:r w:rsidRPr="00BD2C13">
              <w:rPr>
                <w:sz w:val="18"/>
              </w:rPr>
              <w:t>2,1</w:t>
            </w:r>
          </w:p>
        </w:tc>
      </w:tr>
      <w:tr w:rsidR="00030997" w:rsidRPr="00BD2C13" w14:paraId="2A4992E2" w14:textId="77777777" w:rsidTr="00BD2C13">
        <w:tc>
          <w:tcPr>
            <w:tcW w:w="2267" w:type="dxa"/>
            <w:shd w:val="clear" w:color="auto" w:fill="auto"/>
            <w:vAlign w:val="bottom"/>
          </w:tcPr>
          <w:p w14:paraId="2F2B3EED"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2</w:t>
            </w:r>
            <w:r w:rsidRPr="00BD2C13">
              <w:rPr>
                <w:color w:val="000000"/>
                <w:sz w:val="18"/>
                <w:szCs w:val="18"/>
                <w:vertAlign w:val="superscript"/>
                <w:lang w:eastAsia="en-IE"/>
              </w:rPr>
              <w:t>e</w:t>
            </w:r>
            <w:r w:rsidRPr="00BD2C13">
              <w:rPr>
                <w:color w:val="000000"/>
                <w:sz w:val="18"/>
                <w:szCs w:val="18"/>
                <w:lang w:eastAsia="en-IE"/>
              </w:rPr>
              <w:t xml:space="preserve"> décile</w:t>
            </w:r>
            <w:r w:rsidR="007A54A8">
              <w:rPr>
                <w:color w:val="000000"/>
                <w:sz w:val="18"/>
                <w:szCs w:val="18"/>
                <w:lang w:eastAsia="en-IE"/>
              </w:rPr>
              <w:t xml:space="preserve"> </w:t>
            </w:r>
          </w:p>
        </w:tc>
        <w:tc>
          <w:tcPr>
            <w:tcW w:w="1701" w:type="dxa"/>
            <w:shd w:val="clear" w:color="auto" w:fill="auto"/>
            <w:vAlign w:val="bottom"/>
          </w:tcPr>
          <w:p w14:paraId="2919D387" w14:textId="77777777" w:rsidR="00030997" w:rsidRPr="00BD2C13" w:rsidRDefault="00030997" w:rsidP="00030997">
            <w:pPr>
              <w:spacing w:before="40" w:after="40" w:line="220" w:lineRule="exact"/>
              <w:jc w:val="right"/>
              <w:rPr>
                <w:sz w:val="18"/>
              </w:rPr>
            </w:pPr>
            <w:r w:rsidRPr="00BD2C13">
              <w:rPr>
                <w:sz w:val="18"/>
              </w:rPr>
              <w:t>17,8</w:t>
            </w:r>
          </w:p>
        </w:tc>
        <w:tc>
          <w:tcPr>
            <w:tcW w:w="1701" w:type="dxa"/>
            <w:shd w:val="clear" w:color="auto" w:fill="auto"/>
            <w:vAlign w:val="bottom"/>
          </w:tcPr>
          <w:p w14:paraId="5ED4BC2E" w14:textId="77777777" w:rsidR="00030997" w:rsidRPr="00BD2C13" w:rsidRDefault="00030997" w:rsidP="00030997">
            <w:pPr>
              <w:spacing w:before="40" w:after="40" w:line="220" w:lineRule="exact"/>
              <w:jc w:val="right"/>
              <w:rPr>
                <w:sz w:val="18"/>
              </w:rPr>
            </w:pPr>
            <w:r w:rsidRPr="00BD2C13">
              <w:rPr>
                <w:sz w:val="18"/>
              </w:rPr>
              <w:t>23,0</w:t>
            </w:r>
          </w:p>
        </w:tc>
        <w:tc>
          <w:tcPr>
            <w:tcW w:w="1701" w:type="dxa"/>
            <w:shd w:val="clear" w:color="auto" w:fill="auto"/>
            <w:vAlign w:val="bottom"/>
          </w:tcPr>
          <w:p w14:paraId="22441E42" w14:textId="77777777" w:rsidR="00030997" w:rsidRPr="00BD2C13" w:rsidRDefault="00030997" w:rsidP="00030997">
            <w:pPr>
              <w:spacing w:before="40" w:after="40" w:line="220" w:lineRule="exact"/>
              <w:jc w:val="right"/>
              <w:rPr>
                <w:sz w:val="18"/>
              </w:rPr>
            </w:pPr>
            <w:r w:rsidRPr="00BD2C13">
              <w:rPr>
                <w:sz w:val="18"/>
              </w:rPr>
              <w:t>2,0</w:t>
            </w:r>
          </w:p>
        </w:tc>
      </w:tr>
      <w:tr w:rsidR="00030997" w:rsidRPr="00BD2C13" w14:paraId="169D08A4" w14:textId="77777777" w:rsidTr="00BD2C13">
        <w:tc>
          <w:tcPr>
            <w:tcW w:w="2267" w:type="dxa"/>
            <w:shd w:val="clear" w:color="auto" w:fill="auto"/>
            <w:vAlign w:val="bottom"/>
          </w:tcPr>
          <w:p w14:paraId="6394B7D3"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3</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5B5CFDAE" w14:textId="77777777" w:rsidR="00030997" w:rsidRPr="00BD2C13" w:rsidRDefault="00030997" w:rsidP="00030997">
            <w:pPr>
              <w:spacing w:before="40" w:after="40" w:line="220" w:lineRule="exact"/>
              <w:jc w:val="right"/>
              <w:rPr>
                <w:sz w:val="18"/>
              </w:rPr>
            </w:pPr>
            <w:r w:rsidRPr="00BD2C13">
              <w:rPr>
                <w:sz w:val="18"/>
              </w:rPr>
              <w:t>18,7</w:t>
            </w:r>
          </w:p>
        </w:tc>
        <w:tc>
          <w:tcPr>
            <w:tcW w:w="1701" w:type="dxa"/>
            <w:shd w:val="clear" w:color="auto" w:fill="auto"/>
            <w:vAlign w:val="bottom"/>
          </w:tcPr>
          <w:p w14:paraId="197CE8DC" w14:textId="77777777" w:rsidR="00030997" w:rsidRPr="00BD2C13" w:rsidRDefault="00030997" w:rsidP="00030997">
            <w:pPr>
              <w:spacing w:before="40" w:after="40" w:line="220" w:lineRule="exact"/>
              <w:jc w:val="right"/>
              <w:rPr>
                <w:sz w:val="18"/>
              </w:rPr>
            </w:pPr>
            <w:r w:rsidRPr="00BD2C13">
              <w:rPr>
                <w:sz w:val="18"/>
              </w:rPr>
              <w:t>19,5</w:t>
            </w:r>
          </w:p>
        </w:tc>
        <w:tc>
          <w:tcPr>
            <w:tcW w:w="1701" w:type="dxa"/>
            <w:shd w:val="clear" w:color="auto" w:fill="auto"/>
            <w:vAlign w:val="bottom"/>
          </w:tcPr>
          <w:p w14:paraId="67FE01EE" w14:textId="77777777" w:rsidR="00030997" w:rsidRPr="00BD2C13" w:rsidRDefault="00030997" w:rsidP="00030997">
            <w:pPr>
              <w:spacing w:before="40" w:after="40" w:line="220" w:lineRule="exact"/>
              <w:jc w:val="right"/>
              <w:rPr>
                <w:sz w:val="18"/>
              </w:rPr>
            </w:pPr>
            <w:r w:rsidRPr="00BD2C13">
              <w:rPr>
                <w:sz w:val="18"/>
              </w:rPr>
              <w:t>2,7</w:t>
            </w:r>
          </w:p>
        </w:tc>
      </w:tr>
      <w:tr w:rsidR="00030997" w:rsidRPr="00BD2C13" w14:paraId="2B1A4B2C" w14:textId="77777777" w:rsidTr="00BD2C13">
        <w:tc>
          <w:tcPr>
            <w:tcW w:w="2267" w:type="dxa"/>
            <w:shd w:val="clear" w:color="auto" w:fill="auto"/>
            <w:vAlign w:val="bottom"/>
          </w:tcPr>
          <w:p w14:paraId="216134C0"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4</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293173EE" w14:textId="77777777" w:rsidR="00030997" w:rsidRPr="00BD2C13" w:rsidRDefault="00030997" w:rsidP="00030997">
            <w:pPr>
              <w:spacing w:before="40" w:after="40" w:line="220" w:lineRule="exact"/>
              <w:jc w:val="right"/>
              <w:rPr>
                <w:sz w:val="18"/>
              </w:rPr>
            </w:pPr>
            <w:r w:rsidRPr="00BD2C13">
              <w:rPr>
                <w:sz w:val="18"/>
              </w:rPr>
              <w:t>17,1</w:t>
            </w:r>
          </w:p>
        </w:tc>
        <w:tc>
          <w:tcPr>
            <w:tcW w:w="1701" w:type="dxa"/>
            <w:shd w:val="clear" w:color="auto" w:fill="auto"/>
            <w:vAlign w:val="bottom"/>
          </w:tcPr>
          <w:p w14:paraId="6939448E" w14:textId="77777777" w:rsidR="00030997" w:rsidRPr="00BD2C13" w:rsidRDefault="00030997" w:rsidP="00030997">
            <w:pPr>
              <w:spacing w:before="40" w:after="40" w:line="220" w:lineRule="exact"/>
              <w:jc w:val="right"/>
              <w:rPr>
                <w:sz w:val="18"/>
              </w:rPr>
            </w:pPr>
            <w:r w:rsidRPr="00BD2C13">
              <w:rPr>
                <w:sz w:val="18"/>
              </w:rPr>
              <w:t>20,8</w:t>
            </w:r>
          </w:p>
        </w:tc>
        <w:tc>
          <w:tcPr>
            <w:tcW w:w="1701" w:type="dxa"/>
            <w:shd w:val="clear" w:color="auto" w:fill="auto"/>
            <w:vAlign w:val="bottom"/>
          </w:tcPr>
          <w:p w14:paraId="5507E648"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41DD52A5" w14:textId="77777777" w:rsidTr="00BD2C13">
        <w:tc>
          <w:tcPr>
            <w:tcW w:w="2267" w:type="dxa"/>
            <w:shd w:val="clear" w:color="auto" w:fill="auto"/>
            <w:vAlign w:val="bottom"/>
          </w:tcPr>
          <w:p w14:paraId="2AC2A9DB"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5</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08FB0C5B" w14:textId="77777777" w:rsidR="00030997" w:rsidRPr="00BD2C13" w:rsidRDefault="00030997" w:rsidP="00030997">
            <w:pPr>
              <w:spacing w:before="40" w:after="40" w:line="220" w:lineRule="exact"/>
              <w:jc w:val="right"/>
              <w:rPr>
                <w:sz w:val="18"/>
              </w:rPr>
            </w:pPr>
            <w:r w:rsidRPr="00BD2C13">
              <w:rPr>
                <w:sz w:val="18"/>
              </w:rPr>
              <w:t>16,0</w:t>
            </w:r>
          </w:p>
        </w:tc>
        <w:tc>
          <w:tcPr>
            <w:tcW w:w="1701" w:type="dxa"/>
            <w:shd w:val="clear" w:color="auto" w:fill="auto"/>
            <w:vAlign w:val="bottom"/>
          </w:tcPr>
          <w:p w14:paraId="2215B1B6" w14:textId="77777777" w:rsidR="00030997" w:rsidRPr="00BD2C13" w:rsidRDefault="00030997" w:rsidP="00030997">
            <w:pPr>
              <w:spacing w:before="40" w:after="40" w:line="220" w:lineRule="exact"/>
              <w:jc w:val="right"/>
              <w:rPr>
                <w:sz w:val="18"/>
              </w:rPr>
            </w:pPr>
            <w:r w:rsidRPr="00BD2C13">
              <w:rPr>
                <w:sz w:val="18"/>
              </w:rPr>
              <w:t>21,5</w:t>
            </w:r>
          </w:p>
        </w:tc>
        <w:tc>
          <w:tcPr>
            <w:tcW w:w="1701" w:type="dxa"/>
            <w:shd w:val="clear" w:color="auto" w:fill="auto"/>
            <w:vAlign w:val="bottom"/>
          </w:tcPr>
          <w:p w14:paraId="354F64DD" w14:textId="77777777" w:rsidR="00030997" w:rsidRPr="00BD2C13" w:rsidRDefault="00030997" w:rsidP="00030997">
            <w:pPr>
              <w:spacing w:before="40" w:after="40" w:line="220" w:lineRule="exact"/>
              <w:jc w:val="right"/>
              <w:rPr>
                <w:sz w:val="18"/>
              </w:rPr>
            </w:pPr>
            <w:r w:rsidRPr="00BD2C13">
              <w:rPr>
                <w:sz w:val="18"/>
              </w:rPr>
              <w:t>2,1</w:t>
            </w:r>
          </w:p>
        </w:tc>
      </w:tr>
      <w:tr w:rsidR="00030997" w:rsidRPr="00BD2C13" w14:paraId="53A3AB7D" w14:textId="77777777" w:rsidTr="00BD2C13">
        <w:tc>
          <w:tcPr>
            <w:tcW w:w="2267" w:type="dxa"/>
            <w:shd w:val="clear" w:color="auto" w:fill="auto"/>
            <w:vAlign w:val="bottom"/>
          </w:tcPr>
          <w:p w14:paraId="62B84E0B"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6</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5396EE7C" w14:textId="77777777" w:rsidR="00030997" w:rsidRPr="00BD2C13" w:rsidRDefault="00030997" w:rsidP="00030997">
            <w:pPr>
              <w:spacing w:before="40" w:after="40" w:line="220" w:lineRule="exact"/>
              <w:jc w:val="right"/>
              <w:rPr>
                <w:sz w:val="18"/>
              </w:rPr>
            </w:pPr>
            <w:r w:rsidRPr="00BD2C13">
              <w:rPr>
                <w:sz w:val="18"/>
              </w:rPr>
              <w:t>15,5</w:t>
            </w:r>
          </w:p>
        </w:tc>
        <w:tc>
          <w:tcPr>
            <w:tcW w:w="1701" w:type="dxa"/>
            <w:shd w:val="clear" w:color="auto" w:fill="auto"/>
            <w:vAlign w:val="bottom"/>
          </w:tcPr>
          <w:p w14:paraId="6047F9DD" w14:textId="77777777" w:rsidR="00030997" w:rsidRPr="00BD2C13" w:rsidRDefault="00030997" w:rsidP="00030997">
            <w:pPr>
              <w:spacing w:before="40" w:after="40" w:line="220" w:lineRule="exact"/>
              <w:jc w:val="right"/>
              <w:rPr>
                <w:sz w:val="18"/>
              </w:rPr>
            </w:pPr>
            <w:r w:rsidRPr="00BD2C13">
              <w:rPr>
                <w:sz w:val="18"/>
              </w:rPr>
              <w:t>18,7</w:t>
            </w:r>
          </w:p>
        </w:tc>
        <w:tc>
          <w:tcPr>
            <w:tcW w:w="1701" w:type="dxa"/>
            <w:shd w:val="clear" w:color="auto" w:fill="auto"/>
            <w:vAlign w:val="bottom"/>
          </w:tcPr>
          <w:p w14:paraId="444985ED" w14:textId="77777777" w:rsidR="00030997" w:rsidRPr="00BD2C13" w:rsidRDefault="00030997" w:rsidP="00030997">
            <w:pPr>
              <w:spacing w:before="40" w:after="40" w:line="220" w:lineRule="exact"/>
              <w:jc w:val="right"/>
              <w:rPr>
                <w:sz w:val="18"/>
              </w:rPr>
            </w:pPr>
            <w:r w:rsidRPr="00BD2C13">
              <w:rPr>
                <w:sz w:val="18"/>
              </w:rPr>
              <w:t>2,1</w:t>
            </w:r>
          </w:p>
        </w:tc>
      </w:tr>
      <w:tr w:rsidR="00030997" w:rsidRPr="00BD2C13" w14:paraId="551D237F" w14:textId="77777777" w:rsidTr="00BD2C13">
        <w:tc>
          <w:tcPr>
            <w:tcW w:w="2267" w:type="dxa"/>
            <w:shd w:val="clear" w:color="auto" w:fill="auto"/>
            <w:vAlign w:val="bottom"/>
          </w:tcPr>
          <w:p w14:paraId="48F6C4CF"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7</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3DE91057" w14:textId="77777777" w:rsidR="00030997" w:rsidRPr="00BD2C13" w:rsidRDefault="00030997" w:rsidP="00030997">
            <w:pPr>
              <w:spacing w:before="40" w:after="40" w:line="220" w:lineRule="exact"/>
              <w:jc w:val="right"/>
              <w:rPr>
                <w:sz w:val="18"/>
              </w:rPr>
            </w:pPr>
            <w:r w:rsidRPr="00BD2C13">
              <w:rPr>
                <w:sz w:val="18"/>
              </w:rPr>
              <w:t>15,1</w:t>
            </w:r>
          </w:p>
        </w:tc>
        <w:tc>
          <w:tcPr>
            <w:tcW w:w="1701" w:type="dxa"/>
            <w:shd w:val="clear" w:color="auto" w:fill="auto"/>
            <w:vAlign w:val="bottom"/>
          </w:tcPr>
          <w:p w14:paraId="3124BCF6" w14:textId="77777777" w:rsidR="00030997" w:rsidRPr="00BD2C13" w:rsidRDefault="00030997" w:rsidP="00030997">
            <w:pPr>
              <w:spacing w:before="40" w:after="40" w:line="220" w:lineRule="exact"/>
              <w:jc w:val="right"/>
              <w:rPr>
                <w:sz w:val="18"/>
              </w:rPr>
            </w:pPr>
            <w:r w:rsidRPr="00BD2C13">
              <w:rPr>
                <w:sz w:val="18"/>
              </w:rPr>
              <w:t>19,0</w:t>
            </w:r>
          </w:p>
        </w:tc>
        <w:tc>
          <w:tcPr>
            <w:tcW w:w="1701" w:type="dxa"/>
            <w:shd w:val="clear" w:color="auto" w:fill="auto"/>
            <w:vAlign w:val="bottom"/>
          </w:tcPr>
          <w:p w14:paraId="6971FDA9"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6D19DCFD" w14:textId="77777777" w:rsidTr="00BD2C13">
        <w:tc>
          <w:tcPr>
            <w:tcW w:w="2267" w:type="dxa"/>
            <w:shd w:val="clear" w:color="auto" w:fill="auto"/>
            <w:vAlign w:val="bottom"/>
          </w:tcPr>
          <w:p w14:paraId="59E79694"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8</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248884A2" w14:textId="77777777" w:rsidR="00030997" w:rsidRPr="00BD2C13" w:rsidRDefault="00030997" w:rsidP="00030997">
            <w:pPr>
              <w:spacing w:before="40" w:after="40" w:line="220" w:lineRule="exact"/>
              <w:jc w:val="right"/>
              <w:rPr>
                <w:sz w:val="18"/>
              </w:rPr>
            </w:pPr>
            <w:r w:rsidRPr="00BD2C13">
              <w:rPr>
                <w:sz w:val="18"/>
              </w:rPr>
              <w:t>14,5</w:t>
            </w:r>
          </w:p>
        </w:tc>
        <w:tc>
          <w:tcPr>
            <w:tcW w:w="1701" w:type="dxa"/>
            <w:shd w:val="clear" w:color="auto" w:fill="auto"/>
            <w:vAlign w:val="bottom"/>
          </w:tcPr>
          <w:p w14:paraId="2454FEAA" w14:textId="77777777" w:rsidR="00030997" w:rsidRPr="00BD2C13" w:rsidRDefault="00030997" w:rsidP="00030997">
            <w:pPr>
              <w:spacing w:before="40" w:after="40" w:line="220" w:lineRule="exact"/>
              <w:jc w:val="right"/>
              <w:rPr>
                <w:sz w:val="18"/>
              </w:rPr>
            </w:pPr>
            <w:r w:rsidRPr="00BD2C13">
              <w:rPr>
                <w:sz w:val="18"/>
              </w:rPr>
              <w:t>18,2</w:t>
            </w:r>
          </w:p>
        </w:tc>
        <w:tc>
          <w:tcPr>
            <w:tcW w:w="1701" w:type="dxa"/>
            <w:shd w:val="clear" w:color="auto" w:fill="auto"/>
            <w:vAlign w:val="bottom"/>
          </w:tcPr>
          <w:p w14:paraId="6BBA81FE" w14:textId="77777777" w:rsidR="00030997" w:rsidRPr="00BD2C13" w:rsidRDefault="00030997" w:rsidP="00030997">
            <w:pPr>
              <w:spacing w:before="40" w:after="40" w:line="220" w:lineRule="exact"/>
              <w:jc w:val="right"/>
              <w:rPr>
                <w:sz w:val="18"/>
              </w:rPr>
            </w:pPr>
            <w:r w:rsidRPr="00BD2C13">
              <w:rPr>
                <w:sz w:val="18"/>
              </w:rPr>
              <w:t>2,3</w:t>
            </w:r>
          </w:p>
        </w:tc>
      </w:tr>
      <w:tr w:rsidR="00030997" w:rsidRPr="00BD2C13" w14:paraId="1DBFCED9" w14:textId="77777777" w:rsidTr="00BD2C13">
        <w:tc>
          <w:tcPr>
            <w:tcW w:w="2267" w:type="dxa"/>
            <w:shd w:val="clear" w:color="auto" w:fill="auto"/>
            <w:vAlign w:val="bottom"/>
          </w:tcPr>
          <w:p w14:paraId="143FCF86"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9</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6F08F3A9" w14:textId="77777777" w:rsidR="00030997" w:rsidRPr="00BD2C13" w:rsidRDefault="00030997" w:rsidP="00030997">
            <w:pPr>
              <w:spacing w:before="40" w:after="40" w:line="220" w:lineRule="exact"/>
              <w:jc w:val="right"/>
              <w:rPr>
                <w:sz w:val="18"/>
              </w:rPr>
            </w:pPr>
            <w:r w:rsidRPr="00BD2C13">
              <w:rPr>
                <w:sz w:val="18"/>
              </w:rPr>
              <w:t>13,1</w:t>
            </w:r>
          </w:p>
        </w:tc>
        <w:tc>
          <w:tcPr>
            <w:tcW w:w="1701" w:type="dxa"/>
            <w:shd w:val="clear" w:color="auto" w:fill="auto"/>
            <w:vAlign w:val="bottom"/>
          </w:tcPr>
          <w:p w14:paraId="45788C23" w14:textId="77777777" w:rsidR="00030997" w:rsidRPr="00BD2C13" w:rsidRDefault="00030997" w:rsidP="00030997">
            <w:pPr>
              <w:spacing w:before="40" w:after="40" w:line="220" w:lineRule="exact"/>
              <w:jc w:val="right"/>
              <w:rPr>
                <w:sz w:val="18"/>
              </w:rPr>
            </w:pPr>
            <w:r w:rsidRPr="00BD2C13">
              <w:rPr>
                <w:sz w:val="18"/>
              </w:rPr>
              <w:t>19,2</w:t>
            </w:r>
          </w:p>
        </w:tc>
        <w:tc>
          <w:tcPr>
            <w:tcW w:w="1701" w:type="dxa"/>
            <w:shd w:val="clear" w:color="auto" w:fill="auto"/>
            <w:vAlign w:val="bottom"/>
          </w:tcPr>
          <w:p w14:paraId="3CA4EA5D" w14:textId="77777777" w:rsidR="00030997" w:rsidRPr="00BD2C13" w:rsidRDefault="00030997" w:rsidP="00030997">
            <w:pPr>
              <w:spacing w:before="40" w:after="40" w:line="220" w:lineRule="exact"/>
              <w:jc w:val="right"/>
              <w:rPr>
                <w:sz w:val="18"/>
              </w:rPr>
            </w:pPr>
            <w:r w:rsidRPr="00BD2C13">
              <w:rPr>
                <w:sz w:val="18"/>
              </w:rPr>
              <w:t>2,4</w:t>
            </w:r>
          </w:p>
        </w:tc>
      </w:tr>
      <w:tr w:rsidR="00030997" w:rsidRPr="00BD2C13" w14:paraId="7162351B" w14:textId="77777777" w:rsidTr="00BD2C13">
        <w:tc>
          <w:tcPr>
            <w:tcW w:w="2267" w:type="dxa"/>
            <w:shd w:val="clear" w:color="auto" w:fill="auto"/>
            <w:vAlign w:val="bottom"/>
          </w:tcPr>
          <w:p w14:paraId="626F253C"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10</w:t>
            </w:r>
            <w:r w:rsidRPr="00BD2C13">
              <w:rPr>
                <w:color w:val="000000"/>
                <w:sz w:val="18"/>
                <w:szCs w:val="18"/>
                <w:vertAlign w:val="superscript"/>
                <w:lang w:eastAsia="en-IE"/>
              </w:rPr>
              <w:t>e</w:t>
            </w:r>
            <w:r w:rsidRPr="00BD2C13">
              <w:rPr>
                <w:color w:val="000000"/>
                <w:sz w:val="18"/>
                <w:szCs w:val="18"/>
                <w:lang w:eastAsia="en-IE"/>
              </w:rPr>
              <w:t xml:space="preserve"> décile </w:t>
            </w:r>
          </w:p>
        </w:tc>
        <w:tc>
          <w:tcPr>
            <w:tcW w:w="1701" w:type="dxa"/>
            <w:shd w:val="clear" w:color="auto" w:fill="auto"/>
            <w:vAlign w:val="bottom"/>
          </w:tcPr>
          <w:p w14:paraId="5CF456CC" w14:textId="77777777" w:rsidR="00030997" w:rsidRPr="00BD2C13" w:rsidRDefault="00030997" w:rsidP="00030997">
            <w:pPr>
              <w:spacing w:before="40" w:after="40" w:line="220" w:lineRule="exact"/>
              <w:jc w:val="right"/>
              <w:rPr>
                <w:sz w:val="18"/>
              </w:rPr>
            </w:pPr>
            <w:r w:rsidRPr="00BD2C13">
              <w:rPr>
                <w:sz w:val="18"/>
              </w:rPr>
              <w:t>11,7</w:t>
            </w:r>
          </w:p>
        </w:tc>
        <w:tc>
          <w:tcPr>
            <w:tcW w:w="1701" w:type="dxa"/>
            <w:shd w:val="clear" w:color="auto" w:fill="auto"/>
            <w:vAlign w:val="bottom"/>
          </w:tcPr>
          <w:p w14:paraId="24B2AE72" w14:textId="77777777" w:rsidR="00030997" w:rsidRPr="00BD2C13" w:rsidRDefault="00030997" w:rsidP="00030997">
            <w:pPr>
              <w:spacing w:before="40" w:after="40" w:line="220" w:lineRule="exact"/>
              <w:jc w:val="right"/>
              <w:rPr>
                <w:sz w:val="18"/>
              </w:rPr>
            </w:pPr>
            <w:r w:rsidRPr="00BD2C13">
              <w:rPr>
                <w:sz w:val="18"/>
              </w:rPr>
              <w:t>19,2</w:t>
            </w:r>
          </w:p>
        </w:tc>
        <w:tc>
          <w:tcPr>
            <w:tcW w:w="1701" w:type="dxa"/>
            <w:shd w:val="clear" w:color="auto" w:fill="auto"/>
            <w:vAlign w:val="bottom"/>
          </w:tcPr>
          <w:p w14:paraId="75DB1930" w14:textId="77777777" w:rsidR="00030997" w:rsidRPr="00BD2C13" w:rsidRDefault="00030997" w:rsidP="00030997">
            <w:pPr>
              <w:spacing w:before="40" w:after="40" w:line="220" w:lineRule="exact"/>
              <w:jc w:val="right"/>
              <w:rPr>
                <w:sz w:val="18"/>
              </w:rPr>
            </w:pPr>
            <w:r w:rsidRPr="00BD2C13">
              <w:rPr>
                <w:sz w:val="18"/>
              </w:rPr>
              <w:t>2,0</w:t>
            </w:r>
          </w:p>
        </w:tc>
      </w:tr>
      <w:tr w:rsidR="00030997" w:rsidRPr="00BD2C13" w14:paraId="0523CA4D" w14:textId="77777777" w:rsidTr="00BD2C13">
        <w:tc>
          <w:tcPr>
            <w:tcW w:w="2267" w:type="dxa"/>
            <w:shd w:val="clear" w:color="auto" w:fill="auto"/>
            <w:vAlign w:val="bottom"/>
          </w:tcPr>
          <w:p w14:paraId="5F9C3196"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Région</w:t>
            </w:r>
          </w:p>
        </w:tc>
        <w:tc>
          <w:tcPr>
            <w:tcW w:w="1701" w:type="dxa"/>
            <w:shd w:val="clear" w:color="auto" w:fill="auto"/>
            <w:vAlign w:val="bottom"/>
          </w:tcPr>
          <w:p w14:paraId="06272D2C"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27FCB71E"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2509D457" w14:textId="77777777" w:rsidR="00030997" w:rsidRPr="00BD2C13" w:rsidRDefault="00030997" w:rsidP="00030997">
            <w:pPr>
              <w:spacing w:before="40" w:after="40" w:line="220" w:lineRule="exact"/>
              <w:jc w:val="right"/>
              <w:rPr>
                <w:sz w:val="18"/>
              </w:rPr>
            </w:pPr>
          </w:p>
        </w:tc>
      </w:tr>
      <w:tr w:rsidR="00030997" w:rsidRPr="00BD2C13" w14:paraId="3BA946F0" w14:textId="77777777" w:rsidTr="00BD2C13">
        <w:tc>
          <w:tcPr>
            <w:tcW w:w="2267" w:type="dxa"/>
            <w:shd w:val="clear" w:color="auto" w:fill="auto"/>
            <w:vAlign w:val="bottom"/>
          </w:tcPr>
          <w:p w14:paraId="4914A465"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Région frontalière</w:t>
            </w:r>
          </w:p>
        </w:tc>
        <w:tc>
          <w:tcPr>
            <w:tcW w:w="1701" w:type="dxa"/>
            <w:shd w:val="clear" w:color="auto" w:fill="auto"/>
            <w:vAlign w:val="bottom"/>
          </w:tcPr>
          <w:p w14:paraId="37F387EA" w14:textId="77777777" w:rsidR="00030997" w:rsidRPr="00BD2C13" w:rsidRDefault="00030997" w:rsidP="00030997">
            <w:pPr>
              <w:spacing w:before="40" w:after="40" w:line="220" w:lineRule="exact"/>
              <w:jc w:val="right"/>
              <w:rPr>
                <w:sz w:val="18"/>
              </w:rPr>
            </w:pPr>
            <w:r w:rsidRPr="00BD2C13">
              <w:rPr>
                <w:sz w:val="18"/>
              </w:rPr>
              <w:t>15,6</w:t>
            </w:r>
          </w:p>
        </w:tc>
        <w:tc>
          <w:tcPr>
            <w:tcW w:w="1701" w:type="dxa"/>
            <w:shd w:val="clear" w:color="auto" w:fill="auto"/>
            <w:vAlign w:val="bottom"/>
          </w:tcPr>
          <w:p w14:paraId="14B1F1F4" w14:textId="77777777" w:rsidR="00030997" w:rsidRPr="00BD2C13" w:rsidRDefault="00030997" w:rsidP="00030997">
            <w:pPr>
              <w:spacing w:before="40" w:after="40" w:line="220" w:lineRule="exact"/>
              <w:jc w:val="right"/>
              <w:rPr>
                <w:sz w:val="18"/>
              </w:rPr>
            </w:pPr>
            <w:r w:rsidRPr="00BD2C13">
              <w:rPr>
                <w:sz w:val="18"/>
              </w:rPr>
              <w:t>17,3</w:t>
            </w:r>
          </w:p>
        </w:tc>
        <w:tc>
          <w:tcPr>
            <w:tcW w:w="1701" w:type="dxa"/>
            <w:shd w:val="clear" w:color="auto" w:fill="auto"/>
            <w:vAlign w:val="bottom"/>
          </w:tcPr>
          <w:p w14:paraId="099BDE3C" w14:textId="77777777" w:rsidR="00030997" w:rsidRPr="00BD2C13" w:rsidRDefault="00030997" w:rsidP="00030997">
            <w:pPr>
              <w:spacing w:before="40" w:after="40" w:line="220" w:lineRule="exact"/>
              <w:jc w:val="right"/>
              <w:rPr>
                <w:sz w:val="18"/>
              </w:rPr>
            </w:pPr>
            <w:r w:rsidRPr="00BD2C13">
              <w:rPr>
                <w:sz w:val="18"/>
              </w:rPr>
              <w:t>1,9</w:t>
            </w:r>
          </w:p>
        </w:tc>
      </w:tr>
      <w:tr w:rsidR="00030997" w:rsidRPr="00BD2C13" w14:paraId="65B82F34" w14:textId="77777777" w:rsidTr="00BD2C13">
        <w:tc>
          <w:tcPr>
            <w:tcW w:w="2267" w:type="dxa"/>
            <w:shd w:val="clear" w:color="auto" w:fill="auto"/>
            <w:vAlign w:val="bottom"/>
          </w:tcPr>
          <w:p w14:paraId="6813464B"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Dublin</w:t>
            </w:r>
          </w:p>
        </w:tc>
        <w:tc>
          <w:tcPr>
            <w:tcW w:w="1701" w:type="dxa"/>
            <w:shd w:val="clear" w:color="auto" w:fill="auto"/>
            <w:vAlign w:val="bottom"/>
          </w:tcPr>
          <w:p w14:paraId="467C94AC" w14:textId="77777777" w:rsidR="00030997" w:rsidRPr="00BD2C13" w:rsidRDefault="00030997" w:rsidP="00030997">
            <w:pPr>
              <w:spacing w:before="40" w:after="40" w:line="220" w:lineRule="exact"/>
              <w:jc w:val="right"/>
              <w:rPr>
                <w:sz w:val="18"/>
              </w:rPr>
            </w:pPr>
            <w:r w:rsidRPr="00BD2C13">
              <w:rPr>
                <w:sz w:val="18"/>
              </w:rPr>
              <w:t>13,8</w:t>
            </w:r>
          </w:p>
        </w:tc>
        <w:tc>
          <w:tcPr>
            <w:tcW w:w="1701" w:type="dxa"/>
            <w:shd w:val="clear" w:color="auto" w:fill="auto"/>
            <w:vAlign w:val="bottom"/>
          </w:tcPr>
          <w:p w14:paraId="346053C4" w14:textId="77777777" w:rsidR="00030997" w:rsidRPr="00BD2C13" w:rsidRDefault="00030997" w:rsidP="00030997">
            <w:pPr>
              <w:spacing w:before="40" w:after="40" w:line="220" w:lineRule="exact"/>
              <w:jc w:val="right"/>
              <w:rPr>
                <w:sz w:val="18"/>
              </w:rPr>
            </w:pPr>
            <w:r w:rsidRPr="00BD2C13">
              <w:rPr>
                <w:sz w:val="18"/>
              </w:rPr>
              <w:t>23,8</w:t>
            </w:r>
          </w:p>
        </w:tc>
        <w:tc>
          <w:tcPr>
            <w:tcW w:w="1701" w:type="dxa"/>
            <w:shd w:val="clear" w:color="auto" w:fill="auto"/>
            <w:vAlign w:val="bottom"/>
          </w:tcPr>
          <w:p w14:paraId="6E7A5267"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0CC89D15" w14:textId="77777777" w:rsidTr="00BD2C13">
        <w:tc>
          <w:tcPr>
            <w:tcW w:w="2267" w:type="dxa"/>
            <w:shd w:val="clear" w:color="auto" w:fill="auto"/>
            <w:vAlign w:val="bottom"/>
          </w:tcPr>
          <w:p w14:paraId="65F7CC68"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Centre-est</w:t>
            </w:r>
          </w:p>
        </w:tc>
        <w:tc>
          <w:tcPr>
            <w:tcW w:w="1701" w:type="dxa"/>
            <w:shd w:val="clear" w:color="auto" w:fill="auto"/>
            <w:vAlign w:val="bottom"/>
          </w:tcPr>
          <w:p w14:paraId="6E69AEE9" w14:textId="77777777" w:rsidR="00030997" w:rsidRPr="00BD2C13" w:rsidRDefault="00030997" w:rsidP="00030997">
            <w:pPr>
              <w:spacing w:before="40" w:after="40" w:line="220" w:lineRule="exact"/>
              <w:jc w:val="right"/>
              <w:rPr>
                <w:sz w:val="18"/>
              </w:rPr>
            </w:pPr>
            <w:r w:rsidRPr="00BD2C13">
              <w:rPr>
                <w:sz w:val="18"/>
              </w:rPr>
              <w:t>14,0</w:t>
            </w:r>
          </w:p>
        </w:tc>
        <w:tc>
          <w:tcPr>
            <w:tcW w:w="1701" w:type="dxa"/>
            <w:shd w:val="clear" w:color="auto" w:fill="auto"/>
            <w:vAlign w:val="bottom"/>
          </w:tcPr>
          <w:p w14:paraId="67680785" w14:textId="77777777" w:rsidR="00030997" w:rsidRPr="00BD2C13" w:rsidRDefault="00030997" w:rsidP="00030997">
            <w:pPr>
              <w:spacing w:before="40" w:after="40" w:line="220" w:lineRule="exact"/>
              <w:jc w:val="right"/>
              <w:rPr>
                <w:sz w:val="18"/>
              </w:rPr>
            </w:pPr>
            <w:r w:rsidRPr="00BD2C13">
              <w:rPr>
                <w:sz w:val="18"/>
              </w:rPr>
              <w:t>19,8</w:t>
            </w:r>
          </w:p>
        </w:tc>
        <w:tc>
          <w:tcPr>
            <w:tcW w:w="1701" w:type="dxa"/>
            <w:shd w:val="clear" w:color="auto" w:fill="auto"/>
            <w:vAlign w:val="bottom"/>
          </w:tcPr>
          <w:p w14:paraId="1CF5624B"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0580465B" w14:textId="77777777" w:rsidTr="00BD2C13">
        <w:tc>
          <w:tcPr>
            <w:tcW w:w="2267" w:type="dxa"/>
            <w:shd w:val="clear" w:color="auto" w:fill="auto"/>
            <w:vAlign w:val="bottom"/>
          </w:tcPr>
          <w:p w14:paraId="073EED33"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Centre-ouest</w:t>
            </w:r>
          </w:p>
        </w:tc>
        <w:tc>
          <w:tcPr>
            <w:tcW w:w="1701" w:type="dxa"/>
            <w:shd w:val="clear" w:color="auto" w:fill="auto"/>
            <w:vAlign w:val="bottom"/>
          </w:tcPr>
          <w:p w14:paraId="141E6458" w14:textId="77777777" w:rsidR="00030997" w:rsidRPr="00BD2C13" w:rsidRDefault="00030997" w:rsidP="00030997">
            <w:pPr>
              <w:spacing w:before="40" w:after="40" w:line="220" w:lineRule="exact"/>
              <w:jc w:val="right"/>
              <w:rPr>
                <w:sz w:val="18"/>
              </w:rPr>
            </w:pPr>
            <w:r w:rsidRPr="00BD2C13">
              <w:rPr>
                <w:sz w:val="18"/>
              </w:rPr>
              <w:t>14,7</w:t>
            </w:r>
          </w:p>
        </w:tc>
        <w:tc>
          <w:tcPr>
            <w:tcW w:w="1701" w:type="dxa"/>
            <w:shd w:val="clear" w:color="auto" w:fill="auto"/>
            <w:vAlign w:val="bottom"/>
          </w:tcPr>
          <w:p w14:paraId="6CFC3AE4" w14:textId="77777777" w:rsidR="00030997" w:rsidRPr="00BD2C13" w:rsidRDefault="00030997" w:rsidP="00030997">
            <w:pPr>
              <w:spacing w:before="40" w:after="40" w:line="220" w:lineRule="exact"/>
              <w:jc w:val="right"/>
              <w:rPr>
                <w:sz w:val="18"/>
              </w:rPr>
            </w:pPr>
            <w:r w:rsidRPr="00BD2C13">
              <w:rPr>
                <w:sz w:val="18"/>
              </w:rPr>
              <w:t>17,1</w:t>
            </w:r>
          </w:p>
        </w:tc>
        <w:tc>
          <w:tcPr>
            <w:tcW w:w="1701" w:type="dxa"/>
            <w:shd w:val="clear" w:color="auto" w:fill="auto"/>
            <w:vAlign w:val="bottom"/>
          </w:tcPr>
          <w:p w14:paraId="236C1C24" w14:textId="77777777" w:rsidR="00030997" w:rsidRPr="00BD2C13" w:rsidRDefault="00030997" w:rsidP="00030997">
            <w:pPr>
              <w:spacing w:before="40" w:after="40" w:line="220" w:lineRule="exact"/>
              <w:jc w:val="right"/>
              <w:rPr>
                <w:sz w:val="18"/>
              </w:rPr>
            </w:pPr>
            <w:r w:rsidRPr="00BD2C13">
              <w:rPr>
                <w:sz w:val="18"/>
              </w:rPr>
              <w:t>2,3</w:t>
            </w:r>
          </w:p>
        </w:tc>
      </w:tr>
      <w:tr w:rsidR="00030997" w:rsidRPr="00BD2C13" w14:paraId="178DFA39" w14:textId="77777777" w:rsidTr="00BD2C13">
        <w:tc>
          <w:tcPr>
            <w:tcW w:w="2267" w:type="dxa"/>
            <w:shd w:val="clear" w:color="auto" w:fill="auto"/>
            <w:vAlign w:val="bottom"/>
          </w:tcPr>
          <w:p w14:paraId="2517CA28"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Midlands</w:t>
            </w:r>
          </w:p>
        </w:tc>
        <w:tc>
          <w:tcPr>
            <w:tcW w:w="1701" w:type="dxa"/>
            <w:shd w:val="clear" w:color="auto" w:fill="auto"/>
            <w:vAlign w:val="bottom"/>
          </w:tcPr>
          <w:p w14:paraId="1CB323BF" w14:textId="77777777" w:rsidR="00030997" w:rsidRPr="00BD2C13" w:rsidRDefault="00030997" w:rsidP="00030997">
            <w:pPr>
              <w:spacing w:before="40" w:after="40" w:line="220" w:lineRule="exact"/>
              <w:jc w:val="right"/>
              <w:rPr>
                <w:sz w:val="18"/>
              </w:rPr>
            </w:pPr>
            <w:r w:rsidRPr="00BD2C13">
              <w:rPr>
                <w:sz w:val="18"/>
              </w:rPr>
              <w:t>15,9</w:t>
            </w:r>
          </w:p>
        </w:tc>
        <w:tc>
          <w:tcPr>
            <w:tcW w:w="1701" w:type="dxa"/>
            <w:shd w:val="clear" w:color="auto" w:fill="auto"/>
            <w:vAlign w:val="bottom"/>
          </w:tcPr>
          <w:p w14:paraId="1F6F073E" w14:textId="77777777" w:rsidR="00030997" w:rsidRPr="00BD2C13" w:rsidRDefault="00030997" w:rsidP="00030997">
            <w:pPr>
              <w:spacing w:before="40" w:after="40" w:line="220" w:lineRule="exact"/>
              <w:jc w:val="right"/>
              <w:rPr>
                <w:sz w:val="18"/>
              </w:rPr>
            </w:pPr>
            <w:r w:rsidRPr="00BD2C13">
              <w:rPr>
                <w:sz w:val="18"/>
              </w:rPr>
              <w:t>15,8</w:t>
            </w:r>
          </w:p>
        </w:tc>
        <w:tc>
          <w:tcPr>
            <w:tcW w:w="1701" w:type="dxa"/>
            <w:shd w:val="clear" w:color="auto" w:fill="auto"/>
            <w:vAlign w:val="bottom"/>
          </w:tcPr>
          <w:p w14:paraId="0175997D" w14:textId="77777777" w:rsidR="00030997" w:rsidRPr="00BD2C13" w:rsidRDefault="00030997" w:rsidP="00030997">
            <w:pPr>
              <w:spacing w:before="40" w:after="40" w:line="220" w:lineRule="exact"/>
              <w:jc w:val="right"/>
              <w:rPr>
                <w:sz w:val="18"/>
              </w:rPr>
            </w:pPr>
            <w:r w:rsidRPr="00BD2C13">
              <w:rPr>
                <w:sz w:val="18"/>
              </w:rPr>
              <w:t>2,1</w:t>
            </w:r>
          </w:p>
        </w:tc>
      </w:tr>
      <w:tr w:rsidR="00030997" w:rsidRPr="00BD2C13" w14:paraId="45972D39" w14:textId="77777777" w:rsidTr="00BD2C13">
        <w:tc>
          <w:tcPr>
            <w:tcW w:w="2267" w:type="dxa"/>
            <w:shd w:val="clear" w:color="auto" w:fill="auto"/>
            <w:vAlign w:val="bottom"/>
          </w:tcPr>
          <w:p w14:paraId="3CC51DD2"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Sud-Est</w:t>
            </w:r>
          </w:p>
        </w:tc>
        <w:tc>
          <w:tcPr>
            <w:tcW w:w="1701" w:type="dxa"/>
            <w:shd w:val="clear" w:color="auto" w:fill="auto"/>
            <w:vAlign w:val="bottom"/>
          </w:tcPr>
          <w:p w14:paraId="7115E0B5" w14:textId="77777777" w:rsidR="00030997" w:rsidRPr="00BD2C13" w:rsidRDefault="00030997" w:rsidP="00030997">
            <w:pPr>
              <w:spacing w:before="40" w:after="40" w:line="220" w:lineRule="exact"/>
              <w:jc w:val="right"/>
              <w:rPr>
                <w:sz w:val="18"/>
              </w:rPr>
            </w:pPr>
            <w:r w:rsidRPr="00BD2C13">
              <w:rPr>
                <w:sz w:val="18"/>
              </w:rPr>
              <w:t>16,1</w:t>
            </w:r>
          </w:p>
        </w:tc>
        <w:tc>
          <w:tcPr>
            <w:tcW w:w="1701" w:type="dxa"/>
            <w:shd w:val="clear" w:color="auto" w:fill="auto"/>
            <w:vAlign w:val="bottom"/>
          </w:tcPr>
          <w:p w14:paraId="6F5A78FC" w14:textId="77777777" w:rsidR="00030997" w:rsidRPr="00BD2C13" w:rsidRDefault="00030997" w:rsidP="00030997">
            <w:pPr>
              <w:spacing w:before="40" w:after="40" w:line="220" w:lineRule="exact"/>
              <w:jc w:val="right"/>
              <w:rPr>
                <w:sz w:val="18"/>
              </w:rPr>
            </w:pPr>
            <w:r w:rsidRPr="00BD2C13">
              <w:rPr>
                <w:sz w:val="18"/>
              </w:rPr>
              <w:t>16,1</w:t>
            </w:r>
          </w:p>
        </w:tc>
        <w:tc>
          <w:tcPr>
            <w:tcW w:w="1701" w:type="dxa"/>
            <w:shd w:val="clear" w:color="auto" w:fill="auto"/>
            <w:vAlign w:val="bottom"/>
          </w:tcPr>
          <w:p w14:paraId="7CE057D9"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21DAF01D" w14:textId="77777777" w:rsidTr="00BD2C13">
        <w:tc>
          <w:tcPr>
            <w:tcW w:w="2267" w:type="dxa"/>
            <w:shd w:val="clear" w:color="auto" w:fill="auto"/>
            <w:vAlign w:val="bottom"/>
          </w:tcPr>
          <w:p w14:paraId="53AEB441"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lastRenderedPageBreak/>
              <w:t>Sud-Ouest</w:t>
            </w:r>
          </w:p>
        </w:tc>
        <w:tc>
          <w:tcPr>
            <w:tcW w:w="1701" w:type="dxa"/>
            <w:shd w:val="clear" w:color="auto" w:fill="auto"/>
            <w:vAlign w:val="bottom"/>
          </w:tcPr>
          <w:p w14:paraId="70460591" w14:textId="77777777" w:rsidR="00030997" w:rsidRPr="00BD2C13" w:rsidRDefault="00030997" w:rsidP="00030997">
            <w:pPr>
              <w:spacing w:before="40" w:after="40" w:line="220" w:lineRule="exact"/>
              <w:jc w:val="right"/>
              <w:rPr>
                <w:sz w:val="18"/>
              </w:rPr>
            </w:pPr>
            <w:r w:rsidRPr="00BD2C13">
              <w:rPr>
                <w:sz w:val="18"/>
              </w:rPr>
              <w:t>15,5</w:t>
            </w:r>
          </w:p>
        </w:tc>
        <w:tc>
          <w:tcPr>
            <w:tcW w:w="1701" w:type="dxa"/>
            <w:shd w:val="clear" w:color="auto" w:fill="auto"/>
            <w:vAlign w:val="bottom"/>
          </w:tcPr>
          <w:p w14:paraId="4950715A" w14:textId="77777777" w:rsidR="00030997" w:rsidRPr="00BD2C13" w:rsidRDefault="00030997" w:rsidP="00030997">
            <w:pPr>
              <w:spacing w:before="40" w:after="40" w:line="220" w:lineRule="exact"/>
              <w:jc w:val="right"/>
              <w:rPr>
                <w:sz w:val="18"/>
              </w:rPr>
            </w:pPr>
            <w:r w:rsidRPr="00BD2C13">
              <w:rPr>
                <w:sz w:val="18"/>
              </w:rPr>
              <w:t>17,8</w:t>
            </w:r>
          </w:p>
        </w:tc>
        <w:tc>
          <w:tcPr>
            <w:tcW w:w="1701" w:type="dxa"/>
            <w:shd w:val="clear" w:color="auto" w:fill="auto"/>
            <w:vAlign w:val="bottom"/>
          </w:tcPr>
          <w:p w14:paraId="2E197645" w14:textId="77777777" w:rsidR="00030997" w:rsidRPr="00BD2C13" w:rsidRDefault="00030997" w:rsidP="00030997">
            <w:pPr>
              <w:spacing w:before="40" w:after="40" w:line="220" w:lineRule="exact"/>
              <w:jc w:val="right"/>
              <w:rPr>
                <w:sz w:val="18"/>
              </w:rPr>
            </w:pPr>
            <w:r w:rsidRPr="00BD2C13">
              <w:rPr>
                <w:sz w:val="18"/>
              </w:rPr>
              <w:t>2,1</w:t>
            </w:r>
          </w:p>
        </w:tc>
      </w:tr>
      <w:tr w:rsidR="00030997" w:rsidRPr="00BD2C13" w14:paraId="619DB73D" w14:textId="77777777" w:rsidTr="00BD2C13">
        <w:tc>
          <w:tcPr>
            <w:tcW w:w="2267" w:type="dxa"/>
            <w:shd w:val="clear" w:color="auto" w:fill="auto"/>
            <w:vAlign w:val="bottom"/>
          </w:tcPr>
          <w:p w14:paraId="673A411B" w14:textId="77777777" w:rsidR="00030997" w:rsidRPr="00BD2C13" w:rsidRDefault="00030997" w:rsidP="00030997">
            <w:pPr>
              <w:spacing w:before="40" w:after="40" w:line="220" w:lineRule="exact"/>
              <w:jc w:val="right"/>
              <w:rPr>
                <w:color w:val="000000"/>
                <w:sz w:val="18"/>
                <w:szCs w:val="18"/>
                <w:lang w:eastAsia="en-IE"/>
              </w:rPr>
            </w:pPr>
            <w:r w:rsidRPr="00BD2C13">
              <w:rPr>
                <w:color w:val="000000"/>
                <w:sz w:val="18"/>
                <w:szCs w:val="18"/>
                <w:lang w:eastAsia="en-IE"/>
              </w:rPr>
              <w:t>Ouest</w:t>
            </w:r>
          </w:p>
        </w:tc>
        <w:tc>
          <w:tcPr>
            <w:tcW w:w="1701" w:type="dxa"/>
            <w:shd w:val="clear" w:color="auto" w:fill="auto"/>
            <w:vAlign w:val="bottom"/>
          </w:tcPr>
          <w:p w14:paraId="40E087F8" w14:textId="77777777" w:rsidR="00030997" w:rsidRPr="00BD2C13" w:rsidRDefault="00030997" w:rsidP="00030997">
            <w:pPr>
              <w:spacing w:before="40" w:after="40" w:line="220" w:lineRule="exact"/>
              <w:jc w:val="right"/>
              <w:rPr>
                <w:sz w:val="18"/>
              </w:rPr>
            </w:pPr>
            <w:r w:rsidRPr="00BD2C13">
              <w:rPr>
                <w:sz w:val="18"/>
              </w:rPr>
              <w:t>14,9</w:t>
            </w:r>
          </w:p>
        </w:tc>
        <w:tc>
          <w:tcPr>
            <w:tcW w:w="1701" w:type="dxa"/>
            <w:shd w:val="clear" w:color="auto" w:fill="auto"/>
            <w:vAlign w:val="bottom"/>
          </w:tcPr>
          <w:p w14:paraId="00CD02CC" w14:textId="77777777" w:rsidR="00030997" w:rsidRPr="00BD2C13" w:rsidRDefault="00030997" w:rsidP="00030997">
            <w:pPr>
              <w:spacing w:before="40" w:after="40" w:line="220" w:lineRule="exact"/>
              <w:jc w:val="right"/>
              <w:rPr>
                <w:sz w:val="18"/>
              </w:rPr>
            </w:pPr>
            <w:r w:rsidRPr="00BD2C13">
              <w:rPr>
                <w:sz w:val="18"/>
              </w:rPr>
              <w:t>18,2</w:t>
            </w:r>
          </w:p>
        </w:tc>
        <w:tc>
          <w:tcPr>
            <w:tcW w:w="1701" w:type="dxa"/>
            <w:shd w:val="clear" w:color="auto" w:fill="auto"/>
            <w:vAlign w:val="bottom"/>
          </w:tcPr>
          <w:p w14:paraId="53F10D72" w14:textId="77777777" w:rsidR="00030997" w:rsidRPr="00BD2C13" w:rsidRDefault="00030997" w:rsidP="00030997">
            <w:pPr>
              <w:spacing w:before="40" w:after="40" w:line="220" w:lineRule="exact"/>
              <w:jc w:val="right"/>
              <w:rPr>
                <w:sz w:val="18"/>
              </w:rPr>
            </w:pPr>
            <w:r w:rsidRPr="00BD2C13">
              <w:rPr>
                <w:sz w:val="18"/>
              </w:rPr>
              <w:t>2,7</w:t>
            </w:r>
          </w:p>
        </w:tc>
      </w:tr>
      <w:tr w:rsidR="00030997" w:rsidRPr="00BD2C13" w14:paraId="43A045B5" w14:textId="77777777" w:rsidTr="00BD2C13">
        <w:tc>
          <w:tcPr>
            <w:tcW w:w="2267" w:type="dxa"/>
            <w:shd w:val="clear" w:color="auto" w:fill="auto"/>
            <w:vAlign w:val="bottom"/>
          </w:tcPr>
          <w:p w14:paraId="7A8B88E1"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Régime d</w:t>
            </w:r>
            <w:r w:rsidR="00784444">
              <w:rPr>
                <w:bCs/>
                <w:i/>
                <w:color w:val="000000"/>
                <w:sz w:val="18"/>
                <w:szCs w:val="18"/>
                <w:lang w:eastAsia="en-IE"/>
              </w:rPr>
              <w:t>’</w:t>
            </w:r>
            <w:r w:rsidRPr="00BD2C13">
              <w:rPr>
                <w:bCs/>
                <w:i/>
                <w:color w:val="000000"/>
                <w:sz w:val="18"/>
                <w:szCs w:val="18"/>
                <w:lang w:eastAsia="en-IE"/>
              </w:rPr>
              <w:t>occupation du logement</w:t>
            </w:r>
          </w:p>
        </w:tc>
        <w:tc>
          <w:tcPr>
            <w:tcW w:w="1701" w:type="dxa"/>
            <w:shd w:val="clear" w:color="auto" w:fill="auto"/>
            <w:vAlign w:val="bottom"/>
          </w:tcPr>
          <w:p w14:paraId="560F2B41"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1EFB3ED9"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27A6C354" w14:textId="77777777" w:rsidR="00030997" w:rsidRPr="00BD2C13" w:rsidRDefault="00030997" w:rsidP="00030997">
            <w:pPr>
              <w:spacing w:before="40" w:after="40" w:line="220" w:lineRule="exact"/>
              <w:jc w:val="right"/>
              <w:rPr>
                <w:sz w:val="18"/>
              </w:rPr>
            </w:pPr>
          </w:p>
        </w:tc>
      </w:tr>
      <w:tr w:rsidR="00030997" w:rsidRPr="00BD2C13" w14:paraId="7D7B8232" w14:textId="77777777" w:rsidTr="00BD2C13">
        <w:tc>
          <w:tcPr>
            <w:tcW w:w="2267" w:type="dxa"/>
            <w:shd w:val="clear" w:color="auto" w:fill="auto"/>
            <w:vAlign w:val="bottom"/>
          </w:tcPr>
          <w:p w14:paraId="769F0293"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Pleine propriété</w:t>
            </w:r>
          </w:p>
        </w:tc>
        <w:tc>
          <w:tcPr>
            <w:tcW w:w="1701" w:type="dxa"/>
            <w:shd w:val="clear" w:color="auto" w:fill="auto"/>
            <w:vAlign w:val="bottom"/>
          </w:tcPr>
          <w:p w14:paraId="4D32A8BA" w14:textId="77777777" w:rsidR="00030997" w:rsidRPr="00BD2C13" w:rsidRDefault="00030997" w:rsidP="00030997">
            <w:pPr>
              <w:spacing w:before="40" w:after="40" w:line="220" w:lineRule="exact"/>
              <w:jc w:val="right"/>
              <w:rPr>
                <w:sz w:val="18"/>
              </w:rPr>
            </w:pPr>
            <w:r w:rsidRPr="00BD2C13">
              <w:rPr>
                <w:sz w:val="18"/>
              </w:rPr>
              <w:t>16,7</w:t>
            </w:r>
          </w:p>
        </w:tc>
        <w:tc>
          <w:tcPr>
            <w:tcW w:w="1701" w:type="dxa"/>
            <w:shd w:val="clear" w:color="auto" w:fill="auto"/>
            <w:vAlign w:val="bottom"/>
          </w:tcPr>
          <w:p w14:paraId="2B7FD3FE" w14:textId="77777777" w:rsidR="00030997" w:rsidRPr="00BD2C13" w:rsidRDefault="00030997" w:rsidP="00030997">
            <w:pPr>
              <w:spacing w:before="40" w:after="40" w:line="220" w:lineRule="exact"/>
              <w:jc w:val="right"/>
              <w:rPr>
                <w:sz w:val="18"/>
              </w:rPr>
            </w:pPr>
            <w:r w:rsidRPr="00BD2C13">
              <w:rPr>
                <w:sz w:val="18"/>
              </w:rPr>
              <w:t>10,2</w:t>
            </w:r>
          </w:p>
        </w:tc>
        <w:tc>
          <w:tcPr>
            <w:tcW w:w="1701" w:type="dxa"/>
            <w:shd w:val="clear" w:color="auto" w:fill="auto"/>
            <w:vAlign w:val="bottom"/>
          </w:tcPr>
          <w:p w14:paraId="61F48ABE" w14:textId="77777777" w:rsidR="00030997" w:rsidRPr="00BD2C13" w:rsidRDefault="00030997" w:rsidP="00030997">
            <w:pPr>
              <w:spacing w:before="40" w:after="40" w:line="220" w:lineRule="exact"/>
              <w:jc w:val="right"/>
              <w:rPr>
                <w:sz w:val="18"/>
              </w:rPr>
            </w:pPr>
            <w:r w:rsidRPr="00BD2C13">
              <w:rPr>
                <w:sz w:val="18"/>
              </w:rPr>
              <w:t>3,1</w:t>
            </w:r>
          </w:p>
        </w:tc>
      </w:tr>
      <w:tr w:rsidR="00030997" w:rsidRPr="00BD2C13" w14:paraId="14C9F6F4" w14:textId="77777777" w:rsidTr="00BD2C13">
        <w:tc>
          <w:tcPr>
            <w:tcW w:w="2267" w:type="dxa"/>
            <w:shd w:val="clear" w:color="auto" w:fill="auto"/>
            <w:vAlign w:val="bottom"/>
          </w:tcPr>
          <w:p w14:paraId="063EBCF1"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 xml:space="preserve">Propriété assortie </w:t>
            </w:r>
            <w:r w:rsidRPr="00BD2C13">
              <w:rPr>
                <w:sz w:val="18"/>
                <w:szCs w:val="18"/>
                <w:lang w:eastAsia="en-IE"/>
              </w:rPr>
              <w:br/>
              <w:t>d</w:t>
            </w:r>
            <w:r w:rsidR="00784444">
              <w:rPr>
                <w:sz w:val="18"/>
                <w:szCs w:val="18"/>
                <w:lang w:eastAsia="en-IE"/>
              </w:rPr>
              <w:t>’</w:t>
            </w:r>
            <w:r w:rsidRPr="00BD2C13">
              <w:rPr>
                <w:sz w:val="18"/>
                <w:szCs w:val="18"/>
                <w:lang w:eastAsia="en-IE"/>
              </w:rPr>
              <w:t>un crédit hypothécaire</w:t>
            </w:r>
          </w:p>
        </w:tc>
        <w:tc>
          <w:tcPr>
            <w:tcW w:w="1701" w:type="dxa"/>
            <w:shd w:val="clear" w:color="auto" w:fill="auto"/>
            <w:vAlign w:val="bottom"/>
          </w:tcPr>
          <w:p w14:paraId="2FE317EF" w14:textId="77777777" w:rsidR="00030997" w:rsidRPr="00BD2C13" w:rsidRDefault="00030997" w:rsidP="00030997">
            <w:pPr>
              <w:spacing w:before="40" w:after="40" w:line="220" w:lineRule="exact"/>
              <w:jc w:val="right"/>
              <w:rPr>
                <w:sz w:val="18"/>
              </w:rPr>
            </w:pPr>
            <w:r w:rsidRPr="00BD2C13">
              <w:rPr>
                <w:sz w:val="18"/>
              </w:rPr>
              <w:t>13,1</w:t>
            </w:r>
          </w:p>
        </w:tc>
        <w:tc>
          <w:tcPr>
            <w:tcW w:w="1701" w:type="dxa"/>
            <w:shd w:val="clear" w:color="auto" w:fill="auto"/>
            <w:vAlign w:val="bottom"/>
          </w:tcPr>
          <w:p w14:paraId="3619F003" w14:textId="77777777" w:rsidR="00030997" w:rsidRPr="00BD2C13" w:rsidRDefault="00030997" w:rsidP="00030997">
            <w:pPr>
              <w:spacing w:before="40" w:after="40" w:line="220" w:lineRule="exact"/>
              <w:jc w:val="right"/>
              <w:rPr>
                <w:sz w:val="18"/>
              </w:rPr>
            </w:pPr>
            <w:r w:rsidRPr="00BD2C13">
              <w:rPr>
                <w:sz w:val="18"/>
              </w:rPr>
              <w:t>22,7</w:t>
            </w:r>
          </w:p>
        </w:tc>
        <w:tc>
          <w:tcPr>
            <w:tcW w:w="1701" w:type="dxa"/>
            <w:shd w:val="clear" w:color="auto" w:fill="auto"/>
            <w:vAlign w:val="bottom"/>
          </w:tcPr>
          <w:p w14:paraId="1C1961CF" w14:textId="77777777" w:rsidR="00030997" w:rsidRPr="00BD2C13" w:rsidRDefault="00030997" w:rsidP="00030997">
            <w:pPr>
              <w:spacing w:before="40" w:after="40" w:line="220" w:lineRule="exact"/>
              <w:jc w:val="right"/>
              <w:rPr>
                <w:sz w:val="18"/>
              </w:rPr>
            </w:pPr>
            <w:r w:rsidRPr="00BD2C13">
              <w:rPr>
                <w:sz w:val="18"/>
              </w:rPr>
              <w:t>1,9</w:t>
            </w:r>
          </w:p>
        </w:tc>
      </w:tr>
      <w:tr w:rsidR="00030997" w:rsidRPr="00BD2C13" w14:paraId="241FE394" w14:textId="77777777" w:rsidTr="00BD2C13">
        <w:tc>
          <w:tcPr>
            <w:tcW w:w="2267" w:type="dxa"/>
            <w:shd w:val="clear" w:color="auto" w:fill="auto"/>
            <w:vAlign w:val="bottom"/>
          </w:tcPr>
          <w:p w14:paraId="23139D53"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 xml:space="preserve">Location auprès </w:t>
            </w:r>
            <w:r w:rsidRPr="00BD2C13">
              <w:rPr>
                <w:sz w:val="18"/>
                <w:szCs w:val="18"/>
                <w:lang w:eastAsia="en-IE"/>
              </w:rPr>
              <w:br/>
              <w:t>des autorités locales</w:t>
            </w:r>
          </w:p>
        </w:tc>
        <w:tc>
          <w:tcPr>
            <w:tcW w:w="1701" w:type="dxa"/>
            <w:shd w:val="clear" w:color="auto" w:fill="auto"/>
            <w:vAlign w:val="bottom"/>
          </w:tcPr>
          <w:p w14:paraId="428732D9" w14:textId="77777777" w:rsidR="00030997" w:rsidRPr="00BD2C13" w:rsidRDefault="00030997" w:rsidP="00030997">
            <w:pPr>
              <w:spacing w:before="40" w:after="40" w:line="220" w:lineRule="exact"/>
              <w:jc w:val="right"/>
              <w:rPr>
                <w:sz w:val="18"/>
              </w:rPr>
            </w:pPr>
            <w:r w:rsidRPr="00BD2C13">
              <w:rPr>
                <w:sz w:val="18"/>
              </w:rPr>
              <w:t>20,1</w:t>
            </w:r>
          </w:p>
        </w:tc>
        <w:tc>
          <w:tcPr>
            <w:tcW w:w="1701" w:type="dxa"/>
            <w:shd w:val="clear" w:color="auto" w:fill="auto"/>
            <w:vAlign w:val="bottom"/>
          </w:tcPr>
          <w:p w14:paraId="57B6836D" w14:textId="77777777" w:rsidR="00030997" w:rsidRPr="00BD2C13" w:rsidRDefault="00030997" w:rsidP="00030997">
            <w:pPr>
              <w:spacing w:before="40" w:after="40" w:line="220" w:lineRule="exact"/>
              <w:jc w:val="right"/>
              <w:rPr>
                <w:sz w:val="18"/>
              </w:rPr>
            </w:pPr>
            <w:r w:rsidRPr="00BD2C13">
              <w:rPr>
                <w:sz w:val="18"/>
              </w:rPr>
              <w:t>19,0</w:t>
            </w:r>
          </w:p>
        </w:tc>
        <w:tc>
          <w:tcPr>
            <w:tcW w:w="1701" w:type="dxa"/>
            <w:shd w:val="clear" w:color="auto" w:fill="auto"/>
            <w:vAlign w:val="bottom"/>
          </w:tcPr>
          <w:p w14:paraId="0FDCC936" w14:textId="77777777" w:rsidR="00030997" w:rsidRPr="00BD2C13" w:rsidRDefault="00030997" w:rsidP="00030997">
            <w:pPr>
              <w:spacing w:before="40" w:after="40" w:line="220" w:lineRule="exact"/>
              <w:jc w:val="right"/>
              <w:rPr>
                <w:sz w:val="18"/>
              </w:rPr>
            </w:pPr>
            <w:r w:rsidRPr="00BD2C13">
              <w:rPr>
                <w:sz w:val="18"/>
              </w:rPr>
              <w:t>1,5</w:t>
            </w:r>
          </w:p>
        </w:tc>
      </w:tr>
      <w:tr w:rsidR="00030997" w:rsidRPr="00BD2C13" w14:paraId="2A1398CA" w14:textId="77777777" w:rsidTr="00BD2C13">
        <w:tc>
          <w:tcPr>
            <w:tcW w:w="2267" w:type="dxa"/>
            <w:shd w:val="clear" w:color="auto" w:fill="auto"/>
            <w:vAlign w:val="bottom"/>
          </w:tcPr>
          <w:p w14:paraId="766A58C3"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 xml:space="preserve">Location </w:t>
            </w:r>
            <w:r w:rsidRPr="00BD2C13">
              <w:rPr>
                <w:sz w:val="18"/>
                <w:szCs w:val="18"/>
                <w:lang w:eastAsia="en-IE"/>
              </w:rPr>
              <w:br/>
              <w:t>à un propriétaire privé</w:t>
            </w:r>
          </w:p>
        </w:tc>
        <w:tc>
          <w:tcPr>
            <w:tcW w:w="1701" w:type="dxa"/>
            <w:shd w:val="clear" w:color="auto" w:fill="auto"/>
            <w:vAlign w:val="bottom"/>
          </w:tcPr>
          <w:p w14:paraId="68DC334A" w14:textId="77777777" w:rsidR="00030997" w:rsidRPr="00BD2C13" w:rsidRDefault="00030997" w:rsidP="00030997">
            <w:pPr>
              <w:spacing w:before="40" w:after="40" w:line="220" w:lineRule="exact"/>
              <w:jc w:val="right"/>
              <w:rPr>
                <w:sz w:val="18"/>
              </w:rPr>
            </w:pPr>
            <w:r w:rsidRPr="00BD2C13">
              <w:rPr>
                <w:sz w:val="18"/>
              </w:rPr>
              <w:t>13,9</w:t>
            </w:r>
          </w:p>
        </w:tc>
        <w:tc>
          <w:tcPr>
            <w:tcW w:w="1701" w:type="dxa"/>
            <w:shd w:val="clear" w:color="auto" w:fill="auto"/>
            <w:vAlign w:val="bottom"/>
          </w:tcPr>
          <w:p w14:paraId="62A880DC" w14:textId="77777777" w:rsidR="00030997" w:rsidRPr="00BD2C13" w:rsidRDefault="00030997" w:rsidP="00030997">
            <w:pPr>
              <w:spacing w:before="40" w:after="40" w:line="220" w:lineRule="exact"/>
              <w:jc w:val="right"/>
              <w:rPr>
                <w:sz w:val="18"/>
              </w:rPr>
            </w:pPr>
            <w:r w:rsidRPr="00BD2C13">
              <w:rPr>
                <w:sz w:val="18"/>
              </w:rPr>
              <w:t>28,3</w:t>
            </w:r>
          </w:p>
        </w:tc>
        <w:tc>
          <w:tcPr>
            <w:tcW w:w="1701" w:type="dxa"/>
            <w:shd w:val="clear" w:color="auto" w:fill="auto"/>
            <w:vAlign w:val="bottom"/>
          </w:tcPr>
          <w:p w14:paraId="75647619" w14:textId="77777777" w:rsidR="00030997" w:rsidRPr="00BD2C13" w:rsidRDefault="00030997" w:rsidP="00030997">
            <w:pPr>
              <w:spacing w:before="40" w:after="40" w:line="220" w:lineRule="exact"/>
              <w:jc w:val="right"/>
              <w:rPr>
                <w:sz w:val="18"/>
              </w:rPr>
            </w:pPr>
            <w:r w:rsidRPr="00BD2C13">
              <w:rPr>
                <w:sz w:val="18"/>
              </w:rPr>
              <w:t>1,6</w:t>
            </w:r>
          </w:p>
        </w:tc>
      </w:tr>
      <w:tr w:rsidR="00030997" w:rsidRPr="00BD2C13" w14:paraId="384D5692" w14:textId="77777777" w:rsidTr="00BD2C13">
        <w:tc>
          <w:tcPr>
            <w:tcW w:w="2267" w:type="dxa"/>
            <w:shd w:val="clear" w:color="auto" w:fill="auto"/>
            <w:vAlign w:val="bottom"/>
          </w:tcPr>
          <w:p w14:paraId="4CD95307"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Loyer gratuit</w:t>
            </w:r>
          </w:p>
        </w:tc>
        <w:tc>
          <w:tcPr>
            <w:tcW w:w="1701" w:type="dxa"/>
            <w:shd w:val="clear" w:color="auto" w:fill="auto"/>
            <w:vAlign w:val="bottom"/>
          </w:tcPr>
          <w:p w14:paraId="4852FE9F" w14:textId="77777777" w:rsidR="00030997" w:rsidRPr="00BD2C13" w:rsidRDefault="00030997" w:rsidP="00030997">
            <w:pPr>
              <w:spacing w:before="40" w:after="40" w:line="220" w:lineRule="exact"/>
              <w:jc w:val="right"/>
              <w:rPr>
                <w:sz w:val="18"/>
              </w:rPr>
            </w:pPr>
            <w:r w:rsidRPr="00BD2C13">
              <w:rPr>
                <w:sz w:val="18"/>
              </w:rPr>
              <w:t>19,4</w:t>
            </w:r>
          </w:p>
        </w:tc>
        <w:tc>
          <w:tcPr>
            <w:tcW w:w="1701" w:type="dxa"/>
            <w:shd w:val="clear" w:color="auto" w:fill="auto"/>
            <w:vAlign w:val="bottom"/>
          </w:tcPr>
          <w:p w14:paraId="32FEF3C0" w14:textId="77777777" w:rsidR="00030997" w:rsidRPr="00BD2C13" w:rsidRDefault="00030997" w:rsidP="00030997">
            <w:pPr>
              <w:spacing w:before="40" w:after="40" w:line="220" w:lineRule="exact"/>
              <w:jc w:val="right"/>
              <w:rPr>
                <w:sz w:val="18"/>
              </w:rPr>
            </w:pPr>
            <w:r w:rsidRPr="00BD2C13">
              <w:rPr>
                <w:sz w:val="18"/>
              </w:rPr>
              <w:t>10,8</w:t>
            </w:r>
          </w:p>
        </w:tc>
        <w:tc>
          <w:tcPr>
            <w:tcW w:w="1701" w:type="dxa"/>
            <w:shd w:val="clear" w:color="auto" w:fill="auto"/>
            <w:vAlign w:val="bottom"/>
          </w:tcPr>
          <w:p w14:paraId="79D9EC5B"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49C6E041" w14:textId="77777777" w:rsidTr="00BD2C13">
        <w:tc>
          <w:tcPr>
            <w:tcW w:w="2267" w:type="dxa"/>
            <w:shd w:val="clear" w:color="auto" w:fill="auto"/>
            <w:vAlign w:val="bottom"/>
          </w:tcPr>
          <w:p w14:paraId="09FEEE18"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 xml:space="preserve">Situation professionnelle </w:t>
            </w:r>
            <w:r w:rsidR="00BD2C13" w:rsidRPr="00BD2C13">
              <w:rPr>
                <w:bCs/>
                <w:i/>
                <w:color w:val="000000"/>
                <w:sz w:val="18"/>
                <w:szCs w:val="18"/>
                <w:lang w:eastAsia="en-IE"/>
              </w:rPr>
              <w:br/>
            </w:r>
            <w:r w:rsidRPr="00BD2C13">
              <w:rPr>
                <w:bCs/>
                <w:i/>
                <w:color w:val="000000"/>
                <w:sz w:val="18"/>
                <w:szCs w:val="18"/>
                <w:lang w:eastAsia="en-IE"/>
              </w:rPr>
              <w:t>de la personne de référence</w:t>
            </w:r>
          </w:p>
        </w:tc>
        <w:tc>
          <w:tcPr>
            <w:tcW w:w="1701" w:type="dxa"/>
            <w:shd w:val="clear" w:color="auto" w:fill="auto"/>
            <w:vAlign w:val="bottom"/>
          </w:tcPr>
          <w:p w14:paraId="1400B409"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7A078246"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0D1DC2CD" w14:textId="77777777" w:rsidR="00030997" w:rsidRPr="00BD2C13" w:rsidRDefault="00030997" w:rsidP="00030997">
            <w:pPr>
              <w:spacing w:before="40" w:after="40" w:line="220" w:lineRule="exact"/>
              <w:jc w:val="right"/>
              <w:rPr>
                <w:sz w:val="18"/>
              </w:rPr>
            </w:pPr>
          </w:p>
        </w:tc>
      </w:tr>
      <w:tr w:rsidR="00030997" w:rsidRPr="00BD2C13" w14:paraId="2971D7F9" w14:textId="77777777" w:rsidTr="00BD2C13">
        <w:tc>
          <w:tcPr>
            <w:tcW w:w="2267" w:type="dxa"/>
            <w:shd w:val="clear" w:color="auto" w:fill="auto"/>
            <w:vAlign w:val="bottom"/>
          </w:tcPr>
          <w:p w14:paraId="6D95F6C7"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Travailleur indépendant</w:t>
            </w:r>
          </w:p>
        </w:tc>
        <w:tc>
          <w:tcPr>
            <w:tcW w:w="1701" w:type="dxa"/>
            <w:shd w:val="clear" w:color="auto" w:fill="auto"/>
            <w:vAlign w:val="bottom"/>
          </w:tcPr>
          <w:p w14:paraId="2D290FFA" w14:textId="77777777" w:rsidR="00030997" w:rsidRPr="00BD2C13" w:rsidRDefault="00030997" w:rsidP="00030997">
            <w:pPr>
              <w:spacing w:before="40" w:after="40" w:line="220" w:lineRule="exact"/>
              <w:jc w:val="right"/>
              <w:rPr>
                <w:sz w:val="18"/>
              </w:rPr>
            </w:pPr>
            <w:r w:rsidRPr="00BD2C13">
              <w:rPr>
                <w:sz w:val="18"/>
              </w:rPr>
              <w:t>14,4</w:t>
            </w:r>
          </w:p>
        </w:tc>
        <w:tc>
          <w:tcPr>
            <w:tcW w:w="1701" w:type="dxa"/>
            <w:shd w:val="clear" w:color="auto" w:fill="auto"/>
            <w:vAlign w:val="bottom"/>
          </w:tcPr>
          <w:p w14:paraId="1B56C203" w14:textId="77777777" w:rsidR="00030997" w:rsidRPr="00BD2C13" w:rsidRDefault="00030997" w:rsidP="00030997">
            <w:pPr>
              <w:spacing w:before="40" w:after="40" w:line="220" w:lineRule="exact"/>
              <w:jc w:val="right"/>
              <w:rPr>
                <w:sz w:val="18"/>
              </w:rPr>
            </w:pPr>
            <w:r w:rsidRPr="00BD2C13">
              <w:rPr>
                <w:sz w:val="18"/>
              </w:rPr>
              <w:t>17,5</w:t>
            </w:r>
          </w:p>
        </w:tc>
        <w:tc>
          <w:tcPr>
            <w:tcW w:w="1701" w:type="dxa"/>
            <w:shd w:val="clear" w:color="auto" w:fill="auto"/>
            <w:vAlign w:val="bottom"/>
          </w:tcPr>
          <w:p w14:paraId="6A5DBEE9"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509684F6" w14:textId="77777777" w:rsidTr="00BD2C13">
        <w:tc>
          <w:tcPr>
            <w:tcW w:w="2267" w:type="dxa"/>
            <w:shd w:val="clear" w:color="auto" w:fill="auto"/>
            <w:vAlign w:val="bottom"/>
          </w:tcPr>
          <w:p w14:paraId="0F773171"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Salarié</w:t>
            </w:r>
          </w:p>
        </w:tc>
        <w:tc>
          <w:tcPr>
            <w:tcW w:w="1701" w:type="dxa"/>
            <w:shd w:val="clear" w:color="auto" w:fill="auto"/>
            <w:vAlign w:val="bottom"/>
          </w:tcPr>
          <w:p w14:paraId="6AB0888D" w14:textId="77777777" w:rsidR="00030997" w:rsidRPr="00BD2C13" w:rsidRDefault="00030997" w:rsidP="00030997">
            <w:pPr>
              <w:spacing w:before="40" w:after="40" w:line="220" w:lineRule="exact"/>
              <w:jc w:val="right"/>
              <w:rPr>
                <w:sz w:val="18"/>
              </w:rPr>
            </w:pPr>
            <w:r w:rsidRPr="00BD2C13">
              <w:rPr>
                <w:sz w:val="18"/>
              </w:rPr>
              <w:t>13,7</w:t>
            </w:r>
          </w:p>
        </w:tc>
        <w:tc>
          <w:tcPr>
            <w:tcW w:w="1701" w:type="dxa"/>
            <w:shd w:val="clear" w:color="auto" w:fill="auto"/>
            <w:vAlign w:val="bottom"/>
          </w:tcPr>
          <w:p w14:paraId="11737486" w14:textId="77777777" w:rsidR="00030997" w:rsidRPr="00BD2C13" w:rsidRDefault="00030997" w:rsidP="00030997">
            <w:pPr>
              <w:spacing w:before="40" w:after="40" w:line="220" w:lineRule="exact"/>
              <w:jc w:val="right"/>
              <w:rPr>
                <w:sz w:val="18"/>
              </w:rPr>
            </w:pPr>
            <w:r w:rsidRPr="00BD2C13">
              <w:rPr>
                <w:sz w:val="18"/>
              </w:rPr>
              <w:t>21,0</w:t>
            </w:r>
          </w:p>
        </w:tc>
        <w:tc>
          <w:tcPr>
            <w:tcW w:w="1701" w:type="dxa"/>
            <w:shd w:val="clear" w:color="auto" w:fill="auto"/>
            <w:vAlign w:val="bottom"/>
          </w:tcPr>
          <w:p w14:paraId="1549F05B" w14:textId="77777777" w:rsidR="00030997" w:rsidRPr="00BD2C13" w:rsidRDefault="00030997" w:rsidP="00030997">
            <w:pPr>
              <w:spacing w:before="40" w:after="40" w:line="220" w:lineRule="exact"/>
              <w:jc w:val="right"/>
              <w:rPr>
                <w:sz w:val="18"/>
              </w:rPr>
            </w:pPr>
            <w:r w:rsidRPr="00BD2C13">
              <w:rPr>
                <w:sz w:val="18"/>
              </w:rPr>
              <w:t>1,9</w:t>
            </w:r>
          </w:p>
        </w:tc>
      </w:tr>
      <w:tr w:rsidR="00030997" w:rsidRPr="00BD2C13" w14:paraId="4D3DA0CD" w14:textId="77777777" w:rsidTr="00BD2C13">
        <w:tc>
          <w:tcPr>
            <w:tcW w:w="2267" w:type="dxa"/>
            <w:shd w:val="clear" w:color="auto" w:fill="auto"/>
            <w:vAlign w:val="bottom"/>
          </w:tcPr>
          <w:p w14:paraId="3977AA28"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Sans-emploi</w:t>
            </w:r>
          </w:p>
        </w:tc>
        <w:tc>
          <w:tcPr>
            <w:tcW w:w="1701" w:type="dxa"/>
            <w:shd w:val="clear" w:color="auto" w:fill="auto"/>
            <w:vAlign w:val="bottom"/>
          </w:tcPr>
          <w:p w14:paraId="3EC7A3BD" w14:textId="77777777" w:rsidR="00030997" w:rsidRPr="00BD2C13" w:rsidRDefault="00030997" w:rsidP="00030997">
            <w:pPr>
              <w:spacing w:before="40" w:after="40" w:line="220" w:lineRule="exact"/>
              <w:jc w:val="right"/>
              <w:rPr>
                <w:sz w:val="18"/>
              </w:rPr>
            </w:pPr>
            <w:r w:rsidRPr="00BD2C13">
              <w:rPr>
                <w:sz w:val="18"/>
              </w:rPr>
              <w:t>17,8</w:t>
            </w:r>
          </w:p>
        </w:tc>
        <w:tc>
          <w:tcPr>
            <w:tcW w:w="1701" w:type="dxa"/>
            <w:shd w:val="clear" w:color="auto" w:fill="auto"/>
            <w:vAlign w:val="bottom"/>
          </w:tcPr>
          <w:p w14:paraId="0BE15005" w14:textId="77777777" w:rsidR="00030997" w:rsidRPr="00BD2C13" w:rsidRDefault="00030997" w:rsidP="00030997">
            <w:pPr>
              <w:spacing w:before="40" w:after="40" w:line="220" w:lineRule="exact"/>
              <w:jc w:val="right"/>
              <w:rPr>
                <w:sz w:val="18"/>
              </w:rPr>
            </w:pPr>
            <w:r w:rsidRPr="00BD2C13">
              <w:rPr>
                <w:sz w:val="18"/>
              </w:rPr>
              <w:t>23,3</w:t>
            </w:r>
          </w:p>
        </w:tc>
        <w:tc>
          <w:tcPr>
            <w:tcW w:w="1701" w:type="dxa"/>
            <w:shd w:val="clear" w:color="auto" w:fill="auto"/>
            <w:vAlign w:val="bottom"/>
          </w:tcPr>
          <w:p w14:paraId="5DC798CC" w14:textId="77777777" w:rsidR="00030997" w:rsidRPr="00BD2C13" w:rsidRDefault="00030997" w:rsidP="00030997">
            <w:pPr>
              <w:spacing w:before="40" w:after="40" w:line="220" w:lineRule="exact"/>
              <w:jc w:val="right"/>
              <w:rPr>
                <w:sz w:val="18"/>
              </w:rPr>
            </w:pPr>
            <w:r w:rsidRPr="00BD2C13">
              <w:rPr>
                <w:sz w:val="18"/>
              </w:rPr>
              <w:t>1,5</w:t>
            </w:r>
          </w:p>
        </w:tc>
      </w:tr>
      <w:tr w:rsidR="00030997" w:rsidRPr="00BD2C13" w14:paraId="653BF6B7" w14:textId="77777777" w:rsidTr="00BD2C13">
        <w:tc>
          <w:tcPr>
            <w:tcW w:w="2267" w:type="dxa"/>
            <w:shd w:val="clear" w:color="auto" w:fill="auto"/>
            <w:vAlign w:val="bottom"/>
          </w:tcPr>
          <w:p w14:paraId="504EB861"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Retraité</w:t>
            </w:r>
          </w:p>
        </w:tc>
        <w:tc>
          <w:tcPr>
            <w:tcW w:w="1701" w:type="dxa"/>
            <w:shd w:val="clear" w:color="auto" w:fill="auto"/>
            <w:vAlign w:val="bottom"/>
          </w:tcPr>
          <w:p w14:paraId="77044E42" w14:textId="77777777" w:rsidR="00030997" w:rsidRPr="00BD2C13" w:rsidRDefault="00030997" w:rsidP="00030997">
            <w:pPr>
              <w:spacing w:before="40" w:after="40" w:line="220" w:lineRule="exact"/>
              <w:jc w:val="right"/>
              <w:rPr>
                <w:sz w:val="18"/>
              </w:rPr>
            </w:pPr>
            <w:r w:rsidRPr="00BD2C13">
              <w:rPr>
                <w:sz w:val="18"/>
              </w:rPr>
              <w:t>16,9</w:t>
            </w:r>
          </w:p>
        </w:tc>
        <w:tc>
          <w:tcPr>
            <w:tcW w:w="1701" w:type="dxa"/>
            <w:shd w:val="clear" w:color="auto" w:fill="auto"/>
            <w:vAlign w:val="bottom"/>
          </w:tcPr>
          <w:p w14:paraId="7B3B1ED4" w14:textId="77777777" w:rsidR="00030997" w:rsidRPr="00BD2C13" w:rsidRDefault="00030997" w:rsidP="00030997">
            <w:pPr>
              <w:spacing w:before="40" w:after="40" w:line="220" w:lineRule="exact"/>
              <w:jc w:val="right"/>
              <w:rPr>
                <w:sz w:val="18"/>
              </w:rPr>
            </w:pPr>
            <w:r w:rsidRPr="00BD2C13">
              <w:rPr>
                <w:sz w:val="18"/>
              </w:rPr>
              <w:t>13,7</w:t>
            </w:r>
          </w:p>
        </w:tc>
        <w:tc>
          <w:tcPr>
            <w:tcW w:w="1701" w:type="dxa"/>
            <w:shd w:val="clear" w:color="auto" w:fill="auto"/>
            <w:vAlign w:val="bottom"/>
          </w:tcPr>
          <w:p w14:paraId="261A97BD" w14:textId="77777777" w:rsidR="00030997" w:rsidRPr="00BD2C13" w:rsidRDefault="00030997" w:rsidP="00030997">
            <w:pPr>
              <w:spacing w:before="40" w:after="40" w:line="220" w:lineRule="exact"/>
              <w:jc w:val="right"/>
              <w:rPr>
                <w:sz w:val="18"/>
              </w:rPr>
            </w:pPr>
            <w:r w:rsidRPr="00BD2C13">
              <w:rPr>
                <w:sz w:val="18"/>
              </w:rPr>
              <w:t>4,0</w:t>
            </w:r>
          </w:p>
        </w:tc>
      </w:tr>
      <w:tr w:rsidR="00030997" w:rsidRPr="00BD2C13" w14:paraId="6AF65B76" w14:textId="77777777" w:rsidTr="00BD2C13">
        <w:tc>
          <w:tcPr>
            <w:tcW w:w="2267" w:type="dxa"/>
            <w:shd w:val="clear" w:color="auto" w:fill="auto"/>
            <w:vAlign w:val="bottom"/>
          </w:tcPr>
          <w:p w14:paraId="4874A824"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Autre</w:t>
            </w:r>
          </w:p>
        </w:tc>
        <w:tc>
          <w:tcPr>
            <w:tcW w:w="1701" w:type="dxa"/>
            <w:shd w:val="clear" w:color="auto" w:fill="auto"/>
            <w:vAlign w:val="bottom"/>
          </w:tcPr>
          <w:p w14:paraId="3E6348DE" w14:textId="77777777" w:rsidR="00030997" w:rsidRPr="00BD2C13" w:rsidRDefault="00030997" w:rsidP="00030997">
            <w:pPr>
              <w:spacing w:before="40" w:after="40" w:line="220" w:lineRule="exact"/>
              <w:jc w:val="right"/>
              <w:rPr>
                <w:sz w:val="18"/>
              </w:rPr>
            </w:pPr>
            <w:r w:rsidRPr="00BD2C13">
              <w:rPr>
                <w:sz w:val="18"/>
              </w:rPr>
              <w:t>17,6</w:t>
            </w:r>
          </w:p>
        </w:tc>
        <w:tc>
          <w:tcPr>
            <w:tcW w:w="1701" w:type="dxa"/>
            <w:shd w:val="clear" w:color="auto" w:fill="auto"/>
            <w:vAlign w:val="bottom"/>
          </w:tcPr>
          <w:p w14:paraId="01EF33AF" w14:textId="77777777" w:rsidR="00030997" w:rsidRPr="00BD2C13" w:rsidRDefault="00030997" w:rsidP="00030997">
            <w:pPr>
              <w:spacing w:before="40" w:after="40" w:line="220" w:lineRule="exact"/>
              <w:jc w:val="right"/>
              <w:rPr>
                <w:sz w:val="18"/>
              </w:rPr>
            </w:pPr>
            <w:r w:rsidRPr="00BD2C13">
              <w:rPr>
                <w:sz w:val="18"/>
              </w:rPr>
              <w:t>20,5</w:t>
            </w:r>
          </w:p>
        </w:tc>
        <w:tc>
          <w:tcPr>
            <w:tcW w:w="1701" w:type="dxa"/>
            <w:shd w:val="clear" w:color="auto" w:fill="auto"/>
            <w:vAlign w:val="bottom"/>
          </w:tcPr>
          <w:p w14:paraId="509E7B8B" w14:textId="77777777" w:rsidR="00030997" w:rsidRPr="00BD2C13" w:rsidRDefault="00030997" w:rsidP="00030997">
            <w:pPr>
              <w:spacing w:before="40" w:after="40" w:line="220" w:lineRule="exact"/>
              <w:jc w:val="right"/>
              <w:rPr>
                <w:sz w:val="18"/>
              </w:rPr>
            </w:pPr>
            <w:r w:rsidRPr="00BD2C13">
              <w:rPr>
                <w:sz w:val="18"/>
              </w:rPr>
              <w:t>1,9</w:t>
            </w:r>
          </w:p>
        </w:tc>
      </w:tr>
      <w:tr w:rsidR="00030997" w:rsidRPr="00BD2C13" w14:paraId="7755433D" w14:textId="77777777" w:rsidTr="00BD2C13">
        <w:tc>
          <w:tcPr>
            <w:tcW w:w="2267" w:type="dxa"/>
            <w:shd w:val="clear" w:color="auto" w:fill="auto"/>
            <w:vAlign w:val="bottom"/>
          </w:tcPr>
          <w:p w14:paraId="081FB827"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Composition du ménage</w:t>
            </w:r>
          </w:p>
        </w:tc>
        <w:tc>
          <w:tcPr>
            <w:tcW w:w="1701" w:type="dxa"/>
            <w:shd w:val="clear" w:color="auto" w:fill="auto"/>
            <w:vAlign w:val="bottom"/>
          </w:tcPr>
          <w:p w14:paraId="43E8746D"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47C765A5"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479341EF" w14:textId="77777777" w:rsidR="00030997" w:rsidRPr="00BD2C13" w:rsidRDefault="00030997" w:rsidP="00030997">
            <w:pPr>
              <w:spacing w:before="40" w:after="40" w:line="220" w:lineRule="exact"/>
              <w:jc w:val="right"/>
              <w:rPr>
                <w:sz w:val="18"/>
              </w:rPr>
            </w:pPr>
          </w:p>
        </w:tc>
      </w:tr>
      <w:tr w:rsidR="00030997" w:rsidRPr="00BD2C13" w14:paraId="2B370A1D" w14:textId="77777777" w:rsidTr="00BD2C13">
        <w:tc>
          <w:tcPr>
            <w:tcW w:w="2267" w:type="dxa"/>
            <w:shd w:val="clear" w:color="auto" w:fill="auto"/>
            <w:vAlign w:val="bottom"/>
          </w:tcPr>
          <w:p w14:paraId="1D017E10"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1 adulte</w:t>
            </w:r>
          </w:p>
        </w:tc>
        <w:tc>
          <w:tcPr>
            <w:tcW w:w="1701" w:type="dxa"/>
            <w:shd w:val="clear" w:color="auto" w:fill="auto"/>
            <w:vAlign w:val="bottom"/>
          </w:tcPr>
          <w:p w14:paraId="5D4DEBE0" w14:textId="77777777" w:rsidR="00030997" w:rsidRPr="00BD2C13" w:rsidRDefault="00030997" w:rsidP="00030997">
            <w:pPr>
              <w:spacing w:before="40" w:after="40" w:line="220" w:lineRule="exact"/>
              <w:jc w:val="right"/>
              <w:rPr>
                <w:sz w:val="18"/>
              </w:rPr>
            </w:pPr>
            <w:r w:rsidRPr="00BD2C13">
              <w:rPr>
                <w:sz w:val="18"/>
              </w:rPr>
              <w:t>13,3</w:t>
            </w:r>
          </w:p>
        </w:tc>
        <w:tc>
          <w:tcPr>
            <w:tcW w:w="1701" w:type="dxa"/>
            <w:shd w:val="clear" w:color="auto" w:fill="auto"/>
            <w:vAlign w:val="bottom"/>
          </w:tcPr>
          <w:p w14:paraId="115ED5D5" w14:textId="77777777" w:rsidR="00030997" w:rsidRPr="00BD2C13" w:rsidRDefault="00030997" w:rsidP="00030997">
            <w:pPr>
              <w:spacing w:before="40" w:after="40" w:line="220" w:lineRule="exact"/>
              <w:jc w:val="right"/>
              <w:rPr>
                <w:sz w:val="18"/>
              </w:rPr>
            </w:pPr>
            <w:r w:rsidRPr="00BD2C13">
              <w:rPr>
                <w:sz w:val="18"/>
              </w:rPr>
              <w:t>24,7</w:t>
            </w:r>
          </w:p>
        </w:tc>
        <w:tc>
          <w:tcPr>
            <w:tcW w:w="1701" w:type="dxa"/>
            <w:shd w:val="clear" w:color="auto" w:fill="auto"/>
            <w:vAlign w:val="bottom"/>
          </w:tcPr>
          <w:p w14:paraId="7E3DFD9A" w14:textId="77777777" w:rsidR="00030997" w:rsidRPr="00BD2C13" w:rsidRDefault="00030997" w:rsidP="00030997">
            <w:pPr>
              <w:spacing w:before="40" w:after="40" w:line="220" w:lineRule="exact"/>
              <w:jc w:val="right"/>
              <w:rPr>
                <w:sz w:val="18"/>
              </w:rPr>
            </w:pPr>
            <w:r w:rsidRPr="00BD2C13">
              <w:rPr>
                <w:sz w:val="18"/>
              </w:rPr>
              <w:t>2,4</w:t>
            </w:r>
          </w:p>
        </w:tc>
      </w:tr>
      <w:tr w:rsidR="00030997" w:rsidRPr="00BD2C13" w14:paraId="40AB23A7" w14:textId="77777777" w:rsidTr="00BD2C13">
        <w:tc>
          <w:tcPr>
            <w:tcW w:w="2267" w:type="dxa"/>
            <w:shd w:val="clear" w:color="auto" w:fill="auto"/>
            <w:vAlign w:val="bottom"/>
          </w:tcPr>
          <w:p w14:paraId="798BB61A"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1 adulte avec des enfants</w:t>
            </w:r>
          </w:p>
        </w:tc>
        <w:tc>
          <w:tcPr>
            <w:tcW w:w="1701" w:type="dxa"/>
            <w:shd w:val="clear" w:color="auto" w:fill="auto"/>
            <w:vAlign w:val="bottom"/>
          </w:tcPr>
          <w:p w14:paraId="7FD5ECCA" w14:textId="77777777" w:rsidR="00030997" w:rsidRPr="00BD2C13" w:rsidRDefault="00030997" w:rsidP="00030997">
            <w:pPr>
              <w:spacing w:before="40" w:after="40" w:line="220" w:lineRule="exact"/>
              <w:jc w:val="right"/>
              <w:rPr>
                <w:sz w:val="18"/>
              </w:rPr>
            </w:pPr>
            <w:r w:rsidRPr="00BD2C13">
              <w:rPr>
                <w:sz w:val="18"/>
              </w:rPr>
              <w:t>16,2</w:t>
            </w:r>
          </w:p>
        </w:tc>
        <w:tc>
          <w:tcPr>
            <w:tcW w:w="1701" w:type="dxa"/>
            <w:shd w:val="clear" w:color="auto" w:fill="auto"/>
            <w:vAlign w:val="bottom"/>
          </w:tcPr>
          <w:p w14:paraId="4CEA1092" w14:textId="77777777" w:rsidR="00030997" w:rsidRPr="00BD2C13" w:rsidRDefault="00030997" w:rsidP="00030997">
            <w:pPr>
              <w:spacing w:before="40" w:after="40" w:line="220" w:lineRule="exact"/>
              <w:jc w:val="right"/>
              <w:rPr>
                <w:sz w:val="18"/>
              </w:rPr>
            </w:pPr>
            <w:r w:rsidRPr="00BD2C13">
              <w:rPr>
                <w:sz w:val="18"/>
              </w:rPr>
              <w:t>27,1</w:t>
            </w:r>
          </w:p>
        </w:tc>
        <w:tc>
          <w:tcPr>
            <w:tcW w:w="1701" w:type="dxa"/>
            <w:shd w:val="clear" w:color="auto" w:fill="auto"/>
            <w:vAlign w:val="bottom"/>
          </w:tcPr>
          <w:p w14:paraId="4A8A8F60" w14:textId="77777777" w:rsidR="00030997" w:rsidRPr="00BD2C13" w:rsidRDefault="00030997" w:rsidP="00030997">
            <w:pPr>
              <w:spacing w:before="40" w:after="40" w:line="220" w:lineRule="exact"/>
              <w:jc w:val="right"/>
              <w:rPr>
                <w:sz w:val="18"/>
              </w:rPr>
            </w:pPr>
            <w:r w:rsidRPr="00BD2C13">
              <w:rPr>
                <w:sz w:val="18"/>
              </w:rPr>
              <w:t>1,7</w:t>
            </w:r>
          </w:p>
        </w:tc>
      </w:tr>
      <w:tr w:rsidR="00030997" w:rsidRPr="00BD2C13" w14:paraId="51AB3DB3" w14:textId="77777777" w:rsidTr="00BD2C13">
        <w:tc>
          <w:tcPr>
            <w:tcW w:w="2267" w:type="dxa"/>
            <w:shd w:val="clear" w:color="auto" w:fill="auto"/>
            <w:vAlign w:val="bottom"/>
          </w:tcPr>
          <w:p w14:paraId="008385FA"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2 adultes</w:t>
            </w:r>
          </w:p>
        </w:tc>
        <w:tc>
          <w:tcPr>
            <w:tcW w:w="1701" w:type="dxa"/>
            <w:shd w:val="clear" w:color="auto" w:fill="auto"/>
            <w:vAlign w:val="bottom"/>
          </w:tcPr>
          <w:p w14:paraId="50B78629" w14:textId="77777777" w:rsidR="00030997" w:rsidRPr="00BD2C13" w:rsidRDefault="00030997" w:rsidP="00030997">
            <w:pPr>
              <w:spacing w:before="40" w:after="40" w:line="220" w:lineRule="exact"/>
              <w:jc w:val="right"/>
              <w:rPr>
                <w:sz w:val="18"/>
              </w:rPr>
            </w:pPr>
            <w:r w:rsidRPr="00BD2C13">
              <w:rPr>
                <w:sz w:val="18"/>
              </w:rPr>
              <w:t>15,0</w:t>
            </w:r>
          </w:p>
        </w:tc>
        <w:tc>
          <w:tcPr>
            <w:tcW w:w="1701" w:type="dxa"/>
            <w:shd w:val="clear" w:color="auto" w:fill="auto"/>
            <w:vAlign w:val="bottom"/>
          </w:tcPr>
          <w:p w14:paraId="2BA2B188" w14:textId="77777777" w:rsidR="00030997" w:rsidRPr="00BD2C13" w:rsidRDefault="00030997" w:rsidP="00030997">
            <w:pPr>
              <w:spacing w:before="40" w:after="40" w:line="220" w:lineRule="exact"/>
              <w:jc w:val="right"/>
              <w:rPr>
                <w:sz w:val="18"/>
              </w:rPr>
            </w:pPr>
            <w:r w:rsidRPr="00BD2C13">
              <w:rPr>
                <w:sz w:val="18"/>
              </w:rPr>
              <w:t>17,4</w:t>
            </w:r>
          </w:p>
        </w:tc>
        <w:tc>
          <w:tcPr>
            <w:tcW w:w="1701" w:type="dxa"/>
            <w:shd w:val="clear" w:color="auto" w:fill="auto"/>
            <w:vAlign w:val="bottom"/>
          </w:tcPr>
          <w:p w14:paraId="1B817D29" w14:textId="77777777" w:rsidR="00030997" w:rsidRPr="00BD2C13" w:rsidRDefault="00030997" w:rsidP="00030997">
            <w:pPr>
              <w:spacing w:before="40" w:after="40" w:line="220" w:lineRule="exact"/>
              <w:jc w:val="right"/>
              <w:rPr>
                <w:sz w:val="18"/>
              </w:rPr>
            </w:pPr>
            <w:r w:rsidRPr="00BD2C13">
              <w:rPr>
                <w:sz w:val="18"/>
              </w:rPr>
              <w:t>2,8</w:t>
            </w:r>
          </w:p>
        </w:tc>
      </w:tr>
      <w:tr w:rsidR="00030997" w:rsidRPr="00BD2C13" w14:paraId="6EE86FB0" w14:textId="77777777" w:rsidTr="00BD2C13">
        <w:tc>
          <w:tcPr>
            <w:tcW w:w="2267" w:type="dxa"/>
            <w:shd w:val="clear" w:color="auto" w:fill="auto"/>
            <w:vAlign w:val="bottom"/>
          </w:tcPr>
          <w:p w14:paraId="316AD186"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2 adultes avec 1 à 3</w:t>
            </w:r>
            <w:r w:rsidR="00BD2C13" w:rsidRPr="00BD2C13">
              <w:rPr>
                <w:sz w:val="18"/>
                <w:szCs w:val="18"/>
                <w:lang w:eastAsia="en-IE"/>
              </w:rPr>
              <w:t> </w:t>
            </w:r>
            <w:r w:rsidRPr="00BD2C13">
              <w:rPr>
                <w:sz w:val="18"/>
                <w:szCs w:val="18"/>
                <w:lang w:eastAsia="en-IE"/>
              </w:rPr>
              <w:t>enfants</w:t>
            </w:r>
          </w:p>
        </w:tc>
        <w:tc>
          <w:tcPr>
            <w:tcW w:w="1701" w:type="dxa"/>
            <w:shd w:val="clear" w:color="auto" w:fill="auto"/>
            <w:vAlign w:val="bottom"/>
          </w:tcPr>
          <w:p w14:paraId="69F4BED2" w14:textId="77777777" w:rsidR="00030997" w:rsidRPr="00BD2C13" w:rsidRDefault="00030997" w:rsidP="00030997">
            <w:pPr>
              <w:spacing w:before="40" w:after="40" w:line="220" w:lineRule="exact"/>
              <w:jc w:val="right"/>
              <w:rPr>
                <w:sz w:val="18"/>
              </w:rPr>
            </w:pPr>
            <w:r w:rsidRPr="00BD2C13">
              <w:rPr>
                <w:sz w:val="18"/>
              </w:rPr>
              <w:t>13,8</w:t>
            </w:r>
          </w:p>
        </w:tc>
        <w:tc>
          <w:tcPr>
            <w:tcW w:w="1701" w:type="dxa"/>
            <w:shd w:val="clear" w:color="auto" w:fill="auto"/>
            <w:vAlign w:val="bottom"/>
          </w:tcPr>
          <w:p w14:paraId="6D496085" w14:textId="77777777" w:rsidR="00030997" w:rsidRPr="00BD2C13" w:rsidRDefault="00030997" w:rsidP="00030997">
            <w:pPr>
              <w:spacing w:before="40" w:after="40" w:line="220" w:lineRule="exact"/>
              <w:jc w:val="right"/>
              <w:rPr>
                <w:sz w:val="18"/>
              </w:rPr>
            </w:pPr>
            <w:r w:rsidRPr="00BD2C13">
              <w:rPr>
                <w:sz w:val="18"/>
              </w:rPr>
              <w:t>23,5</w:t>
            </w:r>
          </w:p>
        </w:tc>
        <w:tc>
          <w:tcPr>
            <w:tcW w:w="1701" w:type="dxa"/>
            <w:shd w:val="clear" w:color="auto" w:fill="auto"/>
            <w:vAlign w:val="bottom"/>
          </w:tcPr>
          <w:p w14:paraId="3308AD2D" w14:textId="77777777" w:rsidR="00030997" w:rsidRPr="00BD2C13" w:rsidRDefault="00030997" w:rsidP="00030997">
            <w:pPr>
              <w:spacing w:before="40" w:after="40" w:line="220" w:lineRule="exact"/>
              <w:jc w:val="right"/>
              <w:rPr>
                <w:sz w:val="18"/>
              </w:rPr>
            </w:pPr>
            <w:r w:rsidRPr="00BD2C13">
              <w:rPr>
                <w:sz w:val="18"/>
              </w:rPr>
              <w:t>1,7</w:t>
            </w:r>
          </w:p>
        </w:tc>
      </w:tr>
      <w:tr w:rsidR="00030997" w:rsidRPr="00BD2C13" w14:paraId="3AE764B8" w14:textId="77777777" w:rsidTr="00BD2C13">
        <w:tc>
          <w:tcPr>
            <w:tcW w:w="2267" w:type="dxa"/>
            <w:shd w:val="clear" w:color="auto" w:fill="auto"/>
            <w:vAlign w:val="bottom"/>
          </w:tcPr>
          <w:p w14:paraId="661192B2"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3 adultes ou plus</w:t>
            </w:r>
          </w:p>
        </w:tc>
        <w:tc>
          <w:tcPr>
            <w:tcW w:w="1701" w:type="dxa"/>
            <w:shd w:val="clear" w:color="auto" w:fill="auto"/>
            <w:vAlign w:val="bottom"/>
          </w:tcPr>
          <w:p w14:paraId="4B3595E6" w14:textId="77777777" w:rsidR="00030997" w:rsidRPr="00BD2C13" w:rsidRDefault="00030997" w:rsidP="00030997">
            <w:pPr>
              <w:spacing w:before="40" w:after="40" w:line="220" w:lineRule="exact"/>
              <w:jc w:val="right"/>
              <w:rPr>
                <w:sz w:val="18"/>
              </w:rPr>
            </w:pPr>
            <w:r w:rsidRPr="00BD2C13">
              <w:rPr>
                <w:sz w:val="18"/>
              </w:rPr>
              <w:t>15,0</w:t>
            </w:r>
          </w:p>
        </w:tc>
        <w:tc>
          <w:tcPr>
            <w:tcW w:w="1701" w:type="dxa"/>
            <w:shd w:val="clear" w:color="auto" w:fill="auto"/>
            <w:vAlign w:val="bottom"/>
          </w:tcPr>
          <w:p w14:paraId="61C46D39" w14:textId="77777777" w:rsidR="00030997" w:rsidRPr="00BD2C13" w:rsidRDefault="00030997" w:rsidP="00030997">
            <w:pPr>
              <w:spacing w:before="40" w:after="40" w:line="220" w:lineRule="exact"/>
              <w:jc w:val="right"/>
              <w:rPr>
                <w:sz w:val="18"/>
              </w:rPr>
            </w:pPr>
            <w:r w:rsidRPr="00BD2C13">
              <w:rPr>
                <w:sz w:val="18"/>
              </w:rPr>
              <w:t>17,4</w:t>
            </w:r>
          </w:p>
        </w:tc>
        <w:tc>
          <w:tcPr>
            <w:tcW w:w="1701" w:type="dxa"/>
            <w:shd w:val="clear" w:color="auto" w:fill="auto"/>
            <w:vAlign w:val="bottom"/>
          </w:tcPr>
          <w:p w14:paraId="479F0749" w14:textId="77777777" w:rsidR="00030997" w:rsidRPr="00BD2C13" w:rsidRDefault="00030997" w:rsidP="00030997">
            <w:pPr>
              <w:spacing w:before="40" w:after="40" w:line="220" w:lineRule="exact"/>
              <w:jc w:val="right"/>
              <w:rPr>
                <w:sz w:val="18"/>
              </w:rPr>
            </w:pPr>
            <w:r w:rsidRPr="00BD2C13">
              <w:rPr>
                <w:sz w:val="18"/>
              </w:rPr>
              <w:t>2,8</w:t>
            </w:r>
          </w:p>
        </w:tc>
      </w:tr>
      <w:tr w:rsidR="00030997" w:rsidRPr="00BD2C13" w14:paraId="22A11F00" w14:textId="77777777" w:rsidTr="00BD2C13">
        <w:tc>
          <w:tcPr>
            <w:tcW w:w="2267" w:type="dxa"/>
            <w:shd w:val="clear" w:color="auto" w:fill="auto"/>
            <w:vAlign w:val="bottom"/>
          </w:tcPr>
          <w:p w14:paraId="5A0FC195"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Autres ménages</w:t>
            </w:r>
            <w:r w:rsidR="00BD2C13" w:rsidRPr="00BD2C13">
              <w:rPr>
                <w:sz w:val="18"/>
                <w:szCs w:val="18"/>
                <w:lang w:eastAsia="en-IE"/>
              </w:rPr>
              <w:br/>
            </w:r>
            <w:r w:rsidRPr="00BD2C13">
              <w:rPr>
                <w:sz w:val="18"/>
                <w:szCs w:val="18"/>
                <w:lang w:eastAsia="en-IE"/>
              </w:rPr>
              <w:t>avec des</w:t>
            </w:r>
            <w:r w:rsidR="00BD2C13" w:rsidRPr="00BD2C13">
              <w:rPr>
                <w:sz w:val="18"/>
                <w:szCs w:val="18"/>
                <w:lang w:eastAsia="en-IE"/>
              </w:rPr>
              <w:t xml:space="preserve"> </w:t>
            </w:r>
            <w:r w:rsidRPr="00BD2C13">
              <w:rPr>
                <w:sz w:val="18"/>
                <w:szCs w:val="18"/>
                <w:lang w:eastAsia="en-IE"/>
              </w:rPr>
              <w:t>enfants</w:t>
            </w:r>
          </w:p>
        </w:tc>
        <w:tc>
          <w:tcPr>
            <w:tcW w:w="1701" w:type="dxa"/>
            <w:shd w:val="clear" w:color="auto" w:fill="auto"/>
            <w:vAlign w:val="bottom"/>
          </w:tcPr>
          <w:p w14:paraId="298249B2" w14:textId="77777777" w:rsidR="00030997" w:rsidRPr="00BD2C13" w:rsidRDefault="00030997" w:rsidP="00030997">
            <w:pPr>
              <w:spacing w:before="40" w:after="40" w:line="220" w:lineRule="exact"/>
              <w:jc w:val="right"/>
              <w:rPr>
                <w:sz w:val="18"/>
              </w:rPr>
            </w:pPr>
            <w:r w:rsidRPr="00BD2C13">
              <w:rPr>
                <w:sz w:val="18"/>
              </w:rPr>
              <w:t>15,8</w:t>
            </w:r>
          </w:p>
        </w:tc>
        <w:tc>
          <w:tcPr>
            <w:tcW w:w="1701" w:type="dxa"/>
            <w:shd w:val="clear" w:color="auto" w:fill="auto"/>
            <w:vAlign w:val="bottom"/>
          </w:tcPr>
          <w:p w14:paraId="0651FFF8" w14:textId="77777777" w:rsidR="00030997" w:rsidRPr="00BD2C13" w:rsidRDefault="00030997" w:rsidP="00030997">
            <w:pPr>
              <w:spacing w:before="40" w:after="40" w:line="220" w:lineRule="exact"/>
              <w:jc w:val="right"/>
              <w:rPr>
                <w:sz w:val="18"/>
              </w:rPr>
            </w:pPr>
            <w:r w:rsidRPr="00BD2C13">
              <w:rPr>
                <w:sz w:val="18"/>
              </w:rPr>
              <w:t>19,9</w:t>
            </w:r>
          </w:p>
        </w:tc>
        <w:tc>
          <w:tcPr>
            <w:tcW w:w="1701" w:type="dxa"/>
            <w:shd w:val="clear" w:color="auto" w:fill="auto"/>
            <w:vAlign w:val="bottom"/>
          </w:tcPr>
          <w:p w14:paraId="12D57974" w14:textId="77777777" w:rsidR="00030997" w:rsidRPr="00BD2C13" w:rsidRDefault="00030997" w:rsidP="00030997">
            <w:pPr>
              <w:spacing w:before="40" w:after="40" w:line="220" w:lineRule="exact"/>
              <w:jc w:val="right"/>
              <w:rPr>
                <w:sz w:val="18"/>
              </w:rPr>
            </w:pPr>
            <w:r w:rsidRPr="00BD2C13">
              <w:rPr>
                <w:sz w:val="18"/>
              </w:rPr>
              <w:t>1,7</w:t>
            </w:r>
          </w:p>
        </w:tc>
      </w:tr>
      <w:tr w:rsidR="00030997" w:rsidRPr="00BD2C13" w14:paraId="7249E7E7" w14:textId="77777777" w:rsidTr="00BD2C13">
        <w:tc>
          <w:tcPr>
            <w:tcW w:w="2267" w:type="dxa"/>
            <w:shd w:val="clear" w:color="auto" w:fill="auto"/>
            <w:vAlign w:val="bottom"/>
          </w:tcPr>
          <w:p w14:paraId="1A2EFDE5" w14:textId="77777777" w:rsidR="00030997" w:rsidRPr="00BD2C13" w:rsidRDefault="00030997" w:rsidP="00030997">
            <w:pPr>
              <w:spacing w:before="40" w:after="40" w:line="220" w:lineRule="exact"/>
              <w:rPr>
                <w:i/>
                <w:sz w:val="18"/>
                <w:szCs w:val="18"/>
              </w:rPr>
            </w:pPr>
            <w:r w:rsidRPr="00BD2C13">
              <w:rPr>
                <w:bCs/>
                <w:i/>
                <w:color w:val="000000"/>
                <w:sz w:val="18"/>
                <w:szCs w:val="18"/>
                <w:lang w:eastAsia="en-IE"/>
              </w:rPr>
              <w:t>Taille du ménage</w:t>
            </w:r>
          </w:p>
        </w:tc>
        <w:tc>
          <w:tcPr>
            <w:tcW w:w="1701" w:type="dxa"/>
            <w:shd w:val="clear" w:color="auto" w:fill="auto"/>
            <w:vAlign w:val="bottom"/>
          </w:tcPr>
          <w:p w14:paraId="17CF0B31"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7CED17D6" w14:textId="77777777" w:rsidR="00030997" w:rsidRPr="00BD2C13" w:rsidRDefault="00030997" w:rsidP="00030997">
            <w:pPr>
              <w:spacing w:before="40" w:after="40" w:line="220" w:lineRule="exact"/>
              <w:jc w:val="right"/>
              <w:rPr>
                <w:sz w:val="18"/>
              </w:rPr>
            </w:pPr>
          </w:p>
        </w:tc>
        <w:tc>
          <w:tcPr>
            <w:tcW w:w="1701" w:type="dxa"/>
            <w:shd w:val="clear" w:color="auto" w:fill="auto"/>
            <w:vAlign w:val="bottom"/>
          </w:tcPr>
          <w:p w14:paraId="2EB8600F" w14:textId="77777777" w:rsidR="00030997" w:rsidRPr="00BD2C13" w:rsidRDefault="00030997" w:rsidP="00030997">
            <w:pPr>
              <w:spacing w:before="40" w:after="40" w:line="220" w:lineRule="exact"/>
              <w:jc w:val="right"/>
              <w:rPr>
                <w:sz w:val="18"/>
              </w:rPr>
            </w:pPr>
          </w:p>
        </w:tc>
      </w:tr>
      <w:tr w:rsidR="00030997" w:rsidRPr="00BD2C13" w14:paraId="232214A0" w14:textId="77777777" w:rsidTr="00BD2C13">
        <w:tc>
          <w:tcPr>
            <w:tcW w:w="2267" w:type="dxa"/>
            <w:shd w:val="clear" w:color="auto" w:fill="auto"/>
            <w:vAlign w:val="bottom"/>
          </w:tcPr>
          <w:p w14:paraId="18527B90"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1 personne</w:t>
            </w:r>
          </w:p>
        </w:tc>
        <w:tc>
          <w:tcPr>
            <w:tcW w:w="1701" w:type="dxa"/>
            <w:shd w:val="clear" w:color="auto" w:fill="auto"/>
            <w:vAlign w:val="bottom"/>
          </w:tcPr>
          <w:p w14:paraId="2F5AF37E" w14:textId="77777777" w:rsidR="00030997" w:rsidRPr="00BD2C13" w:rsidRDefault="00030997" w:rsidP="00030997">
            <w:pPr>
              <w:spacing w:before="40" w:after="40" w:line="220" w:lineRule="exact"/>
              <w:jc w:val="right"/>
              <w:rPr>
                <w:sz w:val="18"/>
              </w:rPr>
            </w:pPr>
            <w:r w:rsidRPr="00BD2C13">
              <w:rPr>
                <w:sz w:val="18"/>
              </w:rPr>
              <w:t>13,3</w:t>
            </w:r>
          </w:p>
        </w:tc>
        <w:tc>
          <w:tcPr>
            <w:tcW w:w="1701" w:type="dxa"/>
            <w:shd w:val="clear" w:color="auto" w:fill="auto"/>
            <w:vAlign w:val="bottom"/>
          </w:tcPr>
          <w:p w14:paraId="4F3BFABF" w14:textId="77777777" w:rsidR="00030997" w:rsidRPr="00BD2C13" w:rsidRDefault="00030997" w:rsidP="00030997">
            <w:pPr>
              <w:spacing w:before="40" w:after="40" w:line="220" w:lineRule="exact"/>
              <w:jc w:val="right"/>
              <w:rPr>
                <w:sz w:val="18"/>
              </w:rPr>
            </w:pPr>
            <w:r w:rsidRPr="00BD2C13">
              <w:rPr>
                <w:sz w:val="18"/>
              </w:rPr>
              <w:t>24,7</w:t>
            </w:r>
          </w:p>
        </w:tc>
        <w:tc>
          <w:tcPr>
            <w:tcW w:w="1701" w:type="dxa"/>
            <w:shd w:val="clear" w:color="auto" w:fill="auto"/>
            <w:vAlign w:val="bottom"/>
          </w:tcPr>
          <w:p w14:paraId="4B0F4049" w14:textId="77777777" w:rsidR="00030997" w:rsidRPr="00BD2C13" w:rsidRDefault="00030997" w:rsidP="00030997">
            <w:pPr>
              <w:spacing w:before="40" w:after="40" w:line="220" w:lineRule="exact"/>
              <w:jc w:val="right"/>
              <w:rPr>
                <w:sz w:val="18"/>
              </w:rPr>
            </w:pPr>
            <w:r w:rsidRPr="00BD2C13">
              <w:rPr>
                <w:sz w:val="18"/>
              </w:rPr>
              <w:t>2,4</w:t>
            </w:r>
          </w:p>
        </w:tc>
      </w:tr>
      <w:tr w:rsidR="00030997" w:rsidRPr="00BD2C13" w14:paraId="6549BE23" w14:textId="77777777" w:rsidTr="00BD2C13">
        <w:tc>
          <w:tcPr>
            <w:tcW w:w="2267" w:type="dxa"/>
            <w:shd w:val="clear" w:color="auto" w:fill="auto"/>
            <w:vAlign w:val="bottom"/>
          </w:tcPr>
          <w:p w14:paraId="6D7E0B60"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2 personnes</w:t>
            </w:r>
          </w:p>
        </w:tc>
        <w:tc>
          <w:tcPr>
            <w:tcW w:w="1701" w:type="dxa"/>
            <w:shd w:val="clear" w:color="auto" w:fill="auto"/>
            <w:vAlign w:val="bottom"/>
          </w:tcPr>
          <w:p w14:paraId="17874622" w14:textId="77777777" w:rsidR="00030997" w:rsidRPr="00BD2C13" w:rsidRDefault="00030997" w:rsidP="00030997">
            <w:pPr>
              <w:spacing w:before="40" w:after="40" w:line="220" w:lineRule="exact"/>
              <w:jc w:val="right"/>
              <w:rPr>
                <w:sz w:val="18"/>
              </w:rPr>
            </w:pPr>
            <w:r w:rsidRPr="00BD2C13">
              <w:rPr>
                <w:sz w:val="18"/>
              </w:rPr>
              <w:t>15,0</w:t>
            </w:r>
          </w:p>
        </w:tc>
        <w:tc>
          <w:tcPr>
            <w:tcW w:w="1701" w:type="dxa"/>
            <w:shd w:val="clear" w:color="auto" w:fill="auto"/>
            <w:vAlign w:val="bottom"/>
          </w:tcPr>
          <w:p w14:paraId="3B9A3B54" w14:textId="77777777" w:rsidR="00030997" w:rsidRPr="00BD2C13" w:rsidRDefault="00030997" w:rsidP="00030997">
            <w:pPr>
              <w:spacing w:before="40" w:after="40" w:line="220" w:lineRule="exact"/>
              <w:jc w:val="right"/>
              <w:rPr>
                <w:sz w:val="18"/>
              </w:rPr>
            </w:pPr>
            <w:r w:rsidRPr="00BD2C13">
              <w:rPr>
                <w:sz w:val="18"/>
              </w:rPr>
              <w:t>17,7</w:t>
            </w:r>
          </w:p>
        </w:tc>
        <w:tc>
          <w:tcPr>
            <w:tcW w:w="1701" w:type="dxa"/>
            <w:shd w:val="clear" w:color="auto" w:fill="auto"/>
            <w:vAlign w:val="bottom"/>
          </w:tcPr>
          <w:p w14:paraId="26E2C91A" w14:textId="77777777" w:rsidR="00030997" w:rsidRPr="00BD2C13" w:rsidRDefault="00030997" w:rsidP="00030997">
            <w:pPr>
              <w:spacing w:before="40" w:after="40" w:line="220" w:lineRule="exact"/>
              <w:jc w:val="right"/>
              <w:rPr>
                <w:sz w:val="18"/>
              </w:rPr>
            </w:pPr>
            <w:r w:rsidRPr="00BD2C13">
              <w:rPr>
                <w:sz w:val="18"/>
              </w:rPr>
              <w:t>2,8</w:t>
            </w:r>
          </w:p>
        </w:tc>
      </w:tr>
      <w:tr w:rsidR="00030997" w:rsidRPr="00BD2C13" w14:paraId="10A8DA43" w14:textId="77777777" w:rsidTr="00BD2C13">
        <w:tc>
          <w:tcPr>
            <w:tcW w:w="2267" w:type="dxa"/>
            <w:shd w:val="clear" w:color="auto" w:fill="auto"/>
            <w:vAlign w:val="bottom"/>
          </w:tcPr>
          <w:p w14:paraId="591040CB"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3 personnes</w:t>
            </w:r>
          </w:p>
        </w:tc>
        <w:tc>
          <w:tcPr>
            <w:tcW w:w="1701" w:type="dxa"/>
            <w:shd w:val="clear" w:color="auto" w:fill="auto"/>
            <w:vAlign w:val="bottom"/>
          </w:tcPr>
          <w:p w14:paraId="5F92A427" w14:textId="77777777" w:rsidR="00030997" w:rsidRPr="00BD2C13" w:rsidRDefault="00030997" w:rsidP="00030997">
            <w:pPr>
              <w:spacing w:before="40" w:after="40" w:line="220" w:lineRule="exact"/>
              <w:jc w:val="right"/>
              <w:rPr>
                <w:sz w:val="18"/>
              </w:rPr>
            </w:pPr>
            <w:r w:rsidRPr="00BD2C13">
              <w:rPr>
                <w:sz w:val="18"/>
              </w:rPr>
              <w:t>14,8</w:t>
            </w:r>
          </w:p>
        </w:tc>
        <w:tc>
          <w:tcPr>
            <w:tcW w:w="1701" w:type="dxa"/>
            <w:shd w:val="clear" w:color="auto" w:fill="auto"/>
            <w:vAlign w:val="bottom"/>
          </w:tcPr>
          <w:p w14:paraId="17B06867" w14:textId="77777777" w:rsidR="00030997" w:rsidRPr="00BD2C13" w:rsidRDefault="00030997" w:rsidP="00030997">
            <w:pPr>
              <w:spacing w:before="40" w:after="40" w:line="220" w:lineRule="exact"/>
              <w:jc w:val="right"/>
              <w:rPr>
                <w:sz w:val="18"/>
              </w:rPr>
            </w:pPr>
            <w:r w:rsidRPr="00BD2C13">
              <w:rPr>
                <w:sz w:val="18"/>
              </w:rPr>
              <w:t>19,4</w:t>
            </w:r>
          </w:p>
        </w:tc>
        <w:tc>
          <w:tcPr>
            <w:tcW w:w="1701" w:type="dxa"/>
            <w:shd w:val="clear" w:color="auto" w:fill="auto"/>
            <w:vAlign w:val="bottom"/>
          </w:tcPr>
          <w:p w14:paraId="65A1F109" w14:textId="77777777" w:rsidR="00030997" w:rsidRPr="00BD2C13" w:rsidRDefault="00030997" w:rsidP="00030997">
            <w:pPr>
              <w:spacing w:before="40" w:after="40" w:line="220" w:lineRule="exact"/>
              <w:jc w:val="right"/>
              <w:rPr>
                <w:sz w:val="18"/>
              </w:rPr>
            </w:pPr>
            <w:r w:rsidRPr="00BD2C13">
              <w:rPr>
                <w:sz w:val="18"/>
              </w:rPr>
              <w:t>2,2</w:t>
            </w:r>
          </w:p>
        </w:tc>
      </w:tr>
      <w:tr w:rsidR="00030997" w:rsidRPr="00BD2C13" w14:paraId="191B9547" w14:textId="77777777" w:rsidTr="00BD2C13">
        <w:tc>
          <w:tcPr>
            <w:tcW w:w="2267" w:type="dxa"/>
            <w:shd w:val="clear" w:color="auto" w:fill="auto"/>
            <w:vAlign w:val="bottom"/>
          </w:tcPr>
          <w:p w14:paraId="38C9F6B6"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4 personnes</w:t>
            </w:r>
          </w:p>
        </w:tc>
        <w:tc>
          <w:tcPr>
            <w:tcW w:w="1701" w:type="dxa"/>
            <w:shd w:val="clear" w:color="auto" w:fill="auto"/>
            <w:vAlign w:val="bottom"/>
          </w:tcPr>
          <w:p w14:paraId="370A6AB3" w14:textId="77777777" w:rsidR="00030997" w:rsidRPr="00BD2C13" w:rsidRDefault="00030997" w:rsidP="00030997">
            <w:pPr>
              <w:spacing w:before="40" w:after="40" w:line="220" w:lineRule="exact"/>
              <w:jc w:val="right"/>
              <w:rPr>
                <w:sz w:val="18"/>
              </w:rPr>
            </w:pPr>
            <w:r w:rsidRPr="00BD2C13">
              <w:rPr>
                <w:sz w:val="18"/>
              </w:rPr>
              <w:t>14,6</w:t>
            </w:r>
          </w:p>
        </w:tc>
        <w:tc>
          <w:tcPr>
            <w:tcW w:w="1701" w:type="dxa"/>
            <w:shd w:val="clear" w:color="auto" w:fill="auto"/>
            <w:vAlign w:val="bottom"/>
          </w:tcPr>
          <w:p w14:paraId="25AC32EA" w14:textId="77777777" w:rsidR="00030997" w:rsidRPr="00BD2C13" w:rsidRDefault="00030997" w:rsidP="00030997">
            <w:pPr>
              <w:spacing w:before="40" w:after="40" w:line="220" w:lineRule="exact"/>
              <w:jc w:val="right"/>
              <w:rPr>
                <w:sz w:val="18"/>
              </w:rPr>
            </w:pPr>
            <w:r w:rsidRPr="00BD2C13">
              <w:rPr>
                <w:sz w:val="18"/>
              </w:rPr>
              <w:t>19,9</w:t>
            </w:r>
          </w:p>
        </w:tc>
        <w:tc>
          <w:tcPr>
            <w:tcW w:w="1701" w:type="dxa"/>
            <w:shd w:val="clear" w:color="auto" w:fill="auto"/>
            <w:vAlign w:val="bottom"/>
          </w:tcPr>
          <w:p w14:paraId="5A2A0556" w14:textId="77777777" w:rsidR="00030997" w:rsidRPr="00BD2C13" w:rsidRDefault="00030997" w:rsidP="00030997">
            <w:pPr>
              <w:spacing w:before="40" w:after="40" w:line="220" w:lineRule="exact"/>
              <w:jc w:val="right"/>
              <w:rPr>
                <w:sz w:val="18"/>
              </w:rPr>
            </w:pPr>
            <w:r w:rsidRPr="00BD2C13">
              <w:rPr>
                <w:sz w:val="18"/>
              </w:rPr>
              <w:t>1,9</w:t>
            </w:r>
          </w:p>
        </w:tc>
      </w:tr>
      <w:tr w:rsidR="00030997" w:rsidRPr="00BD2C13" w14:paraId="65D50176" w14:textId="77777777" w:rsidTr="00BD2C13">
        <w:tc>
          <w:tcPr>
            <w:tcW w:w="2267" w:type="dxa"/>
            <w:shd w:val="clear" w:color="auto" w:fill="auto"/>
            <w:vAlign w:val="bottom"/>
          </w:tcPr>
          <w:p w14:paraId="523A80E2"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5 personnes</w:t>
            </w:r>
          </w:p>
        </w:tc>
        <w:tc>
          <w:tcPr>
            <w:tcW w:w="1701" w:type="dxa"/>
            <w:shd w:val="clear" w:color="auto" w:fill="auto"/>
            <w:vAlign w:val="bottom"/>
          </w:tcPr>
          <w:p w14:paraId="296F51DE" w14:textId="77777777" w:rsidR="00030997" w:rsidRPr="00BD2C13" w:rsidRDefault="00030997" w:rsidP="00030997">
            <w:pPr>
              <w:spacing w:before="40" w:after="40" w:line="220" w:lineRule="exact"/>
              <w:jc w:val="right"/>
              <w:rPr>
                <w:sz w:val="18"/>
              </w:rPr>
            </w:pPr>
            <w:r w:rsidRPr="00BD2C13">
              <w:rPr>
                <w:sz w:val="18"/>
              </w:rPr>
              <w:t>14,9</w:t>
            </w:r>
          </w:p>
        </w:tc>
        <w:tc>
          <w:tcPr>
            <w:tcW w:w="1701" w:type="dxa"/>
            <w:shd w:val="clear" w:color="auto" w:fill="auto"/>
            <w:vAlign w:val="bottom"/>
          </w:tcPr>
          <w:p w14:paraId="2EA47D7A" w14:textId="77777777" w:rsidR="00030997" w:rsidRPr="00BD2C13" w:rsidRDefault="00030997" w:rsidP="00030997">
            <w:pPr>
              <w:spacing w:before="40" w:after="40" w:line="220" w:lineRule="exact"/>
              <w:jc w:val="right"/>
              <w:rPr>
                <w:sz w:val="18"/>
              </w:rPr>
            </w:pPr>
            <w:r w:rsidRPr="00BD2C13">
              <w:rPr>
                <w:sz w:val="18"/>
              </w:rPr>
              <w:t>19,1</w:t>
            </w:r>
          </w:p>
        </w:tc>
        <w:tc>
          <w:tcPr>
            <w:tcW w:w="1701" w:type="dxa"/>
            <w:shd w:val="clear" w:color="auto" w:fill="auto"/>
            <w:vAlign w:val="bottom"/>
          </w:tcPr>
          <w:p w14:paraId="776E8443" w14:textId="77777777" w:rsidR="00030997" w:rsidRPr="00BD2C13" w:rsidRDefault="00030997" w:rsidP="00030997">
            <w:pPr>
              <w:spacing w:before="40" w:after="40" w:line="220" w:lineRule="exact"/>
              <w:jc w:val="right"/>
              <w:rPr>
                <w:sz w:val="18"/>
              </w:rPr>
            </w:pPr>
            <w:r w:rsidRPr="00BD2C13">
              <w:rPr>
                <w:sz w:val="18"/>
              </w:rPr>
              <w:t>1,7</w:t>
            </w:r>
          </w:p>
        </w:tc>
      </w:tr>
      <w:tr w:rsidR="00030997" w:rsidRPr="00BD2C13" w14:paraId="70CC6FA5" w14:textId="77777777" w:rsidTr="00BD2C13">
        <w:tc>
          <w:tcPr>
            <w:tcW w:w="2267" w:type="dxa"/>
            <w:shd w:val="clear" w:color="auto" w:fill="auto"/>
            <w:vAlign w:val="bottom"/>
          </w:tcPr>
          <w:p w14:paraId="37A60746" w14:textId="77777777" w:rsidR="00030997" w:rsidRPr="00BD2C13" w:rsidRDefault="00030997" w:rsidP="00030997">
            <w:pPr>
              <w:spacing w:before="40" w:after="40" w:line="220" w:lineRule="exact"/>
              <w:jc w:val="right"/>
              <w:rPr>
                <w:color w:val="000000"/>
                <w:sz w:val="18"/>
                <w:szCs w:val="18"/>
                <w:lang w:eastAsia="en-IE"/>
              </w:rPr>
            </w:pPr>
            <w:r w:rsidRPr="00BD2C13">
              <w:rPr>
                <w:sz w:val="18"/>
                <w:szCs w:val="18"/>
                <w:lang w:eastAsia="en-IE"/>
              </w:rPr>
              <w:t>6 personnes ou plus</w:t>
            </w:r>
          </w:p>
        </w:tc>
        <w:tc>
          <w:tcPr>
            <w:tcW w:w="1701" w:type="dxa"/>
            <w:shd w:val="clear" w:color="auto" w:fill="auto"/>
            <w:vAlign w:val="bottom"/>
          </w:tcPr>
          <w:p w14:paraId="7771E87C" w14:textId="77777777" w:rsidR="00030997" w:rsidRPr="00BD2C13" w:rsidRDefault="00030997" w:rsidP="00030997">
            <w:pPr>
              <w:spacing w:before="40" w:after="40" w:line="220" w:lineRule="exact"/>
              <w:jc w:val="right"/>
              <w:rPr>
                <w:sz w:val="18"/>
              </w:rPr>
            </w:pPr>
            <w:r w:rsidRPr="00BD2C13">
              <w:rPr>
                <w:sz w:val="18"/>
              </w:rPr>
              <w:t>15,7</w:t>
            </w:r>
          </w:p>
        </w:tc>
        <w:tc>
          <w:tcPr>
            <w:tcW w:w="1701" w:type="dxa"/>
            <w:shd w:val="clear" w:color="auto" w:fill="auto"/>
            <w:vAlign w:val="bottom"/>
          </w:tcPr>
          <w:p w14:paraId="67F0D801" w14:textId="77777777" w:rsidR="00030997" w:rsidRPr="00BD2C13" w:rsidRDefault="00030997" w:rsidP="00030997">
            <w:pPr>
              <w:spacing w:before="40" w:after="40" w:line="220" w:lineRule="exact"/>
              <w:jc w:val="right"/>
              <w:rPr>
                <w:sz w:val="18"/>
              </w:rPr>
            </w:pPr>
            <w:r w:rsidRPr="00BD2C13">
              <w:rPr>
                <w:sz w:val="18"/>
              </w:rPr>
              <w:t>18,8</w:t>
            </w:r>
          </w:p>
        </w:tc>
        <w:tc>
          <w:tcPr>
            <w:tcW w:w="1701" w:type="dxa"/>
            <w:shd w:val="clear" w:color="auto" w:fill="auto"/>
            <w:vAlign w:val="bottom"/>
          </w:tcPr>
          <w:p w14:paraId="1D9B7B0D" w14:textId="77777777" w:rsidR="00030997" w:rsidRPr="00BD2C13" w:rsidRDefault="00030997" w:rsidP="00030997">
            <w:pPr>
              <w:spacing w:before="40" w:after="40" w:line="220" w:lineRule="exact"/>
              <w:jc w:val="right"/>
              <w:rPr>
                <w:sz w:val="18"/>
              </w:rPr>
            </w:pPr>
            <w:r w:rsidRPr="00BD2C13">
              <w:rPr>
                <w:sz w:val="18"/>
              </w:rPr>
              <w:t>1,8</w:t>
            </w:r>
          </w:p>
        </w:tc>
      </w:tr>
      <w:tr w:rsidR="00030997" w:rsidRPr="00BD2C13" w14:paraId="7B574548" w14:textId="77777777" w:rsidTr="00BD2C13">
        <w:tc>
          <w:tcPr>
            <w:tcW w:w="2267" w:type="dxa"/>
            <w:tcBorders>
              <w:bottom w:val="single" w:sz="12" w:space="0" w:color="auto"/>
            </w:tcBorders>
            <w:shd w:val="clear" w:color="auto" w:fill="auto"/>
            <w:vAlign w:val="bottom"/>
          </w:tcPr>
          <w:p w14:paraId="6DE4098B" w14:textId="77777777" w:rsidR="00030997" w:rsidRPr="00BD2C13" w:rsidRDefault="00030997" w:rsidP="00030997">
            <w:pPr>
              <w:spacing w:before="40" w:after="40" w:line="220" w:lineRule="exact"/>
              <w:rPr>
                <w:i/>
                <w:color w:val="000000"/>
                <w:sz w:val="18"/>
                <w:szCs w:val="18"/>
                <w:lang w:eastAsia="en-IE"/>
              </w:rPr>
            </w:pPr>
            <w:r w:rsidRPr="00BD2C13">
              <w:rPr>
                <w:bCs/>
                <w:i/>
                <w:color w:val="000000"/>
                <w:sz w:val="18"/>
                <w:szCs w:val="18"/>
                <w:lang w:eastAsia="en-IE"/>
              </w:rPr>
              <w:t>État</w:t>
            </w:r>
          </w:p>
        </w:tc>
        <w:tc>
          <w:tcPr>
            <w:tcW w:w="1701" w:type="dxa"/>
            <w:tcBorders>
              <w:bottom w:val="single" w:sz="12" w:space="0" w:color="auto"/>
            </w:tcBorders>
            <w:shd w:val="clear" w:color="auto" w:fill="auto"/>
            <w:vAlign w:val="bottom"/>
          </w:tcPr>
          <w:p w14:paraId="604F1C65" w14:textId="77777777" w:rsidR="00030997" w:rsidRPr="00BD2C13" w:rsidRDefault="00030997" w:rsidP="00030997">
            <w:pPr>
              <w:spacing w:before="40" w:after="40" w:line="220" w:lineRule="exact"/>
              <w:jc w:val="right"/>
              <w:rPr>
                <w:sz w:val="18"/>
              </w:rPr>
            </w:pPr>
            <w:r w:rsidRPr="00BD2C13">
              <w:rPr>
                <w:sz w:val="18"/>
              </w:rPr>
              <w:t>14,7</w:t>
            </w:r>
          </w:p>
        </w:tc>
        <w:tc>
          <w:tcPr>
            <w:tcW w:w="1701" w:type="dxa"/>
            <w:tcBorders>
              <w:bottom w:val="single" w:sz="12" w:space="0" w:color="auto"/>
            </w:tcBorders>
            <w:shd w:val="clear" w:color="auto" w:fill="auto"/>
            <w:vAlign w:val="bottom"/>
          </w:tcPr>
          <w:p w14:paraId="5601351E" w14:textId="77777777" w:rsidR="00030997" w:rsidRPr="00BD2C13" w:rsidRDefault="00030997" w:rsidP="00030997">
            <w:pPr>
              <w:spacing w:before="40" w:after="40" w:line="220" w:lineRule="exact"/>
              <w:jc w:val="right"/>
              <w:rPr>
                <w:sz w:val="18"/>
              </w:rPr>
            </w:pPr>
            <w:r w:rsidRPr="00BD2C13">
              <w:rPr>
                <w:sz w:val="18"/>
              </w:rPr>
              <w:t>19,6</w:t>
            </w:r>
          </w:p>
        </w:tc>
        <w:tc>
          <w:tcPr>
            <w:tcW w:w="1701" w:type="dxa"/>
            <w:tcBorders>
              <w:bottom w:val="single" w:sz="12" w:space="0" w:color="auto"/>
            </w:tcBorders>
            <w:shd w:val="clear" w:color="auto" w:fill="auto"/>
            <w:vAlign w:val="bottom"/>
          </w:tcPr>
          <w:p w14:paraId="075FA55B" w14:textId="77777777" w:rsidR="00030997" w:rsidRPr="00BD2C13" w:rsidRDefault="00030997" w:rsidP="00030997">
            <w:pPr>
              <w:spacing w:before="40" w:after="40" w:line="220" w:lineRule="exact"/>
              <w:jc w:val="right"/>
              <w:rPr>
                <w:sz w:val="18"/>
              </w:rPr>
            </w:pPr>
            <w:r w:rsidRPr="00BD2C13">
              <w:rPr>
                <w:sz w:val="18"/>
              </w:rPr>
              <w:t>2,2</w:t>
            </w:r>
          </w:p>
        </w:tc>
      </w:tr>
    </w:tbl>
    <w:p w14:paraId="5E09E852" w14:textId="77777777" w:rsidR="00030997" w:rsidRDefault="00BD2C13" w:rsidP="00690D2C">
      <w:pPr>
        <w:pStyle w:val="Titre1"/>
        <w:spacing w:before="240" w:after="120"/>
        <w:rPr>
          <w:lang w:val="fr-FR"/>
        </w:rPr>
      </w:pPr>
      <w:r w:rsidRPr="001B6946">
        <w:rPr>
          <w:lang w:val="fr-FR"/>
        </w:rPr>
        <w:t>Tableau 4</w:t>
      </w:r>
      <w:r w:rsidR="00690D2C">
        <w:rPr>
          <w:lang w:val="fr-FR"/>
        </w:rPr>
        <w:br/>
      </w:r>
      <w:r w:rsidRPr="00690D2C">
        <w:rPr>
          <w:b/>
          <w:lang w:val="fr-FR"/>
        </w:rPr>
        <w:t>Population</w:t>
      </w:r>
      <w:r w:rsidR="00B5080E" w:rsidRPr="00690D2C">
        <w:rPr>
          <w:b/>
          <w:lang w:val="fr-FR"/>
        </w:rPr>
        <w:t xml:space="preserve"> </w:t>
      </w:r>
      <w:r w:rsidRPr="00690D2C">
        <w:rPr>
          <w:b/>
          <w:lang w:val="fr-FR"/>
        </w:rPr>
        <w:t>: nombre estimatif de ménages et de personnes par ménage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44"/>
        <w:gridCol w:w="744"/>
        <w:gridCol w:w="744"/>
        <w:gridCol w:w="744"/>
        <w:gridCol w:w="744"/>
        <w:gridCol w:w="744"/>
        <w:gridCol w:w="744"/>
        <w:gridCol w:w="744"/>
      </w:tblGrid>
      <w:tr w:rsidR="00815AA9" w:rsidRPr="000C4FDB" w14:paraId="454E7DCA" w14:textId="77777777" w:rsidTr="00815AA9">
        <w:trPr>
          <w:tblHeader/>
        </w:trPr>
        <w:tc>
          <w:tcPr>
            <w:tcW w:w="1418" w:type="dxa"/>
            <w:tcBorders>
              <w:top w:val="single" w:sz="4" w:space="0" w:color="auto"/>
            </w:tcBorders>
            <w:vAlign w:val="bottom"/>
          </w:tcPr>
          <w:p w14:paraId="3D2273B9" w14:textId="77777777" w:rsidR="00815AA9" w:rsidRPr="00987CA5" w:rsidRDefault="00815AA9" w:rsidP="00B5080E">
            <w:pPr>
              <w:keepNext/>
              <w:spacing w:before="80" w:after="80" w:line="200" w:lineRule="exact"/>
              <w:rPr>
                <w:i/>
                <w:spacing w:val="-2"/>
                <w:sz w:val="18"/>
                <w:szCs w:val="18"/>
                <w:lang w:val="fr-FR"/>
              </w:rPr>
            </w:pPr>
            <w:r w:rsidRPr="00987CA5">
              <w:rPr>
                <w:i/>
                <w:spacing w:val="-2"/>
                <w:sz w:val="18"/>
                <w:szCs w:val="18"/>
                <w:lang w:val="fr-FR"/>
              </w:rPr>
              <w:t>Trimestre (T) année</w:t>
            </w:r>
          </w:p>
        </w:tc>
        <w:tc>
          <w:tcPr>
            <w:tcW w:w="744" w:type="dxa"/>
            <w:tcBorders>
              <w:top w:val="single" w:sz="4" w:space="0" w:color="auto"/>
            </w:tcBorders>
            <w:shd w:val="clear" w:color="auto" w:fill="auto"/>
            <w:vAlign w:val="bottom"/>
          </w:tcPr>
          <w:p w14:paraId="6DBE4331"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T3 16</w:t>
            </w:r>
          </w:p>
        </w:tc>
        <w:tc>
          <w:tcPr>
            <w:tcW w:w="744" w:type="dxa"/>
            <w:tcBorders>
              <w:top w:val="single" w:sz="4" w:space="0" w:color="auto"/>
            </w:tcBorders>
            <w:shd w:val="clear" w:color="auto" w:fill="auto"/>
            <w:vAlign w:val="bottom"/>
          </w:tcPr>
          <w:p w14:paraId="3724977A"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T4 16</w:t>
            </w:r>
          </w:p>
        </w:tc>
        <w:tc>
          <w:tcPr>
            <w:tcW w:w="744" w:type="dxa"/>
            <w:tcBorders>
              <w:top w:val="single" w:sz="4" w:space="0" w:color="auto"/>
            </w:tcBorders>
            <w:shd w:val="clear" w:color="auto" w:fill="auto"/>
            <w:vAlign w:val="bottom"/>
          </w:tcPr>
          <w:p w14:paraId="11D3F3B9"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T1 17</w:t>
            </w:r>
          </w:p>
        </w:tc>
        <w:tc>
          <w:tcPr>
            <w:tcW w:w="744" w:type="dxa"/>
            <w:tcBorders>
              <w:top w:val="single" w:sz="4" w:space="0" w:color="auto"/>
            </w:tcBorders>
            <w:shd w:val="clear" w:color="auto" w:fill="auto"/>
            <w:vAlign w:val="bottom"/>
          </w:tcPr>
          <w:p w14:paraId="0B39AFDD"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T2 17</w:t>
            </w:r>
          </w:p>
        </w:tc>
        <w:tc>
          <w:tcPr>
            <w:tcW w:w="744" w:type="dxa"/>
            <w:tcBorders>
              <w:top w:val="single" w:sz="4" w:space="0" w:color="auto"/>
            </w:tcBorders>
            <w:shd w:val="clear" w:color="auto" w:fill="auto"/>
            <w:vAlign w:val="bottom"/>
          </w:tcPr>
          <w:p w14:paraId="3F1C78D8"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T3 17</w:t>
            </w:r>
          </w:p>
        </w:tc>
        <w:tc>
          <w:tcPr>
            <w:tcW w:w="744" w:type="dxa"/>
            <w:tcBorders>
              <w:top w:val="single" w:sz="4" w:space="0" w:color="auto"/>
            </w:tcBorders>
            <w:shd w:val="clear" w:color="auto" w:fill="auto"/>
            <w:vAlign w:val="bottom"/>
          </w:tcPr>
          <w:p w14:paraId="4254BBDA"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T4 17</w:t>
            </w:r>
          </w:p>
        </w:tc>
        <w:tc>
          <w:tcPr>
            <w:tcW w:w="744" w:type="dxa"/>
            <w:tcBorders>
              <w:top w:val="single" w:sz="4" w:space="0" w:color="auto"/>
            </w:tcBorders>
            <w:shd w:val="clear" w:color="auto" w:fill="auto"/>
            <w:vAlign w:val="bottom"/>
          </w:tcPr>
          <w:p w14:paraId="47B77BAD"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T1 18</w:t>
            </w:r>
          </w:p>
        </w:tc>
        <w:tc>
          <w:tcPr>
            <w:tcW w:w="744" w:type="dxa"/>
            <w:tcBorders>
              <w:top w:val="single" w:sz="4" w:space="0" w:color="auto"/>
            </w:tcBorders>
            <w:shd w:val="clear" w:color="auto" w:fill="auto"/>
            <w:vAlign w:val="bottom"/>
          </w:tcPr>
          <w:p w14:paraId="651081C0" w14:textId="77777777" w:rsidR="00815AA9" w:rsidRPr="00815AA9" w:rsidRDefault="00815AA9" w:rsidP="00B5080E">
            <w:pPr>
              <w:keepNext/>
              <w:spacing w:before="80" w:after="80" w:line="200" w:lineRule="exact"/>
              <w:jc w:val="right"/>
              <w:rPr>
                <w:sz w:val="18"/>
                <w:szCs w:val="18"/>
                <w:lang w:val="fr-FR"/>
              </w:rPr>
            </w:pPr>
            <w:r w:rsidRPr="00815AA9">
              <w:rPr>
                <w:sz w:val="18"/>
                <w:szCs w:val="18"/>
                <w:lang w:val="fr-FR"/>
              </w:rPr>
              <w:t>T2 18</w:t>
            </w:r>
          </w:p>
        </w:tc>
      </w:tr>
      <w:tr w:rsidR="00815AA9" w:rsidRPr="000C4FDB" w14:paraId="367FF9DA" w14:textId="77777777" w:rsidTr="00815AA9">
        <w:tc>
          <w:tcPr>
            <w:tcW w:w="1418" w:type="dxa"/>
            <w:vAlign w:val="bottom"/>
          </w:tcPr>
          <w:p w14:paraId="6F3C7C75" w14:textId="77777777" w:rsidR="00815AA9" w:rsidRPr="00815AA9" w:rsidRDefault="00815AA9" w:rsidP="00B5080E">
            <w:pPr>
              <w:keepNext/>
              <w:spacing w:before="40" w:after="40" w:line="220" w:lineRule="exact"/>
              <w:rPr>
                <w:i/>
                <w:sz w:val="18"/>
                <w:szCs w:val="18"/>
                <w:lang w:val="fr-FR"/>
              </w:rPr>
            </w:pPr>
            <w:r w:rsidRPr="00815AA9">
              <w:rPr>
                <w:i/>
                <w:sz w:val="18"/>
                <w:szCs w:val="18"/>
                <w:lang w:val="fr-FR"/>
              </w:rPr>
              <w:t>Population totale (en milliers)</w:t>
            </w:r>
          </w:p>
        </w:tc>
        <w:tc>
          <w:tcPr>
            <w:tcW w:w="744" w:type="dxa"/>
            <w:shd w:val="clear" w:color="auto" w:fill="auto"/>
            <w:vAlign w:val="bottom"/>
          </w:tcPr>
          <w:p w14:paraId="7E7F78AE" w14:textId="77777777" w:rsidR="00815AA9" w:rsidRPr="000C4FDB" w:rsidRDefault="00815AA9" w:rsidP="00B5080E">
            <w:pPr>
              <w:keepNext/>
              <w:suppressAutoHyphens w:val="0"/>
              <w:spacing w:before="40" w:after="40" w:line="220" w:lineRule="exact"/>
              <w:jc w:val="right"/>
              <w:rPr>
                <w:sz w:val="18"/>
              </w:rPr>
            </w:pPr>
            <w:r w:rsidRPr="000C4FDB">
              <w:rPr>
                <w:sz w:val="18"/>
              </w:rPr>
              <w:t>4 757,6</w:t>
            </w:r>
          </w:p>
        </w:tc>
        <w:tc>
          <w:tcPr>
            <w:tcW w:w="744" w:type="dxa"/>
            <w:shd w:val="clear" w:color="auto" w:fill="auto"/>
            <w:vAlign w:val="bottom"/>
          </w:tcPr>
          <w:p w14:paraId="7B45A5DE" w14:textId="77777777" w:rsidR="00815AA9" w:rsidRPr="000C4FDB" w:rsidRDefault="00815AA9" w:rsidP="00B5080E">
            <w:pPr>
              <w:keepNext/>
              <w:suppressAutoHyphens w:val="0"/>
              <w:spacing w:before="40" w:after="40" w:line="220" w:lineRule="exact"/>
              <w:jc w:val="right"/>
              <w:rPr>
                <w:sz w:val="18"/>
              </w:rPr>
            </w:pPr>
            <w:r w:rsidRPr="000C4FDB">
              <w:rPr>
                <w:sz w:val="18"/>
              </w:rPr>
              <w:t>4 772,5</w:t>
            </w:r>
          </w:p>
        </w:tc>
        <w:tc>
          <w:tcPr>
            <w:tcW w:w="744" w:type="dxa"/>
            <w:shd w:val="clear" w:color="auto" w:fill="auto"/>
            <w:vAlign w:val="bottom"/>
          </w:tcPr>
          <w:p w14:paraId="39F91CD3" w14:textId="77777777" w:rsidR="00815AA9" w:rsidRPr="000C4FDB" w:rsidRDefault="00815AA9" w:rsidP="00B5080E">
            <w:pPr>
              <w:keepNext/>
              <w:suppressAutoHyphens w:val="0"/>
              <w:spacing w:before="40" w:after="40" w:line="220" w:lineRule="exact"/>
              <w:jc w:val="right"/>
              <w:rPr>
                <w:sz w:val="18"/>
              </w:rPr>
            </w:pPr>
            <w:r w:rsidRPr="000C4FDB">
              <w:rPr>
                <w:sz w:val="18"/>
              </w:rPr>
              <w:t>4 784,4</w:t>
            </w:r>
          </w:p>
        </w:tc>
        <w:tc>
          <w:tcPr>
            <w:tcW w:w="744" w:type="dxa"/>
            <w:shd w:val="clear" w:color="auto" w:fill="auto"/>
            <w:vAlign w:val="bottom"/>
          </w:tcPr>
          <w:p w14:paraId="24D3A924" w14:textId="77777777" w:rsidR="00815AA9" w:rsidRPr="000C4FDB" w:rsidRDefault="00815AA9" w:rsidP="00B5080E">
            <w:pPr>
              <w:keepNext/>
              <w:suppressAutoHyphens w:val="0"/>
              <w:spacing w:before="40" w:after="40" w:line="220" w:lineRule="exact"/>
              <w:jc w:val="right"/>
              <w:rPr>
                <w:sz w:val="18"/>
              </w:rPr>
            </w:pPr>
            <w:r w:rsidRPr="000C4FDB">
              <w:rPr>
                <w:sz w:val="18"/>
              </w:rPr>
              <w:t>4 792,5</w:t>
            </w:r>
          </w:p>
        </w:tc>
        <w:tc>
          <w:tcPr>
            <w:tcW w:w="744" w:type="dxa"/>
            <w:shd w:val="clear" w:color="auto" w:fill="auto"/>
            <w:vAlign w:val="bottom"/>
          </w:tcPr>
          <w:p w14:paraId="670C7F6D" w14:textId="77777777" w:rsidR="00815AA9" w:rsidRPr="000C4FDB" w:rsidRDefault="00815AA9" w:rsidP="00B5080E">
            <w:pPr>
              <w:keepNext/>
              <w:suppressAutoHyphens w:val="0"/>
              <w:spacing w:before="40" w:after="40" w:line="220" w:lineRule="exact"/>
              <w:jc w:val="right"/>
              <w:rPr>
                <w:sz w:val="18"/>
              </w:rPr>
            </w:pPr>
            <w:r w:rsidRPr="000C4FDB">
              <w:rPr>
                <w:sz w:val="18"/>
              </w:rPr>
              <w:t>4 805,9</w:t>
            </w:r>
          </w:p>
        </w:tc>
        <w:tc>
          <w:tcPr>
            <w:tcW w:w="744" w:type="dxa"/>
            <w:shd w:val="clear" w:color="auto" w:fill="auto"/>
            <w:vAlign w:val="bottom"/>
          </w:tcPr>
          <w:p w14:paraId="65815F06" w14:textId="77777777" w:rsidR="00815AA9" w:rsidRPr="000C4FDB" w:rsidRDefault="00815AA9" w:rsidP="00B5080E">
            <w:pPr>
              <w:keepNext/>
              <w:suppressAutoHyphens w:val="0"/>
              <w:spacing w:before="40" w:after="40" w:line="220" w:lineRule="exact"/>
              <w:jc w:val="right"/>
              <w:rPr>
                <w:sz w:val="18"/>
              </w:rPr>
            </w:pPr>
            <w:r w:rsidRPr="000C4FDB">
              <w:rPr>
                <w:sz w:val="18"/>
              </w:rPr>
              <w:t>4 826,4</w:t>
            </w:r>
          </w:p>
        </w:tc>
        <w:tc>
          <w:tcPr>
            <w:tcW w:w="744" w:type="dxa"/>
            <w:shd w:val="clear" w:color="auto" w:fill="auto"/>
            <w:vAlign w:val="bottom"/>
          </w:tcPr>
          <w:p w14:paraId="2F274EA2" w14:textId="77777777" w:rsidR="00815AA9" w:rsidRPr="000C4FDB" w:rsidRDefault="00815AA9" w:rsidP="00B5080E">
            <w:pPr>
              <w:keepNext/>
              <w:suppressAutoHyphens w:val="0"/>
              <w:spacing w:before="40" w:after="40" w:line="220" w:lineRule="exact"/>
              <w:jc w:val="right"/>
              <w:rPr>
                <w:sz w:val="18"/>
              </w:rPr>
            </w:pPr>
            <w:r w:rsidRPr="000C4FDB">
              <w:rPr>
                <w:sz w:val="18"/>
              </w:rPr>
              <w:t>4 830,4</w:t>
            </w:r>
          </w:p>
        </w:tc>
        <w:tc>
          <w:tcPr>
            <w:tcW w:w="744" w:type="dxa"/>
            <w:shd w:val="clear" w:color="auto" w:fill="auto"/>
            <w:vAlign w:val="bottom"/>
          </w:tcPr>
          <w:p w14:paraId="12007472" w14:textId="77777777" w:rsidR="00815AA9" w:rsidRPr="000C4FDB" w:rsidRDefault="00815AA9" w:rsidP="00B5080E">
            <w:pPr>
              <w:keepNext/>
              <w:suppressAutoHyphens w:val="0"/>
              <w:spacing w:before="40" w:after="40" w:line="220" w:lineRule="exact"/>
              <w:jc w:val="right"/>
              <w:rPr>
                <w:sz w:val="18"/>
              </w:rPr>
            </w:pPr>
            <w:r w:rsidRPr="000C4FDB">
              <w:rPr>
                <w:sz w:val="18"/>
              </w:rPr>
              <w:t>4 857,0</w:t>
            </w:r>
          </w:p>
        </w:tc>
      </w:tr>
      <w:tr w:rsidR="00815AA9" w:rsidRPr="000C4FDB" w14:paraId="54A2A89F" w14:textId="77777777" w:rsidTr="00815AA9">
        <w:tc>
          <w:tcPr>
            <w:tcW w:w="1418" w:type="dxa"/>
            <w:vAlign w:val="bottom"/>
          </w:tcPr>
          <w:p w14:paraId="66A10220" w14:textId="77777777" w:rsidR="00815AA9" w:rsidRPr="00815AA9" w:rsidRDefault="00815AA9" w:rsidP="00B5080E">
            <w:pPr>
              <w:keepNext/>
              <w:spacing w:before="40" w:after="40" w:line="220" w:lineRule="exact"/>
              <w:rPr>
                <w:i/>
                <w:sz w:val="18"/>
                <w:szCs w:val="18"/>
                <w:lang w:val="fr-FR"/>
              </w:rPr>
            </w:pPr>
            <w:r w:rsidRPr="00815AA9">
              <w:rPr>
                <w:i/>
                <w:sz w:val="18"/>
                <w:szCs w:val="18"/>
                <w:lang w:val="fr-FR"/>
              </w:rPr>
              <w:t xml:space="preserve">Nombre </w:t>
            </w:r>
            <w:r>
              <w:rPr>
                <w:i/>
                <w:sz w:val="18"/>
                <w:szCs w:val="18"/>
                <w:lang w:val="fr-FR"/>
              </w:rPr>
              <w:br/>
            </w:r>
            <w:r w:rsidRPr="00815AA9">
              <w:rPr>
                <w:i/>
                <w:sz w:val="18"/>
                <w:szCs w:val="18"/>
                <w:lang w:val="fr-FR"/>
              </w:rPr>
              <w:t xml:space="preserve">de ménages </w:t>
            </w:r>
            <w:r>
              <w:rPr>
                <w:i/>
                <w:sz w:val="18"/>
                <w:szCs w:val="18"/>
                <w:lang w:val="fr-FR"/>
              </w:rPr>
              <w:br/>
            </w:r>
            <w:r w:rsidRPr="00815AA9">
              <w:rPr>
                <w:i/>
                <w:sz w:val="18"/>
                <w:szCs w:val="18"/>
                <w:lang w:val="fr-FR"/>
              </w:rPr>
              <w:t>(en milliers)</w:t>
            </w:r>
          </w:p>
        </w:tc>
        <w:tc>
          <w:tcPr>
            <w:tcW w:w="744" w:type="dxa"/>
            <w:shd w:val="clear" w:color="auto" w:fill="auto"/>
            <w:vAlign w:val="bottom"/>
          </w:tcPr>
          <w:p w14:paraId="49DB6EF9" w14:textId="77777777" w:rsidR="00815AA9" w:rsidRPr="000C4FDB" w:rsidRDefault="00815AA9" w:rsidP="00B5080E">
            <w:pPr>
              <w:keepNext/>
              <w:suppressAutoHyphens w:val="0"/>
              <w:spacing w:before="40" w:after="40" w:line="220" w:lineRule="exact"/>
              <w:jc w:val="right"/>
              <w:rPr>
                <w:sz w:val="18"/>
              </w:rPr>
            </w:pPr>
            <w:r w:rsidRPr="000C4FDB">
              <w:rPr>
                <w:sz w:val="18"/>
              </w:rPr>
              <w:t>1 754,7</w:t>
            </w:r>
          </w:p>
        </w:tc>
        <w:tc>
          <w:tcPr>
            <w:tcW w:w="744" w:type="dxa"/>
            <w:shd w:val="clear" w:color="auto" w:fill="auto"/>
            <w:vAlign w:val="bottom"/>
          </w:tcPr>
          <w:p w14:paraId="023D2F23" w14:textId="77777777" w:rsidR="00815AA9" w:rsidRPr="000C4FDB" w:rsidRDefault="00815AA9" w:rsidP="00B5080E">
            <w:pPr>
              <w:keepNext/>
              <w:suppressAutoHyphens w:val="0"/>
              <w:spacing w:before="40" w:after="40" w:line="220" w:lineRule="exact"/>
              <w:jc w:val="right"/>
              <w:rPr>
                <w:sz w:val="18"/>
              </w:rPr>
            </w:pPr>
            <w:r w:rsidRPr="000C4FDB">
              <w:rPr>
                <w:sz w:val="18"/>
              </w:rPr>
              <w:t>1 752,9</w:t>
            </w:r>
          </w:p>
        </w:tc>
        <w:tc>
          <w:tcPr>
            <w:tcW w:w="744" w:type="dxa"/>
            <w:shd w:val="clear" w:color="auto" w:fill="auto"/>
            <w:vAlign w:val="bottom"/>
          </w:tcPr>
          <w:p w14:paraId="0045FBAE" w14:textId="77777777" w:rsidR="00815AA9" w:rsidRPr="000C4FDB" w:rsidRDefault="00815AA9" w:rsidP="00B5080E">
            <w:pPr>
              <w:keepNext/>
              <w:suppressAutoHyphens w:val="0"/>
              <w:spacing w:before="40" w:after="40" w:line="220" w:lineRule="exact"/>
              <w:jc w:val="right"/>
              <w:rPr>
                <w:sz w:val="18"/>
              </w:rPr>
            </w:pPr>
            <w:r w:rsidRPr="000C4FDB">
              <w:rPr>
                <w:sz w:val="18"/>
              </w:rPr>
              <w:t>1 751,8</w:t>
            </w:r>
          </w:p>
        </w:tc>
        <w:tc>
          <w:tcPr>
            <w:tcW w:w="744" w:type="dxa"/>
            <w:shd w:val="clear" w:color="auto" w:fill="auto"/>
            <w:vAlign w:val="bottom"/>
          </w:tcPr>
          <w:p w14:paraId="17D4EAE7" w14:textId="77777777" w:rsidR="00815AA9" w:rsidRPr="000C4FDB" w:rsidRDefault="00815AA9" w:rsidP="00B5080E">
            <w:pPr>
              <w:keepNext/>
              <w:suppressAutoHyphens w:val="0"/>
              <w:spacing w:before="40" w:after="40" w:line="220" w:lineRule="exact"/>
              <w:jc w:val="right"/>
              <w:rPr>
                <w:sz w:val="18"/>
              </w:rPr>
            </w:pPr>
            <w:r w:rsidRPr="000C4FDB">
              <w:rPr>
                <w:sz w:val="18"/>
              </w:rPr>
              <w:t>1 764,5</w:t>
            </w:r>
          </w:p>
        </w:tc>
        <w:tc>
          <w:tcPr>
            <w:tcW w:w="744" w:type="dxa"/>
            <w:shd w:val="clear" w:color="auto" w:fill="auto"/>
            <w:vAlign w:val="bottom"/>
          </w:tcPr>
          <w:p w14:paraId="5E445C3A" w14:textId="77777777" w:rsidR="00815AA9" w:rsidRPr="000C4FDB" w:rsidRDefault="00815AA9" w:rsidP="00B5080E">
            <w:pPr>
              <w:keepNext/>
              <w:suppressAutoHyphens w:val="0"/>
              <w:spacing w:before="40" w:after="40" w:line="220" w:lineRule="exact"/>
              <w:jc w:val="right"/>
              <w:rPr>
                <w:sz w:val="18"/>
              </w:rPr>
            </w:pPr>
            <w:r w:rsidRPr="000C4FDB">
              <w:rPr>
                <w:sz w:val="18"/>
              </w:rPr>
              <w:t>1 813,2</w:t>
            </w:r>
          </w:p>
        </w:tc>
        <w:tc>
          <w:tcPr>
            <w:tcW w:w="744" w:type="dxa"/>
            <w:shd w:val="clear" w:color="auto" w:fill="auto"/>
            <w:vAlign w:val="bottom"/>
          </w:tcPr>
          <w:p w14:paraId="7F93157A" w14:textId="77777777" w:rsidR="00815AA9" w:rsidRPr="000C4FDB" w:rsidRDefault="00815AA9" w:rsidP="00B5080E">
            <w:pPr>
              <w:keepNext/>
              <w:suppressAutoHyphens w:val="0"/>
              <w:spacing w:before="40" w:after="40" w:line="220" w:lineRule="exact"/>
              <w:jc w:val="right"/>
              <w:rPr>
                <w:sz w:val="18"/>
              </w:rPr>
            </w:pPr>
            <w:r w:rsidRPr="000C4FDB">
              <w:rPr>
                <w:sz w:val="18"/>
              </w:rPr>
              <w:t>1 830,2</w:t>
            </w:r>
          </w:p>
        </w:tc>
        <w:tc>
          <w:tcPr>
            <w:tcW w:w="744" w:type="dxa"/>
            <w:shd w:val="clear" w:color="auto" w:fill="auto"/>
            <w:vAlign w:val="bottom"/>
          </w:tcPr>
          <w:p w14:paraId="48ABE58D" w14:textId="77777777" w:rsidR="00815AA9" w:rsidRPr="000C4FDB" w:rsidRDefault="00815AA9" w:rsidP="00B5080E">
            <w:pPr>
              <w:keepNext/>
              <w:suppressAutoHyphens w:val="0"/>
              <w:spacing w:before="40" w:after="40" w:line="220" w:lineRule="exact"/>
              <w:jc w:val="right"/>
              <w:rPr>
                <w:sz w:val="18"/>
              </w:rPr>
            </w:pPr>
            <w:r w:rsidRPr="000C4FDB">
              <w:rPr>
                <w:sz w:val="18"/>
              </w:rPr>
              <w:t>1 829,6</w:t>
            </w:r>
          </w:p>
        </w:tc>
        <w:tc>
          <w:tcPr>
            <w:tcW w:w="744" w:type="dxa"/>
            <w:shd w:val="clear" w:color="auto" w:fill="auto"/>
            <w:vAlign w:val="bottom"/>
          </w:tcPr>
          <w:p w14:paraId="0592325C" w14:textId="77777777" w:rsidR="00815AA9" w:rsidRPr="000C4FDB" w:rsidRDefault="00815AA9" w:rsidP="00B5080E">
            <w:pPr>
              <w:keepNext/>
              <w:suppressAutoHyphens w:val="0"/>
              <w:spacing w:before="40" w:after="40" w:line="220" w:lineRule="exact"/>
              <w:jc w:val="right"/>
              <w:rPr>
                <w:sz w:val="18"/>
              </w:rPr>
            </w:pPr>
            <w:r w:rsidRPr="000C4FDB">
              <w:rPr>
                <w:sz w:val="18"/>
              </w:rPr>
              <w:t>1 846,1</w:t>
            </w:r>
          </w:p>
        </w:tc>
      </w:tr>
      <w:tr w:rsidR="00815AA9" w:rsidRPr="000C4FDB" w14:paraId="3E640CBF" w14:textId="77777777" w:rsidTr="00815AA9">
        <w:tc>
          <w:tcPr>
            <w:tcW w:w="1418" w:type="dxa"/>
            <w:tcBorders>
              <w:bottom w:val="single" w:sz="12" w:space="0" w:color="auto"/>
            </w:tcBorders>
            <w:vAlign w:val="bottom"/>
          </w:tcPr>
          <w:p w14:paraId="7F2BB440" w14:textId="77777777" w:rsidR="00815AA9" w:rsidRPr="00815AA9" w:rsidRDefault="00815AA9" w:rsidP="00815AA9">
            <w:pPr>
              <w:spacing w:before="40" w:after="40" w:line="220" w:lineRule="exact"/>
              <w:rPr>
                <w:i/>
                <w:sz w:val="18"/>
                <w:szCs w:val="18"/>
                <w:lang w:val="fr-FR"/>
              </w:rPr>
            </w:pPr>
            <w:r w:rsidRPr="00815AA9">
              <w:rPr>
                <w:i/>
                <w:sz w:val="18"/>
                <w:szCs w:val="18"/>
                <w:lang w:val="fr-FR"/>
              </w:rPr>
              <w:t xml:space="preserve">Nombre moyen </w:t>
            </w:r>
            <w:r w:rsidR="00690D2C">
              <w:rPr>
                <w:i/>
                <w:sz w:val="18"/>
                <w:szCs w:val="18"/>
                <w:lang w:val="fr-FR"/>
              </w:rPr>
              <w:br/>
            </w:r>
            <w:r w:rsidRPr="00815AA9">
              <w:rPr>
                <w:i/>
                <w:sz w:val="18"/>
                <w:szCs w:val="18"/>
                <w:lang w:val="fr-FR"/>
              </w:rPr>
              <w:t xml:space="preserve">de personnes </w:t>
            </w:r>
            <w:r w:rsidR="00690D2C">
              <w:rPr>
                <w:i/>
                <w:sz w:val="18"/>
                <w:szCs w:val="18"/>
                <w:lang w:val="fr-FR"/>
              </w:rPr>
              <w:br/>
            </w:r>
            <w:r w:rsidRPr="00815AA9">
              <w:rPr>
                <w:i/>
                <w:sz w:val="18"/>
                <w:szCs w:val="18"/>
                <w:lang w:val="fr-FR"/>
              </w:rPr>
              <w:t>par ménage</w:t>
            </w:r>
          </w:p>
        </w:tc>
        <w:tc>
          <w:tcPr>
            <w:tcW w:w="744" w:type="dxa"/>
            <w:tcBorders>
              <w:bottom w:val="single" w:sz="12" w:space="0" w:color="auto"/>
            </w:tcBorders>
            <w:shd w:val="clear" w:color="auto" w:fill="auto"/>
            <w:vAlign w:val="bottom"/>
          </w:tcPr>
          <w:p w14:paraId="4AAEE8F2" w14:textId="77777777" w:rsidR="00815AA9" w:rsidRPr="000C4FDB" w:rsidRDefault="00815AA9" w:rsidP="00815AA9">
            <w:pPr>
              <w:suppressAutoHyphens w:val="0"/>
              <w:spacing w:before="40" w:after="40" w:line="220" w:lineRule="exact"/>
              <w:jc w:val="right"/>
              <w:rPr>
                <w:sz w:val="18"/>
              </w:rPr>
            </w:pPr>
            <w:r w:rsidRPr="000C4FDB">
              <w:rPr>
                <w:sz w:val="18"/>
              </w:rPr>
              <w:t>2,71</w:t>
            </w:r>
          </w:p>
        </w:tc>
        <w:tc>
          <w:tcPr>
            <w:tcW w:w="744" w:type="dxa"/>
            <w:tcBorders>
              <w:bottom w:val="single" w:sz="12" w:space="0" w:color="auto"/>
            </w:tcBorders>
            <w:shd w:val="clear" w:color="auto" w:fill="auto"/>
            <w:vAlign w:val="bottom"/>
          </w:tcPr>
          <w:p w14:paraId="332B62C2" w14:textId="77777777" w:rsidR="00815AA9" w:rsidRPr="000C4FDB" w:rsidRDefault="00815AA9" w:rsidP="00815AA9">
            <w:pPr>
              <w:suppressAutoHyphens w:val="0"/>
              <w:spacing w:before="40" w:after="40" w:line="220" w:lineRule="exact"/>
              <w:jc w:val="right"/>
              <w:rPr>
                <w:sz w:val="18"/>
              </w:rPr>
            </w:pPr>
            <w:r w:rsidRPr="000C4FDB">
              <w:rPr>
                <w:sz w:val="18"/>
              </w:rPr>
              <w:t>2,72</w:t>
            </w:r>
          </w:p>
        </w:tc>
        <w:tc>
          <w:tcPr>
            <w:tcW w:w="744" w:type="dxa"/>
            <w:tcBorders>
              <w:bottom w:val="single" w:sz="12" w:space="0" w:color="auto"/>
            </w:tcBorders>
            <w:shd w:val="clear" w:color="auto" w:fill="auto"/>
            <w:vAlign w:val="bottom"/>
          </w:tcPr>
          <w:p w14:paraId="227873F6" w14:textId="77777777" w:rsidR="00815AA9" w:rsidRPr="000C4FDB" w:rsidRDefault="00815AA9" w:rsidP="00815AA9">
            <w:pPr>
              <w:suppressAutoHyphens w:val="0"/>
              <w:spacing w:before="40" w:after="40" w:line="220" w:lineRule="exact"/>
              <w:jc w:val="right"/>
              <w:rPr>
                <w:sz w:val="18"/>
              </w:rPr>
            </w:pPr>
            <w:r w:rsidRPr="000C4FDB">
              <w:rPr>
                <w:sz w:val="18"/>
              </w:rPr>
              <w:t>2,73</w:t>
            </w:r>
          </w:p>
        </w:tc>
        <w:tc>
          <w:tcPr>
            <w:tcW w:w="744" w:type="dxa"/>
            <w:tcBorders>
              <w:bottom w:val="single" w:sz="12" w:space="0" w:color="auto"/>
            </w:tcBorders>
            <w:shd w:val="clear" w:color="auto" w:fill="auto"/>
            <w:vAlign w:val="bottom"/>
          </w:tcPr>
          <w:p w14:paraId="020562C9" w14:textId="77777777" w:rsidR="00815AA9" w:rsidRPr="000C4FDB" w:rsidRDefault="00815AA9" w:rsidP="00815AA9">
            <w:pPr>
              <w:suppressAutoHyphens w:val="0"/>
              <w:spacing w:before="40" w:after="40" w:line="220" w:lineRule="exact"/>
              <w:jc w:val="right"/>
              <w:rPr>
                <w:sz w:val="18"/>
              </w:rPr>
            </w:pPr>
            <w:r w:rsidRPr="000C4FDB">
              <w:rPr>
                <w:sz w:val="18"/>
              </w:rPr>
              <w:t>2,72</w:t>
            </w:r>
          </w:p>
        </w:tc>
        <w:tc>
          <w:tcPr>
            <w:tcW w:w="744" w:type="dxa"/>
            <w:tcBorders>
              <w:bottom w:val="single" w:sz="12" w:space="0" w:color="auto"/>
            </w:tcBorders>
            <w:shd w:val="clear" w:color="auto" w:fill="auto"/>
            <w:vAlign w:val="bottom"/>
          </w:tcPr>
          <w:p w14:paraId="23AB7843" w14:textId="77777777" w:rsidR="00815AA9" w:rsidRPr="000C4FDB" w:rsidRDefault="00815AA9" w:rsidP="00815AA9">
            <w:pPr>
              <w:suppressAutoHyphens w:val="0"/>
              <w:spacing w:before="40" w:after="40" w:line="220" w:lineRule="exact"/>
              <w:jc w:val="right"/>
              <w:rPr>
                <w:sz w:val="18"/>
              </w:rPr>
            </w:pPr>
            <w:r w:rsidRPr="000C4FDB">
              <w:rPr>
                <w:sz w:val="18"/>
              </w:rPr>
              <w:t>2,65</w:t>
            </w:r>
          </w:p>
        </w:tc>
        <w:tc>
          <w:tcPr>
            <w:tcW w:w="744" w:type="dxa"/>
            <w:tcBorders>
              <w:bottom w:val="single" w:sz="12" w:space="0" w:color="auto"/>
            </w:tcBorders>
            <w:shd w:val="clear" w:color="auto" w:fill="auto"/>
            <w:vAlign w:val="bottom"/>
          </w:tcPr>
          <w:p w14:paraId="04316183" w14:textId="77777777" w:rsidR="00815AA9" w:rsidRPr="000C4FDB" w:rsidRDefault="00815AA9" w:rsidP="00815AA9">
            <w:pPr>
              <w:suppressAutoHyphens w:val="0"/>
              <w:spacing w:before="40" w:after="40" w:line="220" w:lineRule="exact"/>
              <w:jc w:val="right"/>
              <w:rPr>
                <w:sz w:val="18"/>
              </w:rPr>
            </w:pPr>
            <w:r w:rsidRPr="000C4FDB">
              <w:rPr>
                <w:sz w:val="18"/>
              </w:rPr>
              <w:t>2,64</w:t>
            </w:r>
          </w:p>
        </w:tc>
        <w:tc>
          <w:tcPr>
            <w:tcW w:w="744" w:type="dxa"/>
            <w:tcBorders>
              <w:bottom w:val="single" w:sz="12" w:space="0" w:color="auto"/>
            </w:tcBorders>
            <w:shd w:val="clear" w:color="auto" w:fill="auto"/>
            <w:vAlign w:val="bottom"/>
          </w:tcPr>
          <w:p w14:paraId="7576876C" w14:textId="77777777" w:rsidR="00815AA9" w:rsidRPr="000C4FDB" w:rsidRDefault="00815AA9" w:rsidP="00815AA9">
            <w:pPr>
              <w:suppressAutoHyphens w:val="0"/>
              <w:spacing w:before="40" w:after="40" w:line="220" w:lineRule="exact"/>
              <w:jc w:val="right"/>
              <w:rPr>
                <w:sz w:val="18"/>
              </w:rPr>
            </w:pPr>
            <w:r w:rsidRPr="000C4FDB">
              <w:rPr>
                <w:sz w:val="18"/>
              </w:rPr>
              <w:t>2,64</w:t>
            </w:r>
          </w:p>
        </w:tc>
        <w:tc>
          <w:tcPr>
            <w:tcW w:w="744" w:type="dxa"/>
            <w:tcBorders>
              <w:bottom w:val="single" w:sz="12" w:space="0" w:color="auto"/>
            </w:tcBorders>
            <w:shd w:val="clear" w:color="auto" w:fill="auto"/>
            <w:vAlign w:val="bottom"/>
          </w:tcPr>
          <w:p w14:paraId="5F363A36" w14:textId="77777777" w:rsidR="00815AA9" w:rsidRPr="000C4FDB" w:rsidRDefault="00815AA9" w:rsidP="00815AA9">
            <w:pPr>
              <w:suppressAutoHyphens w:val="0"/>
              <w:spacing w:before="40" w:after="40" w:line="220" w:lineRule="exact"/>
              <w:jc w:val="right"/>
              <w:rPr>
                <w:sz w:val="18"/>
              </w:rPr>
            </w:pPr>
            <w:r w:rsidRPr="000C4FDB">
              <w:rPr>
                <w:sz w:val="18"/>
              </w:rPr>
              <w:t>2,63</w:t>
            </w:r>
          </w:p>
        </w:tc>
      </w:tr>
    </w:tbl>
    <w:p w14:paraId="1F49E124" w14:textId="77777777" w:rsidR="00B5080E" w:rsidRPr="00B5080E" w:rsidRDefault="00B5080E" w:rsidP="00B5080E">
      <w:pPr>
        <w:pStyle w:val="SingleTxtG"/>
        <w:spacing w:before="120" w:after="0"/>
        <w:ind w:firstLine="170"/>
        <w:jc w:val="left"/>
        <w:rPr>
          <w:i/>
          <w:sz w:val="18"/>
          <w:szCs w:val="18"/>
          <w:lang w:val="fr-FR"/>
        </w:rPr>
      </w:pPr>
      <w:r w:rsidRPr="00B5080E">
        <w:rPr>
          <w:i/>
          <w:sz w:val="18"/>
          <w:szCs w:val="18"/>
          <w:lang w:val="fr-FR"/>
        </w:rPr>
        <w:t>Source</w:t>
      </w:r>
      <w:r>
        <w:rPr>
          <w:i/>
          <w:sz w:val="18"/>
          <w:szCs w:val="18"/>
          <w:lang w:val="fr-FR"/>
        </w:rPr>
        <w:t> </w:t>
      </w:r>
      <w:r w:rsidRPr="00B5080E">
        <w:rPr>
          <w:sz w:val="18"/>
          <w:szCs w:val="18"/>
          <w:lang w:val="fr-FR"/>
        </w:rPr>
        <w:t>:</w:t>
      </w:r>
      <w:r w:rsidRPr="00B5080E">
        <w:rPr>
          <w:i/>
          <w:sz w:val="18"/>
          <w:szCs w:val="18"/>
          <w:lang w:val="fr-FR"/>
        </w:rPr>
        <w:t xml:space="preserve"> </w:t>
      </w:r>
      <w:r w:rsidRPr="00B5080E">
        <w:rPr>
          <w:sz w:val="18"/>
          <w:szCs w:val="18"/>
          <w:lang w:val="fr-FR"/>
        </w:rPr>
        <w:t>Enquête sur la population active, Office central de statistique, Irlande. Période de référence</w:t>
      </w:r>
      <w:r>
        <w:rPr>
          <w:sz w:val="18"/>
          <w:szCs w:val="18"/>
          <w:lang w:val="fr-FR"/>
        </w:rPr>
        <w:t> </w:t>
      </w:r>
      <w:r w:rsidRPr="00B5080E">
        <w:rPr>
          <w:sz w:val="18"/>
          <w:szCs w:val="18"/>
          <w:lang w:val="fr-FR"/>
        </w:rPr>
        <w:t>: T1</w:t>
      </w:r>
      <w:r>
        <w:rPr>
          <w:sz w:val="18"/>
          <w:szCs w:val="18"/>
          <w:lang w:val="fr-FR"/>
        </w:rPr>
        <w:t xml:space="preserve"> </w:t>
      </w:r>
      <w:r w:rsidRPr="00B5080E">
        <w:rPr>
          <w:sz w:val="18"/>
          <w:szCs w:val="18"/>
          <w:lang w:val="fr-FR"/>
        </w:rPr>
        <w:t>=</w:t>
      </w:r>
      <w:r>
        <w:rPr>
          <w:sz w:val="18"/>
          <w:szCs w:val="18"/>
          <w:lang w:val="fr-FR"/>
        </w:rPr>
        <w:t xml:space="preserve"> </w:t>
      </w:r>
      <w:r w:rsidRPr="00B5080E">
        <w:rPr>
          <w:sz w:val="18"/>
          <w:szCs w:val="18"/>
          <w:lang w:val="fr-FR"/>
        </w:rPr>
        <w:t>janvier-mars, T2</w:t>
      </w:r>
      <w:r>
        <w:rPr>
          <w:sz w:val="18"/>
          <w:szCs w:val="18"/>
          <w:lang w:val="fr-FR"/>
        </w:rPr>
        <w:t xml:space="preserve"> </w:t>
      </w:r>
      <w:r w:rsidRPr="00B5080E">
        <w:rPr>
          <w:sz w:val="18"/>
          <w:szCs w:val="18"/>
          <w:lang w:val="fr-FR"/>
        </w:rPr>
        <w:t>=</w:t>
      </w:r>
      <w:r>
        <w:rPr>
          <w:sz w:val="18"/>
          <w:szCs w:val="18"/>
          <w:lang w:val="fr-FR"/>
        </w:rPr>
        <w:t xml:space="preserve"> </w:t>
      </w:r>
      <w:r w:rsidRPr="00B5080E">
        <w:rPr>
          <w:sz w:val="18"/>
          <w:szCs w:val="18"/>
          <w:lang w:val="fr-FR"/>
        </w:rPr>
        <w:t>avril-juin, T3</w:t>
      </w:r>
      <w:r>
        <w:rPr>
          <w:sz w:val="18"/>
          <w:szCs w:val="18"/>
          <w:lang w:val="fr-FR"/>
        </w:rPr>
        <w:t xml:space="preserve"> </w:t>
      </w:r>
      <w:r w:rsidRPr="00B5080E">
        <w:rPr>
          <w:sz w:val="18"/>
          <w:szCs w:val="18"/>
          <w:lang w:val="fr-FR"/>
        </w:rPr>
        <w:t>=</w:t>
      </w:r>
      <w:r>
        <w:rPr>
          <w:sz w:val="18"/>
          <w:szCs w:val="18"/>
          <w:lang w:val="fr-FR"/>
        </w:rPr>
        <w:t xml:space="preserve"> </w:t>
      </w:r>
      <w:r w:rsidRPr="00B5080E">
        <w:rPr>
          <w:sz w:val="18"/>
          <w:szCs w:val="18"/>
          <w:lang w:val="fr-FR"/>
        </w:rPr>
        <w:t>juillet-septembre, T4</w:t>
      </w:r>
      <w:r>
        <w:rPr>
          <w:sz w:val="18"/>
          <w:szCs w:val="18"/>
          <w:lang w:val="fr-FR"/>
        </w:rPr>
        <w:t xml:space="preserve"> </w:t>
      </w:r>
      <w:r w:rsidRPr="00B5080E">
        <w:rPr>
          <w:sz w:val="18"/>
          <w:szCs w:val="18"/>
          <w:lang w:val="fr-FR"/>
        </w:rPr>
        <w:t>=</w:t>
      </w:r>
      <w:r>
        <w:rPr>
          <w:sz w:val="18"/>
          <w:szCs w:val="18"/>
          <w:lang w:val="fr-FR"/>
        </w:rPr>
        <w:t xml:space="preserve"> </w:t>
      </w:r>
      <w:r w:rsidRPr="00B5080E">
        <w:rPr>
          <w:sz w:val="18"/>
          <w:szCs w:val="18"/>
          <w:lang w:val="fr-FR"/>
        </w:rPr>
        <w:t>octobre-décembre.</w:t>
      </w:r>
    </w:p>
    <w:p w14:paraId="704EEF2D" w14:textId="77777777" w:rsidR="00B5080E" w:rsidRPr="00B5080E" w:rsidRDefault="00B5080E" w:rsidP="00B5080E">
      <w:pPr>
        <w:pStyle w:val="SingleTxtG"/>
        <w:spacing w:after="0"/>
        <w:ind w:firstLine="170"/>
        <w:jc w:val="left"/>
        <w:rPr>
          <w:sz w:val="18"/>
          <w:szCs w:val="18"/>
          <w:lang w:val="fr-FR"/>
        </w:rPr>
      </w:pPr>
      <w:r w:rsidRPr="00B5080E">
        <w:rPr>
          <w:i/>
          <w:sz w:val="18"/>
          <w:szCs w:val="18"/>
          <w:lang w:val="fr-FR"/>
        </w:rPr>
        <w:lastRenderedPageBreak/>
        <w:t>Not</w:t>
      </w:r>
      <w:r>
        <w:rPr>
          <w:i/>
          <w:sz w:val="18"/>
          <w:szCs w:val="18"/>
          <w:lang w:val="fr-FR"/>
        </w:rPr>
        <w:t>e </w:t>
      </w:r>
      <w:r>
        <w:rPr>
          <w:sz w:val="18"/>
          <w:szCs w:val="18"/>
          <w:lang w:val="fr-FR"/>
        </w:rPr>
        <w:t xml:space="preserve">: </w:t>
      </w:r>
      <w:r w:rsidRPr="00B5080E">
        <w:rPr>
          <w:sz w:val="18"/>
          <w:szCs w:val="18"/>
          <w:lang w:val="fr-FR"/>
        </w:rPr>
        <w:t>Le coefficient moyen de pondération de tous les membres d</w:t>
      </w:r>
      <w:r w:rsidR="00784444">
        <w:rPr>
          <w:sz w:val="18"/>
          <w:szCs w:val="18"/>
          <w:lang w:val="fr-FR"/>
        </w:rPr>
        <w:t>’</w:t>
      </w:r>
      <w:r w:rsidRPr="00B5080E">
        <w:rPr>
          <w:sz w:val="18"/>
          <w:szCs w:val="18"/>
          <w:lang w:val="fr-FR"/>
        </w:rPr>
        <w:t>un ménage est utilisé pour calculer le nombre de ménages. Le nombre de ménages doit être considéré comme purement indicatif.</w:t>
      </w:r>
    </w:p>
    <w:p w14:paraId="1F3A8E08" w14:textId="77777777" w:rsidR="00BD2C13" w:rsidRDefault="00B5080E" w:rsidP="003A75B8">
      <w:pPr>
        <w:pStyle w:val="SingleTxtG"/>
        <w:spacing w:after="240"/>
        <w:ind w:firstLine="170"/>
        <w:jc w:val="left"/>
        <w:rPr>
          <w:sz w:val="18"/>
          <w:szCs w:val="18"/>
          <w:lang w:val="fr-FR"/>
        </w:rPr>
      </w:pPr>
      <w:r w:rsidRPr="00B5080E">
        <w:rPr>
          <w:i/>
          <w:sz w:val="18"/>
          <w:szCs w:val="18"/>
          <w:lang w:val="fr-FR"/>
        </w:rPr>
        <w:t>Note</w:t>
      </w:r>
      <w:r>
        <w:rPr>
          <w:i/>
          <w:sz w:val="18"/>
          <w:szCs w:val="18"/>
          <w:lang w:val="fr-FR"/>
        </w:rPr>
        <w:t xml:space="preserve"> </w:t>
      </w:r>
      <w:r w:rsidRPr="00B5080E">
        <w:rPr>
          <w:sz w:val="18"/>
          <w:szCs w:val="18"/>
          <w:lang w:val="fr-FR"/>
        </w:rPr>
        <w:t xml:space="preserve">: Une nouvelle </w:t>
      </w:r>
      <w:r w:rsidR="00987CA5">
        <w:rPr>
          <w:sz w:val="18"/>
          <w:szCs w:val="18"/>
          <w:lang w:val="fr-FR"/>
        </w:rPr>
        <w:t>e</w:t>
      </w:r>
      <w:r w:rsidRPr="00B5080E">
        <w:rPr>
          <w:sz w:val="18"/>
          <w:szCs w:val="18"/>
          <w:lang w:val="fr-FR"/>
        </w:rPr>
        <w:t>nquête sur la population active a remplacé l</w:t>
      </w:r>
      <w:r w:rsidR="00784444">
        <w:rPr>
          <w:sz w:val="18"/>
          <w:szCs w:val="18"/>
          <w:lang w:val="fr-FR"/>
        </w:rPr>
        <w:t>’</w:t>
      </w:r>
      <w:r w:rsidRPr="00B5080E">
        <w:rPr>
          <w:sz w:val="18"/>
          <w:szCs w:val="18"/>
          <w:lang w:val="fr-FR"/>
        </w:rPr>
        <w:t xml:space="preserve">enquête nationale trimestrielle auprès des ménages au </w:t>
      </w:r>
      <w:r>
        <w:rPr>
          <w:sz w:val="18"/>
          <w:szCs w:val="18"/>
          <w:lang w:val="fr-FR"/>
        </w:rPr>
        <w:t xml:space="preserve">troisième </w:t>
      </w:r>
      <w:r w:rsidRPr="00B5080E">
        <w:rPr>
          <w:sz w:val="18"/>
          <w:szCs w:val="18"/>
          <w:lang w:val="fr-FR"/>
        </w:rPr>
        <w:t>trimestre de 2017. Par conséquent, il convient de comparer avec précaution les données antérieures et postérieures à cette période.</w:t>
      </w:r>
    </w:p>
    <w:p w14:paraId="246785FA" w14:textId="77777777" w:rsidR="00B52338" w:rsidRDefault="00B52338" w:rsidP="00B52338">
      <w:pPr>
        <w:pStyle w:val="Titre1"/>
        <w:spacing w:after="120"/>
        <w:rPr>
          <w:b/>
          <w:lang w:val="fr-FR"/>
        </w:rPr>
      </w:pPr>
      <w:bookmarkStart w:id="178" w:name="_Hlk37830784"/>
      <w:r w:rsidRPr="00B52338">
        <w:rPr>
          <w:lang w:val="fr-FR"/>
        </w:rPr>
        <w:t>Tableau 5</w:t>
      </w:r>
      <w:r w:rsidRPr="00B52338">
        <w:rPr>
          <w:lang w:val="fr-FR"/>
        </w:rPr>
        <w:br/>
      </w:r>
      <w:bookmarkEnd w:id="178"/>
      <w:r w:rsidRPr="00B52338">
        <w:rPr>
          <w:b/>
          <w:lang w:val="fr-FR"/>
        </w:rPr>
        <w:t xml:space="preserve">Nombre de membres adultes dans la famille, classés selon le type de cellule familiale, </w:t>
      </w:r>
      <w:r w:rsidRPr="00B52338">
        <w:rPr>
          <w:b/>
          <w:lang w:val="fr-FR"/>
        </w:rPr>
        <w:br/>
        <w:t>la situation économique (OIT) et le sexe</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3"/>
        <w:gridCol w:w="719"/>
        <w:gridCol w:w="719"/>
        <w:gridCol w:w="720"/>
        <w:gridCol w:w="720"/>
        <w:gridCol w:w="720"/>
        <w:gridCol w:w="720"/>
        <w:gridCol w:w="720"/>
      </w:tblGrid>
      <w:tr w:rsidR="003279D5" w:rsidRPr="00984603" w14:paraId="481C7D61" w14:textId="77777777" w:rsidTr="004961FD">
        <w:trPr>
          <w:tblHeader/>
        </w:trPr>
        <w:tc>
          <w:tcPr>
            <w:tcW w:w="2693" w:type="dxa"/>
            <w:tcBorders>
              <w:top w:val="single" w:sz="4" w:space="0" w:color="auto"/>
              <w:bottom w:val="single" w:sz="12" w:space="0" w:color="auto"/>
            </w:tcBorders>
            <w:shd w:val="clear" w:color="auto" w:fill="auto"/>
            <w:vAlign w:val="bottom"/>
          </w:tcPr>
          <w:p w14:paraId="328B7CB9" w14:textId="77777777" w:rsidR="003279D5" w:rsidRPr="00984603" w:rsidRDefault="003279D5" w:rsidP="009E3526">
            <w:pPr>
              <w:spacing w:before="80" w:after="80" w:line="200" w:lineRule="exact"/>
              <w:rPr>
                <w:i/>
                <w:sz w:val="16"/>
              </w:rPr>
            </w:pPr>
            <w:bookmarkStart w:id="179" w:name="_Hlk37830495"/>
          </w:p>
        </w:tc>
        <w:tc>
          <w:tcPr>
            <w:tcW w:w="828" w:type="dxa"/>
            <w:tcBorders>
              <w:top w:val="single" w:sz="4" w:space="0" w:color="auto"/>
              <w:bottom w:val="single" w:sz="12" w:space="0" w:color="auto"/>
            </w:tcBorders>
            <w:shd w:val="clear" w:color="auto" w:fill="auto"/>
          </w:tcPr>
          <w:p w14:paraId="2C3C81D3"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T4 16</w:t>
            </w:r>
          </w:p>
        </w:tc>
        <w:tc>
          <w:tcPr>
            <w:tcW w:w="828" w:type="dxa"/>
            <w:tcBorders>
              <w:top w:val="single" w:sz="4" w:space="0" w:color="auto"/>
              <w:bottom w:val="single" w:sz="12" w:space="0" w:color="auto"/>
            </w:tcBorders>
            <w:shd w:val="clear" w:color="auto" w:fill="auto"/>
          </w:tcPr>
          <w:p w14:paraId="284D5378"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T1 17</w:t>
            </w:r>
          </w:p>
        </w:tc>
        <w:tc>
          <w:tcPr>
            <w:tcW w:w="828" w:type="dxa"/>
            <w:tcBorders>
              <w:top w:val="single" w:sz="4" w:space="0" w:color="auto"/>
              <w:bottom w:val="single" w:sz="12" w:space="0" w:color="auto"/>
            </w:tcBorders>
            <w:shd w:val="clear" w:color="auto" w:fill="auto"/>
          </w:tcPr>
          <w:p w14:paraId="3987F7F0"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T2 17</w:t>
            </w:r>
          </w:p>
        </w:tc>
        <w:tc>
          <w:tcPr>
            <w:tcW w:w="828" w:type="dxa"/>
            <w:tcBorders>
              <w:top w:val="single" w:sz="4" w:space="0" w:color="auto"/>
              <w:bottom w:val="single" w:sz="12" w:space="0" w:color="auto"/>
            </w:tcBorders>
            <w:shd w:val="clear" w:color="auto" w:fill="auto"/>
          </w:tcPr>
          <w:p w14:paraId="303F87C2"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T3 17</w:t>
            </w:r>
          </w:p>
        </w:tc>
        <w:tc>
          <w:tcPr>
            <w:tcW w:w="828" w:type="dxa"/>
            <w:tcBorders>
              <w:top w:val="single" w:sz="4" w:space="0" w:color="auto"/>
              <w:bottom w:val="single" w:sz="12" w:space="0" w:color="auto"/>
            </w:tcBorders>
            <w:shd w:val="clear" w:color="auto" w:fill="auto"/>
          </w:tcPr>
          <w:p w14:paraId="1047E197"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T4 17</w:t>
            </w:r>
          </w:p>
        </w:tc>
        <w:tc>
          <w:tcPr>
            <w:tcW w:w="828" w:type="dxa"/>
            <w:tcBorders>
              <w:top w:val="single" w:sz="4" w:space="0" w:color="auto"/>
              <w:bottom w:val="single" w:sz="12" w:space="0" w:color="auto"/>
            </w:tcBorders>
            <w:shd w:val="clear" w:color="auto" w:fill="auto"/>
          </w:tcPr>
          <w:p w14:paraId="30A6159A"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T1 18</w:t>
            </w:r>
          </w:p>
        </w:tc>
        <w:tc>
          <w:tcPr>
            <w:tcW w:w="828" w:type="dxa"/>
            <w:tcBorders>
              <w:top w:val="single" w:sz="4" w:space="0" w:color="auto"/>
              <w:bottom w:val="single" w:sz="12" w:space="0" w:color="auto"/>
            </w:tcBorders>
            <w:shd w:val="clear" w:color="auto" w:fill="auto"/>
          </w:tcPr>
          <w:p w14:paraId="6E97942D" w14:textId="77777777" w:rsidR="003279D5" w:rsidRPr="003279D5" w:rsidRDefault="003279D5" w:rsidP="009E3526">
            <w:pPr>
              <w:spacing w:before="80" w:after="80" w:line="200" w:lineRule="exact"/>
              <w:jc w:val="right"/>
              <w:rPr>
                <w:i/>
                <w:sz w:val="16"/>
                <w:szCs w:val="16"/>
                <w:lang w:val="fr-FR" w:eastAsia="en-IE"/>
              </w:rPr>
            </w:pPr>
            <w:r w:rsidRPr="003279D5">
              <w:rPr>
                <w:i/>
                <w:sz w:val="16"/>
                <w:szCs w:val="16"/>
                <w:lang w:val="fr-FR" w:eastAsia="en-IE"/>
              </w:rPr>
              <w:t>T2 18</w:t>
            </w:r>
          </w:p>
        </w:tc>
      </w:tr>
      <w:tr w:rsidR="003279D5" w:rsidRPr="003279D5" w14:paraId="0B3EBD3A" w14:textId="77777777" w:rsidTr="004961FD">
        <w:tc>
          <w:tcPr>
            <w:tcW w:w="2693" w:type="dxa"/>
            <w:tcBorders>
              <w:top w:val="single" w:sz="12" w:space="0" w:color="auto"/>
            </w:tcBorders>
            <w:shd w:val="clear" w:color="auto" w:fill="auto"/>
            <w:vAlign w:val="bottom"/>
          </w:tcPr>
          <w:p w14:paraId="0802D5F9" w14:textId="77777777" w:rsidR="003279D5" w:rsidRPr="00987CA5" w:rsidRDefault="003279D5" w:rsidP="009E3526">
            <w:pPr>
              <w:spacing w:before="40" w:after="40" w:line="220" w:lineRule="exact"/>
              <w:rPr>
                <w:i/>
                <w:sz w:val="18"/>
                <w:szCs w:val="18"/>
                <w:lang w:val="fr-FR"/>
              </w:rPr>
            </w:pPr>
            <w:r w:rsidRPr="00987CA5">
              <w:rPr>
                <w:i/>
                <w:sz w:val="18"/>
                <w:szCs w:val="18"/>
                <w:lang w:val="fr-FR" w:eastAsia="en-IE"/>
              </w:rPr>
              <w:t>Type de cellule familiale/</w:t>
            </w:r>
            <w:r w:rsidR="004961FD">
              <w:rPr>
                <w:i/>
                <w:sz w:val="18"/>
                <w:szCs w:val="18"/>
                <w:lang w:val="fr-FR" w:eastAsia="en-IE"/>
              </w:rPr>
              <w:t xml:space="preserve"> </w:t>
            </w:r>
            <w:r w:rsidRPr="00987CA5">
              <w:rPr>
                <w:i/>
                <w:sz w:val="18"/>
                <w:szCs w:val="18"/>
                <w:lang w:val="fr-FR" w:eastAsia="en-IE"/>
              </w:rPr>
              <w:t>situation économique</w:t>
            </w:r>
            <w:r w:rsidR="003A75B8" w:rsidRPr="00987CA5">
              <w:rPr>
                <w:i/>
                <w:sz w:val="18"/>
                <w:szCs w:val="18"/>
                <w:lang w:val="fr-FR" w:eastAsia="en-IE"/>
              </w:rPr>
              <w:t xml:space="preserve"> </w:t>
            </w:r>
            <w:r w:rsidRPr="00987CA5">
              <w:rPr>
                <w:i/>
                <w:sz w:val="18"/>
                <w:szCs w:val="18"/>
                <w:lang w:val="fr-FR" w:eastAsia="en-IE"/>
              </w:rPr>
              <w:t>(OIT)/</w:t>
            </w:r>
            <w:r w:rsidR="004961FD">
              <w:rPr>
                <w:i/>
                <w:sz w:val="18"/>
                <w:szCs w:val="18"/>
                <w:lang w:val="fr-FR" w:eastAsia="en-IE"/>
              </w:rPr>
              <w:t xml:space="preserve"> </w:t>
            </w:r>
            <w:r w:rsidRPr="00987CA5">
              <w:rPr>
                <w:i/>
                <w:sz w:val="18"/>
                <w:szCs w:val="18"/>
                <w:lang w:val="fr-FR" w:eastAsia="en-IE"/>
              </w:rPr>
              <w:t>sexe</w:t>
            </w:r>
          </w:p>
        </w:tc>
        <w:tc>
          <w:tcPr>
            <w:tcW w:w="828" w:type="dxa"/>
            <w:tcBorders>
              <w:top w:val="single" w:sz="12" w:space="0" w:color="auto"/>
            </w:tcBorders>
            <w:shd w:val="clear" w:color="auto" w:fill="auto"/>
            <w:vAlign w:val="bottom"/>
          </w:tcPr>
          <w:p w14:paraId="6FD75BDD" w14:textId="77777777" w:rsidR="003279D5" w:rsidRPr="00F72E58" w:rsidRDefault="003279D5" w:rsidP="009E3526">
            <w:pPr>
              <w:spacing w:before="40" w:after="40" w:line="220" w:lineRule="exact"/>
              <w:jc w:val="right"/>
              <w:rPr>
                <w:sz w:val="18"/>
                <w:szCs w:val="18"/>
              </w:rPr>
            </w:pPr>
          </w:p>
        </w:tc>
        <w:tc>
          <w:tcPr>
            <w:tcW w:w="828" w:type="dxa"/>
            <w:tcBorders>
              <w:top w:val="single" w:sz="12" w:space="0" w:color="auto"/>
            </w:tcBorders>
            <w:shd w:val="clear" w:color="auto" w:fill="auto"/>
            <w:vAlign w:val="bottom"/>
          </w:tcPr>
          <w:p w14:paraId="33EC2625" w14:textId="77777777" w:rsidR="003279D5" w:rsidRPr="00F72E58" w:rsidRDefault="003279D5" w:rsidP="009E3526">
            <w:pPr>
              <w:spacing w:before="40" w:after="40" w:line="220" w:lineRule="exact"/>
              <w:jc w:val="right"/>
              <w:rPr>
                <w:sz w:val="18"/>
                <w:szCs w:val="18"/>
              </w:rPr>
            </w:pPr>
          </w:p>
        </w:tc>
        <w:tc>
          <w:tcPr>
            <w:tcW w:w="828" w:type="dxa"/>
            <w:tcBorders>
              <w:top w:val="single" w:sz="12" w:space="0" w:color="auto"/>
            </w:tcBorders>
            <w:shd w:val="clear" w:color="auto" w:fill="auto"/>
            <w:vAlign w:val="bottom"/>
          </w:tcPr>
          <w:p w14:paraId="058032D6" w14:textId="77777777" w:rsidR="003279D5" w:rsidRPr="00F72E58" w:rsidRDefault="003279D5" w:rsidP="009E3526">
            <w:pPr>
              <w:spacing w:before="40" w:after="40" w:line="220" w:lineRule="exact"/>
              <w:jc w:val="right"/>
              <w:rPr>
                <w:sz w:val="18"/>
                <w:szCs w:val="18"/>
              </w:rPr>
            </w:pPr>
          </w:p>
        </w:tc>
        <w:tc>
          <w:tcPr>
            <w:tcW w:w="828" w:type="dxa"/>
            <w:tcBorders>
              <w:top w:val="single" w:sz="12" w:space="0" w:color="auto"/>
            </w:tcBorders>
            <w:shd w:val="clear" w:color="auto" w:fill="auto"/>
            <w:vAlign w:val="bottom"/>
          </w:tcPr>
          <w:p w14:paraId="222AE39B" w14:textId="77777777" w:rsidR="003279D5" w:rsidRPr="00F72E58" w:rsidRDefault="003279D5" w:rsidP="009E3526">
            <w:pPr>
              <w:spacing w:before="40" w:after="40" w:line="220" w:lineRule="exact"/>
              <w:jc w:val="right"/>
              <w:rPr>
                <w:sz w:val="18"/>
                <w:szCs w:val="18"/>
              </w:rPr>
            </w:pPr>
          </w:p>
        </w:tc>
        <w:tc>
          <w:tcPr>
            <w:tcW w:w="828" w:type="dxa"/>
            <w:tcBorders>
              <w:top w:val="single" w:sz="12" w:space="0" w:color="auto"/>
            </w:tcBorders>
            <w:shd w:val="clear" w:color="auto" w:fill="auto"/>
            <w:vAlign w:val="bottom"/>
          </w:tcPr>
          <w:p w14:paraId="626A7D0F" w14:textId="77777777" w:rsidR="003279D5" w:rsidRPr="00F72E58" w:rsidRDefault="003279D5" w:rsidP="009E3526">
            <w:pPr>
              <w:spacing w:before="40" w:after="40" w:line="220" w:lineRule="exact"/>
              <w:jc w:val="right"/>
              <w:rPr>
                <w:sz w:val="18"/>
                <w:szCs w:val="18"/>
              </w:rPr>
            </w:pPr>
          </w:p>
        </w:tc>
        <w:tc>
          <w:tcPr>
            <w:tcW w:w="828" w:type="dxa"/>
            <w:tcBorders>
              <w:top w:val="single" w:sz="12" w:space="0" w:color="auto"/>
            </w:tcBorders>
            <w:shd w:val="clear" w:color="auto" w:fill="auto"/>
            <w:vAlign w:val="bottom"/>
          </w:tcPr>
          <w:p w14:paraId="2A4C9ACB" w14:textId="77777777" w:rsidR="003279D5" w:rsidRPr="00F72E58" w:rsidRDefault="003279D5" w:rsidP="009E3526">
            <w:pPr>
              <w:spacing w:before="40" w:after="40" w:line="220" w:lineRule="exact"/>
              <w:jc w:val="right"/>
              <w:rPr>
                <w:sz w:val="18"/>
                <w:szCs w:val="18"/>
              </w:rPr>
            </w:pPr>
          </w:p>
        </w:tc>
        <w:tc>
          <w:tcPr>
            <w:tcW w:w="828" w:type="dxa"/>
            <w:tcBorders>
              <w:top w:val="single" w:sz="12" w:space="0" w:color="auto"/>
            </w:tcBorders>
            <w:shd w:val="clear" w:color="auto" w:fill="auto"/>
            <w:vAlign w:val="bottom"/>
          </w:tcPr>
          <w:p w14:paraId="57DB1844" w14:textId="77777777" w:rsidR="003279D5" w:rsidRPr="00F72E58" w:rsidRDefault="003279D5" w:rsidP="009E3526">
            <w:pPr>
              <w:spacing w:before="40" w:after="40" w:line="220" w:lineRule="exact"/>
              <w:jc w:val="right"/>
              <w:rPr>
                <w:sz w:val="18"/>
                <w:szCs w:val="18"/>
              </w:rPr>
            </w:pPr>
          </w:p>
        </w:tc>
      </w:tr>
      <w:tr w:rsidR="003279D5" w:rsidRPr="00984603" w14:paraId="46E98CC6" w14:textId="77777777" w:rsidTr="004961FD">
        <w:tc>
          <w:tcPr>
            <w:tcW w:w="828" w:type="dxa"/>
            <w:gridSpan w:val="8"/>
            <w:shd w:val="clear" w:color="auto" w:fill="auto"/>
          </w:tcPr>
          <w:p w14:paraId="00EE095B" w14:textId="77777777" w:rsidR="003279D5" w:rsidRPr="00F72E58" w:rsidRDefault="003279D5" w:rsidP="009E3526">
            <w:pPr>
              <w:spacing w:before="40" w:after="40" w:line="220" w:lineRule="exact"/>
              <w:rPr>
                <w:sz w:val="18"/>
                <w:szCs w:val="18"/>
              </w:rPr>
            </w:pPr>
            <w:r w:rsidRPr="00F72E58">
              <w:rPr>
                <w:b/>
                <w:bCs/>
                <w:sz w:val="18"/>
                <w:szCs w:val="18"/>
                <w:lang w:val="fr-FR"/>
              </w:rPr>
              <w:t>Couple sans enfants</w:t>
            </w:r>
          </w:p>
        </w:tc>
      </w:tr>
      <w:tr w:rsidR="003279D5" w:rsidRPr="00984603" w14:paraId="1D659E3A" w14:textId="77777777" w:rsidTr="004961FD">
        <w:tc>
          <w:tcPr>
            <w:tcW w:w="2693" w:type="dxa"/>
            <w:shd w:val="clear" w:color="auto" w:fill="auto"/>
            <w:vAlign w:val="bottom"/>
          </w:tcPr>
          <w:p w14:paraId="08CA61EC" w14:textId="77777777" w:rsidR="003279D5" w:rsidRPr="00F72E58" w:rsidRDefault="003279D5" w:rsidP="009E3526">
            <w:pPr>
              <w:spacing w:before="40" w:after="40" w:line="220" w:lineRule="exact"/>
              <w:rPr>
                <w:i/>
                <w:sz w:val="18"/>
                <w:szCs w:val="18"/>
                <w:lang w:val="fr-FR"/>
              </w:rPr>
            </w:pPr>
            <w:r w:rsidRPr="00F72E58">
              <w:rPr>
                <w:i/>
                <w:sz w:val="18"/>
                <w:szCs w:val="18"/>
                <w:lang w:val="fr-FR" w:eastAsia="en-IE"/>
              </w:rPr>
              <w:t>Actif avec emploi</w:t>
            </w:r>
          </w:p>
        </w:tc>
        <w:tc>
          <w:tcPr>
            <w:tcW w:w="828" w:type="dxa"/>
            <w:shd w:val="clear" w:color="auto" w:fill="auto"/>
            <w:vAlign w:val="bottom"/>
          </w:tcPr>
          <w:p w14:paraId="571B5F71"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029618B"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E8FF620"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3E2014A"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05861A8"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9A7217A"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BBC2F0C" w14:textId="77777777" w:rsidR="003279D5" w:rsidRPr="00F72E58" w:rsidRDefault="003279D5" w:rsidP="009E3526">
            <w:pPr>
              <w:spacing w:before="40" w:after="40" w:line="220" w:lineRule="exact"/>
              <w:jc w:val="right"/>
              <w:rPr>
                <w:sz w:val="18"/>
                <w:szCs w:val="18"/>
              </w:rPr>
            </w:pPr>
          </w:p>
        </w:tc>
      </w:tr>
      <w:tr w:rsidR="003279D5" w:rsidRPr="00984603" w14:paraId="38197F6E" w14:textId="77777777" w:rsidTr="004961FD">
        <w:tc>
          <w:tcPr>
            <w:tcW w:w="2693" w:type="dxa"/>
            <w:shd w:val="clear" w:color="auto" w:fill="auto"/>
          </w:tcPr>
          <w:p w14:paraId="5E73D9C1" w14:textId="77777777" w:rsidR="003279D5" w:rsidRPr="00F72E58" w:rsidRDefault="003279D5" w:rsidP="009E3526">
            <w:pPr>
              <w:spacing w:before="40" w:after="40" w:line="220" w:lineRule="exact"/>
              <w:ind w:firstLineChars="100" w:firstLine="180"/>
              <w:jc w:val="right"/>
              <w:rPr>
                <w:sz w:val="18"/>
                <w:szCs w:val="18"/>
                <w:lang w:val="fr-FR" w:eastAsia="en-IE"/>
              </w:rPr>
            </w:pPr>
            <w:r w:rsidRPr="00F72E58">
              <w:rPr>
                <w:sz w:val="18"/>
                <w:szCs w:val="18"/>
                <w:lang w:val="fr-FR" w:eastAsia="en-IE"/>
              </w:rPr>
              <w:t>Hommes</w:t>
            </w:r>
          </w:p>
        </w:tc>
        <w:tc>
          <w:tcPr>
            <w:tcW w:w="828" w:type="dxa"/>
            <w:shd w:val="clear" w:color="auto" w:fill="auto"/>
            <w:vAlign w:val="bottom"/>
          </w:tcPr>
          <w:p w14:paraId="1D75B448" w14:textId="77777777" w:rsidR="003279D5" w:rsidRPr="00F72E58" w:rsidRDefault="003279D5" w:rsidP="009E3526">
            <w:pPr>
              <w:spacing w:before="40" w:after="40" w:line="220" w:lineRule="exact"/>
              <w:jc w:val="right"/>
              <w:rPr>
                <w:sz w:val="18"/>
                <w:szCs w:val="18"/>
              </w:rPr>
            </w:pPr>
            <w:r w:rsidRPr="00F72E58">
              <w:rPr>
                <w:sz w:val="18"/>
                <w:szCs w:val="18"/>
              </w:rPr>
              <w:t>209,4</w:t>
            </w:r>
          </w:p>
        </w:tc>
        <w:tc>
          <w:tcPr>
            <w:tcW w:w="828" w:type="dxa"/>
            <w:shd w:val="clear" w:color="auto" w:fill="auto"/>
            <w:vAlign w:val="bottom"/>
          </w:tcPr>
          <w:p w14:paraId="4791E89A" w14:textId="77777777" w:rsidR="003279D5" w:rsidRPr="00F72E58" w:rsidRDefault="003279D5" w:rsidP="009E3526">
            <w:pPr>
              <w:spacing w:before="40" w:after="40" w:line="220" w:lineRule="exact"/>
              <w:jc w:val="right"/>
              <w:rPr>
                <w:sz w:val="18"/>
                <w:szCs w:val="18"/>
              </w:rPr>
            </w:pPr>
            <w:r w:rsidRPr="00F72E58">
              <w:rPr>
                <w:sz w:val="18"/>
                <w:szCs w:val="18"/>
              </w:rPr>
              <w:t>204,1</w:t>
            </w:r>
          </w:p>
        </w:tc>
        <w:tc>
          <w:tcPr>
            <w:tcW w:w="828" w:type="dxa"/>
            <w:shd w:val="clear" w:color="auto" w:fill="auto"/>
            <w:vAlign w:val="bottom"/>
          </w:tcPr>
          <w:p w14:paraId="4395297F" w14:textId="77777777" w:rsidR="003279D5" w:rsidRPr="00F72E58" w:rsidRDefault="003279D5" w:rsidP="009E3526">
            <w:pPr>
              <w:spacing w:before="40" w:after="40" w:line="220" w:lineRule="exact"/>
              <w:jc w:val="right"/>
              <w:rPr>
                <w:sz w:val="18"/>
                <w:szCs w:val="18"/>
              </w:rPr>
            </w:pPr>
            <w:r w:rsidRPr="00F72E58">
              <w:rPr>
                <w:sz w:val="18"/>
                <w:szCs w:val="18"/>
              </w:rPr>
              <w:t>208,4</w:t>
            </w:r>
          </w:p>
        </w:tc>
        <w:tc>
          <w:tcPr>
            <w:tcW w:w="828" w:type="dxa"/>
            <w:shd w:val="clear" w:color="auto" w:fill="auto"/>
            <w:vAlign w:val="bottom"/>
          </w:tcPr>
          <w:p w14:paraId="4C65C6E6" w14:textId="77777777" w:rsidR="003279D5" w:rsidRPr="00F72E58" w:rsidRDefault="003279D5" w:rsidP="009E3526">
            <w:pPr>
              <w:spacing w:before="40" w:after="40" w:line="220" w:lineRule="exact"/>
              <w:jc w:val="right"/>
              <w:rPr>
                <w:sz w:val="18"/>
                <w:szCs w:val="18"/>
              </w:rPr>
            </w:pPr>
            <w:r w:rsidRPr="00F72E58">
              <w:rPr>
                <w:sz w:val="18"/>
                <w:szCs w:val="18"/>
              </w:rPr>
              <w:t>215,9</w:t>
            </w:r>
          </w:p>
        </w:tc>
        <w:tc>
          <w:tcPr>
            <w:tcW w:w="828" w:type="dxa"/>
            <w:shd w:val="clear" w:color="auto" w:fill="auto"/>
            <w:vAlign w:val="bottom"/>
          </w:tcPr>
          <w:p w14:paraId="778C569E" w14:textId="77777777" w:rsidR="003279D5" w:rsidRPr="00F72E58" w:rsidRDefault="003279D5" w:rsidP="009E3526">
            <w:pPr>
              <w:spacing w:before="40" w:after="40" w:line="220" w:lineRule="exact"/>
              <w:jc w:val="right"/>
              <w:rPr>
                <w:sz w:val="18"/>
                <w:szCs w:val="18"/>
              </w:rPr>
            </w:pPr>
            <w:r w:rsidRPr="00F72E58">
              <w:rPr>
                <w:sz w:val="18"/>
                <w:szCs w:val="18"/>
              </w:rPr>
              <w:t>226,9</w:t>
            </w:r>
          </w:p>
        </w:tc>
        <w:tc>
          <w:tcPr>
            <w:tcW w:w="828" w:type="dxa"/>
            <w:shd w:val="clear" w:color="auto" w:fill="auto"/>
            <w:vAlign w:val="bottom"/>
          </w:tcPr>
          <w:p w14:paraId="5DE3EF45" w14:textId="77777777" w:rsidR="003279D5" w:rsidRPr="00F72E58" w:rsidRDefault="003279D5" w:rsidP="009E3526">
            <w:pPr>
              <w:spacing w:before="40" w:after="40" w:line="220" w:lineRule="exact"/>
              <w:jc w:val="right"/>
              <w:rPr>
                <w:sz w:val="18"/>
                <w:szCs w:val="18"/>
              </w:rPr>
            </w:pPr>
            <w:r w:rsidRPr="00F72E58">
              <w:rPr>
                <w:sz w:val="18"/>
                <w:szCs w:val="18"/>
              </w:rPr>
              <w:t>226,8</w:t>
            </w:r>
          </w:p>
        </w:tc>
        <w:tc>
          <w:tcPr>
            <w:tcW w:w="828" w:type="dxa"/>
            <w:shd w:val="clear" w:color="auto" w:fill="auto"/>
            <w:vAlign w:val="bottom"/>
          </w:tcPr>
          <w:p w14:paraId="0C5F1E49" w14:textId="77777777" w:rsidR="003279D5" w:rsidRPr="00F72E58" w:rsidRDefault="003279D5" w:rsidP="009E3526">
            <w:pPr>
              <w:spacing w:before="40" w:after="40" w:line="220" w:lineRule="exact"/>
              <w:jc w:val="right"/>
              <w:rPr>
                <w:sz w:val="18"/>
                <w:szCs w:val="18"/>
              </w:rPr>
            </w:pPr>
            <w:r w:rsidRPr="00F72E58">
              <w:rPr>
                <w:sz w:val="18"/>
                <w:szCs w:val="18"/>
              </w:rPr>
              <w:t>228,9</w:t>
            </w:r>
          </w:p>
        </w:tc>
      </w:tr>
      <w:tr w:rsidR="003279D5" w:rsidRPr="00984603" w14:paraId="7911C20F" w14:textId="77777777" w:rsidTr="004961FD">
        <w:tc>
          <w:tcPr>
            <w:tcW w:w="2693" w:type="dxa"/>
            <w:shd w:val="clear" w:color="auto" w:fill="auto"/>
          </w:tcPr>
          <w:p w14:paraId="453A7F8B" w14:textId="77777777" w:rsidR="003279D5" w:rsidRPr="00F72E58" w:rsidRDefault="003279D5" w:rsidP="009E3526">
            <w:pPr>
              <w:spacing w:before="40" w:after="40" w:line="220" w:lineRule="exact"/>
              <w:ind w:firstLineChars="100" w:firstLine="180"/>
              <w:jc w:val="right"/>
              <w:rPr>
                <w:sz w:val="18"/>
                <w:szCs w:val="18"/>
                <w:lang w:val="fr-FR" w:eastAsia="en-IE"/>
              </w:rPr>
            </w:pPr>
            <w:r w:rsidRPr="00F72E58">
              <w:rPr>
                <w:sz w:val="18"/>
                <w:szCs w:val="18"/>
                <w:lang w:val="fr-FR" w:eastAsia="en-IE"/>
              </w:rPr>
              <w:t>Femmes</w:t>
            </w:r>
          </w:p>
        </w:tc>
        <w:tc>
          <w:tcPr>
            <w:tcW w:w="828" w:type="dxa"/>
            <w:shd w:val="clear" w:color="auto" w:fill="auto"/>
            <w:vAlign w:val="bottom"/>
          </w:tcPr>
          <w:p w14:paraId="703BD681" w14:textId="77777777" w:rsidR="003279D5" w:rsidRPr="00F72E58" w:rsidRDefault="003279D5" w:rsidP="009E3526">
            <w:pPr>
              <w:spacing w:before="40" w:after="40" w:line="220" w:lineRule="exact"/>
              <w:jc w:val="right"/>
              <w:rPr>
                <w:sz w:val="18"/>
                <w:szCs w:val="18"/>
              </w:rPr>
            </w:pPr>
            <w:r w:rsidRPr="00F72E58">
              <w:rPr>
                <w:sz w:val="18"/>
                <w:szCs w:val="18"/>
              </w:rPr>
              <w:t>179,2</w:t>
            </w:r>
          </w:p>
        </w:tc>
        <w:tc>
          <w:tcPr>
            <w:tcW w:w="828" w:type="dxa"/>
            <w:shd w:val="clear" w:color="auto" w:fill="auto"/>
            <w:vAlign w:val="bottom"/>
          </w:tcPr>
          <w:p w14:paraId="42A0F8FE" w14:textId="77777777" w:rsidR="003279D5" w:rsidRPr="00F72E58" w:rsidRDefault="003279D5" w:rsidP="009E3526">
            <w:pPr>
              <w:spacing w:before="40" w:after="40" w:line="220" w:lineRule="exact"/>
              <w:jc w:val="right"/>
              <w:rPr>
                <w:sz w:val="18"/>
                <w:szCs w:val="18"/>
              </w:rPr>
            </w:pPr>
            <w:r w:rsidRPr="00F72E58">
              <w:rPr>
                <w:sz w:val="18"/>
                <w:szCs w:val="18"/>
              </w:rPr>
              <w:t>178,4</w:t>
            </w:r>
          </w:p>
        </w:tc>
        <w:tc>
          <w:tcPr>
            <w:tcW w:w="828" w:type="dxa"/>
            <w:shd w:val="clear" w:color="auto" w:fill="auto"/>
            <w:vAlign w:val="bottom"/>
          </w:tcPr>
          <w:p w14:paraId="347CF1EE" w14:textId="77777777" w:rsidR="003279D5" w:rsidRPr="00F72E58" w:rsidRDefault="003279D5" w:rsidP="009E3526">
            <w:pPr>
              <w:spacing w:before="40" w:after="40" w:line="220" w:lineRule="exact"/>
              <w:jc w:val="right"/>
              <w:rPr>
                <w:sz w:val="18"/>
                <w:szCs w:val="18"/>
              </w:rPr>
            </w:pPr>
            <w:r w:rsidRPr="00F72E58">
              <w:rPr>
                <w:sz w:val="18"/>
                <w:szCs w:val="18"/>
              </w:rPr>
              <w:t>184,2</w:t>
            </w:r>
          </w:p>
        </w:tc>
        <w:tc>
          <w:tcPr>
            <w:tcW w:w="828" w:type="dxa"/>
            <w:shd w:val="clear" w:color="auto" w:fill="auto"/>
            <w:vAlign w:val="bottom"/>
          </w:tcPr>
          <w:p w14:paraId="385A0024" w14:textId="77777777" w:rsidR="003279D5" w:rsidRPr="00F72E58" w:rsidRDefault="003279D5" w:rsidP="009E3526">
            <w:pPr>
              <w:spacing w:before="40" w:after="40" w:line="220" w:lineRule="exact"/>
              <w:jc w:val="right"/>
              <w:rPr>
                <w:sz w:val="18"/>
                <w:szCs w:val="18"/>
              </w:rPr>
            </w:pPr>
            <w:r w:rsidRPr="00F72E58">
              <w:rPr>
                <w:sz w:val="18"/>
                <w:szCs w:val="18"/>
              </w:rPr>
              <w:t>184,8</w:t>
            </w:r>
          </w:p>
        </w:tc>
        <w:tc>
          <w:tcPr>
            <w:tcW w:w="828" w:type="dxa"/>
            <w:shd w:val="clear" w:color="auto" w:fill="auto"/>
            <w:vAlign w:val="bottom"/>
          </w:tcPr>
          <w:p w14:paraId="6FC44642" w14:textId="77777777" w:rsidR="003279D5" w:rsidRPr="00F72E58" w:rsidRDefault="003279D5" w:rsidP="009E3526">
            <w:pPr>
              <w:spacing w:before="40" w:after="40" w:line="220" w:lineRule="exact"/>
              <w:jc w:val="right"/>
              <w:rPr>
                <w:sz w:val="18"/>
                <w:szCs w:val="18"/>
              </w:rPr>
            </w:pPr>
            <w:r w:rsidRPr="00F72E58">
              <w:rPr>
                <w:sz w:val="18"/>
                <w:szCs w:val="18"/>
              </w:rPr>
              <w:t>197,8</w:t>
            </w:r>
          </w:p>
        </w:tc>
        <w:tc>
          <w:tcPr>
            <w:tcW w:w="828" w:type="dxa"/>
            <w:shd w:val="clear" w:color="auto" w:fill="auto"/>
            <w:vAlign w:val="bottom"/>
          </w:tcPr>
          <w:p w14:paraId="57C8425E" w14:textId="77777777" w:rsidR="003279D5" w:rsidRPr="00F72E58" w:rsidRDefault="003279D5" w:rsidP="009E3526">
            <w:pPr>
              <w:spacing w:before="40" w:after="40" w:line="220" w:lineRule="exact"/>
              <w:jc w:val="right"/>
              <w:rPr>
                <w:sz w:val="18"/>
                <w:szCs w:val="18"/>
              </w:rPr>
            </w:pPr>
            <w:r w:rsidRPr="00F72E58">
              <w:rPr>
                <w:sz w:val="18"/>
                <w:szCs w:val="18"/>
              </w:rPr>
              <w:t>190,2</w:t>
            </w:r>
          </w:p>
        </w:tc>
        <w:tc>
          <w:tcPr>
            <w:tcW w:w="828" w:type="dxa"/>
            <w:shd w:val="clear" w:color="auto" w:fill="auto"/>
            <w:vAlign w:val="bottom"/>
          </w:tcPr>
          <w:p w14:paraId="38A6FBAC" w14:textId="77777777" w:rsidR="003279D5" w:rsidRPr="00F72E58" w:rsidRDefault="003279D5" w:rsidP="009E3526">
            <w:pPr>
              <w:spacing w:before="40" w:after="40" w:line="220" w:lineRule="exact"/>
              <w:jc w:val="right"/>
              <w:rPr>
                <w:sz w:val="18"/>
                <w:szCs w:val="18"/>
              </w:rPr>
            </w:pPr>
            <w:r w:rsidRPr="00F72E58">
              <w:rPr>
                <w:sz w:val="18"/>
                <w:szCs w:val="18"/>
              </w:rPr>
              <w:t>192,1</w:t>
            </w:r>
          </w:p>
        </w:tc>
      </w:tr>
      <w:tr w:rsidR="003279D5" w:rsidRPr="00984603" w14:paraId="2F188EDF" w14:textId="77777777" w:rsidTr="004961FD">
        <w:tc>
          <w:tcPr>
            <w:tcW w:w="2693" w:type="dxa"/>
            <w:shd w:val="clear" w:color="auto" w:fill="auto"/>
          </w:tcPr>
          <w:p w14:paraId="394EABB7" w14:textId="77777777" w:rsidR="003279D5" w:rsidRPr="00F72E58" w:rsidRDefault="003279D5" w:rsidP="009E3526">
            <w:pPr>
              <w:spacing w:before="40" w:after="40" w:line="220" w:lineRule="exact"/>
              <w:ind w:firstLineChars="100" w:firstLine="181"/>
              <w:jc w:val="right"/>
              <w:rPr>
                <w:b/>
                <w:bCs/>
                <w:sz w:val="18"/>
                <w:szCs w:val="18"/>
                <w:lang w:val="fr-FR" w:eastAsia="en-IE"/>
              </w:rPr>
            </w:pPr>
            <w:r w:rsidRPr="00F72E58">
              <w:rPr>
                <w:b/>
                <w:bCs/>
                <w:sz w:val="18"/>
                <w:szCs w:val="18"/>
                <w:lang w:val="fr-FR" w:eastAsia="en-IE"/>
              </w:rPr>
              <w:t>Total</w:t>
            </w:r>
          </w:p>
        </w:tc>
        <w:tc>
          <w:tcPr>
            <w:tcW w:w="828" w:type="dxa"/>
            <w:shd w:val="clear" w:color="auto" w:fill="auto"/>
            <w:vAlign w:val="bottom"/>
          </w:tcPr>
          <w:p w14:paraId="1A1E6579" w14:textId="77777777" w:rsidR="003279D5" w:rsidRPr="00F72E58" w:rsidRDefault="003279D5" w:rsidP="009E3526">
            <w:pPr>
              <w:spacing w:before="40" w:after="40" w:line="220" w:lineRule="exact"/>
              <w:jc w:val="right"/>
              <w:rPr>
                <w:b/>
                <w:bCs/>
                <w:sz w:val="18"/>
                <w:szCs w:val="18"/>
              </w:rPr>
            </w:pPr>
            <w:r w:rsidRPr="00F72E58">
              <w:rPr>
                <w:b/>
                <w:bCs/>
                <w:sz w:val="18"/>
                <w:szCs w:val="18"/>
              </w:rPr>
              <w:t>388,6</w:t>
            </w:r>
          </w:p>
        </w:tc>
        <w:tc>
          <w:tcPr>
            <w:tcW w:w="828" w:type="dxa"/>
            <w:shd w:val="clear" w:color="auto" w:fill="auto"/>
            <w:vAlign w:val="bottom"/>
          </w:tcPr>
          <w:p w14:paraId="1B278C34" w14:textId="77777777" w:rsidR="003279D5" w:rsidRPr="00F72E58" w:rsidRDefault="003279D5" w:rsidP="009E3526">
            <w:pPr>
              <w:spacing w:before="40" w:after="40" w:line="220" w:lineRule="exact"/>
              <w:jc w:val="right"/>
              <w:rPr>
                <w:b/>
                <w:bCs/>
                <w:sz w:val="18"/>
                <w:szCs w:val="18"/>
              </w:rPr>
            </w:pPr>
            <w:r w:rsidRPr="00F72E58">
              <w:rPr>
                <w:b/>
                <w:bCs/>
                <w:sz w:val="18"/>
                <w:szCs w:val="18"/>
              </w:rPr>
              <w:t>382,5</w:t>
            </w:r>
          </w:p>
        </w:tc>
        <w:tc>
          <w:tcPr>
            <w:tcW w:w="828" w:type="dxa"/>
            <w:shd w:val="clear" w:color="auto" w:fill="auto"/>
            <w:vAlign w:val="bottom"/>
          </w:tcPr>
          <w:p w14:paraId="573A7809" w14:textId="77777777" w:rsidR="003279D5" w:rsidRPr="00F72E58" w:rsidRDefault="003279D5" w:rsidP="009E3526">
            <w:pPr>
              <w:spacing w:before="40" w:after="40" w:line="220" w:lineRule="exact"/>
              <w:jc w:val="right"/>
              <w:rPr>
                <w:b/>
                <w:bCs/>
                <w:sz w:val="18"/>
                <w:szCs w:val="18"/>
              </w:rPr>
            </w:pPr>
            <w:r w:rsidRPr="00F72E58">
              <w:rPr>
                <w:b/>
                <w:bCs/>
                <w:sz w:val="18"/>
                <w:szCs w:val="18"/>
              </w:rPr>
              <w:t>392,6</w:t>
            </w:r>
          </w:p>
        </w:tc>
        <w:tc>
          <w:tcPr>
            <w:tcW w:w="828" w:type="dxa"/>
            <w:shd w:val="clear" w:color="auto" w:fill="auto"/>
            <w:vAlign w:val="bottom"/>
          </w:tcPr>
          <w:p w14:paraId="791BE69B" w14:textId="77777777" w:rsidR="003279D5" w:rsidRPr="00F72E58" w:rsidRDefault="003279D5" w:rsidP="009E3526">
            <w:pPr>
              <w:spacing w:before="40" w:after="40" w:line="220" w:lineRule="exact"/>
              <w:jc w:val="right"/>
              <w:rPr>
                <w:b/>
                <w:bCs/>
                <w:sz w:val="18"/>
                <w:szCs w:val="18"/>
              </w:rPr>
            </w:pPr>
            <w:r w:rsidRPr="00F72E58">
              <w:rPr>
                <w:b/>
                <w:bCs/>
                <w:sz w:val="18"/>
                <w:szCs w:val="18"/>
              </w:rPr>
              <w:t>400,7</w:t>
            </w:r>
          </w:p>
        </w:tc>
        <w:tc>
          <w:tcPr>
            <w:tcW w:w="828" w:type="dxa"/>
            <w:shd w:val="clear" w:color="auto" w:fill="auto"/>
            <w:vAlign w:val="bottom"/>
          </w:tcPr>
          <w:p w14:paraId="3E6AB362" w14:textId="77777777" w:rsidR="003279D5" w:rsidRPr="00F72E58" w:rsidRDefault="003279D5" w:rsidP="009E3526">
            <w:pPr>
              <w:spacing w:before="40" w:after="40" w:line="220" w:lineRule="exact"/>
              <w:jc w:val="right"/>
              <w:rPr>
                <w:b/>
                <w:bCs/>
                <w:sz w:val="18"/>
                <w:szCs w:val="18"/>
              </w:rPr>
            </w:pPr>
            <w:r w:rsidRPr="00F72E58">
              <w:rPr>
                <w:b/>
                <w:bCs/>
                <w:sz w:val="18"/>
                <w:szCs w:val="18"/>
              </w:rPr>
              <w:t>424,7</w:t>
            </w:r>
          </w:p>
        </w:tc>
        <w:tc>
          <w:tcPr>
            <w:tcW w:w="828" w:type="dxa"/>
            <w:shd w:val="clear" w:color="auto" w:fill="auto"/>
            <w:vAlign w:val="bottom"/>
          </w:tcPr>
          <w:p w14:paraId="1E707FCF" w14:textId="77777777" w:rsidR="003279D5" w:rsidRPr="00F72E58" w:rsidRDefault="003279D5" w:rsidP="009E3526">
            <w:pPr>
              <w:spacing w:before="40" w:after="40" w:line="220" w:lineRule="exact"/>
              <w:jc w:val="right"/>
              <w:rPr>
                <w:b/>
                <w:bCs/>
                <w:sz w:val="18"/>
                <w:szCs w:val="18"/>
              </w:rPr>
            </w:pPr>
            <w:r w:rsidRPr="00F72E58">
              <w:rPr>
                <w:b/>
                <w:bCs/>
                <w:sz w:val="18"/>
                <w:szCs w:val="18"/>
              </w:rPr>
              <w:t>416,9</w:t>
            </w:r>
          </w:p>
        </w:tc>
        <w:tc>
          <w:tcPr>
            <w:tcW w:w="828" w:type="dxa"/>
            <w:shd w:val="clear" w:color="auto" w:fill="auto"/>
            <w:vAlign w:val="bottom"/>
          </w:tcPr>
          <w:p w14:paraId="5CE3ED6E" w14:textId="77777777" w:rsidR="003279D5" w:rsidRPr="00F72E58" w:rsidRDefault="003279D5" w:rsidP="009E3526">
            <w:pPr>
              <w:spacing w:before="40" w:after="40" w:line="220" w:lineRule="exact"/>
              <w:jc w:val="right"/>
              <w:rPr>
                <w:b/>
                <w:bCs/>
                <w:sz w:val="18"/>
                <w:szCs w:val="18"/>
              </w:rPr>
            </w:pPr>
            <w:r w:rsidRPr="00F72E58">
              <w:rPr>
                <w:b/>
                <w:bCs/>
                <w:sz w:val="18"/>
                <w:szCs w:val="18"/>
              </w:rPr>
              <w:t>421,0</w:t>
            </w:r>
          </w:p>
        </w:tc>
      </w:tr>
      <w:tr w:rsidR="003279D5" w:rsidRPr="00984603" w14:paraId="2A77A2BB" w14:textId="77777777" w:rsidTr="004961FD">
        <w:tc>
          <w:tcPr>
            <w:tcW w:w="2693" w:type="dxa"/>
            <w:shd w:val="clear" w:color="auto" w:fill="auto"/>
          </w:tcPr>
          <w:p w14:paraId="5C2DC8CB" w14:textId="77777777" w:rsidR="003279D5" w:rsidRPr="00F72E58" w:rsidRDefault="003279D5" w:rsidP="009E3526">
            <w:pPr>
              <w:spacing w:before="40" w:after="40" w:line="220" w:lineRule="exact"/>
              <w:rPr>
                <w:i/>
                <w:sz w:val="18"/>
                <w:szCs w:val="18"/>
                <w:lang w:val="fr-FR" w:eastAsia="en-IE"/>
              </w:rPr>
            </w:pPr>
            <w:r w:rsidRPr="00F72E58">
              <w:rPr>
                <w:i/>
                <w:sz w:val="18"/>
                <w:szCs w:val="18"/>
                <w:lang w:val="fr-FR" w:eastAsia="en-IE"/>
              </w:rPr>
              <w:t>Sans emploi</w:t>
            </w:r>
          </w:p>
        </w:tc>
        <w:tc>
          <w:tcPr>
            <w:tcW w:w="828" w:type="dxa"/>
            <w:shd w:val="clear" w:color="auto" w:fill="auto"/>
            <w:vAlign w:val="bottom"/>
          </w:tcPr>
          <w:p w14:paraId="637CEE08"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4AC4A463"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4E350FD"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4FA6F0BF"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26EAC86"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ADD620C"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A07709B" w14:textId="77777777" w:rsidR="003279D5" w:rsidRPr="00F72E58" w:rsidRDefault="003279D5" w:rsidP="009E3526">
            <w:pPr>
              <w:spacing w:before="40" w:after="40" w:line="220" w:lineRule="exact"/>
              <w:jc w:val="right"/>
              <w:rPr>
                <w:sz w:val="18"/>
                <w:szCs w:val="18"/>
              </w:rPr>
            </w:pPr>
          </w:p>
        </w:tc>
      </w:tr>
      <w:tr w:rsidR="003279D5" w:rsidRPr="00984603" w14:paraId="14E44692" w14:textId="77777777" w:rsidTr="004961FD">
        <w:tc>
          <w:tcPr>
            <w:tcW w:w="2693" w:type="dxa"/>
            <w:shd w:val="clear" w:color="auto" w:fill="auto"/>
          </w:tcPr>
          <w:p w14:paraId="4AAAB128" w14:textId="77777777" w:rsidR="003279D5" w:rsidRPr="00F72E58" w:rsidRDefault="003279D5" w:rsidP="009E3526">
            <w:pPr>
              <w:spacing w:before="40" w:after="40" w:line="220" w:lineRule="exact"/>
              <w:ind w:firstLineChars="100" w:firstLine="180"/>
              <w:jc w:val="right"/>
              <w:rPr>
                <w:sz w:val="18"/>
                <w:szCs w:val="18"/>
                <w:lang w:val="fr-FR" w:eastAsia="en-IE"/>
              </w:rPr>
            </w:pPr>
            <w:r w:rsidRPr="00F72E58">
              <w:rPr>
                <w:sz w:val="18"/>
                <w:szCs w:val="18"/>
                <w:lang w:val="fr-FR" w:eastAsia="en-IE"/>
              </w:rPr>
              <w:t>Hommes</w:t>
            </w:r>
          </w:p>
        </w:tc>
        <w:tc>
          <w:tcPr>
            <w:tcW w:w="828" w:type="dxa"/>
            <w:shd w:val="clear" w:color="auto" w:fill="auto"/>
            <w:vAlign w:val="bottom"/>
          </w:tcPr>
          <w:p w14:paraId="115B217A" w14:textId="77777777" w:rsidR="003279D5" w:rsidRPr="00F72E58" w:rsidRDefault="003279D5" w:rsidP="009E3526">
            <w:pPr>
              <w:spacing w:before="40" w:after="40" w:line="220" w:lineRule="exact"/>
              <w:jc w:val="right"/>
              <w:rPr>
                <w:sz w:val="18"/>
                <w:szCs w:val="18"/>
              </w:rPr>
            </w:pPr>
            <w:r w:rsidRPr="00F72E58">
              <w:rPr>
                <w:sz w:val="18"/>
                <w:szCs w:val="18"/>
              </w:rPr>
              <w:t>9,2</w:t>
            </w:r>
          </w:p>
        </w:tc>
        <w:tc>
          <w:tcPr>
            <w:tcW w:w="828" w:type="dxa"/>
            <w:shd w:val="clear" w:color="auto" w:fill="auto"/>
            <w:vAlign w:val="bottom"/>
          </w:tcPr>
          <w:p w14:paraId="702005E8" w14:textId="77777777" w:rsidR="003279D5" w:rsidRPr="00F72E58" w:rsidRDefault="003279D5" w:rsidP="009E3526">
            <w:pPr>
              <w:spacing w:before="40" w:after="40" w:line="220" w:lineRule="exact"/>
              <w:jc w:val="right"/>
              <w:rPr>
                <w:sz w:val="18"/>
                <w:szCs w:val="18"/>
              </w:rPr>
            </w:pPr>
            <w:r w:rsidRPr="00F72E58">
              <w:rPr>
                <w:sz w:val="18"/>
                <w:szCs w:val="18"/>
              </w:rPr>
              <w:t>11,0</w:t>
            </w:r>
          </w:p>
        </w:tc>
        <w:tc>
          <w:tcPr>
            <w:tcW w:w="828" w:type="dxa"/>
            <w:shd w:val="clear" w:color="auto" w:fill="auto"/>
            <w:vAlign w:val="bottom"/>
          </w:tcPr>
          <w:p w14:paraId="178F8527" w14:textId="77777777" w:rsidR="003279D5" w:rsidRPr="00F72E58" w:rsidRDefault="003279D5" w:rsidP="009E3526">
            <w:pPr>
              <w:spacing w:before="40" w:after="40" w:line="220" w:lineRule="exact"/>
              <w:jc w:val="right"/>
              <w:rPr>
                <w:sz w:val="18"/>
                <w:szCs w:val="18"/>
              </w:rPr>
            </w:pPr>
            <w:r w:rsidRPr="00F72E58">
              <w:rPr>
                <w:sz w:val="18"/>
                <w:szCs w:val="18"/>
              </w:rPr>
              <w:t>7,7</w:t>
            </w:r>
          </w:p>
        </w:tc>
        <w:tc>
          <w:tcPr>
            <w:tcW w:w="828" w:type="dxa"/>
            <w:shd w:val="clear" w:color="auto" w:fill="auto"/>
            <w:vAlign w:val="bottom"/>
          </w:tcPr>
          <w:p w14:paraId="77F3E3FC" w14:textId="77777777" w:rsidR="003279D5" w:rsidRPr="00F72E58" w:rsidRDefault="003279D5" w:rsidP="009E3526">
            <w:pPr>
              <w:spacing w:before="40" w:after="40" w:line="220" w:lineRule="exact"/>
              <w:jc w:val="right"/>
              <w:rPr>
                <w:sz w:val="18"/>
                <w:szCs w:val="18"/>
              </w:rPr>
            </w:pPr>
            <w:r w:rsidRPr="00F72E58">
              <w:rPr>
                <w:sz w:val="18"/>
                <w:szCs w:val="18"/>
              </w:rPr>
              <w:t>9,7</w:t>
            </w:r>
          </w:p>
        </w:tc>
        <w:tc>
          <w:tcPr>
            <w:tcW w:w="828" w:type="dxa"/>
            <w:shd w:val="clear" w:color="auto" w:fill="auto"/>
            <w:vAlign w:val="bottom"/>
          </w:tcPr>
          <w:p w14:paraId="627E2AF0" w14:textId="77777777" w:rsidR="003279D5" w:rsidRPr="00F72E58" w:rsidRDefault="003279D5" w:rsidP="009E3526">
            <w:pPr>
              <w:spacing w:before="40" w:after="40" w:line="220" w:lineRule="exact"/>
              <w:jc w:val="right"/>
              <w:rPr>
                <w:sz w:val="18"/>
                <w:szCs w:val="18"/>
              </w:rPr>
            </w:pPr>
            <w:r w:rsidRPr="00F72E58">
              <w:rPr>
                <w:sz w:val="18"/>
                <w:szCs w:val="18"/>
              </w:rPr>
              <w:t>9,7</w:t>
            </w:r>
          </w:p>
        </w:tc>
        <w:tc>
          <w:tcPr>
            <w:tcW w:w="828" w:type="dxa"/>
            <w:shd w:val="clear" w:color="auto" w:fill="auto"/>
            <w:vAlign w:val="bottom"/>
          </w:tcPr>
          <w:p w14:paraId="1D4224B6" w14:textId="77777777" w:rsidR="003279D5" w:rsidRPr="00F72E58" w:rsidRDefault="003279D5" w:rsidP="009E3526">
            <w:pPr>
              <w:spacing w:before="40" w:after="40" w:line="220" w:lineRule="exact"/>
              <w:jc w:val="right"/>
              <w:rPr>
                <w:sz w:val="18"/>
                <w:szCs w:val="18"/>
              </w:rPr>
            </w:pPr>
            <w:r w:rsidRPr="00F72E58">
              <w:rPr>
                <w:sz w:val="18"/>
                <w:szCs w:val="18"/>
              </w:rPr>
              <w:t>8,5</w:t>
            </w:r>
          </w:p>
        </w:tc>
        <w:tc>
          <w:tcPr>
            <w:tcW w:w="828" w:type="dxa"/>
            <w:shd w:val="clear" w:color="auto" w:fill="auto"/>
            <w:vAlign w:val="bottom"/>
          </w:tcPr>
          <w:p w14:paraId="0D8726B3" w14:textId="77777777" w:rsidR="003279D5" w:rsidRPr="00F72E58" w:rsidRDefault="003279D5" w:rsidP="009E3526">
            <w:pPr>
              <w:spacing w:before="40" w:after="40" w:line="220" w:lineRule="exact"/>
              <w:jc w:val="right"/>
              <w:rPr>
                <w:sz w:val="18"/>
                <w:szCs w:val="18"/>
              </w:rPr>
            </w:pPr>
            <w:r w:rsidRPr="00F72E58">
              <w:rPr>
                <w:sz w:val="18"/>
                <w:szCs w:val="18"/>
              </w:rPr>
              <w:t>[7,6]</w:t>
            </w:r>
          </w:p>
        </w:tc>
      </w:tr>
      <w:tr w:rsidR="003279D5" w:rsidRPr="00984603" w14:paraId="28018213" w14:textId="77777777" w:rsidTr="004961FD">
        <w:tc>
          <w:tcPr>
            <w:tcW w:w="2693" w:type="dxa"/>
            <w:shd w:val="clear" w:color="auto" w:fill="auto"/>
          </w:tcPr>
          <w:p w14:paraId="14740298" w14:textId="77777777" w:rsidR="003279D5" w:rsidRPr="00F72E58" w:rsidRDefault="003279D5" w:rsidP="009E3526">
            <w:pPr>
              <w:spacing w:before="40" w:after="40" w:line="220" w:lineRule="exact"/>
              <w:ind w:firstLineChars="100" w:firstLine="180"/>
              <w:jc w:val="right"/>
              <w:rPr>
                <w:sz w:val="18"/>
                <w:szCs w:val="18"/>
                <w:lang w:val="fr-FR" w:eastAsia="en-IE"/>
              </w:rPr>
            </w:pPr>
            <w:r w:rsidRPr="00F72E58">
              <w:rPr>
                <w:sz w:val="18"/>
                <w:szCs w:val="18"/>
                <w:lang w:val="fr-FR" w:eastAsia="en-IE"/>
              </w:rPr>
              <w:t>Femmes</w:t>
            </w:r>
          </w:p>
        </w:tc>
        <w:tc>
          <w:tcPr>
            <w:tcW w:w="828" w:type="dxa"/>
            <w:shd w:val="clear" w:color="auto" w:fill="auto"/>
            <w:vAlign w:val="bottom"/>
          </w:tcPr>
          <w:p w14:paraId="4194337F" w14:textId="77777777" w:rsidR="003279D5" w:rsidRPr="00F72E58" w:rsidRDefault="003279D5" w:rsidP="009E3526">
            <w:pPr>
              <w:spacing w:before="40" w:after="40" w:line="220" w:lineRule="exact"/>
              <w:jc w:val="right"/>
              <w:rPr>
                <w:sz w:val="18"/>
                <w:szCs w:val="18"/>
              </w:rPr>
            </w:pPr>
            <w:r w:rsidRPr="00F72E58">
              <w:rPr>
                <w:sz w:val="18"/>
                <w:szCs w:val="18"/>
              </w:rPr>
              <w:t>9,3</w:t>
            </w:r>
          </w:p>
        </w:tc>
        <w:tc>
          <w:tcPr>
            <w:tcW w:w="828" w:type="dxa"/>
            <w:shd w:val="clear" w:color="auto" w:fill="auto"/>
            <w:vAlign w:val="bottom"/>
          </w:tcPr>
          <w:p w14:paraId="6D886467" w14:textId="77777777" w:rsidR="003279D5" w:rsidRPr="00F72E58" w:rsidRDefault="003279D5" w:rsidP="009E3526">
            <w:pPr>
              <w:spacing w:before="40" w:after="40" w:line="220" w:lineRule="exact"/>
              <w:jc w:val="right"/>
              <w:rPr>
                <w:sz w:val="18"/>
                <w:szCs w:val="18"/>
              </w:rPr>
            </w:pPr>
            <w:r w:rsidRPr="00F72E58">
              <w:rPr>
                <w:sz w:val="18"/>
                <w:szCs w:val="18"/>
              </w:rPr>
              <w:t>8,3</w:t>
            </w:r>
          </w:p>
        </w:tc>
        <w:tc>
          <w:tcPr>
            <w:tcW w:w="828" w:type="dxa"/>
            <w:shd w:val="clear" w:color="auto" w:fill="auto"/>
            <w:vAlign w:val="bottom"/>
          </w:tcPr>
          <w:p w14:paraId="2480B862" w14:textId="77777777" w:rsidR="003279D5" w:rsidRPr="00F72E58" w:rsidRDefault="003279D5" w:rsidP="009E3526">
            <w:pPr>
              <w:spacing w:before="40" w:after="40" w:line="220" w:lineRule="exact"/>
              <w:jc w:val="right"/>
              <w:rPr>
                <w:sz w:val="18"/>
                <w:szCs w:val="18"/>
              </w:rPr>
            </w:pPr>
            <w:r w:rsidRPr="00F72E58">
              <w:rPr>
                <w:sz w:val="18"/>
                <w:szCs w:val="18"/>
              </w:rPr>
              <w:t>[7,5]</w:t>
            </w:r>
          </w:p>
        </w:tc>
        <w:tc>
          <w:tcPr>
            <w:tcW w:w="828" w:type="dxa"/>
            <w:shd w:val="clear" w:color="auto" w:fill="auto"/>
            <w:vAlign w:val="bottom"/>
          </w:tcPr>
          <w:p w14:paraId="792E4FE7" w14:textId="77777777" w:rsidR="003279D5" w:rsidRPr="00F72E58" w:rsidRDefault="003279D5" w:rsidP="009E3526">
            <w:pPr>
              <w:spacing w:before="40" w:after="40" w:line="220" w:lineRule="exact"/>
              <w:jc w:val="right"/>
              <w:rPr>
                <w:sz w:val="18"/>
                <w:szCs w:val="18"/>
              </w:rPr>
            </w:pPr>
            <w:r w:rsidRPr="00F72E58">
              <w:rPr>
                <w:sz w:val="18"/>
                <w:szCs w:val="18"/>
              </w:rPr>
              <w:t>[8,6]</w:t>
            </w:r>
          </w:p>
        </w:tc>
        <w:tc>
          <w:tcPr>
            <w:tcW w:w="828" w:type="dxa"/>
            <w:shd w:val="clear" w:color="auto" w:fill="auto"/>
            <w:vAlign w:val="bottom"/>
          </w:tcPr>
          <w:p w14:paraId="00BC5BFD" w14:textId="77777777" w:rsidR="003279D5" w:rsidRPr="00F72E58" w:rsidRDefault="003279D5" w:rsidP="009E3526">
            <w:pPr>
              <w:spacing w:before="40" w:after="40" w:line="220" w:lineRule="exact"/>
              <w:jc w:val="right"/>
              <w:rPr>
                <w:sz w:val="18"/>
                <w:szCs w:val="18"/>
              </w:rPr>
            </w:pPr>
            <w:r w:rsidRPr="00F72E58">
              <w:rPr>
                <w:sz w:val="18"/>
                <w:szCs w:val="18"/>
              </w:rPr>
              <w:t>9,3</w:t>
            </w:r>
          </w:p>
        </w:tc>
        <w:tc>
          <w:tcPr>
            <w:tcW w:w="828" w:type="dxa"/>
            <w:shd w:val="clear" w:color="auto" w:fill="auto"/>
            <w:vAlign w:val="bottom"/>
          </w:tcPr>
          <w:p w14:paraId="5521B12E" w14:textId="77777777" w:rsidR="003279D5" w:rsidRPr="00F72E58" w:rsidRDefault="003279D5" w:rsidP="009E3526">
            <w:pPr>
              <w:spacing w:before="40" w:after="40" w:line="220" w:lineRule="exact"/>
              <w:jc w:val="right"/>
              <w:rPr>
                <w:sz w:val="18"/>
                <w:szCs w:val="18"/>
              </w:rPr>
            </w:pPr>
            <w:r w:rsidRPr="00F72E58">
              <w:rPr>
                <w:sz w:val="18"/>
                <w:szCs w:val="18"/>
              </w:rPr>
              <w:t>10,6</w:t>
            </w:r>
          </w:p>
        </w:tc>
        <w:tc>
          <w:tcPr>
            <w:tcW w:w="828" w:type="dxa"/>
            <w:shd w:val="clear" w:color="auto" w:fill="auto"/>
            <w:vAlign w:val="bottom"/>
          </w:tcPr>
          <w:p w14:paraId="08971B5D" w14:textId="77777777" w:rsidR="003279D5" w:rsidRPr="00F72E58" w:rsidRDefault="003279D5" w:rsidP="009E3526">
            <w:pPr>
              <w:spacing w:before="40" w:after="40" w:line="220" w:lineRule="exact"/>
              <w:jc w:val="right"/>
              <w:rPr>
                <w:sz w:val="18"/>
                <w:szCs w:val="18"/>
              </w:rPr>
            </w:pPr>
            <w:r w:rsidRPr="00F72E58">
              <w:rPr>
                <w:sz w:val="18"/>
                <w:szCs w:val="18"/>
              </w:rPr>
              <w:t>8,9</w:t>
            </w:r>
          </w:p>
        </w:tc>
      </w:tr>
      <w:tr w:rsidR="003279D5" w:rsidRPr="00984603" w14:paraId="26F84F93" w14:textId="77777777" w:rsidTr="004961FD">
        <w:tc>
          <w:tcPr>
            <w:tcW w:w="2693" w:type="dxa"/>
            <w:shd w:val="clear" w:color="auto" w:fill="auto"/>
          </w:tcPr>
          <w:p w14:paraId="5CE7CAB9" w14:textId="77777777" w:rsidR="003279D5" w:rsidRPr="00F72E58" w:rsidRDefault="003279D5" w:rsidP="009E3526">
            <w:pPr>
              <w:spacing w:before="40" w:after="40" w:line="220" w:lineRule="exact"/>
              <w:ind w:firstLineChars="100" w:firstLine="181"/>
              <w:jc w:val="right"/>
              <w:rPr>
                <w:b/>
                <w:bCs/>
                <w:sz w:val="18"/>
                <w:szCs w:val="18"/>
                <w:lang w:val="fr-FR" w:eastAsia="en-IE"/>
              </w:rPr>
            </w:pPr>
            <w:r w:rsidRPr="00F72E58">
              <w:rPr>
                <w:b/>
                <w:bCs/>
                <w:sz w:val="18"/>
                <w:szCs w:val="18"/>
                <w:lang w:val="fr-FR" w:eastAsia="en-IE"/>
              </w:rPr>
              <w:t>Total</w:t>
            </w:r>
          </w:p>
        </w:tc>
        <w:tc>
          <w:tcPr>
            <w:tcW w:w="828" w:type="dxa"/>
            <w:shd w:val="clear" w:color="auto" w:fill="auto"/>
            <w:vAlign w:val="bottom"/>
          </w:tcPr>
          <w:p w14:paraId="43590169" w14:textId="77777777" w:rsidR="003279D5" w:rsidRPr="00F72E58" w:rsidRDefault="003279D5" w:rsidP="009E3526">
            <w:pPr>
              <w:spacing w:before="40" w:after="40" w:line="220" w:lineRule="exact"/>
              <w:jc w:val="right"/>
              <w:rPr>
                <w:b/>
                <w:bCs/>
                <w:sz w:val="18"/>
                <w:szCs w:val="18"/>
              </w:rPr>
            </w:pPr>
            <w:r w:rsidRPr="00F72E58">
              <w:rPr>
                <w:b/>
                <w:bCs/>
                <w:sz w:val="18"/>
                <w:szCs w:val="18"/>
              </w:rPr>
              <w:t>18,5</w:t>
            </w:r>
          </w:p>
        </w:tc>
        <w:tc>
          <w:tcPr>
            <w:tcW w:w="828" w:type="dxa"/>
            <w:shd w:val="clear" w:color="auto" w:fill="auto"/>
            <w:vAlign w:val="bottom"/>
          </w:tcPr>
          <w:p w14:paraId="4897E9B1" w14:textId="77777777" w:rsidR="003279D5" w:rsidRPr="00F72E58" w:rsidRDefault="003279D5" w:rsidP="009E3526">
            <w:pPr>
              <w:spacing w:before="40" w:after="40" w:line="220" w:lineRule="exact"/>
              <w:jc w:val="right"/>
              <w:rPr>
                <w:b/>
                <w:bCs/>
                <w:sz w:val="18"/>
                <w:szCs w:val="18"/>
              </w:rPr>
            </w:pPr>
            <w:r w:rsidRPr="00F72E58">
              <w:rPr>
                <w:b/>
                <w:bCs/>
                <w:sz w:val="18"/>
                <w:szCs w:val="18"/>
              </w:rPr>
              <w:t>19,2</w:t>
            </w:r>
          </w:p>
        </w:tc>
        <w:tc>
          <w:tcPr>
            <w:tcW w:w="828" w:type="dxa"/>
            <w:shd w:val="clear" w:color="auto" w:fill="auto"/>
            <w:vAlign w:val="bottom"/>
          </w:tcPr>
          <w:p w14:paraId="06ED0F42" w14:textId="77777777" w:rsidR="003279D5" w:rsidRPr="00F72E58" w:rsidRDefault="003279D5" w:rsidP="009E3526">
            <w:pPr>
              <w:spacing w:before="40" w:after="40" w:line="220" w:lineRule="exact"/>
              <w:jc w:val="right"/>
              <w:rPr>
                <w:b/>
                <w:bCs/>
                <w:sz w:val="18"/>
                <w:szCs w:val="18"/>
              </w:rPr>
            </w:pPr>
            <w:r w:rsidRPr="00F72E58">
              <w:rPr>
                <w:b/>
                <w:bCs/>
                <w:sz w:val="18"/>
                <w:szCs w:val="18"/>
              </w:rPr>
              <w:t>15,2</w:t>
            </w:r>
          </w:p>
        </w:tc>
        <w:tc>
          <w:tcPr>
            <w:tcW w:w="828" w:type="dxa"/>
            <w:shd w:val="clear" w:color="auto" w:fill="auto"/>
            <w:vAlign w:val="bottom"/>
          </w:tcPr>
          <w:p w14:paraId="4F6F164A" w14:textId="77777777" w:rsidR="003279D5" w:rsidRPr="00F72E58" w:rsidRDefault="003279D5" w:rsidP="009E3526">
            <w:pPr>
              <w:spacing w:before="40" w:after="40" w:line="220" w:lineRule="exact"/>
              <w:jc w:val="right"/>
              <w:rPr>
                <w:b/>
                <w:bCs/>
                <w:sz w:val="18"/>
                <w:szCs w:val="18"/>
              </w:rPr>
            </w:pPr>
            <w:r w:rsidRPr="00F72E58">
              <w:rPr>
                <w:b/>
                <w:bCs/>
                <w:sz w:val="18"/>
                <w:szCs w:val="18"/>
              </w:rPr>
              <w:t>18,4</w:t>
            </w:r>
          </w:p>
        </w:tc>
        <w:tc>
          <w:tcPr>
            <w:tcW w:w="828" w:type="dxa"/>
            <w:shd w:val="clear" w:color="auto" w:fill="auto"/>
            <w:vAlign w:val="bottom"/>
          </w:tcPr>
          <w:p w14:paraId="73B70160" w14:textId="77777777" w:rsidR="003279D5" w:rsidRPr="00F72E58" w:rsidRDefault="003279D5" w:rsidP="009E3526">
            <w:pPr>
              <w:spacing w:before="40" w:after="40" w:line="220" w:lineRule="exact"/>
              <w:jc w:val="right"/>
              <w:rPr>
                <w:b/>
                <w:bCs/>
                <w:sz w:val="18"/>
                <w:szCs w:val="18"/>
              </w:rPr>
            </w:pPr>
            <w:r w:rsidRPr="00F72E58">
              <w:rPr>
                <w:b/>
                <w:bCs/>
                <w:sz w:val="18"/>
                <w:szCs w:val="18"/>
              </w:rPr>
              <w:t>19,0</w:t>
            </w:r>
          </w:p>
        </w:tc>
        <w:tc>
          <w:tcPr>
            <w:tcW w:w="828" w:type="dxa"/>
            <w:shd w:val="clear" w:color="auto" w:fill="auto"/>
            <w:vAlign w:val="bottom"/>
          </w:tcPr>
          <w:p w14:paraId="4EBCC0AD" w14:textId="77777777" w:rsidR="003279D5" w:rsidRPr="00F72E58" w:rsidRDefault="003279D5" w:rsidP="009E3526">
            <w:pPr>
              <w:spacing w:before="40" w:after="40" w:line="220" w:lineRule="exact"/>
              <w:jc w:val="right"/>
              <w:rPr>
                <w:b/>
                <w:bCs/>
                <w:sz w:val="18"/>
                <w:szCs w:val="18"/>
              </w:rPr>
            </w:pPr>
            <w:r w:rsidRPr="00F72E58">
              <w:rPr>
                <w:b/>
                <w:bCs/>
                <w:sz w:val="18"/>
                <w:szCs w:val="18"/>
              </w:rPr>
              <w:t>19,0</w:t>
            </w:r>
          </w:p>
        </w:tc>
        <w:tc>
          <w:tcPr>
            <w:tcW w:w="828" w:type="dxa"/>
            <w:shd w:val="clear" w:color="auto" w:fill="auto"/>
            <w:vAlign w:val="bottom"/>
          </w:tcPr>
          <w:p w14:paraId="3A388FFA" w14:textId="77777777" w:rsidR="003279D5" w:rsidRPr="00F72E58" w:rsidRDefault="003279D5" w:rsidP="009E3526">
            <w:pPr>
              <w:spacing w:before="40" w:after="40" w:line="220" w:lineRule="exact"/>
              <w:jc w:val="right"/>
              <w:rPr>
                <w:b/>
                <w:bCs/>
                <w:sz w:val="18"/>
                <w:szCs w:val="18"/>
              </w:rPr>
            </w:pPr>
            <w:r w:rsidRPr="00F72E58">
              <w:rPr>
                <w:b/>
                <w:bCs/>
                <w:sz w:val="18"/>
                <w:szCs w:val="18"/>
              </w:rPr>
              <w:t>16,5</w:t>
            </w:r>
          </w:p>
        </w:tc>
      </w:tr>
      <w:tr w:rsidR="003279D5" w:rsidRPr="003279D5" w14:paraId="7370F8B0" w14:textId="77777777" w:rsidTr="004961FD">
        <w:tc>
          <w:tcPr>
            <w:tcW w:w="2693" w:type="dxa"/>
            <w:shd w:val="clear" w:color="auto" w:fill="auto"/>
          </w:tcPr>
          <w:p w14:paraId="1F118782" w14:textId="77777777" w:rsidR="003279D5" w:rsidRPr="00F72E58" w:rsidRDefault="003279D5" w:rsidP="009E3526">
            <w:pPr>
              <w:spacing w:before="40" w:after="40" w:line="220" w:lineRule="exact"/>
              <w:rPr>
                <w:i/>
                <w:sz w:val="18"/>
                <w:szCs w:val="18"/>
                <w:lang w:val="fr-FR" w:eastAsia="en-IE"/>
              </w:rPr>
            </w:pPr>
            <w:bookmarkStart w:id="180" w:name="_Hlk37830797"/>
            <w:r w:rsidRPr="00F72E58">
              <w:rPr>
                <w:i/>
                <w:sz w:val="18"/>
                <w:szCs w:val="18"/>
                <w:lang w:val="fr-FR" w:eastAsia="en-IE"/>
              </w:rPr>
              <w:t>Inactif</w:t>
            </w:r>
          </w:p>
        </w:tc>
        <w:tc>
          <w:tcPr>
            <w:tcW w:w="828" w:type="dxa"/>
            <w:shd w:val="clear" w:color="auto" w:fill="auto"/>
            <w:vAlign w:val="bottom"/>
          </w:tcPr>
          <w:p w14:paraId="7E88362D"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4A936624"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13C24E6B"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20472275"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6401B632"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30B7983F"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0E587AF0" w14:textId="77777777" w:rsidR="003279D5" w:rsidRPr="00F72E58" w:rsidRDefault="003279D5" w:rsidP="009E3526">
            <w:pPr>
              <w:spacing w:before="40" w:after="40" w:line="220" w:lineRule="exact"/>
              <w:jc w:val="right"/>
              <w:rPr>
                <w:sz w:val="18"/>
                <w:szCs w:val="18"/>
                <w:lang w:val="ru-RU"/>
              </w:rPr>
            </w:pPr>
          </w:p>
        </w:tc>
      </w:tr>
      <w:tr w:rsidR="003279D5" w:rsidRPr="00984603" w14:paraId="35AAFB7C" w14:textId="77777777" w:rsidTr="004961FD">
        <w:tc>
          <w:tcPr>
            <w:tcW w:w="2693" w:type="dxa"/>
            <w:shd w:val="clear" w:color="auto" w:fill="auto"/>
          </w:tcPr>
          <w:p w14:paraId="50017E49" w14:textId="77777777" w:rsidR="003279D5" w:rsidRPr="00F72E58" w:rsidRDefault="003279D5"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64568438" w14:textId="77777777" w:rsidR="003279D5" w:rsidRPr="00F72E58" w:rsidRDefault="003279D5" w:rsidP="009E3526">
            <w:pPr>
              <w:spacing w:before="40" w:after="40" w:line="220" w:lineRule="exact"/>
              <w:jc w:val="right"/>
              <w:rPr>
                <w:sz w:val="18"/>
                <w:szCs w:val="18"/>
              </w:rPr>
            </w:pPr>
            <w:r w:rsidRPr="00F72E58">
              <w:rPr>
                <w:sz w:val="18"/>
                <w:szCs w:val="18"/>
              </w:rPr>
              <w:t>179,4</w:t>
            </w:r>
          </w:p>
        </w:tc>
        <w:tc>
          <w:tcPr>
            <w:tcW w:w="828" w:type="dxa"/>
            <w:shd w:val="clear" w:color="auto" w:fill="auto"/>
            <w:vAlign w:val="bottom"/>
          </w:tcPr>
          <w:p w14:paraId="661B400B" w14:textId="77777777" w:rsidR="003279D5" w:rsidRPr="00F72E58" w:rsidRDefault="003279D5" w:rsidP="009E3526">
            <w:pPr>
              <w:spacing w:before="40" w:after="40" w:line="220" w:lineRule="exact"/>
              <w:jc w:val="right"/>
              <w:rPr>
                <w:sz w:val="18"/>
                <w:szCs w:val="18"/>
              </w:rPr>
            </w:pPr>
            <w:r w:rsidRPr="00F72E58">
              <w:rPr>
                <w:sz w:val="18"/>
                <w:szCs w:val="18"/>
              </w:rPr>
              <w:t>182,8</w:t>
            </w:r>
          </w:p>
        </w:tc>
        <w:tc>
          <w:tcPr>
            <w:tcW w:w="828" w:type="dxa"/>
            <w:shd w:val="clear" w:color="auto" w:fill="auto"/>
            <w:vAlign w:val="bottom"/>
          </w:tcPr>
          <w:p w14:paraId="3E74CED2" w14:textId="77777777" w:rsidR="003279D5" w:rsidRPr="00F72E58" w:rsidRDefault="003279D5" w:rsidP="009E3526">
            <w:pPr>
              <w:spacing w:before="40" w:after="40" w:line="220" w:lineRule="exact"/>
              <w:jc w:val="right"/>
              <w:rPr>
                <w:sz w:val="18"/>
                <w:szCs w:val="18"/>
              </w:rPr>
            </w:pPr>
            <w:r w:rsidRPr="00F72E58">
              <w:rPr>
                <w:sz w:val="18"/>
                <w:szCs w:val="18"/>
              </w:rPr>
              <w:t>183,1</w:t>
            </w:r>
          </w:p>
        </w:tc>
        <w:tc>
          <w:tcPr>
            <w:tcW w:w="828" w:type="dxa"/>
            <w:shd w:val="clear" w:color="auto" w:fill="auto"/>
            <w:vAlign w:val="bottom"/>
          </w:tcPr>
          <w:p w14:paraId="222F2C8D" w14:textId="77777777" w:rsidR="003279D5" w:rsidRPr="00F72E58" w:rsidRDefault="003279D5" w:rsidP="009E3526">
            <w:pPr>
              <w:spacing w:before="40" w:after="40" w:line="220" w:lineRule="exact"/>
              <w:jc w:val="right"/>
              <w:rPr>
                <w:sz w:val="18"/>
                <w:szCs w:val="18"/>
              </w:rPr>
            </w:pPr>
            <w:r w:rsidRPr="00F72E58">
              <w:rPr>
                <w:sz w:val="18"/>
                <w:szCs w:val="18"/>
              </w:rPr>
              <w:t>179,0</w:t>
            </w:r>
          </w:p>
        </w:tc>
        <w:tc>
          <w:tcPr>
            <w:tcW w:w="828" w:type="dxa"/>
            <w:shd w:val="clear" w:color="auto" w:fill="auto"/>
            <w:vAlign w:val="bottom"/>
          </w:tcPr>
          <w:p w14:paraId="06CCE409" w14:textId="77777777" w:rsidR="003279D5" w:rsidRPr="00F72E58" w:rsidRDefault="003279D5" w:rsidP="009E3526">
            <w:pPr>
              <w:spacing w:before="40" w:after="40" w:line="220" w:lineRule="exact"/>
              <w:jc w:val="right"/>
              <w:rPr>
                <w:sz w:val="18"/>
                <w:szCs w:val="18"/>
              </w:rPr>
            </w:pPr>
            <w:r w:rsidRPr="00F72E58">
              <w:rPr>
                <w:sz w:val="18"/>
                <w:szCs w:val="18"/>
              </w:rPr>
              <w:t>181,9</w:t>
            </w:r>
          </w:p>
        </w:tc>
        <w:tc>
          <w:tcPr>
            <w:tcW w:w="828" w:type="dxa"/>
            <w:shd w:val="clear" w:color="auto" w:fill="auto"/>
            <w:vAlign w:val="bottom"/>
          </w:tcPr>
          <w:p w14:paraId="7D54D354" w14:textId="77777777" w:rsidR="003279D5" w:rsidRPr="00F72E58" w:rsidRDefault="003279D5" w:rsidP="009E3526">
            <w:pPr>
              <w:spacing w:before="40" w:after="40" w:line="220" w:lineRule="exact"/>
              <w:jc w:val="right"/>
              <w:rPr>
                <w:sz w:val="18"/>
                <w:szCs w:val="18"/>
              </w:rPr>
            </w:pPr>
            <w:r w:rsidRPr="00F72E58">
              <w:rPr>
                <w:sz w:val="18"/>
                <w:szCs w:val="18"/>
              </w:rPr>
              <w:t>180,0</w:t>
            </w:r>
          </w:p>
        </w:tc>
        <w:tc>
          <w:tcPr>
            <w:tcW w:w="828" w:type="dxa"/>
            <w:shd w:val="clear" w:color="auto" w:fill="auto"/>
            <w:vAlign w:val="bottom"/>
          </w:tcPr>
          <w:p w14:paraId="3A3C4835" w14:textId="77777777" w:rsidR="003279D5" w:rsidRPr="00F72E58" w:rsidRDefault="003279D5" w:rsidP="009E3526">
            <w:pPr>
              <w:spacing w:before="40" w:after="40" w:line="220" w:lineRule="exact"/>
              <w:jc w:val="right"/>
              <w:rPr>
                <w:sz w:val="18"/>
                <w:szCs w:val="18"/>
              </w:rPr>
            </w:pPr>
            <w:r w:rsidRPr="00F72E58">
              <w:rPr>
                <w:sz w:val="18"/>
                <w:szCs w:val="18"/>
              </w:rPr>
              <w:t>183,4</w:t>
            </w:r>
          </w:p>
        </w:tc>
      </w:tr>
      <w:tr w:rsidR="003279D5" w:rsidRPr="00984603" w14:paraId="2A337CCC" w14:textId="77777777" w:rsidTr="004961FD">
        <w:tc>
          <w:tcPr>
            <w:tcW w:w="2693" w:type="dxa"/>
            <w:shd w:val="clear" w:color="auto" w:fill="auto"/>
          </w:tcPr>
          <w:p w14:paraId="7B7EA2E7" w14:textId="77777777" w:rsidR="003279D5" w:rsidRPr="00F72E58" w:rsidRDefault="003279D5"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443C7679" w14:textId="77777777" w:rsidR="003279D5" w:rsidRPr="00F72E58" w:rsidRDefault="003279D5" w:rsidP="009E3526">
            <w:pPr>
              <w:spacing w:before="40" w:after="40" w:line="220" w:lineRule="exact"/>
              <w:jc w:val="right"/>
              <w:rPr>
                <w:sz w:val="18"/>
                <w:szCs w:val="18"/>
              </w:rPr>
            </w:pPr>
            <w:r w:rsidRPr="00F72E58">
              <w:rPr>
                <w:sz w:val="18"/>
                <w:szCs w:val="18"/>
              </w:rPr>
              <w:t>201,1</w:t>
            </w:r>
          </w:p>
        </w:tc>
        <w:tc>
          <w:tcPr>
            <w:tcW w:w="828" w:type="dxa"/>
            <w:shd w:val="clear" w:color="auto" w:fill="auto"/>
            <w:vAlign w:val="bottom"/>
          </w:tcPr>
          <w:p w14:paraId="5E99D1DA" w14:textId="77777777" w:rsidR="003279D5" w:rsidRPr="00F72E58" w:rsidRDefault="003279D5" w:rsidP="009E3526">
            <w:pPr>
              <w:spacing w:before="40" w:after="40" w:line="220" w:lineRule="exact"/>
              <w:jc w:val="right"/>
              <w:rPr>
                <w:sz w:val="18"/>
                <w:szCs w:val="18"/>
              </w:rPr>
            </w:pPr>
            <w:r w:rsidRPr="00F72E58">
              <w:rPr>
                <w:sz w:val="18"/>
                <w:szCs w:val="18"/>
              </w:rPr>
              <w:t>203,7</w:t>
            </w:r>
          </w:p>
        </w:tc>
        <w:tc>
          <w:tcPr>
            <w:tcW w:w="828" w:type="dxa"/>
            <w:shd w:val="clear" w:color="auto" w:fill="auto"/>
            <w:vAlign w:val="bottom"/>
          </w:tcPr>
          <w:p w14:paraId="4E14867D" w14:textId="77777777" w:rsidR="003279D5" w:rsidRPr="00F72E58" w:rsidRDefault="003279D5" w:rsidP="009E3526">
            <w:pPr>
              <w:spacing w:before="40" w:after="40" w:line="220" w:lineRule="exact"/>
              <w:jc w:val="right"/>
              <w:rPr>
                <w:sz w:val="18"/>
                <w:szCs w:val="18"/>
              </w:rPr>
            </w:pPr>
            <w:r w:rsidRPr="00F72E58">
              <w:rPr>
                <w:sz w:val="18"/>
                <w:szCs w:val="18"/>
              </w:rPr>
              <w:t>205,9</w:t>
            </w:r>
          </w:p>
        </w:tc>
        <w:tc>
          <w:tcPr>
            <w:tcW w:w="828" w:type="dxa"/>
            <w:shd w:val="clear" w:color="auto" w:fill="auto"/>
            <w:vAlign w:val="bottom"/>
          </w:tcPr>
          <w:p w14:paraId="047851A4" w14:textId="77777777" w:rsidR="003279D5" w:rsidRPr="00F72E58" w:rsidRDefault="003279D5" w:rsidP="009E3526">
            <w:pPr>
              <w:spacing w:before="40" w:after="40" w:line="220" w:lineRule="exact"/>
              <w:jc w:val="right"/>
              <w:rPr>
                <w:sz w:val="18"/>
                <w:szCs w:val="18"/>
              </w:rPr>
            </w:pPr>
            <w:r w:rsidRPr="00F72E58">
              <w:rPr>
                <w:sz w:val="18"/>
                <w:szCs w:val="18"/>
              </w:rPr>
              <w:t>213,1</w:t>
            </w:r>
          </w:p>
        </w:tc>
        <w:tc>
          <w:tcPr>
            <w:tcW w:w="828" w:type="dxa"/>
            <w:shd w:val="clear" w:color="auto" w:fill="auto"/>
            <w:vAlign w:val="bottom"/>
          </w:tcPr>
          <w:p w14:paraId="16E0A718" w14:textId="77777777" w:rsidR="003279D5" w:rsidRPr="00F72E58" w:rsidRDefault="003279D5" w:rsidP="009E3526">
            <w:pPr>
              <w:spacing w:before="40" w:after="40" w:line="220" w:lineRule="exact"/>
              <w:jc w:val="right"/>
              <w:rPr>
                <w:sz w:val="18"/>
                <w:szCs w:val="18"/>
              </w:rPr>
            </w:pPr>
            <w:r w:rsidRPr="00F72E58">
              <w:rPr>
                <w:sz w:val="18"/>
                <w:szCs w:val="18"/>
              </w:rPr>
              <w:t>214,9</w:t>
            </w:r>
          </w:p>
        </w:tc>
        <w:tc>
          <w:tcPr>
            <w:tcW w:w="828" w:type="dxa"/>
            <w:shd w:val="clear" w:color="auto" w:fill="auto"/>
            <w:vAlign w:val="bottom"/>
          </w:tcPr>
          <w:p w14:paraId="43770522" w14:textId="77777777" w:rsidR="003279D5" w:rsidRPr="00F72E58" w:rsidRDefault="003279D5" w:rsidP="009E3526">
            <w:pPr>
              <w:spacing w:before="40" w:after="40" w:line="220" w:lineRule="exact"/>
              <w:jc w:val="right"/>
              <w:rPr>
                <w:sz w:val="18"/>
                <w:szCs w:val="18"/>
              </w:rPr>
            </w:pPr>
            <w:r w:rsidRPr="00F72E58">
              <w:rPr>
                <w:sz w:val="18"/>
                <w:szCs w:val="18"/>
              </w:rPr>
              <w:t>215,7</w:t>
            </w:r>
          </w:p>
        </w:tc>
        <w:tc>
          <w:tcPr>
            <w:tcW w:w="828" w:type="dxa"/>
            <w:shd w:val="clear" w:color="auto" w:fill="auto"/>
            <w:vAlign w:val="bottom"/>
          </w:tcPr>
          <w:p w14:paraId="480CB2C8" w14:textId="77777777" w:rsidR="003279D5" w:rsidRPr="00F72E58" w:rsidRDefault="003279D5" w:rsidP="009E3526">
            <w:pPr>
              <w:spacing w:before="40" w:after="40" w:line="220" w:lineRule="exact"/>
              <w:jc w:val="right"/>
              <w:rPr>
                <w:sz w:val="18"/>
                <w:szCs w:val="18"/>
              </w:rPr>
            </w:pPr>
            <w:r w:rsidRPr="00F72E58">
              <w:rPr>
                <w:sz w:val="18"/>
                <w:szCs w:val="18"/>
              </w:rPr>
              <w:t>218,0</w:t>
            </w:r>
          </w:p>
        </w:tc>
      </w:tr>
      <w:tr w:rsidR="003279D5" w:rsidRPr="00984603" w14:paraId="638DDF98" w14:textId="77777777" w:rsidTr="004961FD">
        <w:tc>
          <w:tcPr>
            <w:tcW w:w="2693" w:type="dxa"/>
            <w:shd w:val="clear" w:color="auto" w:fill="auto"/>
          </w:tcPr>
          <w:p w14:paraId="1447654B" w14:textId="77777777" w:rsidR="003279D5" w:rsidRPr="00F72E58" w:rsidRDefault="003279D5"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1205B728" w14:textId="77777777" w:rsidR="003279D5" w:rsidRPr="00F72E58" w:rsidRDefault="003279D5" w:rsidP="009E3526">
            <w:pPr>
              <w:spacing w:before="40" w:after="40" w:line="220" w:lineRule="exact"/>
              <w:jc w:val="right"/>
              <w:rPr>
                <w:b/>
                <w:bCs/>
                <w:sz w:val="18"/>
                <w:szCs w:val="18"/>
              </w:rPr>
            </w:pPr>
            <w:r w:rsidRPr="00F72E58">
              <w:rPr>
                <w:b/>
                <w:bCs/>
                <w:sz w:val="18"/>
                <w:szCs w:val="18"/>
              </w:rPr>
              <w:t>380,5</w:t>
            </w:r>
          </w:p>
        </w:tc>
        <w:tc>
          <w:tcPr>
            <w:tcW w:w="828" w:type="dxa"/>
            <w:shd w:val="clear" w:color="auto" w:fill="auto"/>
            <w:vAlign w:val="bottom"/>
          </w:tcPr>
          <w:p w14:paraId="005022E5" w14:textId="77777777" w:rsidR="003279D5" w:rsidRPr="00F72E58" w:rsidRDefault="003279D5" w:rsidP="009E3526">
            <w:pPr>
              <w:spacing w:before="40" w:after="40" w:line="220" w:lineRule="exact"/>
              <w:jc w:val="right"/>
              <w:rPr>
                <w:b/>
                <w:bCs/>
                <w:sz w:val="18"/>
                <w:szCs w:val="18"/>
              </w:rPr>
            </w:pPr>
            <w:r w:rsidRPr="00F72E58">
              <w:rPr>
                <w:b/>
                <w:bCs/>
                <w:sz w:val="18"/>
                <w:szCs w:val="18"/>
              </w:rPr>
              <w:t>386,5</w:t>
            </w:r>
          </w:p>
        </w:tc>
        <w:tc>
          <w:tcPr>
            <w:tcW w:w="828" w:type="dxa"/>
            <w:shd w:val="clear" w:color="auto" w:fill="auto"/>
            <w:vAlign w:val="bottom"/>
          </w:tcPr>
          <w:p w14:paraId="1D5768DC" w14:textId="77777777" w:rsidR="003279D5" w:rsidRPr="00F72E58" w:rsidRDefault="003279D5" w:rsidP="009E3526">
            <w:pPr>
              <w:spacing w:before="40" w:after="40" w:line="220" w:lineRule="exact"/>
              <w:jc w:val="right"/>
              <w:rPr>
                <w:b/>
                <w:bCs/>
                <w:sz w:val="18"/>
                <w:szCs w:val="18"/>
              </w:rPr>
            </w:pPr>
            <w:r w:rsidRPr="00F72E58">
              <w:rPr>
                <w:b/>
                <w:bCs/>
                <w:sz w:val="18"/>
                <w:szCs w:val="18"/>
              </w:rPr>
              <w:t>389,0</w:t>
            </w:r>
          </w:p>
        </w:tc>
        <w:tc>
          <w:tcPr>
            <w:tcW w:w="828" w:type="dxa"/>
            <w:shd w:val="clear" w:color="auto" w:fill="auto"/>
            <w:vAlign w:val="bottom"/>
          </w:tcPr>
          <w:p w14:paraId="3D5E8635" w14:textId="77777777" w:rsidR="003279D5" w:rsidRPr="00F72E58" w:rsidRDefault="003279D5" w:rsidP="009E3526">
            <w:pPr>
              <w:spacing w:before="40" w:after="40" w:line="220" w:lineRule="exact"/>
              <w:jc w:val="right"/>
              <w:rPr>
                <w:b/>
                <w:bCs/>
                <w:sz w:val="18"/>
                <w:szCs w:val="18"/>
              </w:rPr>
            </w:pPr>
            <w:r w:rsidRPr="00F72E58">
              <w:rPr>
                <w:b/>
                <w:bCs/>
                <w:sz w:val="18"/>
                <w:szCs w:val="18"/>
              </w:rPr>
              <w:t>392,1</w:t>
            </w:r>
          </w:p>
        </w:tc>
        <w:tc>
          <w:tcPr>
            <w:tcW w:w="828" w:type="dxa"/>
            <w:shd w:val="clear" w:color="auto" w:fill="auto"/>
            <w:vAlign w:val="bottom"/>
          </w:tcPr>
          <w:p w14:paraId="6E4F6FA6" w14:textId="77777777" w:rsidR="003279D5" w:rsidRPr="00F72E58" w:rsidRDefault="003279D5" w:rsidP="009E3526">
            <w:pPr>
              <w:spacing w:before="40" w:after="40" w:line="220" w:lineRule="exact"/>
              <w:jc w:val="right"/>
              <w:rPr>
                <w:b/>
                <w:bCs/>
                <w:sz w:val="18"/>
                <w:szCs w:val="18"/>
              </w:rPr>
            </w:pPr>
            <w:r w:rsidRPr="00F72E58">
              <w:rPr>
                <w:b/>
                <w:bCs/>
                <w:sz w:val="18"/>
                <w:szCs w:val="18"/>
              </w:rPr>
              <w:t>396,7</w:t>
            </w:r>
          </w:p>
        </w:tc>
        <w:tc>
          <w:tcPr>
            <w:tcW w:w="828" w:type="dxa"/>
            <w:shd w:val="clear" w:color="auto" w:fill="auto"/>
            <w:vAlign w:val="bottom"/>
          </w:tcPr>
          <w:p w14:paraId="787B2FAF" w14:textId="77777777" w:rsidR="003279D5" w:rsidRPr="00F72E58" w:rsidRDefault="003279D5" w:rsidP="009E3526">
            <w:pPr>
              <w:spacing w:before="40" w:after="40" w:line="220" w:lineRule="exact"/>
              <w:jc w:val="right"/>
              <w:rPr>
                <w:b/>
                <w:bCs/>
                <w:sz w:val="18"/>
                <w:szCs w:val="18"/>
              </w:rPr>
            </w:pPr>
            <w:r w:rsidRPr="00F72E58">
              <w:rPr>
                <w:b/>
                <w:bCs/>
                <w:sz w:val="18"/>
                <w:szCs w:val="18"/>
              </w:rPr>
              <w:t>395,8</w:t>
            </w:r>
          </w:p>
        </w:tc>
        <w:tc>
          <w:tcPr>
            <w:tcW w:w="828" w:type="dxa"/>
            <w:shd w:val="clear" w:color="auto" w:fill="auto"/>
            <w:vAlign w:val="bottom"/>
          </w:tcPr>
          <w:p w14:paraId="28E13A7F" w14:textId="77777777" w:rsidR="003279D5" w:rsidRPr="00F72E58" w:rsidRDefault="003279D5" w:rsidP="009E3526">
            <w:pPr>
              <w:spacing w:before="40" w:after="40" w:line="220" w:lineRule="exact"/>
              <w:jc w:val="right"/>
              <w:rPr>
                <w:b/>
                <w:bCs/>
                <w:sz w:val="18"/>
                <w:szCs w:val="18"/>
              </w:rPr>
            </w:pPr>
            <w:r w:rsidRPr="00F72E58">
              <w:rPr>
                <w:b/>
                <w:bCs/>
                <w:sz w:val="18"/>
                <w:szCs w:val="18"/>
              </w:rPr>
              <w:t>401,4</w:t>
            </w:r>
          </w:p>
        </w:tc>
      </w:tr>
      <w:tr w:rsidR="003279D5" w:rsidRPr="00984603" w14:paraId="21A35BAD" w14:textId="77777777" w:rsidTr="004961FD">
        <w:tc>
          <w:tcPr>
            <w:tcW w:w="2693" w:type="dxa"/>
            <w:shd w:val="clear" w:color="auto" w:fill="auto"/>
          </w:tcPr>
          <w:p w14:paraId="54C7B2AB" w14:textId="77777777" w:rsidR="003279D5" w:rsidRPr="00F72E58" w:rsidRDefault="00F72E58" w:rsidP="004B2949">
            <w:pPr>
              <w:spacing w:before="40" w:after="40" w:line="220" w:lineRule="exact"/>
              <w:rPr>
                <w:sz w:val="18"/>
                <w:szCs w:val="18"/>
              </w:rPr>
            </w:pPr>
            <w:r w:rsidRPr="00F72E58">
              <w:rPr>
                <w:bCs/>
                <w:sz w:val="18"/>
                <w:szCs w:val="18"/>
              </w:rPr>
              <w:t>Total</w:t>
            </w:r>
          </w:p>
        </w:tc>
        <w:tc>
          <w:tcPr>
            <w:tcW w:w="828" w:type="dxa"/>
            <w:shd w:val="clear" w:color="auto" w:fill="auto"/>
            <w:vAlign w:val="bottom"/>
          </w:tcPr>
          <w:p w14:paraId="0C1E2BE8"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C871854"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5BD3F6E"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83754FA"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DC3B184"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077E05B9"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08AE4BEC" w14:textId="77777777" w:rsidR="003279D5" w:rsidRPr="00F72E58" w:rsidRDefault="003279D5" w:rsidP="009E3526">
            <w:pPr>
              <w:spacing w:before="40" w:after="40" w:line="220" w:lineRule="exact"/>
              <w:jc w:val="right"/>
              <w:rPr>
                <w:sz w:val="18"/>
                <w:szCs w:val="18"/>
              </w:rPr>
            </w:pPr>
          </w:p>
        </w:tc>
      </w:tr>
      <w:bookmarkEnd w:id="180"/>
      <w:tr w:rsidR="00F72E58" w:rsidRPr="00984603" w14:paraId="133E7DE1" w14:textId="77777777" w:rsidTr="004961FD">
        <w:tc>
          <w:tcPr>
            <w:tcW w:w="2693" w:type="dxa"/>
            <w:shd w:val="clear" w:color="auto" w:fill="auto"/>
          </w:tcPr>
          <w:p w14:paraId="1300C581"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1FA5AE8C" w14:textId="77777777" w:rsidR="00F72E58" w:rsidRPr="00F72E58" w:rsidRDefault="00F72E58" w:rsidP="009E3526">
            <w:pPr>
              <w:spacing w:before="40" w:after="40" w:line="220" w:lineRule="exact"/>
              <w:jc w:val="right"/>
              <w:rPr>
                <w:sz w:val="18"/>
                <w:szCs w:val="18"/>
              </w:rPr>
            </w:pPr>
            <w:r w:rsidRPr="00F72E58">
              <w:rPr>
                <w:sz w:val="18"/>
                <w:szCs w:val="18"/>
              </w:rPr>
              <w:t>397,9</w:t>
            </w:r>
          </w:p>
        </w:tc>
        <w:tc>
          <w:tcPr>
            <w:tcW w:w="828" w:type="dxa"/>
            <w:shd w:val="clear" w:color="auto" w:fill="auto"/>
            <w:vAlign w:val="bottom"/>
          </w:tcPr>
          <w:p w14:paraId="3225EBAE" w14:textId="77777777" w:rsidR="00F72E58" w:rsidRPr="00F72E58" w:rsidRDefault="00F72E58" w:rsidP="009E3526">
            <w:pPr>
              <w:spacing w:before="40" w:after="40" w:line="220" w:lineRule="exact"/>
              <w:jc w:val="right"/>
              <w:rPr>
                <w:sz w:val="18"/>
                <w:szCs w:val="18"/>
              </w:rPr>
            </w:pPr>
            <w:r w:rsidRPr="00F72E58">
              <w:rPr>
                <w:sz w:val="18"/>
                <w:szCs w:val="18"/>
              </w:rPr>
              <w:t>397,8</w:t>
            </w:r>
          </w:p>
        </w:tc>
        <w:tc>
          <w:tcPr>
            <w:tcW w:w="828" w:type="dxa"/>
            <w:shd w:val="clear" w:color="auto" w:fill="auto"/>
            <w:vAlign w:val="bottom"/>
          </w:tcPr>
          <w:p w14:paraId="73CF3C3D" w14:textId="77777777" w:rsidR="00F72E58" w:rsidRPr="00F72E58" w:rsidRDefault="00F72E58" w:rsidP="009E3526">
            <w:pPr>
              <w:spacing w:before="40" w:after="40" w:line="220" w:lineRule="exact"/>
              <w:jc w:val="right"/>
              <w:rPr>
                <w:sz w:val="18"/>
                <w:szCs w:val="18"/>
              </w:rPr>
            </w:pPr>
            <w:r w:rsidRPr="00F72E58">
              <w:rPr>
                <w:sz w:val="18"/>
                <w:szCs w:val="18"/>
              </w:rPr>
              <w:t>399,2</w:t>
            </w:r>
          </w:p>
        </w:tc>
        <w:tc>
          <w:tcPr>
            <w:tcW w:w="828" w:type="dxa"/>
            <w:shd w:val="clear" w:color="auto" w:fill="auto"/>
            <w:vAlign w:val="bottom"/>
          </w:tcPr>
          <w:p w14:paraId="7046DBAE" w14:textId="77777777" w:rsidR="00F72E58" w:rsidRPr="00F72E58" w:rsidRDefault="00F72E58" w:rsidP="009E3526">
            <w:pPr>
              <w:spacing w:before="40" w:after="40" w:line="220" w:lineRule="exact"/>
              <w:jc w:val="right"/>
              <w:rPr>
                <w:sz w:val="18"/>
                <w:szCs w:val="18"/>
              </w:rPr>
            </w:pPr>
            <w:r w:rsidRPr="00F72E58">
              <w:rPr>
                <w:sz w:val="18"/>
                <w:szCs w:val="18"/>
              </w:rPr>
              <w:t>404,6</w:t>
            </w:r>
          </w:p>
        </w:tc>
        <w:tc>
          <w:tcPr>
            <w:tcW w:w="828" w:type="dxa"/>
            <w:shd w:val="clear" w:color="auto" w:fill="auto"/>
            <w:vAlign w:val="bottom"/>
          </w:tcPr>
          <w:p w14:paraId="69669539" w14:textId="77777777" w:rsidR="00F72E58" w:rsidRPr="00F72E58" w:rsidRDefault="00F72E58" w:rsidP="009E3526">
            <w:pPr>
              <w:spacing w:before="40" w:after="40" w:line="220" w:lineRule="exact"/>
              <w:jc w:val="right"/>
              <w:rPr>
                <w:sz w:val="18"/>
                <w:szCs w:val="18"/>
              </w:rPr>
            </w:pPr>
            <w:r w:rsidRPr="00F72E58">
              <w:rPr>
                <w:sz w:val="18"/>
                <w:szCs w:val="18"/>
              </w:rPr>
              <w:t>418,6</w:t>
            </w:r>
          </w:p>
        </w:tc>
        <w:tc>
          <w:tcPr>
            <w:tcW w:w="828" w:type="dxa"/>
            <w:shd w:val="clear" w:color="auto" w:fill="auto"/>
            <w:vAlign w:val="bottom"/>
          </w:tcPr>
          <w:p w14:paraId="1F77A505" w14:textId="77777777" w:rsidR="00F72E58" w:rsidRPr="00F72E58" w:rsidRDefault="00F72E58" w:rsidP="009E3526">
            <w:pPr>
              <w:spacing w:before="40" w:after="40" w:line="220" w:lineRule="exact"/>
              <w:jc w:val="right"/>
              <w:rPr>
                <w:sz w:val="18"/>
                <w:szCs w:val="18"/>
              </w:rPr>
            </w:pPr>
            <w:r w:rsidRPr="00F72E58">
              <w:rPr>
                <w:sz w:val="18"/>
                <w:szCs w:val="18"/>
              </w:rPr>
              <w:t>415,3</w:t>
            </w:r>
          </w:p>
        </w:tc>
        <w:tc>
          <w:tcPr>
            <w:tcW w:w="828" w:type="dxa"/>
            <w:shd w:val="clear" w:color="auto" w:fill="auto"/>
            <w:vAlign w:val="bottom"/>
          </w:tcPr>
          <w:p w14:paraId="4C026737" w14:textId="77777777" w:rsidR="00F72E58" w:rsidRPr="00F72E58" w:rsidRDefault="00F72E58" w:rsidP="009E3526">
            <w:pPr>
              <w:spacing w:before="40" w:after="40" w:line="220" w:lineRule="exact"/>
              <w:jc w:val="right"/>
              <w:rPr>
                <w:sz w:val="18"/>
                <w:szCs w:val="18"/>
              </w:rPr>
            </w:pPr>
            <w:r w:rsidRPr="00F72E58">
              <w:rPr>
                <w:sz w:val="18"/>
                <w:szCs w:val="18"/>
              </w:rPr>
              <w:t>419,8</w:t>
            </w:r>
          </w:p>
        </w:tc>
      </w:tr>
      <w:tr w:rsidR="00F72E58" w:rsidRPr="00984603" w14:paraId="7131ED94" w14:textId="77777777" w:rsidTr="004961FD">
        <w:tc>
          <w:tcPr>
            <w:tcW w:w="2693" w:type="dxa"/>
            <w:shd w:val="clear" w:color="auto" w:fill="auto"/>
          </w:tcPr>
          <w:p w14:paraId="5F6FCC7F"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5F0500F9" w14:textId="77777777" w:rsidR="00F72E58" w:rsidRPr="00F72E58" w:rsidRDefault="00F72E58" w:rsidP="009E3526">
            <w:pPr>
              <w:spacing w:before="40" w:after="40" w:line="220" w:lineRule="exact"/>
              <w:jc w:val="right"/>
              <w:rPr>
                <w:sz w:val="18"/>
                <w:szCs w:val="18"/>
              </w:rPr>
            </w:pPr>
            <w:r w:rsidRPr="00F72E58">
              <w:rPr>
                <w:sz w:val="18"/>
                <w:szCs w:val="18"/>
              </w:rPr>
              <w:t>389,5</w:t>
            </w:r>
          </w:p>
        </w:tc>
        <w:tc>
          <w:tcPr>
            <w:tcW w:w="828" w:type="dxa"/>
            <w:shd w:val="clear" w:color="auto" w:fill="auto"/>
            <w:vAlign w:val="bottom"/>
          </w:tcPr>
          <w:p w14:paraId="5E032C51" w14:textId="77777777" w:rsidR="00F72E58" w:rsidRPr="00F72E58" w:rsidRDefault="00F72E58" w:rsidP="009E3526">
            <w:pPr>
              <w:spacing w:before="40" w:after="40" w:line="220" w:lineRule="exact"/>
              <w:jc w:val="right"/>
              <w:rPr>
                <w:sz w:val="18"/>
                <w:szCs w:val="18"/>
              </w:rPr>
            </w:pPr>
            <w:r w:rsidRPr="00F72E58">
              <w:rPr>
                <w:sz w:val="18"/>
                <w:szCs w:val="18"/>
              </w:rPr>
              <w:t>390,4</w:t>
            </w:r>
          </w:p>
        </w:tc>
        <w:tc>
          <w:tcPr>
            <w:tcW w:w="828" w:type="dxa"/>
            <w:shd w:val="clear" w:color="auto" w:fill="auto"/>
            <w:vAlign w:val="bottom"/>
          </w:tcPr>
          <w:p w14:paraId="3AC813CA" w14:textId="77777777" w:rsidR="00F72E58" w:rsidRPr="00F72E58" w:rsidRDefault="00F72E58" w:rsidP="009E3526">
            <w:pPr>
              <w:spacing w:before="40" w:after="40" w:line="220" w:lineRule="exact"/>
              <w:jc w:val="right"/>
              <w:rPr>
                <w:sz w:val="18"/>
                <w:szCs w:val="18"/>
              </w:rPr>
            </w:pPr>
            <w:r w:rsidRPr="00F72E58">
              <w:rPr>
                <w:sz w:val="18"/>
                <w:szCs w:val="18"/>
              </w:rPr>
              <w:t>397,6</w:t>
            </w:r>
          </w:p>
        </w:tc>
        <w:tc>
          <w:tcPr>
            <w:tcW w:w="828" w:type="dxa"/>
            <w:shd w:val="clear" w:color="auto" w:fill="auto"/>
            <w:vAlign w:val="bottom"/>
          </w:tcPr>
          <w:p w14:paraId="28AC0998" w14:textId="77777777" w:rsidR="00F72E58" w:rsidRPr="00F72E58" w:rsidRDefault="00F72E58" w:rsidP="009E3526">
            <w:pPr>
              <w:spacing w:before="40" w:after="40" w:line="220" w:lineRule="exact"/>
              <w:jc w:val="right"/>
              <w:rPr>
                <w:sz w:val="18"/>
                <w:szCs w:val="18"/>
              </w:rPr>
            </w:pPr>
            <w:r w:rsidRPr="00F72E58">
              <w:rPr>
                <w:sz w:val="18"/>
                <w:szCs w:val="18"/>
              </w:rPr>
              <w:t>406,5</w:t>
            </w:r>
          </w:p>
        </w:tc>
        <w:tc>
          <w:tcPr>
            <w:tcW w:w="828" w:type="dxa"/>
            <w:shd w:val="clear" w:color="auto" w:fill="auto"/>
            <w:vAlign w:val="bottom"/>
          </w:tcPr>
          <w:p w14:paraId="6AF8E48F" w14:textId="77777777" w:rsidR="00F72E58" w:rsidRPr="00F72E58" w:rsidRDefault="00F72E58" w:rsidP="009E3526">
            <w:pPr>
              <w:spacing w:before="40" w:after="40" w:line="220" w:lineRule="exact"/>
              <w:jc w:val="right"/>
              <w:rPr>
                <w:sz w:val="18"/>
                <w:szCs w:val="18"/>
              </w:rPr>
            </w:pPr>
            <w:r w:rsidRPr="00F72E58">
              <w:rPr>
                <w:sz w:val="18"/>
                <w:szCs w:val="18"/>
              </w:rPr>
              <w:t>421,9</w:t>
            </w:r>
          </w:p>
        </w:tc>
        <w:tc>
          <w:tcPr>
            <w:tcW w:w="828" w:type="dxa"/>
            <w:shd w:val="clear" w:color="auto" w:fill="auto"/>
            <w:vAlign w:val="bottom"/>
          </w:tcPr>
          <w:p w14:paraId="696521B5" w14:textId="77777777" w:rsidR="00F72E58" w:rsidRPr="00F72E58" w:rsidRDefault="00F72E58" w:rsidP="009E3526">
            <w:pPr>
              <w:spacing w:before="40" w:after="40" w:line="220" w:lineRule="exact"/>
              <w:jc w:val="right"/>
              <w:rPr>
                <w:sz w:val="18"/>
                <w:szCs w:val="18"/>
              </w:rPr>
            </w:pPr>
            <w:r w:rsidRPr="00F72E58">
              <w:rPr>
                <w:sz w:val="18"/>
                <w:szCs w:val="18"/>
              </w:rPr>
              <w:t>416,5</w:t>
            </w:r>
          </w:p>
        </w:tc>
        <w:tc>
          <w:tcPr>
            <w:tcW w:w="828" w:type="dxa"/>
            <w:shd w:val="clear" w:color="auto" w:fill="auto"/>
            <w:vAlign w:val="bottom"/>
          </w:tcPr>
          <w:p w14:paraId="67CAFBFC" w14:textId="77777777" w:rsidR="00F72E58" w:rsidRPr="00F72E58" w:rsidRDefault="00F72E58" w:rsidP="009E3526">
            <w:pPr>
              <w:spacing w:before="40" w:after="40" w:line="220" w:lineRule="exact"/>
              <w:jc w:val="right"/>
              <w:rPr>
                <w:sz w:val="18"/>
                <w:szCs w:val="18"/>
              </w:rPr>
            </w:pPr>
            <w:r w:rsidRPr="00F72E58">
              <w:rPr>
                <w:sz w:val="18"/>
                <w:szCs w:val="18"/>
              </w:rPr>
              <w:t>419,1</w:t>
            </w:r>
          </w:p>
        </w:tc>
      </w:tr>
      <w:tr w:rsidR="00F72E58" w:rsidRPr="00984603" w14:paraId="014E0CF5" w14:textId="77777777" w:rsidTr="004961FD">
        <w:tc>
          <w:tcPr>
            <w:tcW w:w="2693" w:type="dxa"/>
            <w:shd w:val="clear" w:color="auto" w:fill="auto"/>
          </w:tcPr>
          <w:p w14:paraId="23742A59" w14:textId="77777777" w:rsidR="00F72E58" w:rsidRPr="00F72E58" w:rsidRDefault="00F72E58" w:rsidP="009E3526">
            <w:pPr>
              <w:spacing w:before="40" w:after="40" w:line="220" w:lineRule="exact"/>
              <w:ind w:firstLineChars="100" w:firstLine="181"/>
              <w:jc w:val="right"/>
              <w:rPr>
                <w:b/>
                <w:bCs/>
                <w:iCs/>
                <w:sz w:val="18"/>
                <w:szCs w:val="18"/>
                <w:lang w:val="fr-FR" w:eastAsia="en-IE"/>
              </w:rPr>
            </w:pPr>
            <w:bookmarkStart w:id="181" w:name="_Hlk37830903"/>
            <w:r w:rsidRPr="00F72E58">
              <w:rPr>
                <w:b/>
                <w:bCs/>
                <w:iCs/>
                <w:sz w:val="18"/>
                <w:szCs w:val="18"/>
                <w:lang w:val="fr-FR" w:eastAsia="en-IE"/>
              </w:rPr>
              <w:t>Total</w:t>
            </w:r>
          </w:p>
        </w:tc>
        <w:tc>
          <w:tcPr>
            <w:tcW w:w="828" w:type="dxa"/>
            <w:shd w:val="clear" w:color="auto" w:fill="auto"/>
            <w:vAlign w:val="bottom"/>
          </w:tcPr>
          <w:p w14:paraId="3A895B3E" w14:textId="77777777" w:rsidR="00F72E58" w:rsidRPr="00AB4102" w:rsidRDefault="00F72E58" w:rsidP="009E3526">
            <w:pPr>
              <w:spacing w:before="40" w:after="40" w:line="220" w:lineRule="exact"/>
              <w:jc w:val="right"/>
              <w:rPr>
                <w:b/>
                <w:bCs/>
                <w:sz w:val="18"/>
                <w:szCs w:val="18"/>
              </w:rPr>
            </w:pPr>
            <w:r w:rsidRPr="00AB4102">
              <w:rPr>
                <w:b/>
                <w:bCs/>
                <w:sz w:val="18"/>
                <w:szCs w:val="18"/>
              </w:rPr>
              <w:t>7787,5</w:t>
            </w:r>
          </w:p>
        </w:tc>
        <w:tc>
          <w:tcPr>
            <w:tcW w:w="828" w:type="dxa"/>
            <w:shd w:val="clear" w:color="auto" w:fill="auto"/>
            <w:vAlign w:val="bottom"/>
          </w:tcPr>
          <w:p w14:paraId="427E3B3B" w14:textId="77777777" w:rsidR="00F72E58" w:rsidRPr="00F72E58" w:rsidRDefault="00F72E58" w:rsidP="009E3526">
            <w:pPr>
              <w:spacing w:before="40" w:after="40" w:line="220" w:lineRule="exact"/>
              <w:jc w:val="right"/>
              <w:rPr>
                <w:b/>
                <w:bCs/>
                <w:sz w:val="18"/>
                <w:szCs w:val="18"/>
              </w:rPr>
            </w:pPr>
            <w:r w:rsidRPr="00F72E58">
              <w:rPr>
                <w:b/>
                <w:bCs/>
                <w:sz w:val="18"/>
                <w:szCs w:val="18"/>
              </w:rPr>
              <w:t>788,2</w:t>
            </w:r>
          </w:p>
        </w:tc>
        <w:tc>
          <w:tcPr>
            <w:tcW w:w="828" w:type="dxa"/>
            <w:shd w:val="clear" w:color="auto" w:fill="auto"/>
            <w:vAlign w:val="bottom"/>
          </w:tcPr>
          <w:p w14:paraId="7FB31AE0" w14:textId="77777777" w:rsidR="00F72E58" w:rsidRPr="00F72E58" w:rsidRDefault="00F72E58" w:rsidP="009E3526">
            <w:pPr>
              <w:spacing w:before="40" w:after="40" w:line="220" w:lineRule="exact"/>
              <w:jc w:val="right"/>
              <w:rPr>
                <w:b/>
                <w:bCs/>
                <w:sz w:val="18"/>
                <w:szCs w:val="18"/>
              </w:rPr>
            </w:pPr>
            <w:r w:rsidRPr="00F72E58">
              <w:rPr>
                <w:b/>
                <w:bCs/>
                <w:sz w:val="18"/>
                <w:szCs w:val="18"/>
              </w:rPr>
              <w:t>796,8</w:t>
            </w:r>
          </w:p>
        </w:tc>
        <w:tc>
          <w:tcPr>
            <w:tcW w:w="828" w:type="dxa"/>
            <w:shd w:val="clear" w:color="auto" w:fill="auto"/>
            <w:vAlign w:val="bottom"/>
          </w:tcPr>
          <w:p w14:paraId="151AF86A" w14:textId="77777777" w:rsidR="00F72E58" w:rsidRPr="00F72E58" w:rsidRDefault="00F72E58" w:rsidP="009E3526">
            <w:pPr>
              <w:spacing w:before="40" w:after="40" w:line="220" w:lineRule="exact"/>
              <w:jc w:val="right"/>
              <w:rPr>
                <w:b/>
                <w:bCs/>
                <w:sz w:val="18"/>
                <w:szCs w:val="18"/>
              </w:rPr>
            </w:pPr>
            <w:r w:rsidRPr="00F72E58">
              <w:rPr>
                <w:b/>
                <w:bCs/>
                <w:sz w:val="18"/>
                <w:szCs w:val="18"/>
              </w:rPr>
              <w:t>811,1</w:t>
            </w:r>
          </w:p>
        </w:tc>
        <w:tc>
          <w:tcPr>
            <w:tcW w:w="828" w:type="dxa"/>
            <w:shd w:val="clear" w:color="auto" w:fill="auto"/>
            <w:vAlign w:val="bottom"/>
          </w:tcPr>
          <w:p w14:paraId="46B8C9DB" w14:textId="77777777" w:rsidR="00F72E58" w:rsidRPr="00F72E58" w:rsidRDefault="00F72E58" w:rsidP="009E3526">
            <w:pPr>
              <w:spacing w:before="40" w:after="40" w:line="220" w:lineRule="exact"/>
              <w:jc w:val="right"/>
              <w:rPr>
                <w:b/>
                <w:bCs/>
                <w:sz w:val="18"/>
                <w:szCs w:val="18"/>
              </w:rPr>
            </w:pPr>
            <w:r w:rsidRPr="00F72E58">
              <w:rPr>
                <w:b/>
                <w:bCs/>
                <w:sz w:val="18"/>
                <w:szCs w:val="18"/>
              </w:rPr>
              <w:t>840,5</w:t>
            </w:r>
          </w:p>
        </w:tc>
        <w:tc>
          <w:tcPr>
            <w:tcW w:w="828" w:type="dxa"/>
            <w:shd w:val="clear" w:color="auto" w:fill="auto"/>
            <w:vAlign w:val="bottom"/>
          </w:tcPr>
          <w:p w14:paraId="3A24BE1C" w14:textId="77777777" w:rsidR="00F72E58" w:rsidRPr="00F72E58" w:rsidRDefault="00F72E58" w:rsidP="009E3526">
            <w:pPr>
              <w:spacing w:before="40" w:after="40" w:line="220" w:lineRule="exact"/>
              <w:jc w:val="right"/>
              <w:rPr>
                <w:b/>
                <w:bCs/>
                <w:sz w:val="18"/>
                <w:szCs w:val="18"/>
              </w:rPr>
            </w:pPr>
            <w:r w:rsidRPr="00F72E58">
              <w:rPr>
                <w:b/>
                <w:bCs/>
                <w:sz w:val="18"/>
                <w:szCs w:val="18"/>
              </w:rPr>
              <w:t>831,8</w:t>
            </w:r>
          </w:p>
        </w:tc>
        <w:tc>
          <w:tcPr>
            <w:tcW w:w="828" w:type="dxa"/>
            <w:shd w:val="clear" w:color="auto" w:fill="auto"/>
            <w:vAlign w:val="bottom"/>
          </w:tcPr>
          <w:p w14:paraId="2E9E1310" w14:textId="77777777" w:rsidR="00F72E58" w:rsidRPr="00F72E58" w:rsidRDefault="00F72E58" w:rsidP="009E3526">
            <w:pPr>
              <w:spacing w:before="40" w:after="40" w:line="220" w:lineRule="exact"/>
              <w:jc w:val="right"/>
              <w:rPr>
                <w:b/>
                <w:bCs/>
                <w:sz w:val="18"/>
                <w:szCs w:val="18"/>
              </w:rPr>
            </w:pPr>
            <w:r w:rsidRPr="00F72E58">
              <w:rPr>
                <w:b/>
                <w:bCs/>
                <w:sz w:val="18"/>
                <w:szCs w:val="18"/>
              </w:rPr>
              <w:t>838,9</w:t>
            </w:r>
          </w:p>
        </w:tc>
      </w:tr>
      <w:bookmarkEnd w:id="181"/>
      <w:tr w:rsidR="003279D5" w:rsidRPr="00984603" w14:paraId="67FB507F" w14:textId="77777777" w:rsidTr="004961FD">
        <w:tc>
          <w:tcPr>
            <w:tcW w:w="828" w:type="dxa"/>
            <w:gridSpan w:val="8"/>
            <w:shd w:val="clear" w:color="auto" w:fill="auto"/>
          </w:tcPr>
          <w:p w14:paraId="2A53B2B3" w14:textId="77777777" w:rsidR="003279D5" w:rsidRPr="00F72E58" w:rsidRDefault="00F72E58" w:rsidP="009E3526">
            <w:pPr>
              <w:spacing w:before="40" w:after="40" w:line="220" w:lineRule="exact"/>
              <w:rPr>
                <w:sz w:val="18"/>
                <w:szCs w:val="18"/>
              </w:rPr>
            </w:pPr>
            <w:r w:rsidRPr="00F72E58">
              <w:rPr>
                <w:b/>
                <w:bCs/>
                <w:sz w:val="18"/>
                <w:szCs w:val="18"/>
              </w:rPr>
              <w:t>Couple sans enfants</w:t>
            </w:r>
          </w:p>
        </w:tc>
      </w:tr>
      <w:tr w:rsidR="003279D5" w:rsidRPr="00984603" w14:paraId="1C029B5F" w14:textId="77777777" w:rsidTr="004961FD">
        <w:tc>
          <w:tcPr>
            <w:tcW w:w="2693" w:type="dxa"/>
            <w:shd w:val="clear" w:color="auto" w:fill="auto"/>
          </w:tcPr>
          <w:p w14:paraId="2F4C0AD1" w14:textId="77777777" w:rsidR="003279D5" w:rsidRPr="00F72E58" w:rsidRDefault="00F72E58" w:rsidP="009E3526">
            <w:pPr>
              <w:spacing w:before="40" w:after="40" w:line="220" w:lineRule="exact"/>
              <w:rPr>
                <w:i/>
                <w:sz w:val="18"/>
                <w:szCs w:val="18"/>
              </w:rPr>
            </w:pPr>
            <w:r w:rsidRPr="00F72E58">
              <w:rPr>
                <w:i/>
                <w:sz w:val="18"/>
                <w:szCs w:val="18"/>
                <w:lang w:val="fr-FR" w:eastAsia="en-IE"/>
              </w:rPr>
              <w:t>Actif avec emploi</w:t>
            </w:r>
          </w:p>
        </w:tc>
        <w:tc>
          <w:tcPr>
            <w:tcW w:w="828" w:type="dxa"/>
            <w:shd w:val="clear" w:color="auto" w:fill="auto"/>
            <w:vAlign w:val="bottom"/>
          </w:tcPr>
          <w:p w14:paraId="1347BAA9" w14:textId="77777777" w:rsidR="003279D5" w:rsidRPr="00F72E58" w:rsidRDefault="003279D5" w:rsidP="009E3526">
            <w:pPr>
              <w:spacing w:before="40" w:after="40" w:line="220" w:lineRule="exact"/>
              <w:rPr>
                <w:i/>
                <w:sz w:val="18"/>
                <w:szCs w:val="18"/>
                <w:lang w:eastAsia="en-IE"/>
              </w:rPr>
            </w:pPr>
          </w:p>
        </w:tc>
        <w:tc>
          <w:tcPr>
            <w:tcW w:w="828" w:type="dxa"/>
            <w:shd w:val="clear" w:color="auto" w:fill="auto"/>
            <w:vAlign w:val="bottom"/>
          </w:tcPr>
          <w:p w14:paraId="41D0AADA" w14:textId="77777777" w:rsidR="003279D5" w:rsidRPr="00F72E58" w:rsidRDefault="003279D5" w:rsidP="009E3526">
            <w:pPr>
              <w:spacing w:before="40" w:after="40" w:line="220" w:lineRule="exact"/>
              <w:jc w:val="right"/>
              <w:rPr>
                <w:sz w:val="18"/>
                <w:szCs w:val="18"/>
                <w:lang w:eastAsia="en-IE"/>
              </w:rPr>
            </w:pPr>
          </w:p>
        </w:tc>
        <w:tc>
          <w:tcPr>
            <w:tcW w:w="828" w:type="dxa"/>
            <w:shd w:val="clear" w:color="auto" w:fill="auto"/>
            <w:vAlign w:val="bottom"/>
          </w:tcPr>
          <w:p w14:paraId="7D3755A4" w14:textId="77777777" w:rsidR="003279D5" w:rsidRPr="00F72E58" w:rsidRDefault="003279D5" w:rsidP="009E3526">
            <w:pPr>
              <w:spacing w:before="40" w:after="40" w:line="220" w:lineRule="exact"/>
              <w:jc w:val="right"/>
              <w:rPr>
                <w:sz w:val="18"/>
                <w:szCs w:val="18"/>
                <w:lang w:eastAsia="en-IE"/>
              </w:rPr>
            </w:pPr>
          </w:p>
        </w:tc>
        <w:tc>
          <w:tcPr>
            <w:tcW w:w="828" w:type="dxa"/>
            <w:shd w:val="clear" w:color="auto" w:fill="auto"/>
            <w:vAlign w:val="bottom"/>
          </w:tcPr>
          <w:p w14:paraId="4EDD7CB9" w14:textId="77777777" w:rsidR="003279D5" w:rsidRPr="00F72E58" w:rsidRDefault="003279D5" w:rsidP="009E3526">
            <w:pPr>
              <w:spacing w:before="40" w:after="40" w:line="220" w:lineRule="exact"/>
              <w:jc w:val="right"/>
              <w:rPr>
                <w:sz w:val="18"/>
                <w:szCs w:val="18"/>
                <w:lang w:eastAsia="en-IE"/>
              </w:rPr>
            </w:pPr>
          </w:p>
        </w:tc>
        <w:tc>
          <w:tcPr>
            <w:tcW w:w="828" w:type="dxa"/>
            <w:shd w:val="clear" w:color="auto" w:fill="auto"/>
            <w:vAlign w:val="bottom"/>
          </w:tcPr>
          <w:p w14:paraId="2206A0B2" w14:textId="77777777" w:rsidR="003279D5" w:rsidRPr="00F72E58" w:rsidRDefault="003279D5" w:rsidP="009E3526">
            <w:pPr>
              <w:spacing w:before="40" w:after="40" w:line="220" w:lineRule="exact"/>
              <w:jc w:val="right"/>
              <w:rPr>
                <w:sz w:val="18"/>
                <w:szCs w:val="18"/>
                <w:lang w:eastAsia="en-IE"/>
              </w:rPr>
            </w:pPr>
          </w:p>
        </w:tc>
        <w:tc>
          <w:tcPr>
            <w:tcW w:w="828" w:type="dxa"/>
            <w:shd w:val="clear" w:color="auto" w:fill="auto"/>
            <w:vAlign w:val="bottom"/>
          </w:tcPr>
          <w:p w14:paraId="734F9E2F" w14:textId="77777777" w:rsidR="003279D5" w:rsidRPr="00F72E58" w:rsidRDefault="003279D5" w:rsidP="009E3526">
            <w:pPr>
              <w:spacing w:before="40" w:after="40" w:line="220" w:lineRule="exact"/>
              <w:jc w:val="right"/>
              <w:rPr>
                <w:sz w:val="18"/>
                <w:szCs w:val="18"/>
                <w:lang w:eastAsia="en-IE"/>
              </w:rPr>
            </w:pPr>
          </w:p>
        </w:tc>
        <w:tc>
          <w:tcPr>
            <w:tcW w:w="828" w:type="dxa"/>
            <w:shd w:val="clear" w:color="auto" w:fill="auto"/>
            <w:vAlign w:val="bottom"/>
          </w:tcPr>
          <w:p w14:paraId="507462E4" w14:textId="77777777" w:rsidR="003279D5" w:rsidRPr="00F72E58" w:rsidRDefault="003279D5" w:rsidP="009E3526">
            <w:pPr>
              <w:spacing w:before="40" w:after="40" w:line="220" w:lineRule="exact"/>
              <w:jc w:val="right"/>
              <w:rPr>
                <w:sz w:val="18"/>
                <w:szCs w:val="18"/>
                <w:lang w:eastAsia="en-IE"/>
              </w:rPr>
            </w:pPr>
          </w:p>
        </w:tc>
      </w:tr>
      <w:tr w:rsidR="00F72E58" w:rsidRPr="00984603" w14:paraId="246D3142" w14:textId="77777777" w:rsidTr="004961FD">
        <w:tc>
          <w:tcPr>
            <w:tcW w:w="2693" w:type="dxa"/>
            <w:shd w:val="clear" w:color="auto" w:fill="auto"/>
          </w:tcPr>
          <w:p w14:paraId="2B0F5D7C"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07822CF3" w14:textId="77777777" w:rsidR="00F72E58" w:rsidRPr="00F72E58" w:rsidRDefault="00F72E58" w:rsidP="009E3526">
            <w:pPr>
              <w:spacing w:before="40" w:after="40" w:line="220" w:lineRule="exact"/>
              <w:jc w:val="right"/>
              <w:rPr>
                <w:sz w:val="18"/>
                <w:szCs w:val="18"/>
              </w:rPr>
            </w:pPr>
            <w:r w:rsidRPr="00F72E58">
              <w:rPr>
                <w:sz w:val="18"/>
                <w:szCs w:val="18"/>
              </w:rPr>
              <w:t>573,8</w:t>
            </w:r>
          </w:p>
        </w:tc>
        <w:tc>
          <w:tcPr>
            <w:tcW w:w="828" w:type="dxa"/>
            <w:shd w:val="clear" w:color="auto" w:fill="auto"/>
            <w:vAlign w:val="bottom"/>
          </w:tcPr>
          <w:p w14:paraId="28032405" w14:textId="77777777" w:rsidR="00F72E58" w:rsidRPr="00F72E58" w:rsidRDefault="00F72E58" w:rsidP="009E3526">
            <w:pPr>
              <w:spacing w:before="40" w:after="40" w:line="220" w:lineRule="exact"/>
              <w:jc w:val="right"/>
              <w:rPr>
                <w:sz w:val="18"/>
                <w:szCs w:val="18"/>
              </w:rPr>
            </w:pPr>
            <w:r w:rsidRPr="00F72E58">
              <w:rPr>
                <w:sz w:val="18"/>
                <w:szCs w:val="18"/>
              </w:rPr>
              <w:t>573,6</w:t>
            </w:r>
          </w:p>
        </w:tc>
        <w:tc>
          <w:tcPr>
            <w:tcW w:w="828" w:type="dxa"/>
            <w:shd w:val="clear" w:color="auto" w:fill="auto"/>
            <w:vAlign w:val="bottom"/>
          </w:tcPr>
          <w:p w14:paraId="1B89A112" w14:textId="77777777" w:rsidR="00F72E58" w:rsidRPr="00F72E58" w:rsidRDefault="00F72E58" w:rsidP="009E3526">
            <w:pPr>
              <w:spacing w:before="40" w:after="40" w:line="220" w:lineRule="exact"/>
              <w:jc w:val="right"/>
              <w:rPr>
                <w:sz w:val="18"/>
                <w:szCs w:val="18"/>
              </w:rPr>
            </w:pPr>
            <w:r w:rsidRPr="00F72E58">
              <w:rPr>
                <w:sz w:val="18"/>
                <w:szCs w:val="18"/>
              </w:rPr>
              <w:t>573,4</w:t>
            </w:r>
          </w:p>
        </w:tc>
        <w:tc>
          <w:tcPr>
            <w:tcW w:w="828" w:type="dxa"/>
            <w:shd w:val="clear" w:color="auto" w:fill="auto"/>
            <w:vAlign w:val="bottom"/>
          </w:tcPr>
          <w:p w14:paraId="09F4ED6F" w14:textId="77777777" w:rsidR="00F72E58" w:rsidRPr="00F72E58" w:rsidRDefault="00F72E58" w:rsidP="009E3526">
            <w:pPr>
              <w:spacing w:before="40" w:after="40" w:line="220" w:lineRule="exact"/>
              <w:jc w:val="right"/>
              <w:rPr>
                <w:sz w:val="18"/>
                <w:szCs w:val="18"/>
              </w:rPr>
            </w:pPr>
            <w:r w:rsidRPr="00F72E58">
              <w:rPr>
                <w:sz w:val="18"/>
                <w:szCs w:val="18"/>
              </w:rPr>
              <w:t>565,3</w:t>
            </w:r>
          </w:p>
        </w:tc>
        <w:tc>
          <w:tcPr>
            <w:tcW w:w="828" w:type="dxa"/>
            <w:shd w:val="clear" w:color="auto" w:fill="auto"/>
            <w:vAlign w:val="bottom"/>
          </w:tcPr>
          <w:p w14:paraId="14457027" w14:textId="77777777" w:rsidR="00F72E58" w:rsidRPr="00F72E58" w:rsidRDefault="00F72E58" w:rsidP="009E3526">
            <w:pPr>
              <w:spacing w:before="40" w:after="40" w:line="220" w:lineRule="exact"/>
              <w:jc w:val="right"/>
              <w:rPr>
                <w:sz w:val="18"/>
                <w:szCs w:val="18"/>
              </w:rPr>
            </w:pPr>
            <w:r w:rsidRPr="00F72E58">
              <w:rPr>
                <w:sz w:val="18"/>
                <w:szCs w:val="18"/>
              </w:rPr>
              <w:t>560,0</w:t>
            </w:r>
          </w:p>
        </w:tc>
        <w:tc>
          <w:tcPr>
            <w:tcW w:w="828" w:type="dxa"/>
            <w:shd w:val="clear" w:color="auto" w:fill="auto"/>
            <w:vAlign w:val="bottom"/>
          </w:tcPr>
          <w:p w14:paraId="46EC3DD1" w14:textId="77777777" w:rsidR="00F72E58" w:rsidRPr="00F72E58" w:rsidRDefault="00F72E58" w:rsidP="009E3526">
            <w:pPr>
              <w:spacing w:before="40" w:after="40" w:line="220" w:lineRule="exact"/>
              <w:jc w:val="right"/>
              <w:rPr>
                <w:sz w:val="18"/>
                <w:szCs w:val="18"/>
              </w:rPr>
            </w:pPr>
            <w:r w:rsidRPr="00F72E58">
              <w:rPr>
                <w:sz w:val="18"/>
                <w:szCs w:val="18"/>
              </w:rPr>
              <w:t>568,7</w:t>
            </w:r>
          </w:p>
        </w:tc>
        <w:tc>
          <w:tcPr>
            <w:tcW w:w="828" w:type="dxa"/>
            <w:shd w:val="clear" w:color="auto" w:fill="auto"/>
            <w:vAlign w:val="bottom"/>
          </w:tcPr>
          <w:p w14:paraId="700C56DC" w14:textId="77777777" w:rsidR="00F72E58" w:rsidRPr="00F72E58" w:rsidRDefault="00F72E58" w:rsidP="009E3526">
            <w:pPr>
              <w:spacing w:before="40" w:after="40" w:line="220" w:lineRule="exact"/>
              <w:jc w:val="right"/>
              <w:rPr>
                <w:sz w:val="18"/>
                <w:szCs w:val="18"/>
              </w:rPr>
            </w:pPr>
            <w:r w:rsidRPr="00F72E58">
              <w:rPr>
                <w:sz w:val="18"/>
                <w:szCs w:val="18"/>
              </w:rPr>
              <w:t>568,8</w:t>
            </w:r>
          </w:p>
        </w:tc>
      </w:tr>
      <w:tr w:rsidR="00F72E58" w:rsidRPr="00984603" w14:paraId="7014326C" w14:textId="77777777" w:rsidTr="004961FD">
        <w:tc>
          <w:tcPr>
            <w:tcW w:w="2693" w:type="dxa"/>
            <w:shd w:val="clear" w:color="auto" w:fill="auto"/>
          </w:tcPr>
          <w:p w14:paraId="0C0763DB"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128E88DA" w14:textId="77777777" w:rsidR="00F72E58" w:rsidRPr="00F72E58" w:rsidRDefault="00F72E58" w:rsidP="009E3526">
            <w:pPr>
              <w:spacing w:before="40" w:after="40" w:line="220" w:lineRule="exact"/>
              <w:jc w:val="right"/>
              <w:rPr>
                <w:sz w:val="18"/>
                <w:szCs w:val="18"/>
              </w:rPr>
            </w:pPr>
            <w:r w:rsidRPr="00F72E58">
              <w:rPr>
                <w:sz w:val="18"/>
                <w:szCs w:val="18"/>
              </w:rPr>
              <w:t>420,1</w:t>
            </w:r>
          </w:p>
        </w:tc>
        <w:tc>
          <w:tcPr>
            <w:tcW w:w="828" w:type="dxa"/>
            <w:shd w:val="clear" w:color="auto" w:fill="auto"/>
            <w:vAlign w:val="bottom"/>
          </w:tcPr>
          <w:p w14:paraId="0124C0D5" w14:textId="77777777" w:rsidR="00F72E58" w:rsidRPr="00F72E58" w:rsidRDefault="00F72E58" w:rsidP="009E3526">
            <w:pPr>
              <w:spacing w:before="40" w:after="40" w:line="220" w:lineRule="exact"/>
              <w:jc w:val="right"/>
              <w:rPr>
                <w:sz w:val="18"/>
                <w:szCs w:val="18"/>
              </w:rPr>
            </w:pPr>
            <w:r w:rsidRPr="00F72E58">
              <w:rPr>
                <w:sz w:val="18"/>
                <w:szCs w:val="18"/>
              </w:rPr>
              <w:t>428,4</w:t>
            </w:r>
          </w:p>
        </w:tc>
        <w:tc>
          <w:tcPr>
            <w:tcW w:w="828" w:type="dxa"/>
            <w:shd w:val="clear" w:color="auto" w:fill="auto"/>
            <w:vAlign w:val="bottom"/>
          </w:tcPr>
          <w:p w14:paraId="7A06503E" w14:textId="77777777" w:rsidR="00F72E58" w:rsidRPr="00F72E58" w:rsidRDefault="00F72E58" w:rsidP="009E3526">
            <w:pPr>
              <w:spacing w:before="40" w:after="40" w:line="220" w:lineRule="exact"/>
              <w:jc w:val="right"/>
              <w:rPr>
                <w:sz w:val="18"/>
                <w:szCs w:val="18"/>
              </w:rPr>
            </w:pPr>
            <w:r w:rsidRPr="00F72E58">
              <w:rPr>
                <w:sz w:val="18"/>
                <w:szCs w:val="18"/>
              </w:rPr>
              <w:t>423,3</w:t>
            </w:r>
          </w:p>
        </w:tc>
        <w:tc>
          <w:tcPr>
            <w:tcW w:w="828" w:type="dxa"/>
            <w:shd w:val="clear" w:color="auto" w:fill="auto"/>
            <w:vAlign w:val="bottom"/>
          </w:tcPr>
          <w:p w14:paraId="5F414273" w14:textId="77777777" w:rsidR="00F72E58" w:rsidRPr="00F72E58" w:rsidRDefault="00F72E58" w:rsidP="009E3526">
            <w:pPr>
              <w:spacing w:before="40" w:after="40" w:line="220" w:lineRule="exact"/>
              <w:jc w:val="right"/>
              <w:rPr>
                <w:sz w:val="18"/>
                <w:szCs w:val="18"/>
              </w:rPr>
            </w:pPr>
            <w:r w:rsidRPr="00F72E58">
              <w:rPr>
                <w:sz w:val="18"/>
                <w:szCs w:val="18"/>
              </w:rPr>
              <w:t>427,8</w:t>
            </w:r>
          </w:p>
        </w:tc>
        <w:tc>
          <w:tcPr>
            <w:tcW w:w="828" w:type="dxa"/>
            <w:shd w:val="clear" w:color="auto" w:fill="auto"/>
            <w:vAlign w:val="bottom"/>
          </w:tcPr>
          <w:p w14:paraId="659F18C1" w14:textId="77777777" w:rsidR="00F72E58" w:rsidRPr="00F72E58" w:rsidRDefault="00F72E58" w:rsidP="009E3526">
            <w:pPr>
              <w:spacing w:before="40" w:after="40" w:line="220" w:lineRule="exact"/>
              <w:jc w:val="right"/>
              <w:rPr>
                <w:sz w:val="18"/>
                <w:szCs w:val="18"/>
              </w:rPr>
            </w:pPr>
            <w:r w:rsidRPr="00F72E58">
              <w:rPr>
                <w:sz w:val="18"/>
                <w:szCs w:val="18"/>
              </w:rPr>
              <w:t>427,8</w:t>
            </w:r>
          </w:p>
        </w:tc>
        <w:tc>
          <w:tcPr>
            <w:tcW w:w="828" w:type="dxa"/>
            <w:shd w:val="clear" w:color="auto" w:fill="auto"/>
            <w:vAlign w:val="bottom"/>
          </w:tcPr>
          <w:p w14:paraId="2385A24B" w14:textId="77777777" w:rsidR="00F72E58" w:rsidRPr="00F72E58" w:rsidRDefault="00F72E58" w:rsidP="009E3526">
            <w:pPr>
              <w:spacing w:before="40" w:after="40" w:line="220" w:lineRule="exact"/>
              <w:jc w:val="right"/>
              <w:rPr>
                <w:sz w:val="18"/>
                <w:szCs w:val="18"/>
              </w:rPr>
            </w:pPr>
            <w:r w:rsidRPr="00F72E58">
              <w:rPr>
                <w:sz w:val="18"/>
                <w:szCs w:val="18"/>
              </w:rPr>
              <w:t>432,2</w:t>
            </w:r>
          </w:p>
        </w:tc>
        <w:tc>
          <w:tcPr>
            <w:tcW w:w="828" w:type="dxa"/>
            <w:shd w:val="clear" w:color="auto" w:fill="auto"/>
            <w:vAlign w:val="bottom"/>
          </w:tcPr>
          <w:p w14:paraId="58AFEC97" w14:textId="77777777" w:rsidR="00F72E58" w:rsidRPr="00F72E58" w:rsidRDefault="00F72E58" w:rsidP="009E3526">
            <w:pPr>
              <w:spacing w:before="40" w:after="40" w:line="220" w:lineRule="exact"/>
              <w:jc w:val="right"/>
              <w:rPr>
                <w:sz w:val="18"/>
                <w:szCs w:val="18"/>
              </w:rPr>
            </w:pPr>
            <w:r w:rsidRPr="00F72E58">
              <w:rPr>
                <w:sz w:val="18"/>
                <w:szCs w:val="18"/>
              </w:rPr>
              <w:t>431,1</w:t>
            </w:r>
          </w:p>
        </w:tc>
      </w:tr>
      <w:tr w:rsidR="00F72E58" w:rsidRPr="00984603" w14:paraId="2D42ED89" w14:textId="77777777" w:rsidTr="004961FD">
        <w:tc>
          <w:tcPr>
            <w:tcW w:w="2693" w:type="dxa"/>
            <w:shd w:val="clear" w:color="auto" w:fill="auto"/>
          </w:tcPr>
          <w:p w14:paraId="51DF43B5"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7D3554EF" w14:textId="77777777" w:rsidR="00F72E58" w:rsidRPr="00F72E58" w:rsidRDefault="00F72E58" w:rsidP="009E3526">
            <w:pPr>
              <w:spacing w:before="40" w:after="40" w:line="220" w:lineRule="exact"/>
              <w:jc w:val="right"/>
              <w:rPr>
                <w:b/>
                <w:bCs/>
                <w:sz w:val="18"/>
                <w:szCs w:val="18"/>
              </w:rPr>
            </w:pPr>
            <w:r w:rsidRPr="00F72E58">
              <w:rPr>
                <w:b/>
                <w:bCs/>
                <w:sz w:val="18"/>
                <w:szCs w:val="18"/>
              </w:rPr>
              <w:t>993,9</w:t>
            </w:r>
          </w:p>
        </w:tc>
        <w:tc>
          <w:tcPr>
            <w:tcW w:w="828" w:type="dxa"/>
            <w:shd w:val="clear" w:color="auto" w:fill="auto"/>
            <w:vAlign w:val="bottom"/>
          </w:tcPr>
          <w:p w14:paraId="02086165" w14:textId="77777777" w:rsidR="00F72E58" w:rsidRPr="00F72E58" w:rsidRDefault="00F72E58" w:rsidP="009E3526">
            <w:pPr>
              <w:spacing w:before="40" w:after="40" w:line="220" w:lineRule="exact"/>
              <w:jc w:val="right"/>
              <w:rPr>
                <w:b/>
                <w:bCs/>
                <w:sz w:val="18"/>
                <w:szCs w:val="18"/>
              </w:rPr>
            </w:pPr>
            <w:r w:rsidRPr="00F72E58">
              <w:rPr>
                <w:b/>
                <w:bCs/>
                <w:sz w:val="18"/>
                <w:szCs w:val="18"/>
              </w:rPr>
              <w:t>1 002,0</w:t>
            </w:r>
          </w:p>
        </w:tc>
        <w:tc>
          <w:tcPr>
            <w:tcW w:w="828" w:type="dxa"/>
            <w:shd w:val="clear" w:color="auto" w:fill="auto"/>
            <w:vAlign w:val="bottom"/>
          </w:tcPr>
          <w:p w14:paraId="168D09E1" w14:textId="77777777" w:rsidR="00F72E58" w:rsidRPr="00F72E58" w:rsidRDefault="00F72E58" w:rsidP="009E3526">
            <w:pPr>
              <w:spacing w:before="40" w:after="40" w:line="220" w:lineRule="exact"/>
              <w:jc w:val="right"/>
              <w:rPr>
                <w:b/>
                <w:bCs/>
                <w:sz w:val="18"/>
                <w:szCs w:val="18"/>
              </w:rPr>
            </w:pPr>
            <w:r w:rsidRPr="00F72E58">
              <w:rPr>
                <w:b/>
                <w:bCs/>
                <w:sz w:val="18"/>
                <w:szCs w:val="18"/>
              </w:rPr>
              <w:t>996,7</w:t>
            </w:r>
          </w:p>
        </w:tc>
        <w:tc>
          <w:tcPr>
            <w:tcW w:w="828" w:type="dxa"/>
            <w:shd w:val="clear" w:color="auto" w:fill="auto"/>
            <w:vAlign w:val="bottom"/>
          </w:tcPr>
          <w:p w14:paraId="3BC0BA55" w14:textId="77777777" w:rsidR="00F72E58" w:rsidRPr="00F72E58" w:rsidRDefault="00F72E58" w:rsidP="009E3526">
            <w:pPr>
              <w:spacing w:before="40" w:after="40" w:line="220" w:lineRule="exact"/>
              <w:jc w:val="right"/>
              <w:rPr>
                <w:b/>
                <w:bCs/>
                <w:sz w:val="18"/>
                <w:szCs w:val="18"/>
              </w:rPr>
            </w:pPr>
            <w:r w:rsidRPr="00F72E58">
              <w:rPr>
                <w:b/>
                <w:bCs/>
                <w:sz w:val="18"/>
                <w:szCs w:val="18"/>
              </w:rPr>
              <w:t>993,1</w:t>
            </w:r>
          </w:p>
        </w:tc>
        <w:tc>
          <w:tcPr>
            <w:tcW w:w="828" w:type="dxa"/>
            <w:shd w:val="clear" w:color="auto" w:fill="auto"/>
            <w:vAlign w:val="bottom"/>
          </w:tcPr>
          <w:p w14:paraId="6BB92532" w14:textId="77777777" w:rsidR="00F72E58" w:rsidRPr="00F72E58" w:rsidRDefault="00F72E58" w:rsidP="009E3526">
            <w:pPr>
              <w:spacing w:before="40" w:after="40" w:line="220" w:lineRule="exact"/>
              <w:jc w:val="right"/>
              <w:rPr>
                <w:b/>
                <w:bCs/>
                <w:sz w:val="18"/>
                <w:szCs w:val="18"/>
              </w:rPr>
            </w:pPr>
            <w:r w:rsidRPr="00F72E58">
              <w:rPr>
                <w:b/>
                <w:bCs/>
                <w:sz w:val="18"/>
                <w:szCs w:val="18"/>
              </w:rPr>
              <w:t>987,8</w:t>
            </w:r>
          </w:p>
        </w:tc>
        <w:tc>
          <w:tcPr>
            <w:tcW w:w="828" w:type="dxa"/>
            <w:shd w:val="clear" w:color="auto" w:fill="auto"/>
            <w:vAlign w:val="bottom"/>
          </w:tcPr>
          <w:p w14:paraId="38D4D298" w14:textId="77777777" w:rsidR="00F72E58" w:rsidRPr="00F72E58" w:rsidRDefault="00F72E58" w:rsidP="009E3526">
            <w:pPr>
              <w:spacing w:before="40" w:after="40" w:line="220" w:lineRule="exact"/>
              <w:jc w:val="right"/>
              <w:rPr>
                <w:b/>
                <w:bCs/>
                <w:sz w:val="18"/>
                <w:szCs w:val="18"/>
              </w:rPr>
            </w:pPr>
            <w:r w:rsidRPr="00F72E58">
              <w:rPr>
                <w:b/>
                <w:bCs/>
                <w:sz w:val="18"/>
                <w:szCs w:val="18"/>
              </w:rPr>
              <w:t>1 000,9</w:t>
            </w:r>
          </w:p>
        </w:tc>
        <w:tc>
          <w:tcPr>
            <w:tcW w:w="828" w:type="dxa"/>
            <w:shd w:val="clear" w:color="auto" w:fill="auto"/>
            <w:vAlign w:val="bottom"/>
          </w:tcPr>
          <w:p w14:paraId="579FEC8E" w14:textId="77777777" w:rsidR="00F72E58" w:rsidRPr="00F72E58" w:rsidRDefault="00F72E58" w:rsidP="009E3526">
            <w:pPr>
              <w:spacing w:before="40" w:after="40" w:line="220" w:lineRule="exact"/>
              <w:jc w:val="right"/>
              <w:rPr>
                <w:b/>
                <w:bCs/>
                <w:sz w:val="18"/>
                <w:szCs w:val="18"/>
              </w:rPr>
            </w:pPr>
            <w:r w:rsidRPr="00F72E58">
              <w:rPr>
                <w:b/>
                <w:bCs/>
                <w:sz w:val="18"/>
                <w:szCs w:val="18"/>
              </w:rPr>
              <w:t>999,9</w:t>
            </w:r>
          </w:p>
        </w:tc>
      </w:tr>
      <w:tr w:rsidR="003279D5" w:rsidRPr="00984603" w14:paraId="7344E51C" w14:textId="77777777" w:rsidTr="004961FD">
        <w:tc>
          <w:tcPr>
            <w:tcW w:w="2693" w:type="dxa"/>
            <w:shd w:val="clear" w:color="auto" w:fill="auto"/>
          </w:tcPr>
          <w:p w14:paraId="7B9F7476" w14:textId="77777777" w:rsidR="003279D5" w:rsidRPr="00F72E58" w:rsidRDefault="00F72E58" w:rsidP="009E3526">
            <w:pPr>
              <w:spacing w:before="40" w:after="40" w:line="220" w:lineRule="exact"/>
              <w:rPr>
                <w:sz w:val="18"/>
                <w:szCs w:val="18"/>
              </w:rPr>
            </w:pPr>
            <w:r w:rsidRPr="00F72E58">
              <w:rPr>
                <w:i/>
                <w:sz w:val="18"/>
                <w:szCs w:val="18"/>
                <w:lang w:val="fr-FR" w:eastAsia="en-IE"/>
              </w:rPr>
              <w:t>Sans emploi</w:t>
            </w:r>
          </w:p>
        </w:tc>
        <w:tc>
          <w:tcPr>
            <w:tcW w:w="828" w:type="dxa"/>
            <w:shd w:val="clear" w:color="auto" w:fill="auto"/>
            <w:vAlign w:val="bottom"/>
          </w:tcPr>
          <w:p w14:paraId="2F43CEF3"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7671253"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836D006"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9D72FCC"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F51991A"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86B34D0"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3D5FC81" w14:textId="77777777" w:rsidR="003279D5" w:rsidRPr="00F72E58" w:rsidRDefault="003279D5" w:rsidP="009E3526">
            <w:pPr>
              <w:spacing w:before="40" w:after="40" w:line="220" w:lineRule="exact"/>
              <w:jc w:val="right"/>
              <w:rPr>
                <w:sz w:val="18"/>
                <w:szCs w:val="18"/>
              </w:rPr>
            </w:pPr>
          </w:p>
        </w:tc>
      </w:tr>
      <w:tr w:rsidR="00F72E58" w:rsidRPr="00984603" w14:paraId="11A7065F" w14:textId="77777777" w:rsidTr="004961FD">
        <w:tc>
          <w:tcPr>
            <w:tcW w:w="2693" w:type="dxa"/>
            <w:shd w:val="clear" w:color="auto" w:fill="auto"/>
          </w:tcPr>
          <w:p w14:paraId="351653F1"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349F0644" w14:textId="77777777" w:rsidR="00F72E58" w:rsidRPr="00F72E58" w:rsidRDefault="00F72E58" w:rsidP="009E3526">
            <w:pPr>
              <w:spacing w:before="40" w:after="40" w:line="220" w:lineRule="exact"/>
              <w:jc w:val="right"/>
              <w:rPr>
                <w:sz w:val="18"/>
                <w:szCs w:val="18"/>
              </w:rPr>
            </w:pPr>
            <w:r w:rsidRPr="00F72E58">
              <w:rPr>
                <w:sz w:val="18"/>
                <w:szCs w:val="18"/>
              </w:rPr>
              <w:t>26,3</w:t>
            </w:r>
          </w:p>
        </w:tc>
        <w:tc>
          <w:tcPr>
            <w:tcW w:w="828" w:type="dxa"/>
            <w:shd w:val="clear" w:color="auto" w:fill="auto"/>
            <w:vAlign w:val="bottom"/>
          </w:tcPr>
          <w:p w14:paraId="53C01DA4" w14:textId="77777777" w:rsidR="00F72E58" w:rsidRPr="00F72E58" w:rsidRDefault="00F72E58" w:rsidP="009E3526">
            <w:pPr>
              <w:spacing w:before="40" w:after="40" w:line="220" w:lineRule="exact"/>
              <w:jc w:val="right"/>
              <w:rPr>
                <w:sz w:val="18"/>
                <w:szCs w:val="18"/>
              </w:rPr>
            </w:pPr>
            <w:r w:rsidRPr="00F72E58">
              <w:rPr>
                <w:sz w:val="18"/>
                <w:szCs w:val="18"/>
              </w:rPr>
              <w:t>28,7</w:t>
            </w:r>
          </w:p>
        </w:tc>
        <w:tc>
          <w:tcPr>
            <w:tcW w:w="828" w:type="dxa"/>
            <w:shd w:val="clear" w:color="auto" w:fill="auto"/>
            <w:vAlign w:val="bottom"/>
          </w:tcPr>
          <w:p w14:paraId="0C3E0C99" w14:textId="77777777" w:rsidR="00F72E58" w:rsidRPr="00F72E58" w:rsidRDefault="00F72E58" w:rsidP="009E3526">
            <w:pPr>
              <w:spacing w:before="40" w:after="40" w:line="220" w:lineRule="exact"/>
              <w:jc w:val="right"/>
              <w:rPr>
                <w:sz w:val="18"/>
                <w:szCs w:val="18"/>
              </w:rPr>
            </w:pPr>
            <w:r w:rsidRPr="00F72E58">
              <w:rPr>
                <w:sz w:val="18"/>
                <w:szCs w:val="18"/>
              </w:rPr>
              <w:t>27,4</w:t>
            </w:r>
          </w:p>
        </w:tc>
        <w:tc>
          <w:tcPr>
            <w:tcW w:w="828" w:type="dxa"/>
            <w:shd w:val="clear" w:color="auto" w:fill="auto"/>
            <w:vAlign w:val="bottom"/>
          </w:tcPr>
          <w:p w14:paraId="43761243" w14:textId="77777777" w:rsidR="00F72E58" w:rsidRPr="00F72E58" w:rsidRDefault="00F72E58" w:rsidP="009E3526">
            <w:pPr>
              <w:spacing w:before="40" w:after="40" w:line="220" w:lineRule="exact"/>
              <w:jc w:val="right"/>
              <w:rPr>
                <w:sz w:val="18"/>
                <w:szCs w:val="18"/>
              </w:rPr>
            </w:pPr>
            <w:r w:rsidRPr="00F72E58">
              <w:rPr>
                <w:sz w:val="18"/>
                <w:szCs w:val="18"/>
              </w:rPr>
              <w:t>24,9</w:t>
            </w:r>
          </w:p>
        </w:tc>
        <w:tc>
          <w:tcPr>
            <w:tcW w:w="828" w:type="dxa"/>
            <w:shd w:val="clear" w:color="auto" w:fill="auto"/>
            <w:vAlign w:val="bottom"/>
          </w:tcPr>
          <w:p w14:paraId="23A77586" w14:textId="77777777" w:rsidR="00F72E58" w:rsidRPr="00F72E58" w:rsidRDefault="00F72E58" w:rsidP="009E3526">
            <w:pPr>
              <w:spacing w:before="40" w:after="40" w:line="220" w:lineRule="exact"/>
              <w:jc w:val="right"/>
              <w:rPr>
                <w:sz w:val="18"/>
                <w:szCs w:val="18"/>
              </w:rPr>
            </w:pPr>
            <w:r w:rsidRPr="00F72E58">
              <w:rPr>
                <w:sz w:val="18"/>
                <w:szCs w:val="18"/>
              </w:rPr>
              <w:t>24,3</w:t>
            </w:r>
          </w:p>
        </w:tc>
        <w:tc>
          <w:tcPr>
            <w:tcW w:w="828" w:type="dxa"/>
            <w:shd w:val="clear" w:color="auto" w:fill="auto"/>
            <w:vAlign w:val="bottom"/>
          </w:tcPr>
          <w:p w14:paraId="6A545FB5" w14:textId="77777777" w:rsidR="00F72E58" w:rsidRPr="00F72E58" w:rsidRDefault="00F72E58" w:rsidP="009E3526">
            <w:pPr>
              <w:spacing w:before="40" w:after="40" w:line="220" w:lineRule="exact"/>
              <w:jc w:val="right"/>
              <w:rPr>
                <w:sz w:val="18"/>
                <w:szCs w:val="18"/>
              </w:rPr>
            </w:pPr>
            <w:r w:rsidRPr="00F72E58">
              <w:rPr>
                <w:sz w:val="18"/>
                <w:szCs w:val="18"/>
              </w:rPr>
              <w:t>19,8</w:t>
            </w:r>
          </w:p>
        </w:tc>
        <w:tc>
          <w:tcPr>
            <w:tcW w:w="828" w:type="dxa"/>
            <w:shd w:val="clear" w:color="auto" w:fill="auto"/>
            <w:vAlign w:val="bottom"/>
          </w:tcPr>
          <w:p w14:paraId="41E88E47" w14:textId="77777777" w:rsidR="00F72E58" w:rsidRPr="00F72E58" w:rsidRDefault="00F72E58" w:rsidP="009E3526">
            <w:pPr>
              <w:spacing w:before="40" w:after="40" w:line="220" w:lineRule="exact"/>
              <w:jc w:val="right"/>
              <w:rPr>
                <w:sz w:val="18"/>
                <w:szCs w:val="18"/>
              </w:rPr>
            </w:pPr>
            <w:r w:rsidRPr="00F72E58">
              <w:rPr>
                <w:sz w:val="18"/>
                <w:szCs w:val="18"/>
              </w:rPr>
              <w:t>20,4</w:t>
            </w:r>
          </w:p>
        </w:tc>
      </w:tr>
      <w:tr w:rsidR="00F72E58" w:rsidRPr="00984603" w14:paraId="58D8BAA1" w14:textId="77777777" w:rsidTr="004961FD">
        <w:tc>
          <w:tcPr>
            <w:tcW w:w="2693" w:type="dxa"/>
            <w:shd w:val="clear" w:color="auto" w:fill="auto"/>
          </w:tcPr>
          <w:p w14:paraId="4FAC366A"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1CB05A6D" w14:textId="77777777" w:rsidR="00F72E58" w:rsidRPr="00F72E58" w:rsidRDefault="00F72E58" w:rsidP="009E3526">
            <w:pPr>
              <w:spacing w:before="40" w:after="40" w:line="220" w:lineRule="exact"/>
              <w:jc w:val="right"/>
              <w:rPr>
                <w:sz w:val="18"/>
                <w:szCs w:val="18"/>
              </w:rPr>
            </w:pPr>
            <w:r w:rsidRPr="00F72E58">
              <w:rPr>
                <w:sz w:val="18"/>
                <w:szCs w:val="18"/>
              </w:rPr>
              <w:t>20,7</w:t>
            </w:r>
          </w:p>
        </w:tc>
        <w:tc>
          <w:tcPr>
            <w:tcW w:w="828" w:type="dxa"/>
            <w:shd w:val="clear" w:color="auto" w:fill="auto"/>
            <w:vAlign w:val="bottom"/>
          </w:tcPr>
          <w:p w14:paraId="3489B9E0" w14:textId="77777777" w:rsidR="00F72E58" w:rsidRPr="00F72E58" w:rsidRDefault="00F72E58" w:rsidP="009E3526">
            <w:pPr>
              <w:spacing w:before="40" w:after="40" w:line="220" w:lineRule="exact"/>
              <w:jc w:val="right"/>
              <w:rPr>
                <w:sz w:val="18"/>
                <w:szCs w:val="18"/>
              </w:rPr>
            </w:pPr>
            <w:r w:rsidRPr="00F72E58">
              <w:rPr>
                <w:sz w:val="18"/>
                <w:szCs w:val="18"/>
              </w:rPr>
              <w:t>21,3</w:t>
            </w:r>
          </w:p>
        </w:tc>
        <w:tc>
          <w:tcPr>
            <w:tcW w:w="828" w:type="dxa"/>
            <w:shd w:val="clear" w:color="auto" w:fill="auto"/>
            <w:vAlign w:val="bottom"/>
          </w:tcPr>
          <w:p w14:paraId="22AC9BA5" w14:textId="77777777" w:rsidR="00F72E58" w:rsidRPr="00F72E58" w:rsidRDefault="00F72E58" w:rsidP="009E3526">
            <w:pPr>
              <w:spacing w:before="40" w:after="40" w:line="220" w:lineRule="exact"/>
              <w:jc w:val="right"/>
              <w:rPr>
                <w:sz w:val="18"/>
                <w:szCs w:val="18"/>
              </w:rPr>
            </w:pPr>
            <w:r w:rsidRPr="00F72E58">
              <w:rPr>
                <w:sz w:val="18"/>
                <w:szCs w:val="18"/>
              </w:rPr>
              <w:t>14,2</w:t>
            </w:r>
          </w:p>
        </w:tc>
        <w:tc>
          <w:tcPr>
            <w:tcW w:w="828" w:type="dxa"/>
            <w:shd w:val="clear" w:color="auto" w:fill="auto"/>
            <w:vAlign w:val="bottom"/>
          </w:tcPr>
          <w:p w14:paraId="52DBD78A" w14:textId="77777777" w:rsidR="00F72E58" w:rsidRPr="00F72E58" w:rsidRDefault="00F72E58" w:rsidP="009E3526">
            <w:pPr>
              <w:spacing w:before="40" w:after="40" w:line="220" w:lineRule="exact"/>
              <w:jc w:val="right"/>
              <w:rPr>
                <w:sz w:val="18"/>
                <w:szCs w:val="18"/>
              </w:rPr>
            </w:pPr>
            <w:r w:rsidRPr="00F72E58">
              <w:rPr>
                <w:sz w:val="18"/>
                <w:szCs w:val="18"/>
              </w:rPr>
              <w:t>19,4</w:t>
            </w:r>
          </w:p>
        </w:tc>
        <w:tc>
          <w:tcPr>
            <w:tcW w:w="828" w:type="dxa"/>
            <w:shd w:val="clear" w:color="auto" w:fill="auto"/>
            <w:vAlign w:val="bottom"/>
          </w:tcPr>
          <w:p w14:paraId="56E8B7BA" w14:textId="77777777" w:rsidR="00F72E58" w:rsidRPr="00F72E58" w:rsidRDefault="00F72E58" w:rsidP="009E3526">
            <w:pPr>
              <w:spacing w:before="40" w:after="40" w:line="220" w:lineRule="exact"/>
              <w:jc w:val="right"/>
              <w:rPr>
                <w:sz w:val="18"/>
                <w:szCs w:val="18"/>
              </w:rPr>
            </w:pPr>
            <w:r w:rsidRPr="00F72E58">
              <w:rPr>
                <w:sz w:val="18"/>
                <w:szCs w:val="18"/>
              </w:rPr>
              <w:t>16,6</w:t>
            </w:r>
          </w:p>
        </w:tc>
        <w:tc>
          <w:tcPr>
            <w:tcW w:w="828" w:type="dxa"/>
            <w:shd w:val="clear" w:color="auto" w:fill="auto"/>
            <w:vAlign w:val="bottom"/>
          </w:tcPr>
          <w:p w14:paraId="38DD384E" w14:textId="77777777" w:rsidR="00F72E58" w:rsidRPr="00F72E58" w:rsidRDefault="00F72E58" w:rsidP="009E3526">
            <w:pPr>
              <w:spacing w:before="40" w:after="40" w:line="220" w:lineRule="exact"/>
              <w:jc w:val="right"/>
              <w:rPr>
                <w:sz w:val="18"/>
                <w:szCs w:val="18"/>
              </w:rPr>
            </w:pPr>
            <w:r w:rsidRPr="00F72E58">
              <w:rPr>
                <w:sz w:val="18"/>
                <w:szCs w:val="18"/>
              </w:rPr>
              <w:t>16,4</w:t>
            </w:r>
          </w:p>
        </w:tc>
        <w:tc>
          <w:tcPr>
            <w:tcW w:w="828" w:type="dxa"/>
            <w:shd w:val="clear" w:color="auto" w:fill="auto"/>
            <w:vAlign w:val="bottom"/>
          </w:tcPr>
          <w:p w14:paraId="19C5EB18" w14:textId="77777777" w:rsidR="00F72E58" w:rsidRPr="00F72E58" w:rsidRDefault="00F72E58" w:rsidP="009E3526">
            <w:pPr>
              <w:spacing w:before="40" w:after="40" w:line="220" w:lineRule="exact"/>
              <w:jc w:val="right"/>
              <w:rPr>
                <w:sz w:val="18"/>
                <w:szCs w:val="18"/>
              </w:rPr>
            </w:pPr>
            <w:r w:rsidRPr="00F72E58">
              <w:rPr>
                <w:sz w:val="18"/>
                <w:szCs w:val="18"/>
              </w:rPr>
              <w:t>16,9</w:t>
            </w:r>
          </w:p>
        </w:tc>
      </w:tr>
      <w:tr w:rsidR="00F72E58" w:rsidRPr="00984603" w14:paraId="0A818336" w14:textId="77777777" w:rsidTr="004961FD">
        <w:tc>
          <w:tcPr>
            <w:tcW w:w="2693" w:type="dxa"/>
            <w:shd w:val="clear" w:color="auto" w:fill="auto"/>
          </w:tcPr>
          <w:p w14:paraId="0D7C9433"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7F4E169B" w14:textId="77777777" w:rsidR="00F72E58" w:rsidRPr="00F72E58" w:rsidRDefault="00F72E58" w:rsidP="009E3526">
            <w:pPr>
              <w:spacing w:before="40" w:after="40" w:line="220" w:lineRule="exact"/>
              <w:jc w:val="right"/>
              <w:rPr>
                <w:b/>
                <w:bCs/>
                <w:sz w:val="18"/>
                <w:szCs w:val="18"/>
              </w:rPr>
            </w:pPr>
            <w:r w:rsidRPr="00F72E58">
              <w:rPr>
                <w:b/>
                <w:bCs/>
                <w:sz w:val="18"/>
                <w:szCs w:val="18"/>
              </w:rPr>
              <w:t>47,0</w:t>
            </w:r>
          </w:p>
        </w:tc>
        <w:tc>
          <w:tcPr>
            <w:tcW w:w="828" w:type="dxa"/>
            <w:shd w:val="clear" w:color="auto" w:fill="auto"/>
            <w:vAlign w:val="bottom"/>
          </w:tcPr>
          <w:p w14:paraId="71C62D58" w14:textId="77777777" w:rsidR="00F72E58" w:rsidRPr="00F72E58" w:rsidRDefault="00F72E58" w:rsidP="009E3526">
            <w:pPr>
              <w:spacing w:before="40" w:after="40" w:line="220" w:lineRule="exact"/>
              <w:jc w:val="right"/>
              <w:rPr>
                <w:b/>
                <w:bCs/>
                <w:sz w:val="18"/>
                <w:szCs w:val="18"/>
              </w:rPr>
            </w:pPr>
            <w:r w:rsidRPr="00F72E58">
              <w:rPr>
                <w:b/>
                <w:bCs/>
                <w:sz w:val="18"/>
                <w:szCs w:val="18"/>
              </w:rPr>
              <w:t>50,0</w:t>
            </w:r>
          </w:p>
        </w:tc>
        <w:tc>
          <w:tcPr>
            <w:tcW w:w="828" w:type="dxa"/>
            <w:shd w:val="clear" w:color="auto" w:fill="auto"/>
            <w:vAlign w:val="bottom"/>
          </w:tcPr>
          <w:p w14:paraId="5AC67EAE" w14:textId="77777777" w:rsidR="00F72E58" w:rsidRPr="00F72E58" w:rsidRDefault="00F72E58" w:rsidP="009E3526">
            <w:pPr>
              <w:spacing w:before="40" w:after="40" w:line="220" w:lineRule="exact"/>
              <w:jc w:val="right"/>
              <w:rPr>
                <w:b/>
                <w:bCs/>
                <w:sz w:val="18"/>
                <w:szCs w:val="18"/>
              </w:rPr>
            </w:pPr>
            <w:r w:rsidRPr="00F72E58">
              <w:rPr>
                <w:b/>
                <w:bCs/>
                <w:sz w:val="18"/>
                <w:szCs w:val="18"/>
              </w:rPr>
              <w:t>41,6</w:t>
            </w:r>
          </w:p>
        </w:tc>
        <w:tc>
          <w:tcPr>
            <w:tcW w:w="828" w:type="dxa"/>
            <w:shd w:val="clear" w:color="auto" w:fill="auto"/>
            <w:vAlign w:val="bottom"/>
          </w:tcPr>
          <w:p w14:paraId="0BF6C0D7" w14:textId="77777777" w:rsidR="00F72E58" w:rsidRPr="00F72E58" w:rsidRDefault="00F72E58" w:rsidP="009E3526">
            <w:pPr>
              <w:spacing w:before="40" w:after="40" w:line="220" w:lineRule="exact"/>
              <w:jc w:val="right"/>
              <w:rPr>
                <w:b/>
                <w:bCs/>
                <w:sz w:val="18"/>
                <w:szCs w:val="18"/>
              </w:rPr>
            </w:pPr>
            <w:r w:rsidRPr="00F72E58">
              <w:rPr>
                <w:b/>
                <w:bCs/>
                <w:sz w:val="18"/>
                <w:szCs w:val="18"/>
              </w:rPr>
              <w:t>44,4</w:t>
            </w:r>
          </w:p>
        </w:tc>
        <w:tc>
          <w:tcPr>
            <w:tcW w:w="828" w:type="dxa"/>
            <w:shd w:val="clear" w:color="auto" w:fill="auto"/>
            <w:vAlign w:val="bottom"/>
          </w:tcPr>
          <w:p w14:paraId="1450B39A" w14:textId="77777777" w:rsidR="00F72E58" w:rsidRPr="00F72E58" w:rsidRDefault="00F72E58" w:rsidP="009E3526">
            <w:pPr>
              <w:spacing w:before="40" w:after="40" w:line="220" w:lineRule="exact"/>
              <w:jc w:val="right"/>
              <w:rPr>
                <w:b/>
                <w:bCs/>
                <w:sz w:val="18"/>
                <w:szCs w:val="18"/>
              </w:rPr>
            </w:pPr>
            <w:r w:rsidRPr="00F72E58">
              <w:rPr>
                <w:b/>
                <w:bCs/>
                <w:sz w:val="18"/>
                <w:szCs w:val="18"/>
              </w:rPr>
              <w:t>40,8</w:t>
            </w:r>
          </w:p>
        </w:tc>
        <w:tc>
          <w:tcPr>
            <w:tcW w:w="828" w:type="dxa"/>
            <w:shd w:val="clear" w:color="auto" w:fill="auto"/>
            <w:vAlign w:val="bottom"/>
          </w:tcPr>
          <w:p w14:paraId="7706D6F6" w14:textId="77777777" w:rsidR="00F72E58" w:rsidRPr="00F72E58" w:rsidRDefault="00F72E58" w:rsidP="009E3526">
            <w:pPr>
              <w:spacing w:before="40" w:after="40" w:line="220" w:lineRule="exact"/>
              <w:jc w:val="right"/>
              <w:rPr>
                <w:b/>
                <w:bCs/>
                <w:sz w:val="18"/>
                <w:szCs w:val="18"/>
              </w:rPr>
            </w:pPr>
            <w:r w:rsidRPr="00F72E58">
              <w:rPr>
                <w:b/>
                <w:bCs/>
                <w:sz w:val="18"/>
                <w:szCs w:val="18"/>
              </w:rPr>
              <w:t>36,2</w:t>
            </w:r>
          </w:p>
        </w:tc>
        <w:tc>
          <w:tcPr>
            <w:tcW w:w="828" w:type="dxa"/>
            <w:shd w:val="clear" w:color="auto" w:fill="auto"/>
            <w:vAlign w:val="bottom"/>
          </w:tcPr>
          <w:p w14:paraId="5C718829" w14:textId="77777777" w:rsidR="00F72E58" w:rsidRPr="00F72E58" w:rsidRDefault="00F72E58" w:rsidP="009E3526">
            <w:pPr>
              <w:spacing w:before="40" w:after="40" w:line="220" w:lineRule="exact"/>
              <w:jc w:val="right"/>
              <w:rPr>
                <w:b/>
                <w:bCs/>
                <w:sz w:val="18"/>
                <w:szCs w:val="18"/>
              </w:rPr>
            </w:pPr>
            <w:r w:rsidRPr="00F72E58">
              <w:rPr>
                <w:b/>
                <w:bCs/>
                <w:sz w:val="18"/>
                <w:szCs w:val="18"/>
              </w:rPr>
              <w:t>37,2</w:t>
            </w:r>
          </w:p>
        </w:tc>
      </w:tr>
      <w:tr w:rsidR="003279D5" w:rsidRPr="003279D5" w14:paraId="383D4389" w14:textId="77777777" w:rsidTr="004961FD">
        <w:tc>
          <w:tcPr>
            <w:tcW w:w="2693" w:type="dxa"/>
            <w:shd w:val="clear" w:color="auto" w:fill="auto"/>
          </w:tcPr>
          <w:p w14:paraId="25935AD4" w14:textId="77777777" w:rsidR="003279D5" w:rsidRPr="00F72E58" w:rsidRDefault="00F72E58" w:rsidP="009E3526">
            <w:pPr>
              <w:spacing w:before="40" w:after="40" w:line="220" w:lineRule="exact"/>
              <w:rPr>
                <w:i/>
                <w:sz w:val="18"/>
                <w:szCs w:val="18"/>
                <w:lang w:val="ru-RU"/>
              </w:rPr>
            </w:pPr>
            <w:r w:rsidRPr="00F72E58">
              <w:rPr>
                <w:i/>
                <w:sz w:val="18"/>
                <w:szCs w:val="18"/>
                <w:lang w:val="fr-FR" w:eastAsia="en-IE"/>
              </w:rPr>
              <w:t>Inactif</w:t>
            </w:r>
          </w:p>
        </w:tc>
        <w:tc>
          <w:tcPr>
            <w:tcW w:w="828" w:type="dxa"/>
            <w:shd w:val="clear" w:color="auto" w:fill="auto"/>
            <w:vAlign w:val="bottom"/>
          </w:tcPr>
          <w:p w14:paraId="211030F0"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05322A54"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708E8266"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262D7180"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38680B73"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0A8C0D5A"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39E8EF9E" w14:textId="77777777" w:rsidR="003279D5" w:rsidRPr="00F72E58" w:rsidRDefault="003279D5" w:rsidP="009E3526">
            <w:pPr>
              <w:spacing w:before="40" w:after="40" w:line="220" w:lineRule="exact"/>
              <w:jc w:val="right"/>
              <w:rPr>
                <w:sz w:val="18"/>
                <w:szCs w:val="18"/>
                <w:lang w:val="ru-RU"/>
              </w:rPr>
            </w:pPr>
          </w:p>
        </w:tc>
      </w:tr>
      <w:tr w:rsidR="00F72E58" w:rsidRPr="00984603" w14:paraId="472BE8B0" w14:textId="77777777" w:rsidTr="004961FD">
        <w:tc>
          <w:tcPr>
            <w:tcW w:w="2693" w:type="dxa"/>
            <w:shd w:val="clear" w:color="auto" w:fill="auto"/>
          </w:tcPr>
          <w:p w14:paraId="2154AF05"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48CB1AE6" w14:textId="77777777" w:rsidR="00F72E58" w:rsidRPr="00F72E58" w:rsidRDefault="00F72E58" w:rsidP="009E3526">
            <w:pPr>
              <w:spacing w:before="40" w:after="40" w:line="220" w:lineRule="exact"/>
              <w:jc w:val="right"/>
              <w:rPr>
                <w:sz w:val="18"/>
                <w:szCs w:val="18"/>
              </w:rPr>
            </w:pPr>
            <w:r w:rsidRPr="00F72E58">
              <w:rPr>
                <w:sz w:val="18"/>
                <w:szCs w:val="18"/>
              </w:rPr>
              <w:t>90,1</w:t>
            </w:r>
          </w:p>
        </w:tc>
        <w:tc>
          <w:tcPr>
            <w:tcW w:w="828" w:type="dxa"/>
            <w:shd w:val="clear" w:color="auto" w:fill="auto"/>
            <w:vAlign w:val="bottom"/>
          </w:tcPr>
          <w:p w14:paraId="32D3B95B" w14:textId="77777777" w:rsidR="00F72E58" w:rsidRPr="00F72E58" w:rsidRDefault="00F72E58" w:rsidP="009E3526">
            <w:pPr>
              <w:spacing w:before="40" w:after="40" w:line="220" w:lineRule="exact"/>
              <w:jc w:val="right"/>
              <w:rPr>
                <w:sz w:val="18"/>
                <w:szCs w:val="18"/>
              </w:rPr>
            </w:pPr>
            <w:r w:rsidRPr="00F72E58">
              <w:rPr>
                <w:sz w:val="18"/>
                <w:szCs w:val="18"/>
              </w:rPr>
              <w:t>86,4</w:t>
            </w:r>
          </w:p>
        </w:tc>
        <w:tc>
          <w:tcPr>
            <w:tcW w:w="828" w:type="dxa"/>
            <w:shd w:val="clear" w:color="auto" w:fill="auto"/>
            <w:vAlign w:val="bottom"/>
          </w:tcPr>
          <w:p w14:paraId="7F7A9CB0" w14:textId="77777777" w:rsidR="00F72E58" w:rsidRPr="00F72E58" w:rsidRDefault="00F72E58" w:rsidP="009E3526">
            <w:pPr>
              <w:spacing w:before="40" w:after="40" w:line="220" w:lineRule="exact"/>
              <w:jc w:val="right"/>
              <w:rPr>
                <w:sz w:val="18"/>
                <w:szCs w:val="18"/>
              </w:rPr>
            </w:pPr>
            <w:r w:rsidRPr="00F72E58">
              <w:rPr>
                <w:sz w:val="18"/>
                <w:szCs w:val="18"/>
              </w:rPr>
              <w:t>88,9</w:t>
            </w:r>
          </w:p>
        </w:tc>
        <w:tc>
          <w:tcPr>
            <w:tcW w:w="828" w:type="dxa"/>
            <w:shd w:val="clear" w:color="auto" w:fill="auto"/>
            <w:vAlign w:val="bottom"/>
          </w:tcPr>
          <w:p w14:paraId="1DDA1AD4" w14:textId="77777777" w:rsidR="00F72E58" w:rsidRPr="00F72E58" w:rsidRDefault="00F72E58" w:rsidP="009E3526">
            <w:pPr>
              <w:spacing w:before="40" w:after="40" w:line="220" w:lineRule="exact"/>
              <w:jc w:val="right"/>
              <w:rPr>
                <w:sz w:val="18"/>
                <w:szCs w:val="18"/>
              </w:rPr>
            </w:pPr>
            <w:r w:rsidRPr="00F72E58">
              <w:rPr>
                <w:sz w:val="18"/>
                <w:szCs w:val="18"/>
              </w:rPr>
              <w:t>83,9</w:t>
            </w:r>
          </w:p>
        </w:tc>
        <w:tc>
          <w:tcPr>
            <w:tcW w:w="828" w:type="dxa"/>
            <w:shd w:val="clear" w:color="auto" w:fill="auto"/>
            <w:vAlign w:val="bottom"/>
          </w:tcPr>
          <w:p w14:paraId="5343F97A" w14:textId="77777777" w:rsidR="00F72E58" w:rsidRPr="00F72E58" w:rsidRDefault="00F72E58" w:rsidP="009E3526">
            <w:pPr>
              <w:spacing w:before="40" w:after="40" w:line="220" w:lineRule="exact"/>
              <w:jc w:val="right"/>
              <w:rPr>
                <w:sz w:val="18"/>
                <w:szCs w:val="18"/>
              </w:rPr>
            </w:pPr>
            <w:r w:rsidRPr="00F72E58">
              <w:rPr>
                <w:sz w:val="18"/>
                <w:szCs w:val="18"/>
              </w:rPr>
              <w:t>80,9</w:t>
            </w:r>
          </w:p>
        </w:tc>
        <w:tc>
          <w:tcPr>
            <w:tcW w:w="828" w:type="dxa"/>
            <w:shd w:val="clear" w:color="auto" w:fill="auto"/>
            <w:vAlign w:val="bottom"/>
          </w:tcPr>
          <w:p w14:paraId="71C69B94" w14:textId="77777777" w:rsidR="00F72E58" w:rsidRPr="00F72E58" w:rsidRDefault="00F72E58" w:rsidP="009E3526">
            <w:pPr>
              <w:spacing w:before="40" w:after="40" w:line="220" w:lineRule="exact"/>
              <w:jc w:val="right"/>
              <w:rPr>
                <w:sz w:val="18"/>
                <w:szCs w:val="18"/>
              </w:rPr>
            </w:pPr>
            <w:r w:rsidRPr="00F72E58">
              <w:rPr>
                <w:sz w:val="18"/>
                <w:szCs w:val="18"/>
              </w:rPr>
              <w:t>80,5</w:t>
            </w:r>
          </w:p>
        </w:tc>
        <w:tc>
          <w:tcPr>
            <w:tcW w:w="828" w:type="dxa"/>
            <w:shd w:val="clear" w:color="auto" w:fill="auto"/>
            <w:vAlign w:val="bottom"/>
          </w:tcPr>
          <w:p w14:paraId="6B4B69EF" w14:textId="77777777" w:rsidR="00F72E58" w:rsidRPr="00F72E58" w:rsidRDefault="00F72E58" w:rsidP="009E3526">
            <w:pPr>
              <w:spacing w:before="40" w:after="40" w:line="220" w:lineRule="exact"/>
              <w:jc w:val="right"/>
              <w:rPr>
                <w:sz w:val="18"/>
                <w:szCs w:val="18"/>
              </w:rPr>
            </w:pPr>
            <w:r w:rsidRPr="00F72E58">
              <w:rPr>
                <w:sz w:val="18"/>
                <w:szCs w:val="18"/>
              </w:rPr>
              <w:t>81,5</w:t>
            </w:r>
          </w:p>
        </w:tc>
      </w:tr>
      <w:tr w:rsidR="00F72E58" w:rsidRPr="00984603" w14:paraId="58C23723" w14:textId="77777777" w:rsidTr="004961FD">
        <w:tc>
          <w:tcPr>
            <w:tcW w:w="2693" w:type="dxa"/>
            <w:shd w:val="clear" w:color="auto" w:fill="auto"/>
          </w:tcPr>
          <w:p w14:paraId="7A8A934E"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314222B4" w14:textId="77777777" w:rsidR="00F72E58" w:rsidRPr="00F72E58" w:rsidRDefault="00F72E58" w:rsidP="009E3526">
            <w:pPr>
              <w:spacing w:before="40" w:after="40" w:line="220" w:lineRule="exact"/>
              <w:jc w:val="right"/>
              <w:rPr>
                <w:sz w:val="18"/>
                <w:szCs w:val="18"/>
              </w:rPr>
            </w:pPr>
            <w:r w:rsidRPr="00F72E58">
              <w:rPr>
                <w:sz w:val="18"/>
                <w:szCs w:val="18"/>
              </w:rPr>
              <w:t>231,5</w:t>
            </w:r>
          </w:p>
        </w:tc>
        <w:tc>
          <w:tcPr>
            <w:tcW w:w="828" w:type="dxa"/>
            <w:shd w:val="clear" w:color="auto" w:fill="auto"/>
            <w:vAlign w:val="bottom"/>
          </w:tcPr>
          <w:p w14:paraId="513A2789" w14:textId="77777777" w:rsidR="00F72E58" w:rsidRPr="00F72E58" w:rsidRDefault="00F72E58" w:rsidP="009E3526">
            <w:pPr>
              <w:spacing w:before="40" w:after="40" w:line="220" w:lineRule="exact"/>
              <w:jc w:val="right"/>
              <w:rPr>
                <w:sz w:val="18"/>
                <w:szCs w:val="18"/>
              </w:rPr>
            </w:pPr>
            <w:r w:rsidRPr="00F72E58">
              <w:rPr>
                <w:sz w:val="18"/>
                <w:szCs w:val="18"/>
              </w:rPr>
              <w:t>229,1</w:t>
            </w:r>
          </w:p>
        </w:tc>
        <w:tc>
          <w:tcPr>
            <w:tcW w:w="828" w:type="dxa"/>
            <w:shd w:val="clear" w:color="auto" w:fill="auto"/>
            <w:vAlign w:val="bottom"/>
          </w:tcPr>
          <w:p w14:paraId="3F0B8BEF" w14:textId="77777777" w:rsidR="00F72E58" w:rsidRPr="00F72E58" w:rsidRDefault="00F72E58" w:rsidP="009E3526">
            <w:pPr>
              <w:spacing w:before="40" w:after="40" w:line="220" w:lineRule="exact"/>
              <w:jc w:val="right"/>
              <w:rPr>
                <w:sz w:val="18"/>
                <w:szCs w:val="18"/>
              </w:rPr>
            </w:pPr>
            <w:r w:rsidRPr="00F72E58">
              <w:rPr>
                <w:sz w:val="18"/>
                <w:szCs w:val="18"/>
              </w:rPr>
              <w:t>231,0</w:t>
            </w:r>
          </w:p>
        </w:tc>
        <w:tc>
          <w:tcPr>
            <w:tcW w:w="828" w:type="dxa"/>
            <w:shd w:val="clear" w:color="auto" w:fill="auto"/>
            <w:vAlign w:val="bottom"/>
          </w:tcPr>
          <w:p w14:paraId="39042F82" w14:textId="77777777" w:rsidR="00F72E58" w:rsidRPr="00F72E58" w:rsidRDefault="00F72E58" w:rsidP="009E3526">
            <w:pPr>
              <w:spacing w:before="40" w:after="40" w:line="220" w:lineRule="exact"/>
              <w:jc w:val="right"/>
              <w:rPr>
                <w:sz w:val="18"/>
                <w:szCs w:val="18"/>
              </w:rPr>
            </w:pPr>
            <w:r w:rsidRPr="00F72E58">
              <w:rPr>
                <w:sz w:val="18"/>
                <w:szCs w:val="18"/>
              </w:rPr>
              <w:t>206,6</w:t>
            </w:r>
          </w:p>
        </w:tc>
        <w:tc>
          <w:tcPr>
            <w:tcW w:w="828" w:type="dxa"/>
            <w:shd w:val="clear" w:color="auto" w:fill="auto"/>
            <w:vAlign w:val="bottom"/>
          </w:tcPr>
          <w:p w14:paraId="709F6657" w14:textId="77777777" w:rsidR="00F72E58" w:rsidRPr="00F72E58" w:rsidRDefault="00F72E58" w:rsidP="009E3526">
            <w:pPr>
              <w:spacing w:before="40" w:after="40" w:line="220" w:lineRule="exact"/>
              <w:jc w:val="right"/>
              <w:rPr>
                <w:sz w:val="18"/>
                <w:szCs w:val="18"/>
              </w:rPr>
            </w:pPr>
            <w:r w:rsidRPr="00F72E58">
              <w:rPr>
                <w:sz w:val="18"/>
                <w:szCs w:val="18"/>
              </w:rPr>
              <w:t>206,4</w:t>
            </w:r>
          </w:p>
        </w:tc>
        <w:tc>
          <w:tcPr>
            <w:tcW w:w="828" w:type="dxa"/>
            <w:shd w:val="clear" w:color="auto" w:fill="auto"/>
            <w:vAlign w:val="bottom"/>
          </w:tcPr>
          <w:p w14:paraId="2E2608D3" w14:textId="77777777" w:rsidR="00F72E58" w:rsidRPr="00F72E58" w:rsidRDefault="00F72E58" w:rsidP="009E3526">
            <w:pPr>
              <w:spacing w:before="40" w:after="40" w:line="220" w:lineRule="exact"/>
              <w:jc w:val="right"/>
              <w:rPr>
                <w:sz w:val="18"/>
                <w:szCs w:val="18"/>
              </w:rPr>
            </w:pPr>
            <w:r w:rsidRPr="00F72E58">
              <w:rPr>
                <w:sz w:val="18"/>
                <w:szCs w:val="18"/>
              </w:rPr>
              <w:t>208,0</w:t>
            </w:r>
          </w:p>
        </w:tc>
        <w:tc>
          <w:tcPr>
            <w:tcW w:w="828" w:type="dxa"/>
            <w:shd w:val="clear" w:color="auto" w:fill="auto"/>
            <w:vAlign w:val="bottom"/>
          </w:tcPr>
          <w:p w14:paraId="042D4BD1" w14:textId="77777777" w:rsidR="00F72E58" w:rsidRPr="00F72E58" w:rsidRDefault="00F72E58" w:rsidP="009E3526">
            <w:pPr>
              <w:spacing w:before="40" w:after="40" w:line="220" w:lineRule="exact"/>
              <w:jc w:val="right"/>
              <w:rPr>
                <w:sz w:val="18"/>
                <w:szCs w:val="18"/>
              </w:rPr>
            </w:pPr>
            <w:r w:rsidRPr="00F72E58">
              <w:rPr>
                <w:sz w:val="18"/>
                <w:szCs w:val="18"/>
              </w:rPr>
              <w:t>200,3</w:t>
            </w:r>
          </w:p>
        </w:tc>
      </w:tr>
      <w:tr w:rsidR="00F72E58" w:rsidRPr="00984603" w14:paraId="3F4B82D2" w14:textId="77777777" w:rsidTr="004961FD">
        <w:tc>
          <w:tcPr>
            <w:tcW w:w="2693" w:type="dxa"/>
            <w:shd w:val="clear" w:color="auto" w:fill="auto"/>
          </w:tcPr>
          <w:p w14:paraId="2DCA2BFB"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40061619" w14:textId="77777777" w:rsidR="00F72E58" w:rsidRPr="00F72E58" w:rsidRDefault="00F72E58" w:rsidP="009E3526">
            <w:pPr>
              <w:spacing w:before="40" w:after="40" w:line="220" w:lineRule="exact"/>
              <w:jc w:val="right"/>
              <w:rPr>
                <w:b/>
                <w:bCs/>
                <w:sz w:val="18"/>
                <w:szCs w:val="18"/>
              </w:rPr>
            </w:pPr>
            <w:r w:rsidRPr="00F72E58">
              <w:rPr>
                <w:b/>
                <w:bCs/>
                <w:sz w:val="18"/>
                <w:szCs w:val="18"/>
              </w:rPr>
              <w:t>321,6</w:t>
            </w:r>
          </w:p>
        </w:tc>
        <w:tc>
          <w:tcPr>
            <w:tcW w:w="828" w:type="dxa"/>
            <w:shd w:val="clear" w:color="auto" w:fill="auto"/>
            <w:vAlign w:val="bottom"/>
          </w:tcPr>
          <w:p w14:paraId="448A95B9" w14:textId="77777777" w:rsidR="00F72E58" w:rsidRPr="00F72E58" w:rsidRDefault="00F72E58" w:rsidP="009E3526">
            <w:pPr>
              <w:spacing w:before="40" w:after="40" w:line="220" w:lineRule="exact"/>
              <w:jc w:val="right"/>
              <w:rPr>
                <w:b/>
                <w:bCs/>
                <w:sz w:val="18"/>
                <w:szCs w:val="18"/>
              </w:rPr>
            </w:pPr>
            <w:r w:rsidRPr="00F72E58">
              <w:rPr>
                <w:b/>
                <w:bCs/>
                <w:sz w:val="18"/>
                <w:szCs w:val="18"/>
              </w:rPr>
              <w:t>315,5</w:t>
            </w:r>
          </w:p>
        </w:tc>
        <w:tc>
          <w:tcPr>
            <w:tcW w:w="828" w:type="dxa"/>
            <w:shd w:val="clear" w:color="auto" w:fill="auto"/>
            <w:vAlign w:val="bottom"/>
          </w:tcPr>
          <w:p w14:paraId="139EAF7A" w14:textId="77777777" w:rsidR="00F72E58" w:rsidRPr="00F72E58" w:rsidRDefault="00F72E58" w:rsidP="009E3526">
            <w:pPr>
              <w:spacing w:before="40" w:after="40" w:line="220" w:lineRule="exact"/>
              <w:jc w:val="right"/>
              <w:rPr>
                <w:b/>
                <w:bCs/>
                <w:sz w:val="18"/>
                <w:szCs w:val="18"/>
              </w:rPr>
            </w:pPr>
            <w:r w:rsidRPr="00F72E58">
              <w:rPr>
                <w:b/>
                <w:bCs/>
                <w:sz w:val="18"/>
                <w:szCs w:val="18"/>
              </w:rPr>
              <w:t>319,9</w:t>
            </w:r>
          </w:p>
        </w:tc>
        <w:tc>
          <w:tcPr>
            <w:tcW w:w="828" w:type="dxa"/>
            <w:shd w:val="clear" w:color="auto" w:fill="auto"/>
            <w:vAlign w:val="bottom"/>
          </w:tcPr>
          <w:p w14:paraId="49BEA9EB" w14:textId="77777777" w:rsidR="00F72E58" w:rsidRPr="00F72E58" w:rsidRDefault="00F72E58" w:rsidP="009E3526">
            <w:pPr>
              <w:spacing w:before="40" w:after="40" w:line="220" w:lineRule="exact"/>
              <w:jc w:val="right"/>
              <w:rPr>
                <w:b/>
                <w:bCs/>
                <w:sz w:val="18"/>
                <w:szCs w:val="18"/>
              </w:rPr>
            </w:pPr>
            <w:r w:rsidRPr="00F72E58">
              <w:rPr>
                <w:b/>
                <w:bCs/>
                <w:sz w:val="18"/>
                <w:szCs w:val="18"/>
              </w:rPr>
              <w:t>290,5</w:t>
            </w:r>
          </w:p>
        </w:tc>
        <w:tc>
          <w:tcPr>
            <w:tcW w:w="828" w:type="dxa"/>
            <w:shd w:val="clear" w:color="auto" w:fill="auto"/>
            <w:vAlign w:val="bottom"/>
          </w:tcPr>
          <w:p w14:paraId="32898AF7" w14:textId="77777777" w:rsidR="00F72E58" w:rsidRPr="00F72E58" w:rsidRDefault="00F72E58" w:rsidP="009E3526">
            <w:pPr>
              <w:spacing w:before="40" w:after="40" w:line="220" w:lineRule="exact"/>
              <w:jc w:val="right"/>
              <w:rPr>
                <w:b/>
                <w:bCs/>
                <w:sz w:val="18"/>
                <w:szCs w:val="18"/>
              </w:rPr>
            </w:pPr>
            <w:r w:rsidRPr="00F72E58">
              <w:rPr>
                <w:b/>
                <w:bCs/>
                <w:sz w:val="18"/>
                <w:szCs w:val="18"/>
              </w:rPr>
              <w:t>287,2</w:t>
            </w:r>
          </w:p>
        </w:tc>
        <w:tc>
          <w:tcPr>
            <w:tcW w:w="828" w:type="dxa"/>
            <w:shd w:val="clear" w:color="auto" w:fill="auto"/>
            <w:vAlign w:val="bottom"/>
          </w:tcPr>
          <w:p w14:paraId="61A50377" w14:textId="77777777" w:rsidR="00F72E58" w:rsidRPr="00F72E58" w:rsidRDefault="00F72E58" w:rsidP="009E3526">
            <w:pPr>
              <w:spacing w:before="40" w:after="40" w:line="220" w:lineRule="exact"/>
              <w:jc w:val="right"/>
              <w:rPr>
                <w:b/>
                <w:bCs/>
                <w:sz w:val="18"/>
                <w:szCs w:val="18"/>
              </w:rPr>
            </w:pPr>
            <w:r w:rsidRPr="00F72E58">
              <w:rPr>
                <w:b/>
                <w:bCs/>
                <w:sz w:val="18"/>
                <w:szCs w:val="18"/>
              </w:rPr>
              <w:t>288,6</w:t>
            </w:r>
          </w:p>
        </w:tc>
        <w:tc>
          <w:tcPr>
            <w:tcW w:w="828" w:type="dxa"/>
            <w:shd w:val="clear" w:color="auto" w:fill="auto"/>
            <w:vAlign w:val="bottom"/>
          </w:tcPr>
          <w:p w14:paraId="1282CEFD" w14:textId="77777777" w:rsidR="00F72E58" w:rsidRPr="00F72E58" w:rsidRDefault="00F72E58" w:rsidP="009E3526">
            <w:pPr>
              <w:spacing w:before="40" w:after="40" w:line="220" w:lineRule="exact"/>
              <w:jc w:val="right"/>
              <w:rPr>
                <w:b/>
                <w:bCs/>
                <w:sz w:val="18"/>
                <w:szCs w:val="18"/>
              </w:rPr>
            </w:pPr>
            <w:r w:rsidRPr="00F72E58">
              <w:rPr>
                <w:b/>
                <w:bCs/>
                <w:sz w:val="18"/>
                <w:szCs w:val="18"/>
              </w:rPr>
              <w:t>281,7</w:t>
            </w:r>
          </w:p>
        </w:tc>
      </w:tr>
      <w:tr w:rsidR="00F72E58" w:rsidRPr="00984603" w14:paraId="5F455B21" w14:textId="77777777" w:rsidTr="004961FD">
        <w:tc>
          <w:tcPr>
            <w:tcW w:w="2693" w:type="dxa"/>
            <w:shd w:val="clear" w:color="auto" w:fill="auto"/>
          </w:tcPr>
          <w:p w14:paraId="4EE693FF"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7EC87214" w14:textId="77777777" w:rsidR="00F72E58" w:rsidRPr="00F72E58" w:rsidRDefault="00F72E58" w:rsidP="009E3526">
            <w:pPr>
              <w:spacing w:before="40" w:after="40" w:line="220" w:lineRule="exact"/>
              <w:jc w:val="right"/>
              <w:rPr>
                <w:sz w:val="18"/>
                <w:szCs w:val="18"/>
              </w:rPr>
            </w:pPr>
            <w:r w:rsidRPr="00F72E58">
              <w:rPr>
                <w:sz w:val="18"/>
                <w:szCs w:val="18"/>
              </w:rPr>
              <w:t>690,2</w:t>
            </w:r>
          </w:p>
        </w:tc>
        <w:tc>
          <w:tcPr>
            <w:tcW w:w="828" w:type="dxa"/>
            <w:shd w:val="clear" w:color="auto" w:fill="auto"/>
            <w:vAlign w:val="bottom"/>
          </w:tcPr>
          <w:p w14:paraId="6ACD5E4D" w14:textId="77777777" w:rsidR="00F72E58" w:rsidRPr="00F72E58" w:rsidRDefault="00F72E58" w:rsidP="009E3526">
            <w:pPr>
              <w:spacing w:before="40" w:after="40" w:line="220" w:lineRule="exact"/>
              <w:jc w:val="right"/>
              <w:rPr>
                <w:sz w:val="18"/>
                <w:szCs w:val="18"/>
              </w:rPr>
            </w:pPr>
            <w:r w:rsidRPr="00F72E58">
              <w:rPr>
                <w:sz w:val="18"/>
                <w:szCs w:val="18"/>
              </w:rPr>
              <w:t>688,6</w:t>
            </w:r>
          </w:p>
        </w:tc>
        <w:tc>
          <w:tcPr>
            <w:tcW w:w="828" w:type="dxa"/>
            <w:shd w:val="clear" w:color="auto" w:fill="auto"/>
            <w:vAlign w:val="bottom"/>
          </w:tcPr>
          <w:p w14:paraId="63A7A5AF" w14:textId="77777777" w:rsidR="00F72E58" w:rsidRPr="00F72E58" w:rsidRDefault="00F72E58" w:rsidP="009E3526">
            <w:pPr>
              <w:spacing w:before="40" w:after="40" w:line="220" w:lineRule="exact"/>
              <w:jc w:val="right"/>
              <w:rPr>
                <w:sz w:val="18"/>
                <w:szCs w:val="18"/>
              </w:rPr>
            </w:pPr>
            <w:r w:rsidRPr="00F72E58">
              <w:rPr>
                <w:sz w:val="18"/>
                <w:szCs w:val="18"/>
              </w:rPr>
              <w:t>689,7</w:t>
            </w:r>
          </w:p>
        </w:tc>
        <w:tc>
          <w:tcPr>
            <w:tcW w:w="828" w:type="dxa"/>
            <w:shd w:val="clear" w:color="auto" w:fill="auto"/>
            <w:vAlign w:val="bottom"/>
          </w:tcPr>
          <w:p w14:paraId="318C1234" w14:textId="77777777" w:rsidR="00F72E58" w:rsidRPr="00F72E58" w:rsidRDefault="00F72E58" w:rsidP="009E3526">
            <w:pPr>
              <w:spacing w:before="40" w:after="40" w:line="220" w:lineRule="exact"/>
              <w:jc w:val="right"/>
              <w:rPr>
                <w:sz w:val="18"/>
                <w:szCs w:val="18"/>
              </w:rPr>
            </w:pPr>
            <w:r w:rsidRPr="00F72E58">
              <w:rPr>
                <w:sz w:val="18"/>
                <w:szCs w:val="18"/>
              </w:rPr>
              <w:t>674,2</w:t>
            </w:r>
          </w:p>
        </w:tc>
        <w:tc>
          <w:tcPr>
            <w:tcW w:w="828" w:type="dxa"/>
            <w:shd w:val="clear" w:color="auto" w:fill="auto"/>
            <w:vAlign w:val="bottom"/>
          </w:tcPr>
          <w:p w14:paraId="65A31062" w14:textId="77777777" w:rsidR="00F72E58" w:rsidRPr="00F72E58" w:rsidRDefault="00F72E58" w:rsidP="009E3526">
            <w:pPr>
              <w:spacing w:before="40" w:after="40" w:line="220" w:lineRule="exact"/>
              <w:jc w:val="right"/>
              <w:rPr>
                <w:sz w:val="18"/>
                <w:szCs w:val="18"/>
              </w:rPr>
            </w:pPr>
            <w:r w:rsidRPr="00F72E58">
              <w:rPr>
                <w:sz w:val="18"/>
                <w:szCs w:val="18"/>
              </w:rPr>
              <w:t>665,2</w:t>
            </w:r>
          </w:p>
        </w:tc>
        <w:tc>
          <w:tcPr>
            <w:tcW w:w="828" w:type="dxa"/>
            <w:shd w:val="clear" w:color="auto" w:fill="auto"/>
            <w:vAlign w:val="bottom"/>
          </w:tcPr>
          <w:p w14:paraId="3BB861FC" w14:textId="77777777" w:rsidR="00F72E58" w:rsidRPr="00F72E58" w:rsidRDefault="00F72E58" w:rsidP="009E3526">
            <w:pPr>
              <w:spacing w:before="40" w:after="40" w:line="220" w:lineRule="exact"/>
              <w:jc w:val="right"/>
              <w:rPr>
                <w:sz w:val="18"/>
                <w:szCs w:val="18"/>
              </w:rPr>
            </w:pPr>
            <w:r w:rsidRPr="00F72E58">
              <w:rPr>
                <w:sz w:val="18"/>
                <w:szCs w:val="18"/>
              </w:rPr>
              <w:t>669,1</w:t>
            </w:r>
          </w:p>
        </w:tc>
        <w:tc>
          <w:tcPr>
            <w:tcW w:w="828" w:type="dxa"/>
            <w:shd w:val="clear" w:color="auto" w:fill="auto"/>
            <w:vAlign w:val="bottom"/>
          </w:tcPr>
          <w:p w14:paraId="2B93C6FB" w14:textId="77777777" w:rsidR="00F72E58" w:rsidRPr="00F72E58" w:rsidRDefault="00F72E58" w:rsidP="009E3526">
            <w:pPr>
              <w:spacing w:before="40" w:after="40" w:line="220" w:lineRule="exact"/>
              <w:jc w:val="right"/>
              <w:rPr>
                <w:sz w:val="18"/>
                <w:szCs w:val="18"/>
              </w:rPr>
            </w:pPr>
            <w:r w:rsidRPr="00F72E58">
              <w:rPr>
                <w:sz w:val="18"/>
                <w:szCs w:val="18"/>
              </w:rPr>
              <w:t>670,6</w:t>
            </w:r>
          </w:p>
        </w:tc>
      </w:tr>
      <w:tr w:rsidR="00F72E58" w:rsidRPr="00984603" w14:paraId="125E27D0" w14:textId="77777777" w:rsidTr="004961FD">
        <w:tc>
          <w:tcPr>
            <w:tcW w:w="2693" w:type="dxa"/>
            <w:shd w:val="clear" w:color="auto" w:fill="auto"/>
          </w:tcPr>
          <w:p w14:paraId="02C5F9ED"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0011B305" w14:textId="77777777" w:rsidR="00F72E58" w:rsidRPr="00F72E58" w:rsidRDefault="00F72E58" w:rsidP="009E3526">
            <w:pPr>
              <w:spacing w:before="40" w:after="40" w:line="220" w:lineRule="exact"/>
              <w:jc w:val="right"/>
              <w:rPr>
                <w:sz w:val="18"/>
                <w:szCs w:val="18"/>
              </w:rPr>
            </w:pPr>
            <w:r w:rsidRPr="00F72E58">
              <w:rPr>
                <w:sz w:val="18"/>
                <w:szCs w:val="18"/>
              </w:rPr>
              <w:t>672,2</w:t>
            </w:r>
          </w:p>
        </w:tc>
        <w:tc>
          <w:tcPr>
            <w:tcW w:w="828" w:type="dxa"/>
            <w:shd w:val="clear" w:color="auto" w:fill="auto"/>
            <w:vAlign w:val="bottom"/>
          </w:tcPr>
          <w:p w14:paraId="420D89F4" w14:textId="77777777" w:rsidR="00F72E58" w:rsidRPr="00F72E58" w:rsidRDefault="00F72E58" w:rsidP="009E3526">
            <w:pPr>
              <w:spacing w:before="40" w:after="40" w:line="220" w:lineRule="exact"/>
              <w:jc w:val="right"/>
              <w:rPr>
                <w:sz w:val="18"/>
                <w:szCs w:val="18"/>
              </w:rPr>
            </w:pPr>
            <w:r w:rsidRPr="00F72E58">
              <w:rPr>
                <w:sz w:val="18"/>
                <w:szCs w:val="18"/>
              </w:rPr>
              <w:t>678,9</w:t>
            </w:r>
          </w:p>
        </w:tc>
        <w:tc>
          <w:tcPr>
            <w:tcW w:w="828" w:type="dxa"/>
            <w:shd w:val="clear" w:color="auto" w:fill="auto"/>
            <w:vAlign w:val="bottom"/>
          </w:tcPr>
          <w:p w14:paraId="1C723CE4" w14:textId="77777777" w:rsidR="00F72E58" w:rsidRPr="00F72E58" w:rsidRDefault="00F72E58" w:rsidP="009E3526">
            <w:pPr>
              <w:spacing w:before="40" w:after="40" w:line="220" w:lineRule="exact"/>
              <w:jc w:val="right"/>
              <w:rPr>
                <w:sz w:val="18"/>
                <w:szCs w:val="18"/>
              </w:rPr>
            </w:pPr>
            <w:r w:rsidRPr="00F72E58">
              <w:rPr>
                <w:sz w:val="18"/>
                <w:szCs w:val="18"/>
              </w:rPr>
              <w:t>668,5</w:t>
            </w:r>
          </w:p>
        </w:tc>
        <w:tc>
          <w:tcPr>
            <w:tcW w:w="828" w:type="dxa"/>
            <w:shd w:val="clear" w:color="auto" w:fill="auto"/>
            <w:vAlign w:val="bottom"/>
          </w:tcPr>
          <w:p w14:paraId="6596A4E8" w14:textId="77777777" w:rsidR="00F72E58" w:rsidRPr="00F72E58" w:rsidRDefault="00F72E58" w:rsidP="009E3526">
            <w:pPr>
              <w:spacing w:before="40" w:after="40" w:line="220" w:lineRule="exact"/>
              <w:jc w:val="right"/>
              <w:rPr>
                <w:sz w:val="18"/>
                <w:szCs w:val="18"/>
              </w:rPr>
            </w:pPr>
            <w:r w:rsidRPr="00F72E58">
              <w:rPr>
                <w:sz w:val="18"/>
                <w:szCs w:val="18"/>
              </w:rPr>
              <w:t>653,8</w:t>
            </w:r>
          </w:p>
        </w:tc>
        <w:tc>
          <w:tcPr>
            <w:tcW w:w="828" w:type="dxa"/>
            <w:shd w:val="clear" w:color="auto" w:fill="auto"/>
            <w:vAlign w:val="bottom"/>
          </w:tcPr>
          <w:p w14:paraId="5F414D51" w14:textId="77777777" w:rsidR="00F72E58" w:rsidRPr="00F72E58" w:rsidRDefault="00F72E58" w:rsidP="009E3526">
            <w:pPr>
              <w:spacing w:before="40" w:after="40" w:line="220" w:lineRule="exact"/>
              <w:jc w:val="right"/>
              <w:rPr>
                <w:sz w:val="18"/>
                <w:szCs w:val="18"/>
              </w:rPr>
            </w:pPr>
            <w:r w:rsidRPr="00F72E58">
              <w:rPr>
                <w:sz w:val="18"/>
                <w:szCs w:val="18"/>
              </w:rPr>
              <w:t>650,7</w:t>
            </w:r>
          </w:p>
        </w:tc>
        <w:tc>
          <w:tcPr>
            <w:tcW w:w="828" w:type="dxa"/>
            <w:shd w:val="clear" w:color="auto" w:fill="auto"/>
            <w:vAlign w:val="bottom"/>
          </w:tcPr>
          <w:p w14:paraId="674011FC" w14:textId="77777777" w:rsidR="00F72E58" w:rsidRPr="00F72E58" w:rsidRDefault="00F72E58" w:rsidP="009E3526">
            <w:pPr>
              <w:spacing w:before="40" w:after="40" w:line="220" w:lineRule="exact"/>
              <w:jc w:val="right"/>
              <w:rPr>
                <w:sz w:val="18"/>
                <w:szCs w:val="18"/>
              </w:rPr>
            </w:pPr>
            <w:r w:rsidRPr="00F72E58">
              <w:rPr>
                <w:sz w:val="18"/>
                <w:szCs w:val="18"/>
              </w:rPr>
              <w:t>656,6</w:t>
            </w:r>
          </w:p>
        </w:tc>
        <w:tc>
          <w:tcPr>
            <w:tcW w:w="828" w:type="dxa"/>
            <w:shd w:val="clear" w:color="auto" w:fill="auto"/>
            <w:vAlign w:val="bottom"/>
          </w:tcPr>
          <w:p w14:paraId="1FFEF087" w14:textId="77777777" w:rsidR="00F72E58" w:rsidRPr="00F72E58" w:rsidRDefault="00F72E58" w:rsidP="009E3526">
            <w:pPr>
              <w:spacing w:before="40" w:after="40" w:line="220" w:lineRule="exact"/>
              <w:jc w:val="right"/>
              <w:rPr>
                <w:sz w:val="18"/>
                <w:szCs w:val="18"/>
              </w:rPr>
            </w:pPr>
            <w:r w:rsidRPr="00F72E58">
              <w:rPr>
                <w:sz w:val="18"/>
                <w:szCs w:val="18"/>
              </w:rPr>
              <w:t>648,3</w:t>
            </w:r>
          </w:p>
        </w:tc>
      </w:tr>
      <w:tr w:rsidR="00F72E58" w:rsidRPr="00984603" w14:paraId="37203E92" w14:textId="77777777" w:rsidTr="004961FD">
        <w:tc>
          <w:tcPr>
            <w:tcW w:w="2693" w:type="dxa"/>
            <w:shd w:val="clear" w:color="auto" w:fill="auto"/>
          </w:tcPr>
          <w:p w14:paraId="412A15F4"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0698FEBF" w14:textId="77777777" w:rsidR="00F72E58" w:rsidRPr="00F72E58" w:rsidRDefault="00F72E58" w:rsidP="009E3526">
            <w:pPr>
              <w:spacing w:before="40" w:after="40" w:line="220" w:lineRule="exact"/>
              <w:jc w:val="right"/>
              <w:rPr>
                <w:b/>
                <w:bCs/>
                <w:sz w:val="18"/>
                <w:szCs w:val="18"/>
              </w:rPr>
            </w:pPr>
            <w:r w:rsidRPr="00F72E58">
              <w:rPr>
                <w:b/>
                <w:bCs/>
                <w:sz w:val="18"/>
                <w:szCs w:val="18"/>
              </w:rPr>
              <w:t>1 362,4</w:t>
            </w:r>
          </w:p>
        </w:tc>
        <w:tc>
          <w:tcPr>
            <w:tcW w:w="828" w:type="dxa"/>
            <w:shd w:val="clear" w:color="auto" w:fill="auto"/>
            <w:vAlign w:val="bottom"/>
          </w:tcPr>
          <w:p w14:paraId="36719557" w14:textId="77777777" w:rsidR="00F72E58" w:rsidRPr="00F72E58" w:rsidRDefault="00F72E58" w:rsidP="009E3526">
            <w:pPr>
              <w:spacing w:before="40" w:after="40" w:line="220" w:lineRule="exact"/>
              <w:jc w:val="right"/>
              <w:rPr>
                <w:b/>
                <w:bCs/>
                <w:sz w:val="18"/>
                <w:szCs w:val="18"/>
              </w:rPr>
            </w:pPr>
            <w:r w:rsidRPr="00F72E58">
              <w:rPr>
                <w:b/>
                <w:bCs/>
                <w:sz w:val="18"/>
                <w:szCs w:val="18"/>
              </w:rPr>
              <w:t>1 367,5</w:t>
            </w:r>
          </w:p>
        </w:tc>
        <w:tc>
          <w:tcPr>
            <w:tcW w:w="828" w:type="dxa"/>
            <w:shd w:val="clear" w:color="auto" w:fill="auto"/>
            <w:vAlign w:val="bottom"/>
          </w:tcPr>
          <w:p w14:paraId="3E7B0E09" w14:textId="77777777" w:rsidR="00F72E58" w:rsidRPr="00F72E58" w:rsidRDefault="00F72E58" w:rsidP="009E3526">
            <w:pPr>
              <w:spacing w:before="40" w:after="40" w:line="220" w:lineRule="exact"/>
              <w:jc w:val="right"/>
              <w:rPr>
                <w:b/>
                <w:bCs/>
                <w:sz w:val="18"/>
                <w:szCs w:val="18"/>
              </w:rPr>
            </w:pPr>
            <w:r w:rsidRPr="00F72E58">
              <w:rPr>
                <w:b/>
                <w:bCs/>
                <w:sz w:val="18"/>
                <w:szCs w:val="18"/>
              </w:rPr>
              <w:t>1 358,2</w:t>
            </w:r>
          </w:p>
        </w:tc>
        <w:tc>
          <w:tcPr>
            <w:tcW w:w="828" w:type="dxa"/>
            <w:shd w:val="clear" w:color="auto" w:fill="auto"/>
            <w:vAlign w:val="bottom"/>
          </w:tcPr>
          <w:p w14:paraId="11D64A89" w14:textId="77777777" w:rsidR="00F72E58" w:rsidRPr="00F72E58" w:rsidRDefault="00F72E58" w:rsidP="009E3526">
            <w:pPr>
              <w:spacing w:before="40" w:after="40" w:line="220" w:lineRule="exact"/>
              <w:jc w:val="right"/>
              <w:rPr>
                <w:b/>
                <w:bCs/>
                <w:sz w:val="18"/>
                <w:szCs w:val="18"/>
              </w:rPr>
            </w:pPr>
            <w:r w:rsidRPr="00F72E58">
              <w:rPr>
                <w:b/>
                <w:bCs/>
                <w:sz w:val="18"/>
                <w:szCs w:val="18"/>
              </w:rPr>
              <w:t>1 328,0</w:t>
            </w:r>
          </w:p>
        </w:tc>
        <w:tc>
          <w:tcPr>
            <w:tcW w:w="828" w:type="dxa"/>
            <w:shd w:val="clear" w:color="auto" w:fill="auto"/>
            <w:vAlign w:val="bottom"/>
          </w:tcPr>
          <w:p w14:paraId="64F62662" w14:textId="77777777" w:rsidR="00F72E58" w:rsidRPr="00F72E58" w:rsidRDefault="00F72E58" w:rsidP="009E3526">
            <w:pPr>
              <w:spacing w:before="40" w:after="40" w:line="220" w:lineRule="exact"/>
              <w:jc w:val="right"/>
              <w:rPr>
                <w:b/>
                <w:bCs/>
                <w:sz w:val="18"/>
                <w:szCs w:val="18"/>
              </w:rPr>
            </w:pPr>
            <w:r w:rsidRPr="00F72E58">
              <w:rPr>
                <w:b/>
                <w:bCs/>
                <w:sz w:val="18"/>
                <w:szCs w:val="18"/>
              </w:rPr>
              <w:t>1 315,8</w:t>
            </w:r>
          </w:p>
        </w:tc>
        <w:tc>
          <w:tcPr>
            <w:tcW w:w="828" w:type="dxa"/>
            <w:shd w:val="clear" w:color="auto" w:fill="auto"/>
            <w:vAlign w:val="bottom"/>
          </w:tcPr>
          <w:p w14:paraId="522B7BC8" w14:textId="77777777" w:rsidR="00F72E58" w:rsidRPr="00F72E58" w:rsidRDefault="00F72E58" w:rsidP="009E3526">
            <w:pPr>
              <w:spacing w:before="40" w:after="40" w:line="220" w:lineRule="exact"/>
              <w:jc w:val="right"/>
              <w:rPr>
                <w:b/>
                <w:bCs/>
                <w:sz w:val="18"/>
                <w:szCs w:val="18"/>
              </w:rPr>
            </w:pPr>
            <w:r w:rsidRPr="00F72E58">
              <w:rPr>
                <w:b/>
                <w:bCs/>
                <w:sz w:val="18"/>
                <w:szCs w:val="18"/>
              </w:rPr>
              <w:t>1 325,7</w:t>
            </w:r>
          </w:p>
        </w:tc>
        <w:tc>
          <w:tcPr>
            <w:tcW w:w="828" w:type="dxa"/>
            <w:shd w:val="clear" w:color="auto" w:fill="auto"/>
            <w:vAlign w:val="bottom"/>
          </w:tcPr>
          <w:p w14:paraId="69387CFF" w14:textId="77777777" w:rsidR="00F72E58" w:rsidRPr="00F72E58" w:rsidRDefault="00F72E58" w:rsidP="009E3526">
            <w:pPr>
              <w:spacing w:before="40" w:after="40" w:line="220" w:lineRule="exact"/>
              <w:jc w:val="right"/>
              <w:rPr>
                <w:b/>
                <w:bCs/>
                <w:sz w:val="18"/>
                <w:szCs w:val="18"/>
              </w:rPr>
            </w:pPr>
            <w:r w:rsidRPr="00F72E58">
              <w:rPr>
                <w:b/>
                <w:bCs/>
                <w:sz w:val="18"/>
                <w:szCs w:val="18"/>
              </w:rPr>
              <w:t>1 318,9</w:t>
            </w:r>
          </w:p>
        </w:tc>
      </w:tr>
      <w:tr w:rsidR="003279D5" w:rsidRPr="00984603" w14:paraId="5AC7C55B" w14:textId="77777777" w:rsidTr="009C48FD">
        <w:trPr>
          <w:cantSplit/>
        </w:trPr>
        <w:tc>
          <w:tcPr>
            <w:tcW w:w="2693" w:type="dxa"/>
            <w:shd w:val="clear" w:color="auto" w:fill="auto"/>
          </w:tcPr>
          <w:p w14:paraId="6B0D2B26" w14:textId="77777777" w:rsidR="003279D5" w:rsidRPr="00F72E58" w:rsidRDefault="00F72E58" w:rsidP="009C48FD">
            <w:pPr>
              <w:keepNext/>
              <w:spacing w:before="40" w:after="40" w:line="220" w:lineRule="exact"/>
              <w:rPr>
                <w:sz w:val="18"/>
                <w:szCs w:val="18"/>
              </w:rPr>
            </w:pPr>
            <w:r w:rsidRPr="00F72E58">
              <w:rPr>
                <w:b/>
                <w:bCs/>
                <w:sz w:val="18"/>
                <w:szCs w:val="18"/>
                <w:lang w:val="fr-FR" w:eastAsia="en-IE"/>
              </w:rPr>
              <w:lastRenderedPageBreak/>
              <w:t>Parent isolé</w:t>
            </w:r>
          </w:p>
        </w:tc>
        <w:tc>
          <w:tcPr>
            <w:tcW w:w="828" w:type="dxa"/>
            <w:shd w:val="clear" w:color="auto" w:fill="auto"/>
            <w:vAlign w:val="bottom"/>
          </w:tcPr>
          <w:p w14:paraId="733D2EE9"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0D3DA63F"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111F6D45"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7DAFB43F"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58A2E054"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7B84D1B3"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316DC267" w14:textId="77777777" w:rsidR="003279D5" w:rsidRPr="00F72E58" w:rsidRDefault="003279D5" w:rsidP="009C48FD">
            <w:pPr>
              <w:keepNext/>
              <w:spacing w:before="40" w:after="40" w:line="220" w:lineRule="exact"/>
              <w:jc w:val="right"/>
              <w:rPr>
                <w:sz w:val="18"/>
                <w:szCs w:val="18"/>
              </w:rPr>
            </w:pPr>
          </w:p>
        </w:tc>
      </w:tr>
      <w:tr w:rsidR="003279D5" w:rsidRPr="00984603" w14:paraId="7F3EA31A" w14:textId="77777777" w:rsidTr="009C48FD">
        <w:trPr>
          <w:cantSplit/>
        </w:trPr>
        <w:tc>
          <w:tcPr>
            <w:tcW w:w="2693" w:type="dxa"/>
            <w:shd w:val="clear" w:color="auto" w:fill="auto"/>
          </w:tcPr>
          <w:p w14:paraId="3CEB0907" w14:textId="77777777" w:rsidR="003279D5" w:rsidRPr="00F72E58" w:rsidRDefault="00F72E58" w:rsidP="009C48FD">
            <w:pPr>
              <w:keepNext/>
              <w:spacing w:before="40" w:after="40" w:line="220" w:lineRule="exact"/>
              <w:rPr>
                <w:i/>
                <w:sz w:val="18"/>
                <w:szCs w:val="18"/>
              </w:rPr>
            </w:pPr>
            <w:r w:rsidRPr="00F72E58">
              <w:rPr>
                <w:i/>
                <w:sz w:val="18"/>
                <w:szCs w:val="18"/>
                <w:lang w:val="fr-FR" w:eastAsia="en-IE"/>
              </w:rPr>
              <w:t>Actif avec emploi</w:t>
            </w:r>
          </w:p>
        </w:tc>
        <w:tc>
          <w:tcPr>
            <w:tcW w:w="828" w:type="dxa"/>
            <w:shd w:val="clear" w:color="auto" w:fill="auto"/>
            <w:vAlign w:val="bottom"/>
          </w:tcPr>
          <w:p w14:paraId="1FC62AA3" w14:textId="77777777" w:rsidR="003279D5" w:rsidRPr="00F72E58" w:rsidRDefault="003279D5" w:rsidP="009C48FD">
            <w:pPr>
              <w:keepNext/>
              <w:spacing w:before="40" w:after="40" w:line="220" w:lineRule="exact"/>
              <w:rPr>
                <w:i/>
                <w:sz w:val="18"/>
                <w:szCs w:val="18"/>
              </w:rPr>
            </w:pPr>
          </w:p>
        </w:tc>
        <w:tc>
          <w:tcPr>
            <w:tcW w:w="828" w:type="dxa"/>
            <w:shd w:val="clear" w:color="auto" w:fill="auto"/>
            <w:vAlign w:val="bottom"/>
          </w:tcPr>
          <w:p w14:paraId="105E6192"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0FD1D3EA"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7FBB827C"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5789BE04"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5A4B79BE" w14:textId="77777777" w:rsidR="003279D5" w:rsidRPr="00F72E58" w:rsidRDefault="003279D5" w:rsidP="009C48FD">
            <w:pPr>
              <w:keepNext/>
              <w:spacing w:before="40" w:after="40" w:line="220" w:lineRule="exact"/>
              <w:jc w:val="right"/>
              <w:rPr>
                <w:sz w:val="18"/>
                <w:szCs w:val="18"/>
              </w:rPr>
            </w:pPr>
          </w:p>
        </w:tc>
        <w:tc>
          <w:tcPr>
            <w:tcW w:w="828" w:type="dxa"/>
            <w:shd w:val="clear" w:color="auto" w:fill="auto"/>
            <w:vAlign w:val="bottom"/>
          </w:tcPr>
          <w:p w14:paraId="1C8A4325" w14:textId="77777777" w:rsidR="003279D5" w:rsidRPr="00F72E58" w:rsidRDefault="003279D5" w:rsidP="009C48FD">
            <w:pPr>
              <w:keepNext/>
              <w:spacing w:before="40" w:after="40" w:line="220" w:lineRule="exact"/>
              <w:jc w:val="right"/>
              <w:rPr>
                <w:sz w:val="18"/>
                <w:szCs w:val="18"/>
              </w:rPr>
            </w:pPr>
          </w:p>
        </w:tc>
      </w:tr>
      <w:tr w:rsidR="00F72E58" w:rsidRPr="00984603" w14:paraId="588C67D4" w14:textId="77777777" w:rsidTr="009C48FD">
        <w:trPr>
          <w:cantSplit/>
        </w:trPr>
        <w:tc>
          <w:tcPr>
            <w:tcW w:w="2693" w:type="dxa"/>
            <w:shd w:val="clear" w:color="auto" w:fill="auto"/>
          </w:tcPr>
          <w:p w14:paraId="21041349" w14:textId="77777777" w:rsidR="00F72E58" w:rsidRPr="00F72E58" w:rsidRDefault="00F72E58" w:rsidP="009C48FD">
            <w:pPr>
              <w:keepNext/>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34648E4B" w14:textId="77777777" w:rsidR="00F72E58" w:rsidRPr="00F72E58" w:rsidRDefault="00F72E58" w:rsidP="009C48FD">
            <w:pPr>
              <w:keepNext/>
              <w:spacing w:before="40" w:after="40" w:line="220" w:lineRule="exact"/>
              <w:jc w:val="right"/>
              <w:rPr>
                <w:sz w:val="18"/>
                <w:szCs w:val="18"/>
              </w:rPr>
            </w:pPr>
            <w:r w:rsidRPr="00F72E58">
              <w:rPr>
                <w:sz w:val="18"/>
                <w:szCs w:val="18"/>
              </w:rPr>
              <w:t>11,1</w:t>
            </w:r>
          </w:p>
        </w:tc>
        <w:tc>
          <w:tcPr>
            <w:tcW w:w="828" w:type="dxa"/>
            <w:shd w:val="clear" w:color="auto" w:fill="auto"/>
            <w:vAlign w:val="bottom"/>
          </w:tcPr>
          <w:p w14:paraId="10B3A49F" w14:textId="77777777" w:rsidR="00F72E58" w:rsidRPr="00F72E58" w:rsidRDefault="00F72E58" w:rsidP="009C48FD">
            <w:pPr>
              <w:keepNext/>
              <w:spacing w:before="40" w:after="40" w:line="220" w:lineRule="exact"/>
              <w:jc w:val="right"/>
              <w:rPr>
                <w:sz w:val="18"/>
                <w:szCs w:val="18"/>
              </w:rPr>
            </w:pPr>
            <w:r w:rsidRPr="00F72E58">
              <w:rPr>
                <w:sz w:val="18"/>
                <w:szCs w:val="18"/>
              </w:rPr>
              <w:t>13,3</w:t>
            </w:r>
          </w:p>
        </w:tc>
        <w:tc>
          <w:tcPr>
            <w:tcW w:w="828" w:type="dxa"/>
            <w:shd w:val="clear" w:color="auto" w:fill="auto"/>
            <w:vAlign w:val="bottom"/>
          </w:tcPr>
          <w:p w14:paraId="56BF2547" w14:textId="77777777" w:rsidR="00F72E58" w:rsidRPr="00F72E58" w:rsidRDefault="00F72E58" w:rsidP="009C48FD">
            <w:pPr>
              <w:keepNext/>
              <w:spacing w:before="40" w:after="40" w:line="220" w:lineRule="exact"/>
              <w:jc w:val="right"/>
              <w:rPr>
                <w:sz w:val="18"/>
                <w:szCs w:val="18"/>
              </w:rPr>
            </w:pPr>
            <w:r w:rsidRPr="00F72E58">
              <w:rPr>
                <w:sz w:val="18"/>
                <w:szCs w:val="18"/>
              </w:rPr>
              <w:t>14,5</w:t>
            </w:r>
          </w:p>
        </w:tc>
        <w:tc>
          <w:tcPr>
            <w:tcW w:w="828" w:type="dxa"/>
            <w:shd w:val="clear" w:color="auto" w:fill="auto"/>
            <w:vAlign w:val="bottom"/>
          </w:tcPr>
          <w:p w14:paraId="7E05F380" w14:textId="77777777" w:rsidR="00F72E58" w:rsidRPr="00F72E58" w:rsidRDefault="00F72E58" w:rsidP="009C48FD">
            <w:pPr>
              <w:keepNext/>
              <w:spacing w:before="40" w:after="40" w:line="220" w:lineRule="exact"/>
              <w:jc w:val="right"/>
              <w:rPr>
                <w:sz w:val="18"/>
                <w:szCs w:val="18"/>
              </w:rPr>
            </w:pPr>
            <w:r w:rsidRPr="00F72E58">
              <w:rPr>
                <w:sz w:val="18"/>
                <w:szCs w:val="18"/>
              </w:rPr>
              <w:t>20,5</w:t>
            </w:r>
          </w:p>
        </w:tc>
        <w:tc>
          <w:tcPr>
            <w:tcW w:w="828" w:type="dxa"/>
            <w:shd w:val="clear" w:color="auto" w:fill="auto"/>
            <w:vAlign w:val="bottom"/>
          </w:tcPr>
          <w:p w14:paraId="455B661E" w14:textId="77777777" w:rsidR="00F72E58" w:rsidRPr="00F72E58" w:rsidRDefault="00F72E58" w:rsidP="009C48FD">
            <w:pPr>
              <w:keepNext/>
              <w:spacing w:before="40" w:after="40" w:line="220" w:lineRule="exact"/>
              <w:jc w:val="right"/>
              <w:rPr>
                <w:sz w:val="18"/>
                <w:szCs w:val="18"/>
              </w:rPr>
            </w:pPr>
            <w:r w:rsidRPr="00F72E58">
              <w:rPr>
                <w:sz w:val="18"/>
                <w:szCs w:val="18"/>
              </w:rPr>
              <w:t>19,8</w:t>
            </w:r>
          </w:p>
        </w:tc>
        <w:tc>
          <w:tcPr>
            <w:tcW w:w="828" w:type="dxa"/>
            <w:shd w:val="clear" w:color="auto" w:fill="auto"/>
            <w:vAlign w:val="bottom"/>
          </w:tcPr>
          <w:p w14:paraId="5E696709" w14:textId="77777777" w:rsidR="00F72E58" w:rsidRPr="00F72E58" w:rsidRDefault="00F72E58" w:rsidP="009C48FD">
            <w:pPr>
              <w:keepNext/>
              <w:spacing w:before="40" w:after="40" w:line="220" w:lineRule="exact"/>
              <w:jc w:val="right"/>
              <w:rPr>
                <w:sz w:val="18"/>
                <w:szCs w:val="18"/>
              </w:rPr>
            </w:pPr>
            <w:r w:rsidRPr="00F72E58">
              <w:rPr>
                <w:sz w:val="18"/>
                <w:szCs w:val="18"/>
              </w:rPr>
              <w:t>20,7</w:t>
            </w:r>
          </w:p>
        </w:tc>
        <w:tc>
          <w:tcPr>
            <w:tcW w:w="828" w:type="dxa"/>
            <w:shd w:val="clear" w:color="auto" w:fill="auto"/>
            <w:vAlign w:val="bottom"/>
          </w:tcPr>
          <w:p w14:paraId="0CA2B1D1" w14:textId="77777777" w:rsidR="00F72E58" w:rsidRPr="00F72E58" w:rsidRDefault="00F72E58" w:rsidP="009C48FD">
            <w:pPr>
              <w:keepNext/>
              <w:spacing w:before="40" w:after="40" w:line="220" w:lineRule="exact"/>
              <w:jc w:val="right"/>
              <w:rPr>
                <w:sz w:val="18"/>
                <w:szCs w:val="18"/>
              </w:rPr>
            </w:pPr>
            <w:r w:rsidRPr="00F72E58">
              <w:rPr>
                <w:sz w:val="18"/>
                <w:szCs w:val="18"/>
              </w:rPr>
              <w:t>24,4</w:t>
            </w:r>
          </w:p>
        </w:tc>
      </w:tr>
      <w:tr w:rsidR="00F72E58" w:rsidRPr="00984603" w14:paraId="001192FB" w14:textId="77777777" w:rsidTr="004961FD">
        <w:tc>
          <w:tcPr>
            <w:tcW w:w="2693" w:type="dxa"/>
            <w:shd w:val="clear" w:color="auto" w:fill="auto"/>
          </w:tcPr>
          <w:p w14:paraId="1D78261B"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255A977A" w14:textId="77777777" w:rsidR="00F72E58" w:rsidRPr="00F72E58" w:rsidRDefault="00F72E58" w:rsidP="009E3526">
            <w:pPr>
              <w:spacing w:before="40" w:after="40" w:line="220" w:lineRule="exact"/>
              <w:jc w:val="right"/>
              <w:rPr>
                <w:sz w:val="18"/>
                <w:szCs w:val="18"/>
              </w:rPr>
            </w:pPr>
            <w:r w:rsidRPr="00F72E58">
              <w:rPr>
                <w:sz w:val="18"/>
                <w:szCs w:val="18"/>
              </w:rPr>
              <w:t>95,2</w:t>
            </w:r>
          </w:p>
        </w:tc>
        <w:tc>
          <w:tcPr>
            <w:tcW w:w="828" w:type="dxa"/>
            <w:shd w:val="clear" w:color="auto" w:fill="auto"/>
            <w:vAlign w:val="bottom"/>
          </w:tcPr>
          <w:p w14:paraId="1F71E99B" w14:textId="77777777" w:rsidR="00F72E58" w:rsidRPr="00F72E58" w:rsidRDefault="00F72E58" w:rsidP="009E3526">
            <w:pPr>
              <w:spacing w:before="40" w:after="40" w:line="220" w:lineRule="exact"/>
              <w:jc w:val="right"/>
              <w:rPr>
                <w:sz w:val="18"/>
                <w:szCs w:val="18"/>
              </w:rPr>
            </w:pPr>
            <w:r w:rsidRPr="00F72E58">
              <w:rPr>
                <w:sz w:val="18"/>
                <w:szCs w:val="18"/>
              </w:rPr>
              <w:t>91,9</w:t>
            </w:r>
          </w:p>
        </w:tc>
        <w:tc>
          <w:tcPr>
            <w:tcW w:w="828" w:type="dxa"/>
            <w:shd w:val="clear" w:color="auto" w:fill="auto"/>
            <w:vAlign w:val="bottom"/>
          </w:tcPr>
          <w:p w14:paraId="701BA151" w14:textId="77777777" w:rsidR="00F72E58" w:rsidRPr="00F72E58" w:rsidRDefault="00F72E58" w:rsidP="009E3526">
            <w:pPr>
              <w:spacing w:before="40" w:after="40" w:line="220" w:lineRule="exact"/>
              <w:jc w:val="right"/>
              <w:rPr>
                <w:sz w:val="18"/>
                <w:szCs w:val="18"/>
              </w:rPr>
            </w:pPr>
            <w:r w:rsidRPr="00F72E58">
              <w:rPr>
                <w:sz w:val="18"/>
                <w:szCs w:val="18"/>
              </w:rPr>
              <w:t>96,9</w:t>
            </w:r>
          </w:p>
        </w:tc>
        <w:tc>
          <w:tcPr>
            <w:tcW w:w="828" w:type="dxa"/>
            <w:shd w:val="clear" w:color="auto" w:fill="auto"/>
            <w:vAlign w:val="bottom"/>
          </w:tcPr>
          <w:p w14:paraId="6F08A199" w14:textId="77777777" w:rsidR="00F72E58" w:rsidRPr="00F72E58" w:rsidRDefault="00F72E58" w:rsidP="009E3526">
            <w:pPr>
              <w:spacing w:before="40" w:after="40" w:line="220" w:lineRule="exact"/>
              <w:jc w:val="right"/>
              <w:rPr>
                <w:sz w:val="18"/>
                <w:szCs w:val="18"/>
              </w:rPr>
            </w:pPr>
            <w:r w:rsidRPr="00F72E58">
              <w:rPr>
                <w:sz w:val="18"/>
                <w:szCs w:val="18"/>
              </w:rPr>
              <w:t>102,4</w:t>
            </w:r>
          </w:p>
        </w:tc>
        <w:tc>
          <w:tcPr>
            <w:tcW w:w="828" w:type="dxa"/>
            <w:shd w:val="clear" w:color="auto" w:fill="auto"/>
            <w:vAlign w:val="bottom"/>
          </w:tcPr>
          <w:p w14:paraId="392C707B" w14:textId="77777777" w:rsidR="00F72E58" w:rsidRPr="00F72E58" w:rsidRDefault="00F72E58" w:rsidP="009E3526">
            <w:pPr>
              <w:spacing w:before="40" w:after="40" w:line="220" w:lineRule="exact"/>
              <w:jc w:val="right"/>
              <w:rPr>
                <w:sz w:val="18"/>
                <w:szCs w:val="18"/>
              </w:rPr>
            </w:pPr>
            <w:r w:rsidRPr="00F72E58">
              <w:rPr>
                <w:sz w:val="18"/>
                <w:szCs w:val="18"/>
              </w:rPr>
              <w:t>102,8</w:t>
            </w:r>
          </w:p>
        </w:tc>
        <w:tc>
          <w:tcPr>
            <w:tcW w:w="828" w:type="dxa"/>
            <w:shd w:val="clear" w:color="auto" w:fill="auto"/>
            <w:vAlign w:val="bottom"/>
          </w:tcPr>
          <w:p w14:paraId="78E3E8EF" w14:textId="77777777" w:rsidR="00F72E58" w:rsidRPr="00F72E58" w:rsidRDefault="00F72E58" w:rsidP="009E3526">
            <w:pPr>
              <w:spacing w:before="40" w:after="40" w:line="220" w:lineRule="exact"/>
              <w:jc w:val="right"/>
              <w:rPr>
                <w:sz w:val="18"/>
                <w:szCs w:val="18"/>
              </w:rPr>
            </w:pPr>
            <w:r w:rsidRPr="00F72E58">
              <w:rPr>
                <w:sz w:val="18"/>
                <w:szCs w:val="18"/>
              </w:rPr>
              <w:t>102,4</w:t>
            </w:r>
          </w:p>
        </w:tc>
        <w:tc>
          <w:tcPr>
            <w:tcW w:w="828" w:type="dxa"/>
            <w:shd w:val="clear" w:color="auto" w:fill="auto"/>
            <w:vAlign w:val="bottom"/>
          </w:tcPr>
          <w:p w14:paraId="5A6C1940" w14:textId="77777777" w:rsidR="00F72E58" w:rsidRPr="00F72E58" w:rsidRDefault="00F72E58" w:rsidP="009E3526">
            <w:pPr>
              <w:spacing w:before="40" w:after="40" w:line="220" w:lineRule="exact"/>
              <w:jc w:val="right"/>
              <w:rPr>
                <w:sz w:val="18"/>
                <w:szCs w:val="18"/>
              </w:rPr>
            </w:pPr>
            <w:r w:rsidRPr="00F72E58">
              <w:rPr>
                <w:sz w:val="18"/>
                <w:szCs w:val="18"/>
              </w:rPr>
              <w:t>107,3</w:t>
            </w:r>
          </w:p>
        </w:tc>
      </w:tr>
      <w:tr w:rsidR="00F72E58" w:rsidRPr="00984603" w14:paraId="29FB3388" w14:textId="77777777" w:rsidTr="004961FD">
        <w:tc>
          <w:tcPr>
            <w:tcW w:w="2693" w:type="dxa"/>
            <w:shd w:val="clear" w:color="auto" w:fill="auto"/>
          </w:tcPr>
          <w:p w14:paraId="3D405BC9"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690DF520" w14:textId="77777777" w:rsidR="00F72E58" w:rsidRPr="00F72E58" w:rsidRDefault="00F72E58" w:rsidP="009E3526">
            <w:pPr>
              <w:spacing w:before="40" w:after="40" w:line="220" w:lineRule="exact"/>
              <w:jc w:val="right"/>
              <w:rPr>
                <w:b/>
                <w:bCs/>
                <w:sz w:val="18"/>
                <w:szCs w:val="18"/>
              </w:rPr>
            </w:pPr>
            <w:r w:rsidRPr="00F72E58">
              <w:rPr>
                <w:b/>
                <w:bCs/>
                <w:sz w:val="18"/>
                <w:szCs w:val="18"/>
              </w:rPr>
              <w:t>106,3</w:t>
            </w:r>
          </w:p>
        </w:tc>
        <w:tc>
          <w:tcPr>
            <w:tcW w:w="828" w:type="dxa"/>
            <w:shd w:val="clear" w:color="auto" w:fill="auto"/>
            <w:vAlign w:val="bottom"/>
          </w:tcPr>
          <w:p w14:paraId="5781C290" w14:textId="77777777" w:rsidR="00F72E58" w:rsidRPr="00F72E58" w:rsidRDefault="00F72E58" w:rsidP="009E3526">
            <w:pPr>
              <w:spacing w:before="40" w:after="40" w:line="220" w:lineRule="exact"/>
              <w:jc w:val="right"/>
              <w:rPr>
                <w:b/>
                <w:bCs/>
                <w:sz w:val="18"/>
                <w:szCs w:val="18"/>
              </w:rPr>
            </w:pPr>
            <w:r w:rsidRPr="00F72E58">
              <w:rPr>
                <w:b/>
                <w:bCs/>
                <w:sz w:val="18"/>
                <w:szCs w:val="18"/>
              </w:rPr>
              <w:t>105,2</w:t>
            </w:r>
          </w:p>
        </w:tc>
        <w:tc>
          <w:tcPr>
            <w:tcW w:w="828" w:type="dxa"/>
            <w:shd w:val="clear" w:color="auto" w:fill="auto"/>
            <w:vAlign w:val="bottom"/>
          </w:tcPr>
          <w:p w14:paraId="2811E468" w14:textId="77777777" w:rsidR="00F72E58" w:rsidRPr="00F72E58" w:rsidRDefault="00F72E58" w:rsidP="009E3526">
            <w:pPr>
              <w:spacing w:before="40" w:after="40" w:line="220" w:lineRule="exact"/>
              <w:jc w:val="right"/>
              <w:rPr>
                <w:b/>
                <w:bCs/>
                <w:sz w:val="18"/>
                <w:szCs w:val="18"/>
              </w:rPr>
            </w:pPr>
            <w:r w:rsidRPr="00F72E58">
              <w:rPr>
                <w:b/>
                <w:bCs/>
                <w:sz w:val="18"/>
                <w:szCs w:val="18"/>
              </w:rPr>
              <w:t>111,4</w:t>
            </w:r>
          </w:p>
        </w:tc>
        <w:tc>
          <w:tcPr>
            <w:tcW w:w="828" w:type="dxa"/>
            <w:shd w:val="clear" w:color="auto" w:fill="auto"/>
            <w:vAlign w:val="bottom"/>
          </w:tcPr>
          <w:p w14:paraId="5174384E" w14:textId="77777777" w:rsidR="00F72E58" w:rsidRPr="00F72E58" w:rsidRDefault="00F72E58" w:rsidP="009E3526">
            <w:pPr>
              <w:spacing w:before="40" w:after="40" w:line="220" w:lineRule="exact"/>
              <w:jc w:val="right"/>
              <w:rPr>
                <w:b/>
                <w:bCs/>
                <w:sz w:val="18"/>
                <w:szCs w:val="18"/>
              </w:rPr>
            </w:pPr>
            <w:r w:rsidRPr="00F72E58">
              <w:rPr>
                <w:b/>
                <w:bCs/>
                <w:sz w:val="18"/>
                <w:szCs w:val="18"/>
              </w:rPr>
              <w:t>123,0</w:t>
            </w:r>
          </w:p>
        </w:tc>
        <w:tc>
          <w:tcPr>
            <w:tcW w:w="828" w:type="dxa"/>
            <w:shd w:val="clear" w:color="auto" w:fill="auto"/>
            <w:vAlign w:val="bottom"/>
          </w:tcPr>
          <w:p w14:paraId="72A0EFF6" w14:textId="77777777" w:rsidR="00F72E58" w:rsidRPr="00F72E58" w:rsidRDefault="00F72E58" w:rsidP="009E3526">
            <w:pPr>
              <w:spacing w:before="40" w:after="40" w:line="220" w:lineRule="exact"/>
              <w:jc w:val="right"/>
              <w:rPr>
                <w:b/>
                <w:bCs/>
                <w:sz w:val="18"/>
                <w:szCs w:val="18"/>
              </w:rPr>
            </w:pPr>
            <w:r w:rsidRPr="00F72E58">
              <w:rPr>
                <w:b/>
                <w:bCs/>
                <w:sz w:val="18"/>
                <w:szCs w:val="18"/>
              </w:rPr>
              <w:t>122,6</w:t>
            </w:r>
          </w:p>
        </w:tc>
        <w:tc>
          <w:tcPr>
            <w:tcW w:w="828" w:type="dxa"/>
            <w:shd w:val="clear" w:color="auto" w:fill="auto"/>
            <w:vAlign w:val="bottom"/>
          </w:tcPr>
          <w:p w14:paraId="2322923A" w14:textId="77777777" w:rsidR="00F72E58" w:rsidRPr="00F72E58" w:rsidRDefault="00F72E58" w:rsidP="009E3526">
            <w:pPr>
              <w:spacing w:before="40" w:after="40" w:line="220" w:lineRule="exact"/>
              <w:jc w:val="right"/>
              <w:rPr>
                <w:b/>
                <w:bCs/>
                <w:sz w:val="18"/>
                <w:szCs w:val="18"/>
              </w:rPr>
            </w:pPr>
            <w:r w:rsidRPr="00F72E58">
              <w:rPr>
                <w:b/>
                <w:bCs/>
                <w:sz w:val="18"/>
                <w:szCs w:val="18"/>
              </w:rPr>
              <w:t>123,0</w:t>
            </w:r>
          </w:p>
        </w:tc>
        <w:tc>
          <w:tcPr>
            <w:tcW w:w="828" w:type="dxa"/>
            <w:shd w:val="clear" w:color="auto" w:fill="auto"/>
            <w:vAlign w:val="bottom"/>
          </w:tcPr>
          <w:p w14:paraId="0050773E" w14:textId="77777777" w:rsidR="00F72E58" w:rsidRPr="00F72E58" w:rsidRDefault="00F72E58" w:rsidP="009E3526">
            <w:pPr>
              <w:spacing w:before="40" w:after="40" w:line="220" w:lineRule="exact"/>
              <w:jc w:val="right"/>
              <w:rPr>
                <w:b/>
                <w:bCs/>
                <w:sz w:val="18"/>
                <w:szCs w:val="18"/>
              </w:rPr>
            </w:pPr>
            <w:r w:rsidRPr="00F72E58">
              <w:rPr>
                <w:b/>
                <w:bCs/>
                <w:sz w:val="18"/>
                <w:szCs w:val="18"/>
              </w:rPr>
              <w:t>131,7</w:t>
            </w:r>
          </w:p>
        </w:tc>
      </w:tr>
      <w:tr w:rsidR="003279D5" w:rsidRPr="00984603" w14:paraId="2D438B26" w14:textId="77777777" w:rsidTr="004961FD">
        <w:tc>
          <w:tcPr>
            <w:tcW w:w="2693" w:type="dxa"/>
            <w:shd w:val="clear" w:color="auto" w:fill="auto"/>
          </w:tcPr>
          <w:p w14:paraId="24F4B01E" w14:textId="77777777" w:rsidR="003279D5" w:rsidRPr="00F72E58" w:rsidRDefault="00F72E58" w:rsidP="009E3526">
            <w:pPr>
              <w:spacing w:before="40" w:after="40" w:line="220" w:lineRule="exact"/>
              <w:rPr>
                <w:i/>
                <w:sz w:val="18"/>
                <w:szCs w:val="18"/>
              </w:rPr>
            </w:pPr>
            <w:r w:rsidRPr="00F72E58">
              <w:rPr>
                <w:i/>
                <w:sz w:val="18"/>
                <w:szCs w:val="18"/>
                <w:lang w:val="fr-FR" w:eastAsia="en-IE"/>
              </w:rPr>
              <w:t>Sans emploi</w:t>
            </w:r>
          </w:p>
        </w:tc>
        <w:tc>
          <w:tcPr>
            <w:tcW w:w="828" w:type="dxa"/>
            <w:shd w:val="clear" w:color="auto" w:fill="auto"/>
            <w:vAlign w:val="bottom"/>
          </w:tcPr>
          <w:p w14:paraId="5A152A3E"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90260F7"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B4ED8C4"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4ADECCEA"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06814A2"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3EC6CB6"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70133E22" w14:textId="77777777" w:rsidR="003279D5" w:rsidRPr="00F72E58" w:rsidRDefault="003279D5" w:rsidP="009E3526">
            <w:pPr>
              <w:spacing w:before="40" w:after="40" w:line="220" w:lineRule="exact"/>
              <w:jc w:val="right"/>
              <w:rPr>
                <w:sz w:val="18"/>
                <w:szCs w:val="18"/>
              </w:rPr>
            </w:pPr>
          </w:p>
        </w:tc>
      </w:tr>
      <w:tr w:rsidR="00F72E58" w:rsidRPr="00984603" w14:paraId="0486BD3D" w14:textId="77777777" w:rsidTr="004961FD">
        <w:tc>
          <w:tcPr>
            <w:tcW w:w="2693" w:type="dxa"/>
            <w:shd w:val="clear" w:color="auto" w:fill="auto"/>
          </w:tcPr>
          <w:p w14:paraId="133E00C2"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4CAFBEAF" w14:textId="77777777" w:rsidR="00F72E58" w:rsidRPr="00F72E58" w:rsidRDefault="00F72E58" w:rsidP="009E3526">
            <w:pPr>
              <w:spacing w:before="40" w:after="40" w:line="220" w:lineRule="exact"/>
              <w:jc w:val="right"/>
              <w:rPr>
                <w:sz w:val="18"/>
                <w:szCs w:val="18"/>
              </w:rPr>
            </w:pPr>
            <w:r w:rsidRPr="00F72E58">
              <w:rPr>
                <w:sz w:val="18"/>
                <w:szCs w:val="18"/>
              </w:rPr>
              <w:t>*</w:t>
            </w:r>
          </w:p>
        </w:tc>
        <w:tc>
          <w:tcPr>
            <w:tcW w:w="828" w:type="dxa"/>
            <w:shd w:val="clear" w:color="auto" w:fill="auto"/>
            <w:vAlign w:val="bottom"/>
          </w:tcPr>
          <w:p w14:paraId="0D331FDC" w14:textId="77777777" w:rsidR="00F72E58" w:rsidRPr="00F72E58" w:rsidRDefault="00F72E58" w:rsidP="009E3526">
            <w:pPr>
              <w:spacing w:before="40" w:after="40" w:line="220" w:lineRule="exact"/>
              <w:jc w:val="right"/>
              <w:rPr>
                <w:sz w:val="18"/>
                <w:szCs w:val="18"/>
              </w:rPr>
            </w:pPr>
            <w:r w:rsidRPr="00F72E58">
              <w:rPr>
                <w:sz w:val="18"/>
                <w:szCs w:val="18"/>
              </w:rPr>
              <w:t>*</w:t>
            </w:r>
          </w:p>
        </w:tc>
        <w:tc>
          <w:tcPr>
            <w:tcW w:w="828" w:type="dxa"/>
            <w:shd w:val="clear" w:color="auto" w:fill="auto"/>
            <w:vAlign w:val="bottom"/>
          </w:tcPr>
          <w:p w14:paraId="7D59FE0E" w14:textId="77777777" w:rsidR="00F72E58" w:rsidRPr="00F72E58" w:rsidRDefault="00F72E58" w:rsidP="009E3526">
            <w:pPr>
              <w:spacing w:before="40" w:after="40" w:line="220" w:lineRule="exact"/>
              <w:jc w:val="right"/>
              <w:rPr>
                <w:sz w:val="18"/>
                <w:szCs w:val="18"/>
              </w:rPr>
            </w:pPr>
            <w:r w:rsidRPr="00F72E58">
              <w:rPr>
                <w:sz w:val="18"/>
                <w:szCs w:val="18"/>
              </w:rPr>
              <w:t>*</w:t>
            </w:r>
          </w:p>
        </w:tc>
        <w:tc>
          <w:tcPr>
            <w:tcW w:w="828" w:type="dxa"/>
            <w:shd w:val="clear" w:color="auto" w:fill="auto"/>
            <w:vAlign w:val="bottom"/>
          </w:tcPr>
          <w:p w14:paraId="007455B4" w14:textId="77777777" w:rsidR="00F72E58" w:rsidRPr="00F72E58" w:rsidRDefault="00F72E58" w:rsidP="009E3526">
            <w:pPr>
              <w:spacing w:before="40" w:after="40" w:line="220" w:lineRule="exact"/>
              <w:jc w:val="right"/>
              <w:rPr>
                <w:sz w:val="18"/>
                <w:szCs w:val="18"/>
              </w:rPr>
            </w:pPr>
            <w:r w:rsidRPr="00F72E58">
              <w:rPr>
                <w:sz w:val="18"/>
                <w:szCs w:val="18"/>
              </w:rPr>
              <w:t>*</w:t>
            </w:r>
          </w:p>
        </w:tc>
        <w:tc>
          <w:tcPr>
            <w:tcW w:w="828" w:type="dxa"/>
            <w:shd w:val="clear" w:color="auto" w:fill="auto"/>
            <w:vAlign w:val="bottom"/>
          </w:tcPr>
          <w:p w14:paraId="0A087C30" w14:textId="77777777" w:rsidR="00F72E58" w:rsidRPr="00F72E58" w:rsidRDefault="00F72E58" w:rsidP="009E3526">
            <w:pPr>
              <w:spacing w:before="40" w:after="40" w:line="220" w:lineRule="exact"/>
              <w:jc w:val="right"/>
              <w:rPr>
                <w:sz w:val="18"/>
                <w:szCs w:val="18"/>
              </w:rPr>
            </w:pPr>
            <w:r w:rsidRPr="00F72E58">
              <w:rPr>
                <w:sz w:val="18"/>
                <w:szCs w:val="18"/>
              </w:rPr>
              <w:t>*</w:t>
            </w:r>
          </w:p>
        </w:tc>
        <w:tc>
          <w:tcPr>
            <w:tcW w:w="828" w:type="dxa"/>
            <w:shd w:val="clear" w:color="auto" w:fill="auto"/>
            <w:vAlign w:val="bottom"/>
          </w:tcPr>
          <w:p w14:paraId="0290EDD9" w14:textId="77777777" w:rsidR="00F72E58" w:rsidRPr="00F72E58" w:rsidRDefault="00F72E58" w:rsidP="009E3526">
            <w:pPr>
              <w:spacing w:before="40" w:after="40" w:line="220" w:lineRule="exact"/>
              <w:jc w:val="right"/>
              <w:rPr>
                <w:sz w:val="18"/>
                <w:szCs w:val="18"/>
              </w:rPr>
            </w:pPr>
            <w:r w:rsidRPr="00F72E58">
              <w:rPr>
                <w:sz w:val="18"/>
                <w:szCs w:val="18"/>
              </w:rPr>
              <w:t>*</w:t>
            </w:r>
          </w:p>
        </w:tc>
        <w:tc>
          <w:tcPr>
            <w:tcW w:w="828" w:type="dxa"/>
            <w:shd w:val="clear" w:color="auto" w:fill="auto"/>
            <w:vAlign w:val="bottom"/>
          </w:tcPr>
          <w:p w14:paraId="0D01437D" w14:textId="77777777" w:rsidR="00F72E58" w:rsidRPr="00F72E58" w:rsidRDefault="00F72E58" w:rsidP="009E3526">
            <w:pPr>
              <w:spacing w:before="40" w:after="40" w:line="220" w:lineRule="exact"/>
              <w:jc w:val="right"/>
              <w:rPr>
                <w:sz w:val="18"/>
                <w:szCs w:val="18"/>
              </w:rPr>
            </w:pPr>
            <w:r w:rsidRPr="00F72E58">
              <w:rPr>
                <w:sz w:val="18"/>
                <w:szCs w:val="18"/>
              </w:rPr>
              <w:t>*</w:t>
            </w:r>
          </w:p>
        </w:tc>
      </w:tr>
      <w:tr w:rsidR="00F72E58" w:rsidRPr="00984603" w14:paraId="17F63643" w14:textId="77777777" w:rsidTr="004961FD">
        <w:tc>
          <w:tcPr>
            <w:tcW w:w="2693" w:type="dxa"/>
            <w:shd w:val="clear" w:color="auto" w:fill="auto"/>
          </w:tcPr>
          <w:p w14:paraId="40167D11"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39C8D90C" w14:textId="77777777" w:rsidR="00F72E58" w:rsidRPr="00F72E58" w:rsidRDefault="00F72E58" w:rsidP="009E3526">
            <w:pPr>
              <w:spacing w:before="40" w:after="40" w:line="220" w:lineRule="exact"/>
              <w:jc w:val="right"/>
              <w:rPr>
                <w:sz w:val="18"/>
                <w:szCs w:val="18"/>
              </w:rPr>
            </w:pPr>
            <w:r w:rsidRPr="00F72E58">
              <w:rPr>
                <w:sz w:val="18"/>
                <w:szCs w:val="18"/>
              </w:rPr>
              <w:t>13,3</w:t>
            </w:r>
          </w:p>
        </w:tc>
        <w:tc>
          <w:tcPr>
            <w:tcW w:w="828" w:type="dxa"/>
            <w:shd w:val="clear" w:color="auto" w:fill="auto"/>
            <w:vAlign w:val="bottom"/>
          </w:tcPr>
          <w:p w14:paraId="693B70C8" w14:textId="77777777" w:rsidR="00F72E58" w:rsidRPr="00F72E58" w:rsidRDefault="00F72E58" w:rsidP="009E3526">
            <w:pPr>
              <w:spacing w:before="40" w:after="40" w:line="220" w:lineRule="exact"/>
              <w:jc w:val="right"/>
              <w:rPr>
                <w:sz w:val="18"/>
                <w:szCs w:val="18"/>
              </w:rPr>
            </w:pPr>
            <w:r w:rsidRPr="00F72E58">
              <w:rPr>
                <w:sz w:val="18"/>
                <w:szCs w:val="18"/>
              </w:rPr>
              <w:t>14,2</w:t>
            </w:r>
          </w:p>
        </w:tc>
        <w:tc>
          <w:tcPr>
            <w:tcW w:w="828" w:type="dxa"/>
            <w:shd w:val="clear" w:color="auto" w:fill="auto"/>
            <w:vAlign w:val="bottom"/>
          </w:tcPr>
          <w:p w14:paraId="2862972D" w14:textId="77777777" w:rsidR="00F72E58" w:rsidRPr="00F72E58" w:rsidRDefault="00F72E58" w:rsidP="009E3526">
            <w:pPr>
              <w:spacing w:before="40" w:after="40" w:line="220" w:lineRule="exact"/>
              <w:jc w:val="right"/>
              <w:rPr>
                <w:sz w:val="18"/>
                <w:szCs w:val="18"/>
              </w:rPr>
            </w:pPr>
            <w:r w:rsidRPr="00F72E58">
              <w:rPr>
                <w:sz w:val="18"/>
                <w:szCs w:val="18"/>
              </w:rPr>
              <w:t>13,2</w:t>
            </w:r>
          </w:p>
        </w:tc>
        <w:tc>
          <w:tcPr>
            <w:tcW w:w="828" w:type="dxa"/>
            <w:shd w:val="clear" w:color="auto" w:fill="auto"/>
            <w:vAlign w:val="bottom"/>
          </w:tcPr>
          <w:p w14:paraId="694E701D" w14:textId="77777777" w:rsidR="00F72E58" w:rsidRPr="00F72E58" w:rsidRDefault="00F72E58" w:rsidP="009E3526">
            <w:pPr>
              <w:spacing w:before="40" w:after="40" w:line="220" w:lineRule="exact"/>
              <w:jc w:val="right"/>
              <w:rPr>
                <w:sz w:val="18"/>
                <w:szCs w:val="18"/>
              </w:rPr>
            </w:pPr>
            <w:r w:rsidRPr="00F72E58">
              <w:rPr>
                <w:sz w:val="18"/>
                <w:szCs w:val="18"/>
              </w:rPr>
              <w:t>11,7</w:t>
            </w:r>
          </w:p>
        </w:tc>
        <w:tc>
          <w:tcPr>
            <w:tcW w:w="828" w:type="dxa"/>
            <w:shd w:val="clear" w:color="auto" w:fill="auto"/>
            <w:vAlign w:val="bottom"/>
          </w:tcPr>
          <w:p w14:paraId="012FEF6A" w14:textId="77777777" w:rsidR="00F72E58" w:rsidRPr="00F72E58" w:rsidRDefault="00F72E58" w:rsidP="009E3526">
            <w:pPr>
              <w:spacing w:before="40" w:after="40" w:line="220" w:lineRule="exact"/>
              <w:jc w:val="right"/>
              <w:rPr>
                <w:sz w:val="18"/>
                <w:szCs w:val="18"/>
              </w:rPr>
            </w:pPr>
            <w:r w:rsidRPr="00F72E58">
              <w:rPr>
                <w:sz w:val="18"/>
                <w:szCs w:val="18"/>
              </w:rPr>
              <w:t>12,1</w:t>
            </w:r>
          </w:p>
        </w:tc>
        <w:tc>
          <w:tcPr>
            <w:tcW w:w="828" w:type="dxa"/>
            <w:shd w:val="clear" w:color="auto" w:fill="auto"/>
            <w:vAlign w:val="bottom"/>
          </w:tcPr>
          <w:p w14:paraId="2700780C" w14:textId="77777777" w:rsidR="00F72E58" w:rsidRPr="00F72E58" w:rsidRDefault="00F72E58" w:rsidP="009E3526">
            <w:pPr>
              <w:spacing w:before="40" w:after="40" w:line="220" w:lineRule="exact"/>
              <w:jc w:val="right"/>
              <w:rPr>
                <w:sz w:val="18"/>
                <w:szCs w:val="18"/>
              </w:rPr>
            </w:pPr>
            <w:r w:rsidRPr="00F72E58">
              <w:rPr>
                <w:sz w:val="18"/>
                <w:szCs w:val="18"/>
              </w:rPr>
              <w:t>9,1</w:t>
            </w:r>
          </w:p>
        </w:tc>
        <w:tc>
          <w:tcPr>
            <w:tcW w:w="828" w:type="dxa"/>
            <w:shd w:val="clear" w:color="auto" w:fill="auto"/>
            <w:vAlign w:val="bottom"/>
          </w:tcPr>
          <w:p w14:paraId="580A2339" w14:textId="77777777" w:rsidR="00F72E58" w:rsidRPr="00F72E58" w:rsidRDefault="00F72E58" w:rsidP="009E3526">
            <w:pPr>
              <w:spacing w:before="40" w:after="40" w:line="220" w:lineRule="exact"/>
              <w:jc w:val="right"/>
              <w:rPr>
                <w:sz w:val="18"/>
                <w:szCs w:val="18"/>
              </w:rPr>
            </w:pPr>
            <w:r w:rsidRPr="00F72E58">
              <w:rPr>
                <w:sz w:val="18"/>
                <w:szCs w:val="18"/>
              </w:rPr>
              <w:t>10,6</w:t>
            </w:r>
          </w:p>
        </w:tc>
      </w:tr>
      <w:tr w:rsidR="00F72E58" w:rsidRPr="00984603" w14:paraId="2FB18C24" w14:textId="77777777" w:rsidTr="004961FD">
        <w:tc>
          <w:tcPr>
            <w:tcW w:w="2693" w:type="dxa"/>
            <w:shd w:val="clear" w:color="auto" w:fill="auto"/>
          </w:tcPr>
          <w:p w14:paraId="5B8C5D63"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32E78FE2" w14:textId="77777777" w:rsidR="00F72E58" w:rsidRPr="00F72E58" w:rsidRDefault="00F72E58" w:rsidP="009E3526">
            <w:pPr>
              <w:spacing w:before="40" w:after="40" w:line="220" w:lineRule="exact"/>
              <w:jc w:val="right"/>
              <w:rPr>
                <w:b/>
                <w:bCs/>
                <w:sz w:val="18"/>
                <w:szCs w:val="18"/>
              </w:rPr>
            </w:pPr>
            <w:r w:rsidRPr="00F72E58">
              <w:rPr>
                <w:b/>
                <w:bCs/>
                <w:sz w:val="18"/>
                <w:szCs w:val="18"/>
              </w:rPr>
              <w:t>14,8</w:t>
            </w:r>
          </w:p>
        </w:tc>
        <w:tc>
          <w:tcPr>
            <w:tcW w:w="828" w:type="dxa"/>
            <w:shd w:val="clear" w:color="auto" w:fill="auto"/>
            <w:vAlign w:val="bottom"/>
          </w:tcPr>
          <w:p w14:paraId="7887A0AC" w14:textId="77777777" w:rsidR="00F72E58" w:rsidRPr="00F72E58" w:rsidRDefault="00F72E58" w:rsidP="009E3526">
            <w:pPr>
              <w:spacing w:before="40" w:after="40" w:line="220" w:lineRule="exact"/>
              <w:jc w:val="right"/>
              <w:rPr>
                <w:b/>
                <w:bCs/>
                <w:sz w:val="18"/>
                <w:szCs w:val="18"/>
              </w:rPr>
            </w:pPr>
            <w:r w:rsidRPr="00F72E58">
              <w:rPr>
                <w:b/>
                <w:bCs/>
                <w:sz w:val="18"/>
                <w:szCs w:val="18"/>
              </w:rPr>
              <w:t>15,4</w:t>
            </w:r>
          </w:p>
        </w:tc>
        <w:tc>
          <w:tcPr>
            <w:tcW w:w="828" w:type="dxa"/>
            <w:shd w:val="clear" w:color="auto" w:fill="auto"/>
            <w:vAlign w:val="bottom"/>
          </w:tcPr>
          <w:p w14:paraId="062BE2F2" w14:textId="77777777" w:rsidR="00F72E58" w:rsidRPr="00F72E58" w:rsidRDefault="00F72E58" w:rsidP="009E3526">
            <w:pPr>
              <w:spacing w:before="40" w:after="40" w:line="220" w:lineRule="exact"/>
              <w:jc w:val="right"/>
              <w:rPr>
                <w:b/>
                <w:bCs/>
                <w:sz w:val="18"/>
                <w:szCs w:val="18"/>
              </w:rPr>
            </w:pPr>
            <w:r w:rsidRPr="00F72E58">
              <w:rPr>
                <w:b/>
                <w:bCs/>
                <w:sz w:val="18"/>
                <w:szCs w:val="18"/>
              </w:rPr>
              <w:t>14,5</w:t>
            </w:r>
          </w:p>
        </w:tc>
        <w:tc>
          <w:tcPr>
            <w:tcW w:w="828" w:type="dxa"/>
            <w:shd w:val="clear" w:color="auto" w:fill="auto"/>
            <w:vAlign w:val="bottom"/>
          </w:tcPr>
          <w:p w14:paraId="5CAE0626" w14:textId="77777777" w:rsidR="00F72E58" w:rsidRPr="00F72E58" w:rsidRDefault="00F72E58" w:rsidP="009E3526">
            <w:pPr>
              <w:spacing w:before="40" w:after="40" w:line="220" w:lineRule="exact"/>
              <w:jc w:val="right"/>
              <w:rPr>
                <w:b/>
                <w:bCs/>
                <w:sz w:val="18"/>
                <w:szCs w:val="18"/>
              </w:rPr>
            </w:pPr>
            <w:r w:rsidRPr="00F72E58">
              <w:rPr>
                <w:b/>
                <w:bCs/>
                <w:sz w:val="18"/>
                <w:szCs w:val="18"/>
              </w:rPr>
              <w:t>14,0</w:t>
            </w:r>
          </w:p>
        </w:tc>
        <w:tc>
          <w:tcPr>
            <w:tcW w:w="828" w:type="dxa"/>
            <w:shd w:val="clear" w:color="auto" w:fill="auto"/>
            <w:vAlign w:val="bottom"/>
          </w:tcPr>
          <w:p w14:paraId="1B2ECE67" w14:textId="77777777" w:rsidR="00F72E58" w:rsidRPr="00F72E58" w:rsidRDefault="00F72E58" w:rsidP="009E3526">
            <w:pPr>
              <w:spacing w:before="40" w:after="40" w:line="220" w:lineRule="exact"/>
              <w:jc w:val="right"/>
              <w:rPr>
                <w:b/>
                <w:bCs/>
                <w:sz w:val="18"/>
                <w:szCs w:val="18"/>
              </w:rPr>
            </w:pPr>
            <w:r w:rsidRPr="00F72E58">
              <w:rPr>
                <w:b/>
                <w:bCs/>
                <w:sz w:val="18"/>
                <w:szCs w:val="18"/>
              </w:rPr>
              <w:t>13,4</w:t>
            </w:r>
          </w:p>
        </w:tc>
        <w:tc>
          <w:tcPr>
            <w:tcW w:w="828" w:type="dxa"/>
            <w:shd w:val="clear" w:color="auto" w:fill="auto"/>
            <w:vAlign w:val="bottom"/>
          </w:tcPr>
          <w:p w14:paraId="6DB0FCCA" w14:textId="77777777" w:rsidR="00F72E58" w:rsidRPr="00F72E58" w:rsidRDefault="00F72E58" w:rsidP="009E3526">
            <w:pPr>
              <w:spacing w:before="40" w:after="40" w:line="220" w:lineRule="exact"/>
              <w:jc w:val="right"/>
              <w:rPr>
                <w:b/>
                <w:bCs/>
                <w:sz w:val="18"/>
                <w:szCs w:val="18"/>
              </w:rPr>
            </w:pPr>
            <w:r w:rsidRPr="00F72E58">
              <w:rPr>
                <w:b/>
                <w:bCs/>
                <w:sz w:val="18"/>
                <w:szCs w:val="18"/>
              </w:rPr>
              <w:t>12,0</w:t>
            </w:r>
          </w:p>
        </w:tc>
        <w:tc>
          <w:tcPr>
            <w:tcW w:w="828" w:type="dxa"/>
            <w:shd w:val="clear" w:color="auto" w:fill="auto"/>
            <w:vAlign w:val="bottom"/>
          </w:tcPr>
          <w:p w14:paraId="39DEB424" w14:textId="77777777" w:rsidR="00F72E58" w:rsidRPr="00F72E58" w:rsidRDefault="00F72E58" w:rsidP="009E3526">
            <w:pPr>
              <w:spacing w:before="40" w:after="40" w:line="220" w:lineRule="exact"/>
              <w:jc w:val="right"/>
              <w:rPr>
                <w:b/>
                <w:bCs/>
                <w:sz w:val="18"/>
                <w:szCs w:val="18"/>
              </w:rPr>
            </w:pPr>
            <w:r w:rsidRPr="00F72E58">
              <w:rPr>
                <w:b/>
                <w:bCs/>
                <w:sz w:val="18"/>
                <w:szCs w:val="18"/>
              </w:rPr>
              <w:t>11,7</w:t>
            </w:r>
          </w:p>
        </w:tc>
      </w:tr>
      <w:tr w:rsidR="003279D5" w:rsidRPr="003279D5" w14:paraId="658D7044" w14:textId="77777777" w:rsidTr="004961FD">
        <w:tc>
          <w:tcPr>
            <w:tcW w:w="2693" w:type="dxa"/>
            <w:shd w:val="clear" w:color="auto" w:fill="auto"/>
          </w:tcPr>
          <w:p w14:paraId="495A0A5C" w14:textId="77777777" w:rsidR="003279D5" w:rsidRPr="00F72E58" w:rsidRDefault="00F72E58" w:rsidP="009E3526">
            <w:pPr>
              <w:spacing w:before="40" w:after="40" w:line="220" w:lineRule="exact"/>
              <w:rPr>
                <w:i/>
                <w:sz w:val="18"/>
                <w:szCs w:val="18"/>
              </w:rPr>
            </w:pPr>
            <w:r w:rsidRPr="00F72E58">
              <w:rPr>
                <w:i/>
                <w:iCs/>
                <w:sz w:val="18"/>
                <w:szCs w:val="18"/>
              </w:rPr>
              <w:t>Inactif</w:t>
            </w:r>
          </w:p>
        </w:tc>
        <w:tc>
          <w:tcPr>
            <w:tcW w:w="828" w:type="dxa"/>
            <w:shd w:val="clear" w:color="auto" w:fill="auto"/>
            <w:vAlign w:val="bottom"/>
          </w:tcPr>
          <w:p w14:paraId="1E4C37A0"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6CFEC48C"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04C71D62"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65BEE914"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6800921C"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78F220F3"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7BE6EFE0" w14:textId="77777777" w:rsidR="003279D5" w:rsidRPr="00F72E58" w:rsidRDefault="003279D5" w:rsidP="009E3526">
            <w:pPr>
              <w:spacing w:before="40" w:after="40" w:line="220" w:lineRule="exact"/>
              <w:jc w:val="right"/>
              <w:rPr>
                <w:sz w:val="18"/>
                <w:szCs w:val="18"/>
                <w:lang w:val="ru-RU"/>
              </w:rPr>
            </w:pPr>
          </w:p>
        </w:tc>
      </w:tr>
      <w:tr w:rsidR="00F72E58" w:rsidRPr="00984603" w14:paraId="55B63115" w14:textId="77777777" w:rsidTr="004961FD">
        <w:tc>
          <w:tcPr>
            <w:tcW w:w="2693" w:type="dxa"/>
            <w:shd w:val="clear" w:color="auto" w:fill="auto"/>
          </w:tcPr>
          <w:p w14:paraId="7E18BF56"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16712FE5" w14:textId="77777777" w:rsidR="00F72E58" w:rsidRPr="00F72E58" w:rsidRDefault="00F72E58" w:rsidP="009E3526">
            <w:pPr>
              <w:spacing w:before="40" w:after="40" w:line="220" w:lineRule="exact"/>
              <w:jc w:val="right"/>
              <w:rPr>
                <w:sz w:val="18"/>
                <w:szCs w:val="18"/>
              </w:rPr>
            </w:pPr>
            <w:r w:rsidRPr="00F72E58">
              <w:rPr>
                <w:sz w:val="18"/>
                <w:szCs w:val="18"/>
              </w:rPr>
              <w:t>10,6</w:t>
            </w:r>
          </w:p>
        </w:tc>
        <w:tc>
          <w:tcPr>
            <w:tcW w:w="828" w:type="dxa"/>
            <w:shd w:val="clear" w:color="auto" w:fill="auto"/>
            <w:vAlign w:val="bottom"/>
          </w:tcPr>
          <w:p w14:paraId="0F471C2B" w14:textId="77777777" w:rsidR="00F72E58" w:rsidRPr="00F72E58" w:rsidRDefault="00F72E58" w:rsidP="009E3526">
            <w:pPr>
              <w:spacing w:before="40" w:after="40" w:line="220" w:lineRule="exact"/>
              <w:jc w:val="right"/>
              <w:rPr>
                <w:sz w:val="18"/>
                <w:szCs w:val="18"/>
              </w:rPr>
            </w:pPr>
            <w:r w:rsidRPr="00F72E58">
              <w:rPr>
                <w:sz w:val="18"/>
                <w:szCs w:val="18"/>
              </w:rPr>
              <w:t>10,3</w:t>
            </w:r>
          </w:p>
        </w:tc>
        <w:tc>
          <w:tcPr>
            <w:tcW w:w="828" w:type="dxa"/>
            <w:shd w:val="clear" w:color="auto" w:fill="auto"/>
            <w:vAlign w:val="bottom"/>
          </w:tcPr>
          <w:p w14:paraId="36104509" w14:textId="77777777" w:rsidR="00F72E58" w:rsidRPr="00F72E58" w:rsidRDefault="00F72E58" w:rsidP="009E3526">
            <w:pPr>
              <w:spacing w:before="40" w:after="40" w:line="220" w:lineRule="exact"/>
              <w:jc w:val="right"/>
              <w:rPr>
                <w:sz w:val="18"/>
                <w:szCs w:val="18"/>
              </w:rPr>
            </w:pPr>
            <w:r w:rsidRPr="00F72E58">
              <w:rPr>
                <w:sz w:val="18"/>
                <w:szCs w:val="18"/>
              </w:rPr>
              <w:t>10,6</w:t>
            </w:r>
          </w:p>
        </w:tc>
        <w:tc>
          <w:tcPr>
            <w:tcW w:w="828" w:type="dxa"/>
            <w:shd w:val="clear" w:color="auto" w:fill="auto"/>
            <w:vAlign w:val="bottom"/>
          </w:tcPr>
          <w:p w14:paraId="29353294" w14:textId="77777777" w:rsidR="00F72E58" w:rsidRPr="00F72E58" w:rsidRDefault="00F72E58" w:rsidP="009E3526">
            <w:pPr>
              <w:spacing w:before="40" w:after="40" w:line="220" w:lineRule="exact"/>
              <w:jc w:val="right"/>
              <w:rPr>
                <w:sz w:val="18"/>
                <w:szCs w:val="18"/>
              </w:rPr>
            </w:pPr>
            <w:r w:rsidRPr="00F72E58">
              <w:rPr>
                <w:sz w:val="18"/>
                <w:szCs w:val="18"/>
              </w:rPr>
              <w:t>12,8</w:t>
            </w:r>
          </w:p>
        </w:tc>
        <w:tc>
          <w:tcPr>
            <w:tcW w:w="828" w:type="dxa"/>
            <w:shd w:val="clear" w:color="auto" w:fill="auto"/>
            <w:vAlign w:val="bottom"/>
          </w:tcPr>
          <w:p w14:paraId="78E2161A" w14:textId="77777777" w:rsidR="00F72E58" w:rsidRPr="00F72E58" w:rsidRDefault="00F72E58" w:rsidP="009E3526">
            <w:pPr>
              <w:spacing w:before="40" w:after="40" w:line="220" w:lineRule="exact"/>
              <w:jc w:val="right"/>
              <w:rPr>
                <w:sz w:val="18"/>
                <w:szCs w:val="18"/>
              </w:rPr>
            </w:pPr>
            <w:r w:rsidRPr="00F72E58">
              <w:rPr>
                <w:sz w:val="18"/>
                <w:szCs w:val="18"/>
              </w:rPr>
              <w:t>9,2</w:t>
            </w:r>
          </w:p>
        </w:tc>
        <w:tc>
          <w:tcPr>
            <w:tcW w:w="828" w:type="dxa"/>
            <w:shd w:val="clear" w:color="auto" w:fill="auto"/>
            <w:vAlign w:val="bottom"/>
          </w:tcPr>
          <w:p w14:paraId="1476E872" w14:textId="77777777" w:rsidR="00F72E58" w:rsidRPr="00F72E58" w:rsidRDefault="00F72E58" w:rsidP="009E3526">
            <w:pPr>
              <w:spacing w:before="40" w:after="40" w:line="220" w:lineRule="exact"/>
              <w:jc w:val="right"/>
              <w:rPr>
                <w:sz w:val="18"/>
                <w:szCs w:val="18"/>
              </w:rPr>
            </w:pPr>
            <w:r w:rsidRPr="00F72E58">
              <w:rPr>
                <w:sz w:val="18"/>
                <w:szCs w:val="18"/>
              </w:rPr>
              <w:t>9,6</w:t>
            </w:r>
          </w:p>
        </w:tc>
        <w:tc>
          <w:tcPr>
            <w:tcW w:w="828" w:type="dxa"/>
            <w:shd w:val="clear" w:color="auto" w:fill="auto"/>
            <w:vAlign w:val="bottom"/>
          </w:tcPr>
          <w:p w14:paraId="30C020C7" w14:textId="77777777" w:rsidR="00F72E58" w:rsidRPr="00F72E58" w:rsidRDefault="00F72E58" w:rsidP="009E3526">
            <w:pPr>
              <w:spacing w:before="40" w:after="40" w:line="220" w:lineRule="exact"/>
              <w:jc w:val="right"/>
              <w:rPr>
                <w:sz w:val="18"/>
                <w:szCs w:val="18"/>
              </w:rPr>
            </w:pPr>
            <w:r w:rsidRPr="00F72E58">
              <w:rPr>
                <w:sz w:val="18"/>
                <w:szCs w:val="18"/>
              </w:rPr>
              <w:t>9,7</w:t>
            </w:r>
          </w:p>
        </w:tc>
      </w:tr>
      <w:tr w:rsidR="00F72E58" w:rsidRPr="00984603" w14:paraId="255859A8" w14:textId="77777777" w:rsidTr="004961FD">
        <w:tc>
          <w:tcPr>
            <w:tcW w:w="2693" w:type="dxa"/>
            <w:shd w:val="clear" w:color="auto" w:fill="auto"/>
          </w:tcPr>
          <w:p w14:paraId="4985D4B6"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2E3E1B0B" w14:textId="77777777" w:rsidR="00F72E58" w:rsidRPr="00F72E58" w:rsidRDefault="00F72E58" w:rsidP="009E3526">
            <w:pPr>
              <w:spacing w:before="40" w:after="40" w:line="220" w:lineRule="exact"/>
              <w:jc w:val="right"/>
              <w:rPr>
                <w:sz w:val="18"/>
                <w:szCs w:val="18"/>
              </w:rPr>
            </w:pPr>
            <w:r w:rsidRPr="00F72E58">
              <w:rPr>
                <w:sz w:val="18"/>
                <w:szCs w:val="18"/>
              </w:rPr>
              <w:t>87,8</w:t>
            </w:r>
          </w:p>
        </w:tc>
        <w:tc>
          <w:tcPr>
            <w:tcW w:w="828" w:type="dxa"/>
            <w:shd w:val="clear" w:color="auto" w:fill="auto"/>
            <w:vAlign w:val="bottom"/>
          </w:tcPr>
          <w:p w14:paraId="1FA02F11" w14:textId="77777777" w:rsidR="00F72E58" w:rsidRPr="00F72E58" w:rsidRDefault="00F72E58" w:rsidP="009E3526">
            <w:pPr>
              <w:spacing w:before="40" w:after="40" w:line="220" w:lineRule="exact"/>
              <w:jc w:val="right"/>
              <w:rPr>
                <w:sz w:val="18"/>
                <w:szCs w:val="18"/>
              </w:rPr>
            </w:pPr>
            <w:r w:rsidRPr="00F72E58">
              <w:rPr>
                <w:sz w:val="18"/>
                <w:szCs w:val="18"/>
              </w:rPr>
              <w:t>86,1</w:t>
            </w:r>
          </w:p>
        </w:tc>
        <w:tc>
          <w:tcPr>
            <w:tcW w:w="828" w:type="dxa"/>
            <w:shd w:val="clear" w:color="auto" w:fill="auto"/>
            <w:vAlign w:val="bottom"/>
          </w:tcPr>
          <w:p w14:paraId="5F3A703F" w14:textId="77777777" w:rsidR="00F72E58" w:rsidRPr="00F72E58" w:rsidRDefault="00F72E58" w:rsidP="009E3526">
            <w:pPr>
              <w:spacing w:before="40" w:after="40" w:line="220" w:lineRule="exact"/>
              <w:jc w:val="right"/>
              <w:rPr>
                <w:sz w:val="18"/>
                <w:szCs w:val="18"/>
              </w:rPr>
            </w:pPr>
            <w:r w:rsidRPr="00F72E58">
              <w:rPr>
                <w:sz w:val="18"/>
                <w:szCs w:val="18"/>
              </w:rPr>
              <w:t>87,9</w:t>
            </w:r>
          </w:p>
        </w:tc>
        <w:tc>
          <w:tcPr>
            <w:tcW w:w="828" w:type="dxa"/>
            <w:shd w:val="clear" w:color="auto" w:fill="auto"/>
            <w:vAlign w:val="bottom"/>
          </w:tcPr>
          <w:p w14:paraId="5FF10F41" w14:textId="77777777" w:rsidR="00F72E58" w:rsidRPr="00F72E58" w:rsidRDefault="00F72E58" w:rsidP="009E3526">
            <w:pPr>
              <w:spacing w:before="40" w:after="40" w:line="220" w:lineRule="exact"/>
              <w:jc w:val="right"/>
              <w:rPr>
                <w:sz w:val="18"/>
                <w:szCs w:val="18"/>
              </w:rPr>
            </w:pPr>
            <w:r w:rsidRPr="00F72E58">
              <w:rPr>
                <w:sz w:val="18"/>
                <w:szCs w:val="18"/>
              </w:rPr>
              <w:t>80,6</w:t>
            </w:r>
          </w:p>
        </w:tc>
        <w:tc>
          <w:tcPr>
            <w:tcW w:w="828" w:type="dxa"/>
            <w:shd w:val="clear" w:color="auto" w:fill="auto"/>
            <w:vAlign w:val="bottom"/>
          </w:tcPr>
          <w:p w14:paraId="3DE31FCF" w14:textId="77777777" w:rsidR="00F72E58" w:rsidRPr="00F72E58" w:rsidRDefault="00F72E58" w:rsidP="009E3526">
            <w:pPr>
              <w:spacing w:before="40" w:after="40" w:line="220" w:lineRule="exact"/>
              <w:jc w:val="right"/>
              <w:rPr>
                <w:sz w:val="18"/>
                <w:szCs w:val="18"/>
              </w:rPr>
            </w:pPr>
            <w:r w:rsidRPr="00F72E58">
              <w:rPr>
                <w:sz w:val="18"/>
                <w:szCs w:val="18"/>
              </w:rPr>
              <w:t>78,9</w:t>
            </w:r>
          </w:p>
        </w:tc>
        <w:tc>
          <w:tcPr>
            <w:tcW w:w="828" w:type="dxa"/>
            <w:shd w:val="clear" w:color="auto" w:fill="auto"/>
            <w:vAlign w:val="bottom"/>
          </w:tcPr>
          <w:p w14:paraId="4D4810F4" w14:textId="77777777" w:rsidR="00F72E58" w:rsidRPr="00F72E58" w:rsidRDefault="00F72E58" w:rsidP="009E3526">
            <w:pPr>
              <w:spacing w:before="40" w:after="40" w:line="220" w:lineRule="exact"/>
              <w:jc w:val="right"/>
              <w:rPr>
                <w:sz w:val="18"/>
                <w:szCs w:val="18"/>
              </w:rPr>
            </w:pPr>
            <w:r w:rsidRPr="00F72E58">
              <w:rPr>
                <w:sz w:val="18"/>
                <w:szCs w:val="18"/>
              </w:rPr>
              <w:t>75,6</w:t>
            </w:r>
          </w:p>
        </w:tc>
        <w:tc>
          <w:tcPr>
            <w:tcW w:w="828" w:type="dxa"/>
            <w:shd w:val="clear" w:color="auto" w:fill="auto"/>
            <w:vAlign w:val="bottom"/>
          </w:tcPr>
          <w:p w14:paraId="60BF48CA" w14:textId="77777777" w:rsidR="00F72E58" w:rsidRPr="00F72E58" w:rsidRDefault="00F72E58" w:rsidP="009E3526">
            <w:pPr>
              <w:spacing w:before="40" w:after="40" w:line="220" w:lineRule="exact"/>
              <w:jc w:val="right"/>
              <w:rPr>
                <w:sz w:val="18"/>
                <w:szCs w:val="18"/>
              </w:rPr>
            </w:pPr>
            <w:r w:rsidRPr="00F72E58">
              <w:rPr>
                <w:sz w:val="18"/>
                <w:szCs w:val="18"/>
              </w:rPr>
              <w:t>78,0</w:t>
            </w:r>
          </w:p>
        </w:tc>
      </w:tr>
      <w:tr w:rsidR="00F72E58" w:rsidRPr="00984603" w14:paraId="74EC7075" w14:textId="77777777" w:rsidTr="004961FD">
        <w:tc>
          <w:tcPr>
            <w:tcW w:w="2693" w:type="dxa"/>
            <w:shd w:val="clear" w:color="auto" w:fill="auto"/>
          </w:tcPr>
          <w:p w14:paraId="49744791"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0CEA4EBC" w14:textId="77777777" w:rsidR="00F72E58" w:rsidRPr="00F72E58" w:rsidRDefault="00F72E58" w:rsidP="009E3526">
            <w:pPr>
              <w:spacing w:before="40" w:after="40" w:line="220" w:lineRule="exact"/>
              <w:jc w:val="right"/>
              <w:rPr>
                <w:b/>
                <w:bCs/>
                <w:sz w:val="18"/>
                <w:szCs w:val="18"/>
              </w:rPr>
            </w:pPr>
            <w:r w:rsidRPr="00F72E58">
              <w:rPr>
                <w:b/>
                <w:bCs/>
                <w:sz w:val="18"/>
                <w:szCs w:val="18"/>
              </w:rPr>
              <w:t>98,5</w:t>
            </w:r>
          </w:p>
        </w:tc>
        <w:tc>
          <w:tcPr>
            <w:tcW w:w="828" w:type="dxa"/>
            <w:shd w:val="clear" w:color="auto" w:fill="auto"/>
            <w:vAlign w:val="bottom"/>
          </w:tcPr>
          <w:p w14:paraId="13DB3999" w14:textId="77777777" w:rsidR="00F72E58" w:rsidRPr="00F72E58" w:rsidRDefault="00F72E58" w:rsidP="009E3526">
            <w:pPr>
              <w:spacing w:before="40" w:after="40" w:line="220" w:lineRule="exact"/>
              <w:jc w:val="right"/>
              <w:rPr>
                <w:b/>
                <w:bCs/>
                <w:sz w:val="18"/>
                <w:szCs w:val="18"/>
              </w:rPr>
            </w:pPr>
            <w:r w:rsidRPr="00F72E58">
              <w:rPr>
                <w:b/>
                <w:bCs/>
                <w:sz w:val="18"/>
                <w:szCs w:val="18"/>
              </w:rPr>
              <w:t>96,5</w:t>
            </w:r>
          </w:p>
        </w:tc>
        <w:tc>
          <w:tcPr>
            <w:tcW w:w="828" w:type="dxa"/>
            <w:shd w:val="clear" w:color="auto" w:fill="auto"/>
            <w:vAlign w:val="bottom"/>
          </w:tcPr>
          <w:p w14:paraId="5C3D5801" w14:textId="77777777" w:rsidR="00F72E58" w:rsidRPr="00F72E58" w:rsidRDefault="00F72E58" w:rsidP="009E3526">
            <w:pPr>
              <w:spacing w:before="40" w:after="40" w:line="220" w:lineRule="exact"/>
              <w:jc w:val="right"/>
              <w:rPr>
                <w:b/>
                <w:bCs/>
                <w:sz w:val="18"/>
                <w:szCs w:val="18"/>
              </w:rPr>
            </w:pPr>
            <w:r w:rsidRPr="00F72E58">
              <w:rPr>
                <w:b/>
                <w:bCs/>
                <w:sz w:val="18"/>
                <w:szCs w:val="18"/>
              </w:rPr>
              <w:t>98,5</w:t>
            </w:r>
          </w:p>
        </w:tc>
        <w:tc>
          <w:tcPr>
            <w:tcW w:w="828" w:type="dxa"/>
            <w:shd w:val="clear" w:color="auto" w:fill="auto"/>
            <w:vAlign w:val="bottom"/>
          </w:tcPr>
          <w:p w14:paraId="38660BC2" w14:textId="77777777" w:rsidR="00F72E58" w:rsidRPr="00F72E58" w:rsidRDefault="00F72E58" w:rsidP="009E3526">
            <w:pPr>
              <w:spacing w:before="40" w:after="40" w:line="220" w:lineRule="exact"/>
              <w:jc w:val="right"/>
              <w:rPr>
                <w:b/>
                <w:bCs/>
                <w:sz w:val="18"/>
                <w:szCs w:val="18"/>
              </w:rPr>
            </w:pPr>
            <w:r w:rsidRPr="00F72E58">
              <w:rPr>
                <w:b/>
                <w:bCs/>
                <w:sz w:val="18"/>
                <w:szCs w:val="18"/>
              </w:rPr>
              <w:t>93,5</w:t>
            </w:r>
          </w:p>
        </w:tc>
        <w:tc>
          <w:tcPr>
            <w:tcW w:w="828" w:type="dxa"/>
            <w:shd w:val="clear" w:color="auto" w:fill="auto"/>
            <w:vAlign w:val="bottom"/>
          </w:tcPr>
          <w:p w14:paraId="3DDDF2CF" w14:textId="77777777" w:rsidR="00F72E58" w:rsidRPr="00F72E58" w:rsidRDefault="00F72E58" w:rsidP="009E3526">
            <w:pPr>
              <w:spacing w:before="40" w:after="40" w:line="220" w:lineRule="exact"/>
              <w:jc w:val="right"/>
              <w:rPr>
                <w:b/>
                <w:bCs/>
                <w:sz w:val="18"/>
                <w:szCs w:val="18"/>
              </w:rPr>
            </w:pPr>
            <w:r w:rsidRPr="00F72E58">
              <w:rPr>
                <w:b/>
                <w:bCs/>
                <w:sz w:val="18"/>
                <w:szCs w:val="18"/>
              </w:rPr>
              <w:t>88,1</w:t>
            </w:r>
          </w:p>
        </w:tc>
        <w:tc>
          <w:tcPr>
            <w:tcW w:w="828" w:type="dxa"/>
            <w:shd w:val="clear" w:color="auto" w:fill="auto"/>
            <w:vAlign w:val="bottom"/>
          </w:tcPr>
          <w:p w14:paraId="06B8C72B" w14:textId="77777777" w:rsidR="00F72E58" w:rsidRPr="00F72E58" w:rsidRDefault="00F72E58" w:rsidP="009E3526">
            <w:pPr>
              <w:spacing w:before="40" w:after="40" w:line="220" w:lineRule="exact"/>
              <w:jc w:val="right"/>
              <w:rPr>
                <w:b/>
                <w:bCs/>
                <w:sz w:val="18"/>
                <w:szCs w:val="18"/>
              </w:rPr>
            </w:pPr>
            <w:r w:rsidRPr="00F72E58">
              <w:rPr>
                <w:b/>
                <w:bCs/>
                <w:sz w:val="18"/>
                <w:szCs w:val="18"/>
              </w:rPr>
              <w:t>85,2</w:t>
            </w:r>
          </w:p>
        </w:tc>
        <w:tc>
          <w:tcPr>
            <w:tcW w:w="828" w:type="dxa"/>
            <w:shd w:val="clear" w:color="auto" w:fill="auto"/>
            <w:vAlign w:val="bottom"/>
          </w:tcPr>
          <w:p w14:paraId="79BD7989" w14:textId="77777777" w:rsidR="00F72E58" w:rsidRPr="00F72E58" w:rsidRDefault="00F72E58" w:rsidP="009E3526">
            <w:pPr>
              <w:spacing w:before="40" w:after="40" w:line="220" w:lineRule="exact"/>
              <w:jc w:val="right"/>
              <w:rPr>
                <w:b/>
                <w:bCs/>
                <w:sz w:val="18"/>
                <w:szCs w:val="18"/>
              </w:rPr>
            </w:pPr>
            <w:r w:rsidRPr="00F72E58">
              <w:rPr>
                <w:b/>
                <w:bCs/>
                <w:sz w:val="18"/>
                <w:szCs w:val="18"/>
              </w:rPr>
              <w:t>87,7</w:t>
            </w:r>
          </w:p>
        </w:tc>
      </w:tr>
      <w:tr w:rsidR="003279D5" w:rsidRPr="00984603" w14:paraId="20EB7BCA" w14:textId="77777777" w:rsidTr="004961FD">
        <w:tc>
          <w:tcPr>
            <w:tcW w:w="2693" w:type="dxa"/>
            <w:shd w:val="clear" w:color="auto" w:fill="auto"/>
          </w:tcPr>
          <w:p w14:paraId="2DA323BA" w14:textId="77777777" w:rsidR="003279D5" w:rsidRPr="00F72E58" w:rsidRDefault="00F72E58" w:rsidP="004B2949">
            <w:pPr>
              <w:spacing w:before="40" w:after="40" w:line="220" w:lineRule="exact"/>
              <w:rPr>
                <w:sz w:val="18"/>
                <w:szCs w:val="18"/>
              </w:rPr>
            </w:pPr>
            <w:r w:rsidRPr="00F72E58">
              <w:rPr>
                <w:bCs/>
                <w:sz w:val="18"/>
                <w:szCs w:val="18"/>
              </w:rPr>
              <w:t>Total</w:t>
            </w:r>
          </w:p>
        </w:tc>
        <w:tc>
          <w:tcPr>
            <w:tcW w:w="828" w:type="dxa"/>
            <w:shd w:val="clear" w:color="auto" w:fill="auto"/>
            <w:vAlign w:val="bottom"/>
          </w:tcPr>
          <w:p w14:paraId="669E6DB6" w14:textId="77777777" w:rsidR="003279D5" w:rsidRPr="00F72E58" w:rsidRDefault="003279D5" w:rsidP="009E3526">
            <w:pPr>
              <w:spacing w:before="40" w:after="40" w:line="220" w:lineRule="exact"/>
              <w:rPr>
                <w:sz w:val="18"/>
                <w:szCs w:val="18"/>
                <w:lang w:eastAsia="en-IE"/>
              </w:rPr>
            </w:pPr>
            <w:r w:rsidRPr="00F72E58">
              <w:rPr>
                <w:sz w:val="18"/>
                <w:szCs w:val="18"/>
                <w:lang w:eastAsia="en-IE"/>
              </w:rPr>
              <w:t> </w:t>
            </w:r>
          </w:p>
        </w:tc>
        <w:tc>
          <w:tcPr>
            <w:tcW w:w="828" w:type="dxa"/>
            <w:shd w:val="clear" w:color="auto" w:fill="auto"/>
            <w:vAlign w:val="bottom"/>
          </w:tcPr>
          <w:p w14:paraId="66E3C278" w14:textId="77777777" w:rsidR="003279D5" w:rsidRPr="00F72E58" w:rsidRDefault="003279D5" w:rsidP="009E3526">
            <w:pPr>
              <w:spacing w:before="40" w:after="40" w:line="220" w:lineRule="exact"/>
              <w:jc w:val="right"/>
              <w:rPr>
                <w:sz w:val="18"/>
                <w:szCs w:val="18"/>
                <w:lang w:eastAsia="en-IE"/>
              </w:rPr>
            </w:pPr>
            <w:r w:rsidRPr="00F72E58">
              <w:rPr>
                <w:sz w:val="18"/>
                <w:szCs w:val="18"/>
                <w:lang w:eastAsia="en-IE"/>
              </w:rPr>
              <w:t> </w:t>
            </w:r>
          </w:p>
        </w:tc>
        <w:tc>
          <w:tcPr>
            <w:tcW w:w="828" w:type="dxa"/>
            <w:shd w:val="clear" w:color="auto" w:fill="auto"/>
            <w:vAlign w:val="bottom"/>
          </w:tcPr>
          <w:p w14:paraId="4AA87040" w14:textId="77777777" w:rsidR="003279D5" w:rsidRPr="00F72E58" w:rsidRDefault="003279D5" w:rsidP="009E3526">
            <w:pPr>
              <w:spacing w:before="40" w:after="40" w:line="220" w:lineRule="exact"/>
              <w:jc w:val="right"/>
              <w:rPr>
                <w:sz w:val="18"/>
                <w:szCs w:val="18"/>
                <w:lang w:eastAsia="en-IE"/>
              </w:rPr>
            </w:pPr>
            <w:r w:rsidRPr="00F72E58">
              <w:rPr>
                <w:sz w:val="18"/>
                <w:szCs w:val="18"/>
                <w:lang w:eastAsia="en-IE"/>
              </w:rPr>
              <w:t> </w:t>
            </w:r>
          </w:p>
        </w:tc>
        <w:tc>
          <w:tcPr>
            <w:tcW w:w="828" w:type="dxa"/>
            <w:shd w:val="clear" w:color="auto" w:fill="auto"/>
            <w:vAlign w:val="bottom"/>
          </w:tcPr>
          <w:p w14:paraId="3AE72E5A"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1EA0A23"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A93B995"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30434CF1" w14:textId="77777777" w:rsidR="003279D5" w:rsidRPr="00F72E58" w:rsidRDefault="003279D5" w:rsidP="009E3526">
            <w:pPr>
              <w:spacing w:before="40" w:after="40" w:line="220" w:lineRule="exact"/>
              <w:jc w:val="right"/>
              <w:rPr>
                <w:sz w:val="18"/>
                <w:szCs w:val="18"/>
              </w:rPr>
            </w:pPr>
          </w:p>
        </w:tc>
      </w:tr>
      <w:tr w:rsidR="00F72E58" w:rsidRPr="00984603" w14:paraId="258012C0" w14:textId="77777777" w:rsidTr="004961FD">
        <w:tc>
          <w:tcPr>
            <w:tcW w:w="2693" w:type="dxa"/>
            <w:shd w:val="clear" w:color="auto" w:fill="auto"/>
          </w:tcPr>
          <w:p w14:paraId="04F8BDBE"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5593CED4" w14:textId="77777777" w:rsidR="00F72E58" w:rsidRPr="00F72E58" w:rsidRDefault="00F72E58" w:rsidP="009E3526">
            <w:pPr>
              <w:spacing w:before="40" w:after="40" w:line="220" w:lineRule="exact"/>
              <w:jc w:val="right"/>
              <w:rPr>
                <w:sz w:val="18"/>
                <w:szCs w:val="18"/>
              </w:rPr>
            </w:pPr>
            <w:r w:rsidRPr="00F72E58">
              <w:rPr>
                <w:sz w:val="18"/>
                <w:szCs w:val="18"/>
              </w:rPr>
              <w:t>23,3</w:t>
            </w:r>
          </w:p>
        </w:tc>
        <w:tc>
          <w:tcPr>
            <w:tcW w:w="828" w:type="dxa"/>
            <w:shd w:val="clear" w:color="auto" w:fill="auto"/>
            <w:vAlign w:val="bottom"/>
          </w:tcPr>
          <w:p w14:paraId="22728CAF" w14:textId="77777777" w:rsidR="00F72E58" w:rsidRPr="00F72E58" w:rsidRDefault="00F72E58" w:rsidP="009E3526">
            <w:pPr>
              <w:spacing w:before="40" w:after="40" w:line="220" w:lineRule="exact"/>
              <w:jc w:val="right"/>
              <w:rPr>
                <w:sz w:val="18"/>
                <w:szCs w:val="18"/>
              </w:rPr>
            </w:pPr>
            <w:r w:rsidRPr="00F72E58">
              <w:rPr>
                <w:sz w:val="18"/>
                <w:szCs w:val="18"/>
              </w:rPr>
              <w:t>24,8</w:t>
            </w:r>
          </w:p>
        </w:tc>
        <w:tc>
          <w:tcPr>
            <w:tcW w:w="828" w:type="dxa"/>
            <w:shd w:val="clear" w:color="auto" w:fill="auto"/>
            <w:vAlign w:val="bottom"/>
          </w:tcPr>
          <w:p w14:paraId="1F8BDE1B" w14:textId="77777777" w:rsidR="00F72E58" w:rsidRPr="00F72E58" w:rsidRDefault="00F72E58" w:rsidP="009E3526">
            <w:pPr>
              <w:spacing w:before="40" w:after="40" w:line="220" w:lineRule="exact"/>
              <w:jc w:val="right"/>
              <w:rPr>
                <w:sz w:val="18"/>
                <w:szCs w:val="18"/>
              </w:rPr>
            </w:pPr>
            <w:r w:rsidRPr="00F72E58">
              <w:rPr>
                <w:sz w:val="18"/>
                <w:szCs w:val="18"/>
              </w:rPr>
              <w:t>26,3</w:t>
            </w:r>
          </w:p>
        </w:tc>
        <w:tc>
          <w:tcPr>
            <w:tcW w:w="828" w:type="dxa"/>
            <w:shd w:val="clear" w:color="auto" w:fill="auto"/>
            <w:vAlign w:val="bottom"/>
          </w:tcPr>
          <w:p w14:paraId="53D4850E" w14:textId="77777777" w:rsidR="00F72E58" w:rsidRPr="00F72E58" w:rsidRDefault="00F72E58" w:rsidP="009E3526">
            <w:pPr>
              <w:spacing w:before="40" w:after="40" w:line="220" w:lineRule="exact"/>
              <w:jc w:val="right"/>
              <w:rPr>
                <w:sz w:val="18"/>
                <w:szCs w:val="18"/>
              </w:rPr>
            </w:pPr>
            <w:r w:rsidRPr="00F72E58">
              <w:rPr>
                <w:sz w:val="18"/>
                <w:szCs w:val="18"/>
              </w:rPr>
              <w:t>35,7</w:t>
            </w:r>
          </w:p>
        </w:tc>
        <w:tc>
          <w:tcPr>
            <w:tcW w:w="828" w:type="dxa"/>
            <w:shd w:val="clear" w:color="auto" w:fill="auto"/>
            <w:vAlign w:val="bottom"/>
          </w:tcPr>
          <w:p w14:paraId="1B013C5C" w14:textId="77777777" w:rsidR="00F72E58" w:rsidRPr="00F72E58" w:rsidRDefault="00F72E58" w:rsidP="009E3526">
            <w:pPr>
              <w:spacing w:before="40" w:after="40" w:line="220" w:lineRule="exact"/>
              <w:jc w:val="right"/>
              <w:rPr>
                <w:sz w:val="18"/>
                <w:szCs w:val="18"/>
              </w:rPr>
            </w:pPr>
            <w:r w:rsidRPr="00F72E58">
              <w:rPr>
                <w:sz w:val="18"/>
                <w:szCs w:val="18"/>
              </w:rPr>
              <w:t>30,3</w:t>
            </w:r>
          </w:p>
        </w:tc>
        <w:tc>
          <w:tcPr>
            <w:tcW w:w="828" w:type="dxa"/>
            <w:shd w:val="clear" w:color="auto" w:fill="auto"/>
            <w:vAlign w:val="bottom"/>
          </w:tcPr>
          <w:p w14:paraId="197559D6" w14:textId="77777777" w:rsidR="00F72E58" w:rsidRPr="00F72E58" w:rsidRDefault="00F72E58" w:rsidP="009E3526">
            <w:pPr>
              <w:spacing w:before="40" w:after="40" w:line="220" w:lineRule="exact"/>
              <w:jc w:val="right"/>
              <w:rPr>
                <w:sz w:val="18"/>
                <w:szCs w:val="18"/>
              </w:rPr>
            </w:pPr>
            <w:r w:rsidRPr="00F72E58">
              <w:rPr>
                <w:sz w:val="18"/>
                <w:szCs w:val="18"/>
              </w:rPr>
              <w:t>33,2</w:t>
            </w:r>
          </w:p>
        </w:tc>
        <w:tc>
          <w:tcPr>
            <w:tcW w:w="828" w:type="dxa"/>
            <w:shd w:val="clear" w:color="auto" w:fill="auto"/>
            <w:vAlign w:val="bottom"/>
          </w:tcPr>
          <w:p w14:paraId="46041400" w14:textId="77777777" w:rsidR="00F72E58" w:rsidRPr="00F72E58" w:rsidRDefault="00F72E58" w:rsidP="009E3526">
            <w:pPr>
              <w:spacing w:before="40" w:after="40" w:line="220" w:lineRule="exact"/>
              <w:jc w:val="right"/>
              <w:rPr>
                <w:sz w:val="18"/>
                <w:szCs w:val="18"/>
              </w:rPr>
            </w:pPr>
            <w:r w:rsidRPr="00F72E58">
              <w:rPr>
                <w:sz w:val="18"/>
                <w:szCs w:val="18"/>
              </w:rPr>
              <w:t>35,1</w:t>
            </w:r>
          </w:p>
        </w:tc>
      </w:tr>
      <w:tr w:rsidR="00F72E58" w:rsidRPr="00984603" w14:paraId="63702FAA" w14:textId="77777777" w:rsidTr="004961FD">
        <w:tc>
          <w:tcPr>
            <w:tcW w:w="2693" w:type="dxa"/>
            <w:shd w:val="clear" w:color="auto" w:fill="auto"/>
          </w:tcPr>
          <w:p w14:paraId="3D5C25EB"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13277DDE" w14:textId="77777777" w:rsidR="00F72E58" w:rsidRPr="00F72E58" w:rsidRDefault="00F72E58" w:rsidP="009E3526">
            <w:pPr>
              <w:spacing w:before="40" w:after="40" w:line="220" w:lineRule="exact"/>
              <w:jc w:val="right"/>
              <w:rPr>
                <w:sz w:val="18"/>
                <w:szCs w:val="18"/>
              </w:rPr>
            </w:pPr>
            <w:r w:rsidRPr="00F72E58">
              <w:rPr>
                <w:sz w:val="18"/>
                <w:szCs w:val="18"/>
              </w:rPr>
              <w:t>196,3</w:t>
            </w:r>
          </w:p>
        </w:tc>
        <w:tc>
          <w:tcPr>
            <w:tcW w:w="828" w:type="dxa"/>
            <w:shd w:val="clear" w:color="auto" w:fill="auto"/>
            <w:vAlign w:val="bottom"/>
          </w:tcPr>
          <w:p w14:paraId="6D146ACA" w14:textId="77777777" w:rsidR="00F72E58" w:rsidRPr="00F72E58" w:rsidRDefault="00F72E58" w:rsidP="009E3526">
            <w:pPr>
              <w:spacing w:before="40" w:after="40" w:line="220" w:lineRule="exact"/>
              <w:jc w:val="right"/>
              <w:rPr>
                <w:sz w:val="18"/>
                <w:szCs w:val="18"/>
              </w:rPr>
            </w:pPr>
            <w:r w:rsidRPr="00F72E58">
              <w:rPr>
                <w:sz w:val="18"/>
                <w:szCs w:val="18"/>
              </w:rPr>
              <w:t>192,3</w:t>
            </w:r>
          </w:p>
        </w:tc>
        <w:tc>
          <w:tcPr>
            <w:tcW w:w="828" w:type="dxa"/>
            <w:shd w:val="clear" w:color="auto" w:fill="auto"/>
            <w:vAlign w:val="bottom"/>
          </w:tcPr>
          <w:p w14:paraId="4351A99D" w14:textId="77777777" w:rsidR="00F72E58" w:rsidRPr="00F72E58" w:rsidRDefault="00F72E58" w:rsidP="009E3526">
            <w:pPr>
              <w:spacing w:before="40" w:after="40" w:line="220" w:lineRule="exact"/>
              <w:jc w:val="right"/>
              <w:rPr>
                <w:sz w:val="18"/>
                <w:szCs w:val="18"/>
              </w:rPr>
            </w:pPr>
            <w:r w:rsidRPr="00F72E58">
              <w:rPr>
                <w:sz w:val="18"/>
                <w:szCs w:val="18"/>
              </w:rPr>
              <w:t>198,0</w:t>
            </w:r>
          </w:p>
        </w:tc>
        <w:tc>
          <w:tcPr>
            <w:tcW w:w="828" w:type="dxa"/>
            <w:shd w:val="clear" w:color="auto" w:fill="auto"/>
            <w:vAlign w:val="bottom"/>
          </w:tcPr>
          <w:p w14:paraId="2EE4CAF8" w14:textId="77777777" w:rsidR="00F72E58" w:rsidRPr="00F72E58" w:rsidRDefault="00F72E58" w:rsidP="009E3526">
            <w:pPr>
              <w:spacing w:before="40" w:after="40" w:line="220" w:lineRule="exact"/>
              <w:jc w:val="right"/>
              <w:rPr>
                <w:sz w:val="18"/>
                <w:szCs w:val="18"/>
              </w:rPr>
            </w:pPr>
            <w:r w:rsidRPr="00F72E58">
              <w:rPr>
                <w:sz w:val="18"/>
                <w:szCs w:val="18"/>
              </w:rPr>
              <w:t>194,8</w:t>
            </w:r>
          </w:p>
        </w:tc>
        <w:tc>
          <w:tcPr>
            <w:tcW w:w="828" w:type="dxa"/>
            <w:shd w:val="clear" w:color="auto" w:fill="auto"/>
            <w:vAlign w:val="bottom"/>
          </w:tcPr>
          <w:p w14:paraId="1A4B6B41" w14:textId="77777777" w:rsidR="00F72E58" w:rsidRPr="00F72E58" w:rsidRDefault="00F72E58" w:rsidP="009E3526">
            <w:pPr>
              <w:spacing w:before="40" w:after="40" w:line="220" w:lineRule="exact"/>
              <w:jc w:val="right"/>
              <w:rPr>
                <w:sz w:val="18"/>
                <w:szCs w:val="18"/>
              </w:rPr>
            </w:pPr>
            <w:r w:rsidRPr="00F72E58">
              <w:rPr>
                <w:sz w:val="18"/>
                <w:szCs w:val="18"/>
              </w:rPr>
              <w:t>193,8</w:t>
            </w:r>
          </w:p>
        </w:tc>
        <w:tc>
          <w:tcPr>
            <w:tcW w:w="828" w:type="dxa"/>
            <w:shd w:val="clear" w:color="auto" w:fill="auto"/>
            <w:vAlign w:val="bottom"/>
          </w:tcPr>
          <w:p w14:paraId="5A5E6A50" w14:textId="77777777" w:rsidR="00F72E58" w:rsidRPr="00F72E58" w:rsidRDefault="00F72E58" w:rsidP="009E3526">
            <w:pPr>
              <w:spacing w:before="40" w:after="40" w:line="220" w:lineRule="exact"/>
              <w:jc w:val="right"/>
              <w:rPr>
                <w:sz w:val="18"/>
                <w:szCs w:val="18"/>
              </w:rPr>
            </w:pPr>
            <w:r w:rsidRPr="00F72E58">
              <w:rPr>
                <w:sz w:val="18"/>
                <w:szCs w:val="18"/>
              </w:rPr>
              <w:t>187,1</w:t>
            </w:r>
          </w:p>
        </w:tc>
        <w:tc>
          <w:tcPr>
            <w:tcW w:w="828" w:type="dxa"/>
            <w:shd w:val="clear" w:color="auto" w:fill="auto"/>
            <w:vAlign w:val="bottom"/>
          </w:tcPr>
          <w:p w14:paraId="732166C3" w14:textId="77777777" w:rsidR="00F72E58" w:rsidRPr="00F72E58" w:rsidRDefault="00F72E58" w:rsidP="009E3526">
            <w:pPr>
              <w:spacing w:before="40" w:after="40" w:line="220" w:lineRule="exact"/>
              <w:jc w:val="right"/>
              <w:rPr>
                <w:sz w:val="18"/>
                <w:szCs w:val="18"/>
              </w:rPr>
            </w:pPr>
            <w:r w:rsidRPr="00F72E58">
              <w:rPr>
                <w:sz w:val="18"/>
                <w:szCs w:val="18"/>
              </w:rPr>
              <w:t>195,9</w:t>
            </w:r>
          </w:p>
        </w:tc>
      </w:tr>
      <w:tr w:rsidR="00F72E58" w:rsidRPr="00984603" w14:paraId="13543E85" w14:textId="77777777" w:rsidTr="004961FD">
        <w:tc>
          <w:tcPr>
            <w:tcW w:w="2693" w:type="dxa"/>
            <w:shd w:val="clear" w:color="auto" w:fill="auto"/>
          </w:tcPr>
          <w:p w14:paraId="61E16B17"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1FD6457F" w14:textId="77777777" w:rsidR="00F72E58" w:rsidRPr="00F72E58" w:rsidRDefault="00F72E58" w:rsidP="009E3526">
            <w:pPr>
              <w:spacing w:before="40" w:after="40" w:line="220" w:lineRule="exact"/>
              <w:jc w:val="right"/>
              <w:rPr>
                <w:b/>
                <w:bCs/>
                <w:sz w:val="18"/>
                <w:szCs w:val="18"/>
              </w:rPr>
            </w:pPr>
            <w:r w:rsidRPr="00F72E58">
              <w:rPr>
                <w:b/>
                <w:bCs/>
                <w:sz w:val="18"/>
                <w:szCs w:val="18"/>
              </w:rPr>
              <w:t>219,6</w:t>
            </w:r>
          </w:p>
        </w:tc>
        <w:tc>
          <w:tcPr>
            <w:tcW w:w="828" w:type="dxa"/>
            <w:shd w:val="clear" w:color="auto" w:fill="auto"/>
            <w:vAlign w:val="bottom"/>
          </w:tcPr>
          <w:p w14:paraId="7A34E170" w14:textId="77777777" w:rsidR="00F72E58" w:rsidRPr="00F72E58" w:rsidRDefault="00F72E58" w:rsidP="009E3526">
            <w:pPr>
              <w:spacing w:before="40" w:after="40" w:line="220" w:lineRule="exact"/>
              <w:jc w:val="right"/>
              <w:rPr>
                <w:b/>
                <w:bCs/>
                <w:sz w:val="18"/>
                <w:szCs w:val="18"/>
              </w:rPr>
            </w:pPr>
            <w:r w:rsidRPr="00F72E58">
              <w:rPr>
                <w:b/>
                <w:bCs/>
                <w:sz w:val="18"/>
                <w:szCs w:val="18"/>
              </w:rPr>
              <w:t>217,1</w:t>
            </w:r>
          </w:p>
        </w:tc>
        <w:tc>
          <w:tcPr>
            <w:tcW w:w="828" w:type="dxa"/>
            <w:shd w:val="clear" w:color="auto" w:fill="auto"/>
            <w:vAlign w:val="bottom"/>
          </w:tcPr>
          <w:p w14:paraId="59B990C1" w14:textId="77777777" w:rsidR="00F72E58" w:rsidRPr="00F72E58" w:rsidRDefault="00F72E58" w:rsidP="009E3526">
            <w:pPr>
              <w:spacing w:before="40" w:after="40" w:line="220" w:lineRule="exact"/>
              <w:jc w:val="right"/>
              <w:rPr>
                <w:b/>
                <w:bCs/>
                <w:sz w:val="18"/>
                <w:szCs w:val="18"/>
              </w:rPr>
            </w:pPr>
            <w:r w:rsidRPr="00F72E58">
              <w:rPr>
                <w:b/>
                <w:bCs/>
                <w:sz w:val="18"/>
                <w:szCs w:val="18"/>
              </w:rPr>
              <w:t>224,3</w:t>
            </w:r>
          </w:p>
        </w:tc>
        <w:tc>
          <w:tcPr>
            <w:tcW w:w="828" w:type="dxa"/>
            <w:shd w:val="clear" w:color="auto" w:fill="auto"/>
            <w:vAlign w:val="bottom"/>
          </w:tcPr>
          <w:p w14:paraId="3EF31AC0" w14:textId="77777777" w:rsidR="00F72E58" w:rsidRPr="00F72E58" w:rsidRDefault="00F72E58" w:rsidP="009E3526">
            <w:pPr>
              <w:spacing w:before="40" w:after="40" w:line="220" w:lineRule="exact"/>
              <w:jc w:val="right"/>
              <w:rPr>
                <w:b/>
                <w:bCs/>
                <w:sz w:val="18"/>
                <w:szCs w:val="18"/>
              </w:rPr>
            </w:pPr>
            <w:r w:rsidRPr="00F72E58">
              <w:rPr>
                <w:b/>
                <w:bCs/>
                <w:sz w:val="18"/>
                <w:szCs w:val="18"/>
              </w:rPr>
              <w:t>230,4</w:t>
            </w:r>
          </w:p>
        </w:tc>
        <w:tc>
          <w:tcPr>
            <w:tcW w:w="828" w:type="dxa"/>
            <w:shd w:val="clear" w:color="auto" w:fill="auto"/>
            <w:vAlign w:val="bottom"/>
          </w:tcPr>
          <w:p w14:paraId="0F55FB0A" w14:textId="77777777" w:rsidR="00F72E58" w:rsidRPr="00F72E58" w:rsidRDefault="00F72E58" w:rsidP="009E3526">
            <w:pPr>
              <w:spacing w:before="40" w:after="40" w:line="220" w:lineRule="exact"/>
              <w:jc w:val="right"/>
              <w:rPr>
                <w:b/>
                <w:bCs/>
                <w:sz w:val="18"/>
                <w:szCs w:val="18"/>
              </w:rPr>
            </w:pPr>
            <w:r w:rsidRPr="00F72E58">
              <w:rPr>
                <w:b/>
                <w:bCs/>
                <w:sz w:val="18"/>
                <w:szCs w:val="18"/>
              </w:rPr>
              <w:t>224,0</w:t>
            </w:r>
          </w:p>
        </w:tc>
        <w:tc>
          <w:tcPr>
            <w:tcW w:w="828" w:type="dxa"/>
            <w:shd w:val="clear" w:color="auto" w:fill="auto"/>
            <w:vAlign w:val="bottom"/>
          </w:tcPr>
          <w:p w14:paraId="708C6674" w14:textId="77777777" w:rsidR="00F72E58" w:rsidRPr="00F72E58" w:rsidRDefault="00F72E58" w:rsidP="009E3526">
            <w:pPr>
              <w:spacing w:before="40" w:after="40" w:line="220" w:lineRule="exact"/>
              <w:jc w:val="right"/>
              <w:rPr>
                <w:b/>
                <w:bCs/>
                <w:sz w:val="18"/>
                <w:szCs w:val="18"/>
              </w:rPr>
            </w:pPr>
            <w:r w:rsidRPr="00F72E58">
              <w:rPr>
                <w:b/>
                <w:bCs/>
                <w:sz w:val="18"/>
                <w:szCs w:val="18"/>
              </w:rPr>
              <w:t>220,2</w:t>
            </w:r>
          </w:p>
        </w:tc>
        <w:tc>
          <w:tcPr>
            <w:tcW w:w="828" w:type="dxa"/>
            <w:shd w:val="clear" w:color="auto" w:fill="auto"/>
            <w:vAlign w:val="bottom"/>
          </w:tcPr>
          <w:p w14:paraId="55435658" w14:textId="77777777" w:rsidR="00F72E58" w:rsidRPr="00F72E58" w:rsidRDefault="00F72E58" w:rsidP="009E3526">
            <w:pPr>
              <w:spacing w:before="40" w:after="40" w:line="220" w:lineRule="exact"/>
              <w:jc w:val="right"/>
              <w:rPr>
                <w:b/>
                <w:bCs/>
                <w:sz w:val="18"/>
                <w:szCs w:val="18"/>
              </w:rPr>
            </w:pPr>
            <w:r w:rsidRPr="00F72E58">
              <w:rPr>
                <w:b/>
                <w:bCs/>
                <w:sz w:val="18"/>
                <w:szCs w:val="18"/>
              </w:rPr>
              <w:t>231,0</w:t>
            </w:r>
          </w:p>
        </w:tc>
      </w:tr>
      <w:tr w:rsidR="003279D5" w:rsidRPr="00984603" w14:paraId="705A76F5" w14:textId="77777777" w:rsidTr="004961FD">
        <w:tc>
          <w:tcPr>
            <w:tcW w:w="828" w:type="dxa"/>
            <w:gridSpan w:val="8"/>
            <w:shd w:val="clear" w:color="auto" w:fill="auto"/>
          </w:tcPr>
          <w:p w14:paraId="21EF31E9" w14:textId="77777777" w:rsidR="003279D5" w:rsidRPr="00F72E58" w:rsidRDefault="00F72E58" w:rsidP="009E3526">
            <w:pPr>
              <w:spacing w:before="40" w:after="40" w:line="220" w:lineRule="exact"/>
              <w:rPr>
                <w:sz w:val="18"/>
                <w:szCs w:val="18"/>
              </w:rPr>
            </w:pPr>
            <w:r w:rsidRPr="00F72E58">
              <w:rPr>
                <w:b/>
                <w:bCs/>
                <w:sz w:val="18"/>
                <w:szCs w:val="18"/>
                <w:lang w:val="fr-FR" w:eastAsia="en-IE"/>
              </w:rPr>
              <w:t>Toutes cellules familiales</w:t>
            </w:r>
          </w:p>
        </w:tc>
      </w:tr>
      <w:tr w:rsidR="003279D5" w:rsidRPr="00984603" w14:paraId="3ABFF52B" w14:textId="77777777" w:rsidTr="004961FD">
        <w:tc>
          <w:tcPr>
            <w:tcW w:w="2693" w:type="dxa"/>
            <w:shd w:val="clear" w:color="auto" w:fill="auto"/>
          </w:tcPr>
          <w:p w14:paraId="59928180" w14:textId="77777777" w:rsidR="003279D5" w:rsidRPr="00F72E58" w:rsidRDefault="00F72E58" w:rsidP="009E3526">
            <w:pPr>
              <w:spacing w:before="40" w:after="40" w:line="220" w:lineRule="exact"/>
              <w:rPr>
                <w:i/>
                <w:sz w:val="18"/>
                <w:szCs w:val="18"/>
              </w:rPr>
            </w:pPr>
            <w:r w:rsidRPr="00F72E58">
              <w:rPr>
                <w:i/>
                <w:sz w:val="18"/>
                <w:szCs w:val="18"/>
                <w:lang w:val="fr-FR" w:eastAsia="en-IE"/>
              </w:rPr>
              <w:t>Actif avec emploi</w:t>
            </w:r>
          </w:p>
        </w:tc>
        <w:tc>
          <w:tcPr>
            <w:tcW w:w="828" w:type="dxa"/>
            <w:shd w:val="clear" w:color="auto" w:fill="auto"/>
            <w:vAlign w:val="bottom"/>
          </w:tcPr>
          <w:p w14:paraId="647EE5F0" w14:textId="77777777" w:rsidR="003279D5" w:rsidRPr="00F72E58" w:rsidRDefault="003279D5" w:rsidP="009E3526">
            <w:pPr>
              <w:spacing w:before="40" w:after="40" w:line="220" w:lineRule="exact"/>
              <w:rPr>
                <w:i/>
                <w:sz w:val="18"/>
                <w:szCs w:val="18"/>
              </w:rPr>
            </w:pPr>
          </w:p>
        </w:tc>
        <w:tc>
          <w:tcPr>
            <w:tcW w:w="828" w:type="dxa"/>
            <w:shd w:val="clear" w:color="auto" w:fill="auto"/>
            <w:vAlign w:val="bottom"/>
          </w:tcPr>
          <w:p w14:paraId="73480B3D"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DE4284F"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4EB3000"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D9D268C"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40DCABB1"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CB36F41" w14:textId="77777777" w:rsidR="003279D5" w:rsidRPr="00F72E58" w:rsidRDefault="003279D5" w:rsidP="009E3526">
            <w:pPr>
              <w:spacing w:before="40" w:after="40" w:line="220" w:lineRule="exact"/>
              <w:jc w:val="right"/>
              <w:rPr>
                <w:sz w:val="18"/>
                <w:szCs w:val="18"/>
              </w:rPr>
            </w:pPr>
          </w:p>
        </w:tc>
      </w:tr>
      <w:tr w:rsidR="00F72E58" w:rsidRPr="00984603" w14:paraId="0CAE1685" w14:textId="77777777" w:rsidTr="004961FD">
        <w:tc>
          <w:tcPr>
            <w:tcW w:w="2693" w:type="dxa"/>
            <w:shd w:val="clear" w:color="auto" w:fill="auto"/>
          </w:tcPr>
          <w:p w14:paraId="712D4377"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70822C0E" w14:textId="77777777" w:rsidR="00F72E58" w:rsidRPr="00F72E58" w:rsidRDefault="00F72E58" w:rsidP="009E3526">
            <w:pPr>
              <w:spacing w:before="40" w:after="40" w:line="220" w:lineRule="exact"/>
              <w:jc w:val="right"/>
              <w:rPr>
                <w:sz w:val="18"/>
                <w:szCs w:val="18"/>
              </w:rPr>
            </w:pPr>
            <w:r w:rsidRPr="00F72E58">
              <w:rPr>
                <w:sz w:val="18"/>
                <w:szCs w:val="18"/>
              </w:rPr>
              <w:t>794,2</w:t>
            </w:r>
          </w:p>
        </w:tc>
        <w:tc>
          <w:tcPr>
            <w:tcW w:w="828" w:type="dxa"/>
            <w:shd w:val="clear" w:color="auto" w:fill="auto"/>
            <w:vAlign w:val="bottom"/>
          </w:tcPr>
          <w:p w14:paraId="4CE110CB" w14:textId="77777777" w:rsidR="00F72E58" w:rsidRPr="00F72E58" w:rsidRDefault="00F72E58" w:rsidP="009E3526">
            <w:pPr>
              <w:spacing w:before="40" w:after="40" w:line="220" w:lineRule="exact"/>
              <w:jc w:val="right"/>
              <w:rPr>
                <w:sz w:val="18"/>
                <w:szCs w:val="18"/>
              </w:rPr>
            </w:pPr>
            <w:r w:rsidRPr="00F72E58">
              <w:rPr>
                <w:sz w:val="18"/>
                <w:szCs w:val="18"/>
              </w:rPr>
              <w:t>790,9</w:t>
            </w:r>
          </w:p>
        </w:tc>
        <w:tc>
          <w:tcPr>
            <w:tcW w:w="828" w:type="dxa"/>
            <w:shd w:val="clear" w:color="auto" w:fill="auto"/>
            <w:vAlign w:val="bottom"/>
          </w:tcPr>
          <w:p w14:paraId="714E1163" w14:textId="77777777" w:rsidR="00F72E58" w:rsidRPr="00F72E58" w:rsidRDefault="00F72E58" w:rsidP="009E3526">
            <w:pPr>
              <w:spacing w:before="40" w:after="40" w:line="220" w:lineRule="exact"/>
              <w:jc w:val="right"/>
              <w:rPr>
                <w:sz w:val="18"/>
                <w:szCs w:val="18"/>
              </w:rPr>
            </w:pPr>
            <w:r w:rsidRPr="00F72E58">
              <w:rPr>
                <w:sz w:val="18"/>
                <w:szCs w:val="18"/>
              </w:rPr>
              <w:t>796,3</w:t>
            </w:r>
          </w:p>
        </w:tc>
        <w:tc>
          <w:tcPr>
            <w:tcW w:w="828" w:type="dxa"/>
            <w:shd w:val="clear" w:color="auto" w:fill="auto"/>
            <w:vAlign w:val="bottom"/>
          </w:tcPr>
          <w:p w14:paraId="5AFDF468" w14:textId="77777777" w:rsidR="00F72E58" w:rsidRPr="00F72E58" w:rsidRDefault="00F72E58" w:rsidP="009E3526">
            <w:pPr>
              <w:spacing w:before="40" w:after="40" w:line="220" w:lineRule="exact"/>
              <w:jc w:val="right"/>
              <w:rPr>
                <w:sz w:val="18"/>
                <w:szCs w:val="18"/>
              </w:rPr>
            </w:pPr>
            <w:r w:rsidRPr="00F72E58">
              <w:rPr>
                <w:sz w:val="18"/>
                <w:szCs w:val="18"/>
              </w:rPr>
              <w:t>801,8</w:t>
            </w:r>
          </w:p>
        </w:tc>
        <w:tc>
          <w:tcPr>
            <w:tcW w:w="828" w:type="dxa"/>
            <w:shd w:val="clear" w:color="auto" w:fill="auto"/>
            <w:vAlign w:val="bottom"/>
          </w:tcPr>
          <w:p w14:paraId="5B9613EB" w14:textId="77777777" w:rsidR="00F72E58" w:rsidRPr="00F72E58" w:rsidRDefault="00F72E58" w:rsidP="009E3526">
            <w:pPr>
              <w:spacing w:before="40" w:after="40" w:line="220" w:lineRule="exact"/>
              <w:jc w:val="right"/>
              <w:rPr>
                <w:sz w:val="18"/>
                <w:szCs w:val="18"/>
              </w:rPr>
            </w:pPr>
            <w:r w:rsidRPr="00F72E58">
              <w:rPr>
                <w:sz w:val="18"/>
                <w:szCs w:val="18"/>
              </w:rPr>
              <w:t>806,7</w:t>
            </w:r>
          </w:p>
        </w:tc>
        <w:tc>
          <w:tcPr>
            <w:tcW w:w="828" w:type="dxa"/>
            <w:shd w:val="clear" w:color="auto" w:fill="auto"/>
            <w:vAlign w:val="bottom"/>
          </w:tcPr>
          <w:p w14:paraId="27870BEB" w14:textId="77777777" w:rsidR="00F72E58" w:rsidRPr="00F72E58" w:rsidRDefault="00F72E58" w:rsidP="009E3526">
            <w:pPr>
              <w:spacing w:before="40" w:after="40" w:line="220" w:lineRule="exact"/>
              <w:jc w:val="right"/>
              <w:rPr>
                <w:sz w:val="18"/>
                <w:szCs w:val="18"/>
              </w:rPr>
            </w:pPr>
            <w:r w:rsidRPr="00F72E58">
              <w:rPr>
                <w:sz w:val="18"/>
                <w:szCs w:val="18"/>
              </w:rPr>
              <w:t>816,2</w:t>
            </w:r>
          </w:p>
        </w:tc>
        <w:tc>
          <w:tcPr>
            <w:tcW w:w="828" w:type="dxa"/>
            <w:shd w:val="clear" w:color="auto" w:fill="auto"/>
            <w:vAlign w:val="bottom"/>
          </w:tcPr>
          <w:p w14:paraId="02E0FF48" w14:textId="77777777" w:rsidR="00F72E58" w:rsidRPr="00F72E58" w:rsidRDefault="00F72E58" w:rsidP="009E3526">
            <w:pPr>
              <w:spacing w:before="40" w:after="40" w:line="220" w:lineRule="exact"/>
              <w:jc w:val="right"/>
              <w:rPr>
                <w:sz w:val="18"/>
                <w:szCs w:val="18"/>
              </w:rPr>
            </w:pPr>
            <w:r w:rsidRPr="00F72E58">
              <w:rPr>
                <w:sz w:val="18"/>
                <w:szCs w:val="18"/>
              </w:rPr>
              <w:t>822,0</w:t>
            </w:r>
          </w:p>
        </w:tc>
      </w:tr>
      <w:tr w:rsidR="00F72E58" w:rsidRPr="00984603" w14:paraId="228E35B6" w14:textId="77777777" w:rsidTr="004961FD">
        <w:tc>
          <w:tcPr>
            <w:tcW w:w="2693" w:type="dxa"/>
            <w:shd w:val="clear" w:color="auto" w:fill="auto"/>
          </w:tcPr>
          <w:p w14:paraId="0DA2A9FD"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346005D3" w14:textId="77777777" w:rsidR="00F72E58" w:rsidRPr="00F72E58" w:rsidRDefault="00F72E58" w:rsidP="009E3526">
            <w:pPr>
              <w:spacing w:before="40" w:after="40" w:line="220" w:lineRule="exact"/>
              <w:jc w:val="right"/>
              <w:rPr>
                <w:sz w:val="18"/>
                <w:szCs w:val="18"/>
              </w:rPr>
            </w:pPr>
            <w:r w:rsidRPr="00F72E58">
              <w:rPr>
                <w:sz w:val="18"/>
                <w:szCs w:val="18"/>
              </w:rPr>
              <w:t>694,5</w:t>
            </w:r>
          </w:p>
        </w:tc>
        <w:tc>
          <w:tcPr>
            <w:tcW w:w="828" w:type="dxa"/>
            <w:shd w:val="clear" w:color="auto" w:fill="auto"/>
            <w:vAlign w:val="bottom"/>
          </w:tcPr>
          <w:p w14:paraId="62CC3FB6" w14:textId="77777777" w:rsidR="00F72E58" w:rsidRPr="00F72E58" w:rsidRDefault="00F72E58" w:rsidP="009E3526">
            <w:pPr>
              <w:spacing w:before="40" w:after="40" w:line="220" w:lineRule="exact"/>
              <w:jc w:val="right"/>
              <w:rPr>
                <w:sz w:val="18"/>
                <w:szCs w:val="18"/>
              </w:rPr>
            </w:pPr>
            <w:r w:rsidRPr="00F72E58">
              <w:rPr>
                <w:sz w:val="18"/>
                <w:szCs w:val="18"/>
              </w:rPr>
              <w:t>698,8</w:t>
            </w:r>
          </w:p>
        </w:tc>
        <w:tc>
          <w:tcPr>
            <w:tcW w:w="828" w:type="dxa"/>
            <w:shd w:val="clear" w:color="auto" w:fill="auto"/>
            <w:vAlign w:val="bottom"/>
          </w:tcPr>
          <w:p w14:paraId="50B51952" w14:textId="77777777" w:rsidR="00F72E58" w:rsidRPr="00F72E58" w:rsidRDefault="00F72E58" w:rsidP="009E3526">
            <w:pPr>
              <w:spacing w:before="40" w:after="40" w:line="220" w:lineRule="exact"/>
              <w:jc w:val="right"/>
              <w:rPr>
                <w:sz w:val="18"/>
                <w:szCs w:val="18"/>
              </w:rPr>
            </w:pPr>
            <w:r w:rsidRPr="00F72E58">
              <w:rPr>
                <w:sz w:val="18"/>
                <w:szCs w:val="18"/>
              </w:rPr>
              <w:t>704,5</w:t>
            </w:r>
          </w:p>
        </w:tc>
        <w:tc>
          <w:tcPr>
            <w:tcW w:w="828" w:type="dxa"/>
            <w:shd w:val="clear" w:color="auto" w:fill="auto"/>
            <w:vAlign w:val="bottom"/>
          </w:tcPr>
          <w:p w14:paraId="4E994C09" w14:textId="77777777" w:rsidR="00F72E58" w:rsidRPr="00F72E58" w:rsidRDefault="00F72E58" w:rsidP="009E3526">
            <w:pPr>
              <w:spacing w:before="40" w:after="40" w:line="220" w:lineRule="exact"/>
              <w:jc w:val="right"/>
              <w:rPr>
                <w:sz w:val="18"/>
                <w:szCs w:val="18"/>
              </w:rPr>
            </w:pPr>
            <w:r w:rsidRPr="00F72E58">
              <w:rPr>
                <w:sz w:val="18"/>
                <w:szCs w:val="18"/>
              </w:rPr>
              <w:t>715,0</w:t>
            </w:r>
          </w:p>
        </w:tc>
        <w:tc>
          <w:tcPr>
            <w:tcW w:w="828" w:type="dxa"/>
            <w:shd w:val="clear" w:color="auto" w:fill="auto"/>
            <w:vAlign w:val="bottom"/>
          </w:tcPr>
          <w:p w14:paraId="6A06C8AA" w14:textId="77777777" w:rsidR="00F72E58" w:rsidRPr="00F72E58" w:rsidRDefault="00F72E58" w:rsidP="009E3526">
            <w:pPr>
              <w:spacing w:before="40" w:after="40" w:line="220" w:lineRule="exact"/>
              <w:jc w:val="right"/>
              <w:rPr>
                <w:sz w:val="18"/>
                <w:szCs w:val="18"/>
              </w:rPr>
            </w:pPr>
            <w:r w:rsidRPr="00F72E58">
              <w:rPr>
                <w:sz w:val="18"/>
                <w:szCs w:val="18"/>
              </w:rPr>
              <w:t>728,4</w:t>
            </w:r>
          </w:p>
        </w:tc>
        <w:tc>
          <w:tcPr>
            <w:tcW w:w="828" w:type="dxa"/>
            <w:shd w:val="clear" w:color="auto" w:fill="auto"/>
            <w:vAlign w:val="bottom"/>
          </w:tcPr>
          <w:p w14:paraId="214D01F8" w14:textId="77777777" w:rsidR="00F72E58" w:rsidRPr="00F72E58" w:rsidRDefault="00F72E58" w:rsidP="009E3526">
            <w:pPr>
              <w:spacing w:before="40" w:after="40" w:line="220" w:lineRule="exact"/>
              <w:jc w:val="right"/>
              <w:rPr>
                <w:sz w:val="18"/>
                <w:szCs w:val="18"/>
              </w:rPr>
            </w:pPr>
            <w:r w:rsidRPr="00F72E58">
              <w:rPr>
                <w:sz w:val="18"/>
                <w:szCs w:val="18"/>
              </w:rPr>
              <w:t>724,7</w:t>
            </w:r>
          </w:p>
        </w:tc>
        <w:tc>
          <w:tcPr>
            <w:tcW w:w="828" w:type="dxa"/>
            <w:shd w:val="clear" w:color="auto" w:fill="auto"/>
            <w:vAlign w:val="bottom"/>
          </w:tcPr>
          <w:p w14:paraId="22514343" w14:textId="77777777" w:rsidR="00F72E58" w:rsidRPr="00F72E58" w:rsidRDefault="00F72E58" w:rsidP="009E3526">
            <w:pPr>
              <w:spacing w:before="40" w:after="40" w:line="220" w:lineRule="exact"/>
              <w:jc w:val="right"/>
              <w:rPr>
                <w:sz w:val="18"/>
                <w:szCs w:val="18"/>
              </w:rPr>
            </w:pPr>
            <w:r w:rsidRPr="00F72E58">
              <w:rPr>
                <w:sz w:val="18"/>
                <w:szCs w:val="18"/>
              </w:rPr>
              <w:t>730,6</w:t>
            </w:r>
          </w:p>
        </w:tc>
      </w:tr>
      <w:tr w:rsidR="00F72E58" w:rsidRPr="00984603" w14:paraId="75CD8BA2" w14:textId="77777777" w:rsidTr="004961FD">
        <w:tc>
          <w:tcPr>
            <w:tcW w:w="2693" w:type="dxa"/>
            <w:shd w:val="clear" w:color="auto" w:fill="auto"/>
          </w:tcPr>
          <w:p w14:paraId="44AF4ED3"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146FC7FA" w14:textId="77777777" w:rsidR="00F72E58" w:rsidRPr="00F72E58" w:rsidRDefault="00F72E58" w:rsidP="009E3526">
            <w:pPr>
              <w:spacing w:before="40" w:after="40" w:line="220" w:lineRule="exact"/>
              <w:jc w:val="right"/>
              <w:rPr>
                <w:b/>
                <w:bCs/>
                <w:sz w:val="18"/>
                <w:szCs w:val="18"/>
              </w:rPr>
            </w:pPr>
            <w:r w:rsidRPr="00F72E58">
              <w:rPr>
                <w:b/>
                <w:bCs/>
                <w:sz w:val="18"/>
                <w:szCs w:val="18"/>
              </w:rPr>
              <w:t>1 488,8</w:t>
            </w:r>
          </w:p>
        </w:tc>
        <w:tc>
          <w:tcPr>
            <w:tcW w:w="828" w:type="dxa"/>
            <w:shd w:val="clear" w:color="auto" w:fill="auto"/>
            <w:vAlign w:val="bottom"/>
          </w:tcPr>
          <w:p w14:paraId="1F5774B3" w14:textId="77777777" w:rsidR="00F72E58" w:rsidRPr="00F72E58" w:rsidRDefault="00F72E58" w:rsidP="009E3526">
            <w:pPr>
              <w:spacing w:before="40" w:after="40" w:line="220" w:lineRule="exact"/>
              <w:jc w:val="right"/>
              <w:rPr>
                <w:b/>
                <w:bCs/>
                <w:sz w:val="18"/>
                <w:szCs w:val="18"/>
              </w:rPr>
            </w:pPr>
            <w:r w:rsidRPr="00F72E58">
              <w:rPr>
                <w:b/>
                <w:bCs/>
                <w:sz w:val="18"/>
                <w:szCs w:val="18"/>
              </w:rPr>
              <w:t>1 489,7</w:t>
            </w:r>
          </w:p>
        </w:tc>
        <w:tc>
          <w:tcPr>
            <w:tcW w:w="828" w:type="dxa"/>
            <w:shd w:val="clear" w:color="auto" w:fill="auto"/>
            <w:vAlign w:val="bottom"/>
          </w:tcPr>
          <w:p w14:paraId="7924B750" w14:textId="77777777" w:rsidR="00F72E58" w:rsidRPr="00F72E58" w:rsidRDefault="00F72E58" w:rsidP="009E3526">
            <w:pPr>
              <w:spacing w:before="40" w:after="40" w:line="220" w:lineRule="exact"/>
              <w:jc w:val="right"/>
              <w:rPr>
                <w:b/>
                <w:bCs/>
                <w:sz w:val="18"/>
                <w:szCs w:val="18"/>
              </w:rPr>
            </w:pPr>
            <w:r w:rsidRPr="00F72E58">
              <w:rPr>
                <w:b/>
                <w:bCs/>
                <w:sz w:val="18"/>
                <w:szCs w:val="18"/>
              </w:rPr>
              <w:t>1 500,7</w:t>
            </w:r>
          </w:p>
        </w:tc>
        <w:tc>
          <w:tcPr>
            <w:tcW w:w="828" w:type="dxa"/>
            <w:shd w:val="clear" w:color="auto" w:fill="auto"/>
            <w:vAlign w:val="bottom"/>
          </w:tcPr>
          <w:p w14:paraId="1099726C" w14:textId="77777777" w:rsidR="00F72E58" w:rsidRPr="00F72E58" w:rsidRDefault="00F72E58" w:rsidP="009E3526">
            <w:pPr>
              <w:spacing w:before="40" w:after="40" w:line="220" w:lineRule="exact"/>
              <w:jc w:val="right"/>
              <w:rPr>
                <w:b/>
                <w:bCs/>
                <w:sz w:val="18"/>
                <w:szCs w:val="18"/>
              </w:rPr>
            </w:pPr>
            <w:r w:rsidRPr="00F72E58">
              <w:rPr>
                <w:b/>
                <w:bCs/>
                <w:sz w:val="18"/>
                <w:szCs w:val="18"/>
              </w:rPr>
              <w:t>1 516,8</w:t>
            </w:r>
          </w:p>
        </w:tc>
        <w:tc>
          <w:tcPr>
            <w:tcW w:w="828" w:type="dxa"/>
            <w:shd w:val="clear" w:color="auto" w:fill="auto"/>
            <w:vAlign w:val="bottom"/>
          </w:tcPr>
          <w:p w14:paraId="69C76489" w14:textId="77777777" w:rsidR="00F72E58" w:rsidRPr="00F72E58" w:rsidRDefault="00F72E58" w:rsidP="009E3526">
            <w:pPr>
              <w:spacing w:before="40" w:after="40" w:line="220" w:lineRule="exact"/>
              <w:jc w:val="right"/>
              <w:rPr>
                <w:b/>
                <w:bCs/>
                <w:sz w:val="18"/>
                <w:szCs w:val="18"/>
              </w:rPr>
            </w:pPr>
            <w:r w:rsidRPr="00F72E58">
              <w:rPr>
                <w:b/>
                <w:bCs/>
                <w:sz w:val="18"/>
                <w:szCs w:val="18"/>
              </w:rPr>
              <w:t>1 535,1</w:t>
            </w:r>
          </w:p>
        </w:tc>
        <w:tc>
          <w:tcPr>
            <w:tcW w:w="828" w:type="dxa"/>
            <w:shd w:val="clear" w:color="auto" w:fill="auto"/>
            <w:vAlign w:val="bottom"/>
          </w:tcPr>
          <w:p w14:paraId="2168CAAA" w14:textId="77777777" w:rsidR="00F72E58" w:rsidRPr="00F72E58" w:rsidRDefault="00F72E58" w:rsidP="009E3526">
            <w:pPr>
              <w:spacing w:before="40" w:after="40" w:line="220" w:lineRule="exact"/>
              <w:jc w:val="right"/>
              <w:rPr>
                <w:b/>
                <w:bCs/>
                <w:sz w:val="18"/>
                <w:szCs w:val="18"/>
              </w:rPr>
            </w:pPr>
            <w:r w:rsidRPr="00F72E58">
              <w:rPr>
                <w:b/>
                <w:bCs/>
                <w:sz w:val="18"/>
                <w:szCs w:val="18"/>
              </w:rPr>
              <w:t>1 540,9</w:t>
            </w:r>
          </w:p>
        </w:tc>
        <w:tc>
          <w:tcPr>
            <w:tcW w:w="828" w:type="dxa"/>
            <w:shd w:val="clear" w:color="auto" w:fill="auto"/>
            <w:vAlign w:val="bottom"/>
          </w:tcPr>
          <w:p w14:paraId="4C33AF01" w14:textId="77777777" w:rsidR="00F72E58" w:rsidRPr="00F72E58" w:rsidRDefault="00F72E58" w:rsidP="009E3526">
            <w:pPr>
              <w:spacing w:before="40" w:after="40" w:line="220" w:lineRule="exact"/>
              <w:jc w:val="right"/>
              <w:rPr>
                <w:b/>
                <w:bCs/>
                <w:sz w:val="18"/>
                <w:szCs w:val="18"/>
              </w:rPr>
            </w:pPr>
            <w:r w:rsidRPr="00F72E58">
              <w:rPr>
                <w:b/>
                <w:bCs/>
                <w:sz w:val="18"/>
                <w:szCs w:val="18"/>
              </w:rPr>
              <w:t>1 552,6</w:t>
            </w:r>
          </w:p>
        </w:tc>
      </w:tr>
      <w:tr w:rsidR="003279D5" w:rsidRPr="00984603" w14:paraId="367A15F9" w14:textId="77777777" w:rsidTr="004961FD">
        <w:tc>
          <w:tcPr>
            <w:tcW w:w="2693" w:type="dxa"/>
            <w:shd w:val="clear" w:color="auto" w:fill="auto"/>
          </w:tcPr>
          <w:p w14:paraId="6972B09F" w14:textId="77777777" w:rsidR="003279D5" w:rsidRPr="00F72E58" w:rsidRDefault="00F72E58" w:rsidP="009E3526">
            <w:pPr>
              <w:spacing w:before="40" w:after="40" w:line="220" w:lineRule="exact"/>
              <w:rPr>
                <w:i/>
                <w:sz w:val="18"/>
                <w:szCs w:val="18"/>
              </w:rPr>
            </w:pPr>
            <w:r w:rsidRPr="00F72E58">
              <w:rPr>
                <w:i/>
                <w:sz w:val="18"/>
                <w:szCs w:val="18"/>
                <w:lang w:val="fr-FR" w:eastAsia="en-IE"/>
              </w:rPr>
              <w:t>Sans emploi</w:t>
            </w:r>
          </w:p>
        </w:tc>
        <w:tc>
          <w:tcPr>
            <w:tcW w:w="828" w:type="dxa"/>
            <w:shd w:val="clear" w:color="auto" w:fill="auto"/>
            <w:vAlign w:val="bottom"/>
          </w:tcPr>
          <w:p w14:paraId="6FEEBDD1" w14:textId="77777777" w:rsidR="003279D5" w:rsidRPr="00F72E58" w:rsidRDefault="003279D5" w:rsidP="009E3526">
            <w:pPr>
              <w:spacing w:before="40" w:after="40" w:line="220" w:lineRule="exact"/>
              <w:rPr>
                <w:i/>
                <w:sz w:val="18"/>
                <w:szCs w:val="18"/>
              </w:rPr>
            </w:pPr>
          </w:p>
        </w:tc>
        <w:tc>
          <w:tcPr>
            <w:tcW w:w="828" w:type="dxa"/>
            <w:shd w:val="clear" w:color="auto" w:fill="auto"/>
            <w:vAlign w:val="bottom"/>
          </w:tcPr>
          <w:p w14:paraId="34F4F702"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34B4D9C6"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91356CD"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5F5B018"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0D715659"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500A4EB3" w14:textId="77777777" w:rsidR="003279D5" w:rsidRPr="00F72E58" w:rsidRDefault="003279D5" w:rsidP="009E3526">
            <w:pPr>
              <w:spacing w:before="40" w:after="40" w:line="220" w:lineRule="exact"/>
              <w:jc w:val="right"/>
              <w:rPr>
                <w:sz w:val="18"/>
                <w:szCs w:val="18"/>
              </w:rPr>
            </w:pPr>
          </w:p>
        </w:tc>
      </w:tr>
      <w:tr w:rsidR="00F72E58" w:rsidRPr="00984603" w14:paraId="1B80EFC3" w14:textId="77777777" w:rsidTr="004961FD">
        <w:tc>
          <w:tcPr>
            <w:tcW w:w="2693" w:type="dxa"/>
            <w:shd w:val="clear" w:color="auto" w:fill="auto"/>
          </w:tcPr>
          <w:p w14:paraId="04A9CF59"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01842D4D" w14:textId="77777777" w:rsidR="00F72E58" w:rsidRPr="00F72E58" w:rsidRDefault="00F72E58" w:rsidP="009E3526">
            <w:pPr>
              <w:spacing w:before="40" w:after="40" w:line="220" w:lineRule="exact"/>
              <w:jc w:val="right"/>
              <w:rPr>
                <w:sz w:val="18"/>
                <w:szCs w:val="18"/>
              </w:rPr>
            </w:pPr>
            <w:r w:rsidRPr="00F72E58">
              <w:rPr>
                <w:sz w:val="18"/>
                <w:szCs w:val="18"/>
              </w:rPr>
              <w:t>37,0</w:t>
            </w:r>
          </w:p>
        </w:tc>
        <w:tc>
          <w:tcPr>
            <w:tcW w:w="828" w:type="dxa"/>
            <w:shd w:val="clear" w:color="auto" w:fill="auto"/>
            <w:vAlign w:val="bottom"/>
          </w:tcPr>
          <w:p w14:paraId="46CA9DA4" w14:textId="77777777" w:rsidR="00F72E58" w:rsidRPr="00F72E58" w:rsidRDefault="00F72E58" w:rsidP="009E3526">
            <w:pPr>
              <w:spacing w:before="40" w:after="40" w:line="220" w:lineRule="exact"/>
              <w:jc w:val="right"/>
              <w:rPr>
                <w:sz w:val="18"/>
                <w:szCs w:val="18"/>
              </w:rPr>
            </w:pPr>
            <w:r w:rsidRPr="00F72E58">
              <w:rPr>
                <w:sz w:val="18"/>
                <w:szCs w:val="18"/>
              </w:rPr>
              <w:t>40,8</w:t>
            </w:r>
          </w:p>
        </w:tc>
        <w:tc>
          <w:tcPr>
            <w:tcW w:w="828" w:type="dxa"/>
            <w:shd w:val="clear" w:color="auto" w:fill="auto"/>
            <w:vAlign w:val="bottom"/>
          </w:tcPr>
          <w:p w14:paraId="660E7F08" w14:textId="77777777" w:rsidR="00F72E58" w:rsidRPr="00F72E58" w:rsidRDefault="00F72E58" w:rsidP="009E3526">
            <w:pPr>
              <w:spacing w:before="40" w:after="40" w:line="220" w:lineRule="exact"/>
              <w:jc w:val="right"/>
              <w:rPr>
                <w:sz w:val="18"/>
                <w:szCs w:val="18"/>
              </w:rPr>
            </w:pPr>
            <w:r w:rsidRPr="00F72E58">
              <w:rPr>
                <w:sz w:val="18"/>
                <w:szCs w:val="18"/>
              </w:rPr>
              <w:t>36,4</w:t>
            </w:r>
          </w:p>
        </w:tc>
        <w:tc>
          <w:tcPr>
            <w:tcW w:w="828" w:type="dxa"/>
            <w:shd w:val="clear" w:color="auto" w:fill="auto"/>
            <w:vAlign w:val="bottom"/>
          </w:tcPr>
          <w:p w14:paraId="552C5522" w14:textId="77777777" w:rsidR="00F72E58" w:rsidRPr="00F72E58" w:rsidRDefault="00F72E58" w:rsidP="009E3526">
            <w:pPr>
              <w:spacing w:before="40" w:after="40" w:line="220" w:lineRule="exact"/>
              <w:jc w:val="right"/>
              <w:rPr>
                <w:sz w:val="18"/>
                <w:szCs w:val="18"/>
              </w:rPr>
            </w:pPr>
            <w:r w:rsidRPr="00F72E58">
              <w:rPr>
                <w:sz w:val="18"/>
                <w:szCs w:val="18"/>
              </w:rPr>
              <w:t>37,0</w:t>
            </w:r>
          </w:p>
        </w:tc>
        <w:tc>
          <w:tcPr>
            <w:tcW w:w="828" w:type="dxa"/>
            <w:shd w:val="clear" w:color="auto" w:fill="auto"/>
            <w:vAlign w:val="bottom"/>
          </w:tcPr>
          <w:p w14:paraId="20CAE387" w14:textId="77777777" w:rsidR="00F72E58" w:rsidRPr="00F72E58" w:rsidRDefault="00F72E58" w:rsidP="009E3526">
            <w:pPr>
              <w:spacing w:before="40" w:after="40" w:line="220" w:lineRule="exact"/>
              <w:jc w:val="right"/>
              <w:rPr>
                <w:sz w:val="18"/>
                <w:szCs w:val="18"/>
              </w:rPr>
            </w:pPr>
            <w:r w:rsidRPr="00F72E58">
              <w:rPr>
                <w:sz w:val="18"/>
                <w:szCs w:val="18"/>
              </w:rPr>
              <w:t>35,3</w:t>
            </w:r>
          </w:p>
        </w:tc>
        <w:tc>
          <w:tcPr>
            <w:tcW w:w="828" w:type="dxa"/>
            <w:shd w:val="clear" w:color="auto" w:fill="auto"/>
            <w:vAlign w:val="bottom"/>
          </w:tcPr>
          <w:p w14:paraId="22877448" w14:textId="77777777" w:rsidR="00F72E58" w:rsidRPr="00F72E58" w:rsidRDefault="00F72E58" w:rsidP="009E3526">
            <w:pPr>
              <w:spacing w:before="40" w:after="40" w:line="220" w:lineRule="exact"/>
              <w:jc w:val="right"/>
              <w:rPr>
                <w:sz w:val="18"/>
                <w:szCs w:val="18"/>
              </w:rPr>
            </w:pPr>
            <w:r w:rsidRPr="00F72E58">
              <w:rPr>
                <w:sz w:val="18"/>
                <w:szCs w:val="18"/>
              </w:rPr>
              <w:t>31,2</w:t>
            </w:r>
          </w:p>
        </w:tc>
        <w:tc>
          <w:tcPr>
            <w:tcW w:w="828" w:type="dxa"/>
            <w:shd w:val="clear" w:color="auto" w:fill="auto"/>
            <w:vAlign w:val="bottom"/>
          </w:tcPr>
          <w:p w14:paraId="4184B783" w14:textId="77777777" w:rsidR="00F72E58" w:rsidRPr="00F72E58" w:rsidRDefault="00F72E58" w:rsidP="009E3526">
            <w:pPr>
              <w:spacing w:before="40" w:after="40" w:line="220" w:lineRule="exact"/>
              <w:jc w:val="right"/>
              <w:rPr>
                <w:sz w:val="18"/>
                <w:szCs w:val="18"/>
              </w:rPr>
            </w:pPr>
            <w:r w:rsidRPr="00F72E58">
              <w:rPr>
                <w:sz w:val="18"/>
                <w:szCs w:val="18"/>
              </w:rPr>
              <w:t>29,0</w:t>
            </w:r>
          </w:p>
        </w:tc>
      </w:tr>
      <w:tr w:rsidR="00F72E58" w:rsidRPr="00984603" w14:paraId="21843248" w14:textId="77777777" w:rsidTr="004961FD">
        <w:tc>
          <w:tcPr>
            <w:tcW w:w="2693" w:type="dxa"/>
            <w:shd w:val="clear" w:color="auto" w:fill="auto"/>
          </w:tcPr>
          <w:p w14:paraId="3C7AD725"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4F9C6EF9" w14:textId="77777777" w:rsidR="00F72E58" w:rsidRPr="00F72E58" w:rsidRDefault="00F72E58" w:rsidP="009E3526">
            <w:pPr>
              <w:spacing w:before="40" w:after="40" w:line="220" w:lineRule="exact"/>
              <w:jc w:val="right"/>
              <w:rPr>
                <w:sz w:val="18"/>
                <w:szCs w:val="18"/>
              </w:rPr>
            </w:pPr>
            <w:r w:rsidRPr="00F72E58">
              <w:rPr>
                <w:sz w:val="18"/>
                <w:szCs w:val="18"/>
              </w:rPr>
              <w:t>43,3</w:t>
            </w:r>
          </w:p>
        </w:tc>
        <w:tc>
          <w:tcPr>
            <w:tcW w:w="828" w:type="dxa"/>
            <w:shd w:val="clear" w:color="auto" w:fill="auto"/>
            <w:vAlign w:val="bottom"/>
          </w:tcPr>
          <w:p w14:paraId="3F5A19B4" w14:textId="77777777" w:rsidR="00F72E58" w:rsidRPr="00F72E58" w:rsidRDefault="00F72E58" w:rsidP="009E3526">
            <w:pPr>
              <w:spacing w:before="40" w:after="40" w:line="220" w:lineRule="exact"/>
              <w:jc w:val="right"/>
              <w:rPr>
                <w:sz w:val="18"/>
                <w:szCs w:val="18"/>
              </w:rPr>
            </w:pPr>
            <w:r w:rsidRPr="00F72E58">
              <w:rPr>
                <w:sz w:val="18"/>
                <w:szCs w:val="18"/>
              </w:rPr>
              <w:t>43,8</w:t>
            </w:r>
          </w:p>
        </w:tc>
        <w:tc>
          <w:tcPr>
            <w:tcW w:w="828" w:type="dxa"/>
            <w:shd w:val="clear" w:color="auto" w:fill="auto"/>
            <w:vAlign w:val="bottom"/>
          </w:tcPr>
          <w:p w14:paraId="7E98E0A9" w14:textId="77777777" w:rsidR="00F72E58" w:rsidRPr="00F72E58" w:rsidRDefault="00F72E58" w:rsidP="009E3526">
            <w:pPr>
              <w:spacing w:before="40" w:after="40" w:line="220" w:lineRule="exact"/>
              <w:jc w:val="right"/>
              <w:rPr>
                <w:sz w:val="18"/>
                <w:szCs w:val="18"/>
              </w:rPr>
            </w:pPr>
            <w:r w:rsidRPr="00F72E58">
              <w:rPr>
                <w:sz w:val="18"/>
                <w:szCs w:val="18"/>
              </w:rPr>
              <w:t>34,9</w:t>
            </w:r>
          </w:p>
        </w:tc>
        <w:tc>
          <w:tcPr>
            <w:tcW w:w="828" w:type="dxa"/>
            <w:shd w:val="clear" w:color="auto" w:fill="auto"/>
            <w:vAlign w:val="bottom"/>
          </w:tcPr>
          <w:p w14:paraId="49EF9E2B" w14:textId="77777777" w:rsidR="00F72E58" w:rsidRPr="00F72E58" w:rsidRDefault="00F72E58" w:rsidP="009E3526">
            <w:pPr>
              <w:spacing w:before="40" w:after="40" w:line="220" w:lineRule="exact"/>
              <w:jc w:val="right"/>
              <w:rPr>
                <w:sz w:val="18"/>
                <w:szCs w:val="18"/>
              </w:rPr>
            </w:pPr>
            <w:r w:rsidRPr="00F72E58">
              <w:rPr>
                <w:sz w:val="18"/>
                <w:szCs w:val="18"/>
              </w:rPr>
              <w:t>39,7</w:t>
            </w:r>
          </w:p>
        </w:tc>
        <w:tc>
          <w:tcPr>
            <w:tcW w:w="828" w:type="dxa"/>
            <w:shd w:val="clear" w:color="auto" w:fill="auto"/>
            <w:vAlign w:val="bottom"/>
          </w:tcPr>
          <w:p w14:paraId="0893AB52" w14:textId="77777777" w:rsidR="00F72E58" w:rsidRPr="00F72E58" w:rsidRDefault="00F72E58" w:rsidP="009E3526">
            <w:pPr>
              <w:spacing w:before="40" w:after="40" w:line="220" w:lineRule="exact"/>
              <w:jc w:val="right"/>
              <w:rPr>
                <w:sz w:val="18"/>
                <w:szCs w:val="18"/>
              </w:rPr>
            </w:pPr>
            <w:r w:rsidRPr="00F72E58">
              <w:rPr>
                <w:sz w:val="18"/>
                <w:szCs w:val="18"/>
              </w:rPr>
              <w:t>37,9</w:t>
            </w:r>
          </w:p>
        </w:tc>
        <w:tc>
          <w:tcPr>
            <w:tcW w:w="828" w:type="dxa"/>
            <w:shd w:val="clear" w:color="auto" w:fill="auto"/>
            <w:vAlign w:val="bottom"/>
          </w:tcPr>
          <w:p w14:paraId="24201825" w14:textId="77777777" w:rsidR="00F72E58" w:rsidRPr="00F72E58" w:rsidRDefault="00F72E58" w:rsidP="009E3526">
            <w:pPr>
              <w:spacing w:before="40" w:after="40" w:line="220" w:lineRule="exact"/>
              <w:jc w:val="right"/>
              <w:rPr>
                <w:sz w:val="18"/>
                <w:szCs w:val="18"/>
              </w:rPr>
            </w:pPr>
            <w:r w:rsidRPr="00F72E58">
              <w:rPr>
                <w:sz w:val="18"/>
                <w:szCs w:val="18"/>
              </w:rPr>
              <w:t>36,1</w:t>
            </w:r>
          </w:p>
        </w:tc>
        <w:tc>
          <w:tcPr>
            <w:tcW w:w="828" w:type="dxa"/>
            <w:shd w:val="clear" w:color="auto" w:fill="auto"/>
            <w:vAlign w:val="bottom"/>
          </w:tcPr>
          <w:p w14:paraId="7E4B157C" w14:textId="77777777" w:rsidR="00F72E58" w:rsidRPr="00F72E58" w:rsidRDefault="00F72E58" w:rsidP="009E3526">
            <w:pPr>
              <w:spacing w:before="40" w:after="40" w:line="220" w:lineRule="exact"/>
              <w:jc w:val="right"/>
              <w:rPr>
                <w:sz w:val="18"/>
                <w:szCs w:val="18"/>
              </w:rPr>
            </w:pPr>
            <w:r w:rsidRPr="00F72E58">
              <w:rPr>
                <w:sz w:val="18"/>
                <w:szCs w:val="18"/>
              </w:rPr>
              <w:t>36,4</w:t>
            </w:r>
          </w:p>
        </w:tc>
      </w:tr>
      <w:tr w:rsidR="00F72E58" w:rsidRPr="00984603" w14:paraId="14DB4854" w14:textId="77777777" w:rsidTr="004961FD">
        <w:tc>
          <w:tcPr>
            <w:tcW w:w="2693" w:type="dxa"/>
            <w:shd w:val="clear" w:color="auto" w:fill="auto"/>
          </w:tcPr>
          <w:p w14:paraId="6789ADED"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27E238A9" w14:textId="77777777" w:rsidR="00F72E58" w:rsidRPr="00F72E58" w:rsidRDefault="00F72E58" w:rsidP="009E3526">
            <w:pPr>
              <w:spacing w:before="40" w:after="40" w:line="220" w:lineRule="exact"/>
              <w:jc w:val="right"/>
              <w:rPr>
                <w:b/>
                <w:bCs/>
                <w:sz w:val="18"/>
                <w:szCs w:val="18"/>
              </w:rPr>
            </w:pPr>
            <w:r w:rsidRPr="00F72E58">
              <w:rPr>
                <w:b/>
                <w:bCs/>
                <w:sz w:val="18"/>
                <w:szCs w:val="18"/>
              </w:rPr>
              <w:t>80,2</w:t>
            </w:r>
          </w:p>
        </w:tc>
        <w:tc>
          <w:tcPr>
            <w:tcW w:w="828" w:type="dxa"/>
            <w:shd w:val="clear" w:color="auto" w:fill="auto"/>
            <w:vAlign w:val="bottom"/>
          </w:tcPr>
          <w:p w14:paraId="2CA483E3" w14:textId="77777777" w:rsidR="00F72E58" w:rsidRPr="00F72E58" w:rsidRDefault="00F72E58" w:rsidP="009E3526">
            <w:pPr>
              <w:spacing w:before="40" w:after="40" w:line="220" w:lineRule="exact"/>
              <w:jc w:val="right"/>
              <w:rPr>
                <w:b/>
                <w:bCs/>
                <w:sz w:val="18"/>
                <w:szCs w:val="18"/>
              </w:rPr>
            </w:pPr>
            <w:r w:rsidRPr="00F72E58">
              <w:rPr>
                <w:b/>
                <w:bCs/>
                <w:sz w:val="18"/>
                <w:szCs w:val="18"/>
              </w:rPr>
              <w:t>84,7</w:t>
            </w:r>
          </w:p>
        </w:tc>
        <w:tc>
          <w:tcPr>
            <w:tcW w:w="828" w:type="dxa"/>
            <w:shd w:val="clear" w:color="auto" w:fill="auto"/>
            <w:vAlign w:val="bottom"/>
          </w:tcPr>
          <w:p w14:paraId="3E6462CC" w14:textId="77777777" w:rsidR="00F72E58" w:rsidRPr="00F72E58" w:rsidRDefault="00F72E58" w:rsidP="009E3526">
            <w:pPr>
              <w:spacing w:before="40" w:after="40" w:line="220" w:lineRule="exact"/>
              <w:jc w:val="right"/>
              <w:rPr>
                <w:b/>
                <w:bCs/>
                <w:sz w:val="18"/>
                <w:szCs w:val="18"/>
              </w:rPr>
            </w:pPr>
            <w:r w:rsidRPr="00F72E58">
              <w:rPr>
                <w:b/>
                <w:bCs/>
                <w:sz w:val="18"/>
                <w:szCs w:val="18"/>
              </w:rPr>
              <w:t>71,3</w:t>
            </w:r>
          </w:p>
        </w:tc>
        <w:tc>
          <w:tcPr>
            <w:tcW w:w="828" w:type="dxa"/>
            <w:shd w:val="clear" w:color="auto" w:fill="auto"/>
            <w:vAlign w:val="bottom"/>
          </w:tcPr>
          <w:p w14:paraId="2C2F02F4" w14:textId="77777777" w:rsidR="00F72E58" w:rsidRPr="00F72E58" w:rsidRDefault="00F72E58" w:rsidP="009E3526">
            <w:pPr>
              <w:spacing w:before="40" w:after="40" w:line="220" w:lineRule="exact"/>
              <w:jc w:val="right"/>
              <w:rPr>
                <w:b/>
                <w:bCs/>
                <w:sz w:val="18"/>
                <w:szCs w:val="18"/>
              </w:rPr>
            </w:pPr>
            <w:r w:rsidRPr="00F72E58">
              <w:rPr>
                <w:b/>
                <w:bCs/>
                <w:sz w:val="18"/>
                <w:szCs w:val="18"/>
              </w:rPr>
              <w:t>76,7</w:t>
            </w:r>
          </w:p>
        </w:tc>
        <w:tc>
          <w:tcPr>
            <w:tcW w:w="828" w:type="dxa"/>
            <w:shd w:val="clear" w:color="auto" w:fill="auto"/>
            <w:vAlign w:val="bottom"/>
          </w:tcPr>
          <w:p w14:paraId="22911220" w14:textId="77777777" w:rsidR="00F72E58" w:rsidRPr="00F72E58" w:rsidRDefault="00F72E58" w:rsidP="009E3526">
            <w:pPr>
              <w:spacing w:before="40" w:after="40" w:line="220" w:lineRule="exact"/>
              <w:jc w:val="right"/>
              <w:rPr>
                <w:b/>
                <w:bCs/>
                <w:sz w:val="18"/>
                <w:szCs w:val="18"/>
              </w:rPr>
            </w:pPr>
            <w:r w:rsidRPr="00F72E58">
              <w:rPr>
                <w:b/>
                <w:bCs/>
                <w:sz w:val="18"/>
                <w:szCs w:val="18"/>
              </w:rPr>
              <w:t>73,2</w:t>
            </w:r>
          </w:p>
        </w:tc>
        <w:tc>
          <w:tcPr>
            <w:tcW w:w="828" w:type="dxa"/>
            <w:shd w:val="clear" w:color="auto" w:fill="auto"/>
            <w:vAlign w:val="bottom"/>
          </w:tcPr>
          <w:p w14:paraId="3271140B" w14:textId="77777777" w:rsidR="00F72E58" w:rsidRPr="00F72E58" w:rsidRDefault="00F72E58" w:rsidP="009E3526">
            <w:pPr>
              <w:spacing w:before="40" w:after="40" w:line="220" w:lineRule="exact"/>
              <w:jc w:val="right"/>
              <w:rPr>
                <w:b/>
                <w:bCs/>
                <w:sz w:val="18"/>
                <w:szCs w:val="18"/>
              </w:rPr>
            </w:pPr>
            <w:r w:rsidRPr="00F72E58">
              <w:rPr>
                <w:b/>
                <w:bCs/>
                <w:sz w:val="18"/>
                <w:szCs w:val="18"/>
              </w:rPr>
              <w:t>67,3</w:t>
            </w:r>
          </w:p>
        </w:tc>
        <w:tc>
          <w:tcPr>
            <w:tcW w:w="828" w:type="dxa"/>
            <w:shd w:val="clear" w:color="auto" w:fill="auto"/>
            <w:vAlign w:val="bottom"/>
          </w:tcPr>
          <w:p w14:paraId="371AA93D" w14:textId="77777777" w:rsidR="00F72E58" w:rsidRPr="00F72E58" w:rsidRDefault="00F72E58" w:rsidP="009E3526">
            <w:pPr>
              <w:spacing w:before="40" w:after="40" w:line="220" w:lineRule="exact"/>
              <w:jc w:val="right"/>
              <w:rPr>
                <w:b/>
                <w:bCs/>
                <w:sz w:val="18"/>
                <w:szCs w:val="18"/>
              </w:rPr>
            </w:pPr>
            <w:r w:rsidRPr="00F72E58">
              <w:rPr>
                <w:b/>
                <w:bCs/>
                <w:sz w:val="18"/>
                <w:szCs w:val="18"/>
              </w:rPr>
              <w:t>65,4</w:t>
            </w:r>
          </w:p>
        </w:tc>
      </w:tr>
      <w:tr w:rsidR="003279D5" w:rsidRPr="003279D5" w14:paraId="435D526E" w14:textId="77777777" w:rsidTr="004961FD">
        <w:tc>
          <w:tcPr>
            <w:tcW w:w="2693" w:type="dxa"/>
            <w:shd w:val="clear" w:color="auto" w:fill="auto"/>
          </w:tcPr>
          <w:p w14:paraId="3B7276B6" w14:textId="77777777" w:rsidR="003279D5" w:rsidRPr="00F72E58" w:rsidRDefault="00F72E58" w:rsidP="009E3526">
            <w:pPr>
              <w:spacing w:before="40" w:after="40" w:line="220" w:lineRule="exact"/>
              <w:rPr>
                <w:i/>
                <w:sz w:val="18"/>
                <w:szCs w:val="18"/>
                <w:lang w:val="ru-RU"/>
              </w:rPr>
            </w:pPr>
            <w:r w:rsidRPr="00F72E58">
              <w:rPr>
                <w:i/>
                <w:iCs/>
                <w:sz w:val="18"/>
                <w:szCs w:val="18"/>
              </w:rPr>
              <w:t>Inactif</w:t>
            </w:r>
          </w:p>
        </w:tc>
        <w:tc>
          <w:tcPr>
            <w:tcW w:w="828" w:type="dxa"/>
            <w:shd w:val="clear" w:color="auto" w:fill="auto"/>
            <w:vAlign w:val="bottom"/>
          </w:tcPr>
          <w:p w14:paraId="314106CD"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26AEA26B"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1499A257"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64F5914F"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3BD47C42"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61AFD3C8" w14:textId="77777777" w:rsidR="003279D5" w:rsidRPr="00F72E58" w:rsidRDefault="003279D5" w:rsidP="009E3526">
            <w:pPr>
              <w:spacing w:before="40" w:after="40" w:line="220" w:lineRule="exact"/>
              <w:jc w:val="right"/>
              <w:rPr>
                <w:sz w:val="18"/>
                <w:szCs w:val="18"/>
                <w:lang w:val="ru-RU"/>
              </w:rPr>
            </w:pPr>
          </w:p>
        </w:tc>
        <w:tc>
          <w:tcPr>
            <w:tcW w:w="828" w:type="dxa"/>
            <w:shd w:val="clear" w:color="auto" w:fill="auto"/>
            <w:vAlign w:val="bottom"/>
          </w:tcPr>
          <w:p w14:paraId="315C7766" w14:textId="77777777" w:rsidR="003279D5" w:rsidRPr="00F72E58" w:rsidRDefault="003279D5" w:rsidP="009E3526">
            <w:pPr>
              <w:spacing w:before="40" w:after="40" w:line="220" w:lineRule="exact"/>
              <w:jc w:val="right"/>
              <w:rPr>
                <w:sz w:val="18"/>
                <w:szCs w:val="18"/>
                <w:lang w:val="ru-RU"/>
              </w:rPr>
            </w:pPr>
          </w:p>
        </w:tc>
      </w:tr>
      <w:tr w:rsidR="00F72E58" w:rsidRPr="00984603" w14:paraId="05AEF0E8" w14:textId="77777777" w:rsidTr="004961FD">
        <w:tc>
          <w:tcPr>
            <w:tcW w:w="2693" w:type="dxa"/>
            <w:shd w:val="clear" w:color="auto" w:fill="auto"/>
          </w:tcPr>
          <w:p w14:paraId="6E301FA6"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473B0D67" w14:textId="77777777" w:rsidR="00F72E58" w:rsidRPr="00F72E58" w:rsidRDefault="00F72E58" w:rsidP="009E3526">
            <w:pPr>
              <w:spacing w:before="40" w:after="40" w:line="220" w:lineRule="exact"/>
              <w:jc w:val="right"/>
              <w:rPr>
                <w:sz w:val="18"/>
                <w:szCs w:val="18"/>
              </w:rPr>
            </w:pPr>
            <w:r w:rsidRPr="00F72E58">
              <w:rPr>
                <w:sz w:val="18"/>
                <w:szCs w:val="18"/>
              </w:rPr>
              <w:t>280,2</w:t>
            </w:r>
          </w:p>
        </w:tc>
        <w:tc>
          <w:tcPr>
            <w:tcW w:w="828" w:type="dxa"/>
            <w:shd w:val="clear" w:color="auto" w:fill="auto"/>
            <w:vAlign w:val="bottom"/>
          </w:tcPr>
          <w:p w14:paraId="3F7E0A0D" w14:textId="77777777" w:rsidR="00F72E58" w:rsidRPr="00F72E58" w:rsidRDefault="00F72E58" w:rsidP="009E3526">
            <w:pPr>
              <w:spacing w:before="40" w:after="40" w:line="220" w:lineRule="exact"/>
              <w:jc w:val="right"/>
              <w:rPr>
                <w:sz w:val="18"/>
                <w:szCs w:val="18"/>
              </w:rPr>
            </w:pPr>
            <w:r w:rsidRPr="00F72E58">
              <w:rPr>
                <w:sz w:val="18"/>
                <w:szCs w:val="18"/>
              </w:rPr>
              <w:t>279,5</w:t>
            </w:r>
          </w:p>
        </w:tc>
        <w:tc>
          <w:tcPr>
            <w:tcW w:w="828" w:type="dxa"/>
            <w:shd w:val="clear" w:color="auto" w:fill="auto"/>
            <w:vAlign w:val="bottom"/>
          </w:tcPr>
          <w:p w14:paraId="61546232" w14:textId="77777777" w:rsidR="00F72E58" w:rsidRPr="00F72E58" w:rsidRDefault="00F72E58" w:rsidP="009E3526">
            <w:pPr>
              <w:spacing w:before="40" w:after="40" w:line="220" w:lineRule="exact"/>
              <w:jc w:val="right"/>
              <w:rPr>
                <w:sz w:val="18"/>
                <w:szCs w:val="18"/>
              </w:rPr>
            </w:pPr>
            <w:r w:rsidRPr="00F72E58">
              <w:rPr>
                <w:sz w:val="18"/>
                <w:szCs w:val="18"/>
              </w:rPr>
              <w:t>282,7</w:t>
            </w:r>
          </w:p>
        </w:tc>
        <w:tc>
          <w:tcPr>
            <w:tcW w:w="828" w:type="dxa"/>
            <w:shd w:val="clear" w:color="auto" w:fill="auto"/>
            <w:vAlign w:val="bottom"/>
          </w:tcPr>
          <w:p w14:paraId="7D481152" w14:textId="77777777" w:rsidR="00F72E58" w:rsidRPr="00F72E58" w:rsidRDefault="00F72E58" w:rsidP="009E3526">
            <w:pPr>
              <w:spacing w:before="40" w:after="40" w:line="220" w:lineRule="exact"/>
              <w:jc w:val="right"/>
              <w:rPr>
                <w:sz w:val="18"/>
                <w:szCs w:val="18"/>
              </w:rPr>
            </w:pPr>
            <w:r w:rsidRPr="00F72E58">
              <w:rPr>
                <w:sz w:val="18"/>
                <w:szCs w:val="18"/>
              </w:rPr>
              <w:t>275,7</w:t>
            </w:r>
          </w:p>
        </w:tc>
        <w:tc>
          <w:tcPr>
            <w:tcW w:w="828" w:type="dxa"/>
            <w:shd w:val="clear" w:color="auto" w:fill="auto"/>
            <w:vAlign w:val="bottom"/>
          </w:tcPr>
          <w:p w14:paraId="50CD6BFA" w14:textId="77777777" w:rsidR="00F72E58" w:rsidRPr="00F72E58" w:rsidRDefault="00F72E58" w:rsidP="009E3526">
            <w:pPr>
              <w:spacing w:before="40" w:after="40" w:line="220" w:lineRule="exact"/>
              <w:jc w:val="right"/>
              <w:rPr>
                <w:sz w:val="18"/>
                <w:szCs w:val="18"/>
              </w:rPr>
            </w:pPr>
            <w:r w:rsidRPr="00F72E58">
              <w:rPr>
                <w:sz w:val="18"/>
                <w:szCs w:val="18"/>
              </w:rPr>
              <w:t>271,9</w:t>
            </w:r>
          </w:p>
        </w:tc>
        <w:tc>
          <w:tcPr>
            <w:tcW w:w="828" w:type="dxa"/>
            <w:shd w:val="clear" w:color="auto" w:fill="auto"/>
            <w:vAlign w:val="bottom"/>
          </w:tcPr>
          <w:p w14:paraId="73B432F4" w14:textId="77777777" w:rsidR="00F72E58" w:rsidRPr="00F72E58" w:rsidRDefault="00F72E58" w:rsidP="009E3526">
            <w:pPr>
              <w:spacing w:before="40" w:after="40" w:line="220" w:lineRule="exact"/>
              <w:jc w:val="right"/>
              <w:rPr>
                <w:sz w:val="18"/>
                <w:szCs w:val="18"/>
              </w:rPr>
            </w:pPr>
            <w:r w:rsidRPr="00F72E58">
              <w:rPr>
                <w:sz w:val="18"/>
                <w:szCs w:val="18"/>
              </w:rPr>
              <w:t>270,2</w:t>
            </w:r>
          </w:p>
        </w:tc>
        <w:tc>
          <w:tcPr>
            <w:tcW w:w="828" w:type="dxa"/>
            <w:shd w:val="clear" w:color="auto" w:fill="auto"/>
            <w:vAlign w:val="bottom"/>
          </w:tcPr>
          <w:p w14:paraId="6313B260" w14:textId="77777777" w:rsidR="00F72E58" w:rsidRPr="00F72E58" w:rsidRDefault="00F72E58" w:rsidP="009E3526">
            <w:pPr>
              <w:spacing w:before="40" w:after="40" w:line="220" w:lineRule="exact"/>
              <w:jc w:val="right"/>
              <w:rPr>
                <w:sz w:val="18"/>
                <w:szCs w:val="18"/>
              </w:rPr>
            </w:pPr>
            <w:r w:rsidRPr="00F72E58">
              <w:rPr>
                <w:sz w:val="18"/>
                <w:szCs w:val="18"/>
              </w:rPr>
              <w:t>274,5</w:t>
            </w:r>
          </w:p>
        </w:tc>
      </w:tr>
      <w:tr w:rsidR="00F72E58" w:rsidRPr="00984603" w14:paraId="4AD4411F" w14:textId="77777777" w:rsidTr="004961FD">
        <w:tc>
          <w:tcPr>
            <w:tcW w:w="2693" w:type="dxa"/>
            <w:shd w:val="clear" w:color="auto" w:fill="auto"/>
          </w:tcPr>
          <w:p w14:paraId="235CBA91"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376E0EB0" w14:textId="77777777" w:rsidR="00F72E58" w:rsidRPr="00F72E58" w:rsidRDefault="00F72E58" w:rsidP="009E3526">
            <w:pPr>
              <w:spacing w:before="40" w:after="40" w:line="220" w:lineRule="exact"/>
              <w:jc w:val="right"/>
              <w:rPr>
                <w:sz w:val="18"/>
                <w:szCs w:val="18"/>
              </w:rPr>
            </w:pPr>
            <w:r w:rsidRPr="00F72E58">
              <w:rPr>
                <w:sz w:val="18"/>
                <w:szCs w:val="18"/>
              </w:rPr>
              <w:t>520,3</w:t>
            </w:r>
          </w:p>
        </w:tc>
        <w:tc>
          <w:tcPr>
            <w:tcW w:w="828" w:type="dxa"/>
            <w:shd w:val="clear" w:color="auto" w:fill="auto"/>
            <w:vAlign w:val="bottom"/>
          </w:tcPr>
          <w:p w14:paraId="143650C1" w14:textId="77777777" w:rsidR="00F72E58" w:rsidRPr="00F72E58" w:rsidRDefault="00F72E58" w:rsidP="009E3526">
            <w:pPr>
              <w:spacing w:before="40" w:after="40" w:line="220" w:lineRule="exact"/>
              <w:jc w:val="right"/>
              <w:rPr>
                <w:sz w:val="18"/>
                <w:szCs w:val="18"/>
              </w:rPr>
            </w:pPr>
            <w:r w:rsidRPr="00F72E58">
              <w:rPr>
                <w:sz w:val="18"/>
                <w:szCs w:val="18"/>
              </w:rPr>
              <w:t>519,0</w:t>
            </w:r>
          </w:p>
        </w:tc>
        <w:tc>
          <w:tcPr>
            <w:tcW w:w="828" w:type="dxa"/>
            <w:shd w:val="clear" w:color="auto" w:fill="auto"/>
            <w:vAlign w:val="bottom"/>
          </w:tcPr>
          <w:p w14:paraId="02C4B54A" w14:textId="77777777" w:rsidR="00F72E58" w:rsidRPr="00F72E58" w:rsidRDefault="00F72E58" w:rsidP="009E3526">
            <w:pPr>
              <w:spacing w:before="40" w:after="40" w:line="220" w:lineRule="exact"/>
              <w:jc w:val="right"/>
              <w:rPr>
                <w:sz w:val="18"/>
                <w:szCs w:val="18"/>
              </w:rPr>
            </w:pPr>
            <w:r w:rsidRPr="00F72E58">
              <w:rPr>
                <w:sz w:val="18"/>
                <w:szCs w:val="18"/>
              </w:rPr>
              <w:t>524,7</w:t>
            </w:r>
          </w:p>
        </w:tc>
        <w:tc>
          <w:tcPr>
            <w:tcW w:w="828" w:type="dxa"/>
            <w:shd w:val="clear" w:color="auto" w:fill="auto"/>
            <w:vAlign w:val="bottom"/>
          </w:tcPr>
          <w:p w14:paraId="4F6B7BB3" w14:textId="77777777" w:rsidR="00F72E58" w:rsidRPr="00F72E58" w:rsidRDefault="00F72E58" w:rsidP="009E3526">
            <w:pPr>
              <w:spacing w:before="40" w:after="40" w:line="220" w:lineRule="exact"/>
              <w:jc w:val="right"/>
              <w:rPr>
                <w:sz w:val="18"/>
                <w:szCs w:val="18"/>
              </w:rPr>
            </w:pPr>
            <w:r w:rsidRPr="00F72E58">
              <w:rPr>
                <w:sz w:val="18"/>
                <w:szCs w:val="18"/>
              </w:rPr>
              <w:t>500,4</w:t>
            </w:r>
          </w:p>
        </w:tc>
        <w:tc>
          <w:tcPr>
            <w:tcW w:w="828" w:type="dxa"/>
            <w:shd w:val="clear" w:color="auto" w:fill="auto"/>
            <w:vAlign w:val="bottom"/>
          </w:tcPr>
          <w:p w14:paraId="6975551F" w14:textId="77777777" w:rsidR="00F72E58" w:rsidRPr="00F72E58" w:rsidRDefault="00F72E58" w:rsidP="009E3526">
            <w:pPr>
              <w:spacing w:before="40" w:after="40" w:line="220" w:lineRule="exact"/>
              <w:jc w:val="right"/>
              <w:rPr>
                <w:sz w:val="18"/>
                <w:szCs w:val="18"/>
              </w:rPr>
            </w:pPr>
            <w:r w:rsidRPr="00F72E58">
              <w:rPr>
                <w:sz w:val="18"/>
                <w:szCs w:val="18"/>
              </w:rPr>
              <w:t>500,1</w:t>
            </w:r>
          </w:p>
        </w:tc>
        <w:tc>
          <w:tcPr>
            <w:tcW w:w="828" w:type="dxa"/>
            <w:shd w:val="clear" w:color="auto" w:fill="auto"/>
            <w:vAlign w:val="bottom"/>
          </w:tcPr>
          <w:p w14:paraId="554F87F6" w14:textId="77777777" w:rsidR="00F72E58" w:rsidRPr="00F72E58" w:rsidRDefault="00F72E58" w:rsidP="009E3526">
            <w:pPr>
              <w:spacing w:before="40" w:after="40" w:line="220" w:lineRule="exact"/>
              <w:jc w:val="right"/>
              <w:rPr>
                <w:sz w:val="18"/>
                <w:szCs w:val="18"/>
              </w:rPr>
            </w:pPr>
            <w:r w:rsidRPr="00F72E58">
              <w:rPr>
                <w:sz w:val="18"/>
                <w:szCs w:val="18"/>
              </w:rPr>
              <w:t>499,4</w:t>
            </w:r>
          </w:p>
        </w:tc>
        <w:tc>
          <w:tcPr>
            <w:tcW w:w="828" w:type="dxa"/>
            <w:shd w:val="clear" w:color="auto" w:fill="auto"/>
            <w:vAlign w:val="bottom"/>
          </w:tcPr>
          <w:p w14:paraId="671FD250" w14:textId="77777777" w:rsidR="00F72E58" w:rsidRPr="00F72E58" w:rsidRDefault="00F72E58" w:rsidP="009E3526">
            <w:pPr>
              <w:spacing w:before="40" w:after="40" w:line="220" w:lineRule="exact"/>
              <w:jc w:val="right"/>
              <w:rPr>
                <w:sz w:val="18"/>
                <w:szCs w:val="18"/>
              </w:rPr>
            </w:pPr>
            <w:r w:rsidRPr="00F72E58">
              <w:rPr>
                <w:sz w:val="18"/>
                <w:szCs w:val="18"/>
              </w:rPr>
              <w:t>496,3</w:t>
            </w:r>
          </w:p>
        </w:tc>
      </w:tr>
      <w:tr w:rsidR="00F72E58" w:rsidRPr="00984603" w14:paraId="75370628" w14:textId="77777777" w:rsidTr="004961FD">
        <w:tc>
          <w:tcPr>
            <w:tcW w:w="2693" w:type="dxa"/>
            <w:shd w:val="clear" w:color="auto" w:fill="auto"/>
          </w:tcPr>
          <w:p w14:paraId="4BD317FB"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shd w:val="clear" w:color="auto" w:fill="auto"/>
            <w:vAlign w:val="bottom"/>
          </w:tcPr>
          <w:p w14:paraId="7C4BCA3A" w14:textId="77777777" w:rsidR="00F72E58" w:rsidRPr="00F72E58" w:rsidRDefault="00F72E58" w:rsidP="009E3526">
            <w:pPr>
              <w:spacing w:before="40" w:after="40" w:line="220" w:lineRule="exact"/>
              <w:jc w:val="right"/>
              <w:rPr>
                <w:b/>
                <w:bCs/>
                <w:sz w:val="18"/>
                <w:szCs w:val="18"/>
              </w:rPr>
            </w:pPr>
            <w:r w:rsidRPr="00F72E58">
              <w:rPr>
                <w:b/>
                <w:bCs/>
                <w:sz w:val="18"/>
                <w:szCs w:val="18"/>
              </w:rPr>
              <w:t>800,5</w:t>
            </w:r>
          </w:p>
        </w:tc>
        <w:tc>
          <w:tcPr>
            <w:tcW w:w="828" w:type="dxa"/>
            <w:shd w:val="clear" w:color="auto" w:fill="auto"/>
            <w:vAlign w:val="bottom"/>
          </w:tcPr>
          <w:p w14:paraId="029A0F4E" w14:textId="77777777" w:rsidR="00F72E58" w:rsidRPr="00F72E58" w:rsidRDefault="00F72E58" w:rsidP="009E3526">
            <w:pPr>
              <w:spacing w:before="40" w:after="40" w:line="220" w:lineRule="exact"/>
              <w:jc w:val="right"/>
              <w:rPr>
                <w:b/>
                <w:bCs/>
                <w:sz w:val="18"/>
                <w:szCs w:val="18"/>
              </w:rPr>
            </w:pPr>
            <w:r w:rsidRPr="00F72E58">
              <w:rPr>
                <w:b/>
                <w:bCs/>
                <w:sz w:val="18"/>
                <w:szCs w:val="18"/>
              </w:rPr>
              <w:t>798,5</w:t>
            </w:r>
          </w:p>
        </w:tc>
        <w:tc>
          <w:tcPr>
            <w:tcW w:w="828" w:type="dxa"/>
            <w:shd w:val="clear" w:color="auto" w:fill="auto"/>
            <w:vAlign w:val="bottom"/>
          </w:tcPr>
          <w:p w14:paraId="6B49DD1A" w14:textId="77777777" w:rsidR="00F72E58" w:rsidRPr="00F72E58" w:rsidRDefault="00F72E58" w:rsidP="009E3526">
            <w:pPr>
              <w:spacing w:before="40" w:after="40" w:line="220" w:lineRule="exact"/>
              <w:jc w:val="right"/>
              <w:rPr>
                <w:b/>
                <w:bCs/>
                <w:sz w:val="18"/>
                <w:szCs w:val="18"/>
              </w:rPr>
            </w:pPr>
            <w:r w:rsidRPr="00F72E58">
              <w:rPr>
                <w:b/>
                <w:bCs/>
                <w:sz w:val="18"/>
                <w:szCs w:val="18"/>
              </w:rPr>
              <w:t>807,4</w:t>
            </w:r>
          </w:p>
        </w:tc>
        <w:tc>
          <w:tcPr>
            <w:tcW w:w="828" w:type="dxa"/>
            <w:shd w:val="clear" w:color="auto" w:fill="auto"/>
            <w:vAlign w:val="bottom"/>
          </w:tcPr>
          <w:p w14:paraId="0BB43060" w14:textId="77777777" w:rsidR="00F72E58" w:rsidRPr="00F72E58" w:rsidRDefault="00F72E58" w:rsidP="009E3526">
            <w:pPr>
              <w:spacing w:before="40" w:after="40" w:line="220" w:lineRule="exact"/>
              <w:jc w:val="right"/>
              <w:rPr>
                <w:b/>
                <w:bCs/>
                <w:sz w:val="18"/>
                <w:szCs w:val="18"/>
              </w:rPr>
            </w:pPr>
            <w:r w:rsidRPr="00F72E58">
              <w:rPr>
                <w:b/>
                <w:bCs/>
                <w:sz w:val="18"/>
                <w:szCs w:val="18"/>
              </w:rPr>
              <w:t>776,0</w:t>
            </w:r>
          </w:p>
        </w:tc>
        <w:tc>
          <w:tcPr>
            <w:tcW w:w="828" w:type="dxa"/>
            <w:shd w:val="clear" w:color="auto" w:fill="auto"/>
            <w:vAlign w:val="bottom"/>
          </w:tcPr>
          <w:p w14:paraId="1AB09C15" w14:textId="77777777" w:rsidR="00F72E58" w:rsidRPr="00F72E58" w:rsidRDefault="00F72E58" w:rsidP="009E3526">
            <w:pPr>
              <w:spacing w:before="40" w:after="40" w:line="220" w:lineRule="exact"/>
              <w:jc w:val="right"/>
              <w:rPr>
                <w:b/>
                <w:bCs/>
                <w:sz w:val="18"/>
                <w:szCs w:val="18"/>
              </w:rPr>
            </w:pPr>
            <w:r w:rsidRPr="00F72E58">
              <w:rPr>
                <w:b/>
                <w:bCs/>
                <w:sz w:val="18"/>
                <w:szCs w:val="18"/>
              </w:rPr>
              <w:t>772,1</w:t>
            </w:r>
          </w:p>
        </w:tc>
        <w:tc>
          <w:tcPr>
            <w:tcW w:w="828" w:type="dxa"/>
            <w:shd w:val="clear" w:color="auto" w:fill="auto"/>
            <w:vAlign w:val="bottom"/>
          </w:tcPr>
          <w:p w14:paraId="046096DE" w14:textId="77777777" w:rsidR="00F72E58" w:rsidRPr="00F72E58" w:rsidRDefault="00F72E58" w:rsidP="009E3526">
            <w:pPr>
              <w:spacing w:before="40" w:after="40" w:line="220" w:lineRule="exact"/>
              <w:jc w:val="right"/>
              <w:rPr>
                <w:b/>
                <w:bCs/>
                <w:sz w:val="18"/>
                <w:szCs w:val="18"/>
              </w:rPr>
            </w:pPr>
            <w:r w:rsidRPr="00F72E58">
              <w:rPr>
                <w:b/>
                <w:bCs/>
                <w:sz w:val="18"/>
                <w:szCs w:val="18"/>
              </w:rPr>
              <w:t>769,5</w:t>
            </w:r>
          </w:p>
        </w:tc>
        <w:tc>
          <w:tcPr>
            <w:tcW w:w="828" w:type="dxa"/>
            <w:shd w:val="clear" w:color="auto" w:fill="auto"/>
            <w:vAlign w:val="bottom"/>
          </w:tcPr>
          <w:p w14:paraId="08886FD5" w14:textId="77777777" w:rsidR="00F72E58" w:rsidRPr="00F72E58" w:rsidRDefault="00F72E58" w:rsidP="009E3526">
            <w:pPr>
              <w:spacing w:before="40" w:after="40" w:line="220" w:lineRule="exact"/>
              <w:jc w:val="right"/>
              <w:rPr>
                <w:b/>
                <w:bCs/>
                <w:sz w:val="18"/>
                <w:szCs w:val="18"/>
              </w:rPr>
            </w:pPr>
            <w:r w:rsidRPr="00F72E58">
              <w:rPr>
                <w:b/>
                <w:bCs/>
                <w:sz w:val="18"/>
                <w:szCs w:val="18"/>
              </w:rPr>
              <w:t>770,8</w:t>
            </w:r>
          </w:p>
        </w:tc>
      </w:tr>
      <w:tr w:rsidR="003279D5" w:rsidRPr="00984603" w14:paraId="55F2965E" w14:textId="77777777" w:rsidTr="004961FD">
        <w:tc>
          <w:tcPr>
            <w:tcW w:w="2693" w:type="dxa"/>
            <w:shd w:val="clear" w:color="auto" w:fill="auto"/>
          </w:tcPr>
          <w:p w14:paraId="5AF42D2F" w14:textId="77777777" w:rsidR="003279D5" w:rsidRPr="004B2949" w:rsidRDefault="00F72E58" w:rsidP="004B2949">
            <w:pPr>
              <w:spacing w:before="40" w:after="40" w:line="220" w:lineRule="exact"/>
              <w:rPr>
                <w:sz w:val="18"/>
                <w:szCs w:val="18"/>
              </w:rPr>
            </w:pPr>
            <w:r w:rsidRPr="004B2949">
              <w:rPr>
                <w:bCs/>
                <w:iCs/>
                <w:sz w:val="18"/>
                <w:szCs w:val="18"/>
              </w:rPr>
              <w:t>Total</w:t>
            </w:r>
          </w:p>
        </w:tc>
        <w:tc>
          <w:tcPr>
            <w:tcW w:w="828" w:type="dxa"/>
            <w:shd w:val="clear" w:color="auto" w:fill="auto"/>
            <w:vAlign w:val="bottom"/>
          </w:tcPr>
          <w:p w14:paraId="64763944"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67FD3B3"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10E94662"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03DD499"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3F11D7DC"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2A92EA71" w14:textId="77777777" w:rsidR="003279D5" w:rsidRPr="00F72E58" w:rsidRDefault="003279D5" w:rsidP="009E3526">
            <w:pPr>
              <w:spacing w:before="40" w:after="40" w:line="220" w:lineRule="exact"/>
              <w:jc w:val="right"/>
              <w:rPr>
                <w:sz w:val="18"/>
                <w:szCs w:val="18"/>
              </w:rPr>
            </w:pPr>
          </w:p>
        </w:tc>
        <w:tc>
          <w:tcPr>
            <w:tcW w:w="828" w:type="dxa"/>
            <w:shd w:val="clear" w:color="auto" w:fill="auto"/>
            <w:vAlign w:val="bottom"/>
          </w:tcPr>
          <w:p w14:paraId="6138AA85" w14:textId="77777777" w:rsidR="003279D5" w:rsidRPr="00F72E58" w:rsidRDefault="003279D5" w:rsidP="009E3526">
            <w:pPr>
              <w:spacing w:before="40" w:after="40" w:line="220" w:lineRule="exact"/>
              <w:jc w:val="right"/>
              <w:rPr>
                <w:sz w:val="18"/>
                <w:szCs w:val="18"/>
              </w:rPr>
            </w:pPr>
          </w:p>
        </w:tc>
      </w:tr>
      <w:tr w:rsidR="00F72E58" w:rsidRPr="00984603" w14:paraId="3AA4FE9B" w14:textId="77777777" w:rsidTr="004961FD">
        <w:tc>
          <w:tcPr>
            <w:tcW w:w="2693" w:type="dxa"/>
            <w:shd w:val="clear" w:color="auto" w:fill="auto"/>
          </w:tcPr>
          <w:p w14:paraId="567F7D1F"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Hommes</w:t>
            </w:r>
          </w:p>
        </w:tc>
        <w:tc>
          <w:tcPr>
            <w:tcW w:w="828" w:type="dxa"/>
            <w:shd w:val="clear" w:color="auto" w:fill="auto"/>
            <w:vAlign w:val="bottom"/>
          </w:tcPr>
          <w:p w14:paraId="73EFFA75" w14:textId="77777777" w:rsidR="00F72E58" w:rsidRPr="00F72E58" w:rsidRDefault="00F72E58" w:rsidP="009E3526">
            <w:pPr>
              <w:spacing w:before="40" w:after="40" w:line="220" w:lineRule="exact"/>
              <w:jc w:val="right"/>
              <w:rPr>
                <w:sz w:val="18"/>
                <w:szCs w:val="18"/>
              </w:rPr>
            </w:pPr>
            <w:r w:rsidRPr="00F72E58">
              <w:rPr>
                <w:sz w:val="18"/>
                <w:szCs w:val="18"/>
              </w:rPr>
              <w:t>1 111,4</w:t>
            </w:r>
          </w:p>
        </w:tc>
        <w:tc>
          <w:tcPr>
            <w:tcW w:w="828" w:type="dxa"/>
            <w:shd w:val="clear" w:color="auto" w:fill="auto"/>
            <w:vAlign w:val="bottom"/>
          </w:tcPr>
          <w:p w14:paraId="58683F6E" w14:textId="77777777" w:rsidR="00F72E58" w:rsidRPr="00F72E58" w:rsidRDefault="00F72E58" w:rsidP="009E3526">
            <w:pPr>
              <w:spacing w:before="40" w:after="40" w:line="220" w:lineRule="exact"/>
              <w:jc w:val="right"/>
              <w:rPr>
                <w:sz w:val="18"/>
                <w:szCs w:val="18"/>
              </w:rPr>
            </w:pPr>
            <w:r w:rsidRPr="00F72E58">
              <w:rPr>
                <w:sz w:val="18"/>
                <w:szCs w:val="18"/>
              </w:rPr>
              <w:t>1 111,2</w:t>
            </w:r>
          </w:p>
        </w:tc>
        <w:tc>
          <w:tcPr>
            <w:tcW w:w="828" w:type="dxa"/>
            <w:shd w:val="clear" w:color="auto" w:fill="auto"/>
            <w:vAlign w:val="bottom"/>
          </w:tcPr>
          <w:p w14:paraId="32565294" w14:textId="77777777" w:rsidR="00F72E58" w:rsidRPr="00F72E58" w:rsidRDefault="00F72E58" w:rsidP="009E3526">
            <w:pPr>
              <w:spacing w:before="40" w:after="40" w:line="220" w:lineRule="exact"/>
              <w:jc w:val="right"/>
              <w:rPr>
                <w:sz w:val="18"/>
                <w:szCs w:val="18"/>
              </w:rPr>
            </w:pPr>
            <w:r w:rsidRPr="00F72E58">
              <w:rPr>
                <w:sz w:val="18"/>
                <w:szCs w:val="18"/>
              </w:rPr>
              <w:t>1 115,3</w:t>
            </w:r>
          </w:p>
        </w:tc>
        <w:tc>
          <w:tcPr>
            <w:tcW w:w="828" w:type="dxa"/>
            <w:shd w:val="clear" w:color="auto" w:fill="auto"/>
            <w:vAlign w:val="bottom"/>
          </w:tcPr>
          <w:p w14:paraId="34AAB5A8" w14:textId="77777777" w:rsidR="00F72E58" w:rsidRPr="00F72E58" w:rsidRDefault="00F72E58" w:rsidP="009E3526">
            <w:pPr>
              <w:spacing w:before="40" w:after="40" w:line="220" w:lineRule="exact"/>
              <w:jc w:val="right"/>
              <w:rPr>
                <w:sz w:val="18"/>
                <w:szCs w:val="18"/>
              </w:rPr>
            </w:pPr>
            <w:r w:rsidRPr="00F72E58">
              <w:rPr>
                <w:sz w:val="18"/>
                <w:szCs w:val="18"/>
              </w:rPr>
              <w:t>1 114,5</w:t>
            </w:r>
          </w:p>
        </w:tc>
        <w:tc>
          <w:tcPr>
            <w:tcW w:w="828" w:type="dxa"/>
            <w:shd w:val="clear" w:color="auto" w:fill="auto"/>
            <w:vAlign w:val="bottom"/>
          </w:tcPr>
          <w:p w14:paraId="1407C939" w14:textId="77777777" w:rsidR="00F72E58" w:rsidRPr="00F72E58" w:rsidRDefault="00F72E58" w:rsidP="009E3526">
            <w:pPr>
              <w:spacing w:before="40" w:after="40" w:line="220" w:lineRule="exact"/>
              <w:jc w:val="right"/>
              <w:rPr>
                <w:sz w:val="18"/>
                <w:szCs w:val="18"/>
              </w:rPr>
            </w:pPr>
            <w:r w:rsidRPr="00F72E58">
              <w:rPr>
                <w:sz w:val="18"/>
                <w:szCs w:val="18"/>
              </w:rPr>
              <w:t>1 114,0</w:t>
            </w:r>
          </w:p>
        </w:tc>
        <w:tc>
          <w:tcPr>
            <w:tcW w:w="828" w:type="dxa"/>
            <w:shd w:val="clear" w:color="auto" w:fill="auto"/>
            <w:vAlign w:val="bottom"/>
          </w:tcPr>
          <w:p w14:paraId="09BF455C" w14:textId="77777777" w:rsidR="00F72E58" w:rsidRPr="00F72E58" w:rsidRDefault="00F72E58" w:rsidP="009E3526">
            <w:pPr>
              <w:spacing w:before="40" w:after="40" w:line="220" w:lineRule="exact"/>
              <w:jc w:val="right"/>
              <w:rPr>
                <w:sz w:val="18"/>
                <w:szCs w:val="18"/>
              </w:rPr>
            </w:pPr>
            <w:r w:rsidRPr="00F72E58">
              <w:rPr>
                <w:sz w:val="18"/>
                <w:szCs w:val="18"/>
              </w:rPr>
              <w:t>1 117,6</w:t>
            </w:r>
          </w:p>
        </w:tc>
        <w:tc>
          <w:tcPr>
            <w:tcW w:w="828" w:type="dxa"/>
            <w:shd w:val="clear" w:color="auto" w:fill="auto"/>
            <w:vAlign w:val="bottom"/>
          </w:tcPr>
          <w:p w14:paraId="09D49000" w14:textId="77777777" w:rsidR="00F72E58" w:rsidRPr="00F72E58" w:rsidRDefault="00F72E58" w:rsidP="009E3526">
            <w:pPr>
              <w:spacing w:before="40" w:after="40" w:line="220" w:lineRule="exact"/>
              <w:jc w:val="right"/>
              <w:rPr>
                <w:sz w:val="18"/>
                <w:szCs w:val="18"/>
              </w:rPr>
            </w:pPr>
            <w:r w:rsidRPr="00F72E58">
              <w:rPr>
                <w:sz w:val="18"/>
                <w:szCs w:val="18"/>
              </w:rPr>
              <w:t>1 125,6</w:t>
            </w:r>
          </w:p>
        </w:tc>
      </w:tr>
      <w:tr w:rsidR="00F72E58" w:rsidRPr="00984603" w14:paraId="1BB08C59" w14:textId="77777777" w:rsidTr="004961FD">
        <w:tc>
          <w:tcPr>
            <w:tcW w:w="2693" w:type="dxa"/>
            <w:shd w:val="clear" w:color="auto" w:fill="auto"/>
          </w:tcPr>
          <w:p w14:paraId="66C85965" w14:textId="77777777" w:rsidR="00F72E58" w:rsidRPr="00F72E58" w:rsidRDefault="00F72E58" w:rsidP="009E3526">
            <w:pPr>
              <w:spacing w:before="40" w:after="40" w:line="220" w:lineRule="exact"/>
              <w:ind w:firstLineChars="100" w:firstLine="180"/>
              <w:jc w:val="right"/>
              <w:rPr>
                <w:iCs/>
                <w:sz w:val="18"/>
                <w:szCs w:val="18"/>
                <w:lang w:val="fr-FR" w:eastAsia="en-IE"/>
              </w:rPr>
            </w:pPr>
            <w:r w:rsidRPr="00F72E58">
              <w:rPr>
                <w:iCs/>
                <w:sz w:val="18"/>
                <w:szCs w:val="18"/>
                <w:lang w:val="fr-FR" w:eastAsia="en-IE"/>
              </w:rPr>
              <w:t>Femmes</w:t>
            </w:r>
          </w:p>
        </w:tc>
        <w:tc>
          <w:tcPr>
            <w:tcW w:w="828" w:type="dxa"/>
            <w:shd w:val="clear" w:color="auto" w:fill="auto"/>
            <w:vAlign w:val="bottom"/>
          </w:tcPr>
          <w:p w14:paraId="2F1A76C5" w14:textId="77777777" w:rsidR="00F72E58" w:rsidRPr="00F72E58" w:rsidRDefault="00F72E58" w:rsidP="009E3526">
            <w:pPr>
              <w:spacing w:before="40" w:after="40" w:line="220" w:lineRule="exact"/>
              <w:jc w:val="right"/>
              <w:rPr>
                <w:sz w:val="18"/>
                <w:szCs w:val="18"/>
              </w:rPr>
            </w:pPr>
            <w:r w:rsidRPr="00F72E58">
              <w:rPr>
                <w:sz w:val="18"/>
                <w:szCs w:val="18"/>
              </w:rPr>
              <w:t>1 258,1</w:t>
            </w:r>
          </w:p>
        </w:tc>
        <w:tc>
          <w:tcPr>
            <w:tcW w:w="828" w:type="dxa"/>
            <w:shd w:val="clear" w:color="auto" w:fill="auto"/>
            <w:vAlign w:val="bottom"/>
          </w:tcPr>
          <w:p w14:paraId="254B3FCE" w14:textId="77777777" w:rsidR="00F72E58" w:rsidRPr="00F72E58" w:rsidRDefault="00F72E58" w:rsidP="009E3526">
            <w:pPr>
              <w:spacing w:before="40" w:after="40" w:line="220" w:lineRule="exact"/>
              <w:jc w:val="right"/>
              <w:rPr>
                <w:sz w:val="18"/>
                <w:szCs w:val="18"/>
              </w:rPr>
            </w:pPr>
            <w:r w:rsidRPr="00F72E58">
              <w:rPr>
                <w:sz w:val="18"/>
                <w:szCs w:val="18"/>
              </w:rPr>
              <w:t>1 261,6</w:t>
            </w:r>
          </w:p>
        </w:tc>
        <w:tc>
          <w:tcPr>
            <w:tcW w:w="828" w:type="dxa"/>
            <w:shd w:val="clear" w:color="auto" w:fill="auto"/>
            <w:vAlign w:val="bottom"/>
          </w:tcPr>
          <w:p w14:paraId="52DB8C50" w14:textId="77777777" w:rsidR="00F72E58" w:rsidRPr="00F72E58" w:rsidRDefault="00F72E58" w:rsidP="009E3526">
            <w:pPr>
              <w:spacing w:before="40" w:after="40" w:line="220" w:lineRule="exact"/>
              <w:jc w:val="right"/>
              <w:rPr>
                <w:sz w:val="18"/>
                <w:szCs w:val="18"/>
              </w:rPr>
            </w:pPr>
            <w:r w:rsidRPr="00F72E58">
              <w:rPr>
                <w:sz w:val="18"/>
                <w:szCs w:val="18"/>
              </w:rPr>
              <w:t>1 264,1</w:t>
            </w:r>
          </w:p>
        </w:tc>
        <w:tc>
          <w:tcPr>
            <w:tcW w:w="828" w:type="dxa"/>
            <w:shd w:val="clear" w:color="auto" w:fill="auto"/>
            <w:vAlign w:val="bottom"/>
          </w:tcPr>
          <w:p w14:paraId="4BA2C808" w14:textId="77777777" w:rsidR="00F72E58" w:rsidRPr="00F72E58" w:rsidRDefault="00F72E58" w:rsidP="009E3526">
            <w:pPr>
              <w:spacing w:before="40" w:after="40" w:line="220" w:lineRule="exact"/>
              <w:jc w:val="right"/>
              <w:rPr>
                <w:sz w:val="18"/>
                <w:szCs w:val="18"/>
              </w:rPr>
            </w:pPr>
            <w:r w:rsidRPr="00F72E58">
              <w:rPr>
                <w:sz w:val="18"/>
                <w:szCs w:val="18"/>
              </w:rPr>
              <w:t>1 255,1</w:t>
            </w:r>
          </w:p>
        </w:tc>
        <w:tc>
          <w:tcPr>
            <w:tcW w:w="828" w:type="dxa"/>
            <w:shd w:val="clear" w:color="auto" w:fill="auto"/>
            <w:vAlign w:val="bottom"/>
          </w:tcPr>
          <w:p w14:paraId="3EE0B51F" w14:textId="77777777" w:rsidR="00F72E58" w:rsidRPr="00F72E58" w:rsidRDefault="00F72E58" w:rsidP="009E3526">
            <w:pPr>
              <w:spacing w:before="40" w:after="40" w:line="220" w:lineRule="exact"/>
              <w:jc w:val="right"/>
              <w:rPr>
                <w:sz w:val="18"/>
                <w:szCs w:val="18"/>
              </w:rPr>
            </w:pPr>
            <w:r w:rsidRPr="00F72E58">
              <w:rPr>
                <w:sz w:val="18"/>
                <w:szCs w:val="18"/>
              </w:rPr>
              <w:t>1 266,4</w:t>
            </w:r>
          </w:p>
        </w:tc>
        <w:tc>
          <w:tcPr>
            <w:tcW w:w="828" w:type="dxa"/>
            <w:shd w:val="clear" w:color="auto" w:fill="auto"/>
            <w:vAlign w:val="bottom"/>
          </w:tcPr>
          <w:p w14:paraId="4D913469" w14:textId="77777777" w:rsidR="00F72E58" w:rsidRPr="00F72E58" w:rsidRDefault="00F72E58" w:rsidP="009E3526">
            <w:pPr>
              <w:spacing w:before="40" w:after="40" w:line="220" w:lineRule="exact"/>
              <w:jc w:val="right"/>
              <w:rPr>
                <w:sz w:val="18"/>
                <w:szCs w:val="18"/>
              </w:rPr>
            </w:pPr>
            <w:r w:rsidRPr="00F72E58">
              <w:rPr>
                <w:sz w:val="18"/>
                <w:szCs w:val="18"/>
              </w:rPr>
              <w:t>1 260,2</w:t>
            </w:r>
          </w:p>
        </w:tc>
        <w:tc>
          <w:tcPr>
            <w:tcW w:w="828" w:type="dxa"/>
            <w:shd w:val="clear" w:color="auto" w:fill="auto"/>
            <w:vAlign w:val="bottom"/>
          </w:tcPr>
          <w:p w14:paraId="56948B4A" w14:textId="77777777" w:rsidR="00F72E58" w:rsidRPr="00F72E58" w:rsidRDefault="00F72E58" w:rsidP="009E3526">
            <w:pPr>
              <w:spacing w:before="40" w:after="40" w:line="220" w:lineRule="exact"/>
              <w:jc w:val="right"/>
              <w:rPr>
                <w:sz w:val="18"/>
                <w:szCs w:val="18"/>
              </w:rPr>
            </w:pPr>
            <w:r w:rsidRPr="00F72E58">
              <w:rPr>
                <w:sz w:val="18"/>
                <w:szCs w:val="18"/>
              </w:rPr>
              <w:t>1 263,3</w:t>
            </w:r>
          </w:p>
        </w:tc>
      </w:tr>
      <w:tr w:rsidR="00F72E58" w:rsidRPr="00984603" w14:paraId="43BB4FE9" w14:textId="77777777" w:rsidTr="004961FD">
        <w:tc>
          <w:tcPr>
            <w:tcW w:w="2693" w:type="dxa"/>
            <w:tcBorders>
              <w:bottom w:val="single" w:sz="12" w:space="0" w:color="auto"/>
            </w:tcBorders>
            <w:shd w:val="clear" w:color="auto" w:fill="auto"/>
          </w:tcPr>
          <w:p w14:paraId="5F04EC7A" w14:textId="77777777" w:rsidR="00F72E58" w:rsidRPr="00F72E58" w:rsidRDefault="00F72E58" w:rsidP="009E3526">
            <w:pPr>
              <w:spacing w:before="40" w:after="40" w:line="220" w:lineRule="exact"/>
              <w:ind w:firstLineChars="100" w:firstLine="181"/>
              <w:jc w:val="right"/>
              <w:rPr>
                <w:b/>
                <w:bCs/>
                <w:iCs/>
                <w:sz w:val="18"/>
                <w:szCs w:val="18"/>
                <w:lang w:val="fr-FR" w:eastAsia="en-IE"/>
              </w:rPr>
            </w:pPr>
            <w:r w:rsidRPr="00F72E58">
              <w:rPr>
                <w:b/>
                <w:bCs/>
                <w:iCs/>
                <w:sz w:val="18"/>
                <w:szCs w:val="18"/>
                <w:lang w:val="fr-FR" w:eastAsia="en-IE"/>
              </w:rPr>
              <w:t>Total</w:t>
            </w:r>
          </w:p>
        </w:tc>
        <w:tc>
          <w:tcPr>
            <w:tcW w:w="828" w:type="dxa"/>
            <w:tcBorders>
              <w:bottom w:val="single" w:sz="12" w:space="0" w:color="auto"/>
            </w:tcBorders>
            <w:shd w:val="clear" w:color="auto" w:fill="auto"/>
            <w:vAlign w:val="bottom"/>
          </w:tcPr>
          <w:p w14:paraId="5AF0DC5C" w14:textId="77777777" w:rsidR="00F72E58" w:rsidRPr="00F72E58" w:rsidRDefault="00F72E58" w:rsidP="009E3526">
            <w:pPr>
              <w:spacing w:before="40" w:after="40" w:line="220" w:lineRule="exact"/>
              <w:jc w:val="right"/>
              <w:rPr>
                <w:b/>
                <w:bCs/>
                <w:sz w:val="18"/>
                <w:szCs w:val="18"/>
              </w:rPr>
            </w:pPr>
            <w:r w:rsidRPr="00F72E58">
              <w:rPr>
                <w:b/>
                <w:bCs/>
                <w:sz w:val="18"/>
                <w:szCs w:val="18"/>
              </w:rPr>
              <w:t>2 369,5</w:t>
            </w:r>
          </w:p>
        </w:tc>
        <w:tc>
          <w:tcPr>
            <w:tcW w:w="828" w:type="dxa"/>
            <w:tcBorders>
              <w:bottom w:val="single" w:sz="12" w:space="0" w:color="auto"/>
            </w:tcBorders>
            <w:shd w:val="clear" w:color="auto" w:fill="auto"/>
            <w:vAlign w:val="bottom"/>
          </w:tcPr>
          <w:p w14:paraId="65429FAB" w14:textId="77777777" w:rsidR="00F72E58" w:rsidRPr="00F72E58" w:rsidRDefault="00F72E58" w:rsidP="009E3526">
            <w:pPr>
              <w:spacing w:before="40" w:after="40" w:line="220" w:lineRule="exact"/>
              <w:jc w:val="right"/>
              <w:rPr>
                <w:b/>
                <w:bCs/>
                <w:sz w:val="18"/>
                <w:szCs w:val="18"/>
              </w:rPr>
            </w:pPr>
            <w:r w:rsidRPr="00F72E58">
              <w:rPr>
                <w:b/>
                <w:bCs/>
                <w:sz w:val="18"/>
                <w:szCs w:val="18"/>
              </w:rPr>
              <w:t>2 372,8</w:t>
            </w:r>
          </w:p>
        </w:tc>
        <w:tc>
          <w:tcPr>
            <w:tcW w:w="828" w:type="dxa"/>
            <w:tcBorders>
              <w:bottom w:val="single" w:sz="12" w:space="0" w:color="auto"/>
            </w:tcBorders>
            <w:shd w:val="clear" w:color="auto" w:fill="auto"/>
            <w:vAlign w:val="bottom"/>
          </w:tcPr>
          <w:p w14:paraId="47F452B0" w14:textId="77777777" w:rsidR="00F72E58" w:rsidRPr="00F72E58" w:rsidRDefault="00F72E58" w:rsidP="009E3526">
            <w:pPr>
              <w:spacing w:before="40" w:after="40" w:line="220" w:lineRule="exact"/>
              <w:jc w:val="right"/>
              <w:rPr>
                <w:b/>
                <w:bCs/>
                <w:sz w:val="18"/>
                <w:szCs w:val="18"/>
              </w:rPr>
            </w:pPr>
            <w:r w:rsidRPr="00F72E58">
              <w:rPr>
                <w:b/>
                <w:bCs/>
                <w:sz w:val="18"/>
                <w:szCs w:val="18"/>
              </w:rPr>
              <w:t>2 379,4</w:t>
            </w:r>
          </w:p>
        </w:tc>
        <w:tc>
          <w:tcPr>
            <w:tcW w:w="828" w:type="dxa"/>
            <w:tcBorders>
              <w:bottom w:val="single" w:sz="12" w:space="0" w:color="auto"/>
            </w:tcBorders>
            <w:shd w:val="clear" w:color="auto" w:fill="auto"/>
            <w:vAlign w:val="bottom"/>
          </w:tcPr>
          <w:p w14:paraId="0315158A" w14:textId="77777777" w:rsidR="00F72E58" w:rsidRPr="00F72E58" w:rsidRDefault="00F72E58" w:rsidP="009E3526">
            <w:pPr>
              <w:spacing w:before="40" w:after="40" w:line="220" w:lineRule="exact"/>
              <w:jc w:val="right"/>
              <w:rPr>
                <w:b/>
                <w:bCs/>
                <w:sz w:val="18"/>
                <w:szCs w:val="18"/>
              </w:rPr>
            </w:pPr>
            <w:r w:rsidRPr="00F72E58">
              <w:rPr>
                <w:b/>
                <w:bCs/>
                <w:sz w:val="18"/>
                <w:szCs w:val="18"/>
              </w:rPr>
              <w:t>2 369,5</w:t>
            </w:r>
          </w:p>
        </w:tc>
        <w:tc>
          <w:tcPr>
            <w:tcW w:w="828" w:type="dxa"/>
            <w:tcBorders>
              <w:bottom w:val="single" w:sz="12" w:space="0" w:color="auto"/>
            </w:tcBorders>
            <w:shd w:val="clear" w:color="auto" w:fill="auto"/>
            <w:vAlign w:val="bottom"/>
          </w:tcPr>
          <w:p w14:paraId="5AE7FC50" w14:textId="77777777" w:rsidR="00F72E58" w:rsidRPr="00F72E58" w:rsidRDefault="00F72E58" w:rsidP="009E3526">
            <w:pPr>
              <w:spacing w:before="40" w:after="40" w:line="220" w:lineRule="exact"/>
              <w:jc w:val="right"/>
              <w:rPr>
                <w:b/>
                <w:bCs/>
                <w:sz w:val="18"/>
                <w:szCs w:val="18"/>
              </w:rPr>
            </w:pPr>
            <w:r w:rsidRPr="00F72E58">
              <w:rPr>
                <w:b/>
                <w:bCs/>
                <w:sz w:val="18"/>
                <w:szCs w:val="18"/>
              </w:rPr>
              <w:t>2 380,4</w:t>
            </w:r>
          </w:p>
        </w:tc>
        <w:tc>
          <w:tcPr>
            <w:tcW w:w="828" w:type="dxa"/>
            <w:tcBorders>
              <w:bottom w:val="single" w:sz="12" w:space="0" w:color="auto"/>
            </w:tcBorders>
            <w:shd w:val="clear" w:color="auto" w:fill="auto"/>
            <w:vAlign w:val="bottom"/>
          </w:tcPr>
          <w:p w14:paraId="10C77736" w14:textId="77777777" w:rsidR="00F72E58" w:rsidRPr="00F72E58" w:rsidRDefault="00F72E58" w:rsidP="009E3526">
            <w:pPr>
              <w:spacing w:before="40" w:after="40" w:line="220" w:lineRule="exact"/>
              <w:jc w:val="right"/>
              <w:rPr>
                <w:b/>
                <w:bCs/>
                <w:sz w:val="18"/>
                <w:szCs w:val="18"/>
              </w:rPr>
            </w:pPr>
            <w:r w:rsidRPr="00F72E58">
              <w:rPr>
                <w:b/>
                <w:bCs/>
                <w:sz w:val="18"/>
                <w:szCs w:val="18"/>
              </w:rPr>
              <w:t>2 377,7</w:t>
            </w:r>
          </w:p>
        </w:tc>
        <w:tc>
          <w:tcPr>
            <w:tcW w:w="828" w:type="dxa"/>
            <w:tcBorders>
              <w:bottom w:val="single" w:sz="12" w:space="0" w:color="auto"/>
            </w:tcBorders>
            <w:shd w:val="clear" w:color="auto" w:fill="auto"/>
            <w:vAlign w:val="bottom"/>
          </w:tcPr>
          <w:p w14:paraId="4F351D8B" w14:textId="77777777" w:rsidR="00F72E58" w:rsidRPr="00F72E58" w:rsidRDefault="00F72E58" w:rsidP="009E3526">
            <w:pPr>
              <w:spacing w:before="40" w:after="40" w:line="220" w:lineRule="exact"/>
              <w:jc w:val="right"/>
              <w:rPr>
                <w:b/>
                <w:bCs/>
                <w:sz w:val="18"/>
                <w:szCs w:val="18"/>
              </w:rPr>
            </w:pPr>
            <w:r w:rsidRPr="00F72E58">
              <w:rPr>
                <w:b/>
                <w:bCs/>
                <w:sz w:val="18"/>
                <w:szCs w:val="18"/>
              </w:rPr>
              <w:t>2 388,8</w:t>
            </w:r>
          </w:p>
        </w:tc>
      </w:tr>
    </w:tbl>
    <w:bookmarkEnd w:id="179"/>
    <w:p w14:paraId="03F58580" w14:textId="77777777" w:rsidR="00F72E58" w:rsidRPr="004B2949" w:rsidRDefault="00F72E58" w:rsidP="004B2949">
      <w:pPr>
        <w:pStyle w:val="SingleTxtG"/>
        <w:spacing w:before="120" w:after="0"/>
        <w:ind w:firstLine="170"/>
        <w:jc w:val="left"/>
        <w:rPr>
          <w:lang w:val="fr-FR"/>
        </w:rPr>
      </w:pPr>
      <w:r w:rsidRPr="001B6946">
        <w:rPr>
          <w:i/>
          <w:sz w:val="18"/>
          <w:lang w:val="fr-FR"/>
        </w:rPr>
        <w:t>Source</w:t>
      </w:r>
      <w:r>
        <w:rPr>
          <w:i/>
          <w:sz w:val="18"/>
          <w:lang w:val="fr-FR"/>
        </w:rPr>
        <w:t> </w:t>
      </w:r>
      <w:r w:rsidRPr="00F72E58">
        <w:rPr>
          <w:sz w:val="18"/>
          <w:lang w:val="fr-FR"/>
        </w:rPr>
        <w:t>:</w:t>
      </w:r>
      <w:r w:rsidRPr="001B6946">
        <w:rPr>
          <w:i/>
          <w:sz w:val="18"/>
          <w:lang w:val="fr-FR"/>
        </w:rPr>
        <w:t xml:space="preserve"> </w:t>
      </w:r>
      <w:bookmarkStart w:id="182" w:name="_Hlk34723964"/>
      <w:r w:rsidRPr="001B6946">
        <w:rPr>
          <w:iCs/>
          <w:sz w:val="18"/>
          <w:lang w:val="fr-FR"/>
        </w:rPr>
        <w:t>E</w:t>
      </w:r>
      <w:r w:rsidRPr="001B6946">
        <w:rPr>
          <w:sz w:val="18"/>
          <w:lang w:val="fr-FR"/>
        </w:rPr>
        <w:t>nquête sur la population active</w:t>
      </w:r>
      <w:bookmarkEnd w:id="182"/>
      <w:r w:rsidRPr="001B6946">
        <w:rPr>
          <w:sz w:val="18"/>
          <w:lang w:val="fr-FR"/>
        </w:rPr>
        <w:t>, Office central de statistique, Irlande</w:t>
      </w:r>
      <w:r w:rsidRPr="001B6946">
        <w:rPr>
          <w:i/>
          <w:sz w:val="18"/>
          <w:lang w:val="fr-FR"/>
        </w:rPr>
        <w:t>.</w:t>
      </w:r>
    </w:p>
    <w:p w14:paraId="7D0F2988" w14:textId="77777777" w:rsidR="00F72E58" w:rsidRPr="001B6946" w:rsidRDefault="00F72E58" w:rsidP="004B2949">
      <w:pPr>
        <w:pStyle w:val="SingleTxtG"/>
        <w:spacing w:after="0"/>
        <w:ind w:firstLine="170"/>
        <w:jc w:val="left"/>
        <w:rPr>
          <w:sz w:val="18"/>
          <w:lang w:val="fr-FR"/>
        </w:rPr>
      </w:pPr>
      <w:r w:rsidRPr="001B6946">
        <w:rPr>
          <w:i/>
          <w:sz w:val="18"/>
          <w:lang w:val="fr-FR"/>
        </w:rPr>
        <w:t>Note</w:t>
      </w:r>
      <w:r>
        <w:rPr>
          <w:i/>
          <w:sz w:val="18"/>
          <w:lang w:val="fr-FR"/>
        </w:rPr>
        <w:t> </w:t>
      </w:r>
      <w:r w:rsidRPr="001B6946">
        <w:rPr>
          <w:sz w:val="18"/>
          <w:lang w:val="fr-FR"/>
        </w:rPr>
        <w:t>: Aux fins du présent tableau, un adulte est un parent isolé ou un membre d</w:t>
      </w:r>
      <w:r w:rsidR="00784444">
        <w:rPr>
          <w:sz w:val="18"/>
          <w:lang w:val="fr-FR"/>
        </w:rPr>
        <w:t>’</w:t>
      </w:r>
      <w:r w:rsidRPr="001B6946">
        <w:rPr>
          <w:sz w:val="18"/>
          <w:lang w:val="fr-FR"/>
        </w:rPr>
        <w:t>un couple. Une personne non mariée (indépendamment de son âge) vivant avec un ou deux parents est définie comme un enfant pour autant que cette personne ne fasse pas elle-même partie d</w:t>
      </w:r>
      <w:r w:rsidR="00784444">
        <w:rPr>
          <w:sz w:val="18"/>
          <w:lang w:val="fr-FR"/>
        </w:rPr>
        <w:t>’</w:t>
      </w:r>
      <w:r w:rsidRPr="001B6946">
        <w:rPr>
          <w:sz w:val="18"/>
          <w:lang w:val="fr-FR"/>
        </w:rPr>
        <w:t>une cellule familiale distincte. En outre, on notera que les facteurs d</w:t>
      </w:r>
      <w:r w:rsidR="00784444">
        <w:rPr>
          <w:sz w:val="18"/>
          <w:lang w:val="fr-FR"/>
        </w:rPr>
        <w:t>’</w:t>
      </w:r>
      <w:r w:rsidRPr="001B6946">
        <w:rPr>
          <w:sz w:val="18"/>
          <w:lang w:val="fr-FR"/>
        </w:rPr>
        <w:t>ajustement attribués à chaque conjoint au sein d</w:t>
      </w:r>
      <w:r w:rsidR="00784444">
        <w:rPr>
          <w:sz w:val="18"/>
          <w:lang w:val="fr-FR"/>
        </w:rPr>
        <w:t>’</w:t>
      </w:r>
      <w:r w:rsidRPr="001B6946">
        <w:rPr>
          <w:sz w:val="18"/>
          <w:lang w:val="fr-FR"/>
        </w:rPr>
        <w:t>une cellule familiale peuvent différer.</w:t>
      </w:r>
    </w:p>
    <w:p w14:paraId="49B942C9" w14:textId="77777777" w:rsidR="00F72E58" w:rsidRPr="001B6946" w:rsidRDefault="00F72E58" w:rsidP="004B2949">
      <w:pPr>
        <w:pStyle w:val="SingleTxtG"/>
        <w:spacing w:after="0"/>
        <w:ind w:firstLine="170"/>
        <w:jc w:val="left"/>
        <w:rPr>
          <w:sz w:val="18"/>
          <w:lang w:val="fr-FR"/>
        </w:rPr>
      </w:pPr>
      <w:r w:rsidRPr="001B6946">
        <w:rPr>
          <w:i/>
          <w:sz w:val="18"/>
          <w:lang w:val="fr-FR"/>
        </w:rPr>
        <w:t>Note</w:t>
      </w:r>
      <w:r>
        <w:rPr>
          <w:i/>
          <w:sz w:val="18"/>
          <w:lang w:val="fr-FR"/>
        </w:rPr>
        <w:t> </w:t>
      </w:r>
      <w:r w:rsidRPr="00F72E58">
        <w:rPr>
          <w:sz w:val="18"/>
          <w:lang w:val="fr-FR"/>
        </w:rPr>
        <w:t>:</w:t>
      </w:r>
      <w:r w:rsidRPr="001B6946">
        <w:rPr>
          <w:sz w:val="18"/>
          <w:lang w:val="fr-FR"/>
        </w:rPr>
        <w:t xml:space="preserve"> </w:t>
      </w:r>
      <w:bookmarkStart w:id="183" w:name="_Hlk34725106"/>
      <w:r w:rsidRPr="001B6946">
        <w:rPr>
          <w:sz w:val="18"/>
          <w:lang w:val="fr-FR"/>
        </w:rPr>
        <w:t xml:space="preserve">Une nouvelle </w:t>
      </w:r>
      <w:r w:rsidR="005438D3">
        <w:rPr>
          <w:sz w:val="18"/>
          <w:lang w:val="fr-FR"/>
        </w:rPr>
        <w:t>e</w:t>
      </w:r>
      <w:r w:rsidRPr="001B6946">
        <w:rPr>
          <w:sz w:val="18"/>
          <w:lang w:val="fr-FR"/>
        </w:rPr>
        <w:t>nquête sur la population active a remplacé l</w:t>
      </w:r>
      <w:r w:rsidR="00784444">
        <w:rPr>
          <w:sz w:val="18"/>
          <w:lang w:val="fr-FR"/>
        </w:rPr>
        <w:t>’</w:t>
      </w:r>
      <w:r w:rsidRPr="001B6946">
        <w:rPr>
          <w:sz w:val="18"/>
          <w:lang w:val="fr-FR"/>
        </w:rPr>
        <w:t xml:space="preserve">enquête nationale trimestrielle auprès des ménages au </w:t>
      </w:r>
      <w:r>
        <w:rPr>
          <w:sz w:val="18"/>
          <w:lang w:val="fr-FR"/>
        </w:rPr>
        <w:t>troisième</w:t>
      </w:r>
      <w:r w:rsidRPr="001B6946">
        <w:rPr>
          <w:sz w:val="18"/>
          <w:lang w:val="fr-FR"/>
        </w:rPr>
        <w:t xml:space="preserve"> trimestre de 2017.</w:t>
      </w:r>
      <w:r w:rsidRPr="001B6946">
        <w:rPr>
          <w:sz w:val="18"/>
          <w:szCs w:val="18"/>
          <w:lang w:val="fr-FR"/>
        </w:rPr>
        <w:t xml:space="preserve"> Par conséquent, il convient de comparer avec précaution les données antérieures et postérieures à cette période.</w:t>
      </w:r>
      <w:bookmarkEnd w:id="183"/>
    </w:p>
    <w:p w14:paraId="634406F0" w14:textId="77777777" w:rsidR="00F72E58" w:rsidRPr="001B6946" w:rsidRDefault="00F72E58" w:rsidP="00A0716B">
      <w:pPr>
        <w:pStyle w:val="SingleTxtG"/>
        <w:spacing w:after="0"/>
        <w:ind w:firstLine="170"/>
        <w:jc w:val="left"/>
        <w:rPr>
          <w:sz w:val="18"/>
          <w:lang w:val="fr-FR"/>
        </w:rPr>
      </w:pPr>
      <w:r w:rsidRPr="001B6946">
        <w:rPr>
          <w:i/>
          <w:sz w:val="18"/>
          <w:lang w:val="fr-FR"/>
        </w:rPr>
        <w:t>*</w:t>
      </w:r>
      <w:r w:rsidR="007A54A8">
        <w:rPr>
          <w:sz w:val="18"/>
          <w:lang w:val="fr-FR"/>
        </w:rPr>
        <w:t xml:space="preserve"> </w:t>
      </w:r>
      <w:bookmarkStart w:id="184" w:name="_Hlk34727545"/>
      <w:r w:rsidR="00A0716B">
        <w:rPr>
          <w:sz w:val="18"/>
          <w:lang w:val="fr-FR"/>
        </w:rPr>
        <w:t xml:space="preserve"> </w:t>
      </w:r>
      <w:r w:rsidRPr="001B6946">
        <w:rPr>
          <w:sz w:val="18"/>
          <w:lang w:val="fr-FR"/>
        </w:rPr>
        <w:t>Lorsqu</w:t>
      </w:r>
      <w:r w:rsidR="00784444">
        <w:rPr>
          <w:sz w:val="18"/>
          <w:lang w:val="fr-FR"/>
        </w:rPr>
        <w:t>’</w:t>
      </w:r>
      <w:r w:rsidRPr="001B6946">
        <w:rPr>
          <w:sz w:val="18"/>
          <w:lang w:val="fr-FR"/>
        </w:rPr>
        <w:t>il y a moins de 30 personnes dans une cellule, les estimations du nombre de personnes ou moyennes ne sont pas fournies car les estimations sont trop faibles pour être jugées fiables</w:t>
      </w:r>
      <w:bookmarkEnd w:id="184"/>
      <w:r w:rsidRPr="001B6946">
        <w:rPr>
          <w:sz w:val="18"/>
          <w:lang w:val="fr-FR"/>
        </w:rPr>
        <w:t>.</w:t>
      </w:r>
    </w:p>
    <w:p w14:paraId="43CB10EF" w14:textId="77777777" w:rsidR="00F72E58" w:rsidRPr="001B6946" w:rsidRDefault="00A0716B" w:rsidP="00A0716B">
      <w:pPr>
        <w:pStyle w:val="SingleTxtG"/>
        <w:keepNext/>
        <w:spacing w:after="0"/>
        <w:ind w:firstLine="170"/>
        <w:jc w:val="left"/>
        <w:rPr>
          <w:sz w:val="18"/>
          <w:lang w:val="fr-FR"/>
        </w:rPr>
      </w:pPr>
      <w:bookmarkStart w:id="185" w:name="_Hlk37832429"/>
      <w:r>
        <w:rPr>
          <w:sz w:val="18"/>
          <w:lang w:val="fr-FR"/>
        </w:rPr>
        <w:lastRenderedPageBreak/>
        <w:t xml:space="preserve">[ ] </w:t>
      </w:r>
      <w:r w:rsidR="009C48FD">
        <w:rPr>
          <w:sz w:val="18"/>
          <w:lang w:val="fr-FR"/>
        </w:rPr>
        <w:t>L</w:t>
      </w:r>
      <w:r w:rsidR="00F72E58" w:rsidRPr="001B6946">
        <w:rPr>
          <w:sz w:val="18"/>
          <w:lang w:val="fr-FR"/>
        </w:rPr>
        <w:t xml:space="preserve">es chiffres indiqués entre </w:t>
      </w:r>
      <w:r>
        <w:rPr>
          <w:sz w:val="18"/>
          <w:lang w:val="fr-FR"/>
        </w:rPr>
        <w:t>crochets</w:t>
      </w:r>
      <w:r w:rsidR="00F72E58" w:rsidRPr="001B6946">
        <w:rPr>
          <w:sz w:val="18"/>
          <w:lang w:val="fr-FR"/>
        </w:rPr>
        <w:t xml:space="preserve"> correspondent </w:t>
      </w:r>
      <w:bookmarkEnd w:id="185"/>
      <w:r w:rsidR="00F72E58" w:rsidRPr="001B6946">
        <w:rPr>
          <w:sz w:val="18"/>
          <w:lang w:val="fr-FR"/>
        </w:rPr>
        <w:t>à des cellules de moins de 30</w:t>
      </w:r>
      <w:r w:rsidR="00F72E58">
        <w:rPr>
          <w:sz w:val="18"/>
          <w:lang w:val="fr-FR"/>
        </w:rPr>
        <w:t xml:space="preserve"> à </w:t>
      </w:r>
      <w:r w:rsidR="00F72E58" w:rsidRPr="001B6946">
        <w:rPr>
          <w:sz w:val="18"/>
          <w:lang w:val="fr-FR"/>
        </w:rPr>
        <w:t>50</w:t>
      </w:r>
      <w:r w:rsidR="00F72E58">
        <w:rPr>
          <w:sz w:val="18"/>
          <w:lang w:val="fr-FR"/>
        </w:rPr>
        <w:t> </w:t>
      </w:r>
      <w:r w:rsidR="00F72E58" w:rsidRPr="001B6946">
        <w:rPr>
          <w:sz w:val="18"/>
          <w:lang w:val="fr-FR"/>
        </w:rPr>
        <w:t>personnes pour lesquelles les estimations présentent une plus grande marge d</w:t>
      </w:r>
      <w:r w:rsidR="00784444">
        <w:rPr>
          <w:sz w:val="18"/>
          <w:lang w:val="fr-FR"/>
        </w:rPr>
        <w:t>’</w:t>
      </w:r>
      <w:r w:rsidR="00F72E58" w:rsidRPr="001B6946">
        <w:rPr>
          <w:sz w:val="18"/>
          <w:lang w:val="fr-FR"/>
        </w:rPr>
        <w:t>erreur et doivent donc être traitées avec circonspection.</w:t>
      </w:r>
    </w:p>
    <w:p w14:paraId="6055824E" w14:textId="77777777" w:rsidR="008518D2" w:rsidRDefault="00F72E58" w:rsidP="00A0716B">
      <w:pPr>
        <w:pStyle w:val="SingleTxtG"/>
        <w:keepNext/>
        <w:spacing w:after="0"/>
        <w:ind w:firstLine="170"/>
        <w:jc w:val="left"/>
        <w:rPr>
          <w:sz w:val="18"/>
          <w:lang w:val="fr-FR"/>
        </w:rPr>
      </w:pPr>
      <w:r w:rsidRPr="001B6946">
        <w:rPr>
          <w:i/>
          <w:sz w:val="18"/>
          <w:lang w:val="fr-FR"/>
        </w:rPr>
        <w:t>Période de référence</w:t>
      </w:r>
      <w:r>
        <w:rPr>
          <w:i/>
          <w:sz w:val="18"/>
          <w:lang w:val="fr-FR"/>
        </w:rPr>
        <w:t xml:space="preserve"> </w:t>
      </w:r>
      <w:r w:rsidRPr="001B6946">
        <w:rPr>
          <w:sz w:val="18"/>
          <w:lang w:val="fr-FR"/>
        </w:rPr>
        <w:t>: T1</w:t>
      </w:r>
      <w:r>
        <w:rPr>
          <w:sz w:val="18"/>
          <w:lang w:val="fr-FR"/>
        </w:rPr>
        <w:t xml:space="preserve"> </w:t>
      </w:r>
      <w:r w:rsidRPr="001B6946">
        <w:rPr>
          <w:sz w:val="18"/>
          <w:lang w:val="fr-FR"/>
        </w:rPr>
        <w:t>=</w:t>
      </w:r>
      <w:r>
        <w:rPr>
          <w:sz w:val="18"/>
          <w:lang w:val="fr-FR"/>
        </w:rPr>
        <w:t xml:space="preserve"> </w:t>
      </w:r>
      <w:r w:rsidRPr="001B6946">
        <w:rPr>
          <w:sz w:val="18"/>
          <w:lang w:val="fr-FR"/>
        </w:rPr>
        <w:t>janvier</w:t>
      </w:r>
      <w:r>
        <w:rPr>
          <w:sz w:val="18"/>
          <w:lang w:val="fr-FR"/>
        </w:rPr>
        <w:t>-</w:t>
      </w:r>
      <w:r w:rsidRPr="001B6946">
        <w:rPr>
          <w:sz w:val="18"/>
          <w:lang w:val="fr-FR"/>
        </w:rPr>
        <w:t>mars, T2</w:t>
      </w:r>
      <w:r>
        <w:rPr>
          <w:sz w:val="18"/>
          <w:lang w:val="fr-FR"/>
        </w:rPr>
        <w:t xml:space="preserve"> </w:t>
      </w:r>
      <w:r w:rsidRPr="001B6946">
        <w:rPr>
          <w:sz w:val="18"/>
          <w:lang w:val="fr-FR"/>
        </w:rPr>
        <w:t>=</w:t>
      </w:r>
      <w:r>
        <w:rPr>
          <w:sz w:val="18"/>
          <w:lang w:val="fr-FR"/>
        </w:rPr>
        <w:t xml:space="preserve"> </w:t>
      </w:r>
      <w:r w:rsidRPr="001B6946">
        <w:rPr>
          <w:sz w:val="18"/>
          <w:lang w:val="fr-FR"/>
        </w:rPr>
        <w:t>avril-juin, T3</w:t>
      </w:r>
      <w:r>
        <w:rPr>
          <w:sz w:val="18"/>
          <w:lang w:val="fr-FR"/>
        </w:rPr>
        <w:t xml:space="preserve"> </w:t>
      </w:r>
      <w:r w:rsidRPr="001B6946">
        <w:rPr>
          <w:sz w:val="18"/>
          <w:lang w:val="fr-FR"/>
        </w:rPr>
        <w:t>=</w:t>
      </w:r>
      <w:r>
        <w:rPr>
          <w:sz w:val="18"/>
          <w:lang w:val="fr-FR"/>
        </w:rPr>
        <w:t xml:space="preserve"> </w:t>
      </w:r>
      <w:r w:rsidRPr="001B6946">
        <w:rPr>
          <w:sz w:val="18"/>
          <w:lang w:val="fr-FR"/>
        </w:rPr>
        <w:t>juillet-septembre, T4</w:t>
      </w:r>
      <w:r w:rsidR="00A0716B">
        <w:rPr>
          <w:sz w:val="18"/>
          <w:lang w:val="fr-FR"/>
        </w:rPr>
        <w:t> </w:t>
      </w:r>
      <w:r w:rsidRPr="001B6946">
        <w:rPr>
          <w:sz w:val="18"/>
          <w:lang w:val="fr-FR"/>
        </w:rPr>
        <w:t>=</w:t>
      </w:r>
      <w:r w:rsidR="00A0716B">
        <w:rPr>
          <w:sz w:val="18"/>
          <w:lang w:val="fr-FR"/>
        </w:rPr>
        <w:t> </w:t>
      </w:r>
      <w:r w:rsidRPr="001B6946">
        <w:rPr>
          <w:sz w:val="18"/>
          <w:lang w:val="fr-FR"/>
        </w:rPr>
        <w:t>octobre</w:t>
      </w:r>
      <w:r w:rsidR="008518D2">
        <w:rPr>
          <w:sz w:val="18"/>
          <w:lang w:val="fr-FR"/>
        </w:rPr>
        <w:noBreakHyphen/>
      </w:r>
      <w:r w:rsidRPr="001B6946">
        <w:rPr>
          <w:sz w:val="18"/>
          <w:lang w:val="fr-FR"/>
        </w:rPr>
        <w:t>décembre.</w:t>
      </w:r>
    </w:p>
    <w:p w14:paraId="4B74D03D" w14:textId="77777777" w:rsidR="00B52338" w:rsidRDefault="008518D2" w:rsidP="005438D3">
      <w:pPr>
        <w:pStyle w:val="Titre1"/>
        <w:spacing w:before="240" w:after="120"/>
        <w:rPr>
          <w:b/>
          <w:lang w:val="fr-FR"/>
        </w:rPr>
      </w:pPr>
      <w:r w:rsidRPr="008518D2">
        <w:rPr>
          <w:lang w:val="fr-FR"/>
        </w:rPr>
        <w:t xml:space="preserve">Table 6 </w:t>
      </w:r>
      <w:r w:rsidRPr="008518D2">
        <w:br/>
      </w:r>
      <w:r w:rsidRPr="008518D2">
        <w:rPr>
          <w:b/>
        </w:rPr>
        <w:t>Personnes âgées de 18 à 64</w:t>
      </w:r>
      <w:r>
        <w:rPr>
          <w:b/>
        </w:rPr>
        <w:t> </w:t>
      </w:r>
      <w:r w:rsidRPr="008518D2">
        <w:rPr>
          <w:b/>
        </w:rPr>
        <w:t xml:space="preserve">ans, classées selon la situation économique (OIT), </w:t>
      </w:r>
      <w:r w:rsidRPr="008518D2">
        <w:rPr>
          <w:b/>
        </w:rPr>
        <w:br/>
        <w:t>l</w:t>
      </w:r>
      <w:r w:rsidR="00784444">
        <w:rPr>
          <w:b/>
        </w:rPr>
        <w:t>’</w:t>
      </w:r>
      <w:r w:rsidRPr="008518D2">
        <w:rPr>
          <w:b/>
        </w:rPr>
        <w:t>âge, le titre le plus élevé</w:t>
      </w:r>
      <w:r w:rsidRPr="008518D2">
        <w:rPr>
          <w:b/>
          <w:lang w:val="fr-FR"/>
        </w:rPr>
        <w:t xml:space="preserve"> obtenu dans l</w:t>
      </w:r>
      <w:r w:rsidR="00784444">
        <w:rPr>
          <w:b/>
          <w:lang w:val="fr-FR"/>
        </w:rPr>
        <w:t>’</w:t>
      </w:r>
      <w:r w:rsidRPr="008518D2">
        <w:rPr>
          <w:b/>
          <w:lang w:val="fr-FR"/>
        </w:rPr>
        <w:t>enseignement et le sexe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738"/>
        <w:gridCol w:w="736"/>
        <w:gridCol w:w="736"/>
        <w:gridCol w:w="736"/>
        <w:gridCol w:w="736"/>
        <w:gridCol w:w="736"/>
        <w:gridCol w:w="736"/>
      </w:tblGrid>
      <w:tr w:rsidR="008518D2" w:rsidRPr="00A14BE7" w14:paraId="2EFDF9CC" w14:textId="77777777" w:rsidTr="00765F9E">
        <w:trPr>
          <w:tblHeader/>
        </w:trPr>
        <w:tc>
          <w:tcPr>
            <w:tcW w:w="2216" w:type="dxa"/>
            <w:tcBorders>
              <w:top w:val="single" w:sz="4" w:space="0" w:color="auto"/>
              <w:bottom w:val="single" w:sz="12" w:space="0" w:color="auto"/>
            </w:tcBorders>
            <w:shd w:val="clear" w:color="auto" w:fill="auto"/>
            <w:vAlign w:val="bottom"/>
          </w:tcPr>
          <w:p w14:paraId="5B658F32" w14:textId="77777777" w:rsidR="008518D2" w:rsidRPr="008518D2" w:rsidRDefault="008518D2" w:rsidP="008518D2">
            <w:pPr>
              <w:spacing w:before="80" w:after="80" w:line="200" w:lineRule="exact"/>
              <w:rPr>
                <w:i/>
                <w:sz w:val="16"/>
                <w:szCs w:val="16"/>
              </w:rPr>
            </w:pPr>
            <w:r w:rsidRPr="001B6946">
              <w:rPr>
                <w:i/>
                <w:sz w:val="16"/>
                <w:szCs w:val="16"/>
                <w:lang w:val="fr-FR" w:eastAsia="en-IE"/>
              </w:rPr>
              <w:t>Groupe d</w:t>
            </w:r>
            <w:r w:rsidR="00784444">
              <w:rPr>
                <w:i/>
                <w:sz w:val="16"/>
                <w:szCs w:val="16"/>
                <w:lang w:val="fr-FR" w:eastAsia="en-IE"/>
              </w:rPr>
              <w:t>’</w:t>
            </w:r>
            <w:r w:rsidRPr="001B6946">
              <w:rPr>
                <w:i/>
                <w:sz w:val="16"/>
                <w:szCs w:val="16"/>
                <w:lang w:val="fr-FR" w:eastAsia="en-IE"/>
              </w:rPr>
              <w:t>âge/titre le plus élevé obtenu/sexe/situation économique (OIT)</w:t>
            </w:r>
          </w:p>
        </w:tc>
        <w:tc>
          <w:tcPr>
            <w:tcW w:w="738" w:type="dxa"/>
            <w:tcBorders>
              <w:top w:val="single" w:sz="4" w:space="0" w:color="auto"/>
              <w:bottom w:val="single" w:sz="12" w:space="0" w:color="auto"/>
            </w:tcBorders>
            <w:shd w:val="clear" w:color="auto" w:fill="auto"/>
            <w:vAlign w:val="bottom"/>
          </w:tcPr>
          <w:p w14:paraId="6233659A" w14:textId="77777777" w:rsidR="008518D2" w:rsidRPr="001B6946" w:rsidRDefault="008518D2" w:rsidP="008518D2">
            <w:pPr>
              <w:spacing w:before="80" w:after="80" w:line="200" w:lineRule="exact"/>
              <w:jc w:val="right"/>
              <w:rPr>
                <w:i/>
                <w:sz w:val="16"/>
                <w:szCs w:val="16"/>
                <w:lang w:val="fr-FR" w:eastAsia="en-IE"/>
              </w:rPr>
            </w:pPr>
          </w:p>
          <w:p w14:paraId="68CDA91F"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T4 16</w:t>
            </w:r>
          </w:p>
        </w:tc>
        <w:tc>
          <w:tcPr>
            <w:tcW w:w="736" w:type="dxa"/>
            <w:tcBorders>
              <w:top w:val="single" w:sz="4" w:space="0" w:color="auto"/>
              <w:bottom w:val="single" w:sz="12" w:space="0" w:color="auto"/>
            </w:tcBorders>
            <w:shd w:val="clear" w:color="auto" w:fill="auto"/>
            <w:vAlign w:val="bottom"/>
          </w:tcPr>
          <w:p w14:paraId="34DE04D8" w14:textId="77777777" w:rsidR="008518D2" w:rsidRPr="001B6946" w:rsidRDefault="008518D2" w:rsidP="008518D2">
            <w:pPr>
              <w:spacing w:before="80" w:after="80" w:line="200" w:lineRule="exact"/>
              <w:jc w:val="right"/>
              <w:rPr>
                <w:i/>
                <w:sz w:val="16"/>
                <w:szCs w:val="16"/>
                <w:lang w:val="fr-FR" w:eastAsia="en-IE"/>
              </w:rPr>
            </w:pPr>
          </w:p>
          <w:p w14:paraId="446CB29A"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T1 17</w:t>
            </w:r>
          </w:p>
        </w:tc>
        <w:tc>
          <w:tcPr>
            <w:tcW w:w="736" w:type="dxa"/>
            <w:tcBorders>
              <w:top w:val="single" w:sz="4" w:space="0" w:color="auto"/>
              <w:bottom w:val="single" w:sz="12" w:space="0" w:color="auto"/>
            </w:tcBorders>
            <w:shd w:val="clear" w:color="auto" w:fill="auto"/>
            <w:vAlign w:val="bottom"/>
          </w:tcPr>
          <w:p w14:paraId="190C9983" w14:textId="77777777" w:rsidR="008518D2" w:rsidRPr="001B6946" w:rsidRDefault="008518D2" w:rsidP="008518D2">
            <w:pPr>
              <w:spacing w:before="80" w:after="80" w:line="200" w:lineRule="exact"/>
              <w:jc w:val="right"/>
              <w:rPr>
                <w:i/>
                <w:sz w:val="16"/>
                <w:szCs w:val="16"/>
                <w:lang w:val="fr-FR" w:eastAsia="en-IE"/>
              </w:rPr>
            </w:pPr>
          </w:p>
          <w:p w14:paraId="1369E8B8"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T2 17</w:t>
            </w:r>
          </w:p>
        </w:tc>
        <w:tc>
          <w:tcPr>
            <w:tcW w:w="736" w:type="dxa"/>
            <w:tcBorders>
              <w:top w:val="single" w:sz="4" w:space="0" w:color="auto"/>
              <w:bottom w:val="single" w:sz="12" w:space="0" w:color="auto"/>
            </w:tcBorders>
            <w:shd w:val="clear" w:color="auto" w:fill="auto"/>
            <w:vAlign w:val="bottom"/>
          </w:tcPr>
          <w:p w14:paraId="6111A22C" w14:textId="77777777" w:rsidR="008518D2" w:rsidRPr="001B6946" w:rsidRDefault="008518D2" w:rsidP="008518D2">
            <w:pPr>
              <w:spacing w:before="80" w:after="80" w:line="200" w:lineRule="exact"/>
              <w:jc w:val="right"/>
              <w:rPr>
                <w:i/>
                <w:sz w:val="16"/>
                <w:szCs w:val="16"/>
                <w:lang w:val="fr-FR" w:eastAsia="en-IE"/>
              </w:rPr>
            </w:pPr>
          </w:p>
          <w:p w14:paraId="7C876F30"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T3 17</w:t>
            </w:r>
          </w:p>
        </w:tc>
        <w:tc>
          <w:tcPr>
            <w:tcW w:w="736" w:type="dxa"/>
            <w:tcBorders>
              <w:top w:val="single" w:sz="4" w:space="0" w:color="auto"/>
              <w:bottom w:val="single" w:sz="12" w:space="0" w:color="auto"/>
            </w:tcBorders>
            <w:shd w:val="clear" w:color="auto" w:fill="auto"/>
            <w:vAlign w:val="bottom"/>
          </w:tcPr>
          <w:p w14:paraId="72C17248" w14:textId="77777777" w:rsidR="008518D2" w:rsidRPr="001B6946" w:rsidRDefault="008518D2" w:rsidP="008518D2">
            <w:pPr>
              <w:spacing w:before="80" w:after="80" w:line="200" w:lineRule="exact"/>
              <w:jc w:val="right"/>
              <w:rPr>
                <w:i/>
                <w:sz w:val="16"/>
                <w:szCs w:val="16"/>
                <w:lang w:val="fr-FR" w:eastAsia="en-IE"/>
              </w:rPr>
            </w:pPr>
          </w:p>
          <w:p w14:paraId="024A1917"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T4 17</w:t>
            </w:r>
          </w:p>
        </w:tc>
        <w:tc>
          <w:tcPr>
            <w:tcW w:w="736" w:type="dxa"/>
            <w:tcBorders>
              <w:top w:val="single" w:sz="4" w:space="0" w:color="auto"/>
              <w:bottom w:val="single" w:sz="12" w:space="0" w:color="auto"/>
            </w:tcBorders>
            <w:shd w:val="clear" w:color="auto" w:fill="auto"/>
            <w:vAlign w:val="bottom"/>
          </w:tcPr>
          <w:p w14:paraId="6FB12E3E" w14:textId="77777777" w:rsidR="008518D2" w:rsidRPr="001B6946" w:rsidRDefault="008518D2" w:rsidP="008518D2">
            <w:pPr>
              <w:spacing w:before="80" w:after="80" w:line="200" w:lineRule="exact"/>
              <w:jc w:val="right"/>
              <w:rPr>
                <w:i/>
                <w:sz w:val="16"/>
                <w:szCs w:val="16"/>
                <w:lang w:val="fr-FR" w:eastAsia="en-IE"/>
              </w:rPr>
            </w:pPr>
          </w:p>
          <w:p w14:paraId="7B47E4C7"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T1 18</w:t>
            </w:r>
          </w:p>
        </w:tc>
        <w:tc>
          <w:tcPr>
            <w:tcW w:w="736" w:type="dxa"/>
            <w:tcBorders>
              <w:top w:val="single" w:sz="4" w:space="0" w:color="auto"/>
              <w:bottom w:val="single" w:sz="12" w:space="0" w:color="auto"/>
            </w:tcBorders>
            <w:shd w:val="clear" w:color="auto" w:fill="auto"/>
            <w:vAlign w:val="bottom"/>
          </w:tcPr>
          <w:p w14:paraId="10209890" w14:textId="77777777" w:rsidR="008518D2" w:rsidRPr="001B6946" w:rsidRDefault="008518D2" w:rsidP="008518D2">
            <w:pPr>
              <w:spacing w:before="80" w:after="80" w:line="200" w:lineRule="exact"/>
              <w:jc w:val="right"/>
              <w:rPr>
                <w:i/>
                <w:sz w:val="16"/>
                <w:szCs w:val="16"/>
                <w:lang w:val="fr-FR" w:eastAsia="en-IE"/>
              </w:rPr>
            </w:pPr>
          </w:p>
          <w:p w14:paraId="4D897FF0" w14:textId="77777777" w:rsidR="008518D2" w:rsidRPr="001B6946" w:rsidRDefault="008518D2" w:rsidP="008518D2">
            <w:pPr>
              <w:spacing w:before="80" w:after="80" w:line="200" w:lineRule="exact"/>
              <w:jc w:val="right"/>
              <w:rPr>
                <w:i/>
                <w:sz w:val="16"/>
                <w:szCs w:val="16"/>
                <w:lang w:val="fr-FR" w:eastAsia="en-IE"/>
              </w:rPr>
            </w:pPr>
            <w:r w:rsidRPr="001B6946">
              <w:rPr>
                <w:i/>
                <w:sz w:val="16"/>
                <w:szCs w:val="16"/>
                <w:lang w:val="fr-FR" w:eastAsia="en-IE"/>
              </w:rPr>
              <w:t>T2 18</w:t>
            </w:r>
          </w:p>
        </w:tc>
      </w:tr>
      <w:tr w:rsidR="008518D2" w:rsidRPr="00A14BE7" w14:paraId="17C92AF4" w14:textId="77777777" w:rsidTr="00765F9E">
        <w:tc>
          <w:tcPr>
            <w:tcW w:w="7370" w:type="dxa"/>
            <w:gridSpan w:val="8"/>
            <w:tcBorders>
              <w:top w:val="single" w:sz="12" w:space="0" w:color="auto"/>
            </w:tcBorders>
            <w:shd w:val="clear" w:color="auto" w:fill="auto"/>
          </w:tcPr>
          <w:p w14:paraId="6064D841" w14:textId="77777777" w:rsidR="008518D2" w:rsidRPr="003A75B8" w:rsidRDefault="008518D2" w:rsidP="003A75B8">
            <w:pPr>
              <w:spacing w:before="40" w:after="40" w:line="220" w:lineRule="exact"/>
              <w:rPr>
                <w:sz w:val="18"/>
                <w:szCs w:val="18"/>
              </w:rPr>
            </w:pPr>
            <w:r w:rsidRPr="003A75B8">
              <w:rPr>
                <w:b/>
                <w:bCs/>
                <w:sz w:val="18"/>
                <w:szCs w:val="18"/>
                <w:lang w:val="fr-FR" w:eastAsia="en-IE"/>
              </w:rPr>
              <w:t>Personnes âgées de 18 à 24 ans</w:t>
            </w:r>
          </w:p>
        </w:tc>
      </w:tr>
      <w:tr w:rsidR="008518D2" w:rsidRPr="008518D2" w14:paraId="2CDA32FF" w14:textId="77777777" w:rsidTr="00765F9E">
        <w:tc>
          <w:tcPr>
            <w:tcW w:w="2216" w:type="dxa"/>
            <w:shd w:val="clear" w:color="auto" w:fill="auto"/>
            <w:vAlign w:val="bottom"/>
          </w:tcPr>
          <w:p w14:paraId="1B81975A" w14:textId="77777777" w:rsidR="008518D2" w:rsidRPr="003A75B8" w:rsidRDefault="008518D2" w:rsidP="003A75B8">
            <w:pPr>
              <w:spacing w:before="40" w:after="40" w:line="220" w:lineRule="exact"/>
              <w:rPr>
                <w:sz w:val="18"/>
                <w:szCs w:val="18"/>
                <w:lang w:val="fr-FR"/>
              </w:rPr>
            </w:pPr>
            <w:r w:rsidRPr="003A75B8">
              <w:rPr>
                <w:bCs/>
                <w:sz w:val="18"/>
                <w:szCs w:val="18"/>
                <w:lang w:val="fr-FR" w:eastAsia="en-IE"/>
              </w:rPr>
              <w:t>Jeunes sortis prématurément du système éducatif et de formation âgés de 18 à 24 ans</w:t>
            </w:r>
          </w:p>
        </w:tc>
        <w:tc>
          <w:tcPr>
            <w:tcW w:w="738" w:type="dxa"/>
            <w:shd w:val="clear" w:color="auto" w:fill="auto"/>
            <w:vAlign w:val="bottom"/>
          </w:tcPr>
          <w:p w14:paraId="559820D3"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8302348"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79C658D2"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94A5E0F"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5074356"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2AF0492"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F4F3612" w14:textId="77777777" w:rsidR="008518D2" w:rsidRPr="003A75B8" w:rsidRDefault="008518D2" w:rsidP="003A75B8">
            <w:pPr>
              <w:spacing w:before="40" w:after="40" w:line="220" w:lineRule="exact"/>
              <w:jc w:val="right"/>
              <w:rPr>
                <w:sz w:val="18"/>
                <w:szCs w:val="18"/>
              </w:rPr>
            </w:pPr>
          </w:p>
        </w:tc>
      </w:tr>
      <w:tr w:rsidR="008518D2" w:rsidRPr="00A14BE7" w14:paraId="6D7678B5" w14:textId="77777777" w:rsidTr="00765F9E">
        <w:tc>
          <w:tcPr>
            <w:tcW w:w="2216" w:type="dxa"/>
            <w:shd w:val="clear" w:color="auto" w:fill="auto"/>
            <w:vAlign w:val="bottom"/>
          </w:tcPr>
          <w:p w14:paraId="49E32E0A" w14:textId="77777777" w:rsidR="008518D2" w:rsidRPr="003A75B8" w:rsidRDefault="008518D2" w:rsidP="003A75B8">
            <w:pPr>
              <w:spacing w:before="40" w:after="40" w:line="220" w:lineRule="exact"/>
              <w:rPr>
                <w:sz w:val="18"/>
                <w:szCs w:val="18"/>
                <w:lang w:val="fr-FR"/>
              </w:rPr>
            </w:pPr>
            <w:r w:rsidRPr="003A75B8">
              <w:rPr>
                <w:b/>
                <w:bCs/>
                <w:sz w:val="18"/>
                <w:szCs w:val="18"/>
                <w:lang w:val="fr-FR" w:eastAsia="en-IE"/>
              </w:rPr>
              <w:t>Hommes</w:t>
            </w:r>
          </w:p>
        </w:tc>
        <w:tc>
          <w:tcPr>
            <w:tcW w:w="738" w:type="dxa"/>
            <w:shd w:val="clear" w:color="auto" w:fill="auto"/>
            <w:vAlign w:val="bottom"/>
          </w:tcPr>
          <w:p w14:paraId="2B6A0176"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CC6DED1"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45EAE54"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0F527B0D"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A474D7B"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C744485"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23757E2E" w14:textId="77777777" w:rsidR="008518D2" w:rsidRPr="003A75B8" w:rsidRDefault="008518D2" w:rsidP="003A75B8">
            <w:pPr>
              <w:spacing w:before="40" w:after="40" w:line="220" w:lineRule="exact"/>
              <w:jc w:val="right"/>
              <w:rPr>
                <w:sz w:val="18"/>
                <w:szCs w:val="18"/>
              </w:rPr>
            </w:pPr>
          </w:p>
        </w:tc>
      </w:tr>
      <w:tr w:rsidR="008518D2" w:rsidRPr="00A14BE7" w14:paraId="59EF3282" w14:textId="77777777" w:rsidTr="00765F9E">
        <w:tc>
          <w:tcPr>
            <w:tcW w:w="2216" w:type="dxa"/>
            <w:shd w:val="clear" w:color="auto" w:fill="auto"/>
          </w:tcPr>
          <w:p w14:paraId="7501BB53"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5E7C5DDB" w14:textId="77777777" w:rsidR="008518D2" w:rsidRPr="003A75B8" w:rsidRDefault="008518D2" w:rsidP="003A75B8">
            <w:pPr>
              <w:spacing w:before="40" w:after="40" w:line="220" w:lineRule="exact"/>
              <w:jc w:val="right"/>
              <w:rPr>
                <w:sz w:val="18"/>
                <w:szCs w:val="18"/>
              </w:rPr>
            </w:pPr>
            <w:r w:rsidRPr="003A75B8">
              <w:rPr>
                <w:sz w:val="18"/>
                <w:szCs w:val="18"/>
              </w:rPr>
              <w:t>50,1</w:t>
            </w:r>
          </w:p>
        </w:tc>
        <w:tc>
          <w:tcPr>
            <w:tcW w:w="736" w:type="dxa"/>
            <w:shd w:val="clear" w:color="auto" w:fill="auto"/>
            <w:vAlign w:val="bottom"/>
          </w:tcPr>
          <w:p w14:paraId="64297A64" w14:textId="77777777" w:rsidR="008518D2" w:rsidRPr="003A75B8" w:rsidRDefault="008518D2" w:rsidP="003A75B8">
            <w:pPr>
              <w:spacing w:before="40" w:after="40" w:line="220" w:lineRule="exact"/>
              <w:jc w:val="right"/>
              <w:rPr>
                <w:sz w:val="18"/>
                <w:szCs w:val="18"/>
              </w:rPr>
            </w:pPr>
            <w:r w:rsidRPr="003A75B8">
              <w:rPr>
                <w:sz w:val="18"/>
                <w:szCs w:val="18"/>
              </w:rPr>
              <w:t>39,2</w:t>
            </w:r>
          </w:p>
        </w:tc>
        <w:tc>
          <w:tcPr>
            <w:tcW w:w="736" w:type="dxa"/>
            <w:shd w:val="clear" w:color="auto" w:fill="auto"/>
            <w:vAlign w:val="bottom"/>
          </w:tcPr>
          <w:p w14:paraId="26493462" w14:textId="77777777" w:rsidR="008518D2" w:rsidRPr="003A75B8" w:rsidRDefault="008518D2" w:rsidP="003A75B8">
            <w:pPr>
              <w:spacing w:before="40" w:after="40" w:line="220" w:lineRule="exact"/>
              <w:jc w:val="right"/>
              <w:rPr>
                <w:sz w:val="18"/>
                <w:szCs w:val="18"/>
              </w:rPr>
            </w:pPr>
            <w:r w:rsidRPr="003A75B8">
              <w:rPr>
                <w:sz w:val="18"/>
                <w:szCs w:val="18"/>
              </w:rPr>
              <w:t>39,7</w:t>
            </w:r>
          </w:p>
        </w:tc>
        <w:tc>
          <w:tcPr>
            <w:tcW w:w="736" w:type="dxa"/>
            <w:shd w:val="clear" w:color="auto" w:fill="auto"/>
            <w:vAlign w:val="bottom"/>
          </w:tcPr>
          <w:p w14:paraId="616B5636" w14:textId="77777777" w:rsidR="008518D2" w:rsidRPr="003A75B8" w:rsidRDefault="008518D2" w:rsidP="003A75B8">
            <w:pPr>
              <w:spacing w:before="40" w:after="40" w:line="220" w:lineRule="exact"/>
              <w:jc w:val="right"/>
              <w:rPr>
                <w:sz w:val="18"/>
                <w:szCs w:val="18"/>
              </w:rPr>
            </w:pPr>
            <w:r w:rsidRPr="003A75B8">
              <w:rPr>
                <w:sz w:val="18"/>
                <w:szCs w:val="18"/>
              </w:rPr>
              <w:t>30,0</w:t>
            </w:r>
          </w:p>
        </w:tc>
        <w:tc>
          <w:tcPr>
            <w:tcW w:w="736" w:type="dxa"/>
            <w:shd w:val="clear" w:color="auto" w:fill="auto"/>
            <w:vAlign w:val="bottom"/>
          </w:tcPr>
          <w:p w14:paraId="6DD741D0" w14:textId="77777777" w:rsidR="008518D2" w:rsidRPr="003A75B8" w:rsidRDefault="008518D2" w:rsidP="003A75B8">
            <w:pPr>
              <w:spacing w:before="40" w:after="40" w:line="220" w:lineRule="exact"/>
              <w:jc w:val="right"/>
              <w:rPr>
                <w:sz w:val="18"/>
                <w:szCs w:val="18"/>
              </w:rPr>
            </w:pPr>
            <w:r w:rsidRPr="003A75B8">
              <w:rPr>
                <w:sz w:val="18"/>
                <w:szCs w:val="18"/>
              </w:rPr>
              <w:t>31,3</w:t>
            </w:r>
          </w:p>
        </w:tc>
        <w:tc>
          <w:tcPr>
            <w:tcW w:w="736" w:type="dxa"/>
            <w:shd w:val="clear" w:color="auto" w:fill="auto"/>
            <w:vAlign w:val="bottom"/>
          </w:tcPr>
          <w:p w14:paraId="7604AD7D" w14:textId="77777777" w:rsidR="008518D2" w:rsidRPr="003A75B8" w:rsidRDefault="008518D2" w:rsidP="003A75B8">
            <w:pPr>
              <w:spacing w:before="40" w:after="40" w:line="220" w:lineRule="exact"/>
              <w:jc w:val="right"/>
              <w:rPr>
                <w:sz w:val="18"/>
                <w:szCs w:val="18"/>
              </w:rPr>
            </w:pPr>
            <w:r w:rsidRPr="003A75B8">
              <w:rPr>
                <w:sz w:val="18"/>
                <w:szCs w:val="18"/>
              </w:rPr>
              <w:t>23,1</w:t>
            </w:r>
          </w:p>
        </w:tc>
        <w:tc>
          <w:tcPr>
            <w:tcW w:w="736" w:type="dxa"/>
            <w:shd w:val="clear" w:color="auto" w:fill="auto"/>
            <w:vAlign w:val="bottom"/>
          </w:tcPr>
          <w:p w14:paraId="2C808807" w14:textId="77777777" w:rsidR="008518D2" w:rsidRPr="003A75B8" w:rsidRDefault="008518D2" w:rsidP="003A75B8">
            <w:pPr>
              <w:spacing w:before="40" w:after="40" w:line="220" w:lineRule="exact"/>
              <w:jc w:val="right"/>
              <w:rPr>
                <w:sz w:val="18"/>
                <w:szCs w:val="18"/>
              </w:rPr>
            </w:pPr>
            <w:r w:rsidRPr="003A75B8">
              <w:rPr>
                <w:sz w:val="18"/>
                <w:szCs w:val="18"/>
              </w:rPr>
              <w:t>33,9</w:t>
            </w:r>
          </w:p>
        </w:tc>
      </w:tr>
      <w:tr w:rsidR="008518D2" w:rsidRPr="00A14BE7" w14:paraId="1373810C" w14:textId="77777777" w:rsidTr="00765F9E">
        <w:tc>
          <w:tcPr>
            <w:tcW w:w="2216" w:type="dxa"/>
            <w:shd w:val="clear" w:color="auto" w:fill="auto"/>
          </w:tcPr>
          <w:p w14:paraId="48718762"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4663927E" w14:textId="77777777" w:rsidR="008518D2" w:rsidRPr="003A75B8" w:rsidRDefault="008518D2" w:rsidP="003A75B8">
            <w:pPr>
              <w:spacing w:before="40" w:after="40" w:line="220" w:lineRule="exact"/>
              <w:jc w:val="right"/>
              <w:rPr>
                <w:sz w:val="18"/>
                <w:szCs w:val="18"/>
              </w:rPr>
            </w:pPr>
            <w:r w:rsidRPr="003A75B8">
              <w:rPr>
                <w:sz w:val="18"/>
                <w:szCs w:val="18"/>
              </w:rPr>
              <w:t>21,6</w:t>
            </w:r>
          </w:p>
        </w:tc>
        <w:tc>
          <w:tcPr>
            <w:tcW w:w="736" w:type="dxa"/>
            <w:shd w:val="clear" w:color="auto" w:fill="auto"/>
            <w:vAlign w:val="bottom"/>
          </w:tcPr>
          <w:p w14:paraId="74F7C815" w14:textId="77777777" w:rsidR="008518D2" w:rsidRPr="003A75B8" w:rsidRDefault="008518D2" w:rsidP="003A75B8">
            <w:pPr>
              <w:spacing w:before="40" w:after="40" w:line="220" w:lineRule="exact"/>
              <w:jc w:val="right"/>
              <w:rPr>
                <w:sz w:val="18"/>
                <w:szCs w:val="18"/>
              </w:rPr>
            </w:pPr>
            <w:r w:rsidRPr="003A75B8">
              <w:rPr>
                <w:sz w:val="18"/>
                <w:szCs w:val="18"/>
              </w:rPr>
              <w:t>25,0</w:t>
            </w:r>
          </w:p>
        </w:tc>
        <w:tc>
          <w:tcPr>
            <w:tcW w:w="736" w:type="dxa"/>
            <w:shd w:val="clear" w:color="auto" w:fill="auto"/>
            <w:vAlign w:val="bottom"/>
          </w:tcPr>
          <w:p w14:paraId="60C3C570" w14:textId="77777777" w:rsidR="008518D2" w:rsidRPr="003A75B8" w:rsidRDefault="008518D2" w:rsidP="003A75B8">
            <w:pPr>
              <w:spacing w:before="40" w:after="40" w:line="220" w:lineRule="exact"/>
              <w:jc w:val="right"/>
              <w:rPr>
                <w:sz w:val="18"/>
                <w:szCs w:val="18"/>
              </w:rPr>
            </w:pPr>
            <w:r w:rsidRPr="003A75B8">
              <w:rPr>
                <w:sz w:val="18"/>
                <w:szCs w:val="18"/>
              </w:rPr>
              <w:t>30,1</w:t>
            </w:r>
          </w:p>
        </w:tc>
        <w:tc>
          <w:tcPr>
            <w:tcW w:w="736" w:type="dxa"/>
            <w:shd w:val="clear" w:color="auto" w:fill="auto"/>
            <w:vAlign w:val="bottom"/>
          </w:tcPr>
          <w:p w14:paraId="517A449C" w14:textId="77777777" w:rsidR="008518D2" w:rsidRPr="003A75B8" w:rsidRDefault="008518D2" w:rsidP="003A75B8">
            <w:pPr>
              <w:spacing w:before="40" w:after="40" w:line="220" w:lineRule="exact"/>
              <w:jc w:val="right"/>
              <w:rPr>
                <w:sz w:val="18"/>
                <w:szCs w:val="18"/>
              </w:rPr>
            </w:pPr>
            <w:r w:rsidRPr="003A75B8">
              <w:rPr>
                <w:sz w:val="18"/>
                <w:szCs w:val="18"/>
              </w:rPr>
              <w:t>16,6</w:t>
            </w:r>
          </w:p>
        </w:tc>
        <w:tc>
          <w:tcPr>
            <w:tcW w:w="736" w:type="dxa"/>
            <w:shd w:val="clear" w:color="auto" w:fill="auto"/>
            <w:vAlign w:val="bottom"/>
          </w:tcPr>
          <w:p w14:paraId="5AA6F63A" w14:textId="77777777" w:rsidR="008518D2" w:rsidRPr="003A75B8" w:rsidRDefault="008518D2" w:rsidP="003A75B8">
            <w:pPr>
              <w:spacing w:before="40" w:after="40" w:line="220" w:lineRule="exact"/>
              <w:jc w:val="right"/>
              <w:rPr>
                <w:sz w:val="18"/>
                <w:szCs w:val="18"/>
              </w:rPr>
            </w:pPr>
            <w:r w:rsidRPr="003A75B8">
              <w:rPr>
                <w:sz w:val="18"/>
                <w:szCs w:val="18"/>
              </w:rPr>
              <w:t>21,1</w:t>
            </w:r>
          </w:p>
        </w:tc>
        <w:tc>
          <w:tcPr>
            <w:tcW w:w="736" w:type="dxa"/>
            <w:shd w:val="clear" w:color="auto" w:fill="auto"/>
            <w:vAlign w:val="bottom"/>
          </w:tcPr>
          <w:p w14:paraId="5240FBF1" w14:textId="77777777" w:rsidR="008518D2" w:rsidRPr="003A75B8" w:rsidRDefault="008518D2" w:rsidP="003A75B8">
            <w:pPr>
              <w:spacing w:before="40" w:after="40" w:line="220" w:lineRule="exact"/>
              <w:jc w:val="right"/>
              <w:rPr>
                <w:sz w:val="18"/>
                <w:szCs w:val="18"/>
              </w:rPr>
            </w:pPr>
            <w:r w:rsidRPr="003A75B8">
              <w:rPr>
                <w:sz w:val="18"/>
                <w:szCs w:val="18"/>
              </w:rPr>
              <w:t>14,6</w:t>
            </w:r>
          </w:p>
        </w:tc>
        <w:tc>
          <w:tcPr>
            <w:tcW w:w="736" w:type="dxa"/>
            <w:shd w:val="clear" w:color="auto" w:fill="auto"/>
            <w:vAlign w:val="bottom"/>
          </w:tcPr>
          <w:p w14:paraId="220E2378" w14:textId="77777777" w:rsidR="008518D2" w:rsidRPr="003A75B8" w:rsidRDefault="008518D2" w:rsidP="003A75B8">
            <w:pPr>
              <w:spacing w:before="40" w:after="40" w:line="220" w:lineRule="exact"/>
              <w:jc w:val="right"/>
              <w:rPr>
                <w:sz w:val="18"/>
                <w:szCs w:val="18"/>
              </w:rPr>
            </w:pPr>
            <w:r w:rsidRPr="003A75B8">
              <w:rPr>
                <w:sz w:val="18"/>
                <w:szCs w:val="18"/>
              </w:rPr>
              <w:t>19,4</w:t>
            </w:r>
          </w:p>
        </w:tc>
      </w:tr>
      <w:tr w:rsidR="008518D2" w:rsidRPr="00A14BE7" w14:paraId="18103DFC" w14:textId="77777777" w:rsidTr="00765F9E">
        <w:tc>
          <w:tcPr>
            <w:tcW w:w="2216" w:type="dxa"/>
            <w:shd w:val="clear" w:color="auto" w:fill="auto"/>
          </w:tcPr>
          <w:p w14:paraId="512A63A7"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623DE3A5" w14:textId="77777777" w:rsidR="008518D2" w:rsidRPr="003A75B8" w:rsidRDefault="008518D2" w:rsidP="003A75B8">
            <w:pPr>
              <w:spacing w:before="40" w:after="40" w:line="220" w:lineRule="exact"/>
              <w:jc w:val="right"/>
              <w:rPr>
                <w:sz w:val="18"/>
                <w:szCs w:val="18"/>
              </w:rPr>
            </w:pPr>
            <w:r w:rsidRPr="003A75B8">
              <w:rPr>
                <w:sz w:val="18"/>
                <w:szCs w:val="18"/>
              </w:rPr>
              <w:t>28,2</w:t>
            </w:r>
          </w:p>
        </w:tc>
        <w:tc>
          <w:tcPr>
            <w:tcW w:w="736" w:type="dxa"/>
            <w:shd w:val="clear" w:color="auto" w:fill="auto"/>
            <w:vAlign w:val="bottom"/>
          </w:tcPr>
          <w:p w14:paraId="7B5312F2" w14:textId="77777777" w:rsidR="008518D2" w:rsidRPr="003A75B8" w:rsidRDefault="008518D2" w:rsidP="003A75B8">
            <w:pPr>
              <w:spacing w:before="40" w:after="40" w:line="220" w:lineRule="exact"/>
              <w:jc w:val="right"/>
              <w:rPr>
                <w:sz w:val="18"/>
                <w:szCs w:val="18"/>
              </w:rPr>
            </w:pPr>
            <w:r w:rsidRPr="003A75B8">
              <w:rPr>
                <w:sz w:val="18"/>
                <w:szCs w:val="18"/>
              </w:rPr>
              <w:t>35,8</w:t>
            </w:r>
          </w:p>
        </w:tc>
        <w:tc>
          <w:tcPr>
            <w:tcW w:w="736" w:type="dxa"/>
            <w:shd w:val="clear" w:color="auto" w:fill="auto"/>
            <w:vAlign w:val="bottom"/>
          </w:tcPr>
          <w:p w14:paraId="3D0ABE3B" w14:textId="77777777" w:rsidR="008518D2" w:rsidRPr="003A75B8" w:rsidRDefault="008518D2" w:rsidP="003A75B8">
            <w:pPr>
              <w:spacing w:before="40" w:after="40" w:line="220" w:lineRule="exact"/>
              <w:jc w:val="right"/>
              <w:rPr>
                <w:sz w:val="18"/>
                <w:szCs w:val="18"/>
              </w:rPr>
            </w:pPr>
            <w:r w:rsidRPr="003A75B8">
              <w:rPr>
                <w:sz w:val="18"/>
                <w:szCs w:val="18"/>
              </w:rPr>
              <w:t>30,3</w:t>
            </w:r>
          </w:p>
        </w:tc>
        <w:tc>
          <w:tcPr>
            <w:tcW w:w="736" w:type="dxa"/>
            <w:shd w:val="clear" w:color="auto" w:fill="auto"/>
            <w:vAlign w:val="bottom"/>
          </w:tcPr>
          <w:p w14:paraId="6030C210" w14:textId="77777777" w:rsidR="008518D2" w:rsidRPr="003A75B8" w:rsidRDefault="008518D2" w:rsidP="003A75B8">
            <w:pPr>
              <w:spacing w:before="40" w:after="40" w:line="220" w:lineRule="exact"/>
              <w:jc w:val="right"/>
              <w:rPr>
                <w:sz w:val="18"/>
                <w:szCs w:val="18"/>
              </w:rPr>
            </w:pPr>
            <w:r w:rsidRPr="003A75B8">
              <w:rPr>
                <w:sz w:val="18"/>
                <w:szCs w:val="18"/>
              </w:rPr>
              <w:t>53,4</w:t>
            </w:r>
          </w:p>
        </w:tc>
        <w:tc>
          <w:tcPr>
            <w:tcW w:w="736" w:type="dxa"/>
            <w:shd w:val="clear" w:color="auto" w:fill="auto"/>
            <w:vAlign w:val="bottom"/>
          </w:tcPr>
          <w:p w14:paraId="4991B77A" w14:textId="77777777" w:rsidR="008518D2" w:rsidRPr="003A75B8" w:rsidRDefault="008518D2" w:rsidP="003A75B8">
            <w:pPr>
              <w:spacing w:before="40" w:after="40" w:line="220" w:lineRule="exact"/>
              <w:jc w:val="right"/>
              <w:rPr>
                <w:sz w:val="18"/>
                <w:szCs w:val="18"/>
              </w:rPr>
            </w:pPr>
            <w:r w:rsidRPr="003A75B8">
              <w:rPr>
                <w:sz w:val="18"/>
                <w:szCs w:val="18"/>
              </w:rPr>
              <w:t>47,6</w:t>
            </w:r>
          </w:p>
        </w:tc>
        <w:tc>
          <w:tcPr>
            <w:tcW w:w="736" w:type="dxa"/>
            <w:shd w:val="clear" w:color="auto" w:fill="auto"/>
            <w:vAlign w:val="bottom"/>
          </w:tcPr>
          <w:p w14:paraId="7638B116" w14:textId="77777777" w:rsidR="008518D2" w:rsidRPr="003A75B8" w:rsidRDefault="008518D2" w:rsidP="003A75B8">
            <w:pPr>
              <w:spacing w:before="40" w:after="40" w:line="220" w:lineRule="exact"/>
              <w:jc w:val="right"/>
              <w:rPr>
                <w:sz w:val="18"/>
                <w:szCs w:val="18"/>
              </w:rPr>
            </w:pPr>
            <w:r w:rsidRPr="003A75B8">
              <w:rPr>
                <w:sz w:val="18"/>
                <w:szCs w:val="18"/>
              </w:rPr>
              <w:t>62,2</w:t>
            </w:r>
          </w:p>
        </w:tc>
        <w:tc>
          <w:tcPr>
            <w:tcW w:w="736" w:type="dxa"/>
            <w:shd w:val="clear" w:color="auto" w:fill="auto"/>
            <w:vAlign w:val="bottom"/>
          </w:tcPr>
          <w:p w14:paraId="77EE9D2A" w14:textId="77777777" w:rsidR="008518D2" w:rsidRPr="003A75B8" w:rsidRDefault="008518D2" w:rsidP="003A75B8">
            <w:pPr>
              <w:spacing w:before="40" w:after="40" w:line="220" w:lineRule="exact"/>
              <w:jc w:val="right"/>
              <w:rPr>
                <w:sz w:val="18"/>
                <w:szCs w:val="18"/>
              </w:rPr>
            </w:pPr>
            <w:r w:rsidRPr="003A75B8">
              <w:rPr>
                <w:sz w:val="18"/>
                <w:szCs w:val="18"/>
              </w:rPr>
              <w:t>46,6</w:t>
            </w:r>
          </w:p>
        </w:tc>
      </w:tr>
      <w:tr w:rsidR="008518D2" w:rsidRPr="00A14BE7" w14:paraId="75E539AB" w14:textId="77777777" w:rsidTr="00765F9E">
        <w:tc>
          <w:tcPr>
            <w:tcW w:w="2216" w:type="dxa"/>
            <w:shd w:val="clear" w:color="auto" w:fill="auto"/>
          </w:tcPr>
          <w:p w14:paraId="4226AB69" w14:textId="77777777" w:rsidR="008518D2" w:rsidRPr="003A75B8" w:rsidRDefault="008518D2" w:rsidP="003A75B8">
            <w:pPr>
              <w:spacing w:before="40" w:after="40" w:line="220" w:lineRule="exact"/>
              <w:rPr>
                <w:b/>
                <w:bCs/>
                <w:sz w:val="18"/>
                <w:szCs w:val="18"/>
                <w:lang w:val="fr-FR" w:eastAsia="en-IE"/>
              </w:rPr>
            </w:pPr>
            <w:r w:rsidRPr="003A75B8">
              <w:rPr>
                <w:b/>
                <w:bCs/>
                <w:sz w:val="18"/>
                <w:szCs w:val="18"/>
                <w:lang w:val="fr-FR" w:eastAsia="en-IE"/>
              </w:rPr>
              <w:t>Femmes</w:t>
            </w:r>
          </w:p>
        </w:tc>
        <w:tc>
          <w:tcPr>
            <w:tcW w:w="738" w:type="dxa"/>
            <w:shd w:val="clear" w:color="auto" w:fill="auto"/>
            <w:vAlign w:val="bottom"/>
          </w:tcPr>
          <w:p w14:paraId="608AC431" w14:textId="77777777" w:rsidR="008518D2" w:rsidRPr="003A75B8" w:rsidRDefault="008518D2" w:rsidP="003A75B8">
            <w:pPr>
              <w:spacing w:before="40" w:after="40" w:line="220" w:lineRule="exact"/>
              <w:jc w:val="right"/>
              <w:rPr>
                <w:sz w:val="18"/>
                <w:szCs w:val="18"/>
                <w:lang w:eastAsia="en-IE"/>
              </w:rPr>
            </w:pPr>
          </w:p>
        </w:tc>
        <w:tc>
          <w:tcPr>
            <w:tcW w:w="736" w:type="dxa"/>
            <w:shd w:val="clear" w:color="auto" w:fill="auto"/>
            <w:vAlign w:val="bottom"/>
          </w:tcPr>
          <w:p w14:paraId="46957EF7"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7034AA89"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2F7F3DAF"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3F6E3C6A"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0310802F"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2B123E1A" w14:textId="77777777" w:rsidR="008518D2" w:rsidRPr="003A75B8" w:rsidRDefault="008518D2" w:rsidP="003A75B8">
            <w:pPr>
              <w:spacing w:before="40" w:after="40" w:line="220" w:lineRule="exact"/>
              <w:jc w:val="right"/>
              <w:rPr>
                <w:sz w:val="18"/>
                <w:szCs w:val="18"/>
              </w:rPr>
            </w:pPr>
          </w:p>
        </w:tc>
      </w:tr>
      <w:tr w:rsidR="008518D2" w:rsidRPr="00A14BE7" w14:paraId="249E6F34" w14:textId="77777777" w:rsidTr="00765F9E">
        <w:tc>
          <w:tcPr>
            <w:tcW w:w="2216" w:type="dxa"/>
            <w:shd w:val="clear" w:color="auto" w:fill="auto"/>
          </w:tcPr>
          <w:p w14:paraId="75E25E3D"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Actives avec emploi</w:t>
            </w:r>
          </w:p>
        </w:tc>
        <w:tc>
          <w:tcPr>
            <w:tcW w:w="738" w:type="dxa"/>
            <w:shd w:val="clear" w:color="auto" w:fill="auto"/>
            <w:vAlign w:val="bottom"/>
          </w:tcPr>
          <w:p w14:paraId="08463397" w14:textId="77777777" w:rsidR="008518D2" w:rsidRPr="003A75B8" w:rsidRDefault="008518D2" w:rsidP="003A75B8">
            <w:pPr>
              <w:spacing w:before="40" w:after="40" w:line="220" w:lineRule="exact"/>
              <w:jc w:val="right"/>
              <w:rPr>
                <w:sz w:val="18"/>
                <w:szCs w:val="18"/>
              </w:rPr>
            </w:pPr>
            <w:r w:rsidRPr="003A75B8">
              <w:rPr>
                <w:sz w:val="18"/>
                <w:szCs w:val="18"/>
              </w:rPr>
              <w:t>29,3</w:t>
            </w:r>
          </w:p>
        </w:tc>
        <w:tc>
          <w:tcPr>
            <w:tcW w:w="736" w:type="dxa"/>
            <w:shd w:val="clear" w:color="auto" w:fill="auto"/>
            <w:vAlign w:val="bottom"/>
          </w:tcPr>
          <w:p w14:paraId="0835CADA" w14:textId="77777777" w:rsidR="008518D2" w:rsidRPr="003A75B8" w:rsidRDefault="008518D2" w:rsidP="003A75B8">
            <w:pPr>
              <w:spacing w:before="40" w:after="40" w:line="220" w:lineRule="exact"/>
              <w:jc w:val="right"/>
              <w:rPr>
                <w:sz w:val="18"/>
                <w:szCs w:val="18"/>
              </w:rPr>
            </w:pPr>
            <w:r w:rsidRPr="003A75B8">
              <w:rPr>
                <w:sz w:val="18"/>
                <w:szCs w:val="18"/>
              </w:rPr>
              <w:t>23,0</w:t>
            </w:r>
          </w:p>
        </w:tc>
        <w:tc>
          <w:tcPr>
            <w:tcW w:w="736" w:type="dxa"/>
            <w:shd w:val="clear" w:color="auto" w:fill="auto"/>
            <w:vAlign w:val="bottom"/>
          </w:tcPr>
          <w:p w14:paraId="12B3BA01" w14:textId="77777777" w:rsidR="008518D2" w:rsidRPr="003A75B8" w:rsidRDefault="008518D2" w:rsidP="003A75B8">
            <w:pPr>
              <w:spacing w:before="40" w:after="40" w:line="220" w:lineRule="exact"/>
              <w:jc w:val="right"/>
              <w:rPr>
                <w:sz w:val="18"/>
                <w:szCs w:val="18"/>
              </w:rPr>
            </w:pPr>
            <w:r w:rsidRPr="003A75B8">
              <w:rPr>
                <w:sz w:val="18"/>
                <w:szCs w:val="18"/>
              </w:rPr>
              <w:t>23,5</w:t>
            </w:r>
          </w:p>
        </w:tc>
        <w:tc>
          <w:tcPr>
            <w:tcW w:w="736" w:type="dxa"/>
            <w:shd w:val="clear" w:color="auto" w:fill="auto"/>
            <w:vAlign w:val="bottom"/>
          </w:tcPr>
          <w:p w14:paraId="13F383AB" w14:textId="77777777" w:rsidR="008518D2" w:rsidRPr="003A75B8" w:rsidRDefault="008518D2" w:rsidP="003A75B8">
            <w:pPr>
              <w:spacing w:before="40" w:after="40" w:line="220" w:lineRule="exact"/>
              <w:jc w:val="right"/>
              <w:rPr>
                <w:sz w:val="18"/>
                <w:szCs w:val="18"/>
              </w:rPr>
            </w:pPr>
            <w:r w:rsidRPr="003A75B8">
              <w:rPr>
                <w:sz w:val="18"/>
                <w:szCs w:val="18"/>
              </w:rPr>
              <w:t>[21,8]</w:t>
            </w:r>
          </w:p>
        </w:tc>
        <w:tc>
          <w:tcPr>
            <w:tcW w:w="736" w:type="dxa"/>
            <w:shd w:val="clear" w:color="auto" w:fill="auto"/>
            <w:vAlign w:val="bottom"/>
          </w:tcPr>
          <w:p w14:paraId="000EFFA8" w14:textId="77777777" w:rsidR="008518D2" w:rsidRPr="003A75B8" w:rsidRDefault="008518D2" w:rsidP="003A75B8">
            <w:pPr>
              <w:spacing w:before="40" w:after="40" w:line="220" w:lineRule="exact"/>
              <w:jc w:val="right"/>
              <w:rPr>
                <w:sz w:val="18"/>
                <w:szCs w:val="18"/>
              </w:rPr>
            </w:pPr>
            <w:r w:rsidRPr="003A75B8">
              <w:rPr>
                <w:sz w:val="18"/>
                <w:szCs w:val="18"/>
              </w:rPr>
              <w:t>[14,2]</w:t>
            </w:r>
          </w:p>
        </w:tc>
        <w:tc>
          <w:tcPr>
            <w:tcW w:w="736" w:type="dxa"/>
            <w:shd w:val="clear" w:color="auto" w:fill="auto"/>
            <w:vAlign w:val="bottom"/>
          </w:tcPr>
          <w:p w14:paraId="5A727CE9" w14:textId="77777777" w:rsidR="008518D2" w:rsidRPr="003A75B8" w:rsidRDefault="008518D2" w:rsidP="003A75B8">
            <w:pPr>
              <w:spacing w:before="40" w:after="40" w:line="220" w:lineRule="exact"/>
              <w:jc w:val="right"/>
              <w:rPr>
                <w:sz w:val="18"/>
                <w:szCs w:val="18"/>
              </w:rPr>
            </w:pPr>
            <w:r w:rsidRPr="003A75B8">
              <w:rPr>
                <w:sz w:val="18"/>
                <w:szCs w:val="18"/>
              </w:rPr>
              <w:t>[30,5]</w:t>
            </w:r>
          </w:p>
        </w:tc>
        <w:tc>
          <w:tcPr>
            <w:tcW w:w="736" w:type="dxa"/>
            <w:shd w:val="clear" w:color="auto" w:fill="auto"/>
            <w:vAlign w:val="bottom"/>
          </w:tcPr>
          <w:p w14:paraId="752EEF47" w14:textId="77777777" w:rsidR="008518D2" w:rsidRPr="003A75B8" w:rsidRDefault="008518D2" w:rsidP="003A75B8">
            <w:pPr>
              <w:spacing w:before="40" w:after="40" w:line="220" w:lineRule="exact"/>
              <w:jc w:val="right"/>
              <w:rPr>
                <w:sz w:val="18"/>
                <w:szCs w:val="18"/>
              </w:rPr>
            </w:pPr>
            <w:r w:rsidRPr="003A75B8">
              <w:rPr>
                <w:sz w:val="18"/>
                <w:szCs w:val="18"/>
              </w:rPr>
              <w:t>[16,3]</w:t>
            </w:r>
          </w:p>
        </w:tc>
      </w:tr>
      <w:tr w:rsidR="008518D2" w:rsidRPr="00A14BE7" w14:paraId="53D7DA97" w14:textId="77777777" w:rsidTr="00765F9E">
        <w:tc>
          <w:tcPr>
            <w:tcW w:w="2216" w:type="dxa"/>
            <w:shd w:val="clear" w:color="auto" w:fill="auto"/>
          </w:tcPr>
          <w:p w14:paraId="6D1CF3D5"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0AC31955" w14:textId="77777777" w:rsidR="008518D2" w:rsidRPr="003A75B8" w:rsidRDefault="008518D2" w:rsidP="003A75B8">
            <w:pPr>
              <w:spacing w:before="40" w:after="40" w:line="220" w:lineRule="exact"/>
              <w:jc w:val="right"/>
              <w:rPr>
                <w:sz w:val="18"/>
                <w:szCs w:val="18"/>
              </w:rPr>
            </w:pPr>
            <w:r w:rsidRPr="003A75B8">
              <w:rPr>
                <w:sz w:val="18"/>
                <w:szCs w:val="18"/>
              </w:rPr>
              <w:t>24,5</w:t>
            </w:r>
          </w:p>
        </w:tc>
        <w:tc>
          <w:tcPr>
            <w:tcW w:w="736" w:type="dxa"/>
            <w:shd w:val="clear" w:color="auto" w:fill="auto"/>
            <w:vAlign w:val="bottom"/>
          </w:tcPr>
          <w:p w14:paraId="79AF9B88" w14:textId="77777777" w:rsidR="008518D2" w:rsidRPr="003A75B8" w:rsidRDefault="008518D2" w:rsidP="003A75B8">
            <w:pPr>
              <w:spacing w:before="40" w:after="40" w:line="220" w:lineRule="exact"/>
              <w:jc w:val="right"/>
              <w:rPr>
                <w:sz w:val="18"/>
                <w:szCs w:val="18"/>
              </w:rPr>
            </w:pPr>
            <w:r w:rsidRPr="003A75B8">
              <w:rPr>
                <w:sz w:val="18"/>
                <w:szCs w:val="18"/>
              </w:rPr>
              <w:t>10,2</w:t>
            </w:r>
          </w:p>
        </w:tc>
        <w:tc>
          <w:tcPr>
            <w:tcW w:w="736" w:type="dxa"/>
            <w:shd w:val="clear" w:color="auto" w:fill="auto"/>
            <w:vAlign w:val="bottom"/>
          </w:tcPr>
          <w:p w14:paraId="60EE9F73" w14:textId="77777777" w:rsidR="008518D2" w:rsidRPr="003A75B8" w:rsidRDefault="008518D2" w:rsidP="003A75B8">
            <w:pPr>
              <w:spacing w:before="40" w:after="40" w:line="220" w:lineRule="exact"/>
              <w:jc w:val="right"/>
              <w:rPr>
                <w:sz w:val="18"/>
                <w:szCs w:val="18"/>
              </w:rPr>
            </w:pPr>
            <w:r w:rsidRPr="003A75B8">
              <w:rPr>
                <w:sz w:val="18"/>
                <w:szCs w:val="18"/>
              </w:rPr>
              <w:t>12,4</w:t>
            </w:r>
          </w:p>
        </w:tc>
        <w:tc>
          <w:tcPr>
            <w:tcW w:w="736" w:type="dxa"/>
            <w:shd w:val="clear" w:color="auto" w:fill="auto"/>
            <w:vAlign w:val="bottom"/>
          </w:tcPr>
          <w:p w14:paraId="3D67E01C" w14:textId="77777777" w:rsidR="008518D2" w:rsidRPr="003A75B8" w:rsidRDefault="008518D2" w:rsidP="003A75B8">
            <w:pPr>
              <w:spacing w:before="40" w:after="40" w:line="220" w:lineRule="exact"/>
              <w:jc w:val="right"/>
              <w:rPr>
                <w:sz w:val="18"/>
                <w:szCs w:val="18"/>
              </w:rPr>
            </w:pPr>
            <w:r w:rsidRPr="003A75B8">
              <w:rPr>
                <w:sz w:val="18"/>
                <w:szCs w:val="18"/>
              </w:rPr>
              <w:t>[13,8]</w:t>
            </w:r>
          </w:p>
        </w:tc>
        <w:tc>
          <w:tcPr>
            <w:tcW w:w="736" w:type="dxa"/>
            <w:shd w:val="clear" w:color="auto" w:fill="auto"/>
            <w:vAlign w:val="bottom"/>
          </w:tcPr>
          <w:p w14:paraId="550D6A23" w14:textId="77777777" w:rsidR="008518D2" w:rsidRPr="003A75B8" w:rsidRDefault="008518D2" w:rsidP="003A75B8">
            <w:pPr>
              <w:spacing w:before="40" w:after="40" w:line="220" w:lineRule="exact"/>
              <w:jc w:val="right"/>
              <w:rPr>
                <w:sz w:val="18"/>
                <w:szCs w:val="18"/>
              </w:rPr>
            </w:pPr>
            <w:r w:rsidRPr="003A75B8">
              <w:rPr>
                <w:sz w:val="18"/>
                <w:szCs w:val="18"/>
              </w:rPr>
              <w:t>[22,9]</w:t>
            </w:r>
          </w:p>
        </w:tc>
        <w:tc>
          <w:tcPr>
            <w:tcW w:w="736" w:type="dxa"/>
            <w:shd w:val="clear" w:color="auto" w:fill="auto"/>
            <w:vAlign w:val="bottom"/>
          </w:tcPr>
          <w:p w14:paraId="7EADA3FE" w14:textId="77777777" w:rsidR="008518D2" w:rsidRPr="003A75B8" w:rsidRDefault="008518D2" w:rsidP="003A75B8">
            <w:pPr>
              <w:spacing w:before="40" w:after="40" w:line="220" w:lineRule="exact"/>
              <w:jc w:val="right"/>
              <w:rPr>
                <w:sz w:val="18"/>
                <w:szCs w:val="18"/>
              </w:rPr>
            </w:pPr>
            <w:r w:rsidRPr="003A75B8">
              <w:rPr>
                <w:sz w:val="18"/>
                <w:szCs w:val="18"/>
              </w:rPr>
              <w:t>[6,8]</w:t>
            </w:r>
          </w:p>
        </w:tc>
        <w:tc>
          <w:tcPr>
            <w:tcW w:w="736" w:type="dxa"/>
            <w:shd w:val="clear" w:color="auto" w:fill="auto"/>
            <w:vAlign w:val="bottom"/>
          </w:tcPr>
          <w:p w14:paraId="66793AF6" w14:textId="77777777" w:rsidR="008518D2" w:rsidRPr="003A75B8" w:rsidRDefault="008518D2" w:rsidP="003A75B8">
            <w:pPr>
              <w:spacing w:before="40" w:after="40" w:line="220" w:lineRule="exact"/>
              <w:jc w:val="right"/>
              <w:rPr>
                <w:sz w:val="18"/>
                <w:szCs w:val="18"/>
              </w:rPr>
            </w:pPr>
            <w:r w:rsidRPr="003A75B8">
              <w:rPr>
                <w:sz w:val="18"/>
                <w:szCs w:val="18"/>
              </w:rPr>
              <w:t>[14,2]</w:t>
            </w:r>
          </w:p>
        </w:tc>
      </w:tr>
      <w:tr w:rsidR="008518D2" w:rsidRPr="00A14BE7" w14:paraId="172B59ED" w14:textId="77777777" w:rsidTr="00765F9E">
        <w:tc>
          <w:tcPr>
            <w:tcW w:w="2216" w:type="dxa"/>
            <w:shd w:val="clear" w:color="auto" w:fill="auto"/>
          </w:tcPr>
          <w:p w14:paraId="1AE9A9ED"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Inactives</w:t>
            </w:r>
          </w:p>
        </w:tc>
        <w:tc>
          <w:tcPr>
            <w:tcW w:w="738" w:type="dxa"/>
            <w:shd w:val="clear" w:color="auto" w:fill="auto"/>
            <w:vAlign w:val="bottom"/>
          </w:tcPr>
          <w:p w14:paraId="11289F20" w14:textId="77777777" w:rsidR="008518D2" w:rsidRPr="003A75B8" w:rsidRDefault="008518D2" w:rsidP="003A75B8">
            <w:pPr>
              <w:spacing w:before="40" w:after="40" w:line="220" w:lineRule="exact"/>
              <w:jc w:val="right"/>
              <w:rPr>
                <w:sz w:val="18"/>
                <w:szCs w:val="18"/>
              </w:rPr>
            </w:pPr>
            <w:r w:rsidRPr="003A75B8">
              <w:rPr>
                <w:sz w:val="18"/>
                <w:szCs w:val="18"/>
              </w:rPr>
              <w:t>46,2</w:t>
            </w:r>
          </w:p>
        </w:tc>
        <w:tc>
          <w:tcPr>
            <w:tcW w:w="736" w:type="dxa"/>
            <w:shd w:val="clear" w:color="auto" w:fill="auto"/>
            <w:vAlign w:val="bottom"/>
          </w:tcPr>
          <w:p w14:paraId="5E6D40AD" w14:textId="77777777" w:rsidR="008518D2" w:rsidRPr="003A75B8" w:rsidRDefault="008518D2" w:rsidP="003A75B8">
            <w:pPr>
              <w:spacing w:before="40" w:after="40" w:line="220" w:lineRule="exact"/>
              <w:jc w:val="right"/>
              <w:rPr>
                <w:sz w:val="18"/>
                <w:szCs w:val="18"/>
              </w:rPr>
            </w:pPr>
            <w:r w:rsidRPr="003A75B8">
              <w:rPr>
                <w:sz w:val="18"/>
                <w:szCs w:val="18"/>
              </w:rPr>
              <w:t>66,8</w:t>
            </w:r>
          </w:p>
        </w:tc>
        <w:tc>
          <w:tcPr>
            <w:tcW w:w="736" w:type="dxa"/>
            <w:shd w:val="clear" w:color="auto" w:fill="auto"/>
            <w:vAlign w:val="bottom"/>
          </w:tcPr>
          <w:p w14:paraId="20571394" w14:textId="77777777" w:rsidR="008518D2" w:rsidRPr="003A75B8" w:rsidRDefault="008518D2" w:rsidP="003A75B8">
            <w:pPr>
              <w:spacing w:before="40" w:after="40" w:line="220" w:lineRule="exact"/>
              <w:jc w:val="right"/>
              <w:rPr>
                <w:sz w:val="18"/>
                <w:szCs w:val="18"/>
              </w:rPr>
            </w:pPr>
            <w:r w:rsidRPr="003A75B8">
              <w:rPr>
                <w:sz w:val="18"/>
                <w:szCs w:val="18"/>
              </w:rPr>
              <w:t>64,0</w:t>
            </w:r>
          </w:p>
        </w:tc>
        <w:tc>
          <w:tcPr>
            <w:tcW w:w="736" w:type="dxa"/>
            <w:shd w:val="clear" w:color="auto" w:fill="auto"/>
            <w:vAlign w:val="bottom"/>
          </w:tcPr>
          <w:p w14:paraId="4796C95D" w14:textId="77777777" w:rsidR="008518D2" w:rsidRPr="003A75B8" w:rsidRDefault="008518D2" w:rsidP="003A75B8">
            <w:pPr>
              <w:spacing w:before="40" w:after="40" w:line="220" w:lineRule="exact"/>
              <w:jc w:val="right"/>
              <w:rPr>
                <w:sz w:val="18"/>
                <w:szCs w:val="18"/>
              </w:rPr>
            </w:pPr>
            <w:r w:rsidRPr="003A75B8">
              <w:rPr>
                <w:sz w:val="18"/>
                <w:szCs w:val="18"/>
              </w:rPr>
              <w:t>[64,4]</w:t>
            </w:r>
          </w:p>
        </w:tc>
        <w:tc>
          <w:tcPr>
            <w:tcW w:w="736" w:type="dxa"/>
            <w:shd w:val="clear" w:color="auto" w:fill="auto"/>
            <w:vAlign w:val="bottom"/>
          </w:tcPr>
          <w:p w14:paraId="7EB7E240" w14:textId="77777777" w:rsidR="008518D2" w:rsidRPr="003A75B8" w:rsidRDefault="008518D2" w:rsidP="003A75B8">
            <w:pPr>
              <w:spacing w:before="40" w:after="40" w:line="220" w:lineRule="exact"/>
              <w:jc w:val="right"/>
              <w:rPr>
                <w:sz w:val="18"/>
                <w:szCs w:val="18"/>
              </w:rPr>
            </w:pPr>
            <w:r w:rsidRPr="003A75B8">
              <w:rPr>
                <w:sz w:val="18"/>
                <w:szCs w:val="18"/>
              </w:rPr>
              <w:t>[62,9]</w:t>
            </w:r>
          </w:p>
        </w:tc>
        <w:tc>
          <w:tcPr>
            <w:tcW w:w="736" w:type="dxa"/>
            <w:shd w:val="clear" w:color="auto" w:fill="auto"/>
            <w:vAlign w:val="bottom"/>
          </w:tcPr>
          <w:p w14:paraId="6F6FBFE9" w14:textId="77777777" w:rsidR="008518D2" w:rsidRPr="003A75B8" w:rsidRDefault="008518D2" w:rsidP="003A75B8">
            <w:pPr>
              <w:spacing w:before="40" w:after="40" w:line="220" w:lineRule="exact"/>
              <w:jc w:val="right"/>
              <w:rPr>
                <w:sz w:val="18"/>
                <w:szCs w:val="18"/>
              </w:rPr>
            </w:pPr>
            <w:r w:rsidRPr="003A75B8">
              <w:rPr>
                <w:sz w:val="18"/>
                <w:szCs w:val="18"/>
              </w:rPr>
              <w:t>[62,7]</w:t>
            </w:r>
          </w:p>
        </w:tc>
        <w:tc>
          <w:tcPr>
            <w:tcW w:w="736" w:type="dxa"/>
            <w:shd w:val="clear" w:color="auto" w:fill="auto"/>
            <w:vAlign w:val="bottom"/>
          </w:tcPr>
          <w:p w14:paraId="2D2247DB" w14:textId="77777777" w:rsidR="008518D2" w:rsidRPr="003A75B8" w:rsidRDefault="008518D2" w:rsidP="003A75B8">
            <w:pPr>
              <w:spacing w:before="40" w:after="40" w:line="220" w:lineRule="exact"/>
              <w:jc w:val="right"/>
              <w:rPr>
                <w:sz w:val="18"/>
                <w:szCs w:val="18"/>
              </w:rPr>
            </w:pPr>
            <w:r w:rsidRPr="003A75B8">
              <w:rPr>
                <w:sz w:val="18"/>
                <w:szCs w:val="18"/>
              </w:rPr>
              <w:t>[69,5]</w:t>
            </w:r>
          </w:p>
        </w:tc>
      </w:tr>
      <w:tr w:rsidR="008518D2" w:rsidRPr="00A14BE7" w14:paraId="2656EFFB" w14:textId="77777777" w:rsidTr="00765F9E">
        <w:tc>
          <w:tcPr>
            <w:tcW w:w="2216" w:type="dxa"/>
            <w:shd w:val="clear" w:color="auto" w:fill="auto"/>
          </w:tcPr>
          <w:p w14:paraId="7525A9DE" w14:textId="77777777" w:rsidR="008518D2" w:rsidRPr="00A0716B" w:rsidRDefault="00A0716B" w:rsidP="003A75B8">
            <w:pPr>
              <w:spacing w:before="40" w:after="40" w:line="220" w:lineRule="exact"/>
              <w:rPr>
                <w:b/>
                <w:bCs/>
                <w:spacing w:val="-2"/>
                <w:sz w:val="18"/>
                <w:szCs w:val="18"/>
                <w:lang w:val="fr-FR" w:eastAsia="en-IE"/>
              </w:rPr>
            </w:pPr>
            <w:r w:rsidRPr="00A0716B">
              <w:rPr>
                <w:b/>
                <w:bCs/>
                <w:spacing w:val="-2"/>
                <w:sz w:val="18"/>
                <w:szCs w:val="18"/>
                <w:lang w:val="fr-FR" w:eastAsia="en-IE"/>
              </w:rPr>
              <w:t>Toutes personnes confondues</w:t>
            </w:r>
          </w:p>
        </w:tc>
        <w:tc>
          <w:tcPr>
            <w:tcW w:w="738" w:type="dxa"/>
            <w:shd w:val="clear" w:color="auto" w:fill="auto"/>
            <w:vAlign w:val="bottom"/>
          </w:tcPr>
          <w:p w14:paraId="40F2A282" w14:textId="77777777" w:rsidR="008518D2" w:rsidRPr="003A75B8" w:rsidRDefault="008518D2" w:rsidP="003A75B8">
            <w:pPr>
              <w:spacing w:before="40" w:after="40" w:line="220" w:lineRule="exact"/>
              <w:jc w:val="right"/>
              <w:rPr>
                <w:sz w:val="18"/>
                <w:szCs w:val="18"/>
                <w:lang w:eastAsia="en-IE"/>
              </w:rPr>
            </w:pPr>
          </w:p>
        </w:tc>
        <w:tc>
          <w:tcPr>
            <w:tcW w:w="736" w:type="dxa"/>
            <w:shd w:val="clear" w:color="auto" w:fill="auto"/>
            <w:vAlign w:val="bottom"/>
          </w:tcPr>
          <w:p w14:paraId="37512E9E"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07631A0"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15A92E1"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5AC18DB7"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E66865D"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E3D724E" w14:textId="77777777" w:rsidR="008518D2" w:rsidRPr="003A75B8" w:rsidRDefault="008518D2" w:rsidP="003A75B8">
            <w:pPr>
              <w:spacing w:before="40" w:after="40" w:line="220" w:lineRule="exact"/>
              <w:jc w:val="right"/>
              <w:rPr>
                <w:sz w:val="18"/>
                <w:szCs w:val="18"/>
              </w:rPr>
            </w:pPr>
          </w:p>
        </w:tc>
      </w:tr>
      <w:tr w:rsidR="008518D2" w:rsidRPr="00A14BE7" w14:paraId="4F3D4C2E" w14:textId="77777777" w:rsidTr="00765F9E">
        <w:tc>
          <w:tcPr>
            <w:tcW w:w="2216" w:type="dxa"/>
            <w:shd w:val="clear" w:color="auto" w:fill="auto"/>
          </w:tcPr>
          <w:p w14:paraId="70413B42"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118B5355" w14:textId="77777777" w:rsidR="008518D2" w:rsidRPr="003A75B8" w:rsidRDefault="008518D2" w:rsidP="003A75B8">
            <w:pPr>
              <w:spacing w:before="40" w:after="40" w:line="220" w:lineRule="exact"/>
              <w:jc w:val="right"/>
              <w:rPr>
                <w:sz w:val="18"/>
                <w:szCs w:val="18"/>
              </w:rPr>
            </w:pPr>
            <w:r w:rsidRPr="003A75B8">
              <w:rPr>
                <w:sz w:val="18"/>
                <w:szCs w:val="18"/>
              </w:rPr>
              <w:t>42,7</w:t>
            </w:r>
          </w:p>
        </w:tc>
        <w:tc>
          <w:tcPr>
            <w:tcW w:w="736" w:type="dxa"/>
            <w:shd w:val="clear" w:color="auto" w:fill="auto"/>
            <w:vAlign w:val="bottom"/>
          </w:tcPr>
          <w:p w14:paraId="29089D33" w14:textId="77777777" w:rsidR="008518D2" w:rsidRPr="003A75B8" w:rsidRDefault="008518D2" w:rsidP="003A75B8">
            <w:pPr>
              <w:spacing w:before="40" w:after="40" w:line="220" w:lineRule="exact"/>
              <w:jc w:val="right"/>
              <w:rPr>
                <w:sz w:val="18"/>
                <w:szCs w:val="18"/>
              </w:rPr>
            </w:pPr>
            <w:r w:rsidRPr="003A75B8">
              <w:rPr>
                <w:sz w:val="18"/>
                <w:szCs w:val="18"/>
              </w:rPr>
              <w:t>33,4</w:t>
            </w:r>
          </w:p>
        </w:tc>
        <w:tc>
          <w:tcPr>
            <w:tcW w:w="736" w:type="dxa"/>
            <w:shd w:val="clear" w:color="auto" w:fill="auto"/>
            <w:vAlign w:val="bottom"/>
          </w:tcPr>
          <w:p w14:paraId="4A8385A5" w14:textId="77777777" w:rsidR="008518D2" w:rsidRPr="003A75B8" w:rsidRDefault="008518D2" w:rsidP="003A75B8">
            <w:pPr>
              <w:spacing w:before="40" w:after="40" w:line="220" w:lineRule="exact"/>
              <w:jc w:val="right"/>
              <w:rPr>
                <w:sz w:val="18"/>
                <w:szCs w:val="18"/>
              </w:rPr>
            </w:pPr>
            <w:r w:rsidRPr="003A75B8">
              <w:rPr>
                <w:sz w:val="18"/>
                <w:szCs w:val="18"/>
              </w:rPr>
              <w:t>33,7</w:t>
            </w:r>
          </w:p>
        </w:tc>
        <w:tc>
          <w:tcPr>
            <w:tcW w:w="736" w:type="dxa"/>
            <w:shd w:val="clear" w:color="auto" w:fill="auto"/>
            <w:vAlign w:val="bottom"/>
          </w:tcPr>
          <w:p w14:paraId="32AAD5CC" w14:textId="77777777" w:rsidR="008518D2" w:rsidRPr="003A75B8" w:rsidRDefault="008518D2" w:rsidP="003A75B8">
            <w:pPr>
              <w:spacing w:before="40" w:after="40" w:line="220" w:lineRule="exact"/>
              <w:jc w:val="right"/>
              <w:rPr>
                <w:sz w:val="18"/>
                <w:szCs w:val="18"/>
              </w:rPr>
            </w:pPr>
            <w:r w:rsidRPr="003A75B8">
              <w:rPr>
                <w:sz w:val="18"/>
                <w:szCs w:val="18"/>
              </w:rPr>
              <w:t>26,6</w:t>
            </w:r>
          </w:p>
        </w:tc>
        <w:tc>
          <w:tcPr>
            <w:tcW w:w="736" w:type="dxa"/>
            <w:shd w:val="clear" w:color="auto" w:fill="auto"/>
            <w:vAlign w:val="bottom"/>
          </w:tcPr>
          <w:p w14:paraId="5ED8B831" w14:textId="77777777" w:rsidR="008518D2" w:rsidRPr="003A75B8" w:rsidRDefault="008518D2" w:rsidP="003A75B8">
            <w:pPr>
              <w:spacing w:before="40" w:after="40" w:line="220" w:lineRule="exact"/>
              <w:jc w:val="right"/>
              <w:rPr>
                <w:sz w:val="18"/>
                <w:szCs w:val="18"/>
              </w:rPr>
            </w:pPr>
            <w:r w:rsidRPr="003A75B8">
              <w:rPr>
                <w:sz w:val="18"/>
                <w:szCs w:val="18"/>
              </w:rPr>
              <w:t>25,4</w:t>
            </w:r>
          </w:p>
        </w:tc>
        <w:tc>
          <w:tcPr>
            <w:tcW w:w="736" w:type="dxa"/>
            <w:shd w:val="clear" w:color="auto" w:fill="auto"/>
            <w:vAlign w:val="bottom"/>
          </w:tcPr>
          <w:p w14:paraId="3B1F1BC6" w14:textId="77777777" w:rsidR="008518D2" w:rsidRPr="003A75B8" w:rsidRDefault="008518D2" w:rsidP="003A75B8">
            <w:pPr>
              <w:spacing w:before="40" w:after="40" w:line="220" w:lineRule="exact"/>
              <w:jc w:val="right"/>
              <w:rPr>
                <w:sz w:val="18"/>
                <w:szCs w:val="18"/>
              </w:rPr>
            </w:pPr>
            <w:r w:rsidRPr="003A75B8">
              <w:rPr>
                <w:sz w:val="18"/>
                <w:szCs w:val="18"/>
              </w:rPr>
              <w:t>26,5</w:t>
            </w:r>
          </w:p>
        </w:tc>
        <w:tc>
          <w:tcPr>
            <w:tcW w:w="736" w:type="dxa"/>
            <w:shd w:val="clear" w:color="auto" w:fill="auto"/>
            <w:vAlign w:val="bottom"/>
          </w:tcPr>
          <w:p w14:paraId="33794AF4" w14:textId="77777777" w:rsidR="008518D2" w:rsidRPr="003A75B8" w:rsidRDefault="008518D2" w:rsidP="003A75B8">
            <w:pPr>
              <w:spacing w:before="40" w:after="40" w:line="220" w:lineRule="exact"/>
              <w:jc w:val="right"/>
              <w:rPr>
                <w:sz w:val="18"/>
                <w:szCs w:val="18"/>
              </w:rPr>
            </w:pPr>
            <w:r w:rsidRPr="003A75B8">
              <w:rPr>
                <w:sz w:val="18"/>
                <w:szCs w:val="18"/>
              </w:rPr>
              <w:t>28,0</w:t>
            </w:r>
          </w:p>
        </w:tc>
      </w:tr>
      <w:tr w:rsidR="008518D2" w:rsidRPr="00A14BE7" w14:paraId="38A442FD" w14:textId="77777777" w:rsidTr="00765F9E">
        <w:tc>
          <w:tcPr>
            <w:tcW w:w="2216" w:type="dxa"/>
            <w:shd w:val="clear" w:color="auto" w:fill="auto"/>
          </w:tcPr>
          <w:p w14:paraId="7DA05CDF"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0C17C0E4" w14:textId="77777777" w:rsidR="008518D2" w:rsidRPr="003A75B8" w:rsidRDefault="008518D2" w:rsidP="003A75B8">
            <w:pPr>
              <w:spacing w:before="40" w:after="40" w:line="220" w:lineRule="exact"/>
              <w:jc w:val="right"/>
              <w:rPr>
                <w:sz w:val="18"/>
                <w:szCs w:val="18"/>
              </w:rPr>
            </w:pPr>
            <w:r w:rsidRPr="003A75B8">
              <w:rPr>
                <w:sz w:val="18"/>
                <w:szCs w:val="18"/>
              </w:rPr>
              <w:t>22,7</w:t>
            </w:r>
          </w:p>
        </w:tc>
        <w:tc>
          <w:tcPr>
            <w:tcW w:w="736" w:type="dxa"/>
            <w:shd w:val="clear" w:color="auto" w:fill="auto"/>
            <w:vAlign w:val="bottom"/>
          </w:tcPr>
          <w:p w14:paraId="064F9145" w14:textId="77777777" w:rsidR="008518D2" w:rsidRPr="003A75B8" w:rsidRDefault="008518D2" w:rsidP="003A75B8">
            <w:pPr>
              <w:spacing w:before="40" w:after="40" w:line="220" w:lineRule="exact"/>
              <w:jc w:val="right"/>
              <w:rPr>
                <w:sz w:val="18"/>
                <w:szCs w:val="18"/>
              </w:rPr>
            </w:pPr>
            <w:r w:rsidRPr="003A75B8">
              <w:rPr>
                <w:sz w:val="18"/>
                <w:szCs w:val="18"/>
              </w:rPr>
              <w:t>19,7</w:t>
            </w:r>
          </w:p>
        </w:tc>
        <w:tc>
          <w:tcPr>
            <w:tcW w:w="736" w:type="dxa"/>
            <w:shd w:val="clear" w:color="auto" w:fill="auto"/>
            <w:vAlign w:val="bottom"/>
          </w:tcPr>
          <w:p w14:paraId="3584BE83" w14:textId="77777777" w:rsidR="008518D2" w:rsidRPr="003A75B8" w:rsidRDefault="008518D2" w:rsidP="003A75B8">
            <w:pPr>
              <w:spacing w:before="40" w:after="40" w:line="220" w:lineRule="exact"/>
              <w:jc w:val="right"/>
              <w:rPr>
                <w:sz w:val="18"/>
                <w:szCs w:val="18"/>
              </w:rPr>
            </w:pPr>
            <w:r w:rsidRPr="003A75B8">
              <w:rPr>
                <w:sz w:val="18"/>
                <w:szCs w:val="18"/>
              </w:rPr>
              <w:t>23,5</w:t>
            </w:r>
          </w:p>
        </w:tc>
        <w:tc>
          <w:tcPr>
            <w:tcW w:w="736" w:type="dxa"/>
            <w:shd w:val="clear" w:color="auto" w:fill="auto"/>
            <w:vAlign w:val="bottom"/>
          </w:tcPr>
          <w:p w14:paraId="408D7524" w14:textId="77777777" w:rsidR="008518D2" w:rsidRPr="003A75B8" w:rsidRDefault="008518D2" w:rsidP="003A75B8">
            <w:pPr>
              <w:spacing w:before="40" w:after="40" w:line="220" w:lineRule="exact"/>
              <w:jc w:val="right"/>
              <w:rPr>
                <w:sz w:val="18"/>
                <w:szCs w:val="18"/>
              </w:rPr>
            </w:pPr>
            <w:r w:rsidRPr="003A75B8">
              <w:rPr>
                <w:sz w:val="18"/>
                <w:szCs w:val="18"/>
              </w:rPr>
              <w:t>15,4</w:t>
            </w:r>
          </w:p>
        </w:tc>
        <w:tc>
          <w:tcPr>
            <w:tcW w:w="736" w:type="dxa"/>
            <w:shd w:val="clear" w:color="auto" w:fill="auto"/>
            <w:vAlign w:val="bottom"/>
          </w:tcPr>
          <w:p w14:paraId="0DD3BFD8" w14:textId="77777777" w:rsidR="008518D2" w:rsidRPr="003A75B8" w:rsidRDefault="008518D2" w:rsidP="003A75B8">
            <w:pPr>
              <w:spacing w:before="40" w:after="40" w:line="220" w:lineRule="exact"/>
              <w:jc w:val="right"/>
              <w:rPr>
                <w:sz w:val="18"/>
                <w:szCs w:val="18"/>
              </w:rPr>
            </w:pPr>
            <w:r w:rsidRPr="003A75B8">
              <w:rPr>
                <w:sz w:val="18"/>
                <w:szCs w:val="18"/>
              </w:rPr>
              <w:t>21,7</w:t>
            </w:r>
          </w:p>
        </w:tc>
        <w:tc>
          <w:tcPr>
            <w:tcW w:w="736" w:type="dxa"/>
            <w:shd w:val="clear" w:color="auto" w:fill="auto"/>
            <w:vAlign w:val="bottom"/>
          </w:tcPr>
          <w:p w14:paraId="0F738C2D" w14:textId="77777777" w:rsidR="008518D2" w:rsidRPr="003A75B8" w:rsidRDefault="008518D2" w:rsidP="003A75B8">
            <w:pPr>
              <w:spacing w:before="40" w:after="40" w:line="220" w:lineRule="exact"/>
              <w:jc w:val="right"/>
              <w:rPr>
                <w:sz w:val="18"/>
                <w:szCs w:val="18"/>
              </w:rPr>
            </w:pPr>
            <w:r w:rsidRPr="003A75B8">
              <w:rPr>
                <w:sz w:val="18"/>
                <w:szCs w:val="18"/>
              </w:rPr>
              <w:t>11,1</w:t>
            </w:r>
          </w:p>
        </w:tc>
        <w:tc>
          <w:tcPr>
            <w:tcW w:w="736" w:type="dxa"/>
            <w:shd w:val="clear" w:color="auto" w:fill="auto"/>
            <w:vAlign w:val="bottom"/>
          </w:tcPr>
          <w:p w14:paraId="5ED5517E" w14:textId="77777777" w:rsidR="008518D2" w:rsidRPr="003A75B8" w:rsidRDefault="008518D2" w:rsidP="003A75B8">
            <w:pPr>
              <w:spacing w:before="40" w:after="40" w:line="220" w:lineRule="exact"/>
              <w:jc w:val="right"/>
              <w:rPr>
                <w:sz w:val="18"/>
                <w:szCs w:val="18"/>
              </w:rPr>
            </w:pPr>
            <w:r w:rsidRPr="003A75B8">
              <w:rPr>
                <w:sz w:val="18"/>
                <w:szCs w:val="18"/>
              </w:rPr>
              <w:t>17,7</w:t>
            </w:r>
          </w:p>
        </w:tc>
      </w:tr>
      <w:tr w:rsidR="008518D2" w:rsidRPr="00A14BE7" w14:paraId="461B88AE" w14:textId="77777777" w:rsidTr="00765F9E">
        <w:tc>
          <w:tcPr>
            <w:tcW w:w="2216" w:type="dxa"/>
            <w:shd w:val="clear" w:color="auto" w:fill="auto"/>
          </w:tcPr>
          <w:p w14:paraId="10AAB330"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7FA8F2A7" w14:textId="77777777" w:rsidR="008518D2" w:rsidRPr="003A75B8" w:rsidRDefault="008518D2" w:rsidP="003A75B8">
            <w:pPr>
              <w:spacing w:before="40" w:after="40" w:line="220" w:lineRule="exact"/>
              <w:jc w:val="right"/>
              <w:rPr>
                <w:sz w:val="18"/>
                <w:szCs w:val="18"/>
              </w:rPr>
            </w:pPr>
            <w:r w:rsidRPr="003A75B8">
              <w:rPr>
                <w:sz w:val="18"/>
                <w:szCs w:val="18"/>
              </w:rPr>
              <w:t>34,6</w:t>
            </w:r>
          </w:p>
        </w:tc>
        <w:tc>
          <w:tcPr>
            <w:tcW w:w="736" w:type="dxa"/>
            <w:shd w:val="clear" w:color="auto" w:fill="auto"/>
            <w:vAlign w:val="bottom"/>
          </w:tcPr>
          <w:p w14:paraId="0F71F60B" w14:textId="77777777" w:rsidR="008518D2" w:rsidRPr="003A75B8" w:rsidRDefault="008518D2" w:rsidP="003A75B8">
            <w:pPr>
              <w:spacing w:before="40" w:after="40" w:line="220" w:lineRule="exact"/>
              <w:jc w:val="right"/>
              <w:rPr>
                <w:sz w:val="18"/>
                <w:szCs w:val="18"/>
              </w:rPr>
            </w:pPr>
            <w:r w:rsidRPr="003A75B8">
              <w:rPr>
                <w:sz w:val="18"/>
                <w:szCs w:val="18"/>
              </w:rPr>
              <w:t>46,9</w:t>
            </w:r>
          </w:p>
        </w:tc>
        <w:tc>
          <w:tcPr>
            <w:tcW w:w="736" w:type="dxa"/>
            <w:shd w:val="clear" w:color="auto" w:fill="auto"/>
            <w:vAlign w:val="bottom"/>
          </w:tcPr>
          <w:p w14:paraId="21F8C3C3" w14:textId="77777777" w:rsidR="008518D2" w:rsidRPr="003A75B8" w:rsidRDefault="008518D2" w:rsidP="003A75B8">
            <w:pPr>
              <w:spacing w:before="40" w:after="40" w:line="220" w:lineRule="exact"/>
              <w:jc w:val="right"/>
              <w:rPr>
                <w:sz w:val="18"/>
                <w:szCs w:val="18"/>
              </w:rPr>
            </w:pPr>
            <w:r w:rsidRPr="003A75B8">
              <w:rPr>
                <w:sz w:val="18"/>
                <w:szCs w:val="18"/>
              </w:rPr>
              <w:t>42,8</w:t>
            </w:r>
          </w:p>
        </w:tc>
        <w:tc>
          <w:tcPr>
            <w:tcW w:w="736" w:type="dxa"/>
            <w:shd w:val="clear" w:color="auto" w:fill="auto"/>
            <w:vAlign w:val="bottom"/>
          </w:tcPr>
          <w:p w14:paraId="5F7AD96B" w14:textId="77777777" w:rsidR="008518D2" w:rsidRPr="003A75B8" w:rsidRDefault="008518D2" w:rsidP="003A75B8">
            <w:pPr>
              <w:spacing w:before="40" w:after="40" w:line="220" w:lineRule="exact"/>
              <w:jc w:val="right"/>
              <w:rPr>
                <w:sz w:val="18"/>
                <w:szCs w:val="18"/>
              </w:rPr>
            </w:pPr>
            <w:r w:rsidRPr="003A75B8">
              <w:rPr>
                <w:sz w:val="18"/>
                <w:szCs w:val="18"/>
              </w:rPr>
              <w:t>58,0</w:t>
            </w:r>
          </w:p>
        </w:tc>
        <w:tc>
          <w:tcPr>
            <w:tcW w:w="736" w:type="dxa"/>
            <w:shd w:val="clear" w:color="auto" w:fill="auto"/>
            <w:vAlign w:val="bottom"/>
          </w:tcPr>
          <w:p w14:paraId="06F3C5F3" w14:textId="77777777" w:rsidR="008518D2" w:rsidRPr="003A75B8" w:rsidRDefault="008518D2" w:rsidP="003A75B8">
            <w:pPr>
              <w:spacing w:before="40" w:after="40" w:line="220" w:lineRule="exact"/>
              <w:jc w:val="right"/>
              <w:rPr>
                <w:sz w:val="18"/>
                <w:szCs w:val="18"/>
              </w:rPr>
            </w:pPr>
            <w:r w:rsidRPr="003A75B8">
              <w:rPr>
                <w:sz w:val="18"/>
                <w:szCs w:val="18"/>
              </w:rPr>
              <w:t>52,9</w:t>
            </w:r>
          </w:p>
        </w:tc>
        <w:tc>
          <w:tcPr>
            <w:tcW w:w="736" w:type="dxa"/>
            <w:shd w:val="clear" w:color="auto" w:fill="auto"/>
            <w:vAlign w:val="bottom"/>
          </w:tcPr>
          <w:p w14:paraId="50FDBA37" w14:textId="77777777" w:rsidR="008518D2" w:rsidRPr="003A75B8" w:rsidRDefault="008518D2" w:rsidP="003A75B8">
            <w:pPr>
              <w:spacing w:before="40" w:after="40" w:line="220" w:lineRule="exact"/>
              <w:jc w:val="right"/>
              <w:rPr>
                <w:sz w:val="18"/>
                <w:szCs w:val="18"/>
              </w:rPr>
            </w:pPr>
            <w:r w:rsidRPr="003A75B8">
              <w:rPr>
                <w:sz w:val="18"/>
                <w:szCs w:val="18"/>
              </w:rPr>
              <w:t>62,5</w:t>
            </w:r>
          </w:p>
        </w:tc>
        <w:tc>
          <w:tcPr>
            <w:tcW w:w="736" w:type="dxa"/>
            <w:shd w:val="clear" w:color="auto" w:fill="auto"/>
            <w:vAlign w:val="bottom"/>
          </w:tcPr>
          <w:p w14:paraId="30DDC000" w14:textId="77777777" w:rsidR="008518D2" w:rsidRPr="003A75B8" w:rsidRDefault="008518D2" w:rsidP="003A75B8">
            <w:pPr>
              <w:spacing w:before="40" w:after="40" w:line="220" w:lineRule="exact"/>
              <w:jc w:val="right"/>
              <w:rPr>
                <w:sz w:val="18"/>
                <w:szCs w:val="18"/>
              </w:rPr>
            </w:pPr>
            <w:r w:rsidRPr="003A75B8">
              <w:rPr>
                <w:sz w:val="18"/>
                <w:szCs w:val="18"/>
              </w:rPr>
              <w:t>54,3</w:t>
            </w:r>
          </w:p>
        </w:tc>
      </w:tr>
      <w:tr w:rsidR="008518D2" w:rsidRPr="008518D2" w14:paraId="178058B9" w14:textId="77777777" w:rsidTr="00765F9E">
        <w:tc>
          <w:tcPr>
            <w:tcW w:w="7370" w:type="dxa"/>
            <w:gridSpan w:val="8"/>
            <w:shd w:val="clear" w:color="auto" w:fill="auto"/>
            <w:vAlign w:val="bottom"/>
          </w:tcPr>
          <w:p w14:paraId="29575C65" w14:textId="77777777" w:rsidR="008518D2" w:rsidRPr="003A75B8" w:rsidRDefault="008518D2" w:rsidP="003A75B8">
            <w:pPr>
              <w:spacing w:before="40" w:after="40" w:line="220" w:lineRule="exact"/>
              <w:rPr>
                <w:b/>
                <w:sz w:val="18"/>
                <w:szCs w:val="18"/>
                <w:lang w:val="fr-FR"/>
              </w:rPr>
            </w:pPr>
            <w:r w:rsidRPr="003A75B8">
              <w:rPr>
                <w:b/>
                <w:bCs/>
                <w:sz w:val="18"/>
                <w:szCs w:val="18"/>
                <w:lang w:val="fr-FR" w:eastAsia="en-IE"/>
              </w:rPr>
              <w:t>Autres personnes âgées de 18 à 24 ans</w:t>
            </w:r>
          </w:p>
        </w:tc>
      </w:tr>
      <w:tr w:rsidR="008518D2" w:rsidRPr="00A14BE7" w14:paraId="039096C6" w14:textId="77777777" w:rsidTr="00765F9E">
        <w:tc>
          <w:tcPr>
            <w:tcW w:w="2216" w:type="dxa"/>
            <w:shd w:val="clear" w:color="auto" w:fill="auto"/>
            <w:vAlign w:val="bottom"/>
          </w:tcPr>
          <w:p w14:paraId="31D8765E" w14:textId="77777777" w:rsidR="008518D2" w:rsidRPr="003A75B8" w:rsidRDefault="008518D2" w:rsidP="003A75B8">
            <w:pPr>
              <w:spacing w:before="40" w:after="40" w:line="220" w:lineRule="exact"/>
              <w:rPr>
                <w:sz w:val="18"/>
                <w:szCs w:val="18"/>
                <w:lang w:val="fr-FR"/>
              </w:rPr>
            </w:pPr>
            <w:r w:rsidRPr="003A75B8">
              <w:rPr>
                <w:b/>
                <w:bCs/>
                <w:sz w:val="18"/>
                <w:szCs w:val="18"/>
                <w:lang w:val="fr-FR" w:eastAsia="en-IE"/>
              </w:rPr>
              <w:t>Hommes</w:t>
            </w:r>
          </w:p>
        </w:tc>
        <w:tc>
          <w:tcPr>
            <w:tcW w:w="738" w:type="dxa"/>
            <w:shd w:val="clear" w:color="auto" w:fill="auto"/>
            <w:vAlign w:val="bottom"/>
          </w:tcPr>
          <w:p w14:paraId="5841C0B9"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D8B6B78"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8A6DAE0"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542775A7"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08D95CF1"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5CF31CA"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8B5DA9D" w14:textId="77777777" w:rsidR="008518D2" w:rsidRPr="003A75B8" w:rsidRDefault="008518D2" w:rsidP="003A75B8">
            <w:pPr>
              <w:spacing w:before="40" w:after="40" w:line="220" w:lineRule="exact"/>
              <w:jc w:val="right"/>
              <w:rPr>
                <w:sz w:val="18"/>
                <w:szCs w:val="18"/>
              </w:rPr>
            </w:pPr>
          </w:p>
        </w:tc>
      </w:tr>
      <w:tr w:rsidR="008518D2" w:rsidRPr="00A14BE7" w14:paraId="633094C5" w14:textId="77777777" w:rsidTr="00765F9E">
        <w:tc>
          <w:tcPr>
            <w:tcW w:w="2216" w:type="dxa"/>
            <w:shd w:val="clear" w:color="auto" w:fill="auto"/>
          </w:tcPr>
          <w:p w14:paraId="5CF4E652"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 xml:space="preserve">Actifs avec emploi </w:t>
            </w:r>
          </w:p>
        </w:tc>
        <w:tc>
          <w:tcPr>
            <w:tcW w:w="738" w:type="dxa"/>
            <w:shd w:val="clear" w:color="auto" w:fill="auto"/>
            <w:vAlign w:val="bottom"/>
          </w:tcPr>
          <w:p w14:paraId="3A34C110" w14:textId="77777777" w:rsidR="008518D2" w:rsidRPr="003A75B8" w:rsidRDefault="008518D2" w:rsidP="003A75B8">
            <w:pPr>
              <w:spacing w:before="40" w:after="40" w:line="220" w:lineRule="exact"/>
              <w:jc w:val="right"/>
              <w:rPr>
                <w:sz w:val="18"/>
                <w:szCs w:val="18"/>
              </w:rPr>
            </w:pPr>
            <w:r w:rsidRPr="003A75B8">
              <w:rPr>
                <w:sz w:val="18"/>
                <w:szCs w:val="18"/>
              </w:rPr>
              <w:t>56,1</w:t>
            </w:r>
          </w:p>
        </w:tc>
        <w:tc>
          <w:tcPr>
            <w:tcW w:w="736" w:type="dxa"/>
            <w:shd w:val="clear" w:color="auto" w:fill="auto"/>
            <w:vAlign w:val="bottom"/>
          </w:tcPr>
          <w:p w14:paraId="14DF6486" w14:textId="77777777" w:rsidR="008518D2" w:rsidRPr="003A75B8" w:rsidRDefault="008518D2" w:rsidP="003A75B8">
            <w:pPr>
              <w:spacing w:before="40" w:after="40" w:line="220" w:lineRule="exact"/>
              <w:jc w:val="right"/>
              <w:rPr>
                <w:sz w:val="18"/>
                <w:szCs w:val="18"/>
              </w:rPr>
            </w:pPr>
            <w:r w:rsidRPr="003A75B8">
              <w:rPr>
                <w:sz w:val="18"/>
                <w:szCs w:val="18"/>
              </w:rPr>
              <w:t>53,6</w:t>
            </w:r>
          </w:p>
        </w:tc>
        <w:tc>
          <w:tcPr>
            <w:tcW w:w="736" w:type="dxa"/>
            <w:shd w:val="clear" w:color="auto" w:fill="auto"/>
            <w:vAlign w:val="bottom"/>
          </w:tcPr>
          <w:p w14:paraId="592016C2" w14:textId="77777777" w:rsidR="008518D2" w:rsidRPr="003A75B8" w:rsidRDefault="008518D2" w:rsidP="003A75B8">
            <w:pPr>
              <w:spacing w:before="40" w:after="40" w:line="220" w:lineRule="exact"/>
              <w:jc w:val="right"/>
              <w:rPr>
                <w:sz w:val="18"/>
                <w:szCs w:val="18"/>
              </w:rPr>
            </w:pPr>
            <w:r w:rsidRPr="003A75B8">
              <w:rPr>
                <w:sz w:val="18"/>
                <w:szCs w:val="18"/>
              </w:rPr>
              <w:t>54,5</w:t>
            </w:r>
          </w:p>
        </w:tc>
        <w:tc>
          <w:tcPr>
            <w:tcW w:w="736" w:type="dxa"/>
            <w:shd w:val="clear" w:color="auto" w:fill="auto"/>
            <w:vAlign w:val="bottom"/>
          </w:tcPr>
          <w:p w14:paraId="3F160584" w14:textId="77777777" w:rsidR="008518D2" w:rsidRPr="003A75B8" w:rsidRDefault="008518D2" w:rsidP="003A75B8">
            <w:pPr>
              <w:spacing w:before="40" w:after="40" w:line="220" w:lineRule="exact"/>
              <w:jc w:val="right"/>
              <w:rPr>
                <w:sz w:val="18"/>
                <w:szCs w:val="18"/>
              </w:rPr>
            </w:pPr>
            <w:r w:rsidRPr="003A75B8">
              <w:rPr>
                <w:sz w:val="18"/>
                <w:szCs w:val="18"/>
              </w:rPr>
              <w:t>56,6</w:t>
            </w:r>
          </w:p>
        </w:tc>
        <w:tc>
          <w:tcPr>
            <w:tcW w:w="736" w:type="dxa"/>
            <w:shd w:val="clear" w:color="auto" w:fill="auto"/>
            <w:vAlign w:val="bottom"/>
          </w:tcPr>
          <w:p w14:paraId="4ADE6827" w14:textId="77777777" w:rsidR="008518D2" w:rsidRPr="003A75B8" w:rsidRDefault="008518D2" w:rsidP="003A75B8">
            <w:pPr>
              <w:spacing w:before="40" w:after="40" w:line="220" w:lineRule="exact"/>
              <w:jc w:val="right"/>
              <w:rPr>
                <w:sz w:val="18"/>
                <w:szCs w:val="18"/>
              </w:rPr>
            </w:pPr>
            <w:r w:rsidRPr="003A75B8">
              <w:rPr>
                <w:sz w:val="18"/>
                <w:szCs w:val="18"/>
              </w:rPr>
              <w:t>56,0</w:t>
            </w:r>
          </w:p>
        </w:tc>
        <w:tc>
          <w:tcPr>
            <w:tcW w:w="736" w:type="dxa"/>
            <w:shd w:val="clear" w:color="auto" w:fill="auto"/>
            <w:vAlign w:val="bottom"/>
          </w:tcPr>
          <w:p w14:paraId="514E79C8" w14:textId="77777777" w:rsidR="008518D2" w:rsidRPr="003A75B8" w:rsidRDefault="008518D2" w:rsidP="003A75B8">
            <w:pPr>
              <w:spacing w:before="40" w:after="40" w:line="220" w:lineRule="exact"/>
              <w:jc w:val="right"/>
              <w:rPr>
                <w:sz w:val="18"/>
                <w:szCs w:val="18"/>
              </w:rPr>
            </w:pPr>
            <w:r w:rsidRPr="003A75B8">
              <w:rPr>
                <w:sz w:val="18"/>
                <w:szCs w:val="18"/>
              </w:rPr>
              <w:t>54,7</w:t>
            </w:r>
          </w:p>
        </w:tc>
        <w:tc>
          <w:tcPr>
            <w:tcW w:w="736" w:type="dxa"/>
            <w:shd w:val="clear" w:color="auto" w:fill="auto"/>
            <w:vAlign w:val="bottom"/>
          </w:tcPr>
          <w:p w14:paraId="4AA2D0C9" w14:textId="77777777" w:rsidR="008518D2" w:rsidRPr="003A75B8" w:rsidRDefault="008518D2" w:rsidP="003A75B8">
            <w:pPr>
              <w:spacing w:before="40" w:after="40" w:line="220" w:lineRule="exact"/>
              <w:jc w:val="right"/>
              <w:rPr>
                <w:sz w:val="18"/>
                <w:szCs w:val="18"/>
              </w:rPr>
            </w:pPr>
            <w:r w:rsidRPr="003A75B8">
              <w:rPr>
                <w:sz w:val="18"/>
                <w:szCs w:val="18"/>
              </w:rPr>
              <w:t>56,5</w:t>
            </w:r>
          </w:p>
        </w:tc>
      </w:tr>
      <w:tr w:rsidR="008518D2" w:rsidRPr="00A14BE7" w14:paraId="7E720A97" w14:textId="77777777" w:rsidTr="00765F9E">
        <w:tc>
          <w:tcPr>
            <w:tcW w:w="2216" w:type="dxa"/>
            <w:shd w:val="clear" w:color="auto" w:fill="auto"/>
          </w:tcPr>
          <w:p w14:paraId="59C83D08"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71DA3239" w14:textId="77777777" w:rsidR="008518D2" w:rsidRPr="003A75B8" w:rsidRDefault="008518D2" w:rsidP="003A75B8">
            <w:pPr>
              <w:spacing w:before="40" w:after="40" w:line="220" w:lineRule="exact"/>
              <w:jc w:val="right"/>
              <w:rPr>
                <w:sz w:val="18"/>
                <w:szCs w:val="18"/>
              </w:rPr>
            </w:pPr>
            <w:r w:rsidRPr="003A75B8">
              <w:rPr>
                <w:sz w:val="18"/>
                <w:szCs w:val="18"/>
              </w:rPr>
              <w:t>10,8</w:t>
            </w:r>
          </w:p>
        </w:tc>
        <w:tc>
          <w:tcPr>
            <w:tcW w:w="736" w:type="dxa"/>
            <w:shd w:val="clear" w:color="auto" w:fill="auto"/>
            <w:vAlign w:val="bottom"/>
          </w:tcPr>
          <w:p w14:paraId="5AC59823" w14:textId="77777777" w:rsidR="008518D2" w:rsidRPr="003A75B8" w:rsidRDefault="008518D2" w:rsidP="003A75B8">
            <w:pPr>
              <w:spacing w:before="40" w:after="40" w:line="220" w:lineRule="exact"/>
              <w:jc w:val="right"/>
              <w:rPr>
                <w:sz w:val="18"/>
                <w:szCs w:val="18"/>
              </w:rPr>
            </w:pPr>
            <w:r w:rsidRPr="003A75B8">
              <w:rPr>
                <w:sz w:val="18"/>
                <w:szCs w:val="18"/>
              </w:rPr>
              <w:t>8,0</w:t>
            </w:r>
          </w:p>
        </w:tc>
        <w:tc>
          <w:tcPr>
            <w:tcW w:w="736" w:type="dxa"/>
            <w:shd w:val="clear" w:color="auto" w:fill="auto"/>
            <w:vAlign w:val="bottom"/>
          </w:tcPr>
          <w:p w14:paraId="696A520D" w14:textId="77777777" w:rsidR="008518D2" w:rsidRPr="003A75B8" w:rsidRDefault="008518D2" w:rsidP="003A75B8">
            <w:pPr>
              <w:spacing w:before="40" w:after="40" w:line="220" w:lineRule="exact"/>
              <w:jc w:val="right"/>
              <w:rPr>
                <w:sz w:val="18"/>
                <w:szCs w:val="18"/>
              </w:rPr>
            </w:pPr>
            <w:r w:rsidRPr="003A75B8">
              <w:rPr>
                <w:sz w:val="18"/>
                <w:szCs w:val="18"/>
              </w:rPr>
              <w:t>10,9</w:t>
            </w:r>
          </w:p>
        </w:tc>
        <w:tc>
          <w:tcPr>
            <w:tcW w:w="736" w:type="dxa"/>
            <w:shd w:val="clear" w:color="auto" w:fill="auto"/>
            <w:vAlign w:val="bottom"/>
          </w:tcPr>
          <w:p w14:paraId="2EDAA6AC" w14:textId="77777777" w:rsidR="008518D2" w:rsidRPr="003A75B8" w:rsidRDefault="008518D2" w:rsidP="003A75B8">
            <w:pPr>
              <w:spacing w:before="40" w:after="40" w:line="220" w:lineRule="exact"/>
              <w:jc w:val="right"/>
              <w:rPr>
                <w:sz w:val="18"/>
                <w:szCs w:val="18"/>
              </w:rPr>
            </w:pPr>
            <w:r w:rsidRPr="003A75B8">
              <w:rPr>
                <w:sz w:val="18"/>
                <w:szCs w:val="18"/>
              </w:rPr>
              <w:t>11,0</w:t>
            </w:r>
          </w:p>
        </w:tc>
        <w:tc>
          <w:tcPr>
            <w:tcW w:w="736" w:type="dxa"/>
            <w:shd w:val="clear" w:color="auto" w:fill="auto"/>
            <w:vAlign w:val="bottom"/>
          </w:tcPr>
          <w:p w14:paraId="1538E82F" w14:textId="77777777" w:rsidR="008518D2" w:rsidRPr="003A75B8" w:rsidRDefault="008518D2" w:rsidP="003A75B8">
            <w:pPr>
              <w:spacing w:before="40" w:after="40" w:line="220" w:lineRule="exact"/>
              <w:jc w:val="right"/>
              <w:rPr>
                <w:sz w:val="18"/>
                <w:szCs w:val="18"/>
              </w:rPr>
            </w:pPr>
            <w:r w:rsidRPr="003A75B8">
              <w:rPr>
                <w:sz w:val="18"/>
                <w:szCs w:val="18"/>
              </w:rPr>
              <w:t>7,9</w:t>
            </w:r>
          </w:p>
        </w:tc>
        <w:tc>
          <w:tcPr>
            <w:tcW w:w="736" w:type="dxa"/>
            <w:shd w:val="clear" w:color="auto" w:fill="auto"/>
            <w:vAlign w:val="bottom"/>
          </w:tcPr>
          <w:p w14:paraId="4330026E" w14:textId="77777777" w:rsidR="008518D2" w:rsidRPr="003A75B8" w:rsidRDefault="008518D2" w:rsidP="003A75B8">
            <w:pPr>
              <w:spacing w:before="40" w:after="40" w:line="220" w:lineRule="exact"/>
              <w:jc w:val="right"/>
              <w:rPr>
                <w:sz w:val="18"/>
                <w:szCs w:val="18"/>
              </w:rPr>
            </w:pPr>
            <w:r w:rsidRPr="003A75B8">
              <w:rPr>
                <w:sz w:val="18"/>
                <w:szCs w:val="18"/>
              </w:rPr>
              <w:t>7,2</w:t>
            </w:r>
          </w:p>
        </w:tc>
        <w:tc>
          <w:tcPr>
            <w:tcW w:w="736" w:type="dxa"/>
            <w:shd w:val="clear" w:color="auto" w:fill="auto"/>
            <w:vAlign w:val="bottom"/>
          </w:tcPr>
          <w:p w14:paraId="23DA0802" w14:textId="77777777" w:rsidR="008518D2" w:rsidRPr="003A75B8" w:rsidRDefault="008518D2" w:rsidP="003A75B8">
            <w:pPr>
              <w:spacing w:before="40" w:after="40" w:line="220" w:lineRule="exact"/>
              <w:jc w:val="right"/>
              <w:rPr>
                <w:sz w:val="18"/>
                <w:szCs w:val="18"/>
              </w:rPr>
            </w:pPr>
            <w:r w:rsidRPr="003A75B8">
              <w:rPr>
                <w:sz w:val="18"/>
                <w:szCs w:val="18"/>
              </w:rPr>
              <w:t>9,7</w:t>
            </w:r>
          </w:p>
        </w:tc>
      </w:tr>
      <w:tr w:rsidR="008518D2" w:rsidRPr="00A14BE7" w14:paraId="3C28EAA1" w14:textId="77777777" w:rsidTr="00765F9E">
        <w:tc>
          <w:tcPr>
            <w:tcW w:w="2216" w:type="dxa"/>
            <w:shd w:val="clear" w:color="auto" w:fill="auto"/>
          </w:tcPr>
          <w:p w14:paraId="780D4933"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30BE1D98" w14:textId="77777777" w:rsidR="008518D2" w:rsidRPr="003A75B8" w:rsidRDefault="008518D2" w:rsidP="003A75B8">
            <w:pPr>
              <w:spacing w:before="40" w:after="40" w:line="220" w:lineRule="exact"/>
              <w:jc w:val="right"/>
              <w:rPr>
                <w:sz w:val="18"/>
                <w:szCs w:val="18"/>
              </w:rPr>
            </w:pPr>
            <w:r w:rsidRPr="003A75B8">
              <w:rPr>
                <w:sz w:val="18"/>
                <w:szCs w:val="18"/>
              </w:rPr>
              <w:t>33,1</w:t>
            </w:r>
          </w:p>
        </w:tc>
        <w:tc>
          <w:tcPr>
            <w:tcW w:w="736" w:type="dxa"/>
            <w:shd w:val="clear" w:color="auto" w:fill="auto"/>
            <w:vAlign w:val="bottom"/>
          </w:tcPr>
          <w:p w14:paraId="088211A3" w14:textId="77777777" w:rsidR="008518D2" w:rsidRPr="003A75B8" w:rsidRDefault="008518D2" w:rsidP="003A75B8">
            <w:pPr>
              <w:spacing w:before="40" w:after="40" w:line="220" w:lineRule="exact"/>
              <w:jc w:val="right"/>
              <w:rPr>
                <w:sz w:val="18"/>
                <w:szCs w:val="18"/>
              </w:rPr>
            </w:pPr>
            <w:r w:rsidRPr="003A75B8">
              <w:rPr>
                <w:sz w:val="18"/>
                <w:szCs w:val="18"/>
              </w:rPr>
              <w:t>38,4</w:t>
            </w:r>
          </w:p>
        </w:tc>
        <w:tc>
          <w:tcPr>
            <w:tcW w:w="736" w:type="dxa"/>
            <w:shd w:val="clear" w:color="auto" w:fill="auto"/>
            <w:vAlign w:val="bottom"/>
          </w:tcPr>
          <w:p w14:paraId="00EB3D49" w14:textId="77777777" w:rsidR="008518D2" w:rsidRPr="003A75B8" w:rsidRDefault="008518D2" w:rsidP="003A75B8">
            <w:pPr>
              <w:spacing w:before="40" w:after="40" w:line="220" w:lineRule="exact"/>
              <w:jc w:val="right"/>
              <w:rPr>
                <w:sz w:val="18"/>
                <w:szCs w:val="18"/>
              </w:rPr>
            </w:pPr>
            <w:r w:rsidRPr="003A75B8">
              <w:rPr>
                <w:sz w:val="18"/>
                <w:szCs w:val="18"/>
              </w:rPr>
              <w:t>34,6</w:t>
            </w:r>
          </w:p>
        </w:tc>
        <w:tc>
          <w:tcPr>
            <w:tcW w:w="736" w:type="dxa"/>
            <w:shd w:val="clear" w:color="auto" w:fill="auto"/>
            <w:vAlign w:val="bottom"/>
          </w:tcPr>
          <w:p w14:paraId="5B9ACD4B" w14:textId="77777777" w:rsidR="008518D2" w:rsidRPr="003A75B8" w:rsidRDefault="008518D2" w:rsidP="003A75B8">
            <w:pPr>
              <w:spacing w:before="40" w:after="40" w:line="220" w:lineRule="exact"/>
              <w:jc w:val="right"/>
              <w:rPr>
                <w:sz w:val="18"/>
                <w:szCs w:val="18"/>
              </w:rPr>
            </w:pPr>
            <w:r w:rsidRPr="003A75B8">
              <w:rPr>
                <w:sz w:val="18"/>
                <w:szCs w:val="18"/>
              </w:rPr>
              <w:t>32,4</w:t>
            </w:r>
          </w:p>
        </w:tc>
        <w:tc>
          <w:tcPr>
            <w:tcW w:w="736" w:type="dxa"/>
            <w:shd w:val="clear" w:color="auto" w:fill="auto"/>
            <w:vAlign w:val="bottom"/>
          </w:tcPr>
          <w:p w14:paraId="5CC2A3CA" w14:textId="77777777" w:rsidR="008518D2" w:rsidRPr="003A75B8" w:rsidRDefault="008518D2" w:rsidP="003A75B8">
            <w:pPr>
              <w:spacing w:before="40" w:after="40" w:line="220" w:lineRule="exact"/>
              <w:jc w:val="right"/>
              <w:rPr>
                <w:sz w:val="18"/>
                <w:szCs w:val="18"/>
              </w:rPr>
            </w:pPr>
            <w:r w:rsidRPr="003A75B8">
              <w:rPr>
                <w:sz w:val="18"/>
                <w:szCs w:val="18"/>
              </w:rPr>
              <w:t>36,1</w:t>
            </w:r>
          </w:p>
        </w:tc>
        <w:tc>
          <w:tcPr>
            <w:tcW w:w="736" w:type="dxa"/>
            <w:shd w:val="clear" w:color="auto" w:fill="auto"/>
            <w:vAlign w:val="bottom"/>
          </w:tcPr>
          <w:p w14:paraId="3212771E" w14:textId="77777777" w:rsidR="008518D2" w:rsidRPr="003A75B8" w:rsidRDefault="008518D2" w:rsidP="003A75B8">
            <w:pPr>
              <w:spacing w:before="40" w:after="40" w:line="220" w:lineRule="exact"/>
              <w:jc w:val="right"/>
              <w:rPr>
                <w:sz w:val="18"/>
                <w:szCs w:val="18"/>
              </w:rPr>
            </w:pPr>
            <w:r w:rsidRPr="003A75B8">
              <w:rPr>
                <w:sz w:val="18"/>
                <w:szCs w:val="18"/>
              </w:rPr>
              <w:t>38,1</w:t>
            </w:r>
          </w:p>
        </w:tc>
        <w:tc>
          <w:tcPr>
            <w:tcW w:w="736" w:type="dxa"/>
            <w:shd w:val="clear" w:color="auto" w:fill="auto"/>
            <w:vAlign w:val="bottom"/>
          </w:tcPr>
          <w:p w14:paraId="0970819C" w14:textId="77777777" w:rsidR="008518D2" w:rsidRPr="003A75B8" w:rsidRDefault="008518D2" w:rsidP="003A75B8">
            <w:pPr>
              <w:spacing w:before="40" w:after="40" w:line="220" w:lineRule="exact"/>
              <w:jc w:val="right"/>
              <w:rPr>
                <w:sz w:val="18"/>
                <w:szCs w:val="18"/>
              </w:rPr>
            </w:pPr>
            <w:r w:rsidRPr="003A75B8">
              <w:rPr>
                <w:sz w:val="18"/>
                <w:szCs w:val="18"/>
              </w:rPr>
              <w:t>33,8</w:t>
            </w:r>
          </w:p>
        </w:tc>
      </w:tr>
      <w:tr w:rsidR="008518D2" w:rsidRPr="00A14BE7" w14:paraId="25262985" w14:textId="77777777" w:rsidTr="00765F9E">
        <w:tc>
          <w:tcPr>
            <w:tcW w:w="2216" w:type="dxa"/>
            <w:shd w:val="clear" w:color="auto" w:fill="auto"/>
          </w:tcPr>
          <w:p w14:paraId="08BDFBBB" w14:textId="77777777" w:rsidR="008518D2" w:rsidRPr="003A75B8" w:rsidRDefault="008518D2" w:rsidP="003A75B8">
            <w:pPr>
              <w:spacing w:before="40" w:after="40" w:line="220" w:lineRule="exact"/>
              <w:rPr>
                <w:b/>
                <w:bCs/>
                <w:sz w:val="18"/>
                <w:szCs w:val="18"/>
                <w:lang w:val="fr-FR" w:eastAsia="en-IE"/>
              </w:rPr>
            </w:pPr>
            <w:r w:rsidRPr="003A75B8">
              <w:rPr>
                <w:b/>
                <w:bCs/>
                <w:sz w:val="18"/>
                <w:szCs w:val="18"/>
                <w:lang w:val="fr-FR" w:eastAsia="en-IE"/>
              </w:rPr>
              <w:t>Femmes</w:t>
            </w:r>
          </w:p>
        </w:tc>
        <w:tc>
          <w:tcPr>
            <w:tcW w:w="738" w:type="dxa"/>
            <w:shd w:val="clear" w:color="auto" w:fill="auto"/>
            <w:vAlign w:val="bottom"/>
          </w:tcPr>
          <w:p w14:paraId="7B6EF538" w14:textId="77777777" w:rsidR="008518D2" w:rsidRPr="003A75B8" w:rsidRDefault="008518D2" w:rsidP="003A75B8">
            <w:pPr>
              <w:spacing w:before="40" w:after="40" w:line="220" w:lineRule="exact"/>
              <w:jc w:val="right"/>
              <w:rPr>
                <w:sz w:val="18"/>
                <w:szCs w:val="18"/>
                <w:lang w:eastAsia="en-IE"/>
              </w:rPr>
            </w:pPr>
          </w:p>
        </w:tc>
        <w:tc>
          <w:tcPr>
            <w:tcW w:w="736" w:type="dxa"/>
            <w:shd w:val="clear" w:color="auto" w:fill="auto"/>
            <w:vAlign w:val="bottom"/>
          </w:tcPr>
          <w:p w14:paraId="6AC25FB3"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3DDE47B2"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3714033"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7AB89168"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5AF3B6B"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7E873C6D" w14:textId="77777777" w:rsidR="008518D2" w:rsidRPr="003A75B8" w:rsidRDefault="008518D2" w:rsidP="003A75B8">
            <w:pPr>
              <w:spacing w:before="40" w:after="40" w:line="220" w:lineRule="exact"/>
              <w:jc w:val="right"/>
              <w:rPr>
                <w:sz w:val="18"/>
                <w:szCs w:val="18"/>
              </w:rPr>
            </w:pPr>
          </w:p>
        </w:tc>
      </w:tr>
      <w:tr w:rsidR="008518D2" w:rsidRPr="00A14BE7" w14:paraId="69513679" w14:textId="77777777" w:rsidTr="00765F9E">
        <w:tc>
          <w:tcPr>
            <w:tcW w:w="2216" w:type="dxa"/>
            <w:shd w:val="clear" w:color="auto" w:fill="auto"/>
          </w:tcPr>
          <w:p w14:paraId="441399F9"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Actives avec emploi</w:t>
            </w:r>
          </w:p>
        </w:tc>
        <w:tc>
          <w:tcPr>
            <w:tcW w:w="738" w:type="dxa"/>
            <w:shd w:val="clear" w:color="auto" w:fill="auto"/>
            <w:vAlign w:val="bottom"/>
          </w:tcPr>
          <w:p w14:paraId="3F06CA50" w14:textId="77777777" w:rsidR="008518D2" w:rsidRPr="003A75B8" w:rsidRDefault="008518D2" w:rsidP="003A75B8">
            <w:pPr>
              <w:spacing w:before="40" w:after="40" w:line="220" w:lineRule="exact"/>
              <w:jc w:val="right"/>
              <w:rPr>
                <w:sz w:val="18"/>
                <w:szCs w:val="18"/>
              </w:rPr>
            </w:pPr>
            <w:r w:rsidRPr="003A75B8">
              <w:rPr>
                <w:sz w:val="18"/>
                <w:szCs w:val="18"/>
              </w:rPr>
              <w:t>59,6</w:t>
            </w:r>
          </w:p>
        </w:tc>
        <w:tc>
          <w:tcPr>
            <w:tcW w:w="736" w:type="dxa"/>
            <w:shd w:val="clear" w:color="auto" w:fill="auto"/>
            <w:vAlign w:val="bottom"/>
          </w:tcPr>
          <w:p w14:paraId="028C2546" w14:textId="77777777" w:rsidR="008518D2" w:rsidRPr="003A75B8" w:rsidRDefault="008518D2" w:rsidP="003A75B8">
            <w:pPr>
              <w:spacing w:before="40" w:after="40" w:line="220" w:lineRule="exact"/>
              <w:jc w:val="right"/>
              <w:rPr>
                <w:sz w:val="18"/>
                <w:szCs w:val="18"/>
              </w:rPr>
            </w:pPr>
            <w:r w:rsidRPr="003A75B8">
              <w:rPr>
                <w:sz w:val="18"/>
                <w:szCs w:val="18"/>
              </w:rPr>
              <w:t>56,0</w:t>
            </w:r>
          </w:p>
        </w:tc>
        <w:tc>
          <w:tcPr>
            <w:tcW w:w="736" w:type="dxa"/>
            <w:shd w:val="clear" w:color="auto" w:fill="auto"/>
            <w:vAlign w:val="bottom"/>
          </w:tcPr>
          <w:p w14:paraId="557EA979" w14:textId="77777777" w:rsidR="008518D2" w:rsidRPr="003A75B8" w:rsidRDefault="008518D2" w:rsidP="003A75B8">
            <w:pPr>
              <w:spacing w:before="40" w:after="40" w:line="220" w:lineRule="exact"/>
              <w:jc w:val="right"/>
              <w:rPr>
                <w:sz w:val="18"/>
                <w:szCs w:val="18"/>
              </w:rPr>
            </w:pPr>
            <w:r w:rsidRPr="003A75B8">
              <w:rPr>
                <w:sz w:val="18"/>
                <w:szCs w:val="18"/>
              </w:rPr>
              <w:t>57,2</w:t>
            </w:r>
          </w:p>
        </w:tc>
        <w:tc>
          <w:tcPr>
            <w:tcW w:w="736" w:type="dxa"/>
            <w:shd w:val="clear" w:color="auto" w:fill="auto"/>
            <w:vAlign w:val="bottom"/>
          </w:tcPr>
          <w:p w14:paraId="773865E4" w14:textId="77777777" w:rsidR="008518D2" w:rsidRPr="003A75B8" w:rsidRDefault="008518D2" w:rsidP="003A75B8">
            <w:pPr>
              <w:spacing w:before="40" w:after="40" w:line="220" w:lineRule="exact"/>
              <w:jc w:val="right"/>
              <w:rPr>
                <w:sz w:val="18"/>
                <w:szCs w:val="18"/>
              </w:rPr>
            </w:pPr>
            <w:r w:rsidRPr="003A75B8">
              <w:rPr>
                <w:sz w:val="18"/>
                <w:szCs w:val="18"/>
              </w:rPr>
              <w:t>53,9</w:t>
            </w:r>
          </w:p>
        </w:tc>
        <w:tc>
          <w:tcPr>
            <w:tcW w:w="736" w:type="dxa"/>
            <w:shd w:val="clear" w:color="auto" w:fill="auto"/>
            <w:vAlign w:val="bottom"/>
          </w:tcPr>
          <w:p w14:paraId="49A9D1FD" w14:textId="77777777" w:rsidR="008518D2" w:rsidRPr="003A75B8" w:rsidRDefault="008518D2" w:rsidP="003A75B8">
            <w:pPr>
              <w:spacing w:before="40" w:after="40" w:line="220" w:lineRule="exact"/>
              <w:jc w:val="right"/>
              <w:rPr>
                <w:sz w:val="18"/>
                <w:szCs w:val="18"/>
              </w:rPr>
            </w:pPr>
            <w:r w:rsidRPr="003A75B8">
              <w:rPr>
                <w:sz w:val="18"/>
                <w:szCs w:val="18"/>
              </w:rPr>
              <w:t>54,8</w:t>
            </w:r>
          </w:p>
        </w:tc>
        <w:tc>
          <w:tcPr>
            <w:tcW w:w="736" w:type="dxa"/>
            <w:shd w:val="clear" w:color="auto" w:fill="auto"/>
            <w:vAlign w:val="bottom"/>
          </w:tcPr>
          <w:p w14:paraId="12E9C1FC" w14:textId="77777777" w:rsidR="008518D2" w:rsidRPr="003A75B8" w:rsidRDefault="008518D2" w:rsidP="003A75B8">
            <w:pPr>
              <w:spacing w:before="40" w:after="40" w:line="220" w:lineRule="exact"/>
              <w:jc w:val="right"/>
              <w:rPr>
                <w:sz w:val="18"/>
                <w:szCs w:val="18"/>
              </w:rPr>
            </w:pPr>
            <w:r w:rsidRPr="003A75B8">
              <w:rPr>
                <w:sz w:val="18"/>
                <w:szCs w:val="18"/>
              </w:rPr>
              <w:t>51,1</w:t>
            </w:r>
          </w:p>
        </w:tc>
        <w:tc>
          <w:tcPr>
            <w:tcW w:w="736" w:type="dxa"/>
            <w:shd w:val="clear" w:color="auto" w:fill="auto"/>
            <w:vAlign w:val="bottom"/>
          </w:tcPr>
          <w:p w14:paraId="2CC3A9AE" w14:textId="77777777" w:rsidR="008518D2" w:rsidRPr="003A75B8" w:rsidRDefault="008518D2" w:rsidP="003A75B8">
            <w:pPr>
              <w:spacing w:before="40" w:after="40" w:line="220" w:lineRule="exact"/>
              <w:jc w:val="right"/>
              <w:rPr>
                <w:sz w:val="18"/>
                <w:szCs w:val="18"/>
              </w:rPr>
            </w:pPr>
            <w:r w:rsidRPr="003A75B8">
              <w:rPr>
                <w:sz w:val="18"/>
                <w:szCs w:val="18"/>
              </w:rPr>
              <w:t>55,7</w:t>
            </w:r>
          </w:p>
        </w:tc>
      </w:tr>
      <w:tr w:rsidR="008518D2" w:rsidRPr="00A14BE7" w14:paraId="4B6B6686" w14:textId="77777777" w:rsidTr="00765F9E">
        <w:tc>
          <w:tcPr>
            <w:tcW w:w="2216" w:type="dxa"/>
            <w:shd w:val="clear" w:color="auto" w:fill="auto"/>
          </w:tcPr>
          <w:p w14:paraId="6BA3BDFC"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03BC5A52" w14:textId="77777777" w:rsidR="008518D2" w:rsidRPr="003A75B8" w:rsidRDefault="008518D2" w:rsidP="003A75B8">
            <w:pPr>
              <w:spacing w:before="40" w:after="40" w:line="220" w:lineRule="exact"/>
              <w:jc w:val="right"/>
              <w:rPr>
                <w:sz w:val="18"/>
                <w:szCs w:val="18"/>
              </w:rPr>
            </w:pPr>
            <w:r w:rsidRPr="003A75B8">
              <w:rPr>
                <w:sz w:val="18"/>
                <w:szCs w:val="18"/>
              </w:rPr>
              <w:t>6,8</w:t>
            </w:r>
          </w:p>
        </w:tc>
        <w:tc>
          <w:tcPr>
            <w:tcW w:w="736" w:type="dxa"/>
            <w:shd w:val="clear" w:color="auto" w:fill="auto"/>
            <w:vAlign w:val="bottom"/>
          </w:tcPr>
          <w:p w14:paraId="6BE1B34F" w14:textId="77777777" w:rsidR="008518D2" w:rsidRPr="003A75B8" w:rsidRDefault="008518D2" w:rsidP="003A75B8">
            <w:pPr>
              <w:spacing w:before="40" w:after="40" w:line="220" w:lineRule="exact"/>
              <w:jc w:val="right"/>
              <w:rPr>
                <w:sz w:val="18"/>
                <w:szCs w:val="18"/>
              </w:rPr>
            </w:pPr>
            <w:r w:rsidRPr="003A75B8">
              <w:rPr>
                <w:sz w:val="18"/>
                <w:szCs w:val="18"/>
              </w:rPr>
              <w:t>6,8</w:t>
            </w:r>
          </w:p>
        </w:tc>
        <w:tc>
          <w:tcPr>
            <w:tcW w:w="736" w:type="dxa"/>
            <w:shd w:val="clear" w:color="auto" w:fill="auto"/>
            <w:vAlign w:val="bottom"/>
          </w:tcPr>
          <w:p w14:paraId="4CA8CE64" w14:textId="77777777" w:rsidR="008518D2" w:rsidRPr="003A75B8" w:rsidRDefault="008518D2" w:rsidP="003A75B8">
            <w:pPr>
              <w:spacing w:before="40" w:after="40" w:line="220" w:lineRule="exact"/>
              <w:jc w:val="right"/>
              <w:rPr>
                <w:sz w:val="18"/>
                <w:szCs w:val="18"/>
              </w:rPr>
            </w:pPr>
            <w:r w:rsidRPr="003A75B8">
              <w:rPr>
                <w:sz w:val="18"/>
                <w:szCs w:val="18"/>
              </w:rPr>
              <w:t>8,0</w:t>
            </w:r>
          </w:p>
        </w:tc>
        <w:tc>
          <w:tcPr>
            <w:tcW w:w="736" w:type="dxa"/>
            <w:shd w:val="clear" w:color="auto" w:fill="auto"/>
            <w:vAlign w:val="bottom"/>
          </w:tcPr>
          <w:p w14:paraId="0302B35D" w14:textId="77777777" w:rsidR="008518D2" w:rsidRPr="003A75B8" w:rsidRDefault="008518D2" w:rsidP="003A75B8">
            <w:pPr>
              <w:spacing w:before="40" w:after="40" w:line="220" w:lineRule="exact"/>
              <w:jc w:val="right"/>
              <w:rPr>
                <w:sz w:val="18"/>
                <w:szCs w:val="18"/>
              </w:rPr>
            </w:pPr>
            <w:r w:rsidRPr="003A75B8">
              <w:rPr>
                <w:sz w:val="18"/>
                <w:szCs w:val="18"/>
              </w:rPr>
              <w:t>8,7</w:t>
            </w:r>
          </w:p>
        </w:tc>
        <w:tc>
          <w:tcPr>
            <w:tcW w:w="736" w:type="dxa"/>
            <w:shd w:val="clear" w:color="auto" w:fill="auto"/>
            <w:vAlign w:val="bottom"/>
          </w:tcPr>
          <w:p w14:paraId="19A7B2E1" w14:textId="77777777" w:rsidR="008518D2" w:rsidRPr="003A75B8" w:rsidRDefault="008518D2" w:rsidP="003A75B8">
            <w:pPr>
              <w:spacing w:before="40" w:after="40" w:line="220" w:lineRule="exact"/>
              <w:jc w:val="right"/>
              <w:rPr>
                <w:sz w:val="18"/>
                <w:szCs w:val="18"/>
              </w:rPr>
            </w:pPr>
            <w:r w:rsidRPr="003A75B8">
              <w:rPr>
                <w:sz w:val="18"/>
                <w:szCs w:val="18"/>
              </w:rPr>
              <w:t>4,8</w:t>
            </w:r>
          </w:p>
        </w:tc>
        <w:tc>
          <w:tcPr>
            <w:tcW w:w="736" w:type="dxa"/>
            <w:shd w:val="clear" w:color="auto" w:fill="auto"/>
            <w:vAlign w:val="bottom"/>
          </w:tcPr>
          <w:p w14:paraId="51862F24" w14:textId="77777777" w:rsidR="008518D2" w:rsidRPr="003A75B8" w:rsidRDefault="008518D2" w:rsidP="003A75B8">
            <w:pPr>
              <w:spacing w:before="40" w:after="40" w:line="220" w:lineRule="exact"/>
              <w:jc w:val="right"/>
              <w:rPr>
                <w:sz w:val="18"/>
                <w:szCs w:val="18"/>
              </w:rPr>
            </w:pPr>
            <w:r w:rsidRPr="003A75B8">
              <w:rPr>
                <w:sz w:val="18"/>
                <w:szCs w:val="18"/>
              </w:rPr>
              <w:t>6,1</w:t>
            </w:r>
          </w:p>
        </w:tc>
        <w:tc>
          <w:tcPr>
            <w:tcW w:w="736" w:type="dxa"/>
            <w:shd w:val="clear" w:color="auto" w:fill="auto"/>
            <w:vAlign w:val="bottom"/>
          </w:tcPr>
          <w:p w14:paraId="23CB5AE9" w14:textId="77777777" w:rsidR="008518D2" w:rsidRPr="003A75B8" w:rsidRDefault="008518D2" w:rsidP="003A75B8">
            <w:pPr>
              <w:spacing w:before="40" w:after="40" w:line="220" w:lineRule="exact"/>
              <w:jc w:val="right"/>
              <w:rPr>
                <w:sz w:val="18"/>
                <w:szCs w:val="18"/>
              </w:rPr>
            </w:pPr>
            <w:r w:rsidRPr="003A75B8">
              <w:rPr>
                <w:sz w:val="18"/>
                <w:szCs w:val="18"/>
              </w:rPr>
              <w:t>8,1</w:t>
            </w:r>
          </w:p>
        </w:tc>
      </w:tr>
      <w:tr w:rsidR="008518D2" w:rsidRPr="00A14BE7" w14:paraId="596AC83C" w14:textId="77777777" w:rsidTr="00765F9E">
        <w:tc>
          <w:tcPr>
            <w:tcW w:w="2216" w:type="dxa"/>
            <w:shd w:val="clear" w:color="auto" w:fill="auto"/>
          </w:tcPr>
          <w:p w14:paraId="72490043"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w:t>
            </w:r>
          </w:p>
        </w:tc>
        <w:tc>
          <w:tcPr>
            <w:tcW w:w="738" w:type="dxa"/>
            <w:shd w:val="clear" w:color="auto" w:fill="auto"/>
            <w:vAlign w:val="bottom"/>
          </w:tcPr>
          <w:p w14:paraId="759C0585" w14:textId="77777777" w:rsidR="008518D2" w:rsidRPr="003A75B8" w:rsidRDefault="008518D2" w:rsidP="003A75B8">
            <w:pPr>
              <w:spacing w:before="40" w:after="40" w:line="220" w:lineRule="exact"/>
              <w:jc w:val="right"/>
              <w:rPr>
                <w:sz w:val="18"/>
                <w:szCs w:val="18"/>
              </w:rPr>
            </w:pPr>
            <w:r w:rsidRPr="003A75B8">
              <w:rPr>
                <w:sz w:val="18"/>
                <w:szCs w:val="18"/>
              </w:rPr>
              <w:t>33,6</w:t>
            </w:r>
          </w:p>
        </w:tc>
        <w:tc>
          <w:tcPr>
            <w:tcW w:w="736" w:type="dxa"/>
            <w:shd w:val="clear" w:color="auto" w:fill="auto"/>
            <w:vAlign w:val="bottom"/>
          </w:tcPr>
          <w:p w14:paraId="7D8CB0D4" w14:textId="77777777" w:rsidR="008518D2" w:rsidRPr="003A75B8" w:rsidRDefault="008518D2" w:rsidP="003A75B8">
            <w:pPr>
              <w:spacing w:before="40" w:after="40" w:line="220" w:lineRule="exact"/>
              <w:jc w:val="right"/>
              <w:rPr>
                <w:sz w:val="18"/>
                <w:szCs w:val="18"/>
              </w:rPr>
            </w:pPr>
            <w:r w:rsidRPr="003A75B8">
              <w:rPr>
                <w:sz w:val="18"/>
                <w:szCs w:val="18"/>
              </w:rPr>
              <w:t>37,2</w:t>
            </w:r>
          </w:p>
        </w:tc>
        <w:tc>
          <w:tcPr>
            <w:tcW w:w="736" w:type="dxa"/>
            <w:shd w:val="clear" w:color="auto" w:fill="auto"/>
            <w:vAlign w:val="bottom"/>
          </w:tcPr>
          <w:p w14:paraId="1968BC6A" w14:textId="77777777" w:rsidR="008518D2" w:rsidRPr="003A75B8" w:rsidRDefault="008518D2" w:rsidP="003A75B8">
            <w:pPr>
              <w:spacing w:before="40" w:after="40" w:line="220" w:lineRule="exact"/>
              <w:jc w:val="right"/>
              <w:rPr>
                <w:sz w:val="18"/>
                <w:szCs w:val="18"/>
              </w:rPr>
            </w:pPr>
            <w:r w:rsidRPr="003A75B8">
              <w:rPr>
                <w:sz w:val="18"/>
                <w:szCs w:val="18"/>
              </w:rPr>
              <w:t>34,8</w:t>
            </w:r>
          </w:p>
        </w:tc>
        <w:tc>
          <w:tcPr>
            <w:tcW w:w="736" w:type="dxa"/>
            <w:shd w:val="clear" w:color="auto" w:fill="auto"/>
            <w:vAlign w:val="bottom"/>
          </w:tcPr>
          <w:p w14:paraId="6210EAAC" w14:textId="77777777" w:rsidR="008518D2" w:rsidRPr="003A75B8" w:rsidRDefault="008518D2" w:rsidP="003A75B8">
            <w:pPr>
              <w:spacing w:before="40" w:after="40" w:line="220" w:lineRule="exact"/>
              <w:jc w:val="right"/>
              <w:rPr>
                <w:sz w:val="18"/>
                <w:szCs w:val="18"/>
              </w:rPr>
            </w:pPr>
            <w:r w:rsidRPr="003A75B8">
              <w:rPr>
                <w:sz w:val="18"/>
                <w:szCs w:val="18"/>
              </w:rPr>
              <w:t>37,5</w:t>
            </w:r>
          </w:p>
        </w:tc>
        <w:tc>
          <w:tcPr>
            <w:tcW w:w="736" w:type="dxa"/>
            <w:shd w:val="clear" w:color="auto" w:fill="auto"/>
            <w:vAlign w:val="bottom"/>
          </w:tcPr>
          <w:p w14:paraId="3E07C338" w14:textId="77777777" w:rsidR="008518D2" w:rsidRPr="003A75B8" w:rsidRDefault="008518D2" w:rsidP="003A75B8">
            <w:pPr>
              <w:spacing w:before="40" w:after="40" w:line="220" w:lineRule="exact"/>
              <w:jc w:val="right"/>
              <w:rPr>
                <w:sz w:val="18"/>
                <w:szCs w:val="18"/>
              </w:rPr>
            </w:pPr>
            <w:r w:rsidRPr="003A75B8">
              <w:rPr>
                <w:sz w:val="18"/>
                <w:szCs w:val="18"/>
              </w:rPr>
              <w:t>40,4</w:t>
            </w:r>
          </w:p>
        </w:tc>
        <w:tc>
          <w:tcPr>
            <w:tcW w:w="736" w:type="dxa"/>
            <w:shd w:val="clear" w:color="auto" w:fill="auto"/>
            <w:vAlign w:val="bottom"/>
          </w:tcPr>
          <w:p w14:paraId="4AD9030D" w14:textId="77777777" w:rsidR="008518D2" w:rsidRPr="003A75B8" w:rsidRDefault="008518D2" w:rsidP="003A75B8">
            <w:pPr>
              <w:spacing w:before="40" w:after="40" w:line="220" w:lineRule="exact"/>
              <w:jc w:val="right"/>
              <w:rPr>
                <w:sz w:val="18"/>
                <w:szCs w:val="18"/>
              </w:rPr>
            </w:pPr>
            <w:r w:rsidRPr="003A75B8">
              <w:rPr>
                <w:sz w:val="18"/>
                <w:szCs w:val="18"/>
              </w:rPr>
              <w:t>42,8</w:t>
            </w:r>
          </w:p>
        </w:tc>
        <w:tc>
          <w:tcPr>
            <w:tcW w:w="736" w:type="dxa"/>
            <w:shd w:val="clear" w:color="auto" w:fill="auto"/>
            <w:vAlign w:val="bottom"/>
          </w:tcPr>
          <w:p w14:paraId="0256DD0C" w14:textId="77777777" w:rsidR="008518D2" w:rsidRPr="003A75B8" w:rsidRDefault="008518D2" w:rsidP="003A75B8">
            <w:pPr>
              <w:spacing w:before="40" w:after="40" w:line="220" w:lineRule="exact"/>
              <w:jc w:val="right"/>
              <w:rPr>
                <w:sz w:val="18"/>
                <w:szCs w:val="18"/>
              </w:rPr>
            </w:pPr>
            <w:r w:rsidRPr="003A75B8">
              <w:rPr>
                <w:sz w:val="18"/>
                <w:szCs w:val="18"/>
              </w:rPr>
              <w:t>36,2</w:t>
            </w:r>
          </w:p>
        </w:tc>
      </w:tr>
      <w:tr w:rsidR="008518D2" w:rsidRPr="00A14BE7" w14:paraId="5A288B08" w14:textId="77777777" w:rsidTr="00765F9E">
        <w:tc>
          <w:tcPr>
            <w:tcW w:w="2216" w:type="dxa"/>
            <w:shd w:val="clear" w:color="auto" w:fill="auto"/>
          </w:tcPr>
          <w:p w14:paraId="70908C73" w14:textId="77777777" w:rsidR="008518D2" w:rsidRPr="003A75B8" w:rsidRDefault="00A0716B" w:rsidP="003A75B8">
            <w:pPr>
              <w:spacing w:before="40" w:after="40" w:line="220" w:lineRule="exact"/>
              <w:rPr>
                <w:b/>
                <w:bCs/>
                <w:sz w:val="18"/>
                <w:szCs w:val="18"/>
                <w:lang w:val="fr-FR" w:eastAsia="en-IE"/>
              </w:rPr>
            </w:pPr>
            <w:r w:rsidRPr="00A0716B">
              <w:rPr>
                <w:b/>
                <w:bCs/>
                <w:spacing w:val="-2"/>
                <w:sz w:val="18"/>
                <w:szCs w:val="18"/>
                <w:lang w:val="fr-FR" w:eastAsia="en-IE"/>
              </w:rPr>
              <w:t>Toutes personnes confondues</w:t>
            </w:r>
          </w:p>
        </w:tc>
        <w:tc>
          <w:tcPr>
            <w:tcW w:w="738" w:type="dxa"/>
            <w:shd w:val="clear" w:color="auto" w:fill="auto"/>
            <w:vAlign w:val="bottom"/>
          </w:tcPr>
          <w:p w14:paraId="746902C6" w14:textId="77777777" w:rsidR="008518D2" w:rsidRPr="003A75B8" w:rsidRDefault="008518D2" w:rsidP="003A75B8">
            <w:pPr>
              <w:spacing w:before="40" w:after="40" w:line="220" w:lineRule="exact"/>
              <w:jc w:val="right"/>
              <w:rPr>
                <w:sz w:val="18"/>
                <w:szCs w:val="18"/>
                <w:lang w:eastAsia="en-IE"/>
              </w:rPr>
            </w:pPr>
          </w:p>
        </w:tc>
        <w:tc>
          <w:tcPr>
            <w:tcW w:w="736" w:type="dxa"/>
            <w:shd w:val="clear" w:color="auto" w:fill="auto"/>
            <w:vAlign w:val="bottom"/>
          </w:tcPr>
          <w:p w14:paraId="7B9C4E74"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367AA0F7"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97E0211"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22213F4"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0643FF2"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0F60B9E" w14:textId="77777777" w:rsidR="008518D2" w:rsidRPr="003A75B8" w:rsidRDefault="008518D2" w:rsidP="003A75B8">
            <w:pPr>
              <w:spacing w:before="40" w:after="40" w:line="220" w:lineRule="exact"/>
              <w:jc w:val="right"/>
              <w:rPr>
                <w:sz w:val="18"/>
                <w:szCs w:val="18"/>
              </w:rPr>
            </w:pPr>
          </w:p>
        </w:tc>
      </w:tr>
      <w:tr w:rsidR="008518D2" w:rsidRPr="00A14BE7" w14:paraId="3034A0C7" w14:textId="77777777" w:rsidTr="00765F9E">
        <w:tc>
          <w:tcPr>
            <w:tcW w:w="2216" w:type="dxa"/>
            <w:shd w:val="clear" w:color="auto" w:fill="auto"/>
          </w:tcPr>
          <w:p w14:paraId="606A9B8E"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74DE74C5" w14:textId="77777777" w:rsidR="008518D2" w:rsidRPr="003A75B8" w:rsidRDefault="008518D2" w:rsidP="003A75B8">
            <w:pPr>
              <w:spacing w:before="40" w:after="40" w:line="220" w:lineRule="exact"/>
              <w:jc w:val="right"/>
              <w:rPr>
                <w:sz w:val="18"/>
                <w:szCs w:val="18"/>
              </w:rPr>
            </w:pPr>
            <w:r w:rsidRPr="003A75B8">
              <w:rPr>
                <w:sz w:val="18"/>
                <w:szCs w:val="18"/>
              </w:rPr>
              <w:t>57,8</w:t>
            </w:r>
          </w:p>
        </w:tc>
        <w:tc>
          <w:tcPr>
            <w:tcW w:w="736" w:type="dxa"/>
            <w:shd w:val="clear" w:color="auto" w:fill="auto"/>
            <w:vAlign w:val="bottom"/>
          </w:tcPr>
          <w:p w14:paraId="15328FC6" w14:textId="77777777" w:rsidR="008518D2" w:rsidRPr="003A75B8" w:rsidRDefault="008518D2" w:rsidP="003A75B8">
            <w:pPr>
              <w:spacing w:before="40" w:after="40" w:line="220" w:lineRule="exact"/>
              <w:jc w:val="right"/>
              <w:rPr>
                <w:sz w:val="18"/>
                <w:szCs w:val="18"/>
              </w:rPr>
            </w:pPr>
            <w:r w:rsidRPr="003A75B8">
              <w:rPr>
                <w:sz w:val="18"/>
                <w:szCs w:val="18"/>
              </w:rPr>
              <w:t>54,8</w:t>
            </w:r>
          </w:p>
        </w:tc>
        <w:tc>
          <w:tcPr>
            <w:tcW w:w="736" w:type="dxa"/>
            <w:shd w:val="clear" w:color="auto" w:fill="auto"/>
            <w:vAlign w:val="bottom"/>
          </w:tcPr>
          <w:p w14:paraId="4FC2491D" w14:textId="77777777" w:rsidR="008518D2" w:rsidRPr="003A75B8" w:rsidRDefault="008518D2" w:rsidP="003A75B8">
            <w:pPr>
              <w:spacing w:before="40" w:after="40" w:line="220" w:lineRule="exact"/>
              <w:jc w:val="right"/>
              <w:rPr>
                <w:sz w:val="18"/>
                <w:szCs w:val="18"/>
              </w:rPr>
            </w:pPr>
            <w:r w:rsidRPr="003A75B8">
              <w:rPr>
                <w:sz w:val="18"/>
                <w:szCs w:val="18"/>
              </w:rPr>
              <w:t>55,9</w:t>
            </w:r>
          </w:p>
        </w:tc>
        <w:tc>
          <w:tcPr>
            <w:tcW w:w="736" w:type="dxa"/>
            <w:shd w:val="clear" w:color="auto" w:fill="auto"/>
            <w:vAlign w:val="bottom"/>
          </w:tcPr>
          <w:p w14:paraId="6B7BC17D" w14:textId="77777777" w:rsidR="008518D2" w:rsidRPr="003A75B8" w:rsidRDefault="008518D2" w:rsidP="003A75B8">
            <w:pPr>
              <w:spacing w:before="40" w:after="40" w:line="220" w:lineRule="exact"/>
              <w:jc w:val="right"/>
              <w:rPr>
                <w:sz w:val="18"/>
                <w:szCs w:val="18"/>
              </w:rPr>
            </w:pPr>
            <w:r w:rsidRPr="003A75B8">
              <w:rPr>
                <w:sz w:val="18"/>
                <w:szCs w:val="18"/>
              </w:rPr>
              <w:t>55,3</w:t>
            </w:r>
          </w:p>
        </w:tc>
        <w:tc>
          <w:tcPr>
            <w:tcW w:w="736" w:type="dxa"/>
            <w:shd w:val="clear" w:color="auto" w:fill="auto"/>
            <w:vAlign w:val="bottom"/>
          </w:tcPr>
          <w:p w14:paraId="05BABE17" w14:textId="77777777" w:rsidR="008518D2" w:rsidRPr="003A75B8" w:rsidRDefault="008518D2" w:rsidP="003A75B8">
            <w:pPr>
              <w:spacing w:before="40" w:after="40" w:line="220" w:lineRule="exact"/>
              <w:jc w:val="right"/>
              <w:rPr>
                <w:sz w:val="18"/>
                <w:szCs w:val="18"/>
              </w:rPr>
            </w:pPr>
            <w:r w:rsidRPr="003A75B8">
              <w:rPr>
                <w:sz w:val="18"/>
                <w:szCs w:val="18"/>
              </w:rPr>
              <w:t>55,4</w:t>
            </w:r>
          </w:p>
        </w:tc>
        <w:tc>
          <w:tcPr>
            <w:tcW w:w="736" w:type="dxa"/>
            <w:shd w:val="clear" w:color="auto" w:fill="auto"/>
            <w:vAlign w:val="bottom"/>
          </w:tcPr>
          <w:p w14:paraId="681B3E90" w14:textId="77777777" w:rsidR="008518D2" w:rsidRPr="003A75B8" w:rsidRDefault="008518D2" w:rsidP="003A75B8">
            <w:pPr>
              <w:spacing w:before="40" w:after="40" w:line="220" w:lineRule="exact"/>
              <w:jc w:val="right"/>
              <w:rPr>
                <w:sz w:val="18"/>
                <w:szCs w:val="18"/>
              </w:rPr>
            </w:pPr>
            <w:r w:rsidRPr="003A75B8">
              <w:rPr>
                <w:sz w:val="18"/>
                <w:szCs w:val="18"/>
              </w:rPr>
              <w:t>53,0</w:t>
            </w:r>
          </w:p>
        </w:tc>
        <w:tc>
          <w:tcPr>
            <w:tcW w:w="736" w:type="dxa"/>
            <w:shd w:val="clear" w:color="auto" w:fill="auto"/>
            <w:vAlign w:val="bottom"/>
          </w:tcPr>
          <w:p w14:paraId="783BFBB7" w14:textId="77777777" w:rsidR="008518D2" w:rsidRPr="003A75B8" w:rsidRDefault="008518D2" w:rsidP="003A75B8">
            <w:pPr>
              <w:spacing w:before="40" w:after="40" w:line="220" w:lineRule="exact"/>
              <w:jc w:val="right"/>
              <w:rPr>
                <w:sz w:val="18"/>
                <w:szCs w:val="18"/>
              </w:rPr>
            </w:pPr>
            <w:r w:rsidRPr="003A75B8">
              <w:rPr>
                <w:sz w:val="18"/>
                <w:szCs w:val="18"/>
              </w:rPr>
              <w:t>56,1</w:t>
            </w:r>
          </w:p>
        </w:tc>
      </w:tr>
      <w:tr w:rsidR="008518D2" w:rsidRPr="00A14BE7" w14:paraId="73EED76D" w14:textId="77777777" w:rsidTr="00765F9E">
        <w:tc>
          <w:tcPr>
            <w:tcW w:w="2216" w:type="dxa"/>
            <w:shd w:val="clear" w:color="auto" w:fill="auto"/>
          </w:tcPr>
          <w:p w14:paraId="6E08D186"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635AFCB6" w14:textId="77777777" w:rsidR="008518D2" w:rsidRPr="003A75B8" w:rsidRDefault="008518D2" w:rsidP="003A75B8">
            <w:pPr>
              <w:spacing w:before="40" w:after="40" w:line="220" w:lineRule="exact"/>
              <w:jc w:val="right"/>
              <w:rPr>
                <w:sz w:val="18"/>
                <w:szCs w:val="18"/>
              </w:rPr>
            </w:pPr>
            <w:r w:rsidRPr="003A75B8">
              <w:rPr>
                <w:sz w:val="18"/>
                <w:szCs w:val="18"/>
              </w:rPr>
              <w:t>8,8</w:t>
            </w:r>
          </w:p>
        </w:tc>
        <w:tc>
          <w:tcPr>
            <w:tcW w:w="736" w:type="dxa"/>
            <w:shd w:val="clear" w:color="auto" w:fill="auto"/>
            <w:vAlign w:val="bottom"/>
          </w:tcPr>
          <w:p w14:paraId="349DB5D9" w14:textId="77777777" w:rsidR="008518D2" w:rsidRPr="003A75B8" w:rsidRDefault="008518D2" w:rsidP="003A75B8">
            <w:pPr>
              <w:spacing w:before="40" w:after="40" w:line="220" w:lineRule="exact"/>
              <w:jc w:val="right"/>
              <w:rPr>
                <w:sz w:val="18"/>
                <w:szCs w:val="18"/>
              </w:rPr>
            </w:pPr>
            <w:r w:rsidRPr="003A75B8">
              <w:rPr>
                <w:sz w:val="18"/>
                <w:szCs w:val="18"/>
              </w:rPr>
              <w:t>7,4</w:t>
            </w:r>
          </w:p>
        </w:tc>
        <w:tc>
          <w:tcPr>
            <w:tcW w:w="736" w:type="dxa"/>
            <w:shd w:val="clear" w:color="auto" w:fill="auto"/>
            <w:vAlign w:val="bottom"/>
          </w:tcPr>
          <w:p w14:paraId="2156169B" w14:textId="77777777" w:rsidR="008518D2" w:rsidRPr="003A75B8" w:rsidRDefault="008518D2" w:rsidP="003A75B8">
            <w:pPr>
              <w:spacing w:before="40" w:after="40" w:line="220" w:lineRule="exact"/>
              <w:jc w:val="right"/>
              <w:rPr>
                <w:sz w:val="18"/>
                <w:szCs w:val="18"/>
              </w:rPr>
            </w:pPr>
            <w:r w:rsidRPr="003A75B8">
              <w:rPr>
                <w:sz w:val="18"/>
                <w:szCs w:val="18"/>
              </w:rPr>
              <w:t>9,4</w:t>
            </w:r>
          </w:p>
        </w:tc>
        <w:tc>
          <w:tcPr>
            <w:tcW w:w="736" w:type="dxa"/>
            <w:shd w:val="clear" w:color="auto" w:fill="auto"/>
            <w:vAlign w:val="bottom"/>
          </w:tcPr>
          <w:p w14:paraId="7EAE0ACD" w14:textId="77777777" w:rsidR="008518D2" w:rsidRPr="003A75B8" w:rsidRDefault="008518D2" w:rsidP="003A75B8">
            <w:pPr>
              <w:spacing w:before="40" w:after="40" w:line="220" w:lineRule="exact"/>
              <w:jc w:val="right"/>
              <w:rPr>
                <w:sz w:val="18"/>
                <w:szCs w:val="18"/>
              </w:rPr>
            </w:pPr>
            <w:r w:rsidRPr="003A75B8">
              <w:rPr>
                <w:sz w:val="18"/>
                <w:szCs w:val="18"/>
              </w:rPr>
              <w:t>9,8</w:t>
            </w:r>
          </w:p>
        </w:tc>
        <w:tc>
          <w:tcPr>
            <w:tcW w:w="736" w:type="dxa"/>
            <w:shd w:val="clear" w:color="auto" w:fill="auto"/>
            <w:vAlign w:val="bottom"/>
          </w:tcPr>
          <w:p w14:paraId="75E15A26" w14:textId="77777777" w:rsidR="008518D2" w:rsidRPr="003A75B8" w:rsidRDefault="008518D2" w:rsidP="003A75B8">
            <w:pPr>
              <w:spacing w:before="40" w:after="40" w:line="220" w:lineRule="exact"/>
              <w:jc w:val="right"/>
              <w:rPr>
                <w:sz w:val="18"/>
                <w:szCs w:val="18"/>
              </w:rPr>
            </w:pPr>
            <w:r w:rsidRPr="003A75B8">
              <w:rPr>
                <w:sz w:val="18"/>
                <w:szCs w:val="18"/>
              </w:rPr>
              <w:t>6,4</w:t>
            </w:r>
          </w:p>
        </w:tc>
        <w:tc>
          <w:tcPr>
            <w:tcW w:w="736" w:type="dxa"/>
            <w:shd w:val="clear" w:color="auto" w:fill="auto"/>
            <w:vAlign w:val="bottom"/>
          </w:tcPr>
          <w:p w14:paraId="614C516C" w14:textId="77777777" w:rsidR="008518D2" w:rsidRPr="003A75B8" w:rsidRDefault="008518D2" w:rsidP="003A75B8">
            <w:pPr>
              <w:spacing w:before="40" w:after="40" w:line="220" w:lineRule="exact"/>
              <w:jc w:val="right"/>
              <w:rPr>
                <w:sz w:val="18"/>
                <w:szCs w:val="18"/>
              </w:rPr>
            </w:pPr>
            <w:r w:rsidRPr="003A75B8">
              <w:rPr>
                <w:sz w:val="18"/>
                <w:szCs w:val="18"/>
              </w:rPr>
              <w:t>6,7</w:t>
            </w:r>
          </w:p>
        </w:tc>
        <w:tc>
          <w:tcPr>
            <w:tcW w:w="736" w:type="dxa"/>
            <w:shd w:val="clear" w:color="auto" w:fill="auto"/>
            <w:vAlign w:val="bottom"/>
          </w:tcPr>
          <w:p w14:paraId="47DC928C" w14:textId="77777777" w:rsidR="008518D2" w:rsidRPr="003A75B8" w:rsidRDefault="008518D2" w:rsidP="003A75B8">
            <w:pPr>
              <w:spacing w:before="40" w:after="40" w:line="220" w:lineRule="exact"/>
              <w:jc w:val="right"/>
              <w:rPr>
                <w:sz w:val="18"/>
                <w:szCs w:val="18"/>
              </w:rPr>
            </w:pPr>
            <w:r w:rsidRPr="003A75B8">
              <w:rPr>
                <w:sz w:val="18"/>
                <w:szCs w:val="18"/>
              </w:rPr>
              <w:t>8,9</w:t>
            </w:r>
          </w:p>
        </w:tc>
      </w:tr>
      <w:tr w:rsidR="008518D2" w:rsidRPr="00A14BE7" w14:paraId="49260555" w14:textId="77777777" w:rsidTr="00765F9E">
        <w:tc>
          <w:tcPr>
            <w:tcW w:w="2216" w:type="dxa"/>
            <w:shd w:val="clear" w:color="auto" w:fill="auto"/>
          </w:tcPr>
          <w:p w14:paraId="2CCB773F"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14AA6F1A" w14:textId="77777777" w:rsidR="008518D2" w:rsidRPr="003A75B8" w:rsidRDefault="008518D2" w:rsidP="003A75B8">
            <w:pPr>
              <w:spacing w:before="40" w:after="40" w:line="220" w:lineRule="exact"/>
              <w:jc w:val="right"/>
              <w:rPr>
                <w:sz w:val="18"/>
                <w:szCs w:val="18"/>
              </w:rPr>
            </w:pPr>
            <w:r w:rsidRPr="003A75B8">
              <w:rPr>
                <w:sz w:val="18"/>
                <w:szCs w:val="18"/>
              </w:rPr>
              <w:t>33,3</w:t>
            </w:r>
          </w:p>
        </w:tc>
        <w:tc>
          <w:tcPr>
            <w:tcW w:w="736" w:type="dxa"/>
            <w:shd w:val="clear" w:color="auto" w:fill="auto"/>
            <w:vAlign w:val="bottom"/>
          </w:tcPr>
          <w:p w14:paraId="6974E94C" w14:textId="77777777" w:rsidR="008518D2" w:rsidRPr="003A75B8" w:rsidRDefault="008518D2" w:rsidP="003A75B8">
            <w:pPr>
              <w:spacing w:before="40" w:after="40" w:line="220" w:lineRule="exact"/>
              <w:jc w:val="right"/>
              <w:rPr>
                <w:sz w:val="18"/>
                <w:szCs w:val="18"/>
              </w:rPr>
            </w:pPr>
            <w:r w:rsidRPr="003A75B8">
              <w:rPr>
                <w:sz w:val="18"/>
                <w:szCs w:val="18"/>
              </w:rPr>
              <w:t>37,8</w:t>
            </w:r>
          </w:p>
        </w:tc>
        <w:tc>
          <w:tcPr>
            <w:tcW w:w="736" w:type="dxa"/>
            <w:shd w:val="clear" w:color="auto" w:fill="auto"/>
            <w:vAlign w:val="bottom"/>
          </w:tcPr>
          <w:p w14:paraId="4526F2EF" w14:textId="77777777" w:rsidR="008518D2" w:rsidRPr="003A75B8" w:rsidRDefault="008518D2" w:rsidP="003A75B8">
            <w:pPr>
              <w:spacing w:before="40" w:after="40" w:line="220" w:lineRule="exact"/>
              <w:jc w:val="right"/>
              <w:rPr>
                <w:sz w:val="18"/>
                <w:szCs w:val="18"/>
              </w:rPr>
            </w:pPr>
            <w:r w:rsidRPr="003A75B8">
              <w:rPr>
                <w:sz w:val="18"/>
                <w:szCs w:val="18"/>
              </w:rPr>
              <w:t>34,7</w:t>
            </w:r>
          </w:p>
        </w:tc>
        <w:tc>
          <w:tcPr>
            <w:tcW w:w="736" w:type="dxa"/>
            <w:shd w:val="clear" w:color="auto" w:fill="auto"/>
            <w:vAlign w:val="bottom"/>
          </w:tcPr>
          <w:p w14:paraId="02428B00" w14:textId="77777777" w:rsidR="008518D2" w:rsidRPr="003A75B8" w:rsidRDefault="008518D2" w:rsidP="003A75B8">
            <w:pPr>
              <w:spacing w:before="40" w:after="40" w:line="220" w:lineRule="exact"/>
              <w:jc w:val="right"/>
              <w:rPr>
                <w:sz w:val="18"/>
                <w:szCs w:val="18"/>
              </w:rPr>
            </w:pPr>
            <w:r w:rsidRPr="003A75B8">
              <w:rPr>
                <w:sz w:val="18"/>
                <w:szCs w:val="18"/>
              </w:rPr>
              <w:t>34,9</w:t>
            </w:r>
          </w:p>
        </w:tc>
        <w:tc>
          <w:tcPr>
            <w:tcW w:w="736" w:type="dxa"/>
            <w:shd w:val="clear" w:color="auto" w:fill="auto"/>
            <w:vAlign w:val="bottom"/>
          </w:tcPr>
          <w:p w14:paraId="4DDB401D" w14:textId="77777777" w:rsidR="008518D2" w:rsidRPr="003A75B8" w:rsidRDefault="008518D2" w:rsidP="003A75B8">
            <w:pPr>
              <w:spacing w:before="40" w:after="40" w:line="220" w:lineRule="exact"/>
              <w:jc w:val="right"/>
              <w:rPr>
                <w:sz w:val="18"/>
                <w:szCs w:val="18"/>
              </w:rPr>
            </w:pPr>
            <w:r w:rsidRPr="003A75B8">
              <w:rPr>
                <w:sz w:val="18"/>
                <w:szCs w:val="18"/>
              </w:rPr>
              <w:t>38,2</w:t>
            </w:r>
          </w:p>
        </w:tc>
        <w:tc>
          <w:tcPr>
            <w:tcW w:w="736" w:type="dxa"/>
            <w:shd w:val="clear" w:color="auto" w:fill="auto"/>
            <w:vAlign w:val="bottom"/>
          </w:tcPr>
          <w:p w14:paraId="6F376C74" w14:textId="77777777" w:rsidR="008518D2" w:rsidRPr="003A75B8" w:rsidRDefault="008518D2" w:rsidP="003A75B8">
            <w:pPr>
              <w:spacing w:before="40" w:after="40" w:line="220" w:lineRule="exact"/>
              <w:jc w:val="right"/>
              <w:rPr>
                <w:sz w:val="18"/>
                <w:szCs w:val="18"/>
              </w:rPr>
            </w:pPr>
            <w:r w:rsidRPr="003A75B8">
              <w:rPr>
                <w:sz w:val="18"/>
                <w:szCs w:val="18"/>
              </w:rPr>
              <w:t>40,3</w:t>
            </w:r>
          </w:p>
        </w:tc>
        <w:tc>
          <w:tcPr>
            <w:tcW w:w="736" w:type="dxa"/>
            <w:shd w:val="clear" w:color="auto" w:fill="auto"/>
            <w:vAlign w:val="bottom"/>
          </w:tcPr>
          <w:p w14:paraId="3C489FC4" w14:textId="77777777" w:rsidR="008518D2" w:rsidRPr="003A75B8" w:rsidRDefault="008518D2" w:rsidP="003A75B8">
            <w:pPr>
              <w:spacing w:before="40" w:after="40" w:line="220" w:lineRule="exact"/>
              <w:jc w:val="right"/>
              <w:rPr>
                <w:sz w:val="18"/>
                <w:szCs w:val="18"/>
              </w:rPr>
            </w:pPr>
            <w:r w:rsidRPr="003A75B8">
              <w:rPr>
                <w:sz w:val="18"/>
                <w:szCs w:val="18"/>
              </w:rPr>
              <w:t>34,9</w:t>
            </w:r>
          </w:p>
        </w:tc>
      </w:tr>
      <w:tr w:rsidR="008518D2" w:rsidRPr="00A14BE7" w14:paraId="7D0BDAF3" w14:textId="77777777" w:rsidTr="00765F9E">
        <w:tc>
          <w:tcPr>
            <w:tcW w:w="7370" w:type="dxa"/>
            <w:gridSpan w:val="8"/>
            <w:shd w:val="clear" w:color="auto" w:fill="auto"/>
          </w:tcPr>
          <w:p w14:paraId="52A773A1" w14:textId="77777777" w:rsidR="008518D2" w:rsidRPr="003A75B8" w:rsidRDefault="008518D2" w:rsidP="003A75B8">
            <w:pPr>
              <w:spacing w:before="40" w:after="40" w:line="220" w:lineRule="exact"/>
              <w:rPr>
                <w:sz w:val="18"/>
                <w:szCs w:val="18"/>
              </w:rPr>
            </w:pPr>
            <w:r w:rsidRPr="003A75B8">
              <w:rPr>
                <w:b/>
                <w:bCs/>
                <w:sz w:val="18"/>
                <w:szCs w:val="18"/>
                <w:lang w:val="fr-FR" w:eastAsia="en-IE"/>
              </w:rPr>
              <w:t>Personnes âgées de 25 à 64 ans</w:t>
            </w:r>
          </w:p>
        </w:tc>
      </w:tr>
      <w:tr w:rsidR="008518D2" w:rsidRPr="008518D2" w14:paraId="6587D26F" w14:textId="77777777" w:rsidTr="00765F9E">
        <w:tc>
          <w:tcPr>
            <w:tcW w:w="7370" w:type="dxa"/>
            <w:gridSpan w:val="8"/>
            <w:shd w:val="clear" w:color="auto" w:fill="auto"/>
          </w:tcPr>
          <w:p w14:paraId="4ADB98F5" w14:textId="77777777" w:rsidR="008518D2" w:rsidRPr="003A75B8" w:rsidRDefault="008518D2" w:rsidP="003A75B8">
            <w:pPr>
              <w:spacing w:before="40" w:after="40" w:line="220" w:lineRule="exact"/>
              <w:rPr>
                <w:sz w:val="18"/>
                <w:szCs w:val="18"/>
              </w:rPr>
            </w:pPr>
            <w:r w:rsidRPr="003A75B8">
              <w:rPr>
                <w:b/>
                <w:bCs/>
                <w:sz w:val="18"/>
                <w:szCs w:val="18"/>
                <w:lang w:val="fr-FR" w:eastAsia="en-IE"/>
              </w:rPr>
              <w:t>Personnes âgées de 25 à 64 ans n</w:t>
            </w:r>
            <w:r w:rsidR="00784444">
              <w:rPr>
                <w:b/>
                <w:bCs/>
                <w:sz w:val="18"/>
                <w:szCs w:val="18"/>
                <w:lang w:val="fr-FR" w:eastAsia="en-IE"/>
              </w:rPr>
              <w:t>’</w:t>
            </w:r>
            <w:r w:rsidRPr="003A75B8">
              <w:rPr>
                <w:b/>
                <w:bCs/>
                <w:sz w:val="18"/>
                <w:szCs w:val="18"/>
                <w:lang w:val="fr-FR" w:eastAsia="en-IE"/>
              </w:rPr>
              <w:t xml:space="preserve">ayant pas obtenu de titre plus élevé que le certificat </w:t>
            </w:r>
            <w:r w:rsidR="00765F9E">
              <w:rPr>
                <w:b/>
                <w:bCs/>
                <w:sz w:val="18"/>
                <w:szCs w:val="18"/>
                <w:lang w:val="fr-FR" w:eastAsia="en-IE"/>
              </w:rPr>
              <w:br/>
            </w:r>
            <w:r w:rsidRPr="003A75B8">
              <w:rPr>
                <w:b/>
                <w:bCs/>
                <w:sz w:val="18"/>
                <w:szCs w:val="18"/>
                <w:lang w:val="fr-FR" w:eastAsia="en-IE"/>
              </w:rPr>
              <w:t>du premier cycle de l</w:t>
            </w:r>
            <w:r w:rsidR="00784444">
              <w:rPr>
                <w:b/>
                <w:bCs/>
                <w:sz w:val="18"/>
                <w:szCs w:val="18"/>
                <w:lang w:val="fr-FR" w:eastAsia="en-IE"/>
              </w:rPr>
              <w:t>’</w:t>
            </w:r>
            <w:r w:rsidRPr="003A75B8">
              <w:rPr>
                <w:b/>
                <w:bCs/>
                <w:sz w:val="18"/>
                <w:szCs w:val="18"/>
                <w:lang w:val="fr-FR" w:eastAsia="en-IE"/>
              </w:rPr>
              <w:t>enseignement secondaire</w:t>
            </w:r>
          </w:p>
        </w:tc>
      </w:tr>
      <w:tr w:rsidR="008518D2" w:rsidRPr="00A14BE7" w14:paraId="1FFD7A54" w14:textId="77777777" w:rsidTr="00765F9E">
        <w:tc>
          <w:tcPr>
            <w:tcW w:w="2216" w:type="dxa"/>
            <w:shd w:val="clear" w:color="auto" w:fill="auto"/>
          </w:tcPr>
          <w:p w14:paraId="26A0C797" w14:textId="77777777" w:rsidR="008518D2" w:rsidRPr="003A75B8" w:rsidRDefault="008518D2" w:rsidP="003A75B8">
            <w:pPr>
              <w:spacing w:before="40" w:after="40" w:line="220" w:lineRule="exact"/>
              <w:rPr>
                <w:sz w:val="18"/>
                <w:szCs w:val="18"/>
              </w:rPr>
            </w:pPr>
            <w:r w:rsidRPr="003A75B8">
              <w:rPr>
                <w:b/>
                <w:bCs/>
                <w:sz w:val="18"/>
                <w:szCs w:val="18"/>
                <w:lang w:val="fr-FR" w:eastAsia="en-IE"/>
              </w:rPr>
              <w:t>Hommes</w:t>
            </w:r>
          </w:p>
        </w:tc>
        <w:tc>
          <w:tcPr>
            <w:tcW w:w="738" w:type="dxa"/>
            <w:shd w:val="clear" w:color="auto" w:fill="auto"/>
            <w:vAlign w:val="bottom"/>
          </w:tcPr>
          <w:p w14:paraId="0115A87A"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36ED01C6"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3D69DE46"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21810477"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D950552"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08FA0E8F"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7C0D297C" w14:textId="77777777" w:rsidR="008518D2" w:rsidRPr="003A75B8" w:rsidRDefault="008518D2" w:rsidP="003A75B8">
            <w:pPr>
              <w:spacing w:before="40" w:after="40" w:line="220" w:lineRule="exact"/>
              <w:jc w:val="right"/>
              <w:rPr>
                <w:sz w:val="18"/>
                <w:szCs w:val="18"/>
              </w:rPr>
            </w:pPr>
          </w:p>
        </w:tc>
      </w:tr>
      <w:tr w:rsidR="008518D2" w:rsidRPr="00A14BE7" w14:paraId="6A7B154E" w14:textId="77777777" w:rsidTr="00765F9E">
        <w:tc>
          <w:tcPr>
            <w:tcW w:w="2216" w:type="dxa"/>
            <w:shd w:val="clear" w:color="auto" w:fill="auto"/>
          </w:tcPr>
          <w:p w14:paraId="5A4A9ACB"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7B213303" w14:textId="77777777" w:rsidR="008518D2" w:rsidRPr="003A75B8" w:rsidRDefault="008518D2" w:rsidP="003A75B8">
            <w:pPr>
              <w:spacing w:before="40" w:after="40" w:line="220" w:lineRule="exact"/>
              <w:jc w:val="right"/>
              <w:rPr>
                <w:sz w:val="18"/>
                <w:szCs w:val="18"/>
              </w:rPr>
            </w:pPr>
            <w:r w:rsidRPr="003A75B8">
              <w:rPr>
                <w:sz w:val="18"/>
                <w:szCs w:val="18"/>
              </w:rPr>
              <w:t>62,3</w:t>
            </w:r>
          </w:p>
        </w:tc>
        <w:tc>
          <w:tcPr>
            <w:tcW w:w="736" w:type="dxa"/>
            <w:shd w:val="clear" w:color="auto" w:fill="auto"/>
            <w:vAlign w:val="bottom"/>
          </w:tcPr>
          <w:p w14:paraId="43AEEF0E" w14:textId="77777777" w:rsidR="008518D2" w:rsidRPr="003A75B8" w:rsidRDefault="008518D2" w:rsidP="003A75B8">
            <w:pPr>
              <w:spacing w:before="40" w:after="40" w:line="220" w:lineRule="exact"/>
              <w:jc w:val="right"/>
              <w:rPr>
                <w:sz w:val="18"/>
                <w:szCs w:val="18"/>
              </w:rPr>
            </w:pPr>
            <w:r w:rsidRPr="003A75B8">
              <w:rPr>
                <w:sz w:val="18"/>
                <w:szCs w:val="18"/>
              </w:rPr>
              <w:t>62,4</w:t>
            </w:r>
          </w:p>
        </w:tc>
        <w:tc>
          <w:tcPr>
            <w:tcW w:w="736" w:type="dxa"/>
            <w:shd w:val="clear" w:color="auto" w:fill="auto"/>
            <w:vAlign w:val="bottom"/>
          </w:tcPr>
          <w:p w14:paraId="2915B465" w14:textId="77777777" w:rsidR="008518D2" w:rsidRPr="003A75B8" w:rsidRDefault="008518D2" w:rsidP="003A75B8">
            <w:pPr>
              <w:spacing w:before="40" w:after="40" w:line="220" w:lineRule="exact"/>
              <w:jc w:val="right"/>
              <w:rPr>
                <w:sz w:val="18"/>
                <w:szCs w:val="18"/>
              </w:rPr>
            </w:pPr>
            <w:r w:rsidRPr="003A75B8">
              <w:rPr>
                <w:sz w:val="18"/>
                <w:szCs w:val="18"/>
              </w:rPr>
              <w:t>61,8</w:t>
            </w:r>
          </w:p>
        </w:tc>
        <w:tc>
          <w:tcPr>
            <w:tcW w:w="736" w:type="dxa"/>
            <w:shd w:val="clear" w:color="auto" w:fill="auto"/>
            <w:vAlign w:val="bottom"/>
          </w:tcPr>
          <w:p w14:paraId="40B64508" w14:textId="77777777" w:rsidR="008518D2" w:rsidRPr="003A75B8" w:rsidRDefault="008518D2" w:rsidP="003A75B8">
            <w:pPr>
              <w:spacing w:before="40" w:after="40" w:line="220" w:lineRule="exact"/>
              <w:jc w:val="right"/>
              <w:rPr>
                <w:sz w:val="18"/>
                <w:szCs w:val="18"/>
              </w:rPr>
            </w:pPr>
            <w:r w:rsidRPr="003A75B8">
              <w:rPr>
                <w:sz w:val="18"/>
                <w:szCs w:val="18"/>
              </w:rPr>
              <w:t>63,5</w:t>
            </w:r>
          </w:p>
        </w:tc>
        <w:tc>
          <w:tcPr>
            <w:tcW w:w="736" w:type="dxa"/>
            <w:shd w:val="clear" w:color="auto" w:fill="auto"/>
            <w:vAlign w:val="bottom"/>
          </w:tcPr>
          <w:p w14:paraId="2B83228B" w14:textId="77777777" w:rsidR="008518D2" w:rsidRPr="003A75B8" w:rsidRDefault="008518D2" w:rsidP="003A75B8">
            <w:pPr>
              <w:spacing w:before="40" w:after="40" w:line="220" w:lineRule="exact"/>
              <w:jc w:val="right"/>
              <w:rPr>
                <w:sz w:val="18"/>
                <w:szCs w:val="18"/>
              </w:rPr>
            </w:pPr>
            <w:r w:rsidRPr="003A75B8">
              <w:rPr>
                <w:sz w:val="18"/>
                <w:szCs w:val="18"/>
              </w:rPr>
              <w:t>63,9</w:t>
            </w:r>
          </w:p>
        </w:tc>
        <w:tc>
          <w:tcPr>
            <w:tcW w:w="736" w:type="dxa"/>
            <w:shd w:val="clear" w:color="auto" w:fill="auto"/>
            <w:vAlign w:val="bottom"/>
          </w:tcPr>
          <w:p w14:paraId="60D0F1C8" w14:textId="77777777" w:rsidR="008518D2" w:rsidRPr="003A75B8" w:rsidRDefault="008518D2" w:rsidP="003A75B8">
            <w:pPr>
              <w:spacing w:before="40" w:after="40" w:line="220" w:lineRule="exact"/>
              <w:jc w:val="right"/>
              <w:rPr>
                <w:sz w:val="18"/>
                <w:szCs w:val="18"/>
              </w:rPr>
            </w:pPr>
            <w:r w:rsidRPr="003A75B8">
              <w:rPr>
                <w:sz w:val="18"/>
                <w:szCs w:val="18"/>
              </w:rPr>
              <w:t>63,0</w:t>
            </w:r>
          </w:p>
        </w:tc>
        <w:tc>
          <w:tcPr>
            <w:tcW w:w="736" w:type="dxa"/>
            <w:shd w:val="clear" w:color="auto" w:fill="auto"/>
            <w:vAlign w:val="bottom"/>
          </w:tcPr>
          <w:p w14:paraId="4AD863D7" w14:textId="77777777" w:rsidR="008518D2" w:rsidRPr="003A75B8" w:rsidRDefault="008518D2" w:rsidP="003A75B8">
            <w:pPr>
              <w:spacing w:before="40" w:after="40" w:line="220" w:lineRule="exact"/>
              <w:jc w:val="right"/>
              <w:rPr>
                <w:sz w:val="18"/>
                <w:szCs w:val="18"/>
              </w:rPr>
            </w:pPr>
            <w:r w:rsidRPr="003A75B8">
              <w:rPr>
                <w:sz w:val="18"/>
                <w:szCs w:val="18"/>
              </w:rPr>
              <w:t>64,9</w:t>
            </w:r>
          </w:p>
        </w:tc>
      </w:tr>
      <w:tr w:rsidR="008518D2" w:rsidRPr="00A14BE7" w14:paraId="2C9F0111" w14:textId="77777777" w:rsidTr="00765F9E">
        <w:tc>
          <w:tcPr>
            <w:tcW w:w="2216" w:type="dxa"/>
            <w:shd w:val="clear" w:color="auto" w:fill="auto"/>
          </w:tcPr>
          <w:p w14:paraId="0EED4840"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3FF97CD7" w14:textId="77777777" w:rsidR="008518D2" w:rsidRPr="003A75B8" w:rsidRDefault="008518D2" w:rsidP="003A75B8">
            <w:pPr>
              <w:spacing w:before="40" w:after="40" w:line="220" w:lineRule="exact"/>
              <w:jc w:val="right"/>
              <w:rPr>
                <w:sz w:val="18"/>
                <w:szCs w:val="18"/>
              </w:rPr>
            </w:pPr>
            <w:r w:rsidRPr="003A75B8">
              <w:rPr>
                <w:sz w:val="18"/>
                <w:szCs w:val="18"/>
              </w:rPr>
              <w:t>9,1</w:t>
            </w:r>
          </w:p>
        </w:tc>
        <w:tc>
          <w:tcPr>
            <w:tcW w:w="736" w:type="dxa"/>
            <w:shd w:val="clear" w:color="auto" w:fill="auto"/>
            <w:vAlign w:val="bottom"/>
          </w:tcPr>
          <w:p w14:paraId="613729C8" w14:textId="77777777" w:rsidR="008518D2" w:rsidRPr="003A75B8" w:rsidRDefault="008518D2" w:rsidP="003A75B8">
            <w:pPr>
              <w:spacing w:before="40" w:after="40" w:line="220" w:lineRule="exact"/>
              <w:jc w:val="right"/>
              <w:rPr>
                <w:sz w:val="18"/>
                <w:szCs w:val="18"/>
              </w:rPr>
            </w:pPr>
            <w:r w:rsidRPr="003A75B8">
              <w:rPr>
                <w:sz w:val="18"/>
                <w:szCs w:val="18"/>
              </w:rPr>
              <w:t>8,5</w:t>
            </w:r>
          </w:p>
        </w:tc>
        <w:tc>
          <w:tcPr>
            <w:tcW w:w="736" w:type="dxa"/>
            <w:shd w:val="clear" w:color="auto" w:fill="auto"/>
            <w:vAlign w:val="bottom"/>
          </w:tcPr>
          <w:p w14:paraId="1C4ACA28" w14:textId="77777777" w:rsidR="008518D2" w:rsidRPr="003A75B8" w:rsidRDefault="008518D2" w:rsidP="003A75B8">
            <w:pPr>
              <w:spacing w:before="40" w:after="40" w:line="220" w:lineRule="exact"/>
              <w:jc w:val="right"/>
              <w:rPr>
                <w:sz w:val="18"/>
                <w:szCs w:val="18"/>
              </w:rPr>
            </w:pPr>
            <w:r w:rsidRPr="003A75B8">
              <w:rPr>
                <w:sz w:val="18"/>
                <w:szCs w:val="18"/>
              </w:rPr>
              <w:t>8,4</w:t>
            </w:r>
          </w:p>
        </w:tc>
        <w:tc>
          <w:tcPr>
            <w:tcW w:w="736" w:type="dxa"/>
            <w:shd w:val="clear" w:color="auto" w:fill="auto"/>
            <w:vAlign w:val="bottom"/>
          </w:tcPr>
          <w:p w14:paraId="7C3A149A" w14:textId="77777777" w:rsidR="008518D2" w:rsidRPr="003A75B8" w:rsidRDefault="008518D2" w:rsidP="003A75B8">
            <w:pPr>
              <w:spacing w:before="40" w:after="40" w:line="220" w:lineRule="exact"/>
              <w:jc w:val="right"/>
              <w:rPr>
                <w:sz w:val="18"/>
                <w:szCs w:val="18"/>
              </w:rPr>
            </w:pPr>
            <w:r w:rsidRPr="003A75B8">
              <w:rPr>
                <w:sz w:val="18"/>
                <w:szCs w:val="18"/>
              </w:rPr>
              <w:t>7,6</w:t>
            </w:r>
          </w:p>
        </w:tc>
        <w:tc>
          <w:tcPr>
            <w:tcW w:w="736" w:type="dxa"/>
            <w:shd w:val="clear" w:color="auto" w:fill="auto"/>
            <w:vAlign w:val="bottom"/>
          </w:tcPr>
          <w:p w14:paraId="5B35615D" w14:textId="77777777" w:rsidR="008518D2" w:rsidRPr="003A75B8" w:rsidRDefault="008518D2" w:rsidP="003A75B8">
            <w:pPr>
              <w:spacing w:before="40" w:after="40" w:line="220" w:lineRule="exact"/>
              <w:jc w:val="right"/>
              <w:rPr>
                <w:sz w:val="18"/>
                <w:szCs w:val="18"/>
              </w:rPr>
            </w:pPr>
            <w:r w:rsidRPr="003A75B8">
              <w:rPr>
                <w:sz w:val="18"/>
                <w:szCs w:val="18"/>
              </w:rPr>
              <w:t>7,4</w:t>
            </w:r>
          </w:p>
        </w:tc>
        <w:tc>
          <w:tcPr>
            <w:tcW w:w="736" w:type="dxa"/>
            <w:shd w:val="clear" w:color="auto" w:fill="auto"/>
            <w:vAlign w:val="bottom"/>
          </w:tcPr>
          <w:p w14:paraId="29E50BB9" w14:textId="77777777" w:rsidR="008518D2" w:rsidRPr="003A75B8" w:rsidRDefault="008518D2" w:rsidP="003A75B8">
            <w:pPr>
              <w:spacing w:before="40" w:after="40" w:line="220" w:lineRule="exact"/>
              <w:jc w:val="right"/>
              <w:rPr>
                <w:sz w:val="18"/>
                <w:szCs w:val="18"/>
              </w:rPr>
            </w:pPr>
            <w:r w:rsidRPr="003A75B8">
              <w:rPr>
                <w:sz w:val="18"/>
                <w:szCs w:val="18"/>
              </w:rPr>
              <w:t>7,0</w:t>
            </w:r>
          </w:p>
        </w:tc>
        <w:tc>
          <w:tcPr>
            <w:tcW w:w="736" w:type="dxa"/>
            <w:shd w:val="clear" w:color="auto" w:fill="auto"/>
            <w:vAlign w:val="bottom"/>
          </w:tcPr>
          <w:p w14:paraId="52FF7100" w14:textId="77777777" w:rsidR="008518D2" w:rsidRPr="003A75B8" w:rsidRDefault="008518D2" w:rsidP="003A75B8">
            <w:pPr>
              <w:spacing w:before="40" w:after="40" w:line="220" w:lineRule="exact"/>
              <w:jc w:val="right"/>
              <w:rPr>
                <w:sz w:val="18"/>
                <w:szCs w:val="18"/>
              </w:rPr>
            </w:pPr>
            <w:r w:rsidRPr="003A75B8">
              <w:rPr>
                <w:sz w:val="18"/>
                <w:szCs w:val="18"/>
              </w:rPr>
              <w:t>5,8</w:t>
            </w:r>
          </w:p>
        </w:tc>
      </w:tr>
      <w:tr w:rsidR="008518D2" w:rsidRPr="00A14BE7" w14:paraId="41245268" w14:textId="77777777" w:rsidTr="00765F9E">
        <w:tc>
          <w:tcPr>
            <w:tcW w:w="2216" w:type="dxa"/>
            <w:shd w:val="clear" w:color="auto" w:fill="auto"/>
          </w:tcPr>
          <w:p w14:paraId="6AF8AA83"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60B24C6A" w14:textId="77777777" w:rsidR="008518D2" w:rsidRPr="003A75B8" w:rsidRDefault="008518D2" w:rsidP="003A75B8">
            <w:pPr>
              <w:spacing w:before="40" w:after="40" w:line="220" w:lineRule="exact"/>
              <w:jc w:val="right"/>
              <w:rPr>
                <w:sz w:val="18"/>
                <w:szCs w:val="18"/>
              </w:rPr>
            </w:pPr>
            <w:r w:rsidRPr="003A75B8">
              <w:rPr>
                <w:sz w:val="18"/>
                <w:szCs w:val="18"/>
              </w:rPr>
              <w:t>28,6</w:t>
            </w:r>
          </w:p>
        </w:tc>
        <w:tc>
          <w:tcPr>
            <w:tcW w:w="736" w:type="dxa"/>
            <w:shd w:val="clear" w:color="auto" w:fill="auto"/>
            <w:vAlign w:val="bottom"/>
          </w:tcPr>
          <w:p w14:paraId="332A5CD8" w14:textId="77777777" w:rsidR="008518D2" w:rsidRPr="003A75B8" w:rsidRDefault="008518D2" w:rsidP="003A75B8">
            <w:pPr>
              <w:spacing w:before="40" w:after="40" w:line="220" w:lineRule="exact"/>
              <w:jc w:val="right"/>
              <w:rPr>
                <w:sz w:val="18"/>
                <w:szCs w:val="18"/>
              </w:rPr>
            </w:pPr>
            <w:r w:rsidRPr="003A75B8">
              <w:rPr>
                <w:sz w:val="18"/>
                <w:szCs w:val="18"/>
              </w:rPr>
              <w:t>29,0</w:t>
            </w:r>
          </w:p>
        </w:tc>
        <w:tc>
          <w:tcPr>
            <w:tcW w:w="736" w:type="dxa"/>
            <w:shd w:val="clear" w:color="auto" w:fill="auto"/>
            <w:vAlign w:val="bottom"/>
          </w:tcPr>
          <w:p w14:paraId="7B38983E" w14:textId="77777777" w:rsidR="008518D2" w:rsidRPr="003A75B8" w:rsidRDefault="008518D2" w:rsidP="003A75B8">
            <w:pPr>
              <w:spacing w:before="40" w:after="40" w:line="220" w:lineRule="exact"/>
              <w:jc w:val="right"/>
              <w:rPr>
                <w:sz w:val="18"/>
                <w:szCs w:val="18"/>
              </w:rPr>
            </w:pPr>
            <w:r w:rsidRPr="003A75B8">
              <w:rPr>
                <w:sz w:val="18"/>
                <w:szCs w:val="18"/>
              </w:rPr>
              <w:t>29,8</w:t>
            </w:r>
          </w:p>
        </w:tc>
        <w:tc>
          <w:tcPr>
            <w:tcW w:w="736" w:type="dxa"/>
            <w:shd w:val="clear" w:color="auto" w:fill="auto"/>
            <w:vAlign w:val="bottom"/>
          </w:tcPr>
          <w:p w14:paraId="45357131" w14:textId="77777777" w:rsidR="008518D2" w:rsidRPr="003A75B8" w:rsidRDefault="008518D2" w:rsidP="003A75B8">
            <w:pPr>
              <w:spacing w:before="40" w:after="40" w:line="220" w:lineRule="exact"/>
              <w:jc w:val="right"/>
              <w:rPr>
                <w:sz w:val="18"/>
                <w:szCs w:val="18"/>
              </w:rPr>
            </w:pPr>
            <w:r w:rsidRPr="003A75B8">
              <w:rPr>
                <w:sz w:val="18"/>
                <w:szCs w:val="18"/>
              </w:rPr>
              <w:t>28,9</w:t>
            </w:r>
          </w:p>
        </w:tc>
        <w:tc>
          <w:tcPr>
            <w:tcW w:w="736" w:type="dxa"/>
            <w:shd w:val="clear" w:color="auto" w:fill="auto"/>
            <w:vAlign w:val="bottom"/>
          </w:tcPr>
          <w:p w14:paraId="2E444995" w14:textId="77777777" w:rsidR="008518D2" w:rsidRPr="003A75B8" w:rsidRDefault="008518D2" w:rsidP="003A75B8">
            <w:pPr>
              <w:spacing w:before="40" w:after="40" w:line="220" w:lineRule="exact"/>
              <w:jc w:val="right"/>
              <w:rPr>
                <w:sz w:val="18"/>
                <w:szCs w:val="18"/>
              </w:rPr>
            </w:pPr>
            <w:r w:rsidRPr="003A75B8">
              <w:rPr>
                <w:sz w:val="18"/>
                <w:szCs w:val="18"/>
              </w:rPr>
              <w:t>28,7</w:t>
            </w:r>
          </w:p>
        </w:tc>
        <w:tc>
          <w:tcPr>
            <w:tcW w:w="736" w:type="dxa"/>
            <w:shd w:val="clear" w:color="auto" w:fill="auto"/>
            <w:vAlign w:val="bottom"/>
          </w:tcPr>
          <w:p w14:paraId="0CC7985F" w14:textId="77777777" w:rsidR="008518D2" w:rsidRPr="003A75B8" w:rsidRDefault="008518D2" w:rsidP="003A75B8">
            <w:pPr>
              <w:spacing w:before="40" w:after="40" w:line="220" w:lineRule="exact"/>
              <w:jc w:val="right"/>
              <w:rPr>
                <w:sz w:val="18"/>
                <w:szCs w:val="18"/>
              </w:rPr>
            </w:pPr>
            <w:r w:rsidRPr="003A75B8">
              <w:rPr>
                <w:sz w:val="18"/>
                <w:szCs w:val="18"/>
              </w:rPr>
              <w:t>30,0</w:t>
            </w:r>
          </w:p>
        </w:tc>
        <w:tc>
          <w:tcPr>
            <w:tcW w:w="736" w:type="dxa"/>
            <w:shd w:val="clear" w:color="auto" w:fill="auto"/>
            <w:vAlign w:val="bottom"/>
          </w:tcPr>
          <w:p w14:paraId="602D33AD" w14:textId="77777777" w:rsidR="008518D2" w:rsidRPr="003A75B8" w:rsidRDefault="008518D2" w:rsidP="003A75B8">
            <w:pPr>
              <w:spacing w:before="40" w:after="40" w:line="220" w:lineRule="exact"/>
              <w:jc w:val="right"/>
              <w:rPr>
                <w:sz w:val="18"/>
                <w:szCs w:val="18"/>
              </w:rPr>
            </w:pPr>
            <w:r w:rsidRPr="003A75B8">
              <w:rPr>
                <w:sz w:val="18"/>
                <w:szCs w:val="18"/>
              </w:rPr>
              <w:t>29,3</w:t>
            </w:r>
          </w:p>
        </w:tc>
      </w:tr>
      <w:tr w:rsidR="008518D2" w:rsidRPr="00A14BE7" w14:paraId="28A2F570" w14:textId="77777777" w:rsidTr="00A0716B">
        <w:trPr>
          <w:cantSplit/>
        </w:trPr>
        <w:tc>
          <w:tcPr>
            <w:tcW w:w="2216" w:type="dxa"/>
            <w:shd w:val="clear" w:color="auto" w:fill="auto"/>
          </w:tcPr>
          <w:p w14:paraId="297A4277" w14:textId="77777777" w:rsidR="008518D2" w:rsidRPr="003A75B8" w:rsidRDefault="008518D2" w:rsidP="00A0716B">
            <w:pPr>
              <w:keepNext/>
              <w:spacing w:before="40" w:after="40" w:line="220" w:lineRule="exact"/>
              <w:rPr>
                <w:b/>
                <w:bCs/>
                <w:sz w:val="18"/>
                <w:szCs w:val="18"/>
                <w:lang w:val="fr-FR" w:eastAsia="en-IE"/>
              </w:rPr>
            </w:pPr>
            <w:r w:rsidRPr="003A75B8">
              <w:rPr>
                <w:b/>
                <w:bCs/>
                <w:sz w:val="18"/>
                <w:szCs w:val="18"/>
                <w:lang w:val="fr-FR" w:eastAsia="en-IE"/>
              </w:rPr>
              <w:lastRenderedPageBreak/>
              <w:t>Femmes</w:t>
            </w:r>
          </w:p>
        </w:tc>
        <w:tc>
          <w:tcPr>
            <w:tcW w:w="738" w:type="dxa"/>
            <w:shd w:val="clear" w:color="auto" w:fill="auto"/>
            <w:vAlign w:val="bottom"/>
          </w:tcPr>
          <w:p w14:paraId="52548B2C" w14:textId="77777777" w:rsidR="008518D2" w:rsidRPr="003A75B8" w:rsidRDefault="008518D2" w:rsidP="00A0716B">
            <w:pPr>
              <w:keepNext/>
              <w:spacing w:before="40" w:after="40" w:line="220" w:lineRule="exact"/>
              <w:jc w:val="right"/>
              <w:rPr>
                <w:sz w:val="18"/>
                <w:szCs w:val="18"/>
                <w:lang w:eastAsia="en-IE"/>
              </w:rPr>
            </w:pPr>
          </w:p>
        </w:tc>
        <w:tc>
          <w:tcPr>
            <w:tcW w:w="736" w:type="dxa"/>
            <w:shd w:val="clear" w:color="auto" w:fill="auto"/>
            <w:vAlign w:val="bottom"/>
          </w:tcPr>
          <w:p w14:paraId="106BFCD1" w14:textId="77777777" w:rsidR="008518D2" w:rsidRPr="003A75B8" w:rsidRDefault="008518D2" w:rsidP="00A0716B">
            <w:pPr>
              <w:keepNext/>
              <w:spacing w:before="40" w:after="40" w:line="220" w:lineRule="exact"/>
              <w:jc w:val="right"/>
              <w:rPr>
                <w:sz w:val="18"/>
                <w:szCs w:val="18"/>
              </w:rPr>
            </w:pPr>
          </w:p>
        </w:tc>
        <w:tc>
          <w:tcPr>
            <w:tcW w:w="736" w:type="dxa"/>
            <w:shd w:val="clear" w:color="auto" w:fill="auto"/>
            <w:vAlign w:val="bottom"/>
          </w:tcPr>
          <w:p w14:paraId="19CE8BA2" w14:textId="77777777" w:rsidR="008518D2" w:rsidRPr="003A75B8" w:rsidRDefault="008518D2" w:rsidP="00A0716B">
            <w:pPr>
              <w:keepNext/>
              <w:spacing w:before="40" w:after="40" w:line="220" w:lineRule="exact"/>
              <w:jc w:val="right"/>
              <w:rPr>
                <w:sz w:val="18"/>
                <w:szCs w:val="18"/>
              </w:rPr>
            </w:pPr>
          </w:p>
        </w:tc>
        <w:tc>
          <w:tcPr>
            <w:tcW w:w="736" w:type="dxa"/>
            <w:shd w:val="clear" w:color="auto" w:fill="auto"/>
            <w:vAlign w:val="bottom"/>
          </w:tcPr>
          <w:p w14:paraId="23CF980D" w14:textId="77777777" w:rsidR="008518D2" w:rsidRPr="003A75B8" w:rsidRDefault="008518D2" w:rsidP="00A0716B">
            <w:pPr>
              <w:keepNext/>
              <w:spacing w:before="40" w:after="40" w:line="220" w:lineRule="exact"/>
              <w:jc w:val="right"/>
              <w:rPr>
                <w:sz w:val="18"/>
                <w:szCs w:val="18"/>
              </w:rPr>
            </w:pPr>
          </w:p>
        </w:tc>
        <w:tc>
          <w:tcPr>
            <w:tcW w:w="736" w:type="dxa"/>
            <w:shd w:val="clear" w:color="auto" w:fill="auto"/>
            <w:vAlign w:val="bottom"/>
          </w:tcPr>
          <w:p w14:paraId="6E08E829" w14:textId="77777777" w:rsidR="008518D2" w:rsidRPr="003A75B8" w:rsidRDefault="008518D2" w:rsidP="00A0716B">
            <w:pPr>
              <w:keepNext/>
              <w:spacing w:before="40" w:after="40" w:line="220" w:lineRule="exact"/>
              <w:jc w:val="right"/>
              <w:rPr>
                <w:sz w:val="18"/>
                <w:szCs w:val="18"/>
              </w:rPr>
            </w:pPr>
          </w:p>
        </w:tc>
        <w:tc>
          <w:tcPr>
            <w:tcW w:w="736" w:type="dxa"/>
            <w:shd w:val="clear" w:color="auto" w:fill="auto"/>
            <w:vAlign w:val="bottom"/>
          </w:tcPr>
          <w:p w14:paraId="66BF6AFF" w14:textId="77777777" w:rsidR="008518D2" w:rsidRPr="003A75B8" w:rsidRDefault="008518D2" w:rsidP="00A0716B">
            <w:pPr>
              <w:keepNext/>
              <w:spacing w:before="40" w:after="40" w:line="220" w:lineRule="exact"/>
              <w:jc w:val="right"/>
              <w:rPr>
                <w:sz w:val="18"/>
                <w:szCs w:val="18"/>
              </w:rPr>
            </w:pPr>
          </w:p>
        </w:tc>
        <w:tc>
          <w:tcPr>
            <w:tcW w:w="736" w:type="dxa"/>
            <w:shd w:val="clear" w:color="auto" w:fill="auto"/>
            <w:vAlign w:val="bottom"/>
          </w:tcPr>
          <w:p w14:paraId="5878AD73" w14:textId="77777777" w:rsidR="008518D2" w:rsidRPr="003A75B8" w:rsidRDefault="008518D2" w:rsidP="00A0716B">
            <w:pPr>
              <w:keepNext/>
              <w:spacing w:before="40" w:after="40" w:line="220" w:lineRule="exact"/>
              <w:jc w:val="right"/>
              <w:rPr>
                <w:sz w:val="18"/>
                <w:szCs w:val="18"/>
              </w:rPr>
            </w:pPr>
          </w:p>
        </w:tc>
      </w:tr>
      <w:tr w:rsidR="008518D2" w:rsidRPr="00A14BE7" w14:paraId="67C65716" w14:textId="77777777" w:rsidTr="00A0716B">
        <w:trPr>
          <w:cantSplit/>
        </w:trPr>
        <w:tc>
          <w:tcPr>
            <w:tcW w:w="2216" w:type="dxa"/>
            <w:shd w:val="clear" w:color="auto" w:fill="auto"/>
          </w:tcPr>
          <w:p w14:paraId="0EAE894E" w14:textId="77777777" w:rsidR="008518D2" w:rsidRPr="003A75B8" w:rsidRDefault="008518D2" w:rsidP="00A0716B">
            <w:pPr>
              <w:keepNext/>
              <w:spacing w:before="40" w:after="40" w:line="220" w:lineRule="exact"/>
              <w:jc w:val="right"/>
              <w:rPr>
                <w:sz w:val="18"/>
                <w:szCs w:val="18"/>
                <w:lang w:val="fr-FR" w:eastAsia="en-IE"/>
              </w:rPr>
            </w:pPr>
            <w:r w:rsidRPr="003A75B8">
              <w:rPr>
                <w:sz w:val="18"/>
                <w:szCs w:val="18"/>
                <w:lang w:val="fr-FR" w:eastAsia="en-IE"/>
              </w:rPr>
              <w:t>Actives avec emploi</w:t>
            </w:r>
          </w:p>
        </w:tc>
        <w:tc>
          <w:tcPr>
            <w:tcW w:w="738" w:type="dxa"/>
            <w:shd w:val="clear" w:color="auto" w:fill="auto"/>
            <w:vAlign w:val="bottom"/>
          </w:tcPr>
          <w:p w14:paraId="58D630FA" w14:textId="77777777" w:rsidR="008518D2" w:rsidRPr="003A75B8" w:rsidRDefault="008518D2" w:rsidP="00A0716B">
            <w:pPr>
              <w:keepNext/>
              <w:spacing w:before="40" w:after="40" w:line="220" w:lineRule="exact"/>
              <w:jc w:val="right"/>
              <w:rPr>
                <w:sz w:val="18"/>
                <w:szCs w:val="18"/>
              </w:rPr>
            </w:pPr>
            <w:r w:rsidRPr="003A75B8">
              <w:rPr>
                <w:sz w:val="18"/>
                <w:szCs w:val="18"/>
              </w:rPr>
              <w:t>34,1</w:t>
            </w:r>
          </w:p>
        </w:tc>
        <w:tc>
          <w:tcPr>
            <w:tcW w:w="736" w:type="dxa"/>
            <w:shd w:val="clear" w:color="auto" w:fill="auto"/>
            <w:vAlign w:val="bottom"/>
          </w:tcPr>
          <w:p w14:paraId="2C21D724" w14:textId="77777777" w:rsidR="008518D2" w:rsidRPr="003A75B8" w:rsidRDefault="008518D2" w:rsidP="00A0716B">
            <w:pPr>
              <w:keepNext/>
              <w:spacing w:before="40" w:after="40" w:line="220" w:lineRule="exact"/>
              <w:jc w:val="right"/>
              <w:rPr>
                <w:sz w:val="18"/>
                <w:szCs w:val="18"/>
              </w:rPr>
            </w:pPr>
            <w:r w:rsidRPr="003A75B8">
              <w:rPr>
                <w:sz w:val="18"/>
                <w:szCs w:val="18"/>
              </w:rPr>
              <w:t>34,0</w:t>
            </w:r>
          </w:p>
        </w:tc>
        <w:tc>
          <w:tcPr>
            <w:tcW w:w="736" w:type="dxa"/>
            <w:shd w:val="clear" w:color="auto" w:fill="auto"/>
            <w:vAlign w:val="bottom"/>
          </w:tcPr>
          <w:p w14:paraId="29473E45" w14:textId="77777777" w:rsidR="008518D2" w:rsidRPr="003A75B8" w:rsidRDefault="008518D2" w:rsidP="00A0716B">
            <w:pPr>
              <w:keepNext/>
              <w:spacing w:before="40" w:after="40" w:line="220" w:lineRule="exact"/>
              <w:jc w:val="right"/>
              <w:rPr>
                <w:sz w:val="18"/>
                <w:szCs w:val="18"/>
              </w:rPr>
            </w:pPr>
            <w:r w:rsidRPr="003A75B8">
              <w:rPr>
                <w:sz w:val="18"/>
                <w:szCs w:val="18"/>
              </w:rPr>
              <w:t>34,3</w:t>
            </w:r>
          </w:p>
        </w:tc>
        <w:tc>
          <w:tcPr>
            <w:tcW w:w="736" w:type="dxa"/>
            <w:shd w:val="clear" w:color="auto" w:fill="auto"/>
            <w:vAlign w:val="bottom"/>
          </w:tcPr>
          <w:p w14:paraId="2D2CADC4" w14:textId="77777777" w:rsidR="008518D2" w:rsidRPr="003A75B8" w:rsidRDefault="008518D2" w:rsidP="00A0716B">
            <w:pPr>
              <w:keepNext/>
              <w:spacing w:before="40" w:after="40" w:line="220" w:lineRule="exact"/>
              <w:jc w:val="right"/>
              <w:rPr>
                <w:sz w:val="18"/>
                <w:szCs w:val="18"/>
              </w:rPr>
            </w:pPr>
            <w:r w:rsidRPr="003A75B8">
              <w:rPr>
                <w:sz w:val="18"/>
                <w:szCs w:val="18"/>
              </w:rPr>
              <w:t>37,5</w:t>
            </w:r>
          </w:p>
        </w:tc>
        <w:tc>
          <w:tcPr>
            <w:tcW w:w="736" w:type="dxa"/>
            <w:shd w:val="clear" w:color="auto" w:fill="auto"/>
            <w:vAlign w:val="bottom"/>
          </w:tcPr>
          <w:p w14:paraId="261303BC" w14:textId="77777777" w:rsidR="008518D2" w:rsidRPr="003A75B8" w:rsidRDefault="008518D2" w:rsidP="00A0716B">
            <w:pPr>
              <w:keepNext/>
              <w:spacing w:before="40" w:after="40" w:line="220" w:lineRule="exact"/>
              <w:jc w:val="right"/>
              <w:rPr>
                <w:sz w:val="18"/>
                <w:szCs w:val="18"/>
              </w:rPr>
            </w:pPr>
            <w:r w:rsidRPr="003A75B8">
              <w:rPr>
                <w:sz w:val="18"/>
                <w:szCs w:val="18"/>
              </w:rPr>
              <w:t>35,2</w:t>
            </w:r>
          </w:p>
        </w:tc>
        <w:tc>
          <w:tcPr>
            <w:tcW w:w="736" w:type="dxa"/>
            <w:shd w:val="clear" w:color="auto" w:fill="auto"/>
            <w:vAlign w:val="bottom"/>
          </w:tcPr>
          <w:p w14:paraId="4282FA5F" w14:textId="77777777" w:rsidR="008518D2" w:rsidRPr="003A75B8" w:rsidRDefault="008518D2" w:rsidP="00A0716B">
            <w:pPr>
              <w:keepNext/>
              <w:spacing w:before="40" w:after="40" w:line="220" w:lineRule="exact"/>
              <w:jc w:val="right"/>
              <w:rPr>
                <w:sz w:val="18"/>
                <w:szCs w:val="18"/>
              </w:rPr>
            </w:pPr>
            <w:r w:rsidRPr="003A75B8">
              <w:rPr>
                <w:sz w:val="18"/>
                <w:szCs w:val="18"/>
              </w:rPr>
              <w:t>35,5</w:t>
            </w:r>
          </w:p>
        </w:tc>
        <w:tc>
          <w:tcPr>
            <w:tcW w:w="736" w:type="dxa"/>
            <w:shd w:val="clear" w:color="auto" w:fill="auto"/>
            <w:vAlign w:val="bottom"/>
          </w:tcPr>
          <w:p w14:paraId="35CBD565" w14:textId="77777777" w:rsidR="008518D2" w:rsidRPr="003A75B8" w:rsidRDefault="008518D2" w:rsidP="00A0716B">
            <w:pPr>
              <w:keepNext/>
              <w:spacing w:before="40" w:after="40" w:line="220" w:lineRule="exact"/>
              <w:jc w:val="right"/>
              <w:rPr>
                <w:sz w:val="18"/>
                <w:szCs w:val="18"/>
              </w:rPr>
            </w:pPr>
            <w:r w:rsidRPr="003A75B8">
              <w:rPr>
                <w:sz w:val="18"/>
                <w:szCs w:val="18"/>
              </w:rPr>
              <w:t>35,7</w:t>
            </w:r>
          </w:p>
        </w:tc>
      </w:tr>
      <w:tr w:rsidR="008518D2" w:rsidRPr="00A14BE7" w14:paraId="08840F33" w14:textId="77777777" w:rsidTr="00765F9E">
        <w:tc>
          <w:tcPr>
            <w:tcW w:w="2216" w:type="dxa"/>
            <w:shd w:val="clear" w:color="auto" w:fill="auto"/>
          </w:tcPr>
          <w:p w14:paraId="3F07C733"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2871D20F" w14:textId="77777777" w:rsidR="008518D2" w:rsidRPr="003A75B8" w:rsidRDefault="008518D2" w:rsidP="003A75B8">
            <w:pPr>
              <w:spacing w:before="40" w:after="40" w:line="220" w:lineRule="exact"/>
              <w:jc w:val="right"/>
              <w:rPr>
                <w:sz w:val="18"/>
                <w:szCs w:val="18"/>
              </w:rPr>
            </w:pPr>
            <w:r w:rsidRPr="003A75B8">
              <w:rPr>
                <w:sz w:val="18"/>
                <w:szCs w:val="18"/>
              </w:rPr>
              <w:t>4,8</w:t>
            </w:r>
          </w:p>
        </w:tc>
        <w:tc>
          <w:tcPr>
            <w:tcW w:w="736" w:type="dxa"/>
            <w:shd w:val="clear" w:color="auto" w:fill="auto"/>
            <w:vAlign w:val="bottom"/>
          </w:tcPr>
          <w:p w14:paraId="31945DD2" w14:textId="77777777" w:rsidR="008518D2" w:rsidRPr="003A75B8" w:rsidRDefault="008518D2" w:rsidP="003A75B8">
            <w:pPr>
              <w:spacing w:before="40" w:after="40" w:line="220" w:lineRule="exact"/>
              <w:jc w:val="right"/>
              <w:rPr>
                <w:sz w:val="18"/>
                <w:szCs w:val="18"/>
              </w:rPr>
            </w:pPr>
            <w:r w:rsidRPr="003A75B8">
              <w:rPr>
                <w:sz w:val="18"/>
                <w:szCs w:val="18"/>
              </w:rPr>
              <w:t>4,9</w:t>
            </w:r>
          </w:p>
        </w:tc>
        <w:tc>
          <w:tcPr>
            <w:tcW w:w="736" w:type="dxa"/>
            <w:shd w:val="clear" w:color="auto" w:fill="auto"/>
            <w:vAlign w:val="bottom"/>
          </w:tcPr>
          <w:p w14:paraId="23E008FF" w14:textId="77777777" w:rsidR="008518D2" w:rsidRPr="003A75B8" w:rsidRDefault="008518D2" w:rsidP="003A75B8">
            <w:pPr>
              <w:spacing w:before="40" w:after="40" w:line="220" w:lineRule="exact"/>
              <w:jc w:val="right"/>
              <w:rPr>
                <w:sz w:val="18"/>
                <w:szCs w:val="18"/>
              </w:rPr>
            </w:pPr>
            <w:r w:rsidRPr="003A75B8">
              <w:rPr>
                <w:sz w:val="18"/>
                <w:szCs w:val="18"/>
              </w:rPr>
              <w:t>3,5</w:t>
            </w:r>
          </w:p>
        </w:tc>
        <w:tc>
          <w:tcPr>
            <w:tcW w:w="736" w:type="dxa"/>
            <w:shd w:val="clear" w:color="auto" w:fill="auto"/>
            <w:vAlign w:val="bottom"/>
          </w:tcPr>
          <w:p w14:paraId="64C5F1F4" w14:textId="77777777" w:rsidR="008518D2" w:rsidRPr="003A75B8" w:rsidRDefault="008518D2" w:rsidP="003A75B8">
            <w:pPr>
              <w:spacing w:before="40" w:after="40" w:line="220" w:lineRule="exact"/>
              <w:jc w:val="right"/>
              <w:rPr>
                <w:sz w:val="18"/>
                <w:szCs w:val="18"/>
              </w:rPr>
            </w:pPr>
            <w:r w:rsidRPr="003A75B8">
              <w:rPr>
                <w:sz w:val="18"/>
                <w:szCs w:val="18"/>
              </w:rPr>
              <w:t>2,9</w:t>
            </w:r>
          </w:p>
        </w:tc>
        <w:tc>
          <w:tcPr>
            <w:tcW w:w="736" w:type="dxa"/>
            <w:shd w:val="clear" w:color="auto" w:fill="auto"/>
            <w:vAlign w:val="bottom"/>
          </w:tcPr>
          <w:p w14:paraId="18E01D3F" w14:textId="77777777" w:rsidR="008518D2" w:rsidRPr="003A75B8" w:rsidRDefault="008518D2" w:rsidP="003A75B8">
            <w:pPr>
              <w:spacing w:before="40" w:after="40" w:line="220" w:lineRule="exact"/>
              <w:jc w:val="right"/>
              <w:rPr>
                <w:sz w:val="18"/>
                <w:szCs w:val="18"/>
              </w:rPr>
            </w:pPr>
            <w:r w:rsidRPr="003A75B8">
              <w:rPr>
                <w:sz w:val="18"/>
                <w:szCs w:val="18"/>
              </w:rPr>
              <w:t>3,4</w:t>
            </w:r>
          </w:p>
        </w:tc>
        <w:tc>
          <w:tcPr>
            <w:tcW w:w="736" w:type="dxa"/>
            <w:shd w:val="clear" w:color="auto" w:fill="auto"/>
            <w:vAlign w:val="bottom"/>
          </w:tcPr>
          <w:p w14:paraId="68CEBA2C" w14:textId="77777777" w:rsidR="008518D2" w:rsidRPr="003A75B8" w:rsidRDefault="008518D2" w:rsidP="003A75B8">
            <w:pPr>
              <w:spacing w:before="40" w:after="40" w:line="220" w:lineRule="exact"/>
              <w:jc w:val="right"/>
              <w:rPr>
                <w:sz w:val="18"/>
                <w:szCs w:val="18"/>
              </w:rPr>
            </w:pPr>
            <w:r w:rsidRPr="003A75B8">
              <w:rPr>
                <w:sz w:val="18"/>
                <w:szCs w:val="18"/>
              </w:rPr>
              <w:t>2,9</w:t>
            </w:r>
          </w:p>
        </w:tc>
        <w:tc>
          <w:tcPr>
            <w:tcW w:w="736" w:type="dxa"/>
            <w:shd w:val="clear" w:color="auto" w:fill="auto"/>
            <w:vAlign w:val="bottom"/>
          </w:tcPr>
          <w:p w14:paraId="5DC92457" w14:textId="77777777" w:rsidR="008518D2" w:rsidRPr="003A75B8" w:rsidRDefault="008518D2" w:rsidP="003A75B8">
            <w:pPr>
              <w:spacing w:before="40" w:after="40" w:line="220" w:lineRule="exact"/>
              <w:jc w:val="right"/>
              <w:rPr>
                <w:sz w:val="18"/>
                <w:szCs w:val="18"/>
              </w:rPr>
            </w:pPr>
            <w:r w:rsidRPr="003A75B8">
              <w:rPr>
                <w:sz w:val="18"/>
                <w:szCs w:val="18"/>
              </w:rPr>
              <w:t>3,4</w:t>
            </w:r>
          </w:p>
        </w:tc>
      </w:tr>
      <w:tr w:rsidR="008518D2" w:rsidRPr="00A14BE7" w14:paraId="0E98DDD4" w14:textId="77777777" w:rsidTr="00765F9E">
        <w:tc>
          <w:tcPr>
            <w:tcW w:w="2216" w:type="dxa"/>
            <w:shd w:val="clear" w:color="auto" w:fill="auto"/>
          </w:tcPr>
          <w:p w14:paraId="4D47D917"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Inactives</w:t>
            </w:r>
          </w:p>
        </w:tc>
        <w:tc>
          <w:tcPr>
            <w:tcW w:w="738" w:type="dxa"/>
            <w:shd w:val="clear" w:color="auto" w:fill="auto"/>
            <w:vAlign w:val="bottom"/>
          </w:tcPr>
          <w:p w14:paraId="58601EB8" w14:textId="77777777" w:rsidR="008518D2" w:rsidRPr="003A75B8" w:rsidRDefault="008518D2" w:rsidP="003A75B8">
            <w:pPr>
              <w:spacing w:before="40" w:after="40" w:line="220" w:lineRule="exact"/>
              <w:jc w:val="right"/>
              <w:rPr>
                <w:sz w:val="18"/>
                <w:szCs w:val="18"/>
              </w:rPr>
            </w:pPr>
            <w:r w:rsidRPr="003A75B8">
              <w:rPr>
                <w:sz w:val="18"/>
                <w:szCs w:val="18"/>
              </w:rPr>
              <w:t>61,0</w:t>
            </w:r>
          </w:p>
        </w:tc>
        <w:tc>
          <w:tcPr>
            <w:tcW w:w="736" w:type="dxa"/>
            <w:shd w:val="clear" w:color="auto" w:fill="auto"/>
            <w:vAlign w:val="bottom"/>
          </w:tcPr>
          <w:p w14:paraId="7A87711A" w14:textId="77777777" w:rsidR="008518D2" w:rsidRPr="003A75B8" w:rsidRDefault="008518D2" w:rsidP="003A75B8">
            <w:pPr>
              <w:spacing w:before="40" w:after="40" w:line="220" w:lineRule="exact"/>
              <w:jc w:val="right"/>
              <w:rPr>
                <w:sz w:val="18"/>
                <w:szCs w:val="18"/>
              </w:rPr>
            </w:pPr>
            <w:r w:rsidRPr="003A75B8">
              <w:rPr>
                <w:sz w:val="18"/>
                <w:szCs w:val="18"/>
              </w:rPr>
              <w:t>61,1</w:t>
            </w:r>
          </w:p>
        </w:tc>
        <w:tc>
          <w:tcPr>
            <w:tcW w:w="736" w:type="dxa"/>
            <w:shd w:val="clear" w:color="auto" w:fill="auto"/>
            <w:vAlign w:val="bottom"/>
          </w:tcPr>
          <w:p w14:paraId="390AE0BE" w14:textId="77777777" w:rsidR="008518D2" w:rsidRPr="003A75B8" w:rsidRDefault="008518D2" w:rsidP="003A75B8">
            <w:pPr>
              <w:spacing w:before="40" w:after="40" w:line="220" w:lineRule="exact"/>
              <w:jc w:val="right"/>
              <w:rPr>
                <w:sz w:val="18"/>
                <w:szCs w:val="18"/>
              </w:rPr>
            </w:pPr>
            <w:r w:rsidRPr="003A75B8">
              <w:rPr>
                <w:sz w:val="18"/>
                <w:szCs w:val="18"/>
              </w:rPr>
              <w:t>62,2</w:t>
            </w:r>
          </w:p>
        </w:tc>
        <w:tc>
          <w:tcPr>
            <w:tcW w:w="736" w:type="dxa"/>
            <w:shd w:val="clear" w:color="auto" w:fill="auto"/>
            <w:vAlign w:val="bottom"/>
          </w:tcPr>
          <w:p w14:paraId="715C9AE2" w14:textId="77777777" w:rsidR="008518D2" w:rsidRPr="003A75B8" w:rsidRDefault="008518D2" w:rsidP="003A75B8">
            <w:pPr>
              <w:spacing w:before="40" w:after="40" w:line="220" w:lineRule="exact"/>
              <w:jc w:val="right"/>
              <w:rPr>
                <w:sz w:val="18"/>
                <w:szCs w:val="18"/>
              </w:rPr>
            </w:pPr>
            <w:r w:rsidRPr="003A75B8">
              <w:rPr>
                <w:sz w:val="18"/>
                <w:szCs w:val="18"/>
              </w:rPr>
              <w:t>59,6</w:t>
            </w:r>
          </w:p>
        </w:tc>
        <w:tc>
          <w:tcPr>
            <w:tcW w:w="736" w:type="dxa"/>
            <w:shd w:val="clear" w:color="auto" w:fill="auto"/>
            <w:vAlign w:val="bottom"/>
          </w:tcPr>
          <w:p w14:paraId="08AEC358" w14:textId="77777777" w:rsidR="008518D2" w:rsidRPr="003A75B8" w:rsidRDefault="008518D2" w:rsidP="003A75B8">
            <w:pPr>
              <w:spacing w:before="40" w:after="40" w:line="220" w:lineRule="exact"/>
              <w:jc w:val="right"/>
              <w:rPr>
                <w:sz w:val="18"/>
                <w:szCs w:val="18"/>
              </w:rPr>
            </w:pPr>
            <w:r w:rsidRPr="003A75B8">
              <w:rPr>
                <w:sz w:val="18"/>
                <w:szCs w:val="18"/>
              </w:rPr>
              <w:t>61,4</w:t>
            </w:r>
          </w:p>
        </w:tc>
        <w:tc>
          <w:tcPr>
            <w:tcW w:w="736" w:type="dxa"/>
            <w:shd w:val="clear" w:color="auto" w:fill="auto"/>
            <w:vAlign w:val="bottom"/>
          </w:tcPr>
          <w:p w14:paraId="3388C888" w14:textId="77777777" w:rsidR="008518D2" w:rsidRPr="003A75B8" w:rsidRDefault="008518D2" w:rsidP="003A75B8">
            <w:pPr>
              <w:spacing w:before="40" w:after="40" w:line="220" w:lineRule="exact"/>
              <w:jc w:val="right"/>
              <w:rPr>
                <w:sz w:val="18"/>
                <w:szCs w:val="18"/>
              </w:rPr>
            </w:pPr>
            <w:r w:rsidRPr="003A75B8">
              <w:rPr>
                <w:sz w:val="18"/>
                <w:szCs w:val="18"/>
              </w:rPr>
              <w:t>61,5</w:t>
            </w:r>
          </w:p>
        </w:tc>
        <w:tc>
          <w:tcPr>
            <w:tcW w:w="736" w:type="dxa"/>
            <w:shd w:val="clear" w:color="auto" w:fill="auto"/>
            <w:vAlign w:val="bottom"/>
          </w:tcPr>
          <w:p w14:paraId="2181E0C6" w14:textId="77777777" w:rsidR="008518D2" w:rsidRPr="003A75B8" w:rsidRDefault="008518D2" w:rsidP="003A75B8">
            <w:pPr>
              <w:spacing w:before="40" w:after="40" w:line="220" w:lineRule="exact"/>
              <w:jc w:val="right"/>
              <w:rPr>
                <w:sz w:val="18"/>
                <w:szCs w:val="18"/>
              </w:rPr>
            </w:pPr>
            <w:r w:rsidRPr="003A75B8">
              <w:rPr>
                <w:sz w:val="18"/>
                <w:szCs w:val="18"/>
              </w:rPr>
              <w:t>60,8</w:t>
            </w:r>
          </w:p>
        </w:tc>
      </w:tr>
      <w:tr w:rsidR="008518D2" w:rsidRPr="00A14BE7" w14:paraId="4E67D379" w14:textId="77777777" w:rsidTr="00765F9E">
        <w:tc>
          <w:tcPr>
            <w:tcW w:w="2216" w:type="dxa"/>
            <w:shd w:val="clear" w:color="auto" w:fill="auto"/>
          </w:tcPr>
          <w:p w14:paraId="1982D5F3" w14:textId="77777777" w:rsidR="008518D2" w:rsidRPr="003A75B8" w:rsidRDefault="00A0716B" w:rsidP="003A75B8">
            <w:pPr>
              <w:spacing w:before="40" w:after="40" w:line="220" w:lineRule="exact"/>
              <w:rPr>
                <w:b/>
                <w:bCs/>
                <w:sz w:val="18"/>
                <w:szCs w:val="18"/>
                <w:lang w:val="fr-FR" w:eastAsia="en-IE"/>
              </w:rPr>
            </w:pPr>
            <w:r w:rsidRPr="00A0716B">
              <w:rPr>
                <w:b/>
                <w:bCs/>
                <w:spacing w:val="-2"/>
                <w:sz w:val="18"/>
                <w:szCs w:val="18"/>
                <w:lang w:val="fr-FR" w:eastAsia="en-IE"/>
              </w:rPr>
              <w:t>Toutes personnes confondues</w:t>
            </w:r>
          </w:p>
        </w:tc>
        <w:tc>
          <w:tcPr>
            <w:tcW w:w="738" w:type="dxa"/>
            <w:shd w:val="clear" w:color="auto" w:fill="auto"/>
            <w:vAlign w:val="bottom"/>
          </w:tcPr>
          <w:p w14:paraId="4B568D24" w14:textId="77777777" w:rsidR="008518D2" w:rsidRPr="003A75B8" w:rsidRDefault="008518D2" w:rsidP="003A75B8">
            <w:pPr>
              <w:spacing w:before="40" w:after="40" w:line="220" w:lineRule="exact"/>
              <w:jc w:val="right"/>
              <w:rPr>
                <w:sz w:val="18"/>
                <w:szCs w:val="18"/>
                <w:lang w:eastAsia="en-IE"/>
              </w:rPr>
            </w:pPr>
          </w:p>
        </w:tc>
        <w:tc>
          <w:tcPr>
            <w:tcW w:w="736" w:type="dxa"/>
            <w:shd w:val="clear" w:color="auto" w:fill="auto"/>
            <w:vAlign w:val="bottom"/>
          </w:tcPr>
          <w:p w14:paraId="52716AF4"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420FA6A"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033A44D"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3832F81D"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66537B8"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41756C0" w14:textId="77777777" w:rsidR="008518D2" w:rsidRPr="003A75B8" w:rsidRDefault="008518D2" w:rsidP="003A75B8">
            <w:pPr>
              <w:spacing w:before="40" w:after="40" w:line="220" w:lineRule="exact"/>
              <w:jc w:val="right"/>
              <w:rPr>
                <w:sz w:val="18"/>
                <w:szCs w:val="18"/>
              </w:rPr>
            </w:pPr>
          </w:p>
        </w:tc>
      </w:tr>
      <w:tr w:rsidR="008518D2" w:rsidRPr="00A14BE7" w14:paraId="5F60018F" w14:textId="77777777" w:rsidTr="00765F9E">
        <w:tc>
          <w:tcPr>
            <w:tcW w:w="2216" w:type="dxa"/>
            <w:shd w:val="clear" w:color="auto" w:fill="auto"/>
          </w:tcPr>
          <w:p w14:paraId="0028ACFE"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33812C32" w14:textId="77777777" w:rsidR="008518D2" w:rsidRPr="003A75B8" w:rsidRDefault="008518D2" w:rsidP="003A75B8">
            <w:pPr>
              <w:spacing w:before="40" w:after="40" w:line="220" w:lineRule="exact"/>
              <w:jc w:val="right"/>
              <w:rPr>
                <w:sz w:val="18"/>
                <w:szCs w:val="18"/>
              </w:rPr>
            </w:pPr>
            <w:r w:rsidRPr="003A75B8">
              <w:rPr>
                <w:sz w:val="18"/>
                <w:szCs w:val="18"/>
              </w:rPr>
              <w:t>50,3</w:t>
            </w:r>
          </w:p>
        </w:tc>
        <w:tc>
          <w:tcPr>
            <w:tcW w:w="736" w:type="dxa"/>
            <w:shd w:val="clear" w:color="auto" w:fill="auto"/>
            <w:vAlign w:val="bottom"/>
          </w:tcPr>
          <w:p w14:paraId="7D893C2D" w14:textId="77777777" w:rsidR="008518D2" w:rsidRPr="003A75B8" w:rsidRDefault="008518D2" w:rsidP="003A75B8">
            <w:pPr>
              <w:spacing w:before="40" w:after="40" w:line="220" w:lineRule="exact"/>
              <w:jc w:val="right"/>
              <w:rPr>
                <w:sz w:val="18"/>
                <w:szCs w:val="18"/>
              </w:rPr>
            </w:pPr>
            <w:r w:rsidRPr="003A75B8">
              <w:rPr>
                <w:sz w:val="18"/>
                <w:szCs w:val="18"/>
              </w:rPr>
              <w:t>50,4</w:t>
            </w:r>
          </w:p>
        </w:tc>
        <w:tc>
          <w:tcPr>
            <w:tcW w:w="736" w:type="dxa"/>
            <w:shd w:val="clear" w:color="auto" w:fill="auto"/>
            <w:vAlign w:val="bottom"/>
          </w:tcPr>
          <w:p w14:paraId="14D6738D" w14:textId="77777777" w:rsidR="008518D2" w:rsidRPr="003A75B8" w:rsidRDefault="008518D2" w:rsidP="003A75B8">
            <w:pPr>
              <w:spacing w:before="40" w:after="40" w:line="220" w:lineRule="exact"/>
              <w:jc w:val="right"/>
              <w:rPr>
                <w:sz w:val="18"/>
                <w:szCs w:val="18"/>
              </w:rPr>
            </w:pPr>
            <w:r w:rsidRPr="003A75B8">
              <w:rPr>
                <w:sz w:val="18"/>
                <w:szCs w:val="18"/>
              </w:rPr>
              <w:t>50,1</w:t>
            </w:r>
          </w:p>
        </w:tc>
        <w:tc>
          <w:tcPr>
            <w:tcW w:w="736" w:type="dxa"/>
            <w:shd w:val="clear" w:color="auto" w:fill="auto"/>
            <w:vAlign w:val="bottom"/>
          </w:tcPr>
          <w:p w14:paraId="021B9C9A" w14:textId="77777777" w:rsidR="008518D2" w:rsidRPr="003A75B8" w:rsidRDefault="008518D2" w:rsidP="003A75B8">
            <w:pPr>
              <w:spacing w:before="40" w:after="40" w:line="220" w:lineRule="exact"/>
              <w:jc w:val="right"/>
              <w:rPr>
                <w:sz w:val="18"/>
                <w:szCs w:val="18"/>
              </w:rPr>
            </w:pPr>
            <w:r w:rsidRPr="003A75B8">
              <w:rPr>
                <w:sz w:val="18"/>
                <w:szCs w:val="18"/>
              </w:rPr>
              <w:t>52,3</w:t>
            </w:r>
          </w:p>
        </w:tc>
        <w:tc>
          <w:tcPr>
            <w:tcW w:w="736" w:type="dxa"/>
            <w:shd w:val="clear" w:color="auto" w:fill="auto"/>
            <w:vAlign w:val="bottom"/>
          </w:tcPr>
          <w:p w14:paraId="78537225" w14:textId="77777777" w:rsidR="008518D2" w:rsidRPr="003A75B8" w:rsidRDefault="008518D2" w:rsidP="003A75B8">
            <w:pPr>
              <w:spacing w:before="40" w:after="40" w:line="220" w:lineRule="exact"/>
              <w:jc w:val="right"/>
              <w:rPr>
                <w:sz w:val="18"/>
                <w:szCs w:val="18"/>
              </w:rPr>
            </w:pPr>
            <w:r w:rsidRPr="003A75B8">
              <w:rPr>
                <w:sz w:val="18"/>
                <w:szCs w:val="18"/>
              </w:rPr>
              <w:t>52,2</w:t>
            </w:r>
          </w:p>
        </w:tc>
        <w:tc>
          <w:tcPr>
            <w:tcW w:w="736" w:type="dxa"/>
            <w:shd w:val="clear" w:color="auto" w:fill="auto"/>
            <w:vAlign w:val="bottom"/>
          </w:tcPr>
          <w:p w14:paraId="344EEA1C" w14:textId="77777777" w:rsidR="008518D2" w:rsidRPr="003A75B8" w:rsidRDefault="008518D2" w:rsidP="003A75B8">
            <w:pPr>
              <w:spacing w:before="40" w:after="40" w:line="220" w:lineRule="exact"/>
              <w:jc w:val="right"/>
              <w:rPr>
                <w:sz w:val="18"/>
                <w:szCs w:val="18"/>
              </w:rPr>
            </w:pPr>
            <w:r w:rsidRPr="003A75B8">
              <w:rPr>
                <w:sz w:val="18"/>
                <w:szCs w:val="18"/>
              </w:rPr>
              <w:t>51,3</w:t>
            </w:r>
          </w:p>
        </w:tc>
        <w:tc>
          <w:tcPr>
            <w:tcW w:w="736" w:type="dxa"/>
            <w:shd w:val="clear" w:color="auto" w:fill="auto"/>
            <w:vAlign w:val="bottom"/>
          </w:tcPr>
          <w:p w14:paraId="5277F788" w14:textId="77777777" w:rsidR="008518D2" w:rsidRPr="003A75B8" w:rsidRDefault="008518D2" w:rsidP="003A75B8">
            <w:pPr>
              <w:spacing w:before="40" w:after="40" w:line="220" w:lineRule="exact"/>
              <w:jc w:val="right"/>
              <w:rPr>
                <w:sz w:val="18"/>
                <w:szCs w:val="18"/>
              </w:rPr>
            </w:pPr>
            <w:r w:rsidRPr="003A75B8">
              <w:rPr>
                <w:sz w:val="18"/>
                <w:szCs w:val="18"/>
              </w:rPr>
              <w:t>52,9</w:t>
            </w:r>
          </w:p>
        </w:tc>
      </w:tr>
      <w:tr w:rsidR="008518D2" w:rsidRPr="00A14BE7" w14:paraId="56C0DB77" w14:textId="77777777" w:rsidTr="00765F9E">
        <w:tc>
          <w:tcPr>
            <w:tcW w:w="2216" w:type="dxa"/>
            <w:shd w:val="clear" w:color="auto" w:fill="auto"/>
          </w:tcPr>
          <w:p w14:paraId="0128AD09" w14:textId="77777777" w:rsidR="008518D2" w:rsidRPr="003A75B8" w:rsidRDefault="008518D2" w:rsidP="003A75B8">
            <w:pPr>
              <w:spacing w:before="40" w:after="40" w:line="220" w:lineRule="exact"/>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1082DCD5" w14:textId="77777777" w:rsidR="008518D2" w:rsidRPr="003A75B8" w:rsidRDefault="008518D2" w:rsidP="003A75B8">
            <w:pPr>
              <w:spacing w:before="40" w:after="40" w:line="220" w:lineRule="exact"/>
              <w:jc w:val="right"/>
              <w:rPr>
                <w:sz w:val="18"/>
                <w:szCs w:val="18"/>
              </w:rPr>
            </w:pPr>
            <w:r w:rsidRPr="003A75B8">
              <w:rPr>
                <w:sz w:val="18"/>
                <w:szCs w:val="18"/>
              </w:rPr>
              <w:t>7,3</w:t>
            </w:r>
          </w:p>
        </w:tc>
        <w:tc>
          <w:tcPr>
            <w:tcW w:w="736" w:type="dxa"/>
            <w:shd w:val="clear" w:color="auto" w:fill="auto"/>
            <w:vAlign w:val="bottom"/>
          </w:tcPr>
          <w:p w14:paraId="075E9174" w14:textId="77777777" w:rsidR="008518D2" w:rsidRPr="003A75B8" w:rsidRDefault="008518D2" w:rsidP="003A75B8">
            <w:pPr>
              <w:spacing w:before="40" w:after="40" w:line="220" w:lineRule="exact"/>
              <w:jc w:val="right"/>
              <w:rPr>
                <w:sz w:val="18"/>
                <w:szCs w:val="18"/>
              </w:rPr>
            </w:pPr>
            <w:r w:rsidRPr="003A75B8">
              <w:rPr>
                <w:sz w:val="18"/>
                <w:szCs w:val="18"/>
              </w:rPr>
              <w:t>7,0</w:t>
            </w:r>
          </w:p>
        </w:tc>
        <w:tc>
          <w:tcPr>
            <w:tcW w:w="736" w:type="dxa"/>
            <w:shd w:val="clear" w:color="auto" w:fill="auto"/>
            <w:vAlign w:val="bottom"/>
          </w:tcPr>
          <w:p w14:paraId="51FEC55A" w14:textId="77777777" w:rsidR="008518D2" w:rsidRPr="003A75B8" w:rsidRDefault="008518D2" w:rsidP="003A75B8">
            <w:pPr>
              <w:spacing w:before="40" w:after="40" w:line="220" w:lineRule="exact"/>
              <w:jc w:val="right"/>
              <w:rPr>
                <w:sz w:val="18"/>
                <w:szCs w:val="18"/>
              </w:rPr>
            </w:pPr>
            <w:r w:rsidRPr="003A75B8">
              <w:rPr>
                <w:sz w:val="18"/>
                <w:szCs w:val="18"/>
              </w:rPr>
              <w:t>6,3</w:t>
            </w:r>
          </w:p>
        </w:tc>
        <w:tc>
          <w:tcPr>
            <w:tcW w:w="736" w:type="dxa"/>
            <w:shd w:val="clear" w:color="auto" w:fill="auto"/>
            <w:vAlign w:val="bottom"/>
          </w:tcPr>
          <w:p w14:paraId="35E5E45A" w14:textId="77777777" w:rsidR="008518D2" w:rsidRPr="003A75B8" w:rsidRDefault="008518D2" w:rsidP="003A75B8">
            <w:pPr>
              <w:spacing w:before="40" w:after="40" w:line="220" w:lineRule="exact"/>
              <w:jc w:val="right"/>
              <w:rPr>
                <w:sz w:val="18"/>
                <w:szCs w:val="18"/>
              </w:rPr>
            </w:pPr>
            <w:r w:rsidRPr="003A75B8">
              <w:rPr>
                <w:sz w:val="18"/>
                <w:szCs w:val="18"/>
              </w:rPr>
              <w:t>5,6</w:t>
            </w:r>
          </w:p>
        </w:tc>
        <w:tc>
          <w:tcPr>
            <w:tcW w:w="736" w:type="dxa"/>
            <w:shd w:val="clear" w:color="auto" w:fill="auto"/>
            <w:vAlign w:val="bottom"/>
          </w:tcPr>
          <w:p w14:paraId="4F7619F9" w14:textId="77777777" w:rsidR="008518D2" w:rsidRPr="003A75B8" w:rsidRDefault="008518D2" w:rsidP="003A75B8">
            <w:pPr>
              <w:spacing w:before="40" w:after="40" w:line="220" w:lineRule="exact"/>
              <w:jc w:val="right"/>
              <w:rPr>
                <w:sz w:val="18"/>
                <w:szCs w:val="18"/>
              </w:rPr>
            </w:pPr>
            <w:r w:rsidRPr="003A75B8">
              <w:rPr>
                <w:sz w:val="18"/>
                <w:szCs w:val="18"/>
              </w:rPr>
              <w:t>5,8</w:t>
            </w:r>
          </w:p>
        </w:tc>
        <w:tc>
          <w:tcPr>
            <w:tcW w:w="736" w:type="dxa"/>
            <w:shd w:val="clear" w:color="auto" w:fill="auto"/>
            <w:vAlign w:val="bottom"/>
          </w:tcPr>
          <w:p w14:paraId="00CF5807" w14:textId="77777777" w:rsidR="008518D2" w:rsidRPr="003A75B8" w:rsidRDefault="008518D2" w:rsidP="003A75B8">
            <w:pPr>
              <w:spacing w:before="40" w:after="40" w:line="220" w:lineRule="exact"/>
              <w:jc w:val="right"/>
              <w:rPr>
                <w:sz w:val="18"/>
                <w:szCs w:val="18"/>
              </w:rPr>
            </w:pPr>
            <w:r w:rsidRPr="003A75B8">
              <w:rPr>
                <w:sz w:val="18"/>
                <w:szCs w:val="18"/>
              </w:rPr>
              <w:t>5,3</w:t>
            </w:r>
          </w:p>
        </w:tc>
        <w:tc>
          <w:tcPr>
            <w:tcW w:w="736" w:type="dxa"/>
            <w:shd w:val="clear" w:color="auto" w:fill="auto"/>
            <w:vAlign w:val="bottom"/>
          </w:tcPr>
          <w:p w14:paraId="2D70AD9B" w14:textId="77777777" w:rsidR="008518D2" w:rsidRPr="003A75B8" w:rsidRDefault="008518D2" w:rsidP="003A75B8">
            <w:pPr>
              <w:spacing w:before="40" w:after="40" w:line="220" w:lineRule="exact"/>
              <w:jc w:val="right"/>
              <w:rPr>
                <w:sz w:val="18"/>
                <w:szCs w:val="18"/>
              </w:rPr>
            </w:pPr>
            <w:r w:rsidRPr="003A75B8">
              <w:rPr>
                <w:sz w:val="18"/>
                <w:szCs w:val="18"/>
              </w:rPr>
              <w:t>4,9</w:t>
            </w:r>
          </w:p>
        </w:tc>
      </w:tr>
      <w:tr w:rsidR="008518D2" w:rsidRPr="00A14BE7" w14:paraId="41CE238A" w14:textId="77777777" w:rsidTr="00765F9E">
        <w:tc>
          <w:tcPr>
            <w:tcW w:w="2216" w:type="dxa"/>
            <w:shd w:val="clear" w:color="auto" w:fill="auto"/>
          </w:tcPr>
          <w:p w14:paraId="3FB04680" w14:textId="77777777" w:rsidR="008518D2" w:rsidRPr="003A75B8" w:rsidRDefault="008518D2"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688D6B9F" w14:textId="77777777" w:rsidR="008518D2" w:rsidRPr="003A75B8" w:rsidRDefault="008518D2" w:rsidP="003A75B8">
            <w:pPr>
              <w:spacing w:before="40" w:after="40" w:line="220" w:lineRule="exact"/>
              <w:jc w:val="right"/>
              <w:rPr>
                <w:sz w:val="18"/>
                <w:szCs w:val="18"/>
              </w:rPr>
            </w:pPr>
            <w:r w:rsidRPr="003A75B8">
              <w:rPr>
                <w:sz w:val="18"/>
                <w:szCs w:val="18"/>
              </w:rPr>
              <w:t>42,4</w:t>
            </w:r>
          </w:p>
        </w:tc>
        <w:tc>
          <w:tcPr>
            <w:tcW w:w="736" w:type="dxa"/>
            <w:shd w:val="clear" w:color="auto" w:fill="auto"/>
            <w:vAlign w:val="bottom"/>
          </w:tcPr>
          <w:p w14:paraId="1466ABC6" w14:textId="77777777" w:rsidR="008518D2" w:rsidRPr="003A75B8" w:rsidRDefault="008518D2" w:rsidP="003A75B8">
            <w:pPr>
              <w:spacing w:before="40" w:after="40" w:line="220" w:lineRule="exact"/>
              <w:jc w:val="right"/>
              <w:rPr>
                <w:sz w:val="18"/>
                <w:szCs w:val="18"/>
              </w:rPr>
            </w:pPr>
            <w:r w:rsidRPr="003A75B8">
              <w:rPr>
                <w:sz w:val="18"/>
                <w:szCs w:val="18"/>
              </w:rPr>
              <w:t>42,6</w:t>
            </w:r>
          </w:p>
        </w:tc>
        <w:tc>
          <w:tcPr>
            <w:tcW w:w="736" w:type="dxa"/>
            <w:shd w:val="clear" w:color="auto" w:fill="auto"/>
            <w:vAlign w:val="bottom"/>
          </w:tcPr>
          <w:p w14:paraId="41D88BD1" w14:textId="77777777" w:rsidR="008518D2" w:rsidRPr="003A75B8" w:rsidRDefault="008518D2" w:rsidP="003A75B8">
            <w:pPr>
              <w:spacing w:before="40" w:after="40" w:line="220" w:lineRule="exact"/>
              <w:jc w:val="right"/>
              <w:rPr>
                <w:sz w:val="18"/>
                <w:szCs w:val="18"/>
              </w:rPr>
            </w:pPr>
            <w:r w:rsidRPr="003A75B8">
              <w:rPr>
                <w:sz w:val="18"/>
                <w:szCs w:val="18"/>
              </w:rPr>
              <w:t>43,6</w:t>
            </w:r>
          </w:p>
        </w:tc>
        <w:tc>
          <w:tcPr>
            <w:tcW w:w="736" w:type="dxa"/>
            <w:shd w:val="clear" w:color="auto" w:fill="auto"/>
            <w:vAlign w:val="bottom"/>
          </w:tcPr>
          <w:p w14:paraId="2B78B64E" w14:textId="77777777" w:rsidR="008518D2" w:rsidRPr="003A75B8" w:rsidRDefault="008518D2" w:rsidP="003A75B8">
            <w:pPr>
              <w:spacing w:before="40" w:after="40" w:line="220" w:lineRule="exact"/>
              <w:jc w:val="right"/>
              <w:rPr>
                <w:sz w:val="18"/>
                <w:szCs w:val="18"/>
              </w:rPr>
            </w:pPr>
            <w:r w:rsidRPr="003A75B8">
              <w:rPr>
                <w:sz w:val="18"/>
                <w:szCs w:val="18"/>
              </w:rPr>
              <w:t>42,1</w:t>
            </w:r>
          </w:p>
        </w:tc>
        <w:tc>
          <w:tcPr>
            <w:tcW w:w="736" w:type="dxa"/>
            <w:shd w:val="clear" w:color="auto" w:fill="auto"/>
            <w:vAlign w:val="bottom"/>
          </w:tcPr>
          <w:p w14:paraId="50F69EF5" w14:textId="77777777" w:rsidR="008518D2" w:rsidRPr="003A75B8" w:rsidRDefault="008518D2" w:rsidP="003A75B8">
            <w:pPr>
              <w:spacing w:before="40" w:after="40" w:line="220" w:lineRule="exact"/>
              <w:jc w:val="right"/>
              <w:rPr>
                <w:sz w:val="18"/>
                <w:szCs w:val="18"/>
              </w:rPr>
            </w:pPr>
            <w:r w:rsidRPr="003A75B8">
              <w:rPr>
                <w:sz w:val="18"/>
                <w:szCs w:val="18"/>
              </w:rPr>
              <w:t>42,0</w:t>
            </w:r>
          </w:p>
        </w:tc>
        <w:tc>
          <w:tcPr>
            <w:tcW w:w="736" w:type="dxa"/>
            <w:shd w:val="clear" w:color="auto" w:fill="auto"/>
            <w:vAlign w:val="bottom"/>
          </w:tcPr>
          <w:p w14:paraId="203D07EE" w14:textId="77777777" w:rsidR="008518D2" w:rsidRPr="003A75B8" w:rsidRDefault="008518D2" w:rsidP="003A75B8">
            <w:pPr>
              <w:spacing w:before="40" w:after="40" w:line="220" w:lineRule="exact"/>
              <w:jc w:val="right"/>
              <w:rPr>
                <w:sz w:val="18"/>
                <w:szCs w:val="18"/>
              </w:rPr>
            </w:pPr>
            <w:r w:rsidRPr="003A75B8">
              <w:rPr>
                <w:sz w:val="18"/>
                <w:szCs w:val="18"/>
              </w:rPr>
              <w:t>43,4</w:t>
            </w:r>
          </w:p>
        </w:tc>
        <w:tc>
          <w:tcPr>
            <w:tcW w:w="736" w:type="dxa"/>
            <w:shd w:val="clear" w:color="auto" w:fill="auto"/>
            <w:vAlign w:val="bottom"/>
          </w:tcPr>
          <w:p w14:paraId="6065F0A7" w14:textId="77777777" w:rsidR="008518D2" w:rsidRPr="003A75B8" w:rsidRDefault="008518D2" w:rsidP="003A75B8">
            <w:pPr>
              <w:spacing w:before="40" w:after="40" w:line="220" w:lineRule="exact"/>
              <w:jc w:val="right"/>
              <w:rPr>
                <w:sz w:val="18"/>
                <w:szCs w:val="18"/>
              </w:rPr>
            </w:pPr>
            <w:r w:rsidRPr="003A75B8">
              <w:rPr>
                <w:sz w:val="18"/>
                <w:szCs w:val="18"/>
              </w:rPr>
              <w:t>42,3</w:t>
            </w:r>
          </w:p>
        </w:tc>
      </w:tr>
      <w:tr w:rsidR="008518D2" w:rsidRPr="008518D2" w14:paraId="67AA8D2C" w14:textId="77777777" w:rsidTr="00765F9E">
        <w:tc>
          <w:tcPr>
            <w:tcW w:w="7370" w:type="dxa"/>
            <w:gridSpan w:val="8"/>
            <w:shd w:val="clear" w:color="auto" w:fill="auto"/>
          </w:tcPr>
          <w:p w14:paraId="1C363C0D" w14:textId="77777777" w:rsidR="008518D2" w:rsidRPr="003A75B8" w:rsidRDefault="008518D2" w:rsidP="003A75B8">
            <w:pPr>
              <w:spacing w:before="40" w:after="40" w:line="220" w:lineRule="exact"/>
              <w:rPr>
                <w:sz w:val="18"/>
                <w:szCs w:val="18"/>
              </w:rPr>
            </w:pPr>
            <w:r w:rsidRPr="003A75B8">
              <w:rPr>
                <w:b/>
                <w:bCs/>
                <w:sz w:val="18"/>
                <w:szCs w:val="18"/>
                <w:lang w:val="fr-FR" w:eastAsia="en-IE"/>
              </w:rPr>
              <w:t>Autres personnes âgées de 25 à 64 ans</w:t>
            </w:r>
          </w:p>
        </w:tc>
      </w:tr>
      <w:tr w:rsidR="008518D2" w:rsidRPr="00A14BE7" w14:paraId="56AEEABA" w14:textId="77777777" w:rsidTr="00765F9E">
        <w:tc>
          <w:tcPr>
            <w:tcW w:w="2216" w:type="dxa"/>
            <w:shd w:val="clear" w:color="auto" w:fill="auto"/>
          </w:tcPr>
          <w:p w14:paraId="14F6B1A5" w14:textId="77777777" w:rsidR="008518D2" w:rsidRPr="003A75B8" w:rsidRDefault="003A75B8" w:rsidP="003A75B8">
            <w:pPr>
              <w:spacing w:before="40" w:after="40" w:line="220" w:lineRule="exact"/>
              <w:rPr>
                <w:sz w:val="18"/>
                <w:szCs w:val="18"/>
              </w:rPr>
            </w:pPr>
            <w:r w:rsidRPr="003A75B8">
              <w:rPr>
                <w:b/>
                <w:bCs/>
                <w:sz w:val="18"/>
                <w:szCs w:val="18"/>
                <w:lang w:val="fr-FR" w:eastAsia="en-IE"/>
              </w:rPr>
              <w:t>Hommes</w:t>
            </w:r>
          </w:p>
        </w:tc>
        <w:tc>
          <w:tcPr>
            <w:tcW w:w="738" w:type="dxa"/>
            <w:shd w:val="clear" w:color="auto" w:fill="auto"/>
            <w:vAlign w:val="bottom"/>
          </w:tcPr>
          <w:p w14:paraId="5709C68E"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2D131798"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507CEC2C"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637D3889"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55EED6D4"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46B474E8"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3F5C5B8" w14:textId="77777777" w:rsidR="008518D2" w:rsidRPr="003A75B8" w:rsidRDefault="008518D2" w:rsidP="003A75B8">
            <w:pPr>
              <w:spacing w:before="40" w:after="40" w:line="220" w:lineRule="exact"/>
              <w:jc w:val="right"/>
              <w:rPr>
                <w:sz w:val="18"/>
                <w:szCs w:val="18"/>
              </w:rPr>
            </w:pPr>
          </w:p>
        </w:tc>
      </w:tr>
      <w:tr w:rsidR="003A75B8" w:rsidRPr="00A14BE7" w14:paraId="18BEE6B8" w14:textId="77777777" w:rsidTr="00765F9E">
        <w:tc>
          <w:tcPr>
            <w:tcW w:w="2216" w:type="dxa"/>
            <w:shd w:val="clear" w:color="auto" w:fill="auto"/>
          </w:tcPr>
          <w:p w14:paraId="0F6FB4F8"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4B7E47F0" w14:textId="77777777" w:rsidR="003A75B8" w:rsidRPr="003A75B8" w:rsidRDefault="003A75B8" w:rsidP="003A75B8">
            <w:pPr>
              <w:spacing w:before="40" w:after="40" w:line="220" w:lineRule="exact"/>
              <w:jc w:val="right"/>
              <w:rPr>
                <w:sz w:val="18"/>
                <w:szCs w:val="18"/>
              </w:rPr>
            </w:pPr>
            <w:r w:rsidRPr="003A75B8">
              <w:rPr>
                <w:sz w:val="18"/>
                <w:szCs w:val="18"/>
              </w:rPr>
              <w:t>84,9</w:t>
            </w:r>
          </w:p>
        </w:tc>
        <w:tc>
          <w:tcPr>
            <w:tcW w:w="736" w:type="dxa"/>
            <w:shd w:val="clear" w:color="auto" w:fill="auto"/>
            <w:vAlign w:val="bottom"/>
          </w:tcPr>
          <w:p w14:paraId="469AA4B8" w14:textId="77777777" w:rsidR="003A75B8" w:rsidRPr="003A75B8" w:rsidRDefault="003A75B8" w:rsidP="003A75B8">
            <w:pPr>
              <w:spacing w:before="40" w:after="40" w:line="220" w:lineRule="exact"/>
              <w:jc w:val="right"/>
              <w:rPr>
                <w:sz w:val="18"/>
                <w:szCs w:val="18"/>
              </w:rPr>
            </w:pPr>
            <w:r w:rsidRPr="003A75B8">
              <w:rPr>
                <w:sz w:val="18"/>
                <w:szCs w:val="18"/>
              </w:rPr>
              <w:t>85,1</w:t>
            </w:r>
          </w:p>
        </w:tc>
        <w:tc>
          <w:tcPr>
            <w:tcW w:w="736" w:type="dxa"/>
            <w:shd w:val="clear" w:color="auto" w:fill="auto"/>
            <w:vAlign w:val="bottom"/>
          </w:tcPr>
          <w:p w14:paraId="35ADFB37" w14:textId="77777777" w:rsidR="003A75B8" w:rsidRPr="003A75B8" w:rsidRDefault="003A75B8" w:rsidP="003A75B8">
            <w:pPr>
              <w:spacing w:before="40" w:after="40" w:line="220" w:lineRule="exact"/>
              <w:jc w:val="right"/>
              <w:rPr>
                <w:sz w:val="18"/>
                <w:szCs w:val="18"/>
              </w:rPr>
            </w:pPr>
            <w:r w:rsidRPr="003A75B8">
              <w:rPr>
                <w:sz w:val="18"/>
                <w:szCs w:val="18"/>
              </w:rPr>
              <w:t>85,1</w:t>
            </w:r>
          </w:p>
        </w:tc>
        <w:tc>
          <w:tcPr>
            <w:tcW w:w="736" w:type="dxa"/>
            <w:shd w:val="clear" w:color="auto" w:fill="auto"/>
            <w:vAlign w:val="bottom"/>
          </w:tcPr>
          <w:p w14:paraId="6E8B34AF" w14:textId="77777777" w:rsidR="003A75B8" w:rsidRPr="003A75B8" w:rsidRDefault="003A75B8" w:rsidP="003A75B8">
            <w:pPr>
              <w:spacing w:before="40" w:after="40" w:line="220" w:lineRule="exact"/>
              <w:jc w:val="right"/>
              <w:rPr>
                <w:sz w:val="18"/>
                <w:szCs w:val="18"/>
              </w:rPr>
            </w:pPr>
            <w:r w:rsidRPr="003A75B8">
              <w:rPr>
                <w:sz w:val="18"/>
                <w:szCs w:val="18"/>
              </w:rPr>
              <w:t>86,3</w:t>
            </w:r>
          </w:p>
        </w:tc>
        <w:tc>
          <w:tcPr>
            <w:tcW w:w="736" w:type="dxa"/>
            <w:shd w:val="clear" w:color="auto" w:fill="auto"/>
            <w:vAlign w:val="bottom"/>
          </w:tcPr>
          <w:p w14:paraId="6D711741" w14:textId="77777777" w:rsidR="003A75B8" w:rsidRPr="003A75B8" w:rsidRDefault="003A75B8" w:rsidP="003A75B8">
            <w:pPr>
              <w:spacing w:before="40" w:after="40" w:line="220" w:lineRule="exact"/>
              <w:jc w:val="right"/>
              <w:rPr>
                <w:sz w:val="18"/>
                <w:szCs w:val="18"/>
              </w:rPr>
            </w:pPr>
            <w:r w:rsidRPr="003A75B8">
              <w:rPr>
                <w:sz w:val="18"/>
                <w:szCs w:val="18"/>
              </w:rPr>
              <w:t>86,0</w:t>
            </w:r>
          </w:p>
        </w:tc>
        <w:tc>
          <w:tcPr>
            <w:tcW w:w="736" w:type="dxa"/>
            <w:shd w:val="clear" w:color="auto" w:fill="auto"/>
            <w:vAlign w:val="bottom"/>
          </w:tcPr>
          <w:p w14:paraId="26961838" w14:textId="77777777" w:rsidR="003A75B8" w:rsidRPr="003A75B8" w:rsidRDefault="003A75B8" w:rsidP="003A75B8">
            <w:pPr>
              <w:spacing w:before="40" w:after="40" w:line="220" w:lineRule="exact"/>
              <w:jc w:val="right"/>
              <w:rPr>
                <w:sz w:val="18"/>
                <w:szCs w:val="18"/>
              </w:rPr>
            </w:pPr>
            <w:r w:rsidRPr="003A75B8">
              <w:rPr>
                <w:sz w:val="18"/>
                <w:szCs w:val="18"/>
              </w:rPr>
              <w:t>87,0</w:t>
            </w:r>
          </w:p>
        </w:tc>
        <w:tc>
          <w:tcPr>
            <w:tcW w:w="736" w:type="dxa"/>
            <w:shd w:val="clear" w:color="auto" w:fill="auto"/>
            <w:vAlign w:val="bottom"/>
          </w:tcPr>
          <w:p w14:paraId="672BDCB5" w14:textId="77777777" w:rsidR="003A75B8" w:rsidRPr="003A75B8" w:rsidRDefault="003A75B8" w:rsidP="003A75B8">
            <w:pPr>
              <w:spacing w:before="40" w:after="40" w:line="220" w:lineRule="exact"/>
              <w:jc w:val="right"/>
              <w:rPr>
                <w:sz w:val="18"/>
                <w:szCs w:val="18"/>
              </w:rPr>
            </w:pPr>
            <w:r w:rsidRPr="003A75B8">
              <w:rPr>
                <w:sz w:val="18"/>
                <w:szCs w:val="18"/>
              </w:rPr>
              <w:t>86,2</w:t>
            </w:r>
          </w:p>
        </w:tc>
      </w:tr>
      <w:tr w:rsidR="003A75B8" w:rsidRPr="00A14BE7" w14:paraId="59FA1C2E" w14:textId="77777777" w:rsidTr="00765F9E">
        <w:tc>
          <w:tcPr>
            <w:tcW w:w="2216" w:type="dxa"/>
            <w:shd w:val="clear" w:color="auto" w:fill="auto"/>
          </w:tcPr>
          <w:p w14:paraId="6EA5E7F3"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6DC03D93" w14:textId="77777777" w:rsidR="003A75B8" w:rsidRPr="003A75B8" w:rsidRDefault="003A75B8" w:rsidP="003A75B8">
            <w:pPr>
              <w:spacing w:before="40" w:after="40" w:line="220" w:lineRule="exact"/>
              <w:jc w:val="right"/>
              <w:rPr>
                <w:sz w:val="18"/>
                <w:szCs w:val="18"/>
              </w:rPr>
            </w:pPr>
            <w:r w:rsidRPr="003A75B8">
              <w:rPr>
                <w:sz w:val="18"/>
                <w:szCs w:val="18"/>
              </w:rPr>
              <w:t>4,6</w:t>
            </w:r>
          </w:p>
        </w:tc>
        <w:tc>
          <w:tcPr>
            <w:tcW w:w="736" w:type="dxa"/>
            <w:shd w:val="clear" w:color="auto" w:fill="auto"/>
            <w:vAlign w:val="bottom"/>
          </w:tcPr>
          <w:p w14:paraId="03072A9D" w14:textId="77777777" w:rsidR="003A75B8" w:rsidRPr="003A75B8" w:rsidRDefault="003A75B8" w:rsidP="003A75B8">
            <w:pPr>
              <w:spacing w:before="40" w:after="40" w:line="220" w:lineRule="exact"/>
              <w:jc w:val="right"/>
              <w:rPr>
                <w:sz w:val="18"/>
                <w:szCs w:val="18"/>
              </w:rPr>
            </w:pPr>
            <w:r w:rsidRPr="003A75B8">
              <w:rPr>
                <w:sz w:val="18"/>
                <w:szCs w:val="18"/>
              </w:rPr>
              <w:t>4,8</w:t>
            </w:r>
          </w:p>
        </w:tc>
        <w:tc>
          <w:tcPr>
            <w:tcW w:w="736" w:type="dxa"/>
            <w:shd w:val="clear" w:color="auto" w:fill="auto"/>
            <w:vAlign w:val="bottom"/>
          </w:tcPr>
          <w:p w14:paraId="44FA8667" w14:textId="77777777" w:rsidR="003A75B8" w:rsidRPr="003A75B8" w:rsidRDefault="003A75B8" w:rsidP="003A75B8">
            <w:pPr>
              <w:spacing w:before="40" w:after="40" w:line="220" w:lineRule="exact"/>
              <w:jc w:val="right"/>
              <w:rPr>
                <w:sz w:val="18"/>
                <w:szCs w:val="18"/>
              </w:rPr>
            </w:pPr>
            <w:r w:rsidRPr="003A75B8">
              <w:rPr>
                <w:sz w:val="18"/>
                <w:szCs w:val="18"/>
              </w:rPr>
              <w:t>4,5</w:t>
            </w:r>
          </w:p>
        </w:tc>
        <w:tc>
          <w:tcPr>
            <w:tcW w:w="736" w:type="dxa"/>
            <w:shd w:val="clear" w:color="auto" w:fill="auto"/>
            <w:vAlign w:val="bottom"/>
          </w:tcPr>
          <w:p w14:paraId="5A02EE31" w14:textId="77777777" w:rsidR="003A75B8" w:rsidRPr="003A75B8" w:rsidRDefault="003A75B8" w:rsidP="003A75B8">
            <w:pPr>
              <w:spacing w:before="40" w:after="40" w:line="220" w:lineRule="exact"/>
              <w:jc w:val="right"/>
              <w:rPr>
                <w:sz w:val="18"/>
                <w:szCs w:val="18"/>
              </w:rPr>
            </w:pPr>
            <w:r w:rsidRPr="003A75B8">
              <w:rPr>
                <w:sz w:val="18"/>
                <w:szCs w:val="18"/>
              </w:rPr>
              <w:t>4,6</w:t>
            </w:r>
          </w:p>
        </w:tc>
        <w:tc>
          <w:tcPr>
            <w:tcW w:w="736" w:type="dxa"/>
            <w:shd w:val="clear" w:color="auto" w:fill="auto"/>
            <w:vAlign w:val="bottom"/>
          </w:tcPr>
          <w:p w14:paraId="3D78B74D" w14:textId="77777777" w:rsidR="003A75B8" w:rsidRPr="003A75B8" w:rsidRDefault="003A75B8" w:rsidP="003A75B8">
            <w:pPr>
              <w:spacing w:before="40" w:after="40" w:line="220" w:lineRule="exact"/>
              <w:jc w:val="right"/>
              <w:rPr>
                <w:sz w:val="18"/>
                <w:szCs w:val="18"/>
              </w:rPr>
            </w:pPr>
            <w:r w:rsidRPr="003A75B8">
              <w:rPr>
                <w:sz w:val="18"/>
                <w:szCs w:val="18"/>
              </w:rPr>
              <w:t>4,3</w:t>
            </w:r>
          </w:p>
        </w:tc>
        <w:tc>
          <w:tcPr>
            <w:tcW w:w="736" w:type="dxa"/>
            <w:shd w:val="clear" w:color="auto" w:fill="auto"/>
            <w:vAlign w:val="bottom"/>
          </w:tcPr>
          <w:p w14:paraId="5B1CD538" w14:textId="77777777" w:rsidR="003A75B8" w:rsidRPr="003A75B8" w:rsidRDefault="003A75B8" w:rsidP="003A75B8">
            <w:pPr>
              <w:spacing w:before="40" w:after="40" w:line="220" w:lineRule="exact"/>
              <w:jc w:val="right"/>
              <w:rPr>
                <w:sz w:val="18"/>
                <w:szCs w:val="18"/>
              </w:rPr>
            </w:pPr>
            <w:r w:rsidRPr="003A75B8">
              <w:rPr>
                <w:sz w:val="18"/>
                <w:szCs w:val="18"/>
              </w:rPr>
              <w:t>3,8</w:t>
            </w:r>
          </w:p>
        </w:tc>
        <w:tc>
          <w:tcPr>
            <w:tcW w:w="736" w:type="dxa"/>
            <w:shd w:val="clear" w:color="auto" w:fill="auto"/>
            <w:vAlign w:val="bottom"/>
          </w:tcPr>
          <w:p w14:paraId="7C2CB3C9" w14:textId="77777777" w:rsidR="003A75B8" w:rsidRPr="003A75B8" w:rsidRDefault="003A75B8" w:rsidP="003A75B8">
            <w:pPr>
              <w:spacing w:before="40" w:after="40" w:line="220" w:lineRule="exact"/>
              <w:jc w:val="right"/>
              <w:rPr>
                <w:sz w:val="18"/>
                <w:szCs w:val="18"/>
              </w:rPr>
            </w:pPr>
            <w:r w:rsidRPr="003A75B8">
              <w:rPr>
                <w:sz w:val="18"/>
                <w:szCs w:val="18"/>
              </w:rPr>
              <w:t>3,9</w:t>
            </w:r>
          </w:p>
        </w:tc>
      </w:tr>
      <w:tr w:rsidR="003A75B8" w:rsidRPr="00A14BE7" w14:paraId="4DD367C3" w14:textId="77777777" w:rsidTr="00765F9E">
        <w:tc>
          <w:tcPr>
            <w:tcW w:w="2216" w:type="dxa"/>
            <w:shd w:val="clear" w:color="auto" w:fill="auto"/>
          </w:tcPr>
          <w:p w14:paraId="6B17FBC8"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Inactifs</w:t>
            </w:r>
          </w:p>
        </w:tc>
        <w:tc>
          <w:tcPr>
            <w:tcW w:w="738" w:type="dxa"/>
            <w:shd w:val="clear" w:color="auto" w:fill="auto"/>
            <w:vAlign w:val="bottom"/>
          </w:tcPr>
          <w:p w14:paraId="12231727" w14:textId="77777777" w:rsidR="003A75B8" w:rsidRPr="003A75B8" w:rsidRDefault="003A75B8" w:rsidP="003A75B8">
            <w:pPr>
              <w:spacing w:before="40" w:after="40" w:line="220" w:lineRule="exact"/>
              <w:jc w:val="right"/>
              <w:rPr>
                <w:sz w:val="18"/>
                <w:szCs w:val="18"/>
              </w:rPr>
            </w:pPr>
            <w:r w:rsidRPr="003A75B8">
              <w:rPr>
                <w:sz w:val="18"/>
                <w:szCs w:val="18"/>
              </w:rPr>
              <w:t>10,5</w:t>
            </w:r>
          </w:p>
        </w:tc>
        <w:tc>
          <w:tcPr>
            <w:tcW w:w="736" w:type="dxa"/>
            <w:shd w:val="clear" w:color="auto" w:fill="auto"/>
            <w:vAlign w:val="bottom"/>
          </w:tcPr>
          <w:p w14:paraId="673BF16E" w14:textId="77777777" w:rsidR="003A75B8" w:rsidRPr="003A75B8" w:rsidRDefault="003A75B8" w:rsidP="003A75B8">
            <w:pPr>
              <w:spacing w:before="40" w:after="40" w:line="220" w:lineRule="exact"/>
              <w:jc w:val="right"/>
              <w:rPr>
                <w:sz w:val="18"/>
                <w:szCs w:val="18"/>
              </w:rPr>
            </w:pPr>
            <w:r w:rsidRPr="003A75B8">
              <w:rPr>
                <w:sz w:val="18"/>
                <w:szCs w:val="18"/>
              </w:rPr>
              <w:t>10,0</w:t>
            </w:r>
          </w:p>
        </w:tc>
        <w:tc>
          <w:tcPr>
            <w:tcW w:w="736" w:type="dxa"/>
            <w:shd w:val="clear" w:color="auto" w:fill="auto"/>
            <w:vAlign w:val="bottom"/>
          </w:tcPr>
          <w:p w14:paraId="01AA06FF" w14:textId="77777777" w:rsidR="003A75B8" w:rsidRPr="003A75B8" w:rsidRDefault="003A75B8" w:rsidP="003A75B8">
            <w:pPr>
              <w:spacing w:before="40" w:after="40" w:line="220" w:lineRule="exact"/>
              <w:jc w:val="right"/>
              <w:rPr>
                <w:sz w:val="18"/>
                <w:szCs w:val="18"/>
              </w:rPr>
            </w:pPr>
            <w:r w:rsidRPr="003A75B8">
              <w:rPr>
                <w:sz w:val="18"/>
                <w:szCs w:val="18"/>
              </w:rPr>
              <w:t>10,4</w:t>
            </w:r>
          </w:p>
        </w:tc>
        <w:tc>
          <w:tcPr>
            <w:tcW w:w="736" w:type="dxa"/>
            <w:shd w:val="clear" w:color="auto" w:fill="auto"/>
            <w:vAlign w:val="bottom"/>
          </w:tcPr>
          <w:p w14:paraId="72DB05AD" w14:textId="77777777" w:rsidR="003A75B8" w:rsidRPr="003A75B8" w:rsidRDefault="003A75B8" w:rsidP="003A75B8">
            <w:pPr>
              <w:spacing w:before="40" w:after="40" w:line="220" w:lineRule="exact"/>
              <w:jc w:val="right"/>
              <w:rPr>
                <w:sz w:val="18"/>
                <w:szCs w:val="18"/>
              </w:rPr>
            </w:pPr>
            <w:r w:rsidRPr="003A75B8">
              <w:rPr>
                <w:sz w:val="18"/>
                <w:szCs w:val="18"/>
              </w:rPr>
              <w:t>9,0</w:t>
            </w:r>
          </w:p>
        </w:tc>
        <w:tc>
          <w:tcPr>
            <w:tcW w:w="736" w:type="dxa"/>
            <w:shd w:val="clear" w:color="auto" w:fill="auto"/>
            <w:vAlign w:val="bottom"/>
          </w:tcPr>
          <w:p w14:paraId="5775C205" w14:textId="77777777" w:rsidR="003A75B8" w:rsidRPr="003A75B8" w:rsidRDefault="003A75B8" w:rsidP="003A75B8">
            <w:pPr>
              <w:spacing w:before="40" w:after="40" w:line="220" w:lineRule="exact"/>
              <w:jc w:val="right"/>
              <w:rPr>
                <w:sz w:val="18"/>
                <w:szCs w:val="18"/>
              </w:rPr>
            </w:pPr>
            <w:r w:rsidRPr="003A75B8">
              <w:rPr>
                <w:sz w:val="18"/>
                <w:szCs w:val="18"/>
              </w:rPr>
              <w:t>9,7</w:t>
            </w:r>
          </w:p>
        </w:tc>
        <w:tc>
          <w:tcPr>
            <w:tcW w:w="736" w:type="dxa"/>
            <w:shd w:val="clear" w:color="auto" w:fill="auto"/>
            <w:vAlign w:val="bottom"/>
          </w:tcPr>
          <w:p w14:paraId="5BA12F14" w14:textId="77777777" w:rsidR="003A75B8" w:rsidRPr="003A75B8" w:rsidRDefault="003A75B8" w:rsidP="003A75B8">
            <w:pPr>
              <w:spacing w:before="40" w:after="40" w:line="220" w:lineRule="exact"/>
              <w:jc w:val="right"/>
              <w:rPr>
                <w:sz w:val="18"/>
                <w:szCs w:val="18"/>
              </w:rPr>
            </w:pPr>
            <w:r w:rsidRPr="003A75B8">
              <w:rPr>
                <w:sz w:val="18"/>
                <w:szCs w:val="18"/>
              </w:rPr>
              <w:t>9,2</w:t>
            </w:r>
          </w:p>
        </w:tc>
        <w:tc>
          <w:tcPr>
            <w:tcW w:w="736" w:type="dxa"/>
            <w:shd w:val="clear" w:color="auto" w:fill="auto"/>
            <w:vAlign w:val="bottom"/>
          </w:tcPr>
          <w:p w14:paraId="5197F65E" w14:textId="77777777" w:rsidR="003A75B8" w:rsidRPr="003A75B8" w:rsidRDefault="003A75B8" w:rsidP="003A75B8">
            <w:pPr>
              <w:spacing w:before="40" w:after="40" w:line="220" w:lineRule="exact"/>
              <w:jc w:val="right"/>
              <w:rPr>
                <w:sz w:val="18"/>
                <w:szCs w:val="18"/>
              </w:rPr>
            </w:pPr>
            <w:r w:rsidRPr="003A75B8">
              <w:rPr>
                <w:sz w:val="18"/>
                <w:szCs w:val="18"/>
              </w:rPr>
              <w:t>9,9</w:t>
            </w:r>
          </w:p>
        </w:tc>
      </w:tr>
      <w:tr w:rsidR="008518D2" w:rsidRPr="00A14BE7" w14:paraId="32784626" w14:textId="77777777" w:rsidTr="00765F9E">
        <w:tc>
          <w:tcPr>
            <w:tcW w:w="2216" w:type="dxa"/>
            <w:shd w:val="clear" w:color="auto" w:fill="auto"/>
          </w:tcPr>
          <w:p w14:paraId="42408818" w14:textId="77777777" w:rsidR="008518D2" w:rsidRPr="003A75B8" w:rsidRDefault="003A75B8" w:rsidP="003A75B8">
            <w:pPr>
              <w:spacing w:before="40" w:after="40" w:line="220" w:lineRule="exact"/>
              <w:rPr>
                <w:sz w:val="18"/>
                <w:szCs w:val="18"/>
                <w:lang w:val="fr-FR" w:eastAsia="en-IE"/>
              </w:rPr>
            </w:pPr>
            <w:r w:rsidRPr="003A75B8">
              <w:rPr>
                <w:b/>
                <w:bCs/>
                <w:sz w:val="18"/>
                <w:szCs w:val="18"/>
                <w:lang w:val="fr-FR" w:eastAsia="en-IE"/>
              </w:rPr>
              <w:t>Femmes</w:t>
            </w:r>
          </w:p>
        </w:tc>
        <w:tc>
          <w:tcPr>
            <w:tcW w:w="738" w:type="dxa"/>
            <w:shd w:val="clear" w:color="auto" w:fill="auto"/>
            <w:vAlign w:val="bottom"/>
          </w:tcPr>
          <w:p w14:paraId="40B1DBE8" w14:textId="77777777" w:rsidR="008518D2" w:rsidRPr="003A75B8" w:rsidRDefault="008518D2" w:rsidP="003A75B8">
            <w:pPr>
              <w:spacing w:before="40" w:after="40" w:line="220" w:lineRule="exact"/>
              <w:jc w:val="right"/>
              <w:rPr>
                <w:sz w:val="18"/>
                <w:szCs w:val="18"/>
                <w:lang w:eastAsia="en-IE"/>
              </w:rPr>
            </w:pPr>
          </w:p>
        </w:tc>
        <w:tc>
          <w:tcPr>
            <w:tcW w:w="736" w:type="dxa"/>
            <w:shd w:val="clear" w:color="auto" w:fill="auto"/>
            <w:vAlign w:val="bottom"/>
          </w:tcPr>
          <w:p w14:paraId="024E2F4C"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0C792C30"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1FA0DC0C"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79268214"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55592007" w14:textId="77777777" w:rsidR="008518D2" w:rsidRPr="003A75B8" w:rsidRDefault="008518D2" w:rsidP="003A75B8">
            <w:pPr>
              <w:spacing w:before="40" w:after="40" w:line="220" w:lineRule="exact"/>
              <w:jc w:val="right"/>
              <w:rPr>
                <w:sz w:val="18"/>
                <w:szCs w:val="18"/>
              </w:rPr>
            </w:pPr>
          </w:p>
        </w:tc>
        <w:tc>
          <w:tcPr>
            <w:tcW w:w="736" w:type="dxa"/>
            <w:shd w:val="clear" w:color="auto" w:fill="auto"/>
            <w:vAlign w:val="bottom"/>
          </w:tcPr>
          <w:p w14:paraId="572E9E35" w14:textId="77777777" w:rsidR="008518D2" w:rsidRPr="003A75B8" w:rsidRDefault="008518D2" w:rsidP="003A75B8">
            <w:pPr>
              <w:spacing w:before="40" w:after="40" w:line="220" w:lineRule="exact"/>
              <w:jc w:val="right"/>
              <w:rPr>
                <w:sz w:val="18"/>
                <w:szCs w:val="18"/>
              </w:rPr>
            </w:pPr>
          </w:p>
        </w:tc>
      </w:tr>
      <w:tr w:rsidR="003A75B8" w:rsidRPr="00A14BE7" w14:paraId="5242DEDB" w14:textId="77777777" w:rsidTr="00765F9E">
        <w:tc>
          <w:tcPr>
            <w:tcW w:w="2216" w:type="dxa"/>
            <w:shd w:val="clear" w:color="auto" w:fill="auto"/>
          </w:tcPr>
          <w:p w14:paraId="4B27F30D"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Actives avec emploi</w:t>
            </w:r>
          </w:p>
        </w:tc>
        <w:tc>
          <w:tcPr>
            <w:tcW w:w="738" w:type="dxa"/>
            <w:shd w:val="clear" w:color="auto" w:fill="auto"/>
            <w:vAlign w:val="bottom"/>
          </w:tcPr>
          <w:p w14:paraId="56A40BFE" w14:textId="77777777" w:rsidR="003A75B8" w:rsidRPr="003A75B8" w:rsidRDefault="003A75B8" w:rsidP="003A75B8">
            <w:pPr>
              <w:spacing w:before="40" w:after="40" w:line="220" w:lineRule="exact"/>
              <w:jc w:val="right"/>
              <w:rPr>
                <w:sz w:val="18"/>
                <w:szCs w:val="18"/>
              </w:rPr>
            </w:pPr>
            <w:r w:rsidRPr="003A75B8">
              <w:rPr>
                <w:sz w:val="18"/>
                <w:szCs w:val="18"/>
              </w:rPr>
              <w:t>71,8</w:t>
            </w:r>
          </w:p>
        </w:tc>
        <w:tc>
          <w:tcPr>
            <w:tcW w:w="736" w:type="dxa"/>
            <w:shd w:val="clear" w:color="auto" w:fill="auto"/>
            <w:vAlign w:val="bottom"/>
          </w:tcPr>
          <w:p w14:paraId="6E6CFA0B" w14:textId="77777777" w:rsidR="003A75B8" w:rsidRPr="003A75B8" w:rsidRDefault="003A75B8" w:rsidP="003A75B8">
            <w:pPr>
              <w:spacing w:before="40" w:after="40" w:line="220" w:lineRule="exact"/>
              <w:jc w:val="right"/>
              <w:rPr>
                <w:sz w:val="18"/>
                <w:szCs w:val="18"/>
              </w:rPr>
            </w:pPr>
            <w:r w:rsidRPr="003A75B8">
              <w:rPr>
                <w:sz w:val="18"/>
                <w:szCs w:val="18"/>
              </w:rPr>
              <w:t>72,2</w:t>
            </w:r>
          </w:p>
        </w:tc>
        <w:tc>
          <w:tcPr>
            <w:tcW w:w="736" w:type="dxa"/>
            <w:shd w:val="clear" w:color="auto" w:fill="auto"/>
            <w:vAlign w:val="bottom"/>
          </w:tcPr>
          <w:p w14:paraId="65C171FA" w14:textId="77777777" w:rsidR="003A75B8" w:rsidRPr="003A75B8" w:rsidRDefault="003A75B8" w:rsidP="003A75B8">
            <w:pPr>
              <w:spacing w:before="40" w:after="40" w:line="220" w:lineRule="exact"/>
              <w:jc w:val="right"/>
              <w:rPr>
                <w:sz w:val="18"/>
                <w:szCs w:val="18"/>
              </w:rPr>
            </w:pPr>
            <w:r w:rsidRPr="003A75B8">
              <w:rPr>
                <w:sz w:val="18"/>
                <w:szCs w:val="18"/>
              </w:rPr>
              <w:t>72,5</w:t>
            </w:r>
          </w:p>
        </w:tc>
        <w:tc>
          <w:tcPr>
            <w:tcW w:w="736" w:type="dxa"/>
            <w:shd w:val="clear" w:color="auto" w:fill="auto"/>
            <w:vAlign w:val="bottom"/>
          </w:tcPr>
          <w:p w14:paraId="493E78EF" w14:textId="77777777" w:rsidR="003A75B8" w:rsidRPr="003A75B8" w:rsidRDefault="003A75B8" w:rsidP="003A75B8">
            <w:pPr>
              <w:spacing w:before="40" w:after="40" w:line="220" w:lineRule="exact"/>
              <w:jc w:val="right"/>
              <w:rPr>
                <w:sz w:val="18"/>
                <w:szCs w:val="18"/>
              </w:rPr>
            </w:pPr>
            <w:r w:rsidRPr="003A75B8">
              <w:rPr>
                <w:sz w:val="18"/>
                <w:szCs w:val="18"/>
              </w:rPr>
              <w:t>73,2</w:t>
            </w:r>
          </w:p>
        </w:tc>
        <w:tc>
          <w:tcPr>
            <w:tcW w:w="736" w:type="dxa"/>
            <w:shd w:val="clear" w:color="auto" w:fill="auto"/>
            <w:vAlign w:val="bottom"/>
          </w:tcPr>
          <w:p w14:paraId="7CB23EFD" w14:textId="77777777" w:rsidR="003A75B8" w:rsidRPr="003A75B8" w:rsidRDefault="003A75B8" w:rsidP="003A75B8">
            <w:pPr>
              <w:spacing w:before="40" w:after="40" w:line="220" w:lineRule="exact"/>
              <w:jc w:val="right"/>
              <w:rPr>
                <w:sz w:val="18"/>
                <w:szCs w:val="18"/>
              </w:rPr>
            </w:pPr>
            <w:r w:rsidRPr="003A75B8">
              <w:rPr>
                <w:sz w:val="18"/>
                <w:szCs w:val="18"/>
              </w:rPr>
              <w:t>74,0</w:t>
            </w:r>
          </w:p>
        </w:tc>
        <w:tc>
          <w:tcPr>
            <w:tcW w:w="736" w:type="dxa"/>
            <w:shd w:val="clear" w:color="auto" w:fill="auto"/>
            <w:vAlign w:val="bottom"/>
          </w:tcPr>
          <w:p w14:paraId="5D276BC4" w14:textId="77777777" w:rsidR="003A75B8" w:rsidRPr="003A75B8" w:rsidRDefault="003A75B8" w:rsidP="003A75B8">
            <w:pPr>
              <w:spacing w:before="40" w:after="40" w:line="220" w:lineRule="exact"/>
              <w:jc w:val="right"/>
              <w:rPr>
                <w:sz w:val="18"/>
                <w:szCs w:val="18"/>
              </w:rPr>
            </w:pPr>
            <w:r w:rsidRPr="003A75B8">
              <w:rPr>
                <w:sz w:val="18"/>
                <w:szCs w:val="18"/>
              </w:rPr>
              <w:t>74,1</w:t>
            </w:r>
          </w:p>
        </w:tc>
        <w:tc>
          <w:tcPr>
            <w:tcW w:w="736" w:type="dxa"/>
            <w:shd w:val="clear" w:color="auto" w:fill="auto"/>
            <w:vAlign w:val="bottom"/>
          </w:tcPr>
          <w:p w14:paraId="4C5E21C8" w14:textId="77777777" w:rsidR="003A75B8" w:rsidRPr="003A75B8" w:rsidRDefault="003A75B8" w:rsidP="003A75B8">
            <w:pPr>
              <w:spacing w:before="40" w:after="40" w:line="220" w:lineRule="exact"/>
              <w:jc w:val="right"/>
              <w:rPr>
                <w:sz w:val="18"/>
                <w:szCs w:val="18"/>
              </w:rPr>
            </w:pPr>
            <w:r w:rsidRPr="003A75B8">
              <w:rPr>
                <w:sz w:val="18"/>
                <w:szCs w:val="18"/>
              </w:rPr>
              <w:t>74,4</w:t>
            </w:r>
          </w:p>
        </w:tc>
      </w:tr>
      <w:tr w:rsidR="003A75B8" w:rsidRPr="00A14BE7" w14:paraId="0BA8CB26" w14:textId="77777777" w:rsidTr="00765F9E">
        <w:tc>
          <w:tcPr>
            <w:tcW w:w="2216" w:type="dxa"/>
            <w:shd w:val="clear" w:color="auto" w:fill="auto"/>
          </w:tcPr>
          <w:p w14:paraId="6A6C524B"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589E062C" w14:textId="77777777" w:rsidR="003A75B8" w:rsidRPr="003A75B8" w:rsidRDefault="003A75B8" w:rsidP="003A75B8">
            <w:pPr>
              <w:spacing w:before="40" w:after="40" w:line="220" w:lineRule="exact"/>
              <w:jc w:val="right"/>
              <w:rPr>
                <w:sz w:val="18"/>
                <w:szCs w:val="18"/>
              </w:rPr>
            </w:pPr>
            <w:r w:rsidRPr="003A75B8">
              <w:rPr>
                <w:sz w:val="18"/>
                <w:szCs w:val="18"/>
              </w:rPr>
              <w:t>4,2</w:t>
            </w:r>
          </w:p>
        </w:tc>
        <w:tc>
          <w:tcPr>
            <w:tcW w:w="736" w:type="dxa"/>
            <w:shd w:val="clear" w:color="auto" w:fill="auto"/>
            <w:vAlign w:val="bottom"/>
          </w:tcPr>
          <w:p w14:paraId="415FBAA6" w14:textId="77777777" w:rsidR="003A75B8" w:rsidRPr="003A75B8" w:rsidRDefault="003A75B8" w:rsidP="003A75B8">
            <w:pPr>
              <w:spacing w:before="40" w:after="40" w:line="220" w:lineRule="exact"/>
              <w:jc w:val="right"/>
              <w:rPr>
                <w:sz w:val="18"/>
                <w:szCs w:val="18"/>
              </w:rPr>
            </w:pPr>
            <w:r w:rsidRPr="003A75B8">
              <w:rPr>
                <w:sz w:val="18"/>
                <w:szCs w:val="18"/>
              </w:rPr>
              <w:t>4,3</w:t>
            </w:r>
          </w:p>
        </w:tc>
        <w:tc>
          <w:tcPr>
            <w:tcW w:w="736" w:type="dxa"/>
            <w:shd w:val="clear" w:color="auto" w:fill="auto"/>
            <w:vAlign w:val="bottom"/>
          </w:tcPr>
          <w:p w14:paraId="10884507" w14:textId="77777777" w:rsidR="003A75B8" w:rsidRPr="003A75B8" w:rsidRDefault="003A75B8" w:rsidP="003A75B8">
            <w:pPr>
              <w:spacing w:before="40" w:after="40" w:line="220" w:lineRule="exact"/>
              <w:jc w:val="right"/>
              <w:rPr>
                <w:sz w:val="18"/>
                <w:szCs w:val="18"/>
              </w:rPr>
            </w:pPr>
            <w:r w:rsidRPr="003A75B8">
              <w:rPr>
                <w:sz w:val="18"/>
                <w:szCs w:val="18"/>
              </w:rPr>
              <w:t>3,6</w:t>
            </w:r>
          </w:p>
        </w:tc>
        <w:tc>
          <w:tcPr>
            <w:tcW w:w="736" w:type="dxa"/>
            <w:shd w:val="clear" w:color="auto" w:fill="auto"/>
            <w:vAlign w:val="bottom"/>
          </w:tcPr>
          <w:p w14:paraId="56CCE566" w14:textId="77777777" w:rsidR="003A75B8" w:rsidRPr="003A75B8" w:rsidRDefault="003A75B8" w:rsidP="003A75B8">
            <w:pPr>
              <w:spacing w:before="40" w:after="40" w:line="220" w:lineRule="exact"/>
              <w:jc w:val="right"/>
              <w:rPr>
                <w:sz w:val="18"/>
                <w:szCs w:val="18"/>
              </w:rPr>
            </w:pPr>
            <w:r w:rsidRPr="003A75B8">
              <w:rPr>
                <w:sz w:val="18"/>
                <w:szCs w:val="18"/>
              </w:rPr>
              <w:t>4,2</w:t>
            </w:r>
          </w:p>
        </w:tc>
        <w:tc>
          <w:tcPr>
            <w:tcW w:w="736" w:type="dxa"/>
            <w:shd w:val="clear" w:color="auto" w:fill="auto"/>
            <w:vAlign w:val="bottom"/>
          </w:tcPr>
          <w:p w14:paraId="0D895B51" w14:textId="77777777" w:rsidR="003A75B8" w:rsidRPr="003A75B8" w:rsidRDefault="003A75B8" w:rsidP="003A75B8">
            <w:pPr>
              <w:spacing w:before="40" w:after="40" w:line="220" w:lineRule="exact"/>
              <w:jc w:val="right"/>
              <w:rPr>
                <w:sz w:val="18"/>
                <w:szCs w:val="18"/>
              </w:rPr>
            </w:pPr>
            <w:r w:rsidRPr="003A75B8">
              <w:rPr>
                <w:sz w:val="18"/>
                <w:szCs w:val="18"/>
              </w:rPr>
              <w:t>3,7</w:t>
            </w:r>
          </w:p>
        </w:tc>
        <w:tc>
          <w:tcPr>
            <w:tcW w:w="736" w:type="dxa"/>
            <w:shd w:val="clear" w:color="auto" w:fill="auto"/>
            <w:vAlign w:val="bottom"/>
          </w:tcPr>
          <w:p w14:paraId="6980DD0F" w14:textId="77777777" w:rsidR="003A75B8" w:rsidRPr="003A75B8" w:rsidRDefault="003A75B8" w:rsidP="003A75B8">
            <w:pPr>
              <w:spacing w:before="40" w:after="40" w:line="220" w:lineRule="exact"/>
              <w:jc w:val="right"/>
              <w:rPr>
                <w:sz w:val="18"/>
                <w:szCs w:val="18"/>
              </w:rPr>
            </w:pPr>
            <w:r w:rsidRPr="003A75B8">
              <w:rPr>
                <w:sz w:val="18"/>
                <w:szCs w:val="18"/>
              </w:rPr>
              <w:t>3,6</w:t>
            </w:r>
          </w:p>
        </w:tc>
        <w:tc>
          <w:tcPr>
            <w:tcW w:w="736" w:type="dxa"/>
            <w:shd w:val="clear" w:color="auto" w:fill="auto"/>
            <w:vAlign w:val="bottom"/>
          </w:tcPr>
          <w:p w14:paraId="0FAD6FDB" w14:textId="77777777" w:rsidR="003A75B8" w:rsidRPr="003A75B8" w:rsidRDefault="003A75B8" w:rsidP="003A75B8">
            <w:pPr>
              <w:spacing w:before="40" w:after="40" w:line="220" w:lineRule="exact"/>
              <w:jc w:val="right"/>
              <w:rPr>
                <w:sz w:val="18"/>
                <w:szCs w:val="18"/>
              </w:rPr>
            </w:pPr>
            <w:r w:rsidRPr="003A75B8">
              <w:rPr>
                <w:sz w:val="18"/>
                <w:szCs w:val="18"/>
              </w:rPr>
              <w:t>3,5</w:t>
            </w:r>
          </w:p>
        </w:tc>
      </w:tr>
      <w:tr w:rsidR="003A75B8" w:rsidRPr="00A14BE7" w14:paraId="5EE367C7" w14:textId="77777777" w:rsidTr="00765F9E">
        <w:tc>
          <w:tcPr>
            <w:tcW w:w="2216" w:type="dxa"/>
            <w:shd w:val="clear" w:color="auto" w:fill="auto"/>
          </w:tcPr>
          <w:p w14:paraId="6586392F"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Inactives</w:t>
            </w:r>
          </w:p>
        </w:tc>
        <w:tc>
          <w:tcPr>
            <w:tcW w:w="738" w:type="dxa"/>
            <w:shd w:val="clear" w:color="auto" w:fill="auto"/>
            <w:vAlign w:val="bottom"/>
          </w:tcPr>
          <w:p w14:paraId="694CABBE" w14:textId="77777777" w:rsidR="003A75B8" w:rsidRPr="003A75B8" w:rsidRDefault="003A75B8" w:rsidP="003A75B8">
            <w:pPr>
              <w:spacing w:before="40" w:after="40" w:line="220" w:lineRule="exact"/>
              <w:jc w:val="right"/>
              <w:rPr>
                <w:sz w:val="18"/>
                <w:szCs w:val="18"/>
              </w:rPr>
            </w:pPr>
            <w:r w:rsidRPr="003A75B8">
              <w:rPr>
                <w:sz w:val="18"/>
                <w:szCs w:val="18"/>
              </w:rPr>
              <w:t>24,0</w:t>
            </w:r>
          </w:p>
        </w:tc>
        <w:tc>
          <w:tcPr>
            <w:tcW w:w="736" w:type="dxa"/>
            <w:shd w:val="clear" w:color="auto" w:fill="auto"/>
            <w:vAlign w:val="bottom"/>
          </w:tcPr>
          <w:p w14:paraId="3D6598E7" w14:textId="77777777" w:rsidR="003A75B8" w:rsidRPr="003A75B8" w:rsidRDefault="003A75B8" w:rsidP="003A75B8">
            <w:pPr>
              <w:spacing w:before="40" w:after="40" w:line="220" w:lineRule="exact"/>
              <w:jc w:val="right"/>
              <w:rPr>
                <w:sz w:val="18"/>
                <w:szCs w:val="18"/>
              </w:rPr>
            </w:pPr>
            <w:r w:rsidRPr="003A75B8">
              <w:rPr>
                <w:sz w:val="18"/>
                <w:szCs w:val="18"/>
              </w:rPr>
              <w:t>23,5</w:t>
            </w:r>
          </w:p>
        </w:tc>
        <w:tc>
          <w:tcPr>
            <w:tcW w:w="736" w:type="dxa"/>
            <w:shd w:val="clear" w:color="auto" w:fill="auto"/>
            <w:vAlign w:val="bottom"/>
          </w:tcPr>
          <w:p w14:paraId="7DA79993" w14:textId="77777777" w:rsidR="003A75B8" w:rsidRPr="003A75B8" w:rsidRDefault="003A75B8" w:rsidP="003A75B8">
            <w:pPr>
              <w:spacing w:before="40" w:after="40" w:line="220" w:lineRule="exact"/>
              <w:jc w:val="right"/>
              <w:rPr>
                <w:sz w:val="18"/>
                <w:szCs w:val="18"/>
              </w:rPr>
            </w:pPr>
            <w:r w:rsidRPr="003A75B8">
              <w:rPr>
                <w:sz w:val="18"/>
                <w:szCs w:val="18"/>
              </w:rPr>
              <w:t>23,9</w:t>
            </w:r>
          </w:p>
        </w:tc>
        <w:tc>
          <w:tcPr>
            <w:tcW w:w="736" w:type="dxa"/>
            <w:shd w:val="clear" w:color="auto" w:fill="auto"/>
            <w:vAlign w:val="bottom"/>
          </w:tcPr>
          <w:p w14:paraId="21BB9D6E" w14:textId="77777777" w:rsidR="003A75B8" w:rsidRPr="003A75B8" w:rsidRDefault="003A75B8" w:rsidP="003A75B8">
            <w:pPr>
              <w:spacing w:before="40" w:after="40" w:line="220" w:lineRule="exact"/>
              <w:jc w:val="right"/>
              <w:rPr>
                <w:sz w:val="18"/>
                <w:szCs w:val="18"/>
              </w:rPr>
            </w:pPr>
            <w:r w:rsidRPr="003A75B8">
              <w:rPr>
                <w:sz w:val="18"/>
                <w:szCs w:val="18"/>
              </w:rPr>
              <w:t>22,6</w:t>
            </w:r>
          </w:p>
        </w:tc>
        <w:tc>
          <w:tcPr>
            <w:tcW w:w="736" w:type="dxa"/>
            <w:shd w:val="clear" w:color="auto" w:fill="auto"/>
            <w:vAlign w:val="bottom"/>
          </w:tcPr>
          <w:p w14:paraId="359356B5" w14:textId="77777777" w:rsidR="003A75B8" w:rsidRPr="003A75B8" w:rsidRDefault="003A75B8" w:rsidP="003A75B8">
            <w:pPr>
              <w:spacing w:before="40" w:after="40" w:line="220" w:lineRule="exact"/>
              <w:jc w:val="right"/>
              <w:rPr>
                <w:sz w:val="18"/>
                <w:szCs w:val="18"/>
              </w:rPr>
            </w:pPr>
            <w:r w:rsidRPr="003A75B8">
              <w:rPr>
                <w:sz w:val="18"/>
                <w:szCs w:val="18"/>
              </w:rPr>
              <w:t>22,3</w:t>
            </w:r>
          </w:p>
        </w:tc>
        <w:tc>
          <w:tcPr>
            <w:tcW w:w="736" w:type="dxa"/>
            <w:shd w:val="clear" w:color="auto" w:fill="auto"/>
            <w:vAlign w:val="bottom"/>
          </w:tcPr>
          <w:p w14:paraId="70723E1C" w14:textId="77777777" w:rsidR="003A75B8" w:rsidRPr="003A75B8" w:rsidRDefault="003A75B8" w:rsidP="003A75B8">
            <w:pPr>
              <w:spacing w:before="40" w:after="40" w:line="220" w:lineRule="exact"/>
              <w:jc w:val="right"/>
              <w:rPr>
                <w:sz w:val="18"/>
                <w:szCs w:val="18"/>
              </w:rPr>
            </w:pPr>
            <w:r w:rsidRPr="003A75B8">
              <w:rPr>
                <w:sz w:val="18"/>
                <w:szCs w:val="18"/>
              </w:rPr>
              <w:t>22,3</w:t>
            </w:r>
          </w:p>
        </w:tc>
        <w:tc>
          <w:tcPr>
            <w:tcW w:w="736" w:type="dxa"/>
            <w:shd w:val="clear" w:color="auto" w:fill="auto"/>
            <w:vAlign w:val="bottom"/>
          </w:tcPr>
          <w:p w14:paraId="69C5A8A3" w14:textId="77777777" w:rsidR="003A75B8" w:rsidRPr="003A75B8" w:rsidRDefault="003A75B8" w:rsidP="003A75B8">
            <w:pPr>
              <w:spacing w:before="40" w:after="40" w:line="220" w:lineRule="exact"/>
              <w:jc w:val="right"/>
              <w:rPr>
                <w:sz w:val="18"/>
                <w:szCs w:val="18"/>
              </w:rPr>
            </w:pPr>
            <w:r w:rsidRPr="003A75B8">
              <w:rPr>
                <w:sz w:val="18"/>
                <w:szCs w:val="18"/>
              </w:rPr>
              <w:t>22,1</w:t>
            </w:r>
          </w:p>
        </w:tc>
      </w:tr>
      <w:tr w:rsidR="003A75B8" w:rsidRPr="00A14BE7" w14:paraId="017BEA68" w14:textId="77777777" w:rsidTr="00765F9E">
        <w:tc>
          <w:tcPr>
            <w:tcW w:w="2216" w:type="dxa"/>
            <w:shd w:val="clear" w:color="auto" w:fill="auto"/>
          </w:tcPr>
          <w:p w14:paraId="55113314" w14:textId="77777777" w:rsidR="003A75B8" w:rsidRPr="003A75B8" w:rsidRDefault="00A0716B" w:rsidP="003A75B8">
            <w:pPr>
              <w:spacing w:before="40" w:after="40" w:line="220" w:lineRule="exact"/>
              <w:rPr>
                <w:b/>
                <w:bCs/>
                <w:sz w:val="18"/>
                <w:szCs w:val="18"/>
                <w:lang w:val="fr-FR" w:eastAsia="en-IE"/>
              </w:rPr>
            </w:pPr>
            <w:r w:rsidRPr="00A0716B">
              <w:rPr>
                <w:b/>
                <w:bCs/>
                <w:spacing w:val="-2"/>
                <w:sz w:val="18"/>
                <w:szCs w:val="18"/>
                <w:lang w:val="fr-FR" w:eastAsia="en-IE"/>
              </w:rPr>
              <w:t>Toutes personnes confondues</w:t>
            </w:r>
          </w:p>
        </w:tc>
        <w:tc>
          <w:tcPr>
            <w:tcW w:w="738" w:type="dxa"/>
            <w:shd w:val="clear" w:color="auto" w:fill="auto"/>
            <w:vAlign w:val="bottom"/>
          </w:tcPr>
          <w:p w14:paraId="0FE174CA" w14:textId="77777777" w:rsidR="003A75B8" w:rsidRPr="003A75B8" w:rsidRDefault="003A75B8" w:rsidP="003A75B8">
            <w:pPr>
              <w:spacing w:before="40" w:after="40" w:line="220" w:lineRule="exact"/>
              <w:jc w:val="right"/>
              <w:rPr>
                <w:sz w:val="18"/>
                <w:szCs w:val="18"/>
                <w:lang w:eastAsia="en-IE"/>
              </w:rPr>
            </w:pPr>
          </w:p>
        </w:tc>
        <w:tc>
          <w:tcPr>
            <w:tcW w:w="736" w:type="dxa"/>
            <w:shd w:val="clear" w:color="auto" w:fill="auto"/>
            <w:vAlign w:val="bottom"/>
          </w:tcPr>
          <w:p w14:paraId="574A19C9" w14:textId="77777777" w:rsidR="003A75B8" w:rsidRPr="003A75B8" w:rsidRDefault="003A75B8" w:rsidP="003A75B8">
            <w:pPr>
              <w:spacing w:before="40" w:after="40" w:line="220" w:lineRule="exact"/>
              <w:jc w:val="right"/>
              <w:rPr>
                <w:sz w:val="18"/>
                <w:szCs w:val="18"/>
              </w:rPr>
            </w:pPr>
          </w:p>
        </w:tc>
        <w:tc>
          <w:tcPr>
            <w:tcW w:w="736" w:type="dxa"/>
            <w:shd w:val="clear" w:color="auto" w:fill="auto"/>
            <w:vAlign w:val="bottom"/>
          </w:tcPr>
          <w:p w14:paraId="50CC1AE5" w14:textId="77777777" w:rsidR="003A75B8" w:rsidRPr="003A75B8" w:rsidRDefault="003A75B8" w:rsidP="003A75B8">
            <w:pPr>
              <w:spacing w:before="40" w:after="40" w:line="220" w:lineRule="exact"/>
              <w:jc w:val="right"/>
              <w:rPr>
                <w:sz w:val="18"/>
                <w:szCs w:val="18"/>
              </w:rPr>
            </w:pPr>
          </w:p>
        </w:tc>
        <w:tc>
          <w:tcPr>
            <w:tcW w:w="736" w:type="dxa"/>
            <w:shd w:val="clear" w:color="auto" w:fill="auto"/>
            <w:vAlign w:val="bottom"/>
          </w:tcPr>
          <w:p w14:paraId="4130AC17" w14:textId="77777777" w:rsidR="003A75B8" w:rsidRPr="003A75B8" w:rsidRDefault="003A75B8" w:rsidP="003A75B8">
            <w:pPr>
              <w:spacing w:before="40" w:after="40" w:line="220" w:lineRule="exact"/>
              <w:jc w:val="right"/>
              <w:rPr>
                <w:sz w:val="18"/>
                <w:szCs w:val="18"/>
              </w:rPr>
            </w:pPr>
          </w:p>
        </w:tc>
        <w:tc>
          <w:tcPr>
            <w:tcW w:w="736" w:type="dxa"/>
            <w:shd w:val="clear" w:color="auto" w:fill="auto"/>
            <w:vAlign w:val="bottom"/>
          </w:tcPr>
          <w:p w14:paraId="0346D396" w14:textId="77777777" w:rsidR="003A75B8" w:rsidRPr="003A75B8" w:rsidRDefault="003A75B8" w:rsidP="003A75B8">
            <w:pPr>
              <w:spacing w:before="40" w:after="40" w:line="220" w:lineRule="exact"/>
              <w:jc w:val="right"/>
              <w:rPr>
                <w:sz w:val="18"/>
                <w:szCs w:val="18"/>
              </w:rPr>
            </w:pPr>
          </w:p>
        </w:tc>
        <w:tc>
          <w:tcPr>
            <w:tcW w:w="736" w:type="dxa"/>
            <w:shd w:val="clear" w:color="auto" w:fill="auto"/>
            <w:vAlign w:val="bottom"/>
          </w:tcPr>
          <w:p w14:paraId="4F2FE42E" w14:textId="77777777" w:rsidR="003A75B8" w:rsidRPr="003A75B8" w:rsidRDefault="003A75B8" w:rsidP="003A75B8">
            <w:pPr>
              <w:spacing w:before="40" w:after="40" w:line="220" w:lineRule="exact"/>
              <w:jc w:val="right"/>
              <w:rPr>
                <w:sz w:val="18"/>
                <w:szCs w:val="18"/>
              </w:rPr>
            </w:pPr>
          </w:p>
        </w:tc>
        <w:tc>
          <w:tcPr>
            <w:tcW w:w="736" w:type="dxa"/>
            <w:shd w:val="clear" w:color="auto" w:fill="auto"/>
            <w:vAlign w:val="bottom"/>
          </w:tcPr>
          <w:p w14:paraId="7B518583" w14:textId="77777777" w:rsidR="003A75B8" w:rsidRPr="003A75B8" w:rsidRDefault="003A75B8" w:rsidP="003A75B8">
            <w:pPr>
              <w:spacing w:before="40" w:after="40" w:line="220" w:lineRule="exact"/>
              <w:jc w:val="right"/>
              <w:rPr>
                <w:sz w:val="18"/>
                <w:szCs w:val="18"/>
              </w:rPr>
            </w:pPr>
          </w:p>
        </w:tc>
      </w:tr>
      <w:tr w:rsidR="003A75B8" w:rsidRPr="00A14BE7" w14:paraId="131D3384" w14:textId="77777777" w:rsidTr="00765F9E">
        <w:tc>
          <w:tcPr>
            <w:tcW w:w="2216" w:type="dxa"/>
            <w:shd w:val="clear" w:color="auto" w:fill="auto"/>
          </w:tcPr>
          <w:p w14:paraId="09DC35FB" w14:textId="77777777" w:rsidR="003A75B8" w:rsidRPr="003A75B8" w:rsidRDefault="003A75B8" w:rsidP="003A75B8">
            <w:pPr>
              <w:spacing w:before="40" w:after="40" w:line="220" w:lineRule="exact"/>
              <w:jc w:val="right"/>
              <w:rPr>
                <w:sz w:val="18"/>
                <w:szCs w:val="18"/>
                <w:lang w:val="fr-FR" w:eastAsia="en-IE"/>
              </w:rPr>
            </w:pPr>
            <w:r w:rsidRPr="003A75B8">
              <w:rPr>
                <w:sz w:val="18"/>
                <w:szCs w:val="18"/>
                <w:lang w:val="fr-FR" w:eastAsia="en-IE"/>
              </w:rPr>
              <w:t>Actifs avec emploi</w:t>
            </w:r>
          </w:p>
        </w:tc>
        <w:tc>
          <w:tcPr>
            <w:tcW w:w="738" w:type="dxa"/>
            <w:shd w:val="clear" w:color="auto" w:fill="auto"/>
            <w:vAlign w:val="bottom"/>
          </w:tcPr>
          <w:p w14:paraId="600F9960" w14:textId="77777777" w:rsidR="003A75B8" w:rsidRPr="003A75B8" w:rsidRDefault="003A75B8" w:rsidP="003A75B8">
            <w:pPr>
              <w:spacing w:before="40" w:after="40" w:line="220" w:lineRule="exact"/>
              <w:jc w:val="right"/>
              <w:rPr>
                <w:sz w:val="18"/>
                <w:szCs w:val="18"/>
              </w:rPr>
            </w:pPr>
            <w:r w:rsidRPr="003A75B8">
              <w:rPr>
                <w:sz w:val="18"/>
                <w:szCs w:val="18"/>
              </w:rPr>
              <w:t>78,0</w:t>
            </w:r>
          </w:p>
        </w:tc>
        <w:tc>
          <w:tcPr>
            <w:tcW w:w="736" w:type="dxa"/>
            <w:shd w:val="clear" w:color="auto" w:fill="auto"/>
            <w:vAlign w:val="bottom"/>
          </w:tcPr>
          <w:p w14:paraId="517BF03F" w14:textId="77777777" w:rsidR="003A75B8" w:rsidRPr="003A75B8" w:rsidRDefault="003A75B8" w:rsidP="003A75B8">
            <w:pPr>
              <w:spacing w:before="40" w:after="40" w:line="220" w:lineRule="exact"/>
              <w:jc w:val="right"/>
              <w:rPr>
                <w:sz w:val="18"/>
                <w:szCs w:val="18"/>
              </w:rPr>
            </w:pPr>
            <w:r w:rsidRPr="003A75B8">
              <w:rPr>
                <w:sz w:val="18"/>
                <w:szCs w:val="18"/>
              </w:rPr>
              <w:t>78,3</w:t>
            </w:r>
          </w:p>
        </w:tc>
        <w:tc>
          <w:tcPr>
            <w:tcW w:w="736" w:type="dxa"/>
            <w:shd w:val="clear" w:color="auto" w:fill="auto"/>
            <w:vAlign w:val="bottom"/>
          </w:tcPr>
          <w:p w14:paraId="1ABC867E" w14:textId="77777777" w:rsidR="003A75B8" w:rsidRPr="003A75B8" w:rsidRDefault="003A75B8" w:rsidP="003A75B8">
            <w:pPr>
              <w:spacing w:before="40" w:after="40" w:line="220" w:lineRule="exact"/>
              <w:jc w:val="right"/>
              <w:rPr>
                <w:sz w:val="18"/>
                <w:szCs w:val="18"/>
              </w:rPr>
            </w:pPr>
            <w:r w:rsidRPr="003A75B8">
              <w:rPr>
                <w:sz w:val="18"/>
                <w:szCs w:val="18"/>
              </w:rPr>
              <w:t>78,4</w:t>
            </w:r>
          </w:p>
        </w:tc>
        <w:tc>
          <w:tcPr>
            <w:tcW w:w="736" w:type="dxa"/>
            <w:shd w:val="clear" w:color="auto" w:fill="auto"/>
            <w:vAlign w:val="bottom"/>
          </w:tcPr>
          <w:p w14:paraId="4D804EF0" w14:textId="77777777" w:rsidR="003A75B8" w:rsidRPr="003A75B8" w:rsidRDefault="003A75B8" w:rsidP="003A75B8">
            <w:pPr>
              <w:spacing w:before="40" w:after="40" w:line="220" w:lineRule="exact"/>
              <w:jc w:val="right"/>
              <w:rPr>
                <w:sz w:val="18"/>
                <w:szCs w:val="18"/>
              </w:rPr>
            </w:pPr>
            <w:r w:rsidRPr="003A75B8">
              <w:rPr>
                <w:sz w:val="18"/>
                <w:szCs w:val="18"/>
              </w:rPr>
              <w:t>79,4</w:t>
            </w:r>
          </w:p>
        </w:tc>
        <w:tc>
          <w:tcPr>
            <w:tcW w:w="736" w:type="dxa"/>
            <w:shd w:val="clear" w:color="auto" w:fill="auto"/>
            <w:vAlign w:val="bottom"/>
          </w:tcPr>
          <w:p w14:paraId="4E612BBF" w14:textId="77777777" w:rsidR="003A75B8" w:rsidRPr="003A75B8" w:rsidRDefault="003A75B8" w:rsidP="003A75B8">
            <w:pPr>
              <w:spacing w:before="40" w:after="40" w:line="220" w:lineRule="exact"/>
              <w:jc w:val="right"/>
              <w:rPr>
                <w:sz w:val="18"/>
                <w:szCs w:val="18"/>
              </w:rPr>
            </w:pPr>
            <w:r w:rsidRPr="003A75B8">
              <w:rPr>
                <w:sz w:val="18"/>
                <w:szCs w:val="18"/>
              </w:rPr>
              <w:t>79,6</w:t>
            </w:r>
          </w:p>
        </w:tc>
        <w:tc>
          <w:tcPr>
            <w:tcW w:w="736" w:type="dxa"/>
            <w:shd w:val="clear" w:color="auto" w:fill="auto"/>
            <w:vAlign w:val="bottom"/>
          </w:tcPr>
          <w:p w14:paraId="00D82112" w14:textId="77777777" w:rsidR="003A75B8" w:rsidRPr="003A75B8" w:rsidRDefault="003A75B8" w:rsidP="003A75B8">
            <w:pPr>
              <w:spacing w:before="40" w:after="40" w:line="220" w:lineRule="exact"/>
              <w:jc w:val="right"/>
              <w:rPr>
                <w:sz w:val="18"/>
                <w:szCs w:val="18"/>
              </w:rPr>
            </w:pPr>
            <w:r w:rsidRPr="003A75B8">
              <w:rPr>
                <w:sz w:val="18"/>
                <w:szCs w:val="18"/>
              </w:rPr>
              <w:t>80,2</w:t>
            </w:r>
          </w:p>
        </w:tc>
        <w:tc>
          <w:tcPr>
            <w:tcW w:w="736" w:type="dxa"/>
            <w:shd w:val="clear" w:color="auto" w:fill="auto"/>
            <w:vAlign w:val="bottom"/>
          </w:tcPr>
          <w:p w14:paraId="7E796B7A" w14:textId="77777777" w:rsidR="003A75B8" w:rsidRPr="003A75B8" w:rsidRDefault="003A75B8" w:rsidP="003A75B8">
            <w:pPr>
              <w:spacing w:before="40" w:after="40" w:line="220" w:lineRule="exact"/>
              <w:jc w:val="right"/>
              <w:rPr>
                <w:sz w:val="18"/>
                <w:szCs w:val="18"/>
              </w:rPr>
            </w:pPr>
            <w:r w:rsidRPr="003A75B8">
              <w:rPr>
                <w:sz w:val="18"/>
                <w:szCs w:val="18"/>
              </w:rPr>
              <w:t>80,0</w:t>
            </w:r>
          </w:p>
        </w:tc>
      </w:tr>
      <w:tr w:rsidR="003A75B8" w:rsidRPr="00A14BE7" w14:paraId="29B31FD6" w14:textId="77777777" w:rsidTr="00765F9E">
        <w:tc>
          <w:tcPr>
            <w:tcW w:w="2216" w:type="dxa"/>
            <w:shd w:val="clear" w:color="auto" w:fill="auto"/>
          </w:tcPr>
          <w:p w14:paraId="624E0846" w14:textId="77777777" w:rsidR="003A75B8" w:rsidRPr="003A75B8" w:rsidRDefault="003A75B8" w:rsidP="003A75B8">
            <w:pPr>
              <w:spacing w:before="40" w:after="40" w:line="220" w:lineRule="exact"/>
              <w:ind w:firstLineChars="100" w:firstLine="180"/>
              <w:jc w:val="right"/>
              <w:rPr>
                <w:sz w:val="18"/>
                <w:szCs w:val="18"/>
                <w:lang w:val="fr-FR" w:eastAsia="en-IE"/>
              </w:rPr>
            </w:pPr>
            <w:r w:rsidRPr="003A75B8">
              <w:rPr>
                <w:sz w:val="18"/>
                <w:szCs w:val="18"/>
                <w:lang w:val="fr-FR" w:eastAsia="en-IE"/>
              </w:rPr>
              <w:t>Sans emploi</w:t>
            </w:r>
          </w:p>
        </w:tc>
        <w:tc>
          <w:tcPr>
            <w:tcW w:w="738" w:type="dxa"/>
            <w:shd w:val="clear" w:color="auto" w:fill="auto"/>
            <w:vAlign w:val="bottom"/>
          </w:tcPr>
          <w:p w14:paraId="66A03D8B" w14:textId="77777777" w:rsidR="003A75B8" w:rsidRPr="003A75B8" w:rsidRDefault="003A75B8" w:rsidP="003A75B8">
            <w:pPr>
              <w:spacing w:before="40" w:after="40" w:line="220" w:lineRule="exact"/>
              <w:jc w:val="right"/>
              <w:rPr>
                <w:sz w:val="18"/>
                <w:szCs w:val="18"/>
              </w:rPr>
            </w:pPr>
            <w:r w:rsidRPr="003A75B8">
              <w:rPr>
                <w:sz w:val="18"/>
                <w:szCs w:val="18"/>
              </w:rPr>
              <w:t>4,4</w:t>
            </w:r>
          </w:p>
        </w:tc>
        <w:tc>
          <w:tcPr>
            <w:tcW w:w="736" w:type="dxa"/>
            <w:shd w:val="clear" w:color="auto" w:fill="auto"/>
            <w:vAlign w:val="bottom"/>
          </w:tcPr>
          <w:p w14:paraId="2C65EEB7" w14:textId="77777777" w:rsidR="003A75B8" w:rsidRPr="003A75B8" w:rsidRDefault="003A75B8" w:rsidP="003A75B8">
            <w:pPr>
              <w:spacing w:before="40" w:after="40" w:line="220" w:lineRule="exact"/>
              <w:jc w:val="right"/>
              <w:rPr>
                <w:sz w:val="18"/>
                <w:szCs w:val="18"/>
              </w:rPr>
            </w:pPr>
            <w:r w:rsidRPr="003A75B8">
              <w:rPr>
                <w:sz w:val="18"/>
                <w:szCs w:val="18"/>
              </w:rPr>
              <w:t>4,5</w:t>
            </w:r>
          </w:p>
        </w:tc>
        <w:tc>
          <w:tcPr>
            <w:tcW w:w="736" w:type="dxa"/>
            <w:shd w:val="clear" w:color="auto" w:fill="auto"/>
            <w:vAlign w:val="bottom"/>
          </w:tcPr>
          <w:p w14:paraId="5D83A790" w14:textId="77777777" w:rsidR="003A75B8" w:rsidRPr="003A75B8" w:rsidRDefault="003A75B8" w:rsidP="003A75B8">
            <w:pPr>
              <w:spacing w:before="40" w:after="40" w:line="220" w:lineRule="exact"/>
              <w:jc w:val="right"/>
              <w:rPr>
                <w:sz w:val="18"/>
                <w:szCs w:val="18"/>
              </w:rPr>
            </w:pPr>
            <w:r w:rsidRPr="003A75B8">
              <w:rPr>
                <w:sz w:val="18"/>
                <w:szCs w:val="18"/>
              </w:rPr>
              <w:t>4,0</w:t>
            </w:r>
          </w:p>
        </w:tc>
        <w:tc>
          <w:tcPr>
            <w:tcW w:w="736" w:type="dxa"/>
            <w:shd w:val="clear" w:color="auto" w:fill="auto"/>
            <w:vAlign w:val="bottom"/>
          </w:tcPr>
          <w:p w14:paraId="1EC02B49" w14:textId="77777777" w:rsidR="003A75B8" w:rsidRPr="003A75B8" w:rsidRDefault="003A75B8" w:rsidP="003A75B8">
            <w:pPr>
              <w:spacing w:before="40" w:after="40" w:line="220" w:lineRule="exact"/>
              <w:jc w:val="right"/>
              <w:rPr>
                <w:sz w:val="18"/>
                <w:szCs w:val="18"/>
              </w:rPr>
            </w:pPr>
            <w:r w:rsidRPr="003A75B8">
              <w:rPr>
                <w:sz w:val="18"/>
                <w:szCs w:val="18"/>
              </w:rPr>
              <w:t>4,4</w:t>
            </w:r>
          </w:p>
        </w:tc>
        <w:tc>
          <w:tcPr>
            <w:tcW w:w="736" w:type="dxa"/>
            <w:shd w:val="clear" w:color="auto" w:fill="auto"/>
            <w:vAlign w:val="bottom"/>
          </w:tcPr>
          <w:p w14:paraId="4D495F8B" w14:textId="77777777" w:rsidR="003A75B8" w:rsidRPr="003A75B8" w:rsidRDefault="003A75B8" w:rsidP="003A75B8">
            <w:pPr>
              <w:spacing w:before="40" w:after="40" w:line="220" w:lineRule="exact"/>
              <w:jc w:val="right"/>
              <w:rPr>
                <w:sz w:val="18"/>
                <w:szCs w:val="18"/>
              </w:rPr>
            </w:pPr>
            <w:r w:rsidRPr="003A75B8">
              <w:rPr>
                <w:sz w:val="18"/>
                <w:szCs w:val="18"/>
              </w:rPr>
              <w:t>4,0</w:t>
            </w:r>
          </w:p>
        </w:tc>
        <w:tc>
          <w:tcPr>
            <w:tcW w:w="736" w:type="dxa"/>
            <w:shd w:val="clear" w:color="auto" w:fill="auto"/>
            <w:vAlign w:val="bottom"/>
          </w:tcPr>
          <w:p w14:paraId="12E3310A" w14:textId="77777777" w:rsidR="003A75B8" w:rsidRPr="003A75B8" w:rsidRDefault="003A75B8" w:rsidP="003A75B8">
            <w:pPr>
              <w:spacing w:before="40" w:after="40" w:line="220" w:lineRule="exact"/>
              <w:jc w:val="right"/>
              <w:rPr>
                <w:sz w:val="18"/>
                <w:szCs w:val="18"/>
              </w:rPr>
            </w:pPr>
            <w:r w:rsidRPr="003A75B8">
              <w:rPr>
                <w:sz w:val="18"/>
                <w:szCs w:val="18"/>
              </w:rPr>
              <w:t>3,7</w:t>
            </w:r>
          </w:p>
        </w:tc>
        <w:tc>
          <w:tcPr>
            <w:tcW w:w="736" w:type="dxa"/>
            <w:shd w:val="clear" w:color="auto" w:fill="auto"/>
            <w:vAlign w:val="bottom"/>
          </w:tcPr>
          <w:p w14:paraId="30DD026F" w14:textId="77777777" w:rsidR="003A75B8" w:rsidRPr="003A75B8" w:rsidRDefault="003A75B8" w:rsidP="003A75B8">
            <w:pPr>
              <w:spacing w:before="40" w:after="40" w:line="220" w:lineRule="exact"/>
              <w:jc w:val="right"/>
              <w:rPr>
                <w:sz w:val="18"/>
                <w:szCs w:val="18"/>
              </w:rPr>
            </w:pPr>
            <w:r w:rsidRPr="003A75B8">
              <w:rPr>
                <w:sz w:val="18"/>
                <w:szCs w:val="18"/>
              </w:rPr>
              <w:t>3,7</w:t>
            </w:r>
          </w:p>
        </w:tc>
      </w:tr>
      <w:tr w:rsidR="003A75B8" w:rsidRPr="00A14BE7" w14:paraId="08DB8909" w14:textId="77777777" w:rsidTr="00765F9E">
        <w:tc>
          <w:tcPr>
            <w:tcW w:w="2216" w:type="dxa"/>
            <w:tcBorders>
              <w:bottom w:val="single" w:sz="12" w:space="0" w:color="auto"/>
            </w:tcBorders>
            <w:shd w:val="clear" w:color="auto" w:fill="auto"/>
          </w:tcPr>
          <w:p w14:paraId="57D92178" w14:textId="77777777" w:rsidR="003A75B8" w:rsidRPr="003A75B8" w:rsidRDefault="003A75B8" w:rsidP="003A75B8">
            <w:pPr>
              <w:spacing w:before="40" w:after="40" w:line="220" w:lineRule="exact"/>
              <w:ind w:firstLineChars="100" w:firstLine="180"/>
              <w:jc w:val="right"/>
              <w:rPr>
                <w:sz w:val="18"/>
                <w:szCs w:val="18"/>
                <w:lang w:val="fr-FR" w:eastAsia="en-IE"/>
              </w:rPr>
            </w:pPr>
            <w:r w:rsidRPr="003A75B8">
              <w:rPr>
                <w:sz w:val="18"/>
                <w:szCs w:val="18"/>
                <w:lang w:val="fr-FR" w:eastAsia="en-IE"/>
              </w:rPr>
              <w:t>Inactifs</w:t>
            </w:r>
          </w:p>
        </w:tc>
        <w:tc>
          <w:tcPr>
            <w:tcW w:w="738" w:type="dxa"/>
            <w:tcBorders>
              <w:bottom w:val="single" w:sz="12" w:space="0" w:color="auto"/>
            </w:tcBorders>
            <w:shd w:val="clear" w:color="auto" w:fill="auto"/>
            <w:vAlign w:val="bottom"/>
          </w:tcPr>
          <w:p w14:paraId="3FE5D26F" w14:textId="77777777" w:rsidR="003A75B8" w:rsidRPr="003A75B8" w:rsidRDefault="003A75B8" w:rsidP="003A75B8">
            <w:pPr>
              <w:spacing w:before="40" w:after="40" w:line="220" w:lineRule="exact"/>
              <w:jc w:val="right"/>
              <w:rPr>
                <w:sz w:val="18"/>
                <w:szCs w:val="18"/>
              </w:rPr>
            </w:pPr>
            <w:r w:rsidRPr="003A75B8">
              <w:rPr>
                <w:sz w:val="18"/>
                <w:szCs w:val="18"/>
              </w:rPr>
              <w:t>17,6</w:t>
            </w:r>
          </w:p>
        </w:tc>
        <w:tc>
          <w:tcPr>
            <w:tcW w:w="736" w:type="dxa"/>
            <w:tcBorders>
              <w:bottom w:val="single" w:sz="12" w:space="0" w:color="auto"/>
            </w:tcBorders>
            <w:shd w:val="clear" w:color="auto" w:fill="auto"/>
            <w:vAlign w:val="bottom"/>
          </w:tcPr>
          <w:p w14:paraId="6EC6BDFE" w14:textId="77777777" w:rsidR="003A75B8" w:rsidRPr="003A75B8" w:rsidRDefault="003A75B8" w:rsidP="003A75B8">
            <w:pPr>
              <w:spacing w:before="40" w:after="40" w:line="220" w:lineRule="exact"/>
              <w:jc w:val="right"/>
              <w:rPr>
                <w:sz w:val="18"/>
                <w:szCs w:val="18"/>
              </w:rPr>
            </w:pPr>
            <w:r w:rsidRPr="003A75B8">
              <w:rPr>
                <w:sz w:val="18"/>
                <w:szCs w:val="18"/>
              </w:rPr>
              <w:t>17,2</w:t>
            </w:r>
          </w:p>
        </w:tc>
        <w:tc>
          <w:tcPr>
            <w:tcW w:w="736" w:type="dxa"/>
            <w:tcBorders>
              <w:bottom w:val="single" w:sz="12" w:space="0" w:color="auto"/>
            </w:tcBorders>
            <w:shd w:val="clear" w:color="auto" w:fill="auto"/>
            <w:vAlign w:val="bottom"/>
          </w:tcPr>
          <w:p w14:paraId="5973B906" w14:textId="77777777" w:rsidR="003A75B8" w:rsidRPr="003A75B8" w:rsidRDefault="003A75B8" w:rsidP="003A75B8">
            <w:pPr>
              <w:spacing w:before="40" w:after="40" w:line="220" w:lineRule="exact"/>
              <w:jc w:val="right"/>
              <w:rPr>
                <w:sz w:val="18"/>
                <w:szCs w:val="18"/>
              </w:rPr>
            </w:pPr>
            <w:r w:rsidRPr="003A75B8">
              <w:rPr>
                <w:sz w:val="18"/>
                <w:szCs w:val="18"/>
              </w:rPr>
              <w:t>17,5</w:t>
            </w:r>
          </w:p>
        </w:tc>
        <w:tc>
          <w:tcPr>
            <w:tcW w:w="736" w:type="dxa"/>
            <w:tcBorders>
              <w:bottom w:val="single" w:sz="12" w:space="0" w:color="auto"/>
            </w:tcBorders>
            <w:shd w:val="clear" w:color="auto" w:fill="auto"/>
            <w:vAlign w:val="bottom"/>
          </w:tcPr>
          <w:p w14:paraId="478E0FD8" w14:textId="77777777" w:rsidR="003A75B8" w:rsidRPr="003A75B8" w:rsidRDefault="003A75B8" w:rsidP="003A75B8">
            <w:pPr>
              <w:spacing w:before="40" w:after="40" w:line="220" w:lineRule="exact"/>
              <w:jc w:val="right"/>
              <w:rPr>
                <w:sz w:val="18"/>
                <w:szCs w:val="18"/>
              </w:rPr>
            </w:pPr>
            <w:r w:rsidRPr="003A75B8">
              <w:rPr>
                <w:sz w:val="18"/>
                <w:szCs w:val="18"/>
              </w:rPr>
              <w:t>16,2</w:t>
            </w:r>
          </w:p>
        </w:tc>
        <w:tc>
          <w:tcPr>
            <w:tcW w:w="736" w:type="dxa"/>
            <w:tcBorders>
              <w:bottom w:val="single" w:sz="12" w:space="0" w:color="auto"/>
            </w:tcBorders>
            <w:shd w:val="clear" w:color="auto" w:fill="auto"/>
            <w:vAlign w:val="bottom"/>
          </w:tcPr>
          <w:p w14:paraId="3002A431" w14:textId="77777777" w:rsidR="003A75B8" w:rsidRPr="003A75B8" w:rsidRDefault="003A75B8" w:rsidP="003A75B8">
            <w:pPr>
              <w:spacing w:before="40" w:after="40" w:line="220" w:lineRule="exact"/>
              <w:jc w:val="right"/>
              <w:rPr>
                <w:sz w:val="18"/>
                <w:szCs w:val="18"/>
              </w:rPr>
            </w:pPr>
            <w:r w:rsidRPr="003A75B8">
              <w:rPr>
                <w:sz w:val="18"/>
                <w:szCs w:val="18"/>
              </w:rPr>
              <w:t>16,4</w:t>
            </w:r>
          </w:p>
        </w:tc>
        <w:tc>
          <w:tcPr>
            <w:tcW w:w="736" w:type="dxa"/>
            <w:tcBorders>
              <w:bottom w:val="single" w:sz="12" w:space="0" w:color="auto"/>
            </w:tcBorders>
            <w:shd w:val="clear" w:color="auto" w:fill="auto"/>
            <w:vAlign w:val="bottom"/>
          </w:tcPr>
          <w:p w14:paraId="7061B3A8" w14:textId="77777777" w:rsidR="003A75B8" w:rsidRPr="003A75B8" w:rsidRDefault="003A75B8" w:rsidP="003A75B8">
            <w:pPr>
              <w:spacing w:before="40" w:after="40" w:line="220" w:lineRule="exact"/>
              <w:jc w:val="right"/>
              <w:rPr>
                <w:sz w:val="18"/>
                <w:szCs w:val="18"/>
              </w:rPr>
            </w:pPr>
            <w:r w:rsidRPr="003A75B8">
              <w:rPr>
                <w:sz w:val="18"/>
                <w:szCs w:val="18"/>
              </w:rPr>
              <w:t>16,1</w:t>
            </w:r>
          </w:p>
        </w:tc>
        <w:tc>
          <w:tcPr>
            <w:tcW w:w="736" w:type="dxa"/>
            <w:tcBorders>
              <w:bottom w:val="single" w:sz="12" w:space="0" w:color="auto"/>
            </w:tcBorders>
            <w:shd w:val="clear" w:color="auto" w:fill="auto"/>
            <w:vAlign w:val="bottom"/>
          </w:tcPr>
          <w:p w14:paraId="6F361549" w14:textId="77777777" w:rsidR="003A75B8" w:rsidRPr="003A75B8" w:rsidRDefault="003A75B8" w:rsidP="003A75B8">
            <w:pPr>
              <w:spacing w:before="40" w:after="40" w:line="220" w:lineRule="exact"/>
              <w:jc w:val="right"/>
              <w:rPr>
                <w:sz w:val="18"/>
                <w:szCs w:val="18"/>
              </w:rPr>
            </w:pPr>
            <w:r w:rsidRPr="003A75B8">
              <w:rPr>
                <w:sz w:val="18"/>
                <w:szCs w:val="18"/>
              </w:rPr>
              <w:t>16,3</w:t>
            </w:r>
          </w:p>
        </w:tc>
      </w:tr>
    </w:tbl>
    <w:p w14:paraId="6924C6F4" w14:textId="77777777" w:rsidR="00765F9E" w:rsidRPr="005438D3" w:rsidRDefault="00765F9E" w:rsidP="00765F9E">
      <w:pPr>
        <w:pStyle w:val="SingleTxtG"/>
        <w:spacing w:before="120" w:after="0"/>
        <w:ind w:firstLine="170"/>
        <w:jc w:val="left"/>
        <w:rPr>
          <w:lang w:val="fr-FR"/>
        </w:rPr>
      </w:pPr>
      <w:r w:rsidRPr="001B6946">
        <w:rPr>
          <w:i/>
          <w:sz w:val="18"/>
          <w:lang w:val="fr-FR"/>
        </w:rPr>
        <w:t>Source</w:t>
      </w:r>
      <w:r>
        <w:rPr>
          <w:i/>
          <w:sz w:val="18"/>
          <w:lang w:val="fr-FR"/>
        </w:rPr>
        <w:t xml:space="preserve"> </w:t>
      </w:r>
      <w:r w:rsidRPr="00765F9E">
        <w:rPr>
          <w:sz w:val="18"/>
          <w:lang w:val="fr-FR"/>
        </w:rPr>
        <w:t>:</w:t>
      </w:r>
      <w:r w:rsidRPr="001B6946">
        <w:rPr>
          <w:i/>
          <w:sz w:val="18"/>
          <w:lang w:val="fr-FR"/>
        </w:rPr>
        <w:t xml:space="preserve"> </w:t>
      </w:r>
      <w:r w:rsidRPr="005438D3">
        <w:rPr>
          <w:sz w:val="18"/>
          <w:lang w:val="fr-FR"/>
        </w:rPr>
        <w:t>Office central de statistique, Irlande</w:t>
      </w:r>
      <w:r w:rsidRPr="005438D3">
        <w:rPr>
          <w:lang w:val="fr-FR"/>
        </w:rPr>
        <w:t>.</w:t>
      </w:r>
    </w:p>
    <w:p w14:paraId="42F170AE" w14:textId="77777777" w:rsidR="00765F9E" w:rsidRPr="001B6946" w:rsidRDefault="00765F9E" w:rsidP="00765F9E">
      <w:pPr>
        <w:pStyle w:val="SingleTxtG"/>
        <w:spacing w:after="0"/>
        <w:ind w:firstLine="170"/>
        <w:jc w:val="left"/>
        <w:rPr>
          <w:sz w:val="18"/>
          <w:lang w:val="fr-FR"/>
        </w:rPr>
      </w:pPr>
      <w:r w:rsidRPr="001B6946">
        <w:rPr>
          <w:i/>
          <w:sz w:val="18"/>
          <w:lang w:val="fr-FR"/>
        </w:rPr>
        <w:t>Not</w:t>
      </w:r>
      <w:r w:rsidR="005438D3">
        <w:rPr>
          <w:i/>
          <w:sz w:val="18"/>
          <w:lang w:val="fr-FR"/>
        </w:rPr>
        <w:t>e</w:t>
      </w:r>
      <w:r>
        <w:rPr>
          <w:i/>
          <w:sz w:val="18"/>
          <w:lang w:val="fr-FR"/>
        </w:rPr>
        <w:t xml:space="preserve"> </w:t>
      </w:r>
      <w:r w:rsidRPr="00765F9E">
        <w:rPr>
          <w:sz w:val="18"/>
          <w:lang w:val="fr-FR"/>
        </w:rPr>
        <w:t xml:space="preserve">: </w:t>
      </w:r>
      <w:r w:rsidRPr="001B6946">
        <w:rPr>
          <w:sz w:val="18"/>
          <w:lang w:val="fr-FR"/>
        </w:rPr>
        <w:t>La définition de «</w:t>
      </w:r>
      <w:r w:rsidR="003817EC">
        <w:rPr>
          <w:sz w:val="18"/>
          <w:lang w:val="fr-FR"/>
        </w:rPr>
        <w:t> </w:t>
      </w:r>
      <w:r w:rsidRPr="001B6946">
        <w:rPr>
          <w:sz w:val="18"/>
          <w:lang w:val="fr-FR"/>
        </w:rPr>
        <w:t>jeunes ayant quitté prématurément le système éducatif</w:t>
      </w:r>
      <w:r w:rsidR="003817EC">
        <w:rPr>
          <w:sz w:val="18"/>
          <w:lang w:val="fr-FR"/>
        </w:rPr>
        <w:t> </w:t>
      </w:r>
      <w:r w:rsidRPr="001B6946">
        <w:rPr>
          <w:sz w:val="18"/>
          <w:lang w:val="fr-FR"/>
        </w:rPr>
        <w:t>» a été actualisée pour tenir compte des personnes qui étaient</w:t>
      </w:r>
      <w:r w:rsidR="007A54A8">
        <w:rPr>
          <w:sz w:val="18"/>
          <w:lang w:val="fr-FR"/>
        </w:rPr>
        <w:t xml:space="preserve"> </w:t>
      </w:r>
      <w:r w:rsidRPr="001B6946">
        <w:rPr>
          <w:sz w:val="18"/>
          <w:lang w:val="fr-FR"/>
        </w:rPr>
        <w:t>en congé d</w:t>
      </w:r>
      <w:r w:rsidR="00784444">
        <w:rPr>
          <w:sz w:val="18"/>
          <w:lang w:val="fr-FR"/>
        </w:rPr>
        <w:t>’</w:t>
      </w:r>
      <w:r w:rsidRPr="001B6946">
        <w:rPr>
          <w:sz w:val="18"/>
          <w:lang w:val="fr-FR"/>
        </w:rPr>
        <w:t>études ou de formation durant les quatre semaines précédant l</w:t>
      </w:r>
      <w:r w:rsidR="00784444">
        <w:rPr>
          <w:sz w:val="18"/>
          <w:lang w:val="fr-FR"/>
        </w:rPr>
        <w:t>’</w:t>
      </w:r>
      <w:r w:rsidRPr="001B6946">
        <w:rPr>
          <w:sz w:val="18"/>
          <w:lang w:val="fr-FR"/>
        </w:rPr>
        <w:t>enquête. L</w:t>
      </w:r>
      <w:r w:rsidR="00784444">
        <w:rPr>
          <w:sz w:val="18"/>
          <w:lang w:val="fr-FR"/>
        </w:rPr>
        <w:t>’</w:t>
      </w:r>
      <w:r w:rsidRPr="001B6946">
        <w:rPr>
          <w:sz w:val="18"/>
          <w:lang w:val="fr-FR"/>
        </w:rPr>
        <w:t xml:space="preserve">incidence de cet ajustement concerne principalement les estimations du </w:t>
      </w:r>
      <w:r>
        <w:rPr>
          <w:sz w:val="18"/>
          <w:lang w:val="fr-FR"/>
        </w:rPr>
        <w:t>troisième</w:t>
      </w:r>
      <w:r w:rsidRPr="001B6946">
        <w:rPr>
          <w:sz w:val="18"/>
          <w:lang w:val="fr-FR"/>
        </w:rPr>
        <w:t xml:space="preserve"> trimestre de chaque année. Le pourcentage de personnes sans emploi est calculé par rapport à l</w:t>
      </w:r>
      <w:r w:rsidR="00784444">
        <w:rPr>
          <w:sz w:val="18"/>
          <w:lang w:val="fr-FR"/>
        </w:rPr>
        <w:t>’</w:t>
      </w:r>
      <w:r w:rsidRPr="001B6946">
        <w:rPr>
          <w:sz w:val="18"/>
          <w:lang w:val="fr-FR"/>
        </w:rPr>
        <w:t>ensemble de la population et n</w:t>
      </w:r>
      <w:r w:rsidR="00784444">
        <w:rPr>
          <w:sz w:val="18"/>
          <w:lang w:val="fr-FR"/>
        </w:rPr>
        <w:t>’</w:t>
      </w:r>
      <w:r w:rsidRPr="001B6946">
        <w:rPr>
          <w:sz w:val="18"/>
          <w:lang w:val="fr-FR"/>
        </w:rPr>
        <w:t>est donc pas comparable au taux de chômage.</w:t>
      </w:r>
    </w:p>
    <w:p w14:paraId="437CAE95" w14:textId="77777777" w:rsidR="00765F9E" w:rsidRPr="001B6946" w:rsidRDefault="00765F9E" w:rsidP="00765F9E">
      <w:pPr>
        <w:pStyle w:val="SingleTxtG"/>
        <w:spacing w:after="0"/>
        <w:ind w:firstLine="170"/>
        <w:jc w:val="left"/>
        <w:rPr>
          <w:sz w:val="18"/>
          <w:lang w:val="fr-FR"/>
        </w:rPr>
      </w:pPr>
      <w:r w:rsidRPr="001B6946">
        <w:rPr>
          <w:sz w:val="18"/>
          <w:lang w:val="fr-FR"/>
        </w:rPr>
        <w:t>Les personnes dont le niveau d</w:t>
      </w:r>
      <w:r w:rsidR="00784444">
        <w:rPr>
          <w:sz w:val="18"/>
          <w:lang w:val="fr-FR"/>
        </w:rPr>
        <w:t>’</w:t>
      </w:r>
      <w:r w:rsidRPr="001B6946">
        <w:rPr>
          <w:sz w:val="18"/>
          <w:lang w:val="fr-FR"/>
        </w:rPr>
        <w:t>éducation est inconnu ou n</w:t>
      </w:r>
      <w:r w:rsidR="00784444">
        <w:rPr>
          <w:sz w:val="18"/>
          <w:lang w:val="fr-FR"/>
        </w:rPr>
        <w:t>’</w:t>
      </w:r>
      <w:r w:rsidRPr="001B6946">
        <w:rPr>
          <w:sz w:val="18"/>
          <w:lang w:val="fr-FR"/>
        </w:rPr>
        <w:t>est pas déclaré ne sont pas prises en compte.</w:t>
      </w:r>
    </w:p>
    <w:p w14:paraId="21426F22" w14:textId="77777777" w:rsidR="00765F9E" w:rsidRPr="001B6946" w:rsidRDefault="00765F9E" w:rsidP="00765F9E">
      <w:pPr>
        <w:pStyle w:val="SingleTxtG"/>
        <w:spacing w:after="0"/>
        <w:ind w:firstLine="170"/>
        <w:jc w:val="left"/>
        <w:rPr>
          <w:sz w:val="18"/>
          <w:lang w:val="fr-FR"/>
        </w:rPr>
      </w:pPr>
      <w:r w:rsidRPr="001B6946">
        <w:rPr>
          <w:sz w:val="18"/>
          <w:lang w:val="fr-FR"/>
        </w:rPr>
        <w:t>On entend par «</w:t>
      </w:r>
      <w:r w:rsidR="003817EC">
        <w:rPr>
          <w:sz w:val="18"/>
          <w:lang w:val="fr-FR"/>
        </w:rPr>
        <w:t> </w:t>
      </w:r>
      <w:r w:rsidRPr="001B6946">
        <w:rPr>
          <w:sz w:val="18"/>
          <w:lang w:val="fr-FR"/>
        </w:rPr>
        <w:t>jeunes ayant quitté prématurément le système éducatif</w:t>
      </w:r>
      <w:r w:rsidR="003817EC">
        <w:rPr>
          <w:sz w:val="18"/>
          <w:lang w:val="fr-FR"/>
        </w:rPr>
        <w:t> </w:t>
      </w:r>
      <w:r w:rsidRPr="001B6946">
        <w:rPr>
          <w:sz w:val="18"/>
          <w:lang w:val="fr-FR"/>
        </w:rPr>
        <w:t>» les personnes âgées de 18 à 24</w:t>
      </w:r>
      <w:r>
        <w:rPr>
          <w:sz w:val="18"/>
          <w:lang w:val="fr-FR"/>
        </w:rPr>
        <w:t> </w:t>
      </w:r>
      <w:r w:rsidRPr="001B6946">
        <w:rPr>
          <w:sz w:val="18"/>
          <w:lang w:val="fr-FR"/>
        </w:rPr>
        <w:t>ans dont le plus haut niveau de scolarité atteint est le premier cycle du secondaire ou un niveau inférieur et qui n</w:t>
      </w:r>
      <w:r w:rsidR="00784444">
        <w:rPr>
          <w:sz w:val="18"/>
          <w:lang w:val="fr-FR"/>
        </w:rPr>
        <w:t>’</w:t>
      </w:r>
      <w:r w:rsidRPr="001B6946">
        <w:rPr>
          <w:sz w:val="18"/>
          <w:lang w:val="fr-FR"/>
        </w:rPr>
        <w:t>ont pas reçu une éducation dans le système éducatif (formel ou non formel) durant les quatre semaines précédant l</w:t>
      </w:r>
      <w:r w:rsidR="00784444">
        <w:rPr>
          <w:sz w:val="18"/>
          <w:lang w:val="fr-FR"/>
        </w:rPr>
        <w:t>’</w:t>
      </w:r>
      <w:r w:rsidRPr="001B6946">
        <w:rPr>
          <w:sz w:val="18"/>
          <w:lang w:val="fr-FR"/>
        </w:rPr>
        <w:t>enquête. Cette définition correspond à celle qui est utilisée par l</w:t>
      </w:r>
      <w:r w:rsidR="00784444">
        <w:rPr>
          <w:sz w:val="18"/>
          <w:lang w:val="fr-FR"/>
        </w:rPr>
        <w:t>’</w:t>
      </w:r>
      <w:r w:rsidRPr="001B6946">
        <w:rPr>
          <w:sz w:val="18"/>
          <w:lang w:val="fr-FR"/>
        </w:rPr>
        <w:t xml:space="preserve">Office statistique des Communautés européennes (Eurostat) depuis le </w:t>
      </w:r>
      <w:r>
        <w:rPr>
          <w:sz w:val="18"/>
          <w:lang w:val="fr-FR"/>
        </w:rPr>
        <w:t xml:space="preserve">premier </w:t>
      </w:r>
      <w:r w:rsidRPr="001B6946">
        <w:rPr>
          <w:sz w:val="18"/>
          <w:lang w:val="fr-FR"/>
        </w:rPr>
        <w:t>trimestre 2010 et, à des fins de comparaison, elle a également été utilisée pour calculer les indicateurs des périodes antérieures à celle-ci.</w:t>
      </w:r>
    </w:p>
    <w:p w14:paraId="0CAE3F80" w14:textId="77777777" w:rsidR="00765F9E" w:rsidRPr="001B6946" w:rsidRDefault="00765F9E" w:rsidP="00765F9E">
      <w:pPr>
        <w:pStyle w:val="SingleTxtG"/>
        <w:spacing w:after="0"/>
        <w:ind w:firstLine="170"/>
        <w:jc w:val="left"/>
        <w:rPr>
          <w:sz w:val="18"/>
          <w:lang w:val="fr-FR"/>
        </w:rPr>
      </w:pPr>
      <w:r w:rsidRPr="001B6946">
        <w:rPr>
          <w:i/>
          <w:sz w:val="18"/>
          <w:lang w:val="fr-FR"/>
        </w:rPr>
        <w:t>*</w:t>
      </w:r>
      <w:r w:rsidR="007A54A8">
        <w:rPr>
          <w:sz w:val="18"/>
          <w:lang w:val="fr-FR"/>
        </w:rPr>
        <w:t xml:space="preserve"> </w:t>
      </w:r>
      <w:r w:rsidR="003817EC">
        <w:rPr>
          <w:sz w:val="18"/>
          <w:lang w:val="fr-FR"/>
        </w:rPr>
        <w:t xml:space="preserve"> </w:t>
      </w:r>
      <w:r w:rsidRPr="001B6946">
        <w:rPr>
          <w:sz w:val="18"/>
          <w:lang w:val="fr-FR"/>
        </w:rPr>
        <w:t>Lorsqu</w:t>
      </w:r>
      <w:r w:rsidR="00784444">
        <w:rPr>
          <w:sz w:val="18"/>
          <w:lang w:val="fr-FR"/>
        </w:rPr>
        <w:t>’</w:t>
      </w:r>
      <w:r w:rsidRPr="001B6946">
        <w:rPr>
          <w:sz w:val="18"/>
          <w:lang w:val="fr-FR"/>
        </w:rPr>
        <w:t>il y a moins de 30 personnes dans une cellule, les estimations du nombre de personnes ou moyennes ne sont pas fournies car les estimations sont trop faibles pour être jugées fiables.</w:t>
      </w:r>
    </w:p>
    <w:p w14:paraId="13C6C44E" w14:textId="77777777" w:rsidR="008518D2" w:rsidRDefault="00A0716B" w:rsidP="00765F9E">
      <w:pPr>
        <w:pStyle w:val="SingleTxtG"/>
        <w:ind w:firstLine="170"/>
        <w:jc w:val="left"/>
        <w:rPr>
          <w:sz w:val="18"/>
          <w:lang w:val="fr-FR"/>
        </w:rPr>
      </w:pPr>
      <w:r>
        <w:rPr>
          <w:sz w:val="18"/>
          <w:lang w:val="fr-FR"/>
        </w:rPr>
        <w:t>[ ] L</w:t>
      </w:r>
      <w:r w:rsidRPr="001B6946">
        <w:rPr>
          <w:sz w:val="18"/>
          <w:lang w:val="fr-FR"/>
        </w:rPr>
        <w:t xml:space="preserve">es chiffres indiqués entre </w:t>
      </w:r>
      <w:r>
        <w:rPr>
          <w:sz w:val="18"/>
          <w:lang w:val="fr-FR"/>
        </w:rPr>
        <w:t>crochets</w:t>
      </w:r>
      <w:r w:rsidRPr="001B6946">
        <w:rPr>
          <w:sz w:val="18"/>
          <w:lang w:val="fr-FR"/>
        </w:rPr>
        <w:t xml:space="preserve"> </w:t>
      </w:r>
      <w:r w:rsidR="00765F9E" w:rsidRPr="001B6946">
        <w:rPr>
          <w:sz w:val="18"/>
          <w:lang w:val="fr-FR"/>
        </w:rPr>
        <w:t>correspondent à des cellules de moins de 30</w:t>
      </w:r>
      <w:r w:rsidR="00765F9E">
        <w:rPr>
          <w:sz w:val="18"/>
          <w:lang w:val="fr-FR"/>
        </w:rPr>
        <w:t xml:space="preserve"> à </w:t>
      </w:r>
      <w:r w:rsidR="00765F9E" w:rsidRPr="001B6946">
        <w:rPr>
          <w:sz w:val="18"/>
          <w:lang w:val="fr-FR"/>
        </w:rPr>
        <w:t>50</w:t>
      </w:r>
      <w:r w:rsidR="00765F9E">
        <w:rPr>
          <w:sz w:val="18"/>
          <w:lang w:val="fr-FR"/>
        </w:rPr>
        <w:t> </w:t>
      </w:r>
      <w:r w:rsidR="00765F9E" w:rsidRPr="001B6946">
        <w:rPr>
          <w:sz w:val="18"/>
          <w:lang w:val="fr-FR"/>
        </w:rPr>
        <w:t>personnes pour lesquelles les estimations présentent une plus grande marge d</w:t>
      </w:r>
      <w:r w:rsidR="00784444">
        <w:rPr>
          <w:sz w:val="18"/>
          <w:lang w:val="fr-FR"/>
        </w:rPr>
        <w:t>’</w:t>
      </w:r>
      <w:r w:rsidR="00765F9E" w:rsidRPr="001B6946">
        <w:rPr>
          <w:sz w:val="18"/>
          <w:lang w:val="fr-FR"/>
        </w:rPr>
        <w:t>erreur et doivent donc être traitées avec circonspection.</w:t>
      </w:r>
    </w:p>
    <w:p w14:paraId="4B659DA8" w14:textId="77777777" w:rsidR="00765F9E" w:rsidRPr="00765F9E" w:rsidRDefault="00765F9E" w:rsidP="00765F9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65F9E" w:rsidRPr="00765F9E" w:rsidSect="009A1B3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37A0" w14:textId="77777777" w:rsidR="002D75EA" w:rsidRDefault="002D75EA" w:rsidP="00F95C08">
      <w:pPr>
        <w:spacing w:line="240" w:lineRule="auto"/>
      </w:pPr>
    </w:p>
  </w:endnote>
  <w:endnote w:type="continuationSeparator" w:id="0">
    <w:p w14:paraId="47F33F94" w14:textId="77777777" w:rsidR="002D75EA" w:rsidRPr="00AC3823" w:rsidRDefault="002D75EA" w:rsidP="00AC3823">
      <w:pPr>
        <w:pStyle w:val="Pieddepage"/>
      </w:pPr>
    </w:p>
  </w:endnote>
  <w:endnote w:type="continuationNotice" w:id="1">
    <w:p w14:paraId="3CF15ECB" w14:textId="77777777" w:rsidR="002D75EA" w:rsidRDefault="002D75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711E" w14:textId="77777777" w:rsidR="002D75EA" w:rsidRPr="00FF3251" w:rsidRDefault="002D75EA" w:rsidP="00FF3251">
    <w:pPr>
      <w:pStyle w:val="Pieddepage"/>
      <w:tabs>
        <w:tab w:val="right" w:pos="9638"/>
      </w:tabs>
    </w:pPr>
    <w:r w:rsidRPr="00FF3251">
      <w:rPr>
        <w:b/>
        <w:sz w:val="18"/>
      </w:rPr>
      <w:fldChar w:fldCharType="begin"/>
    </w:r>
    <w:r w:rsidRPr="00FF3251">
      <w:rPr>
        <w:b/>
        <w:sz w:val="18"/>
      </w:rPr>
      <w:instrText xml:space="preserve"> PAGE  \* MERGEFORMAT </w:instrText>
    </w:r>
    <w:r w:rsidRPr="00FF3251">
      <w:rPr>
        <w:b/>
        <w:sz w:val="18"/>
      </w:rPr>
      <w:fldChar w:fldCharType="separate"/>
    </w:r>
    <w:r w:rsidRPr="00FF3251">
      <w:rPr>
        <w:b/>
        <w:noProof/>
        <w:sz w:val="18"/>
      </w:rPr>
      <w:t>2</w:t>
    </w:r>
    <w:r w:rsidRPr="00FF3251">
      <w:rPr>
        <w:b/>
        <w:sz w:val="18"/>
      </w:rPr>
      <w:fldChar w:fldCharType="end"/>
    </w:r>
    <w:r>
      <w:rPr>
        <w:b/>
        <w:sz w:val="18"/>
      </w:rPr>
      <w:tab/>
    </w:r>
    <w:r>
      <w:t>GE.19-20881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148E" w14:textId="77777777" w:rsidR="002D75EA" w:rsidRPr="00FF3251" w:rsidRDefault="002D75EA" w:rsidP="00FF3251">
    <w:pPr>
      <w:pStyle w:val="Pieddepage"/>
      <w:tabs>
        <w:tab w:val="right" w:pos="9638"/>
      </w:tabs>
      <w:rPr>
        <w:b/>
        <w:sz w:val="18"/>
      </w:rPr>
    </w:pPr>
    <w:r>
      <w:t>GE.19-20881</w:t>
    </w:r>
    <w:r>
      <w:tab/>
    </w:r>
    <w:r w:rsidRPr="00FF3251">
      <w:rPr>
        <w:b/>
        <w:sz w:val="18"/>
      </w:rPr>
      <w:fldChar w:fldCharType="begin"/>
    </w:r>
    <w:r w:rsidRPr="00FF3251">
      <w:rPr>
        <w:b/>
        <w:sz w:val="18"/>
      </w:rPr>
      <w:instrText xml:space="preserve"> PAGE  \* MERGEFORMAT </w:instrText>
    </w:r>
    <w:r w:rsidRPr="00FF3251">
      <w:rPr>
        <w:b/>
        <w:sz w:val="18"/>
      </w:rPr>
      <w:fldChar w:fldCharType="separate"/>
    </w:r>
    <w:r w:rsidRPr="00FF3251">
      <w:rPr>
        <w:b/>
        <w:noProof/>
        <w:sz w:val="18"/>
      </w:rPr>
      <w:t>3</w:t>
    </w:r>
    <w:r w:rsidRPr="00FF32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C182" w14:textId="4EE13CFC" w:rsidR="002D75EA" w:rsidRPr="00FF3251" w:rsidRDefault="002D75EA" w:rsidP="00FF325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DAD08A0" wp14:editId="2230E6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19-20881  (F)    080420    </w:t>
    </w:r>
    <w:r w:rsidR="000304DC">
      <w:rPr>
        <w:sz w:val="20"/>
      </w:rPr>
      <w:t>22</w:t>
    </w:r>
    <w:r>
      <w:rPr>
        <w:sz w:val="20"/>
      </w:rPr>
      <w:t>0420</w:t>
    </w:r>
    <w:r>
      <w:rPr>
        <w:sz w:val="20"/>
      </w:rPr>
      <w:br/>
    </w:r>
    <w:r w:rsidRPr="00FF3251">
      <w:rPr>
        <w:rFonts w:ascii="C39T30Lfz" w:hAnsi="C39T30Lfz"/>
        <w:sz w:val="56"/>
      </w:rPr>
      <w:t></w:t>
    </w:r>
    <w:r w:rsidRPr="00FF3251">
      <w:rPr>
        <w:rFonts w:ascii="C39T30Lfz" w:hAnsi="C39T30Lfz"/>
        <w:sz w:val="56"/>
      </w:rPr>
      <w:t></w:t>
    </w:r>
    <w:r w:rsidRPr="00FF3251">
      <w:rPr>
        <w:rFonts w:ascii="C39T30Lfz" w:hAnsi="C39T30Lfz"/>
        <w:sz w:val="56"/>
      </w:rPr>
      <w:t></w:t>
    </w:r>
    <w:r w:rsidRPr="00FF3251">
      <w:rPr>
        <w:rFonts w:ascii="C39T30Lfz" w:hAnsi="C39T30Lfz"/>
        <w:sz w:val="56"/>
      </w:rPr>
      <w:t></w:t>
    </w:r>
    <w:r w:rsidRPr="00FF3251">
      <w:rPr>
        <w:rFonts w:ascii="C39T30Lfz" w:hAnsi="C39T30Lfz"/>
        <w:sz w:val="56"/>
      </w:rPr>
      <w:t></w:t>
    </w:r>
    <w:r w:rsidRPr="00FF3251">
      <w:rPr>
        <w:rFonts w:ascii="C39T30Lfz" w:hAnsi="C39T30Lfz"/>
        <w:sz w:val="56"/>
      </w:rPr>
      <w:t></w:t>
    </w:r>
    <w:r w:rsidRPr="00FF3251">
      <w:rPr>
        <w:rFonts w:ascii="C39T30Lfz" w:hAnsi="C39T30Lfz"/>
        <w:sz w:val="56"/>
      </w:rPr>
      <w:t></w:t>
    </w:r>
    <w:r w:rsidRPr="00FF3251">
      <w:rPr>
        <w:rFonts w:ascii="C39T30Lfz" w:hAnsi="C39T30Lfz"/>
        <w:sz w:val="56"/>
      </w:rPr>
      <w:t></w:t>
    </w:r>
    <w:r w:rsidRPr="00FF3251">
      <w:rPr>
        <w:rFonts w:ascii="C39T30Lfz" w:hAnsi="C39T30Lfz"/>
        <w:sz w:val="56"/>
      </w:rPr>
      <w:t></w:t>
    </w:r>
    <w:r>
      <w:rPr>
        <w:noProof/>
        <w:sz w:val="20"/>
      </w:rPr>
      <w:drawing>
        <wp:anchor distT="0" distB="0" distL="114300" distR="114300" simplePos="0" relativeHeight="251656192" behindDoc="0" locked="0" layoutInCell="1" allowOverlap="1" wp14:anchorId="4905A8DC" wp14:editId="792BED04">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IRL/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IRL/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5825" w14:textId="77777777" w:rsidR="002D75EA" w:rsidRPr="00AC3823" w:rsidRDefault="002D75EA" w:rsidP="00AC3823">
      <w:pPr>
        <w:pStyle w:val="Pieddepage"/>
        <w:tabs>
          <w:tab w:val="right" w:pos="2155"/>
        </w:tabs>
        <w:spacing w:after="80" w:line="240" w:lineRule="atLeast"/>
        <w:ind w:left="680"/>
        <w:rPr>
          <w:u w:val="single"/>
        </w:rPr>
      </w:pPr>
      <w:r>
        <w:rPr>
          <w:u w:val="single"/>
        </w:rPr>
        <w:tab/>
      </w:r>
    </w:p>
  </w:footnote>
  <w:footnote w:type="continuationSeparator" w:id="0">
    <w:p w14:paraId="25614277" w14:textId="77777777" w:rsidR="002D75EA" w:rsidRPr="00AC3823" w:rsidRDefault="002D75EA" w:rsidP="00AC3823">
      <w:pPr>
        <w:pStyle w:val="Pieddepage"/>
        <w:tabs>
          <w:tab w:val="right" w:pos="2155"/>
        </w:tabs>
        <w:spacing w:after="80" w:line="240" w:lineRule="atLeast"/>
        <w:ind w:left="680"/>
        <w:rPr>
          <w:u w:val="single"/>
        </w:rPr>
      </w:pPr>
      <w:r>
        <w:rPr>
          <w:u w:val="single"/>
        </w:rPr>
        <w:tab/>
      </w:r>
    </w:p>
  </w:footnote>
  <w:footnote w:type="continuationNotice" w:id="1">
    <w:p w14:paraId="62E22749" w14:textId="77777777" w:rsidR="002D75EA" w:rsidRPr="00AC3823" w:rsidRDefault="002D75EA">
      <w:pPr>
        <w:spacing w:line="240" w:lineRule="auto"/>
        <w:rPr>
          <w:sz w:val="2"/>
          <w:szCs w:val="2"/>
        </w:rPr>
      </w:pPr>
    </w:p>
  </w:footnote>
  <w:footnote w:id="2">
    <w:p w14:paraId="25309E47" w14:textId="77777777" w:rsidR="002D75EA" w:rsidRPr="00024301" w:rsidRDefault="002D75EA" w:rsidP="00BB49A8">
      <w:pPr>
        <w:pStyle w:val="Notedebasdepage"/>
      </w:pPr>
      <w:r w:rsidRPr="00D06199">
        <w:rPr>
          <w:rStyle w:val="Appelnotedebasdep"/>
          <w:vertAlign w:val="baseline"/>
        </w:rPr>
        <w:tab/>
      </w:r>
      <w:r w:rsidRPr="00D06199">
        <w:rPr>
          <w:rStyle w:val="Appelnotedebasdep"/>
          <w:sz w:val="20"/>
          <w:vertAlign w:val="baseline"/>
        </w:rPr>
        <w:t>*</w:t>
      </w:r>
      <w:r w:rsidRPr="00D06199">
        <w:rPr>
          <w:rStyle w:val="Appelnotedebasdep"/>
          <w:sz w:val="20"/>
          <w:vertAlign w:val="baseline"/>
        </w:rPr>
        <w:tab/>
      </w:r>
      <w:r w:rsidRPr="00024301">
        <w:t>La version originale du présent document n</w:t>
      </w:r>
      <w:r>
        <w:t>’</w:t>
      </w:r>
      <w:r w:rsidRPr="00024301">
        <w:t>a pas été revue par les services d</w:t>
      </w:r>
      <w:r>
        <w:t>’</w:t>
      </w:r>
      <w:r w:rsidRPr="00024301">
        <w:t>édition.</w:t>
      </w:r>
    </w:p>
  </w:footnote>
  <w:footnote w:id="3">
    <w:p w14:paraId="5534CBF4" w14:textId="77777777" w:rsidR="002D75EA" w:rsidRPr="00024301" w:rsidRDefault="002D75EA" w:rsidP="00BB49A8">
      <w:pPr>
        <w:pStyle w:val="Notedebasdepage"/>
      </w:pPr>
      <w:r w:rsidRPr="00024301">
        <w:tab/>
      </w:r>
      <w:r w:rsidRPr="00BB49A8">
        <w:rPr>
          <w:rStyle w:val="Appelnotedebasdep"/>
        </w:rPr>
        <w:footnoteRef/>
      </w:r>
      <w:r w:rsidRPr="00024301">
        <w:tab/>
        <w:t>Informations sur la loi sur l</w:t>
      </w:r>
      <w:r>
        <w:t>’</w:t>
      </w:r>
      <w:r w:rsidRPr="00024301">
        <w:t>égalité dans l</w:t>
      </w:r>
      <w:r>
        <w:t>’</w:t>
      </w:r>
      <w:r w:rsidRPr="00024301">
        <w:t>emploi fournies par la Commission irlandaise des droits de l</w:t>
      </w:r>
      <w:r>
        <w:t>’</w:t>
      </w:r>
      <w:r w:rsidRPr="00024301">
        <w:t>homme et de l</w:t>
      </w:r>
      <w:r>
        <w:t>’</w:t>
      </w:r>
      <w:r w:rsidRPr="00024301">
        <w:t>égalité</w:t>
      </w:r>
      <w:r>
        <w:t>.</w:t>
      </w:r>
    </w:p>
  </w:footnote>
  <w:footnote w:id="4">
    <w:p w14:paraId="65813863" w14:textId="6C5C3E73" w:rsidR="002D75EA" w:rsidRPr="00024301" w:rsidRDefault="002D75EA" w:rsidP="00BB49A8">
      <w:pPr>
        <w:pStyle w:val="Notedebasdepage"/>
      </w:pPr>
      <w:r w:rsidRPr="00024301">
        <w:tab/>
      </w:r>
      <w:r w:rsidRPr="00BB49A8">
        <w:rPr>
          <w:rStyle w:val="Appelnotedebasdep"/>
        </w:rPr>
        <w:footnoteRef/>
      </w:r>
      <w:r w:rsidRPr="00024301">
        <w:tab/>
      </w:r>
      <w:hyperlink r:id="rId1" w:history="1">
        <w:r w:rsidRPr="00024301">
          <w:rPr>
            <w:rStyle w:val="Lienhypertexte"/>
            <w:szCs w:val="18"/>
          </w:rPr>
          <w:t>http://www.accesscollege.ie/hear/</w:t>
        </w:r>
      </w:hyperlink>
      <w:r w:rsidRPr="00024301">
        <w:t>.</w:t>
      </w:r>
    </w:p>
  </w:footnote>
  <w:footnote w:id="5">
    <w:p w14:paraId="295D2B9F" w14:textId="29D4B000" w:rsidR="002D75EA" w:rsidRPr="00024301" w:rsidRDefault="002D75EA" w:rsidP="00BB49A8">
      <w:pPr>
        <w:pStyle w:val="Notedebasdepage"/>
      </w:pPr>
      <w:r w:rsidRPr="00024301">
        <w:tab/>
      </w:r>
      <w:r w:rsidRPr="00BB49A8">
        <w:rPr>
          <w:rStyle w:val="Appelnotedebasdep"/>
        </w:rPr>
        <w:footnoteRef/>
      </w:r>
      <w:r w:rsidRPr="00024301">
        <w:tab/>
      </w:r>
      <w:hyperlink r:id="rId2" w:history="1">
        <w:r w:rsidRPr="00024301">
          <w:rPr>
            <w:rStyle w:val="Lienhypertexte"/>
            <w:szCs w:val="18"/>
          </w:rPr>
          <w:t>http://www.accesscollege.ie/dare/</w:t>
        </w:r>
      </w:hyperlink>
      <w:r w:rsidRPr="00024301">
        <w:t>.</w:t>
      </w:r>
    </w:p>
  </w:footnote>
  <w:footnote w:id="6">
    <w:p w14:paraId="765F3DB0" w14:textId="77777777" w:rsidR="002D75EA" w:rsidRPr="00024301" w:rsidRDefault="002D75EA" w:rsidP="00BB49A8">
      <w:pPr>
        <w:pStyle w:val="Notedebasdepage"/>
      </w:pPr>
      <w:r w:rsidRPr="00024301">
        <w:tab/>
      </w:r>
      <w:r w:rsidRPr="00BB49A8">
        <w:rPr>
          <w:rStyle w:val="Appelnotedebasdep"/>
        </w:rPr>
        <w:footnoteRef/>
      </w:r>
      <w:r w:rsidRPr="00024301">
        <w:tab/>
      </w:r>
      <w:bookmarkStart w:id="176" w:name="_Hlk37320653"/>
      <w:r w:rsidRPr="00024301">
        <w:t>Ces statistiques sont présentées sous toute réserve car leur qualité ne répond pas aux critères applicables aux statistiques officielles publiées par l</w:t>
      </w:r>
      <w:r>
        <w:t>’</w:t>
      </w:r>
      <w:r w:rsidRPr="00024301">
        <w:t>Office central de statistique.</w:t>
      </w:r>
      <w:bookmarkEnd w:id="176"/>
    </w:p>
  </w:footnote>
  <w:footnote w:id="7">
    <w:p w14:paraId="3ECE7B5A" w14:textId="77777777" w:rsidR="002D75EA" w:rsidRPr="00024301" w:rsidRDefault="002D75EA" w:rsidP="00BB49A8">
      <w:pPr>
        <w:pStyle w:val="Notedebasdepage"/>
      </w:pPr>
      <w:r w:rsidRPr="00024301">
        <w:tab/>
      </w:r>
      <w:r w:rsidRPr="00BB49A8">
        <w:rPr>
          <w:rStyle w:val="Appelnotedebasdep"/>
        </w:rPr>
        <w:footnoteRef/>
      </w:r>
      <w:r w:rsidRPr="00024301">
        <w:tab/>
      </w:r>
      <w:bookmarkStart w:id="177" w:name="_Hlk37320667"/>
      <w:r w:rsidRPr="00024301">
        <w:t>Les chiffres annualisés pour un trimestre donné correspondent au nombre total d</w:t>
      </w:r>
      <w:r>
        <w:t>’</w:t>
      </w:r>
      <w:r w:rsidRPr="00024301">
        <w:t>infractions enregistrées au cours des douze mois précédant la fin dudit trimestre.</w:t>
      </w:r>
      <w:bookmarkEnd w:id="17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2E45" w14:textId="369D556B" w:rsidR="002D75EA" w:rsidRPr="00FF3251" w:rsidRDefault="001735E0">
    <w:pPr>
      <w:pStyle w:val="En-tte"/>
    </w:pPr>
    <w:fldSimple w:instr=" TITLE  \* MERGEFORMAT ">
      <w:r w:rsidR="008D5A72">
        <w:t>HRI/CORE/IRL/2019</w:t>
      </w:r>
    </w:fldSimple>
    <w:bookmarkStart w:id="175" w:name="_GoBack"/>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0A9" w14:textId="2F927049" w:rsidR="002D75EA" w:rsidRPr="00FF3251" w:rsidRDefault="001735E0" w:rsidP="00FF3251">
    <w:pPr>
      <w:pStyle w:val="En-tte"/>
      <w:jc w:val="right"/>
    </w:pPr>
    <w:fldSimple w:instr=" TITLE  \* MERGEFORMAT ">
      <w:r w:rsidR="008D5A72">
        <w:t>HRI/CORE/IRL/2019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1F59" w14:textId="77777777" w:rsidR="000304DC" w:rsidRDefault="000304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011B"/>
    <w:rsid w:val="0000056D"/>
    <w:rsid w:val="00003EA6"/>
    <w:rsid w:val="00006EE6"/>
    <w:rsid w:val="00017F94"/>
    <w:rsid w:val="00023842"/>
    <w:rsid w:val="00024301"/>
    <w:rsid w:val="000304DC"/>
    <w:rsid w:val="000305A3"/>
    <w:rsid w:val="00030997"/>
    <w:rsid w:val="000334F9"/>
    <w:rsid w:val="000438B7"/>
    <w:rsid w:val="00053D23"/>
    <w:rsid w:val="00060BC9"/>
    <w:rsid w:val="00066A6F"/>
    <w:rsid w:val="00070641"/>
    <w:rsid w:val="00071A6F"/>
    <w:rsid w:val="0007796D"/>
    <w:rsid w:val="00082DFD"/>
    <w:rsid w:val="00082E56"/>
    <w:rsid w:val="000B7790"/>
    <w:rsid w:val="000E14E1"/>
    <w:rsid w:val="000E4DCA"/>
    <w:rsid w:val="000E62A8"/>
    <w:rsid w:val="00100091"/>
    <w:rsid w:val="00100DE2"/>
    <w:rsid w:val="00103F46"/>
    <w:rsid w:val="00106DE1"/>
    <w:rsid w:val="00110426"/>
    <w:rsid w:val="00111F2F"/>
    <w:rsid w:val="001327D1"/>
    <w:rsid w:val="00137030"/>
    <w:rsid w:val="0014365E"/>
    <w:rsid w:val="00144FED"/>
    <w:rsid w:val="001460E9"/>
    <w:rsid w:val="00154F64"/>
    <w:rsid w:val="0017066B"/>
    <w:rsid w:val="001735E0"/>
    <w:rsid w:val="00176178"/>
    <w:rsid w:val="00193B68"/>
    <w:rsid w:val="00196CDC"/>
    <w:rsid w:val="001A0118"/>
    <w:rsid w:val="001A284C"/>
    <w:rsid w:val="001B7C08"/>
    <w:rsid w:val="001F525A"/>
    <w:rsid w:val="002078B6"/>
    <w:rsid w:val="00222480"/>
    <w:rsid w:val="00223272"/>
    <w:rsid w:val="0023471F"/>
    <w:rsid w:val="00235800"/>
    <w:rsid w:val="00242876"/>
    <w:rsid w:val="002430FE"/>
    <w:rsid w:val="0024779E"/>
    <w:rsid w:val="00251260"/>
    <w:rsid w:val="0025280C"/>
    <w:rsid w:val="00273D84"/>
    <w:rsid w:val="002832AC"/>
    <w:rsid w:val="00284E1C"/>
    <w:rsid w:val="002B0854"/>
    <w:rsid w:val="002D75EA"/>
    <w:rsid w:val="002D7C93"/>
    <w:rsid w:val="002E30F6"/>
    <w:rsid w:val="00313D9D"/>
    <w:rsid w:val="003279D5"/>
    <w:rsid w:val="00361239"/>
    <w:rsid w:val="00370986"/>
    <w:rsid w:val="00376D65"/>
    <w:rsid w:val="003817EC"/>
    <w:rsid w:val="00397D61"/>
    <w:rsid w:val="003A75B8"/>
    <w:rsid w:val="003B3158"/>
    <w:rsid w:val="003C2868"/>
    <w:rsid w:val="003E175F"/>
    <w:rsid w:val="003F3CEB"/>
    <w:rsid w:val="00405559"/>
    <w:rsid w:val="00405F43"/>
    <w:rsid w:val="00416154"/>
    <w:rsid w:val="00433CB1"/>
    <w:rsid w:val="00441BDA"/>
    <w:rsid w:val="00441C3B"/>
    <w:rsid w:val="00442A1F"/>
    <w:rsid w:val="00446FE5"/>
    <w:rsid w:val="00452396"/>
    <w:rsid w:val="00470D85"/>
    <w:rsid w:val="004853A9"/>
    <w:rsid w:val="004961FD"/>
    <w:rsid w:val="00496E9D"/>
    <w:rsid w:val="004A1D8D"/>
    <w:rsid w:val="004B0F85"/>
    <w:rsid w:val="004B2949"/>
    <w:rsid w:val="004E468C"/>
    <w:rsid w:val="005006E0"/>
    <w:rsid w:val="00514E33"/>
    <w:rsid w:val="0053367A"/>
    <w:rsid w:val="00534233"/>
    <w:rsid w:val="0053715B"/>
    <w:rsid w:val="005420B9"/>
    <w:rsid w:val="005438D3"/>
    <w:rsid w:val="005455DE"/>
    <w:rsid w:val="005505B7"/>
    <w:rsid w:val="00573BE5"/>
    <w:rsid w:val="00586ED3"/>
    <w:rsid w:val="00596AA9"/>
    <w:rsid w:val="005A6B05"/>
    <w:rsid w:val="005C6A97"/>
    <w:rsid w:val="005D0FFF"/>
    <w:rsid w:val="005D7A4C"/>
    <w:rsid w:val="005E7B7A"/>
    <w:rsid w:val="005F63AA"/>
    <w:rsid w:val="00623E7A"/>
    <w:rsid w:val="00633FC0"/>
    <w:rsid w:val="006804FB"/>
    <w:rsid w:val="00683A2F"/>
    <w:rsid w:val="00690D2C"/>
    <w:rsid w:val="006B7EE4"/>
    <w:rsid w:val="006C4EE6"/>
    <w:rsid w:val="006D1276"/>
    <w:rsid w:val="006D42F6"/>
    <w:rsid w:val="006D5B25"/>
    <w:rsid w:val="006E011B"/>
    <w:rsid w:val="006F18B3"/>
    <w:rsid w:val="00702DC1"/>
    <w:rsid w:val="0071246B"/>
    <w:rsid w:val="0071601D"/>
    <w:rsid w:val="00765F9E"/>
    <w:rsid w:val="00766326"/>
    <w:rsid w:val="00784444"/>
    <w:rsid w:val="00795FC7"/>
    <w:rsid w:val="00796609"/>
    <w:rsid w:val="007A54A8"/>
    <w:rsid w:val="007A62E6"/>
    <w:rsid w:val="007C22AC"/>
    <w:rsid w:val="007E1D00"/>
    <w:rsid w:val="007E2A8B"/>
    <w:rsid w:val="007F3BC0"/>
    <w:rsid w:val="007F4712"/>
    <w:rsid w:val="00806373"/>
    <w:rsid w:val="0080684C"/>
    <w:rsid w:val="00815AA9"/>
    <w:rsid w:val="008329A3"/>
    <w:rsid w:val="008518D2"/>
    <w:rsid w:val="00856409"/>
    <w:rsid w:val="008625F0"/>
    <w:rsid w:val="00871C75"/>
    <w:rsid w:val="008776DC"/>
    <w:rsid w:val="0089072C"/>
    <w:rsid w:val="008A2DF2"/>
    <w:rsid w:val="008A53EA"/>
    <w:rsid w:val="008B560C"/>
    <w:rsid w:val="008C140F"/>
    <w:rsid w:val="008D399C"/>
    <w:rsid w:val="008D5A72"/>
    <w:rsid w:val="008F1DCB"/>
    <w:rsid w:val="009034F4"/>
    <w:rsid w:val="0093087D"/>
    <w:rsid w:val="009509A2"/>
    <w:rsid w:val="009705C8"/>
    <w:rsid w:val="00975D45"/>
    <w:rsid w:val="00987CA5"/>
    <w:rsid w:val="009A1B3A"/>
    <w:rsid w:val="009A2D51"/>
    <w:rsid w:val="009B5132"/>
    <w:rsid w:val="009C1CF4"/>
    <w:rsid w:val="009C3792"/>
    <w:rsid w:val="009C48FD"/>
    <w:rsid w:val="009D61BB"/>
    <w:rsid w:val="009E21A8"/>
    <w:rsid w:val="009E3526"/>
    <w:rsid w:val="009E5DD8"/>
    <w:rsid w:val="009E67EC"/>
    <w:rsid w:val="00A03406"/>
    <w:rsid w:val="00A0716B"/>
    <w:rsid w:val="00A07197"/>
    <w:rsid w:val="00A1083E"/>
    <w:rsid w:val="00A17F3C"/>
    <w:rsid w:val="00A30026"/>
    <w:rsid w:val="00A30353"/>
    <w:rsid w:val="00A874D5"/>
    <w:rsid w:val="00A95D2A"/>
    <w:rsid w:val="00AA5114"/>
    <w:rsid w:val="00AB1FED"/>
    <w:rsid w:val="00AB4102"/>
    <w:rsid w:val="00AB4F74"/>
    <w:rsid w:val="00AC3823"/>
    <w:rsid w:val="00AD48F8"/>
    <w:rsid w:val="00AE1C6F"/>
    <w:rsid w:val="00AE2185"/>
    <w:rsid w:val="00AE323C"/>
    <w:rsid w:val="00AF73DF"/>
    <w:rsid w:val="00B00181"/>
    <w:rsid w:val="00B00B0D"/>
    <w:rsid w:val="00B02B50"/>
    <w:rsid w:val="00B31081"/>
    <w:rsid w:val="00B5080E"/>
    <w:rsid w:val="00B52338"/>
    <w:rsid w:val="00B553E2"/>
    <w:rsid w:val="00B765F7"/>
    <w:rsid w:val="00B85E6C"/>
    <w:rsid w:val="00B9154A"/>
    <w:rsid w:val="00BA0CA9"/>
    <w:rsid w:val="00BB49A8"/>
    <w:rsid w:val="00BB6DD9"/>
    <w:rsid w:val="00BD2C13"/>
    <w:rsid w:val="00C02897"/>
    <w:rsid w:val="00C42D79"/>
    <w:rsid w:val="00C460DA"/>
    <w:rsid w:val="00C476A8"/>
    <w:rsid w:val="00C54641"/>
    <w:rsid w:val="00C62ED8"/>
    <w:rsid w:val="00C8529C"/>
    <w:rsid w:val="00C94F92"/>
    <w:rsid w:val="00C978AD"/>
    <w:rsid w:val="00CB62E3"/>
    <w:rsid w:val="00CE0E96"/>
    <w:rsid w:val="00CE163B"/>
    <w:rsid w:val="00D06199"/>
    <w:rsid w:val="00D12EEE"/>
    <w:rsid w:val="00D33FE4"/>
    <w:rsid w:val="00D3439C"/>
    <w:rsid w:val="00D94234"/>
    <w:rsid w:val="00DA24FB"/>
    <w:rsid w:val="00DB1831"/>
    <w:rsid w:val="00DB3BFF"/>
    <w:rsid w:val="00DB5976"/>
    <w:rsid w:val="00DC1EDB"/>
    <w:rsid w:val="00DC396C"/>
    <w:rsid w:val="00DD3BFD"/>
    <w:rsid w:val="00DE0C91"/>
    <w:rsid w:val="00DE1FDF"/>
    <w:rsid w:val="00DE363E"/>
    <w:rsid w:val="00DF0D9F"/>
    <w:rsid w:val="00DF0E61"/>
    <w:rsid w:val="00DF6678"/>
    <w:rsid w:val="00E11815"/>
    <w:rsid w:val="00E130F3"/>
    <w:rsid w:val="00E41FF2"/>
    <w:rsid w:val="00E44E26"/>
    <w:rsid w:val="00E63BE0"/>
    <w:rsid w:val="00E81DE4"/>
    <w:rsid w:val="00E84359"/>
    <w:rsid w:val="00E97B0B"/>
    <w:rsid w:val="00EA4AC8"/>
    <w:rsid w:val="00ED4D78"/>
    <w:rsid w:val="00EF2E22"/>
    <w:rsid w:val="00EF3FCC"/>
    <w:rsid w:val="00F118E9"/>
    <w:rsid w:val="00F26831"/>
    <w:rsid w:val="00F63F67"/>
    <w:rsid w:val="00F660DF"/>
    <w:rsid w:val="00F72E58"/>
    <w:rsid w:val="00F95C08"/>
    <w:rsid w:val="00FA237E"/>
    <w:rsid w:val="00FA44F5"/>
    <w:rsid w:val="00FB7A4E"/>
    <w:rsid w:val="00FC2D63"/>
    <w:rsid w:val="00FD4606"/>
    <w:rsid w:val="00FD6933"/>
    <w:rsid w:val="00FE6F77"/>
    <w:rsid w:val="00FF32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2CDE3"/>
  <w15:docId w15:val="{B0C75FB6-3C52-4AB4-A3FD-30FEF31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uiPriority w:val="59"/>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FA,FA Fußnotentext,Footnote Text Char Char Char Char,Footnote Text Char Char Char Char Char Char Char Char Char Char Char Char Char Char Char Char Char Char Char Char Char Char,Footnote"/>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FA Car,FA Fußnotentext Car,Footnote Text Char Char Char Char Car,Footnote Text Char Char Char Char Char Char Char Char Char Char Char Char Char Char Char Char Char Char Char Char Char Char Car,Footnote Car"/>
    <w:basedOn w:val="Policepardfaut"/>
    <w:link w:val="Notedebasdepage"/>
    <w:uiPriority w:val="99"/>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character" w:styleId="Mentionnonrsolue">
    <w:name w:val="Unresolved Mention"/>
    <w:basedOn w:val="Policepardfaut"/>
    <w:uiPriority w:val="99"/>
    <w:semiHidden/>
    <w:unhideWhenUsed/>
    <w:rsid w:val="007E2A8B"/>
    <w:rPr>
      <w:color w:val="605E5C"/>
      <w:shd w:val="clear" w:color="auto" w:fill="E1DFDD"/>
    </w:rPr>
  </w:style>
  <w:style w:type="paragraph" w:customStyle="1" w:styleId="CCDConvListHeaders">
    <w:name w:val="CCD Conv List Headers"/>
    <w:basedOn w:val="Normal"/>
    <w:rsid w:val="0089072C"/>
    <w:pPr>
      <w:widowControl w:val="0"/>
      <w:suppressAutoHyphens w:val="0"/>
      <w:kinsoku/>
      <w:overflowPunct/>
      <w:autoSpaceDE/>
      <w:autoSpaceDN/>
      <w:snapToGrid/>
      <w:spacing w:line="240" w:lineRule="auto"/>
      <w:textAlignment w:val="baseline"/>
    </w:pPr>
    <w:rPr>
      <w:rFonts w:eastAsia="Times New Roman"/>
      <w:b/>
      <w:i/>
      <w:color w:val="000000"/>
      <w:sz w:val="24"/>
      <w:szCs w:val="24"/>
      <w:lang w:val="en-GB"/>
    </w:rPr>
  </w:style>
  <w:style w:type="paragraph" w:customStyle="1" w:styleId="CCDConvListContents">
    <w:name w:val="CCD Conv List Contents"/>
    <w:basedOn w:val="CCDConvListHeaders"/>
    <w:rsid w:val="0089072C"/>
    <w:rPr>
      <w:b w:val="0"/>
      <w:bCs/>
      <w:i w:val="0"/>
    </w:rPr>
  </w:style>
  <w:style w:type="character" w:customStyle="1" w:styleId="CCDNameofBody">
    <w:name w:val="CCD Name of Body"/>
    <w:basedOn w:val="Policepardfaut"/>
    <w:uiPriority w:val="1"/>
    <w:rsid w:val="0089072C"/>
    <w:rPr>
      <w:b/>
      <w:i/>
    </w:rPr>
  </w:style>
  <w:style w:type="character" w:customStyle="1" w:styleId="SingleTxtGChar">
    <w:name w:val="_ Single Txt_G Char"/>
    <w:link w:val="SingleTxtG"/>
    <w:rsid w:val="003E175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a.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so.ie/en/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stateboards.ie/statebo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cklebullying.i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ccesscollege.ie/dare/" TargetMode="External"/><Relationship Id="rId1" Type="http://schemas.openxmlformats.org/officeDocument/2006/relationships/hyperlink" Target="http://www.accesscollege.ie/h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0" ma:contentTypeDescription="Create a new document." ma:contentTypeScope="" ma:versionID="e3e8d6c44a27673b2e082cf0702f3f16">
  <xsd:schema xmlns:xsd="http://www.w3.org/2001/XMLSchema" xmlns:xs="http://www.w3.org/2001/XMLSchema" xmlns:p="http://schemas.microsoft.com/office/2006/metadata/properties" xmlns:ns3="3419e837-75ee-4790-acc3-5f19a082db3f" targetNamespace="http://schemas.microsoft.com/office/2006/metadata/properties" ma:root="true" ma:fieldsID="29ccbf972501fbb37065acdfb75860ed" ns3:_="">
    <xsd:import namespace="3419e837-75ee-4790-acc3-5f19a082db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6510-BC7E-43C5-88D0-EDD19BE90DCD}">
  <ds:schemaRefs>
    <ds:schemaRef ds:uri="http://schemas.microsoft.com/sharepoint/v3/contenttype/forms"/>
  </ds:schemaRefs>
</ds:datastoreItem>
</file>

<file path=customXml/itemProps2.xml><?xml version="1.0" encoding="utf-8"?>
<ds:datastoreItem xmlns:ds="http://schemas.openxmlformats.org/officeDocument/2006/customXml" ds:itemID="{9CAE0C75-B5DF-4DE7-A46D-3E1A4178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e837-75ee-4790-acc3-5f19a082d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13B34-A0C5-420E-8073-2578EEFEDB24}">
  <ds:schemaRefs>
    <ds:schemaRef ds:uri="http://purl.org/dc/elements/1.1/"/>
    <ds:schemaRef ds:uri="3419e837-75ee-4790-acc3-5f19a082db3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574585-E1E2-4617-A957-FE27ED3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2</TotalTime>
  <Pages>58</Pages>
  <Words>31235</Words>
  <Characters>178044</Characters>
  <Application>Microsoft Office Word</Application>
  <DocSecurity>0</DocSecurity>
  <Lines>1483</Lines>
  <Paragraphs>417</Paragraphs>
  <ScaleCrop>false</ScaleCrop>
  <HeadingPairs>
    <vt:vector size="2" baseType="variant">
      <vt:variant>
        <vt:lpstr>Titre</vt:lpstr>
      </vt:variant>
      <vt:variant>
        <vt:i4>1</vt:i4>
      </vt:variant>
    </vt:vector>
  </HeadingPairs>
  <TitlesOfParts>
    <vt:vector size="1" baseType="lpstr">
      <vt:lpstr>HRI/CORE/IRL/2019</vt:lpstr>
    </vt:vector>
  </TitlesOfParts>
  <Company>DCM</Company>
  <LinksUpToDate>false</LinksUpToDate>
  <CharactersWithSpaces>208862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HRI/CORE/IRL/2019</dc:title>
  <dc:subject/>
  <dc:creator>Corinne ROBERT</dc:creator>
  <cp:keywords/>
  <cp:lastModifiedBy>Corinne Robert</cp:lastModifiedBy>
  <cp:revision>3</cp:revision>
  <cp:lastPrinted>2020-04-22T10:08:00Z</cp:lastPrinted>
  <dcterms:created xsi:type="dcterms:W3CDTF">2020-04-22T10:08:00Z</dcterms:created>
  <dcterms:modified xsi:type="dcterms:W3CDTF">2020-04-22T10:10:00Z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0x01010089307632BEB62142BF26E36AD6D8B684</vt:lpwstr>
  </property>
</Properties>
</file>